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jc w:val="center"/>
        <w:rPr>
          <w:rFonts w:hint="eastAsia" w:ascii="宋体" w:hAnsi="宋体" w:eastAsia="宋体" w:cs="宋体"/>
          <w:b/>
          <w:bCs/>
          <w:color w:val="auto"/>
          <w:sz w:val="21"/>
          <w:szCs w:val="21"/>
          <w:highlight w:val="none"/>
        </w:rPr>
      </w:pPr>
    </w:p>
    <w:p>
      <w:pPr>
        <w:shd w:val="clear"/>
        <w:jc w:val="left"/>
        <w:rPr>
          <w:rFonts w:hint="eastAsia" w:ascii="宋体" w:hAnsi="宋体" w:eastAsia="宋体" w:cs="宋体"/>
          <w:b/>
          <w:bCs/>
          <w:color w:val="auto"/>
          <w:sz w:val="28"/>
          <w:szCs w:val="28"/>
          <w:highlight w:val="none"/>
        </w:rPr>
      </w:pPr>
    </w:p>
    <w:p>
      <w:pPr>
        <w:shd w:val="clear"/>
        <w:jc w:val="left"/>
        <w:rPr>
          <w:rFonts w:hint="eastAsia" w:ascii="宋体" w:hAnsi="宋体" w:eastAsia="宋体" w:cs="宋体"/>
          <w:b/>
          <w:bCs/>
          <w:color w:val="auto"/>
          <w:sz w:val="28"/>
          <w:szCs w:val="28"/>
          <w:highlight w:val="none"/>
          <w:lang w:eastAsia="zh-CN"/>
        </w:rPr>
      </w:pPr>
      <w:r>
        <w:rPr>
          <w:rFonts w:hint="eastAsia" w:ascii="宋体" w:hAnsi="宋体" w:eastAsia="宋体" w:cs="宋体"/>
          <w:b/>
          <w:bCs/>
          <w:color w:val="auto"/>
          <w:sz w:val="28"/>
          <w:szCs w:val="28"/>
          <w:highlight w:val="none"/>
        </w:rPr>
        <w:t>采购项目编号：</w:t>
      </w:r>
      <w:r>
        <w:rPr>
          <w:rFonts w:hint="eastAsia" w:ascii="宋体" w:hAnsi="宋体" w:eastAsia="宋体" w:cs="宋体"/>
          <w:b/>
          <w:bCs/>
          <w:color w:val="auto"/>
          <w:sz w:val="28"/>
          <w:szCs w:val="28"/>
          <w:highlight w:val="none"/>
          <w:lang w:eastAsia="zh-CN"/>
        </w:rPr>
        <w:t>GZH-ZB-20210505</w:t>
      </w:r>
    </w:p>
    <w:p>
      <w:pPr>
        <w:pStyle w:val="2"/>
        <w:shd w:val="clear"/>
        <w:rPr>
          <w:rFonts w:hint="eastAsia" w:ascii="宋体" w:hAnsi="宋体" w:eastAsia="宋体" w:cs="宋体"/>
          <w:b/>
          <w:color w:val="auto"/>
          <w:sz w:val="21"/>
          <w:szCs w:val="21"/>
          <w:highlight w:val="none"/>
        </w:rPr>
      </w:pPr>
    </w:p>
    <w:p>
      <w:pPr>
        <w:shd w:val="clear"/>
        <w:rPr>
          <w:rFonts w:hint="eastAsia" w:ascii="宋体" w:hAnsi="宋体" w:eastAsia="宋体" w:cs="宋体"/>
          <w:color w:val="auto"/>
          <w:highlight w:val="none"/>
        </w:rPr>
      </w:pPr>
    </w:p>
    <w:p>
      <w:pPr>
        <w:pStyle w:val="2"/>
        <w:shd w:val="clear"/>
        <w:jc w:val="center"/>
        <w:rPr>
          <w:rFonts w:hint="eastAsia" w:ascii="宋体" w:hAnsi="宋体" w:eastAsia="宋体" w:cs="宋体"/>
          <w:color w:val="auto"/>
          <w:szCs w:val="24"/>
          <w:highlight w:val="none"/>
        </w:rPr>
      </w:pPr>
      <w:r>
        <w:rPr>
          <w:rFonts w:hint="eastAsia" w:ascii="宋体" w:hAnsi="宋体" w:eastAsia="宋体" w:cs="宋体"/>
          <w:b/>
          <w:color w:val="auto"/>
          <w:sz w:val="44"/>
          <w:szCs w:val="44"/>
          <w:highlight w:val="none"/>
        </w:rPr>
        <w:t> </w:t>
      </w:r>
      <w:r>
        <w:rPr>
          <w:rFonts w:hint="eastAsia" w:ascii="宋体" w:hAnsi="宋体" w:eastAsia="宋体" w:cs="宋体"/>
          <w:b/>
          <w:color w:val="auto"/>
          <w:sz w:val="44"/>
          <w:szCs w:val="44"/>
          <w:highlight w:val="none"/>
          <w:lang w:eastAsia="zh-CN"/>
        </w:rPr>
        <w:t>铜川市新区第三小学音乐体育书包柜采购</w:t>
      </w:r>
    </w:p>
    <w:p>
      <w:pPr>
        <w:shd w:val="clear"/>
        <w:jc w:val="center"/>
        <w:rPr>
          <w:rFonts w:hint="eastAsia" w:ascii="宋体" w:hAnsi="宋体" w:eastAsia="宋体" w:cs="宋体"/>
          <w:b/>
          <w:color w:val="auto"/>
          <w:sz w:val="72"/>
          <w:szCs w:val="72"/>
          <w:highlight w:val="none"/>
        </w:rPr>
      </w:pPr>
    </w:p>
    <w:p>
      <w:pPr>
        <w:shd w:val="clear"/>
        <w:jc w:val="center"/>
        <w:rPr>
          <w:rFonts w:hint="eastAsia" w:ascii="宋体" w:hAnsi="宋体" w:eastAsia="宋体" w:cs="宋体"/>
          <w:b/>
          <w:bCs/>
          <w:color w:val="auto"/>
          <w:sz w:val="28"/>
          <w:szCs w:val="28"/>
          <w:highlight w:val="none"/>
        </w:rPr>
      </w:pPr>
      <w:r>
        <w:rPr>
          <w:rFonts w:hint="eastAsia" w:ascii="宋体" w:hAnsi="宋体" w:eastAsia="宋体" w:cs="宋体"/>
          <w:b/>
          <w:color w:val="auto"/>
          <w:sz w:val="72"/>
          <w:szCs w:val="72"/>
          <w:highlight w:val="none"/>
        </w:rPr>
        <w:t>招标文件</w:t>
      </w:r>
    </w:p>
    <w:p>
      <w:pPr>
        <w:shd w:val="clear"/>
        <w:jc w:val="center"/>
        <w:rPr>
          <w:rFonts w:hint="eastAsia" w:ascii="宋体" w:hAnsi="宋体" w:eastAsia="宋体" w:cs="宋体"/>
          <w:b/>
          <w:bCs/>
          <w:color w:val="auto"/>
          <w:sz w:val="28"/>
          <w:szCs w:val="28"/>
          <w:highlight w:val="none"/>
        </w:rPr>
      </w:pPr>
    </w:p>
    <w:p>
      <w:pPr>
        <w:shd w:val="clear"/>
        <w:tabs>
          <w:tab w:val="left" w:pos="7446"/>
        </w:tabs>
        <w:jc w:val="left"/>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ab/>
      </w:r>
    </w:p>
    <w:p>
      <w:pPr>
        <w:pStyle w:val="2"/>
        <w:shd w:val="clear"/>
        <w:rPr>
          <w:rFonts w:hint="eastAsia" w:ascii="宋体" w:hAnsi="宋体" w:eastAsia="宋体" w:cs="宋体"/>
          <w:b/>
          <w:color w:val="auto"/>
          <w:sz w:val="21"/>
          <w:szCs w:val="21"/>
          <w:highlight w:val="none"/>
        </w:rPr>
      </w:pPr>
    </w:p>
    <w:p>
      <w:pPr>
        <w:shd w:val="clear"/>
        <w:rPr>
          <w:rFonts w:hint="eastAsia" w:ascii="宋体" w:hAnsi="宋体" w:eastAsia="宋体" w:cs="宋体"/>
          <w:color w:val="auto"/>
          <w:highlight w:val="none"/>
        </w:rPr>
      </w:pPr>
    </w:p>
    <w:p>
      <w:pPr>
        <w:pStyle w:val="8"/>
        <w:shd w:val="clear"/>
        <w:rPr>
          <w:rFonts w:hint="eastAsia" w:ascii="宋体" w:hAnsi="宋体" w:eastAsia="宋体" w:cs="宋体"/>
          <w:color w:val="auto"/>
          <w:highlight w:val="none"/>
        </w:rPr>
      </w:pPr>
    </w:p>
    <w:p>
      <w:pPr>
        <w:pStyle w:val="2"/>
        <w:shd w:val="clear"/>
        <w:rPr>
          <w:rFonts w:hint="eastAsia" w:ascii="宋体" w:hAnsi="宋体" w:eastAsia="宋体" w:cs="宋体"/>
          <w:color w:val="auto"/>
          <w:sz w:val="21"/>
          <w:szCs w:val="21"/>
          <w:highlight w:val="none"/>
        </w:rPr>
      </w:pPr>
    </w:p>
    <w:p>
      <w:pPr>
        <w:shd w:val="clear"/>
        <w:rPr>
          <w:rFonts w:hint="eastAsia" w:ascii="宋体" w:hAnsi="宋体" w:eastAsia="宋体" w:cs="宋体"/>
          <w:color w:val="auto"/>
          <w:sz w:val="21"/>
          <w:szCs w:val="21"/>
          <w:highlight w:val="none"/>
        </w:rPr>
      </w:pPr>
    </w:p>
    <w:p>
      <w:pPr>
        <w:shd w:val="clear"/>
        <w:tabs>
          <w:tab w:val="left" w:pos="7446"/>
        </w:tabs>
        <w:jc w:val="left"/>
        <w:rPr>
          <w:rFonts w:hint="eastAsia" w:ascii="宋体" w:hAnsi="宋体" w:eastAsia="宋体" w:cs="宋体"/>
          <w:b/>
          <w:bCs/>
          <w:color w:val="auto"/>
          <w:sz w:val="21"/>
          <w:szCs w:val="21"/>
          <w:highlight w:val="none"/>
        </w:rPr>
      </w:pPr>
    </w:p>
    <w:p>
      <w:pPr>
        <w:pStyle w:val="37"/>
        <w:shd w:val="clear"/>
        <w:rPr>
          <w:rFonts w:hint="eastAsia" w:ascii="宋体" w:hAnsi="宋体" w:eastAsia="宋体" w:cs="宋体"/>
          <w:color w:val="auto"/>
          <w:highlight w:val="none"/>
        </w:rPr>
      </w:pPr>
    </w:p>
    <w:p>
      <w:pPr>
        <w:shd w:val="clear"/>
        <w:spacing w:line="720" w:lineRule="auto"/>
        <w:ind w:left="0" w:leftChars="0" w:firstLine="1205" w:firstLineChars="375"/>
        <w:rPr>
          <w:rFonts w:hint="eastAsia" w:ascii="宋体" w:hAnsi="宋体" w:eastAsia="宋体" w:cs="宋体"/>
          <w:color w:val="auto"/>
          <w:sz w:val="32"/>
          <w:szCs w:val="32"/>
          <w:highlight w:val="none"/>
        </w:rPr>
      </w:pPr>
      <w:r>
        <w:rPr>
          <w:rFonts w:hint="eastAsia" w:ascii="宋体" w:hAnsi="宋体" w:eastAsia="宋体" w:cs="宋体"/>
          <w:b/>
          <w:bCs/>
          <w:color w:val="auto"/>
          <w:sz w:val="32"/>
          <w:szCs w:val="32"/>
          <w:highlight w:val="none"/>
        </w:rPr>
        <w:t>采   购   人：</w:t>
      </w:r>
      <w:r>
        <w:rPr>
          <w:rFonts w:hint="eastAsia" w:ascii="宋体" w:hAnsi="宋体" w:eastAsia="宋体" w:cs="宋体"/>
          <w:b/>
          <w:bCs/>
          <w:color w:val="auto"/>
          <w:sz w:val="32"/>
          <w:szCs w:val="32"/>
          <w:highlight w:val="none"/>
          <w:u w:val="single"/>
          <w:lang w:eastAsia="zh-CN"/>
        </w:rPr>
        <w:t>铜川市新区第三小学筹建处</w:t>
      </w:r>
      <w:r>
        <w:rPr>
          <w:rFonts w:hint="eastAsia" w:ascii="宋体" w:hAnsi="宋体" w:eastAsia="宋体" w:cs="宋体"/>
          <w:b/>
          <w:bCs/>
          <w:color w:val="auto"/>
          <w:sz w:val="32"/>
          <w:szCs w:val="32"/>
          <w:highlight w:val="none"/>
          <w:u w:val="single"/>
        </w:rPr>
        <w:t xml:space="preserve">    </w:t>
      </w:r>
      <w:r>
        <w:rPr>
          <w:rFonts w:hint="eastAsia" w:ascii="宋体" w:hAnsi="宋体" w:eastAsia="宋体" w:cs="宋体"/>
          <w:b/>
          <w:bCs/>
          <w:color w:val="auto"/>
          <w:sz w:val="32"/>
          <w:szCs w:val="32"/>
          <w:highlight w:val="none"/>
          <w:u w:val="single"/>
          <w:lang w:val="en-US" w:eastAsia="zh-CN"/>
        </w:rPr>
        <w:t xml:space="preserve">  </w:t>
      </w:r>
      <w:r>
        <w:rPr>
          <w:rFonts w:hint="eastAsia" w:ascii="宋体" w:hAnsi="宋体" w:eastAsia="宋体" w:cs="宋体"/>
          <w:b/>
          <w:bCs/>
          <w:color w:val="auto"/>
          <w:sz w:val="32"/>
          <w:szCs w:val="32"/>
          <w:highlight w:val="none"/>
          <w:u w:val="single"/>
        </w:rPr>
        <w:t xml:space="preserve"> </w:t>
      </w:r>
      <w:r>
        <w:rPr>
          <w:rFonts w:hint="eastAsia" w:ascii="宋体" w:hAnsi="宋体" w:eastAsia="宋体" w:cs="宋体"/>
          <w:b/>
          <w:bCs/>
          <w:color w:val="auto"/>
          <w:sz w:val="32"/>
          <w:szCs w:val="32"/>
          <w:highlight w:val="none"/>
          <w:u w:val="none"/>
        </w:rPr>
        <w:t xml:space="preserve">  </w:t>
      </w:r>
      <w:r>
        <w:rPr>
          <w:rFonts w:hint="eastAsia" w:ascii="宋体" w:hAnsi="宋体" w:eastAsia="宋体" w:cs="宋体"/>
          <w:b/>
          <w:bCs/>
          <w:color w:val="auto"/>
          <w:sz w:val="32"/>
          <w:szCs w:val="32"/>
          <w:highlight w:val="none"/>
          <w:u w:val="none"/>
          <w:lang w:val="en-US" w:eastAsia="zh-CN"/>
        </w:rPr>
        <w:t xml:space="preserve">  </w:t>
      </w:r>
      <w:r>
        <w:rPr>
          <w:rFonts w:hint="eastAsia" w:ascii="宋体" w:hAnsi="宋体" w:eastAsia="宋体" w:cs="宋体"/>
          <w:b/>
          <w:bCs/>
          <w:color w:val="auto"/>
          <w:sz w:val="32"/>
          <w:szCs w:val="32"/>
          <w:highlight w:val="none"/>
        </w:rPr>
        <w:t xml:space="preserve">    </w:t>
      </w:r>
    </w:p>
    <w:p>
      <w:pPr>
        <w:shd w:val="clear"/>
        <w:spacing w:line="720" w:lineRule="auto"/>
        <w:ind w:left="0" w:leftChars="0" w:firstLine="1205" w:firstLineChars="375"/>
        <w:rPr>
          <w:rFonts w:hint="eastAsia" w:ascii="宋体" w:hAnsi="宋体" w:eastAsia="宋体" w:cs="宋体"/>
          <w:b/>
          <w:bCs/>
          <w:color w:val="auto"/>
          <w:sz w:val="32"/>
          <w:szCs w:val="32"/>
          <w:highlight w:val="none"/>
          <w:u w:val="single"/>
        </w:rPr>
      </w:pPr>
      <w:r>
        <w:rPr>
          <w:rFonts w:hint="eastAsia" w:ascii="宋体" w:hAnsi="宋体" w:eastAsia="宋体" w:cs="宋体"/>
          <w:b/>
          <w:bCs/>
          <w:color w:val="auto"/>
          <w:sz w:val="32"/>
          <w:szCs w:val="32"/>
          <w:highlight w:val="none"/>
        </w:rPr>
        <w:t>采购代理机构：</w:t>
      </w:r>
      <w:r>
        <w:rPr>
          <w:rFonts w:hint="eastAsia" w:ascii="宋体" w:hAnsi="宋体" w:eastAsia="宋体" w:cs="宋体"/>
          <w:b/>
          <w:bCs/>
          <w:color w:val="auto"/>
          <w:sz w:val="32"/>
          <w:szCs w:val="32"/>
          <w:highlight w:val="none"/>
          <w:u w:val="single"/>
          <w:lang w:eastAsia="zh-CN"/>
        </w:rPr>
        <w:t>陕西国中恒工程项目管理有限公司</w:t>
      </w:r>
      <w:r>
        <w:rPr>
          <w:rFonts w:hint="eastAsia" w:ascii="宋体" w:hAnsi="宋体" w:eastAsia="宋体" w:cs="宋体"/>
          <w:b/>
          <w:bCs/>
          <w:color w:val="auto"/>
          <w:sz w:val="32"/>
          <w:szCs w:val="32"/>
          <w:highlight w:val="none"/>
          <w:u w:val="single"/>
        </w:rPr>
        <w:t xml:space="preserve"> </w:t>
      </w:r>
    </w:p>
    <w:p>
      <w:pPr>
        <w:shd w:val="clear"/>
        <w:jc w:val="center"/>
        <w:rPr>
          <w:rFonts w:hint="eastAsia" w:ascii="宋体" w:hAnsi="宋体" w:eastAsia="宋体" w:cs="宋体"/>
          <w:b/>
          <w:bCs/>
          <w:color w:val="auto"/>
          <w:sz w:val="32"/>
          <w:szCs w:val="32"/>
          <w:highlight w:val="none"/>
        </w:rPr>
      </w:pPr>
    </w:p>
    <w:p>
      <w:pPr>
        <w:shd w:val="clear"/>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202</w:t>
      </w:r>
      <w:r>
        <w:rPr>
          <w:rFonts w:hint="eastAsia" w:ascii="宋体" w:hAnsi="宋体" w:eastAsia="宋体" w:cs="宋体"/>
          <w:b/>
          <w:bCs/>
          <w:color w:val="auto"/>
          <w:sz w:val="32"/>
          <w:szCs w:val="32"/>
          <w:highlight w:val="none"/>
          <w:lang w:val="en-US" w:eastAsia="zh-CN"/>
        </w:rPr>
        <w:t>1</w:t>
      </w:r>
      <w:r>
        <w:rPr>
          <w:rFonts w:hint="eastAsia" w:ascii="宋体" w:hAnsi="宋体" w:eastAsia="宋体" w:cs="宋体"/>
          <w:b/>
          <w:bCs/>
          <w:color w:val="auto"/>
          <w:sz w:val="32"/>
          <w:szCs w:val="32"/>
          <w:highlight w:val="none"/>
        </w:rPr>
        <w:t>年</w:t>
      </w:r>
      <w:r>
        <w:rPr>
          <w:rFonts w:hint="eastAsia" w:ascii="宋体" w:hAnsi="宋体" w:eastAsia="宋体" w:cs="宋体"/>
          <w:b/>
          <w:bCs/>
          <w:color w:val="auto"/>
          <w:sz w:val="32"/>
          <w:szCs w:val="32"/>
          <w:highlight w:val="none"/>
          <w:lang w:val="en-US" w:eastAsia="zh-CN"/>
        </w:rPr>
        <w:t>5</w:t>
      </w:r>
      <w:r>
        <w:rPr>
          <w:rFonts w:hint="eastAsia" w:ascii="宋体" w:hAnsi="宋体" w:eastAsia="宋体" w:cs="宋体"/>
          <w:b/>
          <w:bCs/>
          <w:color w:val="auto"/>
          <w:sz w:val="32"/>
          <w:szCs w:val="32"/>
          <w:highlight w:val="none"/>
        </w:rPr>
        <w:t>月</w:t>
      </w:r>
    </w:p>
    <w:p>
      <w:pPr>
        <w:shd w:val="clear"/>
        <w:rPr>
          <w:rFonts w:hint="eastAsia" w:ascii="宋体" w:hAnsi="宋体" w:eastAsia="宋体" w:cs="宋体"/>
          <w:color w:val="auto"/>
          <w:sz w:val="21"/>
          <w:szCs w:val="21"/>
          <w:highlight w:val="none"/>
        </w:rPr>
      </w:pPr>
    </w:p>
    <w:p>
      <w:pPr>
        <w:widowControl/>
        <w:shd w:val="clear"/>
        <w:spacing w:line="240" w:lineRule="auto"/>
        <w:jc w:val="center"/>
        <w:rPr>
          <w:rFonts w:hint="eastAsia" w:ascii="宋体" w:hAnsi="宋体" w:eastAsia="宋体" w:cs="宋体"/>
          <w:b/>
          <w:bCs/>
          <w:color w:val="auto"/>
          <w:sz w:val="21"/>
          <w:szCs w:val="21"/>
          <w:highlight w:val="none"/>
        </w:rPr>
        <w:sectPr>
          <w:pgSz w:w="11906" w:h="16838"/>
          <w:pgMar w:top="1440" w:right="1226" w:bottom="1440" w:left="1320" w:header="851" w:footer="992" w:gutter="0"/>
          <w:cols w:space="425" w:num="1"/>
          <w:docGrid w:type="lines" w:linePitch="312" w:charSpace="0"/>
        </w:sectPr>
      </w:pPr>
    </w:p>
    <w:p>
      <w:pPr>
        <w:widowControl/>
        <w:shd w:val="clear"/>
        <w:spacing w:line="240" w:lineRule="auto"/>
        <w:jc w:val="center"/>
        <w:rPr>
          <w:rFonts w:hint="eastAsia" w:ascii="宋体" w:hAnsi="宋体" w:eastAsia="宋体" w:cs="宋体"/>
          <w:b/>
          <w:bCs/>
          <w:color w:val="auto"/>
          <w:sz w:val="40"/>
          <w:szCs w:val="40"/>
          <w:highlight w:val="none"/>
        </w:rPr>
      </w:pPr>
      <w:r>
        <w:rPr>
          <w:rFonts w:hint="eastAsia" w:ascii="宋体" w:hAnsi="宋体" w:eastAsia="宋体" w:cs="宋体"/>
          <w:b/>
          <w:bCs/>
          <w:color w:val="auto"/>
          <w:sz w:val="40"/>
          <w:szCs w:val="40"/>
          <w:highlight w:val="none"/>
        </w:rPr>
        <w:t>目  录</w:t>
      </w:r>
    </w:p>
    <w:p>
      <w:pPr>
        <w:pStyle w:val="18"/>
        <w:tabs>
          <w:tab w:val="right" w:leader="dot" w:pos="9360"/>
        </w:tabs>
        <w:rPr>
          <w:rFonts w:hint="eastAsia" w:ascii="宋体" w:hAnsi="宋体" w:eastAsia="宋体" w:cs="宋体"/>
          <w:color w:val="auto"/>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TOC \o "1-3" \h \u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_Toc26757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第一章  招标公告</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_Toc26757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3</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8"/>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_Toc18377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第二章  供应商须知</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_Toc18377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6</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9"/>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_Toc9715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2"/>
          <w:highlight w:val="none"/>
        </w:rPr>
        <w:t>供应商须知前附表</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_Toc9715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6</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9"/>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_Toc14473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2"/>
          <w:highlight w:val="none"/>
        </w:rPr>
        <w:t>否决性条款摘要</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_Toc14473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10</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9"/>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_Toc22197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1.总则</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_Toc22197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12</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9"/>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_Toc8916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2. 招标文件</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_Toc8916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13</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9"/>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_Toc4417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3. 投标报价</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_Toc4417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14</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9"/>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_Toc14733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4. 投标</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_Toc14733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16</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9"/>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_Toc25123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5. 评审</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_Toc25123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17</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9"/>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_Toc20316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6. 合同授予</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_Toc20316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18</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9"/>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_Toc12399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7. 纪律和监督</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_Toc12399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19</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9"/>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_Toc14831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8. 采购代理服务费</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_Toc14831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19</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9"/>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_Toc25203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szCs w:val="21"/>
          <w:highlight w:val="none"/>
        </w:rPr>
        <w:t>9. 需要补充的其他内容</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_Toc25203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19</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8"/>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_Toc30793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第三章</w:t>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rPr>
        <w:t xml:space="preserve"> 评标办法</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_Toc30793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22</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8"/>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_Toc11602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第四章</w:t>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rPr>
        <w:t xml:space="preserve"> 合同条款及格式</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_Toc11602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26</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8"/>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_Toc31877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第五章 采购需求</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_Toc31877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30</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9"/>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_Toc3638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第1包：</w:t>
      </w:r>
      <w:r>
        <w:rPr>
          <w:rFonts w:hint="eastAsia" w:ascii="宋体" w:hAnsi="宋体" w:eastAsia="宋体" w:cs="宋体"/>
          <w:color w:val="auto"/>
          <w:highlight w:val="none"/>
          <w:lang w:eastAsia="zh-CN"/>
        </w:rPr>
        <w:t>铜川市新区第三小学体育器材采购</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_Toc3638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30</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9"/>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_Toc15541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第</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包：</w:t>
      </w:r>
      <w:r>
        <w:rPr>
          <w:rFonts w:hint="eastAsia" w:ascii="宋体" w:hAnsi="宋体" w:eastAsia="宋体" w:cs="宋体"/>
          <w:color w:val="auto"/>
          <w:highlight w:val="none"/>
          <w:lang w:eastAsia="zh-CN"/>
        </w:rPr>
        <w:t>铜川市新区第三小学音乐器材采购</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_Toc15541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36</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9"/>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_Toc8752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lang w:val="en-US" w:eastAsia="zh-CN"/>
        </w:rPr>
        <w:t>第3包：铜川市新区第三小学师生书包柜器材采购</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_Toc8752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46</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8"/>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_Toc3019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第六章</w:t>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rPr>
        <w:t xml:space="preserve"> 投标文件参考格式</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_Toc3019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48</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9"/>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_Toc31236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第一部分  投标函</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_Toc31236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50</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9"/>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_Toc682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第二部分  开标一览表</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_Toc682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51</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4"/>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_Toc12661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投标货物分项报价表</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_Toc12661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52</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9"/>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_Toc17101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第三部分  法定代表人证明书与法定代表人授权书</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_Toc17101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53</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4"/>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_Toc3531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法定代表人证明书</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_Toc3531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53</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4"/>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_Toc26413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法定代表人授权书</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_Toc26413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54</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9"/>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_Toc17831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第四部分  供应商资质证明文件</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_Toc17831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55</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9"/>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_Toc23880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第五部分  主要投标货物技术偏差表</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_Toc23880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56</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9"/>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_Toc25702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第六部分  技术响应方案</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_Toc25702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57</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9"/>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_Toc28539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第七部分  商务响应及售后服务承诺</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_Toc28539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58</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9"/>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_Toc3484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第八部分  承诺书</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_Toc3484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59</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4"/>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_Toc21260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陕西省政府采购供应商拒绝政府采购领域商业贿赂承诺书Ⅰ</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_Toc21260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59</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4"/>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_Toc18802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承诺书Ⅱ</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_Toc18802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60</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4"/>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_Toc24466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承诺书Ⅲ</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_Toc24466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60</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4"/>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_Toc2283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承诺书Ⅳ</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_Toc2283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61</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4"/>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_Toc676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承诺书V</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_Toc676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61</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9"/>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_Toc18781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第八部分  附件</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_Toc18781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62</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4"/>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_Toc23027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附件</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 xml:space="preserve">  中小企业声明函（如有则提供）</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_Toc23027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62</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4"/>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_Toc14496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附件</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 xml:space="preserve">  残疾人福利性单位声明函（如有则提供）</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_Toc14496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63</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4"/>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_Toc28473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附件3  监狱企业证明函（如有则提供）</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_Toc28473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64</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4"/>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_Toc1983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附件4  供应商企业关系关联承诺书</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_Toc1983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65</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4"/>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_Toc11431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附件5  参加政府采购活动中没有重大违法记录的声明</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_Toc11431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66</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pStyle w:val="14"/>
        <w:tabs>
          <w:tab w:val="right" w:leader="dot" w:pos="9360"/>
        </w:tabs>
        <w:rPr>
          <w:rFonts w:hint="eastAsia" w:ascii="宋体" w:hAnsi="宋体" w:eastAsia="宋体" w:cs="宋体"/>
          <w:color w:val="auto"/>
          <w:highlight w:val="none"/>
        </w:rPr>
      </w:pPr>
      <w:r>
        <w:rPr>
          <w:rFonts w:hint="eastAsia" w:ascii="宋体" w:hAnsi="宋体" w:eastAsia="宋体" w:cs="宋体"/>
          <w:color w:val="auto"/>
          <w:szCs w:val="21"/>
          <w:highlight w:val="none"/>
        </w:rPr>
        <w:fldChar w:fldCharType="begin"/>
      </w:r>
      <w:r>
        <w:rPr>
          <w:rFonts w:hint="eastAsia" w:ascii="宋体" w:hAnsi="宋体" w:eastAsia="宋体" w:cs="宋体"/>
          <w:color w:val="auto"/>
          <w:szCs w:val="21"/>
          <w:highlight w:val="none"/>
        </w:rPr>
        <w:instrText xml:space="preserve"> HYPERLINK \l _Toc18484 </w:instrText>
      </w:r>
      <w:r>
        <w:rPr>
          <w:rFonts w:hint="eastAsia" w:ascii="宋体" w:hAnsi="宋体" w:eastAsia="宋体" w:cs="宋体"/>
          <w:color w:val="auto"/>
          <w:szCs w:val="21"/>
          <w:highlight w:val="none"/>
        </w:rPr>
        <w:fldChar w:fldCharType="separate"/>
      </w:r>
      <w:r>
        <w:rPr>
          <w:rFonts w:hint="eastAsia" w:ascii="宋体" w:hAnsi="宋体" w:eastAsia="宋体" w:cs="宋体"/>
          <w:color w:val="auto"/>
          <w:highlight w:val="none"/>
        </w:rPr>
        <w:t>附件6  产品适用政府采购政策情况表（如有则提供）</w:t>
      </w:r>
      <w:r>
        <w:rPr>
          <w:rFonts w:hint="eastAsia" w:ascii="宋体" w:hAnsi="宋体" w:eastAsia="宋体" w:cs="宋体"/>
          <w:color w:val="auto"/>
          <w:highlight w:val="none"/>
        </w:rPr>
        <w:tab/>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PAGEREF _Toc18484 \h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67</w:t>
      </w:r>
      <w:r>
        <w:rPr>
          <w:rFonts w:hint="eastAsia" w:ascii="宋体" w:hAnsi="宋体" w:eastAsia="宋体" w:cs="宋体"/>
          <w:color w:val="auto"/>
          <w:highlight w:val="none"/>
        </w:rPr>
        <w:fldChar w:fldCharType="end"/>
      </w:r>
      <w:r>
        <w:rPr>
          <w:rFonts w:hint="eastAsia" w:ascii="宋体" w:hAnsi="宋体" w:eastAsia="宋体" w:cs="宋体"/>
          <w:color w:val="auto"/>
          <w:szCs w:val="21"/>
          <w:highlight w:val="none"/>
        </w:rPr>
        <w:fldChar w:fldCharType="end"/>
      </w:r>
    </w:p>
    <w:p>
      <w:pPr>
        <w:shd w:val="clear"/>
        <w:rPr>
          <w:rFonts w:hint="eastAsia" w:ascii="宋体" w:hAnsi="宋体" w:eastAsia="宋体" w:cs="宋体"/>
          <w:color w:val="auto"/>
          <w:sz w:val="24"/>
          <w:szCs w:val="24"/>
          <w:highlight w:val="none"/>
        </w:rPr>
        <w:sectPr>
          <w:footerReference r:id="rId5" w:type="default"/>
          <w:pgSz w:w="11906" w:h="16838"/>
          <w:pgMar w:top="1440" w:right="1226" w:bottom="1440" w:left="1320" w:header="851" w:footer="992" w:gutter="0"/>
          <w:pgNumType w:start="1"/>
          <w:cols w:space="425" w:num="1"/>
          <w:docGrid w:type="lines" w:linePitch="312" w:charSpace="0"/>
        </w:sectPr>
      </w:pPr>
      <w:r>
        <w:rPr>
          <w:rFonts w:hint="eastAsia" w:ascii="宋体" w:hAnsi="宋体" w:eastAsia="宋体" w:cs="宋体"/>
          <w:color w:val="auto"/>
          <w:szCs w:val="21"/>
          <w:highlight w:val="none"/>
        </w:rPr>
        <w:fldChar w:fldCharType="end"/>
      </w:r>
    </w:p>
    <w:p>
      <w:pPr>
        <w:pStyle w:val="3"/>
        <w:shd w:val="clear"/>
        <w:rPr>
          <w:rFonts w:hint="eastAsia" w:ascii="宋体" w:hAnsi="宋体" w:eastAsia="宋体" w:cs="宋体"/>
          <w:color w:val="auto"/>
          <w:highlight w:val="none"/>
        </w:rPr>
      </w:pPr>
      <w:bookmarkStart w:id="0" w:name="_Toc26757"/>
      <w:bookmarkStart w:id="1" w:name="_Toc30697"/>
      <w:bookmarkStart w:id="2" w:name="_Toc30007"/>
      <w:r>
        <w:rPr>
          <w:rFonts w:hint="eastAsia" w:ascii="宋体" w:hAnsi="宋体" w:eastAsia="宋体" w:cs="宋体"/>
          <w:color w:val="auto"/>
          <w:highlight w:val="none"/>
        </w:rPr>
        <w:t>第一章  招标公告</w:t>
      </w:r>
      <w:bookmarkEnd w:id="0"/>
      <w:bookmarkEnd w:id="1"/>
      <w:bookmarkEnd w:id="2"/>
    </w:p>
    <w:p>
      <w:pPr>
        <w:shd w:val="clear"/>
        <w:bidi w:val="0"/>
        <w:jc w:val="center"/>
        <w:rPr>
          <w:rFonts w:hint="eastAsia" w:ascii="宋体" w:hAnsi="宋体" w:eastAsia="宋体" w:cs="宋体"/>
          <w:b/>
          <w:bCs/>
          <w:color w:val="auto"/>
          <w:sz w:val="32"/>
          <w:szCs w:val="32"/>
          <w:highlight w:val="none"/>
          <w:lang w:eastAsia="zh-CN"/>
        </w:rPr>
      </w:pPr>
      <w:r>
        <w:rPr>
          <w:rFonts w:hint="eastAsia" w:ascii="宋体" w:hAnsi="宋体" w:eastAsia="宋体" w:cs="宋体"/>
          <w:b/>
          <w:bCs/>
          <w:color w:val="auto"/>
          <w:sz w:val="32"/>
          <w:szCs w:val="32"/>
          <w:highlight w:val="none"/>
          <w:lang w:eastAsia="zh-CN"/>
        </w:rPr>
        <w:t>铜川市新区第三小学音乐体育书包柜采购</w:t>
      </w:r>
      <w:r>
        <w:rPr>
          <w:rFonts w:hint="eastAsia" w:ascii="宋体" w:hAnsi="宋体" w:eastAsia="宋体" w:cs="宋体"/>
          <w:b/>
          <w:bCs/>
          <w:color w:val="auto"/>
          <w:sz w:val="32"/>
          <w:szCs w:val="32"/>
          <w:highlight w:val="none"/>
        </w:rPr>
        <w:t>公开招标公告</w:t>
      </w:r>
    </w:p>
    <w:p>
      <w:pPr>
        <w:shd w:val="clear"/>
        <w:bidi w:val="0"/>
        <w:spacing w:line="240" w:lineRule="auto"/>
        <w:rPr>
          <w:rFonts w:hint="eastAsia" w:ascii="宋体" w:hAnsi="宋体" w:eastAsia="宋体" w:cs="宋体"/>
          <w:color w:val="auto"/>
          <w:highlight w:val="none"/>
          <w:lang w:val="en-US" w:eastAsia="zh-CN"/>
        </w:rPr>
      </w:pP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auto"/>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eastAsia="宋体" w:cs="宋体"/>
          <w:color w:val="auto"/>
          <w:highlight w:val="none"/>
        </w:rPr>
      </w:pPr>
      <w:r>
        <w:rPr>
          <w:rFonts w:hint="eastAsia" w:ascii="宋体" w:hAnsi="宋体" w:eastAsia="宋体" w:cs="宋体"/>
          <w:b/>
          <w:bCs/>
          <w:color w:val="auto"/>
          <w:kern w:val="0"/>
          <w:sz w:val="21"/>
          <w:szCs w:val="21"/>
          <w:highlight w:val="none"/>
          <w:lang w:val="en-US" w:eastAsia="zh-CN" w:bidi="ar"/>
        </w:rPr>
        <w:t>   </w:t>
      </w:r>
      <w:r>
        <w:rPr>
          <w:rFonts w:hint="eastAsia" w:ascii="宋体" w:hAnsi="宋体" w:eastAsia="宋体" w:cs="宋体"/>
          <w:b/>
          <w:bCs/>
          <w:color w:val="auto"/>
          <w:kern w:val="0"/>
          <w:sz w:val="21"/>
          <w:szCs w:val="21"/>
          <w:highlight w:val="none"/>
          <w:shd w:val="clear" w:fill="auto"/>
          <w:lang w:val="en-US" w:eastAsia="zh-CN" w:bidi="ar"/>
        </w:rPr>
        <w:t xml:space="preserve"> 铜川市新区第三小学音乐体育书包柜采购招标项目潜在的投标人可在西安市北大街118号宏府大厦A座12F室获取招标文件，并于2021-06-18 10:00:00前递交投标文件。 </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auto"/>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eastAsia="宋体" w:cs="宋体"/>
          <w:color w:val="auto"/>
          <w:highlight w:val="none"/>
        </w:rPr>
      </w:pPr>
      <w:r>
        <w:rPr>
          <w:rFonts w:hint="eastAsia" w:ascii="宋体" w:hAnsi="宋体" w:eastAsia="宋体" w:cs="宋体"/>
          <w:b/>
          <w:bCs/>
          <w:color w:val="auto"/>
          <w:kern w:val="0"/>
          <w:sz w:val="21"/>
          <w:szCs w:val="21"/>
          <w:highlight w:val="none"/>
          <w:shd w:val="clear" w:fill="auto"/>
          <w:lang w:val="en-US" w:eastAsia="zh-CN" w:bidi="ar"/>
        </w:rPr>
        <w:t>一、项目基本情况：</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1、项目编号：GZH-ZB-20210505</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2、项目名称：铜川市新区第三小学音乐体育书包柜采购</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3、预算金额：2,102,228.00元</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 xml:space="preserve">4、最高限价： </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 xml:space="preserve">第1包： 363,544.00元； </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 xml:space="preserve">第2包： 638,684.00元； </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 xml:space="preserve">第3包： 1,100,000.00元； </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 xml:space="preserve">5、采购需求： </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 xml:space="preserve">第1包： 铜川市新区第三小学体育器材采购， 1 批， 预算金额：363,544.00， 简要技术要求、用途：采购足球、联合训练器、体操垫、移动音响、扩音器、篮球、摸高架等设施设备。 </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 xml:space="preserve">第2包： 铜川市新区第三小学音乐器材采购， 1 批， 预算金额：638,684.00， 简要技术要求、用途：采购练习古琴、古琴桌椅、特级古筝、古筝架及凳子、卧式钢琴、数字音乐教学仪教学系统等设施设备。 </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 xml:space="preserve">第3包： 铜川市新区第三小学师生书包柜器材采购， 1 批， 预算金额：1,100,000.00， 简要技术要求、用途：采购教师书包柜、学生书包柜、讲桌、体育馆座椅等设施设备。 </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6、合同履行期限：2021-07-01 00:00:00 至 2021-07-30 00:00:00（具体服务起止日期可随合同签订时间相应顺延）</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7、本项目是否接受联合体投标：否</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auto"/>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eastAsia="宋体" w:cs="宋体"/>
          <w:color w:val="auto"/>
          <w:highlight w:val="none"/>
        </w:rPr>
      </w:pPr>
      <w:r>
        <w:rPr>
          <w:rFonts w:hint="eastAsia" w:ascii="宋体" w:hAnsi="宋体" w:eastAsia="宋体" w:cs="宋体"/>
          <w:b/>
          <w:bCs/>
          <w:color w:val="auto"/>
          <w:kern w:val="0"/>
          <w:sz w:val="21"/>
          <w:szCs w:val="21"/>
          <w:highlight w:val="none"/>
          <w:shd w:val="clear" w:fill="auto"/>
          <w:lang w:val="en-US" w:eastAsia="zh-CN" w:bidi="ar"/>
        </w:rPr>
        <w:t xml:space="preserve">二、 投标人的资格要求 </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1、满足《中华人民共和国政府采购法》第二十二条规定</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2、落实政府采购政策需满足的资格要求：（1）《关于在政府采购活动中查询及使用信用记录有关问题的通知》（财库〔2016〕125号）；（2）《政府采购促进中小企业发展管理办法》（财库〔2020〕46号）；（3）《财政部司法部关于政府采购支持监狱企业发展有关问题的通知》（财库〔2014〕68号）；（4）《国务院办公厅关于建立政府强制采购节能产品制度的通知》（国办发〔2007〕51号）；（5）《环境标志产品政府采购实施的意见》（财库[2006]90号）；（6）《节能产品政府采购实施意见》（财库[2004]185号）；（7）《关于促进残疾人就业政府采购政策的通知》（财库〔2017〕141号）。 （8）《财政部 发展改革委 生态环境部 市场监管总局关于调整优化节能产品、环境标志产品政府采购执行机制的通知》（财库〔2019〕9号）；（9）《财政部国务院扶贫办关于运用政府采购政策支持脱贫攻坚的通知》（财库〔2019〕27号）；（10）关于印发《商品包装政府采购需求标准（试行）》、 《快递包装政府采购需求标准（试行）》的通知（财办库〔2020〕123号）。（11）《陕西省财政厅关于加快推进我省中小企业政府采购信用融资工作的通知》（陕财办采〔2020〕15 号）及《陕西省财政厅关于印发《陕西省中小企业政府采购信用融资办法》（陕财办采〔2018〕23号）。（12）本项目非专门面向中小企业采购。</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3、本项目的特定资格要求：（1）具有独立承担民事责任能力的法人、其他组织或自然人，统一社会信用代码营业执照（事业单位提供事业单位法人证书，自然人提供本人身份证）合法有效；（2）符合《财政部关于在政府采购活动中查询及使用信用记录有关问题的通知》（财库【2016】125号）文件中信用查询的要求。截至投标文件递交截止时间，被“信用中国”网站或各级信用信息共享平台、“中国政府采购网”网站列入失信被执行人、重大税收违法案件当事人名单、政府采购严重违法失信行为记录名单之一的，不得参加本项目的采购活动；（3）财务状况报告：提供经审计的2019年或2020年度的财务报告或提供投标文件递交截止时间前六个月内的基本账户开户银行出具的资信证明；（4）税收缴纳证明：提供投标文件递交截止时间前六个月内已缴纳的至少一个月的纳税证明或完税证明，依法免税的单位应提供相关证明材料；（5）社会保障资金缴纳证明：提供投标文件递交截止时间前六个月内已缴存的至少一个月的社会保障资金缴纳凭证或证明，依法不需要缴纳社会保障资金的单位应提供相关证明材料；（6）提供具有履行合同所必需的设备和专业技术能力的书面声明。</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auto"/>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eastAsia="宋体" w:cs="宋体"/>
          <w:color w:val="auto"/>
          <w:highlight w:val="none"/>
        </w:rPr>
      </w:pPr>
      <w:r>
        <w:rPr>
          <w:rFonts w:hint="eastAsia" w:ascii="宋体" w:hAnsi="宋体" w:eastAsia="宋体" w:cs="宋体"/>
          <w:b/>
          <w:bCs/>
          <w:color w:val="auto"/>
          <w:kern w:val="0"/>
          <w:sz w:val="21"/>
          <w:szCs w:val="21"/>
          <w:highlight w:val="none"/>
          <w:shd w:val="clear" w:fill="auto"/>
          <w:lang w:val="en-US" w:eastAsia="zh-CN" w:bidi="ar"/>
        </w:rPr>
        <w:t xml:space="preserve">三、 招标文件的获取方式 </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时间：即日起</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0:00 止</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地点：西安市北大街118号宏府大厦A座12F室</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方式：现场购买/邮寄</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 xml:space="preserve">售价： </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 xml:space="preserve">第1包： 铜川市新区第三小学体育器材采购 ，标书金额： 300.00元（人民币），售后不退； </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 xml:space="preserve">第2包： 铜川市新区第三小学音乐器材采购 ，标书金额： 300.00元（人民币），售后不退； </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 xml:space="preserve">第3包： 铜川市新区第三小学师生书包柜器材采购 ，标书金额： 300.00元（人民币），售后不退； </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b/>
          <w:bCs/>
          <w:color w:val="auto"/>
          <w:sz w:val="21"/>
          <w:szCs w:val="21"/>
          <w:highlight w:val="none"/>
        </w:rPr>
        <w:t>注：供应商获取招标文件时请携带下列证明文件（加盖公章）：（1）供应商出具的对经办人的介绍信原件；（2）经办人的身份证原件和复印件。 注意事项：①请供应商按照陕西省财政厅关于政府采购供应商注册登记有关事项的通知中的要求，通过陕西省政府采购网（http：//www.ccgp-shaanxi.gov.cn/）注册登记加入陕西省政府采购供应商库。②疫情防控期间购买招标文件及递交投标文件时，供应商限一名代表参加，必须佩戴口罩，做好个人防护工作。</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auto"/>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eastAsia="宋体" w:cs="宋体"/>
          <w:color w:val="auto"/>
          <w:highlight w:val="none"/>
        </w:rPr>
      </w:pPr>
      <w:r>
        <w:rPr>
          <w:rFonts w:hint="eastAsia" w:ascii="宋体" w:hAnsi="宋体" w:eastAsia="宋体" w:cs="宋体"/>
          <w:b/>
          <w:bCs/>
          <w:color w:val="auto"/>
          <w:kern w:val="0"/>
          <w:sz w:val="21"/>
          <w:szCs w:val="21"/>
          <w:highlight w:val="none"/>
          <w:shd w:val="clear" w:fill="auto"/>
          <w:lang w:val="en-US" w:eastAsia="zh-CN" w:bidi="ar"/>
        </w:rPr>
        <w:t xml:space="preserve">四、 投标文件递交 </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 xml:space="preserve">截止时间： 2021-06-18 10:00:00 </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 xml:space="preserve">地点：西安市北大街118号宏府大厦A座12F室会议室 </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auto"/>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eastAsia="宋体" w:cs="宋体"/>
          <w:color w:val="auto"/>
          <w:highlight w:val="none"/>
        </w:rPr>
      </w:pPr>
      <w:r>
        <w:rPr>
          <w:rFonts w:hint="eastAsia" w:ascii="宋体" w:hAnsi="宋体" w:eastAsia="宋体" w:cs="宋体"/>
          <w:b/>
          <w:bCs/>
          <w:color w:val="auto"/>
          <w:kern w:val="0"/>
          <w:sz w:val="21"/>
          <w:szCs w:val="21"/>
          <w:highlight w:val="none"/>
          <w:shd w:val="clear" w:fill="auto"/>
          <w:lang w:val="en-US" w:eastAsia="zh-CN" w:bidi="ar"/>
        </w:rPr>
        <w:t>五、公告期限</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自本公告发布之日起5个工作日。</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auto"/>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eastAsia="宋体" w:cs="宋体"/>
          <w:color w:val="auto"/>
          <w:highlight w:val="none"/>
        </w:rPr>
      </w:pPr>
      <w:r>
        <w:rPr>
          <w:rFonts w:hint="eastAsia" w:ascii="宋体" w:hAnsi="宋体" w:eastAsia="宋体" w:cs="宋体"/>
          <w:b/>
          <w:bCs/>
          <w:color w:val="auto"/>
          <w:kern w:val="0"/>
          <w:sz w:val="21"/>
          <w:szCs w:val="21"/>
          <w:highlight w:val="none"/>
          <w:shd w:val="clear" w:fill="auto"/>
          <w:lang w:val="en-US" w:eastAsia="zh-CN" w:bidi="ar"/>
        </w:rPr>
        <w:t>六、其他补充事宜</w:t>
      </w:r>
    </w:p>
    <w:p>
      <w:pPr>
        <w:pStyle w:val="2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auto"/>
        <w:kinsoku/>
        <w:wordWrap/>
        <w:overflowPunct/>
        <w:topLinePunct w:val="0"/>
        <w:autoSpaceDE/>
        <w:autoSpaceDN/>
        <w:bidi w:val="0"/>
        <w:adjustRightInd/>
        <w:snapToGrid/>
        <w:spacing w:before="0" w:beforeAutospacing="0" w:after="0" w:afterAutospacing="0" w:line="360" w:lineRule="auto"/>
        <w:ind w:left="0" w:right="0"/>
        <w:jc w:val="left"/>
        <w:textAlignment w:val="auto"/>
        <w:rPr>
          <w:rFonts w:hint="eastAsia" w:ascii="宋体" w:hAnsi="宋体" w:eastAsia="宋体" w:cs="宋体"/>
          <w:color w:val="auto"/>
          <w:highlight w:val="none"/>
        </w:rPr>
      </w:pPr>
      <w:r>
        <w:rPr>
          <w:rFonts w:hint="eastAsia" w:ascii="宋体" w:hAnsi="宋体" w:eastAsia="宋体" w:cs="宋体"/>
          <w:b/>
          <w:bCs/>
          <w:color w:val="auto"/>
          <w:kern w:val="0"/>
          <w:sz w:val="21"/>
          <w:szCs w:val="21"/>
          <w:highlight w:val="none"/>
          <w:shd w:val="clear" w:fill="auto"/>
          <w:lang w:val="en-US" w:eastAsia="zh-CN" w:bidi="ar"/>
        </w:rPr>
        <w:t xml:space="preserve">七、对本次招标提出询问，请按以下方式联系。 </w:t>
      </w:r>
      <w:bookmarkStart w:id="365" w:name="_GoBack"/>
      <w:bookmarkEnd w:id="365"/>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1、采购人信息：铜川市新区第三小学筹建处</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地址：铜川市新区长青南路</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联系人：田老师</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电话：0919-3160099</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2、项目联系方式</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项目联系人：曹工</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电 话：029-87385052</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传 真：/</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3、采购代理机构信息</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名称：陕西国中恒工程项目管理有限公司</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联系地址：西安市北大街118号宏府大厦A座12F室</w:t>
      </w:r>
    </w:p>
    <w:p>
      <w:pPr>
        <w:pStyle w:val="20"/>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left="0" w:firstLine="420"/>
        <w:textAlignment w:val="auto"/>
        <w:rPr>
          <w:rFonts w:hint="eastAsia" w:ascii="宋体" w:hAnsi="宋体" w:eastAsia="宋体" w:cs="宋体"/>
          <w:color w:val="auto"/>
          <w:highlight w:val="none"/>
        </w:rPr>
      </w:pPr>
      <w:r>
        <w:rPr>
          <w:rFonts w:hint="eastAsia" w:ascii="宋体" w:hAnsi="宋体" w:eastAsia="宋体" w:cs="宋体"/>
          <w:color w:val="auto"/>
          <w:sz w:val="21"/>
          <w:szCs w:val="21"/>
          <w:highlight w:val="none"/>
        </w:rPr>
        <w:t>联系方式：</w:t>
      </w:r>
      <w:r>
        <w:rPr>
          <w:rFonts w:hint="eastAsia" w:ascii="宋体" w:hAnsi="宋体" w:eastAsia="宋体" w:cs="宋体"/>
          <w:color w:val="auto"/>
          <w:sz w:val="21"/>
          <w:szCs w:val="21"/>
          <w:highlight w:val="none"/>
          <w:u w:val="none"/>
        </w:rPr>
        <w:fldChar w:fldCharType="begin"/>
      </w:r>
      <w:r>
        <w:rPr>
          <w:rFonts w:hint="eastAsia" w:ascii="宋体" w:hAnsi="宋体" w:eastAsia="宋体" w:cs="宋体"/>
          <w:color w:val="auto"/>
          <w:sz w:val="21"/>
          <w:szCs w:val="21"/>
          <w:highlight w:val="none"/>
          <w:u w:val="none"/>
        </w:rPr>
        <w:instrText xml:space="preserve"> HYPERLINK "http://www.ccgp.gov.cn/agency/a_agencylist.html" \t "http://www.ccgp-shaanxi.gov.cn/notice/_blank" </w:instrText>
      </w:r>
      <w:r>
        <w:rPr>
          <w:rFonts w:hint="eastAsia" w:ascii="宋体" w:hAnsi="宋体" w:eastAsia="宋体" w:cs="宋体"/>
          <w:color w:val="auto"/>
          <w:sz w:val="21"/>
          <w:szCs w:val="21"/>
          <w:highlight w:val="none"/>
          <w:u w:val="none"/>
        </w:rPr>
        <w:fldChar w:fldCharType="separate"/>
      </w:r>
      <w:r>
        <w:rPr>
          <w:rStyle w:val="31"/>
          <w:rFonts w:hint="eastAsia" w:ascii="宋体" w:hAnsi="宋体" w:eastAsia="宋体" w:cs="宋体"/>
          <w:color w:val="auto"/>
          <w:sz w:val="21"/>
          <w:szCs w:val="21"/>
          <w:highlight w:val="none"/>
          <w:u w:val="none"/>
        </w:rPr>
        <w:t>http://www.ccgp.gov.cn/agency/a_agencylist.html</w:t>
      </w:r>
      <w:r>
        <w:rPr>
          <w:rFonts w:hint="eastAsia" w:ascii="宋体" w:hAnsi="宋体" w:eastAsia="宋体" w:cs="宋体"/>
          <w:color w:val="auto"/>
          <w:sz w:val="21"/>
          <w:szCs w:val="21"/>
          <w:highlight w:val="none"/>
          <w:u w:val="none"/>
        </w:rPr>
        <w:fldChar w:fldCharType="end"/>
      </w:r>
    </w:p>
    <w:p>
      <w:pPr>
        <w:pStyle w:val="20"/>
        <w:keepNext w:val="0"/>
        <w:keepLines w:val="0"/>
        <w:widowControl/>
        <w:suppressLineNumbers w:val="0"/>
        <w:spacing w:before="0" w:beforeAutospacing="0" w:after="0" w:afterAutospacing="0" w:line="510" w:lineRule="atLeast"/>
        <w:ind w:left="0" w:right="0" w:firstLine="420"/>
        <w:rPr>
          <w:rFonts w:hint="eastAsia" w:ascii="宋体" w:hAnsi="宋体" w:eastAsia="宋体" w:cs="宋体"/>
          <w:color w:val="auto"/>
          <w:sz w:val="24"/>
          <w:szCs w:val="24"/>
          <w:highlight w:val="none"/>
        </w:rPr>
      </w:pPr>
    </w:p>
    <w:p>
      <w:pPr>
        <w:shd w:val="clear"/>
        <w:jc w:val="right"/>
        <w:rPr>
          <w:rFonts w:hint="eastAsia" w:ascii="宋体" w:hAnsi="宋体" w:eastAsia="宋体" w:cs="宋体"/>
          <w:color w:val="auto"/>
          <w:sz w:val="21"/>
          <w:szCs w:val="21"/>
          <w:highlight w:val="none"/>
        </w:rPr>
      </w:pPr>
    </w:p>
    <w:p>
      <w:pPr>
        <w:pStyle w:val="20"/>
        <w:widowControl/>
        <w:shd w:val="clear"/>
        <w:spacing w:beforeAutospacing="0" w:afterAutospacing="0" w:line="336" w:lineRule="auto"/>
        <w:ind w:firstLine="420"/>
        <w:jc w:val="right"/>
        <w:rPr>
          <w:rFonts w:hint="eastAsia" w:ascii="宋体" w:hAnsi="宋体" w:eastAsia="宋体" w:cs="宋体"/>
          <w:color w:val="auto"/>
          <w:sz w:val="21"/>
          <w:szCs w:val="21"/>
          <w:highlight w:val="none"/>
        </w:rPr>
      </w:pPr>
    </w:p>
    <w:p>
      <w:pPr>
        <w:shd w:val="clear"/>
        <w:rPr>
          <w:rFonts w:hint="eastAsia" w:ascii="宋体" w:hAnsi="宋体" w:eastAsia="宋体" w:cs="宋体"/>
          <w:color w:val="auto"/>
          <w:highlight w:val="none"/>
        </w:rPr>
      </w:pPr>
      <w:r>
        <w:rPr>
          <w:rFonts w:hint="eastAsia" w:ascii="宋体" w:hAnsi="宋体" w:eastAsia="宋体" w:cs="宋体"/>
          <w:color w:val="auto"/>
          <w:sz w:val="21"/>
          <w:szCs w:val="21"/>
          <w:highlight w:val="none"/>
        </w:rPr>
        <w:br w:type="page"/>
      </w:r>
    </w:p>
    <w:p>
      <w:pPr>
        <w:pStyle w:val="3"/>
        <w:shd w:val="clear"/>
        <w:rPr>
          <w:rFonts w:hint="eastAsia" w:ascii="宋体" w:hAnsi="宋体" w:eastAsia="宋体" w:cs="宋体"/>
          <w:color w:val="auto"/>
          <w:highlight w:val="none"/>
        </w:rPr>
      </w:pPr>
      <w:bookmarkStart w:id="3" w:name="_Toc8674"/>
      <w:bookmarkStart w:id="4" w:name="_Toc3201"/>
      <w:bookmarkStart w:id="5" w:name="_Toc18377"/>
      <w:bookmarkStart w:id="6" w:name="_Toc4593"/>
      <w:r>
        <w:rPr>
          <w:rFonts w:hint="eastAsia" w:ascii="宋体" w:hAnsi="宋体" w:eastAsia="宋体" w:cs="宋体"/>
          <w:color w:val="auto"/>
          <w:highlight w:val="none"/>
        </w:rPr>
        <w:t>第二章  供应商须知</w:t>
      </w:r>
      <w:bookmarkEnd w:id="3"/>
      <w:bookmarkEnd w:id="4"/>
      <w:bookmarkEnd w:id="5"/>
      <w:bookmarkEnd w:id="6"/>
    </w:p>
    <w:p>
      <w:pPr>
        <w:pStyle w:val="4"/>
        <w:shd w:val="clear"/>
        <w:bidi w:val="0"/>
        <w:rPr>
          <w:rFonts w:hint="eastAsia" w:ascii="宋体" w:hAnsi="宋体" w:eastAsia="宋体" w:cs="宋体"/>
          <w:color w:val="auto"/>
          <w:sz w:val="28"/>
          <w:szCs w:val="22"/>
          <w:highlight w:val="none"/>
        </w:rPr>
      </w:pPr>
      <w:bookmarkStart w:id="7" w:name="_Toc518821208"/>
      <w:bookmarkStart w:id="8" w:name="_Toc24366"/>
      <w:bookmarkStart w:id="9" w:name="_Toc926"/>
      <w:bookmarkStart w:id="10" w:name="_Toc9715"/>
      <w:bookmarkStart w:id="11" w:name="_Toc8579"/>
      <w:bookmarkStart w:id="12" w:name="_Toc6896"/>
      <w:r>
        <w:rPr>
          <w:rFonts w:hint="eastAsia" w:ascii="宋体" w:hAnsi="宋体" w:eastAsia="宋体" w:cs="宋体"/>
          <w:color w:val="auto"/>
          <w:sz w:val="28"/>
          <w:szCs w:val="22"/>
          <w:highlight w:val="none"/>
        </w:rPr>
        <w:t>供应商须知前附表</w:t>
      </w:r>
      <w:bookmarkEnd w:id="7"/>
      <w:bookmarkEnd w:id="8"/>
      <w:bookmarkEnd w:id="9"/>
      <w:bookmarkEnd w:id="10"/>
    </w:p>
    <w:tbl>
      <w:tblPr>
        <w:tblStyle w:val="23"/>
        <w:tblW w:w="95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
        <w:gridCol w:w="1584"/>
        <w:gridCol w:w="7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tblHeader/>
          <w:jc w:val="center"/>
        </w:trPr>
        <w:tc>
          <w:tcPr>
            <w:tcW w:w="950" w:type="dxa"/>
            <w:shd w:val="clear" w:color="auto" w:fill="auto"/>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条款号</w:t>
            </w:r>
          </w:p>
        </w:tc>
        <w:tc>
          <w:tcPr>
            <w:tcW w:w="1584" w:type="dxa"/>
            <w:shd w:val="clear" w:color="auto" w:fill="auto"/>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内容</w:t>
            </w:r>
          </w:p>
        </w:tc>
        <w:tc>
          <w:tcPr>
            <w:tcW w:w="7043" w:type="dxa"/>
            <w:shd w:val="clear" w:color="auto" w:fill="auto"/>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0"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1.1.2 </w:t>
            </w:r>
          </w:p>
        </w:tc>
        <w:tc>
          <w:tcPr>
            <w:tcW w:w="1584"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采购人</w:t>
            </w:r>
          </w:p>
        </w:tc>
        <w:tc>
          <w:tcPr>
            <w:tcW w:w="7043" w:type="dxa"/>
            <w:vAlign w:val="center"/>
          </w:tcPr>
          <w:p>
            <w:pPr>
              <w:keepNext w:val="0"/>
              <w:keepLines w:val="0"/>
              <w:pageBreakBefore w:val="0"/>
              <w:shd w:val="clear"/>
              <w:kinsoku/>
              <w:wordWrap/>
              <w:overflowPunct/>
              <w:bidi w:val="0"/>
              <w:spacing w:before="157" w:beforeLines="50" w:after="157" w:afterLines="50" w:line="24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名称：</w:t>
            </w:r>
            <w:r>
              <w:rPr>
                <w:rFonts w:hint="eastAsia" w:ascii="宋体" w:hAnsi="宋体" w:eastAsia="宋体" w:cs="宋体"/>
                <w:color w:val="auto"/>
                <w:sz w:val="21"/>
                <w:szCs w:val="21"/>
                <w:highlight w:val="none"/>
                <w:lang w:eastAsia="zh-CN"/>
              </w:rPr>
              <w:t>铜川市新区第三小学筹建处</w:t>
            </w:r>
          </w:p>
          <w:p>
            <w:pPr>
              <w:keepNext w:val="0"/>
              <w:keepLines w:val="0"/>
              <w:pageBreakBefore w:val="0"/>
              <w:shd w:val="clear"/>
              <w:kinsoku/>
              <w:wordWrap/>
              <w:overflowPunct/>
              <w:bidi w:val="0"/>
              <w:spacing w:before="157" w:beforeLines="50" w:after="157" w:afterLines="50" w:line="24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地址：</w:t>
            </w:r>
            <w:r>
              <w:rPr>
                <w:rFonts w:hint="eastAsia" w:ascii="宋体" w:hAnsi="宋体" w:eastAsia="宋体" w:cs="宋体"/>
                <w:color w:val="auto"/>
                <w:sz w:val="21"/>
                <w:szCs w:val="21"/>
                <w:highlight w:val="none"/>
                <w:lang w:eastAsia="zh-CN"/>
              </w:rPr>
              <w:t>铜川市新区长青南路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950"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1.1.3</w:t>
            </w:r>
          </w:p>
        </w:tc>
        <w:tc>
          <w:tcPr>
            <w:tcW w:w="1584"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采购代理</w:t>
            </w:r>
          </w:p>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机构</w:t>
            </w:r>
          </w:p>
        </w:tc>
        <w:tc>
          <w:tcPr>
            <w:tcW w:w="7043" w:type="dxa"/>
            <w:vAlign w:val="center"/>
          </w:tcPr>
          <w:p>
            <w:pPr>
              <w:keepNext w:val="0"/>
              <w:keepLines w:val="0"/>
              <w:pageBreakBefore w:val="0"/>
              <w:shd w:val="clear"/>
              <w:kinsoku/>
              <w:wordWrap/>
              <w:overflowPunct/>
              <w:bidi w:val="0"/>
              <w:spacing w:before="157" w:beforeLines="50" w:after="157" w:afterLines="50" w:line="24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名  称：</w:t>
            </w:r>
            <w:r>
              <w:rPr>
                <w:rFonts w:hint="eastAsia" w:ascii="宋体" w:hAnsi="宋体" w:eastAsia="宋体" w:cs="宋体"/>
                <w:color w:val="auto"/>
                <w:sz w:val="21"/>
                <w:szCs w:val="21"/>
                <w:highlight w:val="none"/>
                <w:lang w:eastAsia="zh-CN"/>
              </w:rPr>
              <w:t>陕西国中恒工程项目管理有限公司</w:t>
            </w:r>
          </w:p>
          <w:p>
            <w:pPr>
              <w:keepNext w:val="0"/>
              <w:keepLines w:val="0"/>
              <w:pageBreakBefore w:val="0"/>
              <w:shd w:val="clear"/>
              <w:kinsoku/>
              <w:wordWrap/>
              <w:overflowPunct/>
              <w:bidi w:val="0"/>
              <w:spacing w:before="157" w:beforeLines="50" w:after="157" w:afterLines="50" w:line="24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地  址：</w:t>
            </w:r>
            <w:r>
              <w:rPr>
                <w:rFonts w:hint="eastAsia" w:ascii="宋体" w:hAnsi="宋体" w:eastAsia="宋体" w:cs="宋体"/>
                <w:color w:val="auto"/>
                <w:sz w:val="21"/>
                <w:szCs w:val="21"/>
                <w:highlight w:val="none"/>
                <w:lang w:eastAsia="zh-CN"/>
              </w:rPr>
              <w:t>西安市北大街118号宏府大厦A座12F室</w:t>
            </w:r>
          </w:p>
          <w:p>
            <w:pPr>
              <w:keepNext w:val="0"/>
              <w:keepLines w:val="0"/>
              <w:pageBreakBefore w:val="0"/>
              <w:shd w:val="clear"/>
              <w:kinsoku/>
              <w:wordWrap/>
              <w:overflowPunct/>
              <w:bidi w:val="0"/>
              <w:spacing w:before="157" w:beforeLines="50" w:after="157" w:afterLines="50" w:line="24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联系人：</w:t>
            </w:r>
            <w:r>
              <w:rPr>
                <w:rFonts w:hint="eastAsia" w:ascii="宋体" w:hAnsi="宋体" w:eastAsia="宋体" w:cs="宋体"/>
                <w:color w:val="auto"/>
                <w:sz w:val="21"/>
                <w:szCs w:val="21"/>
                <w:highlight w:val="none"/>
                <w:lang w:val="en-US" w:eastAsia="zh-CN"/>
              </w:rPr>
              <w:t>曹工</w:t>
            </w:r>
          </w:p>
          <w:p>
            <w:pPr>
              <w:keepNext w:val="0"/>
              <w:keepLines w:val="0"/>
              <w:pageBreakBefore w:val="0"/>
              <w:shd w:val="clear"/>
              <w:kinsoku/>
              <w:wordWrap/>
              <w:overflowPunct/>
              <w:bidi w:val="0"/>
              <w:spacing w:before="157" w:beforeLines="50" w:after="157" w:afterLines="50" w:line="240" w:lineRule="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电  话：</w:t>
            </w:r>
            <w:r>
              <w:rPr>
                <w:rFonts w:hint="eastAsia" w:ascii="宋体" w:hAnsi="宋体" w:eastAsia="宋体" w:cs="宋体"/>
                <w:color w:val="auto"/>
                <w:sz w:val="21"/>
                <w:szCs w:val="21"/>
                <w:highlight w:val="none"/>
                <w:lang w:eastAsia="zh-CN"/>
              </w:rPr>
              <w:t>029-87385052</w:t>
            </w:r>
            <w:r>
              <w:rPr>
                <w:rFonts w:hint="eastAsia" w:ascii="宋体" w:hAnsi="宋体" w:eastAsia="宋体" w:cs="宋体"/>
                <w:color w:val="auto"/>
                <w:sz w:val="21"/>
                <w:szCs w:val="21"/>
                <w:highlight w:val="none"/>
                <w:lang w:val="en-US" w:eastAsia="zh-CN"/>
              </w:rPr>
              <w:t xml:space="preserve">  13319182095</w:t>
            </w:r>
          </w:p>
          <w:p>
            <w:pPr>
              <w:keepNext w:val="0"/>
              <w:keepLines w:val="0"/>
              <w:pageBreakBefore w:val="0"/>
              <w:shd w:val="clear"/>
              <w:kinsoku/>
              <w:wordWrap/>
              <w:overflowPunct/>
              <w:bidi w:val="0"/>
              <w:spacing w:before="157" w:beforeLines="50" w:after="157" w:afterLines="50" w:line="240" w:lineRule="auto"/>
              <w:rPr>
                <w:rFonts w:hint="eastAsia" w:ascii="宋体" w:hAnsi="宋体" w:eastAsia="宋体" w:cs="宋体"/>
                <w:color w:val="auto"/>
                <w:highlight w:val="none"/>
              </w:rPr>
            </w:pPr>
            <w:r>
              <w:rPr>
                <w:rFonts w:hint="eastAsia" w:ascii="宋体" w:hAnsi="宋体" w:eastAsia="宋体" w:cs="宋体"/>
                <w:color w:val="auto"/>
                <w:sz w:val="21"/>
                <w:szCs w:val="21"/>
                <w:highlight w:val="none"/>
              </w:rPr>
              <w:t>电子邮箱：</w:t>
            </w:r>
            <w:r>
              <w:rPr>
                <w:rFonts w:hint="eastAsia" w:ascii="宋体" w:hAnsi="宋体" w:eastAsia="宋体" w:cs="宋体"/>
                <w:color w:val="auto"/>
                <w:sz w:val="21"/>
                <w:szCs w:val="21"/>
                <w:highlight w:val="none"/>
                <w:lang w:val="en-US" w:eastAsia="zh-CN"/>
              </w:rPr>
              <w:t>guozhongheng00@163.com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0"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1.1.4</w:t>
            </w:r>
          </w:p>
        </w:tc>
        <w:tc>
          <w:tcPr>
            <w:tcW w:w="1584"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采购项目名称</w:t>
            </w:r>
          </w:p>
        </w:tc>
        <w:tc>
          <w:tcPr>
            <w:tcW w:w="7043"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铜川市新区第三小学音乐体育书包柜采购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0"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1.2 </w:t>
            </w:r>
          </w:p>
        </w:tc>
        <w:tc>
          <w:tcPr>
            <w:tcW w:w="1584"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资金来源及落实</w:t>
            </w:r>
          </w:p>
        </w:tc>
        <w:tc>
          <w:tcPr>
            <w:tcW w:w="7043"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ind w:left="17" w:hanging="16" w:hangingChars="8"/>
              <w:textAlignment w:val="baseline"/>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财政拨款，已落实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0" w:type="dxa"/>
            <w:vMerge w:val="restart"/>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1.3.1</w:t>
            </w:r>
          </w:p>
        </w:tc>
        <w:tc>
          <w:tcPr>
            <w:tcW w:w="1584" w:type="dxa"/>
            <w:vMerge w:val="restart"/>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采购内容及质量要求</w:t>
            </w:r>
          </w:p>
        </w:tc>
        <w:tc>
          <w:tcPr>
            <w:tcW w:w="7043"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采购内容：详见第五章“采购需求”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950" w:type="dxa"/>
            <w:vMerge w:val="continue"/>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p>
        </w:tc>
        <w:tc>
          <w:tcPr>
            <w:tcW w:w="1584" w:type="dxa"/>
            <w:vMerge w:val="continue"/>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p>
        </w:tc>
        <w:tc>
          <w:tcPr>
            <w:tcW w:w="7043"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质量要求：</w:t>
            </w:r>
            <w:r>
              <w:rPr>
                <w:rFonts w:hint="eastAsia" w:ascii="宋体" w:hAnsi="宋体" w:eastAsia="宋体" w:cs="宋体"/>
                <w:color w:val="auto"/>
                <w:sz w:val="21"/>
                <w:szCs w:val="21"/>
                <w:highlight w:val="none"/>
                <w:lang w:eastAsia="zh-CN"/>
              </w:rPr>
              <w:t>符合国家、行业及采购人要求标准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0" w:type="dxa"/>
            <w:vMerge w:val="continue"/>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p>
        </w:tc>
        <w:tc>
          <w:tcPr>
            <w:tcW w:w="1584" w:type="dxa"/>
            <w:vMerge w:val="continue"/>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p>
        </w:tc>
        <w:tc>
          <w:tcPr>
            <w:tcW w:w="7043"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rPr>
              <w:t>质保期：</w:t>
            </w:r>
            <w:r>
              <w:rPr>
                <w:rFonts w:hint="eastAsia" w:ascii="宋体" w:hAnsi="宋体" w:eastAsia="宋体" w:cs="宋体"/>
                <w:color w:val="auto"/>
                <w:sz w:val="21"/>
                <w:szCs w:val="21"/>
                <w:highlight w:val="none"/>
                <w:lang w:val="en-US" w:eastAsia="zh-CN"/>
              </w:rPr>
              <w:t>根据各采购标的品类的国家“三包”政策进行质保，最低不少于国家规定的同类产品质保期限。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0"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1.3.2</w:t>
            </w:r>
          </w:p>
        </w:tc>
        <w:tc>
          <w:tcPr>
            <w:tcW w:w="1584"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合同履行期限（交货期）</w:t>
            </w:r>
          </w:p>
        </w:tc>
        <w:tc>
          <w:tcPr>
            <w:tcW w:w="7043"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合同签订后30日历天内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950"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1.4.1</w:t>
            </w:r>
          </w:p>
        </w:tc>
        <w:tc>
          <w:tcPr>
            <w:tcW w:w="1584"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w:t>
            </w:r>
          </w:p>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资质条件</w:t>
            </w:r>
          </w:p>
        </w:tc>
        <w:tc>
          <w:tcPr>
            <w:tcW w:w="7043" w:type="dxa"/>
            <w:vAlign w:val="center"/>
          </w:tcPr>
          <w:p>
            <w:pPr>
              <w:keepNext w:val="0"/>
              <w:keepLines w:val="0"/>
              <w:pageBreakBefore w:val="0"/>
              <w:shd w:val="clear"/>
              <w:kinsoku/>
              <w:wordWrap/>
              <w:overflowPunct/>
              <w:bidi w:val="0"/>
              <w:spacing w:before="157" w:beforeLines="50" w:after="157" w:afterLines="50"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0"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1.9.1</w:t>
            </w:r>
          </w:p>
        </w:tc>
        <w:tc>
          <w:tcPr>
            <w:tcW w:w="1584"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踏勘现场</w:t>
            </w:r>
          </w:p>
        </w:tc>
        <w:tc>
          <w:tcPr>
            <w:tcW w:w="7043"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□组织</w:t>
            </w:r>
          </w:p>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sym w:font="Wingdings 2" w:char="F052"/>
            </w:r>
            <w:r>
              <w:rPr>
                <w:rFonts w:hint="eastAsia" w:ascii="宋体" w:hAnsi="宋体" w:eastAsia="宋体" w:cs="宋体"/>
                <w:color w:val="auto"/>
                <w:sz w:val="21"/>
                <w:szCs w:val="21"/>
                <w:highlight w:val="none"/>
              </w:rPr>
              <w:t>不组织</w:t>
            </w:r>
          </w:p>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说明：采购人不统一组织踏勘，供应商可自行前往现场进行踏勘；供应商应充分了解项目及其它任何足以影响投标和报价的情况，任何因忽视或误解项目情况而导致的费用索赔申请不获批准。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0"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2.2.</w:t>
            </w:r>
            <w:r>
              <w:rPr>
                <w:rFonts w:hint="eastAsia" w:ascii="宋体" w:hAnsi="宋体" w:eastAsia="宋体" w:cs="宋体"/>
                <w:color w:val="auto"/>
                <w:sz w:val="21"/>
                <w:szCs w:val="21"/>
                <w:highlight w:val="none"/>
                <w:lang w:val="en-US" w:eastAsia="zh-CN"/>
              </w:rPr>
              <w:t>4</w:t>
            </w:r>
          </w:p>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highlight w:val="none"/>
                <w:lang w:val="en-US" w:eastAsia="zh-CN"/>
              </w:rPr>
            </w:pPr>
            <w:r>
              <w:rPr>
                <w:rFonts w:hint="eastAsia" w:ascii="宋体" w:hAnsi="宋体" w:eastAsia="宋体" w:cs="宋体"/>
                <w:color w:val="auto"/>
                <w:sz w:val="21"/>
                <w:szCs w:val="21"/>
                <w:highlight w:val="none"/>
                <w:lang w:val="en-US" w:eastAsia="zh-CN"/>
              </w:rPr>
              <w:t>2.3.3</w:t>
            </w:r>
          </w:p>
        </w:tc>
        <w:tc>
          <w:tcPr>
            <w:tcW w:w="1584" w:type="dxa"/>
            <w:vAlign w:val="bottom"/>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w:t>
            </w:r>
            <w:r>
              <w:rPr>
                <w:rFonts w:hint="eastAsia" w:ascii="宋体" w:hAnsi="宋体" w:eastAsia="宋体" w:cs="宋体"/>
                <w:color w:val="auto"/>
                <w:sz w:val="21"/>
                <w:szCs w:val="21"/>
                <w:highlight w:val="none"/>
                <w:lang w:val="en-US" w:eastAsia="zh-CN"/>
              </w:rPr>
              <w:t>确认及</w:t>
            </w:r>
            <w:r>
              <w:rPr>
                <w:rFonts w:hint="eastAsia" w:ascii="宋体" w:hAnsi="宋体" w:eastAsia="宋体" w:cs="宋体"/>
                <w:color w:val="auto"/>
                <w:sz w:val="21"/>
                <w:szCs w:val="21"/>
                <w:highlight w:val="none"/>
              </w:rPr>
              <w:t>回复时间</w:t>
            </w:r>
          </w:p>
        </w:tc>
        <w:tc>
          <w:tcPr>
            <w:tcW w:w="7043" w:type="dxa"/>
            <w:vAlign w:val="center"/>
          </w:tcPr>
          <w:p>
            <w:pPr>
              <w:keepNext w:val="0"/>
              <w:keepLines w:val="0"/>
              <w:pageBreakBefore w:val="0"/>
              <w:shd w:val="clear"/>
              <w:kinsoku/>
              <w:wordWrap/>
              <w:overflowPunct/>
              <w:bidi w:val="0"/>
              <w:spacing w:before="157" w:beforeLines="50" w:after="157" w:afterLines="50"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收到相应澄清</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修改</w:t>
            </w:r>
            <w:r>
              <w:rPr>
                <w:rFonts w:hint="eastAsia" w:ascii="宋体" w:hAnsi="宋体" w:eastAsia="宋体" w:cs="宋体"/>
                <w:color w:val="auto"/>
                <w:sz w:val="21"/>
                <w:szCs w:val="21"/>
                <w:highlight w:val="none"/>
                <w:lang w:eastAsia="zh-CN"/>
              </w:rPr>
              <w:t>或答疑</w:t>
            </w:r>
            <w:r>
              <w:rPr>
                <w:rFonts w:hint="eastAsia" w:ascii="宋体" w:hAnsi="宋体" w:eastAsia="宋体" w:cs="宋体"/>
                <w:color w:val="auto"/>
                <w:sz w:val="21"/>
                <w:szCs w:val="21"/>
                <w:highlight w:val="none"/>
              </w:rPr>
              <w:t>文件1日内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0"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3.3.1</w:t>
            </w:r>
          </w:p>
        </w:tc>
        <w:tc>
          <w:tcPr>
            <w:tcW w:w="1584"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投标</w:t>
            </w:r>
            <w:r>
              <w:rPr>
                <w:rFonts w:hint="eastAsia" w:ascii="宋体" w:hAnsi="宋体" w:eastAsia="宋体" w:cs="宋体"/>
                <w:color w:val="auto"/>
                <w:sz w:val="21"/>
                <w:szCs w:val="21"/>
                <w:highlight w:val="none"/>
              </w:rPr>
              <w:t>有效期</w:t>
            </w:r>
          </w:p>
        </w:tc>
        <w:tc>
          <w:tcPr>
            <w:tcW w:w="7043"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left"/>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自</w:t>
            </w:r>
            <w:r>
              <w:rPr>
                <w:rFonts w:hint="eastAsia" w:ascii="宋体" w:hAnsi="宋体" w:eastAsia="宋体" w:cs="宋体"/>
                <w:color w:val="auto"/>
                <w:sz w:val="21"/>
                <w:szCs w:val="21"/>
                <w:highlight w:val="none"/>
                <w:lang w:val="en-US" w:eastAsia="zh-CN"/>
              </w:rPr>
              <w:t>投标截止</w:t>
            </w:r>
            <w:r>
              <w:rPr>
                <w:rFonts w:hint="eastAsia" w:ascii="宋体" w:hAnsi="宋体" w:eastAsia="宋体" w:cs="宋体"/>
                <w:color w:val="auto"/>
                <w:sz w:val="21"/>
                <w:szCs w:val="21"/>
                <w:highlight w:val="none"/>
              </w:rPr>
              <w:t>时间之日起90日历天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0"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3.4.1</w:t>
            </w:r>
          </w:p>
        </w:tc>
        <w:tc>
          <w:tcPr>
            <w:tcW w:w="1584" w:type="dxa"/>
            <w:vAlign w:val="center"/>
          </w:tcPr>
          <w:p>
            <w:pPr>
              <w:shd w:val="clear"/>
              <w:adjustRightInd w:val="0"/>
              <w:snapToGrid w:val="0"/>
              <w:spacing w:afterLines="50" w:line="240" w:lineRule="auto"/>
              <w:jc w:val="center"/>
              <w:textAlignment w:val="baseline"/>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Cs/>
                <w:color w:val="auto"/>
                <w:sz w:val="21"/>
                <w:szCs w:val="21"/>
                <w:highlight w:val="none"/>
                <w:lang w:eastAsia="zh-CN"/>
              </w:rPr>
              <w:t>投标保证金</w:t>
            </w:r>
          </w:p>
        </w:tc>
        <w:tc>
          <w:tcPr>
            <w:tcW w:w="7043" w:type="dxa"/>
            <w:vAlign w:val="center"/>
          </w:tcPr>
          <w:p>
            <w:pPr>
              <w:shd w:val="clear"/>
              <w:spacing w:beforeLines="30" w:afterLines="50"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投标保证金</w:t>
            </w:r>
            <w:r>
              <w:rPr>
                <w:rFonts w:hint="eastAsia" w:ascii="宋体" w:hAnsi="宋体" w:eastAsia="宋体" w:cs="宋体"/>
                <w:color w:val="auto"/>
                <w:sz w:val="21"/>
                <w:szCs w:val="21"/>
                <w:highlight w:val="none"/>
              </w:rPr>
              <w:t>：</w:t>
            </w:r>
          </w:p>
          <w:p>
            <w:pPr>
              <w:shd w:val="clear"/>
              <w:spacing w:beforeLines="30" w:afterLines="50"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第1包：陆仟元整</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6000.00</w:t>
            </w:r>
            <w:r>
              <w:rPr>
                <w:rFonts w:hint="eastAsia" w:ascii="宋体" w:hAnsi="宋体" w:eastAsia="宋体" w:cs="宋体"/>
                <w:color w:val="auto"/>
                <w:sz w:val="21"/>
                <w:szCs w:val="21"/>
                <w:highlight w:val="none"/>
              </w:rPr>
              <w:t>）</w:t>
            </w:r>
          </w:p>
          <w:p>
            <w:pPr>
              <w:shd w:val="clear"/>
              <w:spacing w:beforeLines="30" w:afterLines="50"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第2包：壹万元整</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10000.00</w:t>
            </w:r>
            <w:r>
              <w:rPr>
                <w:rFonts w:hint="eastAsia" w:ascii="宋体" w:hAnsi="宋体" w:eastAsia="宋体" w:cs="宋体"/>
                <w:color w:val="auto"/>
                <w:sz w:val="21"/>
                <w:szCs w:val="21"/>
                <w:highlight w:val="none"/>
              </w:rPr>
              <w:t>）</w:t>
            </w:r>
          </w:p>
          <w:p>
            <w:pPr>
              <w:shd w:val="clear"/>
              <w:spacing w:beforeLines="30" w:afterLines="50"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第3包：贰万元整</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20000.00</w:t>
            </w:r>
            <w:r>
              <w:rPr>
                <w:rFonts w:hint="eastAsia" w:ascii="宋体" w:hAnsi="宋体" w:eastAsia="宋体" w:cs="宋体"/>
                <w:color w:val="auto"/>
                <w:sz w:val="21"/>
                <w:szCs w:val="21"/>
                <w:highlight w:val="none"/>
              </w:rPr>
              <w:t>）</w:t>
            </w:r>
          </w:p>
          <w:p>
            <w:pPr>
              <w:shd w:val="clear"/>
              <w:spacing w:beforeLines="30" w:afterLines="50"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投标保证金</w:t>
            </w:r>
            <w:r>
              <w:rPr>
                <w:rFonts w:hint="eastAsia" w:ascii="宋体" w:hAnsi="宋体" w:eastAsia="宋体" w:cs="宋体"/>
                <w:color w:val="auto"/>
                <w:sz w:val="21"/>
                <w:szCs w:val="21"/>
                <w:highlight w:val="none"/>
              </w:rPr>
              <w:t>的交纳形式：转账、电汇、保函</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担保</w:t>
            </w:r>
            <w:r>
              <w:rPr>
                <w:rFonts w:hint="eastAsia" w:ascii="宋体" w:hAnsi="宋体" w:eastAsia="宋体" w:cs="宋体"/>
                <w:color w:val="auto"/>
                <w:sz w:val="21"/>
                <w:szCs w:val="21"/>
                <w:highlight w:val="none"/>
              </w:rPr>
              <w:t>。</w:t>
            </w:r>
          </w:p>
          <w:p>
            <w:pPr>
              <w:shd w:val="clear"/>
              <w:spacing w:beforeLines="30" w:afterLines="50"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采用符合陕西省财政厅陕财办采资〔2013〕5号文件规定的支票、</w:t>
            </w:r>
            <w:r>
              <w:rPr>
                <w:rFonts w:hint="eastAsia" w:ascii="宋体" w:hAnsi="宋体" w:eastAsia="宋体" w:cs="宋体"/>
                <w:color w:val="auto"/>
                <w:sz w:val="21"/>
                <w:szCs w:val="21"/>
                <w:highlight w:val="none"/>
                <w:lang w:val="en-US" w:eastAsia="zh-CN"/>
              </w:rPr>
              <w:t>担保、</w:t>
            </w:r>
            <w:r>
              <w:rPr>
                <w:rFonts w:hint="eastAsia" w:ascii="宋体" w:hAnsi="宋体" w:eastAsia="宋体" w:cs="宋体"/>
                <w:color w:val="auto"/>
                <w:sz w:val="21"/>
                <w:szCs w:val="21"/>
                <w:highlight w:val="none"/>
              </w:rPr>
              <w:t>电汇保函、或转账等非现金方式交纳。且在</w:t>
            </w:r>
            <w:r>
              <w:rPr>
                <w:rFonts w:hint="eastAsia" w:ascii="宋体" w:hAnsi="宋体" w:eastAsia="宋体" w:cs="宋体"/>
                <w:color w:val="auto"/>
                <w:sz w:val="21"/>
                <w:szCs w:val="21"/>
                <w:highlight w:val="none"/>
                <w:lang w:eastAsia="zh-CN"/>
              </w:rPr>
              <w:t>投标</w:t>
            </w:r>
            <w:r>
              <w:rPr>
                <w:rFonts w:hint="eastAsia" w:ascii="宋体" w:hAnsi="宋体" w:eastAsia="宋体" w:cs="宋体"/>
                <w:color w:val="auto"/>
                <w:sz w:val="21"/>
                <w:szCs w:val="21"/>
                <w:highlight w:val="none"/>
              </w:rPr>
              <w:t>响应截止时间前到达采购代理机构指定账户。</w:t>
            </w:r>
            <w:r>
              <w:rPr>
                <w:rFonts w:hint="eastAsia" w:ascii="宋体" w:hAnsi="宋体" w:eastAsia="宋体" w:cs="宋体"/>
                <w:color w:val="auto"/>
                <w:sz w:val="21"/>
                <w:szCs w:val="21"/>
                <w:highlight w:val="none"/>
                <w:lang w:eastAsia="zh-CN"/>
              </w:rPr>
              <w:t>投标保证金</w:t>
            </w:r>
            <w:r>
              <w:rPr>
                <w:rFonts w:hint="eastAsia" w:ascii="宋体" w:hAnsi="宋体" w:eastAsia="宋体" w:cs="宋体"/>
                <w:color w:val="auto"/>
                <w:sz w:val="21"/>
                <w:szCs w:val="21"/>
                <w:highlight w:val="none"/>
              </w:rPr>
              <w:t>的有效期与</w:t>
            </w:r>
            <w:r>
              <w:rPr>
                <w:rFonts w:hint="eastAsia" w:ascii="宋体" w:hAnsi="宋体" w:eastAsia="宋体" w:cs="宋体"/>
                <w:color w:val="auto"/>
                <w:sz w:val="21"/>
                <w:szCs w:val="21"/>
                <w:highlight w:val="none"/>
                <w:lang w:eastAsia="zh-CN"/>
              </w:rPr>
              <w:t>投标</w:t>
            </w:r>
            <w:r>
              <w:rPr>
                <w:rFonts w:hint="eastAsia" w:ascii="宋体" w:hAnsi="宋体" w:eastAsia="宋体" w:cs="宋体"/>
                <w:color w:val="auto"/>
                <w:sz w:val="21"/>
                <w:szCs w:val="21"/>
                <w:highlight w:val="none"/>
              </w:rPr>
              <w:t>有效期一致。担保机构出具的保函的有效期为</w:t>
            </w:r>
            <w:r>
              <w:rPr>
                <w:rFonts w:hint="eastAsia" w:ascii="宋体" w:hAnsi="宋体" w:eastAsia="宋体" w:cs="宋体"/>
                <w:color w:val="auto"/>
                <w:sz w:val="21"/>
                <w:szCs w:val="21"/>
                <w:highlight w:val="none"/>
                <w:lang w:eastAsia="zh-CN"/>
              </w:rPr>
              <w:t>投标</w:t>
            </w:r>
            <w:r>
              <w:rPr>
                <w:rFonts w:hint="eastAsia" w:ascii="宋体" w:hAnsi="宋体" w:eastAsia="宋体" w:cs="宋体"/>
                <w:color w:val="auto"/>
                <w:sz w:val="21"/>
                <w:szCs w:val="21"/>
                <w:highlight w:val="none"/>
              </w:rPr>
              <w:t>有效期延长一个月。</w:t>
            </w:r>
          </w:p>
          <w:p>
            <w:pPr>
              <w:shd w:val="clear"/>
              <w:spacing w:beforeLines="30" w:afterLines="50"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供应商以银行转账、电汇形式交纳</w:t>
            </w:r>
            <w:r>
              <w:rPr>
                <w:rFonts w:hint="eastAsia" w:ascii="宋体" w:hAnsi="宋体" w:eastAsia="宋体" w:cs="宋体"/>
                <w:color w:val="auto"/>
                <w:sz w:val="21"/>
                <w:szCs w:val="21"/>
                <w:highlight w:val="none"/>
                <w:lang w:eastAsia="zh-CN"/>
              </w:rPr>
              <w:t>投标保证金</w:t>
            </w:r>
            <w:r>
              <w:rPr>
                <w:rFonts w:hint="eastAsia" w:ascii="宋体" w:hAnsi="宋体" w:eastAsia="宋体" w:cs="宋体"/>
                <w:color w:val="auto"/>
                <w:sz w:val="21"/>
                <w:szCs w:val="21"/>
                <w:highlight w:val="none"/>
              </w:rPr>
              <w:t>的，须从基本账户转出，并且在</w:t>
            </w:r>
            <w:r>
              <w:rPr>
                <w:rFonts w:hint="eastAsia" w:ascii="宋体" w:hAnsi="宋体" w:eastAsia="宋体" w:cs="宋体"/>
                <w:color w:val="auto"/>
                <w:sz w:val="21"/>
                <w:szCs w:val="21"/>
                <w:highlight w:val="none"/>
                <w:lang w:eastAsia="zh-CN"/>
              </w:rPr>
              <w:t>投标</w:t>
            </w:r>
            <w:r>
              <w:rPr>
                <w:rFonts w:hint="eastAsia" w:ascii="宋体" w:hAnsi="宋体" w:eastAsia="宋体" w:cs="宋体"/>
                <w:color w:val="auto"/>
                <w:sz w:val="21"/>
                <w:szCs w:val="21"/>
                <w:highlight w:val="none"/>
              </w:rPr>
              <w:t>响应文件递交截止前到达采购代理机构指定账户。保证金到达采购代理机构指定账户后，将</w:t>
            </w:r>
            <w:r>
              <w:rPr>
                <w:rFonts w:hint="eastAsia" w:ascii="宋体" w:hAnsi="宋体" w:eastAsia="宋体" w:cs="宋体"/>
                <w:color w:val="auto"/>
                <w:sz w:val="21"/>
                <w:szCs w:val="21"/>
                <w:highlight w:val="none"/>
                <w:lang w:eastAsia="zh-CN"/>
              </w:rPr>
              <w:t>投标保证金</w:t>
            </w:r>
            <w:r>
              <w:rPr>
                <w:rFonts w:hint="eastAsia" w:ascii="宋体" w:hAnsi="宋体" w:eastAsia="宋体" w:cs="宋体"/>
                <w:color w:val="auto"/>
                <w:sz w:val="21"/>
                <w:szCs w:val="21"/>
                <w:highlight w:val="none"/>
              </w:rPr>
              <w:t>缴纳凭证复印件粘贴于</w:t>
            </w:r>
            <w:r>
              <w:rPr>
                <w:rFonts w:hint="eastAsia" w:ascii="宋体" w:hAnsi="宋体" w:eastAsia="宋体" w:cs="宋体"/>
                <w:color w:val="auto"/>
                <w:sz w:val="21"/>
                <w:szCs w:val="21"/>
                <w:highlight w:val="none"/>
                <w:lang w:eastAsia="zh-CN"/>
              </w:rPr>
              <w:t>投标</w:t>
            </w:r>
            <w:r>
              <w:rPr>
                <w:rFonts w:hint="eastAsia" w:ascii="宋体" w:hAnsi="宋体" w:eastAsia="宋体" w:cs="宋体"/>
                <w:color w:val="auto"/>
                <w:sz w:val="21"/>
                <w:szCs w:val="21"/>
                <w:highlight w:val="none"/>
              </w:rPr>
              <w:t>响应文件规定处。</w:t>
            </w:r>
          </w:p>
          <w:p>
            <w:pPr>
              <w:shd w:val="clear"/>
              <w:spacing w:beforeLines="30" w:afterLines="50"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供应商以保函形式缴纳</w:t>
            </w:r>
            <w:r>
              <w:rPr>
                <w:rFonts w:hint="eastAsia" w:ascii="宋体" w:hAnsi="宋体" w:eastAsia="宋体" w:cs="宋体"/>
                <w:color w:val="auto"/>
                <w:sz w:val="21"/>
                <w:szCs w:val="21"/>
                <w:highlight w:val="none"/>
                <w:lang w:eastAsia="zh-CN"/>
              </w:rPr>
              <w:t>投标保证金</w:t>
            </w:r>
            <w:r>
              <w:rPr>
                <w:rFonts w:hint="eastAsia" w:ascii="宋体" w:hAnsi="宋体" w:eastAsia="宋体" w:cs="宋体"/>
                <w:color w:val="auto"/>
                <w:sz w:val="21"/>
                <w:szCs w:val="21"/>
                <w:highlight w:val="none"/>
              </w:rPr>
              <w:t>的，须在</w:t>
            </w:r>
            <w:r>
              <w:rPr>
                <w:rFonts w:hint="eastAsia" w:ascii="宋体" w:hAnsi="宋体" w:eastAsia="宋体" w:cs="宋体"/>
                <w:color w:val="auto"/>
                <w:sz w:val="21"/>
                <w:szCs w:val="21"/>
                <w:highlight w:val="none"/>
                <w:lang w:eastAsia="zh-CN"/>
              </w:rPr>
              <w:t>投标</w:t>
            </w:r>
            <w:r>
              <w:rPr>
                <w:rFonts w:hint="eastAsia" w:ascii="宋体" w:hAnsi="宋体" w:eastAsia="宋体" w:cs="宋体"/>
                <w:color w:val="auto"/>
                <w:sz w:val="21"/>
                <w:szCs w:val="21"/>
                <w:highlight w:val="none"/>
              </w:rPr>
              <w:t>响应文件递交截止时间前将担保机构保函正本原件提交至采购代理机构备案，并将保函正本复印件附在</w:t>
            </w:r>
            <w:r>
              <w:rPr>
                <w:rFonts w:hint="eastAsia" w:ascii="宋体" w:hAnsi="宋体" w:eastAsia="宋体" w:cs="宋体"/>
                <w:color w:val="auto"/>
                <w:sz w:val="21"/>
                <w:szCs w:val="21"/>
                <w:highlight w:val="none"/>
                <w:lang w:eastAsia="zh-CN"/>
              </w:rPr>
              <w:t>投标</w:t>
            </w:r>
            <w:r>
              <w:rPr>
                <w:rFonts w:hint="eastAsia" w:ascii="宋体" w:hAnsi="宋体" w:eastAsia="宋体" w:cs="宋体"/>
                <w:color w:val="auto"/>
                <w:sz w:val="21"/>
                <w:szCs w:val="21"/>
                <w:highlight w:val="none"/>
              </w:rPr>
              <w:t>响应文件规定处。</w:t>
            </w:r>
          </w:p>
          <w:p>
            <w:pPr>
              <w:shd w:val="clear"/>
              <w:spacing w:beforeLines="30" w:afterLines="50" w:line="240" w:lineRule="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账户名称：</w:t>
            </w:r>
            <w:r>
              <w:rPr>
                <w:rFonts w:hint="eastAsia" w:ascii="宋体" w:hAnsi="宋体" w:eastAsia="宋体" w:cs="宋体"/>
                <w:color w:val="auto"/>
                <w:sz w:val="21"/>
                <w:szCs w:val="21"/>
                <w:highlight w:val="none"/>
                <w:lang w:eastAsia="zh-CN"/>
              </w:rPr>
              <w:t>陕西国中恒工程项目管理有限公司</w:t>
            </w:r>
          </w:p>
          <w:p>
            <w:pPr>
              <w:shd w:val="clear"/>
              <w:spacing w:beforeLines="30" w:afterLines="50"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账号：61050171110000001138</w:t>
            </w:r>
          </w:p>
          <w:p>
            <w:pPr>
              <w:shd w:val="clear"/>
              <w:spacing w:beforeLines="30" w:afterLines="50"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开户行：中国建设银行股份有限公司西安莲湖路支行</w:t>
            </w:r>
          </w:p>
          <w:p>
            <w:pPr>
              <w:shd w:val="clear"/>
              <w:spacing w:beforeLines="30" w:afterLines="50" w:line="240" w:lineRule="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b/>
                <w:bCs/>
                <w:color w:val="auto"/>
                <w:sz w:val="21"/>
                <w:szCs w:val="21"/>
                <w:highlight w:val="none"/>
              </w:rPr>
              <w:t>转账事由：</w:t>
            </w:r>
            <w:r>
              <w:rPr>
                <w:rFonts w:hint="eastAsia" w:ascii="宋体" w:hAnsi="宋体" w:eastAsia="宋体" w:cs="宋体"/>
                <w:b/>
                <w:bCs/>
                <w:color w:val="auto"/>
                <w:sz w:val="21"/>
                <w:szCs w:val="21"/>
                <w:highlight w:val="none"/>
                <w:lang w:eastAsia="zh-CN"/>
              </w:rPr>
              <w:t>铜川市新区第三小学音乐体育书包柜采购</w:t>
            </w:r>
            <w:r>
              <w:rPr>
                <w:rFonts w:hint="eastAsia" w:ascii="宋体" w:hAnsi="宋体" w:eastAsia="宋体" w:cs="宋体"/>
                <w:b/>
                <w:bCs/>
                <w:color w:val="auto"/>
                <w:sz w:val="21"/>
                <w:szCs w:val="21"/>
                <w:highlight w:val="none"/>
                <w:lang w:val="en-US" w:eastAsia="zh-CN"/>
              </w:rPr>
              <w:t>第</w:t>
            </w:r>
            <w:r>
              <w:rPr>
                <w:rFonts w:hint="eastAsia" w:ascii="宋体" w:hAnsi="宋体" w:eastAsia="宋体" w:cs="宋体"/>
                <w:b/>
                <w:bCs/>
                <w:color w:val="auto"/>
                <w:sz w:val="21"/>
                <w:szCs w:val="21"/>
                <w:highlight w:val="none"/>
                <w:u w:val="single"/>
                <w:lang w:val="en-US" w:eastAsia="zh-CN"/>
              </w:rPr>
              <w:t xml:space="preserve">   </w:t>
            </w:r>
            <w:r>
              <w:rPr>
                <w:rFonts w:hint="eastAsia" w:ascii="宋体" w:hAnsi="宋体" w:eastAsia="宋体" w:cs="宋体"/>
                <w:b/>
                <w:bCs/>
                <w:color w:val="auto"/>
                <w:sz w:val="21"/>
                <w:szCs w:val="21"/>
                <w:highlight w:val="none"/>
                <w:u w:val="none"/>
                <w:lang w:val="en-US" w:eastAsia="zh-CN"/>
              </w:rPr>
              <w:t>包</w:t>
            </w:r>
            <w:r>
              <w:rPr>
                <w:rFonts w:hint="eastAsia" w:ascii="宋体" w:hAnsi="宋体" w:eastAsia="宋体" w:cs="宋体"/>
                <w:b/>
                <w:bCs/>
                <w:color w:val="auto"/>
                <w:sz w:val="21"/>
                <w:szCs w:val="21"/>
                <w:highlight w:val="none"/>
                <w:lang w:eastAsia="zh-CN"/>
              </w:rPr>
              <w:t>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0"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3.7.3</w:t>
            </w:r>
          </w:p>
        </w:tc>
        <w:tc>
          <w:tcPr>
            <w:tcW w:w="1584"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签字或盖章要求</w:t>
            </w:r>
          </w:p>
        </w:tc>
        <w:tc>
          <w:tcPr>
            <w:tcW w:w="7043"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根据招标文件要求加盖供应商公章和法人印章或签字或授权代表签字。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0" w:type="dxa"/>
            <w:vMerge w:val="restart"/>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3.7.4 </w:t>
            </w:r>
          </w:p>
        </w:tc>
        <w:tc>
          <w:tcPr>
            <w:tcW w:w="1584"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投标文件数量</w:t>
            </w:r>
          </w:p>
        </w:tc>
        <w:tc>
          <w:tcPr>
            <w:tcW w:w="7043" w:type="dxa"/>
            <w:vAlign w:val="center"/>
          </w:tcPr>
          <w:p>
            <w:pPr>
              <w:keepNext w:val="0"/>
              <w:keepLines w:val="0"/>
              <w:pageBreakBefore w:val="0"/>
              <w:shd w:val="clear"/>
              <w:kinsoku/>
              <w:wordWrap/>
              <w:overflowPunct/>
              <w:bidi w:val="0"/>
              <w:spacing w:before="157" w:beforeLines="50" w:after="157" w:afterLines="50" w:line="240" w:lineRule="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u w:val="single"/>
              </w:rPr>
              <w:t>壹</w:t>
            </w:r>
            <w:r>
              <w:rPr>
                <w:rFonts w:hint="eastAsia" w:ascii="宋体" w:hAnsi="宋体" w:eastAsia="宋体" w:cs="宋体"/>
                <w:b/>
                <w:bCs/>
                <w:color w:val="auto"/>
                <w:sz w:val="21"/>
                <w:szCs w:val="21"/>
                <w:highlight w:val="none"/>
              </w:rPr>
              <w:t>正</w:t>
            </w:r>
            <w:r>
              <w:rPr>
                <w:rFonts w:hint="eastAsia" w:ascii="宋体" w:hAnsi="宋体" w:eastAsia="宋体" w:cs="宋体"/>
                <w:b/>
                <w:bCs/>
                <w:color w:val="auto"/>
                <w:sz w:val="21"/>
                <w:szCs w:val="21"/>
                <w:highlight w:val="none"/>
                <w:u w:val="single"/>
              </w:rPr>
              <w:t>贰</w:t>
            </w:r>
            <w:r>
              <w:rPr>
                <w:rFonts w:hint="eastAsia" w:ascii="宋体" w:hAnsi="宋体" w:eastAsia="宋体" w:cs="宋体"/>
                <w:b/>
                <w:bCs/>
                <w:color w:val="auto"/>
                <w:sz w:val="21"/>
                <w:szCs w:val="21"/>
                <w:highlight w:val="none"/>
              </w:rPr>
              <w:t>副，电子文件（U盘）</w:t>
            </w:r>
            <w:r>
              <w:rPr>
                <w:rFonts w:hint="eastAsia" w:ascii="宋体" w:hAnsi="宋体" w:eastAsia="宋体" w:cs="宋体"/>
                <w:b/>
                <w:bCs/>
                <w:color w:val="auto"/>
                <w:sz w:val="21"/>
                <w:szCs w:val="21"/>
                <w:highlight w:val="none"/>
                <w:lang w:val="en-US" w:eastAsia="zh-CN"/>
              </w:rPr>
              <w:t>壹</w:t>
            </w:r>
            <w:r>
              <w:rPr>
                <w:rFonts w:hint="eastAsia" w:ascii="宋体" w:hAnsi="宋体" w:eastAsia="宋体" w:cs="宋体"/>
                <w:b/>
                <w:bCs/>
                <w:color w:val="auto"/>
                <w:sz w:val="21"/>
                <w:szCs w:val="21"/>
                <w:highlight w:val="none"/>
              </w:rPr>
              <w:t>份</w:t>
            </w:r>
            <w:r>
              <w:rPr>
                <w:rFonts w:hint="eastAsia" w:ascii="宋体" w:hAnsi="宋体" w:eastAsia="宋体" w:cs="宋体"/>
                <w:color w:val="auto"/>
                <w:sz w:val="21"/>
                <w:szCs w:val="21"/>
                <w:highlight w:val="none"/>
              </w:rPr>
              <w:t>（电子版投标文件必须与正本完全一致，电子版包括：1.word版投标文件；2.投标文件正本签字盖章后的PDF格式扫描件。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0" w:type="dxa"/>
            <w:vMerge w:val="continue"/>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p>
        </w:tc>
        <w:tc>
          <w:tcPr>
            <w:tcW w:w="1584"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投标文件（纸质版）装订</w:t>
            </w:r>
          </w:p>
        </w:tc>
        <w:tc>
          <w:tcPr>
            <w:tcW w:w="7043" w:type="dxa"/>
            <w:vAlign w:val="center"/>
          </w:tcPr>
          <w:p>
            <w:pPr>
              <w:keepNext w:val="0"/>
              <w:keepLines w:val="0"/>
              <w:pageBreakBefore w:val="0"/>
              <w:shd w:val="clear"/>
              <w:kinsoku/>
              <w:wordWrap/>
              <w:overflowPunct/>
              <w:autoSpaceDE w:val="0"/>
              <w:autoSpaceDN w:val="0"/>
              <w:bidi w:val="0"/>
              <w:adjustRightInd w:val="0"/>
              <w:spacing w:before="157" w:beforeLines="50" w:after="157" w:afterLines="50" w:line="240"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投标文件（纸质版）</w:t>
            </w:r>
            <w:r>
              <w:rPr>
                <w:rFonts w:hint="eastAsia" w:ascii="宋体" w:hAnsi="宋体" w:eastAsia="宋体" w:cs="宋体"/>
                <w:b/>
                <w:bCs/>
                <w:color w:val="auto"/>
                <w:sz w:val="21"/>
                <w:szCs w:val="21"/>
                <w:highlight w:val="none"/>
                <w:lang w:val="en-US" w:eastAsia="zh-CN"/>
              </w:rPr>
              <w:t>连续编码并</w:t>
            </w:r>
            <w:r>
              <w:rPr>
                <w:rFonts w:hint="eastAsia" w:ascii="宋体" w:hAnsi="宋体" w:eastAsia="宋体" w:cs="宋体"/>
                <w:b/>
                <w:bCs/>
                <w:color w:val="auto"/>
                <w:sz w:val="21"/>
                <w:szCs w:val="21"/>
                <w:highlight w:val="none"/>
              </w:rPr>
              <w:t>牢固装订成册，不可插页抽页。</w:t>
            </w:r>
          </w:p>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牢固装订成册是指书脊涂有胶粘剂以保证投标文件不至于散开或用简单办法不能将任何一页在没有任何损坏的情况下取出或插入。各种用活页夹、文件夹、塑料方便式书脊（插入式或穿孔式）装订均不认为是牢固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0"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3.8.2</w:t>
            </w:r>
          </w:p>
        </w:tc>
        <w:tc>
          <w:tcPr>
            <w:tcW w:w="1584"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封套上写明</w:t>
            </w:r>
          </w:p>
        </w:tc>
        <w:tc>
          <w:tcPr>
            <w:tcW w:w="7043" w:type="dxa"/>
            <w:vAlign w:val="center"/>
          </w:tcPr>
          <w:p>
            <w:pPr>
              <w:keepNext w:val="0"/>
              <w:keepLines w:val="0"/>
              <w:pageBreakBefore w:val="0"/>
              <w:shd w:val="clear"/>
              <w:kinsoku/>
              <w:wordWrap/>
              <w:overflowPunct/>
              <w:bidi w:val="0"/>
              <w:spacing w:before="157" w:beforeLines="50" w:after="157" w:afterLines="50"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投标文件密封袋上应注明下列识别标志：</w:t>
            </w:r>
          </w:p>
          <w:p>
            <w:pPr>
              <w:keepNext w:val="0"/>
              <w:keepLines w:val="0"/>
              <w:pageBreakBefore w:val="0"/>
              <w:shd w:val="clear"/>
              <w:tabs>
                <w:tab w:val="left" w:pos="900"/>
                <w:tab w:val="left" w:pos="1320"/>
              </w:tabs>
              <w:kinsoku/>
              <w:wordWrap/>
              <w:overflowPunct/>
              <w:bidi w:val="0"/>
              <w:spacing w:before="157" w:beforeLines="50" w:after="157" w:afterLines="50"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采购项目编号：</w:t>
            </w:r>
          </w:p>
          <w:p>
            <w:pPr>
              <w:keepNext w:val="0"/>
              <w:keepLines w:val="0"/>
              <w:pageBreakBefore w:val="0"/>
              <w:shd w:val="clear"/>
              <w:tabs>
                <w:tab w:val="left" w:pos="900"/>
                <w:tab w:val="left" w:pos="1320"/>
              </w:tabs>
              <w:kinsoku/>
              <w:wordWrap/>
              <w:overflowPunct/>
              <w:bidi w:val="0"/>
              <w:spacing w:before="157" w:beforeLines="50" w:after="157" w:afterLines="50"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采购项目名称：</w:t>
            </w:r>
          </w:p>
          <w:p>
            <w:pPr>
              <w:keepNext w:val="0"/>
              <w:keepLines w:val="0"/>
              <w:pageBreakBefore w:val="0"/>
              <w:shd w:val="clear"/>
              <w:tabs>
                <w:tab w:val="left" w:pos="900"/>
                <w:tab w:val="left" w:pos="1320"/>
              </w:tabs>
              <w:kinsoku/>
              <w:wordWrap/>
              <w:overflowPunct/>
              <w:bidi w:val="0"/>
              <w:spacing w:before="157" w:beforeLines="50" w:after="157" w:afterLines="50"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供应商的名称：</w:t>
            </w:r>
          </w:p>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密封袋的封口处注明      年   月   日    时    分以前不得开封。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0"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3.9.1</w:t>
            </w:r>
          </w:p>
        </w:tc>
        <w:tc>
          <w:tcPr>
            <w:tcW w:w="1584"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投标文件递交截止时间/开标时间</w:t>
            </w:r>
          </w:p>
        </w:tc>
        <w:tc>
          <w:tcPr>
            <w:tcW w:w="7043"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以本项目招标公告中约定时间为准。如有变更，以“陕西省政府采购网”变更公告中约定时间为准。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0"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3.9.2</w:t>
            </w:r>
          </w:p>
        </w:tc>
        <w:tc>
          <w:tcPr>
            <w:tcW w:w="1584"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递交投标文件的地点</w:t>
            </w:r>
          </w:p>
        </w:tc>
        <w:tc>
          <w:tcPr>
            <w:tcW w:w="7043"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以本项目招标公告中约定地点为准。如有变更，以“陕西省政府采购网”变更公告中约定地点为准。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0"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3.9.3</w:t>
            </w:r>
          </w:p>
        </w:tc>
        <w:tc>
          <w:tcPr>
            <w:tcW w:w="1584"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是否退还</w:t>
            </w:r>
          </w:p>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w:t>
            </w:r>
          </w:p>
        </w:tc>
        <w:tc>
          <w:tcPr>
            <w:tcW w:w="7043" w:type="dxa"/>
            <w:vAlign w:val="center"/>
          </w:tcPr>
          <w:p>
            <w:pPr>
              <w:pStyle w:val="11"/>
              <w:keepNext w:val="0"/>
              <w:keepLines w:val="0"/>
              <w:pageBreakBefore w:val="0"/>
              <w:shd w:val="clear"/>
              <w:kinsoku/>
              <w:wordWrap/>
              <w:overflowPunct/>
              <w:topLine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sym w:font="Wingdings 2" w:char="F052"/>
            </w:r>
            <w:r>
              <w:rPr>
                <w:rFonts w:hint="eastAsia" w:ascii="宋体" w:hAnsi="宋体" w:eastAsia="宋体" w:cs="宋体"/>
                <w:color w:val="auto"/>
                <w:sz w:val="21"/>
                <w:szCs w:val="21"/>
                <w:highlight w:val="none"/>
              </w:rPr>
              <w:t>否</w:t>
            </w:r>
          </w:p>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0"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w:t>
            </w:r>
          </w:p>
        </w:tc>
        <w:tc>
          <w:tcPr>
            <w:tcW w:w="1584"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开标时间和地点</w:t>
            </w:r>
          </w:p>
        </w:tc>
        <w:tc>
          <w:tcPr>
            <w:tcW w:w="7043"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开标时间：同</w:t>
            </w:r>
            <w:r>
              <w:rPr>
                <w:rFonts w:hint="eastAsia" w:ascii="宋体" w:hAnsi="宋体" w:eastAsia="宋体" w:cs="宋体"/>
                <w:color w:val="auto"/>
                <w:sz w:val="21"/>
                <w:szCs w:val="21"/>
                <w:highlight w:val="none"/>
                <w:lang w:val="en-US" w:eastAsia="zh-CN"/>
              </w:rPr>
              <w:t>投标</w:t>
            </w:r>
            <w:r>
              <w:rPr>
                <w:rFonts w:hint="eastAsia" w:ascii="宋体" w:hAnsi="宋体" w:eastAsia="宋体" w:cs="宋体"/>
                <w:color w:val="auto"/>
                <w:sz w:val="21"/>
                <w:szCs w:val="21"/>
                <w:highlight w:val="none"/>
              </w:rPr>
              <w:t>文件递交地点</w:t>
            </w:r>
          </w:p>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开标地点：同递交投标文件的地点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0"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4.3.1</w:t>
            </w:r>
          </w:p>
        </w:tc>
        <w:tc>
          <w:tcPr>
            <w:tcW w:w="1584"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评标委员会的组建</w:t>
            </w:r>
          </w:p>
        </w:tc>
        <w:tc>
          <w:tcPr>
            <w:tcW w:w="7043"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评标委员会构成：由5人或以上单数组成；</w:t>
            </w:r>
          </w:p>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评标专家确定方式：陕西省政府采购专家库随机抽取4人及采购人代表1人组成。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0" w:type="dxa"/>
            <w:vMerge w:val="restart"/>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5.1</w:t>
            </w:r>
          </w:p>
        </w:tc>
        <w:tc>
          <w:tcPr>
            <w:tcW w:w="1584"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评审方法</w:t>
            </w:r>
          </w:p>
        </w:tc>
        <w:tc>
          <w:tcPr>
            <w:tcW w:w="7043"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0" w:type="dxa"/>
            <w:vMerge w:val="continue"/>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p>
        </w:tc>
        <w:tc>
          <w:tcPr>
            <w:tcW w:w="1584"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特殊情况处理</w:t>
            </w:r>
          </w:p>
        </w:tc>
        <w:tc>
          <w:tcPr>
            <w:tcW w:w="7043"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有效供应商不足三家的，按照《政府采购招标投标管理暂行办法》等有关规定本次采购活动终止重新组织采购(除第七章第4条外)。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0" w:type="dxa"/>
            <w:vMerge w:val="continue"/>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p>
        </w:tc>
        <w:tc>
          <w:tcPr>
            <w:tcW w:w="1584"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是否授权评标委员会确定中标人</w:t>
            </w:r>
          </w:p>
        </w:tc>
        <w:tc>
          <w:tcPr>
            <w:tcW w:w="7043"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w:t>
            </w:r>
          </w:p>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sym w:font="Wingdings 2" w:char="F052"/>
            </w:r>
            <w:r>
              <w:rPr>
                <w:rFonts w:hint="eastAsia" w:ascii="宋体" w:hAnsi="宋体" w:eastAsia="宋体" w:cs="宋体"/>
                <w:color w:val="auto"/>
                <w:sz w:val="21"/>
                <w:szCs w:val="21"/>
                <w:highlight w:val="none"/>
              </w:rPr>
              <w:t>否，推荐的中标候选供应商数：3个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950"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8.1</w:t>
            </w:r>
          </w:p>
        </w:tc>
        <w:tc>
          <w:tcPr>
            <w:tcW w:w="1584"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采购代理服务费</w:t>
            </w:r>
          </w:p>
        </w:tc>
        <w:tc>
          <w:tcPr>
            <w:tcW w:w="7043"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ind w:firstLine="210" w:firstLineChars="100"/>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供应商向采购代理机构缴纳采购代理服务费，采购代理服务费的收取参见国家计委颁布的《招标代理服务收费管理暂行办法》（计价格[2002]1980号）和国家发展改革委员会办公厅颁发的《关于招标代理服务收费有关问题的通知》（发改办价格[2003]857号）的有关规定执行。</w:t>
            </w:r>
          </w:p>
          <w:p>
            <w:pPr>
              <w:keepNext w:val="0"/>
              <w:keepLines w:val="0"/>
              <w:pageBreakBefore w:val="0"/>
              <w:shd w:val="clear"/>
              <w:kinsoku/>
              <w:wordWrap/>
              <w:overflowPunct/>
              <w:bidi w:val="0"/>
              <w:adjustRightInd w:val="0"/>
              <w:snapToGrid w:val="0"/>
              <w:spacing w:before="157" w:beforeLines="50" w:after="157" w:afterLines="50" w:line="240" w:lineRule="auto"/>
              <w:ind w:firstLine="210" w:firstLineChars="100"/>
              <w:textAlignment w:val="baseline"/>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采购代理服务费应计入投标报价中，但不需要单独开列。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77" w:type="dxa"/>
            <w:gridSpan w:val="3"/>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9.需要补充的其他内容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0"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9.6</w:t>
            </w:r>
          </w:p>
        </w:tc>
        <w:tc>
          <w:tcPr>
            <w:tcW w:w="1584"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是否允许递交备选</w:t>
            </w:r>
            <w:r>
              <w:rPr>
                <w:rFonts w:hint="eastAsia" w:ascii="宋体" w:hAnsi="宋体" w:eastAsia="宋体" w:cs="宋体"/>
                <w:color w:val="auto"/>
                <w:sz w:val="21"/>
                <w:szCs w:val="21"/>
                <w:highlight w:val="none"/>
                <w:lang w:val="en-US" w:eastAsia="zh-CN"/>
              </w:rPr>
              <w:t>投标方</w:t>
            </w:r>
            <w:r>
              <w:rPr>
                <w:rFonts w:hint="eastAsia" w:ascii="宋体" w:hAnsi="宋体" w:eastAsia="宋体" w:cs="宋体"/>
                <w:color w:val="auto"/>
                <w:sz w:val="21"/>
                <w:szCs w:val="21"/>
                <w:highlight w:val="none"/>
              </w:rPr>
              <w:t>案</w:t>
            </w:r>
          </w:p>
        </w:tc>
        <w:tc>
          <w:tcPr>
            <w:tcW w:w="7043" w:type="dxa"/>
            <w:vAlign w:val="center"/>
          </w:tcPr>
          <w:p>
            <w:pPr>
              <w:pStyle w:val="11"/>
              <w:keepNext w:val="0"/>
              <w:keepLines w:val="0"/>
              <w:pageBreakBefore w:val="0"/>
              <w:shd w:val="clear"/>
              <w:kinsoku/>
              <w:wordWrap/>
              <w:overflowPunct/>
              <w:topLine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sym w:font="Wingdings 2" w:char="F052"/>
            </w:r>
            <w:r>
              <w:rPr>
                <w:rFonts w:hint="eastAsia" w:ascii="宋体" w:hAnsi="宋体" w:eastAsia="宋体" w:cs="宋体"/>
                <w:color w:val="auto"/>
                <w:sz w:val="21"/>
                <w:szCs w:val="21"/>
                <w:highlight w:val="none"/>
              </w:rPr>
              <w:t>不允许</w:t>
            </w:r>
          </w:p>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50"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9.7</w:t>
            </w:r>
          </w:p>
        </w:tc>
        <w:tc>
          <w:tcPr>
            <w:tcW w:w="1584"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jc w:val="center"/>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质疑提出与答复</w:t>
            </w:r>
          </w:p>
        </w:tc>
        <w:tc>
          <w:tcPr>
            <w:tcW w:w="7043" w:type="dxa"/>
            <w:vAlign w:val="center"/>
          </w:tcPr>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供应商认为招标文件、采购过程、中标或者中标结果使自己的权益受到损害的，可以在知道或者应知其权益受到损害之日起7个工作日内，以书面形式向采购人、采购代理机构提出质疑。 </w:t>
            </w:r>
          </w:p>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质疑注意事项：</w:t>
            </w:r>
          </w:p>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1、供应商必须在法定质疑期内一次性提出针对同一采购程序环节的质疑，否则采购人及采购代理机构有权拒绝。 </w:t>
            </w:r>
          </w:p>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2、潜在供应商已依法获取其可质疑的招标文件的，可以对该文件提出质疑。对招标文件提出质疑的，应当在招标文件公告期限届满之日起7个工作日内提出。 </w:t>
            </w:r>
          </w:p>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3、供应商提出质疑应当提交质疑函和必要的证明材料。质疑函应当包括下列内容</w:t>
            </w:r>
            <w:r>
              <w:rPr>
                <w:rFonts w:hint="eastAsia" w:ascii="宋体" w:hAnsi="宋体" w:eastAsia="宋体" w:cs="宋体"/>
                <w:color w:val="auto"/>
                <w:sz w:val="21"/>
                <w:szCs w:val="21"/>
                <w:highlight w:val="none"/>
                <w:lang w:eastAsia="zh-CN"/>
              </w:rPr>
              <w:t>：</w:t>
            </w:r>
          </w:p>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（一）供应商的姓名或者名称、地址、邮编、联系人及联系电话</w:t>
            </w:r>
            <w:r>
              <w:rPr>
                <w:rFonts w:hint="eastAsia" w:ascii="宋体" w:hAnsi="宋体" w:eastAsia="宋体" w:cs="宋体"/>
                <w:color w:val="auto"/>
                <w:sz w:val="21"/>
                <w:szCs w:val="21"/>
                <w:highlight w:val="none"/>
                <w:lang w:eastAsia="zh-CN"/>
              </w:rPr>
              <w:t>；</w:t>
            </w:r>
          </w:p>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（二）质疑项目的名称、编号</w:t>
            </w:r>
            <w:r>
              <w:rPr>
                <w:rFonts w:hint="eastAsia" w:ascii="宋体" w:hAnsi="宋体" w:eastAsia="宋体" w:cs="宋体"/>
                <w:color w:val="auto"/>
                <w:sz w:val="21"/>
                <w:szCs w:val="21"/>
                <w:highlight w:val="none"/>
                <w:lang w:eastAsia="zh-CN"/>
              </w:rPr>
              <w:t>；</w:t>
            </w:r>
          </w:p>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（三）具体、明确的质疑事项和与质疑事项相关的请求</w:t>
            </w:r>
            <w:r>
              <w:rPr>
                <w:rFonts w:hint="eastAsia" w:ascii="宋体" w:hAnsi="宋体" w:eastAsia="宋体" w:cs="宋体"/>
                <w:color w:val="auto"/>
                <w:sz w:val="21"/>
                <w:szCs w:val="21"/>
                <w:highlight w:val="none"/>
                <w:lang w:eastAsia="zh-CN"/>
              </w:rPr>
              <w:t>；</w:t>
            </w:r>
          </w:p>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（四）事实依据</w:t>
            </w:r>
            <w:r>
              <w:rPr>
                <w:rFonts w:hint="eastAsia" w:ascii="宋体" w:hAnsi="宋体" w:eastAsia="宋体" w:cs="宋体"/>
                <w:color w:val="auto"/>
                <w:sz w:val="21"/>
                <w:szCs w:val="21"/>
                <w:highlight w:val="none"/>
                <w:lang w:eastAsia="zh-CN"/>
              </w:rPr>
              <w:t>；</w:t>
            </w:r>
          </w:p>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（五）必要的法律依据</w:t>
            </w:r>
            <w:r>
              <w:rPr>
                <w:rFonts w:hint="eastAsia" w:ascii="宋体" w:hAnsi="宋体" w:eastAsia="宋体" w:cs="宋体"/>
                <w:color w:val="auto"/>
                <w:sz w:val="21"/>
                <w:szCs w:val="21"/>
                <w:highlight w:val="none"/>
                <w:lang w:eastAsia="zh-CN"/>
              </w:rPr>
              <w:t>；</w:t>
            </w:r>
          </w:p>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（六）提出质疑的日期。 </w:t>
            </w:r>
          </w:p>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供应商为自然人的，应当由本人签字；供应商为法人或者其他组织的，应当由法定代表人、主要负责人，或者其授权代表签字或者盖章，并加盖公章。</w:t>
            </w:r>
          </w:p>
          <w:p>
            <w:pPr>
              <w:keepNext w:val="0"/>
              <w:keepLines w:val="0"/>
              <w:pageBreakBefore w:val="0"/>
              <w:shd w:val="clear"/>
              <w:kinsoku/>
              <w:wordWrap/>
              <w:overflowPunct/>
              <w:bidi w:val="0"/>
              <w:adjustRightInd w:val="0"/>
              <w:snapToGrid w:val="0"/>
              <w:spacing w:before="157" w:beforeLines="50" w:after="157" w:afterLines="50" w:line="240" w:lineRule="auto"/>
              <w:textAlignment w:val="baseline"/>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4、采购人、采购代理机构在收到质疑函后7个工作日内作出答复，并以书面形式通知质疑供应商和其他有关供应商。 </w:t>
            </w:r>
          </w:p>
        </w:tc>
      </w:tr>
    </w:tbl>
    <w:p>
      <w:pPr>
        <w:shd w:val="clear"/>
        <w:rPr>
          <w:rFonts w:hint="eastAsia" w:ascii="宋体" w:hAnsi="宋体" w:eastAsia="宋体" w:cs="宋体"/>
          <w:color w:val="auto"/>
          <w:highlight w:val="none"/>
        </w:rPr>
      </w:pPr>
      <w:r>
        <w:rPr>
          <w:rFonts w:hint="eastAsia" w:ascii="宋体" w:hAnsi="宋体" w:eastAsia="宋体" w:cs="宋体"/>
          <w:color w:val="auto"/>
          <w:highlight w:val="none"/>
        </w:rPr>
        <w:br w:type="page"/>
      </w:r>
    </w:p>
    <w:p>
      <w:pPr>
        <w:pStyle w:val="4"/>
        <w:shd w:val="clear"/>
        <w:bidi w:val="0"/>
        <w:rPr>
          <w:rFonts w:hint="eastAsia" w:ascii="宋体" w:hAnsi="宋体" w:eastAsia="宋体" w:cs="宋体"/>
          <w:color w:val="auto"/>
          <w:sz w:val="28"/>
          <w:szCs w:val="22"/>
          <w:highlight w:val="none"/>
        </w:rPr>
      </w:pPr>
      <w:bookmarkStart w:id="13" w:name="_Toc14473"/>
      <w:bookmarkStart w:id="14" w:name="_Toc22342"/>
      <w:r>
        <w:rPr>
          <w:rFonts w:hint="eastAsia" w:ascii="宋体" w:hAnsi="宋体" w:eastAsia="宋体" w:cs="宋体"/>
          <w:color w:val="auto"/>
          <w:sz w:val="28"/>
          <w:szCs w:val="22"/>
          <w:highlight w:val="none"/>
        </w:rPr>
        <w:t>否决性条款摘要</w:t>
      </w:r>
      <w:bookmarkEnd w:id="13"/>
      <w:bookmarkEnd w:id="14"/>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章节是招标文件(含招标文件的澄清、答疑、补充文件等)中涉及的所有否决性条款的摘要，否决性条款包括：投标文件不予受理（开标会），围标、串标的判定与处理（初步评审）无效投标的判定与处理（详细评审）条款。招标文件中有关否决性条款的阐述与本附件不一致的，以本附件内容为准。</w:t>
      </w:r>
    </w:p>
    <w:p>
      <w:pPr>
        <w:keepNext w:val="0"/>
        <w:keepLines w:val="0"/>
        <w:pageBreakBefore w:val="0"/>
        <w:widowControl w:val="0"/>
        <w:shd w:val="clear"/>
        <w:kinsoku/>
        <w:wordWrap/>
        <w:overflowPunct/>
        <w:topLinePunct w:val="0"/>
        <w:autoSpaceDE/>
        <w:autoSpaceDN/>
        <w:bidi w:val="0"/>
        <w:adjustRightInd/>
        <w:snapToGrid/>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w:t>
      </w:r>
      <w:r>
        <w:rPr>
          <w:rFonts w:hint="eastAsia" w:ascii="宋体" w:hAnsi="宋体" w:eastAsia="宋体" w:cs="宋体"/>
          <w:b/>
          <w:bCs/>
          <w:color w:val="auto"/>
          <w:sz w:val="21"/>
          <w:szCs w:val="21"/>
          <w:highlight w:val="none"/>
          <w:lang w:eastAsia="zh-CN"/>
        </w:rPr>
        <w:t>招标</w:t>
      </w:r>
      <w:r>
        <w:rPr>
          <w:rFonts w:hint="eastAsia" w:ascii="宋体" w:hAnsi="宋体" w:eastAsia="宋体" w:cs="宋体"/>
          <w:b/>
          <w:bCs/>
          <w:color w:val="auto"/>
          <w:sz w:val="21"/>
          <w:szCs w:val="21"/>
          <w:highlight w:val="none"/>
          <w:lang w:val="en-US" w:eastAsia="zh-CN"/>
        </w:rPr>
        <w:t>阶段</w:t>
      </w:r>
      <w:r>
        <w:rPr>
          <w:rFonts w:hint="eastAsia" w:ascii="宋体" w:hAnsi="宋体" w:eastAsia="宋体" w:cs="宋体"/>
          <w:b/>
          <w:bCs/>
          <w:color w:val="auto"/>
          <w:sz w:val="21"/>
          <w:szCs w:val="21"/>
          <w:highlight w:val="none"/>
        </w:rPr>
        <w:t>的不予受理的情形：</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bookmarkStart w:id="15" w:name="_Toc246144208"/>
      <w:bookmarkStart w:id="16" w:name="_Toc246133765"/>
      <w:bookmarkStart w:id="17" w:name="_Toc246221337"/>
      <w:r>
        <w:rPr>
          <w:rFonts w:hint="eastAsia" w:ascii="宋体" w:hAnsi="宋体" w:eastAsia="宋体" w:cs="宋体"/>
          <w:color w:val="auto"/>
          <w:sz w:val="21"/>
          <w:szCs w:val="21"/>
          <w:highlight w:val="none"/>
        </w:rPr>
        <w:t>1）在供应商须知前附表规定的投标截止时间以后逾期送达的或者未送达指定地点的；</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2）未按本招标文件的规定进行密封、标记和加盖供应商公章的；</w:t>
      </w:r>
    </w:p>
    <w:p>
      <w:pPr>
        <w:keepNext w:val="0"/>
        <w:keepLines w:val="0"/>
        <w:pageBreakBefore w:val="0"/>
        <w:widowControl w:val="0"/>
        <w:shd w:val="clear"/>
        <w:kinsoku/>
        <w:wordWrap/>
        <w:overflowPunct/>
        <w:topLinePunct w:val="0"/>
        <w:autoSpaceDE/>
        <w:autoSpaceDN/>
        <w:bidi w:val="0"/>
        <w:adjustRightInd/>
        <w:snapToGrid/>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2、围标、串标与无效投标的判定与处理</w:t>
      </w:r>
      <w:bookmarkEnd w:id="15"/>
      <w:bookmarkEnd w:id="16"/>
      <w:bookmarkEnd w:id="17"/>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1）围标、串标的判定与处理</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有下列情形之一的，经评标委员会遵循少数服从多数的原则集体表决认定后，按围标、串标行为对待，除按无效投标处理外，采购人将提请有关行政管理部门根据情况依法做出处罚：</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（1）不同供应商的投标文件内容存在非正常一致；</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（2）不同供应商的投标文件错漏之处一致的；</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（3）不同供应商的投标文件由同一单位或者同一人编制的；</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（4）不同供应商的投标文件载明的项目组机构成员出现同一人的；</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（5）不同供应商的投标文件相互混装的；</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（6）不同供应商委托同一人提交投标文件的；</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（7）评标委员会认定的其他围标、串通投标情形。</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2）无效投标文件的判定与处理（包括但不限于）</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有下列情形之一的，经评标委员会遵循少数服从多数的原则集体表决认定后，按无效投标处理而让该投标文件退出评标程序。</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（1）投标文件没有法定代表人授权书（法人直接投标除外）或授权书的合法性或有效性不符合招标文件规定；或由供应商授权代表签字的,但未随投标文件一起提交有效的“授权委托书”原件的；</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（2）供应商递交两份或多份内容不同的投标文件，或在一份投标文件中，有两个或多个报价且根据招标文件评标办法规定的修正原则无法确定哪一个有效的，按招标文件规定提供可选择性方案报价的除外；</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（3）供应商未能按招标文件要求提交足额有效的投标担保的；</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（4）供应商资格条件不满足招标文件要求的；</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（5）供应商以他人名义投标，串通投标，以行贿手段谋取中标或者以其他弄虚作假方式投标的；</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（6）对招标文件提出的实质性要求和条件未作出响应的或不满足的；</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（7）供应商未能按照评标委员会要求，对其投标文件进行澄清、说明和补正的，或供应商不接受根据招标文件规定对投标报价进行算术修正的；</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（8）投标文件附有采购人不能接受的条件；</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（9）单位负责人为同一人或者存在控股、管理关系的不同单位，参加同一标包投标或者未划分标包的同一采购项目投标；</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（10）投标报价超出采购预算的；</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（11）未通过初步评审的投标；</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（12）若出现投标报价明显偏高、围标、串标等损害采购人利益的情况，评标委员会可否决部分或全部投标；</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（13）供应商没有经过正常渠道购买标书或供应商的名称与登记领取招标文件单位的名称不符；</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（14）投标文件的格式不符合招标文件要求、关键内容字迹模糊、无法辨认的；</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r>
        <w:rPr>
          <w:rFonts w:hint="eastAsia" w:ascii="宋体" w:hAnsi="宋体" w:eastAsia="宋体" w:cs="宋体"/>
          <w:color w:val="auto"/>
          <w:sz w:val="21"/>
          <w:szCs w:val="21"/>
          <w:highlight w:val="none"/>
          <w:lang w:eastAsia="zh-CN"/>
        </w:rPr>
        <w:t>投标</w:t>
      </w:r>
      <w:r>
        <w:rPr>
          <w:rFonts w:hint="eastAsia" w:ascii="宋体" w:hAnsi="宋体" w:eastAsia="宋体" w:cs="宋体"/>
          <w:color w:val="auto"/>
          <w:sz w:val="21"/>
          <w:szCs w:val="21"/>
          <w:highlight w:val="none"/>
        </w:rPr>
        <w:t>有效期不足的；</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（16）采购内容出现漏项或内容与要求不符，出现重大负偏差；</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（17）无服务方案或</w:t>
      </w:r>
      <w:r>
        <w:rPr>
          <w:rFonts w:hint="eastAsia" w:ascii="宋体" w:hAnsi="宋体" w:eastAsia="宋体" w:cs="宋体"/>
          <w:color w:val="auto"/>
          <w:sz w:val="21"/>
          <w:szCs w:val="21"/>
          <w:highlight w:val="none"/>
          <w:lang w:eastAsia="zh-CN"/>
        </w:rPr>
        <w:t>投标</w:t>
      </w:r>
      <w:r>
        <w:rPr>
          <w:rFonts w:hint="eastAsia" w:ascii="宋体" w:hAnsi="宋体" w:eastAsia="宋体" w:cs="宋体"/>
          <w:color w:val="auto"/>
          <w:sz w:val="21"/>
          <w:szCs w:val="21"/>
          <w:highlight w:val="none"/>
        </w:rPr>
        <w:t>服务方案不符合要求；</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（18）规定不接受选择方案和选择报价（包括交叉折扣）的，供应商提供了选择方案和/或选择报价（包括交叉折扣）；</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（19）投标报价与市场价偏离较大，经评标委员会审定认为其低于成本，形成不正当竞争；</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（20）提供虚假证明，开具虚假资质，出现虚假应答，除按无效标处理外，还进行相应的处罚；</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（21）符合法律法规或地方主管部门规范性文件规定的其他无效标情形的。</w:t>
      </w:r>
    </w:p>
    <w:p>
      <w:pPr>
        <w:shd w:val="clear"/>
        <w:rPr>
          <w:rFonts w:hint="eastAsia" w:ascii="宋体" w:hAnsi="宋体" w:eastAsia="宋体" w:cs="宋体"/>
          <w:color w:val="auto"/>
          <w:sz w:val="21"/>
          <w:szCs w:val="21"/>
          <w:highlight w:val="none"/>
        </w:rPr>
      </w:pPr>
    </w:p>
    <w:p>
      <w:pPr>
        <w:shd w:val="clear"/>
        <w:rPr>
          <w:rFonts w:hint="eastAsia" w:ascii="宋体" w:hAnsi="宋体" w:eastAsia="宋体" w:cs="宋体"/>
          <w:color w:val="auto"/>
          <w:sz w:val="21"/>
          <w:szCs w:val="21"/>
          <w:highlight w:val="none"/>
        </w:rPr>
      </w:pPr>
    </w:p>
    <w:p>
      <w:pPr>
        <w:shd w:val="clear"/>
        <w:rPr>
          <w:rFonts w:hint="eastAsia" w:ascii="宋体" w:hAnsi="宋体" w:eastAsia="宋体" w:cs="宋体"/>
          <w:color w:val="auto"/>
          <w:sz w:val="21"/>
          <w:szCs w:val="21"/>
          <w:highlight w:val="none"/>
        </w:rPr>
      </w:pPr>
    </w:p>
    <w:p>
      <w:pPr>
        <w:shd w:val="clear"/>
        <w:rPr>
          <w:rFonts w:hint="eastAsia" w:ascii="宋体" w:hAnsi="宋体" w:eastAsia="宋体" w:cs="宋体"/>
          <w:color w:val="auto"/>
          <w:sz w:val="21"/>
          <w:szCs w:val="21"/>
          <w:highlight w:val="none"/>
        </w:rPr>
      </w:pPr>
    </w:p>
    <w:p>
      <w:pPr>
        <w:rPr>
          <w:rFonts w:hint="eastAsia" w:ascii="宋体" w:hAnsi="宋体" w:eastAsia="宋体" w:cs="宋体"/>
          <w:color w:val="auto"/>
          <w:sz w:val="21"/>
          <w:szCs w:val="21"/>
          <w:highlight w:val="none"/>
        </w:rPr>
      </w:pPr>
    </w:p>
    <w:p>
      <w:pP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br w:type="page"/>
      </w:r>
    </w:p>
    <w:p>
      <w:pPr>
        <w:pStyle w:val="4"/>
        <w:shd w:val="clear"/>
        <w:rPr>
          <w:rFonts w:hint="eastAsia" w:ascii="宋体" w:hAnsi="宋体" w:eastAsia="宋体" w:cs="宋体"/>
          <w:color w:val="auto"/>
          <w:sz w:val="21"/>
          <w:szCs w:val="21"/>
          <w:highlight w:val="none"/>
        </w:rPr>
      </w:pPr>
      <w:bookmarkStart w:id="18" w:name="_Toc22197"/>
      <w:r>
        <w:rPr>
          <w:rFonts w:hint="eastAsia" w:ascii="宋体" w:hAnsi="宋体" w:eastAsia="宋体" w:cs="宋体"/>
          <w:color w:val="auto"/>
          <w:sz w:val="21"/>
          <w:szCs w:val="21"/>
          <w:highlight w:val="none"/>
        </w:rPr>
        <w:t>1.总则</w:t>
      </w:r>
      <w:bookmarkEnd w:id="11"/>
      <w:bookmarkEnd w:id="12"/>
      <w:bookmarkEnd w:id="18"/>
    </w:p>
    <w:p>
      <w:pPr>
        <w:shd w:val="clea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1.1项目概况</w:t>
      </w:r>
    </w:p>
    <w:p>
      <w:pPr>
        <w:shd w:val="clear"/>
        <w:snapToGrid w:val="0"/>
        <w:spacing w:beforeLines="2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1.1.1根据《中华人民共和国政府采购法》等有关法律、法规和规章的规定，本采购项目已具备</w:t>
      </w:r>
      <w:r>
        <w:rPr>
          <w:rFonts w:hint="eastAsia" w:ascii="宋体" w:hAnsi="宋体" w:eastAsia="宋体" w:cs="宋体"/>
          <w:color w:val="auto"/>
          <w:sz w:val="21"/>
          <w:szCs w:val="21"/>
          <w:highlight w:val="none"/>
          <w:lang w:eastAsia="zh-CN"/>
        </w:rPr>
        <w:t>投标</w:t>
      </w:r>
      <w:r>
        <w:rPr>
          <w:rFonts w:hint="eastAsia" w:ascii="宋体" w:hAnsi="宋体" w:eastAsia="宋体" w:cs="宋体"/>
          <w:color w:val="auto"/>
          <w:sz w:val="21"/>
          <w:szCs w:val="21"/>
          <w:highlight w:val="none"/>
        </w:rPr>
        <w:t>条件，现对本项目进行</w:t>
      </w:r>
      <w:r>
        <w:rPr>
          <w:rFonts w:hint="eastAsia" w:ascii="宋体" w:hAnsi="宋体" w:eastAsia="宋体" w:cs="宋体"/>
          <w:color w:val="auto"/>
          <w:sz w:val="21"/>
          <w:szCs w:val="21"/>
          <w:highlight w:val="none"/>
          <w:lang w:eastAsia="zh-CN"/>
        </w:rPr>
        <w:t>投标</w:t>
      </w:r>
      <w:r>
        <w:rPr>
          <w:rFonts w:hint="eastAsia" w:ascii="宋体" w:hAnsi="宋体" w:eastAsia="宋体" w:cs="宋体"/>
          <w:color w:val="auto"/>
          <w:sz w:val="21"/>
          <w:szCs w:val="21"/>
          <w:highlight w:val="none"/>
        </w:rPr>
        <w:t>。</w:t>
      </w:r>
    </w:p>
    <w:p>
      <w:pPr>
        <w:shd w:val="clear"/>
        <w:snapToGrid w:val="0"/>
        <w:spacing w:beforeLines="2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1.1.2 本采购项目采购人：见供应商须知前附表。</w:t>
      </w:r>
    </w:p>
    <w:p>
      <w:pPr>
        <w:shd w:val="clear"/>
        <w:snapToGrid w:val="0"/>
        <w:spacing w:beforeLines="2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1.1.3 本采购项目采购代理机构：见供应商须知前附表。</w:t>
      </w:r>
    </w:p>
    <w:p>
      <w:pPr>
        <w:shd w:val="clear"/>
        <w:snapToGrid w:val="0"/>
        <w:spacing w:beforeLines="2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1.1.4 本采购项目名称：见供应商须知前附表。</w:t>
      </w:r>
    </w:p>
    <w:p>
      <w:pPr>
        <w:shd w:val="clear"/>
        <w:rPr>
          <w:rFonts w:hint="eastAsia" w:ascii="宋体" w:hAnsi="宋体" w:eastAsia="宋体" w:cs="宋体"/>
          <w:b/>
          <w:bCs/>
          <w:color w:val="auto"/>
          <w:sz w:val="21"/>
          <w:szCs w:val="21"/>
          <w:highlight w:val="none"/>
        </w:rPr>
      </w:pPr>
      <w:bookmarkStart w:id="19" w:name="_Toc403513496"/>
      <w:bookmarkStart w:id="20" w:name="_Toc25246"/>
      <w:bookmarkStart w:id="21" w:name="_Toc152042307"/>
      <w:bookmarkStart w:id="22" w:name="_Toc332121716"/>
      <w:bookmarkStart w:id="23" w:name="_Toc330213948"/>
      <w:bookmarkStart w:id="24" w:name="_Toc152045531"/>
      <w:bookmarkStart w:id="25" w:name="_Toc144974499"/>
      <w:r>
        <w:rPr>
          <w:rFonts w:hint="eastAsia" w:ascii="宋体" w:hAnsi="宋体" w:eastAsia="宋体" w:cs="宋体"/>
          <w:b/>
          <w:bCs/>
          <w:color w:val="auto"/>
          <w:sz w:val="21"/>
          <w:szCs w:val="21"/>
          <w:highlight w:val="none"/>
        </w:rPr>
        <w:t>1.2 资金来源和落实情况</w:t>
      </w:r>
      <w:bookmarkEnd w:id="19"/>
      <w:bookmarkEnd w:id="20"/>
      <w:bookmarkEnd w:id="21"/>
      <w:bookmarkEnd w:id="22"/>
      <w:bookmarkEnd w:id="23"/>
      <w:bookmarkEnd w:id="24"/>
      <w:bookmarkEnd w:id="25"/>
    </w:p>
    <w:p>
      <w:pPr>
        <w:shd w:val="clear"/>
        <w:snapToGrid w:val="0"/>
        <w:spacing w:beforeLines="2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1.2.1 本采购项目的资金来源：见供应商须知前附表。</w:t>
      </w:r>
    </w:p>
    <w:p>
      <w:pPr>
        <w:shd w:val="clear"/>
        <w:snapToGrid w:val="0"/>
        <w:spacing w:beforeLines="2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1.2.2 本采购项目的资金落实情况：见供应商须知前附表。</w:t>
      </w:r>
    </w:p>
    <w:p>
      <w:pPr>
        <w:shd w:val="clear"/>
        <w:rPr>
          <w:rFonts w:hint="eastAsia" w:ascii="宋体" w:hAnsi="宋体" w:eastAsia="宋体" w:cs="宋体"/>
          <w:b/>
          <w:bCs/>
          <w:color w:val="auto"/>
          <w:sz w:val="21"/>
          <w:szCs w:val="21"/>
          <w:highlight w:val="none"/>
        </w:rPr>
      </w:pPr>
      <w:bookmarkStart w:id="26" w:name="_Toc152045532"/>
      <w:bookmarkStart w:id="27" w:name="_Toc152042308"/>
      <w:bookmarkStart w:id="28" w:name="_Toc12683"/>
      <w:bookmarkStart w:id="29" w:name="_Toc144974500"/>
      <w:bookmarkStart w:id="30" w:name="_Toc330213949"/>
      <w:bookmarkStart w:id="31" w:name="_Toc332121717"/>
      <w:bookmarkStart w:id="32" w:name="_Toc403513497"/>
      <w:r>
        <w:rPr>
          <w:rFonts w:hint="eastAsia" w:ascii="宋体" w:hAnsi="宋体" w:eastAsia="宋体" w:cs="宋体"/>
          <w:b/>
          <w:bCs/>
          <w:color w:val="auto"/>
          <w:sz w:val="21"/>
          <w:szCs w:val="21"/>
          <w:highlight w:val="none"/>
        </w:rPr>
        <w:t>1.3 采购内容、合同履行期限（交货期）及项目要求</w:t>
      </w:r>
      <w:bookmarkEnd w:id="26"/>
      <w:bookmarkEnd w:id="27"/>
      <w:bookmarkEnd w:id="28"/>
      <w:bookmarkEnd w:id="29"/>
      <w:bookmarkEnd w:id="30"/>
      <w:bookmarkEnd w:id="31"/>
      <w:bookmarkEnd w:id="32"/>
    </w:p>
    <w:p>
      <w:pPr>
        <w:shd w:val="clear"/>
        <w:snapToGrid w:val="0"/>
        <w:spacing w:beforeLines="2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1.3.1 本次采购内容及质量要求：见供应商须知前附表。</w:t>
      </w:r>
    </w:p>
    <w:p>
      <w:pPr>
        <w:shd w:val="clear"/>
        <w:snapToGrid w:val="0"/>
        <w:spacing w:beforeLines="2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1.3.2 本采购的合同履行期限（交货期）：见供应商须知前附表。</w:t>
      </w:r>
    </w:p>
    <w:p>
      <w:pPr>
        <w:shd w:val="clear"/>
        <w:spacing w:before="2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1.3.3采购项目要求：中标人必须按合同条款、采购人相关管理标准及考评办法执行，确保服务质量。</w:t>
      </w:r>
    </w:p>
    <w:p>
      <w:pPr>
        <w:shd w:val="clear"/>
        <w:rPr>
          <w:rFonts w:hint="eastAsia" w:ascii="宋体" w:hAnsi="宋体" w:eastAsia="宋体" w:cs="宋体"/>
          <w:b/>
          <w:bCs/>
          <w:color w:val="auto"/>
          <w:sz w:val="21"/>
          <w:szCs w:val="21"/>
          <w:highlight w:val="none"/>
        </w:rPr>
      </w:pPr>
      <w:bookmarkStart w:id="33" w:name="_Toc152042310"/>
      <w:bookmarkStart w:id="34" w:name="_Toc152045534"/>
      <w:bookmarkStart w:id="35" w:name="_Toc332121718"/>
      <w:bookmarkStart w:id="36" w:name="_Toc144974502"/>
      <w:bookmarkStart w:id="37" w:name="_Toc403513498"/>
      <w:bookmarkStart w:id="38" w:name="_Toc330213950"/>
      <w:bookmarkStart w:id="39" w:name="_Toc30971"/>
      <w:r>
        <w:rPr>
          <w:rFonts w:hint="eastAsia" w:ascii="宋体" w:hAnsi="宋体" w:eastAsia="宋体" w:cs="宋体"/>
          <w:b/>
          <w:bCs/>
          <w:color w:val="auto"/>
          <w:sz w:val="21"/>
          <w:szCs w:val="21"/>
          <w:highlight w:val="none"/>
        </w:rPr>
        <w:t>1.4 供应商资格要求</w:t>
      </w:r>
      <w:bookmarkEnd w:id="33"/>
      <w:bookmarkEnd w:id="34"/>
      <w:bookmarkEnd w:id="35"/>
      <w:bookmarkEnd w:id="36"/>
      <w:bookmarkEnd w:id="37"/>
      <w:bookmarkEnd w:id="38"/>
      <w:bookmarkEnd w:id="39"/>
    </w:p>
    <w:p>
      <w:pPr>
        <w:shd w:val="clear"/>
        <w:snapToGrid w:val="0"/>
        <w:spacing w:beforeLines="2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1.4.1供应商应具备承担本采购项目的资质条件：见供应商须知前附表。</w:t>
      </w:r>
    </w:p>
    <w:p>
      <w:pPr>
        <w:shd w:val="clear"/>
        <w:snapToGrid w:val="0"/>
        <w:spacing w:beforeLines="2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1.4.2 供应商不得存在下列情形之一：</w:t>
      </w:r>
    </w:p>
    <w:p>
      <w:pPr>
        <w:shd w:val="clear"/>
        <w:snapToGrid w:val="0"/>
        <w:spacing w:beforeLines="2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 xml:space="preserve">   （1）为采购人不具有独立法人资格的附属机构（单位）</w:t>
      </w:r>
      <w:r>
        <w:rPr>
          <w:rFonts w:hint="eastAsia" w:ascii="宋体" w:hAnsi="宋体" w:eastAsia="宋体" w:cs="宋体"/>
          <w:color w:val="auto"/>
          <w:sz w:val="21"/>
          <w:szCs w:val="21"/>
          <w:highlight w:val="none"/>
          <w:lang w:eastAsia="zh-CN"/>
        </w:rPr>
        <w:t>；</w:t>
      </w:r>
    </w:p>
    <w:p>
      <w:pPr>
        <w:shd w:val="clear"/>
        <w:snapToGrid w:val="0"/>
        <w:spacing w:beforeLines="2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 xml:space="preserve">   （2）为本采购项目提供采购代理服务的</w:t>
      </w:r>
      <w:r>
        <w:rPr>
          <w:rFonts w:hint="eastAsia" w:ascii="宋体" w:hAnsi="宋体" w:eastAsia="宋体" w:cs="宋体"/>
          <w:color w:val="auto"/>
          <w:sz w:val="21"/>
          <w:szCs w:val="21"/>
          <w:highlight w:val="none"/>
          <w:lang w:eastAsia="zh-CN"/>
        </w:rPr>
        <w:t>；</w:t>
      </w:r>
    </w:p>
    <w:p>
      <w:pPr>
        <w:shd w:val="clear"/>
        <w:snapToGrid w:val="0"/>
        <w:spacing w:beforeLines="2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（3）单位负责人为同一人或者存在控股、管理关系的不同单位，不得参加同一标包或者未划分标包的同一项目投标；</w:t>
      </w:r>
    </w:p>
    <w:p>
      <w:pPr>
        <w:shd w:val="clear"/>
        <w:snapToGrid w:val="0"/>
        <w:spacing w:beforeLines="2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 xml:space="preserve">   （4）被责令停业、暂停或取消投标资格的</w:t>
      </w:r>
      <w:r>
        <w:rPr>
          <w:rFonts w:hint="eastAsia" w:ascii="宋体" w:hAnsi="宋体" w:eastAsia="宋体" w:cs="宋体"/>
          <w:color w:val="auto"/>
          <w:sz w:val="21"/>
          <w:szCs w:val="21"/>
          <w:highlight w:val="none"/>
          <w:lang w:eastAsia="zh-CN"/>
        </w:rPr>
        <w:t>；</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（5）财产被接管或冻结的；</w:t>
      </w:r>
    </w:p>
    <w:p>
      <w:pPr>
        <w:shd w:val="clear"/>
        <w:rPr>
          <w:rFonts w:hint="eastAsia" w:ascii="宋体" w:hAnsi="宋体" w:eastAsia="宋体" w:cs="宋体"/>
          <w:b/>
          <w:bCs/>
          <w:color w:val="auto"/>
          <w:sz w:val="21"/>
          <w:szCs w:val="21"/>
          <w:highlight w:val="none"/>
        </w:rPr>
      </w:pPr>
      <w:bookmarkStart w:id="40" w:name="_Toc330213951"/>
      <w:bookmarkStart w:id="41" w:name="_Toc403513499"/>
      <w:bookmarkStart w:id="42" w:name="_Toc332121719"/>
      <w:bookmarkStart w:id="43" w:name="_Toc144974503"/>
      <w:bookmarkStart w:id="44" w:name="_Toc1336"/>
      <w:bookmarkStart w:id="45" w:name="_Toc152042311"/>
      <w:bookmarkStart w:id="46" w:name="_Toc152045535"/>
      <w:r>
        <w:rPr>
          <w:rFonts w:hint="eastAsia" w:ascii="宋体" w:hAnsi="宋体" w:eastAsia="宋体" w:cs="宋体"/>
          <w:b/>
          <w:bCs/>
          <w:color w:val="auto"/>
          <w:sz w:val="21"/>
          <w:szCs w:val="21"/>
          <w:highlight w:val="none"/>
        </w:rPr>
        <w:t>1.5 费用承担</w:t>
      </w:r>
      <w:bookmarkEnd w:id="40"/>
      <w:bookmarkEnd w:id="41"/>
      <w:bookmarkEnd w:id="42"/>
      <w:bookmarkEnd w:id="43"/>
      <w:bookmarkEnd w:id="44"/>
      <w:bookmarkEnd w:id="45"/>
      <w:bookmarkEnd w:id="46"/>
    </w:p>
    <w:p>
      <w:pPr>
        <w:shd w:val="clear"/>
        <w:snapToGrid w:val="0"/>
        <w:spacing w:beforeLines="2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供应商准备和参加政府采购活动发生的费用自理。</w:t>
      </w:r>
    </w:p>
    <w:p>
      <w:pPr>
        <w:shd w:val="clear"/>
        <w:rPr>
          <w:rFonts w:hint="eastAsia" w:ascii="宋体" w:hAnsi="宋体" w:eastAsia="宋体" w:cs="宋体"/>
          <w:b/>
          <w:bCs/>
          <w:color w:val="auto"/>
          <w:sz w:val="21"/>
          <w:szCs w:val="21"/>
          <w:highlight w:val="none"/>
        </w:rPr>
      </w:pPr>
      <w:bookmarkStart w:id="47" w:name="_Toc332121720"/>
      <w:bookmarkStart w:id="48" w:name="_Toc152042312"/>
      <w:bookmarkStart w:id="49" w:name="_Toc403513500"/>
      <w:bookmarkStart w:id="50" w:name="_Toc144974504"/>
      <w:bookmarkStart w:id="51" w:name="_Toc330213952"/>
      <w:bookmarkStart w:id="52" w:name="_Toc31559"/>
      <w:bookmarkStart w:id="53" w:name="_Toc152045536"/>
      <w:r>
        <w:rPr>
          <w:rFonts w:hint="eastAsia" w:ascii="宋体" w:hAnsi="宋体" w:eastAsia="宋体" w:cs="宋体"/>
          <w:b/>
          <w:bCs/>
          <w:color w:val="auto"/>
          <w:sz w:val="21"/>
          <w:szCs w:val="21"/>
          <w:highlight w:val="none"/>
        </w:rPr>
        <w:t>1.6 保密</w:t>
      </w:r>
      <w:bookmarkEnd w:id="47"/>
      <w:bookmarkEnd w:id="48"/>
      <w:bookmarkEnd w:id="49"/>
      <w:bookmarkEnd w:id="50"/>
      <w:bookmarkEnd w:id="51"/>
      <w:bookmarkEnd w:id="52"/>
      <w:bookmarkEnd w:id="53"/>
    </w:p>
    <w:p>
      <w:pPr>
        <w:shd w:val="clear"/>
        <w:snapToGrid w:val="0"/>
        <w:spacing w:beforeLines="2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参与政府采购活动的各方应对招标文件和投标文件中的商业和技术等秘密保密，违者应对由此造成的后果承担法律责任。 </w:t>
      </w:r>
    </w:p>
    <w:p>
      <w:pPr>
        <w:shd w:val="clear"/>
        <w:rPr>
          <w:rFonts w:hint="eastAsia" w:ascii="宋体" w:hAnsi="宋体" w:eastAsia="宋体" w:cs="宋体"/>
          <w:b/>
          <w:bCs/>
          <w:color w:val="auto"/>
          <w:sz w:val="21"/>
          <w:szCs w:val="21"/>
          <w:highlight w:val="none"/>
        </w:rPr>
      </w:pPr>
      <w:bookmarkStart w:id="54" w:name="_Toc144974505"/>
      <w:bookmarkStart w:id="55" w:name="_Toc152042313"/>
      <w:bookmarkStart w:id="56" w:name="_Toc16760"/>
      <w:bookmarkStart w:id="57" w:name="_Toc332121721"/>
      <w:bookmarkStart w:id="58" w:name="_Toc403513501"/>
      <w:bookmarkStart w:id="59" w:name="_Toc152045537"/>
      <w:bookmarkStart w:id="60" w:name="_Toc330213953"/>
      <w:r>
        <w:rPr>
          <w:rFonts w:hint="eastAsia" w:ascii="宋体" w:hAnsi="宋体" w:eastAsia="宋体" w:cs="宋体"/>
          <w:b/>
          <w:bCs/>
          <w:color w:val="auto"/>
          <w:sz w:val="21"/>
          <w:szCs w:val="21"/>
          <w:highlight w:val="none"/>
        </w:rPr>
        <w:t>1.7 语言</w:t>
      </w:r>
      <w:bookmarkEnd w:id="54"/>
      <w:r>
        <w:rPr>
          <w:rFonts w:hint="eastAsia" w:ascii="宋体" w:hAnsi="宋体" w:eastAsia="宋体" w:cs="宋体"/>
          <w:b/>
          <w:bCs/>
          <w:color w:val="auto"/>
          <w:sz w:val="21"/>
          <w:szCs w:val="21"/>
          <w:highlight w:val="none"/>
        </w:rPr>
        <w:t>文字</w:t>
      </w:r>
      <w:bookmarkEnd w:id="55"/>
      <w:bookmarkEnd w:id="56"/>
      <w:bookmarkEnd w:id="57"/>
      <w:bookmarkEnd w:id="58"/>
      <w:bookmarkEnd w:id="59"/>
      <w:bookmarkEnd w:id="60"/>
    </w:p>
    <w:p>
      <w:pPr>
        <w:shd w:val="clear"/>
        <w:snapToGrid w:val="0"/>
        <w:spacing w:beforeLines="2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除专用术语外，与</w:t>
      </w:r>
      <w:r>
        <w:rPr>
          <w:rFonts w:hint="eastAsia" w:ascii="宋体" w:hAnsi="宋体" w:eastAsia="宋体" w:cs="宋体"/>
          <w:color w:val="auto"/>
          <w:sz w:val="21"/>
          <w:szCs w:val="21"/>
          <w:highlight w:val="none"/>
          <w:lang w:val="en-US" w:eastAsia="zh-CN"/>
        </w:rPr>
        <w:t>招标</w:t>
      </w:r>
      <w:r>
        <w:rPr>
          <w:rFonts w:hint="eastAsia" w:ascii="宋体" w:hAnsi="宋体" w:eastAsia="宋体" w:cs="宋体"/>
          <w:color w:val="auto"/>
          <w:sz w:val="21"/>
          <w:szCs w:val="21"/>
          <w:highlight w:val="none"/>
        </w:rPr>
        <w:t>有关的语言均使用中文。必要时专用术语应附有中文注释。</w:t>
      </w:r>
    </w:p>
    <w:p>
      <w:pPr>
        <w:shd w:val="clear"/>
        <w:rPr>
          <w:rFonts w:hint="eastAsia" w:ascii="宋体" w:hAnsi="宋体" w:eastAsia="宋体" w:cs="宋体"/>
          <w:b/>
          <w:bCs/>
          <w:color w:val="auto"/>
          <w:sz w:val="21"/>
          <w:szCs w:val="21"/>
          <w:highlight w:val="none"/>
        </w:rPr>
      </w:pPr>
      <w:bookmarkStart w:id="61" w:name="_Toc19390"/>
      <w:bookmarkStart w:id="62" w:name="_Toc152045538"/>
      <w:bookmarkStart w:id="63" w:name="_Toc330213954"/>
      <w:bookmarkStart w:id="64" w:name="_Toc403513502"/>
      <w:bookmarkStart w:id="65" w:name="_Toc332121722"/>
      <w:bookmarkStart w:id="66" w:name="_Toc144974506"/>
      <w:bookmarkStart w:id="67" w:name="_Toc152042314"/>
      <w:r>
        <w:rPr>
          <w:rFonts w:hint="eastAsia" w:ascii="宋体" w:hAnsi="宋体" w:eastAsia="宋体" w:cs="宋体"/>
          <w:b/>
          <w:bCs/>
          <w:color w:val="auto"/>
          <w:sz w:val="21"/>
          <w:szCs w:val="21"/>
          <w:highlight w:val="none"/>
        </w:rPr>
        <w:t>1.8 计量单位</w:t>
      </w:r>
      <w:bookmarkEnd w:id="61"/>
      <w:bookmarkEnd w:id="62"/>
      <w:bookmarkEnd w:id="63"/>
      <w:bookmarkEnd w:id="64"/>
      <w:bookmarkEnd w:id="65"/>
      <w:bookmarkEnd w:id="66"/>
      <w:bookmarkEnd w:id="67"/>
    </w:p>
    <w:p>
      <w:pPr>
        <w:shd w:val="clear"/>
        <w:snapToGrid w:val="0"/>
        <w:spacing w:beforeLines="2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所有计量均采用中华人民共和国法定计量单位。</w:t>
      </w:r>
    </w:p>
    <w:p>
      <w:pPr>
        <w:shd w:val="clear"/>
        <w:rPr>
          <w:rFonts w:hint="eastAsia" w:ascii="宋体" w:hAnsi="宋体" w:eastAsia="宋体" w:cs="宋体"/>
          <w:b/>
          <w:bCs/>
          <w:color w:val="auto"/>
          <w:sz w:val="21"/>
          <w:szCs w:val="21"/>
          <w:highlight w:val="none"/>
        </w:rPr>
      </w:pPr>
      <w:bookmarkStart w:id="68" w:name="_Toc152045539"/>
      <w:bookmarkStart w:id="69" w:name="_Toc403513503"/>
      <w:bookmarkStart w:id="70" w:name="_Toc332121723"/>
      <w:bookmarkStart w:id="71" w:name="_Toc330213955"/>
      <w:bookmarkStart w:id="72" w:name="_Toc21644"/>
      <w:bookmarkStart w:id="73" w:name="_Toc144974507"/>
      <w:bookmarkStart w:id="74" w:name="_Toc152042315"/>
      <w:r>
        <w:rPr>
          <w:rFonts w:hint="eastAsia" w:ascii="宋体" w:hAnsi="宋体" w:eastAsia="宋体" w:cs="宋体"/>
          <w:b/>
          <w:bCs/>
          <w:color w:val="auto"/>
          <w:sz w:val="21"/>
          <w:szCs w:val="21"/>
          <w:highlight w:val="none"/>
        </w:rPr>
        <w:t>1.9 踏勘现场</w:t>
      </w:r>
      <w:bookmarkEnd w:id="68"/>
      <w:bookmarkEnd w:id="69"/>
      <w:bookmarkEnd w:id="70"/>
      <w:bookmarkEnd w:id="71"/>
      <w:bookmarkEnd w:id="72"/>
      <w:bookmarkEnd w:id="73"/>
      <w:bookmarkEnd w:id="74"/>
    </w:p>
    <w:p>
      <w:pPr>
        <w:shd w:val="clear"/>
        <w:snapToGrid w:val="0"/>
        <w:spacing w:beforeLines="2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1.9.1 供应商须知前附表规定组织踏勘现场的，采购人按供应商须知前附表规定的时间、地点组织供应商踏勘项目现场。供应商须知前附表未规定组织踏勘现场的，由供应商根据自身实际情况自行踏勘项目现场。</w:t>
      </w:r>
    </w:p>
    <w:p>
      <w:pPr>
        <w:shd w:val="clear"/>
        <w:snapToGrid w:val="0"/>
        <w:spacing w:beforeLines="2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1.9.2 供应商踏勘现场发生的费用自理。</w:t>
      </w:r>
    </w:p>
    <w:p>
      <w:pPr>
        <w:shd w:val="clear"/>
        <w:snapToGrid w:val="0"/>
        <w:spacing w:beforeLines="2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1.9.3 除采购人的原因外，供应商自行负责在踏勘现场中所发生的人员伤亡和财产损失。</w:t>
      </w:r>
    </w:p>
    <w:p>
      <w:pPr>
        <w:shd w:val="clear"/>
        <w:snapToGrid w:val="0"/>
        <w:spacing w:beforeLines="2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1.9.4供应商应充分了解项目及其它任何足以影响投标和报价的情况，任何因忽视或误解项目情况而导致的费用索赔申请不获批准。</w:t>
      </w:r>
    </w:p>
    <w:p>
      <w:pPr>
        <w:pStyle w:val="4"/>
        <w:shd w:val="clear"/>
        <w:rPr>
          <w:rFonts w:hint="eastAsia" w:ascii="宋体" w:hAnsi="宋体" w:eastAsia="宋体" w:cs="宋体"/>
          <w:color w:val="auto"/>
          <w:sz w:val="21"/>
          <w:szCs w:val="21"/>
          <w:highlight w:val="none"/>
        </w:rPr>
      </w:pPr>
      <w:bookmarkStart w:id="75" w:name="_Toc518821211"/>
      <w:bookmarkStart w:id="76" w:name="_Toc4796"/>
      <w:bookmarkStart w:id="77" w:name="_Toc18603"/>
      <w:bookmarkStart w:id="78" w:name="_Toc144974510"/>
      <w:bookmarkStart w:id="79" w:name="_Toc152045542"/>
      <w:bookmarkStart w:id="80" w:name="_Toc152042318"/>
      <w:bookmarkStart w:id="81" w:name="_Toc8916"/>
      <w:r>
        <w:rPr>
          <w:rFonts w:hint="eastAsia" w:ascii="宋体" w:hAnsi="宋体" w:eastAsia="宋体" w:cs="宋体"/>
          <w:color w:val="auto"/>
          <w:sz w:val="21"/>
          <w:szCs w:val="21"/>
          <w:highlight w:val="none"/>
        </w:rPr>
        <w:t xml:space="preserve">2. </w:t>
      </w:r>
      <w:bookmarkEnd w:id="75"/>
      <w:bookmarkEnd w:id="76"/>
      <w:bookmarkEnd w:id="77"/>
      <w:bookmarkEnd w:id="78"/>
      <w:bookmarkEnd w:id="79"/>
      <w:bookmarkEnd w:id="80"/>
      <w:r>
        <w:rPr>
          <w:rFonts w:hint="eastAsia" w:ascii="宋体" w:hAnsi="宋体" w:eastAsia="宋体" w:cs="宋体"/>
          <w:color w:val="auto"/>
          <w:sz w:val="21"/>
          <w:szCs w:val="21"/>
          <w:highlight w:val="none"/>
        </w:rPr>
        <w:t>招标文件</w:t>
      </w:r>
      <w:bookmarkEnd w:id="81"/>
    </w:p>
    <w:p>
      <w:pPr>
        <w:shd w:val="clear"/>
        <w:rPr>
          <w:rFonts w:hint="eastAsia" w:ascii="宋体" w:hAnsi="宋体" w:eastAsia="宋体" w:cs="宋体"/>
          <w:b/>
          <w:bCs/>
          <w:color w:val="auto"/>
          <w:sz w:val="21"/>
          <w:szCs w:val="21"/>
          <w:highlight w:val="none"/>
        </w:rPr>
      </w:pPr>
      <w:bookmarkStart w:id="82" w:name="_Toc152042319"/>
      <w:bookmarkStart w:id="83" w:name="_Toc332121727"/>
      <w:bookmarkStart w:id="84" w:name="_Toc403513506"/>
      <w:bookmarkStart w:id="85" w:name="_Toc144974511"/>
      <w:bookmarkStart w:id="86" w:name="_Toc330213959"/>
      <w:bookmarkStart w:id="87" w:name="_Toc152045543"/>
      <w:r>
        <w:rPr>
          <w:rFonts w:hint="eastAsia" w:ascii="宋体" w:hAnsi="宋体" w:eastAsia="宋体" w:cs="宋体"/>
          <w:b/>
          <w:bCs/>
          <w:color w:val="auto"/>
          <w:sz w:val="21"/>
          <w:szCs w:val="21"/>
          <w:highlight w:val="none"/>
        </w:rPr>
        <w:t>2.1 招标文件的组成</w:t>
      </w:r>
      <w:bookmarkEnd w:id="82"/>
      <w:bookmarkEnd w:id="83"/>
      <w:bookmarkEnd w:id="84"/>
      <w:bookmarkEnd w:id="85"/>
      <w:bookmarkEnd w:id="86"/>
      <w:bookmarkEnd w:id="87"/>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本招标文件包括：</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（1）招标公告；</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（2）供应商须知；</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（3）评标办法；</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（4）合同条款及格式（仅供参考）；</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（5）采购需求</w:t>
      </w:r>
      <w:r>
        <w:rPr>
          <w:rFonts w:hint="eastAsia" w:ascii="宋体" w:hAnsi="宋体" w:eastAsia="宋体" w:cs="宋体"/>
          <w:color w:val="auto"/>
          <w:sz w:val="21"/>
          <w:szCs w:val="21"/>
          <w:highlight w:val="none"/>
          <w:lang w:eastAsia="zh-CN"/>
        </w:rPr>
        <w:t>；</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（6）投标文件参考格式；</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（7）重新采购或者变更采购方式。</w:t>
      </w:r>
    </w:p>
    <w:p>
      <w:pPr>
        <w:keepNext w:val="0"/>
        <w:keepLines w:val="0"/>
        <w:pageBreakBefore w:val="0"/>
        <w:widowControl w:val="0"/>
        <w:shd w:val="clear"/>
        <w:kinsoku/>
        <w:wordWrap/>
        <w:overflowPunct/>
        <w:topLinePunct w:val="0"/>
        <w:autoSpaceDE/>
        <w:autoSpaceDN/>
        <w:bidi w:val="0"/>
        <w:adjustRightInd/>
        <w:snapToGrid/>
        <w:ind w:firstLine="420" w:firstLineChars="20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根据本章第2.2款和第2.3款对招标文件所作的澄清、修改，构成招标文件的组成部分。</w:t>
      </w:r>
    </w:p>
    <w:p>
      <w:pPr>
        <w:shd w:val="clear"/>
        <w:rPr>
          <w:rFonts w:hint="eastAsia" w:ascii="宋体" w:hAnsi="宋体" w:eastAsia="宋体" w:cs="宋体"/>
          <w:b/>
          <w:bCs/>
          <w:color w:val="auto"/>
          <w:sz w:val="21"/>
          <w:szCs w:val="21"/>
          <w:highlight w:val="none"/>
          <w:lang w:eastAsia="zh-CN"/>
        </w:rPr>
      </w:pPr>
      <w:bookmarkStart w:id="88" w:name="_Toc403513507"/>
      <w:bookmarkStart w:id="89" w:name="_Toc332121728"/>
      <w:bookmarkStart w:id="90" w:name="_Toc152042320"/>
      <w:bookmarkStart w:id="91" w:name="_Toc144974512"/>
      <w:bookmarkStart w:id="92" w:name="_Toc330213960"/>
      <w:bookmarkStart w:id="93" w:name="_Toc152045544"/>
      <w:r>
        <w:rPr>
          <w:rFonts w:hint="eastAsia" w:ascii="宋体" w:hAnsi="宋体" w:eastAsia="宋体" w:cs="宋体"/>
          <w:b/>
          <w:bCs/>
          <w:color w:val="auto"/>
          <w:sz w:val="21"/>
          <w:szCs w:val="21"/>
          <w:highlight w:val="none"/>
        </w:rPr>
        <w:t>2.2 招标文件的澄清</w:t>
      </w:r>
      <w:bookmarkEnd w:id="88"/>
      <w:bookmarkEnd w:id="89"/>
      <w:bookmarkEnd w:id="90"/>
      <w:bookmarkEnd w:id="91"/>
      <w:bookmarkEnd w:id="92"/>
      <w:bookmarkEnd w:id="93"/>
      <w:r>
        <w:rPr>
          <w:rFonts w:hint="eastAsia" w:ascii="宋体" w:hAnsi="宋体" w:eastAsia="宋体" w:cs="宋体"/>
          <w:b/>
          <w:bCs/>
          <w:color w:val="auto"/>
          <w:sz w:val="21"/>
          <w:szCs w:val="21"/>
          <w:highlight w:val="none"/>
          <w:lang w:eastAsia="zh-CN"/>
        </w:rPr>
        <w:t>或修改</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2.2.1供应商应仔细阅读和检查招标文件的全部内容。如发现缺页或附件不全，应时向采购代理机构提出，以便补齐。</w:t>
      </w:r>
    </w:p>
    <w:p>
      <w:pPr>
        <w:shd w:val="clear"/>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2.2.2采购人或者采购代理机构可以对已发出的招标文件进行必要的澄清或者修改，但不改变采购标的和资格条件。澄清或者修改在原公告发布媒体上发布澄清公告。澄清或者修改的内容为招标文件、的组成部分。</w:t>
      </w:r>
    </w:p>
    <w:p>
      <w:pPr>
        <w:shd w:val="clear"/>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2.2.3澄清或者修改的内容可能影响投标文件编制的，采购人或者采购代理机构在投标截止时间至少15日前，以书面形式通知所有获取招标文件的潜在供应商；不足15日的，采购人或者采购代理机构将顺延提交投标文件的截止时间。</w:t>
      </w:r>
    </w:p>
    <w:p>
      <w:pPr>
        <w:shd w:val="clear"/>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2.2.4供应商在收到澄清或者修改后，应在供应商须知前附表规定的时间内以书面形式通知采购人，确认已收到该澄清或者修改。</w:t>
      </w:r>
    </w:p>
    <w:p>
      <w:pPr>
        <w:shd w:val="clea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2.3招标文件的答疑</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lang w:eastAsia="zh-CN"/>
        </w:rPr>
        <w:t>供应商</w:t>
      </w:r>
      <w:r>
        <w:rPr>
          <w:rFonts w:hint="eastAsia" w:ascii="宋体" w:hAnsi="宋体" w:eastAsia="宋体" w:cs="宋体"/>
          <w:color w:val="auto"/>
          <w:sz w:val="21"/>
          <w:szCs w:val="21"/>
          <w:highlight w:val="none"/>
        </w:rPr>
        <w:t>如有疑问，应在供应商须知前附表规定的时间前以书面形式（包括信函、传真等可以有形地表现所载内容的形式，下同），要求采购代理机构对招标文件予以</w:t>
      </w:r>
      <w:r>
        <w:rPr>
          <w:rFonts w:hint="eastAsia" w:ascii="宋体" w:hAnsi="宋体" w:eastAsia="宋体" w:cs="宋体"/>
          <w:color w:val="auto"/>
          <w:sz w:val="21"/>
          <w:szCs w:val="21"/>
          <w:highlight w:val="none"/>
          <w:lang w:val="en-US" w:eastAsia="zh-CN"/>
        </w:rPr>
        <w:t>答疑</w:t>
      </w:r>
      <w:r>
        <w:rPr>
          <w:rFonts w:hint="eastAsia" w:ascii="宋体" w:hAnsi="宋体" w:eastAsia="宋体" w:cs="宋体"/>
          <w:color w:val="auto"/>
          <w:sz w:val="21"/>
          <w:szCs w:val="21"/>
          <w:highlight w:val="none"/>
        </w:rPr>
        <w:t>。</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2.3.2</w:t>
      </w:r>
      <w:r>
        <w:rPr>
          <w:rFonts w:hint="eastAsia" w:ascii="宋体" w:hAnsi="宋体" w:eastAsia="宋体" w:cs="宋体"/>
          <w:color w:val="auto"/>
          <w:sz w:val="21"/>
          <w:szCs w:val="21"/>
          <w:highlight w:val="none"/>
        </w:rPr>
        <w:t>供应商提出问题的截止时间按供应商须知前附表规定的投标文件递交截止时间10天前以书面形式向采购人或采购代理机构提出；供应商要求</w:t>
      </w:r>
      <w:r>
        <w:rPr>
          <w:rFonts w:hint="eastAsia" w:ascii="宋体" w:hAnsi="宋体" w:eastAsia="宋体" w:cs="宋体"/>
          <w:color w:val="auto"/>
          <w:sz w:val="21"/>
          <w:szCs w:val="21"/>
          <w:highlight w:val="none"/>
          <w:lang w:eastAsia="zh-CN"/>
        </w:rPr>
        <w:t>对</w:t>
      </w:r>
      <w:r>
        <w:rPr>
          <w:rFonts w:hint="eastAsia" w:ascii="宋体" w:hAnsi="宋体" w:eastAsia="宋体" w:cs="宋体"/>
          <w:color w:val="auto"/>
          <w:sz w:val="21"/>
          <w:szCs w:val="21"/>
          <w:highlight w:val="none"/>
        </w:rPr>
        <w:t>招标文件</w:t>
      </w:r>
      <w:r>
        <w:rPr>
          <w:rFonts w:hint="eastAsia" w:ascii="宋体" w:hAnsi="宋体" w:eastAsia="宋体" w:cs="宋体"/>
          <w:color w:val="auto"/>
          <w:sz w:val="21"/>
          <w:szCs w:val="21"/>
          <w:highlight w:val="none"/>
          <w:lang w:eastAsia="zh-CN"/>
        </w:rPr>
        <w:t>进行</w:t>
      </w:r>
      <w:r>
        <w:rPr>
          <w:rFonts w:hint="eastAsia" w:ascii="宋体" w:hAnsi="宋体" w:eastAsia="宋体" w:cs="宋体"/>
          <w:color w:val="auto"/>
          <w:sz w:val="21"/>
          <w:szCs w:val="21"/>
          <w:highlight w:val="none"/>
          <w:lang w:val="en-US" w:eastAsia="zh-CN"/>
        </w:rPr>
        <w:t>答疑</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将在供应商须知前附表规定的投标文件递交截止时间7天前以书面形式发给所有购买招标文件的供应商，发给所有购买招标文件的供应商，但不指明</w:t>
      </w:r>
      <w:r>
        <w:rPr>
          <w:rFonts w:hint="eastAsia" w:ascii="宋体" w:hAnsi="宋体" w:eastAsia="宋体" w:cs="宋体"/>
          <w:color w:val="auto"/>
          <w:sz w:val="21"/>
          <w:szCs w:val="21"/>
          <w:highlight w:val="none"/>
          <w:lang w:val="en-US" w:eastAsia="zh-CN"/>
        </w:rPr>
        <w:t>答疑</w:t>
      </w:r>
      <w:r>
        <w:rPr>
          <w:rFonts w:hint="eastAsia" w:ascii="宋体" w:hAnsi="宋体" w:eastAsia="宋体" w:cs="宋体"/>
          <w:color w:val="auto"/>
          <w:sz w:val="21"/>
          <w:szCs w:val="21"/>
          <w:highlight w:val="none"/>
        </w:rPr>
        <w:t>问题的来源。如果答疑发出的时间距投标文件递交截止时间不足7天，相应延长投标截止时间。</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.3 供应商在收到</w:t>
      </w:r>
      <w:r>
        <w:rPr>
          <w:rFonts w:hint="eastAsia" w:ascii="宋体" w:hAnsi="宋体" w:eastAsia="宋体" w:cs="宋体"/>
          <w:color w:val="auto"/>
          <w:sz w:val="21"/>
          <w:szCs w:val="21"/>
          <w:highlight w:val="none"/>
          <w:lang w:val="en-US" w:eastAsia="zh-CN"/>
        </w:rPr>
        <w:t>答疑</w:t>
      </w:r>
      <w:r>
        <w:rPr>
          <w:rFonts w:hint="eastAsia" w:ascii="宋体" w:hAnsi="宋体" w:eastAsia="宋体" w:cs="宋体"/>
          <w:color w:val="auto"/>
          <w:sz w:val="21"/>
          <w:szCs w:val="21"/>
          <w:highlight w:val="none"/>
        </w:rPr>
        <w:t>后，应在供应商须知前附表规定的时间内以书面形式通知采购人，确认已收到该澄清。</w:t>
      </w:r>
    </w:p>
    <w:p>
      <w:pPr>
        <w:pStyle w:val="13"/>
        <w:shd w:val="clear"/>
        <w:rPr>
          <w:rFonts w:hint="eastAsia" w:ascii="宋体" w:hAnsi="宋体" w:eastAsia="宋体" w:cs="宋体"/>
          <w:color w:val="auto"/>
          <w:highlight w:val="none"/>
        </w:rPr>
      </w:pPr>
    </w:p>
    <w:p>
      <w:pPr>
        <w:pStyle w:val="4"/>
        <w:shd w:val="clear"/>
        <w:rPr>
          <w:rFonts w:hint="eastAsia" w:ascii="宋体" w:hAnsi="宋体" w:eastAsia="宋体" w:cs="宋体"/>
          <w:color w:val="auto"/>
          <w:sz w:val="21"/>
          <w:szCs w:val="21"/>
          <w:highlight w:val="none"/>
        </w:rPr>
      </w:pPr>
      <w:bookmarkStart w:id="94" w:name="_Toc518821212"/>
      <w:bookmarkStart w:id="95" w:name="_Toc28774"/>
      <w:bookmarkStart w:id="96" w:name="_Toc144974514"/>
      <w:bookmarkStart w:id="97" w:name="_Toc152042322"/>
      <w:bookmarkStart w:id="98" w:name="_Toc152045546"/>
      <w:bookmarkStart w:id="99" w:name="_Toc20240"/>
      <w:bookmarkStart w:id="100" w:name="_Toc4417"/>
      <w:r>
        <w:rPr>
          <w:rFonts w:hint="eastAsia" w:ascii="宋体" w:hAnsi="宋体" w:eastAsia="宋体" w:cs="宋体"/>
          <w:color w:val="auto"/>
          <w:sz w:val="21"/>
          <w:szCs w:val="21"/>
          <w:highlight w:val="none"/>
        </w:rPr>
        <w:t xml:space="preserve">3. </w:t>
      </w:r>
      <w:bookmarkEnd w:id="94"/>
      <w:bookmarkEnd w:id="95"/>
      <w:bookmarkEnd w:id="96"/>
      <w:bookmarkEnd w:id="97"/>
      <w:bookmarkEnd w:id="98"/>
      <w:bookmarkEnd w:id="99"/>
      <w:r>
        <w:rPr>
          <w:rFonts w:hint="eastAsia" w:ascii="宋体" w:hAnsi="宋体" w:eastAsia="宋体" w:cs="宋体"/>
          <w:color w:val="auto"/>
          <w:sz w:val="21"/>
          <w:szCs w:val="21"/>
          <w:highlight w:val="none"/>
        </w:rPr>
        <w:t>投标报价</w:t>
      </w:r>
      <w:bookmarkEnd w:id="100"/>
    </w:p>
    <w:p>
      <w:pPr>
        <w:shd w:val="clear"/>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3.1投标货币</w:t>
      </w:r>
      <w:r>
        <w:rPr>
          <w:rFonts w:hint="eastAsia" w:ascii="宋体" w:hAnsi="宋体" w:eastAsia="宋体" w:cs="宋体"/>
          <w:color w:val="auto"/>
          <w:sz w:val="21"/>
          <w:szCs w:val="21"/>
          <w:highlight w:val="none"/>
        </w:rPr>
        <w:t>：人民币；单位：元。</w:t>
      </w:r>
    </w:p>
    <w:p>
      <w:pPr>
        <w:shd w:val="clea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3.2投标报价</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3.2.1供应商应按“开标一览表”的内容和格式要求填写投标报价。投标报价中不得包含招标文件要求以外的内容，否则，在评标时不予核减。投标报价应包括完成采购需求中所列的全部工作内容及合同实施过程中的应预见和不可预见的费用等完成合同规定责任和义务、达到合同目的的一切费用。</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3.2.2凡本招标文件要求（或允许）及供应商认为需要进行的各项费用项目（不论是否要求进入</w:t>
      </w:r>
      <w:r>
        <w:rPr>
          <w:rFonts w:hint="eastAsia" w:ascii="宋体" w:hAnsi="宋体" w:eastAsia="宋体" w:cs="宋体"/>
          <w:color w:val="auto"/>
          <w:sz w:val="21"/>
          <w:szCs w:val="21"/>
          <w:highlight w:val="none"/>
          <w:lang w:eastAsia="zh-CN"/>
        </w:rPr>
        <w:t>投标</w:t>
      </w:r>
      <w:r>
        <w:rPr>
          <w:rFonts w:hint="eastAsia" w:ascii="宋体" w:hAnsi="宋体" w:eastAsia="宋体" w:cs="宋体"/>
          <w:color w:val="auto"/>
          <w:sz w:val="21"/>
          <w:szCs w:val="21"/>
          <w:highlight w:val="none"/>
        </w:rPr>
        <w:t>），若</w:t>
      </w:r>
      <w:r>
        <w:rPr>
          <w:rFonts w:hint="eastAsia" w:ascii="宋体" w:hAnsi="宋体" w:eastAsia="宋体" w:cs="宋体"/>
          <w:color w:val="auto"/>
          <w:sz w:val="21"/>
          <w:szCs w:val="21"/>
          <w:highlight w:val="none"/>
          <w:lang w:eastAsia="zh-CN"/>
        </w:rPr>
        <w:t>投标</w:t>
      </w:r>
      <w:r>
        <w:rPr>
          <w:rFonts w:hint="eastAsia" w:ascii="宋体" w:hAnsi="宋体" w:eastAsia="宋体" w:cs="宋体"/>
          <w:color w:val="auto"/>
          <w:sz w:val="21"/>
          <w:szCs w:val="21"/>
          <w:highlight w:val="none"/>
        </w:rPr>
        <w:t>时未报或未在招标文件中予以说明，采购人将认为这些费用已计取，并包含在总报价中（项目内容、项目量调整除外）。</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3.2.3 凡因供应商对招标文件阅读不深、理解不透、误解、疏漏或因市场行情了解不清造成的后果和风险均由供应商自负。</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3.2.4投标报价不能超出采购预算，超出采购预算的视为无效报价。</w:t>
      </w:r>
    </w:p>
    <w:p>
      <w:pPr>
        <w:shd w:val="clear"/>
        <w:rPr>
          <w:rFonts w:hint="eastAsia" w:ascii="宋体" w:hAnsi="宋体" w:eastAsia="宋体" w:cs="宋体"/>
          <w:b/>
          <w:bCs/>
          <w:color w:val="auto"/>
          <w:sz w:val="21"/>
          <w:szCs w:val="21"/>
          <w:highlight w:val="none"/>
        </w:rPr>
      </w:pPr>
      <w:bookmarkStart w:id="101" w:name="_Toc144974517"/>
      <w:bookmarkStart w:id="102" w:name="_Toc332121733"/>
      <w:bookmarkStart w:id="103" w:name="_Toc330213965"/>
      <w:bookmarkStart w:id="104" w:name="_Toc152042325"/>
      <w:bookmarkStart w:id="105" w:name="_Toc403513512"/>
      <w:bookmarkStart w:id="106" w:name="_Toc152045549"/>
      <w:r>
        <w:rPr>
          <w:rFonts w:hint="eastAsia" w:ascii="宋体" w:hAnsi="宋体" w:eastAsia="宋体" w:cs="宋体"/>
          <w:b/>
          <w:bCs/>
          <w:color w:val="auto"/>
          <w:sz w:val="21"/>
          <w:szCs w:val="21"/>
          <w:highlight w:val="none"/>
        </w:rPr>
        <w:t>3.3 投标有效期</w:t>
      </w:r>
      <w:bookmarkEnd w:id="101"/>
      <w:bookmarkEnd w:id="102"/>
      <w:bookmarkEnd w:id="103"/>
      <w:bookmarkEnd w:id="104"/>
      <w:bookmarkEnd w:id="105"/>
      <w:bookmarkEnd w:id="106"/>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3.3.1 在供应商须知前附表规定的投标有效期内，供应商不得要求撤销或修改其投标文件。</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3.3.2出现特殊情况需要延长投标有效期的，采购人以书面形式通知所有供应商延长投标有效期。供应商同意延长的，应相应延长其投标保证金的有效期，但不得要求或被允许修改或撤销其投标文件；供应商拒绝延长的，其投标失效，但供应商有权收回其投标保证金。 </w:t>
      </w:r>
    </w:p>
    <w:p>
      <w:pPr>
        <w:shd w:val="clear"/>
        <w:rPr>
          <w:rFonts w:hint="eastAsia" w:ascii="宋体" w:hAnsi="宋体" w:eastAsia="宋体" w:cs="宋体"/>
          <w:b/>
          <w:bCs/>
          <w:color w:val="auto"/>
          <w:sz w:val="21"/>
          <w:szCs w:val="21"/>
          <w:highlight w:val="none"/>
          <w:lang w:val="en-US" w:eastAsia="zh-CN"/>
        </w:rPr>
      </w:pPr>
      <w:bookmarkStart w:id="107" w:name="_Toc152042326"/>
      <w:bookmarkStart w:id="108" w:name="_Toc332121734"/>
      <w:bookmarkStart w:id="109" w:name="_Toc144974518"/>
      <w:bookmarkStart w:id="110" w:name="_Toc152045550"/>
      <w:bookmarkStart w:id="111" w:name="_Toc403513513"/>
      <w:bookmarkStart w:id="112" w:name="_Toc330213966"/>
      <w:r>
        <w:rPr>
          <w:rFonts w:hint="eastAsia" w:ascii="宋体" w:hAnsi="宋体" w:eastAsia="宋体" w:cs="宋体"/>
          <w:b/>
          <w:bCs/>
          <w:color w:val="auto"/>
          <w:sz w:val="21"/>
          <w:szCs w:val="21"/>
          <w:highlight w:val="none"/>
        </w:rPr>
        <w:t xml:space="preserve">3.4 </w:t>
      </w:r>
      <w:bookmarkEnd w:id="107"/>
      <w:bookmarkEnd w:id="108"/>
      <w:bookmarkEnd w:id="109"/>
      <w:bookmarkEnd w:id="110"/>
      <w:bookmarkEnd w:id="111"/>
      <w:bookmarkEnd w:id="112"/>
      <w:r>
        <w:rPr>
          <w:rFonts w:hint="eastAsia" w:ascii="宋体" w:hAnsi="宋体" w:eastAsia="宋体" w:cs="宋体"/>
          <w:b/>
          <w:bCs/>
          <w:color w:val="auto"/>
          <w:sz w:val="21"/>
          <w:szCs w:val="21"/>
          <w:highlight w:val="none"/>
          <w:lang w:val="en-US" w:eastAsia="zh-CN"/>
        </w:rPr>
        <w:t>投标保证金</w:t>
      </w:r>
    </w:p>
    <w:p>
      <w:pPr>
        <w:shd w:val="clear"/>
        <w:ind w:firstLine="420" w:firstLineChars="200"/>
        <w:rPr>
          <w:rFonts w:hint="eastAsia" w:ascii="宋体" w:hAnsi="宋体" w:eastAsia="宋体" w:cs="宋体"/>
          <w:color w:val="auto"/>
          <w:sz w:val="21"/>
          <w:szCs w:val="21"/>
          <w:highlight w:val="none"/>
        </w:rPr>
      </w:pPr>
      <w:bookmarkStart w:id="113" w:name="_Toc332121735"/>
      <w:bookmarkStart w:id="114" w:name="_Toc330213967"/>
      <w:bookmarkStart w:id="115" w:name="_Toc152045552"/>
      <w:bookmarkStart w:id="116" w:name="_Toc144974520"/>
      <w:bookmarkStart w:id="117" w:name="_Toc152042328"/>
      <w:bookmarkStart w:id="118" w:name="_Toc403513514"/>
      <w:r>
        <w:rPr>
          <w:rFonts w:hint="eastAsia" w:ascii="宋体" w:hAnsi="宋体" w:eastAsia="宋体" w:cs="宋体"/>
          <w:color w:val="auto"/>
          <w:sz w:val="21"/>
          <w:szCs w:val="21"/>
          <w:highlight w:val="none"/>
        </w:rPr>
        <w:t>3.4.1 供应商应提交“供应商须知前附表”规定数额及形式的</w:t>
      </w:r>
      <w:r>
        <w:rPr>
          <w:rFonts w:hint="eastAsia" w:ascii="宋体" w:hAnsi="宋体" w:eastAsia="宋体" w:cs="宋体"/>
          <w:color w:val="auto"/>
          <w:sz w:val="21"/>
          <w:szCs w:val="21"/>
          <w:highlight w:val="none"/>
          <w:lang w:eastAsia="zh-CN"/>
        </w:rPr>
        <w:t>投标保证金</w:t>
      </w:r>
      <w:r>
        <w:rPr>
          <w:rFonts w:hint="eastAsia" w:ascii="宋体" w:hAnsi="宋体" w:eastAsia="宋体" w:cs="宋体"/>
          <w:color w:val="auto"/>
          <w:sz w:val="21"/>
          <w:szCs w:val="21"/>
          <w:highlight w:val="none"/>
        </w:rPr>
        <w:t>，否则按废标处理。</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3.4.2 </w:t>
      </w:r>
      <w:r>
        <w:rPr>
          <w:rFonts w:hint="eastAsia" w:ascii="宋体" w:hAnsi="宋体" w:eastAsia="宋体" w:cs="宋体"/>
          <w:color w:val="auto"/>
          <w:sz w:val="21"/>
          <w:szCs w:val="21"/>
          <w:highlight w:val="none"/>
          <w:lang w:eastAsia="zh-CN"/>
        </w:rPr>
        <w:t>投标保证金</w:t>
      </w:r>
      <w:r>
        <w:rPr>
          <w:rFonts w:hint="eastAsia" w:ascii="宋体" w:hAnsi="宋体" w:eastAsia="宋体" w:cs="宋体"/>
          <w:color w:val="auto"/>
          <w:sz w:val="21"/>
          <w:szCs w:val="21"/>
          <w:highlight w:val="none"/>
        </w:rPr>
        <w:t>是为了保护采购人免遭因供应商的行为而蒙受损失。采购人在因供应商的行为受到损害时可根据本须知3.4.6的规定没收供应商的</w:t>
      </w:r>
      <w:r>
        <w:rPr>
          <w:rFonts w:hint="eastAsia" w:ascii="宋体" w:hAnsi="宋体" w:eastAsia="宋体" w:cs="宋体"/>
          <w:color w:val="auto"/>
          <w:sz w:val="21"/>
          <w:szCs w:val="21"/>
          <w:highlight w:val="none"/>
          <w:lang w:eastAsia="zh-CN"/>
        </w:rPr>
        <w:t>投标保证金</w:t>
      </w:r>
      <w:r>
        <w:rPr>
          <w:rFonts w:hint="eastAsia" w:ascii="宋体" w:hAnsi="宋体" w:eastAsia="宋体" w:cs="宋体"/>
          <w:color w:val="auto"/>
          <w:sz w:val="21"/>
          <w:szCs w:val="21"/>
          <w:highlight w:val="none"/>
        </w:rPr>
        <w:t>。</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3.4.3</w:t>
      </w:r>
      <w:r>
        <w:rPr>
          <w:rFonts w:hint="eastAsia" w:ascii="宋体" w:hAnsi="宋体" w:eastAsia="宋体" w:cs="宋体"/>
          <w:color w:val="auto"/>
          <w:sz w:val="21"/>
          <w:szCs w:val="21"/>
          <w:highlight w:val="none"/>
          <w:lang w:val="zh-CN"/>
        </w:rPr>
        <w:t>投标保证金应用人民币，采用银行电汇、银行即期汇票、银行保函、投标担保函</w:t>
      </w:r>
      <w:r>
        <w:rPr>
          <w:rFonts w:hint="eastAsia" w:ascii="宋体" w:hAnsi="宋体" w:eastAsia="宋体" w:cs="宋体"/>
          <w:color w:val="auto"/>
          <w:sz w:val="21"/>
          <w:szCs w:val="21"/>
          <w:highlight w:val="none"/>
        </w:rPr>
        <w:t>中</w:t>
      </w:r>
      <w:r>
        <w:rPr>
          <w:rFonts w:hint="eastAsia" w:ascii="宋体" w:hAnsi="宋体" w:eastAsia="宋体" w:cs="宋体"/>
          <w:color w:val="auto"/>
          <w:sz w:val="21"/>
          <w:szCs w:val="21"/>
          <w:highlight w:val="none"/>
          <w:lang w:val="zh-CN"/>
        </w:rPr>
        <w:t>的任何一种非现金形式支付或者</w:t>
      </w:r>
      <w:r>
        <w:rPr>
          <w:rFonts w:hint="eastAsia" w:ascii="宋体" w:hAnsi="宋体" w:eastAsia="宋体" w:cs="宋体"/>
          <w:color w:val="auto"/>
          <w:sz w:val="21"/>
          <w:szCs w:val="21"/>
          <w:highlight w:val="none"/>
        </w:rPr>
        <w:t>银行转账（汇款人必须为供应商名称）。</w:t>
      </w:r>
    </w:p>
    <w:p>
      <w:pPr>
        <w:shd w:val="clear"/>
        <w:ind w:firstLine="420" w:firstLineChars="200"/>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rPr>
        <w:t>3.4.5</w:t>
      </w:r>
      <w:r>
        <w:rPr>
          <w:rFonts w:hint="eastAsia" w:ascii="宋体" w:hAnsi="宋体" w:eastAsia="宋体" w:cs="宋体"/>
          <w:color w:val="auto"/>
          <w:sz w:val="21"/>
          <w:szCs w:val="21"/>
          <w:highlight w:val="none"/>
          <w:lang w:val="zh-CN"/>
        </w:rPr>
        <w:t>关于信用担保的说明</w:t>
      </w:r>
    </w:p>
    <w:p>
      <w:pPr>
        <w:shd w:val="clear"/>
        <w:ind w:firstLine="420" w:firstLineChars="200"/>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rPr>
        <w:t>3.4.5.1</w:t>
      </w:r>
      <w:r>
        <w:rPr>
          <w:rFonts w:hint="eastAsia" w:ascii="宋体" w:hAnsi="宋体" w:eastAsia="宋体" w:cs="宋体"/>
          <w:color w:val="auto"/>
          <w:sz w:val="21"/>
          <w:szCs w:val="21"/>
          <w:highlight w:val="none"/>
          <w:lang w:val="zh-CN"/>
        </w:rPr>
        <w:t>供应商在投标、履约、融资等环节可自愿选择采取信用担保的形式。</w:t>
      </w:r>
    </w:p>
    <w:p>
      <w:pPr>
        <w:shd w:val="clear"/>
        <w:ind w:firstLine="420" w:firstLineChars="200"/>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rPr>
        <w:t>3.4.5.2</w:t>
      </w:r>
      <w:r>
        <w:rPr>
          <w:rFonts w:hint="eastAsia" w:ascii="宋体" w:hAnsi="宋体" w:eastAsia="宋体" w:cs="宋体"/>
          <w:color w:val="auto"/>
          <w:sz w:val="21"/>
          <w:szCs w:val="21"/>
          <w:highlight w:val="none"/>
          <w:lang w:val="zh-CN"/>
        </w:rPr>
        <w:t>供应商可以自愿选择是否采取投标担保函的形式交纳投标保证金，也可以自愿选择是否采取履约担保函的形式交纳履约保证金。</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3.4.5.3供应商在投标截止时间前撤回已提交的</w:t>
      </w:r>
      <w:r>
        <w:rPr>
          <w:rFonts w:hint="eastAsia" w:ascii="宋体" w:hAnsi="宋体" w:eastAsia="宋体" w:cs="宋体"/>
          <w:color w:val="auto"/>
          <w:sz w:val="21"/>
          <w:szCs w:val="21"/>
          <w:highlight w:val="none"/>
          <w:lang w:eastAsia="zh-CN"/>
        </w:rPr>
        <w:t>投标文件</w:t>
      </w:r>
      <w:r>
        <w:rPr>
          <w:rFonts w:hint="eastAsia" w:ascii="宋体" w:hAnsi="宋体" w:eastAsia="宋体" w:cs="宋体"/>
          <w:color w:val="auto"/>
          <w:sz w:val="21"/>
          <w:szCs w:val="21"/>
          <w:highlight w:val="none"/>
        </w:rPr>
        <w:t>的，自收到供应商书面撤回通知之日起5个工作日内，退还已收取的</w:t>
      </w:r>
      <w:r>
        <w:rPr>
          <w:rFonts w:hint="eastAsia" w:ascii="宋体" w:hAnsi="宋体" w:eastAsia="宋体" w:cs="宋体"/>
          <w:color w:val="auto"/>
          <w:sz w:val="21"/>
          <w:szCs w:val="21"/>
          <w:highlight w:val="none"/>
          <w:lang w:eastAsia="zh-CN"/>
        </w:rPr>
        <w:t>投标保证金</w:t>
      </w:r>
      <w:r>
        <w:rPr>
          <w:rFonts w:hint="eastAsia" w:ascii="宋体" w:hAnsi="宋体" w:eastAsia="宋体" w:cs="宋体"/>
          <w:color w:val="auto"/>
          <w:sz w:val="21"/>
          <w:szCs w:val="21"/>
          <w:highlight w:val="none"/>
        </w:rPr>
        <w:t>，但因供应商自身原因导致无法及时退还的除外。</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自成交通知书发出之日起5个工作日内退还未成交供应商的</w:t>
      </w:r>
      <w:r>
        <w:rPr>
          <w:rFonts w:hint="eastAsia" w:ascii="宋体" w:hAnsi="宋体" w:eastAsia="宋体" w:cs="宋体"/>
          <w:color w:val="auto"/>
          <w:sz w:val="21"/>
          <w:szCs w:val="21"/>
          <w:highlight w:val="none"/>
          <w:lang w:eastAsia="zh-CN"/>
        </w:rPr>
        <w:t>投标保证金</w:t>
      </w:r>
      <w:r>
        <w:rPr>
          <w:rFonts w:hint="eastAsia" w:ascii="宋体" w:hAnsi="宋体" w:eastAsia="宋体" w:cs="宋体"/>
          <w:color w:val="auto"/>
          <w:sz w:val="21"/>
          <w:szCs w:val="21"/>
          <w:highlight w:val="none"/>
        </w:rPr>
        <w:t>，自采购合同签订之日起5个工作日内退还成交供应商的</w:t>
      </w:r>
      <w:r>
        <w:rPr>
          <w:rFonts w:hint="eastAsia" w:ascii="宋体" w:hAnsi="宋体" w:eastAsia="宋体" w:cs="宋体"/>
          <w:color w:val="auto"/>
          <w:sz w:val="21"/>
          <w:szCs w:val="21"/>
          <w:highlight w:val="none"/>
          <w:lang w:eastAsia="zh-CN"/>
        </w:rPr>
        <w:t>投标保证金</w:t>
      </w:r>
      <w:r>
        <w:rPr>
          <w:rFonts w:hint="eastAsia" w:ascii="宋体" w:hAnsi="宋体" w:eastAsia="宋体" w:cs="宋体"/>
          <w:color w:val="auto"/>
          <w:sz w:val="21"/>
          <w:szCs w:val="21"/>
          <w:highlight w:val="none"/>
        </w:rPr>
        <w:t>，成交供应商应向代理公司提交采购合同扫描件一份，否则不予退还。</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3.4.6成交供应商有下列情形之一的，采购代理机构不予退还其缴纳的</w:t>
      </w:r>
      <w:r>
        <w:rPr>
          <w:rFonts w:hint="eastAsia" w:ascii="宋体" w:hAnsi="宋体" w:eastAsia="宋体" w:cs="宋体"/>
          <w:color w:val="auto"/>
          <w:sz w:val="21"/>
          <w:szCs w:val="21"/>
          <w:highlight w:val="none"/>
          <w:lang w:eastAsia="zh-CN"/>
        </w:rPr>
        <w:t>投标保证金</w:t>
      </w:r>
      <w:r>
        <w:rPr>
          <w:rFonts w:hint="eastAsia" w:ascii="宋体" w:hAnsi="宋体" w:eastAsia="宋体" w:cs="宋体"/>
          <w:color w:val="auto"/>
          <w:sz w:val="21"/>
          <w:szCs w:val="21"/>
          <w:highlight w:val="none"/>
        </w:rPr>
        <w:t>，并在项目财政主管部门备案；情节严重的，由财政部门将其列入不良行为纪录名单予以通报，在一至三年内禁止参加政府采购活动：</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3.4.6.1成交后无正当理由不与采购人签订合同的；</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3.4.6.2成交供应商将成交项目转让给他人，或者在</w:t>
      </w:r>
      <w:r>
        <w:rPr>
          <w:rFonts w:hint="eastAsia" w:ascii="宋体" w:hAnsi="宋体" w:eastAsia="宋体" w:cs="宋体"/>
          <w:color w:val="auto"/>
          <w:sz w:val="21"/>
          <w:szCs w:val="21"/>
          <w:highlight w:val="none"/>
          <w:lang w:eastAsia="zh-CN"/>
        </w:rPr>
        <w:t>投标文件</w:t>
      </w:r>
      <w:r>
        <w:rPr>
          <w:rFonts w:hint="eastAsia" w:ascii="宋体" w:hAnsi="宋体" w:eastAsia="宋体" w:cs="宋体"/>
          <w:color w:val="auto"/>
          <w:sz w:val="21"/>
          <w:szCs w:val="21"/>
          <w:highlight w:val="none"/>
        </w:rPr>
        <w:t>中未说明，且未经采购人同意，将成交项目分包给他人的；</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3.4.6.3成交供应商拒绝履行合同义务的。</w:t>
      </w:r>
    </w:p>
    <w:p>
      <w:pPr>
        <w:shd w:val="clea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3.5 资格审查资料</w:t>
      </w:r>
      <w:bookmarkEnd w:id="113"/>
      <w:bookmarkEnd w:id="114"/>
      <w:bookmarkEnd w:id="115"/>
      <w:bookmarkEnd w:id="116"/>
      <w:bookmarkEnd w:id="117"/>
      <w:bookmarkEnd w:id="118"/>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详见招标文件资格标准，并按其要求提供。</w:t>
      </w:r>
    </w:p>
    <w:p>
      <w:pPr>
        <w:shd w:val="clear"/>
        <w:rPr>
          <w:rFonts w:hint="eastAsia" w:ascii="宋体" w:hAnsi="宋体" w:eastAsia="宋体" w:cs="宋体"/>
          <w:b/>
          <w:bCs/>
          <w:color w:val="auto"/>
          <w:sz w:val="21"/>
          <w:szCs w:val="21"/>
          <w:highlight w:val="none"/>
        </w:rPr>
      </w:pPr>
      <w:bookmarkStart w:id="119" w:name="_Toc403513515"/>
      <w:bookmarkStart w:id="120" w:name="_Toc332121736"/>
      <w:bookmarkStart w:id="121" w:name="_Toc152045553"/>
      <w:bookmarkStart w:id="122" w:name="_Toc152042329"/>
      <w:bookmarkStart w:id="123" w:name="_Toc330213968"/>
      <w:bookmarkStart w:id="124" w:name="_Toc144974521"/>
      <w:r>
        <w:rPr>
          <w:rFonts w:hint="eastAsia" w:ascii="宋体" w:hAnsi="宋体" w:eastAsia="宋体" w:cs="宋体"/>
          <w:b/>
          <w:bCs/>
          <w:color w:val="auto"/>
          <w:sz w:val="21"/>
          <w:szCs w:val="21"/>
          <w:highlight w:val="none"/>
        </w:rPr>
        <w:t>3.6 备选投标方案</w:t>
      </w:r>
      <w:bookmarkEnd w:id="119"/>
      <w:bookmarkEnd w:id="120"/>
      <w:bookmarkEnd w:id="121"/>
      <w:bookmarkEnd w:id="122"/>
      <w:bookmarkEnd w:id="123"/>
      <w:bookmarkEnd w:id="124"/>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除招标文件另有规定外，供应商不得递交备选投标方案。</w:t>
      </w:r>
    </w:p>
    <w:p>
      <w:pPr>
        <w:shd w:val="clear"/>
        <w:rPr>
          <w:rFonts w:hint="eastAsia" w:ascii="宋体" w:hAnsi="宋体" w:eastAsia="宋体" w:cs="宋体"/>
          <w:b/>
          <w:bCs/>
          <w:color w:val="auto"/>
          <w:sz w:val="21"/>
          <w:szCs w:val="21"/>
          <w:highlight w:val="none"/>
        </w:rPr>
      </w:pPr>
      <w:bookmarkStart w:id="125" w:name="_Toc152045554"/>
      <w:bookmarkStart w:id="126" w:name="_Toc403513516"/>
      <w:bookmarkStart w:id="127" w:name="_Toc144974522"/>
      <w:bookmarkStart w:id="128" w:name="_Toc332121737"/>
      <w:bookmarkStart w:id="129" w:name="_Toc152042330"/>
      <w:bookmarkStart w:id="130" w:name="_Toc330213969"/>
      <w:r>
        <w:rPr>
          <w:rFonts w:hint="eastAsia" w:ascii="宋体" w:hAnsi="宋体" w:eastAsia="宋体" w:cs="宋体"/>
          <w:b/>
          <w:bCs/>
          <w:color w:val="auto"/>
          <w:sz w:val="21"/>
          <w:szCs w:val="21"/>
          <w:highlight w:val="none"/>
        </w:rPr>
        <w:t>3.7 投标文件的编制</w:t>
      </w:r>
      <w:bookmarkEnd w:id="125"/>
      <w:bookmarkEnd w:id="126"/>
      <w:bookmarkEnd w:id="127"/>
      <w:bookmarkEnd w:id="128"/>
      <w:bookmarkEnd w:id="129"/>
      <w:bookmarkEnd w:id="130"/>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3.7.1投标文件应按第六章“投标文件参考格式”进行编写，如有必要，可以增加附页，作为投标文件的组成部分。其中，投标函在满足招标文件实质性要求的基础上，可以提出比招标文件要求更有利于采购人的承诺。</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3.7.2 投标文件应当对招标文件有关合同履行期限（交货期）、投标有效期、服务要求及标准和采购范围等实质性内容作出响应。</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3.7.3投标文件的正本和副本均需打印或者使用不褪色的墨水笔书写，字迹应清晰易于辩认，加盖供应商印章并经其法定代表人或委托代理人签字或者盖章。委托代理人签字的，投标文件应附法定代表人签署的授权委托书。投标文件应尽量避免涂改、行间插字或删除。如果出现上述情况，改动之处应加盖单位章并由供应商的法定代表人或其授权的代理人签字确认。签字或盖章的具体要求见供应商须知前附表。 </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3.7.4 投标文件要求见供应商须知前附表。正本和副本的封面上应清楚地标记“正本”或“副本”的字样。当副本和正本不一致时，以正本为准。</w:t>
      </w:r>
    </w:p>
    <w:p>
      <w:pPr>
        <w:shd w:val="clear"/>
        <w:rPr>
          <w:rFonts w:hint="eastAsia" w:ascii="宋体" w:hAnsi="宋体" w:eastAsia="宋体" w:cs="宋体"/>
          <w:b/>
          <w:bCs/>
          <w:color w:val="auto"/>
          <w:sz w:val="21"/>
          <w:szCs w:val="21"/>
          <w:highlight w:val="none"/>
        </w:rPr>
      </w:pPr>
      <w:bookmarkStart w:id="131" w:name="_Toc144974524"/>
      <w:bookmarkStart w:id="132" w:name="_Toc332121739"/>
      <w:bookmarkStart w:id="133" w:name="_Toc152042332"/>
      <w:bookmarkStart w:id="134" w:name="_Toc403513518"/>
      <w:bookmarkStart w:id="135" w:name="_Toc330213971"/>
      <w:bookmarkStart w:id="136" w:name="_Toc152045556"/>
      <w:r>
        <w:rPr>
          <w:rFonts w:hint="eastAsia" w:ascii="宋体" w:hAnsi="宋体" w:eastAsia="宋体" w:cs="宋体"/>
          <w:b/>
          <w:bCs/>
          <w:color w:val="auto"/>
          <w:sz w:val="21"/>
          <w:szCs w:val="21"/>
          <w:highlight w:val="none"/>
        </w:rPr>
        <w:t>3.8 投标文件的密封和标记</w:t>
      </w:r>
      <w:bookmarkEnd w:id="131"/>
      <w:bookmarkEnd w:id="132"/>
      <w:bookmarkEnd w:id="133"/>
      <w:bookmarkEnd w:id="134"/>
      <w:bookmarkEnd w:id="135"/>
      <w:bookmarkEnd w:id="136"/>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3.8.1投标文件的正本与副本应分开包装；电子文件与正本包装在一个封套内，加贴封条，并在封套的封口处加盖供应商单位章。</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3.8.2 投标文件的封套上应清楚地标记“正本”或“副本”字样，封套上应写明的其他内容见供应商须知前附表。</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3.8.3 未按本章第3.8.1项或第3.8.2项要求密封和加写标记的投标文件，采购人不予受理。</w:t>
      </w:r>
    </w:p>
    <w:p>
      <w:pPr>
        <w:shd w:val="clear"/>
        <w:rPr>
          <w:rFonts w:hint="eastAsia" w:ascii="宋体" w:hAnsi="宋体" w:eastAsia="宋体" w:cs="宋体"/>
          <w:b/>
          <w:bCs/>
          <w:color w:val="auto"/>
          <w:sz w:val="21"/>
          <w:szCs w:val="21"/>
          <w:highlight w:val="none"/>
        </w:rPr>
      </w:pPr>
      <w:bookmarkStart w:id="137" w:name="_Toc152042333"/>
      <w:bookmarkStart w:id="138" w:name="_Toc152045557"/>
      <w:bookmarkStart w:id="139" w:name="_Toc330213972"/>
      <w:bookmarkStart w:id="140" w:name="_Toc144974525"/>
      <w:bookmarkStart w:id="141" w:name="_Toc332121740"/>
      <w:bookmarkStart w:id="142" w:name="_Toc403513519"/>
      <w:r>
        <w:rPr>
          <w:rFonts w:hint="eastAsia" w:ascii="宋体" w:hAnsi="宋体" w:eastAsia="宋体" w:cs="宋体"/>
          <w:b/>
          <w:bCs/>
          <w:color w:val="auto"/>
          <w:sz w:val="21"/>
          <w:szCs w:val="21"/>
          <w:highlight w:val="none"/>
        </w:rPr>
        <w:t>3.9投标文件的递交</w:t>
      </w:r>
      <w:bookmarkEnd w:id="137"/>
      <w:bookmarkEnd w:id="138"/>
      <w:bookmarkEnd w:id="139"/>
      <w:bookmarkEnd w:id="140"/>
      <w:bookmarkEnd w:id="141"/>
      <w:bookmarkEnd w:id="142"/>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3.9.1 供应商应按供应商须知前附表规定的投标截止时间前递交投标文件文件。</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3.9.2 供应商递交投标文件的地点：见供应商须知前附表。</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3.9.3 除供应商须知前附表另有规定外，供应商所递交的投标文件不予退还。</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3.9.4 逾期送达的或者未送达指定地点的投标文件，采购人不予受理。</w:t>
      </w:r>
    </w:p>
    <w:p>
      <w:pPr>
        <w:shd w:val="clear"/>
        <w:rPr>
          <w:rFonts w:hint="eastAsia" w:ascii="宋体" w:hAnsi="宋体" w:eastAsia="宋体" w:cs="宋体"/>
          <w:b/>
          <w:bCs/>
          <w:color w:val="auto"/>
          <w:sz w:val="21"/>
          <w:szCs w:val="21"/>
          <w:highlight w:val="none"/>
        </w:rPr>
      </w:pPr>
      <w:bookmarkStart w:id="143" w:name="_Toc403513520"/>
      <w:bookmarkStart w:id="144" w:name="_Toc152042334"/>
      <w:bookmarkStart w:id="145" w:name="_Toc152045558"/>
      <w:bookmarkStart w:id="146" w:name="_Toc332121741"/>
      <w:bookmarkStart w:id="147" w:name="_Toc330213973"/>
      <w:bookmarkStart w:id="148" w:name="_Toc144974526"/>
      <w:r>
        <w:rPr>
          <w:rFonts w:hint="eastAsia" w:ascii="宋体" w:hAnsi="宋体" w:eastAsia="宋体" w:cs="宋体"/>
          <w:b/>
          <w:bCs/>
          <w:color w:val="auto"/>
          <w:sz w:val="21"/>
          <w:szCs w:val="21"/>
          <w:highlight w:val="none"/>
        </w:rPr>
        <w:t>3.10投标文件的修改与撤回</w:t>
      </w:r>
      <w:bookmarkEnd w:id="143"/>
      <w:bookmarkEnd w:id="144"/>
      <w:bookmarkEnd w:id="145"/>
      <w:bookmarkEnd w:id="146"/>
      <w:bookmarkEnd w:id="147"/>
      <w:bookmarkEnd w:id="148"/>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3.10.1 在供应商须知前附表规定的投标文件递交截止时间前，供应商可以修改或撤回已递交的投标文件，但应以书面形式通知采购人。</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3.10.2 修改的内容为投标文件的组成部分。修改的投标文件应按照本章第3条、第4条规定进行编制、密封、标记和递交，并标明“修改”字样。</w:t>
      </w:r>
    </w:p>
    <w:p>
      <w:pPr>
        <w:pStyle w:val="4"/>
        <w:shd w:val="clear"/>
        <w:rPr>
          <w:rFonts w:hint="eastAsia" w:ascii="宋体" w:hAnsi="宋体" w:eastAsia="宋体" w:cs="宋体"/>
          <w:color w:val="auto"/>
          <w:sz w:val="21"/>
          <w:szCs w:val="21"/>
          <w:highlight w:val="none"/>
        </w:rPr>
      </w:pPr>
      <w:bookmarkStart w:id="149" w:name="_Toc152042335"/>
      <w:bookmarkStart w:id="150" w:name="_Toc518821213"/>
      <w:bookmarkStart w:id="151" w:name="_Toc19867"/>
      <w:bookmarkStart w:id="152" w:name="_Toc144974527"/>
      <w:bookmarkStart w:id="153" w:name="_Toc152045559"/>
      <w:bookmarkStart w:id="154" w:name="_Toc7646"/>
      <w:bookmarkStart w:id="155" w:name="_Toc14733"/>
      <w:r>
        <w:rPr>
          <w:rFonts w:hint="eastAsia" w:ascii="宋体" w:hAnsi="宋体" w:eastAsia="宋体" w:cs="宋体"/>
          <w:color w:val="auto"/>
          <w:sz w:val="21"/>
          <w:szCs w:val="21"/>
          <w:highlight w:val="none"/>
        </w:rPr>
        <w:t xml:space="preserve">4. </w:t>
      </w:r>
      <w:bookmarkEnd w:id="149"/>
      <w:bookmarkEnd w:id="150"/>
      <w:bookmarkEnd w:id="151"/>
      <w:bookmarkEnd w:id="152"/>
      <w:bookmarkEnd w:id="153"/>
      <w:bookmarkEnd w:id="154"/>
      <w:r>
        <w:rPr>
          <w:rFonts w:hint="eastAsia" w:ascii="宋体" w:hAnsi="宋体" w:eastAsia="宋体" w:cs="宋体"/>
          <w:color w:val="auto"/>
          <w:sz w:val="21"/>
          <w:szCs w:val="21"/>
          <w:highlight w:val="none"/>
        </w:rPr>
        <w:t>投标</w:t>
      </w:r>
      <w:bookmarkEnd w:id="155"/>
    </w:p>
    <w:p>
      <w:pPr>
        <w:shd w:val="clear"/>
        <w:rPr>
          <w:rFonts w:hint="eastAsia" w:ascii="宋体" w:hAnsi="宋体" w:eastAsia="宋体" w:cs="宋体"/>
          <w:b/>
          <w:bCs/>
          <w:color w:val="auto"/>
          <w:sz w:val="21"/>
          <w:szCs w:val="21"/>
          <w:highlight w:val="none"/>
        </w:rPr>
      </w:pPr>
      <w:bookmarkStart w:id="156" w:name="_Toc403513522"/>
      <w:bookmarkStart w:id="157" w:name="_Toc152042336"/>
      <w:bookmarkStart w:id="158" w:name="_Toc144974528"/>
      <w:bookmarkStart w:id="159" w:name="_Toc330213975"/>
      <w:bookmarkStart w:id="160" w:name="_Toc152045560"/>
      <w:bookmarkStart w:id="161" w:name="_Toc332121743"/>
      <w:r>
        <w:rPr>
          <w:rFonts w:hint="eastAsia" w:ascii="宋体" w:hAnsi="宋体" w:eastAsia="宋体" w:cs="宋体"/>
          <w:b/>
          <w:bCs/>
          <w:color w:val="auto"/>
          <w:sz w:val="21"/>
          <w:szCs w:val="21"/>
          <w:highlight w:val="none"/>
        </w:rPr>
        <w:t>4.1 投标时间和地点</w:t>
      </w:r>
      <w:bookmarkEnd w:id="156"/>
      <w:bookmarkEnd w:id="157"/>
      <w:bookmarkEnd w:id="158"/>
      <w:bookmarkEnd w:id="159"/>
      <w:bookmarkEnd w:id="160"/>
      <w:bookmarkEnd w:id="161"/>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采购人在供应商须知前附表规定的投标文件递交截止时间（投标时间）及地点投标，并邀请所有供应商的法定代表人或其委托代理人准时参加。</w:t>
      </w:r>
    </w:p>
    <w:p>
      <w:pPr>
        <w:shd w:val="clear"/>
        <w:rPr>
          <w:rFonts w:hint="eastAsia" w:ascii="宋体" w:hAnsi="宋体" w:eastAsia="宋体" w:cs="宋体"/>
          <w:b/>
          <w:bCs/>
          <w:color w:val="auto"/>
          <w:sz w:val="21"/>
          <w:szCs w:val="21"/>
          <w:highlight w:val="none"/>
        </w:rPr>
      </w:pPr>
      <w:bookmarkStart w:id="162" w:name="_Toc403513523"/>
      <w:bookmarkStart w:id="163" w:name="_Toc152045561"/>
      <w:bookmarkStart w:id="164" w:name="_Toc144974529"/>
      <w:bookmarkStart w:id="165" w:name="_Toc152042337"/>
      <w:bookmarkStart w:id="166" w:name="_Toc330213976"/>
      <w:bookmarkStart w:id="167" w:name="_Toc332121744"/>
      <w:r>
        <w:rPr>
          <w:rFonts w:hint="eastAsia" w:ascii="宋体" w:hAnsi="宋体" w:eastAsia="宋体" w:cs="宋体"/>
          <w:b/>
          <w:bCs/>
          <w:color w:val="auto"/>
          <w:sz w:val="21"/>
          <w:szCs w:val="21"/>
          <w:highlight w:val="none"/>
        </w:rPr>
        <w:t>4.2 投标程序</w:t>
      </w:r>
      <w:bookmarkEnd w:id="162"/>
      <w:bookmarkEnd w:id="163"/>
      <w:bookmarkEnd w:id="164"/>
      <w:bookmarkEnd w:id="165"/>
      <w:bookmarkEnd w:id="166"/>
      <w:bookmarkEnd w:id="167"/>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主持人按下列程序进行开标会议：</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（1）介绍与会各方人员；</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（2）介绍供应商；</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（3）宣读会议纪律；</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（4）由供应商法定代表人或其委托代理人、监督人检查投标文件的密封情况，并对密封情况书面确认；</w:t>
      </w:r>
    </w:p>
    <w:p>
      <w:pPr>
        <w:shd w:val="clear"/>
        <w:ind w:firstLine="420" w:firstLineChars="200"/>
        <w:rPr>
          <w:rFonts w:hint="eastAsia" w:ascii="宋体" w:hAnsi="宋体" w:eastAsia="宋体" w:cs="宋体"/>
          <w:color w:val="auto"/>
          <w:sz w:val="21"/>
          <w:szCs w:val="21"/>
          <w:highlight w:val="none"/>
        </w:rPr>
      </w:pPr>
      <w:bookmarkStart w:id="168" w:name="_Toc152042338"/>
      <w:bookmarkStart w:id="169" w:name="_Toc144974530"/>
      <w:bookmarkStart w:id="170" w:name="_Toc152045562"/>
      <w:r>
        <w:rPr>
          <w:rFonts w:hint="eastAsia" w:ascii="宋体" w:hAnsi="宋体" w:eastAsia="宋体" w:cs="宋体"/>
          <w:color w:val="auto"/>
          <w:sz w:val="21"/>
          <w:szCs w:val="21"/>
          <w:highlight w:val="none"/>
        </w:rPr>
        <w:t>（5）经确认无误后，由采购代理机构工作人员依递交投标文件的摆放顺序当众拆封，宣读各供应商名称、投标报价、交货期等信息，并当场记录。</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（6）宣布开标会议结束，所有供应商离场。</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（7）采购代理机构对</w:t>
      </w:r>
      <w:r>
        <w:rPr>
          <w:rFonts w:hint="eastAsia" w:ascii="宋体" w:hAnsi="宋体" w:eastAsia="宋体" w:cs="宋体"/>
          <w:color w:val="auto"/>
          <w:sz w:val="21"/>
          <w:szCs w:val="21"/>
          <w:highlight w:val="none"/>
          <w:lang w:eastAsia="zh-CN"/>
        </w:rPr>
        <w:t>投标</w:t>
      </w:r>
      <w:r>
        <w:rPr>
          <w:rFonts w:hint="eastAsia" w:ascii="宋体" w:hAnsi="宋体" w:eastAsia="宋体" w:cs="宋体"/>
          <w:color w:val="auto"/>
          <w:sz w:val="21"/>
          <w:szCs w:val="21"/>
          <w:highlight w:val="none"/>
        </w:rPr>
        <w:t>过程进行摄像、文字记录，并存档备查。</w:t>
      </w:r>
    </w:p>
    <w:bookmarkEnd w:id="168"/>
    <w:bookmarkEnd w:id="169"/>
    <w:bookmarkEnd w:id="170"/>
    <w:p>
      <w:pPr>
        <w:shd w:val="clear"/>
        <w:rPr>
          <w:rFonts w:hint="eastAsia" w:ascii="宋体" w:hAnsi="宋体" w:eastAsia="宋体" w:cs="宋体"/>
          <w:b/>
          <w:bCs/>
          <w:color w:val="auto"/>
          <w:sz w:val="21"/>
          <w:szCs w:val="21"/>
          <w:highlight w:val="none"/>
        </w:rPr>
      </w:pPr>
      <w:bookmarkStart w:id="171" w:name="_Toc152045563"/>
      <w:bookmarkStart w:id="172" w:name="_Toc330213978"/>
      <w:bookmarkStart w:id="173" w:name="_Toc144974531"/>
      <w:bookmarkStart w:id="174" w:name="_Toc332121746"/>
      <w:bookmarkStart w:id="175" w:name="_Toc152042339"/>
      <w:bookmarkStart w:id="176" w:name="_Toc403513525"/>
      <w:r>
        <w:rPr>
          <w:rFonts w:hint="eastAsia" w:ascii="宋体" w:hAnsi="宋体" w:eastAsia="宋体" w:cs="宋体"/>
          <w:b/>
          <w:bCs/>
          <w:color w:val="auto"/>
          <w:sz w:val="21"/>
          <w:szCs w:val="21"/>
          <w:highlight w:val="none"/>
        </w:rPr>
        <w:t>4.</w:t>
      </w:r>
      <w:bookmarkEnd w:id="171"/>
      <w:bookmarkEnd w:id="172"/>
      <w:bookmarkEnd w:id="173"/>
      <w:bookmarkEnd w:id="174"/>
      <w:bookmarkEnd w:id="175"/>
      <w:bookmarkEnd w:id="176"/>
      <w:r>
        <w:rPr>
          <w:rFonts w:hint="eastAsia" w:ascii="宋体" w:hAnsi="宋体" w:eastAsia="宋体" w:cs="宋体"/>
          <w:b/>
          <w:bCs/>
          <w:color w:val="auto"/>
          <w:sz w:val="21"/>
          <w:szCs w:val="21"/>
          <w:highlight w:val="none"/>
        </w:rPr>
        <w:t>3评标委员会</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4.3.1采购代理机构根据《中华人民共和国政府采购法》、《中华人民共和国政府采购法实施条例》和“财政部第87号部长令”的规定 --《政府采购货物和服务招标投标管理办法》等规定，依法组建评标委员会。评标委员会由采购人代表和评审专家共</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人以上单数组成。其中评审专家人数不得少于成员总数的三分之二，采购人代表须持有授权书。评标委员会按照招标文件规定的评审方法独立进行评审工作。</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4.3.2 评标委员会成员有下列情形之一的，应当回避：</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（1）采购人或供应商的主要负责人的近亲属；</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（2）项目主管部门或者行政监督部门的人员；</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（3）与供应商有经济利益关系，可能影响对</w:t>
      </w:r>
      <w:r>
        <w:rPr>
          <w:rFonts w:hint="eastAsia" w:ascii="宋体" w:hAnsi="宋体" w:eastAsia="宋体" w:cs="宋体"/>
          <w:color w:val="auto"/>
          <w:sz w:val="21"/>
          <w:szCs w:val="21"/>
          <w:highlight w:val="none"/>
          <w:lang w:val="en-US" w:eastAsia="zh-CN"/>
        </w:rPr>
        <w:t>招</w:t>
      </w:r>
      <w:r>
        <w:rPr>
          <w:rFonts w:hint="eastAsia" w:ascii="宋体" w:hAnsi="宋体" w:eastAsia="宋体" w:cs="宋体"/>
          <w:color w:val="auto"/>
          <w:sz w:val="21"/>
          <w:szCs w:val="21"/>
          <w:highlight w:val="none"/>
          <w:lang w:eastAsia="zh-CN"/>
        </w:rPr>
        <w:t>投标</w:t>
      </w:r>
      <w:r>
        <w:rPr>
          <w:rFonts w:hint="eastAsia" w:ascii="宋体" w:hAnsi="宋体" w:eastAsia="宋体" w:cs="宋体"/>
          <w:color w:val="auto"/>
          <w:sz w:val="21"/>
          <w:szCs w:val="21"/>
          <w:highlight w:val="none"/>
        </w:rPr>
        <w:t>公正评审的；</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（4）曾因在招标、</w:t>
      </w:r>
      <w:r>
        <w:rPr>
          <w:rFonts w:hint="eastAsia" w:ascii="宋体" w:hAnsi="宋体" w:eastAsia="宋体" w:cs="宋体"/>
          <w:color w:val="auto"/>
          <w:sz w:val="21"/>
          <w:szCs w:val="21"/>
          <w:highlight w:val="none"/>
          <w:lang w:eastAsia="zh-CN"/>
        </w:rPr>
        <w:t>投标</w:t>
      </w:r>
      <w:r>
        <w:rPr>
          <w:rFonts w:hint="eastAsia" w:ascii="宋体" w:hAnsi="宋体" w:eastAsia="宋体" w:cs="宋体"/>
          <w:color w:val="auto"/>
          <w:sz w:val="21"/>
          <w:szCs w:val="21"/>
          <w:highlight w:val="none"/>
        </w:rPr>
        <w:t>以及其他与招标投标有关活动中从事违法行为而受过行政处罚或刑事处罚的。</w:t>
      </w:r>
    </w:p>
    <w:p>
      <w:pPr>
        <w:pStyle w:val="4"/>
        <w:shd w:val="clear"/>
        <w:rPr>
          <w:rFonts w:hint="eastAsia" w:ascii="宋体" w:hAnsi="宋体" w:eastAsia="宋体" w:cs="宋体"/>
          <w:color w:val="auto"/>
          <w:sz w:val="21"/>
          <w:szCs w:val="21"/>
          <w:highlight w:val="none"/>
        </w:rPr>
      </w:pPr>
      <w:bookmarkStart w:id="177" w:name="_Toc330213979"/>
      <w:bookmarkStart w:id="178" w:name="_Toc6994"/>
      <w:bookmarkStart w:id="179" w:name="_Toc152045564"/>
      <w:bookmarkStart w:id="180" w:name="_Toc144974532"/>
      <w:bookmarkStart w:id="181" w:name="_Toc332121747"/>
      <w:bookmarkStart w:id="182" w:name="_Toc518821214"/>
      <w:bookmarkStart w:id="183" w:name="_Toc403513526"/>
      <w:bookmarkStart w:id="184" w:name="_Toc152042340"/>
      <w:bookmarkStart w:id="185" w:name="_Toc21673"/>
      <w:bookmarkStart w:id="186" w:name="_Toc25123"/>
      <w:r>
        <w:rPr>
          <w:rFonts w:hint="eastAsia" w:ascii="宋体" w:hAnsi="宋体" w:eastAsia="宋体" w:cs="宋体"/>
          <w:color w:val="auto"/>
          <w:sz w:val="21"/>
          <w:szCs w:val="21"/>
          <w:highlight w:val="none"/>
        </w:rPr>
        <w:t xml:space="preserve">5. </w:t>
      </w:r>
      <w:bookmarkEnd w:id="177"/>
      <w:bookmarkEnd w:id="178"/>
      <w:bookmarkEnd w:id="179"/>
      <w:bookmarkEnd w:id="180"/>
      <w:bookmarkEnd w:id="181"/>
      <w:bookmarkEnd w:id="182"/>
      <w:bookmarkEnd w:id="183"/>
      <w:bookmarkEnd w:id="184"/>
      <w:r>
        <w:rPr>
          <w:rFonts w:hint="eastAsia" w:ascii="宋体" w:hAnsi="宋体" w:eastAsia="宋体" w:cs="宋体"/>
          <w:color w:val="auto"/>
          <w:sz w:val="21"/>
          <w:szCs w:val="21"/>
          <w:highlight w:val="none"/>
        </w:rPr>
        <w:t>评审</w:t>
      </w:r>
      <w:bookmarkEnd w:id="185"/>
      <w:bookmarkEnd w:id="186"/>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政府采购活动遵循公平、公正、科学和择优的原则。</w:t>
      </w:r>
    </w:p>
    <w:p>
      <w:pPr>
        <w:shd w:val="clea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5.1 投标文件的审核</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5.1.1投标文件的资格性审查：依据法律法规和招标文件的规定，对投标文件中的资格证明文件等进行审查，审查内容为公告中所列的供应商资格条件。</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5.1.2投标文件符合性审查：依据招标文件的规定，从投标文件的有效性、完整性和对投标文件的响应程度进行审查，以确定是否对招标文件的实质性内容作出响应。其内容包括并不局限以下部分：</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5.1.2.1合同履行期限（交货期）是否完全响应；</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5.1.2.2付款方式是否完全响应；</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5.1.2.3投标文件的数量是否合格；</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5.1.2.4投标文件有效期是否合格；</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5.1.2.5投标文件的签字盖章是否合格；</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5.1.2.6招标文件规定的其他要求。</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5.1.3投标文件详细审查：评标委员会按照第三章“评标办法”规定的方法、评审因素、标准和程序对招标文件进行评审。第三章“评标办法”没有规定的方法、评审因素和标准，不作为评审依据。</w:t>
      </w:r>
    </w:p>
    <w:p>
      <w:pPr>
        <w:shd w:val="clea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5.2投标文件的比较与评价</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5.2.1评标委员会在评标过程中，发现投标文件出现下列情况之一者，按以下原则修正：</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（1）开标一览表内容与投标文件中内容不一致的，以开标一览表为准；</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（2）大写金额和小写金额不一致的，以大写金额为准；</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（3）总价金额与按单价汇总金额不一致的，以单价金额计算结果为准；</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（4）单价金额小数点有明显错位的，应以总价为准，并修改单价；</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（5）对不同文字文本投标文件的解释发生异议的，以中文文本为准；</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（6）文字与图表不一致的，以文字为准；</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（7）正本与副本不一致的，以正本为准。</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评标委员会将按上述修正方法调整投标文件中的相关内容，调整后的内容应对供应商具有约束力。如果供应商不接受修正后的内容，则其</w:t>
      </w:r>
      <w:r>
        <w:rPr>
          <w:rFonts w:hint="eastAsia" w:ascii="宋体" w:hAnsi="宋体" w:eastAsia="宋体" w:cs="宋体"/>
          <w:color w:val="auto"/>
          <w:sz w:val="21"/>
          <w:szCs w:val="21"/>
          <w:highlight w:val="none"/>
          <w:lang w:eastAsia="zh-CN"/>
        </w:rPr>
        <w:t>投标</w:t>
      </w:r>
      <w:r>
        <w:rPr>
          <w:rFonts w:hint="eastAsia" w:ascii="宋体" w:hAnsi="宋体" w:eastAsia="宋体" w:cs="宋体"/>
          <w:color w:val="auto"/>
          <w:sz w:val="21"/>
          <w:szCs w:val="21"/>
          <w:highlight w:val="none"/>
        </w:rPr>
        <w:t>将被拒绝，其投标保证金将被没收。</w:t>
      </w:r>
    </w:p>
    <w:p>
      <w:pPr>
        <w:pStyle w:val="4"/>
        <w:shd w:val="clear"/>
        <w:rPr>
          <w:rFonts w:hint="eastAsia" w:ascii="宋体" w:hAnsi="宋体" w:eastAsia="宋体" w:cs="宋体"/>
          <w:color w:val="auto"/>
          <w:sz w:val="21"/>
          <w:szCs w:val="21"/>
          <w:highlight w:val="none"/>
        </w:rPr>
      </w:pPr>
      <w:bookmarkStart w:id="187" w:name="_Toc152042342"/>
      <w:bookmarkStart w:id="188" w:name="_Toc27224"/>
      <w:bookmarkStart w:id="189" w:name="_Toc152045566"/>
      <w:bookmarkStart w:id="190" w:name="_Toc144974534"/>
      <w:bookmarkStart w:id="191" w:name="_Toc11038"/>
      <w:bookmarkStart w:id="192" w:name="_Toc20316"/>
      <w:bookmarkStart w:id="193" w:name="_Toc518821215"/>
      <w:r>
        <w:rPr>
          <w:rFonts w:hint="eastAsia" w:ascii="宋体" w:hAnsi="宋体" w:eastAsia="宋体" w:cs="宋体"/>
          <w:color w:val="auto"/>
          <w:sz w:val="21"/>
          <w:szCs w:val="21"/>
          <w:highlight w:val="none"/>
        </w:rPr>
        <w:t>6. 合同授予</w:t>
      </w:r>
      <w:bookmarkEnd w:id="187"/>
      <w:bookmarkEnd w:id="188"/>
      <w:bookmarkEnd w:id="189"/>
      <w:bookmarkEnd w:id="190"/>
      <w:bookmarkEnd w:id="191"/>
      <w:bookmarkEnd w:id="192"/>
      <w:bookmarkEnd w:id="193"/>
    </w:p>
    <w:p>
      <w:pPr>
        <w:shd w:val="clear"/>
        <w:rPr>
          <w:rFonts w:hint="eastAsia" w:ascii="宋体" w:hAnsi="宋体" w:eastAsia="宋体" w:cs="宋体"/>
          <w:b/>
          <w:bCs/>
          <w:color w:val="auto"/>
          <w:sz w:val="21"/>
          <w:szCs w:val="21"/>
          <w:highlight w:val="none"/>
        </w:rPr>
      </w:pPr>
      <w:bookmarkStart w:id="194" w:name="_Toc330213982"/>
      <w:bookmarkStart w:id="195" w:name="_Toc152045567"/>
      <w:bookmarkStart w:id="196" w:name="_Toc332121750"/>
      <w:bookmarkStart w:id="197" w:name="_Toc144974535"/>
      <w:bookmarkStart w:id="198" w:name="_Toc403513529"/>
      <w:bookmarkStart w:id="199" w:name="_Toc152042343"/>
      <w:bookmarkStart w:id="200" w:name="_Toc152045568"/>
      <w:bookmarkStart w:id="201" w:name="_Toc152042344"/>
      <w:bookmarkStart w:id="202" w:name="_Toc144974536"/>
      <w:r>
        <w:rPr>
          <w:rFonts w:hint="eastAsia" w:ascii="宋体" w:hAnsi="宋体" w:eastAsia="宋体" w:cs="宋体"/>
          <w:b/>
          <w:bCs/>
          <w:color w:val="auto"/>
          <w:sz w:val="21"/>
          <w:szCs w:val="21"/>
          <w:highlight w:val="none"/>
        </w:rPr>
        <w:t>6.1 定标方式</w:t>
      </w:r>
      <w:bookmarkEnd w:id="194"/>
      <w:bookmarkEnd w:id="195"/>
      <w:bookmarkEnd w:id="196"/>
      <w:bookmarkEnd w:id="197"/>
      <w:bookmarkEnd w:id="198"/>
      <w:bookmarkEnd w:id="199"/>
    </w:p>
    <w:p>
      <w:pPr>
        <w:shd w:val="clear"/>
        <w:ind w:firstLine="420" w:firstLineChars="200"/>
        <w:rPr>
          <w:rFonts w:hint="eastAsia" w:ascii="宋体" w:hAnsi="宋体" w:eastAsia="宋体" w:cs="宋体"/>
          <w:color w:val="auto"/>
          <w:sz w:val="21"/>
          <w:szCs w:val="21"/>
          <w:highlight w:val="none"/>
        </w:rPr>
      </w:pPr>
      <w:bookmarkStart w:id="203" w:name="_Toc332121752"/>
      <w:bookmarkStart w:id="204" w:name="_Toc330213984"/>
      <w:bookmarkStart w:id="205" w:name="_Toc403513531"/>
      <w:r>
        <w:rPr>
          <w:rFonts w:hint="eastAsia" w:ascii="宋体" w:hAnsi="宋体" w:eastAsia="宋体" w:cs="宋体"/>
          <w:color w:val="auto"/>
          <w:sz w:val="21"/>
          <w:szCs w:val="21"/>
          <w:highlight w:val="none"/>
        </w:rPr>
        <w:t>6.1.1评标委员会依据招标文件的要求，对供应商进行认真评审。经过评审、澄清、最后报价等程序后，从投标文件满足招标文件全部实质性要求的的供应商中，按照评审得分由高到低顺序的顺序推荐</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3名中标候选供应商，并编写评标报告。</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6.1.2采购人在收到评标报告</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个工作日内，根据评标委员会提交的评标报告和推荐的中标候选供应商，按照排序由高到低的原则确定中标供应商；采购人逾期未确定中标供应商且不提出异议的，视为确定评标报告推荐的排名第一的供应商为中标供应商。</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6.1.3采购代理机构接到采购人的《定标复函》后</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个工作日内，将中标结果在陕西省政府采购网上发布公告，公示期：1个工作日，并同时向中标供应商发出中标通知书。其他供应商若对中标结果质疑的，按《政府采购法》第52条及《政府采购质疑与投诉（94号令）》执行。</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6.1.4中标供应商确定后，采购人和采购代理机构对未中标原因不作任何解释，投标文件不予退还（含纸质及电子版文件）。</w:t>
      </w:r>
    </w:p>
    <w:bookmarkEnd w:id="200"/>
    <w:bookmarkEnd w:id="201"/>
    <w:bookmarkEnd w:id="202"/>
    <w:bookmarkEnd w:id="203"/>
    <w:bookmarkEnd w:id="204"/>
    <w:bookmarkEnd w:id="205"/>
    <w:p>
      <w:pPr>
        <w:shd w:val="clear"/>
        <w:rPr>
          <w:rFonts w:hint="eastAsia" w:ascii="宋体" w:hAnsi="宋体" w:eastAsia="宋体" w:cs="宋体"/>
          <w:b/>
          <w:bCs/>
          <w:color w:val="auto"/>
          <w:sz w:val="21"/>
          <w:szCs w:val="21"/>
          <w:highlight w:val="none"/>
        </w:rPr>
      </w:pPr>
      <w:bookmarkStart w:id="206" w:name="_Toc152045570"/>
      <w:bookmarkStart w:id="207" w:name="_Toc332121754"/>
      <w:bookmarkStart w:id="208" w:name="_Toc330213986"/>
      <w:bookmarkStart w:id="209" w:name="_Toc144974538"/>
      <w:bookmarkStart w:id="210" w:name="_Toc403513533"/>
      <w:bookmarkStart w:id="211" w:name="_Toc152042346"/>
      <w:r>
        <w:rPr>
          <w:rFonts w:hint="eastAsia" w:ascii="宋体" w:hAnsi="宋体" w:eastAsia="宋体" w:cs="宋体"/>
          <w:b/>
          <w:bCs/>
          <w:color w:val="auto"/>
          <w:sz w:val="21"/>
          <w:szCs w:val="21"/>
          <w:highlight w:val="none"/>
        </w:rPr>
        <w:t>6.2 签订合同</w:t>
      </w:r>
      <w:bookmarkEnd w:id="206"/>
      <w:bookmarkEnd w:id="207"/>
      <w:bookmarkEnd w:id="208"/>
      <w:bookmarkEnd w:id="209"/>
      <w:bookmarkEnd w:id="210"/>
      <w:bookmarkEnd w:id="211"/>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6.2.1采购人和中标供应商应当自中标通知书发出之日起30天内，根据招标文件和中标供应商的投标文件订立书面合同。中标供应商无正当理由拒签合同的，采购人取消其中标资格，其投标保证金不予退还；给采购人造成的损失超过投标保证金数额的，中标供应商还应当对超过部分予以赔偿。 </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6.2.2 发出中标通知书后，采购人无正当理由拒签合同的，采购人向中标供应商退还投标保证金；给中标供应商造成损失的，还应当赔偿损失。 </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6.2.3中标供应商拒绝与采购人签订合同的，采购人可以按照评审报告推荐的中标或者中标供应商入围候选人名单排序，确定下一候选人为中标供应商，也可以重新开展政府采购活动。</w:t>
      </w:r>
    </w:p>
    <w:p>
      <w:pPr>
        <w:shd w:val="clear"/>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6.2.4采购人在合同签订后2个工作日内，将政府采购合同在“陕西省政府采购网”进行公示。</w:t>
      </w:r>
    </w:p>
    <w:p>
      <w:pPr>
        <w:pStyle w:val="4"/>
        <w:numPr>
          <w:ilvl w:val="0"/>
          <w:numId w:val="2"/>
        </w:numPr>
        <w:shd w:val="clear"/>
        <w:rPr>
          <w:rFonts w:hint="eastAsia" w:ascii="宋体" w:hAnsi="宋体" w:eastAsia="宋体" w:cs="宋体"/>
          <w:color w:val="auto"/>
          <w:sz w:val="21"/>
          <w:szCs w:val="21"/>
          <w:highlight w:val="none"/>
        </w:rPr>
      </w:pPr>
      <w:bookmarkStart w:id="212" w:name="_Toc518821216"/>
      <w:bookmarkStart w:id="213" w:name="_Toc152045574"/>
      <w:bookmarkStart w:id="214" w:name="_Toc152042350"/>
      <w:bookmarkStart w:id="215" w:name="_Toc22582"/>
      <w:bookmarkStart w:id="216" w:name="_Toc144974542"/>
      <w:bookmarkStart w:id="217" w:name="_Toc12399"/>
      <w:bookmarkStart w:id="218" w:name="_Toc19950"/>
      <w:r>
        <w:rPr>
          <w:rFonts w:hint="eastAsia" w:ascii="宋体" w:hAnsi="宋体" w:eastAsia="宋体" w:cs="宋体"/>
          <w:color w:val="auto"/>
          <w:sz w:val="21"/>
          <w:szCs w:val="21"/>
          <w:highlight w:val="none"/>
        </w:rPr>
        <w:t>纪律和监督</w:t>
      </w:r>
      <w:bookmarkEnd w:id="212"/>
      <w:bookmarkEnd w:id="213"/>
      <w:bookmarkEnd w:id="214"/>
      <w:bookmarkEnd w:id="215"/>
      <w:bookmarkEnd w:id="216"/>
      <w:bookmarkEnd w:id="217"/>
      <w:bookmarkEnd w:id="218"/>
    </w:p>
    <w:p>
      <w:pPr>
        <w:shd w:val="clear"/>
        <w:rPr>
          <w:rFonts w:hint="eastAsia" w:ascii="宋体" w:hAnsi="宋体" w:eastAsia="宋体" w:cs="宋体"/>
          <w:b/>
          <w:bCs/>
          <w:color w:val="auto"/>
          <w:sz w:val="21"/>
          <w:szCs w:val="21"/>
          <w:highlight w:val="none"/>
        </w:rPr>
      </w:pPr>
      <w:bookmarkStart w:id="219" w:name="_Toc403513538"/>
      <w:bookmarkStart w:id="220" w:name="_Toc152042351"/>
      <w:bookmarkStart w:id="221" w:name="_Toc330213991"/>
      <w:bookmarkStart w:id="222" w:name="_Toc152045575"/>
      <w:bookmarkStart w:id="223" w:name="_Toc144974543"/>
      <w:bookmarkStart w:id="224" w:name="_Toc332121759"/>
      <w:r>
        <w:rPr>
          <w:rFonts w:hint="eastAsia" w:ascii="宋体" w:hAnsi="宋体" w:eastAsia="宋体" w:cs="宋体"/>
          <w:b/>
          <w:bCs/>
          <w:color w:val="auto"/>
          <w:sz w:val="21"/>
          <w:szCs w:val="21"/>
          <w:highlight w:val="none"/>
        </w:rPr>
        <w:t>7.1 对采购人的纪律要求</w:t>
      </w:r>
      <w:bookmarkEnd w:id="219"/>
      <w:bookmarkEnd w:id="220"/>
      <w:bookmarkEnd w:id="221"/>
      <w:bookmarkEnd w:id="222"/>
      <w:bookmarkEnd w:id="223"/>
      <w:bookmarkEnd w:id="224"/>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采购人不得泄漏政府采购活动中应当保密的情况和资料，不得与供应商串通损害国家利益、社会公共利益或者他人合法权益。</w:t>
      </w:r>
    </w:p>
    <w:p>
      <w:pPr>
        <w:shd w:val="clear"/>
        <w:rPr>
          <w:rFonts w:hint="eastAsia" w:ascii="宋体" w:hAnsi="宋体" w:eastAsia="宋体" w:cs="宋体"/>
          <w:b/>
          <w:bCs/>
          <w:color w:val="auto"/>
          <w:sz w:val="21"/>
          <w:szCs w:val="21"/>
          <w:highlight w:val="none"/>
        </w:rPr>
      </w:pPr>
      <w:bookmarkStart w:id="225" w:name="_Toc152045576"/>
      <w:bookmarkStart w:id="226" w:name="_Toc330213992"/>
      <w:bookmarkStart w:id="227" w:name="_Toc152042352"/>
      <w:bookmarkStart w:id="228" w:name="_Toc332121760"/>
      <w:bookmarkStart w:id="229" w:name="_Toc144974544"/>
      <w:bookmarkStart w:id="230" w:name="_Toc403513539"/>
      <w:r>
        <w:rPr>
          <w:rFonts w:hint="eastAsia" w:ascii="宋体" w:hAnsi="宋体" w:eastAsia="宋体" w:cs="宋体"/>
          <w:b/>
          <w:bCs/>
          <w:color w:val="auto"/>
          <w:sz w:val="21"/>
          <w:szCs w:val="21"/>
          <w:highlight w:val="none"/>
        </w:rPr>
        <w:t>7.2 对供应商的纪律要求</w:t>
      </w:r>
      <w:bookmarkEnd w:id="225"/>
      <w:bookmarkEnd w:id="226"/>
      <w:bookmarkEnd w:id="227"/>
      <w:bookmarkEnd w:id="228"/>
      <w:bookmarkEnd w:id="229"/>
      <w:bookmarkEnd w:id="230"/>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供应商不得相互串通投标或者与采购人串通投标，不得向采购人或者评标委员会成员行贿谋取中标，不得以他人名义投标或者以其他方式弄虚作假骗取中标；供应商不得以任何方式干扰、影响评标工作。</w:t>
      </w:r>
    </w:p>
    <w:p>
      <w:pPr>
        <w:shd w:val="clear"/>
        <w:rPr>
          <w:rFonts w:hint="eastAsia" w:ascii="宋体" w:hAnsi="宋体" w:eastAsia="宋体" w:cs="宋体"/>
          <w:color w:val="auto"/>
          <w:sz w:val="21"/>
          <w:szCs w:val="21"/>
          <w:highlight w:val="none"/>
        </w:rPr>
      </w:pPr>
      <w:bookmarkStart w:id="231" w:name="_Toc332121761"/>
      <w:bookmarkStart w:id="232" w:name="_Toc152042353"/>
      <w:bookmarkStart w:id="233" w:name="_Toc144974545"/>
      <w:bookmarkStart w:id="234" w:name="_Toc330213993"/>
      <w:bookmarkStart w:id="235" w:name="_Toc403513540"/>
      <w:bookmarkStart w:id="236" w:name="_Toc152045577"/>
      <w:r>
        <w:rPr>
          <w:rFonts w:hint="eastAsia" w:ascii="宋体" w:hAnsi="宋体" w:eastAsia="宋体" w:cs="宋体"/>
          <w:b/>
          <w:bCs/>
          <w:color w:val="auto"/>
          <w:sz w:val="21"/>
          <w:szCs w:val="21"/>
          <w:highlight w:val="none"/>
        </w:rPr>
        <w:t>7.3 对评标委员会成员的纪律要求</w:t>
      </w:r>
      <w:bookmarkEnd w:id="231"/>
      <w:bookmarkEnd w:id="232"/>
      <w:bookmarkEnd w:id="233"/>
      <w:bookmarkEnd w:id="234"/>
      <w:bookmarkEnd w:id="235"/>
      <w:bookmarkEnd w:id="236"/>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评标委员会成员不得收受他人的财物或者其他好处，不得向他人透漏对投标文件的评审和比较、中标候选供应商的推荐情况以及</w:t>
      </w:r>
      <w:r>
        <w:rPr>
          <w:rFonts w:hint="eastAsia" w:ascii="宋体" w:hAnsi="宋体" w:eastAsia="宋体" w:cs="宋体"/>
          <w:color w:val="auto"/>
          <w:sz w:val="21"/>
          <w:szCs w:val="21"/>
          <w:highlight w:val="none"/>
          <w:lang w:eastAsia="zh-CN"/>
        </w:rPr>
        <w:t>投标</w:t>
      </w:r>
      <w:r>
        <w:rPr>
          <w:rFonts w:hint="eastAsia" w:ascii="宋体" w:hAnsi="宋体" w:eastAsia="宋体" w:cs="宋体"/>
          <w:color w:val="auto"/>
          <w:sz w:val="21"/>
          <w:szCs w:val="21"/>
          <w:highlight w:val="none"/>
        </w:rPr>
        <w:t>有关的其他情况。在政府采购活动中，评标委员会成员不得擅离职守，影响政府采购程序正常进行，不得使用第三章“评标办法”没有规定的评审因素和标准进行评标。</w:t>
      </w:r>
    </w:p>
    <w:p>
      <w:pPr>
        <w:shd w:val="clear"/>
        <w:rPr>
          <w:rFonts w:hint="eastAsia" w:ascii="宋体" w:hAnsi="宋体" w:eastAsia="宋体" w:cs="宋体"/>
          <w:b/>
          <w:bCs/>
          <w:color w:val="auto"/>
          <w:sz w:val="21"/>
          <w:szCs w:val="21"/>
          <w:highlight w:val="none"/>
        </w:rPr>
      </w:pPr>
      <w:bookmarkStart w:id="237" w:name="_Toc403513541"/>
      <w:bookmarkStart w:id="238" w:name="_Toc332121762"/>
      <w:bookmarkStart w:id="239" w:name="_Toc152042354"/>
      <w:bookmarkStart w:id="240" w:name="_Toc330213994"/>
      <w:bookmarkStart w:id="241" w:name="_Toc152045578"/>
      <w:bookmarkStart w:id="242" w:name="_Toc144974546"/>
      <w:r>
        <w:rPr>
          <w:rFonts w:hint="eastAsia" w:ascii="宋体" w:hAnsi="宋体" w:eastAsia="宋体" w:cs="宋体"/>
          <w:b/>
          <w:bCs/>
          <w:color w:val="auto"/>
          <w:sz w:val="21"/>
          <w:szCs w:val="21"/>
          <w:highlight w:val="none"/>
        </w:rPr>
        <w:t>7.4 对与政府采购活动有关的工作人员的纪律要求</w:t>
      </w:r>
      <w:bookmarkEnd w:id="237"/>
      <w:bookmarkEnd w:id="238"/>
      <w:bookmarkEnd w:id="239"/>
      <w:bookmarkEnd w:id="240"/>
      <w:bookmarkEnd w:id="241"/>
    </w:p>
    <w:p>
      <w:pPr>
        <w:shd w:val="clear"/>
        <w:ind w:firstLine="420" w:firstLineChars="200"/>
        <w:rPr>
          <w:rFonts w:hint="eastAsia" w:ascii="宋体" w:hAnsi="宋体" w:eastAsia="宋体" w:cs="宋体"/>
          <w:color w:val="auto"/>
          <w:sz w:val="21"/>
          <w:szCs w:val="21"/>
          <w:highlight w:val="none"/>
        </w:rPr>
      </w:pPr>
      <w:bookmarkStart w:id="243" w:name="_Toc152042355"/>
      <w:bookmarkStart w:id="244" w:name="_Toc13989"/>
      <w:r>
        <w:rPr>
          <w:rFonts w:hint="eastAsia" w:ascii="宋体" w:hAnsi="宋体" w:eastAsia="宋体" w:cs="宋体"/>
          <w:color w:val="auto"/>
          <w:sz w:val="21"/>
          <w:szCs w:val="21"/>
          <w:highlight w:val="none"/>
        </w:rPr>
        <w:t>与政府采购活动有关的工作人员不得收受他人的财物或者其他好处，不得向他人透漏对投标文件的评审和比较、中标候选供应商的推荐情况以及投标有关的其他情况。在政府采购活动中，与政府采购活动有关的工作人员不得擅离职守，影响政府采购程序正常进行。</w:t>
      </w:r>
      <w:bookmarkEnd w:id="242"/>
      <w:bookmarkEnd w:id="243"/>
      <w:bookmarkEnd w:id="244"/>
    </w:p>
    <w:p>
      <w:pPr>
        <w:pStyle w:val="4"/>
        <w:shd w:val="clear"/>
        <w:rPr>
          <w:rFonts w:hint="eastAsia" w:ascii="宋体" w:hAnsi="宋体" w:eastAsia="宋体" w:cs="宋体"/>
          <w:color w:val="auto"/>
          <w:sz w:val="21"/>
          <w:szCs w:val="21"/>
          <w:highlight w:val="none"/>
        </w:rPr>
      </w:pPr>
      <w:bookmarkStart w:id="245" w:name="_Toc28388"/>
      <w:bookmarkStart w:id="246" w:name="_Toc518821217"/>
      <w:bookmarkStart w:id="247" w:name="_Toc13177"/>
      <w:bookmarkStart w:id="248" w:name="_Toc14831"/>
      <w:r>
        <w:rPr>
          <w:rFonts w:hint="eastAsia" w:ascii="宋体" w:hAnsi="宋体" w:eastAsia="宋体" w:cs="宋体"/>
          <w:color w:val="auto"/>
          <w:sz w:val="21"/>
          <w:szCs w:val="21"/>
          <w:highlight w:val="none"/>
        </w:rPr>
        <w:t>8. 采购代理服务费</w:t>
      </w:r>
      <w:bookmarkEnd w:id="245"/>
      <w:bookmarkEnd w:id="246"/>
      <w:bookmarkEnd w:id="247"/>
      <w:bookmarkEnd w:id="248"/>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8.1采购代理服务费的交纳方式：在领取中标通知书时以供应商须知前附表的规定，向采购代理机构交纳采购代理服务费。</w:t>
      </w:r>
    </w:p>
    <w:p>
      <w:pPr>
        <w:pStyle w:val="4"/>
        <w:shd w:val="clear"/>
        <w:rPr>
          <w:rFonts w:hint="eastAsia" w:ascii="宋体" w:hAnsi="宋体" w:eastAsia="宋体" w:cs="宋体"/>
          <w:color w:val="auto"/>
          <w:sz w:val="21"/>
          <w:szCs w:val="21"/>
          <w:highlight w:val="none"/>
        </w:rPr>
      </w:pPr>
      <w:bookmarkStart w:id="249" w:name="_Toc144974547"/>
      <w:bookmarkStart w:id="250" w:name="_Toc152045580"/>
      <w:bookmarkStart w:id="251" w:name="_Toc152042357"/>
      <w:bookmarkStart w:id="252" w:name="_Toc15361"/>
      <w:bookmarkStart w:id="253" w:name="_Toc518821218"/>
      <w:bookmarkStart w:id="254" w:name="_Toc21006"/>
      <w:bookmarkStart w:id="255" w:name="_Toc25203"/>
      <w:r>
        <w:rPr>
          <w:rFonts w:hint="eastAsia" w:ascii="宋体" w:hAnsi="宋体" w:eastAsia="宋体" w:cs="宋体"/>
          <w:color w:val="auto"/>
          <w:sz w:val="21"/>
          <w:szCs w:val="21"/>
          <w:highlight w:val="none"/>
        </w:rPr>
        <w:t>9.</w:t>
      </w:r>
      <w:bookmarkEnd w:id="249"/>
      <w:bookmarkEnd w:id="250"/>
      <w:bookmarkEnd w:id="251"/>
      <w:r>
        <w:rPr>
          <w:rFonts w:hint="eastAsia" w:ascii="宋体" w:hAnsi="宋体" w:eastAsia="宋体" w:cs="宋体"/>
          <w:color w:val="auto"/>
          <w:sz w:val="21"/>
          <w:szCs w:val="21"/>
          <w:highlight w:val="none"/>
        </w:rPr>
        <w:t xml:space="preserve"> 需要补充的其他内容</w:t>
      </w:r>
      <w:bookmarkEnd w:id="252"/>
      <w:bookmarkEnd w:id="253"/>
      <w:bookmarkEnd w:id="254"/>
      <w:bookmarkEnd w:id="255"/>
    </w:p>
    <w:p>
      <w:pPr>
        <w:shd w:val="clea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9.1 节能、环保产品</w:t>
      </w:r>
    </w:p>
    <w:p>
      <w:pPr>
        <w:shd w:val="clear"/>
        <w:rPr>
          <w:rFonts w:hint="eastAsia" w:ascii="宋体" w:hAnsi="宋体" w:eastAsia="宋体" w:cs="宋体"/>
          <w:color w:val="auto"/>
          <w:sz w:val="21"/>
          <w:szCs w:val="21"/>
          <w:highlight w:val="none"/>
        </w:rPr>
      </w:pPr>
      <w:bookmarkStart w:id="256" w:name="_Toc478713983"/>
      <w:r>
        <w:rPr>
          <w:rFonts w:hint="eastAsia" w:ascii="宋体" w:hAnsi="宋体" w:eastAsia="宋体" w:cs="宋体"/>
          <w:color w:val="auto"/>
          <w:sz w:val="21"/>
          <w:szCs w:val="21"/>
          <w:highlight w:val="none"/>
        </w:rPr>
        <w:t>9.1.1节能产品根据《国务院办公厅关于建立政府强制采购节能产品制度的通知》（国办发〔2007〕51号）的规定，以中国政府采购网（http</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//www.ccgp.gov.cn/）公布的最新一期节能产品政府采购清单为准。</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9.1.2环境标志产品根据《环境标志产品政府采购实施的意见》（财库[2006]90号）的规定，以中国政府采购网（http</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//www.ccgp.gov.cn/）公布的最新一期环境标志产品政府采购清单为准。</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9.1.3供应商在投标文件中对所投标产品为节能、环保、环境标志产品清单中的产品，在投标报价时必须对此类产品单独分项报价，计算出小计及占投标报价总金额的百分比，并提供属于清单内产品的证明资料（从中国政府采购网上下载的网页公告等），未提供节能、环保、环境标志产品计分明细表及属于清单内产品的证明资料的不给予计分。 </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9.1.4 若节能、环保、环境标志清单内的产品仅是构成投标产品的部件、组件或零件的，则该投标产品不享受鼓励优惠政策。</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9.1.5 同一标包的节能、环保、环境标志产品部分计分只对属于清单内的非强制类产品进行计分，强制类产品不给予计分。 </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9.1.6节能、环保、环境标志产品不重复计分；同时列入国家级清单和省级清单的产品不重复计分。</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9.1.7获得上述认证的产品在投标时应提供有效证明材料。以上所有证明文件复印件须加盖供应商公章并注明“与原件一致”，否则不予计分。</w:t>
      </w:r>
    </w:p>
    <w:p>
      <w:pPr>
        <w:shd w:val="clea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9.2 进口产品</w:t>
      </w:r>
      <w:bookmarkEnd w:id="256"/>
    </w:p>
    <w:p>
      <w:pPr>
        <w:shd w:val="clear"/>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9.2.1本次政府采购项目不接受进口产品。</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9.2.2</w:t>
      </w:r>
      <w:r>
        <w:rPr>
          <w:rFonts w:hint="eastAsia" w:ascii="宋体" w:hAnsi="宋体" w:eastAsia="宋体" w:cs="宋体"/>
          <w:color w:val="auto"/>
          <w:sz w:val="21"/>
          <w:szCs w:val="21"/>
          <w:highlight w:val="none"/>
        </w:rPr>
        <w:t>进口产品是指通过中国海关报关验放进入中国境内且产自关境外的产品，详见《关于政府采购进口产品管理有关问题的通知》(财库[2007]119号)。</w:t>
      </w:r>
    </w:p>
    <w:p>
      <w:pPr>
        <w:shd w:val="clear"/>
        <w:rPr>
          <w:rFonts w:hint="eastAsia" w:ascii="宋体" w:hAnsi="宋体" w:eastAsia="宋体" w:cs="宋体"/>
          <w:color w:val="auto"/>
          <w:sz w:val="21"/>
          <w:szCs w:val="21"/>
          <w:highlight w:val="none"/>
        </w:rPr>
      </w:pPr>
      <w:bookmarkStart w:id="257" w:name="_Toc478713984"/>
      <w:r>
        <w:rPr>
          <w:rFonts w:hint="eastAsia" w:ascii="宋体" w:hAnsi="宋体" w:eastAsia="宋体" w:cs="宋体"/>
          <w:b/>
          <w:bCs/>
          <w:color w:val="auto"/>
          <w:sz w:val="21"/>
          <w:szCs w:val="21"/>
          <w:highlight w:val="none"/>
        </w:rPr>
        <w:t>9.3 中小企业</w:t>
      </w:r>
      <w:bookmarkEnd w:id="257"/>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9.3.1中小企业是指符合《工业和信息化部、国家统计局、国家发展和改革委员会、财政部关于印发中小企业划型标准规定的通知》（工信部联企业[2011]300号）规定的对中小企业的划分标准的企业</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采购活动执行《政府采购促进中小企业发展暂行办法》的规定，给予小微企业6%的价格折扣。</w:t>
      </w:r>
    </w:p>
    <w:p>
      <w:pPr>
        <w:shd w:val="clear"/>
        <w:rPr>
          <w:rFonts w:hint="eastAsia" w:ascii="宋体" w:hAnsi="宋体" w:eastAsia="宋体" w:cs="宋体"/>
          <w:b w:val="0"/>
          <w:bCs w:val="0"/>
          <w:color w:val="auto"/>
          <w:sz w:val="21"/>
          <w:szCs w:val="21"/>
          <w:highlight w:val="none"/>
        </w:rPr>
      </w:pPr>
      <w:r>
        <w:rPr>
          <w:rFonts w:hint="eastAsia" w:ascii="宋体" w:hAnsi="宋体" w:eastAsia="宋体" w:cs="宋体"/>
          <w:b/>
          <w:bCs/>
          <w:color w:val="auto"/>
          <w:sz w:val="21"/>
          <w:szCs w:val="21"/>
          <w:highlight w:val="none"/>
        </w:rPr>
        <w:t xml:space="preserve"> </w:t>
      </w:r>
      <w:r>
        <w:rPr>
          <w:rFonts w:hint="eastAsia" w:ascii="宋体" w:hAnsi="宋体" w:eastAsia="宋体" w:cs="宋体"/>
          <w:b w:val="0"/>
          <w:bCs w:val="0"/>
          <w:color w:val="auto"/>
          <w:sz w:val="21"/>
          <w:szCs w:val="21"/>
          <w:highlight w:val="none"/>
        </w:rPr>
        <w:t xml:space="preserve">  9.3.2</w:t>
      </w:r>
      <w:r>
        <w:rPr>
          <w:rFonts w:hint="eastAsia" w:ascii="宋体" w:hAnsi="宋体" w:eastAsia="宋体" w:cs="宋体"/>
          <w:color w:val="auto"/>
          <w:sz w:val="21"/>
          <w:szCs w:val="21"/>
          <w:highlight w:val="none"/>
        </w:rPr>
        <w:t>参加政府采购活动的中小企业</w:t>
      </w:r>
      <w:r>
        <w:rPr>
          <w:rFonts w:hint="eastAsia" w:ascii="宋体" w:hAnsi="宋体" w:eastAsia="宋体" w:cs="宋体"/>
          <w:color w:val="auto"/>
          <w:sz w:val="21"/>
          <w:szCs w:val="21"/>
          <w:highlight w:val="none"/>
          <w:lang w:val="en-US" w:eastAsia="zh-CN"/>
        </w:rPr>
        <w:t>根据情况</w:t>
      </w:r>
      <w:r>
        <w:rPr>
          <w:rFonts w:hint="eastAsia" w:ascii="宋体" w:hAnsi="宋体" w:eastAsia="宋体" w:cs="宋体"/>
          <w:color w:val="auto"/>
          <w:sz w:val="21"/>
          <w:szCs w:val="21"/>
          <w:highlight w:val="none"/>
        </w:rPr>
        <w:t>提供《中小企业声明函</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货物</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》（见第六章竞争性投标文件格式），</w:t>
      </w:r>
      <w:r>
        <w:rPr>
          <w:rFonts w:hint="eastAsia" w:ascii="宋体" w:hAnsi="宋体" w:eastAsia="宋体" w:cs="宋体"/>
          <w:color w:val="auto"/>
          <w:sz w:val="21"/>
          <w:szCs w:val="21"/>
          <w:highlight w:val="none"/>
          <w:lang w:val="en-US" w:eastAsia="zh-CN"/>
        </w:rPr>
        <w:t>并</w:t>
      </w:r>
      <w:r>
        <w:rPr>
          <w:rFonts w:hint="eastAsia" w:ascii="宋体" w:hAnsi="宋体" w:eastAsia="宋体" w:cs="宋体"/>
          <w:color w:val="auto"/>
          <w:sz w:val="21"/>
          <w:szCs w:val="21"/>
          <w:highlight w:val="none"/>
        </w:rPr>
        <w:t>以此为依据享受政府采购政策</w:t>
      </w:r>
      <w:r>
        <w:rPr>
          <w:rFonts w:hint="eastAsia" w:ascii="宋体" w:hAnsi="宋体" w:eastAsia="宋体" w:cs="宋体"/>
          <w:b w:val="0"/>
          <w:bCs w:val="0"/>
          <w:color w:val="auto"/>
          <w:sz w:val="21"/>
          <w:szCs w:val="21"/>
          <w:highlight w:val="none"/>
        </w:rPr>
        <w:t>。</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9.3.3监狱企业、福利</w:t>
      </w:r>
      <w:r>
        <w:rPr>
          <w:rFonts w:hint="eastAsia" w:ascii="宋体" w:hAnsi="宋体" w:eastAsia="宋体" w:cs="宋体"/>
          <w:color w:val="auto"/>
          <w:sz w:val="21"/>
          <w:szCs w:val="21"/>
          <w:highlight w:val="none"/>
          <w:lang w:val="en-US" w:eastAsia="zh-CN"/>
        </w:rPr>
        <w:t>性</w:t>
      </w:r>
      <w:r>
        <w:rPr>
          <w:rFonts w:hint="eastAsia" w:ascii="宋体" w:hAnsi="宋体" w:eastAsia="宋体" w:cs="宋体"/>
          <w:color w:val="auto"/>
          <w:sz w:val="21"/>
          <w:szCs w:val="21"/>
          <w:highlight w:val="none"/>
        </w:rPr>
        <w:t>企业参加政府采购活动时，视同小微企业。</w:t>
      </w:r>
    </w:p>
    <w:p>
      <w:pPr>
        <w:shd w:val="clear"/>
        <w:rPr>
          <w:rFonts w:hint="eastAsia" w:ascii="宋体" w:hAnsi="宋体" w:eastAsia="宋体" w:cs="宋体"/>
          <w:b/>
          <w:bCs/>
          <w:color w:val="auto"/>
          <w:sz w:val="21"/>
          <w:szCs w:val="21"/>
          <w:highlight w:val="none"/>
        </w:rPr>
      </w:pPr>
      <w:bookmarkStart w:id="258" w:name="_Toc478713985"/>
      <w:r>
        <w:rPr>
          <w:rFonts w:hint="eastAsia" w:ascii="宋体" w:hAnsi="宋体" w:eastAsia="宋体" w:cs="宋体"/>
          <w:b/>
          <w:bCs/>
          <w:color w:val="auto"/>
          <w:sz w:val="21"/>
          <w:szCs w:val="21"/>
          <w:highlight w:val="none"/>
        </w:rPr>
        <w:t>9.4 监狱企业</w:t>
      </w:r>
      <w:bookmarkEnd w:id="258"/>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9.4.1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9.4.2参加政府采购活动的监狱企业应符合《财政部 司法部关于政府采购支持监狱企业发展有关问题的通知》（财库〔2014〕68号），并提供由省级以上监狱管理局、戒毒管理局(含新疆生产建设兵团)出具的属于监狱企业的证明。</w:t>
      </w:r>
    </w:p>
    <w:p>
      <w:pPr>
        <w:shd w:val="clea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9.5 福利性企业</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9.5.1社会福利企业是指</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HYPERLINK "https://www.baidu.com/s?wd=%E8%87%AA%E4%B8%BB%E7%BB%8F%E8%90%A5&amp;tn=44039180_cpr&amp;fenlei=mv6quAkxTZn0IZRqIHckPjm4nH00T1Y4nhckP1DknHTdmW7hnW--0ZwV5Hcvrjm3rH6sPfKWUMw85HfYnjn4nH6sgvPsT6KdThsqpZwYTjCEQLGCpyw9Uz4Bmy-bIi4WUvYETgN-TLwGUv3EPj0dPj6dP1T" \t "_blank" </w:instrText>
      </w:r>
      <w:r>
        <w:rPr>
          <w:rFonts w:hint="eastAsia" w:ascii="宋体" w:hAnsi="宋体" w:eastAsia="宋体" w:cs="宋体"/>
          <w:color w:val="auto"/>
          <w:highlight w:val="none"/>
        </w:rPr>
        <w:fldChar w:fldCharType="separate"/>
      </w:r>
      <w:r>
        <w:rPr>
          <w:rFonts w:hint="eastAsia" w:ascii="宋体" w:hAnsi="宋体" w:eastAsia="宋体" w:cs="宋体"/>
          <w:color w:val="auto"/>
          <w:sz w:val="21"/>
          <w:szCs w:val="21"/>
          <w:highlight w:val="none"/>
        </w:rPr>
        <w:t>自主经营</w:t>
      </w:r>
      <w:r>
        <w:rPr>
          <w:rFonts w:hint="eastAsia" w:ascii="宋体" w:hAnsi="宋体" w:eastAsia="宋体" w:cs="宋体"/>
          <w:color w:val="auto"/>
          <w:sz w:val="21"/>
          <w:szCs w:val="21"/>
          <w:highlight w:val="none"/>
        </w:rPr>
        <w:fldChar w:fldCharType="end"/>
      </w:r>
      <w:r>
        <w:rPr>
          <w:rFonts w:hint="eastAsia" w:ascii="宋体" w:hAnsi="宋体" w:eastAsia="宋体" w:cs="宋体"/>
          <w:color w:val="auto"/>
          <w:sz w:val="21"/>
          <w:szCs w:val="21"/>
          <w:highlight w:val="none"/>
        </w:rPr>
        <w:t>、独立核算、自负盈亏的经济实体，具有法人资格的，为安置残疾人员劳动就业而兴办的具有社会福利性质的特殊企业。</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9.5.2中华人民共和国《残疾人就业条例》（国务院令488号）及财政部、民政部、中国残疾人联合会联合会文件《关于促进残疾人就业政府采购政策的通知》（财库〔2017〕141号）。</w:t>
      </w:r>
    </w:p>
    <w:p>
      <w:pPr>
        <w:shd w:val="clear"/>
        <w:rPr>
          <w:rFonts w:hint="eastAsia" w:ascii="宋体" w:hAnsi="宋体" w:eastAsia="宋体" w:cs="宋体"/>
          <w:b/>
          <w:bCs/>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9.6政府采购信用融资</w:t>
      </w:r>
    </w:p>
    <w:p>
      <w:pPr>
        <w:shd w:val="clear"/>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9.6.1政府采购信用融资是指银行业金融机构以政府采购诚信考核和信用审查为基础，凭借政府采购合同，按优于一般中小企业的贷款利率直接向申请贷款的供应商发放贷款的一种融资方式。融资金额未超过政府采购合同金额的，银行原则上不得要求供应商提供财产抵押或第三方担保或其他任何形式的担保条件。</w:t>
      </w:r>
    </w:p>
    <w:p>
      <w:pPr>
        <w:pStyle w:val="22"/>
        <w:jc w:val="left"/>
        <w:rPr>
          <w:rFonts w:hint="eastAsia" w:ascii="宋体" w:hAnsi="宋体" w:eastAsia="宋体" w:cs="宋体"/>
          <w:color w:val="auto"/>
          <w:highlight w:val="none"/>
          <w:lang w:val="en-US" w:eastAsia="zh-CN"/>
        </w:rPr>
      </w:pPr>
      <w:r>
        <w:rPr>
          <w:rFonts w:hint="eastAsia" w:ascii="宋体" w:hAnsi="宋体" w:eastAsia="宋体" w:cs="宋体"/>
          <w:color w:val="auto"/>
          <w:sz w:val="21"/>
          <w:szCs w:val="21"/>
          <w:highlight w:val="none"/>
          <w:lang w:val="en-US" w:eastAsia="zh-CN"/>
        </w:rPr>
        <w:t>9.6.2根据《陕西省财政厅关于加快推进我省中小企业政府采购信用融资工作的通知》（陕财办采〔2020〕15 号）及《陕西省财政厅关于印发《陕西省中小企业政府采购信用融资办法》（陕财办采〔2018〕23号）文件要求，中标供应商根据http://www.ccgp-shaanxi.gov.cn/zcdservice/zcd/shanxi/LoanProduct陕西省政府采购信用融资平台”政策规定，可凭借中标通知书或政府采购合同获得贷款，扩大政府采购信用融资规模。</w:t>
      </w:r>
    </w:p>
    <w:p>
      <w:pPr>
        <w:shd w:val="clear"/>
        <w:rPr>
          <w:rFonts w:hint="eastAsia" w:ascii="宋体" w:hAnsi="宋体" w:eastAsia="宋体" w:cs="宋体"/>
          <w:color w:val="auto"/>
          <w:sz w:val="21"/>
          <w:szCs w:val="21"/>
          <w:highlight w:val="none"/>
        </w:rPr>
      </w:pP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br w:type="page"/>
      </w:r>
    </w:p>
    <w:p>
      <w:pPr>
        <w:pStyle w:val="3"/>
        <w:shd w:val="clear"/>
        <w:rPr>
          <w:rFonts w:hint="eastAsia" w:ascii="宋体" w:hAnsi="宋体" w:eastAsia="宋体" w:cs="宋体"/>
          <w:color w:val="auto"/>
          <w:highlight w:val="none"/>
        </w:rPr>
      </w:pPr>
      <w:bookmarkStart w:id="259" w:name="_Toc8218"/>
      <w:bookmarkStart w:id="260" w:name="_Toc27897"/>
      <w:bookmarkStart w:id="261" w:name="_Toc30793"/>
      <w:r>
        <w:rPr>
          <w:rFonts w:hint="eastAsia" w:ascii="宋体" w:hAnsi="宋体" w:eastAsia="宋体" w:cs="宋体"/>
          <w:color w:val="auto"/>
          <w:highlight w:val="none"/>
        </w:rPr>
        <w:t>第三章</w:t>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rPr>
        <w:t xml:space="preserve"> </w:t>
      </w:r>
      <w:bookmarkEnd w:id="259"/>
      <w:bookmarkEnd w:id="260"/>
      <w:r>
        <w:rPr>
          <w:rFonts w:hint="eastAsia" w:ascii="宋体" w:hAnsi="宋体" w:eastAsia="宋体" w:cs="宋体"/>
          <w:color w:val="auto"/>
          <w:highlight w:val="none"/>
        </w:rPr>
        <w:t>评标办法</w:t>
      </w:r>
      <w:bookmarkEnd w:id="261"/>
    </w:p>
    <w:p>
      <w:pPr>
        <w:shd w:val="clear"/>
        <w:ind w:firstLine="420" w:firstLineChars="200"/>
        <w:rPr>
          <w:rFonts w:hint="eastAsia" w:ascii="宋体" w:hAnsi="宋体" w:eastAsia="宋体" w:cs="宋体"/>
          <w:color w:val="auto"/>
          <w:sz w:val="21"/>
          <w:szCs w:val="21"/>
          <w:highlight w:val="none"/>
        </w:rPr>
      </w:pPr>
      <w:bookmarkStart w:id="262" w:name="_Toc16176"/>
      <w:bookmarkStart w:id="263" w:name="_Toc6438"/>
      <w:r>
        <w:rPr>
          <w:rFonts w:hint="eastAsia" w:ascii="宋体" w:hAnsi="宋体" w:eastAsia="宋体" w:cs="宋体"/>
          <w:color w:val="auto"/>
          <w:sz w:val="21"/>
          <w:szCs w:val="21"/>
          <w:highlight w:val="none"/>
        </w:rPr>
        <w:t>1、本项目采用综合评分法进行评审，总分为100分，具体评分方法如下：</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综合评分法：即在最大限度地满足招标文件实质性要求前提下，按照招标文件中规定的各项因素和相应的权重分值进行综合评审后，以总得分最高的供应商作为中标候选供应商并依次排序（最低报价不是中标的唯一标准）。</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3、评标办法</w:t>
      </w:r>
    </w:p>
    <w:p>
      <w:pPr>
        <w:shd w:val="clear"/>
        <w:ind w:firstLine="562" w:firstLineChars="200"/>
        <w:jc w:val="cente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资格评审表</w:t>
      </w:r>
    </w:p>
    <w:tbl>
      <w:tblPr>
        <w:tblStyle w:val="23"/>
        <w:tblW w:w="100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57"/>
        <w:gridCol w:w="74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blHeader/>
          <w:jc w:val="center"/>
        </w:trPr>
        <w:tc>
          <w:tcPr>
            <w:tcW w:w="2557" w:type="dxa"/>
            <w:vAlign w:val="center"/>
          </w:tcPr>
          <w:p>
            <w:pPr>
              <w:widowControl/>
              <w:shd w:val="clear"/>
              <w:adjustRightInd w:val="0"/>
              <w:snapToGrid w:val="0"/>
              <w:spacing w:afterLines="50" w:line="240" w:lineRule="auto"/>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sz w:val="21"/>
                <w:szCs w:val="21"/>
                <w:highlight w:val="none"/>
              </w:rPr>
              <w:t>评审内容</w:t>
            </w:r>
          </w:p>
        </w:tc>
        <w:tc>
          <w:tcPr>
            <w:tcW w:w="7499" w:type="dxa"/>
            <w:vAlign w:val="center"/>
          </w:tcPr>
          <w:p>
            <w:pPr>
              <w:widowControl/>
              <w:shd w:val="clear"/>
              <w:adjustRightInd w:val="0"/>
              <w:snapToGrid w:val="0"/>
              <w:spacing w:afterLines="50" w:line="240" w:lineRule="auto"/>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sz w:val="21"/>
                <w:szCs w:val="21"/>
                <w:highlight w:val="none"/>
              </w:rPr>
              <w:t>评审原则与标准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2557" w:type="dxa"/>
            <w:vAlign w:val="center"/>
          </w:tcPr>
          <w:p>
            <w:pPr>
              <w:widowControl/>
              <w:shd w:val="clear"/>
              <w:adjustRightInd w:val="0"/>
              <w:snapToGrid w:val="0"/>
              <w:spacing w:afterLines="50" w:line="240" w:lineRule="auto"/>
              <w:jc w:val="center"/>
              <w:rPr>
                <w:rFonts w:hint="eastAsia" w:ascii="宋体" w:hAnsi="宋体" w:eastAsia="宋体" w:cs="宋体"/>
                <w:b/>
                <w:bCs/>
                <w:color w:val="auto"/>
                <w:kern w:val="0"/>
                <w:sz w:val="21"/>
                <w:szCs w:val="21"/>
                <w:highlight w:val="none"/>
              </w:rPr>
            </w:pPr>
            <w:r>
              <w:rPr>
                <w:rFonts w:hint="eastAsia" w:ascii="宋体" w:hAnsi="宋体" w:eastAsia="宋体" w:cs="宋体"/>
                <w:color w:val="auto"/>
                <w:sz w:val="21"/>
                <w:szCs w:val="21"/>
                <w:highlight w:val="none"/>
              </w:rPr>
              <w:t>营业执照（或事业法人证）/自然人身份证</w:t>
            </w:r>
          </w:p>
        </w:tc>
        <w:tc>
          <w:tcPr>
            <w:tcW w:w="7499" w:type="dxa"/>
            <w:vAlign w:val="center"/>
          </w:tcPr>
          <w:p>
            <w:pPr>
              <w:widowControl/>
              <w:shd w:val="clear"/>
              <w:adjustRightInd w:val="0"/>
              <w:snapToGrid w:val="0"/>
              <w:spacing w:afterLines="50" w:line="240" w:lineRule="auto"/>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供应商为合法注册的法人、其他组织或自然人，具有独立承担民事责任的能力，提供统一社会信用代码的营业执照（或事业法人证，或民办非企业单位登记证书），供应商为自然人的提供身份证；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2557" w:type="dxa"/>
            <w:vAlign w:val="center"/>
          </w:tcPr>
          <w:p>
            <w:pPr>
              <w:widowControl/>
              <w:shd w:val="clear"/>
              <w:adjustRightInd w:val="0"/>
              <w:snapToGrid w:val="0"/>
              <w:spacing w:afterLines="50" w:line="240" w:lineRule="auto"/>
              <w:jc w:val="center"/>
              <w:rPr>
                <w:rFonts w:hint="eastAsia" w:ascii="宋体" w:hAnsi="宋体" w:eastAsia="宋体" w:cs="宋体"/>
                <w:b/>
                <w:bCs/>
                <w:color w:val="auto"/>
                <w:kern w:val="0"/>
                <w:sz w:val="21"/>
                <w:szCs w:val="21"/>
                <w:highlight w:val="none"/>
              </w:rPr>
            </w:pPr>
            <w:r>
              <w:rPr>
                <w:rFonts w:hint="eastAsia" w:ascii="宋体" w:hAnsi="宋体" w:eastAsia="宋体" w:cs="宋体"/>
                <w:color w:val="auto"/>
                <w:sz w:val="21"/>
                <w:szCs w:val="21"/>
                <w:highlight w:val="none"/>
              </w:rPr>
              <w:t>法定代表人（或自然人）或授权委托书</w:t>
            </w:r>
          </w:p>
        </w:tc>
        <w:tc>
          <w:tcPr>
            <w:tcW w:w="7499" w:type="dxa"/>
            <w:vAlign w:val="center"/>
          </w:tcPr>
          <w:p>
            <w:pPr>
              <w:widowControl/>
              <w:shd w:val="clear"/>
              <w:adjustRightInd w:val="0"/>
              <w:snapToGrid w:val="0"/>
              <w:spacing w:afterLines="50" w:line="240" w:lineRule="auto"/>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法定代表人（或自然人）参加</w:t>
            </w:r>
            <w:r>
              <w:rPr>
                <w:rFonts w:hint="eastAsia" w:ascii="宋体" w:hAnsi="宋体" w:eastAsia="宋体" w:cs="宋体"/>
                <w:color w:val="auto"/>
                <w:sz w:val="21"/>
                <w:szCs w:val="21"/>
                <w:highlight w:val="none"/>
                <w:lang w:eastAsia="zh-CN"/>
              </w:rPr>
              <w:t>投标</w:t>
            </w:r>
            <w:r>
              <w:rPr>
                <w:rFonts w:hint="eastAsia" w:ascii="宋体" w:hAnsi="宋体" w:eastAsia="宋体" w:cs="宋体"/>
                <w:color w:val="auto"/>
                <w:sz w:val="21"/>
                <w:szCs w:val="21"/>
                <w:highlight w:val="none"/>
              </w:rPr>
              <w:t>的，提供本人身份证复印件并出示身份证原件；法定代表人（或自然人）授权他人参加</w:t>
            </w:r>
            <w:r>
              <w:rPr>
                <w:rFonts w:hint="eastAsia" w:ascii="宋体" w:hAnsi="宋体" w:eastAsia="宋体" w:cs="宋体"/>
                <w:color w:val="auto"/>
                <w:sz w:val="21"/>
                <w:szCs w:val="21"/>
                <w:highlight w:val="none"/>
                <w:lang w:eastAsia="zh-CN"/>
              </w:rPr>
              <w:t>投标</w:t>
            </w:r>
            <w:r>
              <w:rPr>
                <w:rFonts w:hint="eastAsia" w:ascii="宋体" w:hAnsi="宋体" w:eastAsia="宋体" w:cs="宋体"/>
                <w:color w:val="auto"/>
                <w:sz w:val="21"/>
                <w:szCs w:val="21"/>
                <w:highlight w:val="none"/>
              </w:rPr>
              <w:t>的，提供法定代表人（或自然人）合法有效的授权委托书并出示被授权代表的身份证原件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5" w:hRule="atLeast"/>
          <w:jc w:val="center"/>
        </w:trPr>
        <w:tc>
          <w:tcPr>
            <w:tcW w:w="2557" w:type="dxa"/>
            <w:vAlign w:val="center"/>
          </w:tcPr>
          <w:p>
            <w:pPr>
              <w:shd w:val="clear"/>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财务状况报告</w:t>
            </w:r>
          </w:p>
        </w:tc>
        <w:tc>
          <w:tcPr>
            <w:tcW w:w="7499" w:type="dxa"/>
            <w:vAlign w:val="center"/>
          </w:tcPr>
          <w:p>
            <w:pPr>
              <w:shd w:val="clear"/>
              <w:spacing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提供经审计的</w:t>
            </w:r>
            <w:r>
              <w:rPr>
                <w:rFonts w:hint="eastAsia" w:ascii="宋体" w:hAnsi="宋体" w:eastAsia="宋体" w:cs="宋体"/>
                <w:color w:val="auto"/>
                <w:sz w:val="21"/>
                <w:szCs w:val="21"/>
                <w:highlight w:val="none"/>
                <w:lang w:eastAsia="zh-CN"/>
              </w:rPr>
              <w:t>2019或2020年度</w:t>
            </w:r>
            <w:r>
              <w:rPr>
                <w:rFonts w:hint="eastAsia" w:ascii="宋体" w:hAnsi="宋体" w:eastAsia="宋体" w:cs="宋体"/>
                <w:color w:val="auto"/>
                <w:sz w:val="21"/>
                <w:szCs w:val="21"/>
                <w:highlight w:val="none"/>
              </w:rPr>
              <w:t>的财务报告或提供</w:t>
            </w:r>
            <w:r>
              <w:rPr>
                <w:rFonts w:hint="eastAsia" w:ascii="宋体" w:hAnsi="宋体" w:eastAsia="宋体" w:cs="宋体"/>
                <w:color w:val="auto"/>
                <w:sz w:val="21"/>
                <w:szCs w:val="21"/>
                <w:highlight w:val="none"/>
                <w:lang w:eastAsia="zh-CN"/>
              </w:rPr>
              <w:t>投标</w:t>
            </w:r>
            <w:r>
              <w:rPr>
                <w:rFonts w:hint="eastAsia" w:ascii="宋体" w:hAnsi="宋体" w:eastAsia="宋体" w:cs="宋体"/>
                <w:color w:val="auto"/>
                <w:sz w:val="21"/>
                <w:szCs w:val="21"/>
                <w:highlight w:val="none"/>
              </w:rPr>
              <w:t>投标文件递交截止时间前六个月内的基本账户开户银行出具的资信证明；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2557" w:type="dxa"/>
            <w:vAlign w:val="center"/>
          </w:tcPr>
          <w:p>
            <w:pPr>
              <w:widowControl/>
              <w:shd w:val="clear"/>
              <w:adjustRightInd w:val="0"/>
              <w:snapToGrid w:val="0"/>
              <w:spacing w:afterLines="50" w:line="240" w:lineRule="auto"/>
              <w:jc w:val="center"/>
              <w:rPr>
                <w:rFonts w:hint="eastAsia" w:ascii="宋体" w:hAnsi="宋体" w:eastAsia="宋体" w:cs="宋体"/>
                <w:b/>
                <w:bCs/>
                <w:color w:val="auto"/>
                <w:kern w:val="0"/>
                <w:sz w:val="21"/>
                <w:szCs w:val="21"/>
                <w:highlight w:val="none"/>
              </w:rPr>
            </w:pPr>
            <w:r>
              <w:rPr>
                <w:rFonts w:hint="eastAsia" w:ascii="宋体" w:hAnsi="宋体" w:eastAsia="宋体" w:cs="宋体"/>
                <w:color w:val="auto"/>
                <w:kern w:val="0"/>
                <w:sz w:val="21"/>
                <w:szCs w:val="21"/>
                <w:highlight w:val="none"/>
              </w:rPr>
              <w:t>社会保障资金缴纳证明</w:t>
            </w:r>
          </w:p>
        </w:tc>
        <w:tc>
          <w:tcPr>
            <w:tcW w:w="7499" w:type="dxa"/>
            <w:vAlign w:val="center"/>
          </w:tcPr>
          <w:p>
            <w:pPr>
              <w:shd w:val="clear"/>
              <w:spacing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w:t>
            </w:r>
            <w:r>
              <w:rPr>
                <w:rFonts w:hint="eastAsia" w:ascii="宋体" w:hAnsi="宋体" w:eastAsia="宋体" w:cs="宋体"/>
                <w:color w:val="auto"/>
                <w:sz w:val="21"/>
                <w:szCs w:val="21"/>
                <w:highlight w:val="none"/>
                <w:lang w:eastAsia="zh-CN"/>
              </w:rPr>
              <w:t>投标</w:t>
            </w:r>
            <w:r>
              <w:rPr>
                <w:rFonts w:hint="eastAsia" w:ascii="宋体" w:hAnsi="宋体" w:eastAsia="宋体" w:cs="宋体"/>
                <w:color w:val="auto"/>
                <w:sz w:val="21"/>
                <w:szCs w:val="21"/>
                <w:highlight w:val="none"/>
              </w:rPr>
              <w:t>投标文件递交截止时间前六个月内已缴存的至少一个月的社会保障资金缴纳凭证或证明，依法不需要缴纳社会保障资金的单位应提供相关证明材料；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2557" w:type="dxa"/>
            <w:vAlign w:val="center"/>
          </w:tcPr>
          <w:p>
            <w:pPr>
              <w:shd w:val="clear"/>
              <w:spacing w:line="240" w:lineRule="auto"/>
              <w:jc w:val="center"/>
              <w:rPr>
                <w:rFonts w:hint="eastAsia" w:ascii="宋体" w:hAnsi="宋体" w:eastAsia="宋体" w:cs="宋体"/>
                <w:b/>
                <w:bCs/>
                <w:color w:val="auto"/>
                <w:kern w:val="0"/>
                <w:sz w:val="21"/>
                <w:szCs w:val="21"/>
                <w:highlight w:val="none"/>
              </w:rPr>
            </w:pPr>
            <w:r>
              <w:rPr>
                <w:rFonts w:hint="eastAsia" w:ascii="宋体" w:hAnsi="宋体" w:eastAsia="宋体" w:cs="宋体"/>
                <w:color w:val="auto"/>
                <w:kern w:val="0"/>
                <w:sz w:val="21"/>
                <w:szCs w:val="21"/>
                <w:highlight w:val="none"/>
              </w:rPr>
              <w:t>税收缴纳证明</w:t>
            </w:r>
          </w:p>
        </w:tc>
        <w:tc>
          <w:tcPr>
            <w:tcW w:w="7499" w:type="dxa"/>
            <w:vAlign w:val="center"/>
          </w:tcPr>
          <w:p>
            <w:pPr>
              <w:widowControl/>
              <w:shd w:val="clear"/>
              <w:adjustRightInd w:val="0"/>
              <w:snapToGrid w:val="0"/>
              <w:spacing w:afterLines="50"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提供</w:t>
            </w:r>
            <w:r>
              <w:rPr>
                <w:rFonts w:hint="eastAsia" w:ascii="宋体" w:hAnsi="宋体" w:eastAsia="宋体" w:cs="宋体"/>
                <w:color w:val="auto"/>
                <w:sz w:val="21"/>
                <w:szCs w:val="21"/>
                <w:highlight w:val="none"/>
                <w:lang w:eastAsia="zh-CN"/>
              </w:rPr>
              <w:t>投标</w:t>
            </w:r>
            <w:r>
              <w:rPr>
                <w:rFonts w:hint="eastAsia" w:ascii="宋体" w:hAnsi="宋体" w:eastAsia="宋体" w:cs="宋体"/>
                <w:color w:val="auto"/>
                <w:sz w:val="21"/>
                <w:szCs w:val="21"/>
                <w:highlight w:val="none"/>
              </w:rPr>
              <w:t>投标文件递交截止时间前六个月内已缴纳的至少一个月的纳税证明或完税证明，依法免税的单位应提供相关证明材料；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2557" w:type="dxa"/>
            <w:vAlign w:val="center"/>
          </w:tcPr>
          <w:p>
            <w:pPr>
              <w:widowControl/>
              <w:shd w:val="clear"/>
              <w:adjustRightInd w:val="0"/>
              <w:snapToGrid w:val="0"/>
              <w:spacing w:afterLines="50"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设备和技术能力</w:t>
            </w:r>
          </w:p>
        </w:tc>
        <w:tc>
          <w:tcPr>
            <w:tcW w:w="7499" w:type="dxa"/>
            <w:vAlign w:val="center"/>
          </w:tcPr>
          <w:p>
            <w:pPr>
              <w:widowControl/>
              <w:shd w:val="clear"/>
              <w:adjustRightInd w:val="0"/>
              <w:snapToGrid w:val="0"/>
              <w:spacing w:afterLines="50"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具备履行合同所必需的设备和专业技术能力（供应商提供相应承诺或声明）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2557" w:type="dxa"/>
            <w:vAlign w:val="center"/>
          </w:tcPr>
          <w:p>
            <w:pPr>
              <w:widowControl/>
              <w:shd w:val="clear"/>
              <w:adjustRightInd w:val="0"/>
              <w:snapToGrid w:val="0"/>
              <w:spacing w:afterLines="50"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投标</w:t>
            </w:r>
            <w:r>
              <w:rPr>
                <w:rFonts w:hint="eastAsia" w:ascii="宋体" w:hAnsi="宋体" w:eastAsia="宋体" w:cs="宋体"/>
                <w:color w:val="auto"/>
                <w:sz w:val="21"/>
                <w:szCs w:val="21"/>
                <w:highlight w:val="none"/>
              </w:rPr>
              <w:t>保证金</w:t>
            </w:r>
          </w:p>
        </w:tc>
        <w:tc>
          <w:tcPr>
            <w:tcW w:w="7499" w:type="dxa"/>
            <w:vAlign w:val="center"/>
          </w:tcPr>
          <w:p>
            <w:pPr>
              <w:widowControl/>
              <w:shd w:val="clear"/>
              <w:adjustRightInd w:val="0"/>
              <w:snapToGrid w:val="0"/>
              <w:spacing w:afterLines="50"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供应商按照采购文件要求递交了</w:t>
            </w:r>
            <w:r>
              <w:rPr>
                <w:rFonts w:hint="eastAsia" w:ascii="宋体" w:hAnsi="宋体" w:eastAsia="宋体" w:cs="宋体"/>
                <w:color w:val="auto"/>
                <w:sz w:val="21"/>
                <w:szCs w:val="21"/>
                <w:highlight w:val="none"/>
                <w:lang w:eastAsia="zh-CN"/>
              </w:rPr>
              <w:t>投标</w:t>
            </w:r>
            <w:r>
              <w:rPr>
                <w:rFonts w:hint="eastAsia" w:ascii="宋体" w:hAnsi="宋体" w:eastAsia="宋体" w:cs="宋体"/>
                <w:color w:val="auto"/>
                <w:sz w:val="21"/>
                <w:szCs w:val="21"/>
                <w:highlight w:val="none"/>
              </w:rPr>
              <w:t>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2557" w:type="dxa"/>
            <w:vAlign w:val="center"/>
          </w:tcPr>
          <w:p>
            <w:pPr>
              <w:shd w:val="clear"/>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企业信誉</w:t>
            </w:r>
          </w:p>
        </w:tc>
        <w:tc>
          <w:tcPr>
            <w:tcW w:w="7499" w:type="dxa"/>
            <w:vAlign w:val="center"/>
          </w:tcPr>
          <w:p>
            <w:pPr>
              <w:widowControl/>
              <w:shd w:val="clear"/>
              <w:adjustRightInd w:val="0"/>
              <w:snapToGrid w:val="0"/>
              <w:spacing w:afterLines="50" w:line="24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符合《财政部关于在政府采购活动中查询及使用信用记录有关问题的通知》（财库【2016】125号）文件中信用查询的要求。从本项目投标文件递交截止时间起三年内，被“信用中国”网站或各级信用信息共享平台、列入失信被执行人、重大税收违法案件当事人名单、政府采购严重违法失信行为记录名单之一的或被“中国政府采购网”网站列入政府采购严重违法失信行为记录名单之一的，不得参加本项目的采购活动。</w:t>
            </w:r>
          </w:p>
        </w:tc>
      </w:tr>
    </w:tbl>
    <w:p>
      <w:pPr>
        <w:shd w:val="clea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br w:type="page"/>
      </w:r>
    </w:p>
    <w:p>
      <w:pPr>
        <w:shd w:val="clear"/>
        <w:ind w:firstLine="562" w:firstLineChars="200"/>
        <w:jc w:val="cente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初步评审表</w:t>
      </w:r>
    </w:p>
    <w:tbl>
      <w:tblPr>
        <w:tblStyle w:val="2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18"/>
        <w:gridCol w:w="73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1" w:type="pct"/>
            <w:vAlign w:val="center"/>
          </w:tcPr>
          <w:p>
            <w:pPr>
              <w:widowControl/>
              <w:shd w:val="clear"/>
              <w:adjustRightInd w:val="0"/>
              <w:snapToGrid w:val="0"/>
              <w:spacing w:afterLines="50" w:line="240" w:lineRule="auto"/>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sz w:val="21"/>
                <w:szCs w:val="21"/>
                <w:highlight w:val="none"/>
              </w:rPr>
              <w:t>评审内容</w:t>
            </w:r>
          </w:p>
        </w:tc>
        <w:tc>
          <w:tcPr>
            <w:tcW w:w="3728" w:type="pct"/>
            <w:vAlign w:val="center"/>
          </w:tcPr>
          <w:p>
            <w:pPr>
              <w:widowControl/>
              <w:shd w:val="clear"/>
              <w:adjustRightInd w:val="0"/>
              <w:snapToGrid w:val="0"/>
              <w:spacing w:afterLines="50" w:line="240" w:lineRule="auto"/>
              <w:jc w:val="center"/>
              <w:rPr>
                <w:rFonts w:hint="eastAsia" w:ascii="宋体" w:hAnsi="宋体" w:eastAsia="宋体" w:cs="宋体"/>
                <w:b/>
                <w:bCs/>
                <w:color w:val="auto"/>
                <w:kern w:val="0"/>
                <w:sz w:val="21"/>
                <w:szCs w:val="21"/>
                <w:highlight w:val="none"/>
              </w:rPr>
            </w:pPr>
            <w:r>
              <w:rPr>
                <w:rFonts w:hint="eastAsia" w:ascii="宋体" w:hAnsi="宋体" w:eastAsia="宋体" w:cs="宋体"/>
                <w:b/>
                <w:bCs/>
                <w:color w:val="auto"/>
                <w:sz w:val="21"/>
                <w:szCs w:val="21"/>
                <w:highlight w:val="none"/>
              </w:rPr>
              <w:t>评审原则与标准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1" w:type="pct"/>
            <w:vAlign w:val="center"/>
          </w:tcPr>
          <w:p>
            <w:pPr>
              <w:shd w:val="clear"/>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供应商名称</w:t>
            </w:r>
          </w:p>
        </w:tc>
        <w:tc>
          <w:tcPr>
            <w:tcW w:w="3728" w:type="pct"/>
            <w:vAlign w:val="center"/>
          </w:tcPr>
          <w:p>
            <w:pPr>
              <w:widowControl/>
              <w:shd w:val="clear"/>
              <w:adjustRightInd w:val="0"/>
              <w:snapToGrid w:val="0"/>
              <w:spacing w:afterLines="50" w:line="24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1" w:type="pct"/>
            <w:vAlign w:val="center"/>
          </w:tcPr>
          <w:p>
            <w:pPr>
              <w:shd w:val="clear"/>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签字盖章</w:t>
            </w:r>
          </w:p>
        </w:tc>
        <w:tc>
          <w:tcPr>
            <w:tcW w:w="3728" w:type="pct"/>
            <w:vAlign w:val="center"/>
          </w:tcPr>
          <w:p>
            <w:pPr>
              <w:widowControl/>
              <w:shd w:val="clear"/>
              <w:adjustRightInd w:val="0"/>
              <w:snapToGrid w:val="0"/>
              <w:spacing w:afterLines="50" w:line="24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1" w:type="pct"/>
            <w:vAlign w:val="center"/>
          </w:tcPr>
          <w:p>
            <w:pPr>
              <w:shd w:val="clear"/>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投标文件格式</w:t>
            </w:r>
          </w:p>
        </w:tc>
        <w:tc>
          <w:tcPr>
            <w:tcW w:w="3728" w:type="pct"/>
            <w:vAlign w:val="center"/>
          </w:tcPr>
          <w:p>
            <w:pPr>
              <w:widowControl/>
              <w:shd w:val="clear"/>
              <w:adjustRightInd w:val="0"/>
              <w:snapToGrid w:val="0"/>
              <w:spacing w:afterLines="50" w:line="24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符合“投标文件格式”的要求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1" w:type="pct"/>
            <w:vAlign w:val="center"/>
          </w:tcPr>
          <w:p>
            <w:pPr>
              <w:shd w:val="clear"/>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投标报价</w:t>
            </w:r>
          </w:p>
        </w:tc>
        <w:tc>
          <w:tcPr>
            <w:tcW w:w="3728" w:type="pct"/>
            <w:vAlign w:val="center"/>
          </w:tcPr>
          <w:p>
            <w:pPr>
              <w:widowControl/>
              <w:shd w:val="clear"/>
              <w:adjustRightInd w:val="0"/>
              <w:snapToGrid w:val="0"/>
              <w:spacing w:afterLines="50" w:line="24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1" w:type="pct"/>
            <w:vAlign w:val="center"/>
          </w:tcPr>
          <w:p>
            <w:pPr>
              <w:shd w:val="clear"/>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合同履行期限（交货期）</w:t>
            </w:r>
          </w:p>
        </w:tc>
        <w:tc>
          <w:tcPr>
            <w:tcW w:w="3728" w:type="pct"/>
            <w:vAlign w:val="center"/>
          </w:tcPr>
          <w:p>
            <w:pPr>
              <w:widowControl/>
              <w:shd w:val="clear"/>
              <w:adjustRightInd w:val="0"/>
              <w:snapToGrid w:val="0"/>
              <w:spacing w:afterLines="50" w:line="24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1" w:type="pct"/>
            <w:vAlign w:val="center"/>
          </w:tcPr>
          <w:p>
            <w:pPr>
              <w:shd w:val="clear"/>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质保期</w:t>
            </w:r>
          </w:p>
        </w:tc>
        <w:tc>
          <w:tcPr>
            <w:tcW w:w="3728" w:type="pct"/>
            <w:vAlign w:val="center"/>
          </w:tcPr>
          <w:p>
            <w:pPr>
              <w:widowControl/>
              <w:shd w:val="clear"/>
              <w:adjustRightInd w:val="0"/>
              <w:snapToGrid w:val="0"/>
              <w:spacing w:afterLines="50" w:line="24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1" w:type="pct"/>
            <w:vAlign w:val="center"/>
          </w:tcPr>
          <w:p>
            <w:pPr>
              <w:shd w:val="clear"/>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质量</w:t>
            </w:r>
          </w:p>
        </w:tc>
        <w:tc>
          <w:tcPr>
            <w:tcW w:w="3728" w:type="pct"/>
            <w:vAlign w:val="center"/>
          </w:tcPr>
          <w:p>
            <w:pPr>
              <w:widowControl/>
              <w:shd w:val="clear"/>
              <w:adjustRightInd w:val="0"/>
              <w:snapToGrid w:val="0"/>
              <w:spacing w:afterLines="50" w:line="240" w:lineRule="auto"/>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符合国家、行业及采购人要求标准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1" w:type="pct"/>
            <w:vAlign w:val="center"/>
          </w:tcPr>
          <w:p>
            <w:pPr>
              <w:shd w:val="clear"/>
              <w:spacing w:line="240" w:lineRule="auto"/>
              <w:jc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投标有效期</w:t>
            </w:r>
          </w:p>
        </w:tc>
        <w:tc>
          <w:tcPr>
            <w:tcW w:w="3728" w:type="pct"/>
            <w:vAlign w:val="center"/>
          </w:tcPr>
          <w:p>
            <w:pPr>
              <w:widowControl/>
              <w:shd w:val="clear"/>
              <w:adjustRightInd w:val="0"/>
              <w:snapToGrid w:val="0"/>
              <w:spacing w:afterLines="50" w:line="24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1" w:type="pct"/>
            <w:vAlign w:val="center"/>
          </w:tcPr>
          <w:p>
            <w:pPr>
              <w:shd w:val="clear"/>
              <w:spacing w:line="240" w:lineRule="auto"/>
              <w:jc w:val="center"/>
              <w:rPr>
                <w:rFonts w:hint="eastAsia" w:ascii="宋体" w:hAnsi="宋体" w:eastAsia="宋体" w:cs="宋体"/>
                <w:b/>
                <w:bCs/>
                <w:color w:val="auto"/>
                <w:kern w:val="0"/>
                <w:sz w:val="21"/>
                <w:szCs w:val="21"/>
                <w:highlight w:val="none"/>
              </w:rPr>
            </w:pPr>
            <w:r>
              <w:rPr>
                <w:rFonts w:hint="eastAsia" w:ascii="宋体" w:hAnsi="宋体" w:eastAsia="宋体" w:cs="宋体"/>
                <w:color w:val="auto"/>
                <w:sz w:val="21"/>
                <w:szCs w:val="21"/>
                <w:highlight w:val="none"/>
              </w:rPr>
              <w:t>采购内容及技术要求</w:t>
            </w:r>
          </w:p>
        </w:tc>
        <w:tc>
          <w:tcPr>
            <w:tcW w:w="3728" w:type="pct"/>
            <w:vAlign w:val="center"/>
          </w:tcPr>
          <w:p>
            <w:pPr>
              <w:widowControl/>
              <w:shd w:val="clear"/>
              <w:adjustRightInd w:val="0"/>
              <w:snapToGrid w:val="0"/>
              <w:spacing w:afterLines="50" w:line="24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未出现漏项或内容与要求不符，无重大负偏差；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1" w:type="pct"/>
            <w:vAlign w:val="center"/>
          </w:tcPr>
          <w:p>
            <w:pPr>
              <w:widowControl/>
              <w:shd w:val="clear"/>
              <w:adjustRightInd w:val="0"/>
              <w:snapToGrid w:val="0"/>
              <w:spacing w:afterLines="50"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w:t>
            </w:r>
          </w:p>
        </w:tc>
        <w:tc>
          <w:tcPr>
            <w:tcW w:w="3728" w:type="pct"/>
            <w:vAlign w:val="center"/>
          </w:tcPr>
          <w:p>
            <w:pPr>
              <w:widowControl/>
              <w:shd w:val="clear"/>
              <w:adjustRightInd w:val="0"/>
              <w:snapToGrid w:val="0"/>
              <w:spacing w:afterLines="50" w:line="24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1" w:type="pct"/>
            <w:vAlign w:val="center"/>
          </w:tcPr>
          <w:p>
            <w:pPr>
              <w:widowControl/>
              <w:shd w:val="clear"/>
              <w:adjustRightInd w:val="0"/>
              <w:snapToGrid w:val="0"/>
              <w:spacing w:afterLines="50"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投标文件的数量</w:t>
            </w:r>
          </w:p>
        </w:tc>
        <w:tc>
          <w:tcPr>
            <w:tcW w:w="3728" w:type="pct"/>
            <w:vAlign w:val="center"/>
          </w:tcPr>
          <w:p>
            <w:pPr>
              <w:widowControl/>
              <w:shd w:val="clear"/>
              <w:adjustRightInd w:val="0"/>
              <w:snapToGrid w:val="0"/>
              <w:spacing w:afterLines="50" w:line="24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71" w:type="pct"/>
            <w:vAlign w:val="center"/>
          </w:tcPr>
          <w:p>
            <w:pPr>
              <w:shd w:val="clear"/>
              <w:spacing w:line="44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权利义务</w:t>
            </w:r>
          </w:p>
        </w:tc>
        <w:tc>
          <w:tcPr>
            <w:tcW w:w="3728" w:type="pct"/>
            <w:vAlign w:val="center"/>
          </w:tcPr>
          <w:p>
            <w:pPr>
              <w:shd w:val="clear"/>
              <w:spacing w:line="440" w:lineRule="exact"/>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符合第四章“合同条款及格式”规定</w:t>
            </w:r>
          </w:p>
        </w:tc>
      </w:tr>
    </w:tbl>
    <w:p>
      <w:pPr>
        <w:shd w:val="clear"/>
        <w:ind w:firstLine="562" w:firstLineChars="200"/>
        <w:jc w:val="center"/>
        <w:rPr>
          <w:rFonts w:hint="eastAsia" w:ascii="宋体" w:hAnsi="宋体" w:eastAsia="宋体" w:cs="宋体"/>
          <w:b/>
          <w:bCs/>
          <w:color w:val="auto"/>
          <w:sz w:val="28"/>
          <w:szCs w:val="28"/>
          <w:highlight w:val="none"/>
          <w:lang w:eastAsia="zh-CN"/>
        </w:rPr>
      </w:pPr>
      <w:r>
        <w:rPr>
          <w:rFonts w:hint="eastAsia" w:ascii="宋体" w:hAnsi="宋体" w:eastAsia="宋体" w:cs="宋体"/>
          <w:b/>
          <w:bCs/>
          <w:color w:val="auto"/>
          <w:sz w:val="28"/>
          <w:szCs w:val="28"/>
          <w:highlight w:val="none"/>
        </w:rPr>
        <w:t>评标细则</w:t>
      </w:r>
    </w:p>
    <w:tbl>
      <w:tblPr>
        <w:tblStyle w:val="23"/>
        <w:tblW w:w="98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
        <w:gridCol w:w="734"/>
        <w:gridCol w:w="1469"/>
        <w:gridCol w:w="5958"/>
        <w:gridCol w:w="7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blHeader/>
          <w:jc w:val="center"/>
        </w:trPr>
        <w:tc>
          <w:tcPr>
            <w:tcW w:w="911" w:type="dxa"/>
            <w:tcBorders>
              <w:top w:val="single" w:color="auto" w:sz="4" w:space="0"/>
              <w:left w:val="single" w:color="auto" w:sz="4" w:space="0"/>
              <w:bottom w:val="single" w:color="auto" w:sz="4" w:space="0"/>
              <w:right w:val="single" w:color="auto" w:sz="4" w:space="0"/>
            </w:tcBorders>
            <w:noWrap/>
            <w:vAlign w:val="center"/>
          </w:tcPr>
          <w:p>
            <w:pPr>
              <w:shd w:val="clear"/>
              <w:spacing w:beforeLines="20" w:line="240"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序号</w:t>
            </w:r>
          </w:p>
        </w:tc>
        <w:tc>
          <w:tcPr>
            <w:tcW w:w="2203" w:type="dxa"/>
            <w:gridSpan w:val="2"/>
            <w:tcBorders>
              <w:top w:val="single" w:color="auto" w:sz="4" w:space="0"/>
              <w:left w:val="single" w:color="auto" w:sz="4" w:space="0"/>
              <w:bottom w:val="single" w:color="auto" w:sz="4" w:space="0"/>
              <w:right w:val="single" w:color="auto" w:sz="4" w:space="0"/>
            </w:tcBorders>
            <w:noWrap/>
            <w:vAlign w:val="center"/>
          </w:tcPr>
          <w:p>
            <w:pPr>
              <w:shd w:val="clear"/>
              <w:spacing w:beforeLines="20" w:line="240"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评分因素</w:t>
            </w:r>
          </w:p>
        </w:tc>
        <w:tc>
          <w:tcPr>
            <w:tcW w:w="5958" w:type="dxa"/>
            <w:tcBorders>
              <w:top w:val="single" w:color="auto" w:sz="4" w:space="0"/>
              <w:left w:val="single" w:color="auto" w:sz="4" w:space="0"/>
              <w:bottom w:val="single" w:color="auto" w:sz="4" w:space="0"/>
              <w:right w:val="single" w:color="auto" w:sz="4" w:space="0"/>
            </w:tcBorders>
            <w:noWrap/>
            <w:vAlign w:val="center"/>
          </w:tcPr>
          <w:p>
            <w:pPr>
              <w:shd w:val="clear"/>
              <w:spacing w:beforeLines="20" w:line="240" w:lineRule="auto"/>
              <w:ind w:firstLine="422" w:firstLineChars="200"/>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评分细则</w:t>
            </w:r>
          </w:p>
        </w:tc>
        <w:tc>
          <w:tcPr>
            <w:tcW w:w="768" w:type="dxa"/>
            <w:tcBorders>
              <w:top w:val="single" w:color="auto" w:sz="4" w:space="0"/>
              <w:left w:val="single" w:color="auto" w:sz="4" w:space="0"/>
              <w:bottom w:val="single" w:color="auto" w:sz="4" w:space="0"/>
              <w:right w:val="single" w:color="auto" w:sz="4" w:space="0"/>
            </w:tcBorders>
            <w:noWrap/>
            <w:vAlign w:val="center"/>
          </w:tcPr>
          <w:p>
            <w:pPr>
              <w:shd w:val="clear"/>
              <w:spacing w:beforeLines="20" w:line="240" w:lineRule="auto"/>
              <w:jc w:val="cente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1" w:type="dxa"/>
            <w:tcBorders>
              <w:top w:val="single" w:color="auto" w:sz="4" w:space="0"/>
              <w:left w:val="single" w:color="auto" w:sz="4" w:space="0"/>
              <w:bottom w:val="single" w:color="auto" w:sz="4" w:space="0"/>
              <w:right w:val="single" w:color="auto" w:sz="4" w:space="0"/>
            </w:tcBorders>
            <w:noWrap/>
            <w:vAlign w:val="center"/>
          </w:tcPr>
          <w:p>
            <w:pPr>
              <w:shd w:val="clear"/>
              <w:spacing w:beforeLines="20" w:line="240" w:lineRule="auto"/>
              <w:ind w:firstLine="420" w:firstLineChars="20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1</w:t>
            </w:r>
          </w:p>
        </w:tc>
        <w:tc>
          <w:tcPr>
            <w:tcW w:w="734" w:type="dxa"/>
            <w:tcBorders>
              <w:top w:val="single" w:color="auto" w:sz="4" w:space="0"/>
              <w:left w:val="single" w:color="auto" w:sz="4" w:space="0"/>
              <w:right w:val="single" w:color="auto" w:sz="4" w:space="0"/>
            </w:tcBorders>
            <w:noWrap/>
            <w:vAlign w:val="center"/>
          </w:tcPr>
          <w:p>
            <w:pPr>
              <w:shd w:val="clear"/>
              <w:spacing w:beforeLines="20" w:line="240" w:lineRule="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价格</w:t>
            </w:r>
          </w:p>
        </w:tc>
        <w:tc>
          <w:tcPr>
            <w:tcW w:w="1469" w:type="dxa"/>
            <w:tcBorders>
              <w:top w:val="single" w:color="auto" w:sz="4" w:space="0"/>
              <w:left w:val="single" w:color="auto" w:sz="4" w:space="0"/>
              <w:right w:val="single" w:color="auto" w:sz="4" w:space="0"/>
            </w:tcBorders>
            <w:noWrap/>
            <w:vAlign w:val="center"/>
          </w:tcPr>
          <w:p>
            <w:pPr>
              <w:shd w:val="clear"/>
              <w:spacing w:beforeLines="20" w:line="240" w:lineRule="auto"/>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投标</w:t>
            </w:r>
          </w:p>
          <w:p>
            <w:pPr>
              <w:shd w:val="clear"/>
              <w:spacing w:beforeLines="20" w:line="240" w:lineRule="auto"/>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报价</w:t>
            </w:r>
          </w:p>
          <w:p>
            <w:pPr>
              <w:shd w:val="clear"/>
              <w:spacing w:beforeLines="20" w:line="240" w:lineRule="auto"/>
              <w:jc w:val="center"/>
              <w:rPr>
                <w:rFonts w:hint="eastAsia" w:ascii="宋体" w:hAnsi="宋体" w:eastAsia="宋体" w:cs="宋体"/>
                <w:bCs/>
                <w:color w:val="auto"/>
                <w:sz w:val="21"/>
                <w:szCs w:val="21"/>
                <w:highlight w:val="none"/>
                <w:lang w:eastAsia="zh-CN"/>
              </w:rPr>
            </w:pPr>
            <w:r>
              <w:rPr>
                <w:rFonts w:hint="eastAsia" w:ascii="宋体" w:hAnsi="宋体" w:eastAsia="宋体" w:cs="宋体"/>
                <w:bCs/>
                <w:color w:val="auto"/>
                <w:sz w:val="21"/>
                <w:szCs w:val="21"/>
                <w:highlight w:val="none"/>
                <w:lang w:eastAsia="zh-CN"/>
              </w:rPr>
              <w:t>（</w:t>
            </w:r>
            <w:r>
              <w:rPr>
                <w:rFonts w:hint="eastAsia" w:ascii="宋体" w:hAnsi="宋体" w:eastAsia="宋体" w:cs="宋体"/>
                <w:bCs/>
                <w:color w:val="auto"/>
                <w:sz w:val="21"/>
                <w:szCs w:val="21"/>
                <w:highlight w:val="none"/>
                <w:lang w:val="en-US" w:eastAsia="zh-CN"/>
              </w:rPr>
              <w:t>30</w:t>
            </w:r>
            <w:r>
              <w:rPr>
                <w:rFonts w:hint="eastAsia" w:ascii="宋体" w:hAnsi="宋体" w:eastAsia="宋体" w:cs="宋体"/>
                <w:color w:val="auto"/>
                <w:sz w:val="21"/>
                <w:szCs w:val="21"/>
                <w:highlight w:val="none"/>
              </w:rPr>
              <w:t>分</w:t>
            </w:r>
            <w:r>
              <w:rPr>
                <w:rFonts w:hint="eastAsia" w:ascii="宋体" w:hAnsi="宋体" w:eastAsia="宋体" w:cs="宋体"/>
                <w:bCs/>
                <w:color w:val="auto"/>
                <w:sz w:val="21"/>
                <w:szCs w:val="21"/>
                <w:highlight w:val="none"/>
                <w:lang w:eastAsia="zh-CN"/>
              </w:rPr>
              <w:t>）</w:t>
            </w:r>
          </w:p>
        </w:tc>
        <w:tc>
          <w:tcPr>
            <w:tcW w:w="59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numPr>
                <w:ilvl w:val="0"/>
                <w:numId w:val="0"/>
              </w:numPr>
              <w:shd w:val="clear"/>
              <w:kinsoku/>
              <w:wordWrap/>
              <w:overflowPunct/>
              <w:topLinePunct w:val="0"/>
              <w:autoSpaceDE/>
              <w:autoSpaceDN/>
              <w:bidi w:val="0"/>
              <w:spacing w:line="240" w:lineRule="auto"/>
              <w:ind w:firstLine="420" w:firstLineChars="200"/>
              <w:textAlignment w:val="auto"/>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lang w:val="zh-CN"/>
              </w:rPr>
              <w:t>按照财政部《政府采购货物和服务招标投标管理办法》（第87号）的有关规定：价格分采用低价优先法计算，即满足招标文件要求且投标报价最低的供应商的价格为评标基准价，其价格分为满分。其他供应商的价格分统一按照下列公式计算：</w:t>
            </w:r>
          </w:p>
          <w:p>
            <w:pPr>
              <w:keepNext w:val="0"/>
              <w:keepLines w:val="0"/>
              <w:pageBreakBefore w:val="0"/>
              <w:widowControl w:val="0"/>
              <w:numPr>
                <w:ilvl w:val="0"/>
                <w:numId w:val="0"/>
              </w:numPr>
              <w:shd w:val="clear"/>
              <w:kinsoku/>
              <w:wordWrap/>
              <w:overflowPunct/>
              <w:topLinePunct w:val="0"/>
              <w:autoSpaceDE/>
              <w:autoSpaceDN/>
              <w:bidi w:val="0"/>
              <w:spacing w:line="240" w:lineRule="auto"/>
              <w:ind w:firstLine="420" w:firstLineChars="200"/>
              <w:textAlignment w:val="auto"/>
              <w:rPr>
                <w:rFonts w:hint="eastAsia" w:ascii="宋体" w:hAnsi="宋体" w:eastAsia="宋体" w:cs="宋体"/>
                <w:color w:val="auto"/>
                <w:sz w:val="21"/>
                <w:szCs w:val="21"/>
                <w:highlight w:val="none"/>
                <w:lang w:val="zh-CN"/>
              </w:rPr>
            </w:pPr>
            <w:r>
              <w:rPr>
                <w:rFonts w:hint="eastAsia" w:ascii="宋体" w:hAnsi="宋体" w:eastAsia="宋体" w:cs="宋体"/>
                <w:color w:val="auto"/>
                <w:sz w:val="21"/>
                <w:szCs w:val="21"/>
                <w:highlight w:val="none"/>
                <w:lang w:val="en-US" w:eastAsia="zh-CN"/>
              </w:rPr>
              <w:t>投标</w:t>
            </w:r>
            <w:r>
              <w:rPr>
                <w:rFonts w:hint="eastAsia" w:ascii="宋体" w:hAnsi="宋体" w:eastAsia="宋体" w:cs="宋体"/>
                <w:color w:val="auto"/>
                <w:sz w:val="21"/>
                <w:szCs w:val="21"/>
                <w:highlight w:val="none"/>
                <w:lang w:val="zh-CN"/>
              </w:rPr>
              <w:t>报价得分=（评标基准价/投标报价）×价格权值×100。</w:t>
            </w:r>
          </w:p>
          <w:p>
            <w:pPr>
              <w:keepNext w:val="0"/>
              <w:keepLines w:val="0"/>
              <w:pageBreakBefore w:val="0"/>
              <w:widowControl w:val="0"/>
              <w:numPr>
                <w:ilvl w:val="0"/>
                <w:numId w:val="0"/>
              </w:numPr>
              <w:shd w:val="clear"/>
              <w:kinsoku/>
              <w:wordWrap/>
              <w:overflowPunct/>
              <w:topLinePunct w:val="0"/>
              <w:autoSpaceDE/>
              <w:autoSpaceDN/>
              <w:bidi w:val="0"/>
              <w:spacing w:line="240" w:lineRule="auto"/>
              <w:ind w:firstLine="420" w:firstLineChars="200"/>
              <w:textAlignment w:val="auto"/>
              <w:rPr>
                <w:rFonts w:hint="eastAsia" w:ascii="宋体" w:hAnsi="宋体" w:eastAsia="宋体" w:cs="宋体"/>
                <w:color w:val="auto"/>
                <w:highlight w:val="none"/>
                <w:lang w:val="en-US" w:eastAsia="zh-CN"/>
              </w:rPr>
            </w:pPr>
            <w:r>
              <w:rPr>
                <w:rFonts w:hint="eastAsia" w:ascii="宋体" w:hAnsi="宋体" w:eastAsia="宋体" w:cs="宋体"/>
                <w:color w:val="auto"/>
                <w:sz w:val="21"/>
                <w:szCs w:val="21"/>
                <w:highlight w:val="none"/>
                <w:lang w:val="zh-CN" w:eastAsia="zh-CN"/>
              </w:rPr>
              <w:t>说明：按照</w:t>
            </w:r>
            <w:r>
              <w:rPr>
                <w:rFonts w:hint="eastAsia" w:ascii="宋体" w:hAnsi="宋体" w:eastAsia="宋体" w:cs="宋体"/>
                <w:color w:val="auto"/>
                <w:sz w:val="21"/>
                <w:szCs w:val="21"/>
                <w:highlight w:val="none"/>
              </w:rPr>
              <w:t>财库〔2020〕46号</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pacing w:val="6"/>
                <w:kern w:val="0"/>
                <w:sz w:val="21"/>
                <w:szCs w:val="21"/>
                <w:highlight w:val="none"/>
              </w:rPr>
              <w:t>工信部联企业[2011]300号</w:t>
            </w:r>
            <w:r>
              <w:rPr>
                <w:rFonts w:hint="eastAsia" w:ascii="宋体" w:hAnsi="宋体" w:eastAsia="宋体" w:cs="宋体"/>
                <w:color w:val="auto"/>
                <w:sz w:val="21"/>
                <w:szCs w:val="21"/>
                <w:highlight w:val="none"/>
                <w:lang w:val="zh-CN" w:eastAsia="zh-CN"/>
              </w:rPr>
              <w:t>文件的有关规定，对小型、微型企业产品价格给予6%的扣除，用扣除后的价格参与评审。</w:t>
            </w:r>
          </w:p>
        </w:tc>
        <w:tc>
          <w:tcPr>
            <w:tcW w:w="768" w:type="dxa"/>
            <w:tcBorders>
              <w:top w:val="single" w:color="auto" w:sz="4" w:space="0"/>
              <w:left w:val="single" w:color="auto" w:sz="4" w:space="0"/>
              <w:bottom w:val="single" w:color="auto" w:sz="4" w:space="0"/>
              <w:right w:val="single" w:color="auto" w:sz="4" w:space="0"/>
            </w:tcBorders>
            <w:noWrap/>
            <w:vAlign w:val="center"/>
          </w:tcPr>
          <w:p>
            <w:pPr>
              <w:shd w:val="clear"/>
              <w:spacing w:beforeLines="20" w:line="240" w:lineRule="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30</w:t>
            </w:r>
            <w:r>
              <w:rPr>
                <w:rFonts w:hint="eastAsia" w:ascii="宋体" w:hAnsi="宋体" w:eastAsia="宋体" w:cs="宋体"/>
                <w:bCs/>
                <w:color w:val="auto"/>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1" w:type="dxa"/>
            <w:vMerge w:val="restart"/>
            <w:tcBorders>
              <w:top w:val="single" w:color="auto" w:sz="4" w:space="0"/>
              <w:left w:val="single" w:color="auto" w:sz="4" w:space="0"/>
              <w:right w:val="single" w:color="auto" w:sz="4" w:space="0"/>
            </w:tcBorders>
            <w:noWrap/>
            <w:vAlign w:val="center"/>
          </w:tcPr>
          <w:p>
            <w:pPr>
              <w:shd w:val="clear"/>
              <w:spacing w:beforeLines="20" w:line="240" w:lineRule="auto"/>
              <w:jc w:val="cente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2</w:t>
            </w:r>
          </w:p>
        </w:tc>
        <w:tc>
          <w:tcPr>
            <w:tcW w:w="734" w:type="dxa"/>
            <w:vMerge w:val="restart"/>
            <w:tcBorders>
              <w:left w:val="single" w:color="auto" w:sz="4" w:space="0"/>
              <w:right w:val="single" w:color="auto" w:sz="4" w:space="0"/>
            </w:tcBorders>
            <w:noWrap/>
            <w:vAlign w:val="center"/>
          </w:tcPr>
          <w:p>
            <w:pPr>
              <w:shd w:val="clear"/>
              <w:spacing w:beforeLines="20" w:line="240" w:lineRule="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技术响应方案</w:t>
            </w:r>
          </w:p>
        </w:tc>
        <w:tc>
          <w:tcPr>
            <w:tcW w:w="1469" w:type="dxa"/>
            <w:tcBorders>
              <w:left w:val="single" w:color="auto" w:sz="4" w:space="0"/>
              <w:right w:val="single" w:color="auto" w:sz="4" w:space="0"/>
            </w:tcBorders>
            <w:noWrap/>
            <w:vAlign w:val="center"/>
          </w:tcPr>
          <w:p>
            <w:pPr>
              <w:widowControl/>
              <w:shd w:val="clear"/>
              <w:adjustRightInd w:val="0"/>
              <w:snapToGrid w:val="0"/>
              <w:spacing w:line="24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产品配置及技术参数</w:t>
            </w:r>
          </w:p>
          <w:p>
            <w:pPr>
              <w:widowControl/>
              <w:shd w:val="clear"/>
              <w:adjustRightInd w:val="0"/>
              <w:snapToGrid w:val="0"/>
              <w:spacing w:line="24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30</w:t>
            </w:r>
            <w:r>
              <w:rPr>
                <w:rFonts w:hint="eastAsia" w:ascii="宋体" w:hAnsi="宋体" w:eastAsia="宋体" w:cs="宋体"/>
                <w:color w:val="auto"/>
                <w:sz w:val="21"/>
                <w:szCs w:val="21"/>
                <w:highlight w:val="none"/>
              </w:rPr>
              <w:t>分）</w:t>
            </w:r>
          </w:p>
        </w:tc>
        <w:tc>
          <w:tcPr>
            <w:tcW w:w="5958"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widowControl w:val="0"/>
              <w:numPr>
                <w:ilvl w:val="0"/>
                <w:numId w:val="3"/>
              </w:numPr>
              <w:shd w:val="clear"/>
              <w:kinsoku/>
              <w:wordWrap/>
              <w:overflowPunct/>
              <w:topLinePunct w:val="0"/>
              <w:autoSpaceDE/>
              <w:autoSpaceDN/>
              <w:bidi w:val="0"/>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zh-CN"/>
              </w:rPr>
              <w:t>投标产品选型完全满足</w:t>
            </w:r>
            <w:r>
              <w:rPr>
                <w:rFonts w:hint="eastAsia" w:ascii="宋体" w:hAnsi="宋体" w:eastAsia="宋体" w:cs="宋体"/>
                <w:color w:val="auto"/>
                <w:sz w:val="21"/>
                <w:szCs w:val="21"/>
                <w:highlight w:val="none"/>
                <w:lang w:val="zh-CN" w:eastAsia="zh-CN"/>
              </w:rPr>
              <w:t>招标</w:t>
            </w:r>
            <w:r>
              <w:rPr>
                <w:rFonts w:hint="eastAsia" w:ascii="宋体" w:hAnsi="宋体" w:eastAsia="宋体" w:cs="宋体"/>
                <w:color w:val="auto"/>
                <w:sz w:val="21"/>
                <w:szCs w:val="21"/>
                <w:highlight w:val="none"/>
                <w:lang w:val="zh-CN"/>
              </w:rPr>
              <w:t>文件要求，产品配置完整合理，其型号、技术参数清晰明确，提供的</w:t>
            </w:r>
            <w:r>
              <w:rPr>
                <w:rFonts w:hint="eastAsia" w:ascii="宋体" w:hAnsi="宋体" w:eastAsia="宋体" w:cs="宋体"/>
                <w:color w:val="auto"/>
                <w:sz w:val="21"/>
                <w:szCs w:val="21"/>
                <w:highlight w:val="none"/>
              </w:rPr>
              <w:t>技术参数佐证材料</w:t>
            </w:r>
            <w:r>
              <w:rPr>
                <w:rFonts w:hint="eastAsia" w:ascii="宋体" w:hAnsi="宋体" w:eastAsia="宋体" w:cs="宋体"/>
                <w:color w:val="auto"/>
                <w:sz w:val="21"/>
                <w:szCs w:val="21"/>
                <w:highlight w:val="none"/>
                <w:lang w:val="zh-CN"/>
              </w:rPr>
              <w:t>详细</w:t>
            </w:r>
            <w:r>
              <w:rPr>
                <w:rFonts w:hint="eastAsia" w:ascii="宋体" w:hAnsi="宋体" w:eastAsia="宋体" w:cs="宋体"/>
                <w:color w:val="auto"/>
                <w:sz w:val="21"/>
                <w:szCs w:val="21"/>
                <w:highlight w:val="none"/>
                <w:lang w:eastAsia="zh-CN"/>
              </w:rPr>
              <w:t>，得</w:t>
            </w:r>
            <w:r>
              <w:rPr>
                <w:rFonts w:hint="eastAsia" w:ascii="宋体" w:hAnsi="宋体" w:eastAsia="宋体" w:cs="宋体"/>
                <w:color w:val="auto"/>
                <w:sz w:val="21"/>
                <w:szCs w:val="21"/>
                <w:highlight w:val="none"/>
                <w:lang w:val="en-US" w:eastAsia="zh-CN"/>
              </w:rPr>
              <w:t>[25-30]；</w:t>
            </w:r>
          </w:p>
          <w:p>
            <w:pPr>
              <w:pStyle w:val="2"/>
              <w:keepNext w:val="0"/>
              <w:keepLines w:val="0"/>
              <w:pageBreakBefore w:val="0"/>
              <w:widowControl w:val="0"/>
              <w:numPr>
                <w:ilvl w:val="0"/>
                <w:numId w:val="0"/>
              </w:numPr>
              <w:shd w:val="clear"/>
              <w:kinsoku/>
              <w:wordWrap/>
              <w:overflowPunct/>
              <w:topLinePunct w:val="0"/>
              <w:autoSpaceDE/>
              <w:autoSpaceDN/>
              <w:bidi w:val="0"/>
              <w:spacing w:line="240" w:lineRule="auto"/>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2、投标产品选型基本招标文件要求，产品配置合理，其型号、技术参数清晰明确，</w:t>
            </w:r>
            <w:r>
              <w:rPr>
                <w:rFonts w:hint="eastAsia" w:ascii="宋体" w:hAnsi="宋体" w:eastAsia="宋体" w:cs="宋体"/>
                <w:color w:val="auto"/>
                <w:sz w:val="21"/>
                <w:szCs w:val="21"/>
                <w:highlight w:val="none"/>
                <w:lang w:val="zh-CN"/>
              </w:rPr>
              <w:t>提供的</w:t>
            </w:r>
            <w:r>
              <w:rPr>
                <w:rFonts w:hint="eastAsia" w:ascii="宋体" w:hAnsi="宋体" w:eastAsia="宋体" w:cs="宋体"/>
                <w:color w:val="auto"/>
                <w:sz w:val="21"/>
                <w:szCs w:val="21"/>
                <w:highlight w:val="none"/>
              </w:rPr>
              <w:t>技术参数佐证材料</w:t>
            </w:r>
            <w:r>
              <w:rPr>
                <w:rFonts w:hint="eastAsia" w:ascii="宋体" w:hAnsi="宋体" w:eastAsia="宋体" w:cs="宋体"/>
                <w:color w:val="auto"/>
                <w:sz w:val="21"/>
                <w:szCs w:val="21"/>
                <w:highlight w:val="none"/>
                <w:lang w:val="zh-CN"/>
              </w:rPr>
              <w:t>较详细</w:t>
            </w:r>
            <w:r>
              <w:rPr>
                <w:rFonts w:hint="eastAsia" w:ascii="宋体" w:hAnsi="宋体" w:eastAsia="宋体" w:cs="宋体"/>
                <w:color w:val="auto"/>
                <w:sz w:val="21"/>
                <w:szCs w:val="21"/>
                <w:highlight w:val="none"/>
                <w:lang w:eastAsia="zh-CN"/>
              </w:rPr>
              <w:t>，得</w:t>
            </w:r>
            <w:r>
              <w:rPr>
                <w:rFonts w:hint="eastAsia" w:ascii="宋体" w:hAnsi="宋体" w:eastAsia="宋体" w:cs="宋体"/>
                <w:color w:val="auto"/>
                <w:sz w:val="21"/>
                <w:szCs w:val="21"/>
                <w:highlight w:val="none"/>
                <w:lang w:val="en-US" w:eastAsia="zh-CN"/>
              </w:rPr>
              <w:t>[15-25）；</w:t>
            </w:r>
          </w:p>
          <w:p>
            <w:pPr>
              <w:widowControl/>
              <w:shd w:val="clear"/>
              <w:adjustRightInd w:val="0"/>
              <w:snapToGrid w:val="0"/>
              <w:spacing w:afterLines="50" w:line="240" w:lineRule="auto"/>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highlight w:val="none"/>
                <w:lang w:val="en-US" w:eastAsia="zh-CN" w:bidi="ar-SA"/>
              </w:rPr>
              <w:t>3、投</w:t>
            </w:r>
            <w:r>
              <w:rPr>
                <w:rFonts w:hint="eastAsia" w:ascii="宋体" w:hAnsi="宋体" w:eastAsia="宋体" w:cs="宋体"/>
                <w:i w:val="0"/>
                <w:iCs w:val="0"/>
                <w:color w:val="auto"/>
                <w:kern w:val="2"/>
                <w:sz w:val="21"/>
                <w:szCs w:val="21"/>
                <w:highlight w:val="none"/>
                <w:lang w:val="en-US" w:eastAsia="zh-CN" w:bidi="ar-SA"/>
              </w:rPr>
              <w:t>标产品选型</w:t>
            </w:r>
            <w:r>
              <w:rPr>
                <w:rFonts w:hint="eastAsia" w:ascii="宋体" w:hAnsi="宋体" w:eastAsia="宋体" w:cs="宋体"/>
                <w:color w:val="auto"/>
                <w:kern w:val="2"/>
                <w:sz w:val="21"/>
                <w:szCs w:val="21"/>
                <w:highlight w:val="none"/>
                <w:lang w:val="en-US" w:eastAsia="zh-CN" w:bidi="ar-SA"/>
              </w:rPr>
              <w:t>基本招标文件要求，产品配置较合理，</w:t>
            </w:r>
            <w:r>
              <w:rPr>
                <w:rFonts w:hint="eastAsia" w:ascii="宋体" w:hAnsi="宋体" w:eastAsia="宋体" w:cs="宋体"/>
                <w:color w:val="auto"/>
                <w:sz w:val="21"/>
                <w:szCs w:val="21"/>
                <w:highlight w:val="none"/>
                <w:lang w:val="zh-CN"/>
              </w:rPr>
              <w:t>提供的</w:t>
            </w:r>
            <w:r>
              <w:rPr>
                <w:rFonts w:hint="eastAsia" w:ascii="宋体" w:hAnsi="宋体" w:eastAsia="宋体" w:cs="宋体"/>
                <w:color w:val="auto"/>
                <w:sz w:val="21"/>
                <w:szCs w:val="21"/>
                <w:highlight w:val="none"/>
              </w:rPr>
              <w:t>技术参数佐证材料</w:t>
            </w:r>
            <w:r>
              <w:rPr>
                <w:rFonts w:hint="eastAsia" w:ascii="宋体" w:hAnsi="宋体" w:eastAsia="宋体" w:cs="宋体"/>
                <w:color w:val="auto"/>
                <w:sz w:val="21"/>
                <w:szCs w:val="21"/>
                <w:highlight w:val="none"/>
                <w:lang w:val="zh-CN"/>
              </w:rPr>
              <w:t>一般</w:t>
            </w:r>
            <w:r>
              <w:rPr>
                <w:rFonts w:hint="eastAsia" w:ascii="宋体" w:hAnsi="宋体" w:eastAsia="宋体" w:cs="宋体"/>
                <w:color w:val="auto"/>
                <w:sz w:val="21"/>
                <w:szCs w:val="21"/>
                <w:highlight w:val="none"/>
                <w:lang w:eastAsia="zh-CN"/>
              </w:rPr>
              <w:t>，得</w:t>
            </w:r>
            <w:r>
              <w:rPr>
                <w:rFonts w:hint="eastAsia" w:ascii="宋体" w:hAnsi="宋体" w:eastAsia="宋体" w:cs="宋体"/>
                <w:color w:val="auto"/>
                <w:sz w:val="21"/>
                <w:szCs w:val="21"/>
                <w:highlight w:val="none"/>
                <w:lang w:val="en-US" w:eastAsia="zh-CN"/>
              </w:rPr>
              <w:t>[10-15）。</w:t>
            </w:r>
          </w:p>
        </w:tc>
        <w:tc>
          <w:tcPr>
            <w:tcW w:w="768" w:type="dxa"/>
            <w:tcBorders>
              <w:top w:val="single" w:color="auto" w:sz="4" w:space="0"/>
              <w:left w:val="single" w:color="auto" w:sz="4" w:space="0"/>
              <w:bottom w:val="single" w:color="auto" w:sz="4" w:space="0"/>
              <w:right w:val="single" w:color="auto" w:sz="4" w:space="0"/>
            </w:tcBorders>
            <w:noWrap/>
            <w:vAlign w:val="center"/>
          </w:tcPr>
          <w:p>
            <w:pPr>
              <w:widowControl/>
              <w:shd w:val="clear"/>
              <w:adjustRightInd w:val="0"/>
              <w:snapToGrid w:val="0"/>
              <w:spacing w:line="240" w:lineRule="auto"/>
              <w:jc w:val="center"/>
              <w:textAlignment w:val="center"/>
              <w:rPr>
                <w:rFonts w:hint="eastAsia" w:ascii="宋体" w:hAnsi="宋体" w:eastAsia="宋体" w:cs="宋体"/>
                <w:bCs/>
                <w:color w:val="auto"/>
                <w:sz w:val="21"/>
                <w:szCs w:val="21"/>
                <w:highlight w:val="none"/>
              </w:rPr>
            </w:pPr>
            <w:r>
              <w:rPr>
                <w:rFonts w:hint="eastAsia" w:ascii="宋体" w:hAnsi="宋体" w:eastAsia="宋体" w:cs="宋体"/>
                <w:color w:val="auto"/>
                <w:kern w:val="0"/>
                <w:sz w:val="21"/>
                <w:szCs w:val="21"/>
                <w:highlight w:val="none"/>
                <w:lang w:val="en-US" w:eastAsia="zh-CN"/>
              </w:rPr>
              <w:t>30</w:t>
            </w:r>
            <w:r>
              <w:rPr>
                <w:rFonts w:hint="eastAsia" w:ascii="宋体" w:hAnsi="宋体" w:eastAsia="宋体" w:cs="宋体"/>
                <w:color w:val="auto"/>
                <w:kern w:val="0"/>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1" w:type="dxa"/>
            <w:vMerge w:val="continue"/>
            <w:tcBorders>
              <w:left w:val="single" w:color="auto" w:sz="4" w:space="0"/>
              <w:right w:val="single" w:color="auto" w:sz="4" w:space="0"/>
            </w:tcBorders>
            <w:noWrap/>
            <w:vAlign w:val="center"/>
          </w:tcPr>
          <w:p>
            <w:pPr>
              <w:shd w:val="clear"/>
              <w:spacing w:beforeLines="20" w:line="240" w:lineRule="auto"/>
              <w:jc w:val="center"/>
              <w:rPr>
                <w:rFonts w:hint="eastAsia" w:ascii="宋体" w:hAnsi="宋体" w:eastAsia="宋体" w:cs="宋体"/>
                <w:bCs/>
                <w:color w:val="auto"/>
                <w:sz w:val="21"/>
                <w:szCs w:val="21"/>
                <w:highlight w:val="none"/>
              </w:rPr>
            </w:pPr>
          </w:p>
        </w:tc>
        <w:tc>
          <w:tcPr>
            <w:tcW w:w="734" w:type="dxa"/>
            <w:vMerge w:val="continue"/>
            <w:tcBorders>
              <w:left w:val="single" w:color="auto" w:sz="4" w:space="0"/>
              <w:right w:val="single" w:color="auto" w:sz="4" w:space="0"/>
            </w:tcBorders>
            <w:noWrap/>
            <w:vAlign w:val="center"/>
          </w:tcPr>
          <w:p>
            <w:pPr>
              <w:shd w:val="clear"/>
              <w:spacing w:beforeLines="20" w:line="240" w:lineRule="auto"/>
              <w:rPr>
                <w:rFonts w:hint="eastAsia" w:ascii="宋体" w:hAnsi="宋体" w:eastAsia="宋体" w:cs="宋体"/>
                <w:bCs/>
                <w:color w:val="auto"/>
                <w:sz w:val="21"/>
                <w:szCs w:val="21"/>
                <w:highlight w:val="none"/>
              </w:rPr>
            </w:pPr>
          </w:p>
        </w:tc>
        <w:tc>
          <w:tcPr>
            <w:tcW w:w="1469" w:type="dxa"/>
            <w:tcBorders>
              <w:left w:val="single" w:color="auto" w:sz="4" w:space="0"/>
              <w:right w:val="single" w:color="auto" w:sz="4" w:space="0"/>
            </w:tcBorders>
            <w:noWrap/>
            <w:vAlign w:val="center"/>
          </w:tcPr>
          <w:p>
            <w:pPr>
              <w:widowControl/>
              <w:shd w:val="clear"/>
              <w:adjustRightInd w:val="0"/>
              <w:snapToGrid w:val="0"/>
              <w:spacing w:line="24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投标产品可靠性</w:t>
            </w:r>
          </w:p>
          <w:p>
            <w:pPr>
              <w:widowControl/>
              <w:shd w:val="clear"/>
              <w:adjustRightInd w:val="0"/>
              <w:snapToGrid w:val="0"/>
              <w:spacing w:line="24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15</w:t>
            </w:r>
            <w:r>
              <w:rPr>
                <w:rFonts w:hint="eastAsia" w:ascii="宋体" w:hAnsi="宋体" w:eastAsia="宋体" w:cs="宋体"/>
                <w:color w:val="auto"/>
                <w:sz w:val="21"/>
                <w:szCs w:val="21"/>
                <w:highlight w:val="none"/>
              </w:rPr>
              <w:t>分）</w:t>
            </w:r>
          </w:p>
        </w:tc>
        <w:tc>
          <w:tcPr>
            <w:tcW w:w="5958" w:type="dxa"/>
            <w:tcBorders>
              <w:top w:val="single" w:color="auto" w:sz="4" w:space="0"/>
              <w:left w:val="single" w:color="auto" w:sz="4" w:space="0"/>
              <w:bottom w:val="single" w:color="auto" w:sz="4" w:space="0"/>
              <w:right w:val="single" w:color="auto" w:sz="4" w:space="0"/>
            </w:tcBorders>
            <w:noWrap/>
            <w:vAlign w:val="center"/>
          </w:tcPr>
          <w:p>
            <w:pPr>
              <w:widowControl/>
              <w:shd w:val="clear"/>
              <w:adjustRightInd w:val="0"/>
              <w:snapToGrid w:val="0"/>
              <w:spacing w:afterLines="50" w:line="240" w:lineRule="auto"/>
              <w:jc w:val="left"/>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投标产品进货渠道正规、方便操作，安全可靠，符合使用需求，整体配置具有合理性、一致性、市场评价，产品品牌、型号、产地明确，评委成员自主打分，根据其响应情况赋分。</w:t>
            </w:r>
          </w:p>
          <w:p>
            <w:pPr>
              <w:widowControl/>
              <w:numPr>
                <w:ilvl w:val="0"/>
                <w:numId w:val="0"/>
              </w:numPr>
              <w:shd w:val="clear"/>
              <w:adjustRightInd w:val="0"/>
              <w:snapToGrid w:val="0"/>
              <w:spacing w:afterLines="50" w:line="240" w:lineRule="auto"/>
              <w:jc w:val="left"/>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1、进货渠道（5分）：具有正规的进货渠道，能提供能提供合法来源渠道证明的得5分，否则得0分；</w:t>
            </w:r>
          </w:p>
          <w:p>
            <w:pPr>
              <w:widowControl/>
              <w:shd w:val="clear"/>
              <w:adjustRightInd w:val="0"/>
              <w:snapToGrid w:val="0"/>
              <w:spacing w:afterLines="50" w:line="240" w:lineRule="auto"/>
              <w:jc w:val="left"/>
              <w:textAlignment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2、产品稳定性、可靠性且及市场评价（10分）：产品稳定性、可靠性强且市场评价良好得(7-10]分，产品稳定性、可靠性良好，市场评价一般得</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kern w:val="2"/>
                <w:sz w:val="21"/>
                <w:szCs w:val="21"/>
                <w:highlight w:val="none"/>
                <w:lang w:val="en-US" w:eastAsia="zh-CN" w:bidi="ar-SA"/>
              </w:rPr>
              <w:t>4-7</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kern w:val="2"/>
                <w:sz w:val="21"/>
                <w:szCs w:val="21"/>
                <w:highlight w:val="none"/>
                <w:lang w:val="en-US" w:eastAsia="zh-CN" w:bidi="ar-SA"/>
              </w:rPr>
              <w:t>分，产品可靠性一般，市场评价不明得(2-4</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kern w:val="2"/>
                <w:sz w:val="21"/>
                <w:szCs w:val="21"/>
                <w:highlight w:val="none"/>
                <w:lang w:val="en-US" w:eastAsia="zh-CN" w:bidi="ar-SA"/>
              </w:rPr>
              <w:t>分。</w:t>
            </w:r>
          </w:p>
        </w:tc>
        <w:tc>
          <w:tcPr>
            <w:tcW w:w="768" w:type="dxa"/>
            <w:tcBorders>
              <w:top w:val="single" w:color="auto" w:sz="4" w:space="0"/>
              <w:left w:val="single" w:color="auto" w:sz="4" w:space="0"/>
              <w:bottom w:val="single" w:color="auto" w:sz="4" w:space="0"/>
              <w:right w:val="single" w:color="auto" w:sz="4" w:space="0"/>
            </w:tcBorders>
            <w:noWrap/>
            <w:vAlign w:val="center"/>
          </w:tcPr>
          <w:p>
            <w:pPr>
              <w:widowControl/>
              <w:shd w:val="clear"/>
              <w:adjustRightInd w:val="0"/>
              <w:snapToGrid w:val="0"/>
              <w:spacing w:line="240" w:lineRule="auto"/>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911" w:type="dxa"/>
            <w:vMerge w:val="continue"/>
            <w:tcBorders>
              <w:left w:val="single" w:color="auto" w:sz="4" w:space="0"/>
              <w:right w:val="single" w:color="auto" w:sz="4" w:space="0"/>
            </w:tcBorders>
            <w:noWrap/>
            <w:vAlign w:val="center"/>
          </w:tcPr>
          <w:p>
            <w:pPr>
              <w:shd w:val="clear"/>
              <w:spacing w:beforeLines="20" w:line="240" w:lineRule="auto"/>
              <w:ind w:firstLine="420" w:firstLineChars="200"/>
              <w:jc w:val="center"/>
              <w:rPr>
                <w:rFonts w:hint="eastAsia" w:ascii="宋体" w:hAnsi="宋体" w:eastAsia="宋体" w:cs="宋体"/>
                <w:bCs/>
                <w:color w:val="auto"/>
                <w:sz w:val="21"/>
                <w:szCs w:val="21"/>
                <w:highlight w:val="none"/>
              </w:rPr>
            </w:pPr>
          </w:p>
        </w:tc>
        <w:tc>
          <w:tcPr>
            <w:tcW w:w="734" w:type="dxa"/>
            <w:vMerge w:val="continue"/>
            <w:tcBorders>
              <w:left w:val="single" w:color="auto" w:sz="4" w:space="0"/>
              <w:right w:val="single" w:color="auto" w:sz="4" w:space="0"/>
            </w:tcBorders>
            <w:noWrap/>
            <w:vAlign w:val="center"/>
          </w:tcPr>
          <w:p>
            <w:pPr>
              <w:shd w:val="clear"/>
              <w:spacing w:beforeLines="20" w:line="240" w:lineRule="auto"/>
              <w:ind w:firstLine="420" w:firstLineChars="200"/>
              <w:rPr>
                <w:rFonts w:hint="eastAsia" w:ascii="宋体" w:hAnsi="宋体" w:eastAsia="宋体" w:cs="宋体"/>
                <w:bCs/>
                <w:color w:val="auto"/>
                <w:sz w:val="21"/>
                <w:szCs w:val="21"/>
                <w:highlight w:val="none"/>
              </w:rPr>
            </w:pPr>
          </w:p>
        </w:tc>
        <w:tc>
          <w:tcPr>
            <w:tcW w:w="1469" w:type="dxa"/>
            <w:vMerge w:val="restart"/>
            <w:tcBorders>
              <w:left w:val="single" w:color="auto" w:sz="4" w:space="0"/>
              <w:right w:val="single" w:color="auto" w:sz="4" w:space="0"/>
            </w:tcBorders>
            <w:noWrap/>
            <w:vAlign w:val="center"/>
          </w:tcPr>
          <w:p>
            <w:pPr>
              <w:widowControl/>
              <w:shd w:val="clear"/>
              <w:adjustRightInd w:val="0"/>
              <w:snapToGrid w:val="0"/>
              <w:spacing w:line="24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总体服务方案</w:t>
            </w:r>
          </w:p>
          <w:p>
            <w:pPr>
              <w:widowControl/>
              <w:shd w:val="clear"/>
              <w:adjustRightInd w:val="0"/>
              <w:snapToGrid w:val="0"/>
              <w:spacing w:line="240" w:lineRule="auto"/>
              <w:jc w:val="center"/>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tc>
        <w:tc>
          <w:tcPr>
            <w:tcW w:w="5958" w:type="dxa"/>
            <w:tcBorders>
              <w:top w:val="single" w:color="auto" w:sz="4" w:space="0"/>
              <w:left w:val="single" w:color="auto" w:sz="4" w:space="0"/>
              <w:bottom w:val="single" w:color="auto" w:sz="4" w:space="0"/>
              <w:right w:val="single" w:color="auto" w:sz="4" w:space="0"/>
            </w:tcBorders>
            <w:noWrap/>
            <w:vAlign w:val="center"/>
          </w:tcPr>
          <w:p>
            <w:pPr>
              <w:widowControl/>
              <w:shd w:val="clear"/>
              <w:adjustRightInd w:val="0"/>
              <w:snapToGrid w:val="0"/>
              <w:spacing w:line="240" w:lineRule="auto"/>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1、供应商对本次采购任务有具体的供货组织安排，详细的人员、财力调配、运输等服务方案的，得(3-5]；供货组织安排较为具体，人员、财力调配、运输等服务方案较详细的，得(1-3]。</w:t>
            </w:r>
          </w:p>
        </w:tc>
        <w:tc>
          <w:tcPr>
            <w:tcW w:w="768" w:type="dxa"/>
            <w:tcBorders>
              <w:top w:val="single" w:color="auto" w:sz="4" w:space="0"/>
              <w:left w:val="single" w:color="auto" w:sz="4" w:space="0"/>
              <w:bottom w:val="single" w:color="auto" w:sz="4" w:space="0"/>
              <w:right w:val="single" w:color="auto" w:sz="4" w:space="0"/>
            </w:tcBorders>
            <w:noWrap/>
            <w:vAlign w:val="center"/>
          </w:tcPr>
          <w:p>
            <w:pPr>
              <w:widowControl/>
              <w:shd w:val="clear"/>
              <w:adjustRightInd w:val="0"/>
              <w:snapToGrid w:val="0"/>
              <w:spacing w:line="240" w:lineRule="auto"/>
              <w:jc w:val="center"/>
              <w:textAlignment w:val="center"/>
              <w:rPr>
                <w:rFonts w:hint="eastAsia" w:ascii="宋体" w:hAnsi="宋体" w:eastAsia="宋体" w:cs="宋体"/>
                <w:bCs/>
                <w:color w:val="auto"/>
                <w:sz w:val="21"/>
                <w:szCs w:val="21"/>
                <w:highlight w:val="none"/>
              </w:rPr>
            </w:pP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11" w:type="dxa"/>
            <w:vMerge w:val="continue"/>
            <w:tcBorders>
              <w:left w:val="single" w:color="auto" w:sz="4" w:space="0"/>
              <w:right w:val="single" w:color="auto" w:sz="4" w:space="0"/>
            </w:tcBorders>
            <w:noWrap/>
            <w:vAlign w:val="center"/>
          </w:tcPr>
          <w:p>
            <w:pPr>
              <w:shd w:val="clear"/>
              <w:spacing w:beforeLines="20" w:line="240" w:lineRule="auto"/>
              <w:ind w:firstLine="420" w:firstLineChars="200"/>
              <w:jc w:val="center"/>
              <w:rPr>
                <w:rFonts w:hint="eastAsia" w:ascii="宋体" w:hAnsi="宋体" w:eastAsia="宋体" w:cs="宋体"/>
                <w:bCs/>
                <w:color w:val="auto"/>
                <w:sz w:val="21"/>
                <w:szCs w:val="21"/>
                <w:highlight w:val="none"/>
              </w:rPr>
            </w:pPr>
          </w:p>
        </w:tc>
        <w:tc>
          <w:tcPr>
            <w:tcW w:w="734" w:type="dxa"/>
            <w:vMerge w:val="continue"/>
            <w:tcBorders>
              <w:left w:val="single" w:color="auto" w:sz="4" w:space="0"/>
              <w:right w:val="single" w:color="auto" w:sz="4" w:space="0"/>
            </w:tcBorders>
            <w:noWrap/>
            <w:vAlign w:val="center"/>
          </w:tcPr>
          <w:p>
            <w:pPr>
              <w:shd w:val="clear"/>
              <w:spacing w:beforeLines="20" w:line="240" w:lineRule="auto"/>
              <w:ind w:firstLine="420" w:firstLineChars="200"/>
              <w:rPr>
                <w:rFonts w:hint="eastAsia" w:ascii="宋体" w:hAnsi="宋体" w:eastAsia="宋体" w:cs="宋体"/>
                <w:bCs/>
                <w:color w:val="auto"/>
                <w:sz w:val="21"/>
                <w:szCs w:val="21"/>
                <w:highlight w:val="none"/>
              </w:rPr>
            </w:pPr>
          </w:p>
        </w:tc>
        <w:tc>
          <w:tcPr>
            <w:tcW w:w="1469" w:type="dxa"/>
            <w:vMerge w:val="continue"/>
            <w:tcBorders>
              <w:left w:val="single" w:color="auto" w:sz="4" w:space="0"/>
              <w:right w:val="single" w:color="auto" w:sz="4" w:space="0"/>
            </w:tcBorders>
            <w:noWrap/>
            <w:vAlign w:val="center"/>
          </w:tcPr>
          <w:p>
            <w:pPr>
              <w:widowControl/>
              <w:shd w:val="clear"/>
              <w:adjustRightInd w:val="0"/>
              <w:snapToGrid w:val="0"/>
              <w:spacing w:line="240" w:lineRule="auto"/>
              <w:jc w:val="center"/>
              <w:textAlignment w:val="center"/>
              <w:rPr>
                <w:rFonts w:hint="eastAsia" w:ascii="宋体" w:hAnsi="宋体" w:eastAsia="宋体" w:cs="宋体"/>
                <w:color w:val="auto"/>
                <w:highlight w:val="none"/>
              </w:rPr>
            </w:pPr>
          </w:p>
        </w:tc>
        <w:tc>
          <w:tcPr>
            <w:tcW w:w="5958" w:type="dxa"/>
            <w:tcBorders>
              <w:top w:val="single" w:color="auto" w:sz="4" w:space="0"/>
              <w:left w:val="single" w:color="auto" w:sz="4" w:space="0"/>
              <w:bottom w:val="single" w:color="auto" w:sz="4" w:space="0"/>
              <w:right w:val="single" w:color="auto" w:sz="4" w:space="0"/>
            </w:tcBorders>
            <w:noWrap/>
            <w:vAlign w:val="center"/>
          </w:tcPr>
          <w:p>
            <w:pPr>
              <w:widowControl/>
              <w:shd w:val="clear"/>
              <w:adjustRightInd w:val="0"/>
              <w:snapToGrid w:val="0"/>
              <w:spacing w:line="240" w:lineRule="auto"/>
              <w:jc w:val="left"/>
              <w:textAlignment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2、供应商对产品的供货、安装调试、技术服务的组织措施完善，能够保证所有产品顺利使用运行，方案</w:t>
            </w:r>
            <w:r>
              <w:rPr>
                <w:rFonts w:hint="eastAsia" w:ascii="宋体" w:hAnsi="宋体" w:eastAsia="宋体" w:cs="宋体"/>
                <w:color w:val="auto"/>
                <w:sz w:val="21"/>
                <w:szCs w:val="21"/>
                <w:highlight w:val="none"/>
              </w:rPr>
              <w:t>完善且具体可行</w:t>
            </w:r>
            <w:r>
              <w:rPr>
                <w:rFonts w:hint="eastAsia" w:ascii="宋体" w:hAnsi="宋体" w:eastAsia="宋体" w:cs="宋体"/>
                <w:color w:val="auto"/>
                <w:sz w:val="21"/>
                <w:szCs w:val="21"/>
                <w:highlight w:val="none"/>
                <w:lang w:eastAsia="zh-CN"/>
              </w:rPr>
              <w:t>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(3-5]；方案较</w:t>
            </w:r>
            <w:r>
              <w:rPr>
                <w:rFonts w:hint="eastAsia" w:ascii="宋体" w:hAnsi="宋体" w:eastAsia="宋体" w:cs="宋体"/>
                <w:color w:val="auto"/>
                <w:sz w:val="21"/>
                <w:szCs w:val="21"/>
                <w:highlight w:val="none"/>
              </w:rPr>
              <w:t>完善</w:t>
            </w:r>
            <w:r>
              <w:rPr>
                <w:rFonts w:hint="eastAsia" w:ascii="宋体" w:hAnsi="宋体" w:eastAsia="宋体" w:cs="宋体"/>
                <w:color w:val="auto"/>
                <w:sz w:val="21"/>
                <w:szCs w:val="21"/>
                <w:highlight w:val="none"/>
                <w:lang w:eastAsia="zh-CN"/>
              </w:rPr>
              <w:t>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(1-3]。</w:t>
            </w:r>
          </w:p>
        </w:tc>
        <w:tc>
          <w:tcPr>
            <w:tcW w:w="768" w:type="dxa"/>
            <w:tcBorders>
              <w:top w:val="single" w:color="auto" w:sz="4" w:space="0"/>
              <w:left w:val="single" w:color="auto" w:sz="4" w:space="0"/>
              <w:bottom w:val="single" w:color="auto" w:sz="4" w:space="0"/>
              <w:right w:val="single" w:color="auto" w:sz="4" w:space="0"/>
            </w:tcBorders>
            <w:noWrap/>
            <w:vAlign w:val="center"/>
          </w:tcPr>
          <w:p>
            <w:pPr>
              <w:widowControl/>
              <w:shd w:val="clear"/>
              <w:adjustRightInd w:val="0"/>
              <w:snapToGrid w:val="0"/>
              <w:spacing w:line="240" w:lineRule="auto"/>
              <w:jc w:val="center"/>
              <w:textAlignment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lang w:val="en-US" w:eastAsia="zh-CN"/>
              </w:rPr>
              <w:t>5</w:t>
            </w:r>
            <w:r>
              <w:rPr>
                <w:rFonts w:hint="eastAsia" w:ascii="宋体" w:hAnsi="宋体" w:eastAsia="宋体" w:cs="宋体"/>
                <w:color w:val="auto"/>
                <w:kern w:val="0"/>
                <w:sz w:val="21"/>
                <w:szCs w:val="21"/>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911" w:type="dxa"/>
            <w:vMerge w:val="restart"/>
            <w:tcBorders>
              <w:top w:val="single" w:color="auto" w:sz="4" w:space="0"/>
              <w:left w:val="single" w:color="auto" w:sz="4" w:space="0"/>
              <w:right w:val="single" w:color="auto" w:sz="4" w:space="0"/>
            </w:tcBorders>
            <w:noWrap/>
            <w:vAlign w:val="center"/>
          </w:tcPr>
          <w:p>
            <w:pPr>
              <w:shd w:val="clear"/>
              <w:spacing w:beforeLines="20" w:line="240" w:lineRule="auto"/>
              <w:ind w:firstLine="420" w:firstLineChars="200"/>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3</w:t>
            </w:r>
          </w:p>
        </w:tc>
        <w:tc>
          <w:tcPr>
            <w:tcW w:w="734" w:type="dxa"/>
            <w:vMerge w:val="restart"/>
            <w:tcBorders>
              <w:left w:val="single" w:color="auto" w:sz="4" w:space="0"/>
              <w:right w:val="single" w:color="auto" w:sz="4" w:space="0"/>
            </w:tcBorders>
            <w:noWrap/>
            <w:vAlign w:val="center"/>
          </w:tcPr>
          <w:p>
            <w:pPr>
              <w:shd w:val="clear"/>
              <w:spacing w:beforeLines="20" w:line="240" w:lineRule="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商务</w:t>
            </w:r>
          </w:p>
          <w:p>
            <w:pPr>
              <w:shd w:val="clear"/>
              <w:spacing w:beforeLines="20" w:line="240" w:lineRule="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部分</w:t>
            </w:r>
          </w:p>
        </w:tc>
        <w:tc>
          <w:tcPr>
            <w:tcW w:w="1469" w:type="dxa"/>
            <w:tcBorders>
              <w:left w:val="single" w:color="auto" w:sz="4" w:space="0"/>
              <w:right w:val="single" w:color="auto" w:sz="4" w:space="0"/>
            </w:tcBorders>
            <w:noWrap/>
            <w:vAlign w:val="center"/>
          </w:tcPr>
          <w:p>
            <w:pPr>
              <w:shd w:val="clear"/>
              <w:spacing w:beforeLines="20" w:line="240" w:lineRule="auto"/>
              <w:jc w:val="center"/>
              <w:rPr>
                <w:rFonts w:hint="eastAsia" w:ascii="宋体" w:hAnsi="宋体" w:eastAsia="宋体" w:cs="宋体"/>
                <w:bCs/>
                <w:color w:val="auto"/>
                <w:kern w:val="2"/>
                <w:sz w:val="21"/>
                <w:szCs w:val="21"/>
                <w:highlight w:val="none"/>
                <w:lang w:val="en-US" w:eastAsia="zh-CN" w:bidi="ar-SA"/>
              </w:rPr>
            </w:pPr>
            <w:r>
              <w:rPr>
                <w:rFonts w:hint="eastAsia" w:ascii="宋体" w:hAnsi="宋体" w:eastAsia="宋体" w:cs="宋体"/>
                <w:bCs/>
                <w:color w:val="auto"/>
                <w:sz w:val="21"/>
                <w:szCs w:val="21"/>
                <w:highlight w:val="none"/>
              </w:rPr>
              <w:t>售后服务方案</w:t>
            </w:r>
            <w:r>
              <w:rPr>
                <w:rFonts w:hint="eastAsia" w:ascii="宋体" w:hAnsi="宋体" w:eastAsia="宋体" w:cs="宋体"/>
                <w:bCs/>
                <w:color w:val="auto"/>
                <w:sz w:val="21"/>
                <w:szCs w:val="21"/>
                <w:highlight w:val="none"/>
                <w:lang w:eastAsia="zh-CN"/>
              </w:rPr>
              <w:t>（</w:t>
            </w:r>
            <w:r>
              <w:rPr>
                <w:rFonts w:hint="eastAsia" w:ascii="宋体" w:hAnsi="宋体" w:eastAsia="宋体" w:cs="宋体"/>
                <w:bCs/>
                <w:color w:val="auto"/>
                <w:sz w:val="21"/>
                <w:szCs w:val="21"/>
                <w:highlight w:val="none"/>
                <w:lang w:val="en-US" w:eastAsia="zh-CN"/>
              </w:rPr>
              <w:t>6分</w:t>
            </w:r>
            <w:r>
              <w:rPr>
                <w:rFonts w:hint="eastAsia" w:ascii="宋体" w:hAnsi="宋体" w:eastAsia="宋体" w:cs="宋体"/>
                <w:bCs/>
                <w:color w:val="auto"/>
                <w:sz w:val="21"/>
                <w:szCs w:val="21"/>
                <w:highlight w:val="none"/>
                <w:lang w:eastAsia="zh-CN"/>
              </w:rPr>
              <w:t>）</w:t>
            </w:r>
          </w:p>
        </w:tc>
        <w:tc>
          <w:tcPr>
            <w:tcW w:w="5958" w:type="dxa"/>
            <w:tcBorders>
              <w:top w:val="single" w:color="auto" w:sz="4" w:space="0"/>
              <w:left w:val="single" w:color="auto" w:sz="4" w:space="0"/>
              <w:bottom w:val="single" w:color="auto" w:sz="4" w:space="0"/>
              <w:right w:val="single" w:color="auto" w:sz="4" w:space="0"/>
            </w:tcBorders>
            <w:noWrap/>
            <w:vAlign w:val="center"/>
          </w:tcPr>
          <w:p>
            <w:pPr>
              <w:shd w:val="clear"/>
              <w:spacing w:line="240" w:lineRule="auto"/>
              <w:rPr>
                <w:rFonts w:hint="eastAsia" w:ascii="宋体" w:hAnsi="宋体" w:eastAsia="宋体" w:cs="宋体"/>
                <w:bCs/>
                <w:color w:val="auto"/>
                <w:kern w:val="2"/>
                <w:sz w:val="21"/>
                <w:szCs w:val="21"/>
                <w:highlight w:val="none"/>
                <w:lang w:val="zh-CN" w:eastAsia="zh-CN" w:bidi="ar-SA"/>
              </w:rPr>
            </w:pPr>
            <w:r>
              <w:rPr>
                <w:rFonts w:hint="eastAsia" w:ascii="宋体" w:hAnsi="宋体" w:eastAsia="宋体" w:cs="宋体"/>
                <w:b w:val="0"/>
                <w:bCs/>
                <w:color w:val="auto"/>
                <w:sz w:val="21"/>
                <w:szCs w:val="21"/>
                <w:highlight w:val="none"/>
                <w:lang w:val="en-US" w:eastAsia="zh-CN"/>
              </w:rPr>
              <w:t>在项目</w:t>
            </w:r>
            <w:r>
              <w:rPr>
                <w:rFonts w:hint="eastAsia" w:ascii="宋体" w:hAnsi="宋体" w:eastAsia="宋体" w:cs="宋体"/>
                <w:bCs/>
                <w:color w:val="auto"/>
                <w:sz w:val="21"/>
                <w:szCs w:val="21"/>
                <w:highlight w:val="none"/>
                <w:lang w:val="en-US" w:eastAsia="zh-CN"/>
              </w:rPr>
              <w:t>完成后后续保障、产品使用及日常维护等服务</w:t>
            </w:r>
            <w:r>
              <w:rPr>
                <w:rFonts w:hint="eastAsia" w:ascii="宋体" w:hAnsi="宋体" w:eastAsia="宋体" w:cs="宋体"/>
                <w:bCs/>
                <w:color w:val="auto"/>
                <w:sz w:val="21"/>
                <w:szCs w:val="21"/>
                <w:highlight w:val="none"/>
                <w:lang w:val="zh-CN"/>
              </w:rPr>
              <w:t>方案</w:t>
            </w:r>
            <w:r>
              <w:rPr>
                <w:rFonts w:hint="eastAsia" w:ascii="宋体" w:hAnsi="宋体" w:eastAsia="宋体" w:cs="宋体"/>
                <w:bCs/>
                <w:color w:val="auto"/>
                <w:sz w:val="21"/>
                <w:szCs w:val="21"/>
                <w:highlight w:val="none"/>
                <w:lang w:val="en-US" w:eastAsia="zh-CN"/>
              </w:rPr>
              <w:t>等方面的等进行售后服务响应，方案完善且具体可行的，根据响应情况得(4-6]分；售后</w:t>
            </w:r>
            <w:r>
              <w:rPr>
                <w:rFonts w:hint="eastAsia" w:ascii="宋体" w:hAnsi="宋体" w:eastAsia="宋体" w:cs="宋体"/>
                <w:b w:val="0"/>
                <w:bCs/>
                <w:color w:val="auto"/>
                <w:sz w:val="21"/>
                <w:szCs w:val="21"/>
                <w:highlight w:val="none"/>
                <w:lang w:val="en-US" w:eastAsia="zh-CN"/>
              </w:rPr>
              <w:t>服务方案可行性一般的，根据响应情况得</w:t>
            </w:r>
            <w:r>
              <w:rPr>
                <w:rFonts w:hint="eastAsia" w:ascii="宋体" w:hAnsi="宋体" w:eastAsia="宋体" w:cs="宋体"/>
                <w:color w:val="auto"/>
                <w:sz w:val="21"/>
                <w:szCs w:val="21"/>
                <w:highlight w:val="none"/>
                <w:lang w:val="en-US" w:eastAsia="zh-CN"/>
              </w:rPr>
              <w:t>(</w:t>
            </w:r>
            <w:r>
              <w:rPr>
                <w:rFonts w:hint="eastAsia" w:ascii="宋体" w:hAnsi="宋体" w:eastAsia="宋体" w:cs="宋体"/>
                <w:b w:val="0"/>
                <w:bCs/>
                <w:color w:val="auto"/>
                <w:sz w:val="21"/>
                <w:szCs w:val="21"/>
                <w:highlight w:val="none"/>
                <w:lang w:val="en-US" w:eastAsia="zh-CN"/>
              </w:rPr>
              <w:t>2-4]分。</w:t>
            </w:r>
          </w:p>
        </w:tc>
        <w:tc>
          <w:tcPr>
            <w:tcW w:w="768" w:type="dxa"/>
            <w:tcBorders>
              <w:top w:val="single" w:color="auto" w:sz="4" w:space="0"/>
              <w:left w:val="single" w:color="auto" w:sz="4" w:space="0"/>
              <w:bottom w:val="single" w:color="auto" w:sz="4" w:space="0"/>
              <w:right w:val="single" w:color="auto" w:sz="4" w:space="0"/>
            </w:tcBorders>
            <w:noWrap/>
            <w:vAlign w:val="center"/>
          </w:tcPr>
          <w:p>
            <w:pPr>
              <w:shd w:val="clear"/>
              <w:spacing w:beforeLines="20" w:line="240" w:lineRule="auto"/>
              <w:jc w:val="center"/>
              <w:rPr>
                <w:rFonts w:hint="eastAsia" w:ascii="宋体" w:hAnsi="宋体" w:eastAsia="宋体" w:cs="宋体"/>
                <w:bCs/>
                <w:color w:val="auto"/>
                <w:kern w:val="2"/>
                <w:sz w:val="21"/>
                <w:szCs w:val="21"/>
                <w:highlight w:val="none"/>
                <w:lang w:val="en-US" w:eastAsia="zh-CN" w:bidi="ar-SA"/>
              </w:rPr>
            </w:pPr>
            <w:r>
              <w:rPr>
                <w:rFonts w:hint="eastAsia" w:ascii="宋体" w:hAnsi="宋体" w:eastAsia="宋体" w:cs="宋体"/>
                <w:bCs/>
                <w:color w:val="auto"/>
                <w:sz w:val="21"/>
                <w:szCs w:val="21"/>
                <w:highlight w:val="none"/>
                <w:lang w:val="en-US" w:eastAsia="zh-CN"/>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911" w:type="dxa"/>
            <w:vMerge w:val="continue"/>
            <w:tcBorders>
              <w:left w:val="single" w:color="auto" w:sz="4" w:space="0"/>
              <w:right w:val="single" w:color="auto" w:sz="4" w:space="0"/>
            </w:tcBorders>
            <w:noWrap/>
            <w:vAlign w:val="center"/>
          </w:tcPr>
          <w:p>
            <w:pPr>
              <w:shd w:val="clear"/>
              <w:spacing w:beforeLines="20" w:line="240" w:lineRule="auto"/>
              <w:ind w:firstLine="420" w:firstLineChars="200"/>
              <w:rPr>
                <w:rFonts w:hint="eastAsia" w:ascii="宋体" w:hAnsi="宋体" w:eastAsia="宋体" w:cs="宋体"/>
                <w:bCs/>
                <w:color w:val="auto"/>
                <w:sz w:val="21"/>
                <w:szCs w:val="21"/>
                <w:highlight w:val="none"/>
              </w:rPr>
            </w:pPr>
          </w:p>
        </w:tc>
        <w:tc>
          <w:tcPr>
            <w:tcW w:w="734" w:type="dxa"/>
            <w:vMerge w:val="continue"/>
            <w:tcBorders>
              <w:left w:val="single" w:color="auto" w:sz="4" w:space="0"/>
              <w:right w:val="single" w:color="auto" w:sz="4" w:space="0"/>
            </w:tcBorders>
            <w:noWrap/>
            <w:vAlign w:val="center"/>
          </w:tcPr>
          <w:p>
            <w:pPr>
              <w:shd w:val="clear"/>
              <w:spacing w:beforeLines="20" w:line="240" w:lineRule="auto"/>
              <w:rPr>
                <w:rFonts w:hint="eastAsia" w:ascii="宋体" w:hAnsi="宋体" w:eastAsia="宋体" w:cs="宋体"/>
                <w:bCs/>
                <w:color w:val="auto"/>
                <w:sz w:val="21"/>
                <w:szCs w:val="21"/>
                <w:highlight w:val="none"/>
              </w:rPr>
            </w:pPr>
          </w:p>
        </w:tc>
        <w:tc>
          <w:tcPr>
            <w:tcW w:w="1469" w:type="dxa"/>
            <w:tcBorders>
              <w:left w:val="single" w:color="auto" w:sz="4" w:space="0"/>
              <w:right w:val="single" w:color="auto" w:sz="4" w:space="0"/>
            </w:tcBorders>
            <w:noWrap/>
            <w:vAlign w:val="center"/>
          </w:tcPr>
          <w:p>
            <w:pPr>
              <w:shd w:val="clear"/>
              <w:spacing w:beforeLines="20" w:line="240" w:lineRule="auto"/>
              <w:jc w:val="center"/>
              <w:rPr>
                <w:rFonts w:hint="eastAsia" w:ascii="宋体" w:hAnsi="宋体" w:eastAsia="宋体" w:cs="宋体"/>
                <w:bCs/>
                <w:color w:val="auto"/>
                <w:kern w:val="2"/>
                <w:sz w:val="21"/>
                <w:szCs w:val="21"/>
                <w:highlight w:val="none"/>
                <w:lang w:val="en-US" w:eastAsia="zh-CN" w:bidi="ar-SA"/>
              </w:rPr>
            </w:pPr>
            <w:r>
              <w:rPr>
                <w:rFonts w:hint="eastAsia" w:ascii="宋体" w:hAnsi="宋体" w:eastAsia="宋体" w:cs="宋体"/>
                <w:bCs/>
                <w:color w:val="auto"/>
                <w:sz w:val="21"/>
                <w:szCs w:val="21"/>
                <w:highlight w:val="none"/>
                <w:lang w:eastAsia="zh-CN"/>
              </w:rPr>
              <w:t>应急管理预案（</w:t>
            </w:r>
            <w:r>
              <w:rPr>
                <w:rFonts w:hint="eastAsia" w:ascii="宋体" w:hAnsi="宋体" w:eastAsia="宋体" w:cs="宋体"/>
                <w:bCs/>
                <w:color w:val="auto"/>
                <w:sz w:val="21"/>
                <w:szCs w:val="21"/>
                <w:highlight w:val="none"/>
                <w:lang w:val="en-US" w:eastAsia="zh-CN"/>
              </w:rPr>
              <w:t>6分</w:t>
            </w:r>
            <w:r>
              <w:rPr>
                <w:rFonts w:hint="eastAsia" w:ascii="宋体" w:hAnsi="宋体" w:eastAsia="宋体" w:cs="宋体"/>
                <w:bCs/>
                <w:color w:val="auto"/>
                <w:sz w:val="21"/>
                <w:szCs w:val="21"/>
                <w:highlight w:val="none"/>
                <w:lang w:eastAsia="zh-CN"/>
              </w:rPr>
              <w:t>）</w:t>
            </w:r>
          </w:p>
        </w:tc>
        <w:tc>
          <w:tcPr>
            <w:tcW w:w="5958" w:type="dxa"/>
            <w:tcBorders>
              <w:top w:val="single" w:color="auto" w:sz="4" w:space="0"/>
              <w:left w:val="single" w:color="auto" w:sz="4" w:space="0"/>
              <w:bottom w:val="single" w:color="auto" w:sz="4" w:space="0"/>
              <w:right w:val="single" w:color="auto" w:sz="4" w:space="0"/>
            </w:tcBorders>
            <w:noWrap/>
            <w:vAlign w:val="center"/>
          </w:tcPr>
          <w:p>
            <w:pPr>
              <w:shd w:val="clear"/>
              <w:spacing w:beforeLines="20" w:line="240" w:lineRule="auto"/>
              <w:rPr>
                <w:rFonts w:hint="eastAsia" w:ascii="宋体" w:hAnsi="宋体" w:eastAsia="宋体" w:cs="宋体"/>
                <w:bCs/>
                <w:color w:val="auto"/>
                <w:kern w:val="2"/>
                <w:sz w:val="21"/>
                <w:szCs w:val="21"/>
                <w:highlight w:val="none"/>
                <w:lang w:val="en-US" w:eastAsia="zh-CN" w:bidi="ar-SA"/>
              </w:rPr>
            </w:pPr>
            <w:r>
              <w:rPr>
                <w:rFonts w:hint="eastAsia" w:ascii="宋体" w:hAnsi="宋体" w:eastAsia="宋体" w:cs="宋体"/>
                <w:b w:val="0"/>
                <w:bCs/>
                <w:color w:val="auto"/>
                <w:sz w:val="21"/>
                <w:szCs w:val="21"/>
                <w:highlight w:val="none"/>
                <w:lang w:val="en-US" w:eastAsia="zh-CN"/>
              </w:rPr>
              <w:t>制定有完善的项目应急预案，应对产品配送、安装、调试或产品出现质量问题补救计划等特殊情况。应急管理预案完善且具体可行的。根据响应情况得</w:t>
            </w:r>
            <w:r>
              <w:rPr>
                <w:rFonts w:hint="eastAsia" w:ascii="宋体" w:hAnsi="宋体" w:eastAsia="宋体" w:cs="宋体"/>
                <w:color w:val="auto"/>
                <w:sz w:val="21"/>
                <w:szCs w:val="21"/>
                <w:highlight w:val="none"/>
                <w:lang w:val="en-US" w:eastAsia="zh-CN"/>
              </w:rPr>
              <w:t>(4-6]</w:t>
            </w:r>
            <w:r>
              <w:rPr>
                <w:rFonts w:hint="eastAsia" w:ascii="宋体" w:hAnsi="宋体" w:eastAsia="宋体" w:cs="宋体"/>
                <w:b w:val="0"/>
                <w:bCs/>
                <w:color w:val="auto"/>
                <w:sz w:val="21"/>
                <w:szCs w:val="21"/>
                <w:highlight w:val="none"/>
                <w:lang w:val="en-US" w:eastAsia="zh-CN"/>
              </w:rPr>
              <w:t>分；应急管理预案完较善，可行性一般的。根据响应情况得</w:t>
            </w:r>
            <w:r>
              <w:rPr>
                <w:rFonts w:hint="eastAsia" w:ascii="宋体" w:hAnsi="宋体" w:eastAsia="宋体" w:cs="宋体"/>
                <w:color w:val="auto"/>
                <w:sz w:val="21"/>
                <w:szCs w:val="21"/>
                <w:highlight w:val="none"/>
                <w:lang w:val="en-US" w:eastAsia="zh-CN"/>
              </w:rPr>
              <w:t>(2-4]</w:t>
            </w:r>
            <w:r>
              <w:rPr>
                <w:rFonts w:hint="eastAsia" w:ascii="宋体" w:hAnsi="宋体" w:eastAsia="宋体" w:cs="宋体"/>
                <w:b w:val="0"/>
                <w:bCs/>
                <w:color w:val="auto"/>
                <w:sz w:val="21"/>
                <w:szCs w:val="21"/>
                <w:highlight w:val="none"/>
                <w:lang w:val="en-US" w:eastAsia="zh-CN"/>
              </w:rPr>
              <w:t>分。</w:t>
            </w:r>
          </w:p>
        </w:tc>
        <w:tc>
          <w:tcPr>
            <w:tcW w:w="768" w:type="dxa"/>
            <w:tcBorders>
              <w:top w:val="single" w:color="auto" w:sz="4" w:space="0"/>
              <w:left w:val="single" w:color="auto" w:sz="4" w:space="0"/>
              <w:bottom w:val="single" w:color="auto" w:sz="4" w:space="0"/>
              <w:right w:val="single" w:color="auto" w:sz="4" w:space="0"/>
            </w:tcBorders>
            <w:noWrap/>
            <w:vAlign w:val="center"/>
          </w:tcPr>
          <w:p>
            <w:pPr>
              <w:shd w:val="clear"/>
              <w:spacing w:beforeLines="20" w:line="240" w:lineRule="auto"/>
              <w:jc w:val="center"/>
              <w:rPr>
                <w:rFonts w:hint="eastAsia" w:ascii="宋体" w:hAnsi="宋体" w:eastAsia="宋体" w:cs="宋体"/>
                <w:bCs/>
                <w:color w:val="auto"/>
                <w:kern w:val="2"/>
                <w:sz w:val="21"/>
                <w:szCs w:val="21"/>
                <w:highlight w:val="none"/>
                <w:lang w:val="en-US" w:eastAsia="zh-CN" w:bidi="ar-SA"/>
              </w:rPr>
            </w:pPr>
            <w:r>
              <w:rPr>
                <w:rFonts w:hint="eastAsia" w:ascii="宋体" w:hAnsi="宋体" w:eastAsia="宋体" w:cs="宋体"/>
                <w:bCs/>
                <w:color w:val="auto"/>
                <w:sz w:val="21"/>
                <w:szCs w:val="21"/>
                <w:highlight w:val="none"/>
                <w:lang w:val="en-US" w:eastAsia="zh-CN"/>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 w:hRule="atLeast"/>
          <w:jc w:val="center"/>
        </w:trPr>
        <w:tc>
          <w:tcPr>
            <w:tcW w:w="911" w:type="dxa"/>
            <w:vMerge w:val="continue"/>
            <w:tcBorders>
              <w:left w:val="single" w:color="auto" w:sz="4" w:space="0"/>
              <w:right w:val="single" w:color="auto" w:sz="4" w:space="0"/>
            </w:tcBorders>
            <w:noWrap/>
            <w:vAlign w:val="center"/>
          </w:tcPr>
          <w:p>
            <w:pPr>
              <w:shd w:val="clear"/>
              <w:spacing w:beforeLines="20" w:line="240" w:lineRule="auto"/>
              <w:ind w:firstLine="420" w:firstLineChars="200"/>
              <w:rPr>
                <w:rFonts w:hint="eastAsia" w:ascii="宋体" w:hAnsi="宋体" w:eastAsia="宋体" w:cs="宋体"/>
                <w:bCs/>
                <w:color w:val="auto"/>
                <w:sz w:val="21"/>
                <w:szCs w:val="21"/>
                <w:highlight w:val="none"/>
              </w:rPr>
            </w:pPr>
          </w:p>
        </w:tc>
        <w:tc>
          <w:tcPr>
            <w:tcW w:w="734" w:type="dxa"/>
            <w:vMerge w:val="continue"/>
            <w:tcBorders>
              <w:left w:val="single" w:color="auto" w:sz="4" w:space="0"/>
              <w:right w:val="single" w:color="auto" w:sz="4" w:space="0"/>
            </w:tcBorders>
            <w:noWrap/>
            <w:vAlign w:val="center"/>
          </w:tcPr>
          <w:p>
            <w:pPr>
              <w:shd w:val="clear"/>
              <w:spacing w:beforeLines="20" w:line="240" w:lineRule="auto"/>
              <w:rPr>
                <w:rFonts w:hint="eastAsia" w:ascii="宋体" w:hAnsi="宋体" w:eastAsia="宋体" w:cs="宋体"/>
                <w:bCs/>
                <w:color w:val="auto"/>
                <w:sz w:val="21"/>
                <w:szCs w:val="21"/>
                <w:highlight w:val="none"/>
              </w:rPr>
            </w:pPr>
          </w:p>
        </w:tc>
        <w:tc>
          <w:tcPr>
            <w:tcW w:w="1469" w:type="dxa"/>
            <w:tcBorders>
              <w:left w:val="single" w:color="auto" w:sz="4" w:space="0"/>
              <w:right w:val="single" w:color="auto" w:sz="4" w:space="0"/>
            </w:tcBorders>
            <w:noWrap/>
            <w:vAlign w:val="center"/>
          </w:tcPr>
          <w:p>
            <w:pPr>
              <w:shd w:val="clear"/>
              <w:spacing w:beforeLines="20" w:line="240" w:lineRule="auto"/>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eastAsia="zh-CN"/>
              </w:rPr>
              <w:t>环保</w:t>
            </w:r>
            <w:r>
              <w:rPr>
                <w:rFonts w:hint="eastAsia" w:ascii="宋体" w:hAnsi="宋体" w:eastAsia="宋体" w:cs="宋体"/>
                <w:bCs/>
                <w:color w:val="auto"/>
                <w:sz w:val="21"/>
                <w:szCs w:val="21"/>
                <w:highlight w:val="none"/>
                <w:lang w:val="en-US" w:eastAsia="zh-CN"/>
              </w:rPr>
              <w:t>或节能</w:t>
            </w:r>
            <w:r>
              <w:rPr>
                <w:rFonts w:hint="eastAsia" w:ascii="宋体" w:hAnsi="宋体" w:eastAsia="宋体" w:cs="宋体"/>
                <w:bCs/>
                <w:color w:val="auto"/>
                <w:sz w:val="21"/>
                <w:szCs w:val="21"/>
                <w:highlight w:val="none"/>
                <w:lang w:eastAsia="zh-CN"/>
              </w:rPr>
              <w:t>产品（</w:t>
            </w:r>
            <w:r>
              <w:rPr>
                <w:rFonts w:hint="eastAsia" w:ascii="宋体" w:hAnsi="宋体" w:eastAsia="宋体" w:cs="宋体"/>
                <w:bCs/>
                <w:color w:val="auto"/>
                <w:sz w:val="21"/>
                <w:szCs w:val="21"/>
                <w:highlight w:val="none"/>
                <w:lang w:val="en-US" w:eastAsia="zh-CN"/>
              </w:rPr>
              <w:t>3分</w:t>
            </w:r>
            <w:r>
              <w:rPr>
                <w:rFonts w:hint="eastAsia" w:ascii="宋体" w:hAnsi="宋体" w:eastAsia="宋体" w:cs="宋体"/>
                <w:bCs/>
                <w:color w:val="auto"/>
                <w:sz w:val="21"/>
                <w:szCs w:val="21"/>
                <w:highlight w:val="none"/>
                <w:lang w:eastAsia="zh-CN"/>
              </w:rPr>
              <w:t>）</w:t>
            </w:r>
          </w:p>
        </w:tc>
        <w:tc>
          <w:tcPr>
            <w:tcW w:w="5958" w:type="dxa"/>
            <w:tcBorders>
              <w:top w:val="single" w:color="auto" w:sz="4" w:space="0"/>
              <w:left w:val="single" w:color="auto" w:sz="4" w:space="0"/>
              <w:bottom w:val="single" w:color="auto" w:sz="4" w:space="0"/>
              <w:right w:val="single" w:color="auto" w:sz="4" w:space="0"/>
            </w:tcBorders>
            <w:noWrap/>
            <w:vAlign w:val="center"/>
          </w:tcPr>
          <w:p>
            <w:pPr>
              <w:shd w:val="clear"/>
              <w:spacing w:beforeLines="20" w:line="240" w:lineRule="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符合政府采购“环保产品”或“节能产品”政策的标的产品，每有1项得1分，最高得3分。</w:t>
            </w:r>
          </w:p>
        </w:tc>
        <w:tc>
          <w:tcPr>
            <w:tcW w:w="768" w:type="dxa"/>
            <w:tcBorders>
              <w:top w:val="single" w:color="auto" w:sz="4" w:space="0"/>
              <w:left w:val="single" w:color="auto" w:sz="4" w:space="0"/>
              <w:bottom w:val="single" w:color="auto" w:sz="4" w:space="0"/>
              <w:right w:val="single" w:color="auto" w:sz="4" w:space="0"/>
            </w:tcBorders>
            <w:noWrap/>
            <w:vAlign w:val="center"/>
          </w:tcPr>
          <w:p>
            <w:pPr>
              <w:shd w:val="clear"/>
              <w:spacing w:beforeLines="20" w:line="240" w:lineRule="auto"/>
              <w:jc w:val="center"/>
              <w:rPr>
                <w:rFonts w:hint="eastAsia" w:ascii="宋体" w:hAnsi="宋体" w:eastAsia="宋体" w:cs="宋体"/>
                <w:bCs/>
                <w:color w:val="auto"/>
                <w:sz w:val="21"/>
                <w:szCs w:val="21"/>
                <w:highlight w:val="none"/>
                <w:lang w:val="en-US" w:eastAsia="zh-CN"/>
              </w:rPr>
            </w:pPr>
            <w:r>
              <w:rPr>
                <w:rFonts w:hint="eastAsia" w:ascii="宋体" w:hAnsi="宋体" w:eastAsia="宋体" w:cs="宋体"/>
                <w:bCs/>
                <w:color w:val="auto"/>
                <w:sz w:val="21"/>
                <w:szCs w:val="21"/>
                <w:highlight w:val="none"/>
                <w:lang w:val="en-US" w:eastAsia="zh-CN"/>
              </w:rPr>
              <w:t>3分</w:t>
            </w:r>
          </w:p>
        </w:tc>
      </w:tr>
    </w:tbl>
    <w:p>
      <w:pPr>
        <w:shd w:val="clear"/>
        <w:spacing w:beforeLines="20"/>
        <w:ind w:firstLine="422" w:firstLineChars="200"/>
        <w:rPr>
          <w:rFonts w:hint="eastAsia" w:ascii="宋体" w:hAnsi="宋体" w:eastAsia="宋体" w:cs="宋体"/>
          <w:b/>
          <w:color w:val="auto"/>
          <w:sz w:val="21"/>
          <w:szCs w:val="21"/>
          <w:highlight w:val="none"/>
          <w:lang w:eastAsia="zh-CN"/>
        </w:rPr>
      </w:pPr>
      <w:r>
        <w:rPr>
          <w:rFonts w:hint="eastAsia" w:ascii="宋体" w:hAnsi="宋体" w:eastAsia="宋体" w:cs="宋体"/>
          <w:b/>
          <w:color w:val="auto"/>
          <w:sz w:val="21"/>
          <w:szCs w:val="21"/>
          <w:highlight w:val="none"/>
        </w:rPr>
        <w:t>4、</w:t>
      </w:r>
      <w:r>
        <w:rPr>
          <w:rFonts w:hint="eastAsia" w:ascii="宋体" w:hAnsi="宋体" w:eastAsia="宋体" w:cs="宋体"/>
          <w:b/>
          <w:color w:val="auto"/>
          <w:sz w:val="21"/>
          <w:szCs w:val="21"/>
          <w:highlight w:val="none"/>
          <w:lang w:eastAsia="zh-CN"/>
        </w:rPr>
        <w:t>供应商</w:t>
      </w:r>
      <w:r>
        <w:rPr>
          <w:rFonts w:hint="eastAsia" w:ascii="宋体" w:hAnsi="宋体" w:eastAsia="宋体" w:cs="宋体"/>
          <w:b/>
          <w:color w:val="auto"/>
          <w:sz w:val="21"/>
          <w:szCs w:val="21"/>
          <w:highlight w:val="none"/>
        </w:rPr>
        <w:t>存在下列情况之一的，投标无效</w:t>
      </w:r>
      <w:r>
        <w:rPr>
          <w:rFonts w:hint="eastAsia" w:ascii="宋体" w:hAnsi="宋体" w:eastAsia="宋体" w:cs="宋体"/>
          <w:b/>
          <w:color w:val="auto"/>
          <w:sz w:val="21"/>
          <w:szCs w:val="21"/>
          <w:highlight w:val="none"/>
          <w:lang w:eastAsia="zh-CN"/>
        </w:rPr>
        <w:t>：</w:t>
      </w:r>
    </w:p>
    <w:p>
      <w:pPr>
        <w:shd w:val="clear"/>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（一）未按照招标文件的规定提交投标保证金的；</w:t>
      </w:r>
    </w:p>
    <w:p>
      <w:pPr>
        <w:shd w:val="clear"/>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（二）投标文件未按招标文件要求签署、盖章的；</w:t>
      </w:r>
    </w:p>
    <w:p>
      <w:pPr>
        <w:shd w:val="clear"/>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（三）不具备招标文件中规定的资格要求的；</w:t>
      </w:r>
    </w:p>
    <w:p>
      <w:pPr>
        <w:shd w:val="clear"/>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（四）报价超过招标文件中规定的预算金额或者最高限价的；</w:t>
      </w:r>
    </w:p>
    <w:p>
      <w:pPr>
        <w:shd w:val="clear"/>
        <w:ind w:firstLine="420" w:firstLineChars="200"/>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　　（五）投标文件含有采购人不能接受的附加条件的</w:t>
      </w:r>
      <w:r>
        <w:rPr>
          <w:rFonts w:hint="eastAsia" w:ascii="宋体" w:hAnsi="宋体" w:eastAsia="宋体" w:cs="宋体"/>
          <w:color w:val="auto"/>
          <w:kern w:val="0"/>
          <w:sz w:val="21"/>
          <w:szCs w:val="21"/>
          <w:highlight w:val="none"/>
          <w:lang w:eastAsia="zh-CN"/>
        </w:rPr>
        <w:t>；</w:t>
      </w:r>
    </w:p>
    <w:p>
      <w:pPr>
        <w:shd w:val="clear"/>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（六）法律、法规和招标文件规定的其他无效情形。</w:t>
      </w:r>
    </w:p>
    <w:p>
      <w:pPr>
        <w:shd w:val="clear"/>
        <w:spacing w:beforeLines="20"/>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val="en-US" w:eastAsia="zh-CN"/>
        </w:rPr>
        <w:t>5、</w:t>
      </w:r>
      <w:r>
        <w:rPr>
          <w:rFonts w:hint="eastAsia" w:ascii="宋体" w:hAnsi="宋体" w:eastAsia="宋体" w:cs="宋体"/>
          <w:b/>
          <w:color w:val="auto"/>
          <w:sz w:val="21"/>
          <w:szCs w:val="21"/>
          <w:highlight w:val="none"/>
        </w:rPr>
        <w:t>汇总得分</w:t>
      </w:r>
    </w:p>
    <w:p>
      <w:pPr>
        <w:shd w:val="clear"/>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资格审查和初步审查均合格的供应商，由</w:t>
      </w:r>
      <w:r>
        <w:rPr>
          <w:rFonts w:hint="eastAsia" w:ascii="宋体" w:hAnsi="宋体" w:eastAsia="宋体" w:cs="宋体"/>
          <w:color w:val="auto"/>
          <w:kern w:val="0"/>
          <w:sz w:val="21"/>
          <w:szCs w:val="21"/>
          <w:highlight w:val="none"/>
          <w:lang w:val="en-US" w:eastAsia="zh-CN"/>
        </w:rPr>
        <w:t>评标</w:t>
      </w:r>
      <w:r>
        <w:rPr>
          <w:rFonts w:hint="eastAsia" w:ascii="宋体" w:hAnsi="宋体" w:eastAsia="宋体" w:cs="宋体"/>
          <w:color w:val="auto"/>
          <w:kern w:val="0"/>
          <w:sz w:val="21"/>
          <w:szCs w:val="21"/>
          <w:highlight w:val="none"/>
        </w:rPr>
        <w:t>小组按照该评标办法独立评分，按评审后综合得分由高到低顺序排列，推荐3名中标候选人。</w:t>
      </w:r>
    </w:p>
    <w:p>
      <w:pPr>
        <w:shd w:val="clear"/>
        <w:spacing w:beforeLines="20"/>
        <w:ind w:firstLine="422" w:firstLineChars="200"/>
        <w:rPr>
          <w:rFonts w:hint="eastAsia" w:ascii="宋体" w:hAnsi="宋体" w:eastAsia="宋体" w:cs="宋体"/>
          <w:b/>
          <w:color w:val="auto"/>
          <w:sz w:val="21"/>
          <w:szCs w:val="21"/>
          <w:highlight w:val="none"/>
          <w:lang w:val="en-US" w:eastAsia="zh-CN"/>
        </w:rPr>
      </w:pPr>
      <w:r>
        <w:rPr>
          <w:rFonts w:hint="eastAsia" w:ascii="宋体" w:hAnsi="宋体" w:eastAsia="宋体" w:cs="宋体"/>
          <w:b/>
          <w:color w:val="auto"/>
          <w:sz w:val="21"/>
          <w:szCs w:val="21"/>
          <w:highlight w:val="none"/>
          <w:lang w:val="en-US" w:eastAsia="zh-CN"/>
        </w:rPr>
        <w:t>6</w:t>
      </w:r>
      <w:r>
        <w:rPr>
          <w:rFonts w:hint="eastAsia" w:ascii="宋体" w:hAnsi="宋体" w:eastAsia="宋体" w:cs="宋体"/>
          <w:b/>
          <w:color w:val="auto"/>
          <w:sz w:val="21"/>
          <w:szCs w:val="21"/>
          <w:highlight w:val="none"/>
        </w:rPr>
        <w:t>、特殊情况</w:t>
      </w:r>
    </w:p>
    <w:p>
      <w:pPr>
        <w:pStyle w:val="40"/>
        <w:shd w:val="clear"/>
        <w:ind w:firstLine="420" w:firstLineChars="200"/>
        <w:rPr>
          <w:rFonts w:hint="eastAsia" w:ascii="宋体" w:hAnsi="宋体" w:eastAsia="宋体" w:cs="宋体"/>
          <w:color w:val="auto"/>
          <w:sz w:val="21"/>
          <w:highlight w:val="none"/>
        </w:rPr>
      </w:pPr>
      <w:r>
        <w:rPr>
          <w:rFonts w:hint="eastAsia" w:ascii="宋体" w:hAnsi="宋体" w:eastAsia="宋体" w:cs="宋体"/>
          <w:color w:val="auto"/>
          <w:sz w:val="21"/>
          <w:highlight w:val="none"/>
          <w:lang w:val="en-US" w:eastAsia="zh-CN"/>
        </w:rPr>
        <w:t>6</w:t>
      </w:r>
      <w:r>
        <w:rPr>
          <w:rFonts w:hint="eastAsia" w:ascii="宋体" w:hAnsi="宋体" w:eastAsia="宋体" w:cs="宋体"/>
          <w:color w:val="auto"/>
          <w:sz w:val="21"/>
          <w:highlight w:val="none"/>
        </w:rPr>
        <w:t>.1对于</w:t>
      </w:r>
      <w:r>
        <w:rPr>
          <w:rFonts w:hint="eastAsia" w:ascii="宋体" w:hAnsi="宋体" w:eastAsia="宋体" w:cs="宋体"/>
          <w:color w:val="auto"/>
          <w:sz w:val="21"/>
          <w:highlight w:val="none"/>
          <w:lang w:eastAsia="zh-CN"/>
        </w:rPr>
        <w:t>评标小组</w:t>
      </w:r>
      <w:r>
        <w:rPr>
          <w:rFonts w:hint="eastAsia" w:ascii="宋体" w:hAnsi="宋体" w:eastAsia="宋体" w:cs="宋体"/>
          <w:color w:val="auto"/>
          <w:sz w:val="21"/>
          <w:highlight w:val="none"/>
        </w:rPr>
        <w:t>意见有分歧的问题，</w:t>
      </w:r>
      <w:r>
        <w:rPr>
          <w:rFonts w:hint="eastAsia" w:ascii="宋体" w:hAnsi="宋体" w:eastAsia="宋体" w:cs="宋体"/>
          <w:color w:val="auto"/>
          <w:sz w:val="21"/>
          <w:highlight w:val="none"/>
          <w:lang w:eastAsia="zh-CN"/>
        </w:rPr>
        <w:t>评标小组</w:t>
      </w:r>
      <w:r>
        <w:rPr>
          <w:rFonts w:hint="eastAsia" w:ascii="宋体" w:hAnsi="宋体" w:eastAsia="宋体" w:cs="宋体"/>
          <w:color w:val="auto"/>
          <w:sz w:val="21"/>
          <w:highlight w:val="none"/>
        </w:rPr>
        <w:t>实行少数服从多数的原则进行表决，表决结果经</w:t>
      </w:r>
      <w:r>
        <w:rPr>
          <w:rFonts w:hint="eastAsia" w:ascii="宋体" w:hAnsi="宋体" w:eastAsia="宋体" w:cs="宋体"/>
          <w:color w:val="auto"/>
          <w:sz w:val="21"/>
          <w:highlight w:val="none"/>
          <w:lang w:eastAsia="zh-CN"/>
        </w:rPr>
        <w:t>评标小组</w:t>
      </w:r>
      <w:r>
        <w:rPr>
          <w:rFonts w:hint="eastAsia" w:ascii="宋体" w:hAnsi="宋体" w:eastAsia="宋体" w:cs="宋体"/>
          <w:color w:val="auto"/>
          <w:sz w:val="21"/>
          <w:highlight w:val="none"/>
        </w:rPr>
        <w:t>全体成员过半数通过有效。</w:t>
      </w:r>
    </w:p>
    <w:p>
      <w:pPr>
        <w:pStyle w:val="40"/>
        <w:shd w:val="clear"/>
        <w:ind w:firstLine="420" w:firstLineChars="200"/>
        <w:rPr>
          <w:rFonts w:hint="eastAsia" w:ascii="宋体" w:hAnsi="宋体" w:eastAsia="宋体" w:cs="宋体"/>
          <w:color w:val="auto"/>
          <w:sz w:val="21"/>
          <w:highlight w:val="none"/>
        </w:rPr>
      </w:pPr>
      <w:r>
        <w:rPr>
          <w:rFonts w:hint="eastAsia" w:ascii="宋体" w:hAnsi="宋体" w:eastAsia="宋体" w:cs="宋体"/>
          <w:color w:val="auto"/>
          <w:sz w:val="21"/>
          <w:highlight w:val="none"/>
          <w:lang w:val="en-US" w:eastAsia="zh-CN"/>
        </w:rPr>
        <w:t>6</w:t>
      </w:r>
      <w:r>
        <w:rPr>
          <w:rFonts w:hint="eastAsia" w:ascii="宋体" w:hAnsi="宋体" w:eastAsia="宋体" w:cs="宋体"/>
          <w:color w:val="auto"/>
          <w:sz w:val="21"/>
          <w:highlight w:val="none"/>
        </w:rPr>
        <w:t>.2评委打分超过得分界限或未按本方法赋分时，该评委的打分按无效计分处理。</w:t>
      </w:r>
    </w:p>
    <w:p>
      <w:pPr>
        <w:pStyle w:val="40"/>
        <w:shd w:val="clear"/>
        <w:ind w:firstLine="420" w:firstLineChars="200"/>
        <w:rPr>
          <w:rFonts w:hint="eastAsia" w:ascii="宋体" w:hAnsi="宋体" w:eastAsia="宋体" w:cs="宋体"/>
          <w:color w:val="auto"/>
          <w:sz w:val="21"/>
          <w:highlight w:val="none"/>
        </w:rPr>
      </w:pPr>
      <w:r>
        <w:rPr>
          <w:rFonts w:hint="eastAsia" w:ascii="宋体" w:hAnsi="宋体" w:eastAsia="宋体" w:cs="宋体"/>
          <w:color w:val="auto"/>
          <w:sz w:val="21"/>
          <w:highlight w:val="none"/>
          <w:lang w:val="en-US" w:eastAsia="zh-CN"/>
        </w:rPr>
        <w:t>6</w:t>
      </w:r>
      <w:r>
        <w:rPr>
          <w:rFonts w:hint="eastAsia" w:ascii="宋体" w:hAnsi="宋体" w:eastAsia="宋体" w:cs="宋体"/>
          <w:color w:val="auto"/>
          <w:sz w:val="21"/>
          <w:highlight w:val="none"/>
        </w:rPr>
        <w:t>.3各种计算采用插入法，数字均保留两位小数，第三位“四舍五入”。</w:t>
      </w:r>
    </w:p>
    <w:p>
      <w:pPr>
        <w:pStyle w:val="41"/>
        <w:shd w:val="clear"/>
        <w:spacing w:line="360" w:lineRule="auto"/>
        <w:ind w:firstLine="420"/>
        <w:rPr>
          <w:rFonts w:hint="eastAsia" w:ascii="宋体" w:hAnsi="宋体" w:eastAsia="宋体" w:cs="宋体"/>
          <w:color w:val="auto"/>
          <w:sz w:val="21"/>
          <w:szCs w:val="21"/>
          <w:highlight w:val="none"/>
        </w:rPr>
      </w:pPr>
      <w:r>
        <w:rPr>
          <w:rFonts w:hint="eastAsia" w:ascii="宋体" w:hAnsi="宋体" w:eastAsia="宋体" w:cs="宋体"/>
          <w:color w:val="auto"/>
          <w:sz w:val="21"/>
          <w:highlight w:val="none"/>
          <w:lang w:val="en-US" w:eastAsia="zh-CN"/>
        </w:rPr>
        <w:t>6</w:t>
      </w:r>
      <w:r>
        <w:rPr>
          <w:rFonts w:hint="eastAsia" w:ascii="宋体" w:hAnsi="宋体" w:eastAsia="宋体" w:cs="宋体"/>
          <w:color w:val="auto"/>
          <w:sz w:val="21"/>
          <w:highlight w:val="none"/>
        </w:rPr>
        <w:t>.4</w:t>
      </w:r>
      <w:r>
        <w:rPr>
          <w:rFonts w:hint="eastAsia" w:ascii="宋体" w:hAnsi="宋体" w:eastAsia="宋体" w:cs="宋体"/>
          <w:color w:val="auto"/>
          <w:sz w:val="21"/>
          <w:szCs w:val="21"/>
          <w:highlight w:val="none"/>
        </w:rPr>
        <w:t>评审过程中，若出现本办法以外的特殊情况时，将暂停评标，有关情况待</w:t>
      </w:r>
      <w:r>
        <w:rPr>
          <w:rFonts w:hint="eastAsia" w:ascii="宋体" w:hAnsi="宋体" w:eastAsia="宋体" w:cs="宋体"/>
          <w:color w:val="auto"/>
          <w:sz w:val="21"/>
          <w:szCs w:val="21"/>
          <w:highlight w:val="none"/>
          <w:lang w:eastAsia="zh-CN"/>
        </w:rPr>
        <w:t>评标小组</w:t>
      </w:r>
      <w:r>
        <w:rPr>
          <w:rFonts w:hint="eastAsia" w:ascii="宋体" w:hAnsi="宋体" w:eastAsia="宋体" w:cs="宋体"/>
          <w:color w:val="auto"/>
          <w:sz w:val="21"/>
          <w:szCs w:val="21"/>
          <w:highlight w:val="none"/>
        </w:rPr>
        <w:t>确定后，再行评定。</w:t>
      </w:r>
    </w:p>
    <w:p>
      <w:pPr>
        <w:pStyle w:val="40"/>
        <w:shd w:val="clear"/>
        <w:ind w:firstLine="420" w:firstLineChars="200"/>
        <w:rPr>
          <w:rFonts w:hint="eastAsia" w:ascii="宋体" w:hAnsi="宋体" w:eastAsia="宋体" w:cs="宋体"/>
          <w:color w:val="auto"/>
          <w:sz w:val="21"/>
          <w:highlight w:val="none"/>
        </w:rPr>
      </w:pPr>
      <w:r>
        <w:rPr>
          <w:rFonts w:hint="eastAsia" w:ascii="宋体" w:hAnsi="宋体" w:eastAsia="宋体" w:cs="宋体"/>
          <w:color w:val="auto"/>
          <w:sz w:val="21"/>
          <w:szCs w:val="21"/>
          <w:highlight w:val="none"/>
          <w:lang w:val="en-US" w:eastAsia="zh-CN"/>
        </w:rPr>
        <w:t>6</w:t>
      </w:r>
      <w:r>
        <w:rPr>
          <w:rFonts w:hint="eastAsia" w:ascii="宋体" w:hAnsi="宋体" w:eastAsia="宋体" w:cs="宋体"/>
          <w:color w:val="auto"/>
          <w:sz w:val="21"/>
          <w:szCs w:val="21"/>
          <w:highlight w:val="none"/>
        </w:rPr>
        <w:t>.5</w:t>
      </w:r>
      <w:r>
        <w:rPr>
          <w:rFonts w:hint="eastAsia" w:ascii="宋体" w:hAnsi="宋体" w:eastAsia="宋体" w:cs="宋体"/>
          <w:color w:val="auto"/>
          <w:sz w:val="21"/>
          <w:szCs w:val="21"/>
          <w:highlight w:val="none"/>
          <w:lang w:val="en-US" w:eastAsia="zh-CN"/>
        </w:rPr>
        <w:t>优先采购评审标准：</w:t>
      </w:r>
      <w:r>
        <w:rPr>
          <w:rFonts w:hint="eastAsia" w:ascii="宋体" w:hAnsi="宋体" w:eastAsia="宋体" w:cs="宋体"/>
          <w:color w:val="auto"/>
          <w:sz w:val="21"/>
          <w:highlight w:val="none"/>
        </w:rPr>
        <w:t>若出现综合得分并列时，比较价格得分，此分项得分高者</w:t>
      </w:r>
      <w:r>
        <w:rPr>
          <w:rFonts w:hint="eastAsia" w:ascii="宋体" w:hAnsi="宋体" w:eastAsia="宋体" w:cs="宋体"/>
          <w:color w:val="auto"/>
          <w:sz w:val="21"/>
          <w:highlight w:val="none"/>
          <w:lang w:val="en-US" w:eastAsia="zh-CN"/>
        </w:rPr>
        <w:t>优先采购</w:t>
      </w:r>
      <w:r>
        <w:rPr>
          <w:rFonts w:hint="eastAsia" w:ascii="宋体" w:hAnsi="宋体" w:eastAsia="宋体" w:cs="宋体"/>
          <w:color w:val="auto"/>
          <w:sz w:val="21"/>
          <w:highlight w:val="none"/>
        </w:rPr>
        <w:t>；若价格得分仍相同，比较环保</w:t>
      </w:r>
      <w:r>
        <w:rPr>
          <w:rFonts w:hint="eastAsia" w:ascii="宋体" w:hAnsi="宋体" w:eastAsia="宋体" w:cs="宋体"/>
          <w:color w:val="auto"/>
          <w:sz w:val="21"/>
          <w:highlight w:val="none"/>
          <w:lang w:val="en-US" w:eastAsia="zh-CN"/>
        </w:rPr>
        <w:t>/节能产品价格比例，比例高者优先采购</w:t>
      </w:r>
      <w:r>
        <w:rPr>
          <w:rFonts w:hint="eastAsia" w:ascii="宋体" w:hAnsi="宋体" w:eastAsia="宋体" w:cs="宋体"/>
          <w:color w:val="auto"/>
          <w:sz w:val="21"/>
          <w:highlight w:val="none"/>
          <w:lang w:eastAsia="zh-CN"/>
        </w:rPr>
        <w:t>；</w:t>
      </w:r>
      <w:r>
        <w:rPr>
          <w:rFonts w:hint="eastAsia" w:ascii="宋体" w:hAnsi="宋体" w:eastAsia="宋体" w:cs="宋体"/>
          <w:color w:val="auto"/>
          <w:sz w:val="21"/>
          <w:highlight w:val="none"/>
        </w:rPr>
        <w:t>环保</w:t>
      </w:r>
      <w:r>
        <w:rPr>
          <w:rFonts w:hint="eastAsia" w:ascii="宋体" w:hAnsi="宋体" w:eastAsia="宋体" w:cs="宋体"/>
          <w:color w:val="auto"/>
          <w:sz w:val="21"/>
          <w:highlight w:val="none"/>
          <w:lang w:val="en-US" w:eastAsia="zh-CN"/>
        </w:rPr>
        <w:t>/节能产品价格比例仍相同的，比较业绩得分，业绩得分高者优先采购</w:t>
      </w:r>
      <w:r>
        <w:rPr>
          <w:rFonts w:hint="eastAsia" w:ascii="宋体" w:hAnsi="宋体" w:eastAsia="宋体" w:cs="宋体"/>
          <w:color w:val="auto"/>
          <w:sz w:val="21"/>
          <w:highlight w:val="none"/>
        </w:rPr>
        <w:t>。</w:t>
      </w:r>
    </w:p>
    <w:p>
      <w:pPr>
        <w:pStyle w:val="41"/>
        <w:shd w:val="clear"/>
        <w:spacing w:line="360" w:lineRule="auto"/>
        <w:ind w:firstLine="42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6.6评标结果汇总完成后，除下列情形外，任何人不得修改评标结果：</w:t>
      </w:r>
    </w:p>
    <w:p>
      <w:pPr>
        <w:pStyle w:val="41"/>
        <w:shd w:val="clear"/>
        <w:spacing w:line="360" w:lineRule="auto"/>
        <w:ind w:firstLine="42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（一）分值汇总计算错误的；</w:t>
      </w:r>
    </w:p>
    <w:p>
      <w:pPr>
        <w:pStyle w:val="41"/>
        <w:shd w:val="clear"/>
        <w:spacing w:line="360" w:lineRule="auto"/>
        <w:ind w:firstLine="42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（二）分项评分超出评分标准范围的；</w:t>
      </w:r>
    </w:p>
    <w:p>
      <w:pPr>
        <w:pStyle w:val="41"/>
        <w:shd w:val="clear"/>
        <w:spacing w:line="360" w:lineRule="auto"/>
        <w:ind w:firstLine="42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（三）评标委员会成员对客观评审因素评分不一致的；</w:t>
      </w:r>
    </w:p>
    <w:p>
      <w:pPr>
        <w:pStyle w:val="41"/>
        <w:shd w:val="clear"/>
        <w:spacing w:line="360" w:lineRule="auto"/>
        <w:ind w:firstLine="42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　　（四）经评标委员会认定评分畸高、畸低的。</w:t>
      </w:r>
    </w:p>
    <w:p>
      <w:pPr>
        <w:shd w:val="clear"/>
        <w:spacing w:beforeLines="20"/>
        <w:ind w:firstLine="422" w:firstLineChars="200"/>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lang w:val="en-US" w:eastAsia="zh-CN"/>
        </w:rPr>
        <w:t>7</w:t>
      </w:r>
      <w:r>
        <w:rPr>
          <w:rFonts w:hint="eastAsia" w:ascii="宋体" w:hAnsi="宋体" w:eastAsia="宋体" w:cs="宋体"/>
          <w:b/>
          <w:color w:val="auto"/>
          <w:sz w:val="21"/>
          <w:szCs w:val="21"/>
          <w:highlight w:val="none"/>
        </w:rPr>
        <w:t>、投标产品品牌</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根据《政府采购货物和服务招标投标管理办法》相关规定，提供的</w:t>
      </w:r>
      <w:r>
        <w:rPr>
          <w:rFonts w:hint="eastAsia" w:ascii="宋体" w:hAnsi="宋体" w:eastAsia="宋体" w:cs="宋体"/>
          <w:b/>
          <w:bCs/>
          <w:color w:val="auto"/>
          <w:sz w:val="21"/>
          <w:szCs w:val="21"/>
          <w:highlight w:val="none"/>
        </w:rPr>
        <w:t>核心产品（采购需求中“※”标记产品）</w:t>
      </w:r>
      <w:r>
        <w:rPr>
          <w:rFonts w:hint="eastAsia" w:ascii="宋体" w:hAnsi="宋体" w:eastAsia="宋体" w:cs="宋体"/>
          <w:color w:val="auto"/>
          <w:sz w:val="21"/>
          <w:szCs w:val="21"/>
          <w:highlight w:val="none"/>
        </w:rPr>
        <w:t>相同品牌产品且通过资格审查、符合性审查的不同供应商参加同一合同项下政府采购活动的，按一家供应商计算，评审后得分最高的同品牌供应商获得中标供应商推荐资格；评审得分相同的，由评标委员会按照最终报价较低者确定一个供应商获得中标供应商推荐资格。</w:t>
      </w:r>
    </w:p>
    <w:p>
      <w:pPr>
        <w:shd w:val="clear"/>
        <w:spacing w:beforeLines="20"/>
        <w:ind w:firstLine="422" w:firstLineChars="200"/>
        <w:rPr>
          <w:rFonts w:hint="eastAsia" w:ascii="宋体" w:hAnsi="宋体" w:eastAsia="宋体" w:cs="宋体"/>
          <w:b/>
          <w:color w:val="auto"/>
          <w:sz w:val="21"/>
          <w:szCs w:val="21"/>
          <w:highlight w:val="none"/>
          <w:lang w:val="en-US" w:eastAsia="zh-CN"/>
        </w:rPr>
      </w:pPr>
      <w:r>
        <w:rPr>
          <w:rFonts w:hint="eastAsia" w:ascii="宋体" w:hAnsi="宋体" w:eastAsia="宋体" w:cs="宋体"/>
          <w:b/>
          <w:color w:val="auto"/>
          <w:sz w:val="21"/>
          <w:szCs w:val="21"/>
          <w:highlight w:val="none"/>
          <w:lang w:val="en-US" w:eastAsia="zh-CN"/>
        </w:rPr>
        <w:t>8、评标过程的监控</w:t>
      </w:r>
    </w:p>
    <w:p>
      <w:pPr>
        <w:pStyle w:val="2"/>
        <w:shd w:val="clear"/>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本项目评标过程实行全程录音、录像监控，供应商在评标过程中所进行的试图影响评标结果的不公正活动，可能导致其投标被拒绝。</w:t>
      </w:r>
    </w:p>
    <w:p>
      <w:pPr>
        <w:shd w:val="clear"/>
        <w:rPr>
          <w:rFonts w:hint="eastAsia" w:ascii="宋体" w:hAnsi="宋体" w:eastAsia="宋体" w:cs="宋体"/>
          <w:color w:val="auto"/>
          <w:highlight w:val="none"/>
        </w:rPr>
      </w:pPr>
      <w:r>
        <w:rPr>
          <w:rFonts w:hint="eastAsia" w:ascii="宋体" w:hAnsi="宋体" w:eastAsia="宋体" w:cs="宋体"/>
          <w:color w:val="auto"/>
          <w:highlight w:val="none"/>
        </w:rPr>
        <w:br w:type="page"/>
      </w:r>
    </w:p>
    <w:p>
      <w:pPr>
        <w:pStyle w:val="3"/>
        <w:shd w:val="clear"/>
        <w:rPr>
          <w:rFonts w:hint="eastAsia" w:ascii="宋体" w:hAnsi="宋体" w:eastAsia="宋体" w:cs="宋体"/>
          <w:color w:val="auto"/>
          <w:highlight w:val="none"/>
        </w:rPr>
      </w:pPr>
      <w:bookmarkStart w:id="264" w:name="_Toc11602"/>
      <w:r>
        <w:rPr>
          <w:rFonts w:hint="eastAsia" w:ascii="宋体" w:hAnsi="宋体" w:eastAsia="宋体" w:cs="宋体"/>
          <w:color w:val="auto"/>
          <w:highlight w:val="none"/>
        </w:rPr>
        <w:t>第四章</w:t>
      </w:r>
      <w:bookmarkEnd w:id="262"/>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rPr>
        <w:t xml:space="preserve"> 合同条款及格式</w:t>
      </w:r>
      <w:bookmarkEnd w:id="263"/>
      <w:bookmarkEnd w:id="264"/>
    </w:p>
    <w:p>
      <w:pPr>
        <w:shd w:val="clear"/>
        <w:kinsoku w:val="0"/>
        <w:spacing w:line="400" w:lineRule="exact"/>
        <w:ind w:firstLine="525" w:firstLineChars="250"/>
        <w:rPr>
          <w:rFonts w:hint="eastAsia" w:ascii="宋体" w:hAnsi="宋体" w:eastAsia="宋体" w:cs="宋体"/>
          <w:color w:val="auto"/>
          <w:sz w:val="21"/>
          <w:szCs w:val="21"/>
          <w:highlight w:val="none"/>
          <w:u w:val="single"/>
        </w:rPr>
      </w:pPr>
      <w:bookmarkStart w:id="265" w:name="_Toc12195"/>
      <w:r>
        <w:rPr>
          <w:rFonts w:hint="eastAsia" w:ascii="宋体" w:hAnsi="宋体" w:eastAsia="宋体" w:cs="宋体"/>
          <w:color w:val="auto"/>
          <w:sz w:val="21"/>
          <w:szCs w:val="21"/>
          <w:highlight w:val="none"/>
        </w:rPr>
        <w:t>甲方</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买方</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w:t>
      </w:r>
    </w:p>
    <w:p>
      <w:pPr>
        <w:shd w:val="clear"/>
        <w:kinsoku w:val="0"/>
        <w:spacing w:line="400" w:lineRule="exact"/>
        <w:ind w:firstLine="525" w:firstLineChars="25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乙方</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卖方</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w:t>
      </w:r>
    </w:p>
    <w:p>
      <w:pPr>
        <w:shd w:val="clear"/>
        <w:kinsoku w:val="0"/>
        <w:spacing w:line="400" w:lineRule="exact"/>
        <w:ind w:firstLine="525" w:firstLineChars="25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根据《中华人民共和国政府采购法》、《中华人民共和国合同法》等法律法规，甲方通过公开招标，选定乙方为中标供应商。甲、乙双方在平等基础上协商一致，达成如下合同条款：</w:t>
      </w:r>
    </w:p>
    <w:p>
      <w:pPr>
        <w:shd w:val="clear"/>
        <w:kinsoku w:val="0"/>
        <w:spacing w:line="400" w:lineRule="exact"/>
        <w:ind w:firstLine="525" w:firstLineChars="25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w:t>
      </w:r>
      <w:r>
        <w:rPr>
          <w:rFonts w:hint="eastAsia" w:ascii="宋体" w:hAnsi="宋体" w:eastAsia="宋体" w:cs="宋体"/>
          <w:b/>
          <w:bCs/>
          <w:color w:val="auto"/>
          <w:sz w:val="21"/>
          <w:szCs w:val="21"/>
          <w:highlight w:val="none"/>
        </w:rPr>
        <w:t>合同内容</w:t>
      </w:r>
    </w:p>
    <w:tbl>
      <w:tblPr>
        <w:tblStyle w:val="2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1"/>
        <w:gridCol w:w="1981"/>
        <w:gridCol w:w="1539"/>
        <w:gridCol w:w="1099"/>
        <w:gridCol w:w="1099"/>
        <w:gridCol w:w="1099"/>
        <w:gridCol w:w="1094"/>
        <w:gridCol w:w="1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exact"/>
          <w:jc w:val="center"/>
        </w:trPr>
        <w:tc>
          <w:tcPr>
            <w:tcW w:w="485" w:type="pct"/>
            <w:vAlign w:val="center"/>
          </w:tcPr>
          <w:p>
            <w:pPr>
              <w:shd w:val="clear"/>
              <w:spacing w:line="40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1000" w:type="pct"/>
            <w:vAlign w:val="center"/>
          </w:tcPr>
          <w:p>
            <w:pPr>
              <w:shd w:val="clear"/>
              <w:spacing w:line="40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产品名称</w:t>
            </w:r>
          </w:p>
        </w:tc>
        <w:tc>
          <w:tcPr>
            <w:tcW w:w="777" w:type="pct"/>
            <w:vAlign w:val="center"/>
          </w:tcPr>
          <w:p>
            <w:pPr>
              <w:shd w:val="clear"/>
              <w:spacing w:line="40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型号</w:t>
            </w:r>
          </w:p>
        </w:tc>
        <w:tc>
          <w:tcPr>
            <w:tcW w:w="555" w:type="pct"/>
            <w:vAlign w:val="center"/>
          </w:tcPr>
          <w:p>
            <w:pPr>
              <w:shd w:val="clear"/>
              <w:spacing w:line="40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产地</w:t>
            </w:r>
          </w:p>
        </w:tc>
        <w:tc>
          <w:tcPr>
            <w:tcW w:w="555" w:type="pct"/>
            <w:vAlign w:val="center"/>
          </w:tcPr>
          <w:p>
            <w:pPr>
              <w:shd w:val="clear"/>
              <w:spacing w:line="40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数量</w:t>
            </w:r>
          </w:p>
        </w:tc>
        <w:tc>
          <w:tcPr>
            <w:tcW w:w="555" w:type="pct"/>
            <w:vAlign w:val="center"/>
          </w:tcPr>
          <w:p>
            <w:pPr>
              <w:shd w:val="clear"/>
              <w:spacing w:line="40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单价</w:t>
            </w:r>
          </w:p>
        </w:tc>
        <w:tc>
          <w:tcPr>
            <w:tcW w:w="552" w:type="pct"/>
            <w:vAlign w:val="center"/>
          </w:tcPr>
          <w:p>
            <w:pPr>
              <w:shd w:val="clear"/>
              <w:spacing w:line="40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总价</w:t>
            </w:r>
          </w:p>
        </w:tc>
        <w:tc>
          <w:tcPr>
            <w:tcW w:w="517" w:type="pct"/>
            <w:vAlign w:val="center"/>
          </w:tcPr>
          <w:p>
            <w:pPr>
              <w:shd w:val="clear"/>
              <w:spacing w:line="400"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exact"/>
          <w:jc w:val="center"/>
        </w:trPr>
        <w:tc>
          <w:tcPr>
            <w:tcW w:w="485" w:type="pct"/>
            <w:vAlign w:val="center"/>
          </w:tcPr>
          <w:p>
            <w:pPr>
              <w:shd w:val="clea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000" w:type="pct"/>
            <w:vAlign w:val="center"/>
          </w:tcPr>
          <w:p>
            <w:pPr>
              <w:shd w:val="clear"/>
              <w:adjustRightInd w:val="0"/>
              <w:snapToGrid w:val="0"/>
              <w:jc w:val="center"/>
              <w:rPr>
                <w:rFonts w:hint="eastAsia" w:ascii="宋体" w:hAnsi="宋体" w:eastAsia="宋体" w:cs="宋体"/>
                <w:color w:val="auto"/>
                <w:sz w:val="21"/>
                <w:szCs w:val="21"/>
                <w:highlight w:val="none"/>
              </w:rPr>
            </w:pPr>
          </w:p>
        </w:tc>
        <w:tc>
          <w:tcPr>
            <w:tcW w:w="777" w:type="pct"/>
            <w:vAlign w:val="center"/>
          </w:tcPr>
          <w:p>
            <w:pPr>
              <w:shd w:val="clear"/>
              <w:spacing w:line="400" w:lineRule="exact"/>
              <w:jc w:val="center"/>
              <w:rPr>
                <w:rFonts w:hint="eastAsia" w:ascii="宋体" w:hAnsi="宋体" w:eastAsia="宋体" w:cs="宋体"/>
                <w:color w:val="auto"/>
                <w:sz w:val="21"/>
                <w:szCs w:val="21"/>
                <w:highlight w:val="none"/>
              </w:rPr>
            </w:pPr>
          </w:p>
        </w:tc>
        <w:tc>
          <w:tcPr>
            <w:tcW w:w="555" w:type="pct"/>
            <w:vAlign w:val="center"/>
          </w:tcPr>
          <w:p>
            <w:pPr>
              <w:shd w:val="clear"/>
              <w:spacing w:line="400" w:lineRule="exact"/>
              <w:jc w:val="center"/>
              <w:rPr>
                <w:rFonts w:hint="eastAsia" w:ascii="宋体" w:hAnsi="宋体" w:eastAsia="宋体" w:cs="宋体"/>
                <w:color w:val="auto"/>
                <w:sz w:val="21"/>
                <w:szCs w:val="21"/>
                <w:highlight w:val="none"/>
              </w:rPr>
            </w:pPr>
          </w:p>
        </w:tc>
        <w:tc>
          <w:tcPr>
            <w:tcW w:w="555" w:type="pct"/>
            <w:vAlign w:val="center"/>
          </w:tcPr>
          <w:p>
            <w:pPr>
              <w:shd w:val="clear"/>
              <w:adjustRightInd w:val="0"/>
              <w:snapToGrid w:val="0"/>
              <w:jc w:val="center"/>
              <w:rPr>
                <w:rFonts w:hint="eastAsia" w:ascii="宋体" w:hAnsi="宋体" w:eastAsia="宋体" w:cs="宋体"/>
                <w:color w:val="auto"/>
                <w:sz w:val="21"/>
                <w:szCs w:val="21"/>
                <w:highlight w:val="none"/>
              </w:rPr>
            </w:pPr>
          </w:p>
        </w:tc>
        <w:tc>
          <w:tcPr>
            <w:tcW w:w="555" w:type="pct"/>
            <w:vAlign w:val="center"/>
          </w:tcPr>
          <w:p>
            <w:pPr>
              <w:shd w:val="clear"/>
              <w:autoSpaceDN w:val="0"/>
              <w:jc w:val="center"/>
              <w:textAlignment w:val="center"/>
              <w:rPr>
                <w:rFonts w:hint="eastAsia" w:ascii="宋体" w:hAnsi="宋体" w:eastAsia="宋体" w:cs="宋体"/>
                <w:color w:val="auto"/>
                <w:sz w:val="21"/>
                <w:szCs w:val="21"/>
                <w:highlight w:val="none"/>
              </w:rPr>
            </w:pPr>
          </w:p>
        </w:tc>
        <w:tc>
          <w:tcPr>
            <w:tcW w:w="552" w:type="pct"/>
            <w:vAlign w:val="center"/>
          </w:tcPr>
          <w:p>
            <w:pPr>
              <w:shd w:val="clear"/>
              <w:autoSpaceDN w:val="0"/>
              <w:jc w:val="center"/>
              <w:textAlignment w:val="center"/>
              <w:rPr>
                <w:rFonts w:hint="eastAsia" w:ascii="宋体" w:hAnsi="宋体" w:eastAsia="宋体" w:cs="宋体"/>
                <w:color w:val="auto"/>
                <w:sz w:val="21"/>
                <w:szCs w:val="21"/>
                <w:highlight w:val="none"/>
              </w:rPr>
            </w:pPr>
          </w:p>
        </w:tc>
        <w:tc>
          <w:tcPr>
            <w:tcW w:w="517" w:type="pct"/>
            <w:vAlign w:val="center"/>
          </w:tcPr>
          <w:p>
            <w:pPr>
              <w:shd w:val="clear"/>
              <w:autoSpaceDN w:val="0"/>
              <w:jc w:val="center"/>
              <w:textAlignment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0" w:hRule="exact"/>
          <w:jc w:val="center"/>
        </w:trPr>
        <w:tc>
          <w:tcPr>
            <w:tcW w:w="485" w:type="pct"/>
            <w:vAlign w:val="center"/>
          </w:tcPr>
          <w:p>
            <w:pPr>
              <w:shd w:val="clear"/>
              <w:adjustRightInd w:val="0"/>
              <w:snapToGrid w:val="0"/>
              <w:jc w:val="center"/>
              <w:rPr>
                <w:rFonts w:hint="eastAsia" w:ascii="宋体" w:hAnsi="宋体" w:eastAsia="宋体" w:cs="宋体"/>
                <w:color w:val="auto"/>
                <w:sz w:val="21"/>
                <w:szCs w:val="21"/>
                <w:highlight w:val="none"/>
              </w:rPr>
            </w:pPr>
          </w:p>
        </w:tc>
        <w:tc>
          <w:tcPr>
            <w:tcW w:w="1000" w:type="pct"/>
            <w:vAlign w:val="center"/>
          </w:tcPr>
          <w:p>
            <w:pPr>
              <w:shd w:val="clear"/>
              <w:adjustRightInd w:val="0"/>
              <w:snapToGrid w:val="0"/>
              <w:jc w:val="center"/>
              <w:rPr>
                <w:rFonts w:hint="eastAsia" w:ascii="宋体" w:hAnsi="宋体" w:eastAsia="宋体" w:cs="宋体"/>
                <w:color w:val="auto"/>
                <w:sz w:val="21"/>
                <w:szCs w:val="21"/>
                <w:highlight w:val="none"/>
              </w:rPr>
            </w:pPr>
          </w:p>
        </w:tc>
        <w:tc>
          <w:tcPr>
            <w:tcW w:w="777" w:type="pct"/>
            <w:vAlign w:val="center"/>
          </w:tcPr>
          <w:p>
            <w:pPr>
              <w:shd w:val="clear"/>
              <w:spacing w:line="400" w:lineRule="exact"/>
              <w:jc w:val="center"/>
              <w:rPr>
                <w:rFonts w:hint="eastAsia" w:ascii="宋体" w:hAnsi="宋体" w:eastAsia="宋体" w:cs="宋体"/>
                <w:color w:val="auto"/>
                <w:sz w:val="21"/>
                <w:szCs w:val="21"/>
                <w:highlight w:val="none"/>
              </w:rPr>
            </w:pPr>
          </w:p>
        </w:tc>
        <w:tc>
          <w:tcPr>
            <w:tcW w:w="555" w:type="pct"/>
            <w:vAlign w:val="center"/>
          </w:tcPr>
          <w:p>
            <w:pPr>
              <w:shd w:val="clear"/>
              <w:spacing w:line="400" w:lineRule="exact"/>
              <w:jc w:val="center"/>
              <w:rPr>
                <w:rFonts w:hint="eastAsia" w:ascii="宋体" w:hAnsi="宋体" w:eastAsia="宋体" w:cs="宋体"/>
                <w:color w:val="auto"/>
                <w:sz w:val="21"/>
                <w:szCs w:val="21"/>
                <w:highlight w:val="none"/>
              </w:rPr>
            </w:pPr>
          </w:p>
        </w:tc>
        <w:tc>
          <w:tcPr>
            <w:tcW w:w="555" w:type="pct"/>
            <w:vAlign w:val="center"/>
          </w:tcPr>
          <w:p>
            <w:pPr>
              <w:shd w:val="clear"/>
              <w:adjustRightInd w:val="0"/>
              <w:snapToGrid w:val="0"/>
              <w:jc w:val="center"/>
              <w:rPr>
                <w:rFonts w:hint="eastAsia" w:ascii="宋体" w:hAnsi="宋体" w:eastAsia="宋体" w:cs="宋体"/>
                <w:color w:val="auto"/>
                <w:sz w:val="21"/>
                <w:szCs w:val="21"/>
                <w:highlight w:val="none"/>
              </w:rPr>
            </w:pPr>
          </w:p>
        </w:tc>
        <w:tc>
          <w:tcPr>
            <w:tcW w:w="555" w:type="pct"/>
            <w:vAlign w:val="center"/>
          </w:tcPr>
          <w:p>
            <w:pPr>
              <w:shd w:val="clear"/>
              <w:autoSpaceDN w:val="0"/>
              <w:jc w:val="center"/>
              <w:textAlignment w:val="center"/>
              <w:rPr>
                <w:rFonts w:hint="eastAsia" w:ascii="宋体" w:hAnsi="宋体" w:eastAsia="宋体" w:cs="宋体"/>
                <w:color w:val="auto"/>
                <w:sz w:val="21"/>
                <w:szCs w:val="21"/>
                <w:highlight w:val="none"/>
              </w:rPr>
            </w:pPr>
          </w:p>
        </w:tc>
        <w:tc>
          <w:tcPr>
            <w:tcW w:w="552" w:type="pct"/>
            <w:vAlign w:val="center"/>
          </w:tcPr>
          <w:p>
            <w:pPr>
              <w:shd w:val="clear"/>
              <w:autoSpaceDN w:val="0"/>
              <w:jc w:val="center"/>
              <w:textAlignment w:val="center"/>
              <w:rPr>
                <w:rFonts w:hint="eastAsia" w:ascii="宋体" w:hAnsi="宋体" w:eastAsia="宋体" w:cs="宋体"/>
                <w:color w:val="auto"/>
                <w:sz w:val="21"/>
                <w:szCs w:val="21"/>
                <w:highlight w:val="none"/>
              </w:rPr>
            </w:pPr>
          </w:p>
        </w:tc>
        <w:tc>
          <w:tcPr>
            <w:tcW w:w="517" w:type="pct"/>
            <w:vAlign w:val="center"/>
          </w:tcPr>
          <w:p>
            <w:pPr>
              <w:shd w:val="clear"/>
              <w:autoSpaceDN w:val="0"/>
              <w:jc w:val="center"/>
              <w:textAlignment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exact"/>
          <w:jc w:val="center"/>
        </w:trPr>
        <w:tc>
          <w:tcPr>
            <w:tcW w:w="485" w:type="pct"/>
            <w:vAlign w:val="center"/>
          </w:tcPr>
          <w:p>
            <w:pPr>
              <w:shd w:val="clear"/>
              <w:adjustRightInd w:val="0"/>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p>
        </w:tc>
        <w:tc>
          <w:tcPr>
            <w:tcW w:w="1000" w:type="pct"/>
            <w:vAlign w:val="center"/>
          </w:tcPr>
          <w:p>
            <w:pPr>
              <w:shd w:val="clear"/>
              <w:adjustRightInd w:val="0"/>
              <w:snapToGrid w:val="0"/>
              <w:jc w:val="center"/>
              <w:rPr>
                <w:rFonts w:hint="eastAsia" w:ascii="宋体" w:hAnsi="宋体" w:eastAsia="宋体" w:cs="宋体"/>
                <w:color w:val="auto"/>
                <w:sz w:val="21"/>
                <w:szCs w:val="21"/>
                <w:highlight w:val="none"/>
              </w:rPr>
            </w:pPr>
          </w:p>
        </w:tc>
        <w:tc>
          <w:tcPr>
            <w:tcW w:w="777" w:type="pct"/>
            <w:vAlign w:val="center"/>
          </w:tcPr>
          <w:p>
            <w:pPr>
              <w:shd w:val="clear"/>
              <w:jc w:val="center"/>
              <w:rPr>
                <w:rFonts w:hint="eastAsia" w:ascii="宋体" w:hAnsi="宋体" w:eastAsia="宋体" w:cs="宋体"/>
                <w:color w:val="auto"/>
                <w:sz w:val="21"/>
                <w:szCs w:val="21"/>
                <w:highlight w:val="none"/>
              </w:rPr>
            </w:pPr>
          </w:p>
        </w:tc>
        <w:tc>
          <w:tcPr>
            <w:tcW w:w="555" w:type="pct"/>
            <w:vAlign w:val="center"/>
          </w:tcPr>
          <w:p>
            <w:pPr>
              <w:shd w:val="clear"/>
              <w:spacing w:line="400" w:lineRule="exact"/>
              <w:jc w:val="center"/>
              <w:rPr>
                <w:rFonts w:hint="eastAsia" w:ascii="宋体" w:hAnsi="宋体" w:eastAsia="宋体" w:cs="宋体"/>
                <w:color w:val="auto"/>
                <w:sz w:val="21"/>
                <w:szCs w:val="21"/>
                <w:highlight w:val="none"/>
              </w:rPr>
            </w:pPr>
          </w:p>
        </w:tc>
        <w:tc>
          <w:tcPr>
            <w:tcW w:w="555" w:type="pct"/>
            <w:vAlign w:val="center"/>
          </w:tcPr>
          <w:p>
            <w:pPr>
              <w:shd w:val="clear"/>
              <w:adjustRightInd w:val="0"/>
              <w:snapToGrid w:val="0"/>
              <w:jc w:val="center"/>
              <w:rPr>
                <w:rFonts w:hint="eastAsia" w:ascii="宋体" w:hAnsi="宋体" w:eastAsia="宋体" w:cs="宋体"/>
                <w:color w:val="auto"/>
                <w:sz w:val="21"/>
                <w:szCs w:val="21"/>
                <w:highlight w:val="none"/>
              </w:rPr>
            </w:pPr>
          </w:p>
        </w:tc>
        <w:tc>
          <w:tcPr>
            <w:tcW w:w="555" w:type="pct"/>
            <w:vAlign w:val="center"/>
          </w:tcPr>
          <w:p>
            <w:pPr>
              <w:shd w:val="clear"/>
              <w:autoSpaceDN w:val="0"/>
              <w:jc w:val="center"/>
              <w:textAlignment w:val="center"/>
              <w:rPr>
                <w:rFonts w:hint="eastAsia" w:ascii="宋体" w:hAnsi="宋体" w:eastAsia="宋体" w:cs="宋体"/>
                <w:color w:val="auto"/>
                <w:sz w:val="21"/>
                <w:szCs w:val="21"/>
                <w:highlight w:val="none"/>
              </w:rPr>
            </w:pPr>
          </w:p>
        </w:tc>
        <w:tc>
          <w:tcPr>
            <w:tcW w:w="552" w:type="pct"/>
            <w:vAlign w:val="center"/>
          </w:tcPr>
          <w:p>
            <w:pPr>
              <w:shd w:val="clear"/>
              <w:autoSpaceDN w:val="0"/>
              <w:jc w:val="center"/>
              <w:textAlignment w:val="center"/>
              <w:rPr>
                <w:rFonts w:hint="eastAsia" w:ascii="宋体" w:hAnsi="宋体" w:eastAsia="宋体" w:cs="宋体"/>
                <w:color w:val="auto"/>
                <w:sz w:val="21"/>
                <w:szCs w:val="21"/>
                <w:highlight w:val="none"/>
              </w:rPr>
            </w:pPr>
          </w:p>
        </w:tc>
        <w:tc>
          <w:tcPr>
            <w:tcW w:w="517" w:type="pct"/>
            <w:vAlign w:val="center"/>
          </w:tcPr>
          <w:p>
            <w:pPr>
              <w:shd w:val="clear"/>
              <w:autoSpaceDN w:val="0"/>
              <w:jc w:val="center"/>
              <w:textAlignment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0" w:hRule="exact"/>
          <w:jc w:val="center"/>
        </w:trPr>
        <w:tc>
          <w:tcPr>
            <w:tcW w:w="1485" w:type="pct"/>
            <w:gridSpan w:val="2"/>
            <w:vAlign w:val="center"/>
          </w:tcPr>
          <w:p>
            <w:pPr>
              <w:shd w:val="clear"/>
              <w:adjustRightInd w:val="0"/>
              <w:snapToGrid w:val="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总计（人民币/元）</w:t>
            </w:r>
          </w:p>
        </w:tc>
        <w:tc>
          <w:tcPr>
            <w:tcW w:w="3514" w:type="pct"/>
            <w:gridSpan w:val="6"/>
            <w:vAlign w:val="center"/>
          </w:tcPr>
          <w:p>
            <w:pPr>
              <w:shd w:val="clear"/>
              <w:adjustRightInd w:val="0"/>
              <w:snapToGrid w:val="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￥：（大写）</w:t>
            </w:r>
          </w:p>
        </w:tc>
      </w:tr>
    </w:tbl>
    <w:p>
      <w:pPr>
        <w:shd w:val="clear"/>
        <w:kinsoku w:val="0"/>
        <w:ind w:firstLine="525" w:firstLineChars="25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（参数附件说明）</w:t>
      </w:r>
    </w:p>
    <w:p>
      <w:pPr>
        <w:shd w:val="clear"/>
        <w:kinsoku w:val="0"/>
        <w:ind w:right="-250" w:rightChars="-104" w:firstLine="525" w:firstLineChars="25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乙方负责按以上确定的产品规格、型号及配套内容进行供货，及时运到甲方指定交货地点安装调试，确保所有产品达到最佳运行状态，做好售后服务工作。</w:t>
      </w:r>
    </w:p>
    <w:p>
      <w:pPr>
        <w:shd w:val="clear"/>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二、合同价格</w:t>
      </w:r>
    </w:p>
    <w:p>
      <w:pPr>
        <w:shd w:val="clear"/>
        <w:kinsoku w:val="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合同总价：人民币大写</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u w:val="single"/>
        </w:rPr>
        <w:t xml:space="preserve">              </w:t>
      </w:r>
      <w:r>
        <w:rPr>
          <w:rFonts w:hint="eastAsia" w:ascii="宋体" w:hAnsi="宋体" w:eastAsia="宋体" w:cs="宋体"/>
          <w:b/>
          <w:bCs/>
          <w:color w:val="auto"/>
          <w:sz w:val="21"/>
          <w:szCs w:val="21"/>
          <w:highlight w:val="none"/>
        </w:rPr>
        <w:t>元；</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元。</w:t>
      </w:r>
    </w:p>
    <w:p>
      <w:pPr>
        <w:shd w:val="clear"/>
        <w:kinsoku w:val="0"/>
        <w:ind w:right="-365" w:rightChars="-152"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合同总价包括：所供货物、服务且验收合格的所有费用，包括</w:t>
      </w:r>
      <w:r>
        <w:rPr>
          <w:rFonts w:hint="eastAsia" w:ascii="宋体" w:hAnsi="宋体" w:eastAsia="宋体" w:cs="宋体"/>
          <w:color w:val="auto"/>
          <w:sz w:val="21"/>
          <w:szCs w:val="21"/>
          <w:highlight w:val="none"/>
          <w:lang w:val="en-US" w:eastAsia="zh-CN"/>
        </w:rPr>
        <w:t>出厂价</w:t>
      </w:r>
      <w:r>
        <w:rPr>
          <w:rFonts w:hint="eastAsia" w:ascii="宋体" w:hAnsi="宋体" w:eastAsia="宋体" w:cs="宋体"/>
          <w:color w:val="auto"/>
          <w:sz w:val="21"/>
          <w:szCs w:val="21"/>
          <w:highlight w:val="none"/>
        </w:rPr>
        <w:t>、运杂费（含保险）、仓储保管费、安装调试费、检测费、人工费、</w:t>
      </w:r>
      <w:r>
        <w:rPr>
          <w:rFonts w:hint="eastAsia" w:ascii="宋体" w:hAnsi="宋体" w:eastAsia="宋体" w:cs="宋体"/>
          <w:color w:val="auto"/>
          <w:sz w:val="21"/>
          <w:szCs w:val="21"/>
          <w:highlight w:val="none"/>
          <w:lang w:val="en-US" w:eastAsia="zh-CN"/>
        </w:rPr>
        <w:t>利润、税费</w:t>
      </w:r>
      <w:r>
        <w:rPr>
          <w:rFonts w:hint="eastAsia" w:ascii="宋体" w:hAnsi="宋体" w:eastAsia="宋体" w:cs="宋体"/>
          <w:color w:val="auto"/>
          <w:sz w:val="21"/>
          <w:szCs w:val="21"/>
          <w:highlight w:val="none"/>
        </w:rPr>
        <w:t>等其他一切相关费用；包括从产品供应地点到交货地点</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且使产品具备使用条件的</w:t>
      </w:r>
      <w:r>
        <w:rPr>
          <w:rFonts w:hint="eastAsia" w:ascii="宋体" w:hAnsi="宋体" w:eastAsia="宋体" w:cs="宋体"/>
          <w:color w:val="auto"/>
          <w:sz w:val="21"/>
          <w:szCs w:val="21"/>
          <w:highlight w:val="none"/>
        </w:rPr>
        <w:t>一切费用。合同总价不可变更，不受市场价变化的影响，不受实际数量变化的影响。</w:t>
      </w:r>
    </w:p>
    <w:p>
      <w:pPr>
        <w:shd w:val="clear"/>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三、款项支付</w:t>
      </w:r>
    </w:p>
    <w:p>
      <w:pPr>
        <w:shd w:val="clear"/>
        <w:adjustRightInd w:val="0"/>
        <w:snapToGrid w:val="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双方签订合同后，产品交付甲方指定地点；安装调试结束</w:t>
      </w:r>
      <w:r>
        <w:rPr>
          <w:rFonts w:hint="eastAsia" w:ascii="宋体" w:hAnsi="宋体" w:eastAsia="宋体" w:cs="宋体"/>
          <w:color w:val="auto"/>
          <w:sz w:val="21"/>
          <w:szCs w:val="21"/>
          <w:highlight w:val="none"/>
          <w:lang w:val="en-US" w:eastAsia="zh-CN"/>
        </w:rPr>
        <w:t>且验收</w:t>
      </w:r>
      <w:r>
        <w:rPr>
          <w:rFonts w:hint="eastAsia" w:ascii="宋体" w:hAnsi="宋体" w:eastAsia="宋体" w:cs="宋体"/>
          <w:color w:val="auto"/>
          <w:sz w:val="21"/>
          <w:szCs w:val="21"/>
          <w:highlight w:val="none"/>
        </w:rPr>
        <w:t>合格，</w:t>
      </w:r>
      <w:r>
        <w:rPr>
          <w:rFonts w:hint="eastAsia" w:ascii="宋体" w:hAnsi="宋体" w:eastAsia="宋体" w:cs="宋体"/>
          <w:color w:val="auto"/>
          <w:sz w:val="21"/>
          <w:szCs w:val="21"/>
          <w:highlight w:val="none"/>
          <w:lang w:val="en-US" w:eastAsia="zh-CN"/>
        </w:rPr>
        <w:t>根据国家地方财政拨款程序支付货款</w:t>
      </w:r>
      <w:r>
        <w:rPr>
          <w:rFonts w:hint="eastAsia" w:ascii="宋体" w:hAnsi="宋体" w:eastAsia="宋体" w:cs="宋体"/>
          <w:color w:val="auto"/>
          <w:sz w:val="21"/>
          <w:szCs w:val="21"/>
          <w:highlight w:val="none"/>
        </w:rPr>
        <w:t>。</w:t>
      </w:r>
    </w:p>
    <w:p>
      <w:pPr>
        <w:shd w:val="clear"/>
        <w:adjustRightInd w:val="0"/>
        <w:snapToGrid w:val="0"/>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四、交货条件</w:t>
      </w:r>
    </w:p>
    <w:p>
      <w:pPr>
        <w:shd w:val="clear"/>
        <w:kinsoku w:val="0"/>
        <w:ind w:firstLine="525" w:firstLineChars="25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1、交货地点：甲方指定地点</w:t>
      </w:r>
    </w:p>
    <w:p>
      <w:pPr>
        <w:shd w:val="clear"/>
        <w:kinsoku w:val="0"/>
        <w:ind w:firstLine="525" w:firstLineChars="25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2、交货日期：</w:t>
      </w:r>
    </w:p>
    <w:p>
      <w:pPr>
        <w:shd w:val="clear"/>
        <w:rPr>
          <w:rFonts w:hint="eastAsia" w:ascii="宋体" w:hAnsi="宋体" w:eastAsia="宋体" w:cs="宋体"/>
          <w:color w:val="auto"/>
          <w:highlight w:val="none"/>
        </w:rPr>
      </w:pPr>
      <w:r>
        <w:rPr>
          <w:rFonts w:hint="eastAsia" w:ascii="宋体" w:hAnsi="宋体" w:eastAsia="宋体" w:cs="宋体"/>
          <w:color w:val="auto"/>
          <w:highlight w:val="none"/>
        </w:rPr>
        <w:t xml:space="preserve"> </w:t>
      </w:r>
      <w:r>
        <w:rPr>
          <w:rFonts w:hint="eastAsia" w:ascii="宋体" w:hAnsi="宋体" w:eastAsia="宋体" w:cs="宋体"/>
          <w:color w:val="auto"/>
          <w:sz w:val="21"/>
          <w:szCs w:val="21"/>
          <w:highlight w:val="none"/>
        </w:rPr>
        <w:t xml:space="preserve">    3、质保期：</w:t>
      </w:r>
    </w:p>
    <w:p>
      <w:pPr>
        <w:shd w:val="clear"/>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五、运输方式：</w:t>
      </w:r>
      <w:r>
        <w:rPr>
          <w:rFonts w:hint="eastAsia" w:ascii="宋体" w:hAnsi="宋体" w:eastAsia="宋体" w:cs="宋体"/>
          <w:color w:val="auto"/>
          <w:sz w:val="21"/>
          <w:szCs w:val="21"/>
          <w:highlight w:val="none"/>
        </w:rPr>
        <w:t>根据产品特性，由乙方在保证产品质量的前提下，自行选择运输及包装方式，发生的一切费用全部由乙方承担。</w:t>
      </w:r>
    </w:p>
    <w:p>
      <w:pPr>
        <w:shd w:val="clear"/>
        <w:adjustRightInd w:val="0"/>
        <w:snapToGrid w:val="0"/>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六、质量保证</w:t>
      </w:r>
    </w:p>
    <w:p>
      <w:pPr>
        <w:shd w:val="clear"/>
        <w:adjustRightInd w:val="0"/>
        <w:snapToGrid w:val="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1、乙方保证所提供的产品质量可靠，进货渠道正常，配置合理，技术性能完全满足招标文件要求；</w:t>
      </w:r>
    </w:p>
    <w:p>
      <w:pPr>
        <w:shd w:val="clear"/>
        <w:adjustRightInd w:val="0"/>
        <w:snapToGrid w:val="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2、若产品所用原材料或加工工艺造成的质量和内外观缺陷问题，由乙方负责解决并承担费用。</w:t>
      </w:r>
      <w:r>
        <w:rPr>
          <w:rFonts w:hint="eastAsia" w:ascii="宋体" w:hAnsi="宋体" w:eastAsia="宋体" w:cs="宋体"/>
          <w:b/>
          <w:bCs/>
          <w:color w:val="auto"/>
          <w:sz w:val="21"/>
          <w:szCs w:val="21"/>
          <w:highlight w:val="none"/>
        </w:rPr>
        <w:t>（</w:t>
      </w:r>
      <w:r>
        <w:rPr>
          <w:rFonts w:hint="eastAsia" w:ascii="宋体" w:hAnsi="宋体" w:eastAsia="宋体" w:cs="宋体"/>
          <w:color w:val="auto"/>
          <w:sz w:val="21"/>
          <w:szCs w:val="21"/>
          <w:highlight w:val="none"/>
        </w:rPr>
        <w:t>卖方保证货物是全新的、未曾使用过的、以优质工艺及材料制造，并保证所供产品的完整性，本合同产品为成套供货，合同总价中已包括满足产品完整运行的附件，备件，配套件等，产品质量应符合国标标准和本合同附件的要求,卖方应随机提供产品检验报告。）</w:t>
      </w:r>
    </w:p>
    <w:p>
      <w:pPr>
        <w:shd w:val="clear"/>
        <w:adjustRightInd w:val="0"/>
        <w:snapToGrid w:val="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3、产品性能未达到技术要求的，乙方限期内进行整改；整改仍达不到要求的，甲方有权解除合同，保留依法索赔的权利。</w:t>
      </w:r>
    </w:p>
    <w:p>
      <w:pPr>
        <w:shd w:val="clear"/>
        <w:adjustRightInd w:val="0"/>
        <w:snapToGrid w:val="0"/>
        <w:spacing w:line="4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4、质保期内若发生产品质量问题，卖方应立即免费解决；否则，甲方有权从剩余合同款中支付相关费用。</w:t>
      </w:r>
    </w:p>
    <w:p>
      <w:pPr>
        <w:shd w:val="clear"/>
        <w:adjustRightInd w:val="0"/>
        <w:snapToGrid w:val="0"/>
        <w:ind w:firstLine="314" w:firstLineChars="149"/>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七、安装、调试及技术服务</w:t>
      </w:r>
    </w:p>
    <w:p>
      <w:pPr>
        <w:shd w:val="clear"/>
        <w:ind w:firstLine="434" w:firstLineChars="207"/>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1、技术资料包括：出厂检测报告、产品使用说明书、合格证等其它相关资料。</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质保期内免费维护，并免费提供备品、备件，更换故障部件、产品等，乙方在接到用户对所购产品进行维修的要求后，48小时内到用户现场进行维修服务，全部费用由乙方支付，若需将产品送回生产厂，由乙方支付维修产品所需的往返费用。</w:t>
      </w:r>
    </w:p>
    <w:p>
      <w:pPr>
        <w:shd w:val="clear"/>
        <w:ind w:firstLine="315" w:firstLineChars="15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3、乙方保证产品完全按招标要求提供，若达不到要求，乙方须及时跟甲方沟通协商更换产品，并按照再次验收合格时间相应延长该产品保修期。</w:t>
      </w:r>
    </w:p>
    <w:p>
      <w:pPr>
        <w:shd w:val="clear"/>
        <w:adjustRightInd w:val="0"/>
        <w:snapToGrid w:val="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4、服务承诺：按投标文件中的服务承诺执行。</w:t>
      </w:r>
    </w:p>
    <w:p>
      <w:pPr>
        <w:shd w:val="clear"/>
        <w:adjustRightInd w:val="0"/>
        <w:snapToGrid w:val="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、安装调试过程中出现的安全责任问题由乙方全权负责。</w:t>
      </w:r>
    </w:p>
    <w:p>
      <w:pPr>
        <w:shd w:val="clear"/>
        <w:tabs>
          <w:tab w:val="left" w:pos="5355"/>
        </w:tabs>
        <w:ind w:firstLine="443" w:firstLineChars="21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八、</w:t>
      </w:r>
      <w:r>
        <w:rPr>
          <w:rFonts w:hint="eastAsia" w:ascii="宋体" w:hAnsi="宋体" w:eastAsia="宋体" w:cs="宋体"/>
          <w:b/>
          <w:bCs/>
          <w:color w:val="auto"/>
          <w:sz w:val="21"/>
          <w:szCs w:val="21"/>
          <w:highlight w:val="none"/>
          <w:lang w:val="en-US" w:eastAsia="zh-CN"/>
        </w:rPr>
        <w:t>产品</w:t>
      </w:r>
      <w:r>
        <w:rPr>
          <w:rFonts w:hint="eastAsia" w:ascii="宋体" w:hAnsi="宋体" w:eastAsia="宋体" w:cs="宋体"/>
          <w:b/>
          <w:bCs/>
          <w:color w:val="auto"/>
          <w:sz w:val="21"/>
          <w:szCs w:val="21"/>
          <w:highlight w:val="none"/>
        </w:rPr>
        <w:t>包装</w:t>
      </w:r>
      <w:r>
        <w:rPr>
          <w:rFonts w:hint="eastAsia" w:ascii="宋体" w:hAnsi="宋体" w:eastAsia="宋体" w:cs="宋体"/>
          <w:b/>
          <w:bCs/>
          <w:color w:val="auto"/>
          <w:sz w:val="21"/>
          <w:szCs w:val="21"/>
          <w:highlight w:val="none"/>
          <w:lang w:val="en-US" w:eastAsia="zh-CN"/>
        </w:rPr>
        <w:t>及</w:t>
      </w:r>
      <w:r>
        <w:rPr>
          <w:rFonts w:hint="eastAsia" w:ascii="宋体" w:hAnsi="宋体" w:eastAsia="宋体" w:cs="宋体"/>
          <w:b/>
          <w:bCs/>
          <w:color w:val="auto"/>
          <w:sz w:val="21"/>
          <w:szCs w:val="21"/>
          <w:highlight w:val="none"/>
        </w:rPr>
        <w:t>环保要求</w:t>
      </w:r>
    </w:p>
    <w:p>
      <w:pPr>
        <w:shd w:val="clear"/>
        <w:ind w:firstLine="525" w:firstLineChars="25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本项目标的产品如需要包装或快递的，乙方须严格按照“关于印发《商品包装政府采购需求标准（试行）》、 《快递包装政府采购需求标准（试行）》的通知（财办库〔2020〕123号）”规定执行。</w:t>
      </w:r>
    </w:p>
    <w:p>
      <w:pPr>
        <w:shd w:val="clear"/>
        <w:tabs>
          <w:tab w:val="left" w:pos="5355"/>
        </w:tabs>
        <w:ind w:firstLine="443" w:firstLineChars="21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九、</w:t>
      </w:r>
      <w:r>
        <w:rPr>
          <w:rFonts w:hint="eastAsia" w:ascii="宋体" w:hAnsi="宋体" w:eastAsia="宋体" w:cs="宋体"/>
          <w:b/>
          <w:bCs/>
          <w:color w:val="auto"/>
          <w:sz w:val="21"/>
          <w:szCs w:val="21"/>
          <w:highlight w:val="none"/>
        </w:rPr>
        <w:t>违约责任：</w:t>
      </w:r>
    </w:p>
    <w:p>
      <w:pPr>
        <w:shd w:val="clear"/>
        <w:adjustRightInd w:val="0"/>
        <w:snapToGrid w:val="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1、按《中华人民共和国合同法》中的相关条款执行。</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未按合同要求提供产品或产品质量不能满足合同约定的技术要求，甲方有权终止合同，乙方须无条件全额退回甲方已付给乙方的货款，并向甲方支付合同总价款百分之十的违约金。并保留追究乙方违约责任的权利。</w:t>
      </w:r>
    </w:p>
    <w:p>
      <w:pPr>
        <w:shd w:val="clear"/>
        <w:adjustRightInd w:val="0"/>
        <w:snapToGrid w:val="0"/>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3、时间迟延的，违约方按照每天1‰向对方承担违约责任，延迟30天以上，甲方有权解除合同。产品质量问题违约的，除了按照迟延时间计算违约金外，另可以采取退货、换货等方式，由供方承担一切费用。</w:t>
      </w:r>
    </w:p>
    <w:p>
      <w:pPr>
        <w:shd w:val="clear"/>
        <w:ind w:firstLine="532"/>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十、产品</w:t>
      </w:r>
      <w:r>
        <w:rPr>
          <w:rFonts w:hint="eastAsia" w:ascii="宋体" w:hAnsi="宋体" w:eastAsia="宋体" w:cs="宋体"/>
          <w:b/>
          <w:bCs/>
          <w:color w:val="auto"/>
          <w:sz w:val="21"/>
          <w:szCs w:val="21"/>
          <w:highlight w:val="none"/>
        </w:rPr>
        <w:t>验收</w:t>
      </w:r>
    </w:p>
    <w:p>
      <w:pPr>
        <w:shd w:val="clear"/>
        <w:adjustRightInd w:val="0"/>
        <w:snapToGrid w:val="0"/>
        <w:ind w:firstLine="420" w:firstLineChars="200"/>
        <w:rPr>
          <w:rFonts w:hint="eastAsia" w:ascii="宋体" w:hAnsi="宋体" w:eastAsia="宋体" w:cs="宋体"/>
          <w:snapToGrid w:val="0"/>
          <w:color w:val="auto"/>
          <w:kern w:val="0"/>
          <w:sz w:val="21"/>
          <w:szCs w:val="21"/>
          <w:highlight w:val="none"/>
        </w:rPr>
      </w:pPr>
      <w:r>
        <w:rPr>
          <w:rFonts w:hint="eastAsia" w:ascii="宋体" w:hAnsi="宋体" w:eastAsia="宋体" w:cs="宋体"/>
          <w:snapToGrid w:val="0"/>
          <w:color w:val="auto"/>
          <w:kern w:val="0"/>
          <w:sz w:val="21"/>
          <w:szCs w:val="21"/>
          <w:highlight w:val="none"/>
        </w:rPr>
        <w:t>1、验收由甲方相关人员组成的验收小组负责。分为项目初验和项目终验。</w:t>
      </w:r>
    </w:p>
    <w:p>
      <w:pPr>
        <w:shd w:val="clear"/>
        <w:adjustRightInd w:val="0"/>
        <w:snapToGrid w:val="0"/>
        <w:ind w:firstLine="420" w:firstLineChars="200"/>
        <w:rPr>
          <w:rFonts w:hint="eastAsia" w:ascii="宋体" w:hAnsi="宋体" w:eastAsia="宋体" w:cs="宋体"/>
          <w:color w:val="auto"/>
          <w:sz w:val="21"/>
          <w:szCs w:val="21"/>
          <w:highlight w:val="none"/>
        </w:rPr>
      </w:pPr>
      <w:r>
        <w:rPr>
          <w:rFonts w:hint="eastAsia" w:ascii="宋体" w:hAnsi="宋体" w:eastAsia="宋体" w:cs="宋体"/>
          <w:snapToGrid w:val="0"/>
          <w:color w:val="auto"/>
          <w:kern w:val="0"/>
          <w:sz w:val="21"/>
          <w:szCs w:val="21"/>
          <w:highlight w:val="none"/>
          <w:lang w:val="en-US" w:eastAsia="zh-CN"/>
        </w:rPr>
        <w:t>2、</w:t>
      </w:r>
      <w:r>
        <w:rPr>
          <w:rFonts w:hint="eastAsia" w:ascii="宋体" w:hAnsi="宋体" w:eastAsia="宋体" w:cs="宋体"/>
          <w:snapToGrid w:val="0"/>
          <w:color w:val="auto"/>
          <w:kern w:val="0"/>
          <w:sz w:val="21"/>
          <w:szCs w:val="21"/>
          <w:highlight w:val="none"/>
        </w:rPr>
        <w:t>项目初验：乙方</w:t>
      </w:r>
      <w:r>
        <w:rPr>
          <w:rFonts w:hint="eastAsia" w:ascii="宋体" w:hAnsi="宋体" w:eastAsia="宋体" w:cs="宋体"/>
          <w:color w:val="auto"/>
          <w:sz w:val="21"/>
          <w:szCs w:val="21"/>
          <w:highlight w:val="none"/>
        </w:rPr>
        <w:t>安装调试完成后应提供详细的安装报告，并详细记录各种</w:t>
      </w:r>
      <w:bookmarkStart w:id="266" w:name="OLE_LINK4"/>
      <w:bookmarkStart w:id="267" w:name="OLE_LINK3"/>
      <w:r>
        <w:rPr>
          <w:rFonts w:hint="eastAsia" w:ascii="宋体" w:hAnsi="宋体" w:eastAsia="宋体" w:cs="宋体"/>
          <w:color w:val="auto"/>
          <w:sz w:val="21"/>
          <w:szCs w:val="21"/>
          <w:highlight w:val="none"/>
        </w:rPr>
        <w:t>指示</w:t>
      </w:r>
      <w:bookmarkEnd w:id="266"/>
      <w:bookmarkEnd w:id="267"/>
      <w:r>
        <w:rPr>
          <w:rFonts w:hint="eastAsia" w:ascii="宋体" w:hAnsi="宋体" w:eastAsia="宋体" w:cs="宋体"/>
          <w:color w:val="auto"/>
          <w:sz w:val="21"/>
          <w:szCs w:val="21"/>
          <w:highlight w:val="none"/>
        </w:rPr>
        <w:t>的实测数据</w:t>
      </w:r>
      <w:r>
        <w:rPr>
          <w:rFonts w:hint="eastAsia" w:ascii="宋体" w:hAnsi="宋体" w:eastAsia="宋体" w:cs="宋体"/>
          <w:snapToGrid w:val="0"/>
          <w:color w:val="auto"/>
          <w:kern w:val="0"/>
          <w:sz w:val="21"/>
          <w:szCs w:val="21"/>
          <w:highlight w:val="none"/>
        </w:rPr>
        <w:t>，由使用单位进行初验。验收内容为审查验收安装及测试报告，现场查看</w:t>
      </w:r>
      <w:r>
        <w:rPr>
          <w:rFonts w:hint="eastAsia" w:ascii="宋体" w:hAnsi="宋体" w:eastAsia="宋体" w:cs="宋体"/>
          <w:snapToGrid w:val="0"/>
          <w:color w:val="auto"/>
          <w:kern w:val="0"/>
          <w:sz w:val="21"/>
          <w:szCs w:val="21"/>
          <w:highlight w:val="none"/>
          <w:lang w:eastAsia="zh-CN"/>
        </w:rPr>
        <w:t>产品</w:t>
      </w:r>
      <w:r>
        <w:rPr>
          <w:rFonts w:hint="eastAsia" w:ascii="宋体" w:hAnsi="宋体" w:eastAsia="宋体" w:cs="宋体"/>
          <w:snapToGrid w:val="0"/>
          <w:color w:val="auto"/>
          <w:kern w:val="0"/>
          <w:sz w:val="21"/>
          <w:szCs w:val="21"/>
          <w:highlight w:val="none"/>
          <w:lang w:val="en-US" w:eastAsia="zh-CN"/>
        </w:rPr>
        <w:t>使用</w:t>
      </w:r>
      <w:r>
        <w:rPr>
          <w:rFonts w:hint="eastAsia" w:ascii="宋体" w:hAnsi="宋体" w:eastAsia="宋体" w:cs="宋体"/>
          <w:snapToGrid w:val="0"/>
          <w:color w:val="auto"/>
          <w:kern w:val="0"/>
          <w:sz w:val="21"/>
          <w:szCs w:val="21"/>
          <w:highlight w:val="none"/>
        </w:rPr>
        <w:t>情况。</w:t>
      </w:r>
      <w:r>
        <w:rPr>
          <w:rFonts w:hint="eastAsia" w:ascii="宋体" w:hAnsi="宋体" w:eastAsia="宋体" w:cs="宋体"/>
          <w:color w:val="auto"/>
          <w:sz w:val="21"/>
          <w:szCs w:val="21"/>
          <w:highlight w:val="none"/>
        </w:rPr>
        <w:t>验收合格后，使用单位填写产品验收单。</w:t>
      </w:r>
    </w:p>
    <w:p>
      <w:pPr>
        <w:shd w:val="clear"/>
        <w:adjustRightInd w:val="0"/>
        <w:snapToGrid w:val="0"/>
        <w:ind w:firstLine="420" w:firstLineChars="200"/>
        <w:rPr>
          <w:rFonts w:hint="eastAsia" w:ascii="宋体" w:hAnsi="宋体" w:eastAsia="宋体" w:cs="宋体"/>
          <w:snapToGrid w:val="0"/>
          <w:color w:val="auto"/>
          <w:kern w:val="0"/>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snapToGrid w:val="0"/>
          <w:color w:val="auto"/>
          <w:kern w:val="0"/>
          <w:sz w:val="21"/>
          <w:szCs w:val="21"/>
          <w:highlight w:val="none"/>
        </w:rPr>
        <w:t>项目整体验收：该项目初验合格后，</w:t>
      </w:r>
      <w:r>
        <w:rPr>
          <w:rFonts w:hint="eastAsia" w:ascii="宋体" w:hAnsi="宋体" w:eastAsia="宋体" w:cs="宋体"/>
          <w:color w:val="auto"/>
          <w:sz w:val="21"/>
          <w:szCs w:val="21"/>
          <w:highlight w:val="none"/>
        </w:rPr>
        <w:t>甲方根据使用单位初步验收报告，组织相关人员或专家组成的验收小组对</w:t>
      </w:r>
      <w:r>
        <w:rPr>
          <w:rFonts w:hint="eastAsia" w:ascii="宋体" w:hAnsi="宋体" w:eastAsia="宋体" w:cs="宋体"/>
          <w:color w:val="auto"/>
          <w:sz w:val="21"/>
          <w:szCs w:val="21"/>
          <w:highlight w:val="none"/>
          <w:lang w:eastAsia="zh-CN"/>
        </w:rPr>
        <w:t>产品</w:t>
      </w:r>
      <w:r>
        <w:rPr>
          <w:rFonts w:hint="eastAsia" w:ascii="宋体" w:hAnsi="宋体" w:eastAsia="宋体" w:cs="宋体"/>
          <w:color w:val="auto"/>
          <w:sz w:val="21"/>
          <w:szCs w:val="21"/>
          <w:highlight w:val="none"/>
        </w:rPr>
        <w:t>进行最终验收。验收所产生的相关费用由乙方承担。</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.1乙方提供完整的操作手册和安装、调试、维修手册；提供制造厂家的检验测试报告或产品出厂检测报告。</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.2甲方根据合同要求对产品进行验收、确认产品的产地、规格、型号和数量。验收依据为本合同文本、投标文件和国内相应的标准、规范。</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w:t>
      </w:r>
      <w:bookmarkStart w:id="268" w:name="OLE_LINK6"/>
      <w:bookmarkStart w:id="269" w:name="OLE_LINK7"/>
      <w:bookmarkStart w:id="270" w:name="OLE_LINK5"/>
      <w:r>
        <w:rPr>
          <w:rFonts w:hint="eastAsia" w:ascii="宋体" w:hAnsi="宋体" w:eastAsia="宋体" w:cs="宋体"/>
          <w:color w:val="auto"/>
          <w:sz w:val="21"/>
          <w:szCs w:val="21"/>
          <w:highlight w:val="none"/>
        </w:rPr>
        <w:t>验收合格后，填写产品验收单</w:t>
      </w:r>
      <w:bookmarkEnd w:id="268"/>
      <w:bookmarkEnd w:id="269"/>
      <w:bookmarkEnd w:id="270"/>
      <w:r>
        <w:rPr>
          <w:rFonts w:hint="eastAsia" w:ascii="宋体" w:hAnsi="宋体" w:eastAsia="宋体" w:cs="宋体"/>
          <w:color w:val="auto"/>
          <w:sz w:val="21"/>
          <w:szCs w:val="21"/>
          <w:highlight w:val="none"/>
        </w:rPr>
        <w:t>，并向甲方提交产品所包含的所有资料，以便使用单位日后管理和维护。</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5、在交割以前</w:t>
      </w:r>
      <w:r>
        <w:rPr>
          <w:rFonts w:hint="eastAsia" w:ascii="宋体" w:hAnsi="宋体" w:eastAsia="宋体" w:cs="宋体"/>
          <w:color w:val="auto"/>
          <w:sz w:val="21"/>
          <w:szCs w:val="21"/>
          <w:highlight w:val="none"/>
          <w:lang w:eastAsia="zh-CN"/>
        </w:rPr>
        <w:t>产品</w:t>
      </w:r>
      <w:r>
        <w:rPr>
          <w:rFonts w:hint="eastAsia" w:ascii="宋体" w:hAnsi="宋体" w:eastAsia="宋体" w:cs="宋体"/>
          <w:color w:val="auto"/>
          <w:sz w:val="21"/>
          <w:szCs w:val="21"/>
          <w:highlight w:val="none"/>
        </w:rPr>
        <w:t>所发生的一切损失及费用由乙方承担。性能达到技术要求的，验收通过；验收不合格的，限期整改；整改仍达不到要求的，按本合同第八条第2款处理。</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6、如因货物的质量问题发生争议，由甲方属地技术质量监督部门进行质量鉴定；货物符合质量标准的，鉴定费由甲方承担；货物不符合质量标准的，鉴定费由乙方承担。</w:t>
      </w:r>
    </w:p>
    <w:p>
      <w:pPr>
        <w:shd w:val="clear"/>
        <w:ind w:firstLine="420" w:firstLineChars="200"/>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7、采购人在产品验收合格后2个工作日内</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在“</w:t>
      </w:r>
      <w:r>
        <w:rPr>
          <w:rFonts w:hint="eastAsia" w:ascii="宋体" w:hAnsi="宋体" w:eastAsia="宋体" w:cs="宋体"/>
          <w:color w:val="auto"/>
          <w:sz w:val="21"/>
          <w:szCs w:val="21"/>
          <w:highlight w:val="none"/>
        </w:rPr>
        <w:t>陕西省政府采购网</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备案登记。</w:t>
      </w:r>
    </w:p>
    <w:p>
      <w:pPr>
        <w:shd w:val="clear"/>
        <w:tabs>
          <w:tab w:val="left" w:pos="5355"/>
        </w:tabs>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十</w:t>
      </w:r>
      <w:r>
        <w:rPr>
          <w:rFonts w:hint="eastAsia" w:ascii="宋体" w:hAnsi="宋体" w:eastAsia="宋体" w:cs="宋体"/>
          <w:b/>
          <w:bCs/>
          <w:color w:val="auto"/>
          <w:sz w:val="21"/>
          <w:szCs w:val="21"/>
          <w:highlight w:val="none"/>
          <w:lang w:val="en-US" w:eastAsia="zh-CN"/>
        </w:rPr>
        <w:t>一</w:t>
      </w:r>
      <w:r>
        <w:rPr>
          <w:rFonts w:hint="eastAsia" w:ascii="宋体" w:hAnsi="宋体" w:eastAsia="宋体" w:cs="宋体"/>
          <w:b/>
          <w:bCs/>
          <w:color w:val="auto"/>
          <w:sz w:val="21"/>
          <w:szCs w:val="21"/>
          <w:highlight w:val="none"/>
        </w:rPr>
        <w:t>、合同争议的解决</w:t>
      </w:r>
    </w:p>
    <w:p>
      <w:pPr>
        <w:shd w:val="clear"/>
        <w:tabs>
          <w:tab w:val="left" w:pos="5355"/>
        </w:tabs>
        <w:ind w:firstLine="420" w:firstLineChars="200"/>
        <w:rPr>
          <w:rFonts w:hint="eastAsia" w:ascii="宋体" w:hAnsi="宋体" w:eastAsia="宋体" w:cs="宋体"/>
          <w:b/>
          <w:bCs/>
          <w:color w:val="auto"/>
          <w:sz w:val="21"/>
          <w:szCs w:val="21"/>
          <w:highlight w:val="none"/>
        </w:rPr>
      </w:pPr>
      <w:r>
        <w:rPr>
          <w:rFonts w:hint="eastAsia" w:ascii="宋体" w:hAnsi="宋体" w:eastAsia="宋体" w:cs="宋体"/>
          <w:color w:val="auto"/>
          <w:sz w:val="21"/>
          <w:szCs w:val="21"/>
          <w:highlight w:val="none"/>
        </w:rPr>
        <w:t>合同一经签订，不得随意变更、中止或终止。对确需变更、调整或者中止、终止合同的，应按规定履行相应的手续。</w:t>
      </w:r>
    </w:p>
    <w:p>
      <w:pPr>
        <w:shd w:val="clear"/>
        <w:tabs>
          <w:tab w:val="left" w:pos="5355"/>
        </w:tabs>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合同执行中发生争议的，甲、乙双方应协商解决，协商达不成一致时，可向甲方所在地人民法院提起诉讼。</w:t>
      </w:r>
    </w:p>
    <w:p>
      <w:pPr>
        <w:shd w:val="clear"/>
        <w:tabs>
          <w:tab w:val="left" w:pos="5355"/>
        </w:tabs>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十</w:t>
      </w:r>
      <w:r>
        <w:rPr>
          <w:rFonts w:hint="eastAsia" w:ascii="宋体" w:hAnsi="宋体" w:eastAsia="宋体" w:cs="宋体"/>
          <w:b/>
          <w:bCs/>
          <w:color w:val="auto"/>
          <w:sz w:val="21"/>
          <w:szCs w:val="21"/>
          <w:highlight w:val="none"/>
          <w:lang w:val="en-US" w:eastAsia="zh-CN"/>
        </w:rPr>
        <w:t>二</w:t>
      </w:r>
      <w:r>
        <w:rPr>
          <w:rFonts w:hint="eastAsia" w:ascii="宋体" w:hAnsi="宋体" w:eastAsia="宋体" w:cs="宋体"/>
          <w:b/>
          <w:bCs/>
          <w:color w:val="auto"/>
          <w:sz w:val="21"/>
          <w:szCs w:val="21"/>
          <w:highlight w:val="none"/>
        </w:rPr>
        <w:t>、其它事项</w:t>
      </w:r>
    </w:p>
    <w:p>
      <w:pPr>
        <w:shd w:val="clear"/>
        <w:adjustRightInd w:val="0"/>
        <w:snapToGrid w:val="0"/>
        <w:ind w:firstLine="525" w:firstLineChars="25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1、甲、乙双方做为合同执行的主体，有义务及时完全履行合同。</w:t>
      </w:r>
    </w:p>
    <w:p>
      <w:pPr>
        <w:shd w:val="clear"/>
        <w:adjustRightInd w:val="0"/>
        <w:snapToGrid w:val="0"/>
        <w:ind w:firstLine="525" w:firstLineChars="25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2、甲方使用部门代表签署合同，并随时监督合同履行情况。</w:t>
      </w:r>
    </w:p>
    <w:p>
      <w:pPr>
        <w:shd w:val="clear"/>
        <w:adjustRightInd w:val="0"/>
        <w:snapToGrid w:val="0"/>
        <w:ind w:firstLine="525" w:firstLineChars="25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3、合同未尽事宜，由甲、乙双方协商，协商方案作为本合同不可分割的组成部分，与本合同具有同等法律效力。</w:t>
      </w:r>
    </w:p>
    <w:p>
      <w:pPr>
        <w:shd w:val="clear"/>
        <w:adjustRightInd w:val="0"/>
        <w:snapToGrid w:val="0"/>
        <w:ind w:firstLine="525" w:firstLineChars="25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4、招标文件和乙方的投标文件以及合同附件均为合同不可分割的部分。</w:t>
      </w:r>
    </w:p>
    <w:p>
      <w:pPr>
        <w:shd w:val="clear"/>
        <w:adjustRightInd w:val="0"/>
        <w:snapToGrid w:val="0"/>
        <w:ind w:firstLine="525" w:firstLineChars="25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5、合同一式陆份，甲方持肆份、乙方执壹份，招标代理机构壹份。双方签字盖章后生效，合同执行完毕自动失效。（合同的服务承诺长期有效）。</w:t>
      </w:r>
    </w:p>
    <w:p>
      <w:pPr>
        <w:shd w:val="clear"/>
        <w:tabs>
          <w:tab w:val="left" w:pos="5355"/>
        </w:tabs>
        <w:ind w:firstLine="48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6、使用单位收货、验货人员：电话：_______________　</w:t>
      </w:r>
    </w:p>
    <w:p>
      <w:pPr>
        <w:shd w:val="clear"/>
        <w:rPr>
          <w:rFonts w:hint="eastAsia" w:ascii="宋体" w:hAnsi="宋体" w:eastAsia="宋体" w:cs="宋体"/>
          <w:color w:val="auto"/>
          <w:highlight w:val="none"/>
        </w:rPr>
      </w:pPr>
      <w:r>
        <w:rPr>
          <w:rFonts w:hint="eastAsia" w:ascii="宋体" w:hAnsi="宋体" w:eastAsia="宋体" w:cs="宋体"/>
          <w:color w:val="auto"/>
          <w:highlight w:val="none"/>
        </w:rPr>
        <w:br w:type="page"/>
      </w:r>
    </w:p>
    <w:p>
      <w:pPr>
        <w:shd w:val="clear"/>
        <w:rPr>
          <w:rFonts w:hint="eastAsia" w:ascii="宋体" w:hAnsi="宋体" w:eastAsia="宋体" w:cs="宋体"/>
          <w:color w:val="auto"/>
          <w:highlight w:val="none"/>
          <w:lang w:eastAsia="zh-CN"/>
        </w:rPr>
      </w:pP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本页无正文</w:t>
      </w:r>
      <w:r>
        <w:rPr>
          <w:rFonts w:hint="eastAsia" w:ascii="宋体" w:hAnsi="宋体" w:eastAsia="宋体" w:cs="宋体"/>
          <w:color w:val="auto"/>
          <w:highlight w:val="none"/>
          <w:lang w:eastAsia="zh-CN"/>
        </w:rPr>
        <w:t>）</w:t>
      </w:r>
    </w:p>
    <w:tbl>
      <w:tblPr>
        <w:tblStyle w:val="23"/>
        <w:tblpPr w:leftFromText="180" w:rightFromText="180" w:vertAnchor="text" w:horzAnchor="page" w:tblpXSpec="center" w:tblpY="525"/>
        <w:tblOverlap w:val="never"/>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53"/>
        <w:gridCol w:w="4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50" w:type="pct"/>
            <w:noWrap/>
            <w:vAlign w:val="center"/>
          </w:tcPr>
          <w:p>
            <w:pPr>
              <w:shd w:val="clear"/>
              <w:spacing w:line="348"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甲方</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买方</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w:t>
            </w:r>
          </w:p>
        </w:tc>
        <w:tc>
          <w:tcPr>
            <w:tcW w:w="2449" w:type="pct"/>
            <w:noWrap/>
            <w:vAlign w:val="center"/>
          </w:tcPr>
          <w:p>
            <w:pPr>
              <w:shd w:val="clear"/>
              <w:spacing w:line="348"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乙方</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卖方</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50" w:type="pct"/>
            <w:noWrap/>
            <w:vAlign w:val="center"/>
          </w:tcPr>
          <w:p>
            <w:pPr>
              <w:shd w:val="clear"/>
              <w:spacing w:line="348"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　址：</w:t>
            </w:r>
          </w:p>
        </w:tc>
        <w:tc>
          <w:tcPr>
            <w:tcW w:w="2449" w:type="pct"/>
            <w:noWrap/>
            <w:vAlign w:val="center"/>
          </w:tcPr>
          <w:p>
            <w:pPr>
              <w:shd w:val="clear"/>
              <w:spacing w:line="348"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　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50" w:type="pct"/>
            <w:noWrap/>
            <w:vAlign w:val="center"/>
          </w:tcPr>
          <w:p>
            <w:pPr>
              <w:shd w:val="clear"/>
              <w:spacing w:line="348"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代理人：　</w:t>
            </w:r>
          </w:p>
        </w:tc>
        <w:tc>
          <w:tcPr>
            <w:tcW w:w="2449" w:type="pct"/>
            <w:noWrap/>
            <w:vAlign w:val="center"/>
          </w:tcPr>
          <w:p>
            <w:pPr>
              <w:shd w:val="clear"/>
              <w:tabs>
                <w:tab w:val="left" w:pos="5355"/>
              </w:tabs>
              <w:spacing w:line="5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代理人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50" w:type="pct"/>
            <w:noWrap/>
            <w:vAlign w:val="center"/>
          </w:tcPr>
          <w:p>
            <w:pPr>
              <w:shd w:val="clear"/>
              <w:spacing w:line="348"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联系电话：</w:t>
            </w:r>
          </w:p>
        </w:tc>
        <w:tc>
          <w:tcPr>
            <w:tcW w:w="2449" w:type="pct"/>
            <w:noWrap/>
            <w:vAlign w:val="center"/>
          </w:tcPr>
          <w:p>
            <w:pPr>
              <w:shd w:val="clear"/>
              <w:spacing w:line="348"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50" w:type="pct"/>
            <w:noWrap/>
            <w:vAlign w:val="center"/>
          </w:tcPr>
          <w:p>
            <w:pPr>
              <w:shd w:val="clear"/>
              <w:spacing w:line="348"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开户行：</w:t>
            </w:r>
          </w:p>
        </w:tc>
        <w:tc>
          <w:tcPr>
            <w:tcW w:w="2449" w:type="pct"/>
            <w:noWrap/>
            <w:vAlign w:val="center"/>
          </w:tcPr>
          <w:p>
            <w:pPr>
              <w:shd w:val="clear"/>
              <w:tabs>
                <w:tab w:val="left" w:pos="5355"/>
              </w:tabs>
              <w:spacing w:line="5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50" w:type="pct"/>
            <w:noWrap/>
            <w:vAlign w:val="center"/>
          </w:tcPr>
          <w:p>
            <w:pPr>
              <w:shd w:val="clear"/>
              <w:spacing w:line="348"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账号：</w:t>
            </w:r>
          </w:p>
        </w:tc>
        <w:tc>
          <w:tcPr>
            <w:tcW w:w="2449" w:type="pct"/>
            <w:noWrap/>
            <w:vAlign w:val="center"/>
          </w:tcPr>
          <w:p>
            <w:pPr>
              <w:shd w:val="clear"/>
              <w:tabs>
                <w:tab w:val="left" w:pos="5355"/>
              </w:tabs>
              <w:spacing w:line="5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550" w:type="pct"/>
            <w:noWrap/>
            <w:vAlign w:val="center"/>
          </w:tcPr>
          <w:p>
            <w:pPr>
              <w:shd w:val="clear"/>
              <w:spacing w:line="348"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年  月   日</w:t>
            </w:r>
          </w:p>
        </w:tc>
        <w:tc>
          <w:tcPr>
            <w:tcW w:w="2449" w:type="pct"/>
            <w:noWrap/>
            <w:vAlign w:val="center"/>
          </w:tcPr>
          <w:p>
            <w:pPr>
              <w:shd w:val="clear"/>
              <w:spacing w:line="348"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 xml:space="preserve"> 年  月  日</w:t>
            </w:r>
          </w:p>
        </w:tc>
      </w:tr>
    </w:tbl>
    <w:p>
      <w:pPr>
        <w:shd w:val="clear"/>
        <w:snapToGrid w:val="0"/>
        <w:ind w:firstLine="420" w:firstLineChars="200"/>
        <w:rPr>
          <w:rFonts w:hint="eastAsia" w:ascii="宋体" w:hAnsi="宋体" w:eastAsia="宋体" w:cs="宋体"/>
          <w:color w:val="auto"/>
          <w:sz w:val="21"/>
          <w:szCs w:val="21"/>
          <w:highlight w:val="none"/>
        </w:rPr>
      </w:pPr>
    </w:p>
    <w:p>
      <w:pPr>
        <w:shd w:val="clear"/>
        <w:snapToGrid w:val="0"/>
        <w:ind w:firstLine="420" w:firstLineChars="200"/>
        <w:rPr>
          <w:rFonts w:hint="eastAsia" w:ascii="宋体" w:hAnsi="宋体" w:eastAsia="宋体" w:cs="宋体"/>
          <w:color w:val="auto"/>
          <w:sz w:val="21"/>
          <w:szCs w:val="21"/>
          <w:highlight w:val="none"/>
        </w:rPr>
      </w:pPr>
    </w:p>
    <w:p>
      <w:pPr>
        <w:shd w:val="clea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br w:type="page"/>
      </w:r>
    </w:p>
    <w:bookmarkEnd w:id="265"/>
    <w:p>
      <w:pPr>
        <w:pStyle w:val="3"/>
        <w:numPr>
          <w:ilvl w:val="0"/>
          <w:numId w:val="4"/>
        </w:numPr>
        <w:shd w:val="clear"/>
        <w:rPr>
          <w:rFonts w:hint="eastAsia" w:ascii="宋体" w:hAnsi="宋体" w:eastAsia="宋体" w:cs="宋体"/>
          <w:color w:val="auto"/>
          <w:highlight w:val="none"/>
        </w:rPr>
      </w:pPr>
      <w:bookmarkStart w:id="271" w:name="_Toc29433"/>
      <w:bookmarkStart w:id="272" w:name="_Toc27874"/>
      <w:bookmarkStart w:id="273" w:name="_Toc295114403"/>
      <w:bookmarkStart w:id="274" w:name="_Toc30304"/>
      <w:bookmarkStart w:id="275" w:name="_Toc8274"/>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rPr>
        <w:t xml:space="preserve"> </w:t>
      </w:r>
      <w:bookmarkEnd w:id="271"/>
      <w:bookmarkStart w:id="276" w:name="_Toc31877"/>
      <w:r>
        <w:rPr>
          <w:rFonts w:hint="eastAsia" w:ascii="宋体" w:hAnsi="宋体" w:eastAsia="宋体" w:cs="宋体"/>
          <w:color w:val="auto"/>
          <w:highlight w:val="none"/>
        </w:rPr>
        <w:t>采购需求</w:t>
      </w:r>
      <w:bookmarkEnd w:id="276"/>
    </w:p>
    <w:p>
      <w:pPr>
        <w:pStyle w:val="4"/>
        <w:shd w:val="clear"/>
        <w:bidi w:val="0"/>
        <w:jc w:val="both"/>
        <w:rPr>
          <w:rFonts w:hint="eastAsia" w:ascii="宋体" w:hAnsi="宋体" w:eastAsia="宋体" w:cs="宋体"/>
          <w:color w:val="auto"/>
          <w:highlight w:val="none"/>
          <w:lang w:eastAsia="zh-CN"/>
        </w:rPr>
      </w:pPr>
      <w:bookmarkStart w:id="277" w:name="_Toc3638"/>
      <w:bookmarkStart w:id="278" w:name="_Toc29138"/>
      <w:r>
        <w:rPr>
          <w:rFonts w:hint="eastAsia" w:ascii="宋体" w:hAnsi="宋体" w:eastAsia="宋体" w:cs="宋体"/>
          <w:color w:val="auto"/>
          <w:highlight w:val="none"/>
        </w:rPr>
        <w:t>第1包：</w:t>
      </w:r>
      <w:r>
        <w:rPr>
          <w:rFonts w:hint="eastAsia" w:ascii="宋体" w:hAnsi="宋体" w:eastAsia="宋体" w:cs="宋体"/>
          <w:color w:val="auto"/>
          <w:highlight w:val="none"/>
          <w:lang w:eastAsia="zh-CN"/>
        </w:rPr>
        <w:t>铜川市新区第三小学体育器材采购</w:t>
      </w:r>
      <w:bookmarkEnd w:id="277"/>
    </w:p>
    <w:bookmarkEnd w:id="272"/>
    <w:bookmarkEnd w:id="273"/>
    <w:bookmarkEnd w:id="274"/>
    <w:bookmarkEnd w:id="275"/>
    <w:bookmarkEnd w:id="278"/>
    <w:p>
      <w:pPr>
        <w:shd w:val="clear"/>
        <w:rPr>
          <w:rFonts w:hint="eastAsia" w:ascii="宋体" w:hAnsi="宋体" w:eastAsia="宋体" w:cs="宋体"/>
          <w:color w:val="auto"/>
          <w:highlight w:val="none"/>
          <w:lang w:val="en-US" w:eastAsia="zh-CN"/>
        </w:rPr>
      </w:pPr>
      <w:bookmarkStart w:id="279" w:name="_Toc7004"/>
    </w:p>
    <w:tbl>
      <w:tblPr>
        <w:tblStyle w:val="23"/>
        <w:tblW w:w="5008" w:type="pct"/>
        <w:tblInd w:w="0" w:type="dxa"/>
        <w:tblLayout w:type="fixed"/>
        <w:tblCellMar>
          <w:top w:w="0" w:type="dxa"/>
          <w:left w:w="108" w:type="dxa"/>
          <w:bottom w:w="0" w:type="dxa"/>
          <w:right w:w="108" w:type="dxa"/>
        </w:tblCellMar>
      </w:tblPr>
      <w:tblGrid>
        <w:gridCol w:w="622"/>
        <w:gridCol w:w="1682"/>
        <w:gridCol w:w="5874"/>
        <w:gridCol w:w="709"/>
        <w:gridCol w:w="1036"/>
      </w:tblGrid>
      <w:tr>
        <w:tblPrEx>
          <w:tblCellMar>
            <w:top w:w="0" w:type="dxa"/>
            <w:left w:w="108" w:type="dxa"/>
            <w:bottom w:w="0" w:type="dxa"/>
            <w:right w:w="108" w:type="dxa"/>
          </w:tblCellMar>
        </w:tblPrEx>
        <w:trPr>
          <w:trHeight w:val="272" w:hRule="atLeast"/>
          <w:tblHeader/>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lang w:val="en-US" w:eastAsia="zh-CN"/>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名称</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参数</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单位</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数量</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接力棒</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1</w:t>
            </w:r>
            <w:r>
              <w:rPr>
                <w:rFonts w:hint="eastAsia" w:ascii="宋体" w:hAnsi="宋体" w:eastAsia="宋体" w:cs="宋体"/>
                <w:i w:val="0"/>
                <w:iCs w:val="0"/>
                <w:color w:val="auto"/>
                <w:sz w:val="21"/>
                <w:szCs w:val="21"/>
                <w:highlight w:val="none"/>
                <w:u w:val="none"/>
              </w:rPr>
              <w:t>.产品规格：采用Φ32±1mm的铝合金管制作，长度为280--300mm，棒的两端倒角卷边处理。</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2</w:t>
            </w:r>
            <w:r>
              <w:rPr>
                <w:rFonts w:hint="eastAsia" w:ascii="宋体" w:hAnsi="宋体" w:eastAsia="宋体" w:cs="宋体"/>
                <w:i w:val="0"/>
                <w:iCs w:val="0"/>
                <w:color w:val="auto"/>
                <w:sz w:val="21"/>
                <w:szCs w:val="21"/>
                <w:highlight w:val="none"/>
                <w:u w:val="none"/>
              </w:rPr>
              <w:t>.产品重量：重量至少为50g</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3</w:t>
            </w:r>
            <w:r>
              <w:rPr>
                <w:rFonts w:hint="eastAsia" w:ascii="宋体" w:hAnsi="宋体" w:eastAsia="宋体" w:cs="宋体"/>
                <w:i w:val="0"/>
                <w:iCs w:val="0"/>
                <w:color w:val="auto"/>
                <w:sz w:val="21"/>
                <w:szCs w:val="21"/>
                <w:highlight w:val="none"/>
                <w:u w:val="none"/>
              </w:rPr>
              <w:t>.产品颜色：接力棒的表面经氧化处理，</w:t>
            </w:r>
            <w:r>
              <w:rPr>
                <w:rFonts w:hint="eastAsia" w:ascii="宋体" w:hAnsi="宋体" w:eastAsia="宋体" w:cs="宋体"/>
                <w:i w:val="0"/>
                <w:iCs w:val="0"/>
                <w:color w:val="auto"/>
                <w:sz w:val="21"/>
                <w:szCs w:val="21"/>
                <w:highlight w:val="none"/>
                <w:u w:val="none"/>
                <w:lang w:val="en-US" w:eastAsia="zh-CN"/>
              </w:rPr>
              <w:t>至少</w:t>
            </w:r>
            <w:r>
              <w:rPr>
                <w:rFonts w:hint="eastAsia" w:ascii="宋体" w:hAnsi="宋体" w:eastAsia="宋体" w:cs="宋体"/>
                <w:i w:val="0"/>
                <w:iCs w:val="0"/>
                <w:color w:val="auto"/>
                <w:sz w:val="21"/>
                <w:szCs w:val="21"/>
                <w:highlight w:val="none"/>
                <w:u w:val="none"/>
              </w:rPr>
              <w:t>有8种颜色</w:t>
            </w:r>
          </w:p>
          <w:p>
            <w:pPr>
              <w:keepNext w:val="0"/>
              <w:keepLines w:val="0"/>
              <w:widowControl/>
              <w:suppressLineNumbers w:val="0"/>
              <w:spacing w:line="240" w:lineRule="auto"/>
              <w:jc w:val="both"/>
              <w:textAlignment w:val="top"/>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sz w:val="21"/>
                <w:szCs w:val="21"/>
                <w:highlight w:val="none"/>
                <w:u w:val="none"/>
                <w:lang w:val="en-US" w:eastAsia="zh-CN"/>
              </w:rPr>
              <w:t>4</w:t>
            </w:r>
            <w:r>
              <w:rPr>
                <w:rFonts w:hint="eastAsia" w:ascii="宋体" w:hAnsi="宋体" w:eastAsia="宋体" w:cs="宋体"/>
                <w:i w:val="0"/>
                <w:iCs w:val="0"/>
                <w:color w:val="auto"/>
                <w:sz w:val="21"/>
                <w:szCs w:val="21"/>
                <w:highlight w:val="none"/>
                <w:u w:val="none"/>
              </w:rPr>
              <w:t>.通过中国田径协会（CAA）审定，产品须符合竞赛要求。</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根</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24</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跳高架</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1</w:t>
            </w:r>
            <w:r>
              <w:rPr>
                <w:rFonts w:hint="eastAsia" w:ascii="宋体" w:hAnsi="宋体" w:eastAsia="宋体" w:cs="宋体"/>
                <w:i w:val="0"/>
                <w:iCs w:val="0"/>
                <w:color w:val="auto"/>
                <w:sz w:val="21"/>
                <w:szCs w:val="21"/>
                <w:highlight w:val="none"/>
                <w:u w:val="none"/>
              </w:rPr>
              <w:t>.产品材质：立柱：钢制，底座：</w:t>
            </w:r>
            <w:r>
              <w:rPr>
                <w:rFonts w:hint="eastAsia" w:ascii="宋体" w:hAnsi="宋体" w:eastAsia="宋体" w:cs="宋体"/>
                <w:i w:val="0"/>
                <w:iCs w:val="0"/>
                <w:color w:val="auto"/>
                <w:sz w:val="21"/>
                <w:szCs w:val="21"/>
                <w:highlight w:val="none"/>
                <w:u w:val="none"/>
                <w:lang w:eastAsia="zh-CN"/>
              </w:rPr>
              <w:t>钢</w:t>
            </w:r>
            <w:r>
              <w:rPr>
                <w:rFonts w:hint="eastAsia" w:ascii="宋体" w:hAnsi="宋体" w:eastAsia="宋体" w:cs="宋体"/>
                <w:i w:val="0"/>
                <w:iCs w:val="0"/>
                <w:color w:val="auto"/>
                <w:sz w:val="21"/>
                <w:szCs w:val="21"/>
                <w:highlight w:val="none"/>
                <w:u w:val="none"/>
              </w:rPr>
              <w:t>制</w:t>
            </w:r>
            <w:r>
              <w:rPr>
                <w:rFonts w:hint="eastAsia" w:ascii="宋体" w:hAnsi="宋体" w:eastAsia="宋体" w:cs="宋体"/>
                <w:i w:val="0"/>
                <w:iCs w:val="0"/>
                <w:color w:val="auto"/>
                <w:sz w:val="21"/>
                <w:szCs w:val="21"/>
                <w:highlight w:val="none"/>
                <w:u w:val="none"/>
                <w:lang w:eastAsia="zh-CN"/>
              </w:rPr>
              <w:t>；</w:t>
            </w:r>
            <w:r>
              <w:rPr>
                <w:rFonts w:hint="eastAsia" w:ascii="宋体" w:hAnsi="宋体" w:eastAsia="宋体" w:cs="宋体"/>
                <w:i w:val="0"/>
                <w:iCs w:val="0"/>
                <w:color w:val="auto"/>
                <w:sz w:val="21"/>
                <w:szCs w:val="21"/>
                <w:highlight w:val="none"/>
                <w:u w:val="none"/>
              </w:rPr>
              <w:t>横杆托架</w:t>
            </w:r>
            <w:r>
              <w:rPr>
                <w:rFonts w:hint="eastAsia" w:ascii="宋体" w:hAnsi="宋体" w:eastAsia="宋体" w:cs="宋体"/>
                <w:i w:val="0"/>
                <w:iCs w:val="0"/>
                <w:color w:val="auto"/>
                <w:sz w:val="21"/>
                <w:szCs w:val="21"/>
                <w:highlight w:val="none"/>
                <w:u w:val="none"/>
                <w:lang w:eastAsia="zh-CN"/>
              </w:rPr>
              <w:t>：钢</w:t>
            </w:r>
            <w:r>
              <w:rPr>
                <w:rFonts w:hint="eastAsia" w:ascii="宋体" w:hAnsi="宋体" w:eastAsia="宋体" w:cs="宋体"/>
                <w:i w:val="0"/>
                <w:iCs w:val="0"/>
                <w:color w:val="auto"/>
                <w:sz w:val="21"/>
                <w:szCs w:val="21"/>
                <w:highlight w:val="none"/>
                <w:u w:val="none"/>
              </w:rPr>
              <w:t>制</w:t>
            </w:r>
            <w:r>
              <w:rPr>
                <w:rFonts w:hint="eastAsia" w:ascii="宋体" w:hAnsi="宋体" w:eastAsia="宋体" w:cs="宋体"/>
                <w:i w:val="0"/>
                <w:iCs w:val="0"/>
                <w:color w:val="auto"/>
                <w:sz w:val="21"/>
                <w:szCs w:val="21"/>
                <w:highlight w:val="none"/>
                <w:u w:val="none"/>
                <w:lang w:eastAsia="zh-CN"/>
              </w:rPr>
              <w:t>。</w:t>
            </w:r>
            <w:r>
              <w:rPr>
                <w:rFonts w:hint="eastAsia" w:ascii="宋体" w:hAnsi="宋体" w:eastAsia="宋体" w:cs="宋体"/>
                <w:i w:val="0"/>
                <w:iCs w:val="0"/>
                <w:color w:val="auto"/>
                <w:sz w:val="21"/>
                <w:szCs w:val="21"/>
                <w:highlight w:val="none"/>
                <w:u w:val="none"/>
                <w:lang w:val="en-US" w:eastAsia="zh-CN"/>
              </w:rPr>
              <w:t>2</w:t>
            </w:r>
            <w:r>
              <w:rPr>
                <w:rFonts w:hint="eastAsia" w:ascii="宋体" w:hAnsi="宋体" w:eastAsia="宋体" w:cs="宋体"/>
                <w:i w:val="0"/>
                <w:iCs w:val="0"/>
                <w:color w:val="auto"/>
                <w:sz w:val="21"/>
                <w:szCs w:val="21"/>
                <w:highlight w:val="none"/>
                <w:u w:val="none"/>
              </w:rPr>
              <w:t>.产品结构：跳高架由底座，微调支脚，固定立柱，导杆，横杆托架等构成。产品结构合理，可拆装，便于运输和包装。底座一次冲压成型，底部设有滚轮，移动方便。</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3</w:t>
            </w:r>
            <w:r>
              <w:rPr>
                <w:rFonts w:hint="eastAsia" w:ascii="宋体" w:hAnsi="宋体" w:eastAsia="宋体" w:cs="宋体"/>
                <w:i w:val="0"/>
                <w:iCs w:val="0"/>
                <w:color w:val="auto"/>
                <w:sz w:val="21"/>
                <w:szCs w:val="21"/>
                <w:highlight w:val="none"/>
                <w:u w:val="none"/>
              </w:rPr>
              <w:t>.跳高架底座底部设有微调机构。</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4</w:t>
            </w:r>
            <w:r>
              <w:rPr>
                <w:rFonts w:hint="eastAsia" w:ascii="宋体" w:hAnsi="宋体" w:eastAsia="宋体" w:cs="宋体"/>
                <w:i w:val="0"/>
                <w:iCs w:val="0"/>
                <w:color w:val="auto"/>
                <w:sz w:val="21"/>
                <w:szCs w:val="21"/>
                <w:highlight w:val="none"/>
                <w:u w:val="none"/>
              </w:rPr>
              <w:t>.跳高架固定立柱，导杆均选用钢材，调节范围：600-2600mm</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5</w:t>
            </w:r>
            <w:r>
              <w:rPr>
                <w:rFonts w:hint="eastAsia" w:ascii="宋体" w:hAnsi="宋体" w:eastAsia="宋体" w:cs="宋体"/>
                <w:i w:val="0"/>
                <w:iCs w:val="0"/>
                <w:color w:val="auto"/>
                <w:sz w:val="21"/>
                <w:szCs w:val="21"/>
                <w:highlight w:val="none"/>
                <w:u w:val="none"/>
              </w:rPr>
              <w:t>.所有钢制件均</w:t>
            </w:r>
            <w:r>
              <w:rPr>
                <w:rFonts w:hint="eastAsia" w:ascii="宋体" w:hAnsi="宋体" w:eastAsia="宋体" w:cs="宋体"/>
                <w:i w:val="0"/>
                <w:iCs w:val="0"/>
                <w:color w:val="auto"/>
                <w:sz w:val="21"/>
                <w:szCs w:val="21"/>
                <w:highlight w:val="none"/>
                <w:u w:val="none"/>
                <w:lang w:val="en-US" w:eastAsia="zh-CN"/>
              </w:rPr>
              <w:t>应</w:t>
            </w:r>
            <w:r>
              <w:rPr>
                <w:rFonts w:hint="eastAsia" w:ascii="宋体" w:hAnsi="宋体" w:eastAsia="宋体" w:cs="宋体"/>
                <w:i w:val="0"/>
                <w:iCs w:val="0"/>
                <w:color w:val="auto"/>
                <w:sz w:val="21"/>
                <w:szCs w:val="21"/>
                <w:highlight w:val="none"/>
                <w:u w:val="none"/>
              </w:rPr>
              <w:t>经</w:t>
            </w:r>
            <w:r>
              <w:rPr>
                <w:rFonts w:hint="eastAsia" w:ascii="宋体" w:hAnsi="宋体" w:eastAsia="宋体" w:cs="宋体"/>
                <w:i w:val="0"/>
                <w:iCs w:val="0"/>
                <w:color w:val="auto"/>
                <w:sz w:val="21"/>
                <w:szCs w:val="21"/>
                <w:highlight w:val="none"/>
                <w:u w:val="none"/>
                <w:lang w:val="en-US" w:eastAsia="zh-CN"/>
              </w:rPr>
              <w:t>过</w:t>
            </w:r>
            <w:r>
              <w:rPr>
                <w:rFonts w:hint="eastAsia" w:ascii="宋体" w:hAnsi="宋体" w:eastAsia="宋体" w:cs="宋体"/>
                <w:i w:val="0"/>
                <w:iCs w:val="0"/>
                <w:color w:val="auto"/>
                <w:sz w:val="21"/>
                <w:szCs w:val="21"/>
                <w:highlight w:val="none"/>
                <w:u w:val="none"/>
              </w:rPr>
              <w:t>除锈，磷化</w:t>
            </w:r>
            <w:r>
              <w:rPr>
                <w:rFonts w:hint="eastAsia" w:ascii="宋体" w:hAnsi="宋体" w:eastAsia="宋体" w:cs="宋体"/>
                <w:i w:val="0"/>
                <w:iCs w:val="0"/>
                <w:color w:val="auto"/>
                <w:sz w:val="21"/>
                <w:szCs w:val="21"/>
                <w:highlight w:val="none"/>
                <w:u w:val="none"/>
                <w:lang w:val="en-US" w:eastAsia="zh-CN"/>
              </w:rPr>
              <w:t>处理</w:t>
            </w:r>
            <w:r>
              <w:rPr>
                <w:rFonts w:hint="eastAsia" w:ascii="宋体" w:hAnsi="宋体" w:eastAsia="宋体" w:cs="宋体"/>
                <w:i w:val="0"/>
                <w:iCs w:val="0"/>
                <w:color w:val="auto"/>
                <w:sz w:val="21"/>
                <w:szCs w:val="21"/>
                <w:highlight w:val="none"/>
                <w:u w:val="none"/>
              </w:rPr>
              <w:t>。</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6</w:t>
            </w:r>
            <w:r>
              <w:rPr>
                <w:rFonts w:hint="eastAsia" w:ascii="宋体" w:hAnsi="宋体" w:eastAsia="宋体" w:cs="宋体"/>
                <w:i w:val="0"/>
                <w:iCs w:val="0"/>
                <w:color w:val="auto"/>
                <w:sz w:val="21"/>
                <w:szCs w:val="21"/>
                <w:highlight w:val="none"/>
                <w:u w:val="none"/>
              </w:rPr>
              <w:t>.经过中国田径协会（CAA）审定，产品须符合竞赛要求。</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付</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r>
      <w:tr>
        <w:tblPrEx>
          <w:tblCellMar>
            <w:top w:w="0" w:type="dxa"/>
            <w:left w:w="108" w:type="dxa"/>
            <w:bottom w:w="0" w:type="dxa"/>
            <w:right w:w="108" w:type="dxa"/>
          </w:tblCellMar>
        </w:tblPrEx>
        <w:trPr>
          <w:trHeight w:val="375"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栏架</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1</w:t>
            </w:r>
            <w:r>
              <w:rPr>
                <w:rFonts w:hint="eastAsia" w:ascii="宋体" w:hAnsi="宋体" w:eastAsia="宋体" w:cs="宋体"/>
                <w:i w:val="0"/>
                <w:iCs w:val="0"/>
                <w:color w:val="auto"/>
                <w:sz w:val="21"/>
                <w:szCs w:val="21"/>
                <w:highlight w:val="none"/>
                <w:u w:val="none"/>
              </w:rPr>
              <w:t>.产品使用：双手握住两边立柱刻泵，上下升降。</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2</w:t>
            </w:r>
            <w:r>
              <w:rPr>
                <w:rFonts w:hint="eastAsia" w:ascii="宋体" w:hAnsi="宋体" w:eastAsia="宋体" w:cs="宋体"/>
                <w:i w:val="0"/>
                <w:iCs w:val="0"/>
                <w:color w:val="auto"/>
                <w:sz w:val="21"/>
                <w:szCs w:val="21"/>
                <w:highlight w:val="none"/>
                <w:u w:val="none"/>
              </w:rPr>
              <w:t>.产品规格：跨栏架可调节高度为762,838,914,991,1067（mm）（高度允许误差±3mm）</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3</w:t>
            </w:r>
            <w:r>
              <w:rPr>
                <w:rFonts w:hint="eastAsia" w:ascii="宋体" w:hAnsi="宋体" w:eastAsia="宋体" w:cs="宋体"/>
                <w:i w:val="0"/>
                <w:iCs w:val="0"/>
                <w:color w:val="auto"/>
                <w:sz w:val="21"/>
                <w:szCs w:val="21"/>
                <w:highlight w:val="none"/>
                <w:u w:val="none"/>
              </w:rPr>
              <w:t>.跨栏架主要由底部方管，底横杆，立柱内管以及跨栏板等组成。管材均采用钢型材。跨栏板为ABS成型塑料，可回收，其规格</w:t>
            </w:r>
            <w:r>
              <w:rPr>
                <w:rFonts w:hint="eastAsia" w:ascii="宋体" w:hAnsi="宋体" w:eastAsia="宋体" w:cs="宋体"/>
                <w:i w:val="0"/>
                <w:iCs w:val="0"/>
                <w:color w:val="auto"/>
                <w:sz w:val="21"/>
                <w:szCs w:val="21"/>
                <w:highlight w:val="none"/>
                <w:u w:val="none"/>
                <w:lang w:val="en-US" w:eastAsia="zh-CN"/>
              </w:rPr>
              <w:t>型号符合体育竞赛要求</w:t>
            </w:r>
            <w:r>
              <w:rPr>
                <w:rFonts w:hint="eastAsia" w:ascii="宋体" w:hAnsi="宋体" w:eastAsia="宋体" w:cs="宋体"/>
                <w:i w:val="0"/>
                <w:iCs w:val="0"/>
                <w:color w:val="auto"/>
                <w:sz w:val="21"/>
                <w:szCs w:val="21"/>
                <w:highlight w:val="none"/>
                <w:u w:val="none"/>
              </w:rPr>
              <w:t>，无配重</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4</w:t>
            </w:r>
            <w:r>
              <w:rPr>
                <w:rFonts w:hint="eastAsia" w:ascii="宋体" w:hAnsi="宋体" w:eastAsia="宋体" w:cs="宋体"/>
                <w:i w:val="0"/>
                <w:iCs w:val="0"/>
                <w:color w:val="auto"/>
                <w:sz w:val="21"/>
                <w:szCs w:val="21"/>
                <w:highlight w:val="none"/>
                <w:u w:val="none"/>
              </w:rPr>
              <w:t>.产品重量：</w:t>
            </w:r>
            <w:r>
              <w:rPr>
                <w:rFonts w:hint="eastAsia" w:ascii="宋体" w:hAnsi="宋体" w:eastAsia="宋体" w:cs="宋体"/>
                <w:i w:val="0"/>
                <w:iCs w:val="0"/>
                <w:color w:val="auto"/>
                <w:sz w:val="21"/>
                <w:szCs w:val="21"/>
                <w:highlight w:val="none"/>
                <w:u w:val="none"/>
                <w:lang w:val="en-US" w:eastAsia="zh-CN"/>
              </w:rPr>
              <w:t>≤</w:t>
            </w:r>
            <w:r>
              <w:rPr>
                <w:rFonts w:hint="eastAsia" w:ascii="宋体" w:hAnsi="宋体" w:eastAsia="宋体" w:cs="宋体"/>
                <w:i w:val="0"/>
                <w:iCs w:val="0"/>
                <w:color w:val="auto"/>
                <w:sz w:val="21"/>
                <w:szCs w:val="21"/>
                <w:highlight w:val="none"/>
                <w:u w:val="none"/>
              </w:rPr>
              <w:t>7kg</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rPr>
              <w:t>6.所有钢制件均</w:t>
            </w:r>
            <w:r>
              <w:rPr>
                <w:rFonts w:hint="eastAsia" w:ascii="宋体" w:hAnsi="宋体" w:eastAsia="宋体" w:cs="宋体"/>
                <w:i w:val="0"/>
                <w:iCs w:val="0"/>
                <w:color w:val="auto"/>
                <w:sz w:val="21"/>
                <w:szCs w:val="21"/>
                <w:highlight w:val="none"/>
                <w:u w:val="none"/>
                <w:lang w:val="en-US" w:eastAsia="zh-CN"/>
              </w:rPr>
              <w:t>应</w:t>
            </w:r>
            <w:r>
              <w:rPr>
                <w:rFonts w:hint="eastAsia" w:ascii="宋体" w:hAnsi="宋体" w:eastAsia="宋体" w:cs="宋体"/>
                <w:i w:val="0"/>
                <w:iCs w:val="0"/>
                <w:color w:val="auto"/>
                <w:sz w:val="21"/>
                <w:szCs w:val="21"/>
                <w:highlight w:val="none"/>
                <w:u w:val="none"/>
              </w:rPr>
              <w:t>经</w:t>
            </w:r>
            <w:r>
              <w:rPr>
                <w:rFonts w:hint="eastAsia" w:ascii="宋体" w:hAnsi="宋体" w:eastAsia="宋体" w:cs="宋体"/>
                <w:i w:val="0"/>
                <w:iCs w:val="0"/>
                <w:color w:val="auto"/>
                <w:sz w:val="21"/>
                <w:szCs w:val="21"/>
                <w:highlight w:val="none"/>
                <w:u w:val="none"/>
                <w:lang w:val="en-US" w:eastAsia="zh-CN"/>
              </w:rPr>
              <w:t>过</w:t>
            </w:r>
            <w:r>
              <w:rPr>
                <w:rFonts w:hint="eastAsia" w:ascii="宋体" w:hAnsi="宋体" w:eastAsia="宋体" w:cs="宋体"/>
                <w:i w:val="0"/>
                <w:iCs w:val="0"/>
                <w:color w:val="auto"/>
                <w:sz w:val="21"/>
                <w:szCs w:val="21"/>
                <w:highlight w:val="none"/>
                <w:u w:val="none"/>
              </w:rPr>
              <w:t>除锈，磷化</w:t>
            </w:r>
            <w:r>
              <w:rPr>
                <w:rFonts w:hint="eastAsia" w:ascii="宋体" w:hAnsi="宋体" w:eastAsia="宋体" w:cs="宋体"/>
                <w:i w:val="0"/>
                <w:iCs w:val="0"/>
                <w:color w:val="auto"/>
                <w:sz w:val="21"/>
                <w:szCs w:val="21"/>
                <w:highlight w:val="none"/>
                <w:u w:val="none"/>
                <w:lang w:val="en-US" w:eastAsia="zh-CN"/>
              </w:rPr>
              <w:t>处理</w:t>
            </w:r>
            <w:r>
              <w:rPr>
                <w:rFonts w:hint="eastAsia" w:ascii="宋体" w:hAnsi="宋体" w:eastAsia="宋体" w:cs="宋体"/>
                <w:i w:val="0"/>
                <w:iCs w:val="0"/>
                <w:color w:val="auto"/>
                <w:sz w:val="21"/>
                <w:szCs w:val="21"/>
                <w:highlight w:val="none"/>
                <w:u w:val="none"/>
              </w:rPr>
              <w:t>。</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rPr>
              <w:t>7.经过中国田径协会（CAA）审定，产品须符合竞赛要求。</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付</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w:t>
            </w:r>
          </w:p>
        </w:tc>
      </w:tr>
      <w:tr>
        <w:tblPrEx>
          <w:tblCellMar>
            <w:top w:w="0" w:type="dxa"/>
            <w:left w:w="108" w:type="dxa"/>
            <w:bottom w:w="0" w:type="dxa"/>
            <w:right w:w="108" w:type="dxa"/>
          </w:tblCellMar>
        </w:tblPrEx>
        <w:trPr>
          <w:trHeight w:val="317"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秒表</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60道体育</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小沙包</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i w:val="0"/>
                <w:iCs w:val="0"/>
                <w:color w:val="auto"/>
                <w:sz w:val="21"/>
                <w:szCs w:val="21"/>
                <w:highlight w:val="none"/>
                <w:u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只</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木尺</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1.8-2.5m</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根</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皮尺</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1</w:t>
            </w:r>
            <w:r>
              <w:rPr>
                <w:rFonts w:hint="eastAsia" w:ascii="宋体" w:hAnsi="宋体" w:eastAsia="宋体" w:cs="宋体"/>
                <w:i w:val="0"/>
                <w:iCs w:val="0"/>
                <w:color w:val="auto"/>
                <w:sz w:val="21"/>
                <w:szCs w:val="21"/>
                <w:highlight w:val="none"/>
                <w:u w:val="none"/>
              </w:rPr>
              <w:t>.基本尺寸：30m，塑料外壳，纤维卷尺。</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条</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垒球</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1</w:t>
            </w:r>
            <w:r>
              <w:rPr>
                <w:rFonts w:hint="eastAsia" w:ascii="宋体" w:hAnsi="宋体" w:eastAsia="宋体" w:cs="宋体"/>
                <w:i w:val="0"/>
                <w:iCs w:val="0"/>
                <w:color w:val="auto"/>
                <w:sz w:val="21"/>
                <w:szCs w:val="21"/>
                <w:highlight w:val="none"/>
                <w:u w:val="none"/>
              </w:rPr>
              <w:t>.产品规格：12英寸</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2</w:t>
            </w:r>
            <w:r>
              <w:rPr>
                <w:rFonts w:hint="eastAsia" w:ascii="宋体" w:hAnsi="宋体" w:eastAsia="宋体" w:cs="宋体"/>
                <w:i w:val="0"/>
                <w:iCs w:val="0"/>
                <w:color w:val="auto"/>
                <w:sz w:val="21"/>
                <w:szCs w:val="21"/>
                <w:highlight w:val="none"/>
                <w:u w:val="none"/>
              </w:rPr>
              <w:t>.产品颜色：白色</w:t>
            </w:r>
          </w:p>
          <w:p>
            <w:pPr>
              <w:keepNext w:val="0"/>
              <w:keepLines w:val="0"/>
              <w:widowControl/>
              <w:suppressLineNumbers w:val="0"/>
              <w:spacing w:line="240" w:lineRule="auto"/>
              <w:jc w:val="both"/>
              <w:textAlignment w:val="top"/>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sz w:val="21"/>
                <w:szCs w:val="21"/>
                <w:highlight w:val="none"/>
                <w:u w:val="none"/>
                <w:lang w:val="en-US" w:eastAsia="zh-CN"/>
              </w:rPr>
              <w:t>3</w:t>
            </w:r>
            <w:r>
              <w:rPr>
                <w:rFonts w:hint="eastAsia" w:ascii="宋体" w:hAnsi="宋体" w:eastAsia="宋体" w:cs="宋体"/>
                <w:i w:val="0"/>
                <w:iCs w:val="0"/>
                <w:color w:val="auto"/>
                <w:sz w:val="21"/>
                <w:szCs w:val="21"/>
                <w:highlight w:val="none"/>
                <w:u w:val="none"/>
              </w:rPr>
              <w:t>.成品球须符合</w:t>
            </w:r>
            <w:r>
              <w:rPr>
                <w:rFonts w:hint="eastAsia" w:ascii="宋体" w:hAnsi="宋体" w:eastAsia="宋体" w:cs="宋体"/>
                <w:i w:val="0"/>
                <w:iCs w:val="0"/>
                <w:color w:val="auto"/>
                <w:sz w:val="21"/>
                <w:szCs w:val="21"/>
                <w:highlight w:val="none"/>
                <w:u w:val="none"/>
                <w:lang w:val="en-US" w:eastAsia="zh-CN"/>
              </w:rPr>
              <w:t>中国垒球协会</w:t>
            </w:r>
            <w:r>
              <w:rPr>
                <w:rFonts w:hint="eastAsia" w:ascii="宋体" w:hAnsi="宋体" w:eastAsia="宋体" w:cs="宋体"/>
                <w:i w:val="0"/>
                <w:iCs w:val="0"/>
                <w:color w:val="auto"/>
                <w:sz w:val="21"/>
                <w:szCs w:val="21"/>
                <w:highlight w:val="none"/>
                <w:u w:val="none"/>
              </w:rPr>
              <w:t>制定的弹性系数。</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联合训练器</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五部</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付</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实心球</w:t>
            </w:r>
          </w:p>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（充气）</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1</w:t>
            </w:r>
            <w:r>
              <w:rPr>
                <w:rFonts w:hint="eastAsia" w:ascii="宋体" w:hAnsi="宋体" w:eastAsia="宋体" w:cs="宋体"/>
                <w:i w:val="0"/>
                <w:iCs w:val="0"/>
                <w:color w:val="auto"/>
                <w:sz w:val="21"/>
                <w:szCs w:val="21"/>
                <w:highlight w:val="none"/>
                <w:u w:val="none"/>
              </w:rPr>
              <w:t>.产品规格：1kg</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2</w:t>
            </w:r>
            <w:r>
              <w:rPr>
                <w:rFonts w:hint="eastAsia" w:ascii="宋体" w:hAnsi="宋体" w:eastAsia="宋体" w:cs="宋体"/>
                <w:i w:val="0"/>
                <w:iCs w:val="0"/>
                <w:color w:val="auto"/>
                <w:sz w:val="21"/>
                <w:szCs w:val="21"/>
                <w:highlight w:val="none"/>
                <w:u w:val="none"/>
              </w:rPr>
              <w:t>.产品颜色：橘色</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3</w:t>
            </w:r>
            <w:r>
              <w:rPr>
                <w:rFonts w:hint="eastAsia" w:ascii="宋体" w:hAnsi="宋体" w:eastAsia="宋体" w:cs="宋体"/>
                <w:i w:val="0"/>
                <w:iCs w:val="0"/>
                <w:color w:val="auto"/>
                <w:sz w:val="21"/>
                <w:szCs w:val="21"/>
                <w:highlight w:val="none"/>
                <w:u w:val="none"/>
              </w:rPr>
              <w:t>.外层环保塑胶合成，球体表面进行防滑处理，摇晃无声音，可充气</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4</w:t>
            </w:r>
            <w:r>
              <w:rPr>
                <w:rFonts w:hint="eastAsia" w:ascii="宋体" w:hAnsi="宋体" w:eastAsia="宋体" w:cs="宋体"/>
                <w:i w:val="0"/>
                <w:iCs w:val="0"/>
                <w:color w:val="auto"/>
                <w:sz w:val="21"/>
                <w:szCs w:val="21"/>
                <w:highlight w:val="none"/>
                <w:u w:val="none"/>
              </w:rPr>
              <w:t>.适合标枪、铁饼训练使用，也可以代替充气实心球，训练使用。</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11</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体操棒</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80-90cm</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根</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体操凳</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1m</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张</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13</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木哑铃</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i w:val="0"/>
                <w:iCs w:val="0"/>
                <w:color w:val="auto"/>
                <w:sz w:val="21"/>
                <w:szCs w:val="21"/>
                <w:highlight w:val="none"/>
                <w:u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付</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短绳</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220-250cm</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根</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长绳</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450-500cm</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根</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16</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爬绳、爬竿</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绳2，竿2</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付</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17</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肋木</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1</w:t>
            </w:r>
            <w:r>
              <w:rPr>
                <w:rFonts w:hint="eastAsia" w:ascii="宋体" w:hAnsi="宋体" w:eastAsia="宋体" w:cs="宋体"/>
                <w:i w:val="0"/>
                <w:iCs w:val="0"/>
                <w:color w:val="auto"/>
                <w:sz w:val="21"/>
                <w:szCs w:val="21"/>
                <w:highlight w:val="none"/>
                <w:u w:val="none"/>
              </w:rPr>
              <w:t>.产品规格：管材直径</w:t>
            </w:r>
            <w:r>
              <w:rPr>
                <w:rFonts w:hint="eastAsia" w:ascii="宋体" w:hAnsi="宋体" w:eastAsia="宋体" w:cs="宋体"/>
                <w:i w:val="0"/>
                <w:iCs w:val="0"/>
                <w:color w:val="auto"/>
                <w:sz w:val="21"/>
                <w:szCs w:val="21"/>
                <w:highlight w:val="none"/>
                <w:u w:val="none"/>
                <w:lang w:val="en-US" w:eastAsia="zh-CN"/>
              </w:rPr>
              <w:t>≥</w:t>
            </w:r>
            <w:r>
              <w:rPr>
                <w:rFonts w:hint="eastAsia" w:ascii="宋体" w:hAnsi="宋体" w:eastAsia="宋体" w:cs="宋体"/>
                <w:i w:val="0"/>
                <w:iCs w:val="0"/>
                <w:color w:val="auto"/>
                <w:sz w:val="21"/>
                <w:szCs w:val="21"/>
                <w:highlight w:val="none"/>
                <w:u w:val="none"/>
              </w:rPr>
              <w:t>114mm，管材壁厚</w:t>
            </w:r>
            <w:r>
              <w:rPr>
                <w:rFonts w:hint="eastAsia" w:ascii="宋体" w:hAnsi="宋体" w:eastAsia="宋体" w:cs="宋体"/>
                <w:i w:val="0"/>
                <w:iCs w:val="0"/>
                <w:color w:val="auto"/>
                <w:sz w:val="21"/>
                <w:szCs w:val="21"/>
                <w:highlight w:val="none"/>
                <w:u w:val="none"/>
                <w:lang w:val="en-US" w:eastAsia="zh-CN"/>
              </w:rPr>
              <w:t>≥</w:t>
            </w:r>
            <w:r>
              <w:rPr>
                <w:rFonts w:hint="eastAsia" w:ascii="宋体" w:hAnsi="宋体" w:eastAsia="宋体" w:cs="宋体"/>
                <w:i w:val="0"/>
                <w:iCs w:val="0"/>
                <w:color w:val="auto"/>
                <w:sz w:val="21"/>
                <w:szCs w:val="21"/>
                <w:highlight w:val="none"/>
                <w:u w:val="none"/>
              </w:rPr>
              <w:t>2.5mm,立柱总高度</w:t>
            </w:r>
            <w:r>
              <w:rPr>
                <w:rFonts w:hint="eastAsia" w:ascii="宋体" w:hAnsi="宋体" w:eastAsia="宋体" w:cs="宋体"/>
                <w:i w:val="0"/>
                <w:iCs w:val="0"/>
                <w:color w:val="auto"/>
                <w:sz w:val="21"/>
                <w:szCs w:val="21"/>
                <w:highlight w:val="none"/>
                <w:u w:val="none"/>
                <w:lang w:val="en-US" w:eastAsia="zh-CN"/>
              </w:rPr>
              <w:t>≥</w:t>
            </w:r>
            <w:r>
              <w:rPr>
                <w:rFonts w:hint="eastAsia" w:ascii="宋体" w:hAnsi="宋体" w:eastAsia="宋体" w:cs="宋体"/>
                <w:i w:val="0"/>
                <w:iCs w:val="0"/>
                <w:color w:val="auto"/>
                <w:sz w:val="21"/>
                <w:szCs w:val="21"/>
                <w:highlight w:val="none"/>
                <w:u w:val="none"/>
              </w:rPr>
              <w:t>2600mm,宽</w:t>
            </w:r>
            <w:r>
              <w:rPr>
                <w:rFonts w:hint="eastAsia" w:ascii="宋体" w:hAnsi="宋体" w:eastAsia="宋体" w:cs="宋体"/>
                <w:i w:val="0"/>
                <w:iCs w:val="0"/>
                <w:color w:val="auto"/>
                <w:sz w:val="21"/>
                <w:szCs w:val="21"/>
                <w:highlight w:val="none"/>
                <w:u w:val="none"/>
                <w:lang w:val="en-US" w:eastAsia="zh-CN"/>
              </w:rPr>
              <w:t>≥</w:t>
            </w:r>
            <w:r>
              <w:rPr>
                <w:rFonts w:hint="eastAsia" w:ascii="宋体" w:hAnsi="宋体" w:eastAsia="宋体" w:cs="宋体"/>
                <w:i w:val="0"/>
                <w:iCs w:val="0"/>
                <w:color w:val="auto"/>
                <w:sz w:val="21"/>
                <w:szCs w:val="21"/>
                <w:highlight w:val="none"/>
                <w:u w:val="none"/>
              </w:rPr>
              <w:t>1200mm，间隔</w:t>
            </w:r>
            <w:r>
              <w:rPr>
                <w:rFonts w:hint="eastAsia" w:ascii="宋体" w:hAnsi="宋体" w:eastAsia="宋体" w:cs="宋体"/>
                <w:i w:val="0"/>
                <w:iCs w:val="0"/>
                <w:color w:val="auto"/>
                <w:sz w:val="21"/>
                <w:szCs w:val="21"/>
                <w:highlight w:val="none"/>
                <w:u w:val="none"/>
                <w:lang w:val="en-US" w:eastAsia="zh-CN"/>
              </w:rPr>
              <w:t>≤</w:t>
            </w:r>
            <w:r>
              <w:rPr>
                <w:rFonts w:hint="eastAsia" w:ascii="宋体" w:hAnsi="宋体" w:eastAsia="宋体" w:cs="宋体"/>
                <w:i w:val="0"/>
                <w:iCs w:val="0"/>
                <w:color w:val="auto"/>
                <w:sz w:val="21"/>
                <w:szCs w:val="21"/>
                <w:highlight w:val="none"/>
                <w:u w:val="none"/>
              </w:rPr>
              <w:t>300mm，焊接处无棱角，表面抛丸喷砂处理，静电喷涂。</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间</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18</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平梯</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rPr>
              <w:t>采用φ114×2.75mm的管材，长3米，高2.6米，宽0.8米，焊接处无棱角，表面抛丸喷砂处理，静电喷涂。</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架</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助跳板</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1.</w:t>
            </w:r>
            <w:r>
              <w:rPr>
                <w:rFonts w:hint="eastAsia" w:ascii="宋体" w:hAnsi="宋体" w:eastAsia="宋体" w:cs="宋体"/>
                <w:i w:val="0"/>
                <w:iCs w:val="0"/>
                <w:color w:val="auto"/>
                <w:sz w:val="21"/>
                <w:szCs w:val="21"/>
                <w:highlight w:val="none"/>
                <w:u w:val="none"/>
              </w:rPr>
              <w:t>产品材质：木制</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2.符合</w:t>
            </w:r>
            <w:r>
              <w:rPr>
                <w:rFonts w:hint="eastAsia" w:ascii="宋体" w:hAnsi="宋体" w:eastAsia="宋体" w:cs="宋体"/>
                <w:i w:val="0"/>
                <w:iCs w:val="0"/>
                <w:color w:val="auto"/>
                <w:sz w:val="21"/>
                <w:szCs w:val="21"/>
                <w:highlight w:val="none"/>
                <w:u w:val="none"/>
              </w:rPr>
              <w:t>国体中心检验产品</w:t>
            </w:r>
            <w:r>
              <w:rPr>
                <w:rFonts w:hint="eastAsia" w:ascii="宋体" w:hAnsi="宋体" w:eastAsia="宋体" w:cs="宋体"/>
                <w:i w:val="0"/>
                <w:iCs w:val="0"/>
                <w:color w:val="auto"/>
                <w:sz w:val="21"/>
                <w:szCs w:val="21"/>
                <w:highlight w:val="none"/>
                <w:u w:val="none"/>
                <w:lang w:val="en-US" w:eastAsia="zh-CN"/>
              </w:rPr>
              <w:t>标准</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山羊</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lang w:val="en-US" w:eastAsia="zh-CN"/>
              </w:rPr>
            </w:pPr>
            <w:r>
              <w:rPr>
                <w:rFonts w:hint="eastAsia" w:ascii="宋体" w:hAnsi="宋体" w:eastAsia="宋体" w:cs="宋体"/>
                <w:i w:val="0"/>
                <w:iCs w:val="0"/>
                <w:color w:val="auto"/>
                <w:sz w:val="21"/>
                <w:szCs w:val="21"/>
                <w:highlight w:val="none"/>
                <w:u w:val="none"/>
                <w:lang w:val="en-US" w:eastAsia="zh-CN"/>
              </w:rPr>
              <w:t>1.山羊头：采用不小于3mm厚钢管焊接而成</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lang w:val="en-US" w:eastAsia="zh-CN"/>
              </w:rPr>
            </w:pPr>
            <w:r>
              <w:rPr>
                <w:rFonts w:hint="eastAsia" w:ascii="宋体" w:hAnsi="宋体" w:eastAsia="宋体" w:cs="宋体"/>
                <w:i w:val="0"/>
                <w:iCs w:val="0"/>
                <w:color w:val="auto"/>
                <w:sz w:val="21"/>
                <w:szCs w:val="21"/>
                <w:highlight w:val="none"/>
                <w:u w:val="none"/>
                <w:lang w:val="en-US" w:eastAsia="zh-CN"/>
              </w:rPr>
              <w:t>2.调节高度：68-108cm</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lang w:val="en-US" w:eastAsia="zh-CN"/>
              </w:rPr>
            </w:pPr>
            <w:r>
              <w:rPr>
                <w:rFonts w:hint="eastAsia" w:ascii="宋体" w:hAnsi="宋体" w:eastAsia="宋体" w:cs="宋体"/>
                <w:i w:val="0"/>
                <w:iCs w:val="0"/>
                <w:color w:val="auto"/>
                <w:sz w:val="21"/>
                <w:szCs w:val="21"/>
                <w:highlight w:val="none"/>
                <w:u w:val="none"/>
                <w:lang w:val="en-US" w:eastAsia="zh-CN"/>
              </w:rPr>
              <w:t>3.经过中国田径协会（CAA）审定，产品须符合竞赛要求。</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21</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跳箱</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lang w:val="en-US" w:eastAsia="zh-CN"/>
              </w:rPr>
            </w:pPr>
            <w:r>
              <w:rPr>
                <w:rFonts w:hint="eastAsia" w:ascii="宋体" w:hAnsi="宋体" w:eastAsia="宋体" w:cs="宋体"/>
                <w:i w:val="0"/>
                <w:iCs w:val="0"/>
                <w:color w:val="auto"/>
                <w:sz w:val="21"/>
                <w:szCs w:val="21"/>
                <w:highlight w:val="none"/>
                <w:u w:val="none"/>
                <w:lang w:val="en-US" w:eastAsia="zh-CN"/>
              </w:rPr>
              <w:t>1.产品尺寸：上宽30cm，下宽60cm，长100cm，高85cm</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lang w:val="en-US" w:eastAsia="zh-CN"/>
              </w:rPr>
            </w:pPr>
            <w:r>
              <w:rPr>
                <w:rFonts w:hint="eastAsia" w:ascii="宋体" w:hAnsi="宋体" w:eastAsia="宋体" w:cs="宋体"/>
                <w:i w:val="0"/>
                <w:iCs w:val="0"/>
                <w:color w:val="auto"/>
                <w:sz w:val="21"/>
                <w:szCs w:val="21"/>
                <w:highlight w:val="none"/>
                <w:u w:val="none"/>
                <w:lang w:val="en-US" w:eastAsia="zh-CN"/>
              </w:rPr>
              <w:t>2.产品材质：跳箱表层是黑色皮面，木头原色，表面涂清漆</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22</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低单杠</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标准升降</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付</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23</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高单杠</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标准升降</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付</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24</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体操垫（小）</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1</w:t>
            </w:r>
            <w:r>
              <w:rPr>
                <w:rFonts w:hint="eastAsia" w:ascii="宋体" w:hAnsi="宋体" w:eastAsia="宋体" w:cs="宋体"/>
                <w:i w:val="0"/>
                <w:iCs w:val="0"/>
                <w:color w:val="auto"/>
                <w:sz w:val="21"/>
                <w:szCs w:val="21"/>
                <w:highlight w:val="none"/>
                <w:u w:val="none"/>
              </w:rPr>
              <w:t>.主要材质：外套为帆布材质、内衬EPE海绵，具有防滑性、耐磨性，内置海绵一次成型无接缝，无味环保</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2</w:t>
            </w:r>
            <w:r>
              <w:rPr>
                <w:rFonts w:hint="eastAsia" w:ascii="宋体" w:hAnsi="宋体" w:eastAsia="宋体" w:cs="宋体"/>
                <w:i w:val="0"/>
                <w:iCs w:val="0"/>
                <w:color w:val="auto"/>
                <w:sz w:val="21"/>
                <w:szCs w:val="21"/>
                <w:highlight w:val="none"/>
                <w:u w:val="none"/>
              </w:rPr>
              <w:t>.外形尺寸:1.2×0.6×0.05m</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3</w:t>
            </w:r>
            <w:r>
              <w:rPr>
                <w:rFonts w:hint="eastAsia" w:ascii="宋体" w:hAnsi="宋体" w:eastAsia="宋体" w:cs="宋体"/>
                <w:i w:val="0"/>
                <w:iCs w:val="0"/>
                <w:color w:val="auto"/>
                <w:sz w:val="21"/>
                <w:szCs w:val="21"/>
                <w:highlight w:val="none"/>
                <w:u w:val="none"/>
              </w:rPr>
              <w:t>.外观质量：体操垫的四角为直角，带拉手，方便移动，表面平整、无皱折，色泽一致</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4</w:t>
            </w:r>
            <w:r>
              <w:rPr>
                <w:rFonts w:hint="eastAsia" w:ascii="宋体" w:hAnsi="宋体" w:eastAsia="宋体" w:cs="宋体"/>
                <w:i w:val="0"/>
                <w:iCs w:val="0"/>
                <w:color w:val="auto"/>
                <w:sz w:val="21"/>
                <w:szCs w:val="21"/>
                <w:highlight w:val="none"/>
                <w:u w:val="none"/>
              </w:rPr>
              <w:t>.用途以及性能：休息以及训练使用。</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25</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体操垫（大）</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1</w:t>
            </w:r>
            <w:r>
              <w:rPr>
                <w:rFonts w:hint="eastAsia" w:ascii="宋体" w:hAnsi="宋体" w:eastAsia="宋体" w:cs="宋体"/>
                <w:i w:val="0"/>
                <w:iCs w:val="0"/>
                <w:color w:val="auto"/>
                <w:sz w:val="21"/>
                <w:szCs w:val="21"/>
                <w:highlight w:val="none"/>
                <w:u w:val="none"/>
              </w:rPr>
              <w:t>.主要材质：无味环保</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2</w:t>
            </w:r>
            <w:r>
              <w:rPr>
                <w:rFonts w:hint="eastAsia" w:ascii="宋体" w:hAnsi="宋体" w:eastAsia="宋体" w:cs="宋体"/>
                <w:i w:val="0"/>
                <w:iCs w:val="0"/>
                <w:color w:val="auto"/>
                <w:sz w:val="21"/>
                <w:szCs w:val="21"/>
                <w:highlight w:val="none"/>
                <w:u w:val="none"/>
              </w:rPr>
              <w:t>.外形尺寸:2*1*0.1m</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3</w:t>
            </w:r>
            <w:r>
              <w:rPr>
                <w:rFonts w:hint="eastAsia" w:ascii="宋体" w:hAnsi="宋体" w:eastAsia="宋体" w:cs="宋体"/>
                <w:i w:val="0"/>
                <w:iCs w:val="0"/>
                <w:color w:val="auto"/>
                <w:sz w:val="21"/>
                <w:szCs w:val="21"/>
                <w:highlight w:val="none"/>
                <w:u w:val="none"/>
              </w:rPr>
              <w:t>.外观质量：体操垫的四角为直角，带拉手，方便移动，表面平整、无皱折，色泽一致</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4</w:t>
            </w:r>
            <w:r>
              <w:rPr>
                <w:rFonts w:hint="eastAsia" w:ascii="宋体" w:hAnsi="宋体" w:eastAsia="宋体" w:cs="宋体"/>
                <w:i w:val="0"/>
                <w:iCs w:val="0"/>
                <w:color w:val="auto"/>
                <w:sz w:val="21"/>
                <w:szCs w:val="21"/>
                <w:highlight w:val="none"/>
                <w:u w:val="none"/>
              </w:rPr>
              <w:t>.用途以及性能：休息以及训练使用</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块</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26</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毽子</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i w:val="0"/>
                <w:iCs w:val="0"/>
                <w:color w:val="auto"/>
                <w:sz w:val="21"/>
                <w:szCs w:val="21"/>
                <w:highlight w:val="none"/>
                <w:u w:val="none"/>
                <w:lang w:val="en-US" w:eastAsia="zh-CN"/>
              </w:rPr>
            </w:pPr>
            <w:r>
              <w:rPr>
                <w:rFonts w:hint="eastAsia" w:ascii="宋体" w:hAnsi="宋体" w:eastAsia="宋体" w:cs="宋体"/>
                <w:i w:val="0"/>
                <w:iCs w:val="0"/>
                <w:color w:val="auto"/>
                <w:sz w:val="21"/>
                <w:szCs w:val="21"/>
                <w:highlight w:val="none"/>
                <w:u w:val="none"/>
                <w:lang w:eastAsia="zh-CN"/>
              </w:rPr>
              <w:t>高度</w:t>
            </w:r>
            <w:r>
              <w:rPr>
                <w:rFonts w:hint="eastAsia" w:ascii="宋体" w:hAnsi="宋体" w:eastAsia="宋体" w:cs="宋体"/>
                <w:i w:val="0"/>
                <w:iCs w:val="0"/>
                <w:color w:val="auto"/>
                <w:sz w:val="21"/>
                <w:szCs w:val="21"/>
                <w:highlight w:val="none"/>
                <w:u w:val="none"/>
                <w:lang w:val="en-US" w:eastAsia="zh-CN"/>
              </w:rPr>
              <w:t>21cm.四根毛</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120</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27</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呼啦圈</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i w:val="0"/>
                <w:iCs w:val="0"/>
                <w:color w:val="auto"/>
                <w:sz w:val="21"/>
                <w:szCs w:val="21"/>
                <w:highlight w:val="none"/>
                <w:u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28</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广播体操挂图</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对开彩印</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default" w:ascii="宋体" w:hAnsi="宋体" w:eastAsia="宋体" w:cs="宋体"/>
                <w:i w:val="0"/>
                <w:iCs w:val="0"/>
                <w:color w:val="auto"/>
                <w:sz w:val="21"/>
                <w:szCs w:val="21"/>
                <w:highlight w:val="none"/>
                <w:u w:val="none"/>
                <w:lang w:val="en-US" w:eastAsia="zh-CN"/>
              </w:rPr>
            </w:pPr>
            <w:r>
              <w:rPr>
                <w:rFonts w:hint="eastAsia" w:ascii="宋体" w:hAnsi="宋体" w:cs="宋体"/>
                <w:i w:val="0"/>
                <w:iCs w:val="0"/>
                <w:color w:val="auto"/>
                <w:sz w:val="21"/>
                <w:szCs w:val="21"/>
                <w:highlight w:val="none"/>
                <w:u w:val="none"/>
                <w:lang w:val="en-US" w:eastAsia="zh-CN"/>
              </w:rPr>
              <w:t>套</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center"/>
              <w:rPr>
                <w:rFonts w:hint="default" w:ascii="宋体" w:hAnsi="宋体" w:eastAsia="宋体" w:cs="宋体"/>
                <w:i w:val="0"/>
                <w:iCs w:val="0"/>
                <w:color w:val="auto"/>
                <w:sz w:val="21"/>
                <w:szCs w:val="21"/>
                <w:highlight w:val="none"/>
                <w:u w:val="none"/>
                <w:lang w:val="en-US" w:eastAsia="zh-CN"/>
              </w:rPr>
            </w:pPr>
            <w:r>
              <w:rPr>
                <w:rFonts w:hint="eastAsia" w:ascii="宋体" w:hAnsi="宋体" w:cs="宋体"/>
                <w:i w:val="0"/>
                <w:iCs w:val="0"/>
                <w:color w:val="auto"/>
                <w:sz w:val="21"/>
                <w:szCs w:val="21"/>
                <w:highlight w:val="none"/>
                <w:u w:val="none"/>
                <w:lang w:val="en-US" w:eastAsia="zh-CN"/>
              </w:rPr>
              <w:t>1</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29</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计算器</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pStyle w:val="2"/>
              <w:spacing w:line="240" w:lineRule="auto"/>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显示：不少于12位数宽屏；</w:t>
            </w:r>
          </w:p>
          <w:p>
            <w:pPr>
              <w:pStyle w:val="2"/>
              <w:spacing w:line="240" w:lineRule="auto"/>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功能：时间日期，电源开启，清除键</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移动音响</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读取：TF卡U盘</w:t>
            </w:r>
          </w:p>
          <w:p>
            <w:pPr>
              <w:pStyle w:val="2"/>
              <w:spacing w:line="240" w:lineRule="auto"/>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分辨率：1080P</w:t>
            </w:r>
          </w:p>
          <w:p>
            <w:pPr>
              <w:spacing w:line="240" w:lineRule="auto"/>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音频格式：全格式</w:t>
            </w:r>
          </w:p>
          <w:p>
            <w:pPr>
              <w:pStyle w:val="2"/>
              <w:spacing w:line="240" w:lineRule="auto"/>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连接方式：蓝牙.AUX.wifi.HDMI</w:t>
            </w:r>
          </w:p>
          <w:p>
            <w:pPr>
              <w:spacing w:line="240" w:lineRule="auto"/>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视频格式：多格式兼容解码</w:t>
            </w:r>
          </w:p>
          <w:p>
            <w:pPr>
              <w:pStyle w:val="2"/>
              <w:spacing w:line="240" w:lineRule="auto"/>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喇叭单元：不少于12寸喇叭套装</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31</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扩音器</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18650锂电池.U盘TF卡.蓝牙.录音260秒.电量显示.重量：0.47KG</w:t>
            </w:r>
          </w:p>
          <w:p>
            <w:pPr>
              <w:pStyle w:val="2"/>
              <w:spacing w:line="240" w:lineRule="auto"/>
              <w:jc w:val="both"/>
              <w:rPr>
                <w:rFonts w:hint="eastAsia" w:ascii="宋体" w:hAnsi="宋体" w:eastAsia="宋体" w:cs="宋体"/>
                <w:color w:val="auto"/>
                <w:sz w:val="21"/>
                <w:szCs w:val="21"/>
                <w:highlight w:val="none"/>
                <w:lang w:val="en-US" w:eastAsia="zh-CN"/>
              </w:rPr>
            </w:pPr>
            <w:r>
              <w:rPr>
                <w:rFonts w:hint="eastAsia" w:ascii="宋体" w:hAnsi="宋体" w:eastAsia="宋体" w:cs="宋体"/>
                <w:i w:val="0"/>
                <w:iCs w:val="0"/>
                <w:color w:val="auto"/>
                <w:sz w:val="21"/>
                <w:szCs w:val="21"/>
                <w:highlight w:val="none"/>
                <w:u w:val="none"/>
                <w:lang w:val="en-US" w:eastAsia="zh-CN"/>
              </w:rPr>
              <w:t>约1300米C穿透</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32</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篮球</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sz w:val="21"/>
                <w:szCs w:val="21"/>
                <w:highlight w:val="none"/>
                <w:u w:val="none"/>
                <w:lang w:val="en-US" w:eastAsia="zh-CN"/>
              </w:rPr>
              <w:t>PU面料，标准7号尺寸</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33</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小篮球</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PU面料，标准5号尺寸</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34</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小篮球架</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rPr>
              <w:t>1、产品技术规格</w:t>
            </w:r>
          </w:p>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rPr>
              <w:t>篮圈高度可调，调节范围：2.0—3.05m；</w:t>
            </w:r>
          </w:p>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rPr>
              <w:t>伸臂长度范围：600mm；</w:t>
            </w:r>
          </w:p>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rPr>
              <w:t>球架底座：长×宽=1500×1000mm</w:t>
            </w:r>
          </w:p>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rPr>
              <w:t>2、产品用材</w:t>
            </w:r>
          </w:p>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rPr>
              <w:t>篮架立柱</w:t>
            </w:r>
            <w:r>
              <w:rPr>
                <w:rFonts w:hint="eastAsia" w:ascii="宋体" w:hAnsi="宋体" w:eastAsia="宋体" w:cs="宋体"/>
                <w:i w:val="0"/>
                <w:iCs w:val="0"/>
                <w:color w:val="auto"/>
                <w:sz w:val="21"/>
                <w:szCs w:val="21"/>
                <w:highlight w:val="none"/>
                <w:u w:val="none"/>
                <w:lang w:val="en-US" w:eastAsia="zh-CN"/>
              </w:rPr>
              <w:t>及内外管</w:t>
            </w:r>
            <w:r>
              <w:rPr>
                <w:rFonts w:hint="eastAsia" w:ascii="宋体" w:hAnsi="宋体" w:eastAsia="宋体" w:cs="宋体"/>
                <w:i w:val="0"/>
                <w:iCs w:val="0"/>
                <w:color w:val="auto"/>
                <w:sz w:val="21"/>
                <w:szCs w:val="21"/>
                <w:highlight w:val="none"/>
                <w:u w:val="none"/>
              </w:rPr>
              <w:t>采用焊方管制作，调节机构采用板材配置调节丝杠制成，外部封闭型设计，防雨防锈</w:t>
            </w:r>
            <w:r>
              <w:rPr>
                <w:rFonts w:hint="eastAsia" w:ascii="宋体" w:hAnsi="宋体" w:eastAsia="宋体" w:cs="宋体"/>
                <w:i w:val="0"/>
                <w:iCs w:val="0"/>
                <w:color w:val="auto"/>
                <w:sz w:val="21"/>
                <w:szCs w:val="21"/>
                <w:highlight w:val="none"/>
                <w:u w:val="none"/>
                <w:lang w:val="en-US" w:eastAsia="zh-CN"/>
              </w:rPr>
              <w:t>处理</w:t>
            </w:r>
            <w:r>
              <w:rPr>
                <w:rFonts w:hint="eastAsia" w:ascii="宋体" w:hAnsi="宋体" w:eastAsia="宋体" w:cs="宋体"/>
                <w:i w:val="0"/>
                <w:iCs w:val="0"/>
                <w:color w:val="auto"/>
                <w:sz w:val="21"/>
                <w:szCs w:val="21"/>
                <w:highlight w:val="none"/>
                <w:u w:val="none"/>
              </w:rPr>
              <w:t>，调节机构内设限位机构</w:t>
            </w:r>
            <w:r>
              <w:rPr>
                <w:rFonts w:hint="eastAsia" w:ascii="宋体" w:hAnsi="宋体" w:eastAsia="宋体" w:cs="宋体"/>
                <w:i w:val="0"/>
                <w:iCs w:val="0"/>
                <w:color w:val="auto"/>
                <w:sz w:val="21"/>
                <w:szCs w:val="21"/>
                <w:highlight w:val="none"/>
                <w:u w:val="none"/>
                <w:lang w:eastAsia="zh-CN"/>
              </w:rPr>
              <w:t>，</w:t>
            </w:r>
            <w:r>
              <w:rPr>
                <w:rFonts w:hint="eastAsia" w:ascii="宋体" w:hAnsi="宋体" w:eastAsia="宋体" w:cs="宋体"/>
                <w:i w:val="0"/>
                <w:iCs w:val="0"/>
                <w:color w:val="auto"/>
                <w:sz w:val="21"/>
                <w:szCs w:val="21"/>
                <w:highlight w:val="none"/>
                <w:u w:val="none"/>
                <w:lang w:val="en-US" w:eastAsia="zh-CN"/>
              </w:rPr>
              <w:t>可</w:t>
            </w:r>
            <w:r>
              <w:rPr>
                <w:rFonts w:hint="eastAsia" w:ascii="宋体" w:hAnsi="宋体" w:eastAsia="宋体" w:cs="宋体"/>
                <w:i w:val="0"/>
                <w:iCs w:val="0"/>
                <w:color w:val="auto"/>
                <w:sz w:val="21"/>
                <w:szCs w:val="21"/>
                <w:highlight w:val="none"/>
                <w:u w:val="none"/>
              </w:rPr>
              <w:t>通过摇手柄调节篮圈高度，从而满足不同年龄层次的人员使用。</w:t>
            </w:r>
          </w:p>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rPr>
              <w:t>球架底座轮廓采用特制内卷槽钢一次拼焊成型，篮架底座后部设有配重箱，可放入不少于200kg的配重物质，且篮架配置有膨胀螺栓和固定压板，可将球架固定于水泥地面。</w:t>
            </w:r>
          </w:p>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rPr>
              <w:t>3、篮板</w:t>
            </w:r>
          </w:p>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rPr>
              <w:t>规格：1200*800*31</w:t>
            </w:r>
          </w:p>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rPr>
              <w:t>材料：篮板框为：δ3mm铝方管，篮板为：δ6mm高强度安全玻璃篮板</w:t>
            </w:r>
          </w:p>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rPr>
              <w:t>工艺：材料定制→人工装配</w:t>
            </w:r>
          </w:p>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rPr>
              <w:t>安全性：按GB/T9962-1999中6.10规定进行试验，符合国标规定</w:t>
            </w:r>
          </w:p>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rPr>
              <w:t>篮板板面平整、光滑,主体为白色,边框线为黑色,色泽鲜艳。</w:t>
            </w:r>
          </w:p>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rPr>
              <w:t>4、篮圈篮圈采用</w:t>
            </w:r>
            <w:r>
              <w:rPr>
                <w:rFonts w:hint="eastAsia" w:ascii="宋体" w:hAnsi="宋体" w:eastAsia="宋体" w:cs="宋体"/>
                <w:i w:val="0"/>
                <w:iCs w:val="0"/>
                <w:color w:val="auto"/>
                <w:sz w:val="21"/>
                <w:szCs w:val="21"/>
                <w:highlight w:val="none"/>
                <w:u w:val="none"/>
                <w:lang w:val="en-US" w:eastAsia="zh-CN"/>
              </w:rPr>
              <w:t>≥</w:t>
            </w:r>
            <w:r>
              <w:rPr>
                <w:rFonts w:hint="eastAsia" w:ascii="宋体" w:hAnsi="宋体" w:eastAsia="宋体" w:cs="宋体"/>
                <w:i w:val="0"/>
                <w:iCs w:val="0"/>
                <w:color w:val="auto"/>
                <w:sz w:val="21"/>
                <w:szCs w:val="21"/>
                <w:highlight w:val="none"/>
                <w:u w:val="none"/>
              </w:rPr>
              <w:t>φ17实心圆钢制作，内径为</w:t>
            </w:r>
            <w:r>
              <w:rPr>
                <w:rFonts w:hint="eastAsia" w:ascii="宋体" w:hAnsi="宋体" w:eastAsia="宋体" w:cs="宋体"/>
                <w:i w:val="0"/>
                <w:iCs w:val="0"/>
                <w:color w:val="auto"/>
                <w:sz w:val="21"/>
                <w:szCs w:val="21"/>
                <w:highlight w:val="none"/>
                <w:u w:val="none"/>
                <w:lang w:val="en-US" w:eastAsia="zh-CN"/>
              </w:rPr>
              <w:t>≥</w:t>
            </w:r>
            <w:r>
              <w:rPr>
                <w:rFonts w:hint="eastAsia" w:ascii="宋体" w:hAnsi="宋体" w:eastAsia="宋体" w:cs="宋体"/>
                <w:i w:val="0"/>
                <w:iCs w:val="0"/>
                <w:color w:val="auto"/>
                <w:sz w:val="21"/>
                <w:szCs w:val="21"/>
                <w:highlight w:val="none"/>
                <w:u w:val="none"/>
              </w:rPr>
              <w:t>450mm。篮圈圈条下沿焊有</w:t>
            </w:r>
            <w:r>
              <w:rPr>
                <w:rFonts w:hint="eastAsia" w:ascii="宋体" w:hAnsi="宋体" w:eastAsia="宋体" w:cs="宋体"/>
                <w:i w:val="0"/>
                <w:iCs w:val="0"/>
                <w:color w:val="auto"/>
                <w:sz w:val="21"/>
                <w:szCs w:val="21"/>
                <w:highlight w:val="none"/>
                <w:u w:val="none"/>
                <w:lang w:val="en-US" w:eastAsia="zh-CN"/>
              </w:rPr>
              <w:t>≥</w:t>
            </w:r>
            <w:r>
              <w:rPr>
                <w:rFonts w:hint="eastAsia" w:ascii="宋体" w:hAnsi="宋体" w:eastAsia="宋体" w:cs="宋体"/>
                <w:i w:val="0"/>
                <w:iCs w:val="0"/>
                <w:color w:val="auto"/>
                <w:sz w:val="21"/>
                <w:szCs w:val="21"/>
                <w:highlight w:val="none"/>
                <w:u w:val="none"/>
              </w:rPr>
              <w:t>4毫米圆钢，圆钢间隔均匀设置成小环状，</w:t>
            </w:r>
            <w:r>
              <w:rPr>
                <w:rFonts w:hint="eastAsia" w:ascii="宋体" w:hAnsi="宋体" w:eastAsia="宋体" w:cs="宋体"/>
                <w:i w:val="0"/>
                <w:iCs w:val="0"/>
                <w:color w:val="auto"/>
                <w:sz w:val="21"/>
                <w:szCs w:val="21"/>
                <w:highlight w:val="none"/>
                <w:u w:val="none"/>
                <w:lang w:val="en-US" w:eastAsia="zh-CN"/>
              </w:rPr>
              <w:t>不少于</w:t>
            </w:r>
            <w:r>
              <w:rPr>
                <w:rFonts w:hint="eastAsia" w:ascii="宋体" w:hAnsi="宋体" w:eastAsia="宋体" w:cs="宋体"/>
                <w:i w:val="0"/>
                <w:iCs w:val="0"/>
                <w:color w:val="auto"/>
                <w:sz w:val="21"/>
                <w:szCs w:val="21"/>
                <w:highlight w:val="none"/>
                <w:u w:val="none"/>
              </w:rPr>
              <w:t>12处，以便悬挂篮网。篮圈水平固定在篮板上，与篮架连接的钢板采用钢板一次冲压成型，造型美观。</w:t>
            </w:r>
          </w:p>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rPr>
              <w:t>5、表面处理</w:t>
            </w:r>
            <w:r>
              <w:rPr>
                <w:rFonts w:hint="eastAsia" w:ascii="宋体" w:hAnsi="宋体" w:eastAsia="宋体" w:cs="宋体"/>
                <w:i w:val="0"/>
                <w:iCs w:val="0"/>
                <w:color w:val="auto"/>
                <w:sz w:val="21"/>
                <w:szCs w:val="21"/>
                <w:highlight w:val="none"/>
                <w:u w:val="none"/>
                <w:lang w:eastAsia="zh-CN"/>
              </w:rPr>
              <w:t>：</w:t>
            </w:r>
            <w:r>
              <w:rPr>
                <w:rFonts w:hint="eastAsia" w:ascii="宋体" w:hAnsi="宋体" w:eastAsia="宋体" w:cs="宋体"/>
                <w:i w:val="0"/>
                <w:iCs w:val="0"/>
                <w:color w:val="auto"/>
                <w:sz w:val="21"/>
                <w:szCs w:val="21"/>
                <w:highlight w:val="none"/>
                <w:u w:val="none"/>
              </w:rPr>
              <w:t>耐酸碱、耐湿热、抗老化</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付</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35</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软式排球</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i w:val="0"/>
                <w:iCs w:val="0"/>
                <w:color w:val="auto"/>
                <w:sz w:val="21"/>
                <w:szCs w:val="21"/>
                <w:highlight w:val="none"/>
                <w:u w:val="none"/>
                <w:lang w:val="en-US" w:eastAsia="zh-CN"/>
              </w:rPr>
            </w:pPr>
            <w:r>
              <w:rPr>
                <w:rFonts w:hint="eastAsia" w:ascii="宋体" w:hAnsi="宋体" w:eastAsia="宋体" w:cs="宋体"/>
                <w:i w:val="0"/>
                <w:iCs w:val="0"/>
                <w:color w:val="auto"/>
                <w:sz w:val="21"/>
                <w:szCs w:val="21"/>
                <w:highlight w:val="none"/>
                <w:u w:val="none"/>
                <w:lang w:val="en-US" w:eastAsia="zh-CN"/>
              </w:rPr>
              <w:t>PU环保材质，机缝工艺，考试标准用球</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36</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小型排球架</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地插式</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付</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37</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足球</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手工缝制工艺PVC面料，丁基内胆</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38</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小足球</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i w:val="0"/>
                <w:iCs w:val="0"/>
                <w:color w:val="auto"/>
                <w:sz w:val="21"/>
                <w:szCs w:val="21"/>
                <w:highlight w:val="none"/>
                <w:u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100</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39</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小型足球门</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1、球门内净基本尺寸：</w:t>
            </w:r>
            <w:r>
              <w:rPr>
                <w:rFonts w:hint="eastAsia" w:ascii="宋体" w:hAnsi="宋体" w:eastAsia="宋体" w:cs="宋体"/>
                <w:color w:val="auto"/>
                <w:sz w:val="21"/>
                <w:szCs w:val="21"/>
                <w:highlight w:val="none"/>
                <w:lang w:val="en-US" w:eastAsia="zh-CN"/>
              </w:rPr>
              <w:t>不小于2</w:t>
            </w:r>
            <w:r>
              <w:rPr>
                <w:rFonts w:hint="eastAsia" w:ascii="宋体" w:hAnsi="宋体" w:eastAsia="宋体" w:cs="宋体"/>
                <w:color w:val="auto"/>
                <w:sz w:val="21"/>
                <w:szCs w:val="21"/>
                <w:highlight w:val="none"/>
              </w:rPr>
              <w:t>000mm×</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000mm</w:t>
            </w:r>
          </w:p>
          <w:p>
            <w:pPr>
              <w:spacing w:line="24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2、足球门由立杆、横梁、两侧撑杆、两侧横杆和后侧横杆组成。</w:t>
            </w:r>
          </w:p>
          <w:p>
            <w:pPr>
              <w:spacing w:line="24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3、球门立杆和横梁均采用</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80×80×2.5钢管制成，上设网勾，置网方便，球网两侧撑杆采用</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φ32×2的钢管制成，两侧横杆和后侧连杆采用</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80×40×3方管制作。</w:t>
            </w:r>
          </w:p>
          <w:p>
            <w:pPr>
              <w:spacing w:line="24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横梁和立杆上没有可能危害到运动员安全的连接物件露在外面。球门组装完成后，立杆与地面垂直，横梁与立杆的夹角为90°，连接件周边处理圆滑，无棱角。球门两侧撑杆采用钢丝绳连接紧固，既可增强球门整体稳定性，又可起到撑网的作用。</w:t>
            </w:r>
          </w:p>
          <w:p>
            <w:pPr>
              <w:spacing w:line="24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5、球门后侧横杆位置配置球门固定压板，保证球门的位置不因运动员的冲撞而移动位置。</w:t>
            </w:r>
          </w:p>
          <w:p>
            <w:pPr>
              <w:spacing w:line="24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6、球门整体可装拆，便于运输和安装。</w:t>
            </w:r>
          </w:p>
          <w:p>
            <w:pPr>
              <w:spacing w:line="24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7、耐酸减、耐湿热、抗老化，能适合潮湿和酸雨环境，且产品涂料配方不含有毒元素，避免损害使用者的健康。</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付</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小皮球</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lang w:val="en-US"/>
              </w:rPr>
            </w:pPr>
            <w:r>
              <w:rPr>
                <w:rFonts w:hint="eastAsia" w:ascii="宋体" w:hAnsi="宋体" w:eastAsia="宋体" w:cs="宋体"/>
                <w:i w:val="0"/>
                <w:iCs w:val="0"/>
                <w:color w:val="auto"/>
                <w:kern w:val="0"/>
                <w:sz w:val="21"/>
                <w:szCs w:val="21"/>
                <w:highlight w:val="none"/>
                <w:u w:val="none"/>
                <w:lang w:val="en-US" w:eastAsia="zh-CN" w:bidi="ar"/>
              </w:rPr>
              <w:t>橡胶材质</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41</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起跑器</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1</w:t>
            </w:r>
            <w:r>
              <w:rPr>
                <w:rFonts w:hint="eastAsia" w:ascii="宋体" w:hAnsi="宋体" w:eastAsia="宋体" w:cs="宋体"/>
                <w:i w:val="0"/>
                <w:iCs w:val="0"/>
                <w:color w:val="auto"/>
                <w:sz w:val="21"/>
                <w:szCs w:val="21"/>
                <w:highlight w:val="none"/>
                <w:u w:val="none"/>
              </w:rPr>
              <w:t>.产品材质：4mm钢板；脚蹬表面为胶垫</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2</w:t>
            </w:r>
            <w:r>
              <w:rPr>
                <w:rFonts w:hint="eastAsia" w:ascii="宋体" w:hAnsi="宋体" w:eastAsia="宋体" w:cs="宋体"/>
                <w:i w:val="0"/>
                <w:iCs w:val="0"/>
                <w:color w:val="auto"/>
                <w:sz w:val="21"/>
                <w:szCs w:val="21"/>
                <w:highlight w:val="none"/>
                <w:u w:val="none"/>
              </w:rPr>
              <w:t>.外形尺寸：主体全长</w:t>
            </w:r>
            <w:r>
              <w:rPr>
                <w:rFonts w:hint="eastAsia" w:ascii="宋体" w:hAnsi="宋体" w:eastAsia="宋体" w:cs="宋体"/>
                <w:i w:val="0"/>
                <w:iCs w:val="0"/>
                <w:color w:val="auto"/>
                <w:sz w:val="21"/>
                <w:szCs w:val="21"/>
                <w:highlight w:val="none"/>
                <w:u w:val="none"/>
                <w:lang w:val="en-US" w:eastAsia="zh-CN"/>
              </w:rPr>
              <w:t>≥</w:t>
            </w:r>
            <w:r>
              <w:rPr>
                <w:rFonts w:hint="eastAsia" w:ascii="宋体" w:hAnsi="宋体" w:eastAsia="宋体" w:cs="宋体"/>
                <w:i w:val="0"/>
                <w:iCs w:val="0"/>
                <w:color w:val="auto"/>
                <w:sz w:val="21"/>
                <w:szCs w:val="21"/>
                <w:highlight w:val="none"/>
                <w:u w:val="none"/>
              </w:rPr>
              <w:t>720mm，总宽度</w:t>
            </w:r>
            <w:r>
              <w:rPr>
                <w:rFonts w:hint="eastAsia" w:ascii="宋体" w:hAnsi="宋体" w:eastAsia="宋体" w:cs="宋体"/>
                <w:i w:val="0"/>
                <w:iCs w:val="0"/>
                <w:color w:val="auto"/>
                <w:sz w:val="21"/>
                <w:szCs w:val="21"/>
                <w:highlight w:val="none"/>
                <w:u w:val="none"/>
                <w:lang w:val="en-US" w:eastAsia="zh-CN"/>
              </w:rPr>
              <w:t>≥</w:t>
            </w:r>
            <w:r>
              <w:rPr>
                <w:rFonts w:hint="eastAsia" w:ascii="宋体" w:hAnsi="宋体" w:eastAsia="宋体" w:cs="宋体"/>
                <w:i w:val="0"/>
                <w:iCs w:val="0"/>
                <w:color w:val="auto"/>
                <w:sz w:val="21"/>
                <w:szCs w:val="21"/>
                <w:highlight w:val="none"/>
                <w:u w:val="none"/>
              </w:rPr>
              <w:t>260mm，脚蹬尺寸</w:t>
            </w:r>
            <w:r>
              <w:rPr>
                <w:rFonts w:hint="eastAsia" w:ascii="宋体" w:hAnsi="宋体" w:eastAsia="宋体" w:cs="宋体"/>
                <w:i w:val="0"/>
                <w:iCs w:val="0"/>
                <w:color w:val="auto"/>
                <w:sz w:val="21"/>
                <w:szCs w:val="21"/>
                <w:highlight w:val="none"/>
                <w:u w:val="none"/>
                <w:lang w:val="en-US" w:eastAsia="zh-CN"/>
              </w:rPr>
              <w:t>≥</w:t>
            </w:r>
            <w:r>
              <w:rPr>
                <w:rFonts w:hint="eastAsia" w:ascii="宋体" w:hAnsi="宋体" w:eastAsia="宋体" w:cs="宋体"/>
                <w:i w:val="0"/>
                <w:iCs w:val="0"/>
                <w:color w:val="auto"/>
                <w:sz w:val="21"/>
                <w:szCs w:val="21"/>
                <w:highlight w:val="none"/>
                <w:u w:val="none"/>
              </w:rPr>
              <w:t>185mm×100mm脚蹬调节为最高15cm，最低12cm</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3</w:t>
            </w:r>
            <w:r>
              <w:rPr>
                <w:rFonts w:hint="eastAsia" w:ascii="宋体" w:hAnsi="宋体" w:eastAsia="宋体" w:cs="宋体"/>
                <w:i w:val="0"/>
                <w:iCs w:val="0"/>
                <w:color w:val="auto"/>
                <w:sz w:val="21"/>
                <w:szCs w:val="21"/>
                <w:highlight w:val="none"/>
                <w:u w:val="none"/>
              </w:rPr>
              <w:t>.产品重量：约</w:t>
            </w:r>
            <w:r>
              <w:rPr>
                <w:rFonts w:hint="eastAsia" w:ascii="宋体" w:hAnsi="宋体" w:eastAsia="宋体" w:cs="宋体"/>
                <w:i w:val="0"/>
                <w:iCs w:val="0"/>
                <w:color w:val="auto"/>
                <w:sz w:val="21"/>
                <w:szCs w:val="21"/>
                <w:highlight w:val="none"/>
                <w:u w:val="none"/>
                <w:lang w:val="en-US" w:eastAsia="zh-CN"/>
              </w:rPr>
              <w:t>≥</w:t>
            </w:r>
            <w:r>
              <w:rPr>
                <w:rFonts w:hint="eastAsia" w:ascii="宋体" w:hAnsi="宋体" w:eastAsia="宋体" w:cs="宋体"/>
                <w:i w:val="0"/>
                <w:iCs w:val="0"/>
                <w:color w:val="auto"/>
                <w:sz w:val="21"/>
                <w:szCs w:val="21"/>
                <w:highlight w:val="none"/>
                <w:u w:val="none"/>
              </w:rPr>
              <w:t>8.5kg/个</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4</w:t>
            </w:r>
            <w:r>
              <w:rPr>
                <w:rFonts w:hint="eastAsia" w:ascii="宋体" w:hAnsi="宋体" w:eastAsia="宋体" w:cs="宋体"/>
                <w:i w:val="0"/>
                <w:iCs w:val="0"/>
                <w:color w:val="auto"/>
                <w:sz w:val="21"/>
                <w:szCs w:val="21"/>
                <w:highlight w:val="none"/>
                <w:u w:val="none"/>
              </w:rPr>
              <w:t>.用途及性能：</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rPr>
              <w:t>1）起跑器的主架体采用4mm厚的钢板冲压焊接而成。</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rPr>
              <w:t>2）抵脚板的板面为凹面，以容纳运动员的鞋钉。</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rPr>
              <w:t>3）两抵脚板的相对位置可以前后调整。</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rPr>
              <w:t>4）起跑器主板底部装有用于固定在跑道上的钉子，以确保起跑器在使用中不会移动，保持稳定，钉子不会损坏跑道。</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付</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42</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发令枪</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left"/>
              <w:rPr>
                <w:rFonts w:hint="eastAsia" w:ascii="宋体" w:hAnsi="宋体" w:eastAsia="宋体" w:cs="宋体"/>
                <w:i w:val="0"/>
                <w:iCs w:val="0"/>
                <w:color w:val="auto"/>
                <w:sz w:val="21"/>
                <w:szCs w:val="21"/>
                <w:highlight w:val="none"/>
                <w:u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支</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43</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摸高架</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left"/>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1</w:t>
            </w:r>
            <w:r>
              <w:rPr>
                <w:rFonts w:hint="eastAsia" w:ascii="宋体" w:hAnsi="宋体" w:eastAsia="宋体" w:cs="宋体"/>
                <w:i w:val="0"/>
                <w:iCs w:val="0"/>
                <w:color w:val="auto"/>
                <w:sz w:val="21"/>
                <w:szCs w:val="21"/>
                <w:highlight w:val="none"/>
                <w:u w:val="none"/>
              </w:rPr>
              <w:t>.产品材质：钢制</w:t>
            </w:r>
          </w:p>
          <w:p>
            <w:pPr>
              <w:spacing w:line="240" w:lineRule="auto"/>
              <w:jc w:val="left"/>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2</w:t>
            </w:r>
            <w:r>
              <w:rPr>
                <w:rFonts w:hint="eastAsia" w:ascii="宋体" w:hAnsi="宋体" w:eastAsia="宋体" w:cs="宋体"/>
                <w:i w:val="0"/>
                <w:iCs w:val="0"/>
                <w:color w:val="auto"/>
                <w:sz w:val="21"/>
                <w:szCs w:val="21"/>
                <w:highlight w:val="none"/>
                <w:u w:val="none"/>
              </w:rPr>
              <w:t>.产品规格：底座：</w:t>
            </w:r>
            <w:r>
              <w:rPr>
                <w:rFonts w:hint="eastAsia" w:ascii="宋体" w:hAnsi="宋体" w:eastAsia="宋体" w:cs="宋体"/>
                <w:i w:val="0"/>
                <w:iCs w:val="0"/>
                <w:color w:val="auto"/>
                <w:sz w:val="21"/>
                <w:szCs w:val="21"/>
                <w:highlight w:val="none"/>
                <w:u w:val="none"/>
                <w:lang w:val="en-US" w:eastAsia="zh-CN"/>
              </w:rPr>
              <w:t>≥</w:t>
            </w:r>
            <w:r>
              <w:rPr>
                <w:rFonts w:hint="eastAsia" w:ascii="宋体" w:hAnsi="宋体" w:eastAsia="宋体" w:cs="宋体"/>
                <w:i w:val="0"/>
                <w:iCs w:val="0"/>
                <w:color w:val="auto"/>
                <w:sz w:val="21"/>
                <w:szCs w:val="21"/>
                <w:highlight w:val="none"/>
                <w:u w:val="none"/>
              </w:rPr>
              <w:t>长*宽*高=90*60*80cm，调节高度为1.5-3m，底部有走轮，移动方便</w:t>
            </w:r>
          </w:p>
          <w:p>
            <w:pPr>
              <w:spacing w:line="240" w:lineRule="auto"/>
              <w:jc w:val="left"/>
              <w:rPr>
                <w:rFonts w:hint="eastAsia" w:ascii="宋体" w:hAnsi="宋体" w:eastAsia="宋体" w:cs="宋体"/>
                <w:i w:val="0"/>
                <w:iCs w:val="0"/>
                <w:color w:val="auto"/>
                <w:sz w:val="21"/>
                <w:szCs w:val="21"/>
                <w:highlight w:val="none"/>
                <w:u w:val="none"/>
                <w:lang w:eastAsia="zh-CN"/>
              </w:rPr>
            </w:pPr>
            <w:r>
              <w:rPr>
                <w:rFonts w:hint="eastAsia" w:ascii="宋体" w:hAnsi="宋体" w:eastAsia="宋体" w:cs="宋体"/>
                <w:i w:val="0"/>
                <w:iCs w:val="0"/>
                <w:color w:val="auto"/>
                <w:sz w:val="21"/>
                <w:szCs w:val="21"/>
                <w:highlight w:val="none"/>
                <w:u w:val="none"/>
                <w:lang w:val="en-US" w:eastAsia="zh-CN"/>
              </w:rPr>
              <w:t>3</w:t>
            </w:r>
            <w:r>
              <w:rPr>
                <w:rFonts w:hint="eastAsia" w:ascii="宋体" w:hAnsi="宋体" w:eastAsia="宋体" w:cs="宋体"/>
                <w:i w:val="0"/>
                <w:iCs w:val="0"/>
                <w:color w:val="auto"/>
                <w:sz w:val="21"/>
                <w:szCs w:val="21"/>
                <w:highlight w:val="none"/>
                <w:u w:val="none"/>
              </w:rPr>
              <w:t>.产品重量：</w:t>
            </w:r>
            <w:r>
              <w:rPr>
                <w:rFonts w:hint="eastAsia" w:ascii="宋体" w:hAnsi="宋体" w:eastAsia="宋体" w:cs="宋体"/>
                <w:i w:val="0"/>
                <w:iCs w:val="0"/>
                <w:color w:val="auto"/>
                <w:sz w:val="21"/>
                <w:szCs w:val="21"/>
                <w:highlight w:val="none"/>
                <w:u w:val="none"/>
                <w:lang w:val="en-US" w:eastAsia="zh-CN"/>
              </w:rPr>
              <w:t>≥</w:t>
            </w:r>
            <w:r>
              <w:rPr>
                <w:rFonts w:hint="eastAsia" w:ascii="宋体" w:hAnsi="宋体" w:eastAsia="宋体" w:cs="宋体"/>
                <w:i w:val="0"/>
                <w:iCs w:val="0"/>
                <w:color w:val="auto"/>
                <w:sz w:val="21"/>
                <w:szCs w:val="21"/>
                <w:highlight w:val="none"/>
                <w:u w:val="none"/>
              </w:rPr>
              <w:t>62kg</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付</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44</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标志杆（筒）</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left"/>
              <w:rPr>
                <w:rFonts w:hint="eastAsia" w:ascii="宋体" w:hAnsi="宋体" w:eastAsia="宋体" w:cs="宋体"/>
                <w:i w:val="0"/>
                <w:iCs w:val="0"/>
                <w:color w:val="auto"/>
                <w:sz w:val="21"/>
                <w:szCs w:val="21"/>
                <w:highlight w:val="none"/>
                <w:u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根</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25</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45</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投掷靶</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left"/>
              <w:rPr>
                <w:rFonts w:hint="eastAsia" w:ascii="宋体" w:hAnsi="宋体" w:eastAsia="宋体" w:cs="宋体"/>
                <w:i w:val="0"/>
                <w:iCs w:val="0"/>
                <w:color w:val="auto"/>
                <w:sz w:val="21"/>
                <w:szCs w:val="21"/>
                <w:highlight w:val="none"/>
                <w:u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只</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46</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橡皮拉力带</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left"/>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1</w:t>
            </w:r>
            <w:r>
              <w:rPr>
                <w:rFonts w:hint="eastAsia" w:ascii="宋体" w:hAnsi="宋体" w:eastAsia="宋体" w:cs="宋体"/>
                <w:i w:val="0"/>
                <w:iCs w:val="0"/>
                <w:color w:val="auto"/>
                <w:sz w:val="21"/>
                <w:szCs w:val="21"/>
                <w:highlight w:val="none"/>
                <w:u w:val="none"/>
              </w:rPr>
              <w:t>.产品规格：宽</w:t>
            </w:r>
            <w:r>
              <w:rPr>
                <w:rFonts w:hint="eastAsia" w:ascii="宋体" w:hAnsi="宋体" w:eastAsia="宋体" w:cs="宋体"/>
                <w:i w:val="0"/>
                <w:iCs w:val="0"/>
                <w:color w:val="auto"/>
                <w:sz w:val="21"/>
                <w:szCs w:val="21"/>
                <w:highlight w:val="none"/>
                <w:u w:val="none"/>
                <w:lang w:val="en-US" w:eastAsia="zh-CN"/>
              </w:rPr>
              <w:t>≥</w:t>
            </w:r>
            <w:r>
              <w:rPr>
                <w:rFonts w:hint="eastAsia" w:ascii="宋体" w:hAnsi="宋体" w:eastAsia="宋体" w:cs="宋体"/>
                <w:i w:val="0"/>
                <w:iCs w:val="0"/>
                <w:color w:val="auto"/>
                <w:sz w:val="21"/>
                <w:szCs w:val="21"/>
                <w:highlight w:val="none"/>
                <w:u w:val="none"/>
              </w:rPr>
              <w:t>4cm</w:t>
            </w:r>
          </w:p>
          <w:p>
            <w:pPr>
              <w:keepNext w:val="0"/>
              <w:keepLines w:val="0"/>
              <w:widowControl/>
              <w:suppressLineNumbers w:val="0"/>
              <w:spacing w:line="240" w:lineRule="auto"/>
              <w:jc w:val="left"/>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2</w:t>
            </w:r>
            <w:r>
              <w:rPr>
                <w:rFonts w:hint="eastAsia" w:ascii="宋体" w:hAnsi="宋体" w:eastAsia="宋体" w:cs="宋体"/>
                <w:i w:val="0"/>
                <w:iCs w:val="0"/>
                <w:color w:val="auto"/>
                <w:sz w:val="21"/>
                <w:szCs w:val="21"/>
                <w:highlight w:val="none"/>
                <w:u w:val="none"/>
              </w:rPr>
              <w:t>.主要用于健身和训练使用。</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根</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25</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47</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铅球</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1</w:t>
            </w:r>
            <w:r>
              <w:rPr>
                <w:rFonts w:hint="eastAsia" w:ascii="宋体" w:hAnsi="宋体" w:eastAsia="宋体" w:cs="宋体"/>
                <w:i w:val="0"/>
                <w:iCs w:val="0"/>
                <w:color w:val="auto"/>
                <w:sz w:val="21"/>
                <w:szCs w:val="21"/>
                <w:highlight w:val="none"/>
                <w:u w:val="none"/>
              </w:rPr>
              <w:t>.主要材质：铸铁，表面经过喷漆处理。</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2</w:t>
            </w:r>
            <w:r>
              <w:rPr>
                <w:rFonts w:hint="eastAsia" w:ascii="宋体" w:hAnsi="宋体" w:eastAsia="宋体" w:cs="宋体"/>
                <w:i w:val="0"/>
                <w:iCs w:val="0"/>
                <w:color w:val="auto"/>
                <w:sz w:val="21"/>
                <w:szCs w:val="21"/>
                <w:highlight w:val="none"/>
                <w:u w:val="none"/>
              </w:rPr>
              <w:t>.将球体放在直径为12毫米的水平圆形口刃上，球体保持平衡，球体重心至球体中心的距离不得大于6毫米。</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3</w:t>
            </w:r>
            <w:r>
              <w:rPr>
                <w:rFonts w:hint="eastAsia" w:ascii="宋体" w:hAnsi="宋体" w:eastAsia="宋体" w:cs="宋体"/>
                <w:i w:val="0"/>
                <w:iCs w:val="0"/>
                <w:color w:val="auto"/>
                <w:sz w:val="21"/>
                <w:szCs w:val="21"/>
                <w:highlight w:val="none"/>
                <w:u w:val="none"/>
              </w:rPr>
              <w:t>.产品规格：3kg。</w:t>
            </w:r>
          </w:p>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4</w:t>
            </w:r>
            <w:r>
              <w:rPr>
                <w:rFonts w:hint="eastAsia" w:ascii="宋体" w:hAnsi="宋体" w:eastAsia="宋体" w:cs="宋体"/>
                <w:i w:val="0"/>
                <w:iCs w:val="0"/>
                <w:color w:val="auto"/>
                <w:sz w:val="21"/>
                <w:szCs w:val="21"/>
                <w:highlight w:val="none"/>
                <w:u w:val="none"/>
              </w:rPr>
              <w:t>.产品颜色：黑色</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48</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钻圈架</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i w:val="0"/>
                <w:iCs w:val="0"/>
                <w:color w:val="auto"/>
                <w:sz w:val="21"/>
                <w:szCs w:val="21"/>
                <w:highlight w:val="none"/>
                <w:u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49</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彩带</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i w:val="0"/>
                <w:iCs w:val="0"/>
                <w:color w:val="auto"/>
                <w:sz w:val="21"/>
                <w:szCs w:val="21"/>
                <w:highlight w:val="none"/>
                <w:u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条</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攀登架</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i w:val="0"/>
                <w:iCs w:val="0"/>
                <w:color w:val="auto"/>
                <w:sz w:val="21"/>
                <w:szCs w:val="21"/>
                <w:highlight w:val="none"/>
                <w:u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组</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51</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少年篮球</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52</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少年排球</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53</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少年足球</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top"/>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PU面料，缝制工艺</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54</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乒乓球拍</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i w:val="0"/>
                <w:iCs w:val="0"/>
                <w:color w:val="auto"/>
                <w:sz w:val="21"/>
                <w:szCs w:val="21"/>
                <w:highlight w:val="none"/>
                <w:u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付</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24</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55</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羽毛球拍</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铝合金一体</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付</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24</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56</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板羽球拍</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i w:val="0"/>
                <w:iCs w:val="0"/>
                <w:color w:val="auto"/>
                <w:sz w:val="21"/>
                <w:szCs w:val="21"/>
                <w:highlight w:val="none"/>
                <w:u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付</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50</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57</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乒乓球台</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i w:val="0"/>
                <w:iCs w:val="0"/>
                <w:color w:val="auto"/>
                <w:sz w:val="21"/>
                <w:szCs w:val="21"/>
                <w:highlight w:val="none"/>
                <w:u w:val="none"/>
                <w:lang w:val="en-US" w:eastAsia="zh-CN"/>
              </w:rPr>
            </w:pPr>
            <w:r>
              <w:rPr>
                <w:rFonts w:hint="eastAsia" w:ascii="宋体" w:hAnsi="宋体" w:eastAsia="宋体" w:cs="宋体"/>
                <w:i w:val="0"/>
                <w:iCs w:val="0"/>
                <w:color w:val="auto"/>
                <w:sz w:val="21"/>
                <w:szCs w:val="21"/>
                <w:highlight w:val="none"/>
                <w:u w:val="none"/>
                <w:lang w:val="en-US" w:eastAsia="zh-CN"/>
              </w:rPr>
              <w:t>尺寸2740*1525*760cm，台面采用全SMC片状塑料模压一次成型，击球感与标准球台接近网格加强筋结构，具备足够强度，不易变形。</w:t>
            </w:r>
          </w:p>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台面抗腐蚀，耐酸雨，有较强的温差适应能力。底架提供稳定支撑结构。</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张</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58</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七人足球门</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1</w:t>
            </w:r>
            <w:r>
              <w:rPr>
                <w:rFonts w:hint="eastAsia" w:ascii="宋体" w:hAnsi="宋体" w:eastAsia="宋体" w:cs="宋体"/>
                <w:i w:val="0"/>
                <w:iCs w:val="0"/>
                <w:color w:val="auto"/>
                <w:sz w:val="21"/>
                <w:szCs w:val="21"/>
                <w:highlight w:val="none"/>
                <w:u w:val="none"/>
              </w:rPr>
              <w:t>.主体颜色：白色</w:t>
            </w:r>
          </w:p>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2</w:t>
            </w:r>
            <w:r>
              <w:rPr>
                <w:rFonts w:hint="eastAsia" w:ascii="宋体" w:hAnsi="宋体" w:eastAsia="宋体" w:cs="宋体"/>
                <w:i w:val="0"/>
                <w:iCs w:val="0"/>
                <w:color w:val="auto"/>
                <w:sz w:val="21"/>
                <w:szCs w:val="21"/>
                <w:highlight w:val="none"/>
                <w:u w:val="none"/>
              </w:rPr>
              <w:t>.产品尺寸：5×2m×2.75mm</w:t>
            </w:r>
            <w:r>
              <w:rPr>
                <w:rFonts w:hint="eastAsia" w:ascii="宋体" w:hAnsi="宋体" w:eastAsia="宋体" w:cs="宋体"/>
                <w:i w:val="0"/>
                <w:iCs w:val="0"/>
                <w:color w:val="auto"/>
                <w:sz w:val="21"/>
                <w:szCs w:val="21"/>
                <w:highlight w:val="none"/>
                <w:u w:val="none"/>
                <w:lang w:val="en-US" w:eastAsia="zh-CN"/>
              </w:rPr>
              <w:t>3</w:t>
            </w:r>
            <w:r>
              <w:rPr>
                <w:rFonts w:hint="eastAsia" w:ascii="宋体" w:hAnsi="宋体" w:eastAsia="宋体" w:cs="宋体"/>
                <w:i w:val="0"/>
                <w:iCs w:val="0"/>
                <w:color w:val="auto"/>
                <w:sz w:val="21"/>
                <w:szCs w:val="21"/>
                <w:highlight w:val="none"/>
                <w:u w:val="none"/>
              </w:rPr>
              <w:t>.产品规格：门柱直径89mm*2.75m，横梁直径89mm*5m，边框直径42mm，钢管壁厚2.75mm</w:t>
            </w:r>
          </w:p>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4</w:t>
            </w:r>
            <w:r>
              <w:rPr>
                <w:rFonts w:hint="eastAsia" w:ascii="宋体" w:hAnsi="宋体" w:eastAsia="宋体" w:cs="宋体"/>
                <w:i w:val="0"/>
                <w:iCs w:val="0"/>
                <w:color w:val="auto"/>
                <w:sz w:val="21"/>
                <w:szCs w:val="21"/>
                <w:highlight w:val="none"/>
                <w:u w:val="none"/>
              </w:rPr>
              <w:t>.产品材质：采用钢制作而成，所有钢质件均经除锈、磷化后在自动喷涂线上喷塑，外形美观，大方。</w:t>
            </w:r>
          </w:p>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lang w:val="en-US" w:eastAsia="zh-CN"/>
              </w:rPr>
              <w:t>5</w:t>
            </w:r>
            <w:r>
              <w:rPr>
                <w:rFonts w:hint="eastAsia" w:ascii="宋体" w:hAnsi="宋体" w:eastAsia="宋体" w:cs="宋体"/>
                <w:i w:val="0"/>
                <w:iCs w:val="0"/>
                <w:color w:val="auto"/>
                <w:sz w:val="21"/>
                <w:szCs w:val="21"/>
                <w:highlight w:val="none"/>
                <w:u w:val="none"/>
              </w:rPr>
              <w:t>.适用于国内外、比赛训练。</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付</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59</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五人制足球门</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.主体颜色：白色</w:t>
            </w:r>
          </w:p>
          <w:p>
            <w:pPr>
              <w:spacing w:line="24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产品尺寸：2*3*1.5m</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.产品规格：门柱直径75mm*2m，横梁直径75mm*3m，边框直径32mm，壁厚2mm</w:t>
            </w:r>
          </w:p>
          <w:p>
            <w:pPr>
              <w:spacing w:line="24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.产品材质：采用钢制作而成，所有钢质件均经除锈、磷化后在自动喷涂线上喷塑，外形美观，大方。</w:t>
            </w:r>
          </w:p>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.适用于国内外、比赛训练。</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付</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60</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足球训练器械</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i w:val="0"/>
                <w:iCs w:val="0"/>
                <w:color w:val="auto"/>
                <w:sz w:val="21"/>
                <w:szCs w:val="21"/>
                <w:highlight w:val="none"/>
                <w:u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61</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篮球架</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outlineLvl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1、产品技术规格、产品用材</w:t>
            </w:r>
          </w:p>
          <w:p>
            <w:pPr>
              <w:spacing w:line="24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篮球架伸臂长2.25m，篮圈上沿离地面3.05m，篮架底座尺寸长x宽=2.0x1（m）。球架立柱采用定制口150x150x4大圆角方管制作，圆角R30mm，安全性高；单只球架可放置配重物不少于510kg。</w:t>
            </w:r>
          </w:p>
          <w:p>
            <w:pPr>
              <w:spacing w:line="240" w:lineRule="auto"/>
              <w:jc w:val="both"/>
              <w:outlineLvl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3、篮板</w:t>
            </w:r>
          </w:p>
          <w:p>
            <w:pPr>
              <w:spacing w:line="24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规格：1800x1050（mm），配用国际通用的高强度安全玻璃篮板，下沿及侧面覆盖有保护条，保护运动员扣篮时不受伤害。</w:t>
            </w:r>
          </w:p>
          <w:p>
            <w:pPr>
              <w:spacing w:line="240" w:lineRule="auto"/>
              <w:jc w:val="both"/>
              <w:outlineLvl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4、篮圈</w:t>
            </w:r>
          </w:p>
          <w:p>
            <w:pPr>
              <w:spacing w:line="24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篮圈采用</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φ17实心圆钢制作，圈下焊有的圆弧形网钩，十二段均匀分布留适当间隙，配篮网。</w:t>
            </w:r>
          </w:p>
          <w:p>
            <w:pPr>
              <w:spacing w:line="240" w:lineRule="auto"/>
              <w:jc w:val="both"/>
              <w:outlineLvl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5、紧固件</w:t>
            </w:r>
          </w:p>
          <w:p>
            <w:pPr>
              <w:spacing w:line="24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篮架所有紧固件均采用国际知名品牌——晋亿螺丝，表面热镀锌处理，能保证长年不生锈。</w:t>
            </w:r>
          </w:p>
          <w:p>
            <w:pPr>
              <w:spacing w:line="240" w:lineRule="auto"/>
              <w:jc w:val="both"/>
              <w:outlineLvl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6、移动</w:t>
            </w:r>
          </w:p>
          <w:p>
            <w:pPr>
              <w:spacing w:line="24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篮架置有走轮，配有方向操纵杆和轮子升降操纵杆，操作方便，仅需一人操作就可轻松移动篮架。</w:t>
            </w:r>
          </w:p>
          <w:p>
            <w:pPr>
              <w:spacing w:line="240" w:lineRule="auto"/>
              <w:jc w:val="both"/>
              <w:outlineLvl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7、防护措施</w:t>
            </w:r>
          </w:p>
          <w:p>
            <w:pPr>
              <w:spacing w:line="24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篮架前立柱、底座前部配有护套，能有效地保护运动员免受撞击，底座下部设有防震垫，能有效的保证使用时的安全性。</w:t>
            </w:r>
          </w:p>
          <w:p>
            <w:pPr>
              <w:spacing w:line="240" w:lineRule="auto"/>
              <w:jc w:val="both"/>
              <w:outlineLvl w:val="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8、表面处理</w:t>
            </w:r>
          </w:p>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sz w:val="21"/>
                <w:szCs w:val="21"/>
                <w:highlight w:val="none"/>
              </w:rPr>
              <w:t>产品具有耐酸碱、耐湿热、抗老化，能适合潮湿和酸雨环境，室内室外均可使用，且产品涂料配方不含有毒元素，避免损害使用者的健康。</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付</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62</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击剑赛道</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rPr>
              <w:t>标准：16m*1.5米</w:t>
            </w:r>
          </w:p>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sz w:val="21"/>
                <w:szCs w:val="21"/>
                <w:highlight w:val="none"/>
                <w:u w:val="none"/>
              </w:rPr>
              <w:t>主要材料：</w:t>
            </w:r>
          </w:p>
          <w:p>
            <w:pPr>
              <w:spacing w:line="240" w:lineRule="auto"/>
              <w:jc w:val="both"/>
              <w:rPr>
                <w:rFonts w:hint="eastAsia" w:ascii="宋体" w:hAnsi="宋体" w:eastAsia="宋体" w:cs="宋体"/>
                <w:i w:val="0"/>
                <w:iCs w:val="0"/>
                <w:color w:val="auto"/>
                <w:sz w:val="21"/>
                <w:szCs w:val="21"/>
                <w:highlight w:val="none"/>
                <w:u w:val="none"/>
                <w:lang w:eastAsia="zh-CN"/>
              </w:rPr>
            </w:pPr>
            <w:r>
              <w:rPr>
                <w:rFonts w:hint="eastAsia" w:ascii="宋体" w:hAnsi="宋体" w:eastAsia="宋体" w:cs="宋体"/>
                <w:i w:val="0"/>
                <w:iCs w:val="0"/>
                <w:color w:val="auto"/>
                <w:sz w:val="21"/>
                <w:szCs w:val="21"/>
                <w:highlight w:val="none"/>
                <w:u w:val="none"/>
              </w:rPr>
              <w:t>1.防滑面板铝合金</w:t>
            </w:r>
            <w:r>
              <w:rPr>
                <w:rFonts w:hint="eastAsia" w:ascii="宋体" w:hAnsi="宋体" w:eastAsia="宋体" w:cs="宋体"/>
                <w:i w:val="0"/>
                <w:iCs w:val="0"/>
                <w:color w:val="auto"/>
                <w:sz w:val="21"/>
                <w:szCs w:val="21"/>
                <w:highlight w:val="none"/>
                <w:u w:val="none"/>
                <w:lang w:eastAsia="zh-CN"/>
              </w:rPr>
              <w:t>；</w:t>
            </w:r>
          </w:p>
          <w:p>
            <w:pPr>
              <w:spacing w:line="240" w:lineRule="auto"/>
              <w:jc w:val="both"/>
              <w:rPr>
                <w:rFonts w:hint="eastAsia" w:ascii="宋体" w:hAnsi="宋体" w:eastAsia="宋体" w:cs="宋体"/>
                <w:i w:val="0"/>
                <w:iCs w:val="0"/>
                <w:color w:val="auto"/>
                <w:sz w:val="21"/>
                <w:szCs w:val="21"/>
                <w:highlight w:val="none"/>
                <w:u w:val="none"/>
                <w:lang w:eastAsia="zh-CN"/>
              </w:rPr>
            </w:pPr>
            <w:r>
              <w:rPr>
                <w:rFonts w:hint="eastAsia" w:ascii="宋体" w:hAnsi="宋体" w:eastAsia="宋体" w:cs="宋体"/>
                <w:i w:val="0"/>
                <w:iCs w:val="0"/>
                <w:color w:val="auto"/>
                <w:sz w:val="21"/>
                <w:szCs w:val="21"/>
                <w:highlight w:val="none"/>
                <w:u w:val="none"/>
              </w:rPr>
              <w:t>2.导电性能电阻不大于5欧姆</w:t>
            </w:r>
            <w:r>
              <w:rPr>
                <w:rFonts w:hint="eastAsia" w:ascii="宋体" w:hAnsi="宋体" w:eastAsia="宋体" w:cs="宋体"/>
                <w:i w:val="0"/>
                <w:iCs w:val="0"/>
                <w:color w:val="auto"/>
                <w:sz w:val="21"/>
                <w:szCs w:val="21"/>
                <w:highlight w:val="none"/>
                <w:u w:val="none"/>
                <w:lang w:eastAsia="zh-CN"/>
              </w:rPr>
              <w:t>；</w:t>
            </w:r>
          </w:p>
          <w:p>
            <w:pPr>
              <w:spacing w:line="240" w:lineRule="auto"/>
              <w:jc w:val="both"/>
              <w:rPr>
                <w:rFonts w:hint="eastAsia" w:ascii="宋体" w:hAnsi="宋体" w:eastAsia="宋体" w:cs="宋体"/>
                <w:i w:val="0"/>
                <w:iCs w:val="0"/>
                <w:color w:val="auto"/>
                <w:sz w:val="21"/>
                <w:szCs w:val="21"/>
                <w:highlight w:val="none"/>
                <w:u w:val="none"/>
                <w:lang w:eastAsia="zh-CN"/>
              </w:rPr>
            </w:pPr>
            <w:r>
              <w:rPr>
                <w:rFonts w:hint="eastAsia" w:ascii="宋体" w:hAnsi="宋体" w:eastAsia="宋体" w:cs="宋体"/>
                <w:i w:val="0"/>
                <w:iCs w:val="0"/>
                <w:color w:val="auto"/>
                <w:sz w:val="21"/>
                <w:szCs w:val="21"/>
                <w:highlight w:val="none"/>
                <w:u w:val="none"/>
              </w:rPr>
              <w:t>3.反面用EVR材料</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条</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63</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击剑训练装备</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防护性能好，穿着舒适，耐磨性好，重量轻，使用寿命长</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灰底红字专业击剑图案吸汗里布</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64</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跆拳道训练场地设备</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i w:val="0"/>
                <w:iCs w:val="0"/>
                <w:color w:val="auto"/>
                <w:sz w:val="21"/>
                <w:szCs w:val="21"/>
                <w:highlight w:val="none"/>
                <w:u w:val="none"/>
              </w:rPr>
            </w:pP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65</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跆拳道训练装备</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both"/>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符合体育运动（跆拳道）训练防护标准；</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66</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拔河绳</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25米3cm带钢丝粗拔河绳</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条</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67</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象棋</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木质棋子直径约5.8cm</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付</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68</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跳棋</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六角弹珠跳棋</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付</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w:t>
            </w:r>
          </w:p>
        </w:tc>
      </w:tr>
      <w:tr>
        <w:tblPrEx>
          <w:tblCellMar>
            <w:top w:w="0" w:type="dxa"/>
            <w:left w:w="108" w:type="dxa"/>
            <w:bottom w:w="0" w:type="dxa"/>
            <w:right w:w="108" w:type="dxa"/>
          </w:tblCellMar>
        </w:tblPrEx>
        <w:trPr>
          <w:trHeight w:val="270" w:hRule="atLeast"/>
        </w:trPr>
        <w:tc>
          <w:tcPr>
            <w:tcW w:w="622"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69</w:t>
            </w:r>
          </w:p>
        </w:tc>
        <w:tc>
          <w:tcPr>
            <w:tcW w:w="168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围棋</w:t>
            </w:r>
          </w:p>
        </w:tc>
        <w:tc>
          <w:tcPr>
            <w:tcW w:w="587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auto"/>
              <w:jc w:val="both"/>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玻璃珠围棋</w:t>
            </w:r>
          </w:p>
        </w:tc>
        <w:tc>
          <w:tcPr>
            <w:tcW w:w="70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付</w:t>
            </w:r>
          </w:p>
        </w:tc>
        <w:tc>
          <w:tcPr>
            <w:tcW w:w="103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w:t>
            </w:r>
          </w:p>
        </w:tc>
      </w:tr>
    </w:tbl>
    <w:p>
      <w:pPr>
        <w:pStyle w:val="22"/>
        <w:rPr>
          <w:rFonts w:hint="eastAsia" w:ascii="宋体" w:hAnsi="宋体" w:eastAsia="宋体" w:cs="宋体"/>
          <w:color w:val="auto"/>
          <w:highlight w:val="none"/>
          <w:lang w:val="en-US" w:eastAsia="zh-CN"/>
        </w:rPr>
        <w:sectPr>
          <w:footerReference r:id="rId6" w:type="default"/>
          <w:pgSz w:w="11906" w:h="16838"/>
          <w:pgMar w:top="1402" w:right="1134" w:bottom="1021" w:left="1081" w:header="737" w:footer="737" w:gutter="0"/>
          <w:cols w:space="720" w:num="1"/>
          <w:docGrid w:type="lines" w:linePitch="312" w:charSpace="0"/>
        </w:sectPr>
      </w:pPr>
    </w:p>
    <w:p>
      <w:pPr>
        <w:pStyle w:val="4"/>
        <w:shd w:val="clear"/>
        <w:bidi w:val="0"/>
        <w:jc w:val="both"/>
        <w:rPr>
          <w:rFonts w:hint="eastAsia" w:ascii="宋体" w:hAnsi="宋体" w:eastAsia="宋体" w:cs="宋体"/>
          <w:color w:val="auto"/>
          <w:highlight w:val="none"/>
          <w:lang w:val="en-US" w:eastAsia="zh-CN"/>
        </w:rPr>
      </w:pPr>
      <w:bookmarkStart w:id="280" w:name="_Toc15541"/>
      <w:r>
        <w:rPr>
          <w:rFonts w:hint="eastAsia" w:ascii="宋体" w:hAnsi="宋体" w:eastAsia="宋体" w:cs="宋体"/>
          <w:color w:val="auto"/>
          <w:highlight w:val="none"/>
        </w:rPr>
        <w:t>第</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包：</w:t>
      </w:r>
      <w:r>
        <w:rPr>
          <w:rFonts w:hint="eastAsia" w:ascii="宋体" w:hAnsi="宋体" w:eastAsia="宋体" w:cs="宋体"/>
          <w:color w:val="auto"/>
          <w:highlight w:val="none"/>
          <w:lang w:eastAsia="zh-CN"/>
        </w:rPr>
        <w:t>铜川市新区第三小学音乐器材采购</w:t>
      </w:r>
      <w:bookmarkEnd w:id="280"/>
      <w:r>
        <w:rPr>
          <w:rFonts w:hint="eastAsia" w:ascii="宋体" w:hAnsi="宋体" w:eastAsia="宋体" w:cs="宋体"/>
          <w:color w:val="auto"/>
          <w:highlight w:val="none"/>
          <w:lang w:eastAsia="zh-CN"/>
        </w:rPr>
        <w:t xml:space="preserve"> </w:t>
      </w:r>
    </w:p>
    <w:tbl>
      <w:tblPr>
        <w:tblStyle w:val="23"/>
        <w:tblW w:w="5000" w:type="pct"/>
        <w:tblInd w:w="0" w:type="dxa"/>
        <w:shd w:val="clear" w:color="auto" w:fill="auto"/>
        <w:tblLayout w:type="fixed"/>
        <w:tblCellMar>
          <w:top w:w="0" w:type="dxa"/>
          <w:left w:w="108" w:type="dxa"/>
          <w:bottom w:w="0" w:type="dxa"/>
          <w:right w:w="108" w:type="dxa"/>
        </w:tblCellMar>
      </w:tblPr>
      <w:tblGrid>
        <w:gridCol w:w="505"/>
        <w:gridCol w:w="783"/>
        <w:gridCol w:w="6767"/>
        <w:gridCol w:w="633"/>
        <w:gridCol w:w="683"/>
        <w:gridCol w:w="536"/>
      </w:tblGrid>
      <w:tr>
        <w:tblPrEx>
          <w:shd w:val="clear" w:color="auto" w:fill="auto"/>
        </w:tblPrEx>
        <w:trPr>
          <w:trHeight w:val="567" w:hRule="atLeast"/>
          <w:tblHeader/>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kern w:val="2"/>
                <w:sz w:val="21"/>
                <w:szCs w:val="21"/>
                <w:highlight w:val="none"/>
                <w:u w:val="none"/>
                <w:lang w:val="en-US" w:eastAsia="zh-CN" w:bidi="ar-SA"/>
              </w:rPr>
            </w:pPr>
            <w:bookmarkStart w:id="281" w:name="_Toc16643"/>
            <w:r>
              <w:rPr>
                <w:rFonts w:hint="eastAsia" w:ascii="宋体" w:hAnsi="宋体" w:eastAsia="宋体" w:cs="宋体"/>
                <w:b/>
                <w:bCs/>
                <w:i w:val="0"/>
                <w:iCs w:val="0"/>
                <w:color w:val="auto"/>
                <w:kern w:val="0"/>
                <w:sz w:val="21"/>
                <w:szCs w:val="21"/>
                <w:highlight w:val="none"/>
                <w:u w:val="none"/>
                <w:lang w:val="en-US" w:eastAsia="zh-CN" w:bidi="ar"/>
              </w:rPr>
              <w:t>序号</w:t>
            </w:r>
          </w:p>
        </w:tc>
        <w:tc>
          <w:tcPr>
            <w:tcW w:w="3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kern w:val="2"/>
                <w:sz w:val="21"/>
                <w:szCs w:val="21"/>
                <w:highlight w:val="none"/>
                <w:u w:val="none"/>
                <w:lang w:val="en-US" w:eastAsia="zh-CN" w:bidi="ar-SA"/>
              </w:rPr>
            </w:pPr>
            <w:r>
              <w:rPr>
                <w:rFonts w:hint="eastAsia" w:ascii="宋体" w:hAnsi="宋体" w:eastAsia="宋体" w:cs="宋体"/>
                <w:b/>
                <w:bCs/>
                <w:i w:val="0"/>
                <w:iCs w:val="0"/>
                <w:color w:val="auto"/>
                <w:kern w:val="0"/>
                <w:sz w:val="21"/>
                <w:szCs w:val="21"/>
                <w:highlight w:val="none"/>
                <w:u w:val="none"/>
                <w:lang w:val="en-US" w:eastAsia="zh-CN" w:bidi="ar"/>
              </w:rPr>
              <w:t>名称</w:t>
            </w:r>
          </w:p>
        </w:tc>
        <w:tc>
          <w:tcPr>
            <w:tcW w:w="3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kern w:val="2"/>
                <w:sz w:val="21"/>
                <w:szCs w:val="21"/>
                <w:highlight w:val="none"/>
                <w:u w:val="none"/>
                <w:lang w:val="en-US" w:eastAsia="zh-CN" w:bidi="ar-SA"/>
              </w:rPr>
            </w:pPr>
            <w:r>
              <w:rPr>
                <w:rFonts w:hint="eastAsia" w:ascii="宋体" w:hAnsi="宋体" w:eastAsia="宋体" w:cs="宋体"/>
                <w:b/>
                <w:bCs/>
                <w:i w:val="0"/>
                <w:iCs w:val="0"/>
                <w:color w:val="auto"/>
                <w:kern w:val="0"/>
                <w:sz w:val="21"/>
                <w:szCs w:val="21"/>
                <w:highlight w:val="none"/>
                <w:u w:val="none"/>
                <w:lang w:val="en-US" w:eastAsia="zh-CN" w:bidi="ar"/>
              </w:rPr>
              <w:t>参数</w:t>
            </w:r>
          </w:p>
        </w:tc>
        <w:tc>
          <w:tcPr>
            <w:tcW w:w="3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kern w:val="2"/>
                <w:sz w:val="21"/>
                <w:szCs w:val="21"/>
                <w:highlight w:val="none"/>
                <w:u w:val="none"/>
                <w:lang w:val="en-US" w:eastAsia="zh-CN" w:bidi="ar-SA"/>
              </w:rPr>
            </w:pPr>
            <w:r>
              <w:rPr>
                <w:rFonts w:hint="eastAsia" w:ascii="宋体" w:hAnsi="宋体" w:eastAsia="宋体" w:cs="宋体"/>
                <w:b/>
                <w:bCs/>
                <w:i w:val="0"/>
                <w:iCs w:val="0"/>
                <w:color w:val="auto"/>
                <w:kern w:val="0"/>
                <w:sz w:val="21"/>
                <w:szCs w:val="21"/>
                <w:highlight w:val="none"/>
                <w:u w:val="none"/>
                <w:lang w:val="en-US" w:eastAsia="zh-CN" w:bidi="ar"/>
              </w:rPr>
              <w:t>单位</w:t>
            </w:r>
          </w:p>
        </w:tc>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kern w:val="2"/>
                <w:sz w:val="21"/>
                <w:szCs w:val="21"/>
                <w:highlight w:val="none"/>
                <w:u w:val="none"/>
                <w:lang w:val="en-US" w:eastAsia="zh-CN" w:bidi="ar-SA"/>
              </w:rPr>
            </w:pPr>
            <w:r>
              <w:rPr>
                <w:rFonts w:hint="eastAsia" w:ascii="宋体" w:hAnsi="宋体" w:eastAsia="宋体" w:cs="宋体"/>
                <w:b/>
                <w:bCs/>
                <w:i w:val="0"/>
                <w:iCs w:val="0"/>
                <w:color w:val="auto"/>
                <w:kern w:val="0"/>
                <w:sz w:val="21"/>
                <w:szCs w:val="21"/>
                <w:highlight w:val="none"/>
                <w:u w:val="none"/>
                <w:lang w:val="en-US" w:eastAsia="zh-CN" w:bidi="ar"/>
              </w:rPr>
              <w:t>数量</w:t>
            </w:r>
          </w:p>
        </w:tc>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r>
              <w:rPr>
                <w:rFonts w:hint="eastAsia" w:ascii="宋体" w:hAnsi="宋体" w:eastAsia="宋体" w:cs="宋体"/>
                <w:b/>
                <w:bCs/>
                <w:i w:val="0"/>
                <w:iCs w:val="0"/>
                <w:color w:val="auto"/>
                <w:kern w:val="0"/>
                <w:sz w:val="21"/>
                <w:szCs w:val="21"/>
                <w:highlight w:val="none"/>
                <w:u w:val="none"/>
                <w:lang w:val="en-US" w:eastAsia="zh-CN" w:bidi="ar"/>
              </w:rPr>
              <w:t>备注</w:t>
            </w:r>
          </w:p>
        </w:tc>
      </w:tr>
      <w:tr>
        <w:tblPrEx>
          <w:shd w:val="clear" w:color="auto" w:fill="auto"/>
          <w:tblCellMar>
            <w:top w:w="0" w:type="dxa"/>
            <w:left w:w="108" w:type="dxa"/>
            <w:bottom w:w="0" w:type="dxa"/>
            <w:right w:w="108" w:type="dxa"/>
          </w:tblCellMar>
        </w:tblPrEx>
        <w:trPr>
          <w:trHeight w:val="567"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w:t>
            </w:r>
          </w:p>
        </w:tc>
        <w:tc>
          <w:tcPr>
            <w:tcW w:w="3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练习古琴</w:t>
            </w:r>
          </w:p>
        </w:tc>
        <w:tc>
          <w:tcPr>
            <w:tcW w:w="3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琴体采用三级杉木面板，云杉底板，合成大漆，鹿角霜，音色：高音区明亮清脆、中音区圆润柔美、低音区浑厚结实、无杂音、音色均匀。配置：古琴盒，琴囊，专业琴弦，擦琴布</w:t>
            </w:r>
          </w:p>
        </w:tc>
        <w:tc>
          <w:tcPr>
            <w:tcW w:w="3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架</w:t>
            </w:r>
          </w:p>
        </w:tc>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15</w:t>
            </w:r>
          </w:p>
        </w:tc>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shd w:val="clear" w:color="auto" w:fill="auto"/>
          <w:tblCellMar>
            <w:top w:w="0" w:type="dxa"/>
            <w:left w:w="108" w:type="dxa"/>
            <w:bottom w:w="0" w:type="dxa"/>
            <w:right w:w="108" w:type="dxa"/>
          </w:tblCellMar>
        </w:tblPrEx>
        <w:trPr>
          <w:trHeight w:val="567"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3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古琴桌椅</w:t>
            </w:r>
          </w:p>
        </w:tc>
        <w:tc>
          <w:tcPr>
            <w:tcW w:w="3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实木</w:t>
            </w:r>
          </w:p>
        </w:tc>
        <w:tc>
          <w:tcPr>
            <w:tcW w:w="3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shd w:val="clear" w:color="auto" w:fill="auto"/>
          <w:tblCellMar>
            <w:top w:w="0" w:type="dxa"/>
            <w:left w:w="108" w:type="dxa"/>
            <w:bottom w:w="0" w:type="dxa"/>
            <w:right w:w="108" w:type="dxa"/>
          </w:tblCellMar>
        </w:tblPrEx>
        <w:trPr>
          <w:trHeight w:val="567"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3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特级古筝1</w:t>
            </w:r>
          </w:p>
        </w:tc>
        <w:tc>
          <w:tcPr>
            <w:tcW w:w="3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材质：红花梨木，面底板精选兰考桐木，特级尼龙弦</w:t>
            </w:r>
          </w:p>
        </w:tc>
        <w:tc>
          <w:tcPr>
            <w:tcW w:w="3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架</w:t>
            </w:r>
          </w:p>
        </w:tc>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shd w:val="clear" w:color="auto" w:fill="auto"/>
          <w:tblCellMar>
            <w:top w:w="0" w:type="dxa"/>
            <w:left w:w="108" w:type="dxa"/>
            <w:bottom w:w="0" w:type="dxa"/>
            <w:right w:w="108" w:type="dxa"/>
          </w:tblCellMar>
        </w:tblPrEx>
        <w:trPr>
          <w:trHeight w:val="567"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w:t>
            </w:r>
          </w:p>
        </w:tc>
        <w:tc>
          <w:tcPr>
            <w:tcW w:w="3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古筝架及凳子</w:t>
            </w:r>
          </w:p>
        </w:tc>
        <w:tc>
          <w:tcPr>
            <w:tcW w:w="3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pacing w:line="240" w:lineRule="auto"/>
              <w:jc w:val="left"/>
              <w:rPr>
                <w:rFonts w:hint="eastAsia" w:ascii="宋体" w:hAnsi="宋体" w:eastAsia="宋体" w:cs="宋体"/>
                <w:i w:val="0"/>
                <w:iCs w:val="0"/>
                <w:color w:val="auto"/>
                <w:sz w:val="21"/>
                <w:szCs w:val="21"/>
                <w:highlight w:val="none"/>
                <w:u w:val="none"/>
              </w:rPr>
            </w:pPr>
          </w:p>
        </w:tc>
        <w:tc>
          <w:tcPr>
            <w:tcW w:w="3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shd w:val="clear" w:color="auto" w:fill="auto"/>
          <w:tblCellMar>
            <w:top w:w="0" w:type="dxa"/>
            <w:left w:w="108" w:type="dxa"/>
            <w:bottom w:w="0" w:type="dxa"/>
            <w:right w:w="108" w:type="dxa"/>
          </w:tblCellMar>
        </w:tblPrEx>
        <w:trPr>
          <w:trHeight w:val="567"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5</w:t>
            </w:r>
          </w:p>
        </w:tc>
        <w:tc>
          <w:tcPr>
            <w:tcW w:w="3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卧式钢琴</w:t>
            </w:r>
          </w:p>
        </w:tc>
        <w:tc>
          <w:tcPr>
            <w:tcW w:w="3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卧式钢琴技术参数</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1.工作条件：成品在相对湿度为40％－70%的条件下应能正常工作。</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2.技术性能指标</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2.1尺寸和重量</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2.1.1高度：1020mm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2.1.2长度：1850mm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2.1.3宽度：1500mm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2.1.4重量：≤390㎏</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2.1.5 琴弦：低音弦长度：1656mm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2.1.6弦槌：呢毡，重量：约6－12克</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2.1.7音板：采用实木音板（有标识），尺寸：1500×1360mm2</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2.2材料：</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2.2.1弦轴板：钢琴专用采用色木多层板，使音的稳定性和持久性更有保证。</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2.2.2弦码：采用钢琴专用色木实木，硬度高、不开裂、音波阻抗小，具有良好的导音性能。</w:t>
            </w:r>
          </w:p>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2.2.3弦轴：45＃调制钢</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2.2.4中踏瓣：选择踏板</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2.2.5活动杆：特种金属</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2.2.6 干燥处理：木制件经过两年以上的自然风干，再根据不同的部件采用不同的烘干方式释放木材的内应力，呢毡经过防潮、防蛀、防霉处理。</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2.2.7 键盘盖（缓冲装置）：有内置安全缓降装置。</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2.2.8 键盘：全音域88键</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2.2.9 踏板：全功能三瓣式。</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2.2.10外观涂装：底层为高密度聚脂板，再涂饰底漆及高硬度防裂亮光面漆</w:t>
            </w:r>
          </w:p>
        </w:tc>
        <w:tc>
          <w:tcPr>
            <w:tcW w:w="3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34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shd w:val="clear" w:color="auto" w:fill="auto"/>
          <w:tblCellMar>
            <w:top w:w="0" w:type="dxa"/>
            <w:left w:w="108" w:type="dxa"/>
            <w:bottom w:w="0" w:type="dxa"/>
            <w:right w:w="108" w:type="dxa"/>
          </w:tblCellMar>
        </w:tblPrEx>
        <w:trPr>
          <w:trHeight w:val="567"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6</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color w:val="auto"/>
                <w:sz w:val="21"/>
                <w:szCs w:val="21"/>
                <w:highlight w:val="none"/>
              </w:rPr>
              <w:t>※</w:t>
            </w:r>
            <w:r>
              <w:rPr>
                <w:rFonts w:hint="eastAsia" w:ascii="宋体" w:hAnsi="宋体" w:eastAsia="宋体" w:cs="宋体"/>
                <w:b/>
                <w:bCs/>
                <w:i w:val="0"/>
                <w:iCs w:val="0"/>
                <w:color w:val="auto"/>
                <w:kern w:val="0"/>
                <w:sz w:val="21"/>
                <w:szCs w:val="21"/>
                <w:highlight w:val="none"/>
                <w:u w:val="none"/>
                <w:lang w:val="en-US" w:eastAsia="zh-CN" w:bidi="ar"/>
              </w:rPr>
              <w:t>数字音乐教学仪教学系统</w:t>
            </w:r>
          </w:p>
        </w:tc>
        <w:tc>
          <w:tcPr>
            <w:tcW w:w="3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数字音乐授课系统：</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★音乐教学系统为方便数据收集与分析抛弃传统的单机版本采用账号登录，登录时需要输入账号、密码。下述所有功能需在统一软件内实现</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★系统具有注册账号及密码找回功能，需要输入手机号，系统会自动发送验证码到应对手机，输入验证码，和密码进行账号注册。</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一、歌唱教学系统：</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1.包含演奏设置、节拍器设置、曲谱播放教学、男生唱名播放教学、女生唱名播放教学、范唱播放教学、伴唱播放教学、男生节奏教学、女生节奏教学、女生试唱教学。（该项为重要技术参数，不得有负偏离）</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2.支持乐谱的播放，包含多种歌唱模式的播放，支持谱曲播放、男声唱名、女声唱名、范唱、伴奏、男声节奏、女声节奏、女声试唱。</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3.可选择单音播放、小节播放、任意位置播放、可选择歌词播放。（该项为重要技术参数，不得有负偏离）</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4.支持音符、歌词、虚拟键盘同步显示教学。</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5.★五线谱乐谱转成简谱或简谱乐谱转成五线谱、转换后的乐谱可直接播放并伴有音符高亮颜色显示播放进度，不单独生成对照谱。（该项为重要技术参数，不得有负偏离）</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6.★满足歌词学唱、支持歌词一键隐藏。</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7.满足不同距离教学需要，支持乐谱任意放大和缩小。</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8.满足歌唱拓展教学需要，在歌唱教学系统中可直接插入歌唱教学视频、图片等相关教学内容。</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9.★简谱乐谱谱曲播放、男声节奏播放、女声节奏播放、男声唱名、女声唱名播放、女声试唱播放等六种播放模式均可在播放过程中可直接改变 播放速度（改变速度时不能暂停）。</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10.★简谱乐谱谱曲播放过程中可直接改变音色（改变速度时不能暂停）。</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11.歌唱模块具有节拍器：具有2拍、3拍、4拍、3+2拍、3+3拍可调，节拍器播放时具有强弱拍。</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12.简谱乐谱中范唱播放、伴唱播放可改变速度、调式。</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13.支持对任意歌曲进行改编，包括音符，歌词，谱号，调号，音高，节奏。</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14.支持页面截图，点亮跟录制功能。</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15.课件谱曲播放时，可直接操作电子琴或电钢琴的音色按钮改变音色进行播放，可任意调用电子琴或电钢琴的音色通过电子琴或电钢琴的扬声 器发声。</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16.歌唱教学模块下具有电子白板讲解标注功能。包括：铅笔，荧光笔，笔记粗细可支持六度调节，橡皮擦，擦除全部，手势操作放大/缩小/页 面漫游，标注的笔迹可与课件同步缩放。</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二、乐理教学模块：</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1.具有一组大谱表、88键/61键可选的虚拟键盘（该项为重要技术参数，不得有负偏离）。</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2.虚拟键盘支持一键显隐功能。该项为重要技术参数，需在软件测试报告上体现该项功能）</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3.具备键盘、谱表和简谱窗口三位一体同步功能。（该项为重要技术参数，不得有负偏离）</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4.支持不低于15 种调式讲解，13 组音程尺，30组和弦同时对照讲解。</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5.五线谱区域支持页面漫游功能，可以直接触摸进行退拽进行左右滑动。</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6.虚拟键盘可一键显隐音名、唱名、五线谱线与线之间的位置，调式转换时音名、唱名、五线谱线与线之间的位置也会发生对应变换。</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7.具有电子白板讲解标注功能。包括：铅笔，荧光笔，笔记粗细可支持六度调节，橡皮擦，擦除全部，手势操作放大/缩小/页面漫游，标注的笔迹可与课件同步缩放。</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8.歌唱模块具有节拍器，节拍器播放时具有强弱拍。</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9. 能根据调试虚拟键盘上显示唱名、在谱表上记录并显示弹奏音符与和弦位置。（该项为重要技术参数，不得有负偏离）</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三、键盘指法教学模块：</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1.与音乐教学仪演示终端硬件无缝挂接，MIDI键盘琴键影像与虚拟键盘琴键一一对应。</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2.可根据需要设置61/88键盘，实时录制，能根据需要调整播放速度。3.指法影像可以任意的放大、拖到、实现指法重点部位的学习。</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4.虚拟键盘可一键显隐音名、唱名，调式转换时音名、唱名也会发生对应变换。</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四、音乐创作模块：</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1.具有简谱和五线谱两种模式。</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2.支持音高、时值、连音线、减时线、音阶、倚音、和弦、多音符、异步曲、歌词时值、歌词连线等内容设置。</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3.输入小键盘1、2、3、4、5、6、7可以输入简谱音符（该项为重要技术参数，不得有负偏离）。</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4.具有钢琴大谱表和复合谱表等常用谱表，支持在乐谱中添加演奏记号和演奏术语。</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5.支持在乐谱中添加作品标题和副标题、作者信息、演奏形式、演奏速度等信息。</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6.支持钢琴谱表、复合谱表等多行乐谱同时播放。</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7.在简谱打谱时可以直接操作键盘进行音符输入，可以点击简谱音符上下拖动来改变音符属性，简谱课件可直接一键转换为五线谱。</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8.在简谱课件中支持插入图片、视频进行混合编辑功能。</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9. 支持总谱打谱无限添加谱表，可设定每行谱表为不同的音色，可设置钢琴谱表、器乐合奏谱、合唱谱（该项为重要技术参数，不得有负偏离）。</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10.选择单谱表可以设定单谱表的播放乐器音色弹出修改乐器框，选择乐器名称，乐器类别并且播放，共128种音色。修改单谱表之间的行间距。（该项为重要技术参数，不得有负偏离）。</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五、赏析与资源中心</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1.近30万汉字知识点，包含了乐器史、中外音乐元素、海外音乐元素、东西方音乐家介绍等</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2.可插入图片、可音频进行文字，声音，图片进行混合教学应用。</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六、班级管理：</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1.★支持网络管理班级的功能，包括创建班级、入学年份、班级人数、班级名称。</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2.★ 班级管理功能可直接查看学生姓名、性别、家长的联系方式学生历史评测成绩、支持学生信息的修改、添加、删除。</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七、作业管理：</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1.支持教师随时随地可以在教师端进行远程作业布置功能。</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2.★包括班级名称、作业名称、发布时间、作业完成情况、查看详情。</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3.作业完成情况以百分比的形式展现。</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4.★可直接查看作业信息：班级名称、作业名称、发布时间、作业完成情况百分比呈现、查看作业详情。</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5.★支持作业下发学生答题完毕后可直接提交作业，系统会自动评测显示学生得分、 答题正确率、班级排名等。</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八、题库管理：</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1.题库管理：具有公开题库、我的题库两种类型，我的题库支持创建试题，创建试题时可直接选择试题类型、试题分数、题目描述、选择题选项范围2-8项可选；</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2.公开题库：试题为选择题，教师可直接查看试题信息、正确选项、单题得分、总得分，数量不低于90套题可直接选用；</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3.支持教师下发的题目可选择公开与不公开</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硬件部分：</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.音乐教学演示终端为便携式视频设备，支持电脑USB供电或外接电源，视频幅面完全覆盖音乐琴键，完整展示教师演奏示范。</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2.音乐教学演示终端支持教学控制私有协议。</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3.音乐教学演示终端支持百万像素，支持10倍数码放大，百万高清像素下，动态速度在15帧/秒以上。</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4.音乐教学演示终端支持免驱系统，包括Windows 10/Windows8/8.1/ Windows 7/ Windows VISTA/Windows XP sp2。</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★5.音乐教学演示终端为两段氏可调节高度设计，满足不同键盘乐器的实体键盘影响，整体高度430mm-600mm</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图像色彩 RGB24位真彩</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拍摄速度 ≤1秒</w:t>
            </w:r>
            <w:r>
              <w:rPr>
                <w:rFonts w:hint="eastAsia" w:ascii="宋体" w:hAnsi="宋体" w:eastAsia="宋体" w:cs="宋体"/>
                <w:b/>
                <w:bCs/>
                <w:i w:val="0"/>
                <w:iCs w:val="0"/>
                <w:color w:val="auto"/>
                <w:kern w:val="0"/>
                <w:sz w:val="21"/>
                <w:szCs w:val="21"/>
                <w:highlight w:val="none"/>
                <w:u w:val="none"/>
                <w:lang w:val="en-US" w:eastAsia="zh-CN" w:bidi="ar"/>
              </w:rPr>
              <w:br w:type="textWrapping"/>
            </w:r>
            <w:r>
              <w:rPr>
                <w:rFonts w:hint="eastAsia" w:ascii="宋体" w:hAnsi="宋体" w:eastAsia="宋体" w:cs="宋体"/>
                <w:b/>
                <w:bCs/>
                <w:i w:val="0"/>
                <w:iCs w:val="0"/>
                <w:color w:val="auto"/>
                <w:kern w:val="0"/>
                <w:sz w:val="21"/>
                <w:szCs w:val="21"/>
                <w:highlight w:val="none"/>
                <w:u w:val="none"/>
                <w:lang w:val="en-US" w:eastAsia="zh-CN" w:bidi="ar"/>
              </w:rPr>
              <w:t>光源 自然光、内置6颗LED灯辅助光源，无极调控开关控制</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台</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kern w:val="0"/>
                <w:sz w:val="21"/>
                <w:szCs w:val="21"/>
                <w:highlight w:val="none"/>
                <w:u w:val="none"/>
                <w:lang w:val="en-US" w:eastAsia="zh-CN" w:bidi="ar"/>
              </w:rPr>
            </w:pPr>
          </w:p>
        </w:tc>
      </w:tr>
      <w:tr>
        <w:tblPrEx>
          <w:shd w:val="clear" w:color="auto" w:fill="auto"/>
          <w:tblCellMar>
            <w:top w:w="0" w:type="dxa"/>
            <w:left w:w="108" w:type="dxa"/>
            <w:bottom w:w="0" w:type="dxa"/>
            <w:right w:w="108" w:type="dxa"/>
          </w:tblCellMar>
        </w:tblPrEx>
        <w:trPr>
          <w:trHeight w:val="567"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7</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操作台</w:t>
            </w:r>
          </w:p>
        </w:tc>
        <w:tc>
          <w:tcPr>
            <w:tcW w:w="3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2000*600*900多功能操作台，嵌入式设计理念，教师用琴、与计算机及相应主控设备可内置，整洁、美观、大气，节约空间，适用性强。</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shd w:val="clear" w:color="auto" w:fill="auto"/>
          <w:tblCellMar>
            <w:top w:w="0" w:type="dxa"/>
            <w:left w:w="108" w:type="dxa"/>
            <w:bottom w:w="0" w:type="dxa"/>
            <w:right w:w="108" w:type="dxa"/>
          </w:tblCellMar>
        </w:tblPrEx>
        <w:trPr>
          <w:trHeight w:val="567"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主控箱</w:t>
            </w:r>
          </w:p>
        </w:tc>
        <w:tc>
          <w:tcPr>
            <w:tcW w:w="3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自主知识产权的专用芯片：</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1.支持Windows XP \Windows7\Windows10\32或64位操作系统；</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2.可用USB通用接口与USB直接连接，市面上所有通用的PC架构硬件设备无需安装其他硬件设备；</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3.专业设计的芯片和电路系统；</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4.系统核心采用数字信号处理技术；</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5.音频接口上信号的采样/回放都具有双声44.1K采样率和16位量化精度，音质达到立体声CD级；</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6.音频数字信号均无压缩损耗，原始采样数据实时处理；</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7.音源通道都分配有专用处理单元,绝无断音现象；</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8.可以方便、快捷、直观的体现传统授课情景；</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9.系统预制可带72座电钢琴（电子琴）。</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10.真正实现大班授课，解决传统键盘乐授课的弊端。</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shd w:val="clear" w:color="auto" w:fill="auto"/>
          <w:tblCellMar>
            <w:top w:w="0" w:type="dxa"/>
            <w:left w:w="108" w:type="dxa"/>
            <w:bottom w:w="0" w:type="dxa"/>
            <w:right w:w="108" w:type="dxa"/>
          </w:tblCellMar>
        </w:tblPrEx>
        <w:trPr>
          <w:trHeight w:val="567"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9</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系统软件</w:t>
            </w:r>
          </w:p>
        </w:tc>
        <w:tc>
          <w:tcPr>
            <w:tcW w:w="3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1、系统为方便数据收集与分析抛弃传统的单机版本采用账号登录，登录时需要输入账号、密码。下述所有功能需在统一软件内实现</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2、系统具有注册账号及密码找回功能，需要输入手机号，系统会自动发送验证码到应对手机，输入验证码，和密码进行账号注册。</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3、软件包含三大功能模块：电子教室管理模块、乐理教学模块、演奏教学模块。</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4、电子教学管理模块：</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4.1系统及对应软件将多部电钢琴（电子琴）等键盘乐器连接起来。</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4.2通过耳麦实现授课。 学生之间毫无干扰，且经过技术处理音质可达CD音质，零延迟、超保真。</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4.3可实现授课、分组授课、自习、分组自习、编辑教室、监听、通话、示范、呼叫、保存、及下发教材等功能。</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4.4支持课堂计时，使教师方便把控授课进度，也使教师方便掌握学生的弹奏时长，该功能尤其适用在规定时长内弹奏的课题施教。</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4.5教学笔记功能， 系统软件自带随堂教学笔记功能，教师可方记录课堂记录，无需用户指定笔记存储位置，自动存储在软件安装目录；</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4.6学生音色设定，教师可以从软件端设定多个学生琴的音色、实现多音色合奏。</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4.7音色转换，可直接操作电子琴或电钢琴的音色按钮改变音色进行播放，可任意调用电子琴或电钢琴的音色，通过其扬声器发声；</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4.8用户可自行添加VSTI音色库；</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color w:val="auto"/>
                <w:sz w:val="21"/>
                <w:szCs w:val="21"/>
                <w:highlight w:val="none"/>
                <w:u w:val="none"/>
              </w:rPr>
              <w:t>软件和信息技术服务业</w:t>
            </w:r>
          </w:p>
        </w:tc>
      </w:tr>
      <w:tr>
        <w:tblPrEx>
          <w:shd w:val="clear" w:color="auto" w:fill="auto"/>
          <w:tblCellMar>
            <w:top w:w="0" w:type="dxa"/>
            <w:left w:w="108" w:type="dxa"/>
            <w:bottom w:w="0" w:type="dxa"/>
            <w:right w:w="108" w:type="dxa"/>
          </w:tblCellMar>
        </w:tblPrEx>
        <w:trPr>
          <w:trHeight w:val="567"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10</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显示器</w:t>
            </w:r>
          </w:p>
        </w:tc>
        <w:tc>
          <w:tcPr>
            <w:tcW w:w="3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19’寸</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shd w:val="clear" w:color="auto" w:fill="auto"/>
          <w:tblCellMar>
            <w:top w:w="0" w:type="dxa"/>
            <w:left w:w="108" w:type="dxa"/>
            <w:bottom w:w="0" w:type="dxa"/>
            <w:right w:w="108" w:type="dxa"/>
          </w:tblCellMar>
        </w:tblPrEx>
        <w:trPr>
          <w:trHeight w:val="567"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11</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教师信号控制器</w:t>
            </w:r>
          </w:p>
        </w:tc>
        <w:tc>
          <w:tcPr>
            <w:tcW w:w="3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教师控制终端：</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1.自主知识产权的专用芯片；</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2.全新开模设计，增设USB接口；</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3.支持按键操作；</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4.可任意切换MIDI信号或者音频信号两种传输模式；</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5.支持故障提示、信号双向传输；</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6.通过网线+音频线+UD线的全新连接方式；</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7.抗干扰力强，44.1K /16位双声道立体声CD音质；</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8.增设一对ECA60音频处理模块，信噪比&gt;80dB；失真度&lt;1%；终端延时：小于千分之一秒，绝无延迟感觉；</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9.终端功能：音量调节，终端呼叫，麦克控制、状态指示；</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10.尺寸参考规格：（120mm*90mm*30mm）</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shd w:val="clear" w:color="auto" w:fill="auto"/>
          <w:tblCellMar>
            <w:top w:w="0" w:type="dxa"/>
            <w:left w:w="108" w:type="dxa"/>
            <w:bottom w:w="0" w:type="dxa"/>
            <w:right w:w="108" w:type="dxa"/>
          </w:tblCellMar>
        </w:tblPrEx>
        <w:trPr>
          <w:trHeight w:val="567"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12</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教师耳麦</w:t>
            </w:r>
          </w:p>
        </w:tc>
        <w:tc>
          <w:tcPr>
            <w:tcW w:w="3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麦克风：</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咪头尺寸/Mic Dimensions          Ф6.0*5mm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方向性/Directivity      全指向/Omnidirectional</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灵敏度 /Sensitivity             -46±3db</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阻抗/ Impedance                     ≤ 2.2KΩ</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喇叭/Speaker</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直径/Driver Diameter                 Ø40mm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阻抗/ Impedance                   26Ω±15%</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频率响应/ Frequency Response     20Hz-20kHz</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灵敏度（S.P.L）                    97dB±3dB</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插头/Plug Type                       ￠3.5mm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线长/Cord Length                  ≥2.3meters</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副</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shd w:val="clear" w:color="auto" w:fill="auto"/>
        </w:tblPrEx>
        <w:trPr>
          <w:trHeight w:val="567"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13</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教师用琴</w:t>
            </w:r>
          </w:p>
        </w:tc>
        <w:tc>
          <w:tcPr>
            <w:tcW w:w="3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键盘：Responsive Hammer Compact II（RHC II）Action</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音源：88 键琴采样谐波成像</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内置音色：三角钢琴、大钢琴、柔和三角钢琴、现代钢琴、古典电钢琴、现代电钢琴、爵士风琴、教堂风琴、羽管键琴、电颤琴、弦乐合奏、慢弦乐、合奏、New Age Pad、氛围音乐</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复音最大复音数：192 复音</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混响：房间音效混响、休息厅音效混响、小型音乐厅音效混响、大型音乐厅音效混响、现场音乐厅音效混响、大教堂音效混响</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内置录音器：3 首乐曲录制，录音容量大约为10000 个音符</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教程：拜尔126 曲（包含变奏曲20 首）、布尔格缪勒全25 首、车尔尼全30 首、艾尔弗雷德基础1A 和1B（全曲）（右手/ 左手声部可以单独播放、可以变更节拍）</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 xml:space="preserve">节拍器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节拍: 1/4、2/4、3/4、4/4、5/4、3/8、6/8</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速度: 10 ～ 300 bpm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演示乐曲：15 首</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键盘模式：双音色演奏模式（可调节音量平衡）</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双钢琴模式</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声音效果：智能设置：10 种调音效果。</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详细设置：（可用iPad App 软件调节）</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键盘力度灵敏度、止音器共鸣、止音效果、音锤延迟、顶盖模拟、消音时间、最小触感、拉伸调音、音律、主音律、琴键音量、延音开启反应灵敏度、柔音踏板效果程度</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其他功能：延音共振、混响、琴键力度、调音、移调、明亮度、耳机声音效果、耳机种类、自动关机、蓝牙MIDI、传送程序变更编码、MIDI 通道、本地控制、多音色模式</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蓝牙：蓝牙4.0BLE 低功耗应用</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踏板：延音踏板（支持半踏板）、柔音踏板、保留音踏板</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插孔MIDI（输入/ 输出）、耳机×2、USB to HOST</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扬声器：12cm×2</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输出功率：20W×2</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耗电量：11W</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键盘盖推滑式</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尺寸：1360（W）×405（D）×855（H）mm（乐谱架放下时）</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重量：39kg</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shd w:val="clear" w:color="auto" w:fill="auto"/>
          <w:tblCellMar>
            <w:top w:w="0" w:type="dxa"/>
            <w:left w:w="108" w:type="dxa"/>
            <w:bottom w:w="0" w:type="dxa"/>
            <w:right w:w="108" w:type="dxa"/>
          </w:tblCellMar>
        </w:tblPrEx>
        <w:trPr>
          <w:trHeight w:val="567"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14</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教师用琴凳</w:t>
            </w:r>
          </w:p>
        </w:tc>
        <w:tc>
          <w:tcPr>
            <w:tcW w:w="3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高级PU面，四条直腿。</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shd w:val="clear" w:color="auto" w:fill="auto"/>
          <w:tblCellMar>
            <w:top w:w="0" w:type="dxa"/>
            <w:left w:w="108" w:type="dxa"/>
            <w:bottom w:w="0" w:type="dxa"/>
            <w:right w:w="108" w:type="dxa"/>
          </w:tblCellMar>
        </w:tblPrEx>
        <w:trPr>
          <w:trHeight w:val="567"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15</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学生信号控制器</w:t>
            </w:r>
          </w:p>
        </w:tc>
        <w:tc>
          <w:tcPr>
            <w:tcW w:w="3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1.自主知识产权的专用芯片；</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2.全新开模设计，增设USB接口；</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3.支持按键操作；</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4.可任意切换MIDI信号或者音频信号两种传输模式；</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5.支持故障提示、信号双向传输；</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6.通过网线+音频线+UD线的全新连接方式；</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7.抗干扰力强，44.1K /16位双声道立体声CD音质；</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8.增设一对ECA60音频处理模块，信噪比&gt;80dB；失真度&lt;1%；终端延时：小于千分之一秒，绝无延迟感觉；</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9.终端功能：音量调节，终端呼叫，麦克控制、状态指示；</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10.尺寸参考规格：（120mm*90mm*30mm）</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shd w:val="clear" w:color="auto" w:fill="auto"/>
          <w:tblCellMar>
            <w:top w:w="0" w:type="dxa"/>
            <w:left w:w="108" w:type="dxa"/>
            <w:bottom w:w="0" w:type="dxa"/>
            <w:right w:w="108" w:type="dxa"/>
          </w:tblCellMar>
        </w:tblPrEx>
        <w:trPr>
          <w:trHeight w:val="567"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16</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学生耳麦</w:t>
            </w:r>
          </w:p>
        </w:tc>
        <w:tc>
          <w:tcPr>
            <w:tcW w:w="3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麦克风：</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咪头尺寸/Mic Dimensions          Ф6.0*5mm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方向性/Directivity      全指向/Omnidirectional</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灵敏度 /Sensitivity             -46±3db</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阻抗/ Impedance                     ≤ 2.2KΩ</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喇叭/Speaker</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直径/Driver Diameter                 Ø40mm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阻抗/ Impedance                   26Ω±15%</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频率响应/ Frequency Response     20Hz-20kHz</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灵敏度（S.P.L）                    97dB±3dB</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插头/Plug Type                       ￠3.5mm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线长/Cord Length                  ≥2.3meters</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副</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shd w:val="clear" w:color="auto" w:fill="auto"/>
          <w:tblCellMar>
            <w:top w:w="0" w:type="dxa"/>
            <w:left w:w="108" w:type="dxa"/>
            <w:bottom w:w="0" w:type="dxa"/>
            <w:right w:w="108" w:type="dxa"/>
          </w:tblCellMar>
        </w:tblPrEx>
        <w:trPr>
          <w:trHeight w:val="567"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17</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学生用琴</w:t>
            </w:r>
          </w:p>
        </w:tc>
        <w:tc>
          <w:tcPr>
            <w:tcW w:w="3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琴键数：88键</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键盘：AHA IV-F逐级配重键盘</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音源：HI音源，谐波成像，88键逐键采样</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音色数：15</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复音数：192</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键盘模式：音色叠加、双钢琴模式</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混响：房间、休息厅、小型音乐厅、大型音乐厅、现场音乐厅、大教堂</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键盘力度：琴键轻、中、重、固定</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内置录音器：3首，约为15000个音符</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拍号：1/4、2/4、3/4、4/4、5/4、3/8、6/8</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速度范围：10-300拍/分钟</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音量范围：1-10级</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演示乐曲：15</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教学功能：布尔格缪勒全25首、车尔尼全30首</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其他功能：延音共振、调音、移调、传送程序、变更编码、MIDI通道、本地控制</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插孔：MIDI（输入/输出）、耳机X2</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扬声器：12 X 8cm X2</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输出功率：8W X 2</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耗电量：8W</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尺寸：1360（W） X 405（D）X855（H）mm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重量：43kg</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台</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shd w:val="clear" w:color="auto" w:fill="auto"/>
          <w:tblCellMar>
            <w:top w:w="0" w:type="dxa"/>
            <w:left w:w="108" w:type="dxa"/>
            <w:bottom w:w="0" w:type="dxa"/>
            <w:right w:w="108" w:type="dxa"/>
          </w:tblCellMar>
        </w:tblPrEx>
        <w:trPr>
          <w:trHeight w:val="567"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18</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学生用琴凳</w:t>
            </w:r>
          </w:p>
        </w:tc>
        <w:tc>
          <w:tcPr>
            <w:tcW w:w="3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高级PU面，四条直腿。</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shd w:val="clear" w:color="auto" w:fill="auto"/>
          <w:tblCellMar>
            <w:top w:w="0" w:type="dxa"/>
            <w:left w:w="108" w:type="dxa"/>
            <w:bottom w:w="0" w:type="dxa"/>
            <w:right w:w="108" w:type="dxa"/>
          </w:tblCellMar>
        </w:tblPrEx>
        <w:trPr>
          <w:trHeight w:val="567"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19</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工程辅料</w:t>
            </w:r>
          </w:p>
        </w:tc>
        <w:tc>
          <w:tcPr>
            <w:tcW w:w="3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数据线、220v电源线、音频线、插座、外置开关、漏电保护器、线槽（采用普通网线连接，安全性、可靠性高，保证信号的良好传输，将信号衰减率与声音延时率降到最低），护线套管材料，5CMPVC线槽</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shd w:val="clear" w:color="auto" w:fill="auto"/>
        </w:tblPrEx>
        <w:trPr>
          <w:trHeight w:val="567"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20</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安装费</w:t>
            </w:r>
          </w:p>
        </w:tc>
        <w:tc>
          <w:tcPr>
            <w:tcW w:w="3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工程人员交通费，住宿费，饭费，补助</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批</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shd w:val="clear" w:color="auto" w:fill="auto"/>
          <w:tblCellMar>
            <w:top w:w="0" w:type="dxa"/>
            <w:left w:w="108" w:type="dxa"/>
            <w:bottom w:w="0" w:type="dxa"/>
            <w:right w:w="108" w:type="dxa"/>
          </w:tblCellMar>
        </w:tblPrEx>
        <w:trPr>
          <w:trHeight w:val="567"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21</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学生指法采集器</w:t>
            </w:r>
          </w:p>
        </w:tc>
        <w:tc>
          <w:tcPr>
            <w:tcW w:w="3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PTZ系列400万像素2.5寸红外网络高清mini PTZ摄像，产品功能</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支持最大2560×1440@30fps高清画面输出</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支持H.265高效压缩算法，可较大节省存储空间</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支持2倍光学变倍，16倍数字变倍</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采用高效红外阵列，低功耗，照射距离最远可达30m</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支持区域入侵侦测、越界侦测、移动侦测等智能侦测功能</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支持断网续传功能保证录像不丢失，配合Smart NVR实现事件录像的二次智能检索、分析和浓缩播放</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支持数字宽动态、3D数字降噪、强光抑制、电子防抖、SmartIR</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支持镜像、一键恢复功能</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支持350°水平旋转，垂直方向0°-90°</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支持300个预置位，8条巡航扫描</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支持运动功能一键开启或关闭</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支持3D定位功能，可通过鼠标框选目标以实现目标的快速定位与捕捉</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支持定时抓图与事件抓图功能</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支持定时任务、一键守望、一键巡航功能</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内置麦克风，同时支持1路音频输入和1路音频输出</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内置speaker(内置功放)，可无须外接音频设备实现双向语音对讲</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内置1路报警输入和1路报警输出，支持报警联动功能</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支持Wi-Fi功能，可支持WPS一键配置</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支持最大256G的 Micro SD/Micro SDHC/Micro SDXC卡存储</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支持E家协议和萤石服务</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shd w:val="clear" w:color="auto" w:fill="auto"/>
          <w:tblCellMar>
            <w:top w:w="0" w:type="dxa"/>
            <w:left w:w="108" w:type="dxa"/>
            <w:bottom w:w="0" w:type="dxa"/>
            <w:right w:w="108" w:type="dxa"/>
          </w:tblCellMar>
        </w:tblPrEx>
        <w:trPr>
          <w:trHeight w:val="567"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22</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硬盘录像机</w:t>
            </w:r>
          </w:p>
        </w:tc>
        <w:tc>
          <w:tcPr>
            <w:tcW w:w="3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音频输入</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视频输入 32 路，BNC 接口（支持同轴视控）</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视频分辨率 4MP、3MP、1080p25、1080p30、720p25、 720p30、720p50、</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720p60</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网络视频输入 默认 8 路；全部禁用模拟时：40 路；最高支持分辨率：6MP</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音频输入 4 路，RCA 接口（电平：2.0Vp-p，阻抗：1kΩ）</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视音频输出</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CVBS输出 1 路，BNC 接口（电平：1.0Vp-p，阻抗：75Ω） 分辨率：PAL</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制式 704×576；NTSC 制式 704×480</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VGA输出 1 路，分辨率：1920×1080/60Hz，1280×1024/60 Hz，1280×</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720/60Hz，1024×768/60Hz</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HDMI输出 2 路，1 路与 VGA 同源，一路非同源（HDMI2 最大支持 4K）</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音频输出 1 路，RCA 接口（线性电平，阻抗：1 KΩ，分别对应 VGA、</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CVBS）</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视音频编解码参数</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视频压缩标准 H.264、Smart264、H.265、Smart265</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视频编码分辨率 关闭 1080P lite 模式：4 MP lite/3 MP/1080p/1080p lite /</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720p/VGA/WD1/4CIF/CIF</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开启 1080P lite 模式：4 MP lite/3 MP/1080p lite/720p/</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720p lite/VGA/WD1/4CIF/CIF</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视频帧率 1fps～实时</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视频码率 32 Kbps～6 Mbps，最大 6 Mbps</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码流类型 复合流/视频流</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双码流 支持，子码流分辨率：WD1/4CIF 非实时 CIF 实时</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音频压缩标准 G.711u</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音频码率 64Kbps</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同步回放 16路</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硬盘驱动器</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类型 4个SATA接口，1个eSATA接口</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最大容量 每个接口支持容量最大8TB的硬盘</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智能功能</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智能侦测 支持4路</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外部接口</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语音对讲输入 1 路，独立，RCA 接口（电平：2.0Vp-p，阻抗：1kΩ）</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网络接口 1个，RJ45 10M/100M/1000M自适应以太网口</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USB接口 3个（2个USB 2.0位于前面板，1个USB 3.0位于后面板）</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串行接口 1 个，标准 RS-232 串行接口</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 个，标准 RS-485 串行接口，全双工</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1 个，RS-485 KB 键盘口</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报警输入 16路</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报警输出 4路</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其他</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电源 AC220V，50Hz</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功耗（不含硬盘） ≤45W</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工作温度 -10℃～＋55℃</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工作湿度 10％～90％</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机箱 19 英寸标准 1.5U 机箱</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尺寸 445mm（宽）×390mm（深）×70mm（高）</w:t>
            </w:r>
            <w:r>
              <w:rPr>
                <w:rFonts w:hint="eastAsia" w:ascii="宋体" w:hAnsi="宋体" w:eastAsia="宋体" w:cs="宋体"/>
                <w:i w:val="0"/>
                <w:iCs w:val="0"/>
                <w:color w:val="auto"/>
                <w:kern w:val="0"/>
                <w:sz w:val="21"/>
                <w:szCs w:val="21"/>
                <w:highlight w:val="none"/>
                <w:u w:val="none"/>
                <w:lang w:val="en-US" w:eastAsia="zh-CN" w:bidi="ar"/>
              </w:rPr>
              <w:br w:type="textWrapping"/>
            </w:r>
            <w:r>
              <w:rPr>
                <w:rFonts w:hint="eastAsia" w:ascii="宋体" w:hAnsi="宋体" w:eastAsia="宋体" w:cs="宋体"/>
                <w:i w:val="0"/>
                <w:iCs w:val="0"/>
                <w:color w:val="auto"/>
                <w:kern w:val="0"/>
                <w:sz w:val="21"/>
                <w:szCs w:val="21"/>
                <w:highlight w:val="none"/>
                <w:u w:val="none"/>
                <w:lang w:val="en-US" w:eastAsia="zh-CN" w:bidi="ar"/>
              </w:rPr>
              <w:t>重量（不含硬盘） ≤7 Kg</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shd w:val="clear" w:color="auto" w:fill="auto"/>
          <w:tblCellMar>
            <w:top w:w="0" w:type="dxa"/>
            <w:left w:w="108" w:type="dxa"/>
            <w:bottom w:w="0" w:type="dxa"/>
            <w:right w:w="108" w:type="dxa"/>
          </w:tblCellMar>
        </w:tblPrEx>
        <w:trPr>
          <w:trHeight w:val="567"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23</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VGA切换器</w:t>
            </w:r>
          </w:p>
        </w:tc>
        <w:tc>
          <w:tcPr>
            <w:tcW w:w="3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C二进二出VGA</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1</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r>
        <w:tblPrEx>
          <w:shd w:val="clear" w:color="auto" w:fill="auto"/>
          <w:tblCellMar>
            <w:top w:w="0" w:type="dxa"/>
            <w:left w:w="108" w:type="dxa"/>
            <w:bottom w:w="0" w:type="dxa"/>
            <w:right w:w="108" w:type="dxa"/>
          </w:tblCellMar>
        </w:tblPrEx>
        <w:trPr>
          <w:trHeight w:val="567" w:hRule="atLeast"/>
        </w:trPr>
        <w:tc>
          <w:tcPr>
            <w:tcW w:w="2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24</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视频线材</w:t>
            </w:r>
          </w:p>
        </w:tc>
        <w:tc>
          <w:tcPr>
            <w:tcW w:w="3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网线、电源、护线套管材料</w:t>
            </w:r>
          </w:p>
        </w:tc>
        <w:tc>
          <w:tcPr>
            <w:tcW w:w="319" w:type="pc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240" w:lineRule="auto"/>
              <w:jc w:val="center"/>
              <w:rPr>
                <w:rFonts w:hint="eastAsia" w:ascii="宋体" w:hAnsi="宋体" w:eastAsia="宋体" w:cs="宋体"/>
                <w:i w:val="0"/>
                <w:iCs w:val="0"/>
                <w:color w:val="auto"/>
                <w:sz w:val="21"/>
                <w:szCs w:val="21"/>
                <w:highlight w:val="none"/>
                <w:u w:val="none"/>
              </w:rPr>
            </w:pPr>
          </w:p>
        </w:tc>
        <w:tc>
          <w:tcPr>
            <w:tcW w:w="34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30</w:t>
            </w:r>
          </w:p>
        </w:tc>
        <w:tc>
          <w:tcPr>
            <w:tcW w:w="2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0"/>
                <w:sz w:val="21"/>
                <w:szCs w:val="21"/>
                <w:highlight w:val="none"/>
                <w:u w:val="none"/>
                <w:lang w:val="en-US" w:eastAsia="zh-CN" w:bidi="ar"/>
              </w:rPr>
            </w:pPr>
          </w:p>
        </w:tc>
      </w:tr>
    </w:tbl>
    <w:p>
      <w:pPr>
        <w:shd w:val="clear"/>
        <w:rPr>
          <w:rFonts w:hint="eastAsia" w:ascii="宋体" w:hAnsi="宋体" w:eastAsia="宋体" w:cs="宋体"/>
          <w:color w:val="auto"/>
          <w:highlight w:val="none"/>
          <w:lang w:val="en-US" w:eastAsia="zh-CN"/>
        </w:rPr>
      </w:pPr>
    </w:p>
    <w:bookmarkEnd w:id="281"/>
    <w:p>
      <w:pPr>
        <w:pStyle w:val="4"/>
        <w:bidi w:val="0"/>
        <w:jc w:val="both"/>
        <w:rPr>
          <w:rFonts w:hint="eastAsia" w:ascii="宋体" w:hAnsi="宋体" w:eastAsia="宋体" w:cs="宋体"/>
          <w:color w:val="auto"/>
          <w:highlight w:val="none"/>
          <w:lang w:val="en-US" w:eastAsia="zh-CN"/>
        </w:rPr>
      </w:pPr>
      <w:r>
        <w:rPr>
          <w:rFonts w:hint="eastAsia" w:ascii="宋体" w:hAnsi="宋体" w:eastAsia="宋体" w:cs="宋体"/>
          <w:color w:val="auto"/>
          <w:highlight w:val="none"/>
        </w:rPr>
        <w:br w:type="page"/>
      </w:r>
      <w:bookmarkStart w:id="282" w:name="_Toc8752"/>
      <w:r>
        <w:rPr>
          <w:rFonts w:hint="eastAsia" w:ascii="宋体" w:hAnsi="宋体" w:eastAsia="宋体" w:cs="宋体"/>
          <w:color w:val="auto"/>
          <w:highlight w:val="none"/>
          <w:lang w:val="en-US" w:eastAsia="zh-CN"/>
        </w:rPr>
        <w:t>第3包：铜川市新区第三小学师生书包柜器材采购</w:t>
      </w:r>
      <w:bookmarkEnd w:id="282"/>
    </w:p>
    <w:tbl>
      <w:tblPr>
        <w:tblStyle w:val="23"/>
        <w:tblW w:w="4989" w:type="pct"/>
        <w:tblInd w:w="0" w:type="dxa"/>
        <w:shd w:val="clear" w:color="auto" w:fill="auto"/>
        <w:tblLayout w:type="autofit"/>
        <w:tblCellMar>
          <w:top w:w="0" w:type="dxa"/>
          <w:left w:w="108" w:type="dxa"/>
          <w:bottom w:w="0" w:type="dxa"/>
          <w:right w:w="108" w:type="dxa"/>
        </w:tblCellMar>
      </w:tblPr>
      <w:tblGrid>
        <w:gridCol w:w="638"/>
        <w:gridCol w:w="1481"/>
        <w:gridCol w:w="6437"/>
        <w:gridCol w:w="672"/>
        <w:gridCol w:w="657"/>
      </w:tblGrid>
      <w:tr>
        <w:tblPrEx>
          <w:shd w:val="clear" w:color="auto" w:fill="auto"/>
          <w:tblCellMar>
            <w:top w:w="0" w:type="dxa"/>
            <w:left w:w="108" w:type="dxa"/>
            <w:bottom w:w="0" w:type="dxa"/>
            <w:right w:w="108" w:type="dxa"/>
          </w:tblCellMar>
        </w:tblPrEx>
        <w:trPr>
          <w:trHeight w:val="272" w:hRule="atLeast"/>
          <w:tblHeader/>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kern w:val="2"/>
                <w:sz w:val="21"/>
                <w:szCs w:val="21"/>
                <w:highlight w:val="none"/>
                <w:u w:val="none"/>
                <w:lang w:val="en-US" w:eastAsia="zh-CN" w:bidi="ar-SA"/>
              </w:rPr>
            </w:pPr>
            <w:r>
              <w:rPr>
                <w:rFonts w:hint="eastAsia" w:ascii="宋体" w:hAnsi="宋体" w:eastAsia="宋体" w:cs="宋体"/>
                <w:b/>
                <w:bCs/>
                <w:i w:val="0"/>
                <w:iCs w:val="0"/>
                <w:color w:val="auto"/>
                <w:kern w:val="0"/>
                <w:sz w:val="21"/>
                <w:szCs w:val="21"/>
                <w:highlight w:val="none"/>
                <w:u w:val="none"/>
                <w:lang w:val="en-US" w:eastAsia="zh-CN" w:bidi="ar"/>
              </w:rPr>
              <w:t>序号</w:t>
            </w:r>
          </w:p>
        </w:tc>
        <w:tc>
          <w:tcPr>
            <w:tcW w:w="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kern w:val="2"/>
                <w:sz w:val="21"/>
                <w:szCs w:val="21"/>
                <w:highlight w:val="none"/>
                <w:u w:val="none"/>
                <w:lang w:val="en-US" w:eastAsia="zh-CN" w:bidi="ar-SA"/>
              </w:rPr>
            </w:pPr>
            <w:r>
              <w:rPr>
                <w:rFonts w:hint="eastAsia" w:ascii="宋体" w:hAnsi="宋体" w:eastAsia="宋体" w:cs="宋体"/>
                <w:b/>
                <w:bCs/>
                <w:i w:val="0"/>
                <w:iCs w:val="0"/>
                <w:color w:val="auto"/>
                <w:kern w:val="0"/>
                <w:sz w:val="21"/>
                <w:szCs w:val="21"/>
                <w:highlight w:val="none"/>
                <w:u w:val="none"/>
                <w:lang w:val="en-US" w:eastAsia="zh-CN" w:bidi="ar"/>
              </w:rPr>
              <w:t>名称</w:t>
            </w:r>
          </w:p>
        </w:tc>
        <w:tc>
          <w:tcPr>
            <w:tcW w:w="32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kern w:val="2"/>
                <w:sz w:val="21"/>
                <w:szCs w:val="21"/>
                <w:highlight w:val="none"/>
                <w:u w:val="none"/>
                <w:lang w:val="en-US" w:eastAsia="zh-CN" w:bidi="ar-SA"/>
              </w:rPr>
            </w:pPr>
            <w:r>
              <w:rPr>
                <w:rFonts w:hint="eastAsia" w:ascii="宋体" w:hAnsi="宋体" w:eastAsia="宋体" w:cs="宋体"/>
                <w:b/>
                <w:bCs/>
                <w:i w:val="0"/>
                <w:iCs w:val="0"/>
                <w:color w:val="auto"/>
                <w:kern w:val="0"/>
                <w:sz w:val="21"/>
                <w:szCs w:val="21"/>
                <w:highlight w:val="none"/>
                <w:u w:val="none"/>
                <w:lang w:val="en-US" w:eastAsia="zh-CN" w:bidi="ar"/>
              </w:rPr>
              <w:t>参数</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kern w:val="2"/>
                <w:sz w:val="21"/>
                <w:szCs w:val="21"/>
                <w:highlight w:val="none"/>
                <w:u w:val="none"/>
                <w:lang w:val="en-US" w:eastAsia="zh-CN" w:bidi="ar-SA"/>
              </w:rPr>
            </w:pPr>
            <w:r>
              <w:rPr>
                <w:rFonts w:hint="eastAsia" w:ascii="宋体" w:hAnsi="宋体" w:eastAsia="宋体" w:cs="宋体"/>
                <w:b/>
                <w:bCs/>
                <w:i w:val="0"/>
                <w:iCs w:val="0"/>
                <w:color w:val="auto"/>
                <w:kern w:val="0"/>
                <w:sz w:val="21"/>
                <w:szCs w:val="21"/>
                <w:highlight w:val="none"/>
                <w:u w:val="none"/>
                <w:lang w:val="en-US" w:eastAsia="zh-CN" w:bidi="ar"/>
              </w:rPr>
              <w:t>单位</w:t>
            </w:r>
          </w:p>
        </w:tc>
        <w:tc>
          <w:tcPr>
            <w:tcW w:w="3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kern w:val="2"/>
                <w:sz w:val="21"/>
                <w:szCs w:val="21"/>
                <w:highlight w:val="none"/>
                <w:u w:val="none"/>
                <w:lang w:val="en-US" w:eastAsia="zh-CN" w:bidi="ar-SA"/>
              </w:rPr>
            </w:pPr>
            <w:r>
              <w:rPr>
                <w:rFonts w:hint="eastAsia" w:ascii="宋体" w:hAnsi="宋体" w:eastAsia="宋体" w:cs="宋体"/>
                <w:b/>
                <w:bCs/>
                <w:i w:val="0"/>
                <w:iCs w:val="0"/>
                <w:color w:val="auto"/>
                <w:kern w:val="0"/>
                <w:sz w:val="21"/>
                <w:szCs w:val="21"/>
                <w:highlight w:val="none"/>
                <w:u w:val="none"/>
                <w:lang w:val="en-US" w:eastAsia="zh-CN" w:bidi="ar"/>
              </w:rPr>
              <w:t>数量</w:t>
            </w:r>
          </w:p>
        </w:tc>
      </w:tr>
      <w:tr>
        <w:tblPrEx>
          <w:shd w:val="clear" w:color="auto" w:fill="auto"/>
          <w:tblCellMar>
            <w:top w:w="0" w:type="dxa"/>
            <w:left w:w="108" w:type="dxa"/>
            <w:bottom w:w="0" w:type="dxa"/>
            <w:right w:w="108" w:type="dxa"/>
          </w:tblCellMar>
        </w:tblPrEx>
        <w:trPr>
          <w:trHeight w:val="27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right"/>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1</w:t>
            </w:r>
          </w:p>
        </w:tc>
        <w:tc>
          <w:tcPr>
            <w:tcW w:w="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教师书包柜</w:t>
            </w:r>
          </w:p>
        </w:tc>
        <w:tc>
          <w:tcPr>
            <w:tcW w:w="32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5"/>
              </w:numPr>
              <w:suppressLineNumbers w:val="0"/>
              <w:spacing w:line="240" w:lineRule="auto"/>
              <w:jc w:val="left"/>
              <w:rPr>
                <w:rFonts w:hint="eastAsia" w:ascii="宋体" w:hAnsi="宋体" w:eastAsia="宋体" w:cs="宋体"/>
                <w:b/>
                <w:bCs/>
                <w:color w:val="auto"/>
                <w:sz w:val="21"/>
                <w:szCs w:val="21"/>
                <w:highlight w:val="none"/>
                <w:lang w:val="en-US"/>
              </w:rPr>
            </w:pPr>
            <w:r>
              <w:rPr>
                <w:rFonts w:hint="eastAsia" w:ascii="宋体" w:hAnsi="宋体" w:eastAsia="宋体" w:cs="宋体"/>
                <w:b/>
                <w:bCs/>
                <w:color w:val="auto"/>
                <w:sz w:val="21"/>
                <w:szCs w:val="21"/>
                <w:highlight w:val="none"/>
                <w:lang w:val="en-US" w:eastAsia="zh-CN"/>
              </w:rPr>
              <w:t>每套为：2门，双门对开</w:t>
            </w:r>
          </w:p>
          <w:p>
            <w:pPr>
              <w:keepNext w:val="0"/>
              <w:keepLines w:val="0"/>
              <w:widowControl/>
              <w:suppressLineNumbers w:val="0"/>
              <w:spacing w:line="24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2.长宽高：800</w:t>
            </w:r>
            <w:r>
              <w:rPr>
                <w:rFonts w:hint="eastAsia" w:ascii="宋体" w:hAnsi="宋体" w:eastAsia="宋体" w:cs="宋体"/>
                <w:color w:val="auto"/>
                <w:sz w:val="21"/>
                <w:szCs w:val="21"/>
                <w:highlight w:val="none"/>
                <w:lang w:val="en-US" w:eastAsia="zh-CN"/>
              </w:rPr>
              <w:t>mm</w:t>
            </w:r>
            <w:r>
              <w:rPr>
                <w:rFonts w:hint="eastAsia" w:ascii="宋体" w:hAnsi="宋体" w:eastAsia="宋体" w:cs="宋体"/>
                <w:i w:val="0"/>
                <w:iCs w:val="0"/>
                <w:color w:val="auto"/>
                <w:kern w:val="0"/>
                <w:sz w:val="21"/>
                <w:szCs w:val="21"/>
                <w:highlight w:val="none"/>
                <w:u w:val="none"/>
                <w:lang w:val="en-US" w:eastAsia="zh-CN" w:bidi="ar"/>
              </w:rPr>
              <w:t>×400</w:t>
            </w:r>
            <w:r>
              <w:rPr>
                <w:rFonts w:hint="eastAsia" w:ascii="宋体" w:hAnsi="宋体" w:eastAsia="宋体" w:cs="宋体"/>
                <w:color w:val="auto"/>
                <w:sz w:val="21"/>
                <w:szCs w:val="21"/>
                <w:highlight w:val="none"/>
                <w:lang w:val="en-US" w:eastAsia="zh-CN"/>
              </w:rPr>
              <w:t>mm</w:t>
            </w:r>
            <w:r>
              <w:rPr>
                <w:rFonts w:hint="eastAsia" w:ascii="宋体" w:hAnsi="宋体" w:eastAsia="宋体" w:cs="宋体"/>
                <w:i w:val="0"/>
                <w:iCs w:val="0"/>
                <w:color w:val="auto"/>
                <w:kern w:val="0"/>
                <w:sz w:val="21"/>
                <w:szCs w:val="21"/>
                <w:highlight w:val="none"/>
                <w:u w:val="none"/>
                <w:lang w:val="en-US" w:eastAsia="zh-CN" w:bidi="ar"/>
              </w:rPr>
              <w:t>×1200</w:t>
            </w:r>
            <w:r>
              <w:rPr>
                <w:rFonts w:hint="eastAsia" w:ascii="宋体" w:hAnsi="宋体" w:eastAsia="宋体" w:cs="宋体"/>
                <w:color w:val="auto"/>
                <w:sz w:val="21"/>
                <w:szCs w:val="21"/>
                <w:highlight w:val="none"/>
                <w:lang w:val="en-US" w:eastAsia="zh-CN"/>
              </w:rPr>
              <w:t>mm</w:t>
            </w:r>
          </w:p>
          <w:p>
            <w:pPr>
              <w:keepNext w:val="0"/>
              <w:keepLines w:val="0"/>
              <w:widowControl/>
              <w:suppressLineNumbers w:val="0"/>
              <w:spacing w:line="24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3. 实木多层无醛板</w:t>
            </w:r>
          </w:p>
          <w:p>
            <w:pPr>
              <w:keepNext w:val="0"/>
              <w:keepLines w:val="0"/>
              <w:widowControl/>
              <w:suppressLineNumbers w:val="0"/>
              <w:spacing w:line="24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4.含柜门锁子</w:t>
            </w:r>
          </w:p>
          <w:p>
            <w:pPr>
              <w:keepNext w:val="0"/>
              <w:keepLines w:val="0"/>
              <w:widowControl/>
              <w:suppressLineNumbers w:val="0"/>
              <w:spacing w:line="24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5. PUR封边</w:t>
            </w:r>
          </w:p>
          <w:p>
            <w:pPr>
              <w:keepNext w:val="0"/>
              <w:keepLines w:val="0"/>
              <w:widowControl/>
              <w:suppressLineNumbers w:val="0"/>
              <w:spacing w:line="240" w:lineRule="auto"/>
              <w:jc w:val="left"/>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6. 环保等级：欧标E0级</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套</w:t>
            </w:r>
          </w:p>
        </w:tc>
        <w:tc>
          <w:tcPr>
            <w:tcW w:w="3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kern w:val="2"/>
                <w:sz w:val="21"/>
                <w:szCs w:val="21"/>
                <w:highlight w:val="none"/>
                <w:u w:val="none"/>
                <w:lang w:val="en-US" w:eastAsia="zh-CN" w:bidi="ar-SA"/>
              </w:rPr>
            </w:pPr>
            <w:r>
              <w:rPr>
                <w:rFonts w:hint="eastAsia" w:ascii="宋体" w:hAnsi="宋体" w:eastAsia="宋体" w:cs="宋体"/>
                <w:i w:val="0"/>
                <w:iCs w:val="0"/>
                <w:color w:val="auto"/>
                <w:kern w:val="0"/>
                <w:sz w:val="21"/>
                <w:szCs w:val="21"/>
                <w:highlight w:val="none"/>
                <w:u w:val="none"/>
                <w:lang w:val="en-US" w:eastAsia="zh-CN" w:bidi="ar"/>
              </w:rPr>
              <w:t>20</w:t>
            </w:r>
          </w:p>
        </w:tc>
      </w:tr>
      <w:tr>
        <w:tblPrEx>
          <w:shd w:val="clear" w:color="auto" w:fill="auto"/>
          <w:tblCellMar>
            <w:top w:w="0" w:type="dxa"/>
            <w:left w:w="108" w:type="dxa"/>
            <w:bottom w:w="0" w:type="dxa"/>
            <w:right w:w="108" w:type="dxa"/>
          </w:tblCellMar>
        </w:tblPrEx>
        <w:trPr>
          <w:trHeight w:val="27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2</w:t>
            </w:r>
          </w:p>
        </w:tc>
        <w:tc>
          <w:tcPr>
            <w:tcW w:w="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学生书包柜</w:t>
            </w:r>
          </w:p>
        </w:tc>
        <w:tc>
          <w:tcPr>
            <w:tcW w:w="32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spacing w:line="240" w:lineRule="auto"/>
              <w:jc w:val="left"/>
              <w:rPr>
                <w:rFonts w:hint="eastAsia" w:ascii="宋体" w:hAnsi="宋体" w:eastAsia="宋体" w:cs="宋体"/>
                <w:b/>
                <w:bCs/>
                <w:color w:val="auto"/>
                <w:sz w:val="21"/>
                <w:szCs w:val="21"/>
                <w:highlight w:val="none"/>
                <w:lang w:val="en-US"/>
              </w:rPr>
            </w:pPr>
            <w:r>
              <w:rPr>
                <w:rFonts w:hint="eastAsia" w:ascii="宋体" w:hAnsi="宋体" w:eastAsia="宋体" w:cs="宋体"/>
                <w:b/>
                <w:bCs/>
                <w:color w:val="auto"/>
                <w:sz w:val="21"/>
                <w:szCs w:val="21"/>
                <w:highlight w:val="none"/>
                <w:lang w:val="en-US" w:eastAsia="zh-CN"/>
              </w:rPr>
              <w:t>1、每套为：4层10列，40门</w:t>
            </w:r>
          </w:p>
          <w:p>
            <w:pPr>
              <w:keepNext w:val="0"/>
              <w:keepLines w:val="0"/>
              <w:widowControl/>
              <w:numPr>
                <w:ilvl w:val="0"/>
                <w:numId w:val="0"/>
              </w:numPr>
              <w:suppressLineNumbers w:val="0"/>
              <w:spacing w:line="240" w:lineRule="auto"/>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2、单门高350mm×宽 340mm×深 450mm+底60mm，误差不得超过±3mm，根据实际空间大小，可任意自由组合。</w:t>
            </w:r>
          </w:p>
          <w:p>
            <w:pPr>
              <w:keepNext w:val="0"/>
              <w:keepLines w:val="0"/>
              <w:widowControl/>
              <w:suppressLineNumbers w:val="0"/>
              <w:spacing w:line="24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3. 材质：A 级 ABS（丙烯腈-丁二烯-苯乙烯共聚物） 工程塑料制成，强度高、韧性好、耐冲击，不易腐蚀，无毒无味，环保耐用。 </w:t>
            </w:r>
          </w:p>
          <w:p>
            <w:pPr>
              <w:keepNext w:val="0"/>
              <w:keepLines w:val="0"/>
              <w:widowControl/>
              <w:suppressLineNumbers w:val="0"/>
              <w:spacing w:line="240"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4、门板：门板表面需要光滑平整，易于清洗，不易藏尘，中间板厚度至少达到 2.5mm 以上；单侧板 厚度至少 2mm 以上。误差不得高于 3mm,门板与 侧板并安装有防盗防锁扣，使用方便安全。 </w:t>
            </w:r>
          </w:p>
          <w:p>
            <w:pPr>
              <w:pStyle w:val="92"/>
              <w:spacing w:line="240" w:lineRule="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sz w:val="21"/>
                <w:szCs w:val="21"/>
                <w:highlight w:val="none"/>
                <w:lang w:val="en-US" w:eastAsia="zh-CN"/>
              </w:rPr>
              <w:t xml:space="preserve">5、 </w:t>
            </w:r>
            <w:r>
              <w:rPr>
                <w:rFonts w:hint="eastAsia" w:ascii="宋体" w:hAnsi="宋体" w:eastAsia="宋体" w:cs="宋体"/>
                <w:color w:val="auto"/>
                <w:kern w:val="0"/>
                <w:sz w:val="21"/>
                <w:szCs w:val="21"/>
                <w:highlight w:val="none"/>
                <w:lang w:val="en-US" w:eastAsia="zh-CN" w:bidi="ar"/>
              </w:rPr>
              <w:t>材质：书包柜为ABS全新工程塑料制成，强度高、韧性好、耐冲击，不易腐蚀，无毒无味，环保耐用。</w:t>
            </w:r>
          </w:p>
          <w:p>
            <w:pPr>
              <w:pStyle w:val="92"/>
              <w:spacing w:line="240" w:lineRule="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6、使用寿命：抗冲击、耐腐蚀、不生锈，设计使用寿命≥20年。</w:t>
            </w:r>
          </w:p>
          <w:p>
            <w:pPr>
              <w:pStyle w:val="92"/>
              <w:spacing w:line="240" w:lineRule="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7、合页：采用ABS塑料注塑而成表面光滑以止于刮伤人员，彻底防水、不生锈。</w:t>
            </w:r>
          </w:p>
          <w:p>
            <w:pPr>
              <w:pStyle w:val="92"/>
              <w:spacing w:line="240" w:lineRule="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8、全塑门副板：门板内侧加装多功能挂钩及多功能置物盒，可放置小件物品如笔、手表、眼镜、洗发水、钥匙等方便实用。</w:t>
            </w:r>
          </w:p>
          <w:p>
            <w:pPr>
              <w:pStyle w:val="92"/>
              <w:spacing w:line="240" w:lineRule="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10、底座放平后为全封闭底座，单个底座重量≥1.45KG。</w:t>
            </w:r>
          </w:p>
          <w:p>
            <w:pPr>
              <w:pStyle w:val="92"/>
              <w:spacing w:line="240" w:lineRule="auto"/>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11、板材厚度：侧板≥20mm、顶板≥30mm、底板≥30mm；门板≥30mm、中间板40mm底座60mm</w:t>
            </w:r>
          </w:p>
          <w:p>
            <w:pPr>
              <w:pStyle w:val="92"/>
              <w:numPr>
                <w:ilvl w:val="0"/>
                <w:numId w:val="0"/>
              </w:numPr>
              <w:spacing w:line="240" w:lineRule="auto"/>
              <w:rPr>
                <w:rFonts w:hint="eastAsia" w:ascii="宋体" w:hAnsi="宋体" w:eastAsia="宋体" w:cs="宋体"/>
                <w:i w:val="0"/>
                <w:iCs w:val="0"/>
                <w:color w:val="auto"/>
                <w:sz w:val="21"/>
                <w:szCs w:val="21"/>
                <w:highlight w:val="none"/>
                <w:u w:val="none"/>
              </w:rPr>
            </w:pPr>
            <w:r>
              <w:rPr>
                <w:rFonts w:hint="eastAsia" w:ascii="宋体" w:hAnsi="宋体" w:eastAsia="宋体" w:cs="宋体"/>
                <w:color w:val="auto"/>
                <w:kern w:val="0"/>
                <w:sz w:val="21"/>
                <w:szCs w:val="21"/>
                <w:highlight w:val="none"/>
                <w:lang w:val="en-US" w:eastAsia="zh-CN" w:bidi="ar"/>
              </w:rPr>
              <w:t>12、门牌号：门号牌采用激光雕刻而成，可以个性定制。采用镶嵌式安装，不用任何胶粘方式。</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套</w:t>
            </w:r>
          </w:p>
        </w:tc>
        <w:tc>
          <w:tcPr>
            <w:tcW w:w="3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35</w:t>
            </w:r>
          </w:p>
        </w:tc>
      </w:tr>
      <w:tr>
        <w:tblPrEx>
          <w:shd w:val="clear" w:color="auto" w:fill="auto"/>
          <w:tblCellMar>
            <w:top w:w="0" w:type="dxa"/>
            <w:left w:w="108" w:type="dxa"/>
            <w:bottom w:w="0" w:type="dxa"/>
            <w:right w:w="108" w:type="dxa"/>
          </w:tblCellMar>
        </w:tblPrEx>
        <w:trPr>
          <w:trHeight w:val="27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righ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3</w:t>
            </w:r>
          </w:p>
        </w:tc>
        <w:tc>
          <w:tcPr>
            <w:tcW w:w="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讲桌</w:t>
            </w:r>
          </w:p>
        </w:tc>
        <w:tc>
          <w:tcPr>
            <w:tcW w:w="32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翻转型木面讲台：</w:t>
            </w:r>
          </w:p>
          <w:p>
            <w:pPr>
              <w:keepNext w:val="0"/>
              <w:keepLines w:val="0"/>
              <w:widowControl/>
              <w:suppressLineNumbers w:val="0"/>
              <w:spacing w:line="24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1.讲台尺寸：1160*780*942/1020mm长宽高，整体采用分体式结构，上下两部分采用分体组装。</w:t>
            </w:r>
          </w:p>
          <w:p>
            <w:pPr>
              <w:keepNext w:val="0"/>
              <w:keepLines w:val="0"/>
              <w:widowControl/>
              <w:suppressLineNumbers w:val="0"/>
              <w:spacing w:line="24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 xml:space="preserve">2.钢木结合材料一体成型，实木扶手，桌面木质耐划台面，全封闭结构。 </w:t>
            </w:r>
          </w:p>
          <w:p>
            <w:pPr>
              <w:keepNext w:val="0"/>
              <w:keepLines w:val="0"/>
              <w:widowControl/>
              <w:suppressLineNumbers w:val="0"/>
              <w:spacing w:line="24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3.液晶显示器采用翻转设计，显示器角度可随意调节，可使视线和显示器接近垂直，可安装17-22寸显示器，关闭后所有设备都隐藏在讲台内。</w:t>
            </w:r>
          </w:p>
          <w:p>
            <w:pPr>
              <w:keepNext w:val="0"/>
              <w:keepLines w:val="0"/>
              <w:widowControl/>
              <w:suppressLineNumbers w:val="0"/>
              <w:spacing w:line="24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4.键盘采用翻转式操作，显示器、中央控制系统、键盘互不影响独立操作。</w:t>
            </w:r>
          </w:p>
          <w:p>
            <w:pPr>
              <w:keepNext w:val="0"/>
              <w:keepLines w:val="0"/>
              <w:widowControl/>
              <w:suppressLineNumbers w:val="0"/>
              <w:spacing w:line="24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5.采用隐藏抽拉式设计，安装视频展示台，无需钥匙开启。</w:t>
            </w:r>
          </w:p>
          <w:p>
            <w:pPr>
              <w:keepNext w:val="0"/>
              <w:keepLines w:val="0"/>
              <w:widowControl/>
              <w:suppressLineNumbers w:val="0"/>
              <w:spacing w:line="24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6.桌面预留集成笔记本接口模块安装孔，可以满足安装（USB两个/VGA一个/网络接口一个/AUDIO一个/电源接口一个/话筒接口一个）。</w:t>
            </w:r>
          </w:p>
          <w:p>
            <w:pPr>
              <w:keepNext w:val="0"/>
              <w:keepLines w:val="0"/>
              <w:widowControl/>
              <w:suppressLineNumbers w:val="0"/>
              <w:spacing w:line="240" w:lineRule="auto"/>
              <w:jc w:val="left"/>
              <w:textAlignment w:val="center"/>
              <w:rPr>
                <w:rFonts w:hint="eastAsia" w:ascii="宋体" w:hAnsi="宋体" w:eastAsia="宋体" w:cs="宋体"/>
                <w:i w:val="0"/>
                <w:iCs w:val="0"/>
                <w:color w:val="auto"/>
                <w:kern w:val="0"/>
                <w:sz w:val="21"/>
                <w:szCs w:val="21"/>
                <w:highlight w:val="none"/>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7.桌体下层部分采用标准机柜设计，带层板，所有设备可整齐固定，合理的尺寸设计，合理的设备安排。</w:t>
            </w:r>
          </w:p>
          <w:p>
            <w:pPr>
              <w:keepNext w:val="0"/>
              <w:keepLines w:val="0"/>
              <w:widowControl/>
              <w:suppressLineNumbers w:val="0"/>
              <w:spacing w:line="240" w:lineRule="auto"/>
              <w:jc w:val="left"/>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8材料:上节采用不小于1.0厚冷轧钢板，下节不小于0.8厚冷轧钢板，抽屉采用三节滑轨，可抽拉5万次以上无损伤，扣手采用高耐磨加厚铝合金拉手。</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个</w:t>
            </w:r>
          </w:p>
        </w:tc>
        <w:tc>
          <w:tcPr>
            <w:tcW w:w="3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i w:val="0"/>
                <w:iCs w:val="0"/>
                <w:color w:val="auto"/>
                <w:sz w:val="21"/>
                <w:szCs w:val="21"/>
                <w:highlight w:val="none"/>
                <w:u w:val="none"/>
              </w:rPr>
            </w:pPr>
            <w:r>
              <w:rPr>
                <w:rFonts w:hint="eastAsia" w:ascii="宋体" w:hAnsi="宋体" w:eastAsia="宋体" w:cs="宋体"/>
                <w:i w:val="0"/>
                <w:iCs w:val="0"/>
                <w:color w:val="auto"/>
                <w:kern w:val="0"/>
                <w:sz w:val="21"/>
                <w:szCs w:val="21"/>
                <w:highlight w:val="none"/>
                <w:u w:val="none"/>
                <w:lang w:val="en-US" w:eastAsia="zh-CN" w:bidi="ar"/>
              </w:rPr>
              <w:t>40</w:t>
            </w:r>
          </w:p>
        </w:tc>
      </w:tr>
      <w:tr>
        <w:tblPrEx>
          <w:shd w:val="clear" w:color="auto" w:fill="auto"/>
          <w:tblCellMar>
            <w:top w:w="0" w:type="dxa"/>
            <w:left w:w="108" w:type="dxa"/>
            <w:bottom w:w="0" w:type="dxa"/>
            <w:right w:w="108" w:type="dxa"/>
          </w:tblCellMar>
        </w:tblPrEx>
        <w:trPr>
          <w:trHeight w:val="270" w:hRule="atLeast"/>
        </w:trPr>
        <w:tc>
          <w:tcPr>
            <w:tcW w:w="32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righ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4</w:t>
            </w:r>
          </w:p>
        </w:tc>
        <w:tc>
          <w:tcPr>
            <w:tcW w:w="7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color w:val="auto"/>
                <w:sz w:val="21"/>
                <w:szCs w:val="21"/>
                <w:highlight w:val="none"/>
              </w:rPr>
              <w:t>※</w:t>
            </w:r>
            <w:r>
              <w:rPr>
                <w:rFonts w:hint="eastAsia" w:ascii="宋体" w:hAnsi="宋体" w:eastAsia="宋体" w:cs="宋体"/>
                <w:b/>
                <w:bCs/>
                <w:i w:val="0"/>
                <w:iCs w:val="0"/>
                <w:color w:val="auto"/>
                <w:kern w:val="0"/>
                <w:sz w:val="21"/>
                <w:szCs w:val="21"/>
                <w:highlight w:val="none"/>
                <w:u w:val="none"/>
                <w:lang w:val="en-US" w:eastAsia="zh-CN" w:bidi="ar"/>
              </w:rPr>
              <w:t>体育馆座椅</w:t>
            </w:r>
          </w:p>
        </w:tc>
        <w:tc>
          <w:tcPr>
            <w:tcW w:w="325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pacing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sz w:val="21"/>
                <w:szCs w:val="21"/>
                <w:highlight w:val="none"/>
                <w:u w:val="none"/>
              </w:rPr>
              <w:t>1. 长宽高：420</w:t>
            </w:r>
            <w:r>
              <w:rPr>
                <w:rFonts w:hint="eastAsia" w:ascii="宋体" w:hAnsi="宋体" w:eastAsia="宋体" w:cs="宋体"/>
                <w:color w:val="auto"/>
                <w:sz w:val="21"/>
                <w:szCs w:val="21"/>
                <w:highlight w:val="none"/>
                <w:lang w:val="en-US" w:eastAsia="zh-CN"/>
              </w:rPr>
              <w:t>mm</w:t>
            </w:r>
            <w:r>
              <w:rPr>
                <w:rFonts w:hint="eastAsia" w:ascii="宋体" w:hAnsi="宋体" w:eastAsia="宋体" w:cs="宋体"/>
                <w:b/>
                <w:bCs/>
                <w:i w:val="0"/>
                <w:iCs w:val="0"/>
                <w:color w:val="auto"/>
                <w:sz w:val="21"/>
                <w:szCs w:val="21"/>
                <w:highlight w:val="none"/>
                <w:u w:val="none"/>
              </w:rPr>
              <w:t>×420</w:t>
            </w:r>
            <w:r>
              <w:rPr>
                <w:rFonts w:hint="eastAsia" w:ascii="宋体" w:hAnsi="宋体" w:eastAsia="宋体" w:cs="宋体"/>
                <w:color w:val="auto"/>
                <w:sz w:val="21"/>
                <w:szCs w:val="21"/>
                <w:highlight w:val="none"/>
                <w:lang w:val="en-US" w:eastAsia="zh-CN"/>
              </w:rPr>
              <w:t>mm</w:t>
            </w:r>
            <w:r>
              <w:rPr>
                <w:rFonts w:hint="eastAsia" w:ascii="宋体" w:hAnsi="宋体" w:eastAsia="宋体" w:cs="宋体"/>
                <w:b/>
                <w:bCs/>
                <w:i w:val="0"/>
                <w:iCs w:val="0"/>
                <w:color w:val="auto"/>
                <w:sz w:val="21"/>
                <w:szCs w:val="21"/>
                <w:highlight w:val="none"/>
                <w:u w:val="none"/>
              </w:rPr>
              <w:t>×790</w:t>
            </w:r>
            <w:r>
              <w:rPr>
                <w:rFonts w:hint="eastAsia" w:ascii="宋体" w:hAnsi="宋体" w:eastAsia="宋体" w:cs="宋体"/>
                <w:color w:val="auto"/>
                <w:sz w:val="21"/>
                <w:szCs w:val="21"/>
                <w:highlight w:val="none"/>
                <w:lang w:val="en-US" w:eastAsia="zh-CN"/>
              </w:rPr>
              <w:t>mm</w:t>
            </w:r>
          </w:p>
          <w:p>
            <w:pPr>
              <w:keepNext w:val="0"/>
              <w:keepLines w:val="0"/>
              <w:widowControl/>
              <w:suppressLineNumbers w:val="0"/>
              <w:spacing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sz w:val="21"/>
                <w:szCs w:val="21"/>
                <w:highlight w:val="none"/>
                <w:u w:val="none"/>
              </w:rPr>
              <w:t>2. 坐深</w:t>
            </w:r>
            <w:r>
              <w:rPr>
                <w:rFonts w:hint="eastAsia" w:ascii="宋体" w:hAnsi="宋体" w:eastAsia="宋体" w:cs="宋体"/>
                <w:b/>
                <w:bCs/>
                <w:i w:val="0"/>
                <w:iCs w:val="0"/>
                <w:color w:val="auto"/>
                <w:sz w:val="21"/>
                <w:szCs w:val="21"/>
                <w:highlight w:val="none"/>
                <w:u w:val="none"/>
                <w:lang w:val="en-US" w:eastAsia="zh-CN"/>
              </w:rPr>
              <w:t>≥</w:t>
            </w:r>
            <w:r>
              <w:rPr>
                <w:rFonts w:hint="eastAsia" w:ascii="宋体" w:hAnsi="宋体" w:eastAsia="宋体" w:cs="宋体"/>
                <w:b/>
                <w:bCs/>
                <w:i w:val="0"/>
                <w:iCs w:val="0"/>
                <w:color w:val="auto"/>
                <w:sz w:val="21"/>
                <w:szCs w:val="21"/>
                <w:highlight w:val="none"/>
                <w:u w:val="none"/>
              </w:rPr>
              <w:t>390</w:t>
            </w:r>
            <w:r>
              <w:rPr>
                <w:rFonts w:hint="eastAsia" w:ascii="宋体" w:hAnsi="宋体" w:eastAsia="宋体" w:cs="宋体"/>
                <w:color w:val="auto"/>
                <w:sz w:val="21"/>
                <w:szCs w:val="21"/>
                <w:highlight w:val="none"/>
                <w:lang w:val="en-US" w:eastAsia="zh-CN"/>
              </w:rPr>
              <w:t>mm</w:t>
            </w:r>
            <w:r>
              <w:rPr>
                <w:rFonts w:hint="eastAsia" w:ascii="宋体" w:hAnsi="宋体" w:eastAsia="宋体" w:cs="宋体"/>
                <w:b/>
                <w:bCs/>
                <w:i w:val="0"/>
                <w:iCs w:val="0"/>
                <w:color w:val="auto"/>
                <w:sz w:val="21"/>
                <w:szCs w:val="21"/>
                <w:highlight w:val="none"/>
                <w:u w:val="none"/>
              </w:rPr>
              <w:t xml:space="preserve">  坐宽</w:t>
            </w:r>
            <w:r>
              <w:rPr>
                <w:rFonts w:hint="eastAsia" w:ascii="宋体" w:hAnsi="宋体" w:eastAsia="宋体" w:cs="宋体"/>
                <w:b/>
                <w:bCs/>
                <w:i w:val="0"/>
                <w:iCs w:val="0"/>
                <w:color w:val="auto"/>
                <w:sz w:val="21"/>
                <w:szCs w:val="21"/>
                <w:highlight w:val="none"/>
                <w:u w:val="none"/>
                <w:lang w:val="en-US" w:eastAsia="zh-CN"/>
              </w:rPr>
              <w:t>≥</w:t>
            </w:r>
            <w:r>
              <w:rPr>
                <w:rFonts w:hint="eastAsia" w:ascii="宋体" w:hAnsi="宋体" w:eastAsia="宋体" w:cs="宋体"/>
                <w:b/>
                <w:bCs/>
                <w:i w:val="0"/>
                <w:iCs w:val="0"/>
                <w:color w:val="auto"/>
                <w:sz w:val="21"/>
                <w:szCs w:val="21"/>
                <w:highlight w:val="none"/>
                <w:u w:val="none"/>
              </w:rPr>
              <w:t>405</w:t>
            </w:r>
            <w:r>
              <w:rPr>
                <w:rFonts w:hint="eastAsia" w:ascii="宋体" w:hAnsi="宋体" w:eastAsia="宋体" w:cs="宋体"/>
                <w:color w:val="auto"/>
                <w:sz w:val="21"/>
                <w:szCs w:val="21"/>
                <w:highlight w:val="none"/>
                <w:lang w:val="en-US" w:eastAsia="zh-CN"/>
              </w:rPr>
              <w:t>mm</w:t>
            </w:r>
          </w:p>
          <w:p>
            <w:pPr>
              <w:keepNext w:val="0"/>
              <w:keepLines w:val="0"/>
              <w:widowControl/>
              <w:suppressLineNumbers w:val="0"/>
              <w:spacing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sz w:val="21"/>
                <w:szCs w:val="21"/>
                <w:highlight w:val="none"/>
                <w:u w:val="none"/>
              </w:rPr>
              <w:t>3. 符合人体工学舒适要求</w:t>
            </w:r>
          </w:p>
          <w:p>
            <w:pPr>
              <w:keepNext w:val="0"/>
              <w:keepLines w:val="0"/>
              <w:widowControl/>
              <w:suppressLineNumbers w:val="0"/>
              <w:spacing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sz w:val="21"/>
                <w:szCs w:val="21"/>
                <w:highlight w:val="none"/>
                <w:u w:val="none"/>
              </w:rPr>
              <w:t>4. 环保PP材质，无甲醛，无异味</w:t>
            </w:r>
          </w:p>
          <w:p>
            <w:pPr>
              <w:keepNext w:val="0"/>
              <w:keepLines w:val="0"/>
              <w:widowControl/>
              <w:suppressLineNumbers w:val="0"/>
              <w:spacing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sz w:val="21"/>
                <w:szCs w:val="21"/>
                <w:highlight w:val="none"/>
                <w:u w:val="none"/>
              </w:rPr>
              <w:t>5. 产品重量：</w:t>
            </w:r>
            <w:r>
              <w:rPr>
                <w:rFonts w:hint="eastAsia" w:ascii="宋体" w:hAnsi="宋体" w:eastAsia="宋体" w:cs="宋体"/>
                <w:b/>
                <w:bCs/>
                <w:i w:val="0"/>
                <w:iCs w:val="0"/>
                <w:color w:val="auto"/>
                <w:sz w:val="21"/>
                <w:szCs w:val="21"/>
                <w:highlight w:val="none"/>
                <w:u w:val="none"/>
                <w:lang w:val="en-US" w:eastAsia="zh-CN"/>
              </w:rPr>
              <w:t>≥</w:t>
            </w:r>
            <w:r>
              <w:rPr>
                <w:rFonts w:hint="eastAsia" w:ascii="宋体" w:hAnsi="宋体" w:eastAsia="宋体" w:cs="宋体"/>
                <w:b/>
                <w:bCs/>
                <w:i w:val="0"/>
                <w:iCs w:val="0"/>
                <w:color w:val="auto"/>
                <w:sz w:val="21"/>
                <w:szCs w:val="21"/>
                <w:highlight w:val="none"/>
                <w:u w:val="none"/>
              </w:rPr>
              <w:t>2.3KG</w:t>
            </w:r>
          </w:p>
          <w:p>
            <w:pPr>
              <w:keepNext w:val="0"/>
              <w:keepLines w:val="0"/>
              <w:widowControl/>
              <w:suppressLineNumbers w:val="0"/>
              <w:spacing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sz w:val="21"/>
                <w:szCs w:val="21"/>
                <w:highlight w:val="none"/>
                <w:u w:val="none"/>
              </w:rPr>
              <w:t>6. 承重力：</w:t>
            </w:r>
            <w:r>
              <w:rPr>
                <w:rFonts w:hint="eastAsia" w:ascii="宋体" w:hAnsi="宋体" w:eastAsia="宋体" w:cs="宋体"/>
                <w:b/>
                <w:bCs/>
                <w:i w:val="0"/>
                <w:iCs w:val="0"/>
                <w:color w:val="auto"/>
                <w:sz w:val="21"/>
                <w:szCs w:val="21"/>
                <w:highlight w:val="none"/>
                <w:u w:val="none"/>
                <w:lang w:val="en-US" w:eastAsia="zh-CN"/>
              </w:rPr>
              <w:t>≥</w:t>
            </w:r>
            <w:r>
              <w:rPr>
                <w:rFonts w:hint="eastAsia" w:ascii="宋体" w:hAnsi="宋体" w:eastAsia="宋体" w:cs="宋体"/>
                <w:b/>
                <w:bCs/>
                <w:i w:val="0"/>
                <w:iCs w:val="0"/>
                <w:color w:val="auto"/>
                <w:sz w:val="21"/>
                <w:szCs w:val="21"/>
                <w:highlight w:val="none"/>
                <w:u w:val="none"/>
              </w:rPr>
              <w:t>150KG</w:t>
            </w:r>
          </w:p>
          <w:p>
            <w:pPr>
              <w:keepNext w:val="0"/>
              <w:keepLines w:val="0"/>
              <w:widowControl/>
              <w:suppressLineNumbers w:val="0"/>
              <w:spacing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sz w:val="21"/>
                <w:szCs w:val="21"/>
                <w:highlight w:val="none"/>
                <w:u w:val="none"/>
              </w:rPr>
              <w:t>7. 含靠背 双扶手</w:t>
            </w:r>
          </w:p>
          <w:p>
            <w:pPr>
              <w:keepNext w:val="0"/>
              <w:keepLines w:val="0"/>
              <w:widowControl/>
              <w:suppressLineNumbers w:val="0"/>
              <w:spacing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sz w:val="21"/>
                <w:szCs w:val="21"/>
                <w:highlight w:val="none"/>
                <w:u w:val="none"/>
              </w:rPr>
              <w:t>8. 防火防潮防震 耐磨耐划</w:t>
            </w:r>
          </w:p>
          <w:p>
            <w:pPr>
              <w:keepNext w:val="0"/>
              <w:keepLines w:val="0"/>
              <w:widowControl/>
              <w:suppressLineNumbers w:val="0"/>
              <w:spacing w:line="240" w:lineRule="auto"/>
              <w:jc w:val="left"/>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sz w:val="21"/>
                <w:szCs w:val="21"/>
                <w:highlight w:val="none"/>
                <w:u w:val="none"/>
              </w:rPr>
              <w:t>9. 多色可选</w:t>
            </w:r>
          </w:p>
        </w:tc>
        <w:tc>
          <w:tcPr>
            <w:tcW w:w="34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个</w:t>
            </w:r>
          </w:p>
        </w:tc>
        <w:tc>
          <w:tcPr>
            <w:tcW w:w="33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spacing w:line="240" w:lineRule="auto"/>
              <w:jc w:val="center"/>
              <w:textAlignment w:val="center"/>
              <w:rPr>
                <w:rFonts w:hint="eastAsia" w:ascii="宋体" w:hAnsi="宋体" w:eastAsia="宋体" w:cs="宋体"/>
                <w:b/>
                <w:bCs/>
                <w:i w:val="0"/>
                <w:iCs w:val="0"/>
                <w:color w:val="auto"/>
                <w:sz w:val="21"/>
                <w:szCs w:val="21"/>
                <w:highlight w:val="none"/>
                <w:u w:val="none"/>
              </w:rPr>
            </w:pPr>
            <w:r>
              <w:rPr>
                <w:rFonts w:hint="eastAsia" w:ascii="宋体" w:hAnsi="宋体" w:eastAsia="宋体" w:cs="宋体"/>
                <w:b/>
                <w:bCs/>
                <w:i w:val="0"/>
                <w:iCs w:val="0"/>
                <w:color w:val="auto"/>
                <w:kern w:val="0"/>
                <w:sz w:val="21"/>
                <w:szCs w:val="21"/>
                <w:highlight w:val="none"/>
                <w:u w:val="none"/>
                <w:lang w:val="en-US" w:eastAsia="zh-CN" w:bidi="ar"/>
              </w:rPr>
              <w:t>1000</w:t>
            </w:r>
          </w:p>
        </w:tc>
      </w:tr>
    </w:tbl>
    <w:p>
      <w:pPr>
        <w:rPr>
          <w:rFonts w:hint="eastAsia" w:ascii="宋体" w:hAnsi="宋体" w:eastAsia="宋体" w:cs="宋体"/>
          <w:color w:val="auto"/>
          <w:highlight w:val="none"/>
          <w:lang w:val="en-US" w:eastAsia="zh-CN"/>
        </w:rPr>
      </w:pPr>
    </w:p>
    <w:p>
      <w:pPr>
        <w:pStyle w:val="2"/>
        <w:rPr>
          <w:rFonts w:hint="eastAsia" w:ascii="宋体" w:hAnsi="宋体" w:eastAsia="宋体" w:cs="宋体"/>
          <w:color w:val="auto"/>
          <w:highlight w:val="none"/>
        </w:rPr>
      </w:pPr>
    </w:p>
    <w:p>
      <w:pPr>
        <w:rPr>
          <w:rFonts w:hint="eastAsia" w:ascii="宋体" w:hAnsi="宋体" w:eastAsia="宋体" w:cs="宋体"/>
          <w:color w:val="auto"/>
          <w:highlight w:val="none"/>
        </w:rPr>
      </w:pPr>
      <w:r>
        <w:rPr>
          <w:rFonts w:hint="eastAsia" w:ascii="宋体" w:hAnsi="宋体" w:eastAsia="宋体" w:cs="宋体"/>
          <w:color w:val="auto"/>
          <w:highlight w:val="none"/>
        </w:rPr>
        <w:br w:type="page"/>
      </w:r>
    </w:p>
    <w:p>
      <w:pPr>
        <w:pStyle w:val="3"/>
        <w:shd w:val="clear"/>
        <w:rPr>
          <w:rFonts w:hint="eastAsia" w:ascii="宋体" w:hAnsi="宋体" w:eastAsia="宋体" w:cs="宋体"/>
          <w:color w:val="auto"/>
          <w:highlight w:val="none"/>
        </w:rPr>
      </w:pPr>
      <w:bookmarkStart w:id="283" w:name="_Toc3019"/>
      <w:r>
        <w:rPr>
          <w:rFonts w:hint="eastAsia" w:ascii="宋体" w:hAnsi="宋体" w:eastAsia="宋体" w:cs="宋体"/>
          <w:color w:val="auto"/>
          <w:highlight w:val="none"/>
        </w:rPr>
        <w:t>第六章</w:t>
      </w:r>
      <w:r>
        <w:rPr>
          <w:rFonts w:hint="eastAsia" w:ascii="宋体" w:hAnsi="宋体" w:eastAsia="宋体" w:cs="宋体"/>
          <w:color w:val="auto"/>
          <w:highlight w:val="none"/>
          <w:lang w:val="en-US" w:eastAsia="zh-CN"/>
        </w:rPr>
        <w:t xml:space="preserve"> </w:t>
      </w:r>
      <w:r>
        <w:rPr>
          <w:rFonts w:hint="eastAsia" w:ascii="宋体" w:hAnsi="宋体" w:eastAsia="宋体" w:cs="宋体"/>
          <w:color w:val="auto"/>
          <w:highlight w:val="none"/>
        </w:rPr>
        <w:t xml:space="preserve"> 投标文件参考格式</w:t>
      </w:r>
      <w:bookmarkEnd w:id="279"/>
      <w:bookmarkEnd w:id="283"/>
    </w:p>
    <w:p>
      <w:pPr>
        <w:shd w:val="clear"/>
        <w:spacing w:line="360" w:lineRule="atLeast"/>
        <w:jc w:val="center"/>
        <w:rPr>
          <w:rFonts w:hint="eastAsia" w:ascii="宋体" w:hAnsi="宋体" w:eastAsia="宋体" w:cs="宋体"/>
          <w:color w:val="auto"/>
          <w:sz w:val="22"/>
          <w:szCs w:val="22"/>
          <w:highlight w:val="none"/>
        </w:rPr>
      </w:pPr>
      <w:r>
        <w:rPr>
          <w:rFonts w:hint="eastAsia" w:ascii="宋体" w:hAnsi="宋体" w:eastAsia="宋体" w:cs="宋体"/>
          <w:bCs/>
          <w:color w:val="auto"/>
          <w:sz w:val="22"/>
          <w:szCs w:val="22"/>
          <w:highlight w:val="none"/>
        </w:rPr>
        <w:t>（本格式仅为参考格式，可根据文件编制及项目需要进行调整及更改</w:t>
      </w:r>
      <w:r>
        <w:rPr>
          <w:rFonts w:hint="eastAsia" w:ascii="宋体" w:hAnsi="宋体" w:eastAsia="宋体" w:cs="宋体"/>
          <w:bCs/>
          <w:color w:val="auto"/>
          <w:sz w:val="22"/>
          <w:szCs w:val="22"/>
          <w:highlight w:val="none"/>
          <w:lang w:eastAsia="zh-CN"/>
        </w:rPr>
        <w:t>。</w:t>
      </w:r>
      <w:r>
        <w:rPr>
          <w:rFonts w:hint="eastAsia" w:ascii="宋体" w:hAnsi="宋体" w:eastAsia="宋体" w:cs="宋体"/>
          <w:bCs/>
          <w:color w:val="auto"/>
          <w:sz w:val="22"/>
          <w:szCs w:val="22"/>
          <w:highlight w:val="none"/>
        </w:rPr>
        <w:t>供应商</w:t>
      </w:r>
      <w:r>
        <w:rPr>
          <w:rFonts w:hint="eastAsia" w:ascii="宋体" w:hAnsi="宋体" w:eastAsia="宋体" w:cs="宋体"/>
          <w:bCs/>
          <w:color w:val="auto"/>
          <w:sz w:val="22"/>
          <w:szCs w:val="22"/>
          <w:highlight w:val="none"/>
          <w:lang w:val="en-US" w:eastAsia="zh-CN"/>
        </w:rPr>
        <w:t>须按标段编制投标文件。</w:t>
      </w:r>
      <w:r>
        <w:rPr>
          <w:rFonts w:hint="eastAsia" w:ascii="宋体" w:hAnsi="宋体" w:eastAsia="宋体" w:cs="宋体"/>
          <w:bCs/>
          <w:color w:val="auto"/>
          <w:sz w:val="22"/>
          <w:szCs w:val="22"/>
          <w:highlight w:val="none"/>
        </w:rPr>
        <w:t>）</w:t>
      </w:r>
    </w:p>
    <w:p>
      <w:pPr>
        <w:shd w:val="clear"/>
        <w:spacing w:line="360" w:lineRule="atLeast"/>
        <w:rPr>
          <w:rFonts w:hint="eastAsia" w:ascii="宋体" w:hAnsi="宋体" w:eastAsia="宋体" w:cs="宋体"/>
          <w:color w:val="auto"/>
          <w:sz w:val="21"/>
          <w:szCs w:val="21"/>
          <w:highlight w:val="none"/>
        </w:rPr>
      </w:pPr>
    </w:p>
    <w:p>
      <w:pPr>
        <w:shd w:val="clear"/>
        <w:spacing w:line="360" w:lineRule="atLeast"/>
        <w:jc w:val="right"/>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（正本或副本）</w:t>
      </w:r>
    </w:p>
    <w:p>
      <w:pPr>
        <w:shd w:val="clear"/>
        <w:jc w:val="center"/>
        <w:rPr>
          <w:rFonts w:hint="eastAsia" w:ascii="宋体" w:hAnsi="宋体" w:eastAsia="宋体" w:cs="宋体"/>
          <w:color w:val="auto"/>
          <w:sz w:val="21"/>
          <w:szCs w:val="21"/>
          <w:highlight w:val="none"/>
        </w:rPr>
      </w:pPr>
    </w:p>
    <w:p>
      <w:pPr>
        <w:shd w:val="clear"/>
        <w:jc w:val="center"/>
        <w:rPr>
          <w:rFonts w:hint="eastAsia" w:ascii="宋体" w:hAnsi="宋体" w:eastAsia="宋体" w:cs="宋体"/>
          <w:b/>
          <w:bCs/>
          <w:color w:val="auto"/>
          <w:sz w:val="48"/>
          <w:szCs w:val="48"/>
          <w:highlight w:val="none"/>
        </w:rPr>
      </w:pPr>
    </w:p>
    <w:p>
      <w:pPr>
        <w:shd w:val="clear"/>
        <w:jc w:val="center"/>
        <w:rPr>
          <w:rFonts w:hint="eastAsia" w:ascii="宋体" w:hAnsi="宋体" w:eastAsia="宋体" w:cs="宋体"/>
          <w:b/>
          <w:bCs/>
          <w:color w:val="auto"/>
          <w:sz w:val="48"/>
          <w:szCs w:val="48"/>
          <w:highlight w:val="none"/>
        </w:rPr>
      </w:pPr>
    </w:p>
    <w:p>
      <w:pPr>
        <w:shd w:val="clear"/>
        <w:jc w:val="center"/>
        <w:rPr>
          <w:rFonts w:hint="eastAsia" w:ascii="宋体" w:hAnsi="宋体" w:eastAsia="宋体" w:cs="宋体"/>
          <w:b/>
          <w:bCs/>
          <w:color w:val="auto"/>
          <w:sz w:val="48"/>
          <w:szCs w:val="48"/>
          <w:highlight w:val="none"/>
        </w:rPr>
      </w:pPr>
      <w:r>
        <w:rPr>
          <w:rFonts w:hint="eastAsia" w:ascii="宋体" w:hAnsi="宋体" w:eastAsia="宋体" w:cs="宋体"/>
          <w:b/>
          <w:bCs/>
          <w:color w:val="auto"/>
          <w:sz w:val="48"/>
          <w:szCs w:val="48"/>
          <w:highlight w:val="none"/>
        </w:rPr>
        <w:t>政府采购投标文件</w:t>
      </w:r>
    </w:p>
    <w:p>
      <w:pPr>
        <w:shd w:val="clear"/>
        <w:jc w:val="center"/>
        <w:rPr>
          <w:rFonts w:hint="eastAsia" w:ascii="宋体" w:hAnsi="宋体" w:eastAsia="宋体" w:cs="宋体"/>
          <w:color w:val="auto"/>
          <w:sz w:val="21"/>
          <w:szCs w:val="21"/>
          <w:highlight w:val="none"/>
        </w:rPr>
      </w:pPr>
    </w:p>
    <w:p>
      <w:pPr>
        <w:shd w:val="clear"/>
        <w:spacing w:line="360" w:lineRule="atLeast"/>
        <w:rPr>
          <w:rFonts w:hint="eastAsia" w:ascii="宋体" w:hAnsi="宋体" w:eastAsia="宋体" w:cs="宋体"/>
          <w:color w:val="auto"/>
          <w:sz w:val="32"/>
          <w:szCs w:val="32"/>
          <w:highlight w:val="none"/>
        </w:rPr>
      </w:pPr>
    </w:p>
    <w:p>
      <w:pPr>
        <w:shd w:val="clear"/>
        <w:spacing w:line="360" w:lineRule="atLeast"/>
        <w:ind w:left="0" w:leftChars="0" w:firstLine="1198" w:firstLineChars="428"/>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采购项目编号：</w:t>
      </w:r>
    </w:p>
    <w:p>
      <w:pPr>
        <w:shd w:val="clear"/>
        <w:spacing w:line="360" w:lineRule="atLeast"/>
        <w:ind w:left="0" w:leftChars="0" w:firstLine="1198" w:firstLineChars="428"/>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采购项目名称：</w:t>
      </w:r>
    </w:p>
    <w:p>
      <w:pPr>
        <w:pStyle w:val="13"/>
        <w:shd w:val="clear"/>
        <w:ind w:left="0" w:leftChars="0" w:firstLine="1198" w:firstLineChars="428"/>
        <w:rPr>
          <w:rFonts w:hint="eastAsia" w:ascii="宋体" w:hAnsi="宋体" w:eastAsia="宋体" w:cs="宋体"/>
          <w:color w:val="auto"/>
          <w:highlight w:val="none"/>
          <w:lang w:val="en-US" w:eastAsia="zh-CN"/>
        </w:rPr>
      </w:pPr>
      <w:r>
        <w:rPr>
          <w:rFonts w:hint="eastAsia" w:ascii="宋体" w:hAnsi="宋体" w:eastAsia="宋体" w:cs="宋体"/>
          <w:color w:val="auto"/>
          <w:sz w:val="28"/>
          <w:szCs w:val="28"/>
          <w:highlight w:val="none"/>
          <w:lang w:val="en-US" w:eastAsia="zh-CN"/>
        </w:rPr>
        <w:t>标包号及标包名称：</w:t>
      </w:r>
    </w:p>
    <w:p>
      <w:pPr>
        <w:shd w:val="clear"/>
        <w:spacing w:line="360" w:lineRule="atLeast"/>
        <w:ind w:firstLine="1280" w:firstLineChars="400"/>
        <w:jc w:val="center"/>
        <w:rPr>
          <w:rFonts w:hint="eastAsia" w:ascii="宋体" w:hAnsi="宋体" w:eastAsia="宋体" w:cs="宋体"/>
          <w:color w:val="auto"/>
          <w:sz w:val="32"/>
          <w:szCs w:val="32"/>
          <w:highlight w:val="none"/>
        </w:rPr>
      </w:pPr>
    </w:p>
    <w:p>
      <w:pPr>
        <w:pStyle w:val="8"/>
        <w:shd w:val="clear"/>
        <w:rPr>
          <w:rFonts w:hint="eastAsia" w:ascii="宋体" w:hAnsi="宋体" w:eastAsia="宋体" w:cs="宋体"/>
          <w:color w:val="auto"/>
          <w:sz w:val="32"/>
          <w:szCs w:val="32"/>
          <w:highlight w:val="none"/>
        </w:rPr>
      </w:pPr>
    </w:p>
    <w:p>
      <w:pPr>
        <w:pStyle w:val="8"/>
        <w:shd w:val="clear"/>
        <w:rPr>
          <w:rFonts w:hint="eastAsia" w:ascii="宋体" w:hAnsi="宋体" w:eastAsia="宋体" w:cs="宋体"/>
          <w:color w:val="auto"/>
          <w:sz w:val="32"/>
          <w:szCs w:val="32"/>
          <w:highlight w:val="none"/>
        </w:rPr>
      </w:pPr>
    </w:p>
    <w:p>
      <w:pPr>
        <w:shd w:val="clear"/>
        <w:spacing w:line="360" w:lineRule="atLeast"/>
        <w:jc w:val="center"/>
        <w:rPr>
          <w:rFonts w:hint="eastAsia" w:ascii="宋体" w:hAnsi="宋体" w:eastAsia="宋体" w:cs="宋体"/>
          <w:color w:val="auto"/>
          <w:sz w:val="32"/>
          <w:szCs w:val="32"/>
          <w:highlight w:val="none"/>
        </w:rPr>
      </w:pPr>
    </w:p>
    <w:p>
      <w:pPr>
        <w:pStyle w:val="2"/>
        <w:shd w:val="clear"/>
        <w:rPr>
          <w:rFonts w:hint="eastAsia" w:ascii="宋体" w:hAnsi="宋体" w:eastAsia="宋体" w:cs="宋体"/>
          <w:color w:val="auto"/>
          <w:sz w:val="32"/>
          <w:szCs w:val="32"/>
          <w:highlight w:val="none"/>
        </w:rPr>
      </w:pPr>
    </w:p>
    <w:p>
      <w:pPr>
        <w:shd w:val="clear"/>
        <w:rPr>
          <w:rFonts w:hint="eastAsia" w:ascii="宋体" w:hAnsi="宋体" w:eastAsia="宋体" w:cs="宋体"/>
          <w:color w:val="auto"/>
          <w:sz w:val="32"/>
          <w:szCs w:val="32"/>
          <w:highlight w:val="none"/>
        </w:rPr>
      </w:pPr>
    </w:p>
    <w:p>
      <w:pPr>
        <w:pStyle w:val="2"/>
        <w:shd w:val="clear"/>
        <w:rPr>
          <w:rFonts w:hint="eastAsia" w:ascii="宋体" w:hAnsi="宋体" w:eastAsia="宋体" w:cs="宋体"/>
          <w:color w:val="auto"/>
          <w:highlight w:val="none"/>
        </w:rPr>
      </w:pPr>
    </w:p>
    <w:p>
      <w:pPr>
        <w:shd w:val="clear"/>
        <w:spacing w:line="360" w:lineRule="atLeast"/>
        <w:jc w:val="center"/>
        <w:rPr>
          <w:rFonts w:hint="eastAsia" w:ascii="宋体" w:hAnsi="宋体" w:eastAsia="宋体" w:cs="宋体"/>
          <w:color w:val="auto"/>
          <w:sz w:val="32"/>
          <w:szCs w:val="32"/>
          <w:highlight w:val="none"/>
        </w:rPr>
      </w:pPr>
    </w:p>
    <w:p>
      <w:pPr>
        <w:shd w:val="clear"/>
        <w:spacing w:line="360" w:lineRule="atLeast"/>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（供应商名称）</w:t>
      </w:r>
    </w:p>
    <w:p>
      <w:pPr>
        <w:shd w:val="clear"/>
        <w:spacing w:line="360" w:lineRule="atLeast"/>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年   月   日</w:t>
      </w:r>
    </w:p>
    <w:p>
      <w:pPr>
        <w:shd w:val="clear"/>
        <w:spacing w:line="360" w:lineRule="atLeast"/>
        <w:rPr>
          <w:rFonts w:hint="eastAsia" w:ascii="宋体" w:hAnsi="宋体" w:eastAsia="宋体" w:cs="宋体"/>
          <w:b/>
          <w:color w:val="auto"/>
          <w:sz w:val="21"/>
          <w:szCs w:val="21"/>
          <w:highlight w:val="none"/>
        </w:rPr>
      </w:pPr>
    </w:p>
    <w:p>
      <w:pPr>
        <w:shd w:val="clear"/>
        <w:spacing w:line="360" w:lineRule="atLeast"/>
        <w:ind w:firstLine="2427" w:firstLineChars="1151"/>
        <w:rPr>
          <w:rFonts w:hint="eastAsia" w:ascii="宋体" w:hAnsi="宋体" w:eastAsia="宋体" w:cs="宋体"/>
          <w:b/>
          <w:color w:val="auto"/>
          <w:sz w:val="21"/>
          <w:szCs w:val="21"/>
          <w:highlight w:val="none"/>
        </w:rPr>
      </w:pPr>
    </w:p>
    <w:p>
      <w:pPr>
        <w:shd w:val="clea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br w:type="page"/>
      </w:r>
    </w:p>
    <w:p>
      <w:pPr>
        <w:shd w:val="clear"/>
        <w:spacing w:line="360" w:lineRule="atLeast"/>
        <w:jc w:val="center"/>
        <w:rPr>
          <w:rFonts w:hint="eastAsia" w:ascii="宋体" w:hAnsi="宋体" w:eastAsia="宋体" w:cs="宋体"/>
          <w:b/>
          <w:color w:val="auto"/>
          <w:sz w:val="36"/>
          <w:szCs w:val="36"/>
          <w:highlight w:val="none"/>
        </w:rPr>
      </w:pPr>
      <w:r>
        <w:rPr>
          <w:rFonts w:hint="eastAsia" w:ascii="宋体" w:hAnsi="宋体" w:eastAsia="宋体" w:cs="宋体"/>
          <w:b/>
          <w:color w:val="auto"/>
          <w:sz w:val="36"/>
          <w:szCs w:val="36"/>
          <w:highlight w:val="none"/>
        </w:rPr>
        <w:t>目  录</w:t>
      </w:r>
    </w:p>
    <w:p>
      <w:pPr>
        <w:shd w:val="clear"/>
        <w:spacing w:line="360" w:lineRule="atLeast"/>
        <w:ind w:firstLine="2427" w:firstLineChars="1151"/>
        <w:rPr>
          <w:rFonts w:hint="eastAsia" w:ascii="宋体" w:hAnsi="宋体" w:eastAsia="宋体" w:cs="宋体"/>
          <w:b/>
          <w:color w:val="auto"/>
          <w:sz w:val="21"/>
          <w:szCs w:val="21"/>
          <w:highlight w:val="none"/>
        </w:rPr>
      </w:pPr>
    </w:p>
    <w:p>
      <w:pPr>
        <w:shd w:val="clear"/>
        <w:spacing w:line="360" w:lineRule="atLeast"/>
        <w:jc w:val="left"/>
        <w:rPr>
          <w:rFonts w:hint="eastAsia" w:ascii="宋体" w:hAnsi="宋体" w:eastAsia="宋体" w:cs="宋体"/>
          <w:color w:val="auto"/>
          <w:sz w:val="21"/>
          <w:szCs w:val="21"/>
          <w:highlight w:val="none"/>
        </w:rPr>
      </w:pPr>
    </w:p>
    <w:p>
      <w:pPr>
        <w:pStyle w:val="15"/>
        <w:shd w:val="clear"/>
        <w:spacing w:line="500" w:lineRule="exact"/>
        <w:ind w:firstLine="721" w:firstLineChars="342"/>
        <w:jc w:val="left"/>
        <w:rPr>
          <w:rFonts w:hint="eastAsia" w:ascii="宋体" w:hAnsi="宋体" w:eastAsia="宋体" w:cs="宋体"/>
          <w:b/>
          <w:bCs/>
          <w:color w:val="auto"/>
          <w:sz w:val="21"/>
          <w:highlight w:val="none"/>
        </w:rPr>
      </w:pPr>
      <w:r>
        <w:rPr>
          <w:rFonts w:hint="eastAsia" w:ascii="宋体" w:hAnsi="宋体" w:eastAsia="宋体" w:cs="宋体"/>
          <w:b/>
          <w:bCs/>
          <w:color w:val="auto"/>
          <w:sz w:val="21"/>
          <w:highlight w:val="none"/>
        </w:rPr>
        <w:t>第一部分   投标函</w:t>
      </w:r>
    </w:p>
    <w:p>
      <w:pPr>
        <w:pStyle w:val="15"/>
        <w:shd w:val="clear"/>
        <w:spacing w:line="500" w:lineRule="exact"/>
        <w:ind w:firstLine="721" w:firstLineChars="342"/>
        <w:jc w:val="left"/>
        <w:rPr>
          <w:rFonts w:hint="eastAsia" w:ascii="宋体" w:hAnsi="宋体" w:eastAsia="宋体" w:cs="宋体"/>
          <w:b/>
          <w:bCs/>
          <w:color w:val="auto"/>
          <w:sz w:val="21"/>
          <w:highlight w:val="none"/>
        </w:rPr>
      </w:pPr>
    </w:p>
    <w:p>
      <w:pPr>
        <w:pStyle w:val="15"/>
        <w:shd w:val="clear"/>
        <w:spacing w:line="500" w:lineRule="exact"/>
        <w:ind w:firstLine="721" w:firstLineChars="342"/>
        <w:jc w:val="left"/>
        <w:rPr>
          <w:rFonts w:hint="eastAsia" w:ascii="宋体" w:hAnsi="宋体" w:eastAsia="宋体" w:cs="宋体"/>
          <w:b/>
          <w:bCs/>
          <w:color w:val="auto"/>
          <w:sz w:val="21"/>
          <w:highlight w:val="none"/>
        </w:rPr>
      </w:pPr>
      <w:r>
        <w:rPr>
          <w:rFonts w:hint="eastAsia" w:ascii="宋体" w:hAnsi="宋体" w:eastAsia="宋体" w:cs="宋体"/>
          <w:b/>
          <w:bCs/>
          <w:color w:val="auto"/>
          <w:sz w:val="21"/>
          <w:highlight w:val="none"/>
        </w:rPr>
        <w:t>第二部分   开标一览表</w:t>
      </w:r>
    </w:p>
    <w:p>
      <w:pPr>
        <w:pStyle w:val="15"/>
        <w:shd w:val="clear"/>
        <w:spacing w:line="500" w:lineRule="exact"/>
        <w:ind w:firstLine="721" w:firstLineChars="342"/>
        <w:jc w:val="left"/>
        <w:rPr>
          <w:rFonts w:hint="eastAsia" w:ascii="宋体" w:hAnsi="宋体" w:eastAsia="宋体" w:cs="宋体"/>
          <w:b/>
          <w:bCs/>
          <w:color w:val="auto"/>
          <w:sz w:val="21"/>
          <w:highlight w:val="none"/>
        </w:rPr>
      </w:pPr>
      <w:r>
        <w:rPr>
          <w:rFonts w:hint="eastAsia" w:ascii="宋体" w:hAnsi="宋体" w:eastAsia="宋体" w:cs="宋体"/>
          <w:b/>
          <w:bCs/>
          <w:color w:val="auto"/>
          <w:sz w:val="21"/>
          <w:highlight w:val="none"/>
        </w:rPr>
        <w:t xml:space="preserve">           投标货物分项报价表</w:t>
      </w:r>
    </w:p>
    <w:p>
      <w:pPr>
        <w:pStyle w:val="15"/>
        <w:shd w:val="clear"/>
        <w:ind w:firstLine="721" w:firstLineChars="342"/>
        <w:jc w:val="left"/>
        <w:rPr>
          <w:rFonts w:hint="eastAsia" w:ascii="宋体" w:hAnsi="宋体" w:eastAsia="宋体" w:cs="宋体"/>
          <w:b/>
          <w:color w:val="auto"/>
          <w:sz w:val="21"/>
          <w:highlight w:val="none"/>
        </w:rPr>
      </w:pPr>
    </w:p>
    <w:p>
      <w:pPr>
        <w:pStyle w:val="15"/>
        <w:shd w:val="clear"/>
        <w:ind w:firstLine="721" w:firstLineChars="342"/>
        <w:jc w:val="left"/>
        <w:rPr>
          <w:rFonts w:hint="eastAsia" w:ascii="宋体" w:hAnsi="宋体" w:eastAsia="宋体" w:cs="宋体"/>
          <w:b/>
          <w:bCs/>
          <w:color w:val="auto"/>
          <w:sz w:val="21"/>
          <w:highlight w:val="none"/>
        </w:rPr>
      </w:pPr>
      <w:r>
        <w:rPr>
          <w:rFonts w:hint="eastAsia" w:ascii="宋体" w:hAnsi="宋体" w:eastAsia="宋体" w:cs="宋体"/>
          <w:b/>
          <w:bCs/>
          <w:color w:val="auto"/>
          <w:sz w:val="21"/>
          <w:highlight w:val="none"/>
        </w:rPr>
        <w:t xml:space="preserve">第三部分   </w:t>
      </w:r>
      <w:r>
        <w:rPr>
          <w:rFonts w:hint="eastAsia" w:ascii="宋体" w:hAnsi="宋体" w:eastAsia="宋体" w:cs="宋体"/>
          <w:b/>
          <w:color w:val="auto"/>
          <w:kern w:val="0"/>
          <w:sz w:val="21"/>
          <w:highlight w:val="none"/>
        </w:rPr>
        <w:t>法定代表人证明书与授权书</w:t>
      </w:r>
    </w:p>
    <w:p>
      <w:pPr>
        <w:pStyle w:val="15"/>
        <w:shd w:val="clear"/>
        <w:spacing w:line="500" w:lineRule="exact"/>
        <w:ind w:firstLine="721" w:firstLineChars="342"/>
        <w:jc w:val="left"/>
        <w:rPr>
          <w:rFonts w:hint="eastAsia" w:ascii="宋体" w:hAnsi="宋体" w:eastAsia="宋体" w:cs="宋体"/>
          <w:b/>
          <w:bCs/>
          <w:color w:val="auto"/>
          <w:sz w:val="21"/>
          <w:highlight w:val="none"/>
        </w:rPr>
      </w:pPr>
    </w:p>
    <w:p>
      <w:pPr>
        <w:pStyle w:val="15"/>
        <w:shd w:val="clear"/>
        <w:spacing w:line="500" w:lineRule="exact"/>
        <w:ind w:firstLine="721" w:firstLineChars="342"/>
        <w:jc w:val="left"/>
        <w:rPr>
          <w:rFonts w:hint="eastAsia" w:ascii="宋体" w:hAnsi="宋体" w:eastAsia="宋体" w:cs="宋体"/>
          <w:b/>
          <w:bCs/>
          <w:color w:val="auto"/>
          <w:sz w:val="21"/>
          <w:highlight w:val="none"/>
        </w:rPr>
      </w:pPr>
      <w:r>
        <w:rPr>
          <w:rFonts w:hint="eastAsia" w:ascii="宋体" w:hAnsi="宋体" w:eastAsia="宋体" w:cs="宋体"/>
          <w:b/>
          <w:bCs/>
          <w:color w:val="auto"/>
          <w:sz w:val="21"/>
          <w:highlight w:val="none"/>
        </w:rPr>
        <w:t>第四部分   供应商资质证明文件</w:t>
      </w:r>
    </w:p>
    <w:p>
      <w:pPr>
        <w:pStyle w:val="15"/>
        <w:shd w:val="clear"/>
        <w:spacing w:line="500" w:lineRule="exact"/>
        <w:ind w:firstLine="721" w:firstLineChars="342"/>
        <w:jc w:val="left"/>
        <w:rPr>
          <w:rFonts w:hint="eastAsia" w:ascii="宋体" w:hAnsi="宋体" w:eastAsia="宋体" w:cs="宋体"/>
          <w:b/>
          <w:bCs/>
          <w:color w:val="auto"/>
          <w:sz w:val="21"/>
          <w:highlight w:val="none"/>
        </w:rPr>
      </w:pPr>
    </w:p>
    <w:p>
      <w:pPr>
        <w:pStyle w:val="15"/>
        <w:shd w:val="clear"/>
        <w:spacing w:line="500" w:lineRule="exact"/>
        <w:ind w:firstLine="721" w:firstLineChars="342"/>
        <w:jc w:val="left"/>
        <w:rPr>
          <w:rFonts w:hint="eastAsia" w:ascii="宋体" w:hAnsi="宋体" w:eastAsia="宋体" w:cs="宋体"/>
          <w:b/>
          <w:color w:val="auto"/>
          <w:sz w:val="21"/>
          <w:highlight w:val="none"/>
        </w:rPr>
      </w:pPr>
      <w:r>
        <w:rPr>
          <w:rFonts w:hint="eastAsia" w:ascii="宋体" w:hAnsi="宋体" w:eastAsia="宋体" w:cs="宋体"/>
          <w:b/>
          <w:color w:val="auto"/>
          <w:sz w:val="21"/>
          <w:highlight w:val="none"/>
        </w:rPr>
        <w:t>第五部分   主要投标货物技术偏差表</w:t>
      </w:r>
    </w:p>
    <w:p>
      <w:pPr>
        <w:pStyle w:val="15"/>
        <w:shd w:val="clear"/>
        <w:spacing w:line="500" w:lineRule="exact"/>
        <w:ind w:firstLine="721" w:firstLineChars="342"/>
        <w:jc w:val="left"/>
        <w:rPr>
          <w:rFonts w:hint="eastAsia" w:ascii="宋体" w:hAnsi="宋体" w:eastAsia="宋体" w:cs="宋体"/>
          <w:b/>
          <w:bCs/>
          <w:color w:val="auto"/>
          <w:sz w:val="21"/>
          <w:highlight w:val="none"/>
        </w:rPr>
      </w:pPr>
    </w:p>
    <w:p>
      <w:pPr>
        <w:pStyle w:val="15"/>
        <w:shd w:val="clear"/>
        <w:spacing w:line="500" w:lineRule="exact"/>
        <w:ind w:firstLine="721" w:firstLineChars="342"/>
        <w:jc w:val="left"/>
        <w:rPr>
          <w:rFonts w:hint="eastAsia" w:ascii="宋体" w:hAnsi="宋体" w:eastAsia="宋体" w:cs="宋体"/>
          <w:b/>
          <w:bCs/>
          <w:color w:val="auto"/>
          <w:sz w:val="21"/>
          <w:highlight w:val="none"/>
        </w:rPr>
      </w:pPr>
      <w:r>
        <w:rPr>
          <w:rFonts w:hint="eastAsia" w:ascii="宋体" w:hAnsi="宋体" w:eastAsia="宋体" w:cs="宋体"/>
          <w:b/>
          <w:bCs/>
          <w:color w:val="auto"/>
          <w:sz w:val="21"/>
          <w:highlight w:val="none"/>
        </w:rPr>
        <w:t>第六部分   技术响应方案</w:t>
      </w:r>
    </w:p>
    <w:p>
      <w:pPr>
        <w:pStyle w:val="15"/>
        <w:shd w:val="clear"/>
        <w:spacing w:line="500" w:lineRule="exact"/>
        <w:ind w:firstLine="721" w:firstLineChars="342"/>
        <w:jc w:val="left"/>
        <w:rPr>
          <w:rFonts w:hint="eastAsia" w:ascii="宋体" w:hAnsi="宋体" w:eastAsia="宋体" w:cs="宋体"/>
          <w:b/>
          <w:bCs/>
          <w:color w:val="auto"/>
          <w:sz w:val="21"/>
          <w:highlight w:val="none"/>
        </w:rPr>
      </w:pPr>
    </w:p>
    <w:p>
      <w:pPr>
        <w:pStyle w:val="15"/>
        <w:shd w:val="clear"/>
        <w:spacing w:line="500" w:lineRule="exact"/>
        <w:ind w:firstLine="721" w:firstLineChars="342"/>
        <w:jc w:val="left"/>
        <w:rPr>
          <w:rFonts w:hint="eastAsia" w:ascii="宋体" w:hAnsi="宋体" w:eastAsia="宋体" w:cs="宋体"/>
          <w:b/>
          <w:bCs/>
          <w:color w:val="auto"/>
          <w:sz w:val="21"/>
          <w:highlight w:val="none"/>
        </w:rPr>
      </w:pPr>
      <w:r>
        <w:rPr>
          <w:rFonts w:hint="eastAsia" w:ascii="宋体" w:hAnsi="宋体" w:eastAsia="宋体" w:cs="宋体"/>
          <w:b/>
          <w:bCs/>
          <w:color w:val="auto"/>
          <w:sz w:val="21"/>
          <w:highlight w:val="none"/>
        </w:rPr>
        <w:t>第七部分   商务响应及售后服务承诺</w:t>
      </w:r>
    </w:p>
    <w:p>
      <w:pPr>
        <w:pStyle w:val="15"/>
        <w:shd w:val="clear"/>
        <w:spacing w:line="500" w:lineRule="exact"/>
        <w:ind w:firstLine="721" w:firstLineChars="342"/>
        <w:jc w:val="left"/>
        <w:rPr>
          <w:rFonts w:hint="eastAsia" w:ascii="宋体" w:hAnsi="宋体" w:eastAsia="宋体" w:cs="宋体"/>
          <w:b/>
          <w:bCs/>
          <w:color w:val="auto"/>
          <w:sz w:val="21"/>
          <w:highlight w:val="none"/>
        </w:rPr>
      </w:pPr>
    </w:p>
    <w:p>
      <w:pPr>
        <w:pStyle w:val="15"/>
        <w:shd w:val="clear"/>
        <w:spacing w:line="500" w:lineRule="exact"/>
        <w:ind w:firstLine="721" w:firstLineChars="342"/>
        <w:jc w:val="left"/>
        <w:rPr>
          <w:rFonts w:hint="eastAsia" w:ascii="宋体" w:hAnsi="宋体" w:eastAsia="宋体" w:cs="宋体"/>
          <w:b/>
          <w:bCs/>
          <w:color w:val="auto"/>
          <w:sz w:val="21"/>
          <w:highlight w:val="none"/>
        </w:rPr>
      </w:pPr>
      <w:r>
        <w:rPr>
          <w:rFonts w:hint="eastAsia" w:ascii="宋体" w:hAnsi="宋体" w:eastAsia="宋体" w:cs="宋体"/>
          <w:b/>
          <w:bCs/>
          <w:color w:val="auto"/>
          <w:sz w:val="21"/>
          <w:highlight w:val="none"/>
        </w:rPr>
        <w:t>第八部分   供应商承诺书</w:t>
      </w:r>
    </w:p>
    <w:p>
      <w:pPr>
        <w:shd w:val="clear"/>
        <w:spacing w:line="360" w:lineRule="atLeast"/>
        <w:rPr>
          <w:rFonts w:hint="eastAsia" w:ascii="宋体" w:hAnsi="宋体" w:eastAsia="宋体" w:cs="宋体"/>
          <w:b/>
          <w:color w:val="auto"/>
          <w:sz w:val="21"/>
          <w:szCs w:val="21"/>
          <w:highlight w:val="none"/>
        </w:rPr>
      </w:pPr>
    </w:p>
    <w:p>
      <w:pPr>
        <w:shd w:val="clear"/>
        <w:spacing w:line="360" w:lineRule="atLeast"/>
        <w:rPr>
          <w:rFonts w:hint="eastAsia" w:ascii="宋体" w:hAnsi="宋体" w:eastAsia="宋体" w:cs="宋体"/>
          <w:b/>
          <w:color w:val="auto"/>
          <w:sz w:val="21"/>
          <w:szCs w:val="21"/>
          <w:highlight w:val="none"/>
        </w:rPr>
      </w:pPr>
    </w:p>
    <w:p>
      <w:pPr>
        <w:shd w:val="clear"/>
        <w:spacing w:line="360" w:lineRule="atLeast"/>
        <w:rPr>
          <w:rFonts w:hint="eastAsia" w:ascii="宋体" w:hAnsi="宋体" w:eastAsia="宋体" w:cs="宋体"/>
          <w:b/>
          <w:color w:val="auto"/>
          <w:sz w:val="21"/>
          <w:szCs w:val="21"/>
          <w:highlight w:val="none"/>
        </w:rPr>
      </w:pPr>
    </w:p>
    <w:p>
      <w:pPr>
        <w:shd w:val="clear"/>
        <w:spacing w:line="360" w:lineRule="atLeast"/>
        <w:rPr>
          <w:rFonts w:hint="eastAsia" w:ascii="宋体" w:hAnsi="宋体" w:eastAsia="宋体" w:cs="宋体"/>
          <w:b/>
          <w:color w:val="auto"/>
          <w:sz w:val="21"/>
          <w:szCs w:val="21"/>
          <w:highlight w:val="none"/>
        </w:rPr>
      </w:pPr>
    </w:p>
    <w:p>
      <w:pPr>
        <w:shd w:val="clea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br w:type="page"/>
      </w:r>
    </w:p>
    <w:p>
      <w:pPr>
        <w:pStyle w:val="4"/>
        <w:shd w:val="clear"/>
        <w:rPr>
          <w:rFonts w:hint="eastAsia" w:ascii="宋体" w:hAnsi="宋体" w:eastAsia="宋体" w:cs="宋体"/>
          <w:color w:val="auto"/>
          <w:highlight w:val="none"/>
        </w:rPr>
      </w:pPr>
      <w:bookmarkStart w:id="284" w:name="_Toc25220"/>
      <w:bookmarkStart w:id="285" w:name="_Toc31279"/>
      <w:bookmarkStart w:id="286" w:name="_Toc31236"/>
      <w:r>
        <w:rPr>
          <w:rFonts w:hint="eastAsia" w:ascii="宋体" w:hAnsi="宋体" w:eastAsia="宋体" w:cs="宋体"/>
          <w:color w:val="auto"/>
          <w:highlight w:val="none"/>
        </w:rPr>
        <w:t xml:space="preserve">第一部分  </w:t>
      </w:r>
      <w:bookmarkEnd w:id="284"/>
      <w:bookmarkEnd w:id="285"/>
      <w:r>
        <w:rPr>
          <w:rFonts w:hint="eastAsia" w:ascii="宋体" w:hAnsi="宋体" w:eastAsia="宋体" w:cs="宋体"/>
          <w:color w:val="auto"/>
          <w:highlight w:val="none"/>
        </w:rPr>
        <w:t>投标函</w:t>
      </w:r>
      <w:bookmarkEnd w:id="286"/>
    </w:p>
    <w:p>
      <w:pPr>
        <w:shd w:val="clear"/>
        <w:kinsoku w:val="0"/>
        <w:spacing w:line="500" w:lineRule="exact"/>
        <w:rPr>
          <w:rFonts w:hint="eastAsia" w:ascii="宋体" w:hAnsi="宋体" w:eastAsia="宋体" w:cs="宋体"/>
          <w:color w:val="auto"/>
          <w:spacing w:val="-6"/>
          <w:sz w:val="21"/>
          <w:szCs w:val="21"/>
          <w:highlight w:val="none"/>
        </w:rPr>
      </w:pPr>
    </w:p>
    <w:p>
      <w:pPr>
        <w:shd w:val="clear"/>
        <w:kinsoku w:val="0"/>
        <w:spacing w:line="500" w:lineRule="exact"/>
        <w:rPr>
          <w:rFonts w:hint="eastAsia" w:ascii="宋体" w:hAnsi="宋体" w:eastAsia="宋体" w:cs="宋体"/>
          <w:color w:val="auto"/>
          <w:sz w:val="21"/>
          <w:szCs w:val="21"/>
          <w:highlight w:val="none"/>
        </w:rPr>
      </w:pPr>
      <w:r>
        <w:rPr>
          <w:rFonts w:hint="eastAsia" w:ascii="宋体" w:hAnsi="宋体" w:eastAsia="宋体" w:cs="宋体"/>
          <w:color w:val="auto"/>
          <w:spacing w:val="-6"/>
          <w:sz w:val="21"/>
          <w:szCs w:val="21"/>
          <w:highlight w:val="none"/>
          <w:lang w:eastAsia="zh-CN"/>
        </w:rPr>
        <w:t>陕西国中恒工程项目管理有限公司</w:t>
      </w:r>
      <w:r>
        <w:rPr>
          <w:rFonts w:hint="eastAsia" w:ascii="宋体" w:hAnsi="宋体" w:eastAsia="宋体" w:cs="宋体"/>
          <w:color w:val="auto"/>
          <w:sz w:val="21"/>
          <w:szCs w:val="21"/>
          <w:highlight w:val="none"/>
        </w:rPr>
        <w:t>：</w:t>
      </w:r>
    </w:p>
    <w:p>
      <w:pPr>
        <w:shd w:val="clear"/>
        <w:kinsoku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我公司收到贵单</w:t>
      </w:r>
      <w:r>
        <w:rPr>
          <w:rFonts w:hint="eastAsia" w:ascii="宋体" w:hAnsi="宋体" w:eastAsia="宋体" w:cs="宋体"/>
          <w:color w:val="auto"/>
          <w:spacing w:val="-6"/>
          <w:sz w:val="21"/>
          <w:szCs w:val="21"/>
          <w:highlight w:val="none"/>
        </w:rPr>
        <w:t>位</w:t>
      </w:r>
      <w:r>
        <w:rPr>
          <w:rFonts w:hint="eastAsia" w:ascii="宋体" w:hAnsi="宋体" w:eastAsia="宋体" w:cs="宋体"/>
          <w:color w:val="auto"/>
          <w:spacing w:val="-6"/>
          <w:sz w:val="21"/>
          <w:szCs w:val="21"/>
          <w:highlight w:val="none"/>
          <w:u w:val="single"/>
          <w:lang w:val="en-US" w:eastAsia="zh-CN"/>
        </w:rPr>
        <w:t xml:space="preserve">         </w:t>
      </w:r>
      <w:r>
        <w:rPr>
          <w:rFonts w:hint="eastAsia" w:ascii="宋体" w:hAnsi="宋体" w:eastAsia="宋体" w:cs="宋体"/>
          <w:color w:val="auto"/>
          <w:sz w:val="21"/>
          <w:szCs w:val="21"/>
          <w:highlight w:val="none"/>
        </w:rPr>
        <w:t>号招标文件，经详细研究，决定参加本次政府采购活动。为此，我方郑重声明以下几点，并愿负法律责任。</w:t>
      </w:r>
    </w:p>
    <w:p>
      <w:pPr>
        <w:shd w:val="clear"/>
        <w:kinsoku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1、按照招标文件中的一切要求，提供完全满足本项目采购需求的合格的货物及技术服务保障。</w:t>
      </w:r>
    </w:p>
    <w:p>
      <w:pPr>
        <w:shd w:val="clear"/>
        <w:kinsoku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2、如若中标，将根据招标文件的要求、投标文件及承诺条件，全面签约并履行合同规定的责任和义务。</w:t>
      </w:r>
    </w:p>
    <w:p>
      <w:pPr>
        <w:shd w:val="clear"/>
        <w:kinsoku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3、我方提交的投标文件共</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份，其中正本</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份，副本</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份，电子文件</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份。</w:t>
      </w:r>
    </w:p>
    <w:p>
      <w:pPr>
        <w:shd w:val="clear"/>
        <w:kinsoku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4、我方按招标文件要求交纳投标保证金为（人民币）</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元。</w:t>
      </w:r>
    </w:p>
    <w:p>
      <w:pPr>
        <w:shd w:val="clear"/>
        <w:kinsoku w:val="0"/>
        <w:spacing w:line="500" w:lineRule="exact"/>
        <w:ind w:firstLine="420" w:firstLineChars="200"/>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5、我方已详细阅读和核实全部招标文件内容，完全理解并同意放弃提出含糊不清和误解问题的权力</w:t>
      </w:r>
      <w:r>
        <w:rPr>
          <w:rFonts w:hint="eastAsia" w:ascii="宋体" w:hAnsi="宋体" w:eastAsia="宋体" w:cs="宋体"/>
          <w:color w:val="auto"/>
          <w:sz w:val="21"/>
          <w:szCs w:val="21"/>
          <w:highlight w:val="none"/>
          <w:lang w:eastAsia="zh-CN"/>
        </w:rPr>
        <w:t>。</w:t>
      </w:r>
    </w:p>
    <w:p>
      <w:pPr>
        <w:shd w:val="clear"/>
        <w:kinsoku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6、同意提供贵方要求的与本次采购有关的任何证明资料。</w:t>
      </w:r>
    </w:p>
    <w:p>
      <w:pPr>
        <w:shd w:val="clear"/>
        <w:kinsoku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7、我方的投标文件在开标会议之日计算有效为九十（90）个日历日。</w:t>
      </w:r>
    </w:p>
    <w:p>
      <w:pPr>
        <w:shd w:val="clear"/>
        <w:kinsoku w:val="0"/>
        <w:spacing w:line="50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8、所有关于本次政府采购活动的函电，请按下列地址、方式联系：</w:t>
      </w:r>
    </w:p>
    <w:p>
      <w:pPr>
        <w:shd w:val="clear"/>
        <w:kinsoku w:val="0"/>
        <w:spacing w:line="500" w:lineRule="exact"/>
        <w:ind w:firstLine="84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    址：</w:t>
      </w:r>
    </w:p>
    <w:p>
      <w:pPr>
        <w:shd w:val="clear"/>
        <w:kinsoku w:val="0"/>
        <w:spacing w:line="500" w:lineRule="exact"/>
        <w:ind w:firstLine="84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电    话：</w:t>
      </w:r>
    </w:p>
    <w:p>
      <w:pPr>
        <w:shd w:val="clear"/>
        <w:kinsoku w:val="0"/>
        <w:spacing w:line="500" w:lineRule="exact"/>
        <w:ind w:firstLine="84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传    真：</w:t>
      </w:r>
    </w:p>
    <w:p>
      <w:pPr>
        <w:shd w:val="clear"/>
        <w:kinsoku w:val="0"/>
        <w:spacing w:line="500" w:lineRule="exact"/>
        <w:ind w:firstLine="840"/>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邮    编：</w:t>
      </w:r>
    </w:p>
    <w:p>
      <w:pPr>
        <w:shd w:val="clear"/>
        <w:kinsoku w:val="0"/>
        <w:spacing w:line="500" w:lineRule="exact"/>
        <w:ind w:firstLine="570"/>
        <w:rPr>
          <w:rFonts w:hint="eastAsia" w:ascii="宋体" w:hAnsi="宋体" w:eastAsia="宋体" w:cs="宋体"/>
          <w:color w:val="auto"/>
          <w:sz w:val="21"/>
          <w:szCs w:val="21"/>
          <w:highlight w:val="none"/>
        </w:rPr>
      </w:pPr>
    </w:p>
    <w:p>
      <w:pPr>
        <w:shd w:val="clear"/>
        <w:kinsoku w:val="0"/>
        <w:spacing w:line="500" w:lineRule="exact"/>
        <w:ind w:firstLine="707" w:firstLineChars="337"/>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全称 （公章）</w:t>
      </w:r>
    </w:p>
    <w:p>
      <w:pPr>
        <w:shd w:val="clear"/>
        <w:kinsoku w:val="0"/>
        <w:spacing w:line="500" w:lineRule="exact"/>
        <w:ind w:firstLine="570"/>
        <w:rPr>
          <w:rFonts w:hint="eastAsia" w:ascii="宋体" w:hAnsi="宋体" w:eastAsia="宋体" w:cs="宋体"/>
          <w:color w:val="auto"/>
          <w:sz w:val="21"/>
          <w:szCs w:val="21"/>
          <w:highlight w:val="none"/>
        </w:rPr>
      </w:pPr>
    </w:p>
    <w:p>
      <w:pPr>
        <w:shd w:val="clear"/>
        <w:kinsoku w:val="0"/>
        <w:spacing w:line="500" w:lineRule="exact"/>
        <w:ind w:firstLine="707" w:firstLineChars="337"/>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法定代表人/被授权人（签字）：</w:t>
      </w:r>
    </w:p>
    <w:p>
      <w:pPr>
        <w:shd w:val="clear"/>
        <w:kinsoku w:val="0"/>
        <w:spacing w:line="500" w:lineRule="exact"/>
        <w:ind w:firstLine="57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年   月   日</w:t>
      </w:r>
    </w:p>
    <w:p>
      <w:pPr>
        <w:shd w:val="clear"/>
        <w:spacing w:line="360" w:lineRule="atLeast"/>
        <w:rPr>
          <w:rFonts w:hint="eastAsia" w:ascii="宋体" w:hAnsi="宋体" w:eastAsia="宋体" w:cs="宋体"/>
          <w:color w:val="auto"/>
          <w:sz w:val="21"/>
          <w:szCs w:val="21"/>
          <w:highlight w:val="none"/>
        </w:rPr>
        <w:sectPr>
          <w:pgSz w:w="11906" w:h="16838"/>
          <w:pgMar w:top="1402" w:right="1134" w:bottom="1021" w:left="1081" w:header="737" w:footer="737" w:gutter="0"/>
          <w:cols w:space="720" w:num="1"/>
          <w:docGrid w:type="lines" w:linePitch="312" w:charSpace="0"/>
        </w:sectPr>
      </w:pPr>
    </w:p>
    <w:p>
      <w:pPr>
        <w:pStyle w:val="4"/>
        <w:shd w:val="clear"/>
        <w:rPr>
          <w:rFonts w:hint="eastAsia" w:ascii="宋体" w:hAnsi="宋体" w:eastAsia="宋体" w:cs="宋体"/>
          <w:color w:val="auto"/>
          <w:highlight w:val="none"/>
        </w:rPr>
      </w:pPr>
      <w:bookmarkStart w:id="287" w:name="_Toc24691"/>
      <w:bookmarkStart w:id="288" w:name="_Toc11789"/>
      <w:bookmarkStart w:id="289" w:name="_Toc682"/>
      <w:r>
        <w:rPr>
          <w:rFonts w:hint="eastAsia" w:ascii="宋体" w:hAnsi="宋体" w:eastAsia="宋体" w:cs="宋体"/>
          <w:color w:val="auto"/>
          <w:highlight w:val="none"/>
        </w:rPr>
        <w:t xml:space="preserve">第二部分  </w:t>
      </w:r>
      <w:bookmarkEnd w:id="287"/>
      <w:bookmarkEnd w:id="288"/>
      <w:r>
        <w:rPr>
          <w:rFonts w:hint="eastAsia" w:ascii="宋体" w:hAnsi="宋体" w:eastAsia="宋体" w:cs="宋体"/>
          <w:color w:val="auto"/>
          <w:highlight w:val="none"/>
        </w:rPr>
        <w:t>开标一览表</w:t>
      </w:r>
      <w:bookmarkEnd w:id="289"/>
    </w:p>
    <w:tbl>
      <w:tblPr>
        <w:tblStyle w:val="2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8"/>
        <w:gridCol w:w="7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98" w:type="pct"/>
            <w:vAlign w:val="center"/>
          </w:tcPr>
          <w:p>
            <w:pPr>
              <w:shd w:val="clear"/>
              <w:kinsoku w:val="0"/>
              <w:spacing w:line="5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项目编号</w:t>
            </w:r>
          </w:p>
        </w:tc>
        <w:tc>
          <w:tcPr>
            <w:tcW w:w="3801" w:type="pct"/>
          </w:tcPr>
          <w:p>
            <w:pPr>
              <w:shd w:val="clear"/>
              <w:kinsoku w:val="0"/>
              <w:spacing w:line="500" w:lineRule="exact"/>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98" w:type="pct"/>
            <w:vAlign w:val="center"/>
          </w:tcPr>
          <w:p>
            <w:pPr>
              <w:shd w:val="clear"/>
              <w:kinsoku w:val="0"/>
              <w:spacing w:line="5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采购项目名称</w:t>
            </w:r>
          </w:p>
        </w:tc>
        <w:tc>
          <w:tcPr>
            <w:tcW w:w="3801" w:type="pct"/>
          </w:tcPr>
          <w:p>
            <w:pPr>
              <w:shd w:val="clear"/>
              <w:kinsoku w:val="0"/>
              <w:spacing w:line="500" w:lineRule="exact"/>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98" w:type="pct"/>
            <w:vAlign w:val="center"/>
          </w:tcPr>
          <w:p>
            <w:pPr>
              <w:shd w:val="clear"/>
              <w:kinsoku w:val="0"/>
              <w:spacing w:line="5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标包号及标包名称</w:t>
            </w:r>
          </w:p>
        </w:tc>
        <w:tc>
          <w:tcPr>
            <w:tcW w:w="3801" w:type="pct"/>
          </w:tcPr>
          <w:p>
            <w:pPr>
              <w:shd w:val="clear"/>
              <w:kinsoku w:val="0"/>
              <w:spacing w:line="500" w:lineRule="exact"/>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98" w:type="pct"/>
            <w:vAlign w:val="center"/>
          </w:tcPr>
          <w:p>
            <w:pPr>
              <w:shd w:val="clear"/>
              <w:kinsoku w:val="0"/>
              <w:spacing w:line="5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投标报价（元）</w:t>
            </w:r>
          </w:p>
        </w:tc>
        <w:tc>
          <w:tcPr>
            <w:tcW w:w="3801" w:type="pct"/>
          </w:tcPr>
          <w:p>
            <w:pPr>
              <w:shd w:val="clear"/>
              <w:kinsoku w:val="0"/>
              <w:spacing w:line="500" w:lineRule="exac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大写：</w:t>
            </w:r>
          </w:p>
          <w:p>
            <w:pPr>
              <w:pStyle w:val="8"/>
              <w:shd w:val="clear"/>
              <w:ind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98" w:type="pct"/>
            <w:vAlign w:val="center"/>
          </w:tcPr>
          <w:p>
            <w:pPr>
              <w:shd w:val="clear"/>
              <w:kinsoku w:val="0"/>
              <w:spacing w:line="5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合同履行期限</w:t>
            </w:r>
          </w:p>
          <w:p>
            <w:pPr>
              <w:shd w:val="clear"/>
              <w:kinsoku w:val="0"/>
              <w:spacing w:line="5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（交货期）</w:t>
            </w:r>
          </w:p>
        </w:tc>
        <w:tc>
          <w:tcPr>
            <w:tcW w:w="3801" w:type="pct"/>
          </w:tcPr>
          <w:p>
            <w:pPr>
              <w:shd w:val="clear"/>
              <w:kinsoku w:val="0"/>
              <w:spacing w:line="500" w:lineRule="exact"/>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98" w:type="pct"/>
            <w:vAlign w:val="center"/>
          </w:tcPr>
          <w:p>
            <w:pPr>
              <w:shd w:val="clear"/>
              <w:kinsoku w:val="0"/>
              <w:spacing w:line="5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质 量</w:t>
            </w:r>
          </w:p>
        </w:tc>
        <w:tc>
          <w:tcPr>
            <w:tcW w:w="3801" w:type="pct"/>
          </w:tcPr>
          <w:p>
            <w:pPr>
              <w:shd w:val="clear"/>
              <w:kinsoku w:val="0"/>
              <w:spacing w:line="500" w:lineRule="exact"/>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98" w:type="pct"/>
            <w:vAlign w:val="center"/>
          </w:tcPr>
          <w:p>
            <w:pPr>
              <w:shd w:val="clear"/>
              <w:kinsoku w:val="0"/>
              <w:spacing w:line="5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质保期</w:t>
            </w:r>
          </w:p>
        </w:tc>
        <w:tc>
          <w:tcPr>
            <w:tcW w:w="3801" w:type="pct"/>
          </w:tcPr>
          <w:p>
            <w:pPr>
              <w:shd w:val="clear"/>
              <w:kinsoku w:val="0"/>
              <w:spacing w:line="500" w:lineRule="exact"/>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198" w:type="pct"/>
            <w:vAlign w:val="center"/>
          </w:tcPr>
          <w:p>
            <w:pPr>
              <w:shd w:val="clear"/>
              <w:kinsoku w:val="0"/>
              <w:spacing w:line="500" w:lineRule="exac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c>
          <w:tcPr>
            <w:tcW w:w="3801" w:type="pct"/>
          </w:tcPr>
          <w:p>
            <w:pPr>
              <w:shd w:val="clear"/>
              <w:kinsoku w:val="0"/>
              <w:spacing w:line="500" w:lineRule="exact"/>
              <w:rPr>
                <w:rFonts w:hint="eastAsia" w:ascii="宋体" w:hAnsi="宋体" w:eastAsia="宋体" w:cs="宋体"/>
                <w:color w:val="auto"/>
                <w:sz w:val="21"/>
                <w:szCs w:val="21"/>
                <w:highlight w:val="none"/>
              </w:rPr>
            </w:pPr>
          </w:p>
        </w:tc>
      </w:tr>
    </w:tbl>
    <w:p>
      <w:pPr>
        <w:shd w:val="clear"/>
        <w:kinsoku w:val="0"/>
        <w:spacing w:line="500" w:lineRule="exact"/>
        <w:rPr>
          <w:rFonts w:hint="eastAsia" w:ascii="宋体" w:hAnsi="宋体" w:eastAsia="宋体" w:cs="宋体"/>
          <w:color w:val="auto"/>
          <w:sz w:val="21"/>
          <w:szCs w:val="21"/>
          <w:highlight w:val="none"/>
        </w:rPr>
      </w:pPr>
    </w:p>
    <w:p>
      <w:pPr>
        <w:pStyle w:val="8"/>
        <w:shd w:val="clear"/>
        <w:spacing w:line="480" w:lineRule="auto"/>
        <w:ind w:firstLine="2730" w:firstLineChars="1300"/>
        <w:jc w:val="left"/>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供  应  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u w:val="single"/>
        </w:rPr>
        <w:t xml:space="preserve">                        （盖章） </w:t>
      </w:r>
    </w:p>
    <w:p>
      <w:pPr>
        <w:pStyle w:val="8"/>
        <w:shd w:val="clear"/>
        <w:spacing w:line="480" w:lineRule="auto"/>
        <w:ind w:firstLine="2730" w:firstLineChars="1300"/>
        <w:jc w:val="left"/>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法定代表人或授权代理人</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u w:val="single"/>
        </w:rPr>
        <w:t xml:space="preserve">      （签字或盖章） </w:t>
      </w:r>
    </w:p>
    <w:p>
      <w:pPr>
        <w:shd w:val="clear"/>
        <w:spacing w:line="480"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日      期</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 xml:space="preserve">  年    月   日</w:t>
      </w:r>
    </w:p>
    <w:p>
      <w:pPr>
        <w:shd w:val="clear"/>
        <w:kinsoku w:val="0"/>
        <w:spacing w:line="500" w:lineRule="exact"/>
        <w:ind w:left="480" w:leftChars="200" w:firstLine="105" w:firstLineChars="50"/>
        <w:rPr>
          <w:rFonts w:hint="eastAsia" w:ascii="宋体" w:hAnsi="宋体" w:eastAsia="宋体" w:cs="宋体"/>
          <w:color w:val="auto"/>
          <w:sz w:val="21"/>
          <w:szCs w:val="21"/>
          <w:highlight w:val="none"/>
        </w:rPr>
      </w:pPr>
    </w:p>
    <w:p>
      <w:pPr>
        <w:pStyle w:val="15"/>
        <w:shd w:val="clear"/>
        <w:rPr>
          <w:rFonts w:hint="eastAsia" w:ascii="宋体" w:hAnsi="宋体" w:eastAsia="宋体" w:cs="宋体"/>
          <w:color w:val="auto"/>
          <w:sz w:val="21"/>
          <w:highlight w:val="none"/>
        </w:rPr>
      </w:pPr>
    </w:p>
    <w:p>
      <w:pPr>
        <w:pStyle w:val="15"/>
        <w:shd w:val="clear"/>
        <w:rPr>
          <w:rFonts w:hint="eastAsia" w:ascii="宋体" w:hAnsi="宋体" w:eastAsia="宋体" w:cs="宋体"/>
          <w:color w:val="auto"/>
          <w:sz w:val="21"/>
          <w:highlight w:val="none"/>
        </w:rPr>
      </w:pPr>
    </w:p>
    <w:p>
      <w:pPr>
        <w:pStyle w:val="5"/>
        <w:shd w:val="clear"/>
        <w:rPr>
          <w:rFonts w:hint="eastAsia" w:ascii="宋体" w:hAnsi="宋体" w:eastAsia="宋体" w:cs="宋体"/>
          <w:color w:val="auto"/>
          <w:highlight w:val="none"/>
        </w:rPr>
      </w:pPr>
      <w:bookmarkStart w:id="290" w:name="_Toc12661"/>
      <w:r>
        <w:rPr>
          <w:rFonts w:hint="eastAsia" w:ascii="宋体" w:hAnsi="宋体" w:eastAsia="宋体" w:cs="宋体"/>
          <w:color w:val="auto"/>
          <w:highlight w:val="none"/>
        </w:rPr>
        <w:t>投标货物分项报价表</w:t>
      </w:r>
      <w:bookmarkEnd w:id="290"/>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项目编号：</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p>
      <w:pPr>
        <w:pStyle w:val="13"/>
        <w:shd w:val="clear"/>
        <w:ind w:left="0" w:leftChars="0" w:firstLine="0" w:firstLineChars="0"/>
        <w:rPr>
          <w:rFonts w:hint="eastAsia" w:ascii="宋体" w:hAnsi="宋体" w:eastAsia="宋体" w:cs="宋体"/>
          <w:color w:val="auto"/>
          <w:highlight w:val="none"/>
          <w:lang w:eastAsia="zh-CN"/>
        </w:rPr>
      </w:pPr>
      <w:r>
        <w:rPr>
          <w:rFonts w:hint="eastAsia" w:ascii="宋体" w:hAnsi="宋体" w:eastAsia="宋体" w:cs="宋体"/>
          <w:color w:val="auto"/>
          <w:sz w:val="21"/>
          <w:szCs w:val="21"/>
          <w:highlight w:val="none"/>
        </w:rPr>
        <w:t>标包号及标包名称</w:t>
      </w:r>
      <w:r>
        <w:rPr>
          <w:rFonts w:hint="eastAsia" w:ascii="宋体" w:hAnsi="宋体" w:eastAsia="宋体" w:cs="宋体"/>
          <w:color w:val="auto"/>
          <w:sz w:val="21"/>
          <w:szCs w:val="21"/>
          <w:highlight w:val="none"/>
          <w:lang w:eastAsia="zh-CN"/>
        </w:rPr>
        <w:t>：</w:t>
      </w:r>
    </w:p>
    <w:p>
      <w:pPr>
        <w:shd w:val="clear"/>
        <w:jc w:val="righ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共  页，第   页</w:t>
      </w:r>
    </w:p>
    <w:tbl>
      <w:tblPr>
        <w:tblStyle w:val="23"/>
        <w:tblpPr w:leftFromText="180" w:rightFromText="180" w:vertAnchor="text" w:horzAnchor="page" w:tblpXSpec="center" w:tblpY="373"/>
        <w:tblOverlap w:val="never"/>
        <w:tblW w:w="5290" w:type="pct"/>
        <w:jc w:val="center"/>
        <w:tblLayout w:type="autofit"/>
        <w:tblCellMar>
          <w:top w:w="0" w:type="dxa"/>
          <w:left w:w="28" w:type="dxa"/>
          <w:bottom w:w="0" w:type="dxa"/>
          <w:right w:w="28" w:type="dxa"/>
        </w:tblCellMar>
      </w:tblPr>
      <w:tblGrid>
        <w:gridCol w:w="796"/>
        <w:gridCol w:w="1299"/>
        <w:gridCol w:w="1357"/>
        <w:gridCol w:w="1020"/>
        <w:gridCol w:w="1989"/>
        <w:gridCol w:w="937"/>
        <w:gridCol w:w="1200"/>
        <w:gridCol w:w="1299"/>
      </w:tblGrid>
      <w:tr>
        <w:tblPrEx>
          <w:tblCellMar>
            <w:top w:w="0" w:type="dxa"/>
            <w:left w:w="28" w:type="dxa"/>
            <w:bottom w:w="0" w:type="dxa"/>
            <w:right w:w="28" w:type="dxa"/>
          </w:tblCellMar>
        </w:tblPrEx>
        <w:trPr>
          <w:trHeight w:val="953" w:hRule="atLeast"/>
          <w:jc w:val="center"/>
        </w:trPr>
        <w:tc>
          <w:tcPr>
            <w:tcW w:w="402" w:type="pct"/>
            <w:tcBorders>
              <w:top w:val="single" w:color="auto" w:sz="4" w:space="0"/>
              <w:left w:val="single" w:color="auto" w:sz="4" w:space="0"/>
              <w:bottom w:val="single" w:color="auto" w:sz="4" w:space="0"/>
              <w:right w:val="single" w:color="auto" w:sz="4" w:space="0"/>
            </w:tcBorders>
            <w:vAlign w:val="center"/>
          </w:tcPr>
          <w:p>
            <w:pPr>
              <w:shd w:val="clear"/>
              <w:spacing w:after="12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656" w:type="pct"/>
            <w:tcBorders>
              <w:top w:val="single" w:color="auto" w:sz="6" w:space="0"/>
              <w:left w:val="single" w:color="auto" w:sz="6" w:space="0"/>
              <w:bottom w:val="single" w:color="auto" w:sz="6" w:space="0"/>
              <w:right w:val="single" w:color="auto" w:sz="6" w:space="0"/>
            </w:tcBorders>
            <w:vAlign w:val="center"/>
          </w:tcPr>
          <w:p>
            <w:pPr>
              <w:shd w:val="clear"/>
              <w:spacing w:after="120" w:line="240" w:lineRule="auto"/>
              <w:jc w:val="center"/>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产品名称</w:t>
            </w:r>
          </w:p>
        </w:tc>
        <w:tc>
          <w:tcPr>
            <w:tcW w:w="685" w:type="pct"/>
            <w:tcBorders>
              <w:top w:val="single" w:color="auto" w:sz="6" w:space="0"/>
              <w:left w:val="single" w:color="auto" w:sz="6" w:space="0"/>
              <w:bottom w:val="single" w:color="auto" w:sz="6" w:space="0"/>
              <w:right w:val="single" w:color="auto" w:sz="4" w:space="0"/>
            </w:tcBorders>
            <w:vAlign w:val="center"/>
          </w:tcPr>
          <w:p>
            <w:pPr>
              <w:shd w:val="clear"/>
              <w:spacing w:after="12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型号和规格</w:t>
            </w:r>
          </w:p>
        </w:tc>
        <w:tc>
          <w:tcPr>
            <w:tcW w:w="515" w:type="pct"/>
            <w:tcBorders>
              <w:top w:val="single" w:color="auto" w:sz="6" w:space="0"/>
              <w:left w:val="single" w:color="auto" w:sz="4" w:space="0"/>
              <w:bottom w:val="single" w:color="auto" w:sz="6" w:space="0"/>
              <w:right w:val="single" w:color="auto" w:sz="6" w:space="0"/>
            </w:tcBorders>
            <w:vAlign w:val="center"/>
          </w:tcPr>
          <w:p>
            <w:pPr>
              <w:shd w:val="clear"/>
              <w:spacing w:after="120" w:line="240" w:lineRule="auto"/>
              <w:jc w:val="center"/>
              <w:rPr>
                <w:rFonts w:hint="eastAsia" w:ascii="宋体" w:hAnsi="宋体" w:eastAsia="宋体" w:cs="宋体"/>
                <w:b/>
                <w:bCs/>
                <w:color w:val="auto"/>
                <w:kern w:val="2"/>
                <w:sz w:val="21"/>
                <w:szCs w:val="21"/>
                <w:highlight w:val="none"/>
                <w:lang w:val="en-US" w:eastAsia="zh-CN" w:bidi="ar-SA"/>
              </w:rPr>
            </w:pPr>
            <w:r>
              <w:rPr>
                <w:rFonts w:hint="eastAsia" w:ascii="宋体" w:hAnsi="宋体" w:eastAsia="宋体" w:cs="宋体"/>
                <w:b/>
                <w:bCs/>
                <w:color w:val="auto"/>
                <w:sz w:val="21"/>
                <w:szCs w:val="21"/>
                <w:highlight w:val="none"/>
              </w:rPr>
              <w:t>品牌</w:t>
            </w:r>
          </w:p>
        </w:tc>
        <w:tc>
          <w:tcPr>
            <w:tcW w:w="1004" w:type="pct"/>
            <w:tcBorders>
              <w:top w:val="single" w:color="auto" w:sz="6" w:space="0"/>
              <w:left w:val="single" w:color="auto" w:sz="6" w:space="0"/>
              <w:bottom w:val="single" w:color="auto" w:sz="6" w:space="0"/>
              <w:right w:val="single" w:color="auto" w:sz="6" w:space="0"/>
            </w:tcBorders>
            <w:vAlign w:val="center"/>
          </w:tcPr>
          <w:p>
            <w:pPr>
              <w:shd w:val="clear"/>
              <w:spacing w:beforeLines="50" w:after="12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原产地及制造厂名</w:t>
            </w:r>
          </w:p>
        </w:tc>
        <w:tc>
          <w:tcPr>
            <w:tcW w:w="473" w:type="pct"/>
            <w:tcBorders>
              <w:top w:val="single" w:color="auto" w:sz="6" w:space="0"/>
              <w:left w:val="single" w:color="auto" w:sz="6" w:space="0"/>
              <w:bottom w:val="single" w:color="auto" w:sz="6" w:space="0"/>
              <w:right w:val="single" w:color="auto" w:sz="6" w:space="0"/>
            </w:tcBorders>
            <w:vAlign w:val="center"/>
          </w:tcPr>
          <w:p>
            <w:pPr>
              <w:shd w:val="clear"/>
              <w:spacing w:after="12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数量</w:t>
            </w:r>
          </w:p>
        </w:tc>
        <w:tc>
          <w:tcPr>
            <w:tcW w:w="606" w:type="pct"/>
            <w:tcBorders>
              <w:top w:val="single" w:color="auto" w:sz="6" w:space="0"/>
              <w:left w:val="single" w:color="auto" w:sz="6" w:space="0"/>
              <w:bottom w:val="single" w:color="auto" w:sz="6" w:space="0"/>
              <w:right w:val="single" w:color="auto" w:sz="6" w:space="0"/>
            </w:tcBorders>
            <w:vAlign w:val="center"/>
          </w:tcPr>
          <w:p>
            <w:pPr>
              <w:shd w:val="clear"/>
              <w:spacing w:after="12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单价</w:t>
            </w:r>
          </w:p>
          <w:p>
            <w:pPr>
              <w:shd w:val="clear"/>
              <w:spacing w:after="12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（元）</w:t>
            </w:r>
          </w:p>
        </w:tc>
        <w:tc>
          <w:tcPr>
            <w:tcW w:w="656" w:type="pct"/>
            <w:tcBorders>
              <w:top w:val="single" w:color="auto" w:sz="6" w:space="0"/>
              <w:left w:val="single" w:color="auto" w:sz="6" w:space="0"/>
              <w:bottom w:val="single" w:color="auto" w:sz="6" w:space="0"/>
              <w:right w:val="single" w:color="auto" w:sz="6" w:space="0"/>
            </w:tcBorders>
            <w:vAlign w:val="center"/>
          </w:tcPr>
          <w:p>
            <w:pPr>
              <w:shd w:val="clear"/>
              <w:spacing w:after="120" w:line="240" w:lineRule="auto"/>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合计</w:t>
            </w:r>
            <w:r>
              <w:rPr>
                <w:rFonts w:hint="eastAsia" w:ascii="宋体" w:hAnsi="宋体" w:eastAsia="宋体" w:cs="宋体"/>
                <w:b/>
                <w:bCs/>
                <w:color w:val="auto"/>
                <w:sz w:val="21"/>
                <w:szCs w:val="21"/>
                <w:highlight w:val="none"/>
              </w:rPr>
              <w:t>（元）</w:t>
            </w:r>
          </w:p>
        </w:tc>
      </w:tr>
      <w:tr>
        <w:tblPrEx>
          <w:tblCellMar>
            <w:top w:w="0" w:type="dxa"/>
            <w:left w:w="28" w:type="dxa"/>
            <w:bottom w:w="0" w:type="dxa"/>
            <w:right w:w="28" w:type="dxa"/>
          </w:tblCellMar>
        </w:tblPrEx>
        <w:trPr>
          <w:trHeight w:val="704" w:hRule="atLeast"/>
          <w:jc w:val="center"/>
        </w:trPr>
        <w:tc>
          <w:tcPr>
            <w:tcW w:w="402" w:type="pct"/>
            <w:tcBorders>
              <w:top w:val="single" w:color="auto" w:sz="4" w:space="0"/>
              <w:left w:val="single" w:color="auto" w:sz="4" w:space="0"/>
              <w:bottom w:val="single" w:color="auto" w:sz="4" w:space="0"/>
              <w:right w:val="single" w:color="auto" w:sz="4" w:space="0"/>
            </w:tcBorders>
            <w:vAlign w:val="center"/>
          </w:tcPr>
          <w:p>
            <w:pPr>
              <w:shd w:val="clear"/>
              <w:spacing w:beforeLines="100" w:line="240" w:lineRule="auto"/>
              <w:jc w:val="center"/>
              <w:rPr>
                <w:rFonts w:hint="eastAsia" w:ascii="宋体" w:hAnsi="宋体" w:eastAsia="宋体" w:cs="宋体"/>
                <w:color w:val="auto"/>
                <w:sz w:val="21"/>
                <w:szCs w:val="21"/>
                <w:highlight w:val="none"/>
                <w:lang w:eastAsia="zh-CN"/>
              </w:rPr>
            </w:pPr>
          </w:p>
        </w:tc>
        <w:tc>
          <w:tcPr>
            <w:tcW w:w="656" w:type="pct"/>
            <w:tcBorders>
              <w:top w:val="single" w:color="auto" w:sz="4" w:space="0"/>
              <w:left w:val="single" w:color="auto" w:sz="6" w:space="0"/>
              <w:bottom w:val="single" w:color="auto" w:sz="6" w:space="0"/>
              <w:right w:val="single" w:color="auto" w:sz="6" w:space="0"/>
            </w:tcBorders>
            <w:vAlign w:val="center"/>
          </w:tcPr>
          <w:p>
            <w:pPr>
              <w:shd w:val="clear"/>
              <w:spacing w:beforeLines="100" w:line="240" w:lineRule="auto"/>
              <w:jc w:val="center"/>
              <w:rPr>
                <w:rFonts w:hint="eastAsia" w:ascii="宋体" w:hAnsi="宋体" w:eastAsia="宋体" w:cs="宋体"/>
                <w:color w:val="auto"/>
                <w:sz w:val="21"/>
                <w:szCs w:val="21"/>
                <w:highlight w:val="none"/>
              </w:rPr>
            </w:pPr>
          </w:p>
        </w:tc>
        <w:tc>
          <w:tcPr>
            <w:tcW w:w="685" w:type="pct"/>
            <w:tcBorders>
              <w:top w:val="single" w:color="auto" w:sz="4" w:space="0"/>
              <w:left w:val="single" w:color="auto" w:sz="6" w:space="0"/>
              <w:bottom w:val="single" w:color="auto" w:sz="6" w:space="0"/>
              <w:right w:val="single" w:color="auto" w:sz="4"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c>
          <w:tcPr>
            <w:tcW w:w="515" w:type="pct"/>
            <w:tcBorders>
              <w:top w:val="single" w:color="auto" w:sz="4" w:space="0"/>
              <w:left w:val="single" w:color="auto" w:sz="4"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kern w:val="2"/>
                <w:sz w:val="21"/>
                <w:szCs w:val="21"/>
                <w:highlight w:val="none"/>
                <w:lang w:val="en-US" w:eastAsia="zh-CN" w:bidi="ar-SA"/>
              </w:rPr>
            </w:pPr>
          </w:p>
        </w:tc>
        <w:tc>
          <w:tcPr>
            <w:tcW w:w="1004" w:type="pct"/>
            <w:tcBorders>
              <w:top w:val="single" w:color="auto" w:sz="4" w:space="0"/>
              <w:left w:val="single" w:color="auto" w:sz="6"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c>
          <w:tcPr>
            <w:tcW w:w="473" w:type="pct"/>
            <w:tcBorders>
              <w:top w:val="single" w:color="auto" w:sz="4" w:space="0"/>
              <w:left w:val="single" w:color="auto" w:sz="6"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c>
          <w:tcPr>
            <w:tcW w:w="606" w:type="pct"/>
            <w:tcBorders>
              <w:top w:val="single" w:color="auto" w:sz="4" w:space="0"/>
              <w:left w:val="single" w:color="auto" w:sz="6"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c>
          <w:tcPr>
            <w:tcW w:w="656" w:type="pct"/>
            <w:tcBorders>
              <w:top w:val="single" w:color="auto" w:sz="4" w:space="0"/>
              <w:left w:val="single" w:color="auto" w:sz="6"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r>
      <w:tr>
        <w:tblPrEx>
          <w:tblCellMar>
            <w:top w:w="0" w:type="dxa"/>
            <w:left w:w="28" w:type="dxa"/>
            <w:bottom w:w="0" w:type="dxa"/>
            <w:right w:w="28" w:type="dxa"/>
          </w:tblCellMar>
        </w:tblPrEx>
        <w:trPr>
          <w:trHeight w:val="704" w:hRule="atLeast"/>
          <w:jc w:val="center"/>
        </w:trPr>
        <w:tc>
          <w:tcPr>
            <w:tcW w:w="402" w:type="pct"/>
            <w:tcBorders>
              <w:top w:val="single" w:color="auto" w:sz="4" w:space="0"/>
              <w:left w:val="single" w:color="auto" w:sz="4" w:space="0"/>
              <w:bottom w:val="single" w:color="auto" w:sz="4" w:space="0"/>
              <w:right w:val="single" w:color="auto" w:sz="4" w:space="0"/>
            </w:tcBorders>
            <w:vAlign w:val="center"/>
          </w:tcPr>
          <w:p>
            <w:pPr>
              <w:shd w:val="clear"/>
              <w:spacing w:beforeLines="100" w:line="240" w:lineRule="auto"/>
              <w:jc w:val="center"/>
              <w:rPr>
                <w:rFonts w:hint="eastAsia" w:ascii="宋体" w:hAnsi="宋体" w:eastAsia="宋体" w:cs="宋体"/>
                <w:color w:val="auto"/>
                <w:sz w:val="21"/>
                <w:szCs w:val="21"/>
                <w:highlight w:val="none"/>
                <w:lang w:val="en-US" w:eastAsia="zh-CN"/>
              </w:rPr>
            </w:pPr>
          </w:p>
        </w:tc>
        <w:tc>
          <w:tcPr>
            <w:tcW w:w="656" w:type="pct"/>
            <w:tcBorders>
              <w:top w:val="single" w:color="auto" w:sz="4" w:space="0"/>
              <w:left w:val="single" w:color="auto" w:sz="6" w:space="0"/>
              <w:bottom w:val="single" w:color="auto" w:sz="6" w:space="0"/>
              <w:right w:val="single" w:color="auto" w:sz="6" w:space="0"/>
            </w:tcBorders>
            <w:vAlign w:val="center"/>
          </w:tcPr>
          <w:p>
            <w:pPr>
              <w:shd w:val="clear"/>
              <w:spacing w:beforeLines="100" w:line="240" w:lineRule="auto"/>
              <w:jc w:val="center"/>
              <w:rPr>
                <w:rFonts w:hint="eastAsia" w:ascii="宋体" w:hAnsi="宋体" w:eastAsia="宋体" w:cs="宋体"/>
                <w:color w:val="auto"/>
                <w:sz w:val="21"/>
                <w:szCs w:val="21"/>
                <w:highlight w:val="none"/>
              </w:rPr>
            </w:pPr>
          </w:p>
        </w:tc>
        <w:tc>
          <w:tcPr>
            <w:tcW w:w="685" w:type="pct"/>
            <w:tcBorders>
              <w:top w:val="single" w:color="auto" w:sz="4" w:space="0"/>
              <w:left w:val="single" w:color="auto" w:sz="6" w:space="0"/>
              <w:bottom w:val="single" w:color="auto" w:sz="6" w:space="0"/>
              <w:right w:val="single" w:color="auto" w:sz="4"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c>
          <w:tcPr>
            <w:tcW w:w="515" w:type="pct"/>
            <w:tcBorders>
              <w:top w:val="single" w:color="auto" w:sz="4" w:space="0"/>
              <w:left w:val="single" w:color="auto" w:sz="4"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kern w:val="2"/>
                <w:sz w:val="21"/>
                <w:szCs w:val="21"/>
                <w:highlight w:val="none"/>
                <w:lang w:val="en-US" w:eastAsia="zh-CN" w:bidi="ar-SA"/>
              </w:rPr>
            </w:pPr>
          </w:p>
        </w:tc>
        <w:tc>
          <w:tcPr>
            <w:tcW w:w="1004" w:type="pct"/>
            <w:tcBorders>
              <w:top w:val="single" w:color="auto" w:sz="4" w:space="0"/>
              <w:left w:val="single" w:color="auto" w:sz="6"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c>
          <w:tcPr>
            <w:tcW w:w="473" w:type="pct"/>
            <w:tcBorders>
              <w:top w:val="single" w:color="auto" w:sz="4" w:space="0"/>
              <w:left w:val="single" w:color="auto" w:sz="6"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c>
          <w:tcPr>
            <w:tcW w:w="606" w:type="pct"/>
            <w:tcBorders>
              <w:top w:val="single" w:color="auto" w:sz="4" w:space="0"/>
              <w:left w:val="single" w:color="auto" w:sz="6"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c>
          <w:tcPr>
            <w:tcW w:w="656" w:type="pct"/>
            <w:tcBorders>
              <w:top w:val="single" w:color="auto" w:sz="4" w:space="0"/>
              <w:left w:val="single" w:color="auto" w:sz="6"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r>
      <w:tr>
        <w:tblPrEx>
          <w:tblCellMar>
            <w:top w:w="0" w:type="dxa"/>
            <w:left w:w="28" w:type="dxa"/>
            <w:bottom w:w="0" w:type="dxa"/>
            <w:right w:w="28" w:type="dxa"/>
          </w:tblCellMar>
        </w:tblPrEx>
        <w:trPr>
          <w:trHeight w:val="704" w:hRule="atLeast"/>
          <w:jc w:val="center"/>
        </w:trPr>
        <w:tc>
          <w:tcPr>
            <w:tcW w:w="402" w:type="pct"/>
            <w:tcBorders>
              <w:top w:val="single" w:color="auto" w:sz="4" w:space="0"/>
              <w:left w:val="single" w:color="auto" w:sz="4" w:space="0"/>
              <w:bottom w:val="single" w:color="auto" w:sz="4" w:space="0"/>
              <w:right w:val="single" w:color="auto" w:sz="4" w:space="0"/>
            </w:tcBorders>
            <w:vAlign w:val="center"/>
          </w:tcPr>
          <w:p>
            <w:pPr>
              <w:shd w:val="clear"/>
              <w:spacing w:beforeLines="100" w:line="240" w:lineRule="auto"/>
              <w:jc w:val="center"/>
              <w:rPr>
                <w:rFonts w:hint="eastAsia" w:ascii="宋体" w:hAnsi="宋体" w:eastAsia="宋体" w:cs="宋体"/>
                <w:color w:val="auto"/>
                <w:sz w:val="21"/>
                <w:szCs w:val="21"/>
                <w:highlight w:val="none"/>
                <w:lang w:val="en-US" w:eastAsia="zh-CN"/>
              </w:rPr>
            </w:pPr>
          </w:p>
        </w:tc>
        <w:tc>
          <w:tcPr>
            <w:tcW w:w="656" w:type="pct"/>
            <w:tcBorders>
              <w:top w:val="single" w:color="auto" w:sz="4" w:space="0"/>
              <w:left w:val="single" w:color="auto" w:sz="6" w:space="0"/>
              <w:bottom w:val="single" w:color="auto" w:sz="6" w:space="0"/>
              <w:right w:val="single" w:color="auto" w:sz="6" w:space="0"/>
            </w:tcBorders>
            <w:vAlign w:val="center"/>
          </w:tcPr>
          <w:p>
            <w:pPr>
              <w:shd w:val="clear"/>
              <w:spacing w:beforeLines="100" w:line="240" w:lineRule="auto"/>
              <w:jc w:val="center"/>
              <w:rPr>
                <w:rFonts w:hint="eastAsia" w:ascii="宋体" w:hAnsi="宋体" w:eastAsia="宋体" w:cs="宋体"/>
                <w:color w:val="auto"/>
                <w:sz w:val="21"/>
                <w:szCs w:val="21"/>
                <w:highlight w:val="none"/>
              </w:rPr>
            </w:pPr>
          </w:p>
        </w:tc>
        <w:tc>
          <w:tcPr>
            <w:tcW w:w="685" w:type="pct"/>
            <w:tcBorders>
              <w:top w:val="single" w:color="auto" w:sz="4" w:space="0"/>
              <w:left w:val="single" w:color="auto" w:sz="6" w:space="0"/>
              <w:bottom w:val="single" w:color="auto" w:sz="6" w:space="0"/>
              <w:right w:val="single" w:color="auto" w:sz="4"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c>
          <w:tcPr>
            <w:tcW w:w="515" w:type="pct"/>
            <w:tcBorders>
              <w:top w:val="single" w:color="auto" w:sz="4" w:space="0"/>
              <w:left w:val="single" w:color="auto" w:sz="4"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kern w:val="2"/>
                <w:sz w:val="21"/>
                <w:szCs w:val="21"/>
                <w:highlight w:val="none"/>
                <w:lang w:val="en-US" w:eastAsia="zh-CN" w:bidi="ar-SA"/>
              </w:rPr>
            </w:pPr>
          </w:p>
        </w:tc>
        <w:tc>
          <w:tcPr>
            <w:tcW w:w="1004" w:type="pct"/>
            <w:tcBorders>
              <w:top w:val="single" w:color="auto" w:sz="4" w:space="0"/>
              <w:left w:val="single" w:color="auto" w:sz="6"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c>
          <w:tcPr>
            <w:tcW w:w="473" w:type="pct"/>
            <w:tcBorders>
              <w:top w:val="single" w:color="auto" w:sz="4" w:space="0"/>
              <w:left w:val="single" w:color="auto" w:sz="6"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c>
          <w:tcPr>
            <w:tcW w:w="606" w:type="pct"/>
            <w:tcBorders>
              <w:top w:val="single" w:color="auto" w:sz="4" w:space="0"/>
              <w:left w:val="single" w:color="auto" w:sz="6"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c>
          <w:tcPr>
            <w:tcW w:w="656" w:type="pct"/>
            <w:tcBorders>
              <w:top w:val="single" w:color="auto" w:sz="4" w:space="0"/>
              <w:left w:val="single" w:color="auto" w:sz="6"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r>
      <w:tr>
        <w:tblPrEx>
          <w:tblCellMar>
            <w:top w:w="0" w:type="dxa"/>
            <w:left w:w="28" w:type="dxa"/>
            <w:bottom w:w="0" w:type="dxa"/>
            <w:right w:w="28" w:type="dxa"/>
          </w:tblCellMar>
        </w:tblPrEx>
        <w:trPr>
          <w:trHeight w:val="704" w:hRule="atLeast"/>
          <w:jc w:val="center"/>
        </w:trPr>
        <w:tc>
          <w:tcPr>
            <w:tcW w:w="402" w:type="pct"/>
            <w:tcBorders>
              <w:top w:val="single" w:color="auto" w:sz="4" w:space="0"/>
              <w:left w:val="single" w:color="auto" w:sz="4" w:space="0"/>
              <w:bottom w:val="single" w:color="auto" w:sz="4" w:space="0"/>
              <w:right w:val="single" w:color="auto" w:sz="4" w:space="0"/>
            </w:tcBorders>
            <w:vAlign w:val="center"/>
          </w:tcPr>
          <w:p>
            <w:pPr>
              <w:shd w:val="clear"/>
              <w:spacing w:beforeLines="100" w:line="240" w:lineRule="auto"/>
              <w:jc w:val="center"/>
              <w:rPr>
                <w:rFonts w:hint="eastAsia" w:ascii="宋体" w:hAnsi="宋体" w:eastAsia="宋体" w:cs="宋体"/>
                <w:color w:val="auto"/>
                <w:sz w:val="21"/>
                <w:szCs w:val="21"/>
                <w:highlight w:val="none"/>
                <w:lang w:val="en-US" w:eastAsia="zh-CN"/>
              </w:rPr>
            </w:pPr>
          </w:p>
        </w:tc>
        <w:tc>
          <w:tcPr>
            <w:tcW w:w="656" w:type="pct"/>
            <w:tcBorders>
              <w:top w:val="single" w:color="auto" w:sz="4" w:space="0"/>
              <w:left w:val="single" w:color="auto" w:sz="6" w:space="0"/>
              <w:bottom w:val="single" w:color="auto" w:sz="6" w:space="0"/>
              <w:right w:val="single" w:color="auto" w:sz="6" w:space="0"/>
            </w:tcBorders>
            <w:vAlign w:val="center"/>
          </w:tcPr>
          <w:p>
            <w:pPr>
              <w:shd w:val="clear"/>
              <w:spacing w:beforeLines="100" w:line="240" w:lineRule="auto"/>
              <w:jc w:val="center"/>
              <w:rPr>
                <w:rFonts w:hint="eastAsia" w:ascii="宋体" w:hAnsi="宋体" w:eastAsia="宋体" w:cs="宋体"/>
                <w:color w:val="auto"/>
                <w:sz w:val="21"/>
                <w:szCs w:val="21"/>
                <w:highlight w:val="none"/>
              </w:rPr>
            </w:pPr>
          </w:p>
        </w:tc>
        <w:tc>
          <w:tcPr>
            <w:tcW w:w="685" w:type="pct"/>
            <w:tcBorders>
              <w:top w:val="single" w:color="auto" w:sz="4" w:space="0"/>
              <w:left w:val="single" w:color="auto" w:sz="6" w:space="0"/>
              <w:bottom w:val="single" w:color="auto" w:sz="6" w:space="0"/>
              <w:right w:val="single" w:color="auto" w:sz="4"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c>
          <w:tcPr>
            <w:tcW w:w="515" w:type="pct"/>
            <w:tcBorders>
              <w:top w:val="single" w:color="auto" w:sz="4" w:space="0"/>
              <w:left w:val="single" w:color="auto" w:sz="4"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kern w:val="2"/>
                <w:sz w:val="21"/>
                <w:szCs w:val="21"/>
                <w:highlight w:val="none"/>
                <w:lang w:val="en-US" w:eastAsia="zh-CN" w:bidi="ar-SA"/>
              </w:rPr>
            </w:pPr>
          </w:p>
        </w:tc>
        <w:tc>
          <w:tcPr>
            <w:tcW w:w="1004" w:type="pct"/>
            <w:tcBorders>
              <w:top w:val="single" w:color="auto" w:sz="4" w:space="0"/>
              <w:left w:val="single" w:color="auto" w:sz="6"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c>
          <w:tcPr>
            <w:tcW w:w="473" w:type="pct"/>
            <w:tcBorders>
              <w:top w:val="single" w:color="auto" w:sz="4" w:space="0"/>
              <w:left w:val="single" w:color="auto" w:sz="6"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c>
          <w:tcPr>
            <w:tcW w:w="606" w:type="pct"/>
            <w:tcBorders>
              <w:top w:val="single" w:color="auto" w:sz="4" w:space="0"/>
              <w:left w:val="single" w:color="auto" w:sz="6"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c>
          <w:tcPr>
            <w:tcW w:w="656" w:type="pct"/>
            <w:tcBorders>
              <w:top w:val="single" w:color="auto" w:sz="4" w:space="0"/>
              <w:left w:val="single" w:color="auto" w:sz="6"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r>
      <w:tr>
        <w:tblPrEx>
          <w:tblCellMar>
            <w:top w:w="0" w:type="dxa"/>
            <w:left w:w="28" w:type="dxa"/>
            <w:bottom w:w="0" w:type="dxa"/>
            <w:right w:w="28" w:type="dxa"/>
          </w:tblCellMar>
        </w:tblPrEx>
        <w:trPr>
          <w:trHeight w:val="704" w:hRule="atLeast"/>
          <w:jc w:val="center"/>
        </w:trPr>
        <w:tc>
          <w:tcPr>
            <w:tcW w:w="402" w:type="pct"/>
            <w:tcBorders>
              <w:top w:val="single" w:color="auto" w:sz="4" w:space="0"/>
              <w:left w:val="single" w:color="auto" w:sz="4" w:space="0"/>
              <w:bottom w:val="single" w:color="auto" w:sz="4" w:space="0"/>
              <w:right w:val="single" w:color="auto" w:sz="4" w:space="0"/>
            </w:tcBorders>
            <w:vAlign w:val="center"/>
          </w:tcPr>
          <w:p>
            <w:pPr>
              <w:shd w:val="clear"/>
              <w:spacing w:beforeLines="100" w:line="240" w:lineRule="auto"/>
              <w:jc w:val="center"/>
              <w:rPr>
                <w:rFonts w:hint="eastAsia" w:ascii="宋体" w:hAnsi="宋体" w:eastAsia="宋体" w:cs="宋体"/>
                <w:color w:val="auto"/>
                <w:sz w:val="21"/>
                <w:szCs w:val="21"/>
                <w:highlight w:val="none"/>
                <w:lang w:val="en-US" w:eastAsia="zh-CN"/>
              </w:rPr>
            </w:pPr>
          </w:p>
        </w:tc>
        <w:tc>
          <w:tcPr>
            <w:tcW w:w="656" w:type="pct"/>
            <w:tcBorders>
              <w:top w:val="single" w:color="auto" w:sz="4" w:space="0"/>
              <w:left w:val="single" w:color="auto" w:sz="6" w:space="0"/>
              <w:bottom w:val="single" w:color="auto" w:sz="6" w:space="0"/>
              <w:right w:val="single" w:color="auto" w:sz="6" w:space="0"/>
            </w:tcBorders>
            <w:vAlign w:val="center"/>
          </w:tcPr>
          <w:p>
            <w:pPr>
              <w:shd w:val="clear"/>
              <w:spacing w:beforeLines="100" w:line="240" w:lineRule="auto"/>
              <w:jc w:val="center"/>
              <w:rPr>
                <w:rFonts w:hint="eastAsia" w:ascii="宋体" w:hAnsi="宋体" w:eastAsia="宋体" w:cs="宋体"/>
                <w:color w:val="auto"/>
                <w:sz w:val="21"/>
                <w:szCs w:val="21"/>
                <w:highlight w:val="none"/>
              </w:rPr>
            </w:pPr>
          </w:p>
        </w:tc>
        <w:tc>
          <w:tcPr>
            <w:tcW w:w="685" w:type="pct"/>
            <w:tcBorders>
              <w:top w:val="single" w:color="auto" w:sz="4" w:space="0"/>
              <w:left w:val="single" w:color="auto" w:sz="6" w:space="0"/>
              <w:bottom w:val="single" w:color="auto" w:sz="6" w:space="0"/>
              <w:right w:val="single" w:color="auto" w:sz="4"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c>
          <w:tcPr>
            <w:tcW w:w="515" w:type="pct"/>
            <w:tcBorders>
              <w:top w:val="single" w:color="auto" w:sz="4" w:space="0"/>
              <w:left w:val="single" w:color="auto" w:sz="4"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kern w:val="2"/>
                <w:sz w:val="21"/>
                <w:szCs w:val="21"/>
                <w:highlight w:val="none"/>
                <w:lang w:val="en-US" w:eastAsia="zh-CN" w:bidi="ar-SA"/>
              </w:rPr>
            </w:pPr>
          </w:p>
        </w:tc>
        <w:tc>
          <w:tcPr>
            <w:tcW w:w="1004" w:type="pct"/>
            <w:tcBorders>
              <w:top w:val="single" w:color="auto" w:sz="4" w:space="0"/>
              <w:left w:val="single" w:color="auto" w:sz="6"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c>
          <w:tcPr>
            <w:tcW w:w="473" w:type="pct"/>
            <w:tcBorders>
              <w:top w:val="single" w:color="auto" w:sz="4" w:space="0"/>
              <w:left w:val="single" w:color="auto" w:sz="6"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c>
          <w:tcPr>
            <w:tcW w:w="606" w:type="pct"/>
            <w:tcBorders>
              <w:top w:val="single" w:color="auto" w:sz="4" w:space="0"/>
              <w:left w:val="single" w:color="auto" w:sz="6"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c>
          <w:tcPr>
            <w:tcW w:w="656" w:type="pct"/>
            <w:tcBorders>
              <w:top w:val="single" w:color="auto" w:sz="4" w:space="0"/>
              <w:left w:val="single" w:color="auto" w:sz="6"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r>
      <w:tr>
        <w:tblPrEx>
          <w:tblCellMar>
            <w:top w:w="0" w:type="dxa"/>
            <w:left w:w="28" w:type="dxa"/>
            <w:bottom w:w="0" w:type="dxa"/>
            <w:right w:w="28" w:type="dxa"/>
          </w:tblCellMar>
        </w:tblPrEx>
        <w:trPr>
          <w:trHeight w:val="735" w:hRule="atLeast"/>
          <w:jc w:val="center"/>
        </w:trPr>
        <w:tc>
          <w:tcPr>
            <w:tcW w:w="402" w:type="pct"/>
            <w:tcBorders>
              <w:top w:val="single" w:color="auto" w:sz="4" w:space="0"/>
              <w:left w:val="single" w:color="auto" w:sz="4" w:space="0"/>
              <w:bottom w:val="single" w:color="auto" w:sz="4" w:space="0"/>
              <w:right w:val="single" w:color="auto" w:sz="4" w:space="0"/>
            </w:tcBorders>
            <w:vAlign w:val="center"/>
          </w:tcPr>
          <w:p>
            <w:pPr>
              <w:shd w:val="clear"/>
              <w:spacing w:beforeLines="100" w:line="240" w:lineRule="auto"/>
              <w:jc w:val="center"/>
              <w:rPr>
                <w:rFonts w:hint="eastAsia" w:ascii="宋体" w:hAnsi="宋体" w:eastAsia="宋体" w:cs="宋体"/>
                <w:color w:val="auto"/>
                <w:sz w:val="21"/>
                <w:szCs w:val="21"/>
                <w:highlight w:val="none"/>
                <w:lang w:val="en-US" w:eastAsia="zh-CN"/>
              </w:rPr>
            </w:pPr>
          </w:p>
        </w:tc>
        <w:tc>
          <w:tcPr>
            <w:tcW w:w="656" w:type="pct"/>
            <w:tcBorders>
              <w:top w:val="single" w:color="auto" w:sz="4" w:space="0"/>
              <w:left w:val="single" w:color="auto" w:sz="6" w:space="0"/>
              <w:bottom w:val="single" w:color="auto" w:sz="6" w:space="0"/>
              <w:right w:val="single" w:color="auto" w:sz="6" w:space="0"/>
            </w:tcBorders>
            <w:vAlign w:val="center"/>
          </w:tcPr>
          <w:p>
            <w:pPr>
              <w:shd w:val="clear"/>
              <w:spacing w:beforeLines="100" w:line="240" w:lineRule="auto"/>
              <w:jc w:val="center"/>
              <w:rPr>
                <w:rFonts w:hint="eastAsia" w:ascii="宋体" w:hAnsi="宋体" w:eastAsia="宋体" w:cs="宋体"/>
                <w:color w:val="auto"/>
                <w:sz w:val="21"/>
                <w:szCs w:val="21"/>
                <w:highlight w:val="none"/>
              </w:rPr>
            </w:pPr>
          </w:p>
        </w:tc>
        <w:tc>
          <w:tcPr>
            <w:tcW w:w="685" w:type="pct"/>
            <w:tcBorders>
              <w:top w:val="single" w:color="auto" w:sz="4" w:space="0"/>
              <w:left w:val="single" w:color="auto" w:sz="6" w:space="0"/>
              <w:bottom w:val="single" w:color="auto" w:sz="6" w:space="0"/>
              <w:right w:val="single" w:color="auto" w:sz="4"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c>
          <w:tcPr>
            <w:tcW w:w="515" w:type="pct"/>
            <w:tcBorders>
              <w:top w:val="single" w:color="auto" w:sz="4" w:space="0"/>
              <w:left w:val="single" w:color="auto" w:sz="4"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kern w:val="2"/>
                <w:sz w:val="21"/>
                <w:szCs w:val="21"/>
                <w:highlight w:val="none"/>
                <w:lang w:val="en-US" w:eastAsia="zh-CN" w:bidi="ar-SA"/>
              </w:rPr>
            </w:pPr>
          </w:p>
        </w:tc>
        <w:tc>
          <w:tcPr>
            <w:tcW w:w="1004" w:type="pct"/>
            <w:tcBorders>
              <w:top w:val="single" w:color="auto" w:sz="4" w:space="0"/>
              <w:left w:val="single" w:color="auto" w:sz="6"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c>
          <w:tcPr>
            <w:tcW w:w="473" w:type="pct"/>
            <w:tcBorders>
              <w:top w:val="single" w:color="auto" w:sz="4" w:space="0"/>
              <w:left w:val="single" w:color="auto" w:sz="6"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c>
          <w:tcPr>
            <w:tcW w:w="606" w:type="pct"/>
            <w:tcBorders>
              <w:top w:val="single" w:color="auto" w:sz="4" w:space="0"/>
              <w:left w:val="single" w:color="auto" w:sz="6"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c>
          <w:tcPr>
            <w:tcW w:w="656" w:type="pct"/>
            <w:tcBorders>
              <w:top w:val="single" w:color="auto" w:sz="4" w:space="0"/>
              <w:left w:val="single" w:color="auto" w:sz="6" w:space="0"/>
              <w:bottom w:val="single" w:color="auto" w:sz="6" w:space="0"/>
              <w:right w:val="single" w:color="auto" w:sz="6" w:space="0"/>
            </w:tcBorders>
            <w:vAlign w:val="center"/>
          </w:tcPr>
          <w:p>
            <w:pPr>
              <w:shd w:val="clear"/>
              <w:spacing w:beforeLines="50" w:line="240" w:lineRule="auto"/>
              <w:jc w:val="center"/>
              <w:rPr>
                <w:rFonts w:hint="eastAsia" w:ascii="宋体" w:hAnsi="宋体" w:eastAsia="宋体" w:cs="宋体"/>
                <w:color w:val="auto"/>
                <w:sz w:val="21"/>
                <w:szCs w:val="21"/>
                <w:highlight w:val="none"/>
              </w:rPr>
            </w:pPr>
          </w:p>
        </w:tc>
      </w:tr>
    </w:tbl>
    <w:p>
      <w:pPr>
        <w:shd w:val="clear"/>
        <w:kinsoku w:val="0"/>
        <w:jc w:val="left"/>
        <w:rPr>
          <w:rFonts w:hint="eastAsia" w:ascii="宋体" w:hAnsi="宋体" w:eastAsia="宋体" w:cs="宋体"/>
          <w:b/>
          <w:bCs/>
          <w:color w:val="auto"/>
          <w:spacing w:val="-6"/>
          <w:sz w:val="22"/>
          <w:szCs w:val="22"/>
          <w:highlight w:val="none"/>
        </w:rPr>
      </w:pPr>
      <w:r>
        <w:rPr>
          <w:rFonts w:hint="eastAsia" w:ascii="宋体" w:hAnsi="宋体" w:eastAsia="宋体" w:cs="宋体"/>
          <w:b/>
          <w:bCs/>
          <w:color w:val="auto"/>
          <w:sz w:val="22"/>
          <w:szCs w:val="22"/>
          <w:highlight w:val="none"/>
        </w:rPr>
        <w:t>备注</w:t>
      </w:r>
      <w:r>
        <w:rPr>
          <w:rFonts w:hint="eastAsia" w:ascii="宋体" w:hAnsi="宋体" w:eastAsia="宋体" w:cs="宋体"/>
          <w:b/>
          <w:bCs/>
          <w:color w:val="auto"/>
          <w:sz w:val="22"/>
          <w:szCs w:val="22"/>
          <w:highlight w:val="none"/>
          <w:lang w:eastAsia="zh-CN"/>
        </w:rPr>
        <w:t>：</w:t>
      </w:r>
      <w:r>
        <w:rPr>
          <w:rFonts w:hint="eastAsia" w:ascii="宋体" w:hAnsi="宋体" w:eastAsia="宋体" w:cs="宋体"/>
          <w:b/>
          <w:bCs/>
          <w:color w:val="auto"/>
          <w:spacing w:val="-6"/>
          <w:sz w:val="22"/>
          <w:szCs w:val="22"/>
          <w:highlight w:val="none"/>
        </w:rPr>
        <w:t>保留小数点后两位。</w:t>
      </w:r>
    </w:p>
    <w:p>
      <w:pPr>
        <w:pStyle w:val="13"/>
        <w:shd w:val="clear"/>
        <w:rPr>
          <w:rFonts w:hint="eastAsia" w:ascii="宋体" w:hAnsi="宋体" w:eastAsia="宋体" w:cs="宋体"/>
          <w:color w:val="auto"/>
          <w:highlight w:val="none"/>
        </w:rPr>
      </w:pP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供应商（单位名称及公章）：</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法定代表人/被授权人（签字）：</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 xml:space="preserve">  年   月   日</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br w:type="page"/>
      </w:r>
    </w:p>
    <w:p>
      <w:pPr>
        <w:pStyle w:val="4"/>
        <w:shd w:val="clear"/>
        <w:rPr>
          <w:rFonts w:hint="eastAsia" w:ascii="宋体" w:hAnsi="宋体" w:eastAsia="宋体" w:cs="宋体"/>
          <w:color w:val="auto"/>
          <w:highlight w:val="none"/>
        </w:rPr>
      </w:pPr>
      <w:bookmarkStart w:id="291" w:name="_Toc15946"/>
      <w:bookmarkStart w:id="292" w:name="_Toc17101"/>
      <w:bookmarkStart w:id="293" w:name="_Toc30099"/>
      <w:r>
        <w:rPr>
          <w:rFonts w:hint="eastAsia" w:ascii="宋体" w:hAnsi="宋体" w:eastAsia="宋体" w:cs="宋体"/>
          <w:color w:val="auto"/>
          <w:highlight w:val="none"/>
        </w:rPr>
        <w:t>第三部分  法定代表人证明书与法定代表人授权书</w:t>
      </w:r>
      <w:bookmarkEnd w:id="291"/>
      <w:bookmarkEnd w:id="292"/>
      <w:bookmarkEnd w:id="293"/>
    </w:p>
    <w:p>
      <w:pPr>
        <w:shd w:val="clear"/>
        <w:tabs>
          <w:tab w:val="left" w:pos="210"/>
        </w:tabs>
        <w:spacing w:line="320" w:lineRule="exact"/>
        <w:jc w:val="center"/>
        <w:rPr>
          <w:rFonts w:hint="eastAsia" w:ascii="宋体" w:hAnsi="宋体" w:eastAsia="宋体" w:cs="宋体"/>
          <w:b/>
          <w:color w:val="auto"/>
          <w:kern w:val="0"/>
          <w:sz w:val="21"/>
          <w:szCs w:val="21"/>
          <w:highlight w:val="none"/>
        </w:rPr>
      </w:pPr>
    </w:p>
    <w:p>
      <w:pPr>
        <w:pStyle w:val="5"/>
        <w:shd w:val="clear"/>
        <w:rPr>
          <w:rFonts w:hint="eastAsia" w:ascii="宋体" w:hAnsi="宋体" w:eastAsia="宋体" w:cs="宋体"/>
          <w:color w:val="auto"/>
          <w:highlight w:val="none"/>
        </w:rPr>
      </w:pPr>
      <w:bookmarkStart w:id="294" w:name="_Toc13050"/>
      <w:bookmarkStart w:id="295" w:name="_Toc3531"/>
      <w:r>
        <w:rPr>
          <w:rFonts w:hint="eastAsia" w:ascii="宋体" w:hAnsi="宋体" w:eastAsia="宋体" w:cs="宋体"/>
          <w:color w:val="auto"/>
          <w:highlight w:val="none"/>
        </w:rPr>
        <w:t>法定代表人证明书</w:t>
      </w:r>
      <w:bookmarkEnd w:id="294"/>
      <w:bookmarkEnd w:id="295"/>
    </w:p>
    <w:p>
      <w:pPr>
        <w:shd w:val="clear"/>
        <w:tabs>
          <w:tab w:val="left" w:pos="210"/>
        </w:tabs>
        <w:spacing w:line="320" w:lineRule="exact"/>
        <w:jc w:val="center"/>
        <w:rPr>
          <w:rFonts w:hint="eastAsia" w:ascii="宋体" w:hAnsi="宋体" w:eastAsia="宋体" w:cs="宋体"/>
          <w:b/>
          <w:color w:val="auto"/>
          <w:kern w:val="0"/>
          <w:sz w:val="21"/>
          <w:szCs w:val="21"/>
          <w:highlight w:val="none"/>
        </w:rPr>
      </w:pPr>
    </w:p>
    <w:tbl>
      <w:tblPr>
        <w:tblStyle w:val="23"/>
        <w:tblW w:w="97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2160"/>
        <w:gridCol w:w="2156"/>
        <w:gridCol w:w="184"/>
        <w:gridCol w:w="2156"/>
        <w:gridCol w:w="2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9716" w:type="dxa"/>
            <w:gridSpan w:val="6"/>
            <w:noWrap/>
            <w:vAlign w:val="center"/>
          </w:tcPr>
          <w:p>
            <w:pPr>
              <w:shd w:val="clear"/>
              <w:tabs>
                <w:tab w:val="left" w:pos="210"/>
              </w:tabs>
              <w:spacing w:line="320" w:lineRule="exact"/>
              <w:rPr>
                <w:rFonts w:hint="eastAsia" w:ascii="宋体" w:hAnsi="宋体" w:eastAsia="宋体" w:cs="宋体"/>
                <w:color w:val="auto"/>
                <w:kern w:val="0"/>
                <w:sz w:val="21"/>
                <w:szCs w:val="21"/>
                <w:highlight w:val="none"/>
                <w:lang w:eastAsia="zh-CN"/>
              </w:rPr>
            </w:pPr>
            <w:r>
              <w:rPr>
                <w:rFonts w:hint="eastAsia" w:ascii="宋体" w:hAnsi="宋体" w:eastAsia="宋体" w:cs="宋体"/>
                <w:color w:val="auto"/>
                <w:kern w:val="0"/>
                <w:sz w:val="21"/>
                <w:szCs w:val="21"/>
                <w:highlight w:val="none"/>
              </w:rPr>
              <w:t>致：</w:t>
            </w:r>
            <w:r>
              <w:rPr>
                <w:rFonts w:hint="eastAsia" w:ascii="宋体" w:hAnsi="宋体" w:eastAsia="宋体" w:cs="宋体"/>
                <w:color w:val="auto"/>
                <w:spacing w:val="-6"/>
                <w:sz w:val="21"/>
                <w:szCs w:val="21"/>
                <w:highlight w:val="none"/>
                <w:lang w:eastAsia="zh-CN"/>
              </w:rPr>
              <w:t>陕西国中恒工程项目管理有限公司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900" w:type="dxa"/>
            <w:vMerge w:val="restart"/>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企</w:t>
            </w:r>
          </w:p>
          <w:p>
            <w:pPr>
              <w:shd w:val="clear"/>
              <w:tabs>
                <w:tab w:val="left" w:pos="210"/>
              </w:tabs>
              <w:spacing w:line="320" w:lineRule="exact"/>
              <w:jc w:val="center"/>
              <w:rPr>
                <w:rFonts w:hint="eastAsia" w:ascii="宋体" w:hAnsi="宋体" w:eastAsia="宋体" w:cs="宋体"/>
                <w:color w:val="auto"/>
                <w:kern w:val="0"/>
                <w:sz w:val="21"/>
                <w:szCs w:val="21"/>
                <w:highlight w:val="none"/>
              </w:rPr>
            </w:pPr>
          </w:p>
          <w:p>
            <w:pPr>
              <w:shd w:val="clear"/>
              <w:tabs>
                <w:tab w:val="left" w:pos="210"/>
              </w:tabs>
              <w:spacing w:line="32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业</w:t>
            </w:r>
          </w:p>
          <w:p>
            <w:pPr>
              <w:shd w:val="clear"/>
              <w:tabs>
                <w:tab w:val="left" w:pos="210"/>
              </w:tabs>
              <w:spacing w:line="320" w:lineRule="exact"/>
              <w:jc w:val="center"/>
              <w:rPr>
                <w:rFonts w:hint="eastAsia" w:ascii="宋体" w:hAnsi="宋体" w:eastAsia="宋体" w:cs="宋体"/>
                <w:color w:val="auto"/>
                <w:kern w:val="0"/>
                <w:sz w:val="21"/>
                <w:szCs w:val="21"/>
                <w:highlight w:val="none"/>
              </w:rPr>
            </w:pPr>
          </w:p>
          <w:p>
            <w:pPr>
              <w:shd w:val="clear"/>
              <w:tabs>
                <w:tab w:val="left" w:pos="210"/>
              </w:tabs>
              <w:spacing w:line="32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法</w:t>
            </w:r>
          </w:p>
          <w:p>
            <w:pPr>
              <w:shd w:val="clear"/>
              <w:tabs>
                <w:tab w:val="left" w:pos="210"/>
              </w:tabs>
              <w:spacing w:line="320" w:lineRule="exact"/>
              <w:jc w:val="center"/>
              <w:rPr>
                <w:rFonts w:hint="eastAsia" w:ascii="宋体" w:hAnsi="宋体" w:eastAsia="宋体" w:cs="宋体"/>
                <w:color w:val="auto"/>
                <w:kern w:val="0"/>
                <w:sz w:val="21"/>
                <w:szCs w:val="21"/>
                <w:highlight w:val="none"/>
              </w:rPr>
            </w:pPr>
          </w:p>
          <w:p>
            <w:pPr>
              <w:shd w:val="clear"/>
              <w:tabs>
                <w:tab w:val="left" w:pos="210"/>
              </w:tabs>
              <w:spacing w:line="32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人</w:t>
            </w:r>
          </w:p>
        </w:tc>
        <w:tc>
          <w:tcPr>
            <w:tcW w:w="2160" w:type="dxa"/>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企业名称</w:t>
            </w:r>
          </w:p>
        </w:tc>
        <w:tc>
          <w:tcPr>
            <w:tcW w:w="6656" w:type="dxa"/>
            <w:gridSpan w:val="4"/>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900" w:type="dxa"/>
            <w:vMerge w:val="continue"/>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p>
        </w:tc>
        <w:tc>
          <w:tcPr>
            <w:tcW w:w="2160" w:type="dxa"/>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法定地址</w:t>
            </w:r>
          </w:p>
        </w:tc>
        <w:tc>
          <w:tcPr>
            <w:tcW w:w="6656" w:type="dxa"/>
            <w:gridSpan w:val="4"/>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900" w:type="dxa"/>
            <w:vMerge w:val="continue"/>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p>
        </w:tc>
        <w:tc>
          <w:tcPr>
            <w:tcW w:w="2160" w:type="dxa"/>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邮政编码</w:t>
            </w:r>
          </w:p>
        </w:tc>
        <w:tc>
          <w:tcPr>
            <w:tcW w:w="6656" w:type="dxa"/>
            <w:gridSpan w:val="4"/>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 w:type="dxa"/>
            <w:vMerge w:val="continue"/>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p>
        </w:tc>
        <w:tc>
          <w:tcPr>
            <w:tcW w:w="2160" w:type="dxa"/>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工商登记机关</w:t>
            </w:r>
          </w:p>
        </w:tc>
        <w:tc>
          <w:tcPr>
            <w:tcW w:w="6656" w:type="dxa"/>
            <w:gridSpan w:val="4"/>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900" w:type="dxa"/>
            <w:vMerge w:val="continue"/>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p>
        </w:tc>
        <w:tc>
          <w:tcPr>
            <w:tcW w:w="2160" w:type="dxa"/>
            <w:vMerge w:val="restart"/>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税务登记机关</w:t>
            </w:r>
          </w:p>
        </w:tc>
        <w:tc>
          <w:tcPr>
            <w:tcW w:w="6656" w:type="dxa"/>
            <w:gridSpan w:val="4"/>
            <w:noWrap/>
            <w:vAlign w:val="center"/>
          </w:tcPr>
          <w:p>
            <w:pPr>
              <w:shd w:val="clear"/>
              <w:tabs>
                <w:tab w:val="left" w:pos="210"/>
              </w:tabs>
              <w:spacing w:line="32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（国税）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900" w:type="dxa"/>
            <w:vMerge w:val="continue"/>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p>
        </w:tc>
        <w:tc>
          <w:tcPr>
            <w:tcW w:w="2160" w:type="dxa"/>
            <w:vMerge w:val="continue"/>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p>
        </w:tc>
        <w:tc>
          <w:tcPr>
            <w:tcW w:w="6656" w:type="dxa"/>
            <w:gridSpan w:val="4"/>
            <w:noWrap/>
            <w:vAlign w:val="center"/>
          </w:tcPr>
          <w:p>
            <w:pPr>
              <w:shd w:val="clear"/>
              <w:tabs>
                <w:tab w:val="left" w:pos="210"/>
              </w:tabs>
              <w:spacing w:line="320" w:lineRule="exac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（地税）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 w:type="dxa"/>
            <w:vMerge w:val="continue"/>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p>
        </w:tc>
        <w:tc>
          <w:tcPr>
            <w:tcW w:w="2160" w:type="dxa"/>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机构代码证号</w:t>
            </w:r>
          </w:p>
        </w:tc>
        <w:tc>
          <w:tcPr>
            <w:tcW w:w="6656" w:type="dxa"/>
            <w:gridSpan w:val="4"/>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900" w:type="dxa"/>
            <w:vMerge w:val="restart"/>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法定代表人</w:t>
            </w:r>
          </w:p>
        </w:tc>
        <w:tc>
          <w:tcPr>
            <w:tcW w:w="2160" w:type="dxa"/>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姓名</w:t>
            </w:r>
          </w:p>
        </w:tc>
        <w:tc>
          <w:tcPr>
            <w:tcW w:w="2340" w:type="dxa"/>
            <w:gridSpan w:val="2"/>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（签名）</w:t>
            </w:r>
          </w:p>
        </w:tc>
        <w:tc>
          <w:tcPr>
            <w:tcW w:w="2156" w:type="dxa"/>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性别</w:t>
            </w:r>
          </w:p>
        </w:tc>
        <w:tc>
          <w:tcPr>
            <w:tcW w:w="2160" w:type="dxa"/>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900" w:type="dxa"/>
            <w:vMerge w:val="continue"/>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p>
        </w:tc>
        <w:tc>
          <w:tcPr>
            <w:tcW w:w="2160" w:type="dxa"/>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职务</w:t>
            </w:r>
          </w:p>
        </w:tc>
        <w:tc>
          <w:tcPr>
            <w:tcW w:w="2340" w:type="dxa"/>
            <w:gridSpan w:val="2"/>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p>
        </w:tc>
        <w:tc>
          <w:tcPr>
            <w:tcW w:w="2156" w:type="dxa"/>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联系电话</w:t>
            </w:r>
          </w:p>
        </w:tc>
        <w:tc>
          <w:tcPr>
            <w:tcW w:w="2160" w:type="dxa"/>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 w:type="dxa"/>
            <w:vMerge w:val="continue"/>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p>
        </w:tc>
        <w:tc>
          <w:tcPr>
            <w:tcW w:w="2160" w:type="dxa"/>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传真</w:t>
            </w:r>
          </w:p>
        </w:tc>
        <w:tc>
          <w:tcPr>
            <w:tcW w:w="6656" w:type="dxa"/>
            <w:gridSpan w:val="4"/>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2" w:hRule="atLeast"/>
          <w:jc w:val="center"/>
        </w:trPr>
        <w:tc>
          <w:tcPr>
            <w:tcW w:w="900" w:type="dxa"/>
            <w:vMerge w:val="restart"/>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法定代表人身份证复印件</w:t>
            </w:r>
          </w:p>
        </w:tc>
        <w:tc>
          <w:tcPr>
            <w:tcW w:w="4316" w:type="dxa"/>
            <w:gridSpan w:val="2"/>
            <w:vMerge w:val="restart"/>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（粘贴处）</w:t>
            </w:r>
          </w:p>
        </w:tc>
        <w:tc>
          <w:tcPr>
            <w:tcW w:w="4500" w:type="dxa"/>
            <w:gridSpan w:val="3"/>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法定代表人签字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2" w:hRule="atLeast"/>
          <w:jc w:val="center"/>
        </w:trPr>
        <w:tc>
          <w:tcPr>
            <w:tcW w:w="900" w:type="dxa"/>
            <w:vMerge w:val="continue"/>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p>
        </w:tc>
        <w:tc>
          <w:tcPr>
            <w:tcW w:w="4316" w:type="dxa"/>
            <w:gridSpan w:val="2"/>
            <w:vMerge w:val="continue"/>
            <w:noWrap/>
            <w:vAlign w:val="center"/>
          </w:tcPr>
          <w:p>
            <w:pPr>
              <w:shd w:val="clear"/>
              <w:tabs>
                <w:tab w:val="left" w:pos="210"/>
              </w:tabs>
              <w:spacing w:line="320" w:lineRule="exact"/>
              <w:jc w:val="center"/>
              <w:rPr>
                <w:rFonts w:hint="eastAsia" w:ascii="宋体" w:hAnsi="宋体" w:eastAsia="宋体" w:cs="宋体"/>
                <w:color w:val="auto"/>
                <w:kern w:val="0"/>
                <w:sz w:val="21"/>
                <w:szCs w:val="21"/>
                <w:highlight w:val="none"/>
              </w:rPr>
            </w:pPr>
          </w:p>
        </w:tc>
        <w:tc>
          <w:tcPr>
            <w:tcW w:w="4500" w:type="dxa"/>
            <w:gridSpan w:val="3"/>
            <w:noWrap/>
            <w:vAlign w:val="bottom"/>
          </w:tcPr>
          <w:p>
            <w:pPr>
              <w:shd w:val="clear"/>
              <w:tabs>
                <w:tab w:val="left" w:pos="210"/>
              </w:tabs>
              <w:spacing w:line="320" w:lineRule="exact"/>
              <w:jc w:val="cente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（公章）</w:t>
            </w:r>
          </w:p>
          <w:p>
            <w:pPr>
              <w:shd w:val="clear"/>
              <w:tabs>
                <w:tab w:val="left" w:pos="210"/>
              </w:tabs>
              <w:spacing w:line="320" w:lineRule="exact"/>
              <w:jc w:val="center"/>
              <w:rPr>
                <w:rFonts w:hint="eastAsia" w:ascii="宋体" w:hAnsi="宋体" w:eastAsia="宋体" w:cs="宋体"/>
                <w:color w:val="auto"/>
                <w:kern w:val="0"/>
                <w:sz w:val="21"/>
                <w:szCs w:val="21"/>
                <w:highlight w:val="none"/>
              </w:rPr>
            </w:pPr>
          </w:p>
          <w:p>
            <w:pPr>
              <w:shd w:val="clear"/>
              <w:tabs>
                <w:tab w:val="left" w:pos="210"/>
              </w:tabs>
              <w:spacing w:line="320" w:lineRule="exact"/>
              <w:jc w:val="center"/>
              <w:rPr>
                <w:rFonts w:hint="eastAsia" w:ascii="宋体" w:hAnsi="宋体" w:eastAsia="宋体" w:cs="宋体"/>
                <w:color w:val="auto"/>
                <w:kern w:val="0"/>
                <w:sz w:val="21"/>
                <w:szCs w:val="21"/>
                <w:highlight w:val="none"/>
              </w:rPr>
            </w:pPr>
          </w:p>
          <w:p>
            <w:pPr>
              <w:shd w:val="clear"/>
              <w:tabs>
                <w:tab w:val="left" w:pos="210"/>
              </w:tabs>
              <w:spacing w:line="320" w:lineRule="exact"/>
              <w:jc w:val="center"/>
              <w:rPr>
                <w:rFonts w:hint="eastAsia" w:ascii="宋体" w:hAnsi="宋体" w:eastAsia="宋体" w:cs="宋体"/>
                <w:color w:val="auto"/>
                <w:kern w:val="0"/>
                <w:sz w:val="21"/>
                <w:szCs w:val="21"/>
                <w:highlight w:val="none"/>
              </w:rPr>
            </w:pPr>
          </w:p>
          <w:p>
            <w:pPr>
              <w:shd w:val="clear"/>
              <w:tabs>
                <w:tab w:val="left" w:pos="210"/>
              </w:tabs>
              <w:wordWrap w:val="0"/>
              <w:spacing w:line="320" w:lineRule="exact"/>
              <w:jc w:val="right"/>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年  月  日 </w:t>
            </w:r>
          </w:p>
        </w:tc>
      </w:tr>
    </w:tbl>
    <w:p>
      <w:pPr>
        <w:shd w:val="clear"/>
        <w:tabs>
          <w:tab w:val="left" w:pos="210"/>
        </w:tabs>
        <w:spacing w:line="320" w:lineRule="exact"/>
        <w:ind w:firstLine="310" w:firstLineChars="147"/>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t>注：供应商持三证合一营业执照时，本表不填写“税务登记机关”和“机构代码证号”栏目。</w:t>
      </w:r>
    </w:p>
    <w:p>
      <w:pPr>
        <w:shd w:val="clear"/>
        <w:tabs>
          <w:tab w:val="left" w:pos="210"/>
        </w:tabs>
        <w:spacing w:line="320" w:lineRule="exact"/>
        <w:jc w:val="center"/>
        <w:rPr>
          <w:rFonts w:hint="eastAsia" w:ascii="宋体" w:hAnsi="宋体" w:eastAsia="宋体" w:cs="宋体"/>
          <w:b/>
          <w:color w:val="auto"/>
          <w:kern w:val="0"/>
          <w:sz w:val="21"/>
          <w:szCs w:val="21"/>
          <w:highlight w:val="none"/>
        </w:rPr>
      </w:pPr>
      <w:r>
        <w:rPr>
          <w:rFonts w:hint="eastAsia" w:ascii="宋体" w:hAnsi="宋体" w:eastAsia="宋体" w:cs="宋体"/>
          <w:b/>
          <w:color w:val="auto"/>
          <w:kern w:val="0"/>
          <w:sz w:val="21"/>
          <w:szCs w:val="21"/>
          <w:highlight w:val="none"/>
        </w:rPr>
        <w:br w:type="page"/>
      </w:r>
    </w:p>
    <w:p>
      <w:pPr>
        <w:pStyle w:val="5"/>
        <w:shd w:val="clear"/>
        <w:rPr>
          <w:rFonts w:hint="eastAsia" w:ascii="宋体" w:hAnsi="宋体" w:eastAsia="宋体" w:cs="宋体"/>
          <w:color w:val="auto"/>
          <w:highlight w:val="none"/>
        </w:rPr>
      </w:pPr>
      <w:bookmarkStart w:id="296" w:name="_Toc26413"/>
      <w:bookmarkStart w:id="297" w:name="_Toc4099"/>
      <w:r>
        <w:rPr>
          <w:rFonts w:hint="eastAsia" w:ascii="宋体" w:hAnsi="宋体" w:eastAsia="宋体" w:cs="宋体"/>
          <w:color w:val="auto"/>
          <w:highlight w:val="none"/>
        </w:rPr>
        <w:t>法定代表人授权书</w:t>
      </w:r>
      <w:bookmarkEnd w:id="296"/>
      <w:bookmarkEnd w:id="297"/>
    </w:p>
    <w:p>
      <w:pPr>
        <w:shd w:val="clear"/>
        <w:tabs>
          <w:tab w:val="left" w:pos="210"/>
        </w:tabs>
        <w:spacing w:line="320" w:lineRule="exact"/>
        <w:jc w:val="center"/>
        <w:rPr>
          <w:rFonts w:hint="eastAsia" w:ascii="宋体" w:hAnsi="宋体" w:eastAsia="宋体" w:cs="宋体"/>
          <w:b/>
          <w:color w:val="auto"/>
          <w:kern w:val="0"/>
          <w:sz w:val="21"/>
          <w:szCs w:val="21"/>
          <w:highlight w:val="none"/>
        </w:rPr>
      </w:pPr>
    </w:p>
    <w:p>
      <w:pPr>
        <w:pStyle w:val="15"/>
        <w:shd w:val="clear"/>
        <w:spacing w:line="500" w:lineRule="exact"/>
        <w:rPr>
          <w:rFonts w:hint="eastAsia" w:ascii="宋体" w:hAnsi="宋体" w:eastAsia="宋体" w:cs="宋体"/>
          <w:b/>
          <w:bCs/>
          <w:color w:val="auto"/>
          <w:sz w:val="21"/>
          <w:highlight w:val="none"/>
        </w:rPr>
      </w:pPr>
      <w:r>
        <w:rPr>
          <w:rFonts w:hint="eastAsia" w:ascii="宋体" w:hAnsi="宋体" w:eastAsia="宋体" w:cs="宋体"/>
          <w:color w:val="auto"/>
          <w:spacing w:val="-6"/>
          <w:sz w:val="21"/>
          <w:highlight w:val="none"/>
          <w:lang w:eastAsia="zh-CN"/>
        </w:rPr>
        <w:t>陕西国中恒工程项目管理有限公司</w:t>
      </w:r>
      <w:r>
        <w:rPr>
          <w:rFonts w:hint="eastAsia" w:ascii="宋体" w:hAnsi="宋体" w:eastAsia="宋体" w:cs="宋体"/>
          <w:color w:val="auto"/>
          <w:sz w:val="21"/>
          <w:highlight w:val="none"/>
        </w:rPr>
        <w:t>：</w:t>
      </w:r>
    </w:p>
    <w:p>
      <w:pPr>
        <w:pStyle w:val="15"/>
        <w:shd w:val="clear"/>
        <w:spacing w:line="500" w:lineRule="exact"/>
        <w:ind w:firstLine="420" w:firstLineChars="200"/>
        <w:rPr>
          <w:rFonts w:hint="eastAsia" w:ascii="宋体" w:hAnsi="宋体" w:eastAsia="宋体" w:cs="宋体"/>
          <w:color w:val="auto"/>
          <w:sz w:val="21"/>
          <w:highlight w:val="none"/>
        </w:rPr>
      </w:pPr>
      <w:r>
        <w:rPr>
          <w:rFonts w:hint="eastAsia" w:ascii="宋体" w:hAnsi="宋体" w:eastAsia="宋体" w:cs="宋体"/>
          <w:color w:val="auto"/>
          <w:sz w:val="21"/>
          <w:highlight w:val="none"/>
        </w:rPr>
        <w:t>本授权书声明：注册于（</w:t>
      </w:r>
      <w:r>
        <w:rPr>
          <w:rFonts w:hint="eastAsia" w:ascii="宋体" w:hAnsi="宋体" w:eastAsia="宋体" w:cs="宋体"/>
          <w:color w:val="auto"/>
          <w:sz w:val="21"/>
          <w:highlight w:val="none"/>
          <w:u w:val="single"/>
        </w:rPr>
        <w:t xml:space="preserve"> 工商行政管理局名称）之（委托单位全称） </w:t>
      </w:r>
      <w:r>
        <w:rPr>
          <w:rFonts w:hint="eastAsia" w:ascii="宋体" w:hAnsi="宋体" w:eastAsia="宋体" w:cs="宋体"/>
          <w:color w:val="auto"/>
          <w:sz w:val="21"/>
          <w:highlight w:val="none"/>
        </w:rPr>
        <w:t>的法定代表人</w:t>
      </w:r>
      <w:r>
        <w:rPr>
          <w:rFonts w:hint="eastAsia" w:ascii="宋体" w:hAnsi="宋体" w:eastAsia="宋体" w:cs="宋体"/>
          <w:color w:val="auto"/>
          <w:sz w:val="21"/>
          <w:highlight w:val="none"/>
          <w:u w:val="single"/>
        </w:rPr>
        <w:t>（姓名、性别）</w:t>
      </w:r>
      <w:r>
        <w:rPr>
          <w:rFonts w:hint="eastAsia" w:ascii="宋体" w:hAnsi="宋体" w:eastAsia="宋体" w:cs="宋体"/>
          <w:color w:val="auto"/>
          <w:sz w:val="21"/>
          <w:highlight w:val="none"/>
        </w:rPr>
        <w:t>授权</w:t>
      </w:r>
      <w:r>
        <w:rPr>
          <w:rFonts w:hint="eastAsia" w:ascii="宋体" w:hAnsi="宋体" w:eastAsia="宋体" w:cs="宋体"/>
          <w:color w:val="auto"/>
          <w:sz w:val="21"/>
          <w:highlight w:val="none"/>
          <w:u w:val="single"/>
        </w:rPr>
        <w:t>（被授权人姓名、性别、职务）</w:t>
      </w:r>
      <w:r>
        <w:rPr>
          <w:rFonts w:hint="eastAsia" w:ascii="宋体" w:hAnsi="宋体" w:eastAsia="宋体" w:cs="宋体"/>
          <w:color w:val="auto"/>
          <w:sz w:val="21"/>
          <w:highlight w:val="none"/>
        </w:rPr>
        <w:t>为本公司合法代理人，就贵方组织的有关</w:t>
      </w:r>
      <w:r>
        <w:rPr>
          <w:rFonts w:hint="eastAsia" w:ascii="宋体" w:hAnsi="宋体" w:eastAsia="宋体" w:cs="宋体"/>
          <w:color w:val="auto"/>
          <w:sz w:val="21"/>
          <w:highlight w:val="none"/>
          <w:u w:val="single"/>
        </w:rPr>
        <w:t>（采购项目名称）（采购项目编号</w:t>
      </w:r>
      <w:r>
        <w:rPr>
          <w:rFonts w:hint="eastAsia" w:ascii="宋体" w:hAnsi="宋体" w:eastAsia="宋体" w:cs="宋体"/>
          <w:color w:val="auto"/>
          <w:sz w:val="21"/>
          <w:highlight w:val="none"/>
          <w:u w:val="single"/>
          <w:lang w:eastAsia="zh-CN"/>
        </w:rPr>
        <w:t>：</w:t>
      </w:r>
      <w:r>
        <w:rPr>
          <w:rFonts w:hint="eastAsia" w:ascii="宋体" w:hAnsi="宋体" w:eastAsia="宋体" w:cs="宋体"/>
          <w:color w:val="auto"/>
          <w:sz w:val="21"/>
          <w:highlight w:val="none"/>
          <w:u w:val="single"/>
        </w:rPr>
        <w:t xml:space="preserve">   ）</w:t>
      </w:r>
      <w:r>
        <w:rPr>
          <w:rFonts w:hint="eastAsia" w:ascii="宋体" w:hAnsi="宋体" w:eastAsia="宋体" w:cs="宋体"/>
          <w:color w:val="auto"/>
          <w:sz w:val="21"/>
          <w:highlight w:val="none"/>
          <w:u w:val="single"/>
          <w:lang w:eastAsia="zh-CN"/>
        </w:rPr>
        <w:t>（标包号及标包名称）</w:t>
      </w:r>
      <w:r>
        <w:rPr>
          <w:rFonts w:hint="eastAsia" w:ascii="宋体" w:hAnsi="宋体" w:eastAsia="宋体" w:cs="宋体"/>
          <w:color w:val="auto"/>
          <w:sz w:val="21"/>
          <w:highlight w:val="none"/>
        </w:rPr>
        <w:t>的投标、洽谈、执行等具体事务，签署全部有关文件、文书、协议、合同，本公司对被授权人在本项目中的签名承担全部法律责任。本授权书自开标会议之日起计算有效期为    个日历日。</w:t>
      </w:r>
    </w:p>
    <w:p>
      <w:pPr>
        <w:pStyle w:val="15"/>
        <w:shd w:val="clear"/>
        <w:spacing w:line="500" w:lineRule="exact"/>
        <w:ind w:firstLine="420" w:firstLineChars="200"/>
        <w:rPr>
          <w:rFonts w:hint="eastAsia" w:ascii="宋体" w:hAnsi="宋体" w:eastAsia="宋体" w:cs="宋体"/>
          <w:color w:val="auto"/>
          <w:sz w:val="21"/>
          <w:highlight w:val="none"/>
        </w:rPr>
      </w:pPr>
      <w:r>
        <w:rPr>
          <w:rFonts w:hint="eastAsia" w:ascii="宋体" w:hAnsi="宋体" w:eastAsia="宋体" w:cs="宋体"/>
          <w:color w:val="auto"/>
          <w:sz w:val="21"/>
          <w:highlight w:val="none"/>
        </w:rPr>
        <w:t>委托单位</w:t>
      </w:r>
      <w:r>
        <w:rPr>
          <w:rFonts w:hint="eastAsia" w:ascii="宋体" w:hAnsi="宋体" w:eastAsia="宋体" w:cs="宋体"/>
          <w:color w:val="auto"/>
          <w:sz w:val="21"/>
          <w:highlight w:val="none"/>
          <w:lang w:eastAsia="zh-CN"/>
        </w:rPr>
        <w:t>：</w:t>
      </w:r>
      <w:r>
        <w:rPr>
          <w:rFonts w:hint="eastAsia" w:ascii="宋体" w:hAnsi="宋体" w:eastAsia="宋体" w:cs="宋体"/>
          <w:color w:val="auto"/>
          <w:sz w:val="21"/>
          <w:highlight w:val="none"/>
        </w:rPr>
        <w:t xml:space="preserve">   （公章）                  法定代表人（签字）：</w:t>
      </w:r>
    </w:p>
    <w:p>
      <w:pPr>
        <w:pStyle w:val="15"/>
        <w:shd w:val="clear"/>
        <w:spacing w:line="500" w:lineRule="exact"/>
        <w:ind w:firstLine="420" w:firstLineChars="200"/>
        <w:rPr>
          <w:rFonts w:hint="eastAsia" w:ascii="宋体" w:hAnsi="宋体" w:eastAsia="宋体" w:cs="宋体"/>
          <w:color w:val="auto"/>
          <w:sz w:val="21"/>
          <w:highlight w:val="none"/>
        </w:rPr>
      </w:pPr>
      <w:r>
        <w:rPr>
          <w:rFonts w:hint="eastAsia" w:ascii="宋体" w:hAnsi="宋体" w:eastAsia="宋体" w:cs="宋体"/>
          <w:color w:val="auto"/>
          <w:sz w:val="21"/>
          <w:highlight w:val="none"/>
        </w:rPr>
        <w:t>签发日期</w:t>
      </w:r>
      <w:r>
        <w:rPr>
          <w:rFonts w:hint="eastAsia" w:ascii="宋体" w:hAnsi="宋体" w:eastAsia="宋体" w:cs="宋体"/>
          <w:color w:val="auto"/>
          <w:sz w:val="21"/>
          <w:highlight w:val="none"/>
          <w:lang w:eastAsia="zh-CN"/>
        </w:rPr>
        <w:t>：</w:t>
      </w:r>
      <w:r>
        <w:rPr>
          <w:rFonts w:hint="eastAsia" w:ascii="宋体" w:hAnsi="宋体" w:eastAsia="宋体" w:cs="宋体"/>
          <w:color w:val="auto"/>
          <w:sz w:val="21"/>
          <w:highlight w:val="none"/>
        </w:rPr>
        <w:t>年</w:t>
      </w:r>
      <w:r>
        <w:rPr>
          <w:rFonts w:hint="eastAsia" w:ascii="宋体" w:hAnsi="宋体" w:eastAsia="宋体" w:cs="宋体"/>
          <w:color w:val="auto"/>
          <w:sz w:val="21"/>
          <w:highlight w:val="none"/>
          <w:lang w:val="en-US" w:eastAsia="zh-CN"/>
        </w:rPr>
        <w:t xml:space="preserve"> </w:t>
      </w:r>
      <w:r>
        <w:rPr>
          <w:rFonts w:hint="eastAsia" w:ascii="宋体" w:hAnsi="宋体" w:eastAsia="宋体" w:cs="宋体"/>
          <w:color w:val="auto"/>
          <w:sz w:val="21"/>
          <w:highlight w:val="none"/>
        </w:rPr>
        <w:t>月</w:t>
      </w:r>
      <w:r>
        <w:rPr>
          <w:rFonts w:hint="eastAsia" w:ascii="宋体" w:hAnsi="宋体" w:eastAsia="宋体" w:cs="宋体"/>
          <w:color w:val="auto"/>
          <w:sz w:val="21"/>
          <w:highlight w:val="none"/>
          <w:lang w:val="en-US" w:eastAsia="zh-CN"/>
        </w:rPr>
        <w:t xml:space="preserve"> </w:t>
      </w:r>
      <w:r>
        <w:rPr>
          <w:rFonts w:hint="eastAsia" w:ascii="宋体" w:hAnsi="宋体" w:eastAsia="宋体" w:cs="宋体"/>
          <w:color w:val="auto"/>
          <w:sz w:val="21"/>
          <w:highlight w:val="none"/>
        </w:rPr>
        <w:t>日</w:t>
      </w:r>
    </w:p>
    <w:p>
      <w:pPr>
        <w:shd w:val="clear"/>
        <w:ind w:right="480"/>
        <w:rPr>
          <w:rFonts w:hint="eastAsia" w:ascii="宋体" w:hAnsi="宋体" w:eastAsia="宋体" w:cs="宋体"/>
          <w:color w:val="auto"/>
          <w:sz w:val="21"/>
          <w:szCs w:val="21"/>
          <w:highlight w:val="none"/>
        </w:rPr>
      </w:pPr>
    </w:p>
    <w:p>
      <w:pPr>
        <w:shd w:val="clear"/>
        <w:ind w:right="480"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本授权有效期    年　　月　　日至      年　    月　  日</w:t>
      </w:r>
    </w:p>
    <w:p>
      <w:pPr>
        <w:shd w:val="clear"/>
        <w:ind w:right="480"/>
        <w:rPr>
          <w:rFonts w:hint="eastAsia" w:ascii="宋体" w:hAnsi="宋体" w:eastAsia="宋体" w:cs="宋体"/>
          <w:color w:val="auto"/>
          <w:sz w:val="21"/>
          <w:szCs w:val="21"/>
          <w:highlight w:val="none"/>
        </w:rPr>
      </w:pPr>
    </w:p>
    <w:p>
      <w:pPr>
        <w:shd w:val="clear"/>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年　　月　　日</w:t>
      </w:r>
    </w:p>
    <w:p>
      <w:pPr>
        <w:pStyle w:val="15"/>
        <w:shd w:val="clear"/>
        <w:spacing w:line="500" w:lineRule="exact"/>
        <w:ind w:firstLine="420" w:firstLineChars="200"/>
        <w:rPr>
          <w:rFonts w:hint="eastAsia" w:ascii="宋体" w:hAnsi="宋体" w:eastAsia="宋体" w:cs="宋体"/>
          <w:color w:val="auto"/>
          <w:sz w:val="21"/>
          <w:highlight w:val="none"/>
        </w:rPr>
      </w:pPr>
    </w:p>
    <w:p>
      <w:pPr>
        <w:pStyle w:val="15"/>
        <w:shd w:val="clear"/>
        <w:spacing w:line="500" w:lineRule="exact"/>
        <w:ind w:firstLine="420" w:firstLineChars="200"/>
        <w:rPr>
          <w:rFonts w:hint="eastAsia" w:ascii="宋体" w:hAnsi="宋体" w:eastAsia="宋体" w:cs="宋体"/>
          <w:color w:val="auto"/>
          <w:sz w:val="21"/>
          <w:highlight w:val="none"/>
        </w:rPr>
      </w:pPr>
      <w:r>
        <w:rPr>
          <w:rFonts w:hint="eastAsia" w:ascii="宋体" w:hAnsi="宋体" w:eastAsia="宋体" w:cs="宋体"/>
          <w:color w:val="auto"/>
          <w:sz w:val="21"/>
          <w:highlight w:val="none"/>
        </w:rPr>
        <w:t>附：被授权人姓名：性别：职务：</w:t>
      </w:r>
    </w:p>
    <w:p>
      <w:pPr>
        <w:pStyle w:val="15"/>
        <w:shd w:val="clear"/>
        <w:spacing w:line="500" w:lineRule="exact"/>
        <w:ind w:firstLine="840" w:firstLineChars="400"/>
        <w:rPr>
          <w:rFonts w:hint="eastAsia" w:ascii="宋体" w:hAnsi="宋体" w:eastAsia="宋体" w:cs="宋体"/>
          <w:color w:val="auto"/>
          <w:sz w:val="21"/>
          <w:highlight w:val="none"/>
          <w:u w:val="single"/>
        </w:rPr>
      </w:pPr>
      <w:r>
        <w:rPr>
          <w:rFonts w:hint="eastAsia" w:ascii="宋体" w:hAnsi="宋体" w:eastAsia="宋体" w:cs="宋体"/>
          <w:color w:val="auto"/>
          <w:sz w:val="21"/>
          <w:highlight w:val="none"/>
        </w:rPr>
        <w:t>联系地址</w:t>
      </w:r>
      <w:r>
        <w:rPr>
          <w:rFonts w:hint="eastAsia" w:ascii="宋体" w:hAnsi="宋体" w:eastAsia="宋体" w:cs="宋体"/>
          <w:color w:val="auto"/>
          <w:sz w:val="21"/>
          <w:highlight w:val="none"/>
          <w:lang w:eastAsia="zh-CN"/>
        </w:rPr>
        <w:t>：</w:t>
      </w:r>
      <w:r>
        <w:rPr>
          <w:rFonts w:hint="eastAsia" w:ascii="宋体" w:hAnsi="宋体" w:eastAsia="宋体" w:cs="宋体"/>
          <w:color w:val="auto"/>
          <w:sz w:val="21"/>
          <w:highlight w:val="none"/>
        </w:rPr>
        <w:t xml:space="preserve"> </w:t>
      </w:r>
    </w:p>
    <w:p>
      <w:pPr>
        <w:pStyle w:val="15"/>
        <w:shd w:val="clear"/>
        <w:spacing w:line="500" w:lineRule="exact"/>
        <w:ind w:firstLine="840" w:firstLineChars="400"/>
        <w:rPr>
          <w:rFonts w:hint="eastAsia" w:ascii="宋体" w:hAnsi="宋体" w:eastAsia="宋体" w:cs="宋体"/>
          <w:color w:val="auto"/>
          <w:sz w:val="21"/>
          <w:highlight w:val="none"/>
          <w:u w:val="single"/>
        </w:rPr>
      </w:pPr>
      <w:r>
        <w:rPr>
          <w:rFonts w:hint="eastAsia" w:ascii="宋体" w:hAnsi="宋体" w:eastAsia="宋体" w:cs="宋体"/>
          <w:color w:val="auto"/>
          <w:sz w:val="21"/>
          <w:highlight w:val="none"/>
        </w:rPr>
        <w:t>联系电话：传真：</w:t>
      </w:r>
    </w:p>
    <w:p>
      <w:pPr>
        <w:pStyle w:val="15"/>
        <w:shd w:val="clear"/>
        <w:spacing w:line="500" w:lineRule="exact"/>
        <w:ind w:firstLine="2415" w:firstLineChars="1150"/>
        <w:rPr>
          <w:rFonts w:hint="eastAsia" w:ascii="宋体" w:hAnsi="宋体" w:eastAsia="宋体" w:cs="宋体"/>
          <w:color w:val="auto"/>
          <w:sz w:val="21"/>
          <w:highlight w:val="none"/>
        </w:rPr>
      </w:pPr>
      <w:r>
        <w:rPr>
          <w:rFonts w:hint="eastAsia" w:ascii="宋体" w:hAnsi="宋体" w:eastAsia="宋体" w:cs="宋体"/>
          <w:color w:val="auto"/>
          <w:sz w:val="21"/>
          <w:highlight w:val="none"/>
        </w:rPr>
        <w:t>法定代表人/被授权人身份证复印件</w:t>
      </w:r>
    </w:p>
    <w:tbl>
      <w:tblPr>
        <w:tblStyle w:val="23"/>
        <w:tblW w:w="93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68"/>
        <w:gridCol w:w="46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18" w:hRule="atLeast"/>
          <w:jc w:val="center"/>
        </w:trPr>
        <w:tc>
          <w:tcPr>
            <w:tcW w:w="4668" w:type="dxa"/>
            <w:tcBorders>
              <w:top w:val="single" w:color="auto" w:sz="4" w:space="0"/>
              <w:left w:val="single" w:color="auto" w:sz="4" w:space="0"/>
              <w:bottom w:val="single" w:color="auto" w:sz="4" w:space="0"/>
              <w:right w:val="single" w:color="auto" w:sz="4" w:space="0"/>
            </w:tcBorders>
            <w:shd w:val="clear" w:color="auto" w:fill="D9D9D9"/>
            <w:noWrap/>
            <w:vAlign w:val="center"/>
          </w:tcPr>
          <w:p>
            <w:pPr>
              <w:pStyle w:val="15"/>
              <w:shd w:val="clear"/>
              <w:spacing w:line="500" w:lineRule="exact"/>
              <w:jc w:val="center"/>
              <w:rPr>
                <w:rFonts w:hint="eastAsia" w:ascii="宋体" w:hAnsi="宋体" w:eastAsia="宋体" w:cs="宋体"/>
                <w:color w:val="auto"/>
                <w:sz w:val="21"/>
                <w:highlight w:val="none"/>
                <w:shd w:val="pct10" w:color="auto" w:fill="FFFFFF"/>
              </w:rPr>
            </w:pPr>
            <w:r>
              <w:rPr>
                <w:rFonts w:hint="eastAsia" w:ascii="宋体" w:hAnsi="宋体" w:eastAsia="宋体" w:cs="宋体"/>
                <w:color w:val="auto"/>
                <w:sz w:val="21"/>
                <w:highlight w:val="none"/>
                <w:shd w:val="pct10" w:color="auto" w:fill="FFFFFF"/>
              </w:rPr>
              <w:t>法定代表人身份证复印件</w:t>
            </w:r>
          </w:p>
        </w:tc>
        <w:tc>
          <w:tcPr>
            <w:tcW w:w="4668" w:type="dxa"/>
            <w:tcBorders>
              <w:top w:val="single" w:color="auto" w:sz="4" w:space="0"/>
              <w:left w:val="single" w:color="auto" w:sz="4" w:space="0"/>
              <w:bottom w:val="single" w:color="auto" w:sz="4" w:space="0"/>
              <w:right w:val="single" w:color="auto" w:sz="4" w:space="0"/>
            </w:tcBorders>
            <w:shd w:val="clear" w:color="auto" w:fill="D9D9D9"/>
            <w:noWrap/>
            <w:vAlign w:val="center"/>
          </w:tcPr>
          <w:p>
            <w:pPr>
              <w:pStyle w:val="15"/>
              <w:shd w:val="clear"/>
              <w:spacing w:line="500" w:lineRule="exact"/>
              <w:jc w:val="center"/>
              <w:rPr>
                <w:rFonts w:hint="eastAsia" w:ascii="宋体" w:hAnsi="宋体" w:eastAsia="宋体" w:cs="宋体"/>
                <w:color w:val="auto"/>
                <w:sz w:val="21"/>
                <w:highlight w:val="none"/>
                <w:shd w:val="pct10" w:color="auto" w:fill="FFFFFF"/>
              </w:rPr>
            </w:pPr>
            <w:r>
              <w:rPr>
                <w:rFonts w:hint="eastAsia" w:ascii="宋体" w:hAnsi="宋体" w:eastAsia="宋体" w:cs="宋体"/>
                <w:color w:val="auto"/>
                <w:sz w:val="21"/>
                <w:highlight w:val="none"/>
                <w:shd w:val="pct10" w:color="auto" w:fill="FFFFFF"/>
              </w:rPr>
              <w:t>被授权人身份证复印件</w:t>
            </w:r>
          </w:p>
        </w:tc>
      </w:tr>
    </w:tbl>
    <w:p>
      <w:pPr>
        <w:pStyle w:val="15"/>
        <w:shd w:val="clear"/>
        <w:spacing w:line="500" w:lineRule="exact"/>
        <w:rPr>
          <w:rFonts w:hint="eastAsia" w:ascii="宋体" w:hAnsi="宋体" w:eastAsia="宋体" w:cs="宋体"/>
          <w:color w:val="auto"/>
          <w:sz w:val="21"/>
          <w:highlight w:val="none"/>
        </w:rPr>
      </w:pPr>
      <w:r>
        <w:rPr>
          <w:rFonts w:hint="eastAsia" w:ascii="宋体" w:hAnsi="宋体" w:eastAsia="宋体" w:cs="宋体"/>
          <w:color w:val="auto"/>
          <w:sz w:val="21"/>
          <w:highlight w:val="none"/>
        </w:rPr>
        <w:t>说明：</w:t>
      </w:r>
    </w:p>
    <w:p>
      <w:pPr>
        <w:pStyle w:val="15"/>
        <w:shd w:val="clear"/>
        <w:spacing w:line="500" w:lineRule="exact"/>
        <w:ind w:firstLine="420" w:firstLineChars="200"/>
        <w:rPr>
          <w:rFonts w:hint="eastAsia" w:ascii="宋体" w:hAnsi="宋体" w:eastAsia="宋体" w:cs="宋体"/>
          <w:color w:val="auto"/>
          <w:sz w:val="21"/>
          <w:highlight w:val="none"/>
        </w:rPr>
      </w:pPr>
      <w:r>
        <w:rPr>
          <w:rFonts w:hint="eastAsia" w:ascii="宋体" w:hAnsi="宋体" w:eastAsia="宋体" w:cs="宋体"/>
          <w:color w:val="auto"/>
          <w:sz w:val="21"/>
          <w:highlight w:val="none"/>
        </w:rPr>
        <w:t>1．本授权书有效期自开标会议之日计算不得少于九十（90）个日历日。</w:t>
      </w:r>
    </w:p>
    <w:p>
      <w:pPr>
        <w:shd w:val="clear"/>
        <w:spacing w:line="360" w:lineRule="atLeas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2．授权书内容填写要明确，文字要工整清楚，涂改无效。</w:t>
      </w:r>
    </w:p>
    <w:p>
      <w:pPr>
        <w:pStyle w:val="4"/>
        <w:shd w:val="clear"/>
        <w:rPr>
          <w:rFonts w:hint="eastAsia" w:ascii="宋体" w:hAnsi="宋体" w:eastAsia="宋体" w:cs="宋体"/>
          <w:color w:val="auto"/>
          <w:highlight w:val="none"/>
        </w:rPr>
      </w:pPr>
      <w:bookmarkStart w:id="298" w:name="_Toc17831"/>
      <w:bookmarkStart w:id="299" w:name="_Toc3930"/>
      <w:bookmarkStart w:id="300" w:name="_Toc24625"/>
      <w:r>
        <w:rPr>
          <w:rFonts w:hint="eastAsia" w:ascii="宋体" w:hAnsi="宋体" w:eastAsia="宋体" w:cs="宋体"/>
          <w:color w:val="auto"/>
          <w:highlight w:val="none"/>
        </w:rPr>
        <w:t>第四部分  供应商资质证明文件</w:t>
      </w:r>
      <w:bookmarkEnd w:id="298"/>
      <w:bookmarkEnd w:id="299"/>
      <w:bookmarkEnd w:id="300"/>
    </w:p>
    <w:p>
      <w:pPr>
        <w:shd w:val="clear"/>
        <w:autoSpaceDE w:val="0"/>
        <w:autoSpaceDN w:val="0"/>
        <w:adjustRightInd w:val="0"/>
        <w:spacing w:line="560" w:lineRule="exact"/>
        <w:ind w:firstLine="420" w:firstLineChars="200"/>
        <w:jc w:val="left"/>
        <w:rPr>
          <w:rFonts w:hint="eastAsia" w:ascii="宋体" w:hAnsi="宋体" w:eastAsia="宋体" w:cs="宋体"/>
          <w:color w:val="auto"/>
          <w:sz w:val="21"/>
          <w:szCs w:val="21"/>
          <w:highlight w:val="none"/>
        </w:rPr>
      </w:pPr>
    </w:p>
    <w:p>
      <w:pPr>
        <w:shd w:val="clea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以下相关资料需提供加盖公章的复印件：</w:t>
      </w:r>
    </w:p>
    <w:p>
      <w:pPr>
        <w:pStyle w:val="15"/>
        <w:shd w:val="clear"/>
        <w:spacing w:line="500" w:lineRule="exact"/>
        <w:ind w:firstLine="420" w:firstLineChars="200"/>
        <w:rPr>
          <w:rFonts w:hint="eastAsia" w:ascii="宋体" w:hAnsi="宋体" w:eastAsia="宋体" w:cs="宋体"/>
          <w:color w:val="auto"/>
          <w:sz w:val="21"/>
          <w:highlight w:val="none"/>
        </w:rPr>
      </w:pPr>
      <w:r>
        <w:rPr>
          <w:rFonts w:hint="eastAsia" w:ascii="宋体" w:hAnsi="宋体" w:eastAsia="宋体" w:cs="宋体"/>
          <w:color w:val="auto"/>
          <w:sz w:val="21"/>
          <w:highlight w:val="none"/>
        </w:rPr>
        <w:t>（1）具有独立承担民事责任能力的法人、其他组织或自然人，统一社会信用代码营业执照（事业单位提供事业单位法人证书，自然人提供本人身份证）合法有效；</w:t>
      </w:r>
    </w:p>
    <w:p>
      <w:pPr>
        <w:pStyle w:val="15"/>
        <w:shd w:val="clear"/>
        <w:spacing w:line="500" w:lineRule="exact"/>
        <w:ind w:firstLine="420" w:firstLineChars="200"/>
        <w:rPr>
          <w:rFonts w:hint="eastAsia" w:ascii="宋体" w:hAnsi="宋体" w:eastAsia="宋体" w:cs="宋体"/>
          <w:color w:val="auto"/>
          <w:sz w:val="21"/>
          <w:highlight w:val="none"/>
        </w:rPr>
      </w:pPr>
      <w:r>
        <w:rPr>
          <w:rFonts w:hint="eastAsia" w:ascii="宋体" w:hAnsi="宋体" w:eastAsia="宋体" w:cs="宋体"/>
          <w:color w:val="auto"/>
          <w:sz w:val="21"/>
          <w:highlight w:val="none"/>
        </w:rPr>
        <w:t>（2）财务状况报告：提供经审计的</w:t>
      </w:r>
      <w:r>
        <w:rPr>
          <w:rFonts w:hint="eastAsia" w:ascii="宋体" w:hAnsi="宋体" w:eastAsia="宋体" w:cs="宋体"/>
          <w:color w:val="auto"/>
          <w:sz w:val="21"/>
          <w:highlight w:val="none"/>
          <w:lang w:eastAsia="zh-CN"/>
        </w:rPr>
        <w:t>2019或2020年度</w:t>
      </w:r>
      <w:r>
        <w:rPr>
          <w:rFonts w:hint="eastAsia" w:ascii="宋体" w:hAnsi="宋体" w:eastAsia="宋体" w:cs="宋体"/>
          <w:color w:val="auto"/>
          <w:sz w:val="21"/>
          <w:highlight w:val="none"/>
        </w:rPr>
        <w:t>的财务报告或提供投标文件递交截止时间前六个月内的基本账户开户银行出具的资信证明；</w:t>
      </w:r>
    </w:p>
    <w:p>
      <w:pPr>
        <w:pStyle w:val="15"/>
        <w:shd w:val="clear"/>
        <w:spacing w:line="500" w:lineRule="exact"/>
        <w:ind w:firstLine="420" w:firstLineChars="200"/>
        <w:rPr>
          <w:rFonts w:hint="eastAsia" w:ascii="宋体" w:hAnsi="宋体" w:eastAsia="宋体" w:cs="宋体"/>
          <w:color w:val="auto"/>
          <w:sz w:val="21"/>
          <w:highlight w:val="none"/>
        </w:rPr>
      </w:pPr>
      <w:r>
        <w:rPr>
          <w:rFonts w:hint="eastAsia" w:ascii="宋体" w:hAnsi="宋体" w:eastAsia="宋体" w:cs="宋体"/>
          <w:color w:val="auto"/>
          <w:sz w:val="21"/>
          <w:highlight w:val="none"/>
        </w:rPr>
        <w:t>（3）税收缴纳证明：提供投标文件递交截止时间前六个月内已缴纳的至少一个月的纳税证明或完税证明，依法免税的单位应提供相关证明材料；</w:t>
      </w:r>
    </w:p>
    <w:p>
      <w:pPr>
        <w:pStyle w:val="15"/>
        <w:shd w:val="clear"/>
        <w:spacing w:line="500" w:lineRule="exact"/>
        <w:ind w:firstLine="420" w:firstLineChars="200"/>
        <w:rPr>
          <w:rFonts w:hint="eastAsia" w:ascii="宋体" w:hAnsi="宋体" w:eastAsia="宋体" w:cs="宋体"/>
          <w:color w:val="auto"/>
          <w:sz w:val="21"/>
          <w:highlight w:val="none"/>
        </w:rPr>
      </w:pPr>
      <w:r>
        <w:rPr>
          <w:rFonts w:hint="eastAsia" w:ascii="宋体" w:hAnsi="宋体" w:eastAsia="宋体" w:cs="宋体"/>
          <w:color w:val="auto"/>
          <w:sz w:val="21"/>
          <w:highlight w:val="none"/>
        </w:rPr>
        <w:t>（4）社会保障资金缴纳证明：提供投标文件递交截止时间前六个月内已缴存的至少一个月的社会保障资金缴纳凭证或证明，依法不需要缴纳社会保障资金的单位应提供相关证明材料；</w:t>
      </w:r>
    </w:p>
    <w:p>
      <w:pPr>
        <w:pStyle w:val="15"/>
        <w:shd w:val="clear"/>
        <w:spacing w:line="500" w:lineRule="exact"/>
        <w:ind w:firstLine="420" w:firstLineChars="200"/>
        <w:rPr>
          <w:rFonts w:hint="eastAsia" w:ascii="宋体" w:hAnsi="宋体" w:eastAsia="宋体" w:cs="宋体"/>
          <w:color w:val="auto"/>
          <w:sz w:val="21"/>
          <w:highlight w:val="none"/>
        </w:rPr>
      </w:pPr>
      <w:r>
        <w:rPr>
          <w:rFonts w:hint="eastAsia" w:ascii="宋体" w:hAnsi="宋体" w:eastAsia="宋体" w:cs="宋体"/>
          <w:color w:val="auto"/>
          <w:sz w:val="21"/>
          <w:highlight w:val="none"/>
        </w:rPr>
        <w:t>（5）设备和专业技术能力：提供具有履行合同所必需的设备和专业技术能力的书面声明。</w:t>
      </w:r>
    </w:p>
    <w:p>
      <w:pPr>
        <w:pStyle w:val="15"/>
        <w:shd w:val="clear"/>
        <w:spacing w:line="500" w:lineRule="exact"/>
        <w:ind w:firstLine="420" w:firstLineChars="200"/>
        <w:rPr>
          <w:rFonts w:hint="eastAsia" w:ascii="宋体" w:hAnsi="宋体" w:eastAsia="宋体" w:cs="宋体"/>
          <w:color w:val="auto"/>
          <w:sz w:val="21"/>
          <w:highlight w:val="none"/>
        </w:rPr>
      </w:pPr>
      <w:r>
        <w:rPr>
          <w:rFonts w:hint="eastAsia" w:ascii="宋体" w:hAnsi="宋体" w:eastAsia="宋体" w:cs="宋体"/>
          <w:color w:val="auto"/>
          <w:sz w:val="21"/>
          <w:highlight w:val="none"/>
        </w:rPr>
        <w:t>（6）</w:t>
      </w:r>
      <w:r>
        <w:rPr>
          <w:rFonts w:hint="eastAsia" w:ascii="宋体" w:hAnsi="宋体" w:eastAsia="宋体" w:cs="宋体"/>
          <w:color w:val="auto"/>
          <w:sz w:val="21"/>
          <w:highlight w:val="none"/>
          <w:lang w:eastAsia="zh-CN"/>
        </w:rPr>
        <w:t>投标</w:t>
      </w:r>
      <w:r>
        <w:rPr>
          <w:rFonts w:hint="eastAsia" w:ascii="宋体" w:hAnsi="宋体" w:eastAsia="宋体" w:cs="宋体"/>
          <w:color w:val="auto"/>
          <w:sz w:val="21"/>
          <w:highlight w:val="none"/>
        </w:rPr>
        <w:t>保证金：提供</w:t>
      </w:r>
      <w:r>
        <w:rPr>
          <w:rFonts w:hint="eastAsia" w:ascii="宋体" w:hAnsi="宋体" w:eastAsia="宋体" w:cs="宋体"/>
          <w:color w:val="auto"/>
          <w:sz w:val="21"/>
          <w:highlight w:val="none"/>
          <w:lang w:eastAsia="zh-CN"/>
        </w:rPr>
        <w:t>投标</w:t>
      </w:r>
      <w:r>
        <w:rPr>
          <w:rFonts w:hint="eastAsia" w:ascii="宋体" w:hAnsi="宋体" w:eastAsia="宋体" w:cs="宋体"/>
          <w:color w:val="auto"/>
          <w:sz w:val="21"/>
          <w:highlight w:val="none"/>
        </w:rPr>
        <w:t>保证金转账凭证或银行保函等其他符合政府采购相关规定的保证函件的复印件。</w:t>
      </w:r>
    </w:p>
    <w:p>
      <w:pPr>
        <w:pStyle w:val="15"/>
        <w:shd w:val="clear"/>
        <w:spacing w:line="500" w:lineRule="exact"/>
        <w:ind w:firstLine="420" w:firstLineChars="200"/>
        <w:rPr>
          <w:rFonts w:hint="eastAsia" w:ascii="宋体" w:hAnsi="宋体" w:eastAsia="宋体" w:cs="宋体"/>
          <w:color w:val="auto"/>
          <w:sz w:val="21"/>
          <w:highlight w:val="none"/>
        </w:rPr>
      </w:pPr>
      <w:r>
        <w:rPr>
          <w:rFonts w:hint="eastAsia" w:ascii="宋体" w:hAnsi="宋体" w:eastAsia="宋体" w:cs="宋体"/>
          <w:color w:val="auto"/>
          <w:sz w:val="21"/>
          <w:highlight w:val="none"/>
          <w:lang w:eastAsia="zh-CN"/>
        </w:rPr>
        <w:t>（</w:t>
      </w:r>
      <w:r>
        <w:rPr>
          <w:rFonts w:hint="eastAsia" w:ascii="宋体" w:hAnsi="宋体" w:eastAsia="宋体" w:cs="宋体"/>
          <w:color w:val="auto"/>
          <w:sz w:val="21"/>
          <w:highlight w:val="none"/>
          <w:lang w:val="en-US" w:eastAsia="zh-CN"/>
        </w:rPr>
        <w:t>7</w:t>
      </w:r>
      <w:r>
        <w:rPr>
          <w:rFonts w:hint="eastAsia" w:ascii="宋体" w:hAnsi="宋体" w:eastAsia="宋体" w:cs="宋体"/>
          <w:color w:val="auto"/>
          <w:sz w:val="21"/>
          <w:highlight w:val="none"/>
          <w:lang w:eastAsia="zh-CN"/>
        </w:rPr>
        <w:t>）</w:t>
      </w:r>
      <w:r>
        <w:rPr>
          <w:rFonts w:hint="eastAsia" w:ascii="宋体" w:hAnsi="宋体" w:eastAsia="宋体" w:cs="宋体"/>
          <w:color w:val="auto"/>
          <w:sz w:val="21"/>
          <w:highlight w:val="none"/>
        </w:rPr>
        <w:t>企业信誉：符合《财政部关于在政府采购活动中查询及使用信用记录有关问题的通知》（财库【2016】125号）文件中信用查询的要求。从本项目响应文件递交截止时间起三年内，被“信用中国”网站或各级信用信息共享平台、列入失信被执行人、重大税收违法案件当事人名单、政府采购严重违法失信行为记录名单之一的或被“中国政府采购网”网站列入政府采购严重违法失信行为记录名单之一的，不得参加本项目的采购活动。</w:t>
      </w:r>
    </w:p>
    <w:p>
      <w:pPr>
        <w:pStyle w:val="15"/>
        <w:shd w:val="clear"/>
        <w:spacing w:line="500" w:lineRule="exact"/>
        <w:ind w:firstLine="420" w:firstLineChars="200"/>
        <w:rPr>
          <w:rFonts w:hint="eastAsia" w:ascii="宋体" w:hAnsi="宋体" w:eastAsia="宋体" w:cs="宋体"/>
          <w:color w:val="auto"/>
          <w:sz w:val="21"/>
          <w:highlight w:val="none"/>
        </w:rPr>
      </w:pPr>
      <w:r>
        <w:rPr>
          <w:rFonts w:hint="eastAsia" w:ascii="宋体" w:hAnsi="宋体" w:eastAsia="宋体" w:cs="宋体"/>
          <w:color w:val="auto"/>
          <w:sz w:val="21"/>
          <w:highlight w:val="none"/>
        </w:rPr>
        <w:t>（8）供应商认为应该提供的其他资料。</w:t>
      </w:r>
    </w:p>
    <w:p>
      <w:pPr>
        <w:pStyle w:val="4"/>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br w:type="page"/>
      </w:r>
      <w:bookmarkStart w:id="301" w:name="_Toc14486"/>
      <w:bookmarkStart w:id="302" w:name="_Toc2929"/>
      <w:bookmarkStart w:id="303" w:name="_Toc23880"/>
      <w:r>
        <w:rPr>
          <w:rStyle w:val="36"/>
          <w:rFonts w:hint="eastAsia" w:ascii="宋体" w:hAnsi="宋体" w:eastAsia="宋体" w:cs="宋体"/>
          <w:b/>
          <w:color w:val="auto"/>
          <w:highlight w:val="none"/>
        </w:rPr>
        <w:t xml:space="preserve">第五部分  </w:t>
      </w:r>
      <w:bookmarkEnd w:id="301"/>
      <w:r>
        <w:rPr>
          <w:rStyle w:val="36"/>
          <w:rFonts w:hint="eastAsia" w:ascii="宋体" w:hAnsi="宋体" w:eastAsia="宋体" w:cs="宋体"/>
          <w:b/>
          <w:color w:val="auto"/>
          <w:highlight w:val="none"/>
        </w:rPr>
        <w:t>主要投标货物技术偏差表</w:t>
      </w:r>
      <w:bookmarkEnd w:id="302"/>
      <w:bookmarkEnd w:id="303"/>
    </w:p>
    <w:p>
      <w:pPr>
        <w:shd w:val="clear"/>
        <w:rPr>
          <w:rFonts w:hint="eastAsia" w:ascii="宋体" w:hAnsi="宋体" w:eastAsia="宋体" w:cs="宋体"/>
          <w:color w:val="auto"/>
          <w:sz w:val="21"/>
          <w:szCs w:val="21"/>
          <w:highlight w:val="none"/>
        </w:rPr>
      </w:pP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采购项目编号：</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采购项目名称：</w:t>
      </w:r>
    </w:p>
    <w:p>
      <w:pPr>
        <w:pStyle w:val="13"/>
        <w:shd w:val="clear"/>
        <w:ind w:left="0" w:leftChars="0" w:firstLine="0" w:firstLineChars="0"/>
        <w:rPr>
          <w:rFonts w:hint="eastAsia" w:ascii="宋体" w:hAnsi="宋体" w:eastAsia="宋体" w:cs="宋体"/>
          <w:color w:val="auto"/>
          <w:highlight w:val="none"/>
          <w:lang w:eastAsia="zh-CN"/>
        </w:rPr>
      </w:pPr>
      <w:r>
        <w:rPr>
          <w:rFonts w:hint="eastAsia" w:ascii="宋体" w:hAnsi="宋体" w:eastAsia="宋体" w:cs="宋体"/>
          <w:color w:val="auto"/>
          <w:sz w:val="21"/>
          <w:szCs w:val="21"/>
          <w:highlight w:val="none"/>
        </w:rPr>
        <w:t>标包号及标包名称</w:t>
      </w:r>
      <w:r>
        <w:rPr>
          <w:rFonts w:hint="eastAsia" w:ascii="宋体" w:hAnsi="宋体" w:eastAsia="宋体" w:cs="宋体"/>
          <w:color w:val="auto"/>
          <w:sz w:val="21"/>
          <w:szCs w:val="21"/>
          <w:highlight w:val="none"/>
          <w:lang w:eastAsia="zh-CN"/>
        </w:rPr>
        <w:t>：</w:t>
      </w:r>
    </w:p>
    <w:tbl>
      <w:tblPr>
        <w:tblStyle w:val="23"/>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2"/>
        <w:gridCol w:w="2319"/>
        <w:gridCol w:w="2264"/>
        <w:gridCol w:w="2407"/>
        <w:gridCol w:w="15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85" w:type="pct"/>
            <w:vAlign w:val="center"/>
          </w:tcPr>
          <w:p>
            <w:pPr>
              <w:pStyle w:val="15"/>
              <w:shd w:val="clear"/>
              <w:spacing w:line="240" w:lineRule="auto"/>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序号</w:t>
            </w:r>
          </w:p>
        </w:tc>
        <w:tc>
          <w:tcPr>
            <w:tcW w:w="1219" w:type="pct"/>
            <w:vAlign w:val="center"/>
          </w:tcPr>
          <w:p>
            <w:pPr>
              <w:pStyle w:val="15"/>
              <w:shd w:val="clear"/>
              <w:spacing w:line="240" w:lineRule="auto"/>
              <w:ind w:firstLine="420" w:firstLineChars="200"/>
              <w:jc w:val="center"/>
              <w:rPr>
                <w:rFonts w:hint="eastAsia" w:ascii="宋体" w:hAnsi="宋体" w:eastAsia="宋体" w:cs="宋体"/>
                <w:color w:val="auto"/>
                <w:sz w:val="21"/>
                <w:highlight w:val="none"/>
                <w:lang w:eastAsia="zh-CN"/>
              </w:rPr>
            </w:pPr>
            <w:r>
              <w:rPr>
                <w:rFonts w:hint="eastAsia" w:ascii="宋体" w:hAnsi="宋体" w:eastAsia="宋体" w:cs="宋体"/>
                <w:color w:val="auto"/>
                <w:sz w:val="21"/>
                <w:highlight w:val="none"/>
                <w:lang w:eastAsia="zh-CN"/>
              </w:rPr>
              <w:t>产品名称</w:t>
            </w:r>
          </w:p>
        </w:tc>
        <w:tc>
          <w:tcPr>
            <w:tcW w:w="1190" w:type="pct"/>
            <w:vAlign w:val="center"/>
          </w:tcPr>
          <w:p>
            <w:pPr>
              <w:pStyle w:val="15"/>
              <w:shd w:val="clear"/>
              <w:spacing w:line="240" w:lineRule="auto"/>
              <w:ind w:firstLine="420" w:firstLineChars="20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lang w:val="en-US" w:eastAsia="zh-CN"/>
              </w:rPr>
              <w:t>采购文件</w:t>
            </w:r>
            <w:r>
              <w:rPr>
                <w:rFonts w:hint="eastAsia" w:ascii="宋体" w:hAnsi="宋体" w:eastAsia="宋体" w:cs="宋体"/>
                <w:color w:val="auto"/>
                <w:sz w:val="21"/>
                <w:highlight w:val="none"/>
              </w:rPr>
              <w:t>要求</w:t>
            </w:r>
          </w:p>
          <w:p>
            <w:pPr>
              <w:pStyle w:val="15"/>
              <w:shd w:val="clear"/>
              <w:spacing w:line="240" w:lineRule="auto"/>
              <w:ind w:firstLine="420" w:firstLineChars="20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技术指标</w:t>
            </w:r>
          </w:p>
        </w:tc>
        <w:tc>
          <w:tcPr>
            <w:tcW w:w="1265" w:type="pct"/>
            <w:vAlign w:val="center"/>
          </w:tcPr>
          <w:p>
            <w:pPr>
              <w:pStyle w:val="15"/>
              <w:shd w:val="clear"/>
              <w:spacing w:line="240" w:lineRule="auto"/>
              <w:ind w:firstLine="420" w:firstLineChars="200"/>
              <w:jc w:val="center"/>
              <w:rPr>
                <w:rFonts w:hint="eastAsia" w:ascii="宋体" w:hAnsi="宋体" w:eastAsia="宋体" w:cs="宋体"/>
                <w:color w:val="auto"/>
                <w:sz w:val="21"/>
                <w:highlight w:val="none"/>
                <w:lang w:val="en-US" w:eastAsia="zh-CN"/>
              </w:rPr>
            </w:pPr>
            <w:r>
              <w:rPr>
                <w:rFonts w:hint="eastAsia" w:ascii="宋体" w:hAnsi="宋体" w:eastAsia="宋体" w:cs="宋体"/>
                <w:color w:val="auto"/>
                <w:sz w:val="21"/>
                <w:highlight w:val="none"/>
              </w:rPr>
              <w:t>投标</w:t>
            </w:r>
            <w:r>
              <w:rPr>
                <w:rFonts w:hint="eastAsia" w:ascii="宋体" w:hAnsi="宋体" w:eastAsia="宋体" w:cs="宋体"/>
                <w:color w:val="auto"/>
                <w:sz w:val="21"/>
                <w:highlight w:val="none"/>
                <w:lang w:val="en-US" w:eastAsia="zh-CN"/>
              </w:rPr>
              <w:t>产品</w:t>
            </w:r>
          </w:p>
          <w:p>
            <w:pPr>
              <w:pStyle w:val="15"/>
              <w:shd w:val="clear"/>
              <w:spacing w:line="240" w:lineRule="auto"/>
              <w:ind w:firstLine="420" w:firstLineChars="200"/>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技术指标</w:t>
            </w:r>
          </w:p>
        </w:tc>
        <w:tc>
          <w:tcPr>
            <w:tcW w:w="839" w:type="pct"/>
            <w:vAlign w:val="center"/>
          </w:tcPr>
          <w:p>
            <w:pPr>
              <w:pStyle w:val="15"/>
              <w:shd w:val="clear"/>
              <w:spacing w:line="240" w:lineRule="auto"/>
              <w:jc w:val="center"/>
              <w:rPr>
                <w:rFonts w:hint="eastAsia" w:ascii="宋体" w:hAnsi="宋体" w:eastAsia="宋体" w:cs="宋体"/>
                <w:color w:val="auto"/>
                <w:sz w:val="21"/>
                <w:highlight w:val="none"/>
              </w:rPr>
            </w:pPr>
            <w:r>
              <w:rPr>
                <w:rFonts w:hint="eastAsia" w:ascii="宋体" w:hAnsi="宋体" w:eastAsia="宋体" w:cs="宋体"/>
                <w:color w:val="auto"/>
                <w:sz w:val="21"/>
                <w:highlight w:val="none"/>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485"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1219"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1190" w:type="pct"/>
            <w:vAlign w:val="center"/>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1265" w:type="pct"/>
            <w:vAlign w:val="center"/>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839" w:type="pct"/>
            <w:vAlign w:val="center"/>
          </w:tcPr>
          <w:p>
            <w:pPr>
              <w:pStyle w:val="15"/>
              <w:shd w:val="clear"/>
              <w:spacing w:line="240" w:lineRule="auto"/>
              <w:ind w:firstLine="420" w:firstLineChars="200"/>
              <w:jc w:val="left"/>
              <w:rPr>
                <w:rFonts w:hint="eastAsia" w:ascii="宋体" w:hAnsi="宋体" w:eastAsia="宋体" w:cs="宋体"/>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485"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1219"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1190"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1265"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839"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485"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1219"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1190"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1265"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839"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485"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1219"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1190"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1265"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839"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485"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1219"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1190"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1265"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839"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485"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1219"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1190"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1265"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839"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485"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1219"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1190"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1265"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839"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485"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1219"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1190"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1265"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c>
          <w:tcPr>
            <w:tcW w:w="839" w:type="pct"/>
          </w:tcPr>
          <w:p>
            <w:pPr>
              <w:pStyle w:val="15"/>
              <w:shd w:val="clear"/>
              <w:spacing w:line="240" w:lineRule="auto"/>
              <w:ind w:firstLine="420" w:firstLineChars="200"/>
              <w:jc w:val="left"/>
              <w:rPr>
                <w:rFonts w:hint="eastAsia" w:ascii="宋体" w:hAnsi="宋体" w:eastAsia="宋体" w:cs="宋体"/>
                <w:color w:val="auto"/>
                <w:sz w:val="21"/>
                <w:highlight w:val="none"/>
              </w:rPr>
            </w:pPr>
          </w:p>
        </w:tc>
      </w:tr>
    </w:tbl>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说明：本表只填写响应文件中与招标文件有偏离（包括正偏离和负偏离）的内容，响应文件中技术指标与采购文件要求完全一致的，不用在此表中列出，但须提供空白表。 </w:t>
      </w:r>
    </w:p>
    <w:p>
      <w:pPr>
        <w:shd w:val="clear"/>
        <w:rPr>
          <w:rFonts w:hint="eastAsia" w:ascii="宋体" w:hAnsi="宋体" w:eastAsia="宋体" w:cs="宋体"/>
          <w:color w:val="auto"/>
          <w:highlight w:val="none"/>
        </w:rPr>
      </w:pPr>
    </w:p>
    <w:p>
      <w:pPr>
        <w:pStyle w:val="8"/>
        <w:shd w:val="clear"/>
        <w:spacing w:line="480" w:lineRule="auto"/>
        <w:ind w:firstLine="2730" w:firstLineChars="1300"/>
        <w:jc w:val="left"/>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供  应  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u w:val="single"/>
        </w:rPr>
        <w:t xml:space="preserve">                        （盖章） </w:t>
      </w:r>
    </w:p>
    <w:p>
      <w:pPr>
        <w:pStyle w:val="8"/>
        <w:shd w:val="clear"/>
        <w:spacing w:line="480" w:lineRule="auto"/>
        <w:ind w:firstLine="2730" w:firstLineChars="1300"/>
        <w:jc w:val="left"/>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法定代表人或授权代理人</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u w:val="single"/>
        </w:rPr>
        <w:t xml:space="preserve">      （签字或盖章） </w:t>
      </w:r>
    </w:p>
    <w:p>
      <w:pPr>
        <w:shd w:val="clear"/>
        <w:ind w:firstLine="2730" w:firstLineChars="13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      期</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 xml:space="preserve"> 年   月   日</w:t>
      </w:r>
    </w:p>
    <w:p>
      <w:pPr>
        <w:shd w:val="clear"/>
        <w:kinsoku w:val="0"/>
        <w:spacing w:line="500" w:lineRule="exact"/>
        <w:ind w:firstLine="420" w:firstLineChars="200"/>
        <w:rPr>
          <w:rFonts w:hint="eastAsia" w:ascii="宋体" w:hAnsi="宋体" w:eastAsia="宋体" w:cs="宋体"/>
          <w:color w:val="auto"/>
          <w:sz w:val="21"/>
          <w:szCs w:val="21"/>
          <w:highlight w:val="none"/>
        </w:rPr>
      </w:pPr>
    </w:p>
    <w:p>
      <w:pPr>
        <w:shd w:val="clear"/>
        <w:wordWrap w:val="0"/>
        <w:ind w:right="456"/>
        <w:rPr>
          <w:rFonts w:hint="eastAsia" w:ascii="宋体" w:hAnsi="宋体" w:eastAsia="宋体" w:cs="宋体"/>
          <w:color w:val="auto"/>
          <w:sz w:val="21"/>
          <w:szCs w:val="21"/>
          <w:highlight w:val="none"/>
        </w:rPr>
      </w:pPr>
    </w:p>
    <w:p>
      <w:pPr>
        <w:shd w:val="clear"/>
        <w:wordWrap w:val="0"/>
        <w:ind w:right="456"/>
        <w:rPr>
          <w:rFonts w:hint="eastAsia" w:ascii="宋体" w:hAnsi="宋体" w:eastAsia="宋体" w:cs="宋体"/>
          <w:color w:val="auto"/>
          <w:sz w:val="21"/>
          <w:szCs w:val="21"/>
          <w:highlight w:val="none"/>
        </w:rPr>
      </w:pPr>
    </w:p>
    <w:p>
      <w:pPr>
        <w:shd w:val="clear"/>
        <w:wordWrap w:val="0"/>
        <w:ind w:right="456"/>
        <w:rPr>
          <w:rFonts w:hint="eastAsia" w:ascii="宋体" w:hAnsi="宋体" w:eastAsia="宋体" w:cs="宋体"/>
          <w:color w:val="auto"/>
          <w:sz w:val="21"/>
          <w:szCs w:val="21"/>
          <w:highlight w:val="none"/>
        </w:rPr>
      </w:pPr>
    </w:p>
    <w:p>
      <w:pPr>
        <w:pStyle w:val="4"/>
        <w:shd w:val="clear"/>
        <w:rPr>
          <w:rFonts w:hint="eastAsia" w:ascii="宋体" w:hAnsi="宋体" w:eastAsia="宋体" w:cs="宋体"/>
          <w:color w:val="auto"/>
          <w:highlight w:val="none"/>
        </w:rPr>
      </w:pPr>
      <w:bookmarkStart w:id="304" w:name="_Toc25702"/>
      <w:bookmarkStart w:id="305" w:name="_Toc12418"/>
      <w:r>
        <w:rPr>
          <w:rFonts w:hint="eastAsia" w:ascii="宋体" w:hAnsi="宋体" w:eastAsia="宋体" w:cs="宋体"/>
          <w:color w:val="auto"/>
          <w:highlight w:val="none"/>
        </w:rPr>
        <w:t>第六部分  技术响应方案</w:t>
      </w:r>
      <w:bookmarkEnd w:id="304"/>
      <w:bookmarkEnd w:id="305"/>
    </w:p>
    <w:p>
      <w:pPr>
        <w:shd w:val="clear"/>
        <w:ind w:firstLine="420" w:firstLineChars="200"/>
        <w:jc w:val="left"/>
        <w:rPr>
          <w:rFonts w:hint="eastAsia" w:ascii="宋体" w:hAnsi="宋体" w:eastAsia="宋体" w:cs="宋体"/>
          <w:color w:val="auto"/>
          <w:sz w:val="21"/>
          <w:szCs w:val="21"/>
          <w:highlight w:val="none"/>
        </w:rPr>
      </w:pPr>
    </w:p>
    <w:p>
      <w:pPr>
        <w:shd w:val="clear"/>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供应商根据招标文件第三章“评标办法”内容自行编写，包含但不限于以下内容：</w:t>
      </w:r>
    </w:p>
    <w:p>
      <w:pPr>
        <w:shd w:val="clear"/>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（一）产品配置及技术参数</w:t>
      </w:r>
    </w:p>
    <w:p>
      <w:pPr>
        <w:shd w:val="clear"/>
        <w:ind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（二）投标产品可靠性</w:t>
      </w:r>
    </w:p>
    <w:p>
      <w:pPr>
        <w:shd w:val="clear"/>
        <w:ind w:firstLine="420" w:firstLineChars="200"/>
        <w:jc w:val="left"/>
        <w:rPr>
          <w:rFonts w:hint="eastAsia" w:ascii="宋体" w:hAnsi="宋体" w:eastAsia="宋体" w:cs="宋体"/>
          <w:b/>
          <w:color w:val="auto"/>
          <w:sz w:val="21"/>
          <w:szCs w:val="21"/>
          <w:highlight w:val="none"/>
        </w:rPr>
      </w:pPr>
      <w:r>
        <w:rPr>
          <w:rFonts w:hint="eastAsia" w:ascii="宋体" w:hAnsi="宋体" w:eastAsia="宋体" w:cs="宋体"/>
          <w:color w:val="auto"/>
          <w:sz w:val="21"/>
          <w:szCs w:val="21"/>
          <w:highlight w:val="none"/>
        </w:rPr>
        <w:t>（三）总体服务方案</w:t>
      </w:r>
    </w:p>
    <w:p>
      <w:pPr>
        <w:bidi w:val="0"/>
        <w:rPr>
          <w:rFonts w:hint="eastAsia"/>
          <w:color w:val="auto"/>
          <w:highlight w:val="none"/>
        </w:rPr>
      </w:pPr>
    </w:p>
    <w:p>
      <w:pPr>
        <w:shd w:val="clea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br w:type="page"/>
      </w:r>
    </w:p>
    <w:p>
      <w:pPr>
        <w:pStyle w:val="4"/>
        <w:shd w:val="clear"/>
        <w:rPr>
          <w:rFonts w:hint="eastAsia" w:ascii="宋体" w:hAnsi="宋体" w:eastAsia="宋体" w:cs="宋体"/>
          <w:color w:val="auto"/>
          <w:highlight w:val="none"/>
        </w:rPr>
      </w:pPr>
      <w:bookmarkStart w:id="306" w:name="_Toc29193"/>
      <w:bookmarkStart w:id="307" w:name="_Toc7744"/>
      <w:bookmarkStart w:id="308" w:name="_Toc28539"/>
      <w:r>
        <w:rPr>
          <w:rFonts w:hint="eastAsia" w:ascii="宋体" w:hAnsi="宋体" w:eastAsia="宋体" w:cs="宋体"/>
          <w:color w:val="auto"/>
          <w:highlight w:val="none"/>
        </w:rPr>
        <w:t xml:space="preserve">第七部分  </w:t>
      </w:r>
      <w:bookmarkEnd w:id="306"/>
      <w:r>
        <w:rPr>
          <w:rFonts w:hint="eastAsia" w:ascii="宋体" w:hAnsi="宋体" w:eastAsia="宋体" w:cs="宋体"/>
          <w:color w:val="auto"/>
          <w:highlight w:val="none"/>
        </w:rPr>
        <w:t>商务响应及售后服务承诺</w:t>
      </w:r>
      <w:bookmarkEnd w:id="307"/>
      <w:bookmarkEnd w:id="308"/>
    </w:p>
    <w:p>
      <w:pPr>
        <w:shd w:val="clear"/>
        <w:autoSpaceDE w:val="0"/>
        <w:autoSpaceDN w:val="0"/>
        <w:adjustRightInd w:val="0"/>
        <w:spacing w:line="560" w:lineRule="exact"/>
        <w:ind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（根据评标办法，格式自拟）</w:t>
      </w:r>
    </w:p>
    <w:p>
      <w:pPr>
        <w:shd w:val="clea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（一）商务响应</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1、供应商商务投标响应与合同条款说明（参照《商务及合同主要条款》）。</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2、有必要说明的其他事宜。</w:t>
      </w:r>
    </w:p>
    <w:p>
      <w:pPr>
        <w:shd w:val="clea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（二）售后服务承诺</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由供应商自行编写，无具体格式，包含但不限于以下内容。</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2-1完善的本地化售后服务方案和措施、拟派售后技术人员组成；</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对所投货物的产品检验、</w:t>
      </w:r>
      <w:r>
        <w:rPr>
          <w:rFonts w:hint="eastAsia" w:ascii="宋体" w:hAnsi="宋体" w:eastAsia="宋体" w:cs="宋体"/>
          <w:color w:val="auto"/>
          <w:sz w:val="21"/>
          <w:szCs w:val="21"/>
          <w:highlight w:val="none"/>
          <w:lang w:val="en-US" w:eastAsia="zh-CN"/>
        </w:rPr>
        <w:t>验收、</w:t>
      </w:r>
      <w:r>
        <w:rPr>
          <w:rFonts w:hint="eastAsia" w:ascii="宋体" w:hAnsi="宋体" w:eastAsia="宋体" w:cs="宋体"/>
          <w:color w:val="auto"/>
          <w:sz w:val="21"/>
          <w:szCs w:val="21"/>
          <w:highlight w:val="none"/>
        </w:rPr>
        <w:t>发生故障的补救措施及维修响应时间承诺；</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2-4供应商本项目</w:t>
      </w:r>
      <w:r>
        <w:rPr>
          <w:rFonts w:hint="eastAsia" w:ascii="宋体" w:hAnsi="宋体" w:eastAsia="宋体" w:cs="宋体"/>
          <w:color w:val="auto"/>
          <w:sz w:val="21"/>
          <w:szCs w:val="21"/>
          <w:highlight w:val="none"/>
          <w:lang w:val="en-US" w:eastAsia="zh-CN"/>
        </w:rPr>
        <w:t>管理</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供货</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售后</w:t>
      </w:r>
      <w:r>
        <w:rPr>
          <w:rFonts w:hint="eastAsia" w:ascii="宋体" w:hAnsi="宋体" w:eastAsia="宋体" w:cs="宋体"/>
          <w:color w:val="auto"/>
          <w:sz w:val="21"/>
          <w:szCs w:val="21"/>
          <w:highlight w:val="none"/>
        </w:rPr>
        <w:t>服务人员情况表</w:t>
      </w:r>
    </w:p>
    <w:tbl>
      <w:tblPr>
        <w:tblStyle w:val="23"/>
        <w:tblW w:w="499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4"/>
        <w:gridCol w:w="805"/>
        <w:gridCol w:w="1092"/>
        <w:gridCol w:w="1725"/>
        <w:gridCol w:w="1567"/>
        <w:gridCol w:w="1512"/>
        <w:gridCol w:w="18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491" w:type="pct"/>
            <w:vAlign w:val="center"/>
          </w:tcPr>
          <w:p>
            <w:pPr>
              <w:shd w:val="clear"/>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类别</w:t>
            </w:r>
          </w:p>
        </w:tc>
        <w:tc>
          <w:tcPr>
            <w:tcW w:w="423" w:type="pct"/>
            <w:vAlign w:val="center"/>
          </w:tcPr>
          <w:p>
            <w:pPr>
              <w:shd w:val="clear"/>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职务</w:t>
            </w:r>
          </w:p>
        </w:tc>
        <w:tc>
          <w:tcPr>
            <w:tcW w:w="574" w:type="pct"/>
            <w:vAlign w:val="center"/>
          </w:tcPr>
          <w:p>
            <w:pPr>
              <w:shd w:val="clear"/>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姓名</w:t>
            </w:r>
          </w:p>
        </w:tc>
        <w:tc>
          <w:tcPr>
            <w:tcW w:w="907" w:type="pct"/>
            <w:vAlign w:val="center"/>
          </w:tcPr>
          <w:p>
            <w:pPr>
              <w:shd w:val="clear"/>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身份证号码</w:t>
            </w:r>
          </w:p>
        </w:tc>
        <w:tc>
          <w:tcPr>
            <w:tcW w:w="824" w:type="pct"/>
            <w:vAlign w:val="center"/>
          </w:tcPr>
          <w:p>
            <w:pPr>
              <w:shd w:val="clear"/>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联系方式</w:t>
            </w:r>
          </w:p>
        </w:tc>
        <w:tc>
          <w:tcPr>
            <w:tcW w:w="795" w:type="pct"/>
            <w:vAlign w:val="center"/>
          </w:tcPr>
          <w:p>
            <w:pPr>
              <w:shd w:val="clear"/>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专业</w:t>
            </w:r>
          </w:p>
        </w:tc>
        <w:tc>
          <w:tcPr>
            <w:tcW w:w="982" w:type="pct"/>
            <w:vAlign w:val="center"/>
          </w:tcPr>
          <w:p>
            <w:pPr>
              <w:shd w:val="clear"/>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技术职称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491" w:type="pct"/>
            <w:vMerge w:val="restart"/>
            <w:vAlign w:val="center"/>
          </w:tcPr>
          <w:p>
            <w:pPr>
              <w:shd w:val="clear"/>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管</w:t>
            </w:r>
          </w:p>
          <w:p>
            <w:pPr>
              <w:shd w:val="clear"/>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理</w:t>
            </w:r>
          </w:p>
          <w:p>
            <w:pPr>
              <w:shd w:val="clear"/>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人</w:t>
            </w:r>
          </w:p>
          <w:p>
            <w:pPr>
              <w:shd w:val="clear"/>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员</w:t>
            </w:r>
          </w:p>
        </w:tc>
        <w:tc>
          <w:tcPr>
            <w:tcW w:w="423" w:type="pct"/>
            <w:vAlign w:val="center"/>
          </w:tcPr>
          <w:p>
            <w:pPr>
              <w:shd w:val="clear"/>
              <w:spacing w:line="240" w:lineRule="auto"/>
              <w:jc w:val="center"/>
              <w:rPr>
                <w:rFonts w:hint="eastAsia" w:ascii="宋体" w:hAnsi="宋体" w:eastAsia="宋体" w:cs="宋体"/>
                <w:color w:val="auto"/>
                <w:sz w:val="21"/>
                <w:szCs w:val="21"/>
                <w:highlight w:val="none"/>
              </w:rPr>
            </w:pPr>
          </w:p>
        </w:tc>
        <w:tc>
          <w:tcPr>
            <w:tcW w:w="574" w:type="pct"/>
            <w:vAlign w:val="center"/>
          </w:tcPr>
          <w:p>
            <w:pPr>
              <w:shd w:val="clear"/>
              <w:spacing w:line="240" w:lineRule="auto"/>
              <w:jc w:val="center"/>
              <w:rPr>
                <w:rFonts w:hint="eastAsia" w:ascii="宋体" w:hAnsi="宋体" w:eastAsia="宋体" w:cs="宋体"/>
                <w:color w:val="auto"/>
                <w:sz w:val="21"/>
                <w:szCs w:val="21"/>
                <w:highlight w:val="none"/>
              </w:rPr>
            </w:pPr>
          </w:p>
        </w:tc>
        <w:tc>
          <w:tcPr>
            <w:tcW w:w="907" w:type="pct"/>
            <w:vAlign w:val="center"/>
          </w:tcPr>
          <w:p>
            <w:pPr>
              <w:shd w:val="clear"/>
              <w:spacing w:line="240" w:lineRule="auto"/>
              <w:jc w:val="center"/>
              <w:rPr>
                <w:rFonts w:hint="eastAsia" w:ascii="宋体" w:hAnsi="宋体" w:eastAsia="宋体" w:cs="宋体"/>
                <w:color w:val="auto"/>
                <w:sz w:val="21"/>
                <w:szCs w:val="21"/>
                <w:highlight w:val="none"/>
              </w:rPr>
            </w:pPr>
          </w:p>
        </w:tc>
        <w:tc>
          <w:tcPr>
            <w:tcW w:w="824" w:type="pct"/>
            <w:vAlign w:val="center"/>
          </w:tcPr>
          <w:p>
            <w:pPr>
              <w:shd w:val="clear"/>
              <w:spacing w:line="240" w:lineRule="auto"/>
              <w:jc w:val="center"/>
              <w:rPr>
                <w:rFonts w:hint="eastAsia" w:ascii="宋体" w:hAnsi="宋体" w:eastAsia="宋体" w:cs="宋体"/>
                <w:color w:val="auto"/>
                <w:sz w:val="21"/>
                <w:szCs w:val="21"/>
                <w:highlight w:val="none"/>
              </w:rPr>
            </w:pPr>
          </w:p>
        </w:tc>
        <w:tc>
          <w:tcPr>
            <w:tcW w:w="795" w:type="pct"/>
            <w:vAlign w:val="center"/>
          </w:tcPr>
          <w:p>
            <w:pPr>
              <w:shd w:val="clear"/>
              <w:spacing w:line="240" w:lineRule="auto"/>
              <w:jc w:val="center"/>
              <w:rPr>
                <w:rFonts w:hint="eastAsia" w:ascii="宋体" w:hAnsi="宋体" w:eastAsia="宋体" w:cs="宋体"/>
                <w:color w:val="auto"/>
                <w:sz w:val="21"/>
                <w:szCs w:val="21"/>
                <w:highlight w:val="none"/>
              </w:rPr>
            </w:pPr>
          </w:p>
        </w:tc>
        <w:tc>
          <w:tcPr>
            <w:tcW w:w="982" w:type="pct"/>
            <w:vAlign w:val="center"/>
          </w:tcPr>
          <w:p>
            <w:pPr>
              <w:shd w:val="clear"/>
              <w:spacing w:line="240" w:lineRule="auto"/>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491" w:type="pct"/>
            <w:vMerge w:val="continue"/>
            <w:vAlign w:val="center"/>
          </w:tcPr>
          <w:p>
            <w:pPr>
              <w:shd w:val="clear"/>
              <w:spacing w:line="240" w:lineRule="auto"/>
              <w:jc w:val="center"/>
              <w:rPr>
                <w:rFonts w:hint="eastAsia" w:ascii="宋体" w:hAnsi="宋体" w:eastAsia="宋体" w:cs="宋体"/>
                <w:color w:val="auto"/>
                <w:sz w:val="21"/>
                <w:szCs w:val="21"/>
                <w:highlight w:val="none"/>
              </w:rPr>
            </w:pPr>
          </w:p>
        </w:tc>
        <w:tc>
          <w:tcPr>
            <w:tcW w:w="423" w:type="pct"/>
            <w:vAlign w:val="center"/>
          </w:tcPr>
          <w:p>
            <w:pPr>
              <w:shd w:val="clear"/>
              <w:spacing w:line="240" w:lineRule="auto"/>
              <w:jc w:val="center"/>
              <w:rPr>
                <w:rFonts w:hint="eastAsia" w:ascii="宋体" w:hAnsi="宋体" w:eastAsia="宋体" w:cs="宋体"/>
                <w:color w:val="auto"/>
                <w:sz w:val="21"/>
                <w:szCs w:val="21"/>
                <w:highlight w:val="none"/>
              </w:rPr>
            </w:pPr>
          </w:p>
        </w:tc>
        <w:tc>
          <w:tcPr>
            <w:tcW w:w="574" w:type="pct"/>
            <w:vAlign w:val="center"/>
          </w:tcPr>
          <w:p>
            <w:pPr>
              <w:shd w:val="clear"/>
              <w:spacing w:line="240" w:lineRule="auto"/>
              <w:jc w:val="center"/>
              <w:rPr>
                <w:rFonts w:hint="eastAsia" w:ascii="宋体" w:hAnsi="宋体" w:eastAsia="宋体" w:cs="宋体"/>
                <w:color w:val="auto"/>
                <w:sz w:val="21"/>
                <w:szCs w:val="21"/>
                <w:highlight w:val="none"/>
              </w:rPr>
            </w:pPr>
          </w:p>
        </w:tc>
        <w:tc>
          <w:tcPr>
            <w:tcW w:w="907" w:type="pct"/>
            <w:vAlign w:val="center"/>
          </w:tcPr>
          <w:p>
            <w:pPr>
              <w:shd w:val="clear"/>
              <w:spacing w:line="240" w:lineRule="auto"/>
              <w:jc w:val="center"/>
              <w:rPr>
                <w:rFonts w:hint="eastAsia" w:ascii="宋体" w:hAnsi="宋体" w:eastAsia="宋体" w:cs="宋体"/>
                <w:color w:val="auto"/>
                <w:sz w:val="21"/>
                <w:szCs w:val="21"/>
                <w:highlight w:val="none"/>
              </w:rPr>
            </w:pPr>
          </w:p>
        </w:tc>
        <w:tc>
          <w:tcPr>
            <w:tcW w:w="824" w:type="pct"/>
            <w:vAlign w:val="center"/>
          </w:tcPr>
          <w:p>
            <w:pPr>
              <w:shd w:val="clear"/>
              <w:spacing w:line="240" w:lineRule="auto"/>
              <w:jc w:val="center"/>
              <w:rPr>
                <w:rFonts w:hint="eastAsia" w:ascii="宋体" w:hAnsi="宋体" w:eastAsia="宋体" w:cs="宋体"/>
                <w:color w:val="auto"/>
                <w:sz w:val="21"/>
                <w:szCs w:val="21"/>
                <w:highlight w:val="none"/>
              </w:rPr>
            </w:pPr>
          </w:p>
        </w:tc>
        <w:tc>
          <w:tcPr>
            <w:tcW w:w="795" w:type="pct"/>
            <w:vAlign w:val="center"/>
          </w:tcPr>
          <w:p>
            <w:pPr>
              <w:shd w:val="clear"/>
              <w:spacing w:line="240" w:lineRule="auto"/>
              <w:jc w:val="center"/>
              <w:rPr>
                <w:rFonts w:hint="eastAsia" w:ascii="宋体" w:hAnsi="宋体" w:eastAsia="宋体" w:cs="宋体"/>
                <w:color w:val="auto"/>
                <w:sz w:val="21"/>
                <w:szCs w:val="21"/>
                <w:highlight w:val="none"/>
              </w:rPr>
            </w:pPr>
          </w:p>
        </w:tc>
        <w:tc>
          <w:tcPr>
            <w:tcW w:w="982" w:type="pct"/>
            <w:vAlign w:val="center"/>
          </w:tcPr>
          <w:p>
            <w:pPr>
              <w:shd w:val="clear"/>
              <w:spacing w:line="240" w:lineRule="auto"/>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29" w:hRule="atLeast"/>
          <w:jc w:val="center"/>
        </w:trPr>
        <w:tc>
          <w:tcPr>
            <w:tcW w:w="491" w:type="pct"/>
            <w:vMerge w:val="restart"/>
            <w:vAlign w:val="center"/>
          </w:tcPr>
          <w:p>
            <w:pPr>
              <w:shd w:val="clear"/>
              <w:spacing w:line="24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供</w:t>
            </w:r>
          </w:p>
          <w:p>
            <w:pPr>
              <w:shd w:val="clear"/>
              <w:spacing w:line="24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货</w:t>
            </w:r>
          </w:p>
          <w:p>
            <w:pPr>
              <w:shd w:val="clear"/>
              <w:spacing w:line="24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人</w:t>
            </w:r>
          </w:p>
          <w:p>
            <w:pPr>
              <w:shd w:val="clear"/>
              <w:spacing w:line="24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员</w:t>
            </w:r>
          </w:p>
        </w:tc>
        <w:tc>
          <w:tcPr>
            <w:tcW w:w="423" w:type="pct"/>
            <w:vAlign w:val="center"/>
          </w:tcPr>
          <w:p>
            <w:pPr>
              <w:shd w:val="clear"/>
              <w:spacing w:line="240" w:lineRule="auto"/>
              <w:jc w:val="center"/>
              <w:rPr>
                <w:rFonts w:hint="eastAsia" w:ascii="宋体" w:hAnsi="宋体" w:eastAsia="宋体" w:cs="宋体"/>
                <w:color w:val="auto"/>
                <w:sz w:val="21"/>
                <w:szCs w:val="21"/>
                <w:highlight w:val="none"/>
              </w:rPr>
            </w:pPr>
          </w:p>
        </w:tc>
        <w:tc>
          <w:tcPr>
            <w:tcW w:w="574" w:type="pct"/>
            <w:vAlign w:val="center"/>
          </w:tcPr>
          <w:p>
            <w:pPr>
              <w:shd w:val="clear"/>
              <w:spacing w:line="240" w:lineRule="auto"/>
              <w:jc w:val="center"/>
              <w:rPr>
                <w:rFonts w:hint="eastAsia" w:ascii="宋体" w:hAnsi="宋体" w:eastAsia="宋体" w:cs="宋体"/>
                <w:color w:val="auto"/>
                <w:sz w:val="21"/>
                <w:szCs w:val="21"/>
                <w:highlight w:val="none"/>
              </w:rPr>
            </w:pPr>
          </w:p>
        </w:tc>
        <w:tc>
          <w:tcPr>
            <w:tcW w:w="907" w:type="pct"/>
            <w:vAlign w:val="center"/>
          </w:tcPr>
          <w:p>
            <w:pPr>
              <w:shd w:val="clear"/>
              <w:spacing w:line="240" w:lineRule="auto"/>
              <w:jc w:val="center"/>
              <w:rPr>
                <w:rFonts w:hint="eastAsia" w:ascii="宋体" w:hAnsi="宋体" w:eastAsia="宋体" w:cs="宋体"/>
                <w:color w:val="auto"/>
                <w:sz w:val="21"/>
                <w:szCs w:val="21"/>
                <w:highlight w:val="none"/>
              </w:rPr>
            </w:pPr>
          </w:p>
        </w:tc>
        <w:tc>
          <w:tcPr>
            <w:tcW w:w="824" w:type="pct"/>
            <w:vAlign w:val="center"/>
          </w:tcPr>
          <w:p>
            <w:pPr>
              <w:shd w:val="clear"/>
              <w:spacing w:line="240" w:lineRule="auto"/>
              <w:jc w:val="center"/>
              <w:rPr>
                <w:rFonts w:hint="eastAsia" w:ascii="宋体" w:hAnsi="宋体" w:eastAsia="宋体" w:cs="宋体"/>
                <w:color w:val="auto"/>
                <w:sz w:val="21"/>
                <w:szCs w:val="21"/>
                <w:highlight w:val="none"/>
              </w:rPr>
            </w:pPr>
          </w:p>
        </w:tc>
        <w:tc>
          <w:tcPr>
            <w:tcW w:w="795" w:type="pct"/>
            <w:vAlign w:val="center"/>
          </w:tcPr>
          <w:p>
            <w:pPr>
              <w:shd w:val="clear"/>
              <w:spacing w:line="240" w:lineRule="auto"/>
              <w:jc w:val="center"/>
              <w:rPr>
                <w:rFonts w:hint="eastAsia" w:ascii="宋体" w:hAnsi="宋体" w:eastAsia="宋体" w:cs="宋体"/>
                <w:color w:val="auto"/>
                <w:sz w:val="21"/>
                <w:szCs w:val="21"/>
                <w:highlight w:val="none"/>
              </w:rPr>
            </w:pPr>
          </w:p>
        </w:tc>
        <w:tc>
          <w:tcPr>
            <w:tcW w:w="982" w:type="pct"/>
            <w:vAlign w:val="center"/>
          </w:tcPr>
          <w:p>
            <w:pPr>
              <w:shd w:val="clear"/>
              <w:spacing w:line="240" w:lineRule="auto"/>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491" w:type="pct"/>
            <w:vMerge w:val="continue"/>
            <w:vAlign w:val="center"/>
          </w:tcPr>
          <w:p>
            <w:pPr>
              <w:shd w:val="clear"/>
              <w:spacing w:line="240" w:lineRule="auto"/>
              <w:jc w:val="center"/>
              <w:rPr>
                <w:rFonts w:hint="eastAsia" w:ascii="宋体" w:hAnsi="宋体" w:eastAsia="宋体" w:cs="宋体"/>
                <w:color w:val="auto"/>
                <w:sz w:val="21"/>
                <w:szCs w:val="21"/>
                <w:highlight w:val="none"/>
              </w:rPr>
            </w:pPr>
          </w:p>
        </w:tc>
        <w:tc>
          <w:tcPr>
            <w:tcW w:w="423" w:type="pct"/>
            <w:vAlign w:val="center"/>
          </w:tcPr>
          <w:p>
            <w:pPr>
              <w:shd w:val="clear"/>
              <w:spacing w:line="240" w:lineRule="auto"/>
              <w:jc w:val="center"/>
              <w:rPr>
                <w:rFonts w:hint="eastAsia" w:ascii="宋体" w:hAnsi="宋体" w:eastAsia="宋体" w:cs="宋体"/>
                <w:color w:val="auto"/>
                <w:sz w:val="21"/>
                <w:szCs w:val="21"/>
                <w:highlight w:val="none"/>
              </w:rPr>
            </w:pPr>
          </w:p>
        </w:tc>
        <w:tc>
          <w:tcPr>
            <w:tcW w:w="574" w:type="pct"/>
            <w:vAlign w:val="center"/>
          </w:tcPr>
          <w:p>
            <w:pPr>
              <w:shd w:val="clear"/>
              <w:spacing w:line="240" w:lineRule="auto"/>
              <w:jc w:val="center"/>
              <w:rPr>
                <w:rFonts w:hint="eastAsia" w:ascii="宋体" w:hAnsi="宋体" w:eastAsia="宋体" w:cs="宋体"/>
                <w:color w:val="auto"/>
                <w:sz w:val="21"/>
                <w:szCs w:val="21"/>
                <w:highlight w:val="none"/>
              </w:rPr>
            </w:pPr>
          </w:p>
        </w:tc>
        <w:tc>
          <w:tcPr>
            <w:tcW w:w="907" w:type="pct"/>
            <w:vAlign w:val="center"/>
          </w:tcPr>
          <w:p>
            <w:pPr>
              <w:shd w:val="clear"/>
              <w:spacing w:line="240" w:lineRule="auto"/>
              <w:jc w:val="center"/>
              <w:rPr>
                <w:rFonts w:hint="eastAsia" w:ascii="宋体" w:hAnsi="宋体" w:eastAsia="宋体" w:cs="宋体"/>
                <w:color w:val="auto"/>
                <w:sz w:val="21"/>
                <w:szCs w:val="21"/>
                <w:highlight w:val="none"/>
              </w:rPr>
            </w:pPr>
          </w:p>
        </w:tc>
        <w:tc>
          <w:tcPr>
            <w:tcW w:w="824" w:type="pct"/>
            <w:vAlign w:val="center"/>
          </w:tcPr>
          <w:p>
            <w:pPr>
              <w:shd w:val="clear"/>
              <w:spacing w:line="240" w:lineRule="auto"/>
              <w:jc w:val="center"/>
              <w:rPr>
                <w:rFonts w:hint="eastAsia" w:ascii="宋体" w:hAnsi="宋体" w:eastAsia="宋体" w:cs="宋体"/>
                <w:color w:val="auto"/>
                <w:sz w:val="21"/>
                <w:szCs w:val="21"/>
                <w:highlight w:val="none"/>
              </w:rPr>
            </w:pPr>
          </w:p>
        </w:tc>
        <w:tc>
          <w:tcPr>
            <w:tcW w:w="795" w:type="pct"/>
            <w:vAlign w:val="center"/>
          </w:tcPr>
          <w:p>
            <w:pPr>
              <w:shd w:val="clear"/>
              <w:spacing w:line="240" w:lineRule="auto"/>
              <w:jc w:val="center"/>
              <w:rPr>
                <w:rFonts w:hint="eastAsia" w:ascii="宋体" w:hAnsi="宋体" w:eastAsia="宋体" w:cs="宋体"/>
                <w:color w:val="auto"/>
                <w:sz w:val="21"/>
                <w:szCs w:val="21"/>
                <w:highlight w:val="none"/>
              </w:rPr>
            </w:pPr>
          </w:p>
        </w:tc>
        <w:tc>
          <w:tcPr>
            <w:tcW w:w="982" w:type="pct"/>
            <w:vAlign w:val="center"/>
          </w:tcPr>
          <w:p>
            <w:pPr>
              <w:shd w:val="clear"/>
              <w:spacing w:line="240" w:lineRule="auto"/>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491" w:type="pct"/>
            <w:vMerge w:val="continue"/>
            <w:vAlign w:val="center"/>
          </w:tcPr>
          <w:p>
            <w:pPr>
              <w:shd w:val="clear"/>
              <w:spacing w:line="240" w:lineRule="auto"/>
              <w:jc w:val="center"/>
              <w:rPr>
                <w:rFonts w:hint="eastAsia" w:ascii="宋体" w:hAnsi="宋体" w:eastAsia="宋体" w:cs="宋体"/>
                <w:color w:val="auto"/>
                <w:sz w:val="21"/>
                <w:szCs w:val="21"/>
                <w:highlight w:val="none"/>
              </w:rPr>
            </w:pPr>
          </w:p>
        </w:tc>
        <w:tc>
          <w:tcPr>
            <w:tcW w:w="423" w:type="pct"/>
            <w:vAlign w:val="center"/>
          </w:tcPr>
          <w:p>
            <w:pPr>
              <w:shd w:val="clear"/>
              <w:spacing w:line="240" w:lineRule="auto"/>
              <w:jc w:val="center"/>
              <w:rPr>
                <w:rFonts w:hint="eastAsia" w:ascii="宋体" w:hAnsi="宋体" w:eastAsia="宋体" w:cs="宋体"/>
                <w:color w:val="auto"/>
                <w:sz w:val="21"/>
                <w:szCs w:val="21"/>
                <w:highlight w:val="none"/>
              </w:rPr>
            </w:pPr>
          </w:p>
        </w:tc>
        <w:tc>
          <w:tcPr>
            <w:tcW w:w="574" w:type="pct"/>
            <w:vAlign w:val="center"/>
          </w:tcPr>
          <w:p>
            <w:pPr>
              <w:shd w:val="clear"/>
              <w:spacing w:line="240" w:lineRule="auto"/>
              <w:jc w:val="center"/>
              <w:rPr>
                <w:rFonts w:hint="eastAsia" w:ascii="宋体" w:hAnsi="宋体" w:eastAsia="宋体" w:cs="宋体"/>
                <w:color w:val="auto"/>
                <w:sz w:val="21"/>
                <w:szCs w:val="21"/>
                <w:highlight w:val="none"/>
              </w:rPr>
            </w:pPr>
          </w:p>
        </w:tc>
        <w:tc>
          <w:tcPr>
            <w:tcW w:w="907" w:type="pct"/>
            <w:vAlign w:val="center"/>
          </w:tcPr>
          <w:p>
            <w:pPr>
              <w:shd w:val="clear"/>
              <w:spacing w:line="240" w:lineRule="auto"/>
              <w:jc w:val="center"/>
              <w:rPr>
                <w:rFonts w:hint="eastAsia" w:ascii="宋体" w:hAnsi="宋体" w:eastAsia="宋体" w:cs="宋体"/>
                <w:color w:val="auto"/>
                <w:sz w:val="21"/>
                <w:szCs w:val="21"/>
                <w:highlight w:val="none"/>
              </w:rPr>
            </w:pPr>
          </w:p>
        </w:tc>
        <w:tc>
          <w:tcPr>
            <w:tcW w:w="824" w:type="pct"/>
            <w:vAlign w:val="center"/>
          </w:tcPr>
          <w:p>
            <w:pPr>
              <w:shd w:val="clear"/>
              <w:spacing w:line="240" w:lineRule="auto"/>
              <w:jc w:val="center"/>
              <w:rPr>
                <w:rFonts w:hint="eastAsia" w:ascii="宋体" w:hAnsi="宋体" w:eastAsia="宋体" w:cs="宋体"/>
                <w:color w:val="auto"/>
                <w:sz w:val="21"/>
                <w:szCs w:val="21"/>
                <w:highlight w:val="none"/>
              </w:rPr>
            </w:pPr>
          </w:p>
        </w:tc>
        <w:tc>
          <w:tcPr>
            <w:tcW w:w="795" w:type="pct"/>
            <w:vAlign w:val="center"/>
          </w:tcPr>
          <w:p>
            <w:pPr>
              <w:shd w:val="clear"/>
              <w:spacing w:line="240" w:lineRule="auto"/>
              <w:jc w:val="center"/>
              <w:rPr>
                <w:rFonts w:hint="eastAsia" w:ascii="宋体" w:hAnsi="宋体" w:eastAsia="宋体" w:cs="宋体"/>
                <w:color w:val="auto"/>
                <w:sz w:val="21"/>
                <w:szCs w:val="21"/>
                <w:highlight w:val="none"/>
              </w:rPr>
            </w:pPr>
          </w:p>
        </w:tc>
        <w:tc>
          <w:tcPr>
            <w:tcW w:w="982" w:type="pct"/>
            <w:vAlign w:val="center"/>
          </w:tcPr>
          <w:p>
            <w:pPr>
              <w:shd w:val="clear"/>
              <w:spacing w:line="240" w:lineRule="auto"/>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491" w:type="pct"/>
            <w:vMerge w:val="restart"/>
            <w:vAlign w:val="center"/>
          </w:tcPr>
          <w:p>
            <w:pPr>
              <w:shd w:val="clear"/>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售后</w:t>
            </w:r>
          </w:p>
          <w:p>
            <w:pPr>
              <w:shd w:val="clear"/>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服务</w:t>
            </w:r>
          </w:p>
          <w:p>
            <w:pPr>
              <w:shd w:val="clear"/>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人员</w:t>
            </w:r>
          </w:p>
        </w:tc>
        <w:tc>
          <w:tcPr>
            <w:tcW w:w="423" w:type="pct"/>
            <w:vAlign w:val="center"/>
          </w:tcPr>
          <w:p>
            <w:pPr>
              <w:shd w:val="clear"/>
              <w:spacing w:line="240" w:lineRule="auto"/>
              <w:jc w:val="center"/>
              <w:rPr>
                <w:rFonts w:hint="eastAsia" w:ascii="宋体" w:hAnsi="宋体" w:eastAsia="宋体" w:cs="宋体"/>
                <w:color w:val="auto"/>
                <w:sz w:val="21"/>
                <w:szCs w:val="21"/>
                <w:highlight w:val="none"/>
              </w:rPr>
            </w:pPr>
          </w:p>
        </w:tc>
        <w:tc>
          <w:tcPr>
            <w:tcW w:w="574" w:type="pct"/>
            <w:vAlign w:val="center"/>
          </w:tcPr>
          <w:p>
            <w:pPr>
              <w:shd w:val="clear"/>
              <w:spacing w:line="240" w:lineRule="auto"/>
              <w:jc w:val="center"/>
              <w:rPr>
                <w:rFonts w:hint="eastAsia" w:ascii="宋体" w:hAnsi="宋体" w:eastAsia="宋体" w:cs="宋体"/>
                <w:color w:val="auto"/>
                <w:sz w:val="21"/>
                <w:szCs w:val="21"/>
                <w:highlight w:val="none"/>
              </w:rPr>
            </w:pPr>
          </w:p>
        </w:tc>
        <w:tc>
          <w:tcPr>
            <w:tcW w:w="907" w:type="pct"/>
            <w:vAlign w:val="center"/>
          </w:tcPr>
          <w:p>
            <w:pPr>
              <w:shd w:val="clear"/>
              <w:spacing w:line="240" w:lineRule="auto"/>
              <w:jc w:val="center"/>
              <w:rPr>
                <w:rFonts w:hint="eastAsia" w:ascii="宋体" w:hAnsi="宋体" w:eastAsia="宋体" w:cs="宋体"/>
                <w:color w:val="auto"/>
                <w:sz w:val="21"/>
                <w:szCs w:val="21"/>
                <w:highlight w:val="none"/>
              </w:rPr>
            </w:pPr>
          </w:p>
        </w:tc>
        <w:tc>
          <w:tcPr>
            <w:tcW w:w="824" w:type="pct"/>
            <w:vAlign w:val="center"/>
          </w:tcPr>
          <w:p>
            <w:pPr>
              <w:shd w:val="clear"/>
              <w:spacing w:line="240" w:lineRule="auto"/>
              <w:jc w:val="center"/>
              <w:rPr>
                <w:rFonts w:hint="eastAsia" w:ascii="宋体" w:hAnsi="宋体" w:eastAsia="宋体" w:cs="宋体"/>
                <w:color w:val="auto"/>
                <w:sz w:val="21"/>
                <w:szCs w:val="21"/>
                <w:highlight w:val="none"/>
              </w:rPr>
            </w:pPr>
          </w:p>
        </w:tc>
        <w:tc>
          <w:tcPr>
            <w:tcW w:w="795" w:type="pct"/>
            <w:vAlign w:val="center"/>
          </w:tcPr>
          <w:p>
            <w:pPr>
              <w:shd w:val="clear"/>
              <w:spacing w:line="240" w:lineRule="auto"/>
              <w:jc w:val="center"/>
              <w:rPr>
                <w:rFonts w:hint="eastAsia" w:ascii="宋体" w:hAnsi="宋体" w:eastAsia="宋体" w:cs="宋体"/>
                <w:color w:val="auto"/>
                <w:sz w:val="21"/>
                <w:szCs w:val="21"/>
                <w:highlight w:val="none"/>
              </w:rPr>
            </w:pPr>
          </w:p>
        </w:tc>
        <w:tc>
          <w:tcPr>
            <w:tcW w:w="982" w:type="pct"/>
            <w:vAlign w:val="center"/>
          </w:tcPr>
          <w:p>
            <w:pPr>
              <w:shd w:val="clear"/>
              <w:spacing w:line="240" w:lineRule="auto"/>
              <w:jc w:val="center"/>
              <w:rPr>
                <w:rFonts w:hint="eastAsia" w:ascii="宋体" w:hAnsi="宋体" w:eastAsia="宋体" w:cs="宋体"/>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491" w:type="pct"/>
            <w:vMerge w:val="continue"/>
            <w:vAlign w:val="center"/>
          </w:tcPr>
          <w:p>
            <w:pPr>
              <w:shd w:val="clear"/>
              <w:spacing w:line="240" w:lineRule="auto"/>
              <w:jc w:val="center"/>
              <w:rPr>
                <w:rFonts w:hint="eastAsia" w:ascii="宋体" w:hAnsi="宋体" w:eastAsia="宋体" w:cs="宋体"/>
                <w:color w:val="auto"/>
                <w:sz w:val="21"/>
                <w:szCs w:val="21"/>
                <w:highlight w:val="none"/>
              </w:rPr>
            </w:pPr>
          </w:p>
        </w:tc>
        <w:tc>
          <w:tcPr>
            <w:tcW w:w="423" w:type="pct"/>
            <w:vAlign w:val="center"/>
          </w:tcPr>
          <w:p>
            <w:pPr>
              <w:shd w:val="clear"/>
              <w:spacing w:line="240" w:lineRule="auto"/>
              <w:jc w:val="center"/>
              <w:rPr>
                <w:rFonts w:hint="eastAsia" w:ascii="宋体" w:hAnsi="宋体" w:eastAsia="宋体" w:cs="宋体"/>
                <w:color w:val="auto"/>
                <w:sz w:val="21"/>
                <w:szCs w:val="21"/>
                <w:highlight w:val="none"/>
              </w:rPr>
            </w:pPr>
          </w:p>
        </w:tc>
        <w:tc>
          <w:tcPr>
            <w:tcW w:w="574" w:type="pct"/>
            <w:vAlign w:val="center"/>
          </w:tcPr>
          <w:p>
            <w:pPr>
              <w:shd w:val="clear"/>
              <w:spacing w:line="240" w:lineRule="auto"/>
              <w:jc w:val="center"/>
              <w:rPr>
                <w:rFonts w:hint="eastAsia" w:ascii="宋体" w:hAnsi="宋体" w:eastAsia="宋体" w:cs="宋体"/>
                <w:b/>
                <w:bCs/>
                <w:color w:val="auto"/>
                <w:sz w:val="21"/>
                <w:szCs w:val="21"/>
                <w:highlight w:val="none"/>
              </w:rPr>
            </w:pPr>
          </w:p>
        </w:tc>
        <w:tc>
          <w:tcPr>
            <w:tcW w:w="907" w:type="pct"/>
            <w:vAlign w:val="center"/>
          </w:tcPr>
          <w:p>
            <w:pPr>
              <w:shd w:val="clear"/>
              <w:spacing w:line="240" w:lineRule="auto"/>
              <w:jc w:val="center"/>
              <w:rPr>
                <w:rFonts w:hint="eastAsia" w:ascii="宋体" w:hAnsi="宋体" w:eastAsia="宋体" w:cs="宋体"/>
                <w:b/>
                <w:bCs/>
                <w:color w:val="auto"/>
                <w:sz w:val="21"/>
                <w:szCs w:val="21"/>
                <w:highlight w:val="none"/>
              </w:rPr>
            </w:pPr>
          </w:p>
        </w:tc>
        <w:tc>
          <w:tcPr>
            <w:tcW w:w="824" w:type="pct"/>
            <w:vAlign w:val="center"/>
          </w:tcPr>
          <w:p>
            <w:pPr>
              <w:shd w:val="clear"/>
              <w:spacing w:line="240" w:lineRule="auto"/>
              <w:jc w:val="center"/>
              <w:rPr>
                <w:rFonts w:hint="eastAsia" w:ascii="宋体" w:hAnsi="宋体" w:eastAsia="宋体" w:cs="宋体"/>
                <w:b/>
                <w:bCs/>
                <w:color w:val="auto"/>
                <w:sz w:val="21"/>
                <w:szCs w:val="21"/>
                <w:highlight w:val="none"/>
              </w:rPr>
            </w:pPr>
          </w:p>
        </w:tc>
        <w:tc>
          <w:tcPr>
            <w:tcW w:w="795" w:type="pct"/>
            <w:vAlign w:val="center"/>
          </w:tcPr>
          <w:p>
            <w:pPr>
              <w:shd w:val="clear"/>
              <w:spacing w:line="240" w:lineRule="auto"/>
              <w:jc w:val="center"/>
              <w:rPr>
                <w:rFonts w:hint="eastAsia" w:ascii="宋体" w:hAnsi="宋体" w:eastAsia="宋体" w:cs="宋体"/>
                <w:b/>
                <w:bCs/>
                <w:color w:val="auto"/>
                <w:sz w:val="21"/>
                <w:szCs w:val="21"/>
                <w:highlight w:val="none"/>
              </w:rPr>
            </w:pPr>
          </w:p>
        </w:tc>
        <w:tc>
          <w:tcPr>
            <w:tcW w:w="982" w:type="pct"/>
            <w:vAlign w:val="center"/>
          </w:tcPr>
          <w:p>
            <w:pPr>
              <w:shd w:val="clear"/>
              <w:spacing w:line="240" w:lineRule="auto"/>
              <w:jc w:val="center"/>
              <w:rPr>
                <w:rFonts w:hint="eastAsia" w:ascii="宋体" w:hAnsi="宋体" w:eastAsia="宋体" w:cs="宋体"/>
                <w:b/>
                <w:bCs/>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1" w:hRule="atLeast"/>
          <w:jc w:val="center"/>
        </w:trPr>
        <w:tc>
          <w:tcPr>
            <w:tcW w:w="491" w:type="pct"/>
            <w:vMerge w:val="continue"/>
            <w:vAlign w:val="center"/>
          </w:tcPr>
          <w:p>
            <w:pPr>
              <w:shd w:val="clear"/>
              <w:spacing w:line="240" w:lineRule="auto"/>
              <w:jc w:val="center"/>
              <w:rPr>
                <w:rFonts w:hint="eastAsia" w:ascii="宋体" w:hAnsi="宋体" w:eastAsia="宋体" w:cs="宋体"/>
                <w:color w:val="auto"/>
                <w:sz w:val="21"/>
                <w:szCs w:val="21"/>
                <w:highlight w:val="none"/>
              </w:rPr>
            </w:pPr>
          </w:p>
        </w:tc>
        <w:tc>
          <w:tcPr>
            <w:tcW w:w="423" w:type="pct"/>
            <w:vAlign w:val="center"/>
          </w:tcPr>
          <w:p>
            <w:pPr>
              <w:shd w:val="clear"/>
              <w:spacing w:line="240" w:lineRule="auto"/>
              <w:jc w:val="center"/>
              <w:rPr>
                <w:rFonts w:hint="eastAsia" w:ascii="宋体" w:hAnsi="宋体" w:eastAsia="宋体" w:cs="宋体"/>
                <w:color w:val="auto"/>
                <w:sz w:val="21"/>
                <w:szCs w:val="21"/>
                <w:highlight w:val="none"/>
              </w:rPr>
            </w:pPr>
          </w:p>
        </w:tc>
        <w:tc>
          <w:tcPr>
            <w:tcW w:w="574" w:type="pct"/>
            <w:vAlign w:val="center"/>
          </w:tcPr>
          <w:p>
            <w:pPr>
              <w:shd w:val="clear"/>
              <w:spacing w:line="240" w:lineRule="auto"/>
              <w:jc w:val="center"/>
              <w:rPr>
                <w:rFonts w:hint="eastAsia" w:ascii="宋体" w:hAnsi="宋体" w:eastAsia="宋体" w:cs="宋体"/>
                <w:b/>
                <w:bCs/>
                <w:color w:val="auto"/>
                <w:sz w:val="21"/>
                <w:szCs w:val="21"/>
                <w:highlight w:val="none"/>
              </w:rPr>
            </w:pPr>
          </w:p>
        </w:tc>
        <w:tc>
          <w:tcPr>
            <w:tcW w:w="907" w:type="pct"/>
            <w:vAlign w:val="center"/>
          </w:tcPr>
          <w:p>
            <w:pPr>
              <w:shd w:val="clear"/>
              <w:spacing w:line="240" w:lineRule="auto"/>
              <w:jc w:val="center"/>
              <w:rPr>
                <w:rFonts w:hint="eastAsia" w:ascii="宋体" w:hAnsi="宋体" w:eastAsia="宋体" w:cs="宋体"/>
                <w:b/>
                <w:bCs/>
                <w:color w:val="auto"/>
                <w:sz w:val="21"/>
                <w:szCs w:val="21"/>
                <w:highlight w:val="none"/>
              </w:rPr>
            </w:pPr>
          </w:p>
        </w:tc>
        <w:tc>
          <w:tcPr>
            <w:tcW w:w="824" w:type="pct"/>
            <w:vAlign w:val="center"/>
          </w:tcPr>
          <w:p>
            <w:pPr>
              <w:shd w:val="clear"/>
              <w:spacing w:line="240" w:lineRule="auto"/>
              <w:jc w:val="center"/>
              <w:rPr>
                <w:rFonts w:hint="eastAsia" w:ascii="宋体" w:hAnsi="宋体" w:eastAsia="宋体" w:cs="宋体"/>
                <w:b/>
                <w:bCs/>
                <w:color w:val="auto"/>
                <w:sz w:val="21"/>
                <w:szCs w:val="21"/>
                <w:highlight w:val="none"/>
              </w:rPr>
            </w:pPr>
          </w:p>
        </w:tc>
        <w:tc>
          <w:tcPr>
            <w:tcW w:w="795" w:type="pct"/>
            <w:vAlign w:val="center"/>
          </w:tcPr>
          <w:p>
            <w:pPr>
              <w:shd w:val="clear"/>
              <w:spacing w:line="240" w:lineRule="auto"/>
              <w:jc w:val="center"/>
              <w:rPr>
                <w:rFonts w:hint="eastAsia" w:ascii="宋体" w:hAnsi="宋体" w:eastAsia="宋体" w:cs="宋体"/>
                <w:b/>
                <w:bCs/>
                <w:color w:val="auto"/>
                <w:sz w:val="21"/>
                <w:szCs w:val="21"/>
                <w:highlight w:val="none"/>
              </w:rPr>
            </w:pPr>
          </w:p>
        </w:tc>
        <w:tc>
          <w:tcPr>
            <w:tcW w:w="982" w:type="pct"/>
            <w:vAlign w:val="center"/>
          </w:tcPr>
          <w:p>
            <w:pPr>
              <w:shd w:val="clear"/>
              <w:spacing w:line="240" w:lineRule="auto"/>
              <w:jc w:val="center"/>
              <w:rPr>
                <w:rFonts w:hint="eastAsia" w:ascii="宋体" w:hAnsi="宋体" w:eastAsia="宋体" w:cs="宋体"/>
                <w:b/>
                <w:bCs/>
                <w:color w:val="auto"/>
                <w:sz w:val="21"/>
                <w:szCs w:val="21"/>
                <w:highlight w:val="none"/>
              </w:rPr>
            </w:pPr>
          </w:p>
        </w:tc>
      </w:tr>
    </w:tbl>
    <w:p>
      <w:pPr>
        <w:numPr>
          <w:ilvl w:val="0"/>
          <w:numId w:val="6"/>
        </w:numPr>
        <w:shd w:val="clear"/>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lang w:eastAsia="zh-CN"/>
        </w:rPr>
        <w:t>应急管理预案</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由供应商自行编写，无具体格式，</w:t>
      </w:r>
      <w:r>
        <w:rPr>
          <w:rFonts w:hint="eastAsia" w:ascii="宋体" w:hAnsi="宋体" w:eastAsia="宋体" w:cs="宋体"/>
          <w:color w:val="auto"/>
          <w:sz w:val="21"/>
          <w:szCs w:val="21"/>
          <w:highlight w:val="none"/>
          <w:lang w:val="en-US" w:eastAsia="zh-CN"/>
        </w:rPr>
        <w:t>供应商</w:t>
      </w:r>
      <w:r>
        <w:rPr>
          <w:rFonts w:hint="eastAsia" w:ascii="宋体" w:hAnsi="宋体" w:eastAsia="宋体" w:cs="宋体"/>
          <w:color w:val="auto"/>
          <w:sz w:val="21"/>
          <w:szCs w:val="21"/>
          <w:highlight w:val="none"/>
        </w:rPr>
        <w:t>应对产品配送、</w:t>
      </w:r>
      <w:r>
        <w:rPr>
          <w:rFonts w:hint="eastAsia" w:ascii="宋体" w:hAnsi="宋体" w:eastAsia="宋体" w:cs="宋体"/>
          <w:color w:val="auto"/>
          <w:sz w:val="21"/>
          <w:szCs w:val="21"/>
          <w:highlight w:val="none"/>
          <w:lang w:val="en-US" w:eastAsia="zh-CN"/>
        </w:rPr>
        <w:t>安装调试以及</w:t>
      </w:r>
      <w:r>
        <w:rPr>
          <w:rFonts w:hint="eastAsia" w:ascii="宋体" w:hAnsi="宋体" w:eastAsia="宋体" w:cs="宋体"/>
          <w:color w:val="auto"/>
          <w:sz w:val="21"/>
          <w:szCs w:val="21"/>
          <w:highlight w:val="none"/>
        </w:rPr>
        <w:t>产品出现质量问题</w:t>
      </w:r>
      <w:r>
        <w:rPr>
          <w:rFonts w:hint="eastAsia" w:ascii="宋体" w:hAnsi="宋体" w:eastAsia="宋体" w:cs="宋体"/>
          <w:color w:val="auto"/>
          <w:sz w:val="21"/>
          <w:szCs w:val="21"/>
          <w:highlight w:val="none"/>
          <w:lang w:val="en-US" w:eastAsia="zh-CN"/>
        </w:rPr>
        <w:t>的</w:t>
      </w:r>
      <w:r>
        <w:rPr>
          <w:rFonts w:hint="eastAsia" w:ascii="宋体" w:hAnsi="宋体" w:eastAsia="宋体" w:cs="宋体"/>
          <w:color w:val="auto"/>
          <w:sz w:val="21"/>
          <w:szCs w:val="21"/>
          <w:highlight w:val="none"/>
        </w:rPr>
        <w:t>补救计划等特殊情况</w:t>
      </w:r>
      <w:r>
        <w:rPr>
          <w:rFonts w:hint="eastAsia" w:ascii="宋体" w:hAnsi="宋体" w:eastAsia="宋体" w:cs="宋体"/>
          <w:color w:val="auto"/>
          <w:sz w:val="21"/>
          <w:szCs w:val="21"/>
          <w:highlight w:val="none"/>
          <w:lang w:val="en-US" w:eastAsia="zh-CN"/>
        </w:rPr>
        <w:t>进行相应应急预案</w:t>
      </w:r>
      <w:r>
        <w:rPr>
          <w:rFonts w:hint="eastAsia" w:ascii="宋体" w:hAnsi="宋体" w:eastAsia="宋体" w:cs="宋体"/>
          <w:color w:val="auto"/>
          <w:sz w:val="21"/>
          <w:szCs w:val="21"/>
          <w:highlight w:val="none"/>
        </w:rPr>
        <w:t>。</w:t>
      </w:r>
    </w:p>
    <w:p>
      <w:pPr>
        <w:shd w:val="clear"/>
        <w:rPr>
          <w:rFonts w:hint="eastAsia" w:ascii="宋体" w:hAnsi="宋体" w:eastAsia="宋体" w:cs="宋体"/>
          <w:color w:val="auto"/>
          <w:highlight w:val="none"/>
          <w:lang w:eastAsia="zh-CN"/>
        </w:rPr>
        <w:sectPr>
          <w:pgSz w:w="11906" w:h="16838"/>
          <w:pgMar w:top="1440" w:right="1304" w:bottom="1440" w:left="1304" w:header="851" w:footer="992" w:gutter="0"/>
          <w:cols w:space="720" w:num="1"/>
          <w:docGrid w:type="lines" w:linePitch="325" w:charSpace="0"/>
        </w:sectPr>
      </w:pPr>
    </w:p>
    <w:p>
      <w:pPr>
        <w:pStyle w:val="4"/>
        <w:shd w:val="clear"/>
        <w:rPr>
          <w:rFonts w:hint="eastAsia" w:ascii="宋体" w:hAnsi="宋体" w:eastAsia="宋体" w:cs="宋体"/>
          <w:color w:val="auto"/>
          <w:highlight w:val="none"/>
        </w:rPr>
      </w:pPr>
      <w:bookmarkStart w:id="309" w:name="_Toc871"/>
      <w:bookmarkStart w:id="310" w:name="_Toc18172"/>
      <w:bookmarkStart w:id="311" w:name="_Toc3484"/>
      <w:r>
        <w:rPr>
          <w:rFonts w:hint="eastAsia" w:ascii="宋体" w:hAnsi="宋体" w:eastAsia="宋体" w:cs="宋体"/>
          <w:color w:val="auto"/>
          <w:highlight w:val="none"/>
        </w:rPr>
        <w:t>第八部分  承诺书</w:t>
      </w:r>
      <w:bookmarkEnd w:id="309"/>
      <w:bookmarkEnd w:id="310"/>
      <w:bookmarkEnd w:id="311"/>
    </w:p>
    <w:p>
      <w:pPr>
        <w:pStyle w:val="5"/>
        <w:shd w:val="clear"/>
        <w:rPr>
          <w:rFonts w:hint="eastAsia" w:ascii="宋体" w:hAnsi="宋体" w:eastAsia="宋体" w:cs="宋体"/>
          <w:color w:val="auto"/>
          <w:highlight w:val="none"/>
        </w:rPr>
      </w:pPr>
      <w:bookmarkStart w:id="312" w:name="_Toc21260"/>
      <w:bookmarkStart w:id="313" w:name="_Toc14654"/>
      <w:r>
        <w:rPr>
          <w:rFonts w:hint="eastAsia" w:ascii="宋体" w:hAnsi="宋体" w:eastAsia="宋体" w:cs="宋体"/>
          <w:color w:val="auto"/>
          <w:highlight w:val="none"/>
        </w:rPr>
        <w:t>陕西省政府采购供应商拒绝政府采购领域商业贿赂承诺书Ⅰ</w:t>
      </w:r>
      <w:bookmarkEnd w:id="312"/>
      <w:bookmarkEnd w:id="313"/>
    </w:p>
    <w:p>
      <w:pPr>
        <w:shd w:val="clear"/>
        <w:rPr>
          <w:rFonts w:hint="eastAsia" w:ascii="宋体" w:hAnsi="宋体" w:eastAsia="宋体" w:cs="宋体"/>
          <w:color w:val="auto"/>
          <w:sz w:val="21"/>
          <w:szCs w:val="21"/>
          <w:highlight w:val="none"/>
        </w:rPr>
      </w:pPr>
    </w:p>
    <w:p>
      <w:pPr>
        <w:shd w:val="clear"/>
        <w:ind w:firstLine="315" w:firstLineChars="15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为响应党中央、国务院关于治理政府采购领域商业贿赂行为的号召，我公司在此庄严承诺：</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1、在参与政府采购活动中遵纪守法、诚信经营、公平竞标。</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2、不向政府采购人、集中采购机构和政府采购评审专家进行任何形式的商业贿赂以谋取交易机会。</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3、不向政府集中采购机构和采购人提供虚假资质文件或采用虚假应标方式参与政府采购市场竞争并谋取中标、中标。</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4、不采取“围标、陪标”等商业欺诈手段获得政府采购订单。</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5、不采取不正当手段诋毁、排挤其他供应商。</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6、不在提供划编制服务时损害采购人的合法权益。</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7、不与采购人、集中采购机构政府采购评审专家或其它供应商恶意串通，进行质疑和投诉，维护政府采购市场秩序。</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8、尊重和接受政府采购监督管理部门的监督和政府集中采购机构采购要求，承担因违约行为给采购人造成的损失。</w:t>
      </w: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9、不发生其他有悖于政府采购公开、公平、公正和诚信原则的行为。</w:t>
      </w:r>
    </w:p>
    <w:p>
      <w:pPr>
        <w:shd w:val="clear"/>
        <w:ind w:firstLine="420" w:firstLineChars="200"/>
        <w:rPr>
          <w:rFonts w:hint="eastAsia" w:ascii="宋体" w:hAnsi="宋体" w:eastAsia="宋体" w:cs="宋体"/>
          <w:color w:val="auto"/>
          <w:sz w:val="21"/>
          <w:szCs w:val="21"/>
          <w:highlight w:val="none"/>
        </w:rPr>
      </w:pP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承诺单位：（盖章）</w:t>
      </w:r>
    </w:p>
    <w:p>
      <w:pPr>
        <w:shd w:val="clear"/>
        <w:ind w:firstLine="315" w:firstLineChars="150"/>
        <w:rPr>
          <w:rFonts w:hint="eastAsia" w:ascii="宋体" w:hAnsi="宋体" w:eastAsia="宋体" w:cs="宋体"/>
          <w:color w:val="auto"/>
          <w:sz w:val="21"/>
          <w:szCs w:val="21"/>
          <w:highlight w:val="none"/>
        </w:rPr>
      </w:pP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全权代表：（签字）</w:t>
      </w:r>
    </w:p>
    <w:p>
      <w:pPr>
        <w:shd w:val="clear"/>
        <w:ind w:firstLine="315" w:firstLineChars="150"/>
        <w:rPr>
          <w:rFonts w:hint="eastAsia" w:ascii="宋体" w:hAnsi="宋体" w:eastAsia="宋体" w:cs="宋体"/>
          <w:color w:val="auto"/>
          <w:sz w:val="21"/>
          <w:szCs w:val="21"/>
          <w:highlight w:val="none"/>
        </w:rPr>
      </w:pP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地址</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 xml:space="preserve">                             邮编：</w:t>
      </w:r>
    </w:p>
    <w:p>
      <w:pPr>
        <w:shd w:val="clear"/>
        <w:ind w:firstLine="420" w:firstLineChars="200"/>
        <w:rPr>
          <w:rFonts w:hint="eastAsia" w:ascii="宋体" w:hAnsi="宋体" w:eastAsia="宋体" w:cs="宋体"/>
          <w:color w:val="auto"/>
          <w:sz w:val="21"/>
          <w:szCs w:val="21"/>
          <w:highlight w:val="none"/>
        </w:rPr>
      </w:pPr>
    </w:p>
    <w:p>
      <w:pPr>
        <w:shd w:val="clear"/>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w:t>
      </w:r>
    </w:p>
    <w:p>
      <w:pPr>
        <w:shd w:val="clear"/>
        <w:ind w:firstLine="315" w:firstLineChars="150"/>
        <w:rPr>
          <w:rFonts w:hint="eastAsia" w:ascii="宋体" w:hAnsi="宋体" w:eastAsia="宋体" w:cs="宋体"/>
          <w:color w:val="auto"/>
          <w:sz w:val="21"/>
          <w:szCs w:val="21"/>
          <w:highlight w:val="none"/>
        </w:rPr>
      </w:pPr>
    </w:p>
    <w:p>
      <w:pPr>
        <w:shd w:val="clear"/>
        <w:wordWrap w:val="0"/>
        <w:ind w:right="480" w:firstLine="315" w:firstLineChars="15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年  月  日</w:t>
      </w:r>
    </w:p>
    <w:p>
      <w:pPr>
        <w:shd w:val="clea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br w:type="page"/>
      </w:r>
    </w:p>
    <w:p>
      <w:pPr>
        <w:pStyle w:val="5"/>
        <w:shd w:val="clear"/>
        <w:rPr>
          <w:rFonts w:hint="eastAsia" w:ascii="宋体" w:hAnsi="宋体" w:eastAsia="宋体" w:cs="宋体"/>
          <w:color w:val="auto"/>
          <w:highlight w:val="none"/>
        </w:rPr>
      </w:pPr>
      <w:bookmarkStart w:id="314" w:name="_Toc18802"/>
      <w:bookmarkStart w:id="315" w:name="_Toc22150"/>
      <w:r>
        <w:rPr>
          <w:rFonts w:hint="eastAsia" w:ascii="宋体" w:hAnsi="宋体" w:eastAsia="宋体" w:cs="宋体"/>
          <w:color w:val="auto"/>
          <w:highlight w:val="none"/>
        </w:rPr>
        <w:t>承诺书Ⅱ</w:t>
      </w:r>
      <w:bookmarkEnd w:id="314"/>
      <w:bookmarkEnd w:id="315"/>
    </w:p>
    <w:tbl>
      <w:tblPr>
        <w:tblStyle w:val="23"/>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noWrap/>
            <w:vAlign w:val="center"/>
          </w:tcPr>
          <w:p>
            <w:pPr>
              <w:shd w:val="clear"/>
              <w:spacing w:line="360" w:lineRule="atLeas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致：</w:t>
            </w:r>
            <w:r>
              <w:rPr>
                <w:rFonts w:hint="eastAsia" w:ascii="宋体" w:hAnsi="宋体" w:eastAsia="宋体" w:cs="宋体"/>
                <w:color w:val="auto"/>
                <w:spacing w:val="-6"/>
                <w:sz w:val="21"/>
                <w:szCs w:val="21"/>
                <w:highlight w:val="none"/>
                <w:lang w:eastAsia="zh-CN"/>
              </w:rPr>
              <w:t>陕西国中恒工程项目管理有限公司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noWrap/>
            <w:vAlign w:val="center"/>
          </w:tcPr>
          <w:p>
            <w:pPr>
              <w:shd w:val="clear"/>
              <w:spacing w:line="360" w:lineRule="atLeas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作为参加贵单位组织的政府采购项目的供应商，本公司承诺：在参加本项目采购之前不存在被依法禁止经营行为、财产被接管或冻结的情况，如有隐瞒实情，愿承担一切责任及后果。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noWrap/>
            <w:vAlign w:val="center"/>
          </w:tcPr>
          <w:p>
            <w:pPr>
              <w:shd w:val="clear"/>
              <w:spacing w:line="360" w:lineRule="atLeas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w:t>
            </w:r>
          </w:p>
        </w:tc>
        <w:tc>
          <w:tcPr>
            <w:tcW w:w="3420" w:type="dxa"/>
            <w:noWrap/>
            <w:vAlign w:val="center"/>
          </w:tcPr>
          <w:p>
            <w:pPr>
              <w:shd w:val="clear"/>
              <w:spacing w:line="360" w:lineRule="atLeas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w:t>
            </w:r>
          </w:p>
        </w:tc>
        <w:tc>
          <w:tcPr>
            <w:tcW w:w="2340" w:type="dxa"/>
            <w:noWrap/>
            <w:vAlign w:val="center"/>
          </w:tcPr>
          <w:p>
            <w:pPr>
              <w:shd w:val="clear"/>
              <w:spacing w:line="360" w:lineRule="atLeas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noWrap/>
            <w:vAlign w:val="center"/>
          </w:tcPr>
          <w:p>
            <w:pPr>
              <w:shd w:val="clear"/>
              <w:spacing w:line="360" w:lineRule="atLeas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（公章）</w:t>
            </w:r>
          </w:p>
        </w:tc>
        <w:tc>
          <w:tcPr>
            <w:tcW w:w="3420" w:type="dxa"/>
            <w:noWrap/>
            <w:vAlign w:val="center"/>
          </w:tcPr>
          <w:p>
            <w:pPr>
              <w:shd w:val="clear"/>
              <w:spacing w:line="360" w:lineRule="atLeas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（签字或盖章）</w:t>
            </w:r>
          </w:p>
        </w:tc>
        <w:tc>
          <w:tcPr>
            <w:tcW w:w="2340" w:type="dxa"/>
            <w:noWrap/>
            <w:vAlign w:val="center"/>
          </w:tcPr>
          <w:p>
            <w:pPr>
              <w:shd w:val="clear"/>
              <w:spacing w:line="360" w:lineRule="atLeast"/>
              <w:ind w:firstLine="210" w:firstLineChars="10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  月  日</w:t>
            </w:r>
          </w:p>
        </w:tc>
      </w:tr>
    </w:tbl>
    <w:p>
      <w:pPr>
        <w:shd w:val="clear"/>
        <w:spacing w:line="360" w:lineRule="atLeast"/>
        <w:rPr>
          <w:rFonts w:hint="eastAsia" w:ascii="宋体" w:hAnsi="宋体" w:eastAsia="宋体" w:cs="宋体"/>
          <w:b/>
          <w:color w:val="auto"/>
          <w:sz w:val="21"/>
          <w:szCs w:val="21"/>
          <w:highlight w:val="none"/>
        </w:rPr>
      </w:pPr>
    </w:p>
    <w:p>
      <w:pPr>
        <w:pStyle w:val="5"/>
        <w:shd w:val="clear"/>
        <w:rPr>
          <w:rFonts w:hint="eastAsia" w:ascii="宋体" w:hAnsi="宋体" w:eastAsia="宋体" w:cs="宋体"/>
          <w:color w:val="auto"/>
          <w:highlight w:val="none"/>
        </w:rPr>
      </w:pPr>
      <w:bookmarkStart w:id="316" w:name="_Toc24466"/>
      <w:bookmarkStart w:id="317" w:name="_Toc13879"/>
      <w:r>
        <w:rPr>
          <w:rFonts w:hint="eastAsia" w:ascii="宋体" w:hAnsi="宋体" w:eastAsia="宋体" w:cs="宋体"/>
          <w:color w:val="auto"/>
          <w:highlight w:val="none"/>
        </w:rPr>
        <w:t>承诺书Ⅲ</w:t>
      </w:r>
      <w:bookmarkEnd w:id="316"/>
      <w:bookmarkEnd w:id="317"/>
    </w:p>
    <w:tbl>
      <w:tblPr>
        <w:tblStyle w:val="23"/>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noWrap/>
            <w:vAlign w:val="center"/>
          </w:tcPr>
          <w:p>
            <w:pPr>
              <w:shd w:val="clear"/>
              <w:spacing w:line="360" w:lineRule="atLeas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致：</w:t>
            </w:r>
            <w:r>
              <w:rPr>
                <w:rFonts w:hint="eastAsia" w:ascii="宋体" w:hAnsi="宋体" w:eastAsia="宋体" w:cs="宋体"/>
                <w:color w:val="auto"/>
                <w:spacing w:val="-6"/>
                <w:sz w:val="21"/>
                <w:szCs w:val="21"/>
                <w:highlight w:val="none"/>
                <w:lang w:eastAsia="zh-CN"/>
              </w:rPr>
              <w:t>陕西国中恒工程项目管理有限公司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noWrap/>
            <w:vAlign w:val="center"/>
          </w:tcPr>
          <w:p>
            <w:pPr>
              <w:shd w:val="clear"/>
              <w:spacing w:line="360" w:lineRule="atLeas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作为参加贵单位组织的政府采购项目的供应商，本公司郑重申告并承诺：近三年受到有关行政主管部门的行政处理、不良行为记录为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次（没有填零），如有隐瞒实情，愿承担一切责任及后果。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noWrap/>
            <w:vAlign w:val="center"/>
          </w:tcPr>
          <w:p>
            <w:pPr>
              <w:shd w:val="clear"/>
              <w:spacing w:line="360" w:lineRule="atLeas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w:t>
            </w:r>
          </w:p>
        </w:tc>
        <w:tc>
          <w:tcPr>
            <w:tcW w:w="3420" w:type="dxa"/>
            <w:noWrap/>
            <w:vAlign w:val="center"/>
          </w:tcPr>
          <w:p>
            <w:pPr>
              <w:shd w:val="clear"/>
              <w:spacing w:line="360" w:lineRule="atLeas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w:t>
            </w:r>
          </w:p>
        </w:tc>
        <w:tc>
          <w:tcPr>
            <w:tcW w:w="2340" w:type="dxa"/>
            <w:noWrap/>
            <w:vAlign w:val="center"/>
          </w:tcPr>
          <w:p>
            <w:pPr>
              <w:shd w:val="clear"/>
              <w:spacing w:line="360" w:lineRule="atLeas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noWrap/>
            <w:vAlign w:val="center"/>
          </w:tcPr>
          <w:p>
            <w:pPr>
              <w:shd w:val="clear"/>
              <w:spacing w:line="360" w:lineRule="atLeas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（公章）</w:t>
            </w:r>
          </w:p>
        </w:tc>
        <w:tc>
          <w:tcPr>
            <w:tcW w:w="3420" w:type="dxa"/>
            <w:noWrap/>
            <w:vAlign w:val="center"/>
          </w:tcPr>
          <w:p>
            <w:pPr>
              <w:shd w:val="clear"/>
              <w:spacing w:line="360" w:lineRule="atLeas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（签字或盖章）</w:t>
            </w:r>
          </w:p>
        </w:tc>
        <w:tc>
          <w:tcPr>
            <w:tcW w:w="2340" w:type="dxa"/>
            <w:noWrap/>
            <w:vAlign w:val="center"/>
          </w:tcPr>
          <w:p>
            <w:pPr>
              <w:shd w:val="clear"/>
              <w:spacing w:line="360" w:lineRule="atLeast"/>
              <w:ind w:firstLine="210" w:firstLineChars="10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  月  日</w:t>
            </w:r>
          </w:p>
        </w:tc>
      </w:tr>
    </w:tbl>
    <w:p>
      <w:pPr>
        <w:shd w:val="clear"/>
        <w:spacing w:line="360" w:lineRule="atLeast"/>
        <w:jc w:val="center"/>
        <w:rPr>
          <w:rFonts w:hint="eastAsia" w:ascii="宋体" w:hAnsi="宋体" w:eastAsia="宋体" w:cs="宋体"/>
          <w:b/>
          <w:color w:val="auto"/>
          <w:sz w:val="21"/>
          <w:szCs w:val="21"/>
          <w:highlight w:val="none"/>
        </w:rPr>
      </w:pPr>
    </w:p>
    <w:p>
      <w:pPr>
        <w:shd w:val="clear"/>
        <w:spacing w:line="360" w:lineRule="atLeast"/>
        <w:jc w:val="center"/>
        <w:rPr>
          <w:rFonts w:hint="eastAsia" w:ascii="宋体" w:hAnsi="宋体" w:eastAsia="宋体" w:cs="宋体"/>
          <w:b/>
          <w:color w:val="auto"/>
          <w:sz w:val="21"/>
          <w:szCs w:val="21"/>
          <w:highlight w:val="none"/>
        </w:rPr>
      </w:pPr>
    </w:p>
    <w:p>
      <w:pPr>
        <w:shd w:val="clear"/>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br w:type="page"/>
      </w:r>
    </w:p>
    <w:p>
      <w:pPr>
        <w:pStyle w:val="5"/>
        <w:shd w:val="clear"/>
        <w:rPr>
          <w:rFonts w:hint="eastAsia" w:ascii="宋体" w:hAnsi="宋体" w:eastAsia="宋体" w:cs="宋体"/>
          <w:color w:val="auto"/>
          <w:highlight w:val="none"/>
        </w:rPr>
      </w:pPr>
      <w:bookmarkStart w:id="318" w:name="_Toc21684"/>
      <w:bookmarkStart w:id="319" w:name="_Toc2283"/>
      <w:r>
        <w:rPr>
          <w:rFonts w:hint="eastAsia" w:ascii="宋体" w:hAnsi="宋体" w:eastAsia="宋体" w:cs="宋体"/>
          <w:color w:val="auto"/>
          <w:highlight w:val="none"/>
        </w:rPr>
        <w:t>承诺书Ⅳ</w:t>
      </w:r>
      <w:bookmarkEnd w:id="318"/>
      <w:bookmarkEnd w:id="319"/>
    </w:p>
    <w:tbl>
      <w:tblPr>
        <w:tblStyle w:val="23"/>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noWrap/>
            <w:vAlign w:val="center"/>
          </w:tcPr>
          <w:p>
            <w:pPr>
              <w:shd w:val="clear"/>
              <w:spacing w:line="360" w:lineRule="atLeas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致：</w:t>
            </w:r>
            <w:r>
              <w:rPr>
                <w:rFonts w:hint="eastAsia" w:ascii="宋体" w:hAnsi="宋体" w:eastAsia="宋体" w:cs="宋体"/>
                <w:color w:val="auto"/>
                <w:spacing w:val="-6"/>
                <w:sz w:val="21"/>
                <w:szCs w:val="21"/>
                <w:highlight w:val="none"/>
                <w:lang w:eastAsia="zh-CN"/>
              </w:rPr>
              <w:t>陕西国中恒工程项目管理有限公司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noWrap/>
            <w:vAlign w:val="center"/>
          </w:tcPr>
          <w:p>
            <w:pPr>
              <w:shd w:val="clear"/>
              <w:spacing w:line="360" w:lineRule="atLeas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作为参加贵单位组织的政府采购项目的供应商，本公司郑重申告：近三年因策划方案的不法行为记录为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rPr>
              <w:t>次（没有填零），如有隐瞒实情，愿承担一切责任及后果。</w:t>
            </w:r>
          </w:p>
          <w:p>
            <w:pPr>
              <w:shd w:val="clear"/>
              <w:spacing w:line="360" w:lineRule="atLeas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本公司承诺：本次投标</w:t>
            </w:r>
            <w:r>
              <w:rPr>
                <w:rFonts w:hint="eastAsia" w:ascii="宋体" w:hAnsi="宋体" w:eastAsia="宋体" w:cs="宋体"/>
                <w:color w:val="auto"/>
                <w:sz w:val="21"/>
                <w:szCs w:val="21"/>
                <w:highlight w:val="none"/>
                <w:lang w:val="en-US" w:eastAsia="zh-CN"/>
              </w:rPr>
              <w:t>产品</w:t>
            </w:r>
            <w:r>
              <w:rPr>
                <w:rFonts w:hint="eastAsia" w:ascii="宋体" w:hAnsi="宋体" w:eastAsia="宋体" w:cs="宋体"/>
                <w:color w:val="auto"/>
                <w:sz w:val="21"/>
                <w:szCs w:val="21"/>
                <w:highlight w:val="none"/>
              </w:rPr>
              <w:t>为正品行货。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noWrap/>
            <w:vAlign w:val="center"/>
          </w:tcPr>
          <w:p>
            <w:pPr>
              <w:shd w:val="clear"/>
              <w:spacing w:line="360" w:lineRule="atLeas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w:t>
            </w:r>
          </w:p>
        </w:tc>
        <w:tc>
          <w:tcPr>
            <w:tcW w:w="3420" w:type="dxa"/>
            <w:noWrap/>
            <w:vAlign w:val="center"/>
          </w:tcPr>
          <w:p>
            <w:pPr>
              <w:shd w:val="clear"/>
              <w:spacing w:line="360" w:lineRule="atLeas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w:t>
            </w:r>
          </w:p>
        </w:tc>
        <w:tc>
          <w:tcPr>
            <w:tcW w:w="2340" w:type="dxa"/>
            <w:noWrap/>
            <w:vAlign w:val="center"/>
          </w:tcPr>
          <w:p>
            <w:pPr>
              <w:shd w:val="clear"/>
              <w:spacing w:line="360" w:lineRule="atLeas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noWrap/>
            <w:vAlign w:val="center"/>
          </w:tcPr>
          <w:p>
            <w:pPr>
              <w:shd w:val="clear"/>
              <w:spacing w:line="360" w:lineRule="atLeas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（公章）</w:t>
            </w:r>
          </w:p>
        </w:tc>
        <w:tc>
          <w:tcPr>
            <w:tcW w:w="3420" w:type="dxa"/>
            <w:noWrap/>
            <w:vAlign w:val="center"/>
          </w:tcPr>
          <w:p>
            <w:pPr>
              <w:shd w:val="clear"/>
              <w:spacing w:line="360" w:lineRule="atLeas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（签字或盖章）</w:t>
            </w:r>
          </w:p>
        </w:tc>
        <w:tc>
          <w:tcPr>
            <w:tcW w:w="2340" w:type="dxa"/>
            <w:noWrap/>
            <w:vAlign w:val="center"/>
          </w:tcPr>
          <w:p>
            <w:pPr>
              <w:shd w:val="clear"/>
              <w:spacing w:line="360" w:lineRule="atLeast"/>
              <w:ind w:firstLine="210" w:firstLineChars="10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  月  日</w:t>
            </w:r>
          </w:p>
        </w:tc>
      </w:tr>
    </w:tbl>
    <w:p>
      <w:pPr>
        <w:shd w:val="clear"/>
        <w:ind w:right="480"/>
        <w:rPr>
          <w:rFonts w:hint="eastAsia" w:ascii="宋体" w:hAnsi="宋体" w:eastAsia="宋体" w:cs="宋体"/>
          <w:color w:val="auto"/>
          <w:sz w:val="21"/>
          <w:szCs w:val="21"/>
          <w:highlight w:val="none"/>
        </w:rPr>
      </w:pPr>
    </w:p>
    <w:p>
      <w:pPr>
        <w:pStyle w:val="5"/>
        <w:shd w:val="clear"/>
        <w:rPr>
          <w:rFonts w:hint="eastAsia" w:ascii="宋体" w:hAnsi="宋体" w:eastAsia="宋体" w:cs="宋体"/>
          <w:color w:val="auto"/>
          <w:highlight w:val="none"/>
        </w:rPr>
      </w:pPr>
      <w:bookmarkStart w:id="320" w:name="_Toc21507"/>
      <w:bookmarkStart w:id="321" w:name="_Toc676"/>
      <w:r>
        <w:rPr>
          <w:rFonts w:hint="eastAsia" w:ascii="宋体" w:hAnsi="宋体" w:eastAsia="宋体" w:cs="宋体"/>
          <w:color w:val="auto"/>
          <w:highlight w:val="none"/>
        </w:rPr>
        <w:t>承诺书</w:t>
      </w: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 5 \* ROMAN </w:instrText>
      </w:r>
      <w:r>
        <w:rPr>
          <w:rFonts w:hint="eastAsia" w:ascii="宋体" w:hAnsi="宋体" w:eastAsia="宋体" w:cs="宋体"/>
          <w:color w:val="auto"/>
          <w:highlight w:val="none"/>
        </w:rPr>
        <w:fldChar w:fldCharType="separate"/>
      </w:r>
      <w:r>
        <w:rPr>
          <w:rFonts w:hint="eastAsia" w:ascii="宋体" w:hAnsi="宋体" w:eastAsia="宋体" w:cs="宋体"/>
          <w:color w:val="auto"/>
          <w:highlight w:val="none"/>
        </w:rPr>
        <w:t>V</w:t>
      </w:r>
      <w:r>
        <w:rPr>
          <w:rFonts w:hint="eastAsia" w:ascii="宋体" w:hAnsi="宋体" w:eastAsia="宋体" w:cs="宋体"/>
          <w:color w:val="auto"/>
          <w:highlight w:val="none"/>
        </w:rPr>
        <w:fldChar w:fldCharType="end"/>
      </w:r>
      <w:bookmarkEnd w:id="320"/>
      <w:bookmarkEnd w:id="321"/>
    </w:p>
    <w:tbl>
      <w:tblPr>
        <w:tblStyle w:val="23"/>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noWrap/>
            <w:vAlign w:val="center"/>
          </w:tcPr>
          <w:p>
            <w:pPr>
              <w:shd w:val="clear"/>
              <w:spacing w:line="360" w:lineRule="atLeast"/>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致：</w:t>
            </w:r>
            <w:r>
              <w:rPr>
                <w:rFonts w:hint="eastAsia" w:ascii="宋体" w:hAnsi="宋体" w:eastAsia="宋体" w:cs="宋体"/>
                <w:color w:val="auto"/>
                <w:spacing w:val="-6"/>
                <w:sz w:val="21"/>
                <w:szCs w:val="21"/>
                <w:highlight w:val="none"/>
                <w:lang w:eastAsia="zh-CN"/>
              </w:rPr>
              <w:t>陕西国中恒工程项目管理有限公司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noWrap/>
            <w:vAlign w:val="center"/>
          </w:tcPr>
          <w:p>
            <w:pPr>
              <w:shd w:val="clear"/>
              <w:spacing w:line="360" w:lineRule="atLeas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作为参加贵单位组织的政府采购项目的供应商，本公司承诺：参加本次投标提交的所有资质证明文件及业绩证明文件是真实的、有效的，如有隐瞒实情，愿承担一切责任及后果。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noWrap/>
            <w:vAlign w:val="center"/>
          </w:tcPr>
          <w:p>
            <w:pPr>
              <w:shd w:val="clear"/>
              <w:spacing w:line="360" w:lineRule="atLeas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w:t>
            </w:r>
          </w:p>
        </w:tc>
        <w:tc>
          <w:tcPr>
            <w:tcW w:w="3420" w:type="dxa"/>
            <w:noWrap/>
            <w:vAlign w:val="center"/>
          </w:tcPr>
          <w:p>
            <w:pPr>
              <w:shd w:val="clear"/>
              <w:spacing w:line="360" w:lineRule="atLeas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法定代表人</w:t>
            </w:r>
          </w:p>
        </w:tc>
        <w:tc>
          <w:tcPr>
            <w:tcW w:w="2340" w:type="dxa"/>
            <w:noWrap/>
            <w:vAlign w:val="center"/>
          </w:tcPr>
          <w:p>
            <w:pPr>
              <w:shd w:val="clear"/>
              <w:spacing w:line="360" w:lineRule="atLeas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noWrap/>
            <w:vAlign w:val="center"/>
          </w:tcPr>
          <w:p>
            <w:pPr>
              <w:shd w:val="clear"/>
              <w:spacing w:line="360" w:lineRule="atLeas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（公章）</w:t>
            </w:r>
          </w:p>
        </w:tc>
        <w:tc>
          <w:tcPr>
            <w:tcW w:w="3420" w:type="dxa"/>
            <w:noWrap/>
            <w:vAlign w:val="center"/>
          </w:tcPr>
          <w:p>
            <w:pPr>
              <w:shd w:val="clear"/>
              <w:spacing w:line="360" w:lineRule="atLeast"/>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（签字或盖章）</w:t>
            </w:r>
          </w:p>
        </w:tc>
        <w:tc>
          <w:tcPr>
            <w:tcW w:w="2340" w:type="dxa"/>
            <w:noWrap/>
            <w:vAlign w:val="center"/>
          </w:tcPr>
          <w:p>
            <w:pPr>
              <w:shd w:val="clear"/>
              <w:spacing w:line="360" w:lineRule="atLeast"/>
              <w:ind w:firstLine="210" w:firstLineChars="10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年  月  日</w:t>
            </w:r>
          </w:p>
        </w:tc>
      </w:tr>
    </w:tbl>
    <w:p>
      <w:pPr>
        <w:shd w:val="clear"/>
        <w:wordWrap w:val="0"/>
        <w:ind w:right="456" w:firstLine="1687" w:firstLineChars="800"/>
        <w:rPr>
          <w:rFonts w:hint="eastAsia" w:ascii="宋体" w:hAnsi="宋体" w:eastAsia="宋体" w:cs="宋体"/>
          <w:b/>
          <w:bCs/>
          <w:color w:val="auto"/>
          <w:sz w:val="21"/>
          <w:szCs w:val="21"/>
          <w:highlight w:val="none"/>
        </w:rPr>
      </w:pPr>
    </w:p>
    <w:p>
      <w:pPr>
        <w:shd w:val="clear"/>
        <w:wordWrap w:val="0"/>
        <w:ind w:right="456" w:firstLine="1687" w:firstLineChars="800"/>
        <w:rPr>
          <w:rFonts w:hint="eastAsia" w:ascii="宋体" w:hAnsi="宋体" w:eastAsia="宋体" w:cs="宋体"/>
          <w:b/>
          <w:bCs/>
          <w:color w:val="auto"/>
          <w:sz w:val="21"/>
          <w:szCs w:val="21"/>
          <w:highlight w:val="none"/>
        </w:rPr>
      </w:pPr>
    </w:p>
    <w:p>
      <w:pPr>
        <w:shd w:val="clea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br w:type="page"/>
      </w:r>
    </w:p>
    <w:p>
      <w:pPr>
        <w:pStyle w:val="4"/>
        <w:shd w:val="clear"/>
        <w:rPr>
          <w:rFonts w:hint="eastAsia" w:ascii="宋体" w:hAnsi="宋体" w:eastAsia="宋体" w:cs="宋体"/>
          <w:color w:val="auto"/>
          <w:highlight w:val="none"/>
        </w:rPr>
      </w:pPr>
      <w:bookmarkStart w:id="322" w:name="_Toc10409"/>
      <w:bookmarkStart w:id="323" w:name="_Toc18781"/>
      <w:bookmarkStart w:id="324" w:name="_Toc19316"/>
      <w:bookmarkStart w:id="325" w:name="_Toc518821231"/>
      <w:bookmarkStart w:id="326" w:name="_Toc6626"/>
      <w:r>
        <w:rPr>
          <w:rFonts w:hint="eastAsia" w:ascii="宋体" w:hAnsi="宋体" w:eastAsia="宋体" w:cs="宋体"/>
          <w:color w:val="auto"/>
          <w:highlight w:val="none"/>
        </w:rPr>
        <w:t>第八部分  附件</w:t>
      </w:r>
      <w:bookmarkEnd w:id="322"/>
      <w:bookmarkEnd w:id="323"/>
      <w:bookmarkEnd w:id="324"/>
    </w:p>
    <w:bookmarkEnd w:id="325"/>
    <w:bookmarkEnd w:id="326"/>
    <w:p>
      <w:pPr>
        <w:pStyle w:val="5"/>
        <w:shd w:val="clear"/>
        <w:rPr>
          <w:rFonts w:hint="eastAsia" w:ascii="宋体" w:hAnsi="宋体" w:eastAsia="宋体" w:cs="宋体"/>
          <w:color w:val="auto"/>
          <w:highlight w:val="none"/>
        </w:rPr>
      </w:pPr>
      <w:bookmarkStart w:id="327" w:name="_Toc518821236"/>
      <w:bookmarkStart w:id="328" w:name="_Toc8194"/>
      <w:bookmarkStart w:id="329" w:name="_Toc16680"/>
      <w:bookmarkStart w:id="330" w:name="_Toc474939051"/>
      <w:bookmarkStart w:id="331" w:name="_Toc474827635"/>
      <w:bookmarkStart w:id="332" w:name="_Toc24275"/>
      <w:bookmarkStart w:id="333" w:name="_Toc13644"/>
      <w:bookmarkStart w:id="334" w:name="_Toc23027"/>
      <w:r>
        <w:rPr>
          <w:rFonts w:hint="eastAsia" w:ascii="宋体" w:hAnsi="宋体" w:eastAsia="宋体" w:cs="宋体"/>
          <w:color w:val="auto"/>
          <w:highlight w:val="none"/>
        </w:rPr>
        <w:t>附件</w:t>
      </w:r>
      <w:r>
        <w:rPr>
          <w:rFonts w:hint="eastAsia" w:ascii="宋体" w:hAnsi="宋体" w:eastAsia="宋体" w:cs="宋体"/>
          <w:color w:val="auto"/>
          <w:highlight w:val="none"/>
          <w:lang w:val="en-US" w:eastAsia="zh-CN"/>
        </w:rPr>
        <w:t>1</w:t>
      </w:r>
      <w:r>
        <w:rPr>
          <w:rFonts w:hint="eastAsia" w:ascii="宋体" w:hAnsi="宋体" w:eastAsia="宋体" w:cs="宋体"/>
          <w:color w:val="auto"/>
          <w:highlight w:val="none"/>
        </w:rPr>
        <w:t xml:space="preserve">  </w:t>
      </w:r>
      <w:bookmarkEnd w:id="327"/>
      <w:bookmarkEnd w:id="328"/>
      <w:bookmarkEnd w:id="329"/>
      <w:bookmarkEnd w:id="330"/>
      <w:bookmarkEnd w:id="331"/>
      <w:bookmarkEnd w:id="332"/>
      <w:r>
        <w:rPr>
          <w:rFonts w:hint="eastAsia" w:ascii="宋体" w:hAnsi="宋体" w:eastAsia="宋体" w:cs="宋体"/>
          <w:color w:val="auto"/>
          <w:highlight w:val="none"/>
        </w:rPr>
        <w:t>中小企业声明函（如有则提供）</w:t>
      </w:r>
      <w:bookmarkEnd w:id="333"/>
      <w:bookmarkEnd w:id="334"/>
    </w:p>
    <w:p>
      <w:pPr>
        <w:shd w:val="clear"/>
        <w:adjustRightInd w:val="0"/>
        <w:snapToGrid w:val="0"/>
        <w:spacing w:before="50"/>
        <w:jc w:val="center"/>
        <w:rPr>
          <w:rFonts w:hint="eastAsia" w:ascii="宋体" w:hAnsi="宋体" w:eastAsia="宋体" w:cs="宋体"/>
          <w:b/>
          <w:color w:val="auto"/>
          <w:sz w:val="21"/>
          <w:szCs w:val="21"/>
          <w:highlight w:val="none"/>
        </w:rPr>
      </w:pPr>
    </w:p>
    <w:p>
      <w:pPr>
        <w:shd w:val="clear"/>
        <w:adjustRightInd w:val="0"/>
        <w:snapToGrid w:val="0"/>
        <w:spacing w:before="50"/>
        <w:jc w:val="center"/>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rPr>
        <w:t>中小企业声明函</w:t>
      </w:r>
    </w:p>
    <w:p>
      <w:pPr>
        <w:pStyle w:val="8"/>
        <w:shd w:val="clear"/>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本公司（联合体）郑重声明，根据《政府采购促进中小企业发展管理办法》（财库〔2020）46号）的规定，本公司（联合体）参加</w:t>
      </w:r>
      <w:r>
        <w:rPr>
          <w:rFonts w:hint="eastAsia" w:ascii="宋体" w:hAnsi="宋体" w:eastAsia="宋体" w:cs="宋体"/>
          <w:color w:val="auto"/>
          <w:kern w:val="0"/>
          <w:sz w:val="21"/>
          <w:szCs w:val="21"/>
          <w:highlight w:val="none"/>
          <w:u w:val="single"/>
        </w:rPr>
        <w:t>（单位名称）</w:t>
      </w:r>
      <w:r>
        <w:rPr>
          <w:rFonts w:hint="eastAsia" w:ascii="宋体" w:hAnsi="宋体" w:eastAsia="宋体" w:cs="宋体"/>
          <w:color w:val="auto"/>
          <w:kern w:val="0"/>
          <w:sz w:val="21"/>
          <w:szCs w:val="21"/>
          <w:highlight w:val="none"/>
        </w:rPr>
        <w:t>的</w:t>
      </w:r>
      <w:r>
        <w:rPr>
          <w:rFonts w:hint="eastAsia" w:ascii="宋体" w:hAnsi="宋体" w:eastAsia="宋体" w:cs="宋体"/>
          <w:color w:val="auto"/>
          <w:kern w:val="0"/>
          <w:sz w:val="21"/>
          <w:szCs w:val="21"/>
          <w:highlight w:val="none"/>
          <w:u w:val="single"/>
        </w:rPr>
        <w:t>（项目名称）</w:t>
      </w:r>
      <w:r>
        <w:rPr>
          <w:rFonts w:hint="eastAsia" w:ascii="宋体" w:hAnsi="宋体" w:eastAsia="宋体" w:cs="宋体"/>
          <w:color w:val="auto"/>
          <w:kern w:val="0"/>
          <w:sz w:val="21"/>
          <w:szCs w:val="21"/>
          <w:highlight w:val="none"/>
        </w:rPr>
        <w:t>采购活动，提供的货物全部由符合政策要求的中小企业制造。相关企业（含联合体中的中小企业、签订分包意向协议的中小企业）的具体情况如下∶</w:t>
      </w:r>
    </w:p>
    <w:p>
      <w:pPr>
        <w:pStyle w:val="8"/>
        <w:numPr>
          <w:ilvl w:val="0"/>
          <w:numId w:val="7"/>
        </w:numPr>
        <w:shd w:val="clear"/>
        <w:rPr>
          <w:rFonts w:hint="eastAsia" w:ascii="宋体" w:hAnsi="宋体" w:eastAsia="宋体" w:cs="宋体"/>
          <w:color w:val="auto"/>
          <w:kern w:val="0"/>
          <w:sz w:val="21"/>
          <w:szCs w:val="21"/>
          <w:highlight w:val="none"/>
          <w:u w:val="none"/>
        </w:rPr>
      </w:pPr>
      <w:r>
        <w:rPr>
          <w:rFonts w:hint="eastAsia" w:ascii="宋体" w:hAnsi="宋体" w:eastAsia="宋体" w:cs="宋体"/>
          <w:color w:val="auto"/>
          <w:kern w:val="0"/>
          <w:sz w:val="21"/>
          <w:szCs w:val="21"/>
          <w:highlight w:val="none"/>
          <w:u w:val="single"/>
        </w:rPr>
        <w:t>（标的名称）</w:t>
      </w:r>
      <w:r>
        <w:rPr>
          <w:rFonts w:hint="eastAsia" w:ascii="宋体" w:hAnsi="宋体" w:eastAsia="宋体" w:cs="宋体"/>
          <w:color w:val="auto"/>
          <w:kern w:val="0"/>
          <w:sz w:val="21"/>
          <w:szCs w:val="21"/>
          <w:highlight w:val="none"/>
        </w:rPr>
        <w:t>，属于</w:t>
      </w:r>
      <w:r>
        <w:rPr>
          <w:rFonts w:hint="eastAsia" w:ascii="宋体" w:hAnsi="宋体" w:eastAsia="宋体" w:cs="宋体"/>
          <w:color w:val="auto"/>
          <w:kern w:val="0"/>
          <w:sz w:val="21"/>
          <w:szCs w:val="21"/>
          <w:highlight w:val="none"/>
          <w:u w:val="single"/>
        </w:rPr>
        <w:t>（采购文件中明确的所属行业）行业</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制造商为</w:t>
      </w:r>
      <w:r>
        <w:rPr>
          <w:rFonts w:hint="eastAsia" w:ascii="宋体" w:hAnsi="宋体" w:eastAsia="宋体" w:cs="宋体"/>
          <w:color w:val="auto"/>
          <w:kern w:val="0"/>
          <w:sz w:val="21"/>
          <w:szCs w:val="21"/>
          <w:highlight w:val="none"/>
          <w:u w:val="single"/>
        </w:rPr>
        <w:t>_（企业名称）</w:t>
      </w:r>
      <w:r>
        <w:rPr>
          <w:rFonts w:hint="eastAsia" w:ascii="宋体" w:hAnsi="宋体" w:eastAsia="宋体" w:cs="宋体"/>
          <w:color w:val="auto"/>
          <w:kern w:val="0"/>
          <w:sz w:val="21"/>
          <w:szCs w:val="21"/>
          <w:highlight w:val="none"/>
        </w:rPr>
        <w:t>，从业人员</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rPr>
        <w:t>人，营业收入为</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rPr>
        <w:t>万元，资产总额为</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rPr>
        <w:t>万元，属于_</w:t>
      </w:r>
      <w:r>
        <w:rPr>
          <w:rFonts w:hint="eastAsia" w:ascii="宋体" w:hAnsi="宋体" w:eastAsia="宋体" w:cs="宋体"/>
          <w:color w:val="auto"/>
          <w:kern w:val="0"/>
          <w:sz w:val="21"/>
          <w:szCs w:val="21"/>
          <w:highlight w:val="none"/>
          <w:u w:val="single"/>
        </w:rPr>
        <w:t>（中型企业、少型企业、微型企业）</w:t>
      </w:r>
      <w:r>
        <w:rPr>
          <w:rFonts w:hint="eastAsia" w:ascii="宋体" w:hAnsi="宋体" w:eastAsia="宋体" w:cs="宋体"/>
          <w:color w:val="auto"/>
          <w:kern w:val="0"/>
          <w:sz w:val="21"/>
          <w:szCs w:val="21"/>
          <w:highlight w:val="none"/>
          <w:u w:val="none"/>
          <w:lang w:eastAsia="zh-CN"/>
        </w:rPr>
        <w:t>；</w:t>
      </w:r>
    </w:p>
    <w:p>
      <w:pPr>
        <w:pStyle w:val="8"/>
        <w:numPr>
          <w:ilvl w:val="0"/>
          <w:numId w:val="7"/>
        </w:numPr>
        <w:shd w:val="clear"/>
        <w:ind w:left="0" w:leftChars="0"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u w:val="single"/>
        </w:rPr>
        <w:t>（标的名称）</w:t>
      </w:r>
      <w:r>
        <w:rPr>
          <w:rFonts w:hint="eastAsia" w:ascii="宋体" w:hAnsi="宋体" w:eastAsia="宋体" w:cs="宋体"/>
          <w:color w:val="auto"/>
          <w:kern w:val="0"/>
          <w:sz w:val="21"/>
          <w:szCs w:val="21"/>
          <w:highlight w:val="none"/>
        </w:rPr>
        <w:t>，属于</w:t>
      </w:r>
      <w:r>
        <w:rPr>
          <w:rFonts w:hint="eastAsia" w:ascii="宋体" w:hAnsi="宋体" w:eastAsia="宋体" w:cs="宋体"/>
          <w:color w:val="auto"/>
          <w:kern w:val="0"/>
          <w:sz w:val="21"/>
          <w:szCs w:val="21"/>
          <w:highlight w:val="none"/>
          <w:u w:val="single"/>
        </w:rPr>
        <w:t>（采购文件中明碲的所属行业）行业</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制造商为</w:t>
      </w:r>
      <w:r>
        <w:rPr>
          <w:rFonts w:hint="eastAsia" w:ascii="宋体" w:hAnsi="宋体" w:eastAsia="宋体" w:cs="宋体"/>
          <w:color w:val="auto"/>
          <w:kern w:val="0"/>
          <w:sz w:val="21"/>
          <w:szCs w:val="21"/>
          <w:highlight w:val="none"/>
          <w:u w:val="single"/>
        </w:rPr>
        <w:t>（企业名称）</w:t>
      </w:r>
      <w:r>
        <w:rPr>
          <w:rFonts w:hint="eastAsia" w:ascii="宋体" w:hAnsi="宋体" w:eastAsia="宋体" w:cs="宋体"/>
          <w:color w:val="auto"/>
          <w:kern w:val="0"/>
          <w:sz w:val="21"/>
          <w:szCs w:val="21"/>
          <w:highlight w:val="none"/>
        </w:rPr>
        <w:t>，从业人员</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rPr>
        <w:t>人，营业收入为</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rPr>
        <w:t>万元，资产总额为</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rPr>
        <w:t>万元，属于</w:t>
      </w:r>
      <w:r>
        <w:rPr>
          <w:rFonts w:hint="eastAsia" w:ascii="宋体" w:hAnsi="宋体" w:eastAsia="宋体" w:cs="宋体"/>
          <w:color w:val="auto"/>
          <w:kern w:val="0"/>
          <w:sz w:val="21"/>
          <w:szCs w:val="21"/>
          <w:highlight w:val="none"/>
          <w:u w:val="single"/>
          <w:lang w:val="en-US" w:eastAsia="zh-CN"/>
        </w:rPr>
        <w:t xml:space="preserve"> </w:t>
      </w:r>
      <w:r>
        <w:rPr>
          <w:rFonts w:hint="eastAsia" w:ascii="宋体" w:hAnsi="宋体" w:eastAsia="宋体" w:cs="宋体"/>
          <w:color w:val="auto"/>
          <w:kern w:val="0"/>
          <w:sz w:val="21"/>
          <w:szCs w:val="21"/>
          <w:highlight w:val="none"/>
          <w:u w:val="single"/>
        </w:rPr>
        <w:t>（中型企业、小型企业、微型企业）</w:t>
      </w:r>
      <w:r>
        <w:rPr>
          <w:rFonts w:hint="eastAsia" w:ascii="宋体" w:hAnsi="宋体" w:eastAsia="宋体" w:cs="宋体"/>
          <w:color w:val="auto"/>
          <w:kern w:val="0"/>
          <w:sz w:val="21"/>
          <w:szCs w:val="21"/>
          <w:highlight w:val="none"/>
          <w:lang w:eastAsia="zh-CN"/>
        </w:rPr>
        <w:t>；</w:t>
      </w:r>
    </w:p>
    <w:p>
      <w:pPr>
        <w:pStyle w:val="8"/>
        <w:numPr>
          <w:ilvl w:val="0"/>
          <w:numId w:val="0"/>
        </w:numPr>
        <w:shd w:val="clear"/>
        <w:ind w:left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w:t>
      </w:r>
    </w:p>
    <w:p>
      <w:pPr>
        <w:pStyle w:val="8"/>
        <w:numPr>
          <w:ilvl w:val="0"/>
          <w:numId w:val="0"/>
        </w:numPr>
        <w:shd w:val="clear"/>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以上企业，不属于大企业的分支机构，不存在控股股东为大企业的情形，也不存在与大企业的负责人为同一人的情形。</w:t>
      </w:r>
    </w:p>
    <w:p>
      <w:pPr>
        <w:pStyle w:val="8"/>
        <w:numPr>
          <w:ilvl w:val="0"/>
          <w:numId w:val="0"/>
        </w:numPr>
        <w:shd w:val="clear"/>
        <w:ind w:firstLine="420" w:firstLineChars="2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本企业对上述声明内容的真实性负责。如有虚假，将依法承担相应责任。</w:t>
      </w:r>
    </w:p>
    <w:p>
      <w:pPr>
        <w:pStyle w:val="8"/>
        <w:numPr>
          <w:ilvl w:val="0"/>
          <w:numId w:val="0"/>
        </w:numPr>
        <w:shd w:val="clear"/>
        <w:ind w:firstLine="4410" w:firstLineChars="21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企业名称（盖章）∶</w:t>
      </w:r>
    </w:p>
    <w:p>
      <w:pPr>
        <w:pStyle w:val="8"/>
        <w:numPr>
          <w:ilvl w:val="0"/>
          <w:numId w:val="0"/>
        </w:numPr>
        <w:shd w:val="clear"/>
        <w:ind w:firstLine="4410" w:firstLineChars="2100"/>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日</w:t>
      </w:r>
      <w:r>
        <w:rPr>
          <w:rFonts w:hint="eastAsia" w:ascii="宋体" w:hAnsi="宋体" w:eastAsia="宋体" w:cs="宋体"/>
          <w:color w:val="auto"/>
          <w:kern w:val="0"/>
          <w:sz w:val="21"/>
          <w:szCs w:val="21"/>
          <w:highlight w:val="none"/>
          <w:lang w:val="en-US" w:eastAsia="zh-CN"/>
        </w:rPr>
        <w:t xml:space="preserve">   </w:t>
      </w:r>
      <w:r>
        <w:rPr>
          <w:rFonts w:hint="eastAsia" w:ascii="宋体" w:hAnsi="宋体" w:eastAsia="宋体" w:cs="宋体"/>
          <w:color w:val="auto"/>
          <w:kern w:val="0"/>
          <w:sz w:val="21"/>
          <w:szCs w:val="21"/>
          <w:highlight w:val="none"/>
        </w:rPr>
        <w:t>期∶</w:t>
      </w:r>
    </w:p>
    <w:p>
      <w:pPr>
        <w:shd w:val="clear"/>
        <w:adjustRightInd w:val="0"/>
        <w:snapToGrid w:val="0"/>
        <w:spacing w:line="360" w:lineRule="exact"/>
        <w:ind w:left="840" w:hanging="840" w:hangingChars="400"/>
        <w:rPr>
          <w:rFonts w:hint="eastAsia" w:ascii="宋体" w:hAnsi="宋体" w:eastAsia="宋体" w:cs="宋体"/>
          <w:color w:val="auto"/>
          <w:sz w:val="21"/>
          <w:szCs w:val="21"/>
          <w:highlight w:val="none"/>
        </w:rPr>
      </w:pPr>
    </w:p>
    <w:p>
      <w:pPr>
        <w:shd w:val="clear"/>
        <w:adjustRightInd w:val="0"/>
        <w:snapToGrid w:val="0"/>
        <w:spacing w:line="360" w:lineRule="exact"/>
        <w:ind w:left="840" w:hanging="840" w:hangingChars="4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说明：</w:t>
      </w:r>
    </w:p>
    <w:p>
      <w:pPr>
        <w:shd w:val="clear"/>
        <w:adjustRightInd w:val="0"/>
        <w:snapToGrid w:val="0"/>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1.从业人员、营业收入、资产总额填报上一年度数据，无上一年度数据的新成立企业可不填报。</w:t>
      </w:r>
    </w:p>
    <w:p>
      <w:pPr>
        <w:shd w:val="clear"/>
        <w:adjustRightInd w:val="0"/>
        <w:snapToGrid w:val="0"/>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填写前请认真阅读</w:t>
      </w:r>
      <w:r>
        <w:rPr>
          <w:rFonts w:hint="eastAsia" w:ascii="宋体" w:hAnsi="宋体" w:eastAsia="宋体" w:cs="宋体"/>
          <w:color w:val="auto"/>
          <w:spacing w:val="6"/>
          <w:kern w:val="0"/>
          <w:sz w:val="21"/>
          <w:szCs w:val="21"/>
          <w:highlight w:val="none"/>
        </w:rPr>
        <w:t>《工业和信息化部、国家统计局、国家发展和改革委员会、财政部关于印发中小企业划型标准规定的通知》（工信部联企业[2011]300号）和</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政府采购促进中小企业发展管理办法</w:t>
      </w:r>
      <w:r>
        <w:rPr>
          <w:rFonts w:hint="eastAsia" w:ascii="宋体" w:hAnsi="宋体" w:eastAsia="宋体" w:cs="宋体"/>
          <w:color w:val="auto"/>
          <w:sz w:val="21"/>
          <w:szCs w:val="21"/>
          <w:highlight w:val="none"/>
          <w:lang w:eastAsia="zh-CN"/>
        </w:rPr>
        <w:t>》（财库〔2020〕46号）</w:t>
      </w:r>
      <w:r>
        <w:rPr>
          <w:rFonts w:hint="eastAsia" w:ascii="宋体" w:hAnsi="宋体" w:eastAsia="宋体" w:cs="宋体"/>
          <w:color w:val="auto"/>
          <w:sz w:val="21"/>
          <w:szCs w:val="21"/>
          <w:highlight w:val="none"/>
        </w:rPr>
        <w:t>相关规定。</w:t>
      </w:r>
    </w:p>
    <w:p>
      <w:pPr>
        <w:shd w:val="clear"/>
        <w:adjustRightInd w:val="0"/>
        <w:snapToGrid w:val="0"/>
        <w:spacing w:line="360" w:lineRule="exact"/>
        <w:ind w:firstLine="420" w:firstLineChars="200"/>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3</w:t>
      </w:r>
      <w:r>
        <w:rPr>
          <w:rFonts w:hint="eastAsia" w:ascii="宋体" w:hAnsi="宋体" w:eastAsia="宋体" w:cs="宋体"/>
          <w:b w:val="0"/>
          <w:bCs w:val="0"/>
          <w:color w:val="auto"/>
          <w:sz w:val="21"/>
          <w:szCs w:val="21"/>
          <w:highlight w:val="none"/>
        </w:rPr>
        <w:t>.</w:t>
      </w:r>
      <w:r>
        <w:rPr>
          <w:rFonts w:hint="eastAsia" w:ascii="宋体" w:hAnsi="宋体" w:eastAsia="宋体" w:cs="宋体"/>
          <w:b w:val="0"/>
          <w:bCs w:val="0"/>
          <w:color w:val="auto"/>
          <w:sz w:val="21"/>
          <w:szCs w:val="21"/>
          <w:highlight w:val="none"/>
          <w:lang w:val="en-US" w:eastAsia="zh-CN"/>
        </w:rPr>
        <w:t>主要标的产品所属行业：除本招标文件第五章采购需求备注中为“软件和信息技术服务业”的，其余均为“工业”。</w:t>
      </w:r>
    </w:p>
    <w:p>
      <w:pPr>
        <w:shd w:val="clear"/>
        <w:adjustRightInd w:val="0"/>
        <w:snapToGrid w:val="0"/>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b w:val="0"/>
          <w:bCs w:val="0"/>
          <w:color w:val="auto"/>
          <w:sz w:val="21"/>
          <w:szCs w:val="21"/>
          <w:highlight w:val="none"/>
          <w:lang w:val="en-US" w:eastAsia="zh-CN"/>
        </w:rPr>
        <w:t>4</w:t>
      </w:r>
      <w:r>
        <w:rPr>
          <w:rFonts w:hint="eastAsia" w:ascii="宋体" w:hAnsi="宋体" w:eastAsia="宋体" w:cs="宋体"/>
          <w:b w:val="0"/>
          <w:bCs w:val="0"/>
          <w:color w:val="auto"/>
          <w:sz w:val="21"/>
          <w:szCs w:val="21"/>
          <w:highlight w:val="none"/>
        </w:rPr>
        <w:t>.中小企业部分提供其</w:t>
      </w:r>
      <w:r>
        <w:rPr>
          <w:rFonts w:hint="eastAsia" w:ascii="宋体" w:hAnsi="宋体" w:eastAsia="宋体" w:cs="宋体"/>
          <w:color w:val="auto"/>
          <w:sz w:val="21"/>
          <w:szCs w:val="21"/>
          <w:highlight w:val="none"/>
        </w:rPr>
        <w:t>他小、微企业制造货物的应另附说明，并与《</w:t>
      </w:r>
      <w:r>
        <w:rPr>
          <w:rFonts w:hint="eastAsia" w:ascii="宋体" w:hAnsi="宋体" w:eastAsia="宋体" w:cs="宋体"/>
          <w:color w:val="auto"/>
          <w:sz w:val="21"/>
          <w:szCs w:val="21"/>
          <w:highlight w:val="none"/>
          <w:lang w:val="en-US" w:eastAsia="zh-CN"/>
        </w:rPr>
        <w:t>分项报价表</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中所填写生产厂家信息</w:t>
      </w:r>
      <w:r>
        <w:rPr>
          <w:rFonts w:hint="eastAsia" w:ascii="宋体" w:hAnsi="宋体" w:eastAsia="宋体" w:cs="宋体"/>
          <w:color w:val="auto"/>
          <w:sz w:val="21"/>
          <w:szCs w:val="21"/>
          <w:highlight w:val="none"/>
        </w:rPr>
        <w:t>保持一致。</w:t>
      </w:r>
    </w:p>
    <w:p>
      <w:pPr>
        <w:shd w:val="clear"/>
        <w:adjustRightInd w:val="0"/>
        <w:snapToGrid w:val="0"/>
        <w:spacing w:line="360" w:lineRule="exact"/>
        <w:ind w:firstLine="420" w:firstLineChars="20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未按上述要求提供、填写的，评标时不予以考虑。</w:t>
      </w:r>
    </w:p>
    <w:p>
      <w:pPr>
        <w:shd w:val="clea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br w:type="page"/>
      </w:r>
    </w:p>
    <w:p>
      <w:pPr>
        <w:pStyle w:val="5"/>
        <w:shd w:val="clear"/>
        <w:rPr>
          <w:rFonts w:hint="eastAsia" w:ascii="宋体" w:hAnsi="宋体" w:eastAsia="宋体" w:cs="宋体"/>
          <w:color w:val="auto"/>
          <w:highlight w:val="none"/>
        </w:rPr>
      </w:pPr>
      <w:bookmarkStart w:id="335" w:name="_Toc14496"/>
      <w:bookmarkStart w:id="336" w:name="_Toc27610"/>
      <w:bookmarkStart w:id="337" w:name="_Toc14635"/>
      <w:bookmarkStart w:id="338" w:name="_Toc6240"/>
      <w:r>
        <w:rPr>
          <w:rFonts w:hint="eastAsia" w:ascii="宋体" w:hAnsi="宋体" w:eastAsia="宋体" w:cs="宋体"/>
          <w:color w:val="auto"/>
          <w:highlight w:val="none"/>
        </w:rPr>
        <w:t>附件</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 xml:space="preserve">  残疾人福利性单位声明函（如有则提供）</w:t>
      </w:r>
      <w:bookmarkEnd w:id="335"/>
      <w:bookmarkEnd w:id="336"/>
      <w:bookmarkEnd w:id="337"/>
      <w:bookmarkEnd w:id="338"/>
    </w:p>
    <w:p>
      <w:pPr>
        <w:shd w:val="clear"/>
        <w:spacing w:line="500" w:lineRule="exact"/>
        <w:jc w:val="center"/>
        <w:rPr>
          <w:rFonts w:hint="eastAsia" w:ascii="宋体" w:hAnsi="宋体" w:eastAsia="宋体" w:cs="宋体"/>
          <w:bCs/>
          <w:color w:val="auto"/>
          <w:sz w:val="21"/>
          <w:szCs w:val="21"/>
          <w:highlight w:val="none"/>
        </w:rPr>
      </w:pPr>
    </w:p>
    <w:p>
      <w:pPr>
        <w:shd w:val="clear"/>
        <w:spacing w:line="500" w:lineRule="exact"/>
        <w:ind w:firstLine="420" w:firstLineChars="200"/>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本单位郑重声明，根据《财政部 民政部 中国残疾人联合会关于促进残疾人就业政府采购政策的通知》（财库〔2017〕141号）的规定，本单位为符合条件的残疾人福利性单位，且本单位参加</w:t>
      </w:r>
      <w:r>
        <w:rPr>
          <w:rFonts w:hint="eastAsia" w:ascii="宋体" w:hAnsi="宋体" w:eastAsia="宋体" w:cs="宋体"/>
          <w:bCs/>
          <w:color w:val="auto"/>
          <w:sz w:val="21"/>
          <w:szCs w:val="21"/>
          <w:highlight w:val="none"/>
          <w:u w:val="single"/>
        </w:rPr>
        <w:t xml:space="preserve">   项目名称       （</w:t>
      </w:r>
      <w:r>
        <w:rPr>
          <w:rFonts w:hint="eastAsia" w:ascii="宋体" w:hAnsi="宋体" w:eastAsia="宋体" w:cs="宋体"/>
          <w:bCs/>
          <w:color w:val="auto"/>
          <w:sz w:val="21"/>
          <w:szCs w:val="21"/>
          <w:highlight w:val="none"/>
        </w:rPr>
        <w:t>项目编号）采购活动提供本单位制造的货物（由本单位承担工程/提供服务），或者提供其他残疾人福利性单位制造的货物（不包括使用非残疾人福利性单位注册商标的货物）。</w:t>
      </w:r>
    </w:p>
    <w:p>
      <w:pPr>
        <w:shd w:val="clear"/>
        <w:spacing w:line="500" w:lineRule="exact"/>
        <w:ind w:firstLine="420" w:firstLineChars="200"/>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本单位对上述声明的真实性负责。如有虚假，将依法承担相应责任。</w:t>
      </w:r>
    </w:p>
    <w:p>
      <w:pPr>
        <w:shd w:val="clear"/>
        <w:spacing w:line="500" w:lineRule="exact"/>
        <w:ind w:firstLine="420" w:firstLineChars="200"/>
        <w:jc w:val="left"/>
        <w:rPr>
          <w:rFonts w:hint="eastAsia" w:ascii="宋体" w:hAnsi="宋体" w:eastAsia="宋体" w:cs="宋体"/>
          <w:bCs/>
          <w:color w:val="auto"/>
          <w:sz w:val="21"/>
          <w:szCs w:val="21"/>
          <w:highlight w:val="none"/>
        </w:rPr>
      </w:pPr>
    </w:p>
    <w:p>
      <w:pPr>
        <w:shd w:val="clear"/>
        <w:ind w:firstLine="315" w:firstLineChars="150"/>
        <w:jc w:val="right"/>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供应商名称：</w:t>
      </w:r>
      <w:r>
        <w:rPr>
          <w:rFonts w:hint="eastAsia" w:ascii="宋体" w:hAnsi="宋体" w:eastAsia="宋体" w:cs="宋体"/>
          <w:color w:val="auto"/>
          <w:sz w:val="21"/>
          <w:szCs w:val="21"/>
          <w:highlight w:val="none"/>
          <w:u w:val="single"/>
        </w:rPr>
        <w:t>（填写单位全称并加盖公章）</w:t>
      </w:r>
    </w:p>
    <w:p>
      <w:pPr>
        <w:shd w:val="clear"/>
        <w:jc w:val="righ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法定代表人或被授权代表：（签字或盖章） </w:t>
      </w:r>
    </w:p>
    <w:p>
      <w:pPr>
        <w:shd w:val="clear"/>
        <w:jc w:val="righ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日期</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年月日</w:t>
      </w:r>
    </w:p>
    <w:p>
      <w:pPr>
        <w:widowControl/>
        <w:shd w:val="clear"/>
        <w:spacing w:line="240" w:lineRule="auto"/>
        <w:jc w:val="left"/>
        <w:rPr>
          <w:rFonts w:hint="eastAsia" w:ascii="宋体" w:hAnsi="宋体" w:eastAsia="宋体" w:cs="宋体"/>
          <w:color w:val="auto"/>
          <w:kern w:val="0"/>
          <w:sz w:val="21"/>
          <w:szCs w:val="21"/>
          <w:highlight w:val="none"/>
        </w:rPr>
      </w:pPr>
    </w:p>
    <w:p>
      <w:pPr>
        <w:shd w:val="clear"/>
        <w:rPr>
          <w:rFonts w:hint="eastAsia" w:ascii="宋体" w:hAnsi="宋体" w:eastAsia="宋体" w:cs="宋体"/>
          <w:color w:val="auto"/>
          <w:sz w:val="21"/>
          <w:szCs w:val="21"/>
          <w:highlight w:val="none"/>
        </w:rPr>
      </w:pPr>
    </w:p>
    <w:p>
      <w:pPr>
        <w:widowControl/>
        <w:shd w:val="clear"/>
        <w:spacing w:line="240" w:lineRule="auto"/>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注：1、根据《财政部 民政部 中国残疾人联合会关于促进残疾人就业政府采购政策的通知》（财库〔2017〕141号）的规定：</w:t>
      </w:r>
    </w:p>
    <w:p>
      <w:pPr>
        <w:widowControl/>
        <w:shd w:val="clear"/>
        <w:spacing w:line="240" w:lineRule="auto"/>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一、享受政府采购支持政策的残疾人福利性单位应当同时满足以下条件：</w:t>
      </w:r>
    </w:p>
    <w:p>
      <w:pPr>
        <w:widowControl/>
        <w:shd w:val="clear"/>
        <w:spacing w:line="240" w:lineRule="auto"/>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（一）安置的残疾人占本单位在职职工人数的比例不低于25%（含25%），并且安置的残疾人人数不少于10人（含10人）；</w:t>
      </w:r>
    </w:p>
    <w:p>
      <w:pPr>
        <w:widowControl/>
        <w:shd w:val="clear"/>
        <w:spacing w:line="240" w:lineRule="auto"/>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（二）依法与安置的每位残疾人签订了一年以上（含一年）的劳动合同或服务协议；</w:t>
      </w:r>
    </w:p>
    <w:p>
      <w:pPr>
        <w:widowControl/>
        <w:shd w:val="clear"/>
        <w:spacing w:line="240" w:lineRule="auto"/>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（三）为安置的每位残疾人按月足额缴纳了基本养老保险、基本医疗保险、失业保险、工伤保险和生育保险等社会保险费；</w:t>
      </w:r>
    </w:p>
    <w:p>
      <w:pPr>
        <w:widowControl/>
        <w:shd w:val="clear"/>
        <w:spacing w:line="240" w:lineRule="auto"/>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（四）通过银行等金融机构向安置的每位残疾人，按月支付了不低于单位所在区县适用的经省级人民政府批准的月最低工资标准的工资；</w:t>
      </w:r>
    </w:p>
    <w:p>
      <w:pPr>
        <w:widowControl/>
        <w:shd w:val="clear"/>
        <w:spacing w:line="240" w:lineRule="auto"/>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（五）提供本单位制造的货物、承担的工程或者服务（以下简称产品），或者提供其他残疾人福利性单位制造的货物（不包括使用非残疾人福利性单位注册商标的货物）。</w:t>
      </w:r>
    </w:p>
    <w:p>
      <w:pPr>
        <w:widowControl/>
        <w:shd w:val="clear"/>
        <w:spacing w:line="240" w:lineRule="auto"/>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前款所称残疾人是指法定劳动年龄内，持有《中华人民共和国残疾人证》或者《中华人民共和国残疾军人证（1至8级）》的自然人，包括具有劳动条件和劳动意愿的精神残疾人。在职职工人数是指与残疾人福利性单位建立劳动关系并依法签订劳动合同或者服务协议的雇员人数。</w:t>
      </w:r>
    </w:p>
    <w:p>
      <w:pPr>
        <w:widowControl/>
        <w:shd w:val="clear"/>
        <w:spacing w:line="240" w:lineRule="auto"/>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二、中标、中标供应商为残疾人福利性单位的，采购人或者其委托的采购代理机构应当随中标、中标结果同时公告其《残疾人福利性单位声明函》，接受社会监督。</w:t>
      </w:r>
    </w:p>
    <w:p>
      <w:pPr>
        <w:widowControl/>
        <w:shd w:val="clear"/>
        <w:spacing w:line="240" w:lineRule="auto"/>
        <w:jc w:val="left"/>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2、非残疾人福利性单位无需出具此函。</w:t>
      </w:r>
      <w:bookmarkStart w:id="339" w:name="_Toc23161"/>
    </w:p>
    <w:p>
      <w:pPr>
        <w:pStyle w:val="5"/>
        <w:shd w:val="clear"/>
        <w:rPr>
          <w:rFonts w:hint="eastAsia" w:ascii="宋体" w:hAnsi="宋体" w:eastAsia="宋体" w:cs="宋体"/>
          <w:bCs/>
          <w:color w:val="auto"/>
          <w:sz w:val="21"/>
          <w:szCs w:val="21"/>
          <w:highlight w:val="none"/>
        </w:rPr>
      </w:pPr>
      <w:r>
        <w:rPr>
          <w:rFonts w:hint="eastAsia" w:ascii="宋体" w:hAnsi="宋体" w:eastAsia="宋体" w:cs="宋体"/>
          <w:bCs/>
          <w:color w:val="auto"/>
          <w:kern w:val="0"/>
          <w:sz w:val="21"/>
          <w:szCs w:val="21"/>
          <w:highlight w:val="none"/>
        </w:rPr>
        <w:br w:type="page"/>
      </w:r>
      <w:bookmarkEnd w:id="339"/>
      <w:bookmarkStart w:id="340" w:name="_Toc13684"/>
      <w:bookmarkStart w:id="341" w:name="_Toc16788"/>
      <w:bookmarkStart w:id="342" w:name="_Toc17563"/>
      <w:bookmarkStart w:id="343" w:name="_Toc7273"/>
      <w:bookmarkStart w:id="344" w:name="_Toc28473"/>
      <w:r>
        <w:rPr>
          <w:rFonts w:hint="eastAsia" w:ascii="宋体" w:hAnsi="宋体" w:eastAsia="宋体" w:cs="宋体"/>
          <w:color w:val="auto"/>
          <w:highlight w:val="none"/>
        </w:rPr>
        <w:t>附件3  监狱企业证明函</w:t>
      </w:r>
      <w:bookmarkEnd w:id="340"/>
      <w:r>
        <w:rPr>
          <w:rFonts w:hint="eastAsia" w:ascii="宋体" w:hAnsi="宋体" w:eastAsia="宋体" w:cs="宋体"/>
          <w:color w:val="auto"/>
          <w:highlight w:val="none"/>
        </w:rPr>
        <w:t>（如有则提供）</w:t>
      </w:r>
      <w:bookmarkEnd w:id="341"/>
      <w:bookmarkEnd w:id="342"/>
      <w:bookmarkEnd w:id="343"/>
      <w:bookmarkEnd w:id="344"/>
    </w:p>
    <w:p>
      <w:pPr>
        <w:shd w:val="clear"/>
        <w:spacing w:line="500" w:lineRule="exact"/>
        <w:ind w:firstLine="420" w:firstLineChars="200"/>
        <w:jc w:val="left"/>
        <w:rPr>
          <w:rFonts w:hint="eastAsia" w:ascii="宋体" w:hAnsi="宋体" w:eastAsia="宋体" w:cs="宋体"/>
          <w:bCs/>
          <w:color w:val="auto"/>
          <w:sz w:val="21"/>
          <w:szCs w:val="21"/>
          <w:highlight w:val="none"/>
        </w:rPr>
      </w:pPr>
      <w:bookmarkStart w:id="345" w:name="_Toc25786"/>
      <w:r>
        <w:rPr>
          <w:rFonts w:hint="eastAsia" w:ascii="宋体" w:hAnsi="宋体" w:eastAsia="宋体" w:cs="宋体"/>
          <w:bCs/>
          <w:color w:val="auto"/>
          <w:sz w:val="21"/>
          <w:szCs w:val="21"/>
          <w:highlight w:val="none"/>
        </w:rPr>
        <w:t>根据财政部、司法部《关于政府采购支持监狱企业发展有关问题的通知》（财库〔2014〕68号）的规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bookmarkEnd w:id="345"/>
    </w:p>
    <w:p>
      <w:pPr>
        <w:shd w:val="clear"/>
        <w:spacing w:line="500" w:lineRule="exact"/>
        <w:ind w:firstLine="420" w:firstLineChars="200"/>
        <w:jc w:val="left"/>
        <w:rPr>
          <w:rFonts w:hint="eastAsia" w:ascii="宋体" w:hAnsi="宋体" w:eastAsia="宋体" w:cs="宋体"/>
          <w:bCs/>
          <w:color w:val="auto"/>
          <w:sz w:val="21"/>
          <w:szCs w:val="21"/>
          <w:highlight w:val="none"/>
        </w:rPr>
      </w:pPr>
      <w:bookmarkStart w:id="346" w:name="_Toc32725"/>
      <w:r>
        <w:rPr>
          <w:rFonts w:hint="eastAsia" w:ascii="宋体" w:hAnsi="宋体" w:eastAsia="宋体" w:cs="宋体"/>
          <w:bCs/>
          <w:color w:val="auto"/>
          <w:sz w:val="21"/>
          <w:szCs w:val="21"/>
          <w:highlight w:val="none"/>
        </w:rPr>
        <w:t>监狱企业参加政府采购活动时，应当提供由省级以上监狱管理局、戒毒管理局（含新疆生产建设兵团）出具的属于监狱企业的证明文件。</w:t>
      </w:r>
      <w:bookmarkEnd w:id="346"/>
    </w:p>
    <w:p>
      <w:pPr>
        <w:shd w:val="clear"/>
        <w:spacing w:line="500" w:lineRule="exact"/>
        <w:ind w:firstLine="420" w:firstLineChars="200"/>
        <w:jc w:val="left"/>
        <w:rPr>
          <w:rFonts w:hint="eastAsia" w:ascii="宋体" w:hAnsi="宋体" w:eastAsia="宋体" w:cs="宋体"/>
          <w:bCs/>
          <w:color w:val="auto"/>
          <w:sz w:val="21"/>
          <w:szCs w:val="21"/>
          <w:highlight w:val="none"/>
        </w:rPr>
      </w:pPr>
    </w:p>
    <w:p>
      <w:pPr>
        <w:shd w:val="clear"/>
        <w:rPr>
          <w:rFonts w:hint="eastAsia" w:ascii="宋体" w:hAnsi="宋体" w:eastAsia="宋体" w:cs="宋体"/>
          <w:color w:val="auto"/>
          <w:sz w:val="21"/>
          <w:szCs w:val="21"/>
          <w:highlight w:val="none"/>
        </w:rPr>
      </w:pPr>
      <w:bookmarkStart w:id="347" w:name="_Toc9461"/>
    </w:p>
    <w:p>
      <w:pPr>
        <w:shd w:val="clear"/>
        <w:rPr>
          <w:rFonts w:hint="eastAsia" w:ascii="宋体" w:hAnsi="宋体" w:eastAsia="宋体" w:cs="宋体"/>
          <w:color w:val="auto"/>
          <w:sz w:val="21"/>
          <w:szCs w:val="21"/>
          <w:highlight w:val="none"/>
        </w:rPr>
      </w:pPr>
    </w:p>
    <w:p>
      <w:pPr>
        <w:shd w:val="clear"/>
        <w:rPr>
          <w:rFonts w:hint="eastAsia" w:ascii="宋体" w:hAnsi="宋体" w:eastAsia="宋体" w:cs="宋体"/>
          <w:color w:val="auto"/>
          <w:sz w:val="21"/>
          <w:szCs w:val="21"/>
          <w:highlight w:val="none"/>
        </w:rPr>
      </w:pPr>
    </w:p>
    <w:p>
      <w:pPr>
        <w:shd w:val="clear"/>
        <w:rPr>
          <w:rFonts w:hint="eastAsia" w:ascii="宋体" w:hAnsi="宋体" w:eastAsia="宋体" w:cs="宋体"/>
          <w:color w:val="auto"/>
          <w:sz w:val="21"/>
          <w:szCs w:val="21"/>
          <w:highlight w:val="none"/>
        </w:rPr>
      </w:pPr>
    </w:p>
    <w:p>
      <w:pPr>
        <w:shd w:val="clear"/>
        <w:rPr>
          <w:rFonts w:hint="eastAsia" w:ascii="宋体" w:hAnsi="宋体" w:eastAsia="宋体" w:cs="宋体"/>
          <w:color w:val="auto"/>
          <w:sz w:val="21"/>
          <w:szCs w:val="21"/>
          <w:highlight w:val="none"/>
        </w:rPr>
      </w:pPr>
    </w:p>
    <w:p>
      <w:pPr>
        <w:shd w:val="clear"/>
        <w:ind w:firstLine="315" w:firstLineChars="150"/>
        <w:jc w:val="right"/>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供应商名称：</w:t>
      </w:r>
      <w:r>
        <w:rPr>
          <w:rFonts w:hint="eastAsia" w:ascii="宋体" w:hAnsi="宋体" w:eastAsia="宋体" w:cs="宋体"/>
          <w:color w:val="auto"/>
          <w:sz w:val="21"/>
          <w:szCs w:val="21"/>
          <w:highlight w:val="none"/>
          <w:u w:val="single"/>
        </w:rPr>
        <w:t>（填写单位全称并加盖公章）</w:t>
      </w:r>
    </w:p>
    <w:p>
      <w:pPr>
        <w:shd w:val="clear"/>
        <w:jc w:val="righ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法定代表人或被授权代表：（签字或盖章） </w:t>
      </w:r>
    </w:p>
    <w:p>
      <w:pPr>
        <w:shd w:val="clear"/>
        <w:jc w:val="righ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日期</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年月日</w:t>
      </w:r>
    </w:p>
    <w:p>
      <w:pPr>
        <w:shd w:val="clear"/>
        <w:tabs>
          <w:tab w:val="left" w:pos="5670"/>
        </w:tabs>
        <w:spacing w:line="500" w:lineRule="exact"/>
        <w:ind w:firstLine="420" w:firstLineChars="200"/>
        <w:jc w:val="center"/>
        <w:rPr>
          <w:rFonts w:hint="eastAsia" w:ascii="宋体" w:hAnsi="宋体" w:eastAsia="宋体" w:cs="宋体"/>
          <w:bCs/>
          <w:color w:val="auto"/>
          <w:sz w:val="21"/>
          <w:szCs w:val="21"/>
          <w:highlight w:val="none"/>
        </w:rPr>
      </w:pPr>
    </w:p>
    <w:p>
      <w:pPr>
        <w:shd w:val="clear"/>
        <w:rPr>
          <w:rFonts w:hint="eastAsia" w:ascii="宋体" w:hAnsi="宋体" w:eastAsia="宋体" w:cs="宋体"/>
          <w:color w:val="auto"/>
          <w:sz w:val="21"/>
          <w:szCs w:val="21"/>
          <w:highlight w:val="none"/>
        </w:rPr>
      </w:pPr>
    </w:p>
    <w:p>
      <w:pPr>
        <w:shd w:val="clea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注：非监狱企业无需出具此函。</w:t>
      </w:r>
      <w:bookmarkEnd w:id="347"/>
    </w:p>
    <w:p>
      <w:pPr>
        <w:pStyle w:val="5"/>
        <w:shd w:val="clear"/>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br w:type="page"/>
      </w:r>
      <w:bookmarkStart w:id="348" w:name="_Toc6380"/>
      <w:bookmarkStart w:id="349" w:name="_Toc19386"/>
      <w:bookmarkStart w:id="350" w:name="_Toc7891"/>
      <w:bookmarkStart w:id="351" w:name="_Toc1983"/>
      <w:bookmarkStart w:id="352" w:name="_Toc530047126"/>
      <w:r>
        <w:rPr>
          <w:rFonts w:hint="eastAsia" w:ascii="宋体" w:hAnsi="宋体" w:eastAsia="宋体" w:cs="宋体"/>
          <w:color w:val="auto"/>
          <w:highlight w:val="none"/>
        </w:rPr>
        <w:t>附件4  供应商企业关系关联承诺书</w:t>
      </w:r>
      <w:bookmarkEnd w:id="348"/>
      <w:bookmarkEnd w:id="349"/>
      <w:bookmarkEnd w:id="350"/>
      <w:bookmarkEnd w:id="351"/>
      <w:bookmarkEnd w:id="352"/>
    </w:p>
    <w:p>
      <w:pPr>
        <w:shd w:val="clear"/>
        <w:spacing w:line="288" w:lineRule="auto"/>
        <w:jc w:val="left"/>
        <w:rPr>
          <w:rFonts w:hint="eastAsia" w:ascii="宋体" w:hAnsi="宋体" w:eastAsia="宋体" w:cs="宋体"/>
          <w:color w:val="auto"/>
          <w:sz w:val="21"/>
          <w:szCs w:val="21"/>
          <w:highlight w:val="none"/>
        </w:rPr>
      </w:pPr>
    </w:p>
    <w:p>
      <w:pPr>
        <w:numPr>
          <w:ilvl w:val="0"/>
          <w:numId w:val="8"/>
        </w:numPr>
        <w:shd w:val="clea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供应商股东及股权证明（附相关材料）。</w:t>
      </w:r>
    </w:p>
    <w:p>
      <w:pPr>
        <w:numPr>
          <w:ilvl w:val="0"/>
          <w:numId w:val="8"/>
        </w:numPr>
        <w:shd w:val="clea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供应商在本项目投标中，不存在与其它供应商负责人为同一人，有控股、管理等关联关系承诺。</w:t>
      </w:r>
    </w:p>
    <w:p>
      <w:pPr>
        <w:shd w:val="clea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2-1、管理关系说明：</w:t>
      </w:r>
    </w:p>
    <w:p>
      <w:pPr>
        <w:shd w:val="clea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我单位管理的具有独立法人的下属单位有</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rPr>
        <w:t>。</w:t>
      </w:r>
    </w:p>
    <w:p>
      <w:pPr>
        <w:shd w:val="clea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我单位的上级管理单位有。</w:t>
      </w:r>
    </w:p>
    <w:p>
      <w:pPr>
        <w:shd w:val="clea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2-2、股权关系说明：</w:t>
      </w:r>
    </w:p>
    <w:p>
      <w:pPr>
        <w:shd w:val="clea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我单位控股的单位有</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rPr>
        <w:t>。</w:t>
      </w:r>
    </w:p>
    <w:p>
      <w:pPr>
        <w:shd w:val="clea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我单位被单位控股</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color w:val="auto"/>
          <w:sz w:val="21"/>
          <w:szCs w:val="21"/>
          <w:highlight w:val="none"/>
        </w:rPr>
        <w:t>。</w:t>
      </w:r>
    </w:p>
    <w:p>
      <w:pPr>
        <w:shd w:val="clear"/>
        <w:jc w:val="left"/>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2-3、单位负责人：</w:t>
      </w:r>
    </w:p>
    <w:p>
      <w:pPr>
        <w:shd w:val="clear"/>
        <w:jc w:val="left"/>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 xml:space="preserve">3、 </w:t>
      </w:r>
      <w:r>
        <w:rPr>
          <w:rFonts w:hint="eastAsia" w:ascii="宋体" w:hAnsi="宋体" w:eastAsia="宋体" w:cs="宋体"/>
          <w:color w:val="auto"/>
          <w:sz w:val="21"/>
          <w:szCs w:val="21"/>
          <w:highlight w:val="none"/>
          <w:u w:val="single"/>
        </w:rPr>
        <w:t xml:space="preserve">（是或否） </w:t>
      </w:r>
      <w:r>
        <w:rPr>
          <w:rFonts w:hint="eastAsia" w:ascii="宋体" w:hAnsi="宋体" w:eastAsia="宋体" w:cs="宋体"/>
          <w:bCs/>
          <w:color w:val="auto"/>
          <w:sz w:val="21"/>
          <w:szCs w:val="21"/>
          <w:highlight w:val="none"/>
        </w:rPr>
        <w:t>为采购项目提供整体设计、规范编制或者项目管理、监理、检测等服务的供应商。</w:t>
      </w:r>
    </w:p>
    <w:p>
      <w:pPr>
        <w:shd w:val="clear"/>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4、其他与本项目有关的利害关系说明：</w:t>
      </w:r>
    </w:p>
    <w:p>
      <w:pPr>
        <w:shd w:val="clear"/>
        <w:spacing w:line="288" w:lineRule="auto"/>
        <w:jc w:val="left"/>
        <w:rPr>
          <w:rFonts w:hint="eastAsia" w:ascii="宋体" w:hAnsi="宋体" w:eastAsia="宋体" w:cs="宋体"/>
          <w:color w:val="auto"/>
          <w:sz w:val="21"/>
          <w:szCs w:val="21"/>
          <w:highlight w:val="none"/>
        </w:rPr>
      </w:pPr>
    </w:p>
    <w:p>
      <w:pPr>
        <w:shd w:val="clear"/>
        <w:spacing w:line="288" w:lineRule="auto"/>
        <w:jc w:val="left"/>
        <w:rPr>
          <w:rFonts w:hint="eastAsia" w:ascii="宋体" w:hAnsi="宋体" w:eastAsia="宋体" w:cs="宋体"/>
          <w:color w:val="auto"/>
          <w:sz w:val="21"/>
          <w:szCs w:val="21"/>
          <w:highlight w:val="none"/>
        </w:rPr>
      </w:pPr>
    </w:p>
    <w:p>
      <w:pPr>
        <w:shd w:val="clear"/>
        <w:spacing w:line="288" w:lineRule="auto"/>
        <w:jc w:val="left"/>
        <w:rPr>
          <w:rFonts w:hint="eastAsia" w:ascii="宋体" w:hAnsi="宋体" w:eastAsia="宋体" w:cs="宋体"/>
          <w:color w:val="auto"/>
          <w:sz w:val="21"/>
          <w:szCs w:val="21"/>
          <w:highlight w:val="none"/>
        </w:rPr>
      </w:pPr>
    </w:p>
    <w:p>
      <w:pPr>
        <w:shd w:val="clear"/>
        <w:spacing w:line="288"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我单位承诺以上说明真实有效，无虚假内容或隐瞒。</w:t>
      </w:r>
    </w:p>
    <w:p>
      <w:pPr>
        <w:shd w:val="clear"/>
        <w:spacing w:line="288" w:lineRule="auto"/>
        <w:jc w:val="left"/>
        <w:rPr>
          <w:rFonts w:hint="eastAsia" w:ascii="宋体" w:hAnsi="宋体" w:eastAsia="宋体" w:cs="宋体"/>
          <w:color w:val="auto"/>
          <w:sz w:val="21"/>
          <w:szCs w:val="21"/>
          <w:highlight w:val="none"/>
        </w:rPr>
      </w:pPr>
    </w:p>
    <w:p>
      <w:pPr>
        <w:shd w:val="clear"/>
        <w:spacing w:line="288" w:lineRule="auto"/>
        <w:jc w:val="left"/>
        <w:rPr>
          <w:rFonts w:hint="eastAsia" w:ascii="宋体" w:hAnsi="宋体" w:eastAsia="宋体" w:cs="宋体"/>
          <w:b/>
          <w:color w:val="auto"/>
          <w:sz w:val="21"/>
          <w:szCs w:val="21"/>
          <w:highlight w:val="none"/>
        </w:rPr>
      </w:pPr>
    </w:p>
    <w:p>
      <w:pPr>
        <w:pStyle w:val="21"/>
        <w:shd w:val="clear"/>
        <w:spacing w:line="288" w:lineRule="auto"/>
        <w:rPr>
          <w:rFonts w:hint="eastAsia" w:ascii="宋体" w:hAnsi="宋体" w:eastAsia="宋体" w:cs="宋体"/>
          <w:color w:val="auto"/>
          <w:sz w:val="21"/>
          <w:szCs w:val="21"/>
          <w:highlight w:val="none"/>
        </w:rPr>
      </w:pPr>
    </w:p>
    <w:p>
      <w:pPr>
        <w:pStyle w:val="21"/>
        <w:shd w:val="clear"/>
        <w:spacing w:line="288" w:lineRule="auto"/>
        <w:rPr>
          <w:rFonts w:hint="eastAsia" w:ascii="宋体" w:hAnsi="宋体" w:eastAsia="宋体" w:cs="宋体"/>
          <w:color w:val="auto"/>
          <w:sz w:val="21"/>
          <w:szCs w:val="21"/>
          <w:highlight w:val="none"/>
        </w:rPr>
      </w:pPr>
    </w:p>
    <w:p>
      <w:pPr>
        <w:pStyle w:val="21"/>
        <w:shd w:val="clear"/>
        <w:spacing w:line="288" w:lineRule="auto"/>
        <w:rPr>
          <w:rFonts w:hint="eastAsia" w:ascii="宋体" w:hAnsi="宋体" w:eastAsia="宋体" w:cs="宋体"/>
          <w:color w:val="auto"/>
          <w:sz w:val="21"/>
          <w:szCs w:val="21"/>
          <w:highlight w:val="none"/>
        </w:rPr>
      </w:pPr>
    </w:p>
    <w:p>
      <w:pPr>
        <w:shd w:val="clear"/>
        <w:spacing w:line="288"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 xml:space="preserve">                   法定代表人或被授权代表：</w:t>
      </w:r>
    </w:p>
    <w:p>
      <w:pPr>
        <w:shd w:val="clear"/>
        <w:spacing w:line="288"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（公章）</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 xml:space="preserve">                    （签字或盖章）：</w:t>
      </w:r>
    </w:p>
    <w:p>
      <w:pPr>
        <w:shd w:val="clear"/>
        <w:spacing w:line="288" w:lineRule="auto"/>
        <w:jc w:val="left"/>
        <w:rPr>
          <w:rFonts w:hint="eastAsia" w:ascii="宋体" w:hAnsi="宋体" w:eastAsia="宋体" w:cs="宋体"/>
          <w:color w:val="auto"/>
          <w:sz w:val="21"/>
          <w:szCs w:val="21"/>
          <w:highlight w:val="none"/>
        </w:rPr>
      </w:pPr>
    </w:p>
    <w:p>
      <w:pPr>
        <w:shd w:val="clear"/>
        <w:wordWrap w:val="0"/>
        <w:spacing w:line="288" w:lineRule="auto"/>
        <w:jc w:val="righ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日期</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年  月  日</w:t>
      </w:r>
    </w:p>
    <w:p>
      <w:pPr>
        <w:pStyle w:val="21"/>
        <w:shd w:val="clear"/>
        <w:spacing w:line="288"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br w:type="page"/>
      </w:r>
    </w:p>
    <w:p>
      <w:pPr>
        <w:pStyle w:val="5"/>
        <w:shd w:val="clear"/>
        <w:rPr>
          <w:rFonts w:hint="eastAsia" w:ascii="宋体" w:hAnsi="宋体" w:eastAsia="宋体" w:cs="宋体"/>
          <w:color w:val="auto"/>
          <w:highlight w:val="none"/>
        </w:rPr>
      </w:pPr>
      <w:bookmarkStart w:id="353" w:name="_Toc530047127"/>
      <w:bookmarkStart w:id="354" w:name="_Toc15229"/>
      <w:bookmarkStart w:id="355" w:name="_Toc11869"/>
      <w:bookmarkStart w:id="356" w:name="_Toc11431"/>
      <w:bookmarkStart w:id="357" w:name="_Toc479853073"/>
      <w:bookmarkStart w:id="358" w:name="_Toc19031"/>
      <w:bookmarkStart w:id="359" w:name="_Toc3650"/>
      <w:r>
        <w:rPr>
          <w:rFonts w:hint="eastAsia" w:ascii="宋体" w:hAnsi="宋体" w:eastAsia="宋体" w:cs="宋体"/>
          <w:color w:val="auto"/>
          <w:highlight w:val="none"/>
        </w:rPr>
        <w:t>附件5  参加政府采购活动中没有重大违法记录的声明</w:t>
      </w:r>
      <w:bookmarkEnd w:id="353"/>
      <w:bookmarkEnd w:id="354"/>
      <w:bookmarkEnd w:id="355"/>
      <w:bookmarkEnd w:id="356"/>
      <w:bookmarkEnd w:id="357"/>
      <w:bookmarkEnd w:id="358"/>
      <w:bookmarkEnd w:id="359"/>
    </w:p>
    <w:p>
      <w:pPr>
        <w:shd w:val="clear"/>
        <w:spacing w:line="288" w:lineRule="auto"/>
        <w:jc w:val="center"/>
        <w:rPr>
          <w:rFonts w:hint="eastAsia" w:ascii="宋体" w:hAnsi="宋体" w:eastAsia="宋体" w:cs="宋体"/>
          <w:b/>
          <w:bCs/>
          <w:color w:val="auto"/>
          <w:sz w:val="21"/>
          <w:szCs w:val="21"/>
          <w:highlight w:val="none"/>
        </w:rPr>
      </w:pPr>
    </w:p>
    <w:p>
      <w:pPr>
        <w:shd w:val="clear"/>
        <w:spacing w:line="288" w:lineRule="auto"/>
        <w:jc w:val="center"/>
        <w:rPr>
          <w:rFonts w:hint="eastAsia" w:ascii="宋体" w:hAnsi="宋体" w:eastAsia="宋体" w:cs="宋体"/>
          <w:b/>
          <w:bCs/>
          <w:color w:val="auto"/>
          <w:sz w:val="28"/>
          <w:szCs w:val="28"/>
          <w:highlight w:val="none"/>
        </w:rPr>
      </w:pPr>
      <w:r>
        <w:rPr>
          <w:rFonts w:hint="eastAsia" w:ascii="宋体" w:hAnsi="宋体" w:eastAsia="宋体" w:cs="宋体"/>
          <w:b/>
          <w:bCs/>
          <w:color w:val="auto"/>
          <w:sz w:val="28"/>
          <w:szCs w:val="28"/>
          <w:highlight w:val="none"/>
        </w:rPr>
        <w:t>声  明</w:t>
      </w:r>
    </w:p>
    <w:p>
      <w:pPr>
        <w:shd w:val="clear"/>
        <w:spacing w:line="288" w:lineRule="auto"/>
        <w:jc w:val="left"/>
        <w:rPr>
          <w:rFonts w:hint="eastAsia" w:ascii="宋体" w:hAnsi="宋体" w:eastAsia="宋体" w:cs="宋体"/>
          <w:color w:val="auto"/>
          <w:sz w:val="21"/>
          <w:szCs w:val="21"/>
          <w:highlight w:val="none"/>
        </w:rPr>
      </w:pPr>
    </w:p>
    <w:p>
      <w:pPr>
        <w:shd w:val="clear"/>
        <w:spacing w:line="288" w:lineRule="auto"/>
        <w:jc w:val="left"/>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致</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u w:val="single"/>
        </w:rPr>
        <w:t>（采购人名称）</w:t>
      </w:r>
    </w:p>
    <w:p>
      <w:pPr>
        <w:shd w:val="clear"/>
        <w:spacing w:line="288"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我单位</w:t>
      </w:r>
      <w:r>
        <w:rPr>
          <w:rFonts w:hint="eastAsia" w:ascii="宋体" w:hAnsi="宋体" w:eastAsia="宋体" w:cs="宋体"/>
          <w:color w:val="auto"/>
          <w:sz w:val="21"/>
          <w:szCs w:val="21"/>
          <w:highlight w:val="none"/>
          <w:u w:val="single"/>
        </w:rPr>
        <w:t xml:space="preserve"> （供应商名称）</w:t>
      </w:r>
      <w:r>
        <w:rPr>
          <w:rFonts w:hint="eastAsia" w:ascii="宋体" w:hAnsi="宋体" w:eastAsia="宋体" w:cs="宋体"/>
          <w:color w:val="auto"/>
          <w:sz w:val="21"/>
          <w:szCs w:val="21"/>
          <w:highlight w:val="none"/>
        </w:rPr>
        <w:t>近三年内，在参加政府采购活动中没有重大违法记录，特此声明。</w:t>
      </w:r>
    </w:p>
    <w:p>
      <w:pPr>
        <w:shd w:val="clear"/>
        <w:spacing w:line="288" w:lineRule="auto"/>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若招标采购单位在本项目采购过程中发现我单位近三年内在政府采购活动中有重大违法记录，我单位将无条件地退出本项目的招标，并承担因此引起的一切后果。</w:t>
      </w:r>
    </w:p>
    <w:p>
      <w:pPr>
        <w:shd w:val="clear"/>
        <w:spacing w:line="288" w:lineRule="auto"/>
        <w:jc w:val="left"/>
        <w:rPr>
          <w:rFonts w:hint="eastAsia" w:ascii="宋体" w:hAnsi="宋体" w:eastAsia="宋体" w:cs="宋体"/>
          <w:b/>
          <w:color w:val="auto"/>
          <w:sz w:val="21"/>
          <w:szCs w:val="21"/>
          <w:highlight w:val="none"/>
        </w:rPr>
      </w:pPr>
    </w:p>
    <w:p>
      <w:pPr>
        <w:shd w:val="clear"/>
        <w:spacing w:line="288" w:lineRule="auto"/>
        <w:ind w:left="0" w:leftChars="0" w:firstLine="478" w:firstLineChars="228"/>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供应商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 xml:space="preserve">                                 法定代表人或授权代表：</w:t>
      </w:r>
    </w:p>
    <w:p>
      <w:pPr>
        <w:shd w:val="clear"/>
        <w:spacing w:line="288" w:lineRule="auto"/>
        <w:ind w:left="0" w:leftChars="0" w:firstLine="478" w:firstLineChars="228"/>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（公章）</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 xml:space="preserve">                                     （签字或盖章）：</w:t>
      </w:r>
    </w:p>
    <w:p>
      <w:pPr>
        <w:shd w:val="clear"/>
        <w:autoSpaceDE w:val="0"/>
        <w:autoSpaceDN w:val="0"/>
        <w:adjustRightInd w:val="0"/>
        <w:spacing w:line="288" w:lineRule="auto"/>
        <w:ind w:left="0" w:leftChars="0" w:firstLine="478" w:firstLineChars="228"/>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日期</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年  月  日                               日期</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年  月  日</w:t>
      </w:r>
    </w:p>
    <w:p>
      <w:pPr>
        <w:shd w:val="clear"/>
        <w:spacing w:line="288" w:lineRule="auto"/>
        <w:jc w:val="left"/>
        <w:rPr>
          <w:rFonts w:hint="eastAsia" w:ascii="宋体" w:hAnsi="宋体" w:eastAsia="宋体" w:cs="宋体"/>
          <w:b/>
          <w:bCs/>
          <w:color w:val="auto"/>
          <w:sz w:val="21"/>
          <w:szCs w:val="21"/>
          <w:highlight w:val="none"/>
        </w:rPr>
      </w:pPr>
    </w:p>
    <w:p>
      <w:pPr>
        <w:pStyle w:val="21"/>
        <w:shd w:val="clear"/>
        <w:spacing w:line="288" w:lineRule="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br w:type="page"/>
      </w:r>
    </w:p>
    <w:p>
      <w:pPr>
        <w:pStyle w:val="5"/>
        <w:shd w:val="clear"/>
        <w:rPr>
          <w:rFonts w:hint="eastAsia" w:ascii="宋体" w:hAnsi="宋体" w:eastAsia="宋体" w:cs="宋体"/>
          <w:color w:val="auto"/>
          <w:highlight w:val="none"/>
        </w:rPr>
      </w:pPr>
      <w:bookmarkStart w:id="360" w:name="_Toc530047128"/>
      <w:bookmarkStart w:id="361" w:name="_Toc24706"/>
      <w:bookmarkStart w:id="362" w:name="_Toc18929"/>
      <w:bookmarkStart w:id="363" w:name="_Toc18484"/>
      <w:bookmarkStart w:id="364" w:name="_Toc3108"/>
      <w:r>
        <w:rPr>
          <w:rFonts w:hint="eastAsia" w:ascii="宋体" w:hAnsi="宋体" w:eastAsia="宋体" w:cs="宋体"/>
          <w:color w:val="auto"/>
          <w:highlight w:val="none"/>
        </w:rPr>
        <w:t>附件6  产品适用政府采购政策情况表</w:t>
      </w:r>
      <w:bookmarkEnd w:id="360"/>
      <w:r>
        <w:rPr>
          <w:rFonts w:hint="eastAsia" w:ascii="宋体" w:hAnsi="宋体" w:eastAsia="宋体" w:cs="宋体"/>
          <w:color w:val="auto"/>
          <w:highlight w:val="none"/>
        </w:rPr>
        <w:t>（如有则提供）</w:t>
      </w:r>
      <w:bookmarkEnd w:id="361"/>
      <w:bookmarkEnd w:id="362"/>
      <w:bookmarkEnd w:id="363"/>
      <w:bookmarkEnd w:id="364"/>
    </w:p>
    <w:p>
      <w:pPr>
        <w:shd w:val="clear"/>
        <w:spacing w:line="288" w:lineRule="auto"/>
        <w:rPr>
          <w:rFonts w:hint="eastAsia" w:ascii="宋体" w:hAnsi="宋体" w:eastAsia="宋体" w:cs="宋体"/>
          <w:color w:val="auto"/>
          <w:sz w:val="21"/>
          <w:szCs w:val="21"/>
          <w:highlight w:val="none"/>
        </w:rPr>
      </w:pPr>
    </w:p>
    <w:tbl>
      <w:tblPr>
        <w:tblStyle w:val="23"/>
        <w:tblW w:w="9259" w:type="dxa"/>
        <w:tblInd w:w="115" w:type="dxa"/>
        <w:tblLayout w:type="fixed"/>
        <w:tblCellMar>
          <w:top w:w="0" w:type="dxa"/>
          <w:left w:w="0" w:type="dxa"/>
          <w:bottom w:w="0" w:type="dxa"/>
          <w:right w:w="0" w:type="dxa"/>
        </w:tblCellMar>
      </w:tblPr>
      <w:tblGrid>
        <w:gridCol w:w="1031"/>
        <w:gridCol w:w="2330"/>
        <w:gridCol w:w="388"/>
        <w:gridCol w:w="1422"/>
        <w:gridCol w:w="661"/>
        <w:gridCol w:w="1784"/>
        <w:gridCol w:w="1643"/>
      </w:tblGrid>
      <w:tr>
        <w:tblPrEx>
          <w:tblCellMar>
            <w:top w:w="0" w:type="dxa"/>
            <w:left w:w="0" w:type="dxa"/>
            <w:bottom w:w="0" w:type="dxa"/>
            <w:right w:w="0" w:type="dxa"/>
          </w:tblCellMar>
        </w:tblPrEx>
        <w:trPr>
          <w:trHeight w:val="1366" w:hRule="exact"/>
        </w:trPr>
        <w:tc>
          <w:tcPr>
            <w:tcW w:w="1031" w:type="dxa"/>
            <w:vMerge w:val="restart"/>
            <w:tcBorders>
              <w:top w:val="single" w:color="000000" w:sz="4" w:space="0"/>
              <w:left w:val="single" w:color="000000" w:sz="4" w:space="0"/>
              <w:right w:val="single" w:color="000000" w:sz="4" w:space="0"/>
            </w:tcBorders>
            <w:noWrap/>
            <w:vAlign w:val="center"/>
          </w:tcPr>
          <w:p>
            <w:pPr>
              <w:pStyle w:val="47"/>
              <w:shd w:val="clear"/>
              <w:spacing w:line="240" w:lineRule="auto"/>
              <w:jc w:val="center"/>
              <w:rPr>
                <w:rFonts w:hint="eastAsia" w:ascii="宋体" w:hAnsi="宋体" w:eastAsia="宋体" w:cs="宋体"/>
                <w:b/>
                <w:bCs/>
                <w:color w:val="auto"/>
                <w:sz w:val="21"/>
                <w:szCs w:val="21"/>
                <w:highlight w:val="none"/>
              </w:rPr>
            </w:pPr>
          </w:p>
          <w:p>
            <w:pPr>
              <w:pStyle w:val="47"/>
              <w:shd w:val="clear"/>
              <w:spacing w:line="240" w:lineRule="auto"/>
              <w:ind w:left="103" w:right="101"/>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中小企业扶持政策</w:t>
            </w:r>
          </w:p>
        </w:tc>
        <w:tc>
          <w:tcPr>
            <w:tcW w:w="8228" w:type="dxa"/>
            <w:gridSpan w:val="6"/>
            <w:tcBorders>
              <w:top w:val="single" w:color="000000" w:sz="4" w:space="0"/>
              <w:left w:val="single" w:color="000000" w:sz="4" w:space="0"/>
              <w:bottom w:val="single" w:color="000000" w:sz="4" w:space="0"/>
              <w:right w:val="single" w:color="000000" w:sz="4" w:space="0"/>
            </w:tcBorders>
            <w:noWrap/>
            <w:vAlign w:val="center"/>
          </w:tcPr>
          <w:p>
            <w:pPr>
              <w:pStyle w:val="47"/>
              <w:shd w:val="clear"/>
              <w:spacing w:line="240" w:lineRule="auto"/>
              <w:ind w:left="1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如属所列情形的，请在括号内打“√”：</w:t>
            </w:r>
          </w:p>
          <w:p>
            <w:pPr>
              <w:pStyle w:val="47"/>
              <w:shd w:val="clear"/>
              <w:tabs>
                <w:tab w:val="left" w:pos="523"/>
              </w:tabs>
              <w:spacing w:line="240" w:lineRule="auto"/>
              <w:ind w:left="1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）小型、微型企业投标且提供本企业制造的产品。</w:t>
            </w:r>
          </w:p>
          <w:p>
            <w:pPr>
              <w:pStyle w:val="47"/>
              <w:shd w:val="clear"/>
              <w:tabs>
                <w:tab w:val="left" w:pos="523"/>
              </w:tabs>
              <w:spacing w:line="240" w:lineRule="auto"/>
              <w:ind w:left="1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）小微企业投标且提供其它小型、微型企业产品的，请填写下表内容：</w:t>
            </w:r>
          </w:p>
        </w:tc>
      </w:tr>
      <w:tr>
        <w:tblPrEx>
          <w:tblCellMar>
            <w:top w:w="0" w:type="dxa"/>
            <w:left w:w="0" w:type="dxa"/>
            <w:bottom w:w="0" w:type="dxa"/>
            <w:right w:w="0" w:type="dxa"/>
          </w:tblCellMar>
        </w:tblPrEx>
        <w:trPr>
          <w:trHeight w:val="716" w:hRule="exact"/>
        </w:trPr>
        <w:tc>
          <w:tcPr>
            <w:tcW w:w="1031" w:type="dxa"/>
            <w:vMerge w:val="continue"/>
            <w:tcBorders>
              <w:left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c>
          <w:tcPr>
            <w:tcW w:w="2718" w:type="dxa"/>
            <w:gridSpan w:val="2"/>
            <w:tcBorders>
              <w:top w:val="single" w:color="000000" w:sz="4" w:space="0"/>
              <w:left w:val="single" w:color="000000" w:sz="4" w:space="0"/>
              <w:bottom w:val="single" w:color="000000" w:sz="4" w:space="0"/>
              <w:right w:val="single" w:color="000000" w:sz="4" w:space="0"/>
            </w:tcBorders>
            <w:noWrap/>
            <w:vAlign w:val="center"/>
          </w:tcPr>
          <w:p>
            <w:pPr>
              <w:pStyle w:val="47"/>
              <w:shd w:val="clear"/>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产品名称（品牌、型号）</w:t>
            </w:r>
          </w:p>
        </w:tc>
        <w:tc>
          <w:tcPr>
            <w:tcW w:w="2083" w:type="dxa"/>
            <w:gridSpan w:val="2"/>
            <w:tcBorders>
              <w:top w:val="single" w:color="000000" w:sz="4" w:space="0"/>
              <w:left w:val="single" w:color="000000" w:sz="4" w:space="0"/>
              <w:bottom w:val="single" w:color="000000" w:sz="4" w:space="0"/>
              <w:right w:val="single" w:color="000000" w:sz="4" w:space="0"/>
            </w:tcBorders>
            <w:noWrap/>
            <w:vAlign w:val="center"/>
          </w:tcPr>
          <w:p>
            <w:pPr>
              <w:pStyle w:val="47"/>
              <w:shd w:val="clear"/>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制造商</w:t>
            </w:r>
          </w:p>
        </w:tc>
        <w:tc>
          <w:tcPr>
            <w:tcW w:w="1784" w:type="dxa"/>
            <w:tcBorders>
              <w:top w:val="single" w:color="000000" w:sz="4" w:space="0"/>
              <w:left w:val="single" w:color="000000" w:sz="4" w:space="0"/>
              <w:bottom w:val="single" w:color="000000" w:sz="4" w:space="0"/>
              <w:right w:val="single" w:color="000000" w:sz="4" w:space="0"/>
            </w:tcBorders>
            <w:noWrap/>
            <w:vAlign w:val="center"/>
          </w:tcPr>
          <w:p>
            <w:pPr>
              <w:pStyle w:val="47"/>
              <w:shd w:val="clear"/>
              <w:spacing w:line="240" w:lineRule="auto"/>
              <w:ind w:right="488"/>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制造商</w:t>
            </w:r>
          </w:p>
          <w:p>
            <w:pPr>
              <w:pStyle w:val="47"/>
              <w:shd w:val="clear"/>
              <w:spacing w:line="240" w:lineRule="auto"/>
              <w:ind w:right="488"/>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企业类型</w:t>
            </w:r>
          </w:p>
        </w:tc>
        <w:tc>
          <w:tcPr>
            <w:tcW w:w="1643" w:type="dxa"/>
            <w:tcBorders>
              <w:top w:val="single" w:color="000000" w:sz="4" w:space="0"/>
              <w:left w:val="single" w:color="000000" w:sz="4" w:space="0"/>
              <w:bottom w:val="single" w:color="000000" w:sz="4" w:space="0"/>
              <w:right w:val="single" w:color="000000" w:sz="4" w:space="0"/>
            </w:tcBorders>
            <w:noWrap/>
            <w:vAlign w:val="center"/>
          </w:tcPr>
          <w:p>
            <w:pPr>
              <w:pStyle w:val="47"/>
              <w:shd w:val="clear"/>
              <w:spacing w:line="240" w:lineRule="auto"/>
              <w:ind w:left="2"/>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金额</w:t>
            </w:r>
          </w:p>
        </w:tc>
      </w:tr>
      <w:tr>
        <w:tblPrEx>
          <w:tblCellMar>
            <w:top w:w="0" w:type="dxa"/>
            <w:left w:w="0" w:type="dxa"/>
            <w:bottom w:w="0" w:type="dxa"/>
            <w:right w:w="0" w:type="dxa"/>
          </w:tblCellMar>
        </w:tblPrEx>
        <w:trPr>
          <w:trHeight w:val="547" w:hRule="exact"/>
        </w:trPr>
        <w:tc>
          <w:tcPr>
            <w:tcW w:w="1031" w:type="dxa"/>
            <w:vMerge w:val="continue"/>
            <w:tcBorders>
              <w:left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c>
          <w:tcPr>
            <w:tcW w:w="2718" w:type="dxa"/>
            <w:gridSpan w:val="2"/>
            <w:tcBorders>
              <w:top w:val="single" w:color="000000" w:sz="4" w:space="0"/>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c>
          <w:tcPr>
            <w:tcW w:w="2083" w:type="dxa"/>
            <w:gridSpan w:val="2"/>
            <w:tcBorders>
              <w:top w:val="single" w:color="000000" w:sz="4" w:space="0"/>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c>
          <w:tcPr>
            <w:tcW w:w="1784" w:type="dxa"/>
            <w:tcBorders>
              <w:top w:val="single" w:color="000000" w:sz="4" w:space="0"/>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c>
          <w:tcPr>
            <w:tcW w:w="1643" w:type="dxa"/>
            <w:tcBorders>
              <w:top w:val="single" w:color="000000" w:sz="4" w:space="0"/>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550" w:hRule="exact"/>
        </w:trPr>
        <w:tc>
          <w:tcPr>
            <w:tcW w:w="1031" w:type="dxa"/>
            <w:vMerge w:val="continue"/>
            <w:tcBorders>
              <w:left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c>
          <w:tcPr>
            <w:tcW w:w="2718" w:type="dxa"/>
            <w:gridSpan w:val="2"/>
            <w:tcBorders>
              <w:top w:val="single" w:color="000000" w:sz="4" w:space="0"/>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c>
          <w:tcPr>
            <w:tcW w:w="2083" w:type="dxa"/>
            <w:gridSpan w:val="2"/>
            <w:tcBorders>
              <w:top w:val="single" w:color="000000" w:sz="4" w:space="0"/>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c>
          <w:tcPr>
            <w:tcW w:w="1784" w:type="dxa"/>
            <w:tcBorders>
              <w:top w:val="single" w:color="000000" w:sz="4" w:space="0"/>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c>
          <w:tcPr>
            <w:tcW w:w="1643" w:type="dxa"/>
            <w:tcBorders>
              <w:top w:val="single" w:color="000000" w:sz="4" w:space="0"/>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702" w:hRule="exact"/>
        </w:trPr>
        <w:tc>
          <w:tcPr>
            <w:tcW w:w="1031" w:type="dxa"/>
            <w:vMerge w:val="continue"/>
            <w:tcBorders>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c>
          <w:tcPr>
            <w:tcW w:w="6585" w:type="dxa"/>
            <w:gridSpan w:val="5"/>
            <w:tcBorders>
              <w:top w:val="single" w:color="000000" w:sz="4" w:space="0"/>
              <w:left w:val="single" w:color="000000" w:sz="4" w:space="0"/>
              <w:bottom w:val="single" w:color="000000" w:sz="4" w:space="0"/>
              <w:right w:val="single" w:color="000000" w:sz="4" w:space="0"/>
            </w:tcBorders>
            <w:noWrap/>
            <w:vAlign w:val="center"/>
          </w:tcPr>
          <w:p>
            <w:pPr>
              <w:pStyle w:val="47"/>
              <w:shd w:val="clear"/>
              <w:spacing w:line="240" w:lineRule="auto"/>
              <w:ind w:left="2007"/>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小型、微型企业产品金额合计</w:t>
            </w:r>
          </w:p>
        </w:tc>
        <w:tc>
          <w:tcPr>
            <w:tcW w:w="1643" w:type="dxa"/>
            <w:tcBorders>
              <w:top w:val="single" w:color="000000" w:sz="4" w:space="0"/>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1142" w:hRule="exact"/>
        </w:trPr>
        <w:tc>
          <w:tcPr>
            <w:tcW w:w="1031" w:type="dxa"/>
            <w:vMerge w:val="restart"/>
            <w:tcBorders>
              <w:top w:val="single" w:color="000000" w:sz="4" w:space="0"/>
              <w:left w:val="single" w:color="000000" w:sz="4" w:space="0"/>
              <w:right w:val="single" w:color="000000" w:sz="4" w:space="0"/>
            </w:tcBorders>
            <w:noWrap/>
            <w:vAlign w:val="center"/>
          </w:tcPr>
          <w:p>
            <w:pPr>
              <w:pStyle w:val="47"/>
              <w:shd w:val="clear"/>
              <w:spacing w:line="240" w:lineRule="auto"/>
              <w:ind w:right="101"/>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环境标志 产品</w:t>
            </w:r>
          </w:p>
        </w:tc>
        <w:tc>
          <w:tcPr>
            <w:tcW w:w="2330" w:type="dxa"/>
            <w:tcBorders>
              <w:top w:val="single" w:color="000000" w:sz="4" w:space="0"/>
              <w:left w:val="single" w:color="000000" w:sz="4" w:space="0"/>
              <w:bottom w:val="single" w:color="000000" w:sz="4" w:space="0"/>
              <w:right w:val="single" w:color="000000" w:sz="4" w:space="0"/>
            </w:tcBorders>
            <w:noWrap/>
            <w:vAlign w:val="center"/>
          </w:tcPr>
          <w:p>
            <w:pPr>
              <w:pStyle w:val="47"/>
              <w:shd w:val="clear"/>
              <w:spacing w:line="240" w:lineRule="auto"/>
              <w:ind w:left="242" w:right="101" w:hanging="142"/>
              <w:jc w:val="left"/>
              <w:rPr>
                <w:rFonts w:hint="eastAsia" w:ascii="宋体" w:hAnsi="宋体" w:eastAsia="宋体" w:cs="宋体"/>
                <w:color w:val="auto"/>
                <w:sz w:val="21"/>
                <w:szCs w:val="21"/>
                <w:highlight w:val="none"/>
              </w:rPr>
            </w:pPr>
            <w:r>
              <w:rPr>
                <w:rFonts w:hint="eastAsia" w:ascii="宋体" w:hAnsi="宋体" w:eastAsia="宋体" w:cs="宋体"/>
                <w:color w:val="auto"/>
                <w:spacing w:val="-4"/>
                <w:sz w:val="21"/>
                <w:szCs w:val="21"/>
                <w:highlight w:val="none"/>
              </w:rPr>
              <w:t>主要产品/技术名称（规</w:t>
            </w:r>
            <w:r>
              <w:rPr>
                <w:rFonts w:hint="eastAsia" w:ascii="宋体" w:hAnsi="宋体" w:eastAsia="宋体" w:cs="宋体"/>
                <w:color w:val="auto"/>
                <w:sz w:val="21"/>
                <w:szCs w:val="21"/>
                <w:highlight w:val="none"/>
              </w:rPr>
              <w:t>格型号、注册商标）</w:t>
            </w:r>
          </w:p>
        </w:tc>
        <w:tc>
          <w:tcPr>
            <w:tcW w:w="1810" w:type="dxa"/>
            <w:gridSpan w:val="2"/>
            <w:tcBorders>
              <w:top w:val="single" w:color="000000" w:sz="4" w:space="0"/>
              <w:left w:val="single" w:color="000000" w:sz="4" w:space="0"/>
              <w:bottom w:val="single" w:color="000000" w:sz="4" w:space="0"/>
              <w:right w:val="single" w:color="000000" w:sz="4" w:space="0"/>
            </w:tcBorders>
            <w:noWrap/>
            <w:vAlign w:val="center"/>
          </w:tcPr>
          <w:p>
            <w:pPr>
              <w:pStyle w:val="47"/>
              <w:shd w:val="clear"/>
              <w:spacing w:line="240" w:lineRule="auto"/>
              <w:ind w:left="16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制造商/开发商</w:t>
            </w:r>
          </w:p>
        </w:tc>
        <w:tc>
          <w:tcPr>
            <w:tcW w:w="2445" w:type="dxa"/>
            <w:gridSpan w:val="2"/>
            <w:tcBorders>
              <w:top w:val="single" w:color="000000" w:sz="4" w:space="0"/>
              <w:left w:val="single" w:color="000000" w:sz="4" w:space="0"/>
              <w:bottom w:val="single" w:color="000000" w:sz="4" w:space="0"/>
              <w:right w:val="single" w:color="000000" w:sz="4" w:space="0"/>
            </w:tcBorders>
            <w:noWrap/>
            <w:vAlign w:val="center"/>
          </w:tcPr>
          <w:p>
            <w:pPr>
              <w:pStyle w:val="47"/>
              <w:shd w:val="clear"/>
              <w:spacing w:line="240" w:lineRule="auto"/>
              <w:ind w:left="698"/>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认证证书编号</w:t>
            </w:r>
          </w:p>
        </w:tc>
        <w:tc>
          <w:tcPr>
            <w:tcW w:w="1643" w:type="dxa"/>
            <w:tcBorders>
              <w:top w:val="single" w:color="000000" w:sz="4" w:space="0"/>
              <w:left w:val="single" w:color="000000" w:sz="4" w:space="0"/>
              <w:bottom w:val="single" w:color="000000" w:sz="4" w:space="0"/>
              <w:right w:val="single" w:color="000000" w:sz="4" w:space="0"/>
            </w:tcBorders>
            <w:noWrap/>
            <w:vAlign w:val="center"/>
          </w:tcPr>
          <w:p>
            <w:pPr>
              <w:pStyle w:val="47"/>
              <w:shd w:val="clear"/>
              <w:spacing w:line="240" w:lineRule="auto"/>
              <w:ind w:left="103" w:right="98"/>
              <w:jc w:val="left"/>
              <w:rPr>
                <w:rFonts w:hint="eastAsia" w:ascii="宋体" w:hAnsi="宋体" w:eastAsia="宋体" w:cs="宋体"/>
                <w:color w:val="auto"/>
                <w:sz w:val="21"/>
                <w:szCs w:val="21"/>
                <w:highlight w:val="none"/>
              </w:rPr>
            </w:pPr>
            <w:r>
              <w:rPr>
                <w:rFonts w:hint="eastAsia" w:ascii="宋体" w:hAnsi="宋体" w:eastAsia="宋体" w:cs="宋体"/>
                <w:color w:val="auto"/>
                <w:spacing w:val="-1"/>
                <w:sz w:val="21"/>
                <w:szCs w:val="21"/>
                <w:highlight w:val="none"/>
              </w:rPr>
              <w:t>使用价值量占总</w:t>
            </w:r>
            <w:r>
              <w:rPr>
                <w:rFonts w:hint="eastAsia" w:ascii="宋体" w:hAnsi="宋体" w:eastAsia="宋体" w:cs="宋体"/>
                <w:color w:val="auto"/>
                <w:sz w:val="21"/>
                <w:szCs w:val="21"/>
                <w:highlight w:val="none"/>
              </w:rPr>
              <w:t>金额比重</w:t>
            </w:r>
          </w:p>
          <w:p>
            <w:pPr>
              <w:pStyle w:val="47"/>
              <w:shd w:val="clear"/>
              <w:tabs>
                <w:tab w:val="left" w:pos="950"/>
              </w:tabs>
              <w:spacing w:line="240" w:lineRule="auto"/>
              <w:ind w:left="2"/>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（累计</w:t>
            </w: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w:t>
            </w:r>
          </w:p>
        </w:tc>
      </w:tr>
      <w:tr>
        <w:tblPrEx>
          <w:tblCellMar>
            <w:top w:w="0" w:type="dxa"/>
            <w:left w:w="0" w:type="dxa"/>
            <w:bottom w:w="0" w:type="dxa"/>
            <w:right w:w="0" w:type="dxa"/>
          </w:tblCellMar>
        </w:tblPrEx>
        <w:trPr>
          <w:trHeight w:val="547" w:hRule="exact"/>
        </w:trPr>
        <w:tc>
          <w:tcPr>
            <w:tcW w:w="1031" w:type="dxa"/>
            <w:vMerge w:val="continue"/>
            <w:tcBorders>
              <w:left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c>
          <w:tcPr>
            <w:tcW w:w="2330" w:type="dxa"/>
            <w:tcBorders>
              <w:top w:val="single" w:color="000000" w:sz="4" w:space="0"/>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c>
          <w:tcPr>
            <w:tcW w:w="1810" w:type="dxa"/>
            <w:gridSpan w:val="2"/>
            <w:tcBorders>
              <w:top w:val="single" w:color="000000" w:sz="4" w:space="0"/>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c>
          <w:tcPr>
            <w:tcW w:w="2445" w:type="dxa"/>
            <w:gridSpan w:val="2"/>
            <w:tcBorders>
              <w:top w:val="single" w:color="000000" w:sz="4" w:space="0"/>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c>
          <w:tcPr>
            <w:tcW w:w="1643" w:type="dxa"/>
            <w:tcBorders>
              <w:top w:val="single" w:color="000000" w:sz="4" w:space="0"/>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549" w:hRule="exact"/>
        </w:trPr>
        <w:tc>
          <w:tcPr>
            <w:tcW w:w="1031" w:type="dxa"/>
            <w:vMerge w:val="continue"/>
            <w:tcBorders>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c>
          <w:tcPr>
            <w:tcW w:w="2330" w:type="dxa"/>
            <w:tcBorders>
              <w:top w:val="single" w:color="000000" w:sz="4" w:space="0"/>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c>
          <w:tcPr>
            <w:tcW w:w="1810" w:type="dxa"/>
            <w:gridSpan w:val="2"/>
            <w:tcBorders>
              <w:top w:val="single" w:color="000000" w:sz="4" w:space="0"/>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c>
          <w:tcPr>
            <w:tcW w:w="2445" w:type="dxa"/>
            <w:gridSpan w:val="2"/>
            <w:tcBorders>
              <w:top w:val="single" w:color="000000" w:sz="4" w:space="0"/>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c>
          <w:tcPr>
            <w:tcW w:w="1643" w:type="dxa"/>
            <w:tcBorders>
              <w:top w:val="single" w:color="000000" w:sz="4" w:space="0"/>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547" w:hRule="exact"/>
        </w:trPr>
        <w:tc>
          <w:tcPr>
            <w:tcW w:w="1031" w:type="dxa"/>
            <w:vMerge w:val="restart"/>
            <w:tcBorders>
              <w:top w:val="single" w:color="000000" w:sz="4" w:space="0"/>
              <w:left w:val="single" w:color="000000" w:sz="4" w:space="0"/>
              <w:right w:val="single" w:color="000000" w:sz="4" w:space="0"/>
            </w:tcBorders>
            <w:noWrap/>
            <w:vAlign w:val="center"/>
          </w:tcPr>
          <w:p>
            <w:pPr>
              <w:pStyle w:val="47"/>
              <w:shd w:val="clear"/>
              <w:spacing w:line="24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节能产品</w:t>
            </w:r>
          </w:p>
        </w:tc>
        <w:tc>
          <w:tcPr>
            <w:tcW w:w="2330" w:type="dxa"/>
            <w:tcBorders>
              <w:top w:val="single" w:color="000000" w:sz="4" w:space="0"/>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c>
          <w:tcPr>
            <w:tcW w:w="1810" w:type="dxa"/>
            <w:gridSpan w:val="2"/>
            <w:tcBorders>
              <w:top w:val="single" w:color="000000" w:sz="4" w:space="0"/>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c>
          <w:tcPr>
            <w:tcW w:w="2445" w:type="dxa"/>
            <w:gridSpan w:val="2"/>
            <w:tcBorders>
              <w:top w:val="single" w:color="000000" w:sz="4" w:space="0"/>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c>
          <w:tcPr>
            <w:tcW w:w="1643" w:type="dxa"/>
            <w:tcBorders>
              <w:top w:val="single" w:color="000000" w:sz="4" w:space="0"/>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r>
      <w:tr>
        <w:tblPrEx>
          <w:tblCellMar>
            <w:top w:w="0" w:type="dxa"/>
            <w:left w:w="0" w:type="dxa"/>
            <w:bottom w:w="0" w:type="dxa"/>
            <w:right w:w="0" w:type="dxa"/>
          </w:tblCellMar>
        </w:tblPrEx>
        <w:trPr>
          <w:trHeight w:val="559" w:hRule="exact"/>
        </w:trPr>
        <w:tc>
          <w:tcPr>
            <w:tcW w:w="1031" w:type="dxa"/>
            <w:vMerge w:val="continue"/>
            <w:tcBorders>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c>
          <w:tcPr>
            <w:tcW w:w="2330" w:type="dxa"/>
            <w:tcBorders>
              <w:top w:val="single" w:color="000000" w:sz="4" w:space="0"/>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c>
          <w:tcPr>
            <w:tcW w:w="1810" w:type="dxa"/>
            <w:gridSpan w:val="2"/>
            <w:tcBorders>
              <w:top w:val="single" w:color="000000" w:sz="4" w:space="0"/>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c>
          <w:tcPr>
            <w:tcW w:w="2445" w:type="dxa"/>
            <w:gridSpan w:val="2"/>
            <w:tcBorders>
              <w:top w:val="single" w:color="000000" w:sz="4" w:space="0"/>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c>
          <w:tcPr>
            <w:tcW w:w="1643" w:type="dxa"/>
            <w:tcBorders>
              <w:top w:val="single" w:color="000000" w:sz="4" w:space="0"/>
              <w:left w:val="single" w:color="000000" w:sz="4" w:space="0"/>
              <w:bottom w:val="single" w:color="000000" w:sz="4" w:space="0"/>
              <w:right w:val="single" w:color="000000" w:sz="4" w:space="0"/>
            </w:tcBorders>
            <w:noWrap/>
            <w:vAlign w:val="center"/>
          </w:tcPr>
          <w:p>
            <w:pPr>
              <w:shd w:val="clear"/>
              <w:spacing w:line="240" w:lineRule="auto"/>
              <w:jc w:val="center"/>
              <w:rPr>
                <w:rFonts w:hint="eastAsia" w:ascii="宋体" w:hAnsi="宋体" w:eastAsia="宋体" w:cs="宋体"/>
                <w:color w:val="auto"/>
                <w:sz w:val="21"/>
                <w:szCs w:val="21"/>
                <w:highlight w:val="none"/>
              </w:rPr>
            </w:pPr>
          </w:p>
        </w:tc>
      </w:tr>
    </w:tbl>
    <w:p>
      <w:pPr>
        <w:pStyle w:val="2"/>
        <w:shd w:val="clear"/>
        <w:spacing w:line="288" w:lineRule="auto"/>
        <w:ind w:left="167" w:right="3367"/>
        <w:jc w:val="left"/>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填报要求：</w:t>
      </w:r>
    </w:p>
    <w:p>
      <w:pPr>
        <w:pStyle w:val="20"/>
        <w:numPr>
          <w:ilvl w:val="0"/>
          <w:numId w:val="9"/>
        </w:numPr>
        <w:shd w:val="clear"/>
        <w:adjustRightInd w:val="0"/>
        <w:snapToGrid w:val="0"/>
        <w:spacing w:beforeAutospacing="0" w:afterAutospacing="0" w:line="288"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制造商为小型或微型企业时才需要填“制造商企业类型”栏，填写内容为“小型”或“微型”。</w:t>
      </w:r>
    </w:p>
    <w:p>
      <w:pPr>
        <w:pStyle w:val="20"/>
        <w:shd w:val="clear"/>
        <w:adjustRightInd w:val="0"/>
        <w:snapToGrid w:val="0"/>
        <w:spacing w:beforeAutospacing="0" w:afterAutospacing="0" w:line="288"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2、 请供应商标正确填写本表，所填内容将作为评分的依据。其内容或数据应与对应的证明资料相符，如果不一致，可能导致该项的得分为 0 分。对应的证明材料为包含制造商或企业名称或申请单位名称、规格型号、有效期截止日期等内容，并将所投产品明显标注出来，并加盖供应商单位章。</w:t>
      </w:r>
    </w:p>
    <w:p>
      <w:pPr>
        <w:pStyle w:val="20"/>
        <w:shd w:val="clear"/>
        <w:adjustRightInd w:val="0"/>
        <w:snapToGrid w:val="0"/>
        <w:spacing w:beforeAutospacing="0" w:afterAutospacing="0" w:line="288" w:lineRule="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政府采购节能产品、环境标志产品实施品目清单管理,依据品目清单和认证证书实施政府优先采购和强制采购。“环境标志产品、节能产品”是属于国家行业主管颁布的品目清单目录中的产品，供应商须提供国家确定的认证机构出具的、处于有效期之内的节能产品、环境标志产品认证证书，上述文件均加盖企业公章。</w:t>
      </w:r>
    </w:p>
    <w:p>
      <w:pPr>
        <w:shd w:val="clear"/>
        <w:spacing w:line="288" w:lineRule="auto"/>
        <w:ind w:firstLine="315" w:firstLineChars="150"/>
        <w:jc w:val="right"/>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ab/>
      </w:r>
      <w:r>
        <w:rPr>
          <w:rFonts w:hint="eastAsia" w:ascii="宋体" w:hAnsi="宋体" w:eastAsia="宋体" w:cs="宋体"/>
          <w:color w:val="auto"/>
          <w:sz w:val="21"/>
          <w:szCs w:val="21"/>
          <w:highlight w:val="none"/>
        </w:rPr>
        <w:t>供应商名称：</w:t>
      </w:r>
      <w:r>
        <w:rPr>
          <w:rFonts w:hint="eastAsia" w:ascii="宋体" w:hAnsi="宋体" w:eastAsia="宋体" w:cs="宋体"/>
          <w:color w:val="auto"/>
          <w:sz w:val="21"/>
          <w:szCs w:val="21"/>
          <w:highlight w:val="none"/>
          <w:u w:val="single"/>
        </w:rPr>
        <w:t>（填写单位全称并加盖公章）</w:t>
      </w:r>
    </w:p>
    <w:p>
      <w:pPr>
        <w:shd w:val="clear"/>
        <w:spacing w:line="288" w:lineRule="auto"/>
        <w:jc w:val="righ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法定代表人或被授权代表：（签字或盖章） </w:t>
      </w:r>
    </w:p>
    <w:p>
      <w:pPr>
        <w:shd w:val="clear"/>
        <w:spacing w:line="288" w:lineRule="auto"/>
        <w:jc w:val="righ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日期</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 xml:space="preserve"> 年 月 日</w:t>
      </w:r>
    </w:p>
    <w:p>
      <w:pPr>
        <w:shd w:val="clear"/>
        <w:spacing w:line="288" w:lineRule="auto"/>
        <w:jc w:val="right"/>
        <w:rPr>
          <w:rFonts w:hint="eastAsia" w:ascii="宋体" w:hAnsi="宋体" w:eastAsia="宋体" w:cs="宋体"/>
          <w:color w:val="auto"/>
          <w:sz w:val="21"/>
          <w:szCs w:val="21"/>
          <w:highlight w:val="none"/>
        </w:rPr>
      </w:pPr>
    </w:p>
    <w:sectPr>
      <w:footerReference r:id="rId7" w:type="default"/>
      <w:pgSz w:w="11906" w:h="16838"/>
      <w:pgMar w:top="1440" w:right="1226" w:bottom="1440" w:left="132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onsolas">
    <w:panose1 w:val="020B0609020204030204"/>
    <w:charset w:val="00"/>
    <w:family w:val="modern"/>
    <w:pitch w:val="default"/>
    <w:sig w:usb0="E00006FF" w:usb1="0000FCFF" w:usb2="00000001" w:usb3="00000000" w:csb0="6000019F" w:csb1="DFD7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001010101"/>
    <w:charset w:val="86"/>
    <w:family w:val="modern"/>
    <w:pitch w:val="default"/>
    <w:sig w:usb0="00000000" w:usb1="00000000" w:usb2="00000010" w:usb3="00000000" w:csb0="00040000" w:csb1="00000000"/>
  </w:font>
  <w:font w:name="方正粗黑宋简体">
    <w:panose1 w:val="02000000000000000000"/>
    <w:charset w:val="86"/>
    <w:family w:val="auto"/>
    <w:pitch w:val="default"/>
    <w:sig w:usb0="A00002BF" w:usb1="184F6CFA" w:usb2="00000012" w:usb3="00000000" w:csb0="00040001" w:csb1="00000000"/>
  </w:font>
  <w:font w:name="Wingdings 2">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16"/>
                          </w:pPr>
                          <w:r>
                            <w:fldChar w:fldCharType="begin"/>
                          </w:r>
                          <w:r>
                            <w:instrText xml:space="preserve"> PAGE  \* MERGEFORMAT </w:instrText>
                          </w:r>
                          <w:r>
                            <w:fldChar w:fldCharType="separate"/>
                          </w:r>
                          <w:r>
                            <w:t>2</w:t>
                          </w:r>
                          <w:r>
                            <w:fldChar w:fldCharType="end"/>
                          </w:r>
                        </w:p>
                      </w:txbxContent>
                    </wps:txbx>
                    <wps:bodyPr vert="horz" wrap="none" lIns="0" tIns="0" rIns="0" bIns="0" anchor="t" upright="0">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ySV/7SAQAAn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8jZMYA+dHmSEg0Mb4+RqGSeqfHYbeJDz5aVTiOW5uLvPJ96+K22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TJJX/tIBAACeAwAADgAAAAAAAAABACAAAAAfAQAA&#10;ZHJzL2Uyb0RvYy54bWxQSwUGAAAAAAYABgBZAQAAYwUAAAAA&#10;">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2</w:t>
                    </w:r>
                    <w: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rFonts w:ascii="宋体" w:hAnsi="宋体" w:cs="宋体"/>
      </w:rPr>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8"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16"/>
                          </w:pPr>
                          <w:r>
                            <w:fldChar w:fldCharType="begin"/>
                          </w:r>
                          <w:r>
                            <w:instrText xml:space="preserve"> PAGE  \* MERGEFORMAT </w:instrText>
                          </w:r>
                          <w:r>
                            <w:fldChar w:fldCharType="separate"/>
                          </w:r>
                          <w:r>
                            <w:t>45</w:t>
                          </w:r>
                          <w:r>
                            <w:fldChar w:fldCharType="end"/>
                          </w:r>
                        </w:p>
                      </w:txbxContent>
                    </wps:txbx>
                    <wps:bodyPr vert="horz" wrap="none" lIns="0" tIns="0" rIns="0" bIns="0" anchor="t" upright="0">
                      <a:spAutoFit/>
                    </wps:bodyPr>
                  </wps:wsp>
                </a:graphicData>
              </a:graphic>
            </wp:anchor>
          </w:drawing>
        </mc:Choice>
        <mc:Fallback>
          <w:pict>
            <v:rect id="文本框 2"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l1uVLQAAAABQEAAA8AAAAAAAAAAQAgAAAAIgAAAGRycy9k&#10;b3ducmV2LnhtbFBLAQIUABQAAAAIAIdO4kBY5VNZ0QEAAJ4DAAAOAAAAAAAAAAEAIAAAAB8BAABk&#10;cnMvZTJvRG9jLnhtbFBLBQYAAAAABgAGAFkBAABiBQAAAAA=&#10;">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45</w:t>
                    </w:r>
                    <w:r>
                      <w:fldChar w:fldCharType="end"/>
                    </w:r>
                  </w:p>
                </w:txbxContent>
              </v:textbox>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9" name="文本框 3"/>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16"/>
                          </w:pPr>
                          <w:r>
                            <w:fldChar w:fldCharType="begin"/>
                          </w:r>
                          <w:r>
                            <w:instrText xml:space="preserve"> PAGE  \* MERGEFORMAT </w:instrText>
                          </w:r>
                          <w:r>
                            <w:fldChar w:fldCharType="separate"/>
                          </w:r>
                          <w:r>
                            <w:t>76</w:t>
                          </w:r>
                          <w:r>
                            <w:fldChar w:fldCharType="end"/>
                          </w:r>
                        </w:p>
                      </w:txbxContent>
                    </wps:txbx>
                    <wps:bodyPr vert="horz" wrap="none" lIns="0" tIns="0" rIns="0" bIns="0" anchor="t" upright="0">
                      <a:spAutoFit/>
                    </wps:bodyPr>
                  </wps:wsp>
                </a:graphicData>
              </a:graphic>
            </wp:anchor>
          </w:drawing>
        </mc:Choice>
        <mc:Fallback>
          <w:pict>
            <v:rect id="文本框 3"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XW5UtAAAAAFAQAADwAAAAAAAAABACAAAAAiAAAAZHJz&#10;L2Rvd25yZXYueG1sUEsBAhQAFAAAAAgAh07iQD/3PunTAQAAngMAAA4AAAAAAAAAAQAgAAAAHwEA&#10;AGRycy9lMm9Eb2MueG1sUEsFBgAAAAAGAAYAWQEAAGQFAAAAAA==&#10;">
              <v:fill on="f" focussize="0,0"/>
              <v:stroke on="f"/>
              <v:imagedata o:title=""/>
              <o:lock v:ext="edit" aspectratio="f"/>
              <v:textbox inset="0mm,0mm,0mm,0mm" style="mso-fit-shape-to-text:t;">
                <w:txbxContent>
                  <w:p>
                    <w:pPr>
                      <w:pStyle w:val="16"/>
                    </w:pPr>
                    <w:r>
                      <w:fldChar w:fldCharType="begin"/>
                    </w:r>
                    <w:r>
                      <w:instrText xml:space="preserve"> PAGE  \* MERGEFORMAT </w:instrText>
                    </w:r>
                    <w:r>
                      <w:fldChar w:fldCharType="separate"/>
                    </w:r>
                    <w:r>
                      <w:t>76</w:t>
                    </w:r>
                    <w:r>
                      <w:fldChar w:fldCharType="end"/>
                    </w: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882D54"/>
    <w:multiLevelType w:val="singleLevel"/>
    <w:tmpl w:val="F8882D54"/>
    <w:lvl w:ilvl="0" w:tentative="0">
      <w:start w:val="1"/>
      <w:numFmt w:val="decimal"/>
      <w:suff w:val="space"/>
      <w:lvlText w:val="%1."/>
      <w:lvlJc w:val="left"/>
    </w:lvl>
  </w:abstractNum>
  <w:abstractNum w:abstractNumId="1">
    <w:nsid w:val="00000000"/>
    <w:multiLevelType w:val="singleLevel"/>
    <w:tmpl w:val="00000000"/>
    <w:lvl w:ilvl="0" w:tentative="0">
      <w:start w:val="3"/>
      <w:numFmt w:val="chineseCounting"/>
      <w:suff w:val="nothing"/>
      <w:lvlText w:val="（%1）"/>
      <w:lvlJc w:val="left"/>
      <w:rPr>
        <w:rFonts w:hint="eastAsia"/>
      </w:rPr>
    </w:lvl>
  </w:abstractNum>
  <w:abstractNum w:abstractNumId="2">
    <w:nsid w:val="00000001"/>
    <w:multiLevelType w:val="singleLevel"/>
    <w:tmpl w:val="00000001"/>
    <w:lvl w:ilvl="0" w:tentative="0">
      <w:start w:val="1"/>
      <w:numFmt w:val="decimal"/>
      <w:suff w:val="nothing"/>
      <w:lvlText w:val="%1、"/>
      <w:lvlJc w:val="left"/>
    </w:lvl>
  </w:abstractNum>
  <w:abstractNum w:abstractNumId="3">
    <w:nsid w:val="00000002"/>
    <w:multiLevelType w:val="singleLevel"/>
    <w:tmpl w:val="00000002"/>
    <w:lvl w:ilvl="0" w:tentative="0">
      <w:start w:val="1"/>
      <w:numFmt w:val="decimal"/>
      <w:lvlText w:val="%1."/>
      <w:lvlJc w:val="left"/>
      <w:pPr>
        <w:tabs>
          <w:tab w:val="left" w:pos="312"/>
        </w:tabs>
      </w:pPr>
    </w:lvl>
  </w:abstractNum>
  <w:abstractNum w:abstractNumId="4">
    <w:nsid w:val="00000003"/>
    <w:multiLevelType w:val="singleLevel"/>
    <w:tmpl w:val="00000003"/>
    <w:lvl w:ilvl="0" w:tentative="0">
      <w:start w:val="5"/>
      <w:numFmt w:val="chineseCounting"/>
      <w:suff w:val="space"/>
      <w:lvlText w:val="第%1章"/>
      <w:lvlJc w:val="left"/>
      <w:rPr>
        <w:rFonts w:hint="eastAsia"/>
      </w:rPr>
    </w:lvl>
  </w:abstractNum>
  <w:abstractNum w:abstractNumId="5">
    <w:nsid w:val="00000004"/>
    <w:multiLevelType w:val="singleLevel"/>
    <w:tmpl w:val="00000004"/>
    <w:lvl w:ilvl="0" w:tentative="0">
      <w:start w:val="7"/>
      <w:numFmt w:val="decimal"/>
      <w:suff w:val="space"/>
      <w:lvlText w:val="%1."/>
      <w:lvlJc w:val="left"/>
    </w:lvl>
  </w:abstractNum>
  <w:abstractNum w:abstractNumId="6">
    <w:nsid w:val="00000005"/>
    <w:multiLevelType w:val="singleLevel"/>
    <w:tmpl w:val="00000005"/>
    <w:lvl w:ilvl="0" w:tentative="0">
      <w:start w:val="1"/>
      <w:numFmt w:val="decimal"/>
      <w:suff w:val="nothing"/>
      <w:lvlText w:val="%1、"/>
      <w:lvlJc w:val="left"/>
    </w:lvl>
  </w:abstractNum>
  <w:abstractNum w:abstractNumId="7">
    <w:nsid w:val="00000006"/>
    <w:multiLevelType w:val="multilevel"/>
    <w:tmpl w:val="00000006"/>
    <w:lvl w:ilvl="0" w:tentative="0">
      <w:start w:val="1"/>
      <w:numFmt w:val="chineseCountingThousand"/>
      <w:suff w:val="nothing"/>
      <w:lvlText w:val="%1、"/>
      <w:lvlJc w:val="left"/>
      <w:pPr>
        <w:ind w:left="425" w:hanging="425"/>
      </w:pPr>
      <w:rPr>
        <w:rFonts w:hint="eastAsia"/>
      </w:rPr>
    </w:lvl>
    <w:lvl w:ilvl="1" w:tentative="0">
      <w:start w:val="1"/>
      <w:numFmt w:val="decimal"/>
      <w:isLgl/>
      <w:suff w:val="nothing"/>
      <w:lvlText w:val="%1.%2、"/>
      <w:lvlJc w:val="left"/>
      <w:pPr>
        <w:ind w:left="567" w:hanging="567"/>
      </w:pPr>
      <w:rPr>
        <w:rFonts w:hint="default" w:ascii="Arial" w:hAnsi="Arial" w:cs="Arial"/>
      </w:rPr>
    </w:lvl>
    <w:lvl w:ilvl="2" w:tentative="0">
      <w:start w:val="1"/>
      <w:numFmt w:val="decimal"/>
      <w:isLgl/>
      <w:suff w:val="nothing"/>
      <w:lvlText w:val="%1.%2.%3、"/>
      <w:lvlJc w:val="left"/>
      <w:pPr>
        <w:ind w:left="1069" w:hanging="1069"/>
      </w:pPr>
      <w:rPr>
        <w:rFonts w:hint="default" w:ascii="Arial" w:hAnsi="Arial" w:cs="Arial"/>
      </w:rPr>
    </w:lvl>
    <w:lvl w:ilvl="3" w:tentative="0">
      <w:start w:val="1"/>
      <w:numFmt w:val="decimal"/>
      <w:pStyle w:val="6"/>
      <w:isLgl/>
      <w:suff w:val="nothing"/>
      <w:lvlText w:val="%1.%2.%3.%4、"/>
      <w:lvlJc w:val="left"/>
      <w:pPr>
        <w:ind w:left="851" w:hanging="851"/>
      </w:pPr>
      <w:rPr>
        <w:rFonts w:hint="default" w:ascii="Arial" w:hAnsi="Arial" w:cs="Arial"/>
        <w:sz w:val="24"/>
        <w:szCs w:val="24"/>
      </w:rPr>
    </w:lvl>
    <w:lvl w:ilvl="4" w:tentative="0">
      <w:start w:val="1"/>
      <w:numFmt w:val="decimal"/>
      <w:isLgl/>
      <w:suff w:val="nothing"/>
      <w:lvlText w:val="%1.%2.%3.%4.%5、"/>
      <w:lvlJc w:val="left"/>
      <w:pPr>
        <w:ind w:left="992" w:hanging="992"/>
      </w:pPr>
      <w:rPr>
        <w:rFonts w:hint="eastAsia"/>
      </w:rPr>
    </w:lvl>
    <w:lvl w:ilvl="5" w:tentative="0">
      <w:start w:val="1"/>
      <w:numFmt w:val="decimal"/>
      <w:isLgl/>
      <w:suff w:val="nothing"/>
      <w:lvlText w:val="%1.%2.%3.%4.%5.%6、"/>
      <w:lvlJc w:val="left"/>
      <w:pPr>
        <w:ind w:left="1134" w:hanging="1134"/>
      </w:pPr>
      <w:rPr>
        <w:rFonts w:hint="eastAsia"/>
      </w:rPr>
    </w:lvl>
    <w:lvl w:ilvl="6" w:tentative="0">
      <w:start w:val="1"/>
      <w:numFmt w:val="decimal"/>
      <w:isLgl/>
      <w:lvlText w:val="%1.%2.%3.%4.%5.%6.%7"/>
      <w:lvlJc w:val="left"/>
      <w:pPr>
        <w:tabs>
          <w:tab w:val="left" w:pos="1800"/>
        </w:tabs>
        <w:ind w:left="1276" w:hanging="1276"/>
      </w:pPr>
      <w:rPr>
        <w:rFonts w:hint="eastAsia"/>
      </w:rPr>
    </w:lvl>
    <w:lvl w:ilvl="7" w:tentative="0">
      <w:start w:val="1"/>
      <w:numFmt w:val="decimal"/>
      <w:isLgl/>
      <w:lvlText w:val="%1.%2.%3.%4.%5.%6.%7.%8"/>
      <w:lvlJc w:val="left"/>
      <w:pPr>
        <w:tabs>
          <w:tab w:val="left" w:pos="1800"/>
        </w:tabs>
        <w:ind w:left="1418" w:hanging="1418"/>
      </w:pPr>
      <w:rPr>
        <w:rFonts w:hint="eastAsia"/>
      </w:rPr>
    </w:lvl>
    <w:lvl w:ilvl="8" w:tentative="0">
      <w:start w:val="1"/>
      <w:numFmt w:val="decimal"/>
      <w:isLgl/>
      <w:lvlText w:val="%1.%2.%3.%4.%5.%6.%7.%8.%9"/>
      <w:lvlJc w:val="left"/>
      <w:pPr>
        <w:tabs>
          <w:tab w:val="left" w:pos="2160"/>
        </w:tabs>
        <w:ind w:left="1559" w:hanging="1559"/>
      </w:pPr>
      <w:rPr>
        <w:rFonts w:hint="eastAsia"/>
      </w:rPr>
    </w:lvl>
  </w:abstractNum>
  <w:abstractNum w:abstractNumId="8">
    <w:nsid w:val="00000007"/>
    <w:multiLevelType w:val="singleLevel"/>
    <w:tmpl w:val="00000007"/>
    <w:lvl w:ilvl="0" w:tentative="0">
      <w:start w:val="1"/>
      <w:numFmt w:val="decimal"/>
      <w:suff w:val="nothing"/>
      <w:lvlText w:val="%1、"/>
      <w:lvlJc w:val="left"/>
    </w:lvl>
  </w:abstractNum>
  <w:num w:numId="1">
    <w:abstractNumId w:val="7"/>
  </w:num>
  <w:num w:numId="2">
    <w:abstractNumId w:val="5"/>
  </w:num>
  <w:num w:numId="3">
    <w:abstractNumId w:val="2"/>
  </w:num>
  <w:num w:numId="4">
    <w:abstractNumId w:val="4"/>
  </w:num>
  <w:num w:numId="5">
    <w:abstractNumId w:val="0"/>
  </w:num>
  <w:num w:numId="6">
    <w:abstractNumId w:val="1"/>
  </w:num>
  <w:num w:numId="7">
    <w:abstractNumId w:val="3"/>
  </w:num>
  <w:num w:numId="8">
    <w:abstractNumId w:val="6"/>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bordersDoNotSurroundHeader w:val="0"/>
  <w:bordersDoNotSurroundFooter w:val="0"/>
  <w:documentProtection w:enforcement="0"/>
  <w:defaultTabStop w:val="420"/>
  <w:drawingGridVerticalSpacing w:val="167"/>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3670CC"/>
    <w:rsid w:val="00E41A17"/>
    <w:rsid w:val="011743C6"/>
    <w:rsid w:val="01A012B3"/>
    <w:rsid w:val="0272525C"/>
    <w:rsid w:val="02D3245C"/>
    <w:rsid w:val="03C024B9"/>
    <w:rsid w:val="04F545D6"/>
    <w:rsid w:val="05DF3DB1"/>
    <w:rsid w:val="069A30E0"/>
    <w:rsid w:val="080E745F"/>
    <w:rsid w:val="09AF0828"/>
    <w:rsid w:val="0DDC7929"/>
    <w:rsid w:val="0E560ECF"/>
    <w:rsid w:val="0E9A5BA1"/>
    <w:rsid w:val="0F7F6D1E"/>
    <w:rsid w:val="0FC75899"/>
    <w:rsid w:val="10DA14A3"/>
    <w:rsid w:val="11366DB9"/>
    <w:rsid w:val="12DD4C92"/>
    <w:rsid w:val="13C33089"/>
    <w:rsid w:val="160145C0"/>
    <w:rsid w:val="160D7C9C"/>
    <w:rsid w:val="177B340B"/>
    <w:rsid w:val="180F349A"/>
    <w:rsid w:val="18B053CB"/>
    <w:rsid w:val="19E61689"/>
    <w:rsid w:val="1B023B82"/>
    <w:rsid w:val="1D36458D"/>
    <w:rsid w:val="1E336B6E"/>
    <w:rsid w:val="1EAC7B65"/>
    <w:rsid w:val="1F3B79D5"/>
    <w:rsid w:val="1F8B6ED9"/>
    <w:rsid w:val="1FB24F36"/>
    <w:rsid w:val="1FC41C32"/>
    <w:rsid w:val="21695041"/>
    <w:rsid w:val="229D10C6"/>
    <w:rsid w:val="23931D1E"/>
    <w:rsid w:val="2570471F"/>
    <w:rsid w:val="25FB5792"/>
    <w:rsid w:val="261B2AA0"/>
    <w:rsid w:val="26FC1B00"/>
    <w:rsid w:val="27983F54"/>
    <w:rsid w:val="283F16BC"/>
    <w:rsid w:val="28DB28DB"/>
    <w:rsid w:val="29AA2F98"/>
    <w:rsid w:val="2AA07499"/>
    <w:rsid w:val="2AAD3B54"/>
    <w:rsid w:val="2AB4059D"/>
    <w:rsid w:val="2C18282D"/>
    <w:rsid w:val="2C2A42C2"/>
    <w:rsid w:val="2D02216E"/>
    <w:rsid w:val="2D2670D0"/>
    <w:rsid w:val="2DBB6F8F"/>
    <w:rsid w:val="2F1852AD"/>
    <w:rsid w:val="2F8E442F"/>
    <w:rsid w:val="2FCD1AB3"/>
    <w:rsid w:val="2FD13B78"/>
    <w:rsid w:val="307E1A9A"/>
    <w:rsid w:val="30F46664"/>
    <w:rsid w:val="33A152D6"/>
    <w:rsid w:val="33DC2581"/>
    <w:rsid w:val="34722806"/>
    <w:rsid w:val="36D46E10"/>
    <w:rsid w:val="36F40E88"/>
    <w:rsid w:val="37496634"/>
    <w:rsid w:val="37550545"/>
    <w:rsid w:val="37FE4670"/>
    <w:rsid w:val="38FB695F"/>
    <w:rsid w:val="3A88063D"/>
    <w:rsid w:val="3A8D3C9E"/>
    <w:rsid w:val="3BBE7E5E"/>
    <w:rsid w:val="3BD1601B"/>
    <w:rsid w:val="3D545D3B"/>
    <w:rsid w:val="3DA83796"/>
    <w:rsid w:val="3EBB3A40"/>
    <w:rsid w:val="3EEA780F"/>
    <w:rsid w:val="3F41576F"/>
    <w:rsid w:val="3F416D65"/>
    <w:rsid w:val="40B466C0"/>
    <w:rsid w:val="415408A0"/>
    <w:rsid w:val="41DB38E1"/>
    <w:rsid w:val="42EA16B0"/>
    <w:rsid w:val="42F076D9"/>
    <w:rsid w:val="44BD6C66"/>
    <w:rsid w:val="45C7446E"/>
    <w:rsid w:val="461058F2"/>
    <w:rsid w:val="46BF5B61"/>
    <w:rsid w:val="471C3A71"/>
    <w:rsid w:val="4B723BF3"/>
    <w:rsid w:val="4CD71E6B"/>
    <w:rsid w:val="4CE4665E"/>
    <w:rsid w:val="4F430FAB"/>
    <w:rsid w:val="4FAC7B59"/>
    <w:rsid w:val="4FB3166B"/>
    <w:rsid w:val="50FF3DB2"/>
    <w:rsid w:val="51CB7312"/>
    <w:rsid w:val="52371A39"/>
    <w:rsid w:val="53045DD3"/>
    <w:rsid w:val="539E5F0B"/>
    <w:rsid w:val="552615AF"/>
    <w:rsid w:val="562D6999"/>
    <w:rsid w:val="565E67AE"/>
    <w:rsid w:val="56CC4963"/>
    <w:rsid w:val="589A097E"/>
    <w:rsid w:val="597A13DE"/>
    <w:rsid w:val="5982407C"/>
    <w:rsid w:val="59E36F82"/>
    <w:rsid w:val="5A20638B"/>
    <w:rsid w:val="5A2E7B9C"/>
    <w:rsid w:val="5A6853F6"/>
    <w:rsid w:val="5AF04EDD"/>
    <w:rsid w:val="5CAA61B7"/>
    <w:rsid w:val="5E9460FA"/>
    <w:rsid w:val="5F1F1297"/>
    <w:rsid w:val="611F6474"/>
    <w:rsid w:val="61303A48"/>
    <w:rsid w:val="613A39A1"/>
    <w:rsid w:val="61533319"/>
    <w:rsid w:val="629555EE"/>
    <w:rsid w:val="62993312"/>
    <w:rsid w:val="63D32B35"/>
    <w:rsid w:val="65EC76B2"/>
    <w:rsid w:val="667A47E4"/>
    <w:rsid w:val="6698129A"/>
    <w:rsid w:val="66D666AB"/>
    <w:rsid w:val="67B44414"/>
    <w:rsid w:val="683249CD"/>
    <w:rsid w:val="6A8B47B2"/>
    <w:rsid w:val="6B067EF0"/>
    <w:rsid w:val="6B790DA8"/>
    <w:rsid w:val="6C0711BD"/>
    <w:rsid w:val="6E530C0F"/>
    <w:rsid w:val="6F804FEE"/>
    <w:rsid w:val="700836DF"/>
    <w:rsid w:val="702C37B1"/>
    <w:rsid w:val="70543363"/>
    <w:rsid w:val="70CA47DD"/>
    <w:rsid w:val="71B06DFB"/>
    <w:rsid w:val="720B3638"/>
    <w:rsid w:val="72F45F16"/>
    <w:rsid w:val="74FC0891"/>
    <w:rsid w:val="753D649A"/>
    <w:rsid w:val="769F08FF"/>
    <w:rsid w:val="76BE724F"/>
    <w:rsid w:val="778165A9"/>
    <w:rsid w:val="78220431"/>
    <w:rsid w:val="782D1043"/>
    <w:rsid w:val="78861019"/>
    <w:rsid w:val="7ABD7B2D"/>
    <w:rsid w:val="7B0539F2"/>
    <w:rsid w:val="7B715C6B"/>
    <w:rsid w:val="7C213A57"/>
    <w:rsid w:val="7D881A11"/>
    <w:rsid w:val="7DDD5F32"/>
    <w:rsid w:val="7DF975F0"/>
    <w:rsid w:val="7F217F75"/>
    <w:rsid w:val="7F863D4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Calibri" w:hAnsi="Calibri" w:eastAsia="宋体" w:cs="宋体"/>
      <w:kern w:val="2"/>
      <w:sz w:val="24"/>
      <w:szCs w:val="24"/>
      <w:lang w:val="en-US" w:eastAsia="zh-CN" w:bidi="ar-SA"/>
    </w:rPr>
  </w:style>
  <w:style w:type="paragraph" w:styleId="3">
    <w:name w:val="heading 1"/>
    <w:basedOn w:val="1"/>
    <w:next w:val="1"/>
    <w:link w:val="35"/>
    <w:qFormat/>
    <w:uiPriority w:val="0"/>
    <w:pPr>
      <w:keepNext/>
      <w:keepLines/>
      <w:spacing w:line="576" w:lineRule="auto"/>
      <w:jc w:val="center"/>
      <w:outlineLvl w:val="0"/>
    </w:pPr>
    <w:rPr>
      <w:rFonts w:eastAsia="宋体"/>
      <w:b/>
      <w:kern w:val="44"/>
      <w:sz w:val="36"/>
    </w:rPr>
  </w:style>
  <w:style w:type="paragraph" w:styleId="4">
    <w:name w:val="heading 2"/>
    <w:basedOn w:val="1"/>
    <w:next w:val="1"/>
    <w:link w:val="36"/>
    <w:qFormat/>
    <w:uiPriority w:val="0"/>
    <w:pPr>
      <w:keepNext/>
      <w:keepLines/>
      <w:spacing w:line="413" w:lineRule="auto"/>
      <w:jc w:val="center"/>
      <w:outlineLvl w:val="1"/>
    </w:pPr>
    <w:rPr>
      <w:rFonts w:ascii="Arial" w:hAnsi="Arial" w:eastAsia="宋体"/>
      <w:b/>
      <w:sz w:val="32"/>
    </w:rPr>
  </w:style>
  <w:style w:type="paragraph" w:styleId="5">
    <w:name w:val="heading 3"/>
    <w:basedOn w:val="1"/>
    <w:next w:val="1"/>
    <w:qFormat/>
    <w:uiPriority w:val="0"/>
    <w:pPr>
      <w:keepNext/>
      <w:keepLines/>
      <w:spacing w:line="413" w:lineRule="auto"/>
      <w:jc w:val="center"/>
      <w:outlineLvl w:val="2"/>
    </w:pPr>
    <w:rPr>
      <w:b/>
      <w:sz w:val="32"/>
    </w:rPr>
  </w:style>
  <w:style w:type="paragraph" w:styleId="6">
    <w:name w:val="heading 4"/>
    <w:basedOn w:val="1"/>
    <w:next w:val="1"/>
    <w:qFormat/>
    <w:uiPriority w:val="0"/>
    <w:pPr>
      <w:keepNext/>
      <w:keepLines/>
      <w:numPr>
        <w:ilvl w:val="3"/>
        <w:numId w:val="1"/>
      </w:numPr>
      <w:tabs>
        <w:tab w:val="left" w:pos="504"/>
        <w:tab w:val="left" w:pos="604"/>
      </w:tabs>
      <w:spacing w:beforeLines="50" w:afterLines="50"/>
      <w:ind w:left="375" w:hanging="375"/>
      <w:outlineLvl w:val="3"/>
    </w:pPr>
    <w:rPr>
      <w:rFonts w:ascii="Arial" w:hAnsi="Arial"/>
      <w:b/>
      <w:bCs/>
      <w:szCs w:val="28"/>
    </w:rPr>
  </w:style>
  <w:style w:type="character" w:default="1" w:styleId="25">
    <w:name w:val="Default Paragraph Font"/>
    <w:qFormat/>
    <w:uiPriority w:val="1"/>
  </w:style>
  <w:style w:type="table" w:default="1" w:styleId="23">
    <w:name w:val="Normal Table"/>
    <w:qFormat/>
    <w:uiPriority w:val="99"/>
    <w:tblPr>
      <w:tblCellMar>
        <w:top w:w="0" w:type="dxa"/>
        <w:left w:w="108" w:type="dxa"/>
        <w:bottom w:w="0" w:type="dxa"/>
        <w:right w:w="108" w:type="dxa"/>
      </w:tblCellMar>
    </w:tblPr>
  </w:style>
  <w:style w:type="paragraph" w:styleId="2">
    <w:name w:val="Body Text"/>
    <w:basedOn w:val="1"/>
    <w:next w:val="1"/>
    <w:qFormat/>
    <w:uiPriority w:val="0"/>
    <w:rPr>
      <w:rFonts w:ascii="宋体" w:hAnsi="宋体" w:eastAsia="宋体" w:cs="Times New Roman"/>
      <w:bCs/>
      <w:szCs w:val="20"/>
    </w:rPr>
  </w:style>
  <w:style w:type="paragraph" w:styleId="7">
    <w:name w:val="table of authorities"/>
    <w:basedOn w:val="1"/>
    <w:next w:val="1"/>
    <w:qFormat/>
    <w:uiPriority w:val="0"/>
    <w:pPr>
      <w:ind w:left="420" w:leftChars="200"/>
    </w:pPr>
  </w:style>
  <w:style w:type="paragraph" w:styleId="8">
    <w:name w:val="Normal Indent"/>
    <w:basedOn w:val="1"/>
    <w:qFormat/>
    <w:uiPriority w:val="0"/>
    <w:pPr>
      <w:ind w:firstLine="420" w:firstLineChars="200"/>
    </w:pPr>
  </w:style>
  <w:style w:type="paragraph" w:styleId="9">
    <w:name w:val="Document Map"/>
    <w:basedOn w:val="1"/>
    <w:link w:val="62"/>
    <w:qFormat/>
    <w:uiPriority w:val="0"/>
    <w:rPr>
      <w:rFonts w:ascii="宋体" w:eastAsia="宋体"/>
      <w:sz w:val="18"/>
      <w:szCs w:val="18"/>
    </w:rPr>
  </w:style>
  <w:style w:type="paragraph" w:styleId="10">
    <w:name w:val="annotation text"/>
    <w:basedOn w:val="1"/>
    <w:qFormat/>
    <w:uiPriority w:val="0"/>
    <w:pPr>
      <w:adjustRightInd w:val="0"/>
      <w:spacing w:line="360" w:lineRule="atLeast"/>
      <w:jc w:val="left"/>
      <w:textAlignment w:val="baseline"/>
    </w:pPr>
    <w:rPr>
      <w:kern w:val="0"/>
    </w:rPr>
  </w:style>
  <w:style w:type="paragraph" w:styleId="11">
    <w:name w:val="Body Text 3"/>
    <w:basedOn w:val="1"/>
    <w:qFormat/>
    <w:uiPriority w:val="0"/>
    <w:rPr>
      <w:rFonts w:ascii="宋体"/>
      <w:szCs w:val="20"/>
    </w:rPr>
  </w:style>
  <w:style w:type="paragraph" w:styleId="12">
    <w:name w:val="Body Text Indent"/>
    <w:basedOn w:val="1"/>
    <w:qFormat/>
    <w:uiPriority w:val="0"/>
    <w:pPr>
      <w:ind w:firstLine="600" w:firstLineChars="200"/>
    </w:pPr>
    <w:rPr>
      <w:rFonts w:ascii="宋体" w:hAnsi="宋体"/>
      <w:sz w:val="30"/>
      <w:szCs w:val="20"/>
    </w:rPr>
  </w:style>
  <w:style w:type="paragraph" w:styleId="13">
    <w:name w:val="List 2"/>
    <w:basedOn w:val="1"/>
    <w:qFormat/>
    <w:uiPriority w:val="0"/>
    <w:pPr>
      <w:ind w:left="100" w:leftChars="200" w:hanging="200" w:hangingChars="200"/>
    </w:pPr>
  </w:style>
  <w:style w:type="paragraph" w:styleId="14">
    <w:name w:val="toc 3"/>
    <w:basedOn w:val="1"/>
    <w:next w:val="1"/>
    <w:qFormat/>
    <w:uiPriority w:val="0"/>
    <w:pPr>
      <w:ind w:left="840" w:leftChars="400"/>
    </w:pPr>
  </w:style>
  <w:style w:type="paragraph" w:styleId="15">
    <w:name w:val="Plain Text"/>
    <w:basedOn w:val="1"/>
    <w:qFormat/>
    <w:uiPriority w:val="0"/>
    <w:rPr>
      <w:rFonts w:ascii="宋体" w:hAnsi="Courier New"/>
      <w:szCs w:val="21"/>
    </w:rPr>
  </w:style>
  <w:style w:type="paragraph" w:styleId="16">
    <w:name w:val="footer"/>
    <w:basedOn w:val="1"/>
    <w:qFormat/>
    <w:uiPriority w:val="0"/>
    <w:pPr>
      <w:tabs>
        <w:tab w:val="center" w:pos="4153"/>
        <w:tab w:val="right" w:pos="8306"/>
      </w:tabs>
      <w:snapToGrid w:val="0"/>
      <w:jc w:val="left"/>
    </w:pPr>
    <w:rPr>
      <w:sz w:val="18"/>
    </w:rPr>
  </w:style>
  <w:style w:type="paragraph" w:styleId="1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8">
    <w:name w:val="toc 1"/>
    <w:basedOn w:val="1"/>
    <w:next w:val="1"/>
    <w:qFormat/>
    <w:uiPriority w:val="0"/>
  </w:style>
  <w:style w:type="paragraph" w:styleId="19">
    <w:name w:val="toc 2"/>
    <w:basedOn w:val="1"/>
    <w:next w:val="1"/>
    <w:qFormat/>
    <w:uiPriority w:val="0"/>
    <w:pPr>
      <w:ind w:left="420" w:leftChars="200"/>
    </w:pPr>
  </w:style>
  <w:style w:type="paragraph" w:styleId="20">
    <w:name w:val="Normal (Web)"/>
    <w:basedOn w:val="1"/>
    <w:qFormat/>
    <w:uiPriority w:val="0"/>
    <w:pPr>
      <w:spacing w:beforeAutospacing="1" w:afterAutospacing="1"/>
      <w:jc w:val="left"/>
    </w:pPr>
    <w:rPr>
      <w:rFonts w:cs="Times New Roman"/>
      <w:kern w:val="0"/>
    </w:rPr>
  </w:style>
  <w:style w:type="paragraph" w:styleId="21">
    <w:name w:val="Body Text First Indent"/>
    <w:basedOn w:val="2"/>
    <w:qFormat/>
    <w:uiPriority w:val="0"/>
    <w:pPr>
      <w:adjustRightInd w:val="0"/>
      <w:ind w:firstLine="420"/>
      <w:jc w:val="left"/>
      <w:textAlignment w:val="baseline"/>
    </w:pPr>
    <w:rPr>
      <w:kern w:val="0"/>
    </w:rPr>
  </w:style>
  <w:style w:type="paragraph" w:styleId="22">
    <w:name w:val="Body Text First Indent 2"/>
    <w:basedOn w:val="12"/>
    <w:qFormat/>
    <w:uiPriority w:val="99"/>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basedOn w:val="25"/>
    <w:qFormat/>
    <w:uiPriority w:val="0"/>
    <w:rPr>
      <w:b/>
      <w:bCs/>
    </w:rPr>
  </w:style>
  <w:style w:type="character" w:styleId="27">
    <w:name w:val="page number"/>
    <w:basedOn w:val="25"/>
    <w:qFormat/>
    <w:uiPriority w:val="0"/>
  </w:style>
  <w:style w:type="character" w:styleId="28">
    <w:name w:val="FollowedHyperlink"/>
    <w:basedOn w:val="25"/>
    <w:qFormat/>
    <w:uiPriority w:val="0"/>
    <w:rPr>
      <w:color w:val="333333"/>
      <w:u w:val="none"/>
    </w:rPr>
  </w:style>
  <w:style w:type="character" w:styleId="29">
    <w:name w:val="Emphasis"/>
    <w:basedOn w:val="25"/>
    <w:qFormat/>
    <w:uiPriority w:val="0"/>
  </w:style>
  <w:style w:type="character" w:styleId="30">
    <w:name w:val="HTML Definition"/>
    <w:basedOn w:val="25"/>
    <w:qFormat/>
    <w:uiPriority w:val="0"/>
    <w:rPr>
      <w:i/>
      <w:iCs/>
    </w:rPr>
  </w:style>
  <w:style w:type="character" w:styleId="31">
    <w:name w:val="Hyperlink"/>
    <w:basedOn w:val="25"/>
    <w:qFormat/>
    <w:uiPriority w:val="99"/>
    <w:rPr>
      <w:color w:val="0000FF"/>
      <w:u w:val="single"/>
    </w:rPr>
  </w:style>
  <w:style w:type="character" w:styleId="32">
    <w:name w:val="HTML Code"/>
    <w:basedOn w:val="25"/>
    <w:qFormat/>
    <w:uiPriority w:val="0"/>
    <w:rPr>
      <w:rFonts w:hint="default" w:ascii="Consolas" w:hAnsi="Consolas" w:eastAsia="Consolas" w:cs="Consolas"/>
      <w:color w:val="C7254E"/>
      <w:sz w:val="21"/>
      <w:szCs w:val="21"/>
      <w:shd w:val="clear" w:color="auto" w:fill="F9F2F4"/>
    </w:rPr>
  </w:style>
  <w:style w:type="character" w:styleId="33">
    <w:name w:val="HTML Keyboard"/>
    <w:basedOn w:val="25"/>
    <w:qFormat/>
    <w:uiPriority w:val="0"/>
    <w:rPr>
      <w:rFonts w:ascii="Consolas" w:hAnsi="Consolas" w:eastAsia="Consolas" w:cs="Consolas"/>
      <w:color w:val="FFFFFF"/>
      <w:sz w:val="21"/>
      <w:szCs w:val="21"/>
      <w:shd w:val="clear" w:color="auto" w:fill="333333"/>
    </w:rPr>
  </w:style>
  <w:style w:type="character" w:styleId="34">
    <w:name w:val="HTML Sample"/>
    <w:basedOn w:val="25"/>
    <w:qFormat/>
    <w:uiPriority w:val="0"/>
    <w:rPr>
      <w:rFonts w:hint="default" w:ascii="Consolas" w:hAnsi="Consolas" w:eastAsia="Consolas" w:cs="Consolas"/>
      <w:sz w:val="21"/>
      <w:szCs w:val="21"/>
    </w:rPr>
  </w:style>
  <w:style w:type="character" w:customStyle="1" w:styleId="35">
    <w:name w:val="标题 1 Char"/>
    <w:link w:val="3"/>
    <w:qFormat/>
    <w:uiPriority w:val="0"/>
    <w:rPr>
      <w:rFonts w:ascii="Calibri" w:hAnsi="Calibri" w:eastAsia="宋体"/>
      <w:b/>
      <w:kern w:val="44"/>
      <w:sz w:val="36"/>
    </w:rPr>
  </w:style>
  <w:style w:type="character" w:customStyle="1" w:styleId="36">
    <w:name w:val="标题 2 Char"/>
    <w:link w:val="4"/>
    <w:qFormat/>
    <w:uiPriority w:val="0"/>
    <w:rPr>
      <w:rFonts w:ascii="Arial" w:hAnsi="Arial" w:eastAsia="宋体"/>
      <w:b/>
      <w:sz w:val="32"/>
    </w:rPr>
  </w:style>
  <w:style w:type="paragraph" w:customStyle="1" w:styleId="37">
    <w:name w:val="TOC 标题1"/>
    <w:basedOn w:val="3"/>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38">
    <w:name w:val="样式10"/>
    <w:basedOn w:val="2"/>
    <w:next w:val="1"/>
    <w:qFormat/>
    <w:uiPriority w:val="0"/>
    <w:rPr>
      <w:rFonts w:ascii="Calibri" w:hAnsi="Calibri"/>
      <w:kern w:val="0"/>
      <w:sz w:val="20"/>
    </w:rPr>
  </w:style>
  <w:style w:type="paragraph" w:customStyle="1" w:styleId="39">
    <w:name w:val="_Style 3"/>
    <w:basedOn w:val="1"/>
    <w:qFormat/>
    <w:uiPriority w:val="0"/>
    <w:pPr>
      <w:spacing w:before="120" w:after="120"/>
      <w:ind w:firstLine="420"/>
    </w:pPr>
    <w:rPr>
      <w:szCs w:val="20"/>
    </w:rPr>
  </w:style>
  <w:style w:type="paragraph" w:customStyle="1" w:styleId="40">
    <w:name w:val="p0"/>
    <w:basedOn w:val="1"/>
    <w:qFormat/>
    <w:uiPriority w:val="0"/>
    <w:pPr>
      <w:widowControl/>
    </w:pPr>
    <w:rPr>
      <w:kern w:val="0"/>
      <w:szCs w:val="21"/>
    </w:rPr>
  </w:style>
  <w:style w:type="paragraph" w:customStyle="1" w:styleId="41">
    <w:name w:val="招标书 正文"/>
    <w:basedOn w:val="1"/>
    <w:qFormat/>
    <w:uiPriority w:val="0"/>
    <w:pPr>
      <w:widowControl/>
      <w:snapToGrid w:val="0"/>
      <w:spacing w:line="560" w:lineRule="exact"/>
      <w:ind w:firstLine="560" w:firstLineChars="200"/>
      <w:jc w:val="left"/>
    </w:pPr>
    <w:rPr>
      <w:rFonts w:ascii="宋体" w:hAnsi="宋体"/>
      <w:color w:val="000000"/>
      <w:kern w:val="0"/>
      <w:szCs w:val="28"/>
    </w:rPr>
  </w:style>
  <w:style w:type="paragraph" w:customStyle="1" w:styleId="42">
    <w:name w:val="正文文字缩进 2"/>
    <w:basedOn w:val="1"/>
    <w:qFormat/>
    <w:uiPriority w:val="0"/>
    <w:pPr>
      <w:widowControl/>
      <w:spacing w:line="351" w:lineRule="atLeast"/>
      <w:ind w:firstLine="481"/>
      <w:textAlignment w:val="baseline"/>
    </w:pPr>
    <w:rPr>
      <w:rFonts w:ascii="仿宋_GB2312" w:hAnsi="Times New Roman" w:eastAsia="仿宋_GB2312"/>
      <w:color w:val="000000"/>
      <w:kern w:val="0"/>
      <w:szCs w:val="20"/>
      <w:u w:color="000000"/>
    </w:rPr>
  </w:style>
  <w:style w:type="character" w:customStyle="1" w:styleId="43">
    <w:name w:val="font31"/>
    <w:basedOn w:val="25"/>
    <w:qFormat/>
    <w:uiPriority w:val="0"/>
    <w:rPr>
      <w:rFonts w:hint="eastAsia" w:ascii="仿宋_GB2312" w:eastAsia="仿宋_GB2312" w:cs="仿宋_GB2312"/>
      <w:color w:val="000000"/>
      <w:sz w:val="24"/>
      <w:szCs w:val="24"/>
      <w:u w:val="none"/>
    </w:rPr>
  </w:style>
  <w:style w:type="character" w:customStyle="1" w:styleId="44">
    <w:name w:val="font51"/>
    <w:basedOn w:val="25"/>
    <w:qFormat/>
    <w:uiPriority w:val="0"/>
    <w:rPr>
      <w:rFonts w:hint="eastAsia" w:ascii="仿宋_GB2312" w:eastAsia="仿宋_GB2312" w:cs="仿宋_GB2312"/>
      <w:b/>
      <w:color w:val="000000"/>
      <w:sz w:val="24"/>
      <w:szCs w:val="24"/>
      <w:u w:val="none"/>
    </w:rPr>
  </w:style>
  <w:style w:type="character" w:customStyle="1" w:styleId="45">
    <w:name w:val="font11"/>
    <w:basedOn w:val="25"/>
    <w:qFormat/>
    <w:uiPriority w:val="0"/>
    <w:rPr>
      <w:rFonts w:hint="eastAsia" w:ascii="仿宋_GB2312" w:eastAsia="仿宋_GB2312" w:cs="仿宋_GB2312"/>
      <w:color w:val="FF0000"/>
      <w:sz w:val="24"/>
      <w:szCs w:val="24"/>
      <w:u w:val="none"/>
    </w:rPr>
  </w:style>
  <w:style w:type="paragraph" w:customStyle="1" w:styleId="46">
    <w:name w:val="列出段落1"/>
    <w:basedOn w:val="1"/>
    <w:qFormat/>
    <w:uiPriority w:val="0"/>
    <w:pPr>
      <w:ind w:firstLine="420" w:firstLineChars="200"/>
    </w:pPr>
    <w:rPr>
      <w:sz w:val="28"/>
      <w:szCs w:val="28"/>
    </w:rPr>
  </w:style>
  <w:style w:type="paragraph" w:customStyle="1" w:styleId="47">
    <w:name w:val="Table Paragraph"/>
    <w:basedOn w:val="1"/>
    <w:qFormat/>
    <w:uiPriority w:val="1"/>
    <w:pPr>
      <w:widowControl/>
    </w:pPr>
    <w:rPr>
      <w:rFonts w:ascii="宋体" w:hAnsi="Calibri"/>
      <w:kern w:val="0"/>
      <w:sz w:val="34"/>
      <w:szCs w:val="22"/>
    </w:rPr>
  </w:style>
  <w:style w:type="paragraph" w:customStyle="1" w:styleId="48">
    <w:name w:val="title1"/>
    <w:basedOn w:val="1"/>
    <w:qFormat/>
    <w:uiPriority w:val="0"/>
    <w:pPr>
      <w:spacing w:before="150"/>
      <w:jc w:val="left"/>
    </w:pPr>
    <w:rPr>
      <w:rFonts w:cs="Times New Roman"/>
      <w:b/>
      <w:kern w:val="0"/>
      <w:sz w:val="22"/>
      <w:szCs w:val="22"/>
    </w:rPr>
  </w:style>
  <w:style w:type="paragraph" w:customStyle="1" w:styleId="49">
    <w:name w:val="title12"/>
    <w:basedOn w:val="1"/>
    <w:qFormat/>
    <w:uiPriority w:val="0"/>
    <w:pPr>
      <w:spacing w:before="150" w:line="450" w:lineRule="atLeast"/>
      <w:jc w:val="left"/>
    </w:pPr>
    <w:rPr>
      <w:rFonts w:cs="Times New Roman"/>
      <w:b/>
      <w:kern w:val="0"/>
    </w:rPr>
  </w:style>
  <w:style w:type="paragraph" w:customStyle="1" w:styleId="50">
    <w:name w:val="title14"/>
    <w:basedOn w:val="1"/>
    <w:qFormat/>
    <w:uiPriority w:val="0"/>
    <w:pPr>
      <w:spacing w:before="150"/>
      <w:jc w:val="left"/>
    </w:pPr>
    <w:rPr>
      <w:rFonts w:cs="Times New Roman"/>
      <w:b/>
      <w:kern w:val="0"/>
      <w:sz w:val="22"/>
      <w:szCs w:val="22"/>
    </w:rPr>
  </w:style>
  <w:style w:type="character" w:customStyle="1" w:styleId="51">
    <w:name w:val="hover3"/>
    <w:basedOn w:val="25"/>
    <w:qFormat/>
    <w:uiPriority w:val="0"/>
    <w:rPr>
      <w:shd w:val="clear" w:color="auto" w:fill="EEEEEE"/>
    </w:rPr>
  </w:style>
  <w:style w:type="character" w:customStyle="1" w:styleId="52">
    <w:name w:val="old"/>
    <w:basedOn w:val="25"/>
    <w:qFormat/>
    <w:uiPriority w:val="0"/>
    <w:rPr>
      <w:color w:val="999999"/>
    </w:rPr>
  </w:style>
  <w:style w:type="character" w:customStyle="1" w:styleId="53">
    <w:name w:val="hour_am"/>
    <w:basedOn w:val="25"/>
    <w:qFormat/>
    <w:uiPriority w:val="0"/>
  </w:style>
  <w:style w:type="character" w:customStyle="1" w:styleId="54">
    <w:name w:val="hour_pm"/>
    <w:basedOn w:val="25"/>
    <w:qFormat/>
    <w:uiPriority w:val="0"/>
  </w:style>
  <w:style w:type="character" w:customStyle="1" w:styleId="55">
    <w:name w:val="glyphicon4"/>
    <w:basedOn w:val="25"/>
    <w:qFormat/>
    <w:uiPriority w:val="0"/>
  </w:style>
  <w:style w:type="character" w:customStyle="1" w:styleId="56">
    <w:name w:val="indent"/>
    <w:basedOn w:val="25"/>
    <w:qFormat/>
    <w:uiPriority w:val="0"/>
  </w:style>
  <w:style w:type="character" w:customStyle="1" w:styleId="57">
    <w:name w:val="button"/>
    <w:basedOn w:val="25"/>
    <w:qFormat/>
    <w:uiPriority w:val="0"/>
  </w:style>
  <w:style w:type="character" w:customStyle="1" w:styleId="58">
    <w:name w:val="tmpztreemove_arrow"/>
    <w:basedOn w:val="25"/>
    <w:qFormat/>
    <w:uiPriority w:val="0"/>
    <w:rPr>
      <w:shd w:val="clear" w:color="auto" w:fill="FFFFFF"/>
    </w:rPr>
  </w:style>
  <w:style w:type="paragraph" w:customStyle="1" w:styleId="59">
    <w:name w:val="title11"/>
    <w:basedOn w:val="1"/>
    <w:qFormat/>
    <w:uiPriority w:val="0"/>
    <w:pPr>
      <w:spacing w:before="150" w:line="450" w:lineRule="atLeast"/>
      <w:jc w:val="left"/>
    </w:pPr>
    <w:rPr>
      <w:rFonts w:cs="Times New Roman"/>
      <w:b/>
      <w:kern w:val="0"/>
    </w:rPr>
  </w:style>
  <w:style w:type="paragraph" w:customStyle="1" w:styleId="60">
    <w:name w:val="title13"/>
    <w:basedOn w:val="1"/>
    <w:qFormat/>
    <w:uiPriority w:val="0"/>
    <w:pPr>
      <w:spacing w:before="150"/>
      <w:jc w:val="left"/>
    </w:pPr>
    <w:rPr>
      <w:rFonts w:cs="Times New Roman"/>
      <w:b/>
      <w:kern w:val="0"/>
      <w:sz w:val="22"/>
      <w:szCs w:val="22"/>
    </w:rPr>
  </w:style>
  <w:style w:type="paragraph" w:styleId="61">
    <w:name w:val="List Paragraph"/>
    <w:basedOn w:val="1"/>
    <w:qFormat/>
    <w:uiPriority w:val="99"/>
    <w:pPr>
      <w:ind w:firstLine="420" w:firstLineChars="200"/>
    </w:pPr>
  </w:style>
  <w:style w:type="character" w:customStyle="1" w:styleId="62">
    <w:name w:val="文档结构图 Char"/>
    <w:basedOn w:val="25"/>
    <w:link w:val="9"/>
    <w:qFormat/>
    <w:uiPriority w:val="0"/>
    <w:rPr>
      <w:rFonts w:ascii="宋体" w:hAnsi="Calibri" w:cs="宋体"/>
      <w:kern w:val="2"/>
      <w:sz w:val="18"/>
      <w:szCs w:val="18"/>
    </w:rPr>
  </w:style>
  <w:style w:type="character" w:customStyle="1" w:styleId="63">
    <w:name w:val="font121"/>
    <w:basedOn w:val="25"/>
    <w:qFormat/>
    <w:uiPriority w:val="0"/>
    <w:rPr>
      <w:rFonts w:hint="eastAsia" w:ascii="宋体" w:hAnsi="宋体" w:eastAsia="宋体" w:cs="宋体"/>
      <w:color w:val="000000"/>
      <w:sz w:val="20"/>
      <w:szCs w:val="20"/>
      <w:u w:val="none"/>
    </w:rPr>
  </w:style>
  <w:style w:type="character" w:customStyle="1" w:styleId="64">
    <w:name w:val="hits"/>
    <w:basedOn w:val="25"/>
    <w:qFormat/>
    <w:uiPriority w:val="0"/>
  </w:style>
  <w:style w:type="character" w:customStyle="1" w:styleId="65">
    <w:name w:val="time"/>
    <w:basedOn w:val="25"/>
    <w:qFormat/>
    <w:uiPriority w:val="0"/>
  </w:style>
  <w:style w:type="character" w:customStyle="1" w:styleId="66">
    <w:name w:val="class"/>
    <w:basedOn w:val="25"/>
    <w:qFormat/>
    <w:uiPriority w:val="0"/>
  </w:style>
  <w:style w:type="character" w:customStyle="1" w:styleId="67">
    <w:name w:val="active6"/>
    <w:basedOn w:val="25"/>
    <w:qFormat/>
    <w:uiPriority w:val="0"/>
    <w:rPr>
      <w:color w:val="00FF00"/>
      <w:shd w:val="clear" w:color="auto" w:fill="000000"/>
    </w:rPr>
  </w:style>
  <w:style w:type="character" w:customStyle="1" w:styleId="68">
    <w:name w:val="proollist"/>
    <w:basedOn w:val="25"/>
    <w:qFormat/>
    <w:uiPriority w:val="0"/>
  </w:style>
  <w:style w:type="character" w:customStyle="1" w:styleId="69">
    <w:name w:val="beforeinfotext"/>
    <w:basedOn w:val="25"/>
    <w:qFormat/>
    <w:uiPriority w:val="0"/>
    <w:rPr>
      <w:color w:val="666666"/>
    </w:rPr>
  </w:style>
  <w:style w:type="character" w:customStyle="1" w:styleId="70">
    <w:name w:val="stclosebtn"/>
    <w:basedOn w:val="25"/>
    <w:qFormat/>
    <w:uiPriority w:val="0"/>
  </w:style>
  <w:style w:type="character" w:customStyle="1" w:styleId="71">
    <w:name w:val="hilite6"/>
    <w:basedOn w:val="25"/>
    <w:qFormat/>
    <w:uiPriority w:val="0"/>
    <w:rPr>
      <w:color w:val="FFFFFF"/>
      <w:shd w:val="clear" w:color="auto" w:fill="666677"/>
    </w:rPr>
  </w:style>
  <w:style w:type="character" w:customStyle="1" w:styleId="72">
    <w:name w:val="span-long"/>
    <w:basedOn w:val="25"/>
    <w:qFormat/>
    <w:uiPriority w:val="0"/>
  </w:style>
  <w:style w:type="character" w:customStyle="1" w:styleId="73">
    <w:name w:val="input-direction"/>
    <w:basedOn w:val="25"/>
    <w:qFormat/>
    <w:uiPriority w:val="0"/>
    <w:rPr>
      <w:color w:val="FF6600"/>
    </w:rPr>
  </w:style>
  <w:style w:type="character" w:customStyle="1" w:styleId="74">
    <w:name w:val="button2"/>
    <w:basedOn w:val="25"/>
    <w:qFormat/>
    <w:uiPriority w:val="0"/>
  </w:style>
  <w:style w:type="character" w:customStyle="1" w:styleId="75">
    <w:name w:val="phone"/>
    <w:basedOn w:val="25"/>
    <w:qFormat/>
    <w:uiPriority w:val="0"/>
    <w:rPr>
      <w:color w:val="FF8833"/>
      <w:sz w:val="18"/>
      <w:szCs w:val="18"/>
    </w:rPr>
  </w:style>
  <w:style w:type="character" w:customStyle="1" w:styleId="76">
    <w:name w:val="number"/>
    <w:basedOn w:val="25"/>
    <w:qFormat/>
    <w:uiPriority w:val="0"/>
    <w:rPr>
      <w:color w:val="FF8833"/>
      <w:sz w:val="18"/>
      <w:szCs w:val="18"/>
    </w:rPr>
  </w:style>
  <w:style w:type="character" w:customStyle="1" w:styleId="77">
    <w:name w:val="hover2"/>
    <w:basedOn w:val="25"/>
    <w:qFormat/>
    <w:uiPriority w:val="0"/>
    <w:rPr>
      <w:shd w:val="clear" w:fill="EEEEEE"/>
    </w:rPr>
  </w:style>
  <w:style w:type="character" w:customStyle="1" w:styleId="78">
    <w:name w:val="font81"/>
    <w:basedOn w:val="25"/>
    <w:qFormat/>
    <w:uiPriority w:val="0"/>
    <w:rPr>
      <w:rFonts w:hint="eastAsia" w:ascii="宋体" w:hAnsi="宋体" w:eastAsia="宋体" w:cs="宋体"/>
      <w:color w:val="000000"/>
      <w:sz w:val="20"/>
      <w:szCs w:val="20"/>
      <w:u w:val="none"/>
    </w:rPr>
  </w:style>
  <w:style w:type="character" w:customStyle="1" w:styleId="79">
    <w:name w:val="font201"/>
    <w:basedOn w:val="25"/>
    <w:qFormat/>
    <w:uiPriority w:val="0"/>
    <w:rPr>
      <w:rFonts w:ascii="方正粗黑宋简体" w:hAnsi="方正粗黑宋简体" w:eastAsia="方正粗黑宋简体" w:cs="方正粗黑宋简体"/>
      <w:color w:val="000000"/>
      <w:sz w:val="20"/>
      <w:szCs w:val="20"/>
      <w:u w:val="none"/>
    </w:rPr>
  </w:style>
  <w:style w:type="character" w:customStyle="1" w:styleId="80">
    <w:name w:val="font141"/>
    <w:basedOn w:val="25"/>
    <w:qFormat/>
    <w:uiPriority w:val="0"/>
    <w:rPr>
      <w:rFonts w:hint="eastAsia" w:ascii="宋体" w:hAnsi="宋体" w:eastAsia="宋体" w:cs="宋体"/>
      <w:color w:val="000000"/>
      <w:sz w:val="24"/>
      <w:szCs w:val="24"/>
      <w:u w:val="none"/>
    </w:rPr>
  </w:style>
  <w:style w:type="character" w:customStyle="1" w:styleId="81">
    <w:name w:val="font112"/>
    <w:basedOn w:val="25"/>
    <w:qFormat/>
    <w:uiPriority w:val="0"/>
    <w:rPr>
      <w:rFonts w:ascii="宋体" w:hAnsi="宋体" w:eastAsia="宋体" w:cs="宋体"/>
      <w:color w:val="000000"/>
      <w:sz w:val="20"/>
      <w:szCs w:val="20"/>
      <w:u w:val="none"/>
    </w:rPr>
  </w:style>
  <w:style w:type="character" w:customStyle="1" w:styleId="82">
    <w:name w:val="font181"/>
    <w:basedOn w:val="25"/>
    <w:qFormat/>
    <w:uiPriority w:val="0"/>
    <w:rPr>
      <w:rFonts w:hint="eastAsia" w:ascii="宋体" w:hAnsi="宋体" w:eastAsia="宋体" w:cs="宋体"/>
      <w:b/>
      <w:color w:val="000000"/>
      <w:sz w:val="18"/>
      <w:szCs w:val="18"/>
      <w:u w:val="none"/>
    </w:rPr>
  </w:style>
  <w:style w:type="character" w:customStyle="1" w:styleId="83">
    <w:name w:val="font152"/>
    <w:basedOn w:val="25"/>
    <w:qFormat/>
    <w:uiPriority w:val="0"/>
    <w:rPr>
      <w:rFonts w:hint="default" w:ascii="Arial" w:hAnsi="Arial" w:cs="Arial"/>
      <w:color w:val="000000"/>
      <w:sz w:val="18"/>
      <w:szCs w:val="18"/>
      <w:u w:val="none"/>
    </w:rPr>
  </w:style>
  <w:style w:type="character" w:customStyle="1" w:styleId="84">
    <w:name w:val="font191"/>
    <w:basedOn w:val="25"/>
    <w:qFormat/>
    <w:uiPriority w:val="0"/>
    <w:rPr>
      <w:rFonts w:hint="default" w:ascii="Arial" w:hAnsi="Arial" w:cs="Arial"/>
      <w:color w:val="000000"/>
      <w:sz w:val="18"/>
      <w:szCs w:val="18"/>
      <w:u w:val="none"/>
    </w:rPr>
  </w:style>
  <w:style w:type="character" w:customStyle="1" w:styleId="85">
    <w:name w:val="font61"/>
    <w:basedOn w:val="25"/>
    <w:qFormat/>
    <w:uiPriority w:val="0"/>
    <w:rPr>
      <w:rFonts w:hint="eastAsia" w:ascii="宋体" w:hAnsi="宋体" w:eastAsia="宋体" w:cs="宋体"/>
      <w:color w:val="000000"/>
      <w:sz w:val="16"/>
      <w:szCs w:val="16"/>
      <w:u w:val="none"/>
    </w:rPr>
  </w:style>
  <w:style w:type="character" w:customStyle="1" w:styleId="86">
    <w:name w:val="font111"/>
    <w:basedOn w:val="25"/>
    <w:qFormat/>
    <w:uiPriority w:val="0"/>
    <w:rPr>
      <w:rFonts w:hint="eastAsia" w:ascii="宋体" w:hAnsi="宋体" w:eastAsia="宋体" w:cs="宋体"/>
      <w:color w:val="000000"/>
      <w:sz w:val="16"/>
      <w:szCs w:val="16"/>
      <w:u w:val="none"/>
    </w:rPr>
  </w:style>
  <w:style w:type="character" w:customStyle="1" w:styleId="87">
    <w:name w:val="font101"/>
    <w:basedOn w:val="25"/>
    <w:qFormat/>
    <w:uiPriority w:val="0"/>
    <w:rPr>
      <w:rFonts w:hint="eastAsia" w:ascii="宋体" w:hAnsi="宋体" w:eastAsia="宋体" w:cs="宋体"/>
      <w:color w:val="000000"/>
      <w:sz w:val="20"/>
      <w:szCs w:val="20"/>
      <w:u w:val="none"/>
    </w:rPr>
  </w:style>
  <w:style w:type="character" w:customStyle="1" w:styleId="88">
    <w:name w:val="hilite"/>
    <w:basedOn w:val="25"/>
    <w:qFormat/>
    <w:uiPriority w:val="0"/>
    <w:rPr>
      <w:color w:val="FFFFFF"/>
      <w:shd w:val="clear" w:fill="666677"/>
    </w:rPr>
  </w:style>
  <w:style w:type="character" w:customStyle="1" w:styleId="89">
    <w:name w:val="active5"/>
    <w:basedOn w:val="25"/>
    <w:qFormat/>
    <w:uiPriority w:val="0"/>
    <w:rPr>
      <w:color w:val="00FF00"/>
      <w:shd w:val="clear" w:fill="000000"/>
    </w:rPr>
  </w:style>
  <w:style w:type="paragraph" w:customStyle="1" w:styleId="90">
    <w:name w:val="正文 New New New New"/>
    <w:qFormat/>
    <w:uiPriority w:val="0"/>
    <w:pPr>
      <w:widowControl w:val="0"/>
      <w:jc w:val="both"/>
    </w:pPr>
    <w:rPr>
      <w:rFonts w:ascii="Times New Roman" w:hAnsi="Times New Roman" w:eastAsia="宋体" w:cs="Times New Roman"/>
      <w:szCs w:val="24"/>
      <w:lang w:val="en-US" w:eastAsia="zh-CN" w:bidi="ar-SA"/>
    </w:rPr>
  </w:style>
  <w:style w:type="character" w:customStyle="1" w:styleId="91">
    <w:name w:val="font131"/>
    <w:basedOn w:val="25"/>
    <w:qFormat/>
    <w:uiPriority w:val="0"/>
    <w:rPr>
      <w:rFonts w:hint="eastAsia" w:ascii="宋体" w:hAnsi="宋体" w:eastAsia="宋体" w:cs="宋体"/>
      <w:color w:val="FF0000"/>
      <w:sz w:val="20"/>
      <w:szCs w:val="20"/>
      <w:u w:val="none"/>
    </w:rPr>
  </w:style>
  <w:style w:type="paragraph" w:customStyle="1" w:styleId="92">
    <w:name w:val="无间隔1"/>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联想（中国）</Company>
  <Pages>77</Pages>
  <Words>26566</Words>
  <Characters>28461</Characters>
  <Paragraphs>1738</Paragraphs>
  <TotalTime>1018</TotalTime>
  <ScaleCrop>false</ScaleCrop>
  <LinksUpToDate>false</LinksUpToDate>
  <CharactersWithSpaces>29839</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2020-11-12T06:06:00Z</dcterms:created>
  <dc:creator>Administrator</dc:creator>
  <cp:lastModifiedBy>朱娟</cp:lastModifiedBy>
  <cp:lastPrinted>2021-03-12T07:56:00Z</cp:lastPrinted>
  <dcterms:modified xsi:type="dcterms:W3CDTF">2021-06-21T08:31:08Z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B769D9E8056C4B759A7A0060AED91C13</vt:lpwstr>
  </property>
  <property fmtid="{D5CDD505-2E9C-101B-9397-08002B2CF9AE}" pid="4" name="KSOSaveFontToCloudKey">
    <vt:lpwstr>202083282_btnclosed</vt:lpwstr>
  </property>
</Properties>
</file>