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afterLines="0"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</w:pPr>
      <w:bookmarkStart w:id="0" w:name="_Toc28530"/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一、产品分项报价表</w:t>
      </w:r>
      <w:bookmarkEnd w:id="0"/>
    </w:p>
    <w:p>
      <w:pPr>
        <w:kinsoku w:val="0"/>
        <w:spacing w:line="500" w:lineRule="exac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项目名称：2021年长安区第八小学3期教育教学设备采购项目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                                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   标   段：</w:t>
      </w:r>
      <w:r>
        <w:rPr>
          <w:rFonts w:hint="eastAsia" w:asciiTheme="minorEastAsia" w:hAnsiTheme="minorEastAsia" w:eastAsiaTheme="minorEastAsia" w:cstheme="minorEastAsia"/>
          <w:spacing w:val="4"/>
          <w:sz w:val="24"/>
          <w:u w:val="none"/>
          <w:lang w:val="en-US" w:eastAsia="zh-CN"/>
        </w:rPr>
        <w:t>一标段</w:t>
      </w:r>
    </w:p>
    <w:p>
      <w:pPr>
        <w:kinsoku w:val="0"/>
        <w:spacing w:line="500" w:lineRule="exac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投标人：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  <w:lang w:val="en-US" w:eastAsia="zh-CN"/>
        </w:rPr>
        <w:t>陕西昌远教育科技有限公司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                               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              共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29</w:t>
      </w:r>
      <w:r>
        <w:rPr>
          <w:rFonts w:hint="eastAsia" w:asciiTheme="minorEastAsia" w:hAnsiTheme="minorEastAsia" w:eastAsiaTheme="minorEastAsia" w:cstheme="minorEastAsia"/>
          <w:sz w:val="24"/>
        </w:rPr>
        <w:t>页，第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</w:rPr>
        <w:t>页</w:t>
      </w:r>
    </w:p>
    <w:tbl>
      <w:tblPr>
        <w:tblStyle w:val="5"/>
        <w:tblW w:w="141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159"/>
        <w:gridCol w:w="853"/>
        <w:gridCol w:w="5283"/>
        <w:gridCol w:w="819"/>
        <w:gridCol w:w="755"/>
        <w:gridCol w:w="1011"/>
        <w:gridCol w:w="1203"/>
        <w:gridCol w:w="1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序号</w:t>
            </w:r>
          </w:p>
        </w:tc>
        <w:tc>
          <w:tcPr>
            <w:tcW w:w="21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名称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品牌</w:t>
            </w:r>
          </w:p>
        </w:tc>
        <w:tc>
          <w:tcPr>
            <w:tcW w:w="52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规格型号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产地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数量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单价</w:t>
            </w: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纸质图书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各出版社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型号：详见图书分项报价表</w:t>
            </w:r>
          </w:p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图书健康：有利于学生素质的全面提高。有助于素质教育的推进；内容及插图必须健康向上，无负面影响，具有长期保存及使用价值；具有较强理论性、知识性、科学性、趣味性、教育性、可读性；要适应教师在备课、教学、辅导、教育活动的组织、管理中的需要，要适合各科教育管理、教学及课内外活动的需要。所有图书保证符合国家标准以及教育部门规定的健康正规出版物，不出现任何盗版及劣质产品，同时保证所供图书印刷质量合格，纸张、印刷、装订质量不低于国家有关质量标准。图书印刷质量执行《中华人民共和国产品质量法》、国务院《出版管理条例》和《图书质量管理规定》等相关法规。印刷技术术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全国各出版社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册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40000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17.30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  <w:sectPr>
          <w:pgSz w:w="16838" w:h="11906" w:orient="landscape"/>
          <w:pgMar w:top="1417" w:right="1417" w:bottom="1417" w:left="1417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5"/>
        <w:tblW w:w="141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159"/>
        <w:gridCol w:w="853"/>
        <w:gridCol w:w="5283"/>
        <w:gridCol w:w="819"/>
        <w:gridCol w:w="755"/>
        <w:gridCol w:w="1011"/>
        <w:gridCol w:w="1203"/>
        <w:gridCol w:w="1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28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语依据GB9851标准。书刊印刷质量评价和分级方法依据CY2-91标准。图书开本及幅面尺寸符合GB788-87标准。内容合法、版本及进货来源合法。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2、封面印刷套印准确，字、图、点、线印迹清楚，不花、不毛、不糊，实地版墨色均匀，无回胶印，背面不脏。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3、插图印刷：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4、插印准确，层次分明轮廓实，电分制版无浮雕印。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5、网点清晰饱满，小点不秃，大点光洁不糊，质感好。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6、墨色均匀厚实，色彩鲜艳有光泽，肤色正，接版准确，色调深浅一致。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7、正文印刷：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8、压力：压力适度，全书前后轻重一致。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9、墨色：全书前后墨色一致，浓淡适度。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10、套印：版面端正，正反套印准确。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11、文字：文字、标点清晰，笔锋挺秀，无缺笔断划，标题黑实不花，小字不糊不瞎。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12、其它：书面无脏污、破损，无钉花、野墨。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13、装订：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14、开本尺寸符合设计要求，套书规格一致，成品裁切方正，无明显刀花，无连接页、折角、破头。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15、书脊平整，无空脊、起泡、明显皱纹，书脊字居中，封面齐色，边框要色正。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16、全书页码折正，书面平服，无皱纹、凸肚，钉距匀称，坚实牢固，易翻不脱页无缺页、重页、倒装。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17、其它：书目整洁，无脏污、破页、野胶。</w:t>
            </w:r>
          </w:p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详见附件：纸质图书清单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图书电子管理系统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科讯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型号：科讯图书馆管理系统V9.0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1、图书采购管理。2、编目管理。3、库管理（典藏管理）。4、流通管理。5、报表管理。6、读者管理。7、图书借阅、归还管理。8、流通统计。9、网上信息发布管理。10、网络查询系统。11、自助借还系统。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具体参数：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1、支持联机检索功能及z39.50协议。系统通过与大型图书馆的联合建库，能够联网获得正规出版物的书名、作者、出版社、价格等基本图书信息，无需另外付费；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支持图书馆行业标准：《ISO2709文献目录信息交换磁带记录格式》、《中国机读目录通讯格式CNMARC》、《国际标准书目著录》（ISBD）国际图联(IFLA)、GB3792.1中华人民共和国《文献著录总则》、《中国图书馆分类法》第五版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3、软件支持外来图书数据以MARC格式导入和导出；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4、软件支持国家图书标准编号ISBN13位和ISBN10的转换；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5、网络查询系统支持多检索点联合检索,具有图书检索和读者检索功能；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6、软件支持自定义图书登录号，条形码，书次号格式生成；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7、自带条码打印系统；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8、支持书卡、书标等图书馆流通中辅助标识的打印、制作；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9、支持50万册以上的图书数据管理；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10、支持多人同时联机编目，无客户端限制；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11、支持多用户分权限、分组别同时管理，支持web方式的查询和预借，并可对预借的数量和时间进行设置；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12、支持图书借阅、归还记录的连续打印；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13、支持读者信息以各种格式导入，导出；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14、支持综合报表统计分析功能，能够按读者的卡号、班级、年级及其它信息随时统计出整个图书馆的借阅效率及超期、罚款、丢失等统计并生成EXCEL表格提供备份；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15、数据管理和备份功能：支持数据的导入、导出，定时自动或手动备份；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16、支持条码卡、IC卡借阅和归还图书，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提供与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后期数字化校园一卡通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接口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具备自助借书、自助还书、查询和续借等各项功能。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18、支持不同载体的各种类型文献的自助借还；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19、支持流通统计功能：星期、日、月、年的自动借阅系统统计报告；查询统计中，并支持常规格式的导出；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20、所有自助借还机上的借还记录支持实时同步存储到服务器上，并提供统一的查询界面进行统一的查询；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21、存储的借还拍照记录可以进行统一管理，支持定时清理记录；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22、提供Web管理界面，在图书馆的其它电脑上查看数据统计功能。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23、能够实现区教育局对学校的图书综合情报分析，直接通过网络了解学校图书流通情况，支持联合检索。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图书馆员工作站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科讯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型号：充消敏器和激光扫描枪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磁条充消敏器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、充消敏有效高度：50mm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报警器：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功率：6W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检测高度：30mm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报警方式：声响、灯亮。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无源解码板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外形尺寸：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210*280*20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手持式激光扫描枪+1.6米数据线（USB接口）（配备支架）。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1、光源类型：650nm自感应激光；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2、安全性能：符合国家二级激光安全标准；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3、使用方式：手持式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4、扫描触发方式：手动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5、误码率：1/500万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6、条码类型：UPC-A，UPC-E，Industrial 2 of 5，EAN8，EAN13，Code 128，EAN128，Code39，Code93，Codabar 7、125等所有一维条码；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、支持接口：USB接口；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、读取宽度：30mm﹫扫描器窗口， 220mm﹫200mm 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、读取角度：转角30°、仰角65°、偏角55°；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、扫描景深：0-250mm(0.33mm.PCS 90%)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、读码速度：每秒200次；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、读码距离：10-240mm；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、受光强度：日光5000 luX max；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、抗振：可承受2米高之自由落体于水泥地面；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、材质：ABS；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1、USB2.0接口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通讯稳定快速；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2、无需外接电源，并内置电源保护；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全面的程序接口，可实现更多的需求。提供VC、 VB、DELPHI、C++BUILDER等开发DEMO；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、LED指示灯和蜂鸣器，可自编程控制；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、支持Mifare标准，频率：13.56MHz，感应距离为50mm-100mm；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、功耗&lt;0.2W、低功耗造就低故障率；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自助借还书机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科讯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型号：KX系列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1、控制主机，无风扇工控主机支持7*24小时连续开机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2、人机交互，系统提供触摸屏人机交互界面，需伴有语音、实际操作录像、文字同步提示，简单直观，操作简便。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3、兼容性，兼容图书馆普遍使用的各种条形码、国内外各种品牌的复合磁条。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读者证件识别，同时兼容接触式IC卡、条码、指纹等多种个人信息读取方式。可以同时使用多种读者卡形式。也可以选择实行手工输入读者证号的功能。读者身份验证支持“数字+字母”的混合密码验证；读者证件识别快速准确，为读者提供了便捷的服务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、信息功能，信息查询功能，可根据需要查询信息显示对应内容。例如：读者基本信息、图书借阅状态信息、图书借阅历史信息、续借信息等。保证读者的隐私权。方便读者在借还书的同时对自己的借阅情况一目了然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6、扫描系统，采用激光条码扫描器扫描书籍条码。激光条码扫描枪为工业级别。扫描快速准确。采用超大扫描范围的激光扫描枪，需覆盖A4书籍的全部幅面，无需通过手工拨动扫描枪扫描书籍条形码。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7、借还书充消磁同步，在办理借阅手续的同时可根据图书借/还状态自动完成消/充磁工作，并提供充消磁声音指示。冲销磁功能支持自动启停功能，无人操作时自动停止工作，实现功耗最小化。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8、防错借功能，具备防止交叉错借书籍到其他读者的有效机制，取走证件即退出和取走证不退出但提醒读者放回证件两种方式可选。有效的防止了可能产生的误借，减少纠纷，提升了图书馆自助服务的质量。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9、凭证打印，每次借阅记录支持凭条打印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10、耐用易维护性，充消磁操作平台采用平台式设计，使用钢化玻璃材质的接触表面，禁用注塑和吸塑等易磨损易碎裂结构材料。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、拍照功能，实时操作拍照功能，当读者开始操作时启动拍照功能，在整个借还书过程中，系统每隔一段时间进行自动拍照并保存，保存时间不低于6个月，当读者对于借还行为有疑问时，可方便的调阅历史录像进行查找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36000.00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读者证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科讯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型号：KX-RD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 内置芯片PVC卡，可存储信息，正反表面均为亮光+覆膜，芯片：复旦；可根据客户要求提供免费排版设计及。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 师生量（读者数）决定IC卡的数量。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图书编目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科讯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型号：图书编目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将馆藏图书进行编目数据著录、MAC数据录入、贴条码、书标、书标保护膜，依据《中国机读目录格式》和《普通图书著录规则》的要求著录图书，图书分类引用《中国图书馆图书分类法》 (第五版）。中文图书主题标引用《中国分类主题词表》和《汉语主题词表》（增订本）。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册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40000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惠普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型号：HP 288 Pro G6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处理器：Inteli5-10500  ；内存：8G 硬盘： 1TB 显卡：集成显卡 机箱：16L 电源：180W 标配内置音箱；端口：前置6个USB 3.2  19.5显示器  操作系统：正版windows 10操作系统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文化装饰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型号：文化装饰亚克力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规格6.5CM*1.4CM、材质10mmPVC雕刻uv、规格1CM*0.6CM、材质1.9mm亚克力uv+亚克力相夹、2付门牌底座+5mm亚克力，可根据效果图和甲方要求调整.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顶面基层处理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型号：顶面基层处理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1、对原墙面基层处理,刷界面剂一遍。2、刮易刮平腻子。如需贴绷带、牛皮纸免费）。3.360号砂纸打磨。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墙面基层处理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型号：墙面基层处理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1、对原墙面基层处理,刷界面剂一遍。2、刮易刮平腻子。如需贴绷带、牛皮纸免费）。3.360号砂纸打磨。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顶面内墙漆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型号：顶面内墙漆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200瓦灯泡照射用熊猫120#砂纸打磨平为止，底漆一遍，面漆二遍。含滚筒，刷子。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墙面内墙漆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型号：墙面内墙漆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200瓦灯泡照射用熊猫120#砂纸打磨平为止，底漆一遍，面漆二遍。含滚筒，刷子。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石膏板边吊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型号：石膏板边吊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1.轻钢龙骨，双层9mm厚石膏板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2.石膏板拼缝进行拼缝处理，内衬细木工板，主龙骨间距在300-400mm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3.饰面基层处理，批灰、刷漆。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53.4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205.00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铝方通吊顶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型号：铝方通吊顶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1.含人工辅料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主材：铝方通吊顶                                                   2.人工及辅料：龙骨、边角、900mm吊杆工艺:膨胀螺丝固定专用龙骨，吊装铝格栅，四边边角收口。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205.00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石膏板造型吊顶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型号：石膏板造型吊顶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1.轻钢龙骨，双层9mm厚石膏板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2.石膏板拼缝进行拼缝处理，内衬细木工板，主龙骨间距在300-400mm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3.饰面基层处理，批灰、刷漆。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185.00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嵌入式筒灯、灯带、吊灯、LED条形灯、窗帘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型号：嵌入式筒灯、灯带、吊灯、LED条形灯、窗帘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4寸嵌入式7w中性光筒灯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含材料及工费（灯带采用14W电压4000k自然光，变压器12V）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1.根据造型裁切u型铝合金铝槽。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2.将铝槽对准凹点轻压，用自攻丝将铝槽固定。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3.灯带采用4000k自然光18w，灯带使用双面胶粘贴牢固。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4.连接12V变压器，连接电源。全部灯带线路通电后正常明亮，通电12小时候无灭灯，无损坏方可安装PC光罩。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1.现代艺术小吊灯。 带光源，电压: 220V（含）功率: 6W(含)-10W(含)。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2.包含材料，运输及安装。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1.反光背板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2.铝合金边框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电路改造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型号：电路改造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含材料及工费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1.4mm空调线，2.5mm开关插座线，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2.5mm照明线，电视电话线，穿PVC管铺设。电路施工对预计进行电路改造的线路进行弹线确认。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3.墙面开槽：电路改造方案确认后用云石机沿线进行开槽，墙面开槽的深度，是电线管径深度的1.5倍。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4.线管绑定：在墙面拐角处，电工用专业的弯管器弯管，从拐弯点到固定线之间的距离为200毫米.电路管线固定每隔40cm加一个卡子，弯头两侧100mm至150mm固定一个卡子。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6.管线锁母：所有的线管与线管链接，中间需有锁母。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5.接口打胶：线管不够长需要拼接时，两个线管的接头需要打胶。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6.线盒走线施工工艺：弱电与弱电之间：线盒间距为5公分。强电与强电之间：线盒间距为5公分。强电与弱电之间：线盒间距为150—200毫米。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7.开关改造标准：改造的开关，距墙边为150—200毫米。暗盒安装应在同一水平上，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8.电路施工完毕后进行绝缘电阻值摇测记录。所有外露线头统一使用电线保护帽进行保护以防触电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开关插座安装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型号：开关插座安装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国标开关插座面板，含安装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吧台服务台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型号：吧台、服务台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尺寸2000mm*800mm*730mm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吧台椅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型号：吧台椅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1、椅身、座板、框架均为实木，所有原木均原色处理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2椅面采用优质透气麻布布料，高密度PU气泡海绵。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3椅腿加防滑垫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双面书架+软包造型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型号：双面书架+软包造型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尺寸：3000mm*450mm*2600mm（4组）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靠墙造型书架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型号：靠墙造型书架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尺寸：6700mm*300mm*2800mm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18.76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壁龛书架1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型号：壁龛书架1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尺寸规格：4000mm*300mm*2800mm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壁龛书架2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型号：壁龛书架2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尺寸：5900mm*300mm*2800mm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16.52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壁龛书架3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型号：壁龛书架3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尺寸：4000mm*300mm*2800mm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靠墙造型书架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型号：靠墙造型书架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尺寸：6000mm*300mm*2800mm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16.8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半高卡座书架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型号：半高卡座书架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尺寸：1400mm高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1、颜色：普林橡木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2、基材：18mm厚实木颗粒板。经过防虫防腐处理,耐磨性好,纹理清晰自然,色泽一致。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3、封边材料：PVC封边，厚度1MM。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4、混合工艺，免漆板直角倒角处理。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回型单面书架靠背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型号：回型单面书架靠背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尺寸：50mm厚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1、颜色：绿色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2、18饰面板打底 采用优质透气绒布布料，高回弹海绵软垫。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11.25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回型单面书架软垫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型号：回型单面书架软垫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尺寸：50mm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1、颜色：绿色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2、18饰面板打底 采用优质透气绒布布料，高回弹海绵软垫。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11.25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圆桌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型号：圆桌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尺寸：r360mm*750mm油漆工艺，包含五金及耗损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1、颜色：木纹色面漆实木生态板（三聚氰胺板）+中密度烤漆板。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2、基材：18mm厚免漆实木生态板+18mm中密度板。经过防虫防腐处理,耐磨性好,纹理清晰自然,色泽一致。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油漆：基层表面清扫、修补基层、砂纸打磨、结疤处打漆片、打底刮腻子、涂干性漆、第一遍满刮腻子、磨光、第二遍满刮腻子、封固底、涂刷PE中漆、复补腻子进行修补、第二遍PE中漆、磨光、刷两遍PU耐黄变涂料，喷涂三遍面漆、抛光打蜡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4、本产品质量要求及规范依据GB/T3324-1995，GB/T33666-1992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圆形异形桌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型号：圆形异形桌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油漆工艺，包含五金及耗损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1、颜色：木纹色面漆实木生态板（三聚氰胺板）+中密度烤漆板。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2、基材：18mm厚免漆实木生态板+18mm中密度板。经过防虫防腐处理,耐磨性好,纹理清晰自然,色泽一致。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油漆：基层表面清扫、修补基层、砂纸打磨、结疤处打漆片、打底刮腻子、涂干性漆、第一遍满刮腻子、磨光、第二遍满刮腻子、封固底、涂刷PE中漆、复补腻子进行修补、第二遍PE中漆、磨光、刷两遍PU耐黄变涂料，喷涂三遍面漆、抛光打蜡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4、本产品质量要求及规范依据GB/T3324-1995，GB/T33666-1992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椅子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型号：椅子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1、椅身、座板、框架均为实木，所有原木均原色处理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2、椅面采用优质透气麻布布料，高密度PU气泡海绵。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3、椅腿加防滑垫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4人桌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型号：4人桌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油漆工艺，包含五金及耗损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1、颜色：木纹色面漆实木生态板（三聚氰胺板）+中密度烤漆板。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2、基材：18mm厚免漆实木生态板+18mm中密度板。经过防虫防腐处理,耐磨性好,纹理清晰自然,色泽一致。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油漆：基层表面清扫、修补基层、砂纸打磨、结疤处打漆片、打底刮腻子、涂干性漆、第一遍满刮腻子、磨光、第二遍满刮腻子、封固底、涂刷PE中漆、复补腻子进行修补、第二遍PE中漆、磨光、刷两遍PU耐黄变涂料，喷涂三遍面漆、抛光打蜡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4、本产品质量要求及规范依据GB/T3324-1995，GB/T33666-1992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书椅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型号：书椅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1、椅身、座板、框架均为实木，所有原木均原色处理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2、椅面采用优质透气麻布布料，高密度PU气泡海绵。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3、椅腿加防滑垫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免漆圆柱书架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型号：免漆圆柱书架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尺寸：直径1660mm*2800mm高包含五金及耗损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1、颜色：木纹色面漆实木生态板（三聚氰胺板）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2、基材：18mm厚免漆实木生态板。经过防虫防腐处理,耐磨性好,纹理清晰自然,色泽一致。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3、封边：ABS封边条，厚度1MM，EVA高温热熔胶封边。流程：喷防粘剂，齐边铣削，工件预热，涂胶，施压封边，封边条剪断，前后截断，上下粗修，上下精修，跟踪修，刮修，铲胶层，布轮抛光，质量检验。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4、生产工艺：板材检验、开料、压板、封边、打眼开榫、开槽起线、试装、拆解打包。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5、本产品质量要求及规范依据GB/T3324-1995，GB/T33666-1992，GB/T14532-1993，QB1338-1991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14.5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双面书架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型号：双面书架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尺寸：2300mm*450mm*2800mm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6.44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1350.00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双面书架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型号：双面书架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尺寸：2400mm*450mm*2800mm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1350.00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双面书架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型号：双面书架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尺寸：5650mm*450mm*2800mm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15.82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1350.00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双层艺术造型地台书架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型号：双层艺术造型地台书架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尺寸：8900mm*800mm*700mm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1.颜色：木纹色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2.基材：18mm厚实木颗粒板。经过防虫防腐处理,耐磨性好,纹理清晰自然,色泽一致。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3.封边材料：PVC封边，厚度1MM。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单面书架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型号：单面书架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尺寸：5820mm*300mm*2800mm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阶梯阅览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型号：阶梯阅览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1、颜色：木纹色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2、基材：18mm厚实木颗粒板。经过防虫防腐处理,耐磨性好,纹理清晰自然,色泽一致。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3、封边材料：PVC封边，厚度1MM。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多边形课桌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型号：多边形课桌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尺寸：1000mm*500mm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1、钢木材质，加粗钢管桌腿。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2、浅胡桃色木纹桌面板，E1级三聚氰胺板。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讨论椅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型号：讨论椅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尺寸：570mmx370mmPVC哑光材质，带扶手简约靠背椅子，储物脚盘，万向轮。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圆地台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型号：圆地台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尺寸：R750mm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1754.00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大圆造型书桌（含圆环书架）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型号：大圆造型书桌（含圆环书架）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尺寸：R1100包含五金及耗损，不锈钢桌腿支架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1、颜色：木纹色面漆实木生态板（三聚氰胺板）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2、基材：18mm厚免漆实木生态板。经过防虫防腐处理,耐磨性好,纹理清晰自然,色泽一致。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3、封边：ABS封边条，厚度1MM，EVA高温热熔胶封边。流程：喷防粘剂，齐边铣削，工件预热，涂胶，施压封边，封边条剪断，前后截断，上下粗修，上下精修，跟踪修，刮修，铲胶层，布轮抛光，质量检验。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4、生产工艺：板材检验、开料、压板、封边、打眼开榫、开槽起线、试装、拆解打包。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5、本产品质量要求及规范依据GB/T3324-1995，GB/T33666-1992，GB/T14532-1993，QB1338-1991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椅子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型号：椅子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1、椅身、座板、框架均为实木，所有原木均原色处理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2、椅面采用优质透气麻布布料，高密度PU气泡海绵。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3、椅腿加防滑垫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木制桌面吧台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型号：木制桌面吧台</w:t>
            </w:r>
          </w:p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尺寸：12000mm*400mm*850mm</w:t>
            </w:r>
          </w:p>
          <w:p>
            <w:pPr>
              <w:widowControl/>
              <w:spacing w:after="26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1、颜色：普林橡木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2、基材：18mm+25mm厚实木颗粒板。经过防虫防腐处理,耐磨性好,纹理清晰自然,色泽一致。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3、封边材料：PVC封边，厚度1MM。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4、混合工艺，免漆板直角倒角处理。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吧台椅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威盛</w:t>
            </w:r>
          </w:p>
        </w:tc>
        <w:tc>
          <w:tcPr>
            <w:tcW w:w="528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型号：吧台椅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尺寸：450mm*450mm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1、非标水曲柳实木软包带靠背吧台椅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2、椅面300mm*300mm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3.布艺软包坐垫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单面书架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嘉冠致远</w:t>
            </w:r>
          </w:p>
        </w:tc>
        <w:tc>
          <w:tcPr>
            <w:tcW w:w="528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型号：单面书架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尺寸：3140mm*300mm*2800mm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1、基材：18mm厚实木颗粒板。经过防虫防腐处理,耐磨性好,纹理清晰自然,色泽一致。2、天然实木皮：采用天然实木皮，厚度0.6mm，含水率达到国家标准要求；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3、白乳胶：采用优质白乳胶，游离甲醛0.05g/kg，笨0.05g/kg，甲苯+二甲苯0.05g/kg，总挥发性有机物40g/L；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4、底漆：水性底漆，游离甲醛含量100mg/kg。                                                          5、五金件： 连接用锌合金材质三合一家具拆装件，偏心件重量3.6克，三合一偏心连接件预埋螺母抗拉强度550N,组合后不松动、使用寿命长。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8.8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134" w:type="dxa"/>
            <w:gridSpan w:val="9"/>
            <w:vAlign w:val="center"/>
          </w:tcPr>
          <w:p>
            <w:pPr>
              <w:pStyle w:val="3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  <w:t>总报价（人民币大写）：      （￥万元）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41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  <w:t>备注：表内总报价内容以万元为单位，保留小数点后两位。</w:t>
            </w:r>
          </w:p>
        </w:tc>
      </w:tr>
    </w:tbl>
    <w:p>
      <w:pPr>
        <w:kinsoku w:val="0"/>
        <w:spacing w:line="500" w:lineRule="exac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注：本表中的“总价”与“开标一览表”中的“产品总价”一致。各子项分别报价。</w:t>
      </w:r>
    </w:p>
    <w:p>
      <w:pPr>
        <w:pStyle w:val="3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3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</w:rPr>
      </w:pPr>
      <w:bookmarkStart w:id="1" w:name="_GoBack"/>
      <w:bookmarkEnd w:id="1"/>
    </w:p>
    <w:sectPr>
      <w:head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asciiTheme="minorEastAsia" w:hAnsiTheme="minorEastAsia" w:eastAsiaTheme="minorEastAsia" w:cstheme="minorEastAsia"/>
        <w:sz w:val="24"/>
      </w:rPr>
    </w:pPr>
  </w:p>
  <w:p>
    <w:pPr>
      <w:pStyle w:val="4"/>
      <w:jc w:val="distribute"/>
    </w:pPr>
    <w:r>
      <w:rPr>
        <w:rFonts w:hint="eastAsia" w:asciiTheme="minorEastAsia" w:hAnsiTheme="minorEastAsia" w:eastAsiaTheme="minorEastAsia" w:cstheme="minorEastAsia"/>
        <w:sz w:val="24"/>
      </w:rPr>
      <w:t>投标人：</w:t>
    </w:r>
    <w:r>
      <w:rPr>
        <w:rFonts w:hint="eastAsia" w:asciiTheme="minorEastAsia" w:hAnsiTheme="minorEastAsia" w:eastAsiaTheme="minorEastAsia" w:cstheme="minorEastAsia"/>
        <w:sz w:val="24"/>
        <w:szCs w:val="24"/>
        <w:u w:val="none"/>
        <w:lang w:val="en-US" w:eastAsia="zh-CN"/>
      </w:rPr>
      <w:t>陕西昌远教育科技有限公司</w:t>
    </w:r>
    <w:r>
      <w:rPr>
        <w:rFonts w:hint="eastAsia" w:asciiTheme="minorEastAsia" w:hAnsiTheme="minorEastAsia" w:eastAsiaTheme="minorEastAsia" w:cstheme="minorEastAsia"/>
        <w:sz w:val="24"/>
      </w:rPr>
      <w:t xml:space="preserve">                                  </w:t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t xml:space="preserve">                </w:t>
    </w:r>
    <w:r>
      <w:rPr>
        <w:rFonts w:hint="eastAsia" w:asciiTheme="minorEastAsia" w:hAnsiTheme="minorEastAsia" w:eastAsiaTheme="minorEastAsia" w:cstheme="minorEastAsia"/>
        <w:sz w:val="24"/>
      </w:rPr>
      <w:t xml:space="preserve">     共</w:t>
    </w:r>
    <w:r>
      <w:rPr>
        <w:rFonts w:hint="eastAsia" w:asciiTheme="minorEastAsia" w:hAnsiTheme="minorEastAsia" w:eastAsiaTheme="minorEastAsia" w:cstheme="minorEastAsia"/>
        <w:sz w:val="24"/>
      </w:rPr>
      <w:fldChar w:fldCharType="begin"/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instrText xml:space="preserve">=</w:instrText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fldChar w:fldCharType="begin"/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instrText xml:space="preserve"> SECTIONPAGES \* MERGEFORMAT </w:instrText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fldChar w:fldCharType="separate"/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instrText xml:space="preserve">2</w:instrText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fldChar w:fldCharType="end"/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instrText xml:space="preserve">+1</w:instrText>
    </w:r>
    <w:r>
      <w:rPr>
        <w:rFonts w:hint="eastAsia" w:asciiTheme="minorEastAsia" w:hAnsiTheme="minorEastAsia" w:eastAsiaTheme="minorEastAsia" w:cstheme="minorEastAsia"/>
        <w:sz w:val="24"/>
      </w:rPr>
      <w:fldChar w:fldCharType="separate"/>
    </w:r>
    <w:r>
      <w:rPr>
        <w:rFonts w:hint="eastAsia" w:asciiTheme="minorEastAsia" w:hAnsiTheme="minorEastAsia" w:eastAsiaTheme="minorEastAsia" w:cstheme="minorEastAsia"/>
        <w:sz w:val="24"/>
      </w:rPr>
      <w:fldChar w:fldCharType="end"/>
    </w:r>
    <w:r>
      <w:rPr>
        <w:rFonts w:hint="eastAsia" w:asciiTheme="minorEastAsia" w:hAnsiTheme="minorEastAsia" w:eastAsiaTheme="minorEastAsia" w:cstheme="minorEastAsia"/>
        <w:sz w:val="24"/>
      </w:rPr>
      <w:t>页，第</w:t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fldChar w:fldCharType="begin"/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instrText xml:space="preserve">=</w:instrText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fldChar w:fldCharType="begin"/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instrText xml:space="preserve">page</w:instrText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fldChar w:fldCharType="separate"/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instrText xml:space="preserve">6</w:instrText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fldChar w:fldCharType="end"/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instrText xml:space="preserve">-4</w:instrText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fldChar w:fldCharType="separate"/>
    </w:r>
    <w:r>
      <w:rPr>
        <w:rFonts w:hint="eastAsia" w:asciiTheme="minorEastAsia" w:hAnsiTheme="minorEastAsia" w:eastAsiaTheme="minorEastAsia" w:cstheme="minorEastAsia"/>
        <w:sz w:val="24"/>
        <w:lang w:val="en-US" w:eastAsia="zh-CN"/>
      </w:rPr>
      <w:fldChar w:fldCharType="end"/>
    </w:r>
    <w:r>
      <w:rPr>
        <w:rFonts w:hint="eastAsia" w:asciiTheme="minorEastAsia" w:hAnsiTheme="minorEastAsia" w:eastAsiaTheme="minorEastAsia" w:cstheme="minorEastAsia"/>
        <w:sz w:val="24"/>
      </w:rPr>
      <w:t>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0D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24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2021-06-29T07:14:37Z</dcterms:created>
  <dc:creator>Administrator</dc:creator>
  <cp:lastModifiedBy>安安</cp:lastModifiedBy>
  <dcterms:modified xsi:type="dcterms:W3CDTF">2021-06-29T07:18:24Z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8E435C9026314B32A82D28892290E673</vt:lpwstr>
  </property>
</Properties>
</file>