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jc w:val="center"/>
        <w:rPr>
          <w:rFonts w:hint="eastAsia" w:asciiTheme="minorEastAsia" w:hAnsiTheme="minorEastAsia" w:eastAsiaTheme="minorEastAsia" w:cstheme="minorEastAsia"/>
          <w:smallCaps w:val="0"/>
          <w:color w:val="auto"/>
          <w:spacing w:val="0"/>
          <w:kern w:val="0"/>
          <w:sz w:val="48"/>
          <w:szCs w:val="48"/>
          <w:highlight w:val="none"/>
          <w:lang w:val="en-US" w:eastAsia="zh-CN"/>
        </w:rPr>
      </w:pPr>
    </w:p>
    <w:p>
      <w:pPr>
        <w:spacing w:line="360" w:lineRule="auto"/>
        <w:jc w:val="center"/>
        <w:rPr>
          <w:rFonts w:hint="eastAsia" w:asciiTheme="minorEastAsia" w:hAnsiTheme="minorEastAsia" w:eastAsiaTheme="minorEastAsia" w:cstheme="minorEastAsia"/>
          <w:bCs/>
          <w:smallCaps w:val="0"/>
          <w:color w:val="auto"/>
          <w:spacing w:val="0"/>
          <w:sz w:val="48"/>
          <w:szCs w:val="48"/>
          <w:highlight w:val="none"/>
        </w:rPr>
      </w:pPr>
      <w:r>
        <w:rPr>
          <w:rFonts w:hint="eastAsia" w:asciiTheme="minorEastAsia" w:hAnsiTheme="minorEastAsia" w:eastAsiaTheme="minorEastAsia" w:cstheme="minorEastAsia"/>
          <w:smallCaps w:val="0"/>
          <w:color w:val="auto"/>
          <w:spacing w:val="0"/>
          <w:kern w:val="0"/>
          <w:sz w:val="48"/>
          <w:szCs w:val="48"/>
          <w:highlight w:val="none"/>
          <w:lang w:val="en-US" w:eastAsia="zh-CN"/>
        </w:rPr>
        <w:t>中小学远程同步互动教室设备采购项目</w:t>
      </w:r>
    </w:p>
    <w:p>
      <w:pPr>
        <w:pStyle w:val="20"/>
        <w:widowControl/>
        <w:spacing w:before="0" w:beforeAutospacing="0" w:after="0" w:afterAutospacing="0" w:line="480" w:lineRule="exact"/>
        <w:rPr>
          <w:rFonts w:hint="eastAsia" w:asciiTheme="minorEastAsia" w:hAnsiTheme="minorEastAsia" w:eastAsiaTheme="minorEastAsia" w:cstheme="minorEastAsia"/>
          <w:b/>
          <w:smallCaps w:val="0"/>
          <w:color w:val="000000" w:themeColor="text1"/>
          <w:spacing w:val="0"/>
          <w:sz w:val="44"/>
          <w:szCs w:val="18"/>
          <w:highlight w:val="none"/>
          <w14:textFill>
            <w14:solidFill>
              <w14:schemeClr w14:val="tx1"/>
            </w14:solidFill>
          </w14:textFill>
        </w:rPr>
      </w:pPr>
    </w:p>
    <w:p>
      <w:pPr>
        <w:pStyle w:val="15"/>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p>
    <w:p>
      <w:pPr>
        <w:pStyle w:val="12"/>
        <w:rPr>
          <w:rFonts w:asciiTheme="minorEastAsia" w:hAnsiTheme="minorEastAsia" w:eastAsiaTheme="minorEastAsia" w:cstheme="minorEastAsia"/>
          <w:b/>
          <w:smallCaps w:val="0"/>
          <w:color w:val="000000" w:themeColor="text1"/>
          <w:spacing w:val="0"/>
          <w:sz w:val="46"/>
          <w:szCs w:val="36"/>
          <w14:textFill>
            <w14:solidFill>
              <w14:schemeClr w14:val="tx1"/>
            </w14:solidFill>
          </w14:textFill>
        </w:rPr>
      </w:pPr>
      <w:bookmarkStart w:id="0" w:name="_Toc193702467"/>
      <w:bookmarkStart w:id="1" w:name="_Toc25708"/>
      <w:bookmarkStart w:id="2" w:name="_Toc347478670"/>
      <w:bookmarkStart w:id="3" w:name="_Toc18149"/>
    </w:p>
    <w:p>
      <w:pPr>
        <w:jc w:val="center"/>
        <w:rPr>
          <w:rFonts w:asciiTheme="minorEastAsia" w:hAnsiTheme="minorEastAsia" w:eastAsiaTheme="minorEastAsia" w:cstheme="minorEastAsia"/>
          <w:b/>
          <w:smallCaps w:val="0"/>
          <w:color w:val="000000" w:themeColor="text1"/>
          <w:spacing w:val="0"/>
          <w:sz w:val="46"/>
          <w:szCs w:val="36"/>
          <w14:textFill>
            <w14:solidFill>
              <w14:schemeClr w14:val="tx1"/>
            </w14:solidFill>
          </w14:textFill>
        </w:rPr>
      </w:pPr>
    </w:p>
    <w:p>
      <w:pPr>
        <w:jc w:val="center"/>
        <w:rPr>
          <w:rFonts w:asciiTheme="minorEastAsia" w:hAnsiTheme="minorEastAsia" w:eastAsiaTheme="minorEastAsia" w:cstheme="minorEastAsia"/>
          <w:b/>
          <w:smallCaps w:val="0"/>
          <w:color w:val="000000" w:themeColor="text1"/>
          <w:spacing w:val="0"/>
          <w:sz w:val="46"/>
          <w:szCs w:val="36"/>
          <w14:textFill>
            <w14:solidFill>
              <w14:schemeClr w14:val="tx1"/>
            </w14:solidFill>
          </w14:textFill>
        </w:rPr>
      </w:pPr>
    </w:p>
    <w:p>
      <w:pPr>
        <w:spacing w:line="800" w:lineRule="exact"/>
        <w:jc w:val="center"/>
        <w:rPr>
          <w:rFonts w:asciiTheme="minorEastAsia" w:hAnsiTheme="minorEastAsia" w:eastAsiaTheme="minorEastAsia" w:cstheme="minorEastAsia"/>
          <w:bCs/>
          <w:smallCaps w:val="0"/>
          <w:color w:val="000000" w:themeColor="text1"/>
          <w:spacing w:val="0"/>
          <w:sz w:val="84"/>
          <w:szCs w:val="84"/>
          <w14:textFill>
            <w14:solidFill>
              <w14:schemeClr w14:val="tx1"/>
            </w14:solidFill>
          </w14:textFill>
        </w:rPr>
      </w:pPr>
      <w:r>
        <w:rPr>
          <w:rFonts w:hint="eastAsia" w:asciiTheme="minorEastAsia" w:hAnsiTheme="minorEastAsia" w:eastAsiaTheme="minorEastAsia" w:cstheme="minorEastAsia"/>
          <w:bCs/>
          <w:smallCaps w:val="0"/>
          <w:color w:val="000000" w:themeColor="text1"/>
          <w:spacing w:val="0"/>
          <w:sz w:val="84"/>
          <w:szCs w:val="84"/>
          <w14:textFill>
            <w14:solidFill>
              <w14:schemeClr w14:val="tx1"/>
            </w14:solidFill>
          </w14:textFill>
        </w:rPr>
        <w:t>招标文件</w:t>
      </w:r>
    </w:p>
    <w:p>
      <w:pPr>
        <w:spacing w:line="360" w:lineRule="auto"/>
        <w:rPr>
          <w:rFonts w:asciiTheme="minorEastAsia" w:hAnsiTheme="minorEastAsia" w:eastAsiaTheme="minorEastAsia" w:cstheme="minorEastAsia"/>
          <w:b/>
          <w:smallCaps w:val="0"/>
          <w:color w:val="000000" w:themeColor="text1"/>
          <w:spacing w:val="0"/>
          <w:sz w:val="32"/>
          <w:szCs w:val="32"/>
          <w14:textFill>
            <w14:solidFill>
              <w14:schemeClr w14:val="tx1"/>
            </w14:solidFill>
          </w14:textFill>
        </w:rPr>
      </w:pPr>
    </w:p>
    <w:p>
      <w:pPr>
        <w:spacing w:line="360" w:lineRule="auto"/>
        <w:jc w:val="center"/>
        <w:rPr>
          <w:rFonts w:asciiTheme="minorEastAsia" w:hAnsiTheme="minorEastAsia" w:eastAsiaTheme="minorEastAsia" w:cstheme="minorEastAsia"/>
          <w:b/>
          <w:smallCaps w:val="0"/>
          <w:color w:val="000000" w:themeColor="text1"/>
          <w:spacing w:val="0"/>
          <w:sz w:val="30"/>
          <w:szCs w:val="30"/>
          <w14:textFill>
            <w14:solidFill>
              <w14:schemeClr w14:val="tx1"/>
            </w14:solidFill>
          </w14:textFill>
        </w:rPr>
      </w:pPr>
    </w:p>
    <w:p>
      <w:pPr>
        <w:spacing w:line="360" w:lineRule="auto"/>
        <w:rPr>
          <w:rFonts w:asciiTheme="minorEastAsia" w:hAnsiTheme="minorEastAsia" w:eastAsiaTheme="minorEastAsia" w:cstheme="minorEastAsia"/>
          <w:b/>
          <w:smallCaps w:val="0"/>
          <w:color w:val="000000" w:themeColor="text1"/>
          <w:spacing w:val="0"/>
          <w:sz w:val="30"/>
          <w:szCs w:val="30"/>
          <w14:textFill>
            <w14:solidFill>
              <w14:schemeClr w14:val="tx1"/>
            </w14:solidFill>
          </w14:textFill>
        </w:rPr>
      </w:pPr>
    </w:p>
    <w:p>
      <w:pPr>
        <w:tabs>
          <w:tab w:val="center" w:pos="4252"/>
          <w:tab w:val="left" w:pos="5805"/>
        </w:tabs>
        <w:spacing w:line="360" w:lineRule="auto"/>
        <w:jc w:val="center"/>
        <w:rPr>
          <w:rFonts w:hint="eastAsia" w:ascii="华文中宋" w:hAnsi="华文中宋" w:eastAsia="华文中宋"/>
          <w:smallCaps w:val="0"/>
          <w:spacing w:val="0"/>
          <w:sz w:val="30"/>
          <w:szCs w:val="30"/>
          <w:lang w:val="en-US" w:eastAsia="zh-CN"/>
        </w:rPr>
      </w:pPr>
      <w:r>
        <w:rPr>
          <w:rFonts w:hint="eastAsia" w:ascii="华文中宋" w:hAnsi="华文中宋" w:eastAsia="华文中宋"/>
          <w:smallCaps w:val="0"/>
          <w:spacing w:val="0"/>
          <w:sz w:val="30"/>
          <w:szCs w:val="30"/>
        </w:rPr>
        <w:t>项目编号：JDZB-2021-0</w:t>
      </w:r>
      <w:r>
        <w:rPr>
          <w:rFonts w:hint="eastAsia" w:ascii="华文中宋" w:hAnsi="华文中宋" w:eastAsia="华文中宋"/>
          <w:smallCaps w:val="0"/>
          <w:spacing w:val="0"/>
          <w:sz w:val="30"/>
          <w:szCs w:val="30"/>
          <w:lang w:val="en-US" w:eastAsia="zh-CN"/>
        </w:rPr>
        <w:t>52</w:t>
      </w:r>
    </w:p>
    <w:p>
      <w:pPr>
        <w:spacing w:line="360" w:lineRule="auto"/>
        <w:ind w:left="210" w:leftChars="100"/>
        <w:jc w:val="center"/>
        <w:rPr>
          <w:rFonts w:ascii="仿宋_GB2312" w:eastAsia="仿宋_GB2312"/>
          <w:b/>
          <w:smallCaps w:val="0"/>
          <w:spacing w:val="0"/>
          <w:kern w:val="0"/>
          <w:sz w:val="44"/>
          <w:szCs w:val="44"/>
        </w:rPr>
      </w:pPr>
    </w:p>
    <w:p>
      <w:pPr>
        <w:spacing w:line="360" w:lineRule="auto"/>
        <w:ind w:left="210" w:leftChars="100"/>
        <w:jc w:val="center"/>
        <w:rPr>
          <w:rFonts w:ascii="仿宋_GB2312" w:eastAsia="仿宋_GB2312"/>
          <w:b/>
          <w:smallCaps w:val="0"/>
          <w:spacing w:val="0"/>
          <w:kern w:val="0"/>
          <w:sz w:val="44"/>
          <w:szCs w:val="44"/>
        </w:rPr>
      </w:pPr>
    </w:p>
    <w:p>
      <w:pPr>
        <w:pStyle w:val="19"/>
        <w:rPr>
          <w:smallCaps w:val="0"/>
          <w:spacing w:val="0"/>
        </w:rPr>
      </w:pPr>
    </w:p>
    <w:p>
      <w:pPr>
        <w:pStyle w:val="19"/>
        <w:rPr>
          <w:smallCaps w:val="0"/>
          <w:spacing w:val="0"/>
        </w:rPr>
      </w:pPr>
    </w:p>
    <w:p>
      <w:pPr>
        <w:pStyle w:val="19"/>
        <w:rPr>
          <w:smallCaps w:val="0"/>
          <w:spacing w:val="0"/>
        </w:rPr>
      </w:pPr>
    </w:p>
    <w:p>
      <w:pPr>
        <w:pStyle w:val="8"/>
        <w:rPr>
          <w:smallCaps w:val="0"/>
          <w:spacing w:val="0"/>
        </w:rPr>
      </w:pPr>
    </w:p>
    <w:p>
      <w:pPr>
        <w:tabs>
          <w:tab w:val="left" w:pos="7383"/>
        </w:tabs>
        <w:spacing w:line="360" w:lineRule="auto"/>
        <w:rPr>
          <w:rFonts w:ascii="宋体" w:hAnsi="宋体" w:cs="宋体"/>
          <w:smallCaps w:val="0"/>
          <w:spacing w:val="0"/>
          <w:sz w:val="32"/>
          <w:szCs w:val="32"/>
        </w:rPr>
      </w:pPr>
      <w:r>
        <w:rPr>
          <w:rFonts w:hint="eastAsia" w:ascii="宋体" w:hAnsi="宋体" w:cs="宋体"/>
          <w:smallCaps w:val="0"/>
          <w:spacing w:val="0"/>
          <w:kern w:val="0"/>
          <w:sz w:val="32"/>
          <w:szCs w:val="32"/>
        </w:rPr>
        <w:t xml:space="preserve">采  </w:t>
      </w:r>
      <w:r>
        <w:rPr>
          <w:rFonts w:ascii="宋体" w:hAnsi="宋体" w:cs="宋体"/>
          <w:smallCaps w:val="0"/>
          <w:spacing w:val="0"/>
          <w:kern w:val="0"/>
          <w:sz w:val="32"/>
          <w:szCs w:val="32"/>
        </w:rPr>
        <w:t xml:space="preserve"> </w:t>
      </w:r>
      <w:r>
        <w:rPr>
          <w:rFonts w:hint="eastAsia" w:ascii="宋体" w:hAnsi="宋体" w:cs="宋体"/>
          <w:smallCaps w:val="0"/>
          <w:spacing w:val="0"/>
          <w:kern w:val="0"/>
          <w:sz w:val="32"/>
          <w:szCs w:val="32"/>
        </w:rPr>
        <w:t xml:space="preserve">购  </w:t>
      </w:r>
      <w:r>
        <w:rPr>
          <w:rFonts w:ascii="宋体" w:hAnsi="宋体" w:cs="宋体"/>
          <w:smallCaps w:val="0"/>
          <w:spacing w:val="0"/>
          <w:kern w:val="0"/>
          <w:sz w:val="32"/>
          <w:szCs w:val="32"/>
        </w:rPr>
        <w:t xml:space="preserve"> </w:t>
      </w:r>
      <w:r>
        <w:rPr>
          <w:rFonts w:hint="eastAsia" w:ascii="宋体" w:hAnsi="宋体" w:cs="宋体"/>
          <w:smallCaps w:val="0"/>
          <w:spacing w:val="0"/>
          <w:kern w:val="0"/>
          <w:sz w:val="32"/>
          <w:szCs w:val="32"/>
        </w:rPr>
        <w:t>人：</w:t>
      </w:r>
      <w:r>
        <w:rPr>
          <w:rFonts w:hint="eastAsia" w:asciiTheme="minorEastAsia" w:hAnsiTheme="minorEastAsia" w:eastAsiaTheme="minorEastAsia" w:cstheme="minorEastAsia"/>
          <w:bCs/>
          <w:smallCaps w:val="0"/>
          <w:color w:val="000000" w:themeColor="text1"/>
          <w:spacing w:val="0"/>
          <w:sz w:val="30"/>
          <w:szCs w:val="30"/>
          <w:highlight w:val="none"/>
          <w:u w:val="single"/>
          <w:lang w:val="en-US" w:eastAsia="zh-CN"/>
          <w14:textFill>
            <w14:solidFill>
              <w14:schemeClr w14:val="tx1"/>
            </w14:solidFill>
          </w14:textFill>
        </w:rPr>
        <w:t>延川县教育科技体育局</w:t>
      </w:r>
      <w:r>
        <w:rPr>
          <w:rFonts w:hint="eastAsia" w:asciiTheme="minorEastAsia" w:hAnsiTheme="minorEastAsia" w:eastAsiaTheme="minorEastAsia" w:cstheme="minorEastAsia"/>
          <w:bCs/>
          <w:smallCaps w:val="0"/>
          <w:color w:val="000000" w:themeColor="text1"/>
          <w:spacing w:val="0"/>
          <w:sz w:val="30"/>
          <w:szCs w:val="30"/>
          <w:highlight w:val="none"/>
          <w:u w:val="single"/>
          <w14:textFill>
            <w14:solidFill>
              <w14:schemeClr w14:val="tx1"/>
            </w14:solidFill>
          </w14:textFill>
        </w:rPr>
        <w:t xml:space="preserve">   </w:t>
      </w:r>
      <w:r>
        <w:rPr>
          <w:rFonts w:hint="eastAsia" w:ascii="宋体" w:hAnsi="宋体" w:cs="宋体"/>
          <w:smallCaps w:val="0"/>
          <w:spacing w:val="0"/>
          <w:sz w:val="32"/>
          <w:szCs w:val="32"/>
          <w:u w:val="single"/>
        </w:rPr>
        <w:t xml:space="preserve">                                     </w:t>
      </w:r>
    </w:p>
    <w:p>
      <w:pPr>
        <w:spacing w:line="360" w:lineRule="auto"/>
        <w:rPr>
          <w:rFonts w:ascii="宋体" w:hAnsi="宋体" w:cs="宋体"/>
          <w:smallCaps w:val="0"/>
          <w:spacing w:val="0"/>
          <w:kern w:val="0"/>
          <w:sz w:val="32"/>
          <w:szCs w:val="32"/>
        </w:rPr>
      </w:pPr>
    </w:p>
    <w:p>
      <w:pPr>
        <w:pStyle w:val="19"/>
        <w:rPr>
          <w:smallCaps w:val="0"/>
          <w:spacing w:val="0"/>
        </w:rPr>
      </w:pPr>
    </w:p>
    <w:p>
      <w:pPr>
        <w:spacing w:line="360" w:lineRule="auto"/>
        <w:rPr>
          <w:rFonts w:ascii="宋体" w:hAnsi="宋体" w:cs="宋体"/>
          <w:smallCaps w:val="0"/>
          <w:spacing w:val="0"/>
          <w:kern w:val="0"/>
          <w:sz w:val="32"/>
          <w:szCs w:val="32"/>
        </w:rPr>
      </w:pPr>
      <w:r>
        <w:rPr>
          <w:rFonts w:hint="eastAsia" w:ascii="宋体" w:hAnsi="宋体" w:cs="宋体"/>
          <w:smallCaps w:val="0"/>
          <w:spacing w:val="0"/>
          <w:kern w:val="0"/>
          <w:sz w:val="32"/>
          <w:szCs w:val="32"/>
        </w:rPr>
        <w:t>采购代理机构：</w:t>
      </w:r>
      <w:r>
        <w:rPr>
          <w:rFonts w:hint="eastAsia" w:ascii="宋体" w:hAnsi="宋体" w:cs="宋体"/>
          <w:smallCaps w:val="0"/>
          <w:spacing w:val="0"/>
          <w:sz w:val="32"/>
          <w:szCs w:val="32"/>
          <w:u w:val="single"/>
        </w:rPr>
        <w:t xml:space="preserve">九鼎工程管理咨询有限公司    </w:t>
      </w:r>
      <w:r>
        <w:rPr>
          <w:rFonts w:hint="eastAsia" w:ascii="宋体" w:hAnsi="宋体" w:cs="宋体"/>
          <w:smallCaps w:val="0"/>
          <w:spacing w:val="0"/>
          <w:sz w:val="28"/>
          <w:szCs w:val="28"/>
          <w:u w:val="single"/>
        </w:rPr>
        <w:t xml:space="preserve">                        </w:t>
      </w:r>
    </w:p>
    <w:p>
      <w:pPr>
        <w:spacing w:line="360" w:lineRule="auto"/>
        <w:rPr>
          <w:rFonts w:ascii="宋体" w:hAnsi="宋体" w:cs="宋体"/>
          <w:smallCaps w:val="0"/>
          <w:spacing w:val="0"/>
          <w:kern w:val="0"/>
          <w:sz w:val="32"/>
          <w:szCs w:val="32"/>
        </w:rPr>
      </w:pPr>
    </w:p>
    <w:p>
      <w:pPr>
        <w:spacing w:line="360" w:lineRule="auto"/>
        <w:jc w:val="center"/>
        <w:rPr>
          <w:rFonts w:ascii="宋体" w:hAnsi="宋体" w:cs="宋体"/>
          <w:smallCaps w:val="0"/>
          <w:spacing w:val="0"/>
          <w:kern w:val="0"/>
          <w:sz w:val="32"/>
          <w:szCs w:val="32"/>
        </w:rPr>
      </w:pPr>
      <w:r>
        <w:rPr>
          <w:rFonts w:hint="eastAsia" w:ascii="宋体" w:hAnsi="宋体" w:cs="宋体"/>
          <w:smallCaps w:val="0"/>
          <w:spacing w:val="0"/>
          <w:kern w:val="0"/>
          <w:sz w:val="32"/>
          <w:szCs w:val="32"/>
        </w:rPr>
        <w:t>二〇二一</w:t>
      </w:r>
      <w:r>
        <w:rPr>
          <w:rFonts w:hint="eastAsia" w:ascii="宋体" w:hAnsi="宋体" w:cs="宋体"/>
          <w:smallCaps w:val="0"/>
          <w:spacing w:val="0"/>
          <w:kern w:val="0"/>
          <w:sz w:val="32"/>
          <w:szCs w:val="32"/>
          <w:lang w:eastAsia="zh-CN"/>
        </w:rPr>
        <w:t>年十</w:t>
      </w:r>
      <w:r>
        <w:rPr>
          <w:rFonts w:hint="eastAsia" w:ascii="宋体" w:hAnsi="宋体" w:cs="宋体"/>
          <w:smallCaps w:val="0"/>
          <w:spacing w:val="0"/>
          <w:kern w:val="0"/>
          <w:sz w:val="32"/>
          <w:szCs w:val="32"/>
        </w:rPr>
        <w:t>月</w:t>
      </w:r>
    </w:p>
    <w:p>
      <w:pPr>
        <w:pStyle w:val="12"/>
        <w:rPr>
          <w:rFonts w:asciiTheme="minorEastAsia" w:hAnsiTheme="minorEastAsia" w:eastAsiaTheme="minorEastAsia" w:cstheme="minorEastAsia"/>
          <w:smallCaps w:val="0"/>
          <w:color w:val="000000" w:themeColor="text1"/>
          <w:spacing w:val="0"/>
          <w14:textFill>
            <w14:solidFill>
              <w14:schemeClr w14:val="tx1"/>
            </w14:solidFill>
          </w14:textFill>
        </w:rPr>
        <w:sectPr>
          <w:headerReference r:id="rId4" w:type="first"/>
          <w:footerReference r:id="rId5" w:type="default"/>
          <w:headerReference r:id="rId3" w:type="even"/>
          <w:footerReference r:id="rId6" w:type="even"/>
          <w:footnotePr>
            <w:pos w:val="beneathText"/>
          </w:footnotePr>
          <w:pgSz w:w="11906" w:h="16838"/>
          <w:pgMar w:top="1440" w:right="1800" w:bottom="1440" w:left="1800" w:header="851" w:footer="992" w:gutter="0"/>
          <w:cols w:space="720" w:num="1"/>
          <w:titlePg/>
          <w:docGrid w:linePitch="312" w:charSpace="92"/>
        </w:sectPr>
      </w:pPr>
    </w:p>
    <w:sdt>
      <w:sdtPr>
        <w:rPr>
          <w:rFonts w:ascii="宋体" w:hAnsi="宋体" w:eastAsia="宋体" w:cs="黑体"/>
          <w:smallCaps w:val="0"/>
          <w:spacing w:val="0"/>
          <w:kern w:val="2"/>
          <w:sz w:val="21"/>
          <w:szCs w:val="22"/>
          <w:lang w:val="en-US" w:eastAsia="zh-CN" w:bidi="ar-SA"/>
        </w:rPr>
        <w:id w:val="147450920"/>
        <w15:color w:val="DBDBDB"/>
        <w:docPartObj>
          <w:docPartGallery w:val="Table of Contents"/>
          <w:docPartUnique/>
        </w:docPartObj>
      </w:sdtPr>
      <w:sdtEndPr>
        <w:rPr>
          <w:rFonts w:hint="eastAsia" w:asciiTheme="minorEastAsia" w:hAnsiTheme="minorEastAsia" w:eastAsiaTheme="minorEastAsia" w:cstheme="minorEastAsia"/>
          <w:bCs/>
          <w:smallCaps w:val="0"/>
          <w:color w:val="000000" w:themeColor="text1"/>
          <w:spacing w:val="0"/>
          <w:kern w:val="2"/>
          <w:sz w:val="24"/>
          <w:szCs w:val="24"/>
          <w:lang w:val="en-US" w:eastAsia="zh-CN" w:bidi="ar-SA"/>
          <w14:textFill>
            <w14:solidFill>
              <w14:schemeClr w14:val="tx1"/>
            </w14:solidFill>
          </w14:textFill>
        </w:rPr>
      </w:sdtEndPr>
      <w:sdtContent>
        <w:p>
          <w:pPr>
            <w:spacing w:before="0" w:beforeLines="0" w:after="0" w:afterLines="0" w:line="240" w:lineRule="auto"/>
            <w:ind w:left="0" w:leftChars="0" w:right="0" w:rightChars="0" w:firstLine="0" w:firstLineChars="0"/>
            <w:jc w:val="center"/>
            <w:rPr>
              <w:rFonts w:ascii="宋体" w:hAnsi="宋体" w:eastAsia="宋体"/>
              <w:smallCaps w:val="0"/>
              <w:spacing w:val="0"/>
              <w:sz w:val="28"/>
              <w:szCs w:val="28"/>
            </w:rPr>
          </w:pPr>
          <w:r>
            <w:rPr>
              <w:rFonts w:ascii="宋体" w:hAnsi="宋体" w:eastAsia="宋体"/>
              <w:smallCaps w:val="0"/>
              <w:spacing w:val="0"/>
              <w:sz w:val="28"/>
              <w:szCs w:val="28"/>
            </w:rPr>
            <w:t>目</w:t>
          </w:r>
          <w:r>
            <w:rPr>
              <w:rFonts w:hint="eastAsia" w:ascii="宋体" w:hAnsi="宋体" w:eastAsia="宋体"/>
              <w:smallCaps w:val="0"/>
              <w:spacing w:val="0"/>
              <w:sz w:val="28"/>
              <w:szCs w:val="28"/>
              <w:lang w:val="en-US" w:eastAsia="zh-CN"/>
            </w:rPr>
            <w:t xml:space="preserve">  </w:t>
          </w:r>
          <w:r>
            <w:rPr>
              <w:rFonts w:ascii="宋体" w:hAnsi="宋体" w:eastAsia="宋体"/>
              <w:smallCaps w:val="0"/>
              <w:spacing w:val="0"/>
              <w:sz w:val="28"/>
              <w:szCs w:val="28"/>
            </w:rPr>
            <w:t>录</w:t>
          </w:r>
        </w:p>
        <w:p>
          <w:pPr>
            <w:pStyle w:val="19"/>
            <w:rPr>
              <w:smallCaps w:val="0"/>
              <w:spacing w:val="0"/>
            </w:rPr>
          </w:pPr>
        </w:p>
        <w:p>
          <w:pPr>
            <w:pStyle w:val="86"/>
            <w:keepNext w:val="0"/>
            <w:keepLines w:val="0"/>
            <w:pageBreakBefore w:val="0"/>
            <w:tabs>
              <w:tab w:val="right" w:leader="dot" w:pos="8312"/>
            </w:tabs>
            <w:kinsoku/>
            <w:wordWrap/>
            <w:overflowPunct/>
            <w:topLinePunct w:val="0"/>
            <w:autoSpaceDE/>
            <w:autoSpaceDN/>
            <w:bidi w:val="0"/>
            <w:adjustRightInd/>
            <w:snapToGrid/>
            <w:spacing w:line="720" w:lineRule="auto"/>
            <w:textAlignment w:val="auto"/>
            <w:rPr>
              <w:smallCaps w:val="0"/>
              <w:spacing w:val="0"/>
              <w:sz w:val="24"/>
              <w:szCs w:val="24"/>
            </w:rPr>
          </w:pPr>
          <w:r>
            <w:rPr>
              <w:rStyle w:val="87"/>
              <w:rFonts w:hint="eastAsia" w:asciiTheme="minorEastAsia" w:hAnsiTheme="minorEastAsia" w:eastAsiaTheme="minorEastAsia" w:cstheme="minorEastAsia"/>
              <w:b/>
              <w:bCs/>
              <w:smallCaps w:val="0"/>
              <w:color w:val="000000" w:themeColor="text1"/>
              <w:spacing w:val="0"/>
              <w:sz w:val="24"/>
              <w:szCs w:val="24"/>
              <w14:textFill>
                <w14:solidFill>
                  <w14:schemeClr w14:val="tx1"/>
                </w14:solidFill>
              </w14:textFill>
            </w:rPr>
            <w:fldChar w:fldCharType="begin"/>
          </w:r>
          <w:r>
            <w:rPr>
              <w:rStyle w:val="87"/>
              <w:rFonts w:hint="eastAsia" w:asciiTheme="minorEastAsia" w:hAnsiTheme="minorEastAsia" w:eastAsiaTheme="minorEastAsia" w:cstheme="minorEastAsia"/>
              <w:b/>
              <w:bCs/>
              <w:smallCaps w:val="0"/>
              <w:color w:val="000000" w:themeColor="text1"/>
              <w:spacing w:val="0"/>
              <w:sz w:val="24"/>
              <w:szCs w:val="24"/>
              <w14:textFill>
                <w14:solidFill>
                  <w14:schemeClr w14:val="tx1"/>
                </w14:solidFill>
              </w14:textFill>
            </w:rPr>
            <w:instrText xml:space="preserve">TOC \o "1-1" \h \u </w:instrText>
          </w:r>
          <w:r>
            <w:rPr>
              <w:rStyle w:val="87"/>
              <w:rFonts w:hint="eastAsia" w:asciiTheme="minorEastAsia" w:hAnsiTheme="minorEastAsia" w:eastAsiaTheme="minorEastAsia" w:cstheme="minorEastAsia"/>
              <w:b/>
              <w:bCs/>
              <w:smallCaps w:val="0"/>
              <w:color w:val="000000" w:themeColor="text1"/>
              <w:spacing w:val="0"/>
              <w:sz w:val="24"/>
              <w:szCs w:val="24"/>
              <w14:textFill>
                <w14:solidFill>
                  <w14:schemeClr w14:val="tx1"/>
                </w14:solidFill>
              </w14:textFill>
            </w:rPr>
            <w:fldChar w:fldCharType="separate"/>
          </w:r>
          <w:r>
            <w:rPr>
              <w:rFonts w:hint="eastAsia" w:asciiTheme="minorEastAsia" w:hAnsiTheme="minorEastAsia" w:eastAsiaTheme="minorEastAsia" w:cstheme="minorEastAsia"/>
              <w:bCs/>
              <w:smallCaps w:val="0"/>
              <w:color w:val="000000" w:themeColor="text1"/>
              <w:spacing w:val="0"/>
              <w:sz w:val="24"/>
              <w:szCs w:val="24"/>
              <w14:textFill>
                <w14:solidFill>
                  <w14:schemeClr w14:val="tx1"/>
                </w14:solidFill>
              </w14:textFill>
            </w:rPr>
            <w:fldChar w:fldCharType="begin"/>
          </w:r>
          <w:r>
            <w:rPr>
              <w:rFonts w:hint="eastAsia" w:asciiTheme="minorEastAsia" w:hAnsiTheme="minorEastAsia" w:eastAsiaTheme="minorEastAsia" w:cstheme="minorEastAsia"/>
              <w:bCs/>
              <w:smallCaps w:val="0"/>
              <w:spacing w:val="0"/>
              <w:sz w:val="24"/>
              <w:szCs w:val="24"/>
            </w:rPr>
            <w:instrText xml:space="preserve"> HYPERLINK \l _Toc7740 </w:instrText>
          </w:r>
          <w:r>
            <w:rPr>
              <w:rFonts w:hint="eastAsia" w:asciiTheme="minorEastAsia" w:hAnsiTheme="minorEastAsia" w:eastAsiaTheme="minorEastAsia" w:cstheme="minorEastAsia"/>
              <w:bCs/>
              <w:smallCaps w:val="0"/>
              <w:spacing w:val="0"/>
              <w:sz w:val="24"/>
              <w:szCs w:val="24"/>
            </w:rPr>
            <w:fldChar w:fldCharType="separate"/>
          </w:r>
          <w:r>
            <w:rPr>
              <w:rFonts w:hint="eastAsia" w:asciiTheme="minorEastAsia" w:hAnsiTheme="minorEastAsia" w:eastAsiaTheme="minorEastAsia" w:cstheme="minorEastAsia"/>
              <w:bCs/>
              <w:smallCaps w:val="0"/>
              <w:spacing w:val="0"/>
              <w:sz w:val="24"/>
              <w:szCs w:val="24"/>
            </w:rPr>
            <w:t>第一部分 招标公告</w:t>
          </w:r>
          <w:r>
            <w:rPr>
              <w:smallCaps w:val="0"/>
              <w:spacing w:val="0"/>
              <w:sz w:val="24"/>
              <w:szCs w:val="24"/>
            </w:rPr>
            <w:tab/>
          </w:r>
          <w:r>
            <w:rPr>
              <w:smallCaps w:val="0"/>
              <w:spacing w:val="0"/>
              <w:sz w:val="24"/>
              <w:szCs w:val="24"/>
            </w:rPr>
            <w:fldChar w:fldCharType="begin"/>
          </w:r>
          <w:r>
            <w:rPr>
              <w:smallCaps w:val="0"/>
              <w:spacing w:val="0"/>
              <w:sz w:val="24"/>
              <w:szCs w:val="24"/>
            </w:rPr>
            <w:instrText xml:space="preserve"> PAGEREF _Toc7740 </w:instrText>
          </w:r>
          <w:r>
            <w:rPr>
              <w:smallCaps w:val="0"/>
              <w:spacing w:val="0"/>
              <w:sz w:val="24"/>
              <w:szCs w:val="24"/>
            </w:rPr>
            <w:fldChar w:fldCharType="separate"/>
          </w:r>
          <w:r>
            <w:rPr>
              <w:smallCaps w:val="0"/>
              <w:spacing w:val="0"/>
              <w:sz w:val="24"/>
              <w:szCs w:val="24"/>
            </w:rPr>
            <w:t>1</w:t>
          </w:r>
          <w:r>
            <w:rPr>
              <w:smallCaps w:val="0"/>
              <w:spacing w:val="0"/>
              <w:sz w:val="24"/>
              <w:szCs w:val="24"/>
            </w:rPr>
            <w:fldChar w:fldCharType="end"/>
          </w:r>
          <w:r>
            <w:rPr>
              <w:rFonts w:hint="eastAsia" w:asciiTheme="minorEastAsia" w:hAnsiTheme="minorEastAsia" w:eastAsiaTheme="minorEastAsia" w:cstheme="minorEastAsia"/>
              <w:bCs/>
              <w:smallCaps w:val="0"/>
              <w:color w:val="000000" w:themeColor="text1"/>
              <w:spacing w:val="0"/>
              <w:sz w:val="24"/>
              <w:szCs w:val="24"/>
              <w14:textFill>
                <w14:solidFill>
                  <w14:schemeClr w14:val="tx1"/>
                </w14:solidFill>
              </w14:textFill>
            </w:rPr>
            <w:fldChar w:fldCharType="end"/>
          </w:r>
        </w:p>
        <w:p>
          <w:pPr>
            <w:pStyle w:val="86"/>
            <w:keepNext w:val="0"/>
            <w:keepLines w:val="0"/>
            <w:pageBreakBefore w:val="0"/>
            <w:tabs>
              <w:tab w:val="right" w:leader="dot" w:pos="8312"/>
            </w:tabs>
            <w:kinsoku/>
            <w:wordWrap/>
            <w:overflowPunct/>
            <w:topLinePunct w:val="0"/>
            <w:autoSpaceDE/>
            <w:autoSpaceDN/>
            <w:bidi w:val="0"/>
            <w:adjustRightInd/>
            <w:snapToGrid/>
            <w:spacing w:line="720" w:lineRule="auto"/>
            <w:textAlignment w:val="auto"/>
            <w:rPr>
              <w:smallCaps w:val="0"/>
              <w:spacing w:val="0"/>
              <w:sz w:val="24"/>
              <w:szCs w:val="24"/>
            </w:rPr>
          </w:pPr>
          <w:r>
            <w:rPr>
              <w:rFonts w:hint="eastAsia" w:asciiTheme="minorEastAsia" w:hAnsiTheme="minorEastAsia" w:eastAsiaTheme="minorEastAsia" w:cstheme="minorEastAsia"/>
              <w:bCs/>
              <w:smallCaps w:val="0"/>
              <w:color w:val="000000" w:themeColor="text1"/>
              <w:spacing w:val="0"/>
              <w:sz w:val="24"/>
              <w:szCs w:val="24"/>
              <w14:textFill>
                <w14:solidFill>
                  <w14:schemeClr w14:val="tx1"/>
                </w14:solidFill>
              </w14:textFill>
            </w:rPr>
            <w:fldChar w:fldCharType="begin"/>
          </w:r>
          <w:r>
            <w:rPr>
              <w:rFonts w:hint="eastAsia" w:asciiTheme="minorEastAsia" w:hAnsiTheme="minorEastAsia" w:eastAsiaTheme="minorEastAsia" w:cstheme="minorEastAsia"/>
              <w:bCs/>
              <w:smallCaps w:val="0"/>
              <w:spacing w:val="0"/>
              <w:sz w:val="24"/>
              <w:szCs w:val="24"/>
            </w:rPr>
            <w:instrText xml:space="preserve"> HYPERLINK \l _Toc7580 </w:instrText>
          </w:r>
          <w:r>
            <w:rPr>
              <w:rFonts w:hint="eastAsia" w:asciiTheme="minorEastAsia" w:hAnsiTheme="minorEastAsia" w:eastAsiaTheme="minorEastAsia" w:cstheme="minorEastAsia"/>
              <w:bCs/>
              <w:smallCaps w:val="0"/>
              <w:spacing w:val="0"/>
              <w:sz w:val="24"/>
              <w:szCs w:val="24"/>
            </w:rPr>
            <w:fldChar w:fldCharType="separate"/>
          </w:r>
          <w:r>
            <w:rPr>
              <w:rFonts w:hint="eastAsia" w:asciiTheme="minorEastAsia" w:hAnsiTheme="minorEastAsia" w:eastAsiaTheme="minorEastAsia" w:cstheme="minorEastAsia"/>
              <w:smallCaps w:val="0"/>
              <w:spacing w:val="0"/>
              <w:sz w:val="24"/>
              <w:szCs w:val="24"/>
            </w:rPr>
            <w:t>第二部分 供应商须知</w:t>
          </w:r>
          <w:r>
            <w:rPr>
              <w:smallCaps w:val="0"/>
              <w:spacing w:val="0"/>
              <w:sz w:val="24"/>
              <w:szCs w:val="24"/>
            </w:rPr>
            <w:tab/>
          </w:r>
          <w:r>
            <w:rPr>
              <w:smallCaps w:val="0"/>
              <w:spacing w:val="0"/>
              <w:sz w:val="24"/>
              <w:szCs w:val="24"/>
            </w:rPr>
            <w:fldChar w:fldCharType="begin"/>
          </w:r>
          <w:r>
            <w:rPr>
              <w:smallCaps w:val="0"/>
              <w:spacing w:val="0"/>
              <w:sz w:val="24"/>
              <w:szCs w:val="24"/>
            </w:rPr>
            <w:instrText xml:space="preserve"> PAGEREF _Toc7580 </w:instrText>
          </w:r>
          <w:r>
            <w:rPr>
              <w:smallCaps w:val="0"/>
              <w:spacing w:val="0"/>
              <w:sz w:val="24"/>
              <w:szCs w:val="24"/>
            </w:rPr>
            <w:fldChar w:fldCharType="separate"/>
          </w:r>
          <w:r>
            <w:rPr>
              <w:smallCaps w:val="0"/>
              <w:spacing w:val="0"/>
              <w:sz w:val="24"/>
              <w:szCs w:val="24"/>
            </w:rPr>
            <w:t>4</w:t>
          </w:r>
          <w:r>
            <w:rPr>
              <w:smallCaps w:val="0"/>
              <w:spacing w:val="0"/>
              <w:sz w:val="24"/>
              <w:szCs w:val="24"/>
            </w:rPr>
            <w:fldChar w:fldCharType="end"/>
          </w:r>
          <w:r>
            <w:rPr>
              <w:rFonts w:hint="eastAsia" w:asciiTheme="minorEastAsia" w:hAnsiTheme="minorEastAsia" w:eastAsiaTheme="minorEastAsia" w:cstheme="minorEastAsia"/>
              <w:bCs/>
              <w:smallCaps w:val="0"/>
              <w:color w:val="000000" w:themeColor="text1"/>
              <w:spacing w:val="0"/>
              <w:sz w:val="24"/>
              <w:szCs w:val="24"/>
              <w14:textFill>
                <w14:solidFill>
                  <w14:schemeClr w14:val="tx1"/>
                </w14:solidFill>
              </w14:textFill>
            </w:rPr>
            <w:fldChar w:fldCharType="end"/>
          </w:r>
        </w:p>
        <w:p>
          <w:pPr>
            <w:pStyle w:val="86"/>
            <w:keepNext w:val="0"/>
            <w:keepLines w:val="0"/>
            <w:pageBreakBefore w:val="0"/>
            <w:tabs>
              <w:tab w:val="right" w:leader="dot" w:pos="8312"/>
            </w:tabs>
            <w:kinsoku/>
            <w:wordWrap/>
            <w:overflowPunct/>
            <w:topLinePunct w:val="0"/>
            <w:autoSpaceDE/>
            <w:autoSpaceDN/>
            <w:bidi w:val="0"/>
            <w:adjustRightInd/>
            <w:snapToGrid/>
            <w:spacing w:line="720" w:lineRule="auto"/>
            <w:textAlignment w:val="auto"/>
            <w:rPr>
              <w:smallCaps w:val="0"/>
              <w:spacing w:val="0"/>
              <w:sz w:val="24"/>
              <w:szCs w:val="24"/>
            </w:rPr>
          </w:pPr>
          <w:r>
            <w:rPr>
              <w:rFonts w:hint="eastAsia" w:asciiTheme="minorEastAsia" w:hAnsiTheme="minorEastAsia" w:eastAsiaTheme="minorEastAsia" w:cstheme="minorEastAsia"/>
              <w:bCs/>
              <w:smallCaps w:val="0"/>
              <w:color w:val="000000" w:themeColor="text1"/>
              <w:spacing w:val="0"/>
              <w:sz w:val="24"/>
              <w:szCs w:val="24"/>
              <w14:textFill>
                <w14:solidFill>
                  <w14:schemeClr w14:val="tx1"/>
                </w14:solidFill>
              </w14:textFill>
            </w:rPr>
            <w:fldChar w:fldCharType="begin"/>
          </w:r>
          <w:r>
            <w:rPr>
              <w:rFonts w:hint="eastAsia" w:asciiTheme="minorEastAsia" w:hAnsiTheme="minorEastAsia" w:eastAsiaTheme="minorEastAsia" w:cstheme="minorEastAsia"/>
              <w:bCs/>
              <w:smallCaps w:val="0"/>
              <w:spacing w:val="0"/>
              <w:sz w:val="24"/>
              <w:szCs w:val="24"/>
            </w:rPr>
            <w:instrText xml:space="preserve"> HYPERLINK \l _Toc20904 </w:instrText>
          </w:r>
          <w:r>
            <w:rPr>
              <w:rFonts w:hint="eastAsia" w:asciiTheme="minorEastAsia" w:hAnsiTheme="minorEastAsia" w:eastAsiaTheme="minorEastAsia" w:cstheme="minorEastAsia"/>
              <w:bCs/>
              <w:smallCaps w:val="0"/>
              <w:spacing w:val="0"/>
              <w:sz w:val="24"/>
              <w:szCs w:val="24"/>
            </w:rPr>
            <w:fldChar w:fldCharType="separate"/>
          </w:r>
          <w:r>
            <w:rPr>
              <w:rFonts w:hint="eastAsia" w:asciiTheme="minorEastAsia" w:hAnsiTheme="minorEastAsia" w:eastAsiaTheme="minorEastAsia" w:cstheme="minorEastAsia"/>
              <w:smallCaps w:val="0"/>
              <w:spacing w:val="0"/>
              <w:sz w:val="24"/>
              <w:szCs w:val="24"/>
            </w:rPr>
            <w:t>第三部分</w:t>
          </w:r>
          <w:r>
            <w:rPr>
              <w:rFonts w:hint="eastAsia" w:asciiTheme="minorEastAsia" w:hAnsiTheme="minorEastAsia" w:eastAsiaTheme="minorEastAsia" w:cstheme="minorEastAsia"/>
              <w:smallCaps w:val="0"/>
              <w:spacing w:val="0"/>
              <w:sz w:val="24"/>
              <w:szCs w:val="24"/>
              <w:lang w:val="en-US" w:eastAsia="zh-CN"/>
            </w:rPr>
            <w:t xml:space="preserve"> </w:t>
          </w:r>
          <w:r>
            <w:rPr>
              <w:rFonts w:hint="eastAsia" w:asciiTheme="minorEastAsia" w:hAnsiTheme="minorEastAsia" w:eastAsiaTheme="minorEastAsia" w:cstheme="minorEastAsia"/>
              <w:smallCaps w:val="0"/>
              <w:spacing w:val="0"/>
              <w:sz w:val="24"/>
              <w:szCs w:val="24"/>
            </w:rPr>
            <w:t>采购需求</w:t>
          </w:r>
          <w:r>
            <w:rPr>
              <w:smallCaps w:val="0"/>
              <w:spacing w:val="0"/>
              <w:sz w:val="24"/>
              <w:szCs w:val="24"/>
            </w:rPr>
            <w:tab/>
          </w:r>
          <w:r>
            <w:rPr>
              <w:smallCaps w:val="0"/>
              <w:spacing w:val="0"/>
              <w:sz w:val="24"/>
              <w:szCs w:val="24"/>
            </w:rPr>
            <w:fldChar w:fldCharType="begin"/>
          </w:r>
          <w:r>
            <w:rPr>
              <w:smallCaps w:val="0"/>
              <w:spacing w:val="0"/>
              <w:sz w:val="24"/>
              <w:szCs w:val="24"/>
            </w:rPr>
            <w:instrText xml:space="preserve"> PAGEREF _Toc20904 </w:instrText>
          </w:r>
          <w:r>
            <w:rPr>
              <w:smallCaps w:val="0"/>
              <w:spacing w:val="0"/>
              <w:sz w:val="24"/>
              <w:szCs w:val="24"/>
            </w:rPr>
            <w:fldChar w:fldCharType="separate"/>
          </w:r>
          <w:r>
            <w:rPr>
              <w:smallCaps w:val="0"/>
              <w:spacing w:val="0"/>
              <w:sz w:val="24"/>
              <w:szCs w:val="24"/>
            </w:rPr>
            <w:t>18</w:t>
          </w:r>
          <w:r>
            <w:rPr>
              <w:smallCaps w:val="0"/>
              <w:spacing w:val="0"/>
              <w:sz w:val="24"/>
              <w:szCs w:val="24"/>
            </w:rPr>
            <w:fldChar w:fldCharType="end"/>
          </w:r>
          <w:r>
            <w:rPr>
              <w:rFonts w:hint="eastAsia" w:asciiTheme="minorEastAsia" w:hAnsiTheme="minorEastAsia" w:eastAsiaTheme="minorEastAsia" w:cstheme="minorEastAsia"/>
              <w:bCs/>
              <w:smallCaps w:val="0"/>
              <w:color w:val="000000" w:themeColor="text1"/>
              <w:spacing w:val="0"/>
              <w:sz w:val="24"/>
              <w:szCs w:val="24"/>
              <w14:textFill>
                <w14:solidFill>
                  <w14:schemeClr w14:val="tx1"/>
                </w14:solidFill>
              </w14:textFill>
            </w:rPr>
            <w:fldChar w:fldCharType="end"/>
          </w:r>
        </w:p>
        <w:p>
          <w:pPr>
            <w:pStyle w:val="86"/>
            <w:keepNext w:val="0"/>
            <w:keepLines w:val="0"/>
            <w:pageBreakBefore w:val="0"/>
            <w:tabs>
              <w:tab w:val="right" w:leader="dot" w:pos="8312"/>
            </w:tabs>
            <w:kinsoku/>
            <w:wordWrap/>
            <w:overflowPunct/>
            <w:topLinePunct w:val="0"/>
            <w:autoSpaceDE/>
            <w:autoSpaceDN/>
            <w:bidi w:val="0"/>
            <w:adjustRightInd/>
            <w:snapToGrid/>
            <w:spacing w:line="720" w:lineRule="auto"/>
            <w:textAlignment w:val="auto"/>
            <w:rPr>
              <w:smallCaps w:val="0"/>
              <w:spacing w:val="0"/>
              <w:sz w:val="24"/>
              <w:szCs w:val="24"/>
            </w:rPr>
          </w:pPr>
          <w:r>
            <w:rPr>
              <w:rFonts w:hint="eastAsia" w:asciiTheme="minorEastAsia" w:hAnsiTheme="minorEastAsia" w:eastAsiaTheme="minorEastAsia" w:cstheme="minorEastAsia"/>
              <w:bCs/>
              <w:smallCaps w:val="0"/>
              <w:color w:val="000000" w:themeColor="text1"/>
              <w:spacing w:val="0"/>
              <w:sz w:val="24"/>
              <w:szCs w:val="24"/>
              <w14:textFill>
                <w14:solidFill>
                  <w14:schemeClr w14:val="tx1"/>
                </w14:solidFill>
              </w14:textFill>
            </w:rPr>
            <w:fldChar w:fldCharType="begin"/>
          </w:r>
          <w:r>
            <w:rPr>
              <w:rFonts w:hint="eastAsia" w:asciiTheme="minorEastAsia" w:hAnsiTheme="minorEastAsia" w:eastAsiaTheme="minorEastAsia" w:cstheme="minorEastAsia"/>
              <w:bCs/>
              <w:smallCaps w:val="0"/>
              <w:spacing w:val="0"/>
              <w:sz w:val="24"/>
              <w:szCs w:val="24"/>
            </w:rPr>
            <w:instrText xml:space="preserve"> HYPERLINK \l _Toc21178 </w:instrText>
          </w:r>
          <w:r>
            <w:rPr>
              <w:rFonts w:hint="eastAsia" w:asciiTheme="minorEastAsia" w:hAnsiTheme="minorEastAsia" w:eastAsiaTheme="minorEastAsia" w:cstheme="minorEastAsia"/>
              <w:bCs/>
              <w:smallCaps w:val="0"/>
              <w:spacing w:val="0"/>
              <w:sz w:val="24"/>
              <w:szCs w:val="24"/>
            </w:rPr>
            <w:fldChar w:fldCharType="separate"/>
          </w:r>
          <w:r>
            <w:rPr>
              <w:rFonts w:hint="eastAsia" w:asciiTheme="minorEastAsia" w:hAnsiTheme="minorEastAsia" w:eastAsiaTheme="minorEastAsia" w:cstheme="minorEastAsia"/>
              <w:smallCaps w:val="0"/>
              <w:spacing w:val="0"/>
              <w:sz w:val="24"/>
              <w:szCs w:val="24"/>
            </w:rPr>
            <w:t>第四部分 评标办法</w:t>
          </w:r>
          <w:r>
            <w:rPr>
              <w:smallCaps w:val="0"/>
              <w:spacing w:val="0"/>
              <w:sz w:val="24"/>
              <w:szCs w:val="24"/>
            </w:rPr>
            <w:tab/>
          </w:r>
          <w:r>
            <w:rPr>
              <w:smallCaps w:val="0"/>
              <w:spacing w:val="0"/>
              <w:sz w:val="24"/>
              <w:szCs w:val="24"/>
            </w:rPr>
            <w:fldChar w:fldCharType="begin"/>
          </w:r>
          <w:r>
            <w:rPr>
              <w:smallCaps w:val="0"/>
              <w:spacing w:val="0"/>
              <w:sz w:val="24"/>
              <w:szCs w:val="24"/>
            </w:rPr>
            <w:instrText xml:space="preserve"> PAGEREF _Toc21178 </w:instrText>
          </w:r>
          <w:r>
            <w:rPr>
              <w:smallCaps w:val="0"/>
              <w:spacing w:val="0"/>
              <w:sz w:val="24"/>
              <w:szCs w:val="24"/>
            </w:rPr>
            <w:fldChar w:fldCharType="separate"/>
          </w:r>
          <w:r>
            <w:rPr>
              <w:smallCaps w:val="0"/>
              <w:spacing w:val="0"/>
              <w:sz w:val="24"/>
              <w:szCs w:val="24"/>
            </w:rPr>
            <w:t>19</w:t>
          </w:r>
          <w:r>
            <w:rPr>
              <w:smallCaps w:val="0"/>
              <w:spacing w:val="0"/>
              <w:sz w:val="24"/>
              <w:szCs w:val="24"/>
            </w:rPr>
            <w:fldChar w:fldCharType="end"/>
          </w:r>
          <w:r>
            <w:rPr>
              <w:rFonts w:hint="eastAsia" w:asciiTheme="minorEastAsia" w:hAnsiTheme="minorEastAsia" w:eastAsiaTheme="minorEastAsia" w:cstheme="minorEastAsia"/>
              <w:bCs/>
              <w:smallCaps w:val="0"/>
              <w:color w:val="000000" w:themeColor="text1"/>
              <w:spacing w:val="0"/>
              <w:sz w:val="24"/>
              <w:szCs w:val="24"/>
              <w14:textFill>
                <w14:solidFill>
                  <w14:schemeClr w14:val="tx1"/>
                </w14:solidFill>
              </w14:textFill>
            </w:rPr>
            <w:fldChar w:fldCharType="end"/>
          </w:r>
        </w:p>
        <w:p>
          <w:pPr>
            <w:pStyle w:val="86"/>
            <w:keepNext w:val="0"/>
            <w:keepLines w:val="0"/>
            <w:pageBreakBefore w:val="0"/>
            <w:tabs>
              <w:tab w:val="right" w:leader="dot" w:pos="8312"/>
            </w:tabs>
            <w:kinsoku/>
            <w:wordWrap/>
            <w:overflowPunct/>
            <w:topLinePunct w:val="0"/>
            <w:autoSpaceDE/>
            <w:autoSpaceDN/>
            <w:bidi w:val="0"/>
            <w:adjustRightInd/>
            <w:snapToGrid/>
            <w:spacing w:line="720" w:lineRule="auto"/>
            <w:textAlignment w:val="auto"/>
            <w:rPr>
              <w:smallCaps w:val="0"/>
              <w:spacing w:val="0"/>
              <w:sz w:val="24"/>
              <w:szCs w:val="24"/>
            </w:rPr>
          </w:pPr>
          <w:r>
            <w:rPr>
              <w:rFonts w:hint="eastAsia" w:asciiTheme="minorEastAsia" w:hAnsiTheme="minorEastAsia" w:eastAsiaTheme="minorEastAsia" w:cstheme="minorEastAsia"/>
              <w:bCs/>
              <w:smallCaps w:val="0"/>
              <w:color w:val="000000" w:themeColor="text1"/>
              <w:spacing w:val="0"/>
              <w:sz w:val="24"/>
              <w:szCs w:val="24"/>
              <w14:textFill>
                <w14:solidFill>
                  <w14:schemeClr w14:val="tx1"/>
                </w14:solidFill>
              </w14:textFill>
            </w:rPr>
            <w:fldChar w:fldCharType="begin"/>
          </w:r>
          <w:r>
            <w:rPr>
              <w:rFonts w:hint="eastAsia" w:asciiTheme="minorEastAsia" w:hAnsiTheme="minorEastAsia" w:eastAsiaTheme="minorEastAsia" w:cstheme="minorEastAsia"/>
              <w:bCs/>
              <w:smallCaps w:val="0"/>
              <w:spacing w:val="0"/>
              <w:sz w:val="24"/>
              <w:szCs w:val="24"/>
            </w:rPr>
            <w:instrText xml:space="preserve"> HYPERLINK \l _Toc8659 </w:instrText>
          </w:r>
          <w:r>
            <w:rPr>
              <w:rFonts w:hint="eastAsia" w:asciiTheme="minorEastAsia" w:hAnsiTheme="minorEastAsia" w:eastAsiaTheme="minorEastAsia" w:cstheme="minorEastAsia"/>
              <w:bCs/>
              <w:smallCaps w:val="0"/>
              <w:spacing w:val="0"/>
              <w:sz w:val="24"/>
              <w:szCs w:val="24"/>
            </w:rPr>
            <w:fldChar w:fldCharType="separate"/>
          </w:r>
          <w:r>
            <w:rPr>
              <w:rFonts w:hint="eastAsia" w:asciiTheme="minorEastAsia" w:hAnsiTheme="minorEastAsia" w:eastAsiaTheme="minorEastAsia" w:cstheme="minorEastAsia"/>
              <w:smallCaps w:val="0"/>
              <w:spacing w:val="0"/>
              <w:sz w:val="24"/>
              <w:szCs w:val="24"/>
            </w:rPr>
            <w:t>第五部分 合同主要条款</w:t>
          </w:r>
          <w:r>
            <w:rPr>
              <w:smallCaps w:val="0"/>
              <w:spacing w:val="0"/>
              <w:sz w:val="24"/>
              <w:szCs w:val="24"/>
            </w:rPr>
            <w:tab/>
          </w:r>
          <w:r>
            <w:rPr>
              <w:smallCaps w:val="0"/>
              <w:spacing w:val="0"/>
              <w:sz w:val="24"/>
              <w:szCs w:val="24"/>
            </w:rPr>
            <w:fldChar w:fldCharType="begin"/>
          </w:r>
          <w:r>
            <w:rPr>
              <w:smallCaps w:val="0"/>
              <w:spacing w:val="0"/>
              <w:sz w:val="24"/>
              <w:szCs w:val="24"/>
            </w:rPr>
            <w:instrText xml:space="preserve"> PAGEREF _Toc8659 </w:instrText>
          </w:r>
          <w:r>
            <w:rPr>
              <w:smallCaps w:val="0"/>
              <w:spacing w:val="0"/>
              <w:sz w:val="24"/>
              <w:szCs w:val="24"/>
            </w:rPr>
            <w:fldChar w:fldCharType="separate"/>
          </w:r>
          <w:r>
            <w:rPr>
              <w:smallCaps w:val="0"/>
              <w:spacing w:val="0"/>
              <w:sz w:val="24"/>
              <w:szCs w:val="24"/>
            </w:rPr>
            <w:t>25</w:t>
          </w:r>
          <w:r>
            <w:rPr>
              <w:smallCaps w:val="0"/>
              <w:spacing w:val="0"/>
              <w:sz w:val="24"/>
              <w:szCs w:val="24"/>
            </w:rPr>
            <w:fldChar w:fldCharType="end"/>
          </w:r>
          <w:r>
            <w:rPr>
              <w:rFonts w:hint="eastAsia" w:asciiTheme="minorEastAsia" w:hAnsiTheme="minorEastAsia" w:eastAsiaTheme="minorEastAsia" w:cstheme="minorEastAsia"/>
              <w:bCs/>
              <w:smallCaps w:val="0"/>
              <w:color w:val="000000" w:themeColor="text1"/>
              <w:spacing w:val="0"/>
              <w:sz w:val="24"/>
              <w:szCs w:val="24"/>
              <w14:textFill>
                <w14:solidFill>
                  <w14:schemeClr w14:val="tx1"/>
                </w14:solidFill>
              </w14:textFill>
            </w:rPr>
            <w:fldChar w:fldCharType="end"/>
          </w:r>
        </w:p>
        <w:p>
          <w:pPr>
            <w:pStyle w:val="86"/>
            <w:keepNext w:val="0"/>
            <w:keepLines w:val="0"/>
            <w:pageBreakBefore w:val="0"/>
            <w:tabs>
              <w:tab w:val="right" w:leader="dot" w:pos="8312"/>
            </w:tabs>
            <w:kinsoku/>
            <w:wordWrap/>
            <w:overflowPunct/>
            <w:topLinePunct w:val="0"/>
            <w:autoSpaceDE/>
            <w:autoSpaceDN/>
            <w:bidi w:val="0"/>
            <w:adjustRightInd/>
            <w:snapToGrid/>
            <w:spacing w:line="720" w:lineRule="auto"/>
            <w:textAlignment w:val="auto"/>
            <w:rPr>
              <w:smallCaps w:val="0"/>
              <w:spacing w:val="0"/>
              <w:sz w:val="24"/>
              <w:szCs w:val="24"/>
            </w:rPr>
          </w:pPr>
          <w:r>
            <w:rPr>
              <w:rFonts w:hint="eastAsia" w:asciiTheme="minorEastAsia" w:hAnsiTheme="minorEastAsia" w:eastAsiaTheme="minorEastAsia" w:cstheme="minorEastAsia"/>
              <w:bCs/>
              <w:smallCaps w:val="0"/>
              <w:color w:val="000000" w:themeColor="text1"/>
              <w:spacing w:val="0"/>
              <w:sz w:val="24"/>
              <w:szCs w:val="24"/>
              <w14:textFill>
                <w14:solidFill>
                  <w14:schemeClr w14:val="tx1"/>
                </w14:solidFill>
              </w14:textFill>
            </w:rPr>
            <w:fldChar w:fldCharType="begin"/>
          </w:r>
          <w:r>
            <w:rPr>
              <w:rFonts w:hint="eastAsia" w:asciiTheme="minorEastAsia" w:hAnsiTheme="minorEastAsia" w:eastAsiaTheme="minorEastAsia" w:cstheme="minorEastAsia"/>
              <w:bCs/>
              <w:smallCaps w:val="0"/>
              <w:spacing w:val="0"/>
              <w:sz w:val="24"/>
              <w:szCs w:val="24"/>
            </w:rPr>
            <w:instrText xml:space="preserve"> HYPERLINK \l _Toc8074 </w:instrText>
          </w:r>
          <w:r>
            <w:rPr>
              <w:rFonts w:hint="eastAsia" w:asciiTheme="minorEastAsia" w:hAnsiTheme="minorEastAsia" w:eastAsiaTheme="minorEastAsia" w:cstheme="minorEastAsia"/>
              <w:bCs/>
              <w:smallCaps w:val="0"/>
              <w:spacing w:val="0"/>
              <w:sz w:val="24"/>
              <w:szCs w:val="24"/>
            </w:rPr>
            <w:fldChar w:fldCharType="separate"/>
          </w:r>
          <w:r>
            <w:rPr>
              <w:rFonts w:hint="eastAsia" w:asciiTheme="minorEastAsia" w:hAnsiTheme="minorEastAsia" w:eastAsiaTheme="minorEastAsia" w:cstheme="minorEastAsia"/>
              <w:smallCaps w:val="0"/>
              <w:spacing w:val="0"/>
              <w:sz w:val="24"/>
              <w:szCs w:val="24"/>
            </w:rPr>
            <w:t>第六部分 投标文件格式</w:t>
          </w:r>
          <w:r>
            <w:rPr>
              <w:smallCaps w:val="0"/>
              <w:spacing w:val="0"/>
              <w:sz w:val="24"/>
              <w:szCs w:val="24"/>
            </w:rPr>
            <w:tab/>
          </w:r>
          <w:r>
            <w:rPr>
              <w:smallCaps w:val="0"/>
              <w:spacing w:val="0"/>
              <w:sz w:val="24"/>
              <w:szCs w:val="24"/>
            </w:rPr>
            <w:fldChar w:fldCharType="begin"/>
          </w:r>
          <w:r>
            <w:rPr>
              <w:smallCaps w:val="0"/>
              <w:spacing w:val="0"/>
              <w:sz w:val="24"/>
              <w:szCs w:val="24"/>
            </w:rPr>
            <w:instrText xml:space="preserve"> PAGEREF _Toc8074 </w:instrText>
          </w:r>
          <w:r>
            <w:rPr>
              <w:smallCaps w:val="0"/>
              <w:spacing w:val="0"/>
              <w:sz w:val="24"/>
              <w:szCs w:val="24"/>
            </w:rPr>
            <w:fldChar w:fldCharType="separate"/>
          </w:r>
          <w:r>
            <w:rPr>
              <w:smallCaps w:val="0"/>
              <w:spacing w:val="0"/>
              <w:sz w:val="24"/>
              <w:szCs w:val="24"/>
            </w:rPr>
            <w:t>27</w:t>
          </w:r>
          <w:r>
            <w:rPr>
              <w:smallCaps w:val="0"/>
              <w:spacing w:val="0"/>
              <w:sz w:val="24"/>
              <w:szCs w:val="24"/>
            </w:rPr>
            <w:fldChar w:fldCharType="end"/>
          </w:r>
          <w:r>
            <w:rPr>
              <w:rFonts w:hint="eastAsia" w:asciiTheme="minorEastAsia" w:hAnsiTheme="minorEastAsia" w:eastAsiaTheme="minorEastAsia" w:cstheme="minorEastAsia"/>
              <w:bCs/>
              <w:smallCaps w:val="0"/>
              <w:color w:val="000000" w:themeColor="text1"/>
              <w:spacing w:val="0"/>
              <w:sz w:val="24"/>
              <w:szCs w:val="24"/>
              <w14:textFill>
                <w14:solidFill>
                  <w14:schemeClr w14:val="tx1"/>
                </w14:solidFill>
              </w14:textFill>
            </w:rPr>
            <w:fldChar w:fldCharType="end"/>
          </w:r>
        </w:p>
        <w:p>
          <w:pPr>
            <w:keepNext w:val="0"/>
            <w:keepLines w:val="0"/>
            <w:pageBreakBefore w:val="0"/>
            <w:kinsoku/>
            <w:wordWrap/>
            <w:overflowPunct/>
            <w:topLinePunct w:val="0"/>
            <w:autoSpaceDE/>
            <w:autoSpaceDN/>
            <w:bidi w:val="0"/>
            <w:adjustRightInd/>
            <w:snapToGrid/>
            <w:spacing w:line="720" w:lineRule="auto"/>
            <w:jc w:val="center"/>
            <w:textAlignment w:val="auto"/>
            <w:rPr>
              <w:rStyle w:val="87"/>
              <w:rFonts w:hint="eastAsia" w:asciiTheme="minorEastAsia" w:hAnsiTheme="minorEastAsia" w:eastAsiaTheme="minorEastAsia" w:cstheme="minorEastAsia"/>
              <w:b/>
              <w:bCs/>
              <w:smallCaps w:val="0"/>
              <w:color w:val="000000" w:themeColor="text1"/>
              <w:spacing w:val="0"/>
              <w:sz w:val="24"/>
              <w:szCs w:val="24"/>
              <w14:textFill>
                <w14:solidFill>
                  <w14:schemeClr w14:val="tx1"/>
                </w14:solidFill>
              </w14:textFill>
            </w:rPr>
          </w:pPr>
          <w:r>
            <w:rPr>
              <w:rFonts w:hint="eastAsia" w:asciiTheme="minorEastAsia" w:hAnsiTheme="minorEastAsia" w:eastAsiaTheme="minorEastAsia" w:cstheme="minorEastAsia"/>
              <w:bCs/>
              <w:smallCaps w:val="0"/>
              <w:color w:val="000000" w:themeColor="text1"/>
              <w:spacing w:val="0"/>
              <w:sz w:val="24"/>
              <w:szCs w:val="24"/>
              <w14:textFill>
                <w14:solidFill>
                  <w14:schemeClr w14:val="tx1"/>
                </w14:solidFill>
              </w14:textFill>
            </w:rPr>
            <w:fldChar w:fldCharType="end"/>
          </w:r>
        </w:p>
      </w:sdtContent>
    </w:sdt>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Theme="minorEastAsia" w:hAnsiTheme="minorEastAsia" w:eastAsiaTheme="minorEastAsia" w:cstheme="minorEastAsia"/>
          <w:b/>
          <w:bCs/>
          <w:smallCaps w:val="0"/>
          <w:color w:val="000000" w:themeColor="text1"/>
          <w:spacing w:val="0"/>
          <w:sz w:val="32"/>
          <w:szCs w:val="32"/>
          <w:highlight w:val="none"/>
          <w:u w:val="none"/>
          <w:lang w:val="en-US" w:eastAsia="zh-CN"/>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4"/>
          <w:highlight w:val="none"/>
          <w:lang w:val="zh-CN"/>
          <w14:textFill>
            <w14:solidFill>
              <w14:schemeClr w14:val="tx1"/>
            </w14:solidFill>
          </w14:textFill>
        </w:rPr>
        <w:br w:type="page"/>
      </w:r>
      <w:r>
        <w:rPr>
          <w:rStyle w:val="35"/>
          <w:rFonts w:hint="eastAsia" w:asciiTheme="minorEastAsia" w:hAnsiTheme="minorEastAsia" w:eastAsiaTheme="minorEastAsia" w:cstheme="minorEastAsia"/>
          <w:b/>
          <w:bCs/>
          <w:smallCaps w:val="0"/>
          <w:color w:val="000000" w:themeColor="text1"/>
          <w:spacing w:val="0"/>
          <w:highlight w:val="none"/>
          <w14:textFill>
            <w14:solidFill>
              <w14:schemeClr w14:val="tx1"/>
            </w14:solidFill>
          </w14:textFill>
        </w:rPr>
        <w:t>第一部分</w:t>
      </w:r>
      <w:bookmarkEnd w:id="0"/>
      <w:r>
        <w:rPr>
          <w:rStyle w:val="35"/>
          <w:rFonts w:hint="eastAsia" w:asciiTheme="minorEastAsia" w:hAnsiTheme="minorEastAsia" w:eastAsiaTheme="minorEastAsia" w:cstheme="minorEastAsia"/>
          <w:b/>
          <w:bCs/>
          <w:smallCaps w:val="0"/>
          <w:color w:val="000000" w:themeColor="text1"/>
          <w:spacing w:val="0"/>
          <w:highlight w:val="none"/>
          <w14:textFill>
            <w14:solidFill>
              <w14:schemeClr w14:val="tx1"/>
            </w14:solidFill>
          </w14:textFill>
        </w:rPr>
        <w:t xml:space="preserve"> </w:t>
      </w:r>
      <w:bookmarkEnd w:id="1"/>
      <w:bookmarkEnd w:id="2"/>
      <w:bookmarkEnd w:id="3"/>
      <w:r>
        <w:rPr>
          <w:rStyle w:val="35"/>
          <w:rFonts w:hint="eastAsia" w:asciiTheme="minorEastAsia" w:hAnsiTheme="minorEastAsia" w:eastAsiaTheme="minorEastAsia" w:cstheme="minorEastAsia"/>
          <w:b/>
          <w:bCs/>
          <w:smallCaps w:val="0"/>
          <w:color w:val="000000" w:themeColor="text1"/>
          <w:spacing w:val="0"/>
          <w:highlight w:val="none"/>
          <w:lang w:val="en-US" w:eastAsia="zh-CN"/>
          <w14:textFill>
            <w14:solidFill>
              <w14:schemeClr w14:val="tx1"/>
            </w14:solidFill>
          </w14:textFill>
        </w:rPr>
        <w:t>招标公告</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smallCaps w:val="0"/>
          <w:color w:val="000000" w:themeColor="text1"/>
          <w:spacing w:val="0"/>
          <w:sz w:val="24"/>
          <w:szCs w:val="24"/>
          <w:highlight w:val="none"/>
          <w:u w:val="none"/>
          <w:lang w:val="en-US"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beforeAutospacing="0" w:afterAutospacing="0" w:line="400" w:lineRule="exact"/>
        <w:jc w:val="center"/>
        <w:textAlignment w:val="auto"/>
        <w:outlineLvl w:val="9"/>
        <w:rPr>
          <w:b/>
          <w:bCs/>
          <w:smallCaps w:val="0"/>
          <w:color w:val="auto"/>
          <w:spacing w:val="0"/>
          <w:sz w:val="30"/>
          <w:szCs w:val="30"/>
        </w:rPr>
      </w:pPr>
      <w:r>
        <w:rPr>
          <w:rFonts w:hint="eastAsia" w:asciiTheme="minorEastAsia" w:hAnsiTheme="minorEastAsia" w:eastAsiaTheme="minorEastAsia" w:cstheme="minorEastAsia"/>
          <w:b/>
          <w:bCs/>
          <w:smallCaps w:val="0"/>
          <w:color w:val="auto"/>
          <w:spacing w:val="0"/>
          <w:kern w:val="0"/>
          <w:sz w:val="30"/>
          <w:szCs w:val="30"/>
          <w:highlight w:val="none"/>
          <w:lang w:val="en-US" w:eastAsia="zh-CN"/>
        </w:rPr>
        <w:t>中小学远程同步互动教室设备采购项目</w:t>
      </w:r>
      <w:r>
        <w:rPr>
          <w:rFonts w:hint="eastAsia" w:ascii="宋体" w:hAnsi="宋体" w:eastAsia="宋体" w:cs="宋体"/>
          <w:b/>
          <w:bCs/>
          <w:smallCaps w:val="0"/>
          <w:color w:val="auto"/>
          <w:spacing w:val="0"/>
          <w:kern w:val="2"/>
          <w:sz w:val="30"/>
          <w:szCs w:val="30"/>
          <w:lang w:val="en-US" w:eastAsia="zh-CN" w:bidi="ar"/>
        </w:rPr>
        <w:t>招标公告</w:t>
      </w:r>
    </w:p>
    <w:p>
      <w:pPr>
        <w:pStyle w:val="9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微软雅黑" w:hAnsi="微软雅黑" w:eastAsia="微软雅黑" w:cs="微软雅黑"/>
          <w:color w:val="333333"/>
          <w:sz w:val="21"/>
          <w:szCs w:val="21"/>
        </w:rPr>
      </w:pPr>
      <w:r>
        <w:rPr>
          <w:rFonts w:ascii="微软雅黑" w:hAnsi="微软雅黑" w:eastAsia="微软雅黑" w:cs="微软雅黑"/>
          <w:color w:val="333333"/>
          <w:sz w:val="21"/>
          <w:szCs w:val="21"/>
        </w:rPr>
        <w:t>   </w:t>
      </w:r>
    </w:p>
    <w:p>
      <w:pPr>
        <w:pStyle w:val="9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textAlignment w:val="auto"/>
      </w:pPr>
      <w:r>
        <w:rPr>
          <w:rFonts w:ascii="微软雅黑" w:hAnsi="微软雅黑" w:eastAsia="微软雅黑" w:cs="微软雅黑"/>
          <w:color w:val="333333"/>
          <w:sz w:val="21"/>
          <w:szCs w:val="21"/>
        </w:rPr>
        <w:t xml:space="preserve"> 中小学远程同步互动教室设备采购项目招标项目潜在的投标人可在延安市新区嘉宁万兴（写字楼）5楼获取招标文件，并于2021-11-01 14:30:00前递交投标文件。 </w:t>
      </w:r>
    </w:p>
    <w:p>
      <w:pPr>
        <w:pStyle w:val="9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pPr>
      <w:r>
        <w:rPr>
          <w:rFonts w:hint="eastAsia" w:ascii="微软雅黑" w:hAnsi="微软雅黑" w:eastAsia="微软雅黑" w:cs="微软雅黑"/>
          <w:color w:val="333333"/>
          <w:sz w:val="21"/>
          <w:szCs w:val="21"/>
        </w:rPr>
        <w:t>一、项目基本情况：</w:t>
      </w:r>
    </w:p>
    <w:p>
      <w:pPr>
        <w:pStyle w:val="20"/>
        <w:keepNext w:val="0"/>
        <w:keepLines w:val="0"/>
        <w:pageBreakBefore w:val="0"/>
        <w:widowControl/>
        <w:suppressLineNumbers w:val="0"/>
        <w:kinsoku/>
        <w:wordWrap/>
        <w:overflowPunct/>
        <w:topLinePunct w:val="0"/>
        <w:autoSpaceDE/>
        <w:autoSpaceDN/>
        <w:bidi w:val="0"/>
        <w:adjustRightInd/>
        <w:snapToGrid/>
        <w:spacing w:line="400" w:lineRule="exact"/>
        <w:ind w:left="0" w:firstLine="420"/>
        <w:textAlignment w:val="auto"/>
      </w:pPr>
      <w:r>
        <w:rPr>
          <w:rFonts w:hint="eastAsia" w:ascii="微软雅黑" w:hAnsi="微软雅黑" w:eastAsia="微软雅黑" w:cs="微软雅黑"/>
          <w:color w:val="333333"/>
          <w:sz w:val="21"/>
          <w:szCs w:val="21"/>
        </w:rPr>
        <w:t>1、项目编号：JDZB-2021-052</w:t>
      </w:r>
    </w:p>
    <w:p>
      <w:pPr>
        <w:pStyle w:val="20"/>
        <w:keepNext w:val="0"/>
        <w:keepLines w:val="0"/>
        <w:pageBreakBefore w:val="0"/>
        <w:widowControl/>
        <w:suppressLineNumbers w:val="0"/>
        <w:kinsoku/>
        <w:wordWrap/>
        <w:overflowPunct/>
        <w:topLinePunct w:val="0"/>
        <w:autoSpaceDE/>
        <w:autoSpaceDN/>
        <w:bidi w:val="0"/>
        <w:adjustRightInd/>
        <w:snapToGrid/>
        <w:spacing w:line="400" w:lineRule="exact"/>
        <w:ind w:left="0" w:firstLine="420"/>
        <w:textAlignment w:val="auto"/>
      </w:pPr>
      <w:r>
        <w:rPr>
          <w:rFonts w:hint="eastAsia" w:ascii="微软雅黑" w:hAnsi="微软雅黑" w:eastAsia="微软雅黑" w:cs="微软雅黑"/>
          <w:color w:val="333333"/>
          <w:sz w:val="21"/>
          <w:szCs w:val="21"/>
        </w:rPr>
        <w:t>2、项目名称：中小学远程同步互动教室设备采购项目</w:t>
      </w:r>
    </w:p>
    <w:p>
      <w:pPr>
        <w:pStyle w:val="20"/>
        <w:keepNext w:val="0"/>
        <w:keepLines w:val="0"/>
        <w:pageBreakBefore w:val="0"/>
        <w:widowControl/>
        <w:suppressLineNumbers w:val="0"/>
        <w:kinsoku/>
        <w:wordWrap/>
        <w:overflowPunct/>
        <w:topLinePunct w:val="0"/>
        <w:autoSpaceDE/>
        <w:autoSpaceDN/>
        <w:bidi w:val="0"/>
        <w:adjustRightInd/>
        <w:snapToGrid/>
        <w:spacing w:line="400" w:lineRule="exact"/>
        <w:ind w:left="0" w:firstLine="420"/>
        <w:textAlignment w:val="auto"/>
      </w:pPr>
      <w:r>
        <w:rPr>
          <w:rFonts w:hint="eastAsia" w:ascii="微软雅黑" w:hAnsi="微软雅黑" w:eastAsia="微软雅黑" w:cs="微软雅黑"/>
          <w:color w:val="333333"/>
          <w:sz w:val="21"/>
          <w:szCs w:val="21"/>
        </w:rPr>
        <w:t>3、预算金额：4,000,000.00元</w:t>
      </w:r>
    </w:p>
    <w:p>
      <w:pPr>
        <w:pStyle w:val="20"/>
        <w:keepNext w:val="0"/>
        <w:keepLines w:val="0"/>
        <w:pageBreakBefore w:val="0"/>
        <w:widowControl/>
        <w:suppressLineNumbers w:val="0"/>
        <w:kinsoku/>
        <w:wordWrap/>
        <w:overflowPunct/>
        <w:topLinePunct w:val="0"/>
        <w:autoSpaceDE/>
        <w:autoSpaceDN/>
        <w:bidi w:val="0"/>
        <w:adjustRightInd/>
        <w:snapToGrid/>
        <w:spacing w:line="400" w:lineRule="exact"/>
        <w:ind w:left="0" w:firstLine="420"/>
        <w:textAlignment w:val="auto"/>
      </w:pPr>
      <w:r>
        <w:rPr>
          <w:rFonts w:hint="eastAsia" w:ascii="微软雅黑" w:hAnsi="微软雅黑" w:eastAsia="微软雅黑" w:cs="微软雅黑"/>
          <w:color w:val="333333"/>
          <w:sz w:val="21"/>
          <w:szCs w:val="21"/>
        </w:rPr>
        <w:t xml:space="preserve">4、最高限价： 无 </w:t>
      </w:r>
    </w:p>
    <w:p>
      <w:pPr>
        <w:pStyle w:val="20"/>
        <w:keepNext w:val="0"/>
        <w:keepLines w:val="0"/>
        <w:pageBreakBefore w:val="0"/>
        <w:widowControl/>
        <w:suppressLineNumbers w:val="0"/>
        <w:kinsoku/>
        <w:wordWrap/>
        <w:overflowPunct/>
        <w:topLinePunct w:val="0"/>
        <w:autoSpaceDE/>
        <w:autoSpaceDN/>
        <w:bidi w:val="0"/>
        <w:adjustRightInd/>
        <w:snapToGrid/>
        <w:spacing w:line="400" w:lineRule="exact"/>
        <w:ind w:left="0" w:firstLine="420"/>
        <w:textAlignment w:val="auto"/>
      </w:pPr>
      <w:r>
        <w:rPr>
          <w:rFonts w:hint="eastAsia" w:ascii="微软雅黑" w:hAnsi="微软雅黑" w:eastAsia="微软雅黑" w:cs="微软雅黑"/>
          <w:color w:val="333333"/>
          <w:sz w:val="21"/>
          <w:szCs w:val="21"/>
        </w:rPr>
        <w:t xml:space="preserve">5、采购需求： 中小学远程同步互动教室设备采购项目，1批， 采购预算： 4,000,000.00元， 项目概况： 根据延安市教育局统一安排，2021年实施中小学远程同步互动教室建设项目，延川县中小学远程同步互动教室项目，配备延川二中、永坪中学、城关小学、文安驿镇中心小学共10个互动教室，15套多媒体一体机，文安驿镇中心小学计算机机房及教师用机。（具体技术要求详见招标文件）， 简要技术要求、用途： 自用 </w:t>
      </w:r>
    </w:p>
    <w:p>
      <w:pPr>
        <w:pStyle w:val="20"/>
        <w:keepNext w:val="0"/>
        <w:keepLines w:val="0"/>
        <w:pageBreakBefore w:val="0"/>
        <w:widowControl/>
        <w:suppressLineNumbers w:val="0"/>
        <w:kinsoku/>
        <w:wordWrap/>
        <w:overflowPunct/>
        <w:topLinePunct w:val="0"/>
        <w:autoSpaceDE/>
        <w:autoSpaceDN/>
        <w:bidi w:val="0"/>
        <w:adjustRightInd/>
        <w:snapToGrid/>
        <w:spacing w:line="400" w:lineRule="exact"/>
        <w:ind w:left="0" w:firstLine="420"/>
        <w:textAlignment w:val="auto"/>
      </w:pPr>
      <w:r>
        <w:rPr>
          <w:rFonts w:hint="eastAsia" w:ascii="微软雅黑" w:hAnsi="微软雅黑" w:eastAsia="微软雅黑" w:cs="微软雅黑"/>
          <w:color w:val="333333"/>
          <w:sz w:val="21"/>
          <w:szCs w:val="21"/>
        </w:rPr>
        <w:t>6、合同履行期限：2021-11-03 00:00:00 至 2021-12-02 00:00:00（具体服务起止日期可随合同签订时间相应顺延）</w:t>
      </w:r>
    </w:p>
    <w:p>
      <w:pPr>
        <w:pStyle w:val="20"/>
        <w:keepNext w:val="0"/>
        <w:keepLines w:val="0"/>
        <w:pageBreakBefore w:val="0"/>
        <w:widowControl/>
        <w:suppressLineNumbers w:val="0"/>
        <w:kinsoku/>
        <w:wordWrap/>
        <w:overflowPunct/>
        <w:topLinePunct w:val="0"/>
        <w:autoSpaceDE/>
        <w:autoSpaceDN/>
        <w:bidi w:val="0"/>
        <w:adjustRightInd/>
        <w:snapToGrid/>
        <w:spacing w:line="400" w:lineRule="exact"/>
        <w:ind w:left="0" w:firstLine="420"/>
        <w:textAlignment w:val="auto"/>
      </w:pPr>
      <w:r>
        <w:rPr>
          <w:rFonts w:hint="eastAsia" w:ascii="微软雅黑" w:hAnsi="微软雅黑" w:eastAsia="微软雅黑" w:cs="微软雅黑"/>
          <w:color w:val="333333"/>
          <w:sz w:val="21"/>
          <w:szCs w:val="21"/>
        </w:rPr>
        <w:t>7、本项目是否接受联合体投标：否</w:t>
      </w:r>
    </w:p>
    <w:p>
      <w:pPr>
        <w:pStyle w:val="9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pPr>
      <w:r>
        <w:rPr>
          <w:rFonts w:hint="eastAsia" w:ascii="微软雅黑" w:hAnsi="微软雅黑" w:eastAsia="微软雅黑" w:cs="微软雅黑"/>
          <w:color w:val="333333"/>
          <w:sz w:val="21"/>
          <w:szCs w:val="21"/>
        </w:rPr>
        <w:t xml:space="preserve">二、 投标人的资格要求 </w:t>
      </w:r>
    </w:p>
    <w:p>
      <w:pPr>
        <w:pStyle w:val="20"/>
        <w:keepNext w:val="0"/>
        <w:keepLines w:val="0"/>
        <w:pageBreakBefore w:val="0"/>
        <w:widowControl/>
        <w:suppressLineNumbers w:val="0"/>
        <w:kinsoku/>
        <w:wordWrap/>
        <w:overflowPunct/>
        <w:topLinePunct w:val="0"/>
        <w:autoSpaceDE/>
        <w:autoSpaceDN/>
        <w:bidi w:val="0"/>
        <w:adjustRightInd/>
        <w:snapToGrid/>
        <w:spacing w:line="400" w:lineRule="exact"/>
        <w:ind w:left="0" w:firstLine="420"/>
        <w:textAlignment w:val="auto"/>
      </w:pPr>
      <w:r>
        <w:rPr>
          <w:rFonts w:hint="eastAsia" w:ascii="微软雅黑" w:hAnsi="微软雅黑" w:eastAsia="微软雅黑" w:cs="微软雅黑"/>
          <w:color w:val="333333"/>
          <w:sz w:val="21"/>
          <w:szCs w:val="21"/>
        </w:rPr>
        <w:t>1、满足《中华人民共和国政府采购法》第二十二条规定</w:t>
      </w:r>
    </w:p>
    <w:p>
      <w:pPr>
        <w:pStyle w:val="20"/>
        <w:keepNext w:val="0"/>
        <w:keepLines w:val="0"/>
        <w:pageBreakBefore w:val="0"/>
        <w:widowControl/>
        <w:suppressLineNumbers w:val="0"/>
        <w:kinsoku/>
        <w:wordWrap/>
        <w:overflowPunct/>
        <w:topLinePunct w:val="0"/>
        <w:autoSpaceDE/>
        <w:autoSpaceDN/>
        <w:bidi w:val="0"/>
        <w:adjustRightInd/>
        <w:snapToGrid/>
        <w:spacing w:line="400" w:lineRule="exact"/>
        <w:ind w:left="0" w:firstLine="420"/>
        <w:textAlignment w:val="auto"/>
      </w:pPr>
      <w:r>
        <w:rPr>
          <w:rFonts w:hint="eastAsia" w:ascii="微软雅黑" w:hAnsi="微软雅黑" w:eastAsia="微软雅黑" w:cs="微软雅黑"/>
          <w:color w:val="333333"/>
          <w:sz w:val="21"/>
          <w:szCs w:val="21"/>
        </w:rPr>
        <w:t>2、落实政府采购政策需满足的资格要求：1.政府采购促进中小企业发展管理办法--财库[2020]46号； 2.财政部司法部关于政府采购支持监狱企业发展有关问题的通知--财库[2014]68号； 3.国务院办公厅关于建立政府强制采购节能产品制度的通知--国办发[2007]51号； 4.节能产品政府采购实施意见--财库[2004]185号； 5.环境标志产品政府采购实施的意见--财库[2006]90号； 6.关于促进残疾人就业政府采购政策的通知--财库[2017]141号； 7.其他需要落实的政府采购政策。</w:t>
      </w:r>
    </w:p>
    <w:p>
      <w:pPr>
        <w:pStyle w:val="20"/>
        <w:keepNext w:val="0"/>
        <w:keepLines w:val="0"/>
        <w:pageBreakBefore w:val="0"/>
        <w:widowControl/>
        <w:suppressLineNumbers w:val="0"/>
        <w:kinsoku/>
        <w:wordWrap/>
        <w:overflowPunct/>
        <w:topLinePunct w:val="0"/>
        <w:autoSpaceDE/>
        <w:autoSpaceDN/>
        <w:bidi w:val="0"/>
        <w:adjustRightInd/>
        <w:snapToGrid/>
        <w:spacing w:line="400" w:lineRule="exact"/>
        <w:ind w:left="0" w:firstLine="420"/>
        <w:textAlignment w:val="auto"/>
      </w:pPr>
      <w:r>
        <w:rPr>
          <w:rFonts w:hint="eastAsia" w:ascii="微软雅黑" w:hAnsi="微软雅黑" w:eastAsia="微软雅黑" w:cs="微软雅黑"/>
          <w:color w:val="333333"/>
          <w:sz w:val="21"/>
          <w:szCs w:val="21"/>
        </w:rPr>
        <w:t>3、本项目的特定资格要求：1.具有独立承担民事责任能力的法人、其他组织或自然人，提供三证合一或五证合一的企业提供带有统一社会信用代码的营业执照副本/事业单位法人证书副本/非企业专业服务机构执业许可证副本/自然人身份证； 2.法定代表人授权委托书及被授权人身份证（法定代表人直接参加时，只须出示法定代表人身份证）； 3.须提供2021年1月1日以来已缴存的至少一个月的社会保障资金缴存单据或社保机构开具的社会保险参保缴费情况证明。依法不需要缴纳社会保障资金的供应商应提供相关文件证明（复印件加盖供应商公章）； 4.须提供2021年1月1日以来已缴纳的至少三个月的纳税证明或完税证明（提供增值税、企业所得税至少一种）。依法免税的供应商应提供相关文件证明（复印件加盖供应商公章）。 5.提供经会计事务所或具有财务审计资质的单位出具的2019年度或2020年度财务审计报告，或其开标前三个月内银行出具的资信证明； 6.近年（2018年至今）承担过类似项目，提供合同协议书1份； 7.参加政府采购活动前3年内经营活动中没有重大违法记录声明； 8.投标人未被列入失信被执行人、重大税收违法案件当事人名单、政府采购严重违法失信行为记录名单，提供相关网站对企业信用记录查询截图（“中国执行信息公开网”失信被执行人名单（投标单位、法定代表人）；“信用中国”重大税收违法案件当事人名单；中国政府采购网“政府采购严重违法失信行为信息记录”）（提供查询结果网页截图并加盖供应商公章）； 9.单位负责人为同一人或者存在直接控股、管理关系的不同供应商，不得参加同一合同项下的政府采购活动。</w:t>
      </w:r>
    </w:p>
    <w:p>
      <w:pPr>
        <w:pStyle w:val="9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pPr>
      <w:r>
        <w:rPr>
          <w:rFonts w:hint="eastAsia" w:ascii="微软雅黑" w:hAnsi="微软雅黑" w:eastAsia="微软雅黑" w:cs="微软雅黑"/>
          <w:color w:val="333333"/>
          <w:sz w:val="21"/>
          <w:szCs w:val="21"/>
        </w:rPr>
        <w:t xml:space="preserve">三、 招标文件的获取方式 </w:t>
      </w:r>
    </w:p>
    <w:p>
      <w:pPr>
        <w:pStyle w:val="20"/>
        <w:keepNext w:val="0"/>
        <w:keepLines w:val="0"/>
        <w:pageBreakBefore w:val="0"/>
        <w:widowControl/>
        <w:suppressLineNumbers w:val="0"/>
        <w:kinsoku/>
        <w:wordWrap/>
        <w:overflowPunct/>
        <w:topLinePunct w:val="0"/>
        <w:autoSpaceDE/>
        <w:autoSpaceDN/>
        <w:bidi w:val="0"/>
        <w:adjustRightInd/>
        <w:snapToGrid/>
        <w:spacing w:line="400" w:lineRule="exact"/>
        <w:ind w:left="0" w:firstLine="420"/>
        <w:textAlignment w:val="auto"/>
      </w:pPr>
      <w:r>
        <w:rPr>
          <w:rFonts w:hint="eastAsia" w:ascii="微软雅黑" w:hAnsi="微软雅黑" w:eastAsia="微软雅黑" w:cs="微软雅黑"/>
          <w:color w:val="333333"/>
          <w:sz w:val="21"/>
          <w:szCs w:val="21"/>
        </w:rPr>
        <w:t>时间：即日起至2021-10-18 17:30:00 止</w:t>
      </w:r>
    </w:p>
    <w:p>
      <w:pPr>
        <w:pStyle w:val="20"/>
        <w:keepNext w:val="0"/>
        <w:keepLines w:val="0"/>
        <w:pageBreakBefore w:val="0"/>
        <w:widowControl/>
        <w:suppressLineNumbers w:val="0"/>
        <w:kinsoku/>
        <w:wordWrap/>
        <w:overflowPunct/>
        <w:topLinePunct w:val="0"/>
        <w:autoSpaceDE/>
        <w:autoSpaceDN/>
        <w:bidi w:val="0"/>
        <w:adjustRightInd/>
        <w:snapToGrid/>
        <w:spacing w:line="400" w:lineRule="exact"/>
        <w:ind w:left="0" w:firstLine="420"/>
        <w:textAlignment w:val="auto"/>
      </w:pPr>
      <w:r>
        <w:rPr>
          <w:rFonts w:hint="eastAsia" w:ascii="微软雅黑" w:hAnsi="微软雅黑" w:eastAsia="微软雅黑" w:cs="微软雅黑"/>
          <w:color w:val="333333"/>
          <w:sz w:val="21"/>
          <w:szCs w:val="21"/>
        </w:rPr>
        <w:t>地点：延安市新区嘉宁万兴（写字楼）5楼</w:t>
      </w:r>
    </w:p>
    <w:p>
      <w:pPr>
        <w:pStyle w:val="20"/>
        <w:keepNext w:val="0"/>
        <w:keepLines w:val="0"/>
        <w:pageBreakBefore w:val="0"/>
        <w:widowControl/>
        <w:suppressLineNumbers w:val="0"/>
        <w:kinsoku/>
        <w:wordWrap/>
        <w:overflowPunct/>
        <w:topLinePunct w:val="0"/>
        <w:autoSpaceDE/>
        <w:autoSpaceDN/>
        <w:bidi w:val="0"/>
        <w:adjustRightInd/>
        <w:snapToGrid/>
        <w:spacing w:line="400" w:lineRule="exact"/>
        <w:ind w:left="0" w:firstLine="420"/>
        <w:textAlignment w:val="auto"/>
      </w:pPr>
      <w:r>
        <w:rPr>
          <w:rFonts w:hint="eastAsia" w:ascii="微软雅黑" w:hAnsi="微软雅黑" w:eastAsia="微软雅黑" w:cs="微软雅黑"/>
          <w:color w:val="333333"/>
          <w:sz w:val="21"/>
          <w:szCs w:val="21"/>
        </w:rPr>
        <w:t>方式：现场购买/邮寄</w:t>
      </w:r>
    </w:p>
    <w:p>
      <w:pPr>
        <w:pStyle w:val="20"/>
        <w:keepNext w:val="0"/>
        <w:keepLines w:val="0"/>
        <w:pageBreakBefore w:val="0"/>
        <w:widowControl/>
        <w:suppressLineNumbers w:val="0"/>
        <w:kinsoku/>
        <w:wordWrap/>
        <w:overflowPunct/>
        <w:topLinePunct w:val="0"/>
        <w:autoSpaceDE/>
        <w:autoSpaceDN/>
        <w:bidi w:val="0"/>
        <w:adjustRightInd/>
        <w:snapToGrid/>
        <w:spacing w:line="400" w:lineRule="exact"/>
        <w:ind w:left="0" w:firstLine="420"/>
        <w:textAlignment w:val="auto"/>
      </w:pPr>
      <w:r>
        <w:rPr>
          <w:rFonts w:hint="eastAsia" w:ascii="微软雅黑" w:hAnsi="微软雅黑" w:eastAsia="微软雅黑" w:cs="微软雅黑"/>
          <w:color w:val="333333"/>
          <w:sz w:val="21"/>
          <w:szCs w:val="21"/>
        </w:rPr>
        <w:t xml:space="preserve">售价： 每套500元（人民币），售后不退 </w:t>
      </w:r>
    </w:p>
    <w:p>
      <w:pPr>
        <w:pStyle w:val="20"/>
        <w:keepNext w:val="0"/>
        <w:keepLines w:val="0"/>
        <w:pageBreakBefore w:val="0"/>
        <w:widowControl/>
        <w:suppressLineNumbers w:val="0"/>
        <w:kinsoku/>
        <w:wordWrap/>
        <w:overflowPunct/>
        <w:topLinePunct w:val="0"/>
        <w:autoSpaceDE/>
        <w:autoSpaceDN/>
        <w:bidi w:val="0"/>
        <w:adjustRightInd/>
        <w:snapToGrid/>
        <w:spacing w:line="400" w:lineRule="exact"/>
        <w:ind w:left="0" w:firstLine="420"/>
        <w:textAlignment w:val="auto"/>
      </w:pPr>
      <w:r>
        <w:rPr>
          <w:rFonts w:hint="eastAsia" w:ascii="微软雅黑" w:hAnsi="微软雅黑" w:eastAsia="微软雅黑" w:cs="微软雅黑"/>
          <w:b/>
          <w:color w:val="333333"/>
          <w:sz w:val="21"/>
          <w:szCs w:val="21"/>
        </w:rPr>
        <w:t>注：购买招标文件请携带单位介绍信原件、法人委托书原件、经办人身份证原件及加盖供应商公章的复印件2份，招标文件售后不退，谢绝邮购。</w:t>
      </w:r>
    </w:p>
    <w:p>
      <w:pPr>
        <w:pStyle w:val="9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pPr>
      <w:r>
        <w:rPr>
          <w:rFonts w:hint="eastAsia" w:ascii="微软雅黑" w:hAnsi="微软雅黑" w:eastAsia="微软雅黑" w:cs="微软雅黑"/>
          <w:color w:val="333333"/>
          <w:sz w:val="21"/>
          <w:szCs w:val="21"/>
        </w:rPr>
        <w:t xml:space="preserve">四、 投标文件递交 </w:t>
      </w:r>
    </w:p>
    <w:p>
      <w:pPr>
        <w:pStyle w:val="20"/>
        <w:keepNext w:val="0"/>
        <w:keepLines w:val="0"/>
        <w:pageBreakBefore w:val="0"/>
        <w:widowControl/>
        <w:suppressLineNumbers w:val="0"/>
        <w:kinsoku/>
        <w:wordWrap/>
        <w:overflowPunct/>
        <w:topLinePunct w:val="0"/>
        <w:autoSpaceDE/>
        <w:autoSpaceDN/>
        <w:bidi w:val="0"/>
        <w:adjustRightInd/>
        <w:snapToGrid/>
        <w:spacing w:line="400" w:lineRule="exact"/>
        <w:ind w:left="0" w:firstLine="420"/>
        <w:textAlignment w:val="auto"/>
      </w:pPr>
      <w:r>
        <w:rPr>
          <w:rFonts w:hint="eastAsia" w:ascii="微软雅黑" w:hAnsi="微软雅黑" w:eastAsia="微软雅黑" w:cs="微软雅黑"/>
          <w:color w:val="333333"/>
          <w:sz w:val="21"/>
          <w:szCs w:val="21"/>
        </w:rPr>
        <w:t xml:space="preserve">截止时间： 2021-11-01 14:30:00 </w:t>
      </w:r>
    </w:p>
    <w:p>
      <w:pPr>
        <w:pStyle w:val="20"/>
        <w:keepNext w:val="0"/>
        <w:keepLines w:val="0"/>
        <w:pageBreakBefore w:val="0"/>
        <w:widowControl/>
        <w:suppressLineNumbers w:val="0"/>
        <w:kinsoku/>
        <w:wordWrap/>
        <w:overflowPunct/>
        <w:topLinePunct w:val="0"/>
        <w:autoSpaceDE/>
        <w:autoSpaceDN/>
        <w:bidi w:val="0"/>
        <w:adjustRightInd/>
        <w:snapToGrid/>
        <w:spacing w:line="400" w:lineRule="exact"/>
        <w:ind w:left="0" w:firstLine="420"/>
        <w:textAlignment w:val="auto"/>
      </w:pPr>
      <w:r>
        <w:rPr>
          <w:rFonts w:hint="eastAsia" w:ascii="微软雅黑" w:hAnsi="微软雅黑" w:eastAsia="微软雅黑" w:cs="微软雅黑"/>
          <w:color w:val="333333"/>
          <w:sz w:val="21"/>
          <w:szCs w:val="21"/>
        </w:rPr>
        <w:t xml:space="preserve">地点：延安市公共资源交易中心交易三厅. </w:t>
      </w:r>
    </w:p>
    <w:p>
      <w:pPr>
        <w:pStyle w:val="9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pPr>
      <w:r>
        <w:rPr>
          <w:rFonts w:hint="eastAsia" w:ascii="微软雅黑" w:hAnsi="微软雅黑" w:eastAsia="微软雅黑" w:cs="微软雅黑"/>
          <w:color w:val="333333"/>
          <w:sz w:val="21"/>
          <w:szCs w:val="21"/>
        </w:rPr>
        <w:t>五、公告期限</w:t>
      </w:r>
    </w:p>
    <w:p>
      <w:pPr>
        <w:pStyle w:val="20"/>
        <w:keepNext w:val="0"/>
        <w:keepLines w:val="0"/>
        <w:pageBreakBefore w:val="0"/>
        <w:widowControl/>
        <w:suppressLineNumbers w:val="0"/>
        <w:kinsoku/>
        <w:wordWrap/>
        <w:overflowPunct/>
        <w:topLinePunct w:val="0"/>
        <w:autoSpaceDE/>
        <w:autoSpaceDN/>
        <w:bidi w:val="0"/>
        <w:adjustRightInd/>
        <w:snapToGrid/>
        <w:spacing w:line="400" w:lineRule="exact"/>
        <w:ind w:left="0" w:firstLine="420"/>
        <w:textAlignment w:val="auto"/>
      </w:pPr>
      <w:r>
        <w:rPr>
          <w:rFonts w:hint="eastAsia" w:ascii="微软雅黑" w:hAnsi="微软雅黑" w:eastAsia="微软雅黑" w:cs="微软雅黑"/>
          <w:color w:val="333333"/>
          <w:sz w:val="21"/>
          <w:szCs w:val="21"/>
        </w:rPr>
        <w:t>自本公告发布之日起5个工作日。</w:t>
      </w:r>
    </w:p>
    <w:p>
      <w:pPr>
        <w:pStyle w:val="9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pPr>
      <w:r>
        <w:rPr>
          <w:rFonts w:hint="eastAsia" w:ascii="微软雅黑" w:hAnsi="微软雅黑" w:eastAsia="微软雅黑" w:cs="微软雅黑"/>
          <w:color w:val="333333"/>
          <w:sz w:val="21"/>
          <w:szCs w:val="21"/>
        </w:rPr>
        <w:t>六、其他补充事宜</w:t>
      </w:r>
    </w:p>
    <w:p>
      <w:pPr>
        <w:pStyle w:val="20"/>
        <w:keepNext w:val="0"/>
        <w:keepLines w:val="0"/>
        <w:pageBreakBefore w:val="0"/>
        <w:widowControl/>
        <w:suppressLineNumbers w:val="0"/>
        <w:kinsoku/>
        <w:wordWrap/>
        <w:overflowPunct/>
        <w:topLinePunct w:val="0"/>
        <w:autoSpaceDE/>
        <w:autoSpaceDN/>
        <w:bidi w:val="0"/>
        <w:adjustRightInd/>
        <w:snapToGrid/>
        <w:spacing w:line="400" w:lineRule="exact"/>
        <w:ind w:left="0" w:firstLine="420"/>
        <w:textAlignment w:val="auto"/>
      </w:pPr>
      <w:r>
        <w:rPr>
          <w:rFonts w:hint="eastAsia" w:ascii="微软雅黑" w:hAnsi="微软雅黑" w:eastAsia="微软雅黑" w:cs="微软雅黑"/>
          <w:color w:val="333333"/>
          <w:sz w:val="21"/>
          <w:szCs w:val="21"/>
        </w:rPr>
        <w:t>本次招标公告在《陕西政府采购网》、《延安市公共资源交易网》媒介上发布。</w:t>
      </w:r>
    </w:p>
    <w:p>
      <w:pPr>
        <w:pStyle w:val="9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pPr>
      <w:r>
        <w:rPr>
          <w:rFonts w:hint="eastAsia" w:ascii="微软雅黑" w:hAnsi="微软雅黑" w:eastAsia="微软雅黑" w:cs="微软雅黑"/>
          <w:color w:val="333333"/>
          <w:sz w:val="21"/>
          <w:szCs w:val="21"/>
        </w:rPr>
        <w:t xml:space="preserve">七、对本次招标提出询问，请按以下方式联系。 </w:t>
      </w:r>
    </w:p>
    <w:p>
      <w:pPr>
        <w:pStyle w:val="20"/>
        <w:keepNext w:val="0"/>
        <w:keepLines w:val="0"/>
        <w:pageBreakBefore w:val="0"/>
        <w:widowControl/>
        <w:suppressLineNumbers w:val="0"/>
        <w:kinsoku/>
        <w:wordWrap/>
        <w:overflowPunct/>
        <w:topLinePunct w:val="0"/>
        <w:autoSpaceDE/>
        <w:autoSpaceDN/>
        <w:bidi w:val="0"/>
        <w:adjustRightInd/>
        <w:snapToGrid/>
        <w:spacing w:line="400" w:lineRule="exact"/>
        <w:ind w:left="0" w:firstLine="420"/>
        <w:textAlignment w:val="auto"/>
      </w:pPr>
      <w:r>
        <w:rPr>
          <w:rFonts w:hint="eastAsia" w:ascii="微软雅黑" w:hAnsi="微软雅黑" w:eastAsia="微软雅黑" w:cs="微软雅黑"/>
          <w:color w:val="333333"/>
          <w:sz w:val="21"/>
          <w:szCs w:val="21"/>
        </w:rPr>
        <w:t>1、采购人信息：延川县教育科技体育局</w:t>
      </w:r>
    </w:p>
    <w:p>
      <w:pPr>
        <w:pStyle w:val="20"/>
        <w:keepNext w:val="0"/>
        <w:keepLines w:val="0"/>
        <w:pageBreakBefore w:val="0"/>
        <w:widowControl/>
        <w:suppressLineNumbers w:val="0"/>
        <w:kinsoku/>
        <w:wordWrap/>
        <w:overflowPunct/>
        <w:topLinePunct w:val="0"/>
        <w:autoSpaceDE/>
        <w:autoSpaceDN/>
        <w:bidi w:val="0"/>
        <w:adjustRightInd/>
        <w:snapToGrid/>
        <w:spacing w:line="400" w:lineRule="exact"/>
        <w:ind w:left="0" w:firstLine="420"/>
        <w:textAlignment w:val="auto"/>
      </w:pPr>
      <w:r>
        <w:rPr>
          <w:rFonts w:hint="eastAsia" w:ascii="微软雅黑" w:hAnsi="微软雅黑" w:eastAsia="微软雅黑" w:cs="微软雅黑"/>
          <w:color w:val="333333"/>
          <w:sz w:val="21"/>
          <w:szCs w:val="21"/>
        </w:rPr>
        <w:t>地址：延川县中心街</w:t>
      </w:r>
    </w:p>
    <w:p>
      <w:pPr>
        <w:pStyle w:val="20"/>
        <w:keepNext w:val="0"/>
        <w:keepLines w:val="0"/>
        <w:pageBreakBefore w:val="0"/>
        <w:widowControl/>
        <w:suppressLineNumbers w:val="0"/>
        <w:kinsoku/>
        <w:wordWrap/>
        <w:overflowPunct/>
        <w:topLinePunct w:val="0"/>
        <w:autoSpaceDE/>
        <w:autoSpaceDN/>
        <w:bidi w:val="0"/>
        <w:adjustRightInd/>
        <w:snapToGrid/>
        <w:spacing w:line="400" w:lineRule="exact"/>
        <w:ind w:left="0" w:firstLine="420"/>
        <w:textAlignment w:val="auto"/>
      </w:pPr>
      <w:r>
        <w:rPr>
          <w:rFonts w:hint="eastAsia" w:ascii="微软雅黑" w:hAnsi="微软雅黑" w:eastAsia="微软雅黑" w:cs="微软雅黑"/>
          <w:color w:val="333333"/>
          <w:sz w:val="21"/>
          <w:szCs w:val="21"/>
        </w:rPr>
        <w:t>联系人：王龙</w:t>
      </w:r>
    </w:p>
    <w:p>
      <w:pPr>
        <w:pStyle w:val="20"/>
        <w:keepNext w:val="0"/>
        <w:keepLines w:val="0"/>
        <w:pageBreakBefore w:val="0"/>
        <w:widowControl/>
        <w:suppressLineNumbers w:val="0"/>
        <w:kinsoku/>
        <w:wordWrap/>
        <w:overflowPunct/>
        <w:topLinePunct w:val="0"/>
        <w:autoSpaceDE/>
        <w:autoSpaceDN/>
        <w:bidi w:val="0"/>
        <w:adjustRightInd/>
        <w:snapToGrid/>
        <w:spacing w:line="400" w:lineRule="exact"/>
        <w:ind w:left="0" w:firstLine="420"/>
        <w:textAlignment w:val="auto"/>
      </w:pPr>
      <w:r>
        <w:rPr>
          <w:rFonts w:hint="eastAsia" w:ascii="微软雅黑" w:hAnsi="微软雅黑" w:eastAsia="微软雅黑" w:cs="微软雅黑"/>
          <w:color w:val="333333"/>
          <w:sz w:val="21"/>
          <w:szCs w:val="21"/>
        </w:rPr>
        <w:t>电话：0911-8338988</w:t>
      </w:r>
    </w:p>
    <w:p>
      <w:pPr>
        <w:pStyle w:val="20"/>
        <w:keepNext w:val="0"/>
        <w:keepLines w:val="0"/>
        <w:pageBreakBefore w:val="0"/>
        <w:widowControl/>
        <w:suppressLineNumbers w:val="0"/>
        <w:kinsoku/>
        <w:wordWrap/>
        <w:overflowPunct/>
        <w:topLinePunct w:val="0"/>
        <w:autoSpaceDE/>
        <w:autoSpaceDN/>
        <w:bidi w:val="0"/>
        <w:adjustRightInd/>
        <w:snapToGrid/>
        <w:spacing w:line="400" w:lineRule="exact"/>
        <w:ind w:left="0" w:firstLine="420"/>
        <w:textAlignment w:val="auto"/>
      </w:pPr>
      <w:r>
        <w:rPr>
          <w:rFonts w:hint="eastAsia" w:ascii="微软雅黑" w:hAnsi="微软雅黑" w:eastAsia="微软雅黑" w:cs="微软雅黑"/>
          <w:color w:val="333333"/>
          <w:sz w:val="21"/>
          <w:szCs w:val="21"/>
        </w:rPr>
        <w:t>2、项目联系方式</w:t>
      </w:r>
    </w:p>
    <w:p>
      <w:pPr>
        <w:pStyle w:val="20"/>
        <w:keepNext w:val="0"/>
        <w:keepLines w:val="0"/>
        <w:pageBreakBefore w:val="0"/>
        <w:widowControl/>
        <w:suppressLineNumbers w:val="0"/>
        <w:kinsoku/>
        <w:wordWrap/>
        <w:overflowPunct/>
        <w:topLinePunct w:val="0"/>
        <w:autoSpaceDE/>
        <w:autoSpaceDN/>
        <w:bidi w:val="0"/>
        <w:adjustRightInd/>
        <w:snapToGrid/>
        <w:spacing w:line="400" w:lineRule="exact"/>
        <w:ind w:left="0" w:firstLine="420"/>
        <w:textAlignment w:val="auto"/>
      </w:pPr>
      <w:r>
        <w:rPr>
          <w:rFonts w:hint="eastAsia" w:ascii="微软雅黑" w:hAnsi="微软雅黑" w:eastAsia="微软雅黑" w:cs="微软雅黑"/>
          <w:color w:val="333333"/>
          <w:sz w:val="21"/>
          <w:szCs w:val="21"/>
        </w:rPr>
        <w:t>项目联系人：任玲玲</w:t>
      </w:r>
    </w:p>
    <w:p>
      <w:pPr>
        <w:pStyle w:val="20"/>
        <w:keepNext w:val="0"/>
        <w:keepLines w:val="0"/>
        <w:pageBreakBefore w:val="0"/>
        <w:widowControl/>
        <w:suppressLineNumbers w:val="0"/>
        <w:kinsoku/>
        <w:wordWrap/>
        <w:overflowPunct/>
        <w:topLinePunct w:val="0"/>
        <w:autoSpaceDE/>
        <w:autoSpaceDN/>
        <w:bidi w:val="0"/>
        <w:adjustRightInd/>
        <w:snapToGrid/>
        <w:spacing w:line="400" w:lineRule="exact"/>
        <w:ind w:left="0" w:firstLine="420"/>
        <w:textAlignment w:val="auto"/>
      </w:pPr>
      <w:r>
        <w:rPr>
          <w:rFonts w:hint="eastAsia" w:ascii="微软雅黑" w:hAnsi="微软雅黑" w:eastAsia="微软雅黑" w:cs="微软雅黑"/>
          <w:color w:val="333333"/>
          <w:sz w:val="21"/>
          <w:szCs w:val="21"/>
        </w:rPr>
        <w:t>电 话：13279115550</w:t>
      </w:r>
    </w:p>
    <w:p>
      <w:pPr>
        <w:pStyle w:val="20"/>
        <w:keepNext w:val="0"/>
        <w:keepLines w:val="0"/>
        <w:pageBreakBefore w:val="0"/>
        <w:widowControl/>
        <w:suppressLineNumbers w:val="0"/>
        <w:kinsoku/>
        <w:wordWrap/>
        <w:overflowPunct/>
        <w:topLinePunct w:val="0"/>
        <w:autoSpaceDE/>
        <w:autoSpaceDN/>
        <w:bidi w:val="0"/>
        <w:adjustRightInd/>
        <w:snapToGrid/>
        <w:spacing w:line="400" w:lineRule="exact"/>
        <w:ind w:left="0" w:firstLine="420"/>
        <w:textAlignment w:val="auto"/>
      </w:pPr>
      <w:r>
        <w:rPr>
          <w:rFonts w:hint="eastAsia" w:ascii="微软雅黑" w:hAnsi="微软雅黑" w:eastAsia="微软雅黑" w:cs="微软雅黑"/>
          <w:color w:val="333333"/>
          <w:sz w:val="21"/>
          <w:szCs w:val="21"/>
        </w:rPr>
        <w:t>传 真：0911-8888419</w:t>
      </w:r>
    </w:p>
    <w:p>
      <w:pPr>
        <w:pStyle w:val="20"/>
        <w:keepNext w:val="0"/>
        <w:keepLines w:val="0"/>
        <w:pageBreakBefore w:val="0"/>
        <w:widowControl/>
        <w:suppressLineNumbers w:val="0"/>
        <w:kinsoku/>
        <w:wordWrap/>
        <w:overflowPunct/>
        <w:topLinePunct w:val="0"/>
        <w:autoSpaceDE/>
        <w:autoSpaceDN/>
        <w:bidi w:val="0"/>
        <w:adjustRightInd/>
        <w:snapToGrid/>
        <w:spacing w:line="400" w:lineRule="exact"/>
        <w:ind w:left="0" w:firstLine="420"/>
        <w:textAlignment w:val="auto"/>
      </w:pPr>
      <w:r>
        <w:rPr>
          <w:rFonts w:hint="eastAsia" w:ascii="微软雅黑" w:hAnsi="微软雅黑" w:eastAsia="微软雅黑" w:cs="微软雅黑"/>
          <w:color w:val="333333"/>
          <w:sz w:val="21"/>
          <w:szCs w:val="21"/>
        </w:rPr>
        <w:t>3、采购代理机构信息</w:t>
      </w:r>
    </w:p>
    <w:p>
      <w:pPr>
        <w:pStyle w:val="20"/>
        <w:keepNext w:val="0"/>
        <w:keepLines w:val="0"/>
        <w:pageBreakBefore w:val="0"/>
        <w:widowControl/>
        <w:suppressLineNumbers w:val="0"/>
        <w:kinsoku/>
        <w:wordWrap/>
        <w:overflowPunct/>
        <w:topLinePunct w:val="0"/>
        <w:autoSpaceDE/>
        <w:autoSpaceDN/>
        <w:bidi w:val="0"/>
        <w:adjustRightInd/>
        <w:snapToGrid/>
        <w:spacing w:line="400" w:lineRule="exact"/>
        <w:ind w:left="0" w:firstLine="420"/>
        <w:textAlignment w:val="auto"/>
      </w:pPr>
      <w:r>
        <w:rPr>
          <w:rFonts w:hint="eastAsia" w:ascii="微软雅黑" w:hAnsi="微软雅黑" w:eastAsia="微软雅黑" w:cs="微软雅黑"/>
          <w:color w:val="333333"/>
          <w:sz w:val="21"/>
          <w:szCs w:val="21"/>
        </w:rPr>
        <w:t>名称：九鼎工程管理咨询有限公司</w:t>
      </w:r>
    </w:p>
    <w:p>
      <w:pPr>
        <w:pStyle w:val="20"/>
        <w:keepNext w:val="0"/>
        <w:keepLines w:val="0"/>
        <w:pageBreakBefore w:val="0"/>
        <w:widowControl/>
        <w:suppressLineNumbers w:val="0"/>
        <w:kinsoku/>
        <w:wordWrap/>
        <w:overflowPunct/>
        <w:topLinePunct w:val="0"/>
        <w:autoSpaceDE/>
        <w:autoSpaceDN/>
        <w:bidi w:val="0"/>
        <w:adjustRightInd/>
        <w:snapToGrid/>
        <w:spacing w:line="400" w:lineRule="exact"/>
        <w:ind w:left="0" w:firstLine="420"/>
        <w:textAlignment w:val="auto"/>
      </w:pPr>
      <w:r>
        <w:rPr>
          <w:rFonts w:hint="eastAsia" w:ascii="微软雅黑" w:hAnsi="微软雅黑" w:eastAsia="微软雅黑" w:cs="微软雅黑"/>
          <w:color w:val="333333"/>
          <w:sz w:val="21"/>
          <w:szCs w:val="21"/>
        </w:rPr>
        <w:t>联系地址：延安市新区嘉宁万兴（写字楼）5楼</w:t>
      </w:r>
    </w:p>
    <w:p>
      <w:pPr>
        <w:pStyle w:val="20"/>
        <w:keepNext w:val="0"/>
        <w:keepLines w:val="0"/>
        <w:pageBreakBefore w:val="0"/>
        <w:widowControl/>
        <w:suppressLineNumbers w:val="0"/>
        <w:kinsoku/>
        <w:wordWrap/>
        <w:overflowPunct/>
        <w:topLinePunct w:val="0"/>
        <w:autoSpaceDE/>
        <w:autoSpaceDN/>
        <w:bidi w:val="0"/>
        <w:adjustRightInd/>
        <w:snapToGrid/>
        <w:spacing w:line="400" w:lineRule="exact"/>
        <w:ind w:left="0" w:firstLine="420"/>
        <w:textAlignment w:val="auto"/>
      </w:pPr>
      <w:r>
        <w:rPr>
          <w:rFonts w:hint="eastAsia" w:ascii="微软雅黑" w:hAnsi="微软雅黑" w:eastAsia="微软雅黑" w:cs="微软雅黑"/>
          <w:color w:val="333333"/>
          <w:sz w:val="21"/>
          <w:szCs w:val="21"/>
        </w:rPr>
        <w:t>联系方式：</w:t>
      </w:r>
      <w:r>
        <w:rPr>
          <w:rFonts w:hint="eastAsia" w:ascii="微软雅黑" w:hAnsi="微软雅黑" w:eastAsia="微软雅黑" w:cs="微软雅黑"/>
          <w:color w:val="333333"/>
          <w:sz w:val="21"/>
          <w:szCs w:val="21"/>
          <w:u w:val="none"/>
        </w:rPr>
        <w:fldChar w:fldCharType="begin"/>
      </w:r>
      <w:r>
        <w:rPr>
          <w:rFonts w:hint="eastAsia" w:ascii="微软雅黑" w:hAnsi="微软雅黑" w:eastAsia="微软雅黑" w:cs="微软雅黑"/>
          <w:color w:val="333333"/>
          <w:sz w:val="21"/>
          <w:szCs w:val="21"/>
          <w:u w:val="none"/>
        </w:rPr>
        <w:instrText xml:space="preserve"> HYPERLINK "http://www.ccgp.gov.cn/agency/a_agencylist.html" \t "http://www.ccgp-shaanxi.gov.cn/notice/_blank" </w:instrText>
      </w:r>
      <w:r>
        <w:rPr>
          <w:rFonts w:hint="eastAsia" w:ascii="微软雅黑" w:hAnsi="微软雅黑" w:eastAsia="微软雅黑" w:cs="微软雅黑"/>
          <w:color w:val="333333"/>
          <w:sz w:val="21"/>
          <w:szCs w:val="21"/>
          <w:u w:val="none"/>
        </w:rPr>
        <w:fldChar w:fldCharType="separate"/>
      </w:r>
      <w:r>
        <w:rPr>
          <w:rStyle w:val="31"/>
          <w:rFonts w:hint="eastAsia" w:ascii="微软雅黑" w:hAnsi="微软雅黑" w:eastAsia="微软雅黑" w:cs="微软雅黑"/>
          <w:color w:val="333333"/>
          <w:sz w:val="21"/>
          <w:szCs w:val="21"/>
          <w:u w:val="none"/>
        </w:rPr>
        <w:t>http://www.ccgp.gov.cn/agency/a_agencylist.html</w:t>
      </w:r>
      <w:r>
        <w:rPr>
          <w:rFonts w:hint="eastAsia" w:ascii="微软雅黑" w:hAnsi="微软雅黑" w:eastAsia="微软雅黑" w:cs="微软雅黑"/>
          <w:color w:val="333333"/>
          <w:sz w:val="21"/>
          <w:szCs w:val="21"/>
          <w:u w:val="none"/>
        </w:rPr>
        <w:fldChar w:fldCharType="end"/>
      </w:r>
    </w:p>
    <w:p>
      <w:pPr>
        <w:keepNext w:val="0"/>
        <w:keepLines w:val="0"/>
        <w:pageBreakBefore w:val="0"/>
        <w:kinsoku/>
        <w:wordWrap/>
        <w:overflowPunct/>
        <w:topLinePunct w:val="0"/>
        <w:autoSpaceDE/>
        <w:autoSpaceDN/>
        <w:bidi w:val="0"/>
        <w:adjustRightInd/>
        <w:snapToGrid/>
        <w:spacing w:beforeAutospacing="0" w:afterAutospacing="0" w:line="400" w:lineRule="exact"/>
        <w:textAlignment w:val="auto"/>
        <w:outlineLvl w:val="9"/>
        <w:rPr>
          <w:rFonts w:hint="eastAsia" w:asciiTheme="minorEastAsia" w:hAnsiTheme="minorEastAsia" w:eastAsiaTheme="minorEastAsia" w:cstheme="minorEastAsia"/>
          <w:smallCaps w:val="0"/>
          <w:color w:val="000000" w:themeColor="text1"/>
          <w:spacing w:val="0"/>
          <w:sz w:val="28"/>
          <w:szCs w:val="28"/>
          <w:highlight w:val="none"/>
          <w:u w:val="none"/>
          <w:lang w:val="en-US" w:eastAsia="zh-CN"/>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8"/>
          <w:szCs w:val="28"/>
          <w:highlight w:val="none"/>
          <w:u w:val="none"/>
          <w:lang w:val="en-US" w:eastAsia="zh-CN"/>
          <w14:textFill>
            <w14:solidFill>
              <w14:schemeClr w14:val="tx1"/>
            </w14:solidFill>
          </w14:textFill>
        </w:rPr>
        <w:br w:type="page"/>
      </w:r>
    </w:p>
    <w:p>
      <w:pPr>
        <w:pStyle w:val="3"/>
        <w:spacing w:line="480" w:lineRule="exact"/>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4" w:name="_Toc618"/>
      <w:bookmarkStart w:id="5" w:name="_Toc347478672"/>
      <w:bookmarkStart w:id="6" w:name="_Toc13640"/>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第二部分 供应商须知</w:t>
      </w:r>
      <w:bookmarkEnd w:id="4"/>
    </w:p>
    <w:p>
      <w:pPr>
        <w:widowControl/>
        <w:shd w:val="clear" w:color="auto" w:fill="FFFFFF"/>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b/>
          <w:smallCaps w:val="0"/>
          <w:color w:val="000000" w:themeColor="text1"/>
          <w:spacing w:val="0"/>
          <w:szCs w:val="21"/>
          <w:highlight w:val="none"/>
          <w14:textFill>
            <w14:solidFill>
              <w14:schemeClr w14:val="tx1"/>
            </w14:solidFill>
          </w14:textFill>
        </w:rPr>
        <w:t>供应商须知前附表</w:t>
      </w:r>
      <w:bookmarkEnd w:id="5"/>
      <w:bookmarkEnd w:id="6"/>
    </w:p>
    <w:tbl>
      <w:tblPr>
        <w:tblStyle w:val="23"/>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7"/>
        <w:gridCol w:w="7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637" w:type="dxa"/>
            <w:vAlign w:val="center"/>
          </w:tcPr>
          <w:p>
            <w:pPr>
              <w:jc w:val="cente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序号</w:t>
            </w:r>
          </w:p>
        </w:tc>
        <w:tc>
          <w:tcPr>
            <w:tcW w:w="7885" w:type="dxa"/>
            <w:vAlign w:val="center"/>
          </w:tcPr>
          <w:p>
            <w:pPr>
              <w:jc w:val="cente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37" w:type="dxa"/>
            <w:vAlign w:val="center"/>
          </w:tcPr>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1</w:t>
            </w:r>
          </w:p>
        </w:tc>
        <w:tc>
          <w:tcPr>
            <w:tcW w:w="7885"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smallCaps w:val="0"/>
                <w:color w:val="auto"/>
                <w:spacing w:val="0"/>
                <w:sz w:val="21"/>
                <w:szCs w:val="21"/>
                <w:highlight w:val="none"/>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采购项目名</w:t>
            </w:r>
            <w:r>
              <w:rPr>
                <w:rFonts w:hint="eastAsia" w:asciiTheme="minorEastAsia" w:hAnsiTheme="minorEastAsia" w:eastAsiaTheme="minorEastAsia" w:cstheme="minorEastAsia"/>
                <w:smallCaps w:val="0"/>
                <w:color w:val="auto"/>
                <w:spacing w:val="0"/>
                <w:sz w:val="21"/>
                <w:szCs w:val="21"/>
                <w:highlight w:val="none"/>
              </w:rPr>
              <w:t>称：</w:t>
            </w:r>
            <w:r>
              <w:rPr>
                <w:rFonts w:hint="eastAsia" w:asciiTheme="minorEastAsia" w:hAnsiTheme="minorEastAsia" w:eastAsiaTheme="minorEastAsia" w:cstheme="minorEastAsia"/>
                <w:smallCaps w:val="0"/>
                <w:color w:val="auto"/>
                <w:spacing w:val="0"/>
                <w:kern w:val="0"/>
                <w:sz w:val="21"/>
                <w:szCs w:val="21"/>
                <w:highlight w:val="none"/>
                <w:lang w:val="en-US" w:eastAsia="zh-CN"/>
              </w:rPr>
              <w:t>中小学远程同步互动教室设备采购项目</w:t>
            </w:r>
          </w:p>
          <w:p>
            <w:pPr>
              <w:pStyle w:val="20"/>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60" w:lineRule="auto"/>
              <w:ind w:right="0"/>
              <w:jc w:val="left"/>
              <w:textAlignment w:val="auto"/>
              <w:outlineLvl w:val="9"/>
              <w:rPr>
                <w:rFonts w:hint="default" w:asciiTheme="minorEastAsia" w:hAnsiTheme="minorEastAsia" w:eastAsiaTheme="minorEastAsia" w:cstheme="minorEastAsia"/>
                <w:smallCaps w:val="0"/>
                <w:color w:val="000000" w:themeColor="text1"/>
                <w:spacing w:val="0"/>
                <w:sz w:val="21"/>
                <w:szCs w:val="21"/>
                <w:highlight w:val="none"/>
                <w:lang w:val="en-US"/>
                <w14:textFill>
                  <w14:solidFill>
                    <w14:schemeClr w14:val="tx1"/>
                  </w14:solidFill>
                </w14:textFill>
              </w:rPr>
            </w:pPr>
            <w:r>
              <w:rPr>
                <w:rFonts w:hint="eastAsia" w:asciiTheme="minorEastAsia" w:hAnsiTheme="minorEastAsia" w:eastAsiaTheme="minorEastAsia" w:cstheme="minorEastAsia"/>
                <w:smallCaps w:val="0"/>
                <w:color w:val="auto"/>
                <w:spacing w:val="0"/>
                <w:sz w:val="21"/>
                <w:szCs w:val="21"/>
                <w:highlight w:val="none"/>
              </w:rPr>
              <w:t>采购项目编号：</w:t>
            </w:r>
            <w:r>
              <w:rPr>
                <w:rFonts w:hint="eastAsia" w:ascii="宋体" w:hAnsi="宋体" w:eastAsia="宋体" w:cs="宋体"/>
                <w:b w:val="0"/>
                <w:bCs w:val="0"/>
                <w:smallCaps w:val="0"/>
                <w:color w:val="auto"/>
                <w:spacing w:val="0"/>
                <w:kern w:val="2"/>
                <w:sz w:val="21"/>
                <w:szCs w:val="21"/>
                <w:lang w:val="en-US" w:eastAsia="zh-CN" w:bidi="ar"/>
              </w:rPr>
              <w:t>JDZB-2021-0</w:t>
            </w:r>
            <w:r>
              <w:rPr>
                <w:rFonts w:hint="eastAsia" w:ascii="宋体" w:hAnsi="宋体" w:cs="宋体"/>
                <w:b w:val="0"/>
                <w:bCs w:val="0"/>
                <w:smallCaps w:val="0"/>
                <w:color w:val="auto"/>
                <w:spacing w:val="0"/>
                <w:kern w:val="2"/>
                <w:sz w:val="21"/>
                <w:szCs w:val="21"/>
                <w:lang w:val="en-US" w:eastAsia="zh-CN" w:bidi="ar"/>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637" w:type="dxa"/>
            <w:vAlign w:val="center"/>
          </w:tcPr>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2</w:t>
            </w:r>
          </w:p>
        </w:tc>
        <w:tc>
          <w:tcPr>
            <w:tcW w:w="7885" w:type="dxa"/>
            <w:vAlign w:val="center"/>
          </w:tcPr>
          <w:p>
            <w:pPr>
              <w:rPr>
                <w:rFonts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采购人：</w:t>
            </w:r>
            <w:r>
              <w:rPr>
                <w:rFonts w:hint="eastAsia" w:asciiTheme="minorEastAsia" w:hAnsiTheme="minorEastAsia" w:eastAsiaTheme="minorEastAsia" w:cstheme="minorEastAsia"/>
                <w:bCs/>
                <w:i w:val="0"/>
                <w:iCs w:val="0"/>
                <w:smallCaps w:val="0"/>
                <w:color w:val="000000" w:themeColor="text1"/>
                <w:spacing w:val="0"/>
                <w:sz w:val="21"/>
                <w:szCs w:val="21"/>
                <w:highlight w:val="none"/>
                <w:u w:val="none"/>
                <w:lang w:val="en-US" w:eastAsia="zh-CN"/>
                <w14:textFill>
                  <w14:solidFill>
                    <w14:schemeClr w14:val="tx1"/>
                  </w14:solidFill>
                </w14:textFill>
              </w:rPr>
              <w:t>延川县教育科技体育局</w:t>
            </w:r>
            <w:r>
              <w:rPr>
                <w:rFonts w:hint="eastAsia" w:asciiTheme="minorEastAsia" w:hAnsiTheme="minorEastAsia" w:eastAsiaTheme="minorEastAsia" w:cstheme="minorEastAsia"/>
                <w:bCs/>
                <w:i w:val="0"/>
                <w:iCs w:val="0"/>
                <w:smallCaps w:val="0"/>
                <w:color w:val="000000" w:themeColor="text1"/>
                <w:spacing w:val="0"/>
                <w:sz w:val="21"/>
                <w:szCs w:val="21"/>
                <w:highlight w:val="none"/>
                <w:u w:val="none"/>
                <w14:textFill>
                  <w14:solidFill>
                    <w14:schemeClr w14:val="tx1"/>
                  </w14:solidFill>
                </w14:textFill>
              </w:rPr>
              <w:t xml:space="preserve"> </w:t>
            </w:r>
          </w:p>
          <w:p>
            <w:pP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采购代理机构：</w:t>
            </w:r>
            <w:r>
              <w:rPr>
                <w:rFonts w:hint="eastAsia" w:ascii="宋体" w:hAnsi="宋体" w:cs="宋体"/>
                <w:color w:val="333333"/>
                <w:kern w:val="0"/>
                <w:sz w:val="21"/>
                <w:szCs w:val="21"/>
              </w:rPr>
              <w:t>九鼎工程管理咨询有限公司</w:t>
            </w: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jc w:val="center"/>
        </w:trPr>
        <w:tc>
          <w:tcPr>
            <w:tcW w:w="637" w:type="dxa"/>
            <w:vAlign w:val="center"/>
          </w:tcPr>
          <w:p>
            <w:pPr>
              <w:jc w:val="center"/>
              <w:rPr>
                <w:rFonts w:hint="eastAsia" w:ascii="宋体" w:hAnsi="宋体" w:eastAsia="宋体" w:cs="宋体"/>
                <w:smallCaps w:val="0"/>
                <w:color w:val="000000" w:themeColor="text1"/>
                <w:spacing w:val="0"/>
                <w:sz w:val="21"/>
                <w:szCs w:val="21"/>
                <w:highlight w:val="none"/>
                <w14:textFill>
                  <w14:solidFill>
                    <w14:schemeClr w14:val="tx1"/>
                  </w14:solidFill>
                </w14:textFill>
              </w:rPr>
            </w:pPr>
            <w:r>
              <w:rPr>
                <w:rFonts w:hint="eastAsia" w:ascii="宋体" w:hAnsi="宋体" w:eastAsia="宋体" w:cs="宋体"/>
                <w:smallCaps w:val="0"/>
                <w:color w:val="000000" w:themeColor="text1"/>
                <w:spacing w:val="0"/>
                <w:sz w:val="21"/>
                <w:szCs w:val="21"/>
                <w:highlight w:val="none"/>
                <w14:textFill>
                  <w14:solidFill>
                    <w14:schemeClr w14:val="tx1"/>
                  </w14:solidFill>
                </w14:textFill>
              </w:rPr>
              <w:t>3</w:t>
            </w:r>
          </w:p>
        </w:tc>
        <w:tc>
          <w:tcPr>
            <w:tcW w:w="7885" w:type="dxa"/>
            <w:vAlign w:val="center"/>
          </w:tcPr>
          <w:p>
            <w:pPr>
              <w:rPr>
                <w:rFonts w:hint="eastAsia" w:ascii="宋体" w:hAnsi="宋体" w:eastAsia="宋体" w:cs="宋体"/>
                <w:smallCaps w:val="0"/>
                <w:color w:val="000000" w:themeColor="text1"/>
                <w:spacing w:val="0"/>
                <w:sz w:val="21"/>
                <w:szCs w:val="21"/>
                <w:highlight w:val="none"/>
                <w14:textFill>
                  <w14:solidFill>
                    <w14:schemeClr w14:val="tx1"/>
                  </w14:solidFill>
                </w14:textFill>
              </w:rPr>
            </w:pPr>
            <w:r>
              <w:rPr>
                <w:rFonts w:hint="eastAsia" w:ascii="宋体" w:hAnsi="宋体" w:eastAsia="宋体" w:cs="宋体"/>
                <w:smallCaps w:val="0"/>
                <w:color w:val="000000" w:themeColor="text1"/>
                <w:spacing w:val="0"/>
                <w:sz w:val="21"/>
                <w:szCs w:val="21"/>
                <w:highlight w:val="none"/>
                <w14:textFill>
                  <w14:solidFill>
                    <w14:schemeClr w14:val="tx1"/>
                  </w14:solidFill>
                </w14:textFill>
              </w:rPr>
              <w:t>采购内容及要求：</w:t>
            </w:r>
            <w:r>
              <w:rPr>
                <w:rFonts w:hint="eastAsia" w:ascii="宋体" w:hAnsi="宋体" w:eastAsia="宋体" w:cs="宋体"/>
                <w:color w:val="333333"/>
                <w:sz w:val="21"/>
                <w:szCs w:val="21"/>
              </w:rPr>
              <w:t>根据延安市教育局统一安排，2021年实施中小学远程同步互动教室建设项目，延川县中小学远程同步互动教室项目，配备延川二中、永坪中学、城关小学、文安驿镇中心小学共10个互动教室，15套多媒体一体机，文安驿镇中心小学计算机机房及教师用机（具体技术要求详见招标文件）</w:t>
            </w:r>
            <w:r>
              <w:rPr>
                <w:rFonts w:hint="eastAsia" w:ascii="宋体" w:hAnsi="宋体" w:eastAsia="宋体" w:cs="宋体"/>
                <w:smallCaps w:val="0"/>
                <w:color w:val="000000" w:themeColor="text1"/>
                <w:spacing w:val="0"/>
                <w:sz w:val="2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637" w:type="dxa"/>
            <w:vAlign w:val="center"/>
          </w:tcPr>
          <w:p>
            <w:pPr>
              <w:jc w:val="center"/>
              <w:rPr>
                <w:rFonts w:hint="eastAsia" w:asciiTheme="minorEastAsia" w:hAnsiTheme="minorEastAsia" w:eastAsiaTheme="minorEastAsia" w:cstheme="minorEastAsia"/>
                <w:smallCaps w:val="0"/>
                <w:color w:val="auto"/>
                <w:spacing w:val="0"/>
                <w:sz w:val="21"/>
                <w:szCs w:val="21"/>
                <w:highlight w:val="none"/>
              </w:rPr>
            </w:pPr>
            <w:r>
              <w:rPr>
                <w:rFonts w:hint="eastAsia" w:asciiTheme="minorEastAsia" w:hAnsiTheme="minorEastAsia" w:eastAsiaTheme="minorEastAsia" w:cstheme="minorEastAsia"/>
                <w:smallCaps w:val="0"/>
                <w:color w:val="auto"/>
                <w:spacing w:val="0"/>
                <w:sz w:val="21"/>
                <w:szCs w:val="21"/>
                <w:highlight w:val="none"/>
              </w:rPr>
              <w:t>4</w:t>
            </w:r>
          </w:p>
        </w:tc>
        <w:tc>
          <w:tcPr>
            <w:tcW w:w="7885" w:type="dxa"/>
            <w:vAlign w:val="center"/>
          </w:tcPr>
          <w:p>
            <w:pPr>
              <w:rPr>
                <w:rFonts w:hint="eastAsia" w:asciiTheme="minorEastAsia" w:hAnsiTheme="minorEastAsia" w:eastAsiaTheme="minorEastAsia" w:cstheme="minorEastAsia"/>
                <w:smallCaps w:val="0"/>
                <w:color w:val="auto"/>
                <w:spacing w:val="0"/>
                <w:sz w:val="21"/>
                <w:szCs w:val="21"/>
                <w:highlight w:val="none"/>
              </w:rPr>
            </w:pPr>
            <w:r>
              <w:rPr>
                <w:rFonts w:hint="eastAsia" w:asciiTheme="minorEastAsia" w:hAnsiTheme="minorEastAsia" w:eastAsiaTheme="minorEastAsia" w:cstheme="minorEastAsia"/>
                <w:smallCaps w:val="0"/>
                <w:color w:val="auto"/>
                <w:spacing w:val="0"/>
                <w:sz w:val="21"/>
                <w:szCs w:val="21"/>
                <w:highlight w:val="none"/>
              </w:rPr>
              <w:t>投标文件递交截止时间及开标时间、地点</w:t>
            </w:r>
          </w:p>
          <w:p>
            <w:pPr>
              <w:rPr>
                <w:rFonts w:hint="eastAsia" w:asciiTheme="minorEastAsia" w:hAnsiTheme="minorEastAsia" w:eastAsiaTheme="minorEastAsia" w:cstheme="minorEastAsia"/>
                <w:smallCaps w:val="0"/>
                <w:color w:val="auto"/>
                <w:spacing w:val="0"/>
                <w:sz w:val="21"/>
                <w:szCs w:val="21"/>
                <w:highlight w:val="none"/>
              </w:rPr>
            </w:pPr>
            <w:r>
              <w:rPr>
                <w:rFonts w:hint="eastAsia" w:asciiTheme="minorEastAsia" w:hAnsiTheme="minorEastAsia" w:eastAsiaTheme="minorEastAsia" w:cstheme="minorEastAsia"/>
                <w:smallCaps w:val="0"/>
                <w:color w:val="auto"/>
                <w:spacing w:val="0"/>
                <w:sz w:val="21"/>
                <w:szCs w:val="21"/>
                <w:highlight w:val="none"/>
              </w:rPr>
              <w:t>时间：</w:t>
            </w:r>
            <w:r>
              <w:rPr>
                <w:rFonts w:hint="eastAsia" w:asciiTheme="minorEastAsia" w:hAnsiTheme="minorEastAsia" w:eastAsiaTheme="minorEastAsia" w:cstheme="minorEastAsia"/>
                <w:smallCaps w:val="0"/>
                <w:color w:val="auto"/>
                <w:spacing w:val="0"/>
                <w:sz w:val="21"/>
                <w:szCs w:val="21"/>
                <w:highlight w:val="none"/>
                <w:lang w:val="en-US" w:eastAsia="zh-CN"/>
              </w:rPr>
              <w:t>2021年11月1日14点30分</w:t>
            </w:r>
            <w:r>
              <w:rPr>
                <w:rFonts w:hint="eastAsia" w:asciiTheme="minorEastAsia" w:hAnsiTheme="minorEastAsia" w:eastAsiaTheme="minorEastAsia" w:cstheme="minorEastAsia"/>
                <w:smallCaps w:val="0"/>
                <w:color w:val="auto"/>
                <w:spacing w:val="0"/>
                <w:sz w:val="21"/>
                <w:szCs w:val="21"/>
                <w:highlight w:val="none"/>
              </w:rPr>
              <w:t>（北京时间）</w:t>
            </w:r>
          </w:p>
          <w:p>
            <w:pPr>
              <w:rPr>
                <w:rFonts w:hint="eastAsia" w:asciiTheme="minorEastAsia" w:hAnsiTheme="minorEastAsia" w:eastAsiaTheme="minorEastAsia" w:cstheme="minorEastAsia"/>
                <w:smallCaps w:val="0"/>
                <w:color w:val="auto"/>
                <w:spacing w:val="0"/>
                <w:sz w:val="21"/>
                <w:szCs w:val="21"/>
                <w:highlight w:val="none"/>
                <w:lang w:val="en-US" w:eastAsia="zh-CN"/>
              </w:rPr>
            </w:pPr>
            <w:r>
              <w:rPr>
                <w:rFonts w:hint="eastAsia" w:asciiTheme="minorEastAsia" w:hAnsiTheme="minorEastAsia" w:eastAsiaTheme="minorEastAsia" w:cstheme="minorEastAsia"/>
                <w:smallCaps w:val="0"/>
                <w:color w:val="auto"/>
                <w:spacing w:val="0"/>
                <w:sz w:val="21"/>
                <w:szCs w:val="21"/>
                <w:highlight w:val="none"/>
              </w:rPr>
              <w:t>地点：延安市</w:t>
            </w:r>
            <w:r>
              <w:rPr>
                <w:rFonts w:hint="eastAsia" w:asciiTheme="minorEastAsia" w:hAnsiTheme="minorEastAsia" w:eastAsiaTheme="minorEastAsia" w:cstheme="minorEastAsia"/>
                <w:smallCaps w:val="0"/>
                <w:color w:val="auto"/>
                <w:spacing w:val="0"/>
                <w:sz w:val="21"/>
                <w:szCs w:val="21"/>
                <w:highlight w:val="none"/>
                <w:lang w:val="en-US" w:eastAsia="zh-CN"/>
              </w:rPr>
              <w:t>公共资源交易中心交易三厅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dxa"/>
            <w:vAlign w:val="center"/>
          </w:tcPr>
          <w:p>
            <w:pPr>
              <w:jc w:val="center"/>
              <w:rPr>
                <w:rFonts w:hint="eastAsia" w:asciiTheme="minorEastAsia" w:hAnsiTheme="minorEastAsia" w:eastAsiaTheme="minorEastAsia" w:cstheme="minorEastAsia"/>
                <w:smallCaps w:val="0"/>
                <w:color w:val="auto"/>
                <w:spacing w:val="0"/>
                <w:sz w:val="21"/>
                <w:szCs w:val="21"/>
                <w:highlight w:val="none"/>
              </w:rPr>
            </w:pPr>
            <w:bookmarkStart w:id="7" w:name="_Hlk374456671"/>
            <w:bookmarkStart w:id="8" w:name="OLE_LINK7" w:colFirst="1" w:colLast="1"/>
            <w:bookmarkStart w:id="9" w:name="OLE_LINK8" w:colFirst="1" w:colLast="1"/>
            <w:r>
              <w:rPr>
                <w:rFonts w:hint="eastAsia" w:asciiTheme="minorEastAsia" w:hAnsiTheme="minorEastAsia" w:eastAsiaTheme="minorEastAsia" w:cstheme="minorEastAsia"/>
                <w:smallCaps w:val="0"/>
                <w:color w:val="auto"/>
                <w:spacing w:val="0"/>
                <w:sz w:val="21"/>
                <w:szCs w:val="21"/>
                <w:highlight w:val="none"/>
              </w:rPr>
              <w:t>5</w:t>
            </w:r>
          </w:p>
        </w:tc>
        <w:tc>
          <w:tcPr>
            <w:tcW w:w="7885" w:type="dxa"/>
            <w:vAlign w:val="center"/>
          </w:tcPr>
          <w:p>
            <w:pPr>
              <w:rPr>
                <w:rFonts w:hint="eastAsia" w:asciiTheme="minorEastAsia" w:hAnsiTheme="minorEastAsia" w:eastAsiaTheme="minorEastAsia" w:cstheme="minorEastAsia"/>
                <w:smallCaps w:val="0"/>
                <w:color w:val="auto"/>
                <w:spacing w:val="0"/>
                <w:sz w:val="21"/>
                <w:szCs w:val="21"/>
                <w:highlight w:val="none"/>
                <w:lang w:val="en-US" w:eastAsia="zh-CN"/>
              </w:rPr>
            </w:pPr>
            <w:r>
              <w:rPr>
                <w:rFonts w:hint="eastAsia" w:asciiTheme="minorEastAsia" w:hAnsiTheme="minorEastAsia" w:eastAsiaTheme="minorEastAsia" w:cstheme="minorEastAsia"/>
                <w:smallCaps w:val="0"/>
                <w:color w:val="auto"/>
                <w:spacing w:val="0"/>
                <w:sz w:val="21"/>
                <w:szCs w:val="21"/>
                <w:highlight w:val="none"/>
                <w:lang w:eastAsia="zh-CN"/>
              </w:rPr>
              <w:t>供货</w:t>
            </w:r>
            <w:r>
              <w:rPr>
                <w:rFonts w:hint="eastAsia" w:asciiTheme="minorEastAsia" w:hAnsiTheme="minorEastAsia" w:eastAsiaTheme="minorEastAsia" w:cstheme="minorEastAsia"/>
                <w:smallCaps w:val="0"/>
                <w:color w:val="auto"/>
                <w:spacing w:val="0"/>
                <w:sz w:val="21"/>
                <w:szCs w:val="21"/>
                <w:highlight w:val="none"/>
              </w:rPr>
              <w:t>期</w:t>
            </w:r>
            <w:r>
              <w:rPr>
                <w:rFonts w:hint="eastAsia" w:asciiTheme="minorEastAsia" w:hAnsiTheme="minorEastAsia" w:eastAsiaTheme="minorEastAsia" w:cstheme="minorEastAsia"/>
                <w:smallCaps w:val="0"/>
                <w:color w:val="auto"/>
                <w:spacing w:val="0"/>
                <w:sz w:val="21"/>
                <w:szCs w:val="21"/>
                <w:highlight w:val="none"/>
                <w:shd w:val="clear"/>
              </w:rPr>
              <w:t>：</w:t>
            </w:r>
            <w:r>
              <w:rPr>
                <w:rFonts w:hint="eastAsia" w:asciiTheme="minorEastAsia" w:hAnsiTheme="minorEastAsia" w:eastAsiaTheme="minorEastAsia" w:cstheme="minorEastAsia"/>
                <w:smallCaps w:val="0"/>
                <w:color w:val="auto"/>
                <w:spacing w:val="0"/>
                <w:sz w:val="21"/>
                <w:szCs w:val="21"/>
                <w:highlight w:val="none"/>
                <w:shd w:val="clear"/>
                <w:lang w:val="en-US" w:eastAsia="zh-CN"/>
              </w:rPr>
              <w:t>30日历天</w:t>
            </w:r>
          </w:p>
        </w:tc>
      </w:tr>
      <w:bookmarkEnd w:id="7"/>
      <w:bookmarkEnd w:id="8"/>
      <w:bookmarkEnd w:id="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37" w:type="dxa"/>
            <w:vAlign w:val="center"/>
          </w:tcPr>
          <w:p>
            <w:pPr>
              <w:jc w:val="center"/>
              <w:rPr>
                <w:rFonts w:hint="eastAsia" w:asciiTheme="minorEastAsia" w:hAnsiTheme="minorEastAsia" w:eastAsiaTheme="minorEastAsia" w:cstheme="minorEastAsia"/>
                <w:smallCaps w:val="0"/>
                <w:color w:val="auto"/>
                <w:spacing w:val="0"/>
                <w:highlight w:val="none"/>
              </w:rPr>
            </w:pPr>
            <w:r>
              <w:rPr>
                <w:rFonts w:hint="eastAsia" w:asciiTheme="minorEastAsia" w:hAnsiTheme="minorEastAsia" w:eastAsiaTheme="minorEastAsia" w:cstheme="minorEastAsia"/>
                <w:smallCaps w:val="0"/>
                <w:color w:val="auto"/>
                <w:spacing w:val="0"/>
                <w:highlight w:val="none"/>
              </w:rPr>
              <w:t>6</w:t>
            </w:r>
          </w:p>
        </w:tc>
        <w:tc>
          <w:tcPr>
            <w:tcW w:w="7885" w:type="dxa"/>
            <w:vAlign w:val="center"/>
          </w:tcPr>
          <w:p>
            <w:pPr>
              <w:rPr>
                <w:rFonts w:hint="eastAsia" w:asciiTheme="minorEastAsia" w:hAnsiTheme="minorEastAsia" w:eastAsiaTheme="minorEastAsia" w:cstheme="minorEastAsia"/>
                <w:smallCaps w:val="0"/>
                <w:color w:val="auto"/>
                <w:spacing w:val="0"/>
                <w:highlight w:val="none"/>
                <w:lang w:val="en-US" w:eastAsia="zh-CN"/>
              </w:rPr>
            </w:pPr>
            <w:r>
              <w:rPr>
                <w:rFonts w:hint="eastAsia" w:asciiTheme="minorEastAsia" w:hAnsiTheme="minorEastAsia" w:eastAsiaTheme="minorEastAsia" w:cstheme="minorEastAsia"/>
                <w:smallCaps w:val="0"/>
                <w:color w:val="auto"/>
                <w:spacing w:val="0"/>
                <w:highlight w:val="none"/>
              </w:rPr>
              <w:t>付款方式及条件：</w:t>
            </w:r>
            <w:r>
              <w:rPr>
                <w:rFonts w:hint="eastAsia" w:asciiTheme="minorEastAsia" w:hAnsiTheme="minorEastAsia" w:eastAsiaTheme="minorEastAsia" w:cstheme="minorEastAsia"/>
                <w:smallCaps w:val="0"/>
                <w:color w:val="auto"/>
                <w:spacing w:val="0"/>
                <w:highlight w:val="none"/>
                <w:lang w:eastAsia="zh-CN"/>
              </w:rPr>
              <w:t>具体与采购人协商。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637" w:type="dxa"/>
            <w:vAlign w:val="center"/>
          </w:tcPr>
          <w:p>
            <w:pPr>
              <w:jc w:val="cente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10" w:name="_Hlk374456981"/>
            <w:bookmarkStart w:id="11" w:name="OLE_LINK11" w:colFirst="0" w:colLast="1"/>
            <w:bookmarkStart w:id="12" w:name="OLE_LINK12" w:colFirst="0" w:colLast="1"/>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7</w:t>
            </w:r>
          </w:p>
        </w:tc>
        <w:tc>
          <w:tcPr>
            <w:tcW w:w="7885" w:type="dxa"/>
            <w:vAlign w:val="center"/>
          </w:tcPr>
          <w:p>
            <w:pPr>
              <w:rPr>
                <w:rFonts w:hint="eastAsia" w:eastAsiaTheme="minorEastAsia"/>
                <w:smallCaps w:val="0"/>
                <w:color w:val="000000" w:themeColor="text1"/>
                <w:spacing w:val="0"/>
                <w:highlight w:val="none"/>
                <w:lang w:val="en-US" w:eastAsia="zh-CN"/>
                <w14:textFill>
                  <w14:solidFill>
                    <w14:schemeClr w14:val="tx1"/>
                  </w14:solidFill>
                </w14:textFill>
              </w:rPr>
            </w:pPr>
            <w:r>
              <w:rPr>
                <w:rFonts w:hint="eastAsia"/>
                <w:smallCaps w:val="0"/>
                <w:color w:val="000000" w:themeColor="text1"/>
                <w:spacing w:val="0"/>
                <w:highlight w:val="none"/>
                <w14:textFill>
                  <w14:solidFill>
                    <w14:schemeClr w14:val="tx1"/>
                  </w14:solidFill>
                </w14:textFill>
              </w:rPr>
              <w:t>采购项目资金来源：财政资金</w:t>
            </w:r>
          </w:p>
        </w:tc>
      </w:tr>
      <w:bookmarkEnd w:id="10"/>
      <w:bookmarkEnd w:id="11"/>
      <w:bookmarkEnd w:id="1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0" w:hRule="atLeast"/>
          <w:jc w:val="center"/>
        </w:trPr>
        <w:tc>
          <w:tcPr>
            <w:tcW w:w="637" w:type="dxa"/>
            <w:vAlign w:val="center"/>
          </w:tcPr>
          <w:p>
            <w:pPr>
              <w:jc w:val="cente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8</w:t>
            </w:r>
          </w:p>
        </w:tc>
        <w:tc>
          <w:tcPr>
            <w:tcW w:w="7885" w:type="dxa"/>
            <w:vAlign w:val="center"/>
          </w:tcPr>
          <w:p>
            <w:pP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投标保证金递交时间：投标截止时间前。</w:t>
            </w:r>
          </w:p>
          <w:p>
            <w:pP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投标保证金数额及方式：</w:t>
            </w:r>
          </w:p>
          <w:p>
            <w:pP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投标保证金：</w:t>
            </w:r>
          </w:p>
          <w:p>
            <w:pP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w:t>
            </w:r>
            <w:r>
              <w:rPr>
                <w:rFonts w:hint="eastAsia" w:asciiTheme="minorEastAsia" w:hAnsiTheme="minorEastAsia" w:eastAsiaTheme="minorEastAsia" w:cstheme="minorEastAsia"/>
                <w:color w:val="000000" w:themeColor="text1"/>
                <w:szCs w:val="21"/>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Cs w:val="21"/>
                <w14:textFill>
                  <w14:solidFill>
                    <w14:schemeClr w14:val="tx1"/>
                  </w14:solidFill>
                </w14:textFill>
              </w:rPr>
              <w:t>0000.00（</w:t>
            </w:r>
            <w:r>
              <w:rPr>
                <w:rFonts w:hint="eastAsia" w:asciiTheme="minorEastAsia" w:hAnsiTheme="minorEastAsia" w:eastAsiaTheme="minorEastAsia" w:cstheme="minorEastAsia"/>
                <w:color w:val="000000" w:themeColor="text1"/>
                <w:szCs w:val="21"/>
                <w:lang w:eastAsia="zh-CN"/>
                <w14:textFill>
                  <w14:solidFill>
                    <w14:schemeClr w14:val="tx1"/>
                  </w14:solidFill>
                </w14:textFill>
              </w:rPr>
              <w:t>肆万元整</w:t>
            </w:r>
            <w:r>
              <w:rPr>
                <w:rFonts w:hint="eastAsia" w:asciiTheme="minorEastAsia" w:hAnsiTheme="minorEastAsia" w:eastAsiaTheme="minorEastAsia" w:cstheme="minorEastAsia"/>
                <w:color w:val="000000" w:themeColor="text1"/>
                <w:szCs w:val="21"/>
                <w14:textFill>
                  <w14:solidFill>
                    <w14:schemeClr w14:val="tx1"/>
                  </w14:solidFill>
                </w14:textFill>
              </w:rPr>
              <w:t>）</w:t>
            </w:r>
          </w:p>
          <w:p>
            <w:pP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采用转账、支票、汇票、本票或者金融机构、担保机构出具的保函等非现金形式提交，有效期为开标之日起90天。</w:t>
            </w:r>
          </w:p>
          <w:p>
            <w:pP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采用转账方式的，保证金须开标前到达采购代理机构指定账户(否则视为无效投标）。投标保证金须从基本账户转出。</w:t>
            </w:r>
          </w:p>
          <w:p>
            <w:pPr>
              <w:spacing w:line="360" w:lineRule="auto"/>
              <w:rPr>
                <w:rFonts w:ascii="宋体" w:hAnsi="宋体"/>
                <w:szCs w:val="21"/>
              </w:rPr>
            </w:pPr>
            <w:r>
              <w:rPr>
                <w:rFonts w:hint="eastAsia" w:ascii="宋体" w:hAnsi="宋体"/>
                <w:szCs w:val="21"/>
              </w:rPr>
              <w:t>账户名称：九鼎工程管理咨询有限公司</w:t>
            </w:r>
          </w:p>
          <w:p>
            <w:pPr>
              <w:spacing w:line="360" w:lineRule="auto"/>
              <w:rPr>
                <w:rFonts w:ascii="宋体" w:hAnsi="宋体"/>
                <w:szCs w:val="21"/>
              </w:rPr>
            </w:pPr>
            <w:r>
              <w:rPr>
                <w:rFonts w:hint="eastAsia" w:ascii="宋体" w:hAnsi="宋体"/>
                <w:szCs w:val="21"/>
              </w:rPr>
              <w:t>开户银行：长安银行股份有限公司西安未央区支行</w:t>
            </w:r>
          </w:p>
          <w:p>
            <w:pPr>
              <w:spacing w:line="360" w:lineRule="auto"/>
              <w:rPr>
                <w:rFonts w:ascii="宋体" w:hAnsi="宋体"/>
                <w:szCs w:val="21"/>
              </w:rPr>
            </w:pPr>
            <w:r>
              <w:rPr>
                <w:rFonts w:hint="eastAsia" w:ascii="宋体" w:hAnsi="宋体"/>
                <w:szCs w:val="21"/>
              </w:rPr>
              <w:t>账    号：806010901421012029</w:t>
            </w:r>
          </w:p>
          <w:p>
            <w:pPr>
              <w:spacing w:line="360" w:lineRule="auto"/>
              <w:rPr>
                <w:rFonts w:ascii="宋体" w:hAnsi="宋体"/>
                <w:szCs w:val="21"/>
              </w:rPr>
            </w:pPr>
            <w:r>
              <w:rPr>
                <w:rFonts w:hint="eastAsia" w:ascii="宋体" w:hAnsi="宋体"/>
                <w:szCs w:val="21"/>
              </w:rPr>
              <w:t>行    号：313791030118</w:t>
            </w:r>
          </w:p>
          <w:p>
            <w:pP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r>
              <w:rPr>
                <w:rFonts w:hint="eastAsia" w:asciiTheme="minorEastAsia" w:hAnsiTheme="minorEastAsia" w:eastAsiaTheme="minorEastAsia" w:cstheme="minorEastAsia"/>
                <w:b/>
                <w:bCs/>
                <w:color w:val="000000" w:themeColor="text1"/>
                <w:szCs w:val="21"/>
                <w14:textFill>
                  <w14:solidFill>
                    <w14:schemeClr w14:val="tx1"/>
                  </w14:solidFill>
                </w14:textFill>
              </w:rPr>
              <w:t>备注:（项目名称）投标保证金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637" w:type="dxa"/>
            <w:vAlign w:val="center"/>
          </w:tcPr>
          <w:p>
            <w:pPr>
              <w:jc w:val="cente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9</w:t>
            </w:r>
          </w:p>
        </w:tc>
        <w:tc>
          <w:tcPr>
            <w:tcW w:w="7885" w:type="dxa"/>
            <w:vAlign w:val="center"/>
          </w:tcPr>
          <w:p>
            <w:pP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13" w:name="OLE_LINK10"/>
            <w:bookmarkStart w:id="14" w:name="OLE_LINK9"/>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投标有效期：投标文件从投标截止日起，投标有效期为90天。</w:t>
            </w:r>
            <w:bookmarkEnd w:id="13"/>
            <w:bookmarkEnd w:id="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637" w:type="dxa"/>
            <w:vAlign w:val="center"/>
          </w:tcPr>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10</w:t>
            </w:r>
          </w:p>
        </w:tc>
        <w:tc>
          <w:tcPr>
            <w:tcW w:w="7885" w:type="dxa"/>
            <w:vAlign w:val="center"/>
          </w:tcPr>
          <w:p>
            <w:pP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投标文件份数：一份正本，四份副本。</w:t>
            </w:r>
          </w:p>
          <w:p>
            <w:pP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投标文件装订：采用胶装方式装订，装订应牢固、不易拆散和换页，不得采用活页装订。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3" w:hRule="atLeast"/>
          <w:jc w:val="center"/>
        </w:trPr>
        <w:tc>
          <w:tcPr>
            <w:tcW w:w="637" w:type="dxa"/>
            <w:vAlign w:val="center"/>
          </w:tcPr>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11</w:t>
            </w:r>
          </w:p>
        </w:tc>
        <w:tc>
          <w:tcPr>
            <w:tcW w:w="7885" w:type="dxa"/>
            <w:vAlign w:val="center"/>
          </w:tcPr>
          <w:p>
            <w:pP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供应商资质要求：</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smallCaps w:val="0"/>
                <w:color w:val="auto"/>
                <w:spacing w:val="0"/>
                <w:sz w:val="21"/>
                <w:szCs w:val="21"/>
                <w:highlight w:val="none"/>
                <w:u w:val="none"/>
                <w:lang w:val="en-US" w:eastAsia="zh-CN"/>
              </w:rPr>
            </w:pPr>
            <w:r>
              <w:rPr>
                <w:rFonts w:hint="eastAsia" w:asciiTheme="minorEastAsia" w:hAnsiTheme="minorEastAsia" w:eastAsiaTheme="minorEastAsia" w:cstheme="minorEastAsia"/>
                <w:smallCaps w:val="0"/>
                <w:color w:val="auto"/>
                <w:spacing w:val="0"/>
                <w:sz w:val="21"/>
                <w:szCs w:val="21"/>
                <w:highlight w:val="none"/>
                <w:u w:val="none"/>
                <w:lang w:val="en-US" w:eastAsia="zh-CN"/>
              </w:rPr>
              <w:t>1.</w:t>
            </w:r>
            <w:r>
              <w:rPr>
                <w:rFonts w:hint="eastAsia" w:ascii="宋体" w:hAnsi="宋体" w:eastAsia="宋体" w:cs="宋体"/>
                <w:b w:val="0"/>
                <w:bCs w:val="0"/>
                <w:smallCaps w:val="0"/>
                <w:color w:val="auto"/>
                <w:spacing w:val="0"/>
                <w:kern w:val="2"/>
                <w:sz w:val="21"/>
                <w:szCs w:val="21"/>
                <w:lang w:val="en-US" w:eastAsia="zh-CN" w:bidi="ar"/>
              </w:rPr>
              <w:t>具有独立承担民事责任能力的法人、其他组织或自然人，提供三证合一或五证合一的企业提供带有统一社会信用代码的营业执照副本/事业单位法人证书副本/非企业专业服务机构执业许可证副本/自然人身份证</w:t>
            </w:r>
            <w:r>
              <w:rPr>
                <w:rFonts w:hint="eastAsia" w:asciiTheme="minorEastAsia" w:hAnsiTheme="minorEastAsia" w:eastAsiaTheme="minorEastAsia" w:cstheme="minorEastAsia"/>
                <w:smallCaps w:val="0"/>
                <w:color w:val="auto"/>
                <w:spacing w:val="0"/>
                <w:sz w:val="21"/>
                <w:szCs w:val="21"/>
                <w:highlight w:val="none"/>
                <w:u w:val="none"/>
                <w:lang w:val="en-US" w:eastAsia="zh-CN"/>
              </w:rPr>
              <w:t>；</w:t>
            </w:r>
            <w:r>
              <w:rPr>
                <w:rFonts w:hint="eastAsia" w:asciiTheme="minorEastAsia" w:hAnsiTheme="minorEastAsia" w:eastAsiaTheme="minorEastAsia" w:cstheme="minorEastAsia"/>
                <w:smallCaps w:val="0"/>
                <w:color w:val="auto"/>
                <w:spacing w:val="0"/>
                <w:sz w:val="21"/>
                <w:szCs w:val="21"/>
                <w:highlight w:val="none"/>
                <w:u w:val="none"/>
                <w:lang w:val="en-US" w:eastAsia="zh-CN"/>
              </w:rPr>
              <w:br w:type="textWrapping"/>
            </w:r>
            <w:r>
              <w:rPr>
                <w:rFonts w:hint="eastAsia" w:asciiTheme="minorEastAsia" w:hAnsiTheme="minorEastAsia" w:eastAsiaTheme="minorEastAsia" w:cstheme="minorEastAsia"/>
                <w:smallCaps w:val="0"/>
                <w:color w:val="auto"/>
                <w:spacing w:val="0"/>
                <w:sz w:val="21"/>
                <w:szCs w:val="21"/>
                <w:highlight w:val="none"/>
                <w:u w:val="none"/>
                <w:lang w:val="en-US" w:eastAsia="zh-CN"/>
              </w:rPr>
              <w:t>2.法定代表人授权委托书及被授权人身份证（法定代表人直接参加时，只须出示法定代表人身份证）；</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smallCaps w:val="0"/>
                <w:color w:val="auto"/>
                <w:spacing w:val="0"/>
                <w:sz w:val="21"/>
                <w:szCs w:val="21"/>
                <w:highlight w:val="none"/>
                <w:u w:val="none"/>
                <w:lang w:val="en-US" w:eastAsia="zh-CN"/>
              </w:rPr>
            </w:pPr>
            <w:r>
              <w:rPr>
                <w:rFonts w:hint="eastAsia" w:asciiTheme="minorEastAsia" w:hAnsiTheme="minorEastAsia" w:eastAsiaTheme="minorEastAsia" w:cstheme="minorEastAsia"/>
                <w:smallCaps w:val="0"/>
                <w:color w:val="auto"/>
                <w:spacing w:val="0"/>
                <w:sz w:val="21"/>
                <w:szCs w:val="21"/>
                <w:highlight w:val="none"/>
                <w:u w:val="none"/>
                <w:lang w:val="en-US" w:eastAsia="zh-CN"/>
              </w:rPr>
              <w:t>3.须提供2021年1月1日以来已缴存的至少一个月的社会保障资金缴存单据或社保机构开具的社会保险参保缴费情况证明。依法不需要缴纳社会保障资金的供应商应提供相关文件证明（复印件加盖供应商公章）；</w:t>
            </w:r>
            <w:r>
              <w:rPr>
                <w:rFonts w:hint="eastAsia" w:asciiTheme="minorEastAsia" w:hAnsiTheme="minorEastAsia" w:eastAsiaTheme="minorEastAsia" w:cstheme="minorEastAsia"/>
                <w:smallCaps w:val="0"/>
                <w:color w:val="auto"/>
                <w:spacing w:val="0"/>
                <w:sz w:val="21"/>
                <w:szCs w:val="21"/>
                <w:highlight w:val="none"/>
                <w:u w:val="none"/>
                <w:lang w:val="en-US" w:eastAsia="zh-CN"/>
              </w:rPr>
              <w:br w:type="textWrapping"/>
            </w:r>
            <w:r>
              <w:rPr>
                <w:rFonts w:hint="eastAsia" w:asciiTheme="minorEastAsia" w:hAnsiTheme="minorEastAsia" w:eastAsiaTheme="minorEastAsia" w:cstheme="minorEastAsia"/>
                <w:smallCaps w:val="0"/>
                <w:color w:val="auto"/>
                <w:spacing w:val="0"/>
                <w:sz w:val="21"/>
                <w:szCs w:val="21"/>
                <w:highlight w:val="none"/>
                <w:u w:val="none"/>
                <w:lang w:val="en-US" w:eastAsia="zh-CN"/>
              </w:rPr>
              <w:t>4.须提供2021年1月1日以来已缴纳的至少三个月的纳税证明或完税证明（提供增值税、企业所得税至少一种）。依法免税的供应商应提供相关文件证明（复印件加盖供应商公章）。</w:t>
            </w:r>
            <w:r>
              <w:rPr>
                <w:rFonts w:hint="eastAsia" w:asciiTheme="minorEastAsia" w:hAnsiTheme="minorEastAsia" w:eastAsiaTheme="minorEastAsia" w:cstheme="minorEastAsia"/>
                <w:smallCaps w:val="0"/>
                <w:color w:val="auto"/>
                <w:spacing w:val="0"/>
                <w:sz w:val="21"/>
                <w:szCs w:val="21"/>
                <w:highlight w:val="none"/>
                <w:u w:val="none"/>
                <w:lang w:val="en-US" w:eastAsia="zh-CN"/>
              </w:rPr>
              <w:br w:type="textWrapping"/>
            </w:r>
            <w:r>
              <w:rPr>
                <w:rFonts w:hint="eastAsia" w:asciiTheme="minorEastAsia" w:hAnsiTheme="minorEastAsia" w:eastAsiaTheme="minorEastAsia" w:cstheme="minorEastAsia"/>
                <w:smallCaps w:val="0"/>
                <w:color w:val="auto"/>
                <w:spacing w:val="0"/>
                <w:sz w:val="21"/>
                <w:szCs w:val="21"/>
                <w:highlight w:val="none"/>
                <w:u w:val="none"/>
                <w:lang w:val="en-US" w:eastAsia="zh-CN"/>
              </w:rPr>
              <w:t>5.提供经会计事务所或具有财务审计资质的单位出具的2019年度或2020年度财务审计报告，或其开标前三个月内银行出具的资信证明；</w:t>
            </w:r>
            <w:r>
              <w:rPr>
                <w:rFonts w:hint="eastAsia" w:asciiTheme="minorEastAsia" w:hAnsiTheme="minorEastAsia" w:eastAsiaTheme="minorEastAsia" w:cstheme="minorEastAsia"/>
                <w:smallCaps w:val="0"/>
                <w:color w:val="auto"/>
                <w:spacing w:val="0"/>
                <w:sz w:val="21"/>
                <w:szCs w:val="21"/>
                <w:highlight w:val="none"/>
                <w:u w:val="none"/>
                <w:lang w:val="en-US" w:eastAsia="zh-CN"/>
              </w:rPr>
              <w:br w:type="textWrapping"/>
            </w:r>
            <w:r>
              <w:rPr>
                <w:rFonts w:hint="eastAsia" w:asciiTheme="minorEastAsia" w:hAnsiTheme="minorEastAsia" w:eastAsiaTheme="minorEastAsia" w:cstheme="minorEastAsia"/>
                <w:smallCaps w:val="0"/>
                <w:color w:val="auto"/>
                <w:spacing w:val="0"/>
                <w:sz w:val="21"/>
                <w:szCs w:val="21"/>
                <w:highlight w:val="none"/>
                <w:u w:val="none"/>
                <w:lang w:val="en-US" w:eastAsia="zh-CN"/>
              </w:rPr>
              <w:t>6.近年（2018年至今）承担过类似项目，提供合同协议书1份；</w:t>
            </w:r>
            <w:r>
              <w:rPr>
                <w:rFonts w:hint="eastAsia" w:asciiTheme="minorEastAsia" w:hAnsiTheme="minorEastAsia" w:eastAsiaTheme="minorEastAsia" w:cstheme="minorEastAsia"/>
                <w:smallCaps w:val="0"/>
                <w:color w:val="auto"/>
                <w:spacing w:val="0"/>
                <w:sz w:val="21"/>
                <w:szCs w:val="21"/>
                <w:highlight w:val="none"/>
                <w:u w:val="none"/>
                <w:lang w:val="en-US" w:eastAsia="zh-CN"/>
              </w:rPr>
              <w:br w:type="textWrapping"/>
            </w:r>
            <w:r>
              <w:rPr>
                <w:rFonts w:hint="eastAsia" w:asciiTheme="minorEastAsia" w:hAnsiTheme="minorEastAsia" w:eastAsiaTheme="minorEastAsia" w:cstheme="minorEastAsia"/>
                <w:smallCaps w:val="0"/>
                <w:color w:val="auto"/>
                <w:spacing w:val="0"/>
                <w:sz w:val="21"/>
                <w:szCs w:val="21"/>
                <w:highlight w:val="none"/>
                <w:u w:val="none"/>
                <w:lang w:val="en-US" w:eastAsia="zh-CN"/>
              </w:rPr>
              <w:t>7.参加政府采购活动前3年内经营活动中没有重大违法记录声明。</w:t>
            </w:r>
            <w:r>
              <w:rPr>
                <w:rFonts w:hint="eastAsia" w:asciiTheme="minorEastAsia" w:hAnsiTheme="minorEastAsia" w:eastAsiaTheme="minorEastAsia" w:cstheme="minorEastAsia"/>
                <w:smallCaps w:val="0"/>
                <w:color w:val="auto"/>
                <w:spacing w:val="0"/>
                <w:sz w:val="21"/>
                <w:szCs w:val="21"/>
                <w:highlight w:val="none"/>
                <w:u w:val="none"/>
                <w:lang w:val="en-US" w:eastAsia="zh-CN"/>
              </w:rPr>
              <w:br w:type="textWrapping"/>
            </w:r>
            <w:r>
              <w:rPr>
                <w:rFonts w:hint="eastAsia" w:asciiTheme="minorEastAsia" w:hAnsiTheme="minorEastAsia" w:eastAsiaTheme="minorEastAsia" w:cstheme="minorEastAsia"/>
                <w:smallCaps w:val="0"/>
                <w:color w:val="auto"/>
                <w:spacing w:val="0"/>
                <w:sz w:val="21"/>
                <w:szCs w:val="21"/>
                <w:highlight w:val="none"/>
                <w:u w:val="none"/>
                <w:lang w:val="en-US" w:eastAsia="zh-CN"/>
              </w:rPr>
              <w:t>8.投标人未被列入失信被执行人、重大税收违法案件当事人名单、政府采购严重违法失信行为记录名单，提供相关网站对企业信用记录查询截图（“中国执行信息公开网”失信被执行人名单（投标单位、法定代表人）；“信用中国”重大税收违法案件当事人名单；中国政府采购网“政府采购严重违法失信行为信息记录”）（提供查询结果网页截图并加盖供应商公章）；</w:t>
            </w:r>
            <w:r>
              <w:rPr>
                <w:rFonts w:hint="eastAsia" w:asciiTheme="minorEastAsia" w:hAnsiTheme="minorEastAsia" w:eastAsiaTheme="minorEastAsia" w:cstheme="minorEastAsia"/>
                <w:smallCaps w:val="0"/>
                <w:color w:val="auto"/>
                <w:spacing w:val="0"/>
                <w:sz w:val="21"/>
                <w:szCs w:val="21"/>
                <w:highlight w:val="none"/>
                <w:u w:val="none"/>
                <w:lang w:val="en-US" w:eastAsia="zh-CN"/>
              </w:rPr>
              <w:br w:type="textWrapping"/>
            </w:r>
            <w:r>
              <w:rPr>
                <w:rFonts w:hint="eastAsia" w:asciiTheme="minorEastAsia" w:hAnsiTheme="minorEastAsia" w:eastAsiaTheme="minorEastAsia" w:cstheme="minorEastAsia"/>
                <w:smallCaps w:val="0"/>
                <w:color w:val="auto"/>
                <w:spacing w:val="0"/>
                <w:sz w:val="21"/>
                <w:szCs w:val="21"/>
                <w:highlight w:val="none"/>
                <w:u w:val="none"/>
                <w:lang w:val="en-US" w:eastAsia="zh-CN"/>
              </w:rPr>
              <w:t>9.单位负责人为同一人或者存在直接控股、管理关系的不同供应商，不得参加同一合同项下的政府采购活动。</w:t>
            </w:r>
          </w:p>
          <w:p>
            <w:pPr>
              <w:pStyle w:val="12"/>
              <w:spacing w:line="300" w:lineRule="exact"/>
              <w:ind w:firstLine="0"/>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b/>
                <w:bCs/>
                <w:smallCaps w:val="0"/>
                <w:color w:val="000000" w:themeColor="text1"/>
                <w:spacing w:val="0"/>
                <w:sz w:val="21"/>
                <w:szCs w:val="21"/>
                <w:highlight w:val="none"/>
                <w14:textFill>
                  <w14:solidFill>
                    <w14:schemeClr w14:val="tx1"/>
                  </w14:solidFill>
                </w14:textFill>
              </w:rPr>
              <w:t>注</w:t>
            </w:r>
            <w:r>
              <w:rPr>
                <w:rFonts w:hint="eastAsia" w:asciiTheme="minorEastAsia" w:hAnsiTheme="minorEastAsia" w:eastAsiaTheme="minorEastAsia" w:cstheme="minorEastAsia"/>
                <w:b/>
                <w:bCs/>
                <w:smallCaps w:val="0"/>
                <w:color w:val="000000" w:themeColor="text1"/>
                <w:spacing w:val="0"/>
                <w:sz w:val="21"/>
                <w:szCs w:val="21"/>
                <w:highlight w:val="none"/>
                <w:lang w:eastAsia="zh-CN"/>
                <w14:textFill>
                  <w14:solidFill>
                    <w14:schemeClr w14:val="tx1"/>
                  </w14:solidFill>
                </w14:textFill>
              </w:rPr>
              <w:t>：</w:t>
            </w:r>
            <w:r>
              <w:rPr>
                <w:rFonts w:hint="eastAsia" w:asciiTheme="minorEastAsia" w:hAnsiTheme="minorEastAsia" w:eastAsiaTheme="minorEastAsia" w:cstheme="minorEastAsia"/>
                <w:b/>
                <w:bCs/>
                <w:smallCaps w:val="0"/>
                <w:color w:val="000000" w:themeColor="text1"/>
                <w:spacing w:val="0"/>
                <w:sz w:val="21"/>
                <w:szCs w:val="21"/>
                <w:highlight w:val="none"/>
                <w14:textFill>
                  <w14:solidFill>
                    <w14:schemeClr w14:val="tx1"/>
                  </w14:solidFill>
                </w14:textFill>
              </w:rPr>
              <w:t>①单位负责人为同一人或者存在控股、管理关系的不同单位，不得参加同一项目的</w:t>
            </w:r>
            <w:r>
              <w:rPr>
                <w:rFonts w:hint="eastAsia" w:asciiTheme="minorEastAsia" w:hAnsiTheme="minorEastAsia" w:eastAsiaTheme="minorEastAsia" w:cstheme="minorEastAsia"/>
                <w:b/>
                <w:bCs/>
                <w:smallCaps w:val="0"/>
                <w:color w:val="000000" w:themeColor="text1"/>
                <w:spacing w:val="0"/>
                <w:sz w:val="21"/>
                <w:szCs w:val="21"/>
                <w:highlight w:val="none"/>
                <w:lang w:val="en-US" w:eastAsia="zh-CN"/>
                <w14:textFill>
                  <w14:solidFill>
                    <w14:schemeClr w14:val="tx1"/>
                  </w14:solidFill>
                </w14:textFill>
              </w:rPr>
              <w:t>投标</w:t>
            </w:r>
            <w:r>
              <w:rPr>
                <w:rFonts w:hint="eastAsia" w:asciiTheme="minorEastAsia" w:hAnsiTheme="minorEastAsia" w:eastAsiaTheme="minorEastAsia" w:cstheme="minorEastAsia"/>
                <w:b/>
                <w:bCs/>
                <w:smallCaps w:val="0"/>
                <w:color w:val="000000" w:themeColor="text1"/>
                <w:spacing w:val="0"/>
                <w:sz w:val="21"/>
                <w:szCs w:val="21"/>
                <w:highlight w:val="none"/>
                <w:lang w:eastAsia="zh-CN"/>
                <w14:textFill>
                  <w14:solidFill>
                    <w14:schemeClr w14:val="tx1"/>
                  </w14:solidFill>
                </w14:textFill>
              </w:rPr>
              <w:t>；</w:t>
            </w:r>
            <w:r>
              <w:rPr>
                <w:rFonts w:hint="eastAsia" w:asciiTheme="minorEastAsia" w:hAnsiTheme="minorEastAsia" w:eastAsiaTheme="minorEastAsia" w:cstheme="minorEastAsia"/>
                <w:b/>
                <w:bCs/>
                <w:smallCaps w:val="0"/>
                <w:color w:val="000000" w:themeColor="text1"/>
                <w:spacing w:val="0"/>
                <w:sz w:val="21"/>
                <w:szCs w:val="21"/>
                <w:highlight w:val="none"/>
                <w:lang w:val="en-US" w:eastAsia="zh-CN"/>
                <w14:textFill>
                  <w14:solidFill>
                    <w14:schemeClr w14:val="tx1"/>
                  </w14:solidFill>
                </w14:textFill>
              </w:rPr>
              <w:t>②</w:t>
            </w:r>
            <w:r>
              <w:rPr>
                <w:rFonts w:hint="eastAsia" w:asciiTheme="minorEastAsia" w:hAnsiTheme="minorEastAsia" w:eastAsiaTheme="minorEastAsia" w:cstheme="minorEastAsia"/>
                <w:b/>
                <w:bCs/>
                <w:smallCaps w:val="0"/>
                <w:color w:val="000000" w:themeColor="text1"/>
                <w:spacing w:val="0"/>
                <w:sz w:val="21"/>
                <w:szCs w:val="21"/>
                <w:highlight w:val="none"/>
                <w:lang w:eastAsia="zh-CN"/>
                <w14:textFill>
                  <w14:solidFill>
                    <w14:schemeClr w14:val="tx1"/>
                  </w14:solidFill>
                </w14:textFill>
              </w:rPr>
              <w:t>受疫情影响，每个公司派一人参与</w:t>
            </w:r>
            <w:r>
              <w:rPr>
                <w:rFonts w:hint="eastAsia" w:asciiTheme="minorEastAsia" w:hAnsiTheme="minorEastAsia" w:eastAsiaTheme="minorEastAsia" w:cstheme="minorEastAsia"/>
                <w:b/>
                <w:bCs/>
                <w:smallCaps w:val="0"/>
                <w:color w:val="000000" w:themeColor="text1"/>
                <w:spacing w:val="0"/>
                <w:sz w:val="21"/>
                <w:szCs w:val="21"/>
                <w:highlight w:val="none"/>
                <w:lang w:val="en-US" w:eastAsia="zh-CN"/>
                <w14:textFill>
                  <w14:solidFill>
                    <w14:schemeClr w14:val="tx1"/>
                  </w14:solidFill>
                </w14:textFill>
              </w:rPr>
              <w:t>开标</w:t>
            </w:r>
            <w:r>
              <w:rPr>
                <w:rFonts w:hint="eastAsia" w:asciiTheme="minorEastAsia" w:hAnsiTheme="minorEastAsia" w:eastAsiaTheme="minorEastAsia" w:cstheme="minorEastAsia"/>
                <w:b/>
                <w:bCs/>
                <w:smallCaps w:val="0"/>
                <w:color w:val="000000" w:themeColor="text1"/>
                <w:spacing w:val="0"/>
                <w:sz w:val="21"/>
                <w:szCs w:val="21"/>
                <w:highlight w:val="none"/>
                <w:lang w:eastAsia="zh-CN"/>
                <w14:textFill>
                  <w14:solidFill>
                    <w14:schemeClr w14:val="tx1"/>
                  </w14:solidFill>
                </w14:textFill>
              </w:rPr>
              <w:t>，到场人员需自备口罩等防护工具，做好个人防护。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637" w:type="dxa"/>
            <w:vAlign w:val="center"/>
          </w:tcPr>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12</w:t>
            </w:r>
          </w:p>
        </w:tc>
        <w:tc>
          <w:tcPr>
            <w:tcW w:w="7885" w:type="dxa"/>
            <w:vAlign w:val="center"/>
          </w:tcPr>
          <w:p>
            <w:pP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对招标文件的异议：供应商对招标文件有异议的，应当在投标截止时间10日前以书面形式提出，逾期将失去提出异议的权利。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637" w:type="dxa"/>
            <w:vAlign w:val="center"/>
          </w:tcPr>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13</w:t>
            </w:r>
          </w:p>
        </w:tc>
        <w:tc>
          <w:tcPr>
            <w:tcW w:w="7885" w:type="dxa"/>
            <w:vAlign w:val="center"/>
          </w:tcPr>
          <w:p>
            <w:pP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评标方法：综合评分法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0" w:hRule="atLeast"/>
          <w:jc w:val="center"/>
        </w:trPr>
        <w:tc>
          <w:tcPr>
            <w:tcW w:w="637" w:type="dxa"/>
            <w:vAlign w:val="center"/>
          </w:tcPr>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14</w:t>
            </w:r>
          </w:p>
        </w:tc>
        <w:tc>
          <w:tcPr>
            <w:tcW w:w="7885" w:type="dxa"/>
            <w:vAlign w:val="center"/>
          </w:tcPr>
          <w:p>
            <w:pP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 xml:space="preserve">采购政策：依据《中华人民共和国政府采购法》和《中华人民共和国政府采购法实施条例》的有关规定，落实政府采购政策。 </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smallCaps w:val="0"/>
                <w:color w:val="000000" w:themeColor="text1"/>
                <w:spacing w:val="0"/>
                <w:sz w:val="21"/>
                <w:szCs w:val="21"/>
                <w:highlight w:val="none"/>
                <w:u w:val="none"/>
                <w:lang w:val="en-US" w:eastAsia="zh-CN"/>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u w:val="none"/>
                <w:lang w:val="en-US" w:eastAsia="zh-CN"/>
                <w14:textFill>
                  <w14:solidFill>
                    <w14:schemeClr w14:val="tx1"/>
                  </w14:solidFill>
                </w14:textFill>
              </w:rPr>
              <w:t>1、政府采购促进中小企业发展管理办法--财库[2020]46号；</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smallCaps w:val="0"/>
                <w:color w:val="000000" w:themeColor="text1"/>
                <w:spacing w:val="0"/>
                <w:sz w:val="21"/>
                <w:szCs w:val="21"/>
                <w:highlight w:val="none"/>
                <w:u w:val="none"/>
                <w:lang w:val="en-US" w:eastAsia="zh-CN"/>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u w:val="none"/>
                <w:lang w:val="en-US" w:eastAsia="zh-CN"/>
                <w14:textFill>
                  <w14:solidFill>
                    <w14:schemeClr w14:val="tx1"/>
                  </w14:solidFill>
                </w14:textFill>
              </w:rPr>
              <w:t>2、财政部司法部关于政府采购支持监狱企业发展有关问题的通知--财库[2014]68号；</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smallCaps w:val="0"/>
                <w:color w:val="000000" w:themeColor="text1"/>
                <w:spacing w:val="0"/>
                <w:sz w:val="21"/>
                <w:szCs w:val="21"/>
                <w:highlight w:val="none"/>
                <w:u w:val="none"/>
                <w:lang w:val="en-US" w:eastAsia="zh-CN"/>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u w:val="none"/>
                <w:lang w:val="en-US" w:eastAsia="zh-CN"/>
                <w14:textFill>
                  <w14:solidFill>
                    <w14:schemeClr w14:val="tx1"/>
                  </w14:solidFill>
                </w14:textFill>
              </w:rPr>
              <w:t>3、国务院办公厅关于建立政府强制采购节能产品制度的通知--国办发[2007]51号；</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smallCaps w:val="0"/>
                <w:color w:val="000000" w:themeColor="text1"/>
                <w:spacing w:val="0"/>
                <w:sz w:val="21"/>
                <w:szCs w:val="21"/>
                <w:highlight w:val="none"/>
                <w:u w:val="none"/>
                <w:lang w:val="en-US" w:eastAsia="zh-CN"/>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u w:val="none"/>
                <w:lang w:val="en-US" w:eastAsia="zh-CN"/>
                <w14:textFill>
                  <w14:solidFill>
                    <w14:schemeClr w14:val="tx1"/>
                  </w14:solidFill>
                </w14:textFill>
              </w:rPr>
              <w:t>4、节能产品政府采购实施意见--财库[2004]185号；</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smallCaps w:val="0"/>
                <w:color w:val="000000" w:themeColor="text1"/>
                <w:spacing w:val="0"/>
                <w:sz w:val="21"/>
                <w:szCs w:val="21"/>
                <w:highlight w:val="none"/>
                <w:u w:val="none"/>
                <w:lang w:val="en-US" w:eastAsia="zh-CN"/>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u w:val="none"/>
                <w:lang w:val="en-US" w:eastAsia="zh-CN"/>
                <w14:textFill>
                  <w14:solidFill>
                    <w14:schemeClr w14:val="tx1"/>
                  </w14:solidFill>
                </w14:textFill>
              </w:rPr>
              <w:t>5、环境标志产品政府采购实施的意见--财库[2006]90号；</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smallCaps w:val="0"/>
                <w:color w:val="000000" w:themeColor="text1"/>
                <w:spacing w:val="0"/>
                <w:sz w:val="21"/>
                <w:szCs w:val="21"/>
                <w:highlight w:val="none"/>
                <w:u w:val="none"/>
                <w:lang w:val="en-US" w:eastAsia="zh-CN"/>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u w:val="none"/>
                <w:lang w:val="en-US" w:eastAsia="zh-CN"/>
                <w14:textFill>
                  <w14:solidFill>
                    <w14:schemeClr w14:val="tx1"/>
                  </w14:solidFill>
                </w14:textFill>
              </w:rPr>
              <w:t>6、关于促进残疾人就业政府采购政策的通知--财库[2017]141号。</w:t>
            </w:r>
          </w:p>
          <w:p>
            <w:pPr>
              <w:pStyle w:val="20"/>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60" w:lineRule="auto"/>
              <w:ind w:right="0"/>
              <w:jc w:val="left"/>
              <w:textAlignment w:val="auto"/>
              <w:outlineLvl w:val="9"/>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宋体" w:hAnsi="宋体" w:cs="宋体"/>
                <w:b w:val="0"/>
                <w:bCs w:val="0"/>
                <w:smallCaps w:val="0"/>
                <w:color w:val="000000"/>
                <w:spacing w:val="0"/>
                <w:kern w:val="2"/>
                <w:sz w:val="21"/>
                <w:szCs w:val="21"/>
                <w:lang w:val="en-US" w:eastAsia="zh-CN" w:bidi="ar"/>
              </w:rPr>
              <w:t>7、</w:t>
            </w:r>
            <w:r>
              <w:rPr>
                <w:rFonts w:hint="eastAsia" w:ascii="宋体" w:hAnsi="宋体" w:eastAsia="宋体" w:cs="宋体"/>
                <w:b w:val="0"/>
                <w:bCs w:val="0"/>
                <w:smallCaps w:val="0"/>
                <w:color w:val="000000"/>
                <w:spacing w:val="0"/>
                <w:kern w:val="2"/>
                <w:sz w:val="21"/>
                <w:szCs w:val="21"/>
                <w:lang w:val="en-US" w:eastAsia="zh-CN" w:bidi="ar"/>
              </w:rPr>
              <w:t>其他需要落实的政府采购政策。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637" w:type="dxa"/>
            <w:vAlign w:val="center"/>
          </w:tcPr>
          <w:p>
            <w:pPr>
              <w:jc w:val="cente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15</w:t>
            </w:r>
          </w:p>
        </w:tc>
        <w:tc>
          <w:tcPr>
            <w:tcW w:w="7885" w:type="dxa"/>
            <w:vAlign w:val="center"/>
          </w:tcPr>
          <w:p>
            <w:pP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供应商需在“中国政府采购网（www.ccgp.gov.cn)和“信用中国网站（www.creditchina.gov.cn)”等政府部门网站上无不良记录。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5" w:hRule="atLeast"/>
          <w:jc w:val="center"/>
        </w:trPr>
        <w:tc>
          <w:tcPr>
            <w:tcW w:w="637" w:type="dxa"/>
            <w:vAlign w:val="center"/>
          </w:tcPr>
          <w:p>
            <w:pPr>
              <w:jc w:val="cente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16</w:t>
            </w:r>
          </w:p>
        </w:tc>
        <w:tc>
          <w:tcPr>
            <w:tcW w:w="7885" w:type="dxa"/>
            <w:vAlign w:val="center"/>
          </w:tcPr>
          <w:p>
            <w:pPr>
              <w:rPr>
                <w:rFonts w:hint="eastAsia" w:asciiTheme="minorEastAsia" w:hAnsiTheme="minorEastAsia" w:eastAsiaTheme="minorEastAsia" w:cstheme="minorEastAsia"/>
                <w:smallCaps w:val="0"/>
                <w:color w:val="000000" w:themeColor="text1"/>
                <w:spacing w:val="0"/>
                <w:highlight w:val="none"/>
                <w:lang w:eastAsia="zh-CN"/>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采购代理服务费：本项目采购代理服务费</w:t>
            </w:r>
            <w:r>
              <w:rPr>
                <w:rFonts w:hint="eastAsia" w:asciiTheme="minorEastAsia" w:hAnsiTheme="minorEastAsia" w:eastAsiaTheme="minorEastAsia" w:cstheme="minorEastAsia"/>
                <w:smallCaps w:val="0"/>
                <w:color w:val="000000" w:themeColor="text1"/>
                <w:spacing w:val="0"/>
                <w:highlight w:val="none"/>
                <w:lang w:eastAsia="zh-CN"/>
                <w14:textFill>
                  <w14:solidFill>
                    <w14:schemeClr w14:val="tx1"/>
                  </w14:solidFill>
                </w14:textFill>
              </w:rPr>
              <w:t>参考</w:t>
            </w:r>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《招标代理服务收费管理暂行办法》（计价格〔2002〕1980号）、发改价格〔2011〕534号标准计算，由</w:t>
            </w:r>
            <w:r>
              <w:rPr>
                <w:rFonts w:hint="eastAsia" w:asciiTheme="minorEastAsia" w:hAnsiTheme="minorEastAsia" w:eastAsiaTheme="minorEastAsia" w:cstheme="minorEastAsia"/>
                <w:smallCaps w:val="0"/>
                <w:color w:val="000000" w:themeColor="text1"/>
                <w:spacing w:val="0"/>
                <w:highlight w:val="none"/>
                <w:lang w:val="en-US" w:eastAsia="zh-CN"/>
                <w14:textFill>
                  <w14:solidFill>
                    <w14:schemeClr w14:val="tx1"/>
                  </w14:solidFill>
                </w14:textFill>
              </w:rPr>
              <w:t>中标供应商</w:t>
            </w:r>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在</w:t>
            </w:r>
            <w:r>
              <w:rPr>
                <w:rFonts w:hint="eastAsia" w:asciiTheme="minorEastAsia" w:hAnsiTheme="minorEastAsia" w:eastAsiaTheme="minorEastAsia" w:cstheme="minorEastAsia"/>
                <w:smallCaps w:val="0"/>
                <w:color w:val="000000" w:themeColor="text1"/>
                <w:spacing w:val="0"/>
                <w:highlight w:val="none"/>
                <w:lang w:val="en-US" w:eastAsia="zh-CN"/>
                <w14:textFill>
                  <w14:solidFill>
                    <w14:schemeClr w14:val="tx1"/>
                  </w14:solidFill>
                </w14:textFill>
              </w:rPr>
              <w:t>领取中标</w:t>
            </w:r>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通知书</w:t>
            </w:r>
            <w:r>
              <w:rPr>
                <w:rFonts w:hint="eastAsia" w:asciiTheme="minorEastAsia" w:hAnsiTheme="minorEastAsia" w:eastAsiaTheme="minorEastAsia" w:cstheme="minorEastAsia"/>
                <w:smallCaps w:val="0"/>
                <w:color w:val="000000" w:themeColor="text1"/>
                <w:spacing w:val="0"/>
                <w:highlight w:val="none"/>
                <w:lang w:val="en-US" w:eastAsia="zh-CN"/>
                <w14:textFill>
                  <w14:solidFill>
                    <w14:schemeClr w14:val="tx1"/>
                  </w14:solidFill>
                </w14:textFill>
              </w:rPr>
              <w:t>时向采购代理机构</w:t>
            </w:r>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一次性</w:t>
            </w:r>
            <w:r>
              <w:rPr>
                <w:rFonts w:hint="eastAsia" w:asciiTheme="minorEastAsia" w:hAnsiTheme="minorEastAsia" w:eastAsiaTheme="minorEastAsia" w:cstheme="minorEastAsia"/>
                <w:smallCaps w:val="0"/>
                <w:color w:val="000000" w:themeColor="text1"/>
                <w:spacing w:val="0"/>
                <w:highlight w:val="none"/>
                <w:lang w:val="en-US" w:eastAsia="zh-CN"/>
                <w14:textFill>
                  <w14:solidFill>
                    <w14:schemeClr w14:val="tx1"/>
                  </w14:solidFill>
                </w14:textFill>
              </w:rPr>
              <w:t>付清</w:t>
            </w:r>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637" w:type="dxa"/>
            <w:vAlign w:val="center"/>
          </w:tcPr>
          <w:p>
            <w:pPr>
              <w:jc w:val="cente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17</w:t>
            </w:r>
          </w:p>
        </w:tc>
        <w:tc>
          <w:tcPr>
            <w:tcW w:w="7885" w:type="dxa"/>
            <w:vAlign w:val="center"/>
          </w:tcPr>
          <w:p>
            <w:pP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未尽事宜，参照政府采购法律法规、规章及规范性文件的相关规定。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637" w:type="dxa"/>
            <w:vAlign w:val="center"/>
          </w:tcPr>
          <w:p>
            <w:pPr>
              <w:jc w:val="cente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18</w:t>
            </w:r>
          </w:p>
        </w:tc>
        <w:tc>
          <w:tcPr>
            <w:tcW w:w="7885" w:type="dxa"/>
            <w:vAlign w:val="center"/>
          </w:tcPr>
          <w:p>
            <w:pP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招标文件解释权：本招标文件由采购人和采购代理机构解释。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1" w:hRule="atLeast"/>
          <w:jc w:val="center"/>
        </w:trPr>
        <w:tc>
          <w:tcPr>
            <w:tcW w:w="637" w:type="dxa"/>
            <w:vAlign w:val="center"/>
          </w:tcPr>
          <w:p>
            <w:pPr>
              <w:jc w:val="center"/>
              <w:rPr>
                <w:rFonts w:hint="eastAsia" w:asciiTheme="minorEastAsia" w:hAnsiTheme="minorEastAsia" w:eastAsiaTheme="minorEastAsia" w:cstheme="minorEastAsia"/>
                <w:smallCaps w:val="0"/>
                <w:color w:val="000000" w:themeColor="text1"/>
                <w:spacing w:val="0"/>
                <w:highlight w:val="none"/>
                <w:lang w:val="en-US" w:eastAsia="zh-CN"/>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highlight w:val="none"/>
                <w:lang w:val="en-US" w:eastAsia="zh-CN"/>
                <w14:textFill>
                  <w14:solidFill>
                    <w14:schemeClr w14:val="tx1"/>
                  </w14:solidFill>
                </w14:textFill>
              </w:rPr>
              <w:t>19</w:t>
            </w:r>
          </w:p>
        </w:tc>
        <w:tc>
          <w:tcPr>
            <w:tcW w:w="7885" w:type="dxa"/>
            <w:vAlign w:val="center"/>
          </w:tcPr>
          <w:p>
            <w:pPr>
              <w:rPr>
                <w:rFonts w:hint="eastAsia" w:asciiTheme="minorEastAsia" w:hAnsiTheme="minorEastAsia" w:eastAsiaTheme="minorEastAsia" w:cstheme="minorEastAsia"/>
                <w:b/>
                <w:bCs/>
                <w:smallCaps w:val="0"/>
                <w:color w:val="000000" w:themeColor="text1"/>
                <w:spacing w:val="0"/>
                <w:highlight w:val="none"/>
                <w:lang w:val="en-US" w:eastAsia="zh-CN"/>
                <w14:textFill>
                  <w14:solidFill>
                    <w14:schemeClr w14:val="tx1"/>
                  </w14:solidFill>
                </w14:textFill>
              </w:rPr>
            </w:pPr>
            <w:r>
              <w:rPr>
                <w:rFonts w:hint="eastAsia" w:asciiTheme="minorEastAsia" w:hAnsiTheme="minorEastAsia" w:eastAsiaTheme="minorEastAsia" w:cstheme="minorEastAsia"/>
                <w:b/>
                <w:bCs/>
                <w:smallCaps w:val="0"/>
                <w:color w:val="000000" w:themeColor="text1"/>
                <w:spacing w:val="0"/>
                <w:highlight w:val="none"/>
                <w:lang w:val="en-US" w:eastAsia="zh-CN"/>
                <w14:textFill>
                  <w14:solidFill>
                    <w14:schemeClr w14:val="tx1"/>
                  </w14:solidFill>
                </w14:textFill>
              </w:rPr>
              <w:t>开标时携带以下原件资料：</w:t>
            </w:r>
          </w:p>
          <w:p>
            <w:pPr>
              <w:pStyle w:val="20"/>
              <w:keepNext w:val="0"/>
              <w:keepLines w:val="0"/>
              <w:pageBreakBefore w:val="0"/>
              <w:widowControl/>
              <w:suppressLineNumbers w:val="0"/>
              <w:kinsoku/>
              <w:wordWrap/>
              <w:overflowPunct/>
              <w:topLinePunct w:val="0"/>
              <w:autoSpaceDE/>
              <w:autoSpaceDN/>
              <w:bidi w:val="0"/>
              <w:adjustRightInd/>
              <w:snapToGrid/>
              <w:spacing w:line="400" w:lineRule="exact"/>
              <w:ind w:left="0" w:firstLine="420"/>
              <w:textAlignment w:val="auto"/>
              <w:rPr>
                <w:rFonts w:hint="eastAsia" w:asciiTheme="minorEastAsia" w:hAnsiTheme="minorEastAsia" w:eastAsiaTheme="minorEastAsia" w:cstheme="minorEastAsia"/>
                <w:smallCaps w:val="0"/>
                <w:color w:val="000000" w:themeColor="text1"/>
                <w:spacing w:val="0"/>
                <w:highlight w:val="none"/>
                <w:lang w:val="en-US" w:eastAsia="zh-CN"/>
                <w14:textFill>
                  <w14:solidFill>
                    <w14:schemeClr w14:val="tx1"/>
                  </w14:solidFill>
                </w14:textFill>
              </w:rPr>
            </w:pPr>
            <w:r>
              <w:rPr>
                <w:rFonts w:hint="eastAsia" w:ascii="微软雅黑" w:hAnsi="微软雅黑" w:eastAsia="微软雅黑" w:cs="微软雅黑"/>
                <w:color w:val="333333"/>
                <w:sz w:val="21"/>
                <w:szCs w:val="21"/>
              </w:rPr>
              <w:t>1.具有独立承担民事责任能力的法人、其他组织或自然人，提供三证合一或五证合一的企业提供带有统一社会信用代码的营业执照副本/事业单位法人证书副本/非企业专业服务机构执业许可证副本/自然人身份证； 2.法定代表人授权委托书及被授权人身份证（法定代表人直接参加时，只须出示法定代表人身份证）； 3.须提供2021年1月1日以来已缴存的至少一个月的社会保障资金缴存单据或社保机构开具的社会保险参保缴费情况证明。依法不需要缴纳社会保障资金的供应商应提供相关文件证明（复印件加盖供应商公章）； 4.须提供2021年1月1日以来已缴纳的至少三个月的纳税证明或完税证明（提供增值税、企业所得税至少一种）。依法免税的供应商应提供相关文件证明（复印件加盖供应商公章）。 5.提供经会计事务所或具有财务审计资质的单位出具的2019年度或2020年度财务审计报告，或其开标前三个月内银行出具的资信证明； 6.近年（2018年至今）承担过类似项目，提供合同协议书1份； 7.参加政府采购活动前3年内经营活动中没有重大违法记录声明； 8.投标人未被列入失信被执行人、重大税收违法案件当事人名单、政府采购严重违法失信行为记录名单，提供相关网站对企业信用记录查询截图（“中国执行信息公开网”失信被执行人名单（投标单位、法定代表人）；“信用中国”重大税收违法案件当事人名单；中国政府采购网“政府采购严重违法失信行为信息记录”）（提供查询结</w:t>
            </w:r>
            <w:bookmarkStart w:id="269" w:name="_GoBack"/>
            <w:bookmarkEnd w:id="269"/>
            <w:r>
              <w:rPr>
                <w:rFonts w:hint="eastAsia" w:ascii="微软雅黑" w:hAnsi="微软雅黑" w:eastAsia="微软雅黑" w:cs="微软雅黑"/>
                <w:color w:val="333333"/>
                <w:sz w:val="21"/>
                <w:szCs w:val="21"/>
              </w:rPr>
              <w:t>果网页截图并加盖供应商公章）； 9.单位负责人为同一人或者存在直接控股、管理关系的不同供应商，不得参加同一合同项下的政府采购活动。</w:t>
            </w:r>
          </w:p>
        </w:tc>
      </w:tr>
    </w:tbl>
    <w:p>
      <w:pPr>
        <w:spacing w:line="480" w:lineRule="exact"/>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15" w:name="_Toc347478673"/>
      <w:bookmarkStart w:id="16" w:name="_Toc1672"/>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br w:type="page"/>
      </w:r>
    </w:p>
    <w:p>
      <w:pPr>
        <w:keepNext/>
        <w:keepLines/>
        <w:spacing w:after="100" w:afterAutospacing="1" w:line="480" w:lineRule="exact"/>
        <w:jc w:val="center"/>
        <w:rPr>
          <w:rFonts w:hint="eastAsia" w:asciiTheme="minorEastAsia" w:hAnsiTheme="minorEastAsia" w:eastAsiaTheme="minorEastAsia" w:cstheme="minorEastAsia"/>
          <w:smallCaps w:val="0"/>
          <w:color w:val="000000" w:themeColor="text1"/>
          <w:spacing w:val="0"/>
          <w:sz w:val="30"/>
          <w:szCs w:val="30"/>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30"/>
          <w:szCs w:val="30"/>
          <w:highlight w:val="none"/>
          <w14:textFill>
            <w14:solidFill>
              <w14:schemeClr w14:val="tx1"/>
            </w14:solidFill>
          </w14:textFill>
        </w:rPr>
        <w:t>第二部分 供应商须知</w:t>
      </w:r>
      <w:bookmarkEnd w:id="15"/>
      <w:bookmarkEnd w:id="16"/>
      <w:r>
        <w:rPr>
          <w:rFonts w:hint="eastAsia" w:asciiTheme="minorEastAsia" w:hAnsiTheme="minorEastAsia" w:eastAsiaTheme="minorEastAsia" w:cstheme="minorEastAsia"/>
          <w:smallCaps w:val="0"/>
          <w:color w:val="000000" w:themeColor="text1"/>
          <w:spacing w:val="0"/>
          <w:sz w:val="30"/>
          <w:szCs w:val="30"/>
          <w:highlight w:val="none"/>
          <w14:textFill>
            <w14:solidFill>
              <w14:schemeClr w14:val="tx1"/>
            </w14:solidFill>
          </w14:textFill>
        </w:rPr>
        <w:t>正文</w:t>
      </w:r>
    </w:p>
    <w:p>
      <w:pPr>
        <w:pStyle w:val="2"/>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17" w:name="_Toc3117"/>
      <w:bookmarkStart w:id="18" w:name="_Toc347478674"/>
      <w:bookmarkStart w:id="19" w:name="_Toc18133"/>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第一章 总则</w:t>
      </w:r>
      <w:bookmarkEnd w:id="17"/>
      <w:bookmarkEnd w:id="18"/>
      <w:bookmarkEnd w:id="19"/>
    </w:p>
    <w:p>
      <w:pPr>
        <w:pStyle w:val="4"/>
        <w:spacing w:line="480" w:lineRule="exact"/>
        <w:ind w:left="42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bookmarkStart w:id="20" w:name="_Toc6642"/>
      <w:bookmarkStart w:id="21" w:name="_Toc347478675"/>
      <w:bookmarkStart w:id="22" w:name="_Toc24606"/>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1.适用范围</w:t>
      </w:r>
      <w:bookmarkEnd w:id="20"/>
      <w:bookmarkEnd w:id="21"/>
      <w:bookmarkEnd w:id="22"/>
    </w:p>
    <w:p>
      <w:pPr>
        <w:keepNext/>
        <w:keepLines/>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bookmarkStart w:id="23" w:name="_Toc347478676"/>
      <w:bookmarkStart w:id="24" w:name="_Toc5118"/>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本招标文件仅适用于本次招标公告中所项目的货物及服务采购。</w:t>
      </w:r>
    </w:p>
    <w:p>
      <w:pPr>
        <w:pStyle w:val="4"/>
        <w:spacing w:line="480" w:lineRule="exact"/>
        <w:ind w:left="42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bookmarkStart w:id="25" w:name="_Toc31563"/>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2.定义</w:t>
      </w:r>
      <w:bookmarkEnd w:id="23"/>
      <w:bookmarkEnd w:id="24"/>
      <w:bookmarkEnd w:id="25"/>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2.1采购人：</w:t>
      </w:r>
      <w:r>
        <w:rPr>
          <w:rFonts w:hint="eastAsia" w:asciiTheme="minorEastAsia" w:hAnsiTheme="minorEastAsia" w:eastAsiaTheme="minorEastAsia" w:cstheme="minorEastAsia"/>
          <w:bCs/>
          <w:i w:val="0"/>
          <w:iCs w:val="0"/>
          <w:smallCaps w:val="0"/>
          <w:color w:val="000000" w:themeColor="text1"/>
          <w:spacing w:val="0"/>
          <w:sz w:val="24"/>
          <w:szCs w:val="24"/>
          <w:highlight w:val="none"/>
          <w:u w:val="none"/>
          <w:lang w:val="en-US" w:eastAsia="zh-CN"/>
          <w14:textFill>
            <w14:solidFill>
              <w14:schemeClr w14:val="tx1"/>
            </w14:solidFill>
          </w14:textFill>
        </w:rPr>
        <w:t>延川县教育科技体育局</w:t>
      </w: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w:t>
      </w:r>
    </w:p>
    <w:p>
      <w:pPr>
        <w:pStyle w:val="20"/>
        <w:keepNext w:val="0"/>
        <w:keepLines w:val="0"/>
        <w:pageBreakBefore w:val="0"/>
        <w:widowControl w:val="0"/>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val="0"/>
        <w:autoSpaceDN/>
        <w:bidi w:val="0"/>
        <w:adjustRightInd/>
        <w:snapToGrid/>
        <w:spacing w:before="0" w:beforeAutospacing="0" w:after="0" w:afterAutospacing="0" w:line="360" w:lineRule="auto"/>
        <w:ind w:right="0" w:firstLine="480" w:firstLineChars="200"/>
        <w:jc w:val="left"/>
        <w:textAlignment w:val="auto"/>
        <w:outlineLvl w:val="9"/>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2.2采购代理机构：</w:t>
      </w:r>
      <w:r>
        <w:rPr>
          <w:rFonts w:hint="eastAsia" w:ascii="宋体" w:hAnsi="宋体" w:eastAsia="宋体" w:cs="宋体"/>
          <w:b w:val="0"/>
          <w:bCs w:val="0"/>
          <w:smallCaps w:val="0"/>
          <w:color w:val="000000"/>
          <w:spacing w:val="0"/>
          <w:kern w:val="2"/>
          <w:sz w:val="24"/>
          <w:szCs w:val="24"/>
          <w:lang w:val="en-US" w:eastAsia="zh-CN" w:bidi="ar"/>
        </w:rPr>
        <w:t>九鼎工程管理咨询有限公司</w:t>
      </w: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2.3供应商：响应采购人要求，向采购人提交投标文件的投标人；</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2.4“货物”系指卖方按合同要求，须向买方提供的一切货物、仪器、 备品、手册及其他技术资料及材料。</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2.5“服务”系指合同规定卖方须承担的运输、装卸、仓储、人员培训和交付使用后保修期内应履行的义务及售后服务等其他类似的伴随服务。</w:t>
      </w:r>
    </w:p>
    <w:p>
      <w:pPr>
        <w:pStyle w:val="4"/>
        <w:spacing w:line="480" w:lineRule="exact"/>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26" w:name="_Toc32103"/>
      <w:bookmarkStart w:id="27" w:name="_Toc25783"/>
      <w:bookmarkStart w:id="28" w:name="_Toc347478677"/>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3.合格的供应商</w:t>
      </w:r>
      <w:bookmarkEnd w:id="26"/>
      <w:bookmarkEnd w:id="27"/>
      <w:bookmarkEnd w:id="28"/>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3.1 凡在中华人民共和国注册的、具备招标公告资格要求且有能力提供所采购服务的投标供应商；</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3.2 供应商必须在招标公告载明的地点购买招标文件并登记，未经购买招标文件并登记的潜在供应商均无资格参加本次投标；</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3.3 供应商应满足《中华人民共和国政府采购法》及其它有关的中国法律和法规。</w:t>
      </w:r>
      <w:bookmarkStart w:id="29" w:name="_Toc347478678"/>
      <w:bookmarkStart w:id="30" w:name="_Toc25969"/>
    </w:p>
    <w:p>
      <w:pPr>
        <w:pStyle w:val="4"/>
        <w:spacing w:line="480" w:lineRule="exact"/>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31" w:name="_Toc14283"/>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4.费用</w:t>
      </w:r>
      <w:bookmarkEnd w:id="29"/>
      <w:bookmarkEnd w:id="30"/>
      <w:bookmarkEnd w:id="31"/>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供应商应承担所有与编写和提交投标文件有关的费用，无论投标过程中的做法和结果如何，采购人在任何情况下均无义务和责任承担这些费用。</w:t>
      </w:r>
    </w:p>
    <w:p>
      <w:pPr>
        <w:spacing w:line="480" w:lineRule="exact"/>
        <w:ind w:firstLine="420" w:firstLineChars="20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32" w:name="_Toc32689"/>
      <w:bookmarkStart w:id="33" w:name="_Toc347478679"/>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br w:type="page"/>
      </w:r>
    </w:p>
    <w:p>
      <w:pPr>
        <w:pStyle w:val="2"/>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34" w:name="_Toc4084"/>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第二章 招标文件说明</w:t>
      </w:r>
      <w:bookmarkEnd w:id="32"/>
      <w:bookmarkEnd w:id="33"/>
      <w:bookmarkEnd w:id="34"/>
    </w:p>
    <w:p>
      <w:pP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p>
    <w:p>
      <w:pPr>
        <w:pStyle w:val="4"/>
        <w:spacing w:line="480" w:lineRule="exact"/>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35" w:name="_Toc21755"/>
      <w:bookmarkStart w:id="36" w:name="_Toc347478680"/>
      <w:bookmarkStart w:id="37" w:name="_Toc15431"/>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5.招标文件的构成</w:t>
      </w:r>
      <w:bookmarkEnd w:id="35"/>
      <w:bookmarkEnd w:id="36"/>
      <w:bookmarkEnd w:id="37"/>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5.1 招标文件用以阐明所需提供的服务和合同条件。招标文件包括：</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第一部分 招标公告</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第二部分 供应商须知</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第三部分 采购需求</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第四部分 评标办法</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第五部分 合同主要条款</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第六部分 投标文件格式</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5.2 供应商应认真阅读招标文件中所有的事项、格式条款和规范要求等。供应商没有对招标文件全面做出实质性响应是供应商自身的风险。采购人有权拒绝没有对招标文件要求做出实质性响应的投标。</w:t>
      </w:r>
    </w:p>
    <w:p>
      <w:pPr>
        <w:pStyle w:val="4"/>
        <w:spacing w:line="480" w:lineRule="exact"/>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38" w:name="_Toc6225"/>
      <w:bookmarkStart w:id="39" w:name="_Toc7474"/>
      <w:bookmarkStart w:id="40" w:name="_Toc347478681"/>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6.招标文件的澄清</w:t>
      </w:r>
      <w:bookmarkEnd w:id="38"/>
      <w:bookmarkEnd w:id="39"/>
      <w:bookmarkEnd w:id="40"/>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bookmarkStart w:id="41" w:name="_Toc347478682"/>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任何要求对招标文件澄清的供应商，均应于投标截止日期10日前以书面形式（包括电报、电传、传真）通知采购代理机构。采购代理机构将视情况确定采用适当方式予以澄清或以书面形式予以答复，并在其认为必要时，将不标明来源的书面答复通知到每个购买招标文件的供应商。</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在规定的时间内供应商对招标文件无异议的，视为供应商完全响应招标文件并接受招标文件中约定的主要条款。在规定时间后提出的质疑，采购人或采购代理机构不予答复。</w:t>
      </w:r>
      <w:bookmarkStart w:id="42" w:name="_Toc19547"/>
    </w:p>
    <w:p>
      <w:pPr>
        <w:pStyle w:val="4"/>
        <w:spacing w:line="480" w:lineRule="exact"/>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43" w:name="_Toc26176"/>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7.招标文件的修改</w:t>
      </w:r>
      <w:bookmarkEnd w:id="41"/>
      <w:bookmarkEnd w:id="42"/>
      <w:bookmarkEnd w:id="43"/>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7.1 在投标截止期15日前，无论出于何种原因，采购人可主动地或在解答供应商要求澄清的问题时对招标文件进行修改。</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7.2 招标文件的修改将以书面形式（包括电子邮件）通知所有招标文件的收受人；供应商在收到该通知后应立即以传真、电子邮件等有效形式予以确认。</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7.3 为使供应商在准备投标文件时，有充分的时间对招标文件的修改进行研究考虑，采购人可自行决定，酌情推迟投标截止日期，并以书面形式通知所有已购买招标文件的供应商。</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7.4 招标文件的修改内容将构成招标文件的一部</w:t>
      </w: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分，对采购人和供应商都具有约束力。</w:t>
      </w:r>
    </w:p>
    <w:p>
      <w:pPr>
        <w:pStyle w:val="2"/>
        <w:spacing w:line="480" w:lineRule="exact"/>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44" w:name="_Toc347478683"/>
      <w:bookmarkStart w:id="45" w:name="_Toc1805"/>
      <w:bookmarkStart w:id="46" w:name="_Toc18259"/>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第三章 投标文件的编写</w:t>
      </w:r>
      <w:bookmarkEnd w:id="44"/>
      <w:bookmarkEnd w:id="45"/>
      <w:bookmarkEnd w:id="46"/>
    </w:p>
    <w:p>
      <w:pPr>
        <w:pStyle w:val="4"/>
        <w:spacing w:line="480" w:lineRule="exact"/>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47" w:name="_Toc347478684"/>
      <w:bookmarkStart w:id="48" w:name="_Toc643"/>
      <w:bookmarkStart w:id="49" w:name="_Toc19847"/>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8.投标语言</w:t>
      </w:r>
      <w:bookmarkEnd w:id="47"/>
      <w:bookmarkEnd w:id="48"/>
      <w:bookmarkEnd w:id="49"/>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供应商编写的投标文件和往来信件应以中文书写。</w:t>
      </w:r>
    </w:p>
    <w:p>
      <w:pPr>
        <w:pStyle w:val="4"/>
        <w:spacing w:line="480" w:lineRule="exact"/>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50" w:name="_Toc25959"/>
      <w:bookmarkStart w:id="51" w:name="_Toc347478685"/>
      <w:bookmarkStart w:id="52" w:name="_Toc15450"/>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9.计量单位</w:t>
      </w:r>
      <w:bookmarkEnd w:id="50"/>
      <w:bookmarkEnd w:id="51"/>
      <w:bookmarkEnd w:id="52"/>
    </w:p>
    <w:p>
      <w:pPr>
        <w:pStyle w:val="7"/>
        <w:spacing w:after="0"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bookmarkStart w:id="53" w:name="_Toc15760"/>
      <w:bookmarkStart w:id="54" w:name="_Toc347478686"/>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除在招标文件的技术规格中另有规定外，计量单位应使用中华人民共和国法定计量单位。</w:t>
      </w:r>
    </w:p>
    <w:p>
      <w:pPr>
        <w:pStyle w:val="4"/>
        <w:spacing w:line="480" w:lineRule="exact"/>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55" w:name="_Toc27150"/>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10.投标文件的组成</w:t>
      </w:r>
      <w:bookmarkEnd w:id="53"/>
      <w:bookmarkEnd w:id="54"/>
      <w:bookmarkEnd w:id="55"/>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10.1 供应商编写的投标文件应包括下列部分：</w:t>
      </w:r>
    </w:p>
    <w:p>
      <w:pPr>
        <w:spacing w:line="480" w:lineRule="exact"/>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 xml:space="preserve">    10.1.1 投标函、开标一览表、分项报价表等投标文件要求的所有内容；</w:t>
      </w:r>
    </w:p>
    <w:p>
      <w:pPr>
        <w:spacing w:line="480" w:lineRule="exact"/>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 xml:space="preserve">    10.1.2 按照供应商须知要求出具的供应商资格证明文件；</w:t>
      </w:r>
    </w:p>
    <w:p>
      <w:pPr>
        <w:spacing w:line="480" w:lineRule="exact"/>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 xml:space="preserve">    10.1.3 按照供应商须知要求出具的投标货物和服务符合招标文件规定的证明文件及供应商认为需加以说明的其他内容；</w:t>
      </w:r>
    </w:p>
    <w:p>
      <w:pPr>
        <w:spacing w:line="480" w:lineRule="exact"/>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 xml:space="preserve">    10.1.4 招标文件要求供应商提供的其他内容。</w:t>
      </w:r>
    </w:p>
    <w:p>
      <w:pPr>
        <w:pStyle w:val="4"/>
        <w:spacing w:line="480" w:lineRule="exact"/>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56" w:name="_Toc347478687"/>
      <w:bookmarkStart w:id="57" w:name="_Toc6896"/>
      <w:bookmarkStart w:id="58" w:name="_Toc3253"/>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11.投标文件格式</w:t>
      </w:r>
      <w:bookmarkEnd w:id="56"/>
      <w:bookmarkEnd w:id="57"/>
      <w:bookmarkEnd w:id="58"/>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供应商应按招标文件中提供的投标文件格式填写“投标函”、“开标一览表”、“商务偏离表”以及其他相关文件等。</w:t>
      </w:r>
    </w:p>
    <w:p>
      <w:pPr>
        <w:pStyle w:val="4"/>
        <w:spacing w:line="480" w:lineRule="exact"/>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59" w:name="_Toc22581"/>
      <w:bookmarkStart w:id="60" w:name="_Toc4765"/>
      <w:bookmarkStart w:id="61" w:name="_Toc347478688"/>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12.报价</w:t>
      </w:r>
      <w:bookmarkEnd w:id="59"/>
      <w:bookmarkEnd w:id="60"/>
      <w:bookmarkEnd w:id="61"/>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12.1 供应商应对此项目所列的所有内容进行报价，不得将其中所列内容拆开报价；</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12.1.1供应商所报投标报价包含项目完成所包含的一切费用；</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12.2凡本招标文件要求（或允许）及供应商认为需要进行报价的各项费用项目（不论是否要求进入报价），若报价时未报或未在“开标一览表”中予以说明，采购人将认为这些费用供应商已计取，并包含在总报价中（项目采购内容、项目数量调整除外）。</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12.3 采购人只接受供应商提供的唯一投标方案，不接受备选方案。</w:t>
      </w:r>
    </w:p>
    <w:p>
      <w:pPr>
        <w:pStyle w:val="4"/>
        <w:spacing w:line="480" w:lineRule="exact"/>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62" w:name="_Toc347478689"/>
      <w:bookmarkStart w:id="63" w:name="_Toc30437"/>
      <w:bookmarkStart w:id="64" w:name="_Toc30786"/>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13.投标货币</w:t>
      </w:r>
      <w:bookmarkEnd w:id="62"/>
      <w:bookmarkEnd w:id="63"/>
      <w:bookmarkEnd w:id="64"/>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采购人只接受人民币作为唯一投标货币。</w:t>
      </w:r>
    </w:p>
    <w:p>
      <w:pPr>
        <w:pStyle w:val="4"/>
        <w:spacing w:line="480" w:lineRule="exact"/>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65" w:name="_Toc347478690"/>
      <w:bookmarkStart w:id="66" w:name="_Toc21322"/>
      <w:bookmarkStart w:id="67" w:name="_Toc24171"/>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14.供应商资格证明文件</w:t>
      </w:r>
      <w:bookmarkEnd w:id="65"/>
      <w:bookmarkEnd w:id="66"/>
      <w:bookmarkEnd w:id="67"/>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14.1 供应商必须按要求提交证明文件，以证明其有资格参加投标和入选后有履行合同的能力，并作为其投标文件的一部分。</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 xml:space="preserve">14.1.1参加政府采购活动的供应商应当具备《中华人民共和国政府采购法》第二十二条第一款规定的条件，提供下列材料： </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eastAsia" w:asciiTheme="minorEastAsia" w:hAnsiTheme="minorEastAsia" w:eastAsiaTheme="minorEastAsia" w:cstheme="minorEastAsia"/>
          <w:smallCaps w:val="0"/>
          <w:color w:val="auto"/>
          <w:spacing w:val="0"/>
          <w:sz w:val="24"/>
          <w:szCs w:val="24"/>
          <w:highlight w:val="none"/>
          <w:u w:val="none"/>
          <w:lang w:val="en-US" w:eastAsia="zh-CN"/>
        </w:rPr>
      </w:pPr>
      <w:r>
        <w:rPr>
          <w:rFonts w:hint="eastAsia" w:asciiTheme="minorEastAsia" w:hAnsiTheme="minorEastAsia" w:eastAsiaTheme="minorEastAsia" w:cstheme="minorEastAsia"/>
          <w:smallCaps w:val="0"/>
          <w:color w:val="auto"/>
          <w:spacing w:val="0"/>
          <w:sz w:val="24"/>
          <w:szCs w:val="24"/>
          <w:highlight w:val="none"/>
          <w:u w:val="none"/>
          <w:lang w:val="en-US" w:eastAsia="zh-CN"/>
        </w:rPr>
        <w:t>1.</w:t>
      </w:r>
      <w:r>
        <w:rPr>
          <w:rFonts w:hint="eastAsia" w:ascii="宋体" w:hAnsi="宋体" w:eastAsia="宋体" w:cs="宋体"/>
          <w:b w:val="0"/>
          <w:bCs w:val="0"/>
          <w:smallCaps w:val="0"/>
          <w:color w:val="auto"/>
          <w:spacing w:val="0"/>
          <w:kern w:val="2"/>
          <w:sz w:val="24"/>
          <w:szCs w:val="24"/>
          <w:lang w:val="en-US" w:eastAsia="zh-CN" w:bidi="ar"/>
        </w:rPr>
        <w:t>具有独立承担民事责任能力的法人、其他组织或自然人，提供三证合一或五证合一的企业提供带有统一社会信用代码的营业执照副本/事业单位法人证书副本/非企业专业服务机构执业许可证副本/自然人身份证</w:t>
      </w:r>
      <w:r>
        <w:rPr>
          <w:rFonts w:hint="eastAsia" w:asciiTheme="minorEastAsia" w:hAnsiTheme="minorEastAsia" w:eastAsiaTheme="minorEastAsia" w:cstheme="minorEastAsia"/>
          <w:smallCaps w:val="0"/>
          <w:color w:val="auto"/>
          <w:spacing w:val="0"/>
          <w:sz w:val="24"/>
          <w:szCs w:val="24"/>
          <w:highlight w:val="none"/>
          <w:u w:val="none"/>
          <w:lang w:val="en-US" w:eastAsia="zh-CN"/>
        </w:rPr>
        <w:t>；</w:t>
      </w:r>
      <w:r>
        <w:rPr>
          <w:rFonts w:hint="eastAsia" w:asciiTheme="minorEastAsia" w:hAnsiTheme="minorEastAsia" w:eastAsiaTheme="minorEastAsia" w:cstheme="minorEastAsia"/>
          <w:smallCaps w:val="0"/>
          <w:color w:val="auto"/>
          <w:spacing w:val="0"/>
          <w:sz w:val="24"/>
          <w:szCs w:val="24"/>
          <w:highlight w:val="none"/>
          <w:u w:val="none"/>
          <w:lang w:val="en-US" w:eastAsia="zh-CN"/>
        </w:rPr>
        <w:br w:type="textWrapping"/>
      </w:r>
      <w:r>
        <w:rPr>
          <w:rFonts w:hint="eastAsia" w:asciiTheme="minorEastAsia" w:hAnsiTheme="minorEastAsia" w:eastAsiaTheme="minorEastAsia" w:cstheme="minorEastAsia"/>
          <w:smallCaps w:val="0"/>
          <w:color w:val="auto"/>
          <w:spacing w:val="0"/>
          <w:sz w:val="24"/>
          <w:szCs w:val="24"/>
          <w:highlight w:val="none"/>
          <w:u w:val="none"/>
          <w:lang w:val="en-US" w:eastAsia="zh-CN"/>
        </w:rPr>
        <w:t xml:space="preserve">   2.法定代表人授权委托书及被授权人身份证（法定代表人直接参加时，只须出示法定代表人身份证）；</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eastAsia" w:asciiTheme="minorEastAsia" w:hAnsiTheme="minorEastAsia" w:eastAsiaTheme="minorEastAsia" w:cstheme="minorEastAsia"/>
          <w:smallCaps w:val="0"/>
          <w:color w:val="auto"/>
          <w:spacing w:val="0"/>
          <w:sz w:val="24"/>
          <w:szCs w:val="24"/>
          <w:highlight w:val="none"/>
          <w:u w:val="none"/>
          <w:lang w:val="en-US" w:eastAsia="zh-CN"/>
        </w:rPr>
      </w:pPr>
      <w:r>
        <w:rPr>
          <w:rFonts w:hint="eastAsia" w:asciiTheme="minorEastAsia" w:hAnsiTheme="minorEastAsia" w:eastAsiaTheme="minorEastAsia" w:cstheme="minorEastAsia"/>
          <w:smallCaps w:val="0"/>
          <w:color w:val="auto"/>
          <w:spacing w:val="0"/>
          <w:sz w:val="24"/>
          <w:szCs w:val="24"/>
          <w:highlight w:val="none"/>
          <w:u w:val="none"/>
          <w:lang w:val="en-US" w:eastAsia="zh-CN"/>
        </w:rPr>
        <w:t>3.须提供2021年1月1日以来已缴存的至少一个月的社会保障资金缴存单据或社保机构开具的社会保险参保缴费情况证明。依法不需要缴纳社会保障资金的供应商应提供相关文件证明（复印件加盖供应商公章）；</w:t>
      </w:r>
      <w:r>
        <w:rPr>
          <w:rFonts w:hint="eastAsia" w:asciiTheme="minorEastAsia" w:hAnsiTheme="minorEastAsia" w:eastAsiaTheme="minorEastAsia" w:cstheme="minorEastAsia"/>
          <w:smallCaps w:val="0"/>
          <w:color w:val="auto"/>
          <w:spacing w:val="0"/>
          <w:sz w:val="24"/>
          <w:szCs w:val="24"/>
          <w:highlight w:val="none"/>
          <w:u w:val="none"/>
          <w:lang w:val="en-US" w:eastAsia="zh-CN"/>
        </w:rPr>
        <w:br w:type="textWrapping"/>
      </w:r>
      <w:r>
        <w:rPr>
          <w:rFonts w:hint="eastAsia" w:asciiTheme="minorEastAsia" w:hAnsiTheme="minorEastAsia" w:eastAsiaTheme="minorEastAsia" w:cstheme="minorEastAsia"/>
          <w:smallCaps w:val="0"/>
          <w:color w:val="auto"/>
          <w:spacing w:val="0"/>
          <w:sz w:val="24"/>
          <w:szCs w:val="24"/>
          <w:highlight w:val="none"/>
          <w:u w:val="none"/>
          <w:lang w:val="en-US" w:eastAsia="zh-CN"/>
        </w:rPr>
        <w:t xml:space="preserve">    4.须提供2021年1月1日以来已缴纳的至少三个月的纳税证明或完税证明（提供增值税、企业所得税至少一种）。依法免税的供应商应提供相关文件证明（复印件加盖供应商公章）。</w:t>
      </w:r>
      <w:r>
        <w:rPr>
          <w:rFonts w:hint="eastAsia" w:asciiTheme="minorEastAsia" w:hAnsiTheme="minorEastAsia" w:eastAsiaTheme="minorEastAsia" w:cstheme="minorEastAsia"/>
          <w:smallCaps w:val="0"/>
          <w:color w:val="auto"/>
          <w:spacing w:val="0"/>
          <w:sz w:val="24"/>
          <w:szCs w:val="24"/>
          <w:highlight w:val="none"/>
          <w:u w:val="none"/>
          <w:lang w:val="en-US" w:eastAsia="zh-CN"/>
        </w:rPr>
        <w:br w:type="textWrapping"/>
      </w:r>
      <w:r>
        <w:rPr>
          <w:rFonts w:hint="eastAsia" w:asciiTheme="minorEastAsia" w:hAnsiTheme="minorEastAsia" w:eastAsiaTheme="minorEastAsia" w:cstheme="minorEastAsia"/>
          <w:smallCaps w:val="0"/>
          <w:color w:val="auto"/>
          <w:spacing w:val="0"/>
          <w:sz w:val="24"/>
          <w:szCs w:val="24"/>
          <w:highlight w:val="none"/>
          <w:u w:val="none"/>
          <w:lang w:val="en-US" w:eastAsia="zh-CN"/>
        </w:rPr>
        <w:t xml:space="preserve">   5.提供经会计事务所或具有财务审计资质的单位出具的2019年度或2020年度财务审计报告，或其开标前三个月内银行出具的资信证明；</w:t>
      </w:r>
      <w:r>
        <w:rPr>
          <w:rFonts w:hint="eastAsia" w:asciiTheme="minorEastAsia" w:hAnsiTheme="minorEastAsia" w:eastAsiaTheme="minorEastAsia" w:cstheme="minorEastAsia"/>
          <w:smallCaps w:val="0"/>
          <w:color w:val="auto"/>
          <w:spacing w:val="0"/>
          <w:sz w:val="24"/>
          <w:szCs w:val="24"/>
          <w:highlight w:val="none"/>
          <w:u w:val="none"/>
          <w:lang w:val="en-US" w:eastAsia="zh-CN"/>
        </w:rPr>
        <w:br w:type="textWrapping"/>
      </w:r>
      <w:r>
        <w:rPr>
          <w:rFonts w:hint="eastAsia" w:asciiTheme="minorEastAsia" w:hAnsiTheme="minorEastAsia" w:eastAsiaTheme="minorEastAsia" w:cstheme="minorEastAsia"/>
          <w:smallCaps w:val="0"/>
          <w:color w:val="auto"/>
          <w:spacing w:val="0"/>
          <w:sz w:val="24"/>
          <w:szCs w:val="24"/>
          <w:highlight w:val="none"/>
          <w:u w:val="none"/>
          <w:lang w:val="en-US" w:eastAsia="zh-CN"/>
        </w:rPr>
        <w:t xml:space="preserve">   6.近年（2018年至今）承担过类似项目，提供合同协议书1份；</w:t>
      </w:r>
      <w:r>
        <w:rPr>
          <w:rFonts w:hint="eastAsia" w:asciiTheme="minorEastAsia" w:hAnsiTheme="minorEastAsia" w:eastAsiaTheme="minorEastAsia" w:cstheme="minorEastAsia"/>
          <w:smallCaps w:val="0"/>
          <w:color w:val="auto"/>
          <w:spacing w:val="0"/>
          <w:sz w:val="24"/>
          <w:szCs w:val="24"/>
          <w:highlight w:val="none"/>
          <w:u w:val="none"/>
          <w:lang w:val="en-US" w:eastAsia="zh-CN"/>
        </w:rPr>
        <w:br w:type="textWrapping"/>
      </w:r>
      <w:r>
        <w:rPr>
          <w:rFonts w:hint="eastAsia" w:asciiTheme="minorEastAsia" w:hAnsiTheme="minorEastAsia" w:eastAsiaTheme="minorEastAsia" w:cstheme="minorEastAsia"/>
          <w:smallCaps w:val="0"/>
          <w:color w:val="auto"/>
          <w:spacing w:val="0"/>
          <w:sz w:val="24"/>
          <w:szCs w:val="24"/>
          <w:highlight w:val="none"/>
          <w:u w:val="none"/>
          <w:lang w:val="en-US" w:eastAsia="zh-CN"/>
        </w:rPr>
        <w:t xml:space="preserve">   7.参加政府采购活动前3年内经营活动中没有重大违法记录声明。</w:t>
      </w:r>
      <w:r>
        <w:rPr>
          <w:rFonts w:hint="eastAsia" w:asciiTheme="minorEastAsia" w:hAnsiTheme="minorEastAsia" w:eastAsiaTheme="minorEastAsia" w:cstheme="minorEastAsia"/>
          <w:smallCaps w:val="0"/>
          <w:color w:val="auto"/>
          <w:spacing w:val="0"/>
          <w:sz w:val="24"/>
          <w:szCs w:val="24"/>
          <w:highlight w:val="none"/>
          <w:u w:val="none"/>
          <w:lang w:val="en-US" w:eastAsia="zh-CN"/>
        </w:rPr>
        <w:br w:type="textWrapping"/>
      </w:r>
      <w:r>
        <w:rPr>
          <w:rFonts w:hint="eastAsia" w:asciiTheme="minorEastAsia" w:hAnsiTheme="minorEastAsia" w:eastAsiaTheme="minorEastAsia" w:cstheme="minorEastAsia"/>
          <w:smallCaps w:val="0"/>
          <w:color w:val="auto"/>
          <w:spacing w:val="0"/>
          <w:sz w:val="24"/>
          <w:szCs w:val="24"/>
          <w:highlight w:val="none"/>
          <w:u w:val="none"/>
          <w:lang w:val="en-US" w:eastAsia="zh-CN"/>
        </w:rPr>
        <w:t xml:space="preserve">   8.投标人未被列入失信被执行人、重大税收违法案件当事人名单、政府采购严重违法失信行为记录名单，提供相关网站对企业信用记录查询截图（“中国执行信息公开网”失信被执行人名单（投标单位、法定代表人）；“信用中国”重大税收违法案件当事人名单；中国政府采购网“政府采购严重违法失信行为信息记录”）（提供查询结果网页截图并加盖供应商公章）；</w:t>
      </w:r>
      <w:r>
        <w:rPr>
          <w:rFonts w:hint="eastAsia" w:asciiTheme="minorEastAsia" w:hAnsiTheme="minorEastAsia" w:eastAsiaTheme="minorEastAsia" w:cstheme="minorEastAsia"/>
          <w:smallCaps w:val="0"/>
          <w:color w:val="auto"/>
          <w:spacing w:val="0"/>
          <w:sz w:val="24"/>
          <w:szCs w:val="24"/>
          <w:highlight w:val="none"/>
          <w:u w:val="none"/>
          <w:lang w:val="en-US" w:eastAsia="zh-CN"/>
        </w:rPr>
        <w:br w:type="textWrapping"/>
      </w:r>
      <w:r>
        <w:rPr>
          <w:rFonts w:hint="eastAsia" w:asciiTheme="minorEastAsia" w:hAnsiTheme="minorEastAsia" w:eastAsiaTheme="minorEastAsia" w:cstheme="minorEastAsia"/>
          <w:smallCaps w:val="0"/>
          <w:color w:val="auto"/>
          <w:spacing w:val="0"/>
          <w:sz w:val="24"/>
          <w:szCs w:val="24"/>
          <w:highlight w:val="none"/>
          <w:u w:val="none"/>
          <w:lang w:val="en-US" w:eastAsia="zh-CN"/>
        </w:rPr>
        <w:t xml:space="preserve">   9.单位负责人为同一人或者存在直接控股、管理关系的不同供应商，不得参加同一合同项下的政府采购活动。</w:t>
      </w:r>
    </w:p>
    <w:p>
      <w:pPr>
        <w:spacing w:line="480" w:lineRule="exact"/>
        <w:ind w:firstLine="482" w:firstLineChars="200"/>
        <w:rPr>
          <w:rFonts w:hint="eastAsia" w:asciiTheme="minorEastAsia" w:hAnsiTheme="minorEastAsia" w:eastAsiaTheme="minorEastAsia" w:cstheme="minorEastAsia"/>
          <w:b/>
          <w:bCs/>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b/>
          <w:bCs/>
          <w:smallCaps w:val="0"/>
          <w:color w:val="000000" w:themeColor="text1"/>
          <w:spacing w:val="0"/>
          <w:sz w:val="24"/>
          <w:szCs w:val="24"/>
          <w:highlight w:val="none"/>
          <w14:textFill>
            <w14:solidFill>
              <w14:schemeClr w14:val="tx1"/>
            </w14:solidFill>
          </w14:textFill>
        </w:rPr>
        <w:t>注</w:t>
      </w:r>
      <w:r>
        <w:rPr>
          <w:rFonts w:hint="eastAsia" w:asciiTheme="minorEastAsia" w:hAnsiTheme="minorEastAsia" w:eastAsiaTheme="minorEastAsia" w:cstheme="minorEastAsia"/>
          <w:b/>
          <w:bCs/>
          <w:smallCaps w:val="0"/>
          <w:color w:val="000000" w:themeColor="text1"/>
          <w:spacing w:val="0"/>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b/>
          <w:bCs/>
          <w:smallCaps w:val="0"/>
          <w:color w:val="000000" w:themeColor="text1"/>
          <w:spacing w:val="0"/>
          <w:sz w:val="24"/>
          <w:szCs w:val="24"/>
          <w:highlight w:val="none"/>
          <w14:textFill>
            <w14:solidFill>
              <w14:schemeClr w14:val="tx1"/>
            </w14:solidFill>
          </w14:textFill>
        </w:rPr>
        <w:t>①单位负责人为同一人或者存在控股、管理关系的不同单位，不得参加同一项目的</w:t>
      </w:r>
      <w:r>
        <w:rPr>
          <w:rFonts w:hint="eastAsia" w:asciiTheme="minorEastAsia" w:hAnsiTheme="minorEastAsia" w:eastAsiaTheme="minorEastAsia" w:cstheme="minorEastAsia"/>
          <w:b/>
          <w:bCs/>
          <w:smallCaps w:val="0"/>
          <w:color w:val="000000" w:themeColor="text1"/>
          <w:spacing w:val="0"/>
          <w:sz w:val="24"/>
          <w:szCs w:val="24"/>
          <w:highlight w:val="none"/>
          <w:lang w:val="en-US" w:eastAsia="zh-CN"/>
          <w14:textFill>
            <w14:solidFill>
              <w14:schemeClr w14:val="tx1"/>
            </w14:solidFill>
          </w14:textFill>
        </w:rPr>
        <w:t>投标</w:t>
      </w:r>
      <w:r>
        <w:rPr>
          <w:rFonts w:hint="eastAsia" w:asciiTheme="minorEastAsia" w:hAnsiTheme="minorEastAsia" w:eastAsiaTheme="minorEastAsia" w:cstheme="minorEastAsia"/>
          <w:b/>
          <w:bCs/>
          <w:smallCaps w:val="0"/>
          <w:color w:val="000000" w:themeColor="text1"/>
          <w:spacing w:val="0"/>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b/>
          <w:bCs/>
          <w:smallCaps w:val="0"/>
          <w:color w:val="000000" w:themeColor="text1"/>
          <w:spacing w:val="0"/>
          <w:sz w:val="24"/>
          <w:szCs w:val="24"/>
          <w:highlight w:val="none"/>
          <w:lang w:val="en-US" w:eastAsia="zh-CN"/>
          <w14:textFill>
            <w14:solidFill>
              <w14:schemeClr w14:val="tx1"/>
            </w14:solidFill>
          </w14:textFill>
        </w:rPr>
        <w:t>②</w:t>
      </w:r>
      <w:r>
        <w:rPr>
          <w:rFonts w:hint="eastAsia" w:asciiTheme="minorEastAsia" w:hAnsiTheme="minorEastAsia" w:eastAsiaTheme="minorEastAsia" w:cstheme="minorEastAsia"/>
          <w:b/>
          <w:bCs/>
          <w:smallCaps w:val="0"/>
          <w:color w:val="000000" w:themeColor="text1"/>
          <w:spacing w:val="0"/>
          <w:sz w:val="24"/>
          <w:szCs w:val="24"/>
          <w:highlight w:val="none"/>
          <w:lang w:eastAsia="zh-CN"/>
          <w14:textFill>
            <w14:solidFill>
              <w14:schemeClr w14:val="tx1"/>
            </w14:solidFill>
          </w14:textFill>
        </w:rPr>
        <w:t>受疫情影响，每个公司派一人参与</w:t>
      </w:r>
      <w:r>
        <w:rPr>
          <w:rFonts w:hint="eastAsia" w:asciiTheme="minorEastAsia" w:hAnsiTheme="minorEastAsia" w:eastAsiaTheme="minorEastAsia" w:cstheme="minorEastAsia"/>
          <w:b/>
          <w:bCs/>
          <w:smallCaps w:val="0"/>
          <w:color w:val="000000" w:themeColor="text1"/>
          <w:spacing w:val="0"/>
          <w:sz w:val="24"/>
          <w:szCs w:val="24"/>
          <w:highlight w:val="none"/>
          <w:lang w:val="en-US" w:eastAsia="zh-CN"/>
          <w14:textFill>
            <w14:solidFill>
              <w14:schemeClr w14:val="tx1"/>
            </w14:solidFill>
          </w14:textFill>
        </w:rPr>
        <w:t>开标</w:t>
      </w:r>
      <w:r>
        <w:rPr>
          <w:rFonts w:hint="eastAsia" w:asciiTheme="minorEastAsia" w:hAnsiTheme="minorEastAsia" w:eastAsiaTheme="minorEastAsia" w:cstheme="minorEastAsia"/>
          <w:b/>
          <w:bCs/>
          <w:smallCaps w:val="0"/>
          <w:color w:val="000000" w:themeColor="text1"/>
          <w:spacing w:val="0"/>
          <w:sz w:val="24"/>
          <w:szCs w:val="24"/>
          <w:highlight w:val="none"/>
          <w:lang w:eastAsia="zh-CN"/>
          <w14:textFill>
            <w14:solidFill>
              <w14:schemeClr w14:val="tx1"/>
            </w14:solidFill>
          </w14:textFill>
        </w:rPr>
        <w:t>，到场人员需自备口罩等防护工具，做好个人防护。</w:t>
      </w:r>
    </w:p>
    <w:p>
      <w:pPr>
        <w:spacing w:line="480" w:lineRule="exact"/>
        <w:ind w:firstLine="482" w:firstLineChars="20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r>
        <w:rPr>
          <w:rFonts w:hint="eastAsia" w:asciiTheme="minorEastAsia" w:hAnsiTheme="minorEastAsia" w:eastAsiaTheme="minorEastAsia" w:cstheme="minorEastAsia"/>
          <w:b/>
          <w:bCs/>
          <w:smallCaps w:val="0"/>
          <w:color w:val="000000" w:themeColor="text1"/>
          <w:spacing w:val="0"/>
          <w:sz w:val="24"/>
          <w:szCs w:val="24"/>
          <w:highlight w:val="none"/>
          <w14:textFill>
            <w14:solidFill>
              <w14:schemeClr w14:val="tx1"/>
            </w14:solidFill>
          </w14:textFill>
        </w:rPr>
        <w:t>以上资格证明文件中14.1.1项为必备资质，缺少一项或某项达不到要求（包括证件的有效性、是否进行年检、是否在有效期内等），按无效响应文件处理。在响应文件中应附一套完整的资格证明材料，复印件加盖供应商公章。</w:t>
      </w:r>
    </w:p>
    <w:p>
      <w:pPr>
        <w:pStyle w:val="4"/>
        <w:spacing w:line="480" w:lineRule="exact"/>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68" w:name="_Toc12057"/>
      <w:bookmarkStart w:id="69" w:name="_Toc8428"/>
      <w:bookmarkStart w:id="70" w:name="_Toc347478691"/>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15.符合招标文件规定的文件</w:t>
      </w:r>
      <w:bookmarkEnd w:id="68"/>
      <w:bookmarkEnd w:id="69"/>
      <w:bookmarkEnd w:id="70"/>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15.1 提交文件可以是文字资料也可以是图纸、图片等资料，须提供：</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15.1.1 服务相关的证明及技术资料；</w:t>
      </w:r>
    </w:p>
    <w:p>
      <w:pPr>
        <w:pStyle w:val="4"/>
        <w:spacing w:line="480" w:lineRule="exact"/>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71" w:name="_Toc6719"/>
      <w:bookmarkStart w:id="72" w:name="_Toc347478692"/>
      <w:bookmarkStart w:id="73" w:name="_Toc11015"/>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16.投标保证金</w:t>
      </w:r>
      <w:bookmarkEnd w:id="71"/>
      <w:bookmarkEnd w:id="72"/>
      <w:bookmarkEnd w:id="73"/>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16.1 投标保证金递交时间详见供应商须知前附表；</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16.2 未中标供应商的投标保证金将于中标通知书发出后五个工作日内予以退还；</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16.3 中标供应商的投标保证金，在中标供应商与采购人签订采购合同后5个工作日内退还；</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16.4 如发生下列情况之一时，投标保证金将被没收：</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16.4.1 供应商在投标截止至投标有效期满之前撤回投标文件；</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16.4.2 中标供应商放弃中标的；</w:t>
      </w:r>
    </w:p>
    <w:p>
      <w:pPr>
        <w:pStyle w:val="12"/>
        <w:spacing w:line="480" w:lineRule="exact"/>
        <w:ind w:firstLine="480" w:firstLineChars="20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16.4.3 不按规定提交履约保证金的；</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16.4.4 中标供应商拒绝签订合同协议；</w:t>
      </w:r>
    </w:p>
    <w:p>
      <w:pPr>
        <w:pStyle w:val="12"/>
        <w:spacing w:line="480" w:lineRule="exact"/>
        <w:ind w:firstLine="480" w:firstLineChars="20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16.4.5 投标人采用不正当的手段骗取中标；</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16.4.6 不按规定提交履约保证金的；</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 xml:space="preserve">16.4.7 </w:t>
      </w:r>
      <w:r>
        <w:rPr>
          <w:rFonts w:hint="eastAsia" w:asciiTheme="minorEastAsia" w:hAnsiTheme="minorEastAsia" w:eastAsiaTheme="minorEastAsia" w:cstheme="minorEastAsia"/>
          <w:smallCaps w:val="0"/>
          <w:color w:val="000000" w:themeColor="text1"/>
          <w:spacing w:val="0"/>
          <w:sz w:val="24"/>
          <w:szCs w:val="24"/>
          <w:highlight w:val="none"/>
          <w:lang w:val="en-US" w:eastAsia="zh-CN"/>
          <w14:textFill>
            <w14:solidFill>
              <w14:schemeClr w14:val="tx1"/>
            </w14:solidFill>
          </w14:textFill>
        </w:rPr>
        <w:t>中标</w:t>
      </w: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供应商拒绝签订合同协议；</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16.4.8 供应商采用不正当的手段骗取</w:t>
      </w:r>
      <w:r>
        <w:rPr>
          <w:rFonts w:hint="eastAsia" w:asciiTheme="minorEastAsia" w:hAnsiTheme="minorEastAsia" w:eastAsiaTheme="minorEastAsia" w:cstheme="minorEastAsia"/>
          <w:smallCaps w:val="0"/>
          <w:color w:val="000000" w:themeColor="text1"/>
          <w:spacing w:val="0"/>
          <w:sz w:val="24"/>
          <w:szCs w:val="24"/>
          <w:highlight w:val="none"/>
          <w:lang w:val="en-US" w:eastAsia="zh-CN"/>
          <w14:textFill>
            <w14:solidFill>
              <w14:schemeClr w14:val="tx1"/>
            </w14:solidFill>
          </w14:textFill>
        </w:rPr>
        <w:t>中标</w:t>
      </w: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 xml:space="preserve">16.4.9 </w:t>
      </w:r>
      <w:r>
        <w:rPr>
          <w:rFonts w:hint="eastAsia" w:asciiTheme="minorEastAsia" w:hAnsiTheme="minorEastAsia" w:eastAsiaTheme="minorEastAsia" w:cstheme="minorEastAsia"/>
          <w:smallCaps w:val="0"/>
          <w:color w:val="000000" w:themeColor="text1"/>
          <w:spacing w:val="0"/>
          <w:sz w:val="24"/>
          <w:szCs w:val="24"/>
          <w:highlight w:val="none"/>
          <w:lang w:val="en-US" w:eastAsia="zh-CN"/>
          <w14:textFill>
            <w14:solidFill>
              <w14:schemeClr w14:val="tx1"/>
            </w14:solidFill>
          </w14:textFill>
        </w:rPr>
        <w:t>中标</w:t>
      </w: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供应商不按本须知第31条规定交纳代理服务费。</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16.5 投标保证金用于保护采购人及采购代理机构免受因供应商行为而蒙受的损失，采购人有权拒绝接受未按规定提交投标保证金的投标。</w:t>
      </w:r>
    </w:p>
    <w:p>
      <w:pPr>
        <w:pStyle w:val="4"/>
        <w:spacing w:line="480" w:lineRule="exact"/>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74" w:name="_Toc347478693"/>
      <w:bookmarkStart w:id="75" w:name="_Toc19751"/>
      <w:bookmarkStart w:id="76" w:name="_Toc8550"/>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17.投标有效期</w:t>
      </w:r>
      <w:bookmarkEnd w:id="74"/>
      <w:bookmarkEnd w:id="75"/>
      <w:bookmarkEnd w:id="76"/>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17.1 投标文件从投标之日起，投标有效期为</w:t>
      </w:r>
      <w:r>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t>90</w:t>
      </w: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天。投标文件的有效期比本须知规定的有效期短的，将被视为非响应投标，采购人有权拒绝；</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17.2 特殊情况下，采购人可于投标有效期满之前要求供应商同意延长有效期，要求与答复均应为书面形式。供应商可以拒绝上述要求，其投标保证金不被没收。对于同意该要求的供应商，既不要求也不允许其修改投标文件，但将要求其相应延长投标保证金的有效期，有关退还和没收投标保证金的规定在投标有效期的延长期内继续有效。</w:t>
      </w:r>
    </w:p>
    <w:p>
      <w:pPr>
        <w:pStyle w:val="4"/>
        <w:spacing w:line="480" w:lineRule="exact"/>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77" w:name="_Toc347478694"/>
      <w:bookmarkStart w:id="78" w:name="_Toc29588"/>
      <w:bookmarkStart w:id="79" w:name="_Toc30501"/>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18.投标文件的签署及格式</w:t>
      </w:r>
      <w:bookmarkEnd w:id="77"/>
      <w:bookmarkEnd w:id="78"/>
      <w:bookmarkEnd w:id="79"/>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18.1 投标文件的正本和所有副本均须打印或用不褪色蓝（黑）墨水（汁）书写，必须编写页码和目录，统一装订、标码。</w:t>
      </w:r>
      <w:r>
        <w:rPr>
          <w:rFonts w:hint="eastAsia" w:asciiTheme="minorEastAsia" w:hAnsiTheme="minorEastAsia" w:eastAsiaTheme="minorEastAsia" w:cstheme="minorEastAsia"/>
          <w:b/>
          <w:smallCaps w:val="0"/>
          <w:color w:val="000000" w:themeColor="text1"/>
          <w:spacing w:val="0"/>
          <w:sz w:val="24"/>
          <w:szCs w:val="24"/>
          <w:highlight w:val="none"/>
          <w:u w:val="single"/>
          <w14:textFill>
            <w14:solidFill>
              <w14:schemeClr w14:val="tx1"/>
            </w14:solidFill>
          </w14:textFill>
        </w:rPr>
        <w:t>投标文件中，每一页均应由供应商加盖公章，不允许用骑缝章代替逐页盖章，其中规定格式的文件应当按要求签名和加盖供应商公章。</w:t>
      </w: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一旦正本和副本有差异，以正本为准；</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18.2 除供应商对错处作必要修改外，投标文件中不许有加行、涂抹或改写；若有修改须由授权代表或法定代表人在修改处签字；</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18.3 采购人拒绝接受以电报、电话、传真、电子邮件形式的投标。</w:t>
      </w:r>
    </w:p>
    <w:p>
      <w:pPr>
        <w:pStyle w:val="2"/>
        <w:spacing w:line="480" w:lineRule="exact"/>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80" w:name="_Toc11858"/>
      <w:bookmarkStart w:id="81" w:name="_Toc347478695"/>
      <w:bookmarkStart w:id="82" w:name="_Toc9859"/>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第四章 投标文件的递交</w:t>
      </w:r>
      <w:bookmarkEnd w:id="80"/>
      <w:bookmarkEnd w:id="81"/>
      <w:bookmarkEnd w:id="82"/>
    </w:p>
    <w:p>
      <w:pPr>
        <w:pStyle w:val="4"/>
        <w:spacing w:line="480" w:lineRule="exact"/>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83" w:name="_Toc29116"/>
      <w:bookmarkStart w:id="84" w:name="_Toc347478696"/>
      <w:bookmarkStart w:id="85" w:name="_Toc13582"/>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19.投标文件的份数、包装和标记</w:t>
      </w:r>
      <w:bookmarkEnd w:id="83"/>
      <w:bookmarkEnd w:id="84"/>
      <w:bookmarkEnd w:id="85"/>
    </w:p>
    <w:p>
      <w:pPr>
        <w:spacing w:line="480" w:lineRule="exact"/>
        <w:ind w:firstLine="480" w:firstLineChars="200"/>
        <w:rPr>
          <w:rFonts w:hint="eastAsia" w:asciiTheme="minorEastAsia" w:hAnsiTheme="minorEastAsia" w:eastAsiaTheme="minorEastAsia" w:cstheme="minorEastAsia"/>
          <w:bCs/>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 xml:space="preserve">19.1 </w:t>
      </w:r>
      <w:r>
        <w:rPr>
          <w:rFonts w:hint="eastAsia" w:asciiTheme="minorEastAsia" w:hAnsiTheme="minorEastAsia" w:eastAsiaTheme="minorEastAsia" w:cstheme="minorEastAsia"/>
          <w:bCs/>
          <w:smallCaps w:val="0"/>
          <w:color w:val="000000" w:themeColor="text1"/>
          <w:spacing w:val="0"/>
          <w:sz w:val="24"/>
          <w:szCs w:val="24"/>
          <w:highlight w:val="none"/>
          <w14:textFill>
            <w14:solidFill>
              <w14:schemeClr w14:val="tx1"/>
            </w14:solidFill>
          </w14:textFill>
        </w:rPr>
        <w:t>投标文件份数见供应商须知前附表；</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19.1.1 供应商应将所有投标文件的正本和所有副本分别装订，每套“投标文件”封面的右上角应标明“正本”或“副本”。一旦正本与副本不符，以正本为主；</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19.2 供应商应将投标文件正本、副本分别密封；</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19.2.1投标文件正本、副本应分别用投标文件袋密封，并在正面标明采购项目编号、采购项目名称、供应商名称及“正本”、“副本”字样。为方便开标唱标，供应商应将</w:t>
      </w:r>
      <w:r>
        <w:rPr>
          <w:rFonts w:hint="eastAsia" w:asciiTheme="minorEastAsia" w:hAnsiTheme="minorEastAsia" w:eastAsiaTheme="minorEastAsia" w:cstheme="minorEastAsia"/>
          <w:b/>
          <w:bCs/>
          <w:smallCaps w:val="0"/>
          <w:color w:val="000000" w:themeColor="text1"/>
          <w:spacing w:val="0"/>
          <w:sz w:val="24"/>
          <w:szCs w:val="24"/>
          <w:highlight w:val="none"/>
          <w14:textFill>
            <w14:solidFill>
              <w14:schemeClr w14:val="tx1"/>
            </w14:solidFill>
          </w14:textFill>
        </w:rPr>
        <w:t>开标一览表单独密封</w:t>
      </w: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提交，并在密封袋上标明“开标一览表”字样；</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19.2.2投标文件密封必须用封条在投标文件袋的上方开口处密封，并填写密封日期。封条上加盖供应商公章和法定代表人或其授权人签字或印鉴，投标文件袋正面按照规定加盖供应商公章。</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19.3 如果未按上述规定进行密封和标记，采购人有权拒绝供应商的投标文件。</w:t>
      </w:r>
    </w:p>
    <w:p>
      <w:pPr>
        <w:spacing w:line="440" w:lineRule="exact"/>
        <w:ind w:firstLine="482" w:firstLineChars="200"/>
        <w:rPr>
          <w:rFonts w:hint="eastAsia" w:asciiTheme="minorEastAsia" w:hAnsiTheme="minorEastAsia" w:eastAsiaTheme="minorEastAsia" w:cstheme="minorEastAsia"/>
          <w:b/>
          <w:bCs/>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b/>
          <w:bCs/>
          <w:smallCaps w:val="0"/>
          <w:color w:val="000000" w:themeColor="text1"/>
          <w:spacing w:val="0"/>
          <w:sz w:val="24"/>
          <w:highlight w:val="none"/>
          <w14:textFill>
            <w14:solidFill>
              <w14:schemeClr w14:val="tx1"/>
            </w14:solidFill>
          </w14:textFill>
        </w:rPr>
        <w:t>供应商出现以下情况，采购人（代理机构）将拒收其递交的响应文件。</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（1）逾期送达响应文件的。</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（2）未按</w:t>
      </w:r>
      <w:r>
        <w:rPr>
          <w:rFonts w:hint="eastAsia" w:asciiTheme="minorEastAsia" w:hAnsiTheme="minorEastAsia" w:eastAsiaTheme="minorEastAsia" w:cstheme="minorEastAsia"/>
          <w:smallCaps w:val="0"/>
          <w:color w:val="000000" w:themeColor="text1"/>
          <w:spacing w:val="0"/>
          <w:sz w:val="24"/>
          <w:highlight w:val="none"/>
          <w:lang w:val="en-US" w:eastAsia="zh-CN"/>
          <w14:textFill>
            <w14:solidFill>
              <w14:schemeClr w14:val="tx1"/>
            </w14:solidFill>
          </w14:textFill>
        </w:rPr>
        <w:t>招标</w:t>
      </w: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文件要求密封</w:t>
      </w:r>
      <w:r>
        <w:rPr>
          <w:rFonts w:hint="eastAsia" w:asciiTheme="minorEastAsia" w:hAnsiTheme="minorEastAsia" w:eastAsiaTheme="minorEastAsia" w:cstheme="minorEastAsia"/>
          <w:smallCaps w:val="0"/>
          <w:color w:val="000000" w:themeColor="text1"/>
          <w:spacing w:val="0"/>
          <w:sz w:val="24"/>
          <w:highlight w:val="none"/>
          <w:lang w:val="en-US" w:eastAsia="zh-CN"/>
          <w14:textFill>
            <w14:solidFill>
              <w14:schemeClr w14:val="tx1"/>
            </w14:solidFill>
          </w14:textFill>
        </w:rPr>
        <w:t>投标</w:t>
      </w: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文件的。</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（3）未按规定交纳保证金的。</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（4）供应商出席开标会议时，法定代表人不能出具法人代表证明材料的或授权代表不能出具授权委托书原件的。</w:t>
      </w:r>
    </w:p>
    <w:p>
      <w:pPr>
        <w:pStyle w:val="4"/>
        <w:spacing w:line="480" w:lineRule="exact"/>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86" w:name="_Toc347478697"/>
      <w:bookmarkStart w:id="87" w:name="_Toc26669"/>
      <w:bookmarkStart w:id="88" w:name="_Toc4991"/>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20.投标截止时间</w:t>
      </w:r>
      <w:bookmarkEnd w:id="86"/>
      <w:bookmarkEnd w:id="87"/>
      <w:bookmarkEnd w:id="88"/>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20.1 所有投标文件都必须按招标文件中规定的统一递交投标文件时间送达招标文件规定的递交地址；</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20.2 出现第7.3款因招标文件的修改推迟投标截止日期时，则按采购人修改通知规定的时间递交；</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20.3 采购人将拒绝接收在投标文件递交时间之后收到的任何投标文件。</w:t>
      </w:r>
    </w:p>
    <w:p>
      <w:pPr>
        <w:pStyle w:val="2"/>
        <w:spacing w:line="480" w:lineRule="exact"/>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89" w:name="_Toc347478698"/>
      <w:bookmarkStart w:id="90" w:name="_Toc21859"/>
      <w:bookmarkStart w:id="91" w:name="_Toc21632"/>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第五章 开标/评审</w:t>
      </w:r>
      <w:bookmarkEnd w:id="89"/>
      <w:bookmarkEnd w:id="90"/>
      <w:bookmarkEnd w:id="91"/>
    </w:p>
    <w:p>
      <w:pPr>
        <w:pStyle w:val="4"/>
        <w:spacing w:line="480" w:lineRule="exact"/>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92" w:name="_Toc6303"/>
      <w:bookmarkStart w:id="93" w:name="_Toc347478699"/>
      <w:bookmarkStart w:id="94" w:name="_Toc22692"/>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21.开标</w:t>
      </w:r>
      <w:bookmarkEnd w:id="92"/>
      <w:bookmarkEnd w:id="93"/>
      <w:bookmarkEnd w:id="94"/>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21.1 采购代理机构按“供应商须知前附表”所规定的时间和地点公开开标，开标仪式由采购代理机构主持，供应商、采购人代表及有关工作人员参加；</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21.2 开标程序：</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21.2.1开标由采购代理机构主持；</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21.2.2投标人不足3家的，不得开标；</w:t>
      </w:r>
      <w:r>
        <w:rPr>
          <w:rFonts w:hint="eastAsia" w:asciiTheme="minorEastAsia" w:hAnsiTheme="minorEastAsia" w:eastAsiaTheme="minorEastAsia" w:cstheme="minorEastAsia"/>
          <w:b/>
          <w:bCs/>
          <w:smallCaps w:val="0"/>
          <w:color w:val="000000" w:themeColor="text1"/>
          <w:spacing w:val="0"/>
          <w:sz w:val="24"/>
          <w:highlight w:val="none"/>
          <w:u w:val="single"/>
          <w14:textFill>
            <w14:solidFill>
              <w14:schemeClr w14:val="tx1"/>
            </w14:solidFill>
          </w14:textFill>
        </w:rPr>
        <w:t>投标人代表必须持本人身份证参加开标会，如投标人代表非法定代表人，还应持法定代表人授权书(该投标人代表与投标文件中的授权代表为同一人)，否则不接受其投标文件。</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21.2.3由供应商授权代表和监标人共同检查投标文件的密封情况；</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21.2.4经确认无误后，由采购代理机构工作人员当众拆封，宣布投标人名称、投标价格和招标文件规定的需要宣布的其他内容。</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21.2.5开标过程应当由采购人或者采购代理机构负责记录，由参加开标的各投标人代表和相关工作人员签字确认后随采购文件一并存档；</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21.2.6投标人未参加开标的，视同认可开标结果；</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21.3 公开招标数额标准以上的采购项目，投标截止后投标人不足3家或者通过资格审查或符合性审查的投标人不足3家的，除采购任务取消情形外，按照以下方式处理：</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21.3.1招标文件存在不合理条款或者招标程序不符合规定的，采购人、采购代理机构改正后依法重新招标；</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21.3.2招标文件没有不合理条款、招标程序符合规定，需要采用其他采购方式采购的，采购人应当依法报财政部门批准；</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21.4 公开招标采购项目开标结束后，采购人或者采购代理机构应当依法对投标人的资格进行审查。合格投标人不足3家的，不得评标。</w:t>
      </w:r>
    </w:p>
    <w:p>
      <w:pPr>
        <w:pStyle w:val="4"/>
        <w:spacing w:line="480" w:lineRule="exact"/>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95" w:name="_Toc8782"/>
      <w:bookmarkStart w:id="96" w:name="_Toc347478700"/>
      <w:bookmarkStart w:id="97" w:name="_Toc30943"/>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22.评标委员会</w:t>
      </w:r>
      <w:bookmarkEnd w:id="95"/>
      <w:bookmarkEnd w:id="96"/>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与评审</w:t>
      </w:r>
      <w:bookmarkEnd w:id="97"/>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22.1采购人和采购代理机构依法组建评标委员会。评标委员会由采购人和有关技术、经济专家组成，其中技术、经济专家人数不少于评标委员会总人数的2/3；</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22.2采购代理机构负责组织评标工作：</w:t>
      </w:r>
    </w:p>
    <w:p>
      <w:pPr>
        <w:pStyle w:val="12"/>
        <w:spacing w:line="480" w:lineRule="exact"/>
        <w:ind w:firstLine="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 xml:space="preserve">    22.2.1 核对评审专家身份和采购人代表授权函，对评审专家在政府采购活动中的职责履行情况予以记录，并及时将有关违法违规行为向财政部门报告；</w:t>
      </w:r>
    </w:p>
    <w:p>
      <w:pPr>
        <w:pStyle w:val="12"/>
        <w:spacing w:line="480" w:lineRule="exact"/>
        <w:ind w:firstLine="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　　22.2.2 宣布评标纪律；</w:t>
      </w:r>
    </w:p>
    <w:p>
      <w:pPr>
        <w:pStyle w:val="12"/>
        <w:spacing w:line="480" w:lineRule="exact"/>
        <w:ind w:firstLine="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　　22.2.3 公布投标人名单，告知评审专家应当回避的情形；</w:t>
      </w:r>
    </w:p>
    <w:p>
      <w:pPr>
        <w:pStyle w:val="12"/>
        <w:spacing w:line="480" w:lineRule="exact"/>
        <w:ind w:firstLine="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　　22.2.4 组织评标委员会推选评标组长，采购人代表不得担任组长；</w:t>
      </w:r>
    </w:p>
    <w:p>
      <w:pPr>
        <w:pStyle w:val="12"/>
        <w:spacing w:line="480" w:lineRule="exact"/>
        <w:ind w:firstLine="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　　22.2.5 在评标期间采取必要的通讯管理措施，保证评标活动不受外界干扰；</w:t>
      </w:r>
    </w:p>
    <w:p>
      <w:pPr>
        <w:pStyle w:val="12"/>
        <w:spacing w:line="480" w:lineRule="exact"/>
        <w:ind w:firstLine="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　　22.2.6 维护评标秩序，监督评标委员会依照招标文件规定的评标程序、方法和标准进行独立评审，及时制止和纠正采购人代表、评审专家的倾向性言论或者违法违规行为；</w:t>
      </w:r>
    </w:p>
    <w:p>
      <w:pPr>
        <w:pStyle w:val="12"/>
        <w:spacing w:line="480" w:lineRule="exact"/>
        <w:ind w:firstLine="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　　22.2.7 核对评标结果，有《政府采购货物和服务招标投标管理办法》（财政部第87号令）第六十四条规定情形的，要求评标委员会复核或者书面说明理由，评标委员会拒绝的，应予记录并向本级财政部门报告；</w:t>
      </w:r>
    </w:p>
    <w:p>
      <w:pPr>
        <w:pStyle w:val="12"/>
        <w:spacing w:line="480" w:lineRule="exact"/>
        <w:ind w:firstLine="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　　22.3 评标委员会负责具体评标事务：</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22.3.1 审查、评价投标文件是否符合招标文件的商务、技术等实质性要求；</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22.3.2 要求投标人对投标文件有关事项作出澄清或者说明；</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22.3.3 对投标文件进行比较和评价；</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22.3.4 确定中标候选人名单，以及根据采购人委托直接确定中标人；</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22.4 评标委员会按照以下程序进行评审，未通过上一程序审查的不能进入下一程序：</w:t>
      </w:r>
    </w:p>
    <w:p>
      <w:pPr>
        <w:spacing w:line="480" w:lineRule="exact"/>
        <w:ind w:left="1124" w:leftChars="228" w:hanging="645" w:hangingChars="269"/>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22.4.1投标文件资格性审查；</w:t>
      </w:r>
    </w:p>
    <w:p>
      <w:pPr>
        <w:spacing w:line="480" w:lineRule="exact"/>
        <w:ind w:left="1124" w:leftChars="228" w:hanging="645" w:hangingChars="269"/>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22.4.2投标文件符合性审查；</w:t>
      </w:r>
    </w:p>
    <w:p>
      <w:pPr>
        <w:spacing w:line="480" w:lineRule="exact"/>
        <w:ind w:left="1124" w:leftChars="228" w:hanging="645" w:hangingChars="269"/>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22.4.3投标文件详细评审。</w:t>
      </w:r>
    </w:p>
    <w:p>
      <w:pPr>
        <w:pStyle w:val="4"/>
        <w:spacing w:line="480" w:lineRule="exact"/>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98" w:name="_Toc19509"/>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23.投标及投标文件的有效性</w:t>
      </w:r>
      <w:bookmarkEnd w:id="98"/>
    </w:p>
    <w:p>
      <w:pPr>
        <w:overflowPunct w:val="0"/>
        <w:adjustRightInd w:val="0"/>
        <w:snapToGrid w:val="0"/>
        <w:spacing w:line="480" w:lineRule="exact"/>
        <w:ind w:firstLine="480" w:firstLineChars="200"/>
        <w:rPr>
          <w:rFonts w:hint="eastAsia" w:asciiTheme="minorEastAsia" w:hAnsiTheme="minorEastAsia" w:eastAsiaTheme="minorEastAsia" w:cstheme="minorEastAsia"/>
          <w:smallCaps w:val="0"/>
          <w:color w:val="000000" w:themeColor="text1"/>
          <w:spacing w:val="0"/>
          <w:kern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kern w:val="0"/>
          <w:sz w:val="24"/>
          <w:szCs w:val="24"/>
          <w:highlight w:val="none"/>
          <w14:textFill>
            <w14:solidFill>
              <w14:schemeClr w14:val="tx1"/>
            </w14:solidFill>
          </w14:textFill>
        </w:rPr>
        <w:t>经过对供应商及投标文件的资格性和符合性审查，出现下列情况者（但不限于），按无效投标处理：</w:t>
      </w:r>
    </w:p>
    <w:p>
      <w:pPr>
        <w:overflowPunct w:val="0"/>
        <w:adjustRightInd w:val="0"/>
        <w:snapToGrid w:val="0"/>
        <w:spacing w:line="480" w:lineRule="exact"/>
        <w:ind w:firstLine="480" w:firstLineChars="200"/>
        <w:rPr>
          <w:rFonts w:hint="eastAsia" w:asciiTheme="minorEastAsia" w:hAnsiTheme="minorEastAsia" w:eastAsiaTheme="minorEastAsia" w:cstheme="minorEastAsia"/>
          <w:smallCaps w:val="0"/>
          <w:color w:val="000000" w:themeColor="text1"/>
          <w:spacing w:val="0"/>
          <w:kern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kern w:val="0"/>
          <w:sz w:val="24"/>
          <w:szCs w:val="24"/>
          <w:highlight w:val="none"/>
          <w14:textFill>
            <w14:solidFill>
              <w14:schemeClr w14:val="tx1"/>
            </w14:solidFill>
          </w14:textFill>
        </w:rPr>
        <w:t>23.1 投标文件没有法定代表人授权书（法人直接投标除外）或授权书的合法性或有效性不符合招标文件规定；</w:t>
      </w:r>
    </w:p>
    <w:p>
      <w:pPr>
        <w:overflowPunct w:val="0"/>
        <w:adjustRightInd w:val="0"/>
        <w:snapToGrid w:val="0"/>
        <w:spacing w:line="480" w:lineRule="exact"/>
        <w:ind w:firstLine="480" w:firstLineChars="200"/>
        <w:rPr>
          <w:rFonts w:hint="eastAsia" w:asciiTheme="minorEastAsia" w:hAnsiTheme="minorEastAsia" w:eastAsiaTheme="minorEastAsia" w:cstheme="minorEastAsia"/>
          <w:smallCaps w:val="0"/>
          <w:color w:val="000000" w:themeColor="text1"/>
          <w:spacing w:val="0"/>
          <w:kern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kern w:val="0"/>
          <w:sz w:val="24"/>
          <w:szCs w:val="24"/>
          <w:highlight w:val="none"/>
          <w14:textFill>
            <w14:solidFill>
              <w14:schemeClr w14:val="tx1"/>
            </w14:solidFill>
          </w14:textFill>
        </w:rPr>
        <w:t>23.2供应商资质的有效性或符合性不符合要求的；</w:t>
      </w:r>
    </w:p>
    <w:p>
      <w:pPr>
        <w:overflowPunct w:val="0"/>
        <w:adjustRightInd w:val="0"/>
        <w:snapToGrid w:val="0"/>
        <w:spacing w:line="480" w:lineRule="exact"/>
        <w:ind w:firstLine="480" w:firstLineChars="200"/>
        <w:rPr>
          <w:rFonts w:hint="eastAsia" w:asciiTheme="minorEastAsia" w:hAnsiTheme="minorEastAsia" w:eastAsiaTheme="minorEastAsia" w:cstheme="minorEastAsia"/>
          <w:smallCaps w:val="0"/>
          <w:color w:val="000000" w:themeColor="text1"/>
          <w:spacing w:val="0"/>
          <w:kern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kern w:val="0"/>
          <w:sz w:val="24"/>
          <w:szCs w:val="24"/>
          <w:highlight w:val="none"/>
          <w14:textFill>
            <w14:solidFill>
              <w14:schemeClr w14:val="tx1"/>
            </w14:solidFill>
          </w14:textFill>
        </w:rPr>
        <w:t>23.3供应商未按招标文件要求提供投标保证金的；</w:t>
      </w:r>
    </w:p>
    <w:p>
      <w:pPr>
        <w:overflowPunct w:val="0"/>
        <w:adjustRightInd w:val="0"/>
        <w:snapToGrid w:val="0"/>
        <w:spacing w:line="480" w:lineRule="exact"/>
        <w:ind w:firstLine="480" w:firstLineChars="200"/>
        <w:rPr>
          <w:rFonts w:hint="eastAsia" w:asciiTheme="minorEastAsia" w:hAnsiTheme="minorEastAsia" w:eastAsiaTheme="minorEastAsia" w:cstheme="minorEastAsia"/>
          <w:smallCaps w:val="0"/>
          <w:color w:val="000000" w:themeColor="text1"/>
          <w:spacing w:val="0"/>
          <w:kern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kern w:val="0"/>
          <w:sz w:val="24"/>
          <w:szCs w:val="24"/>
          <w:highlight w:val="none"/>
          <w14:textFill>
            <w14:solidFill>
              <w14:schemeClr w14:val="tx1"/>
            </w14:solidFill>
          </w14:textFill>
        </w:rPr>
        <w:t>23.4投标文件的格式不符合招标文件要求、关键内容字迹模糊、无法辨认、前后矛盾的；</w:t>
      </w:r>
    </w:p>
    <w:p>
      <w:pPr>
        <w:overflowPunct w:val="0"/>
        <w:adjustRightInd w:val="0"/>
        <w:snapToGrid w:val="0"/>
        <w:spacing w:line="480" w:lineRule="exact"/>
        <w:ind w:firstLine="480" w:firstLineChars="200"/>
        <w:rPr>
          <w:rFonts w:hint="eastAsia" w:asciiTheme="minorEastAsia" w:hAnsiTheme="minorEastAsia" w:eastAsiaTheme="minorEastAsia" w:cstheme="minorEastAsia"/>
          <w:smallCaps w:val="0"/>
          <w:color w:val="000000" w:themeColor="text1"/>
          <w:spacing w:val="0"/>
          <w:kern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kern w:val="0"/>
          <w:sz w:val="24"/>
          <w:szCs w:val="24"/>
          <w:highlight w:val="none"/>
          <w14:textFill>
            <w14:solidFill>
              <w14:schemeClr w14:val="tx1"/>
            </w14:solidFill>
          </w14:textFill>
        </w:rPr>
        <w:t>23.5投标文件未按招标文件规定有效签字和盖章的；由供应商授权代表签字的,但未随投标文件一起提交有效的“授权委托书”原件的；</w:t>
      </w:r>
    </w:p>
    <w:p>
      <w:pPr>
        <w:overflowPunct w:val="0"/>
        <w:adjustRightInd w:val="0"/>
        <w:snapToGrid w:val="0"/>
        <w:spacing w:line="480" w:lineRule="exact"/>
        <w:ind w:firstLine="480" w:firstLineChars="200"/>
        <w:rPr>
          <w:rFonts w:hint="eastAsia" w:asciiTheme="minorEastAsia" w:hAnsiTheme="minorEastAsia" w:eastAsiaTheme="minorEastAsia" w:cstheme="minorEastAsia"/>
          <w:smallCaps w:val="0"/>
          <w:color w:val="000000" w:themeColor="text1"/>
          <w:spacing w:val="0"/>
          <w:kern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kern w:val="0"/>
          <w:sz w:val="24"/>
          <w:szCs w:val="24"/>
          <w:highlight w:val="none"/>
          <w14:textFill>
            <w14:solidFill>
              <w14:schemeClr w14:val="tx1"/>
            </w14:solidFill>
          </w14:textFill>
        </w:rPr>
        <w:t>23.6投标有效期不足的；</w:t>
      </w:r>
    </w:p>
    <w:p>
      <w:pPr>
        <w:overflowPunct w:val="0"/>
        <w:adjustRightInd w:val="0"/>
        <w:snapToGrid w:val="0"/>
        <w:spacing w:line="480" w:lineRule="exact"/>
        <w:ind w:firstLine="480" w:firstLineChars="200"/>
        <w:rPr>
          <w:rFonts w:hint="eastAsia" w:asciiTheme="minorEastAsia" w:hAnsiTheme="minorEastAsia" w:eastAsiaTheme="minorEastAsia" w:cstheme="minorEastAsia"/>
          <w:smallCaps w:val="0"/>
          <w:color w:val="000000" w:themeColor="text1"/>
          <w:spacing w:val="0"/>
          <w:kern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kern w:val="0"/>
          <w:sz w:val="24"/>
          <w:szCs w:val="24"/>
          <w:highlight w:val="none"/>
          <w14:textFill>
            <w14:solidFill>
              <w14:schemeClr w14:val="tx1"/>
            </w14:solidFill>
          </w14:textFill>
        </w:rPr>
        <w:t>23.7投标内容出现漏项或与要求不符，出现重大负偏差；</w:t>
      </w:r>
    </w:p>
    <w:p>
      <w:pPr>
        <w:overflowPunct w:val="0"/>
        <w:adjustRightInd w:val="0"/>
        <w:snapToGrid w:val="0"/>
        <w:spacing w:line="480" w:lineRule="exact"/>
        <w:ind w:firstLine="480" w:firstLineChars="200"/>
        <w:rPr>
          <w:rFonts w:hint="eastAsia" w:asciiTheme="minorEastAsia" w:hAnsiTheme="minorEastAsia" w:eastAsiaTheme="minorEastAsia" w:cstheme="minorEastAsia"/>
          <w:smallCaps w:val="0"/>
          <w:color w:val="000000" w:themeColor="text1"/>
          <w:spacing w:val="0"/>
          <w:kern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kern w:val="0"/>
          <w:sz w:val="24"/>
          <w:szCs w:val="24"/>
          <w:highlight w:val="none"/>
          <w14:textFill>
            <w14:solidFill>
              <w14:schemeClr w14:val="tx1"/>
            </w14:solidFill>
          </w14:textFill>
        </w:rPr>
        <w:t>23.8 投标文件的合同主要条款响应与招标文件要求不一致（交货期、质保及售后服务等项），附加了采购人难以接受的条件；</w:t>
      </w:r>
    </w:p>
    <w:p>
      <w:pPr>
        <w:overflowPunct w:val="0"/>
        <w:adjustRightInd w:val="0"/>
        <w:snapToGrid w:val="0"/>
        <w:spacing w:line="480" w:lineRule="exact"/>
        <w:ind w:firstLine="480" w:firstLineChars="200"/>
        <w:rPr>
          <w:rFonts w:hint="eastAsia" w:asciiTheme="minorEastAsia" w:hAnsiTheme="minorEastAsia" w:eastAsiaTheme="minorEastAsia" w:cstheme="minorEastAsia"/>
          <w:smallCaps w:val="0"/>
          <w:color w:val="000000" w:themeColor="text1"/>
          <w:spacing w:val="0"/>
          <w:kern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kern w:val="0"/>
          <w:sz w:val="24"/>
          <w:szCs w:val="24"/>
          <w:highlight w:val="none"/>
          <w14:textFill>
            <w14:solidFill>
              <w14:schemeClr w14:val="tx1"/>
            </w14:solidFill>
          </w14:textFill>
        </w:rPr>
        <w:t>23.9规定不接受选择方案和选择报价（包括交叉折扣）的，供应商提供了选择方案和/或选择报价（包括交叉折扣）；</w:t>
      </w:r>
    </w:p>
    <w:p>
      <w:pPr>
        <w:overflowPunct w:val="0"/>
        <w:adjustRightInd w:val="0"/>
        <w:snapToGrid w:val="0"/>
        <w:spacing w:line="480" w:lineRule="exact"/>
        <w:ind w:firstLine="480" w:firstLineChars="200"/>
        <w:rPr>
          <w:rFonts w:hint="eastAsia" w:asciiTheme="minorEastAsia" w:hAnsiTheme="minorEastAsia" w:eastAsiaTheme="minorEastAsia" w:cstheme="minorEastAsia"/>
          <w:smallCaps w:val="0"/>
          <w:color w:val="000000" w:themeColor="text1"/>
          <w:spacing w:val="0"/>
          <w:kern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kern w:val="0"/>
          <w:sz w:val="24"/>
          <w:szCs w:val="24"/>
          <w:highlight w:val="none"/>
          <w14:textFill>
            <w14:solidFill>
              <w14:schemeClr w14:val="tx1"/>
            </w14:solidFill>
          </w14:textFill>
        </w:rPr>
        <w:t>23.10 投标报价超过招标文件中规定的预算金额或者最高限价；</w:t>
      </w:r>
    </w:p>
    <w:p>
      <w:pPr>
        <w:overflowPunct w:val="0"/>
        <w:adjustRightInd w:val="0"/>
        <w:snapToGrid w:val="0"/>
        <w:spacing w:line="480" w:lineRule="exact"/>
        <w:ind w:firstLine="480" w:firstLineChars="200"/>
        <w:rPr>
          <w:rFonts w:hint="eastAsia" w:asciiTheme="minorEastAsia" w:hAnsiTheme="minorEastAsia" w:eastAsiaTheme="minorEastAsia" w:cstheme="minorEastAsia"/>
          <w:b/>
          <w:bCs/>
          <w:smallCaps w:val="0"/>
          <w:color w:val="000000" w:themeColor="text1"/>
          <w:spacing w:val="0"/>
          <w:kern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kern w:val="0"/>
          <w:sz w:val="24"/>
          <w:szCs w:val="24"/>
          <w:highlight w:val="none"/>
          <w14:textFill>
            <w14:solidFill>
              <w14:schemeClr w14:val="tx1"/>
            </w14:solidFill>
          </w14:textFill>
        </w:rPr>
        <w:t xml:space="preserve">23.11 </w:t>
      </w:r>
      <w:r>
        <w:rPr>
          <w:rFonts w:hint="eastAsia" w:asciiTheme="minorEastAsia" w:hAnsiTheme="minorEastAsia" w:eastAsiaTheme="minorEastAsia" w:cstheme="minorEastAsia"/>
          <w:b/>
          <w:bCs/>
          <w:smallCaps w:val="0"/>
          <w:color w:val="000000" w:themeColor="text1"/>
          <w:spacing w:val="0"/>
          <w:kern w:val="0"/>
          <w:sz w:val="24"/>
          <w:szCs w:val="24"/>
          <w:highlight w:val="none"/>
          <w14:textFill>
            <w14:solidFill>
              <w14:schemeClr w14:val="tx1"/>
            </w14:solidFill>
          </w14:textFill>
        </w:rPr>
        <w:t>评标委员会认为投标人的报价明显低于其他通过符合性审查投标人的报价，有可能影响产品质量或者不能诚信履约的，可要求该供应商在规定期限内，提供必要的书面文件予以解释和说明并附带相关证明材料，证明其报价合理性的；否则，评标委员会认定该供应商以低于成本价竞价，其响应文件作无效投标文件处理；</w:t>
      </w:r>
    </w:p>
    <w:p>
      <w:pPr>
        <w:overflowPunct w:val="0"/>
        <w:adjustRightInd w:val="0"/>
        <w:snapToGrid w:val="0"/>
        <w:spacing w:line="480" w:lineRule="exact"/>
        <w:ind w:firstLine="480" w:firstLineChars="200"/>
        <w:rPr>
          <w:rFonts w:hint="eastAsia" w:asciiTheme="minorEastAsia" w:hAnsiTheme="minorEastAsia" w:eastAsiaTheme="minorEastAsia" w:cstheme="minorEastAsia"/>
          <w:smallCaps w:val="0"/>
          <w:color w:val="000000" w:themeColor="text1"/>
          <w:spacing w:val="0"/>
          <w:kern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kern w:val="0"/>
          <w:sz w:val="24"/>
          <w:szCs w:val="24"/>
          <w:highlight w:val="none"/>
          <w14:textFill>
            <w14:solidFill>
              <w14:schemeClr w14:val="tx1"/>
            </w14:solidFill>
          </w14:textFill>
        </w:rPr>
        <w:t>23.11提供虚假资质，开具虚假证明，出现虚假应答；</w:t>
      </w:r>
    </w:p>
    <w:p>
      <w:pPr>
        <w:overflowPunct w:val="0"/>
        <w:adjustRightInd w:val="0"/>
        <w:snapToGrid w:val="0"/>
        <w:spacing w:line="480" w:lineRule="exact"/>
        <w:ind w:firstLine="480" w:firstLineChars="200"/>
        <w:rPr>
          <w:rFonts w:hint="eastAsia" w:asciiTheme="minorEastAsia" w:hAnsiTheme="minorEastAsia" w:eastAsiaTheme="minorEastAsia" w:cstheme="minorEastAsia"/>
          <w:smallCaps w:val="0"/>
          <w:color w:val="000000" w:themeColor="text1"/>
          <w:spacing w:val="0"/>
          <w:kern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kern w:val="0"/>
          <w:sz w:val="24"/>
          <w:szCs w:val="24"/>
          <w:highlight w:val="none"/>
          <w14:textFill>
            <w14:solidFill>
              <w14:schemeClr w14:val="tx1"/>
            </w14:solidFill>
          </w14:textFill>
        </w:rPr>
        <w:t>23.12供应商有违法违规行为的；</w:t>
      </w:r>
    </w:p>
    <w:p>
      <w:pPr>
        <w:widowControl/>
        <w:spacing w:line="480" w:lineRule="exact"/>
        <w:ind w:firstLine="480" w:firstLineChars="200"/>
        <w:rPr>
          <w:rFonts w:hint="eastAsia" w:asciiTheme="minorEastAsia" w:hAnsiTheme="minorEastAsia" w:eastAsiaTheme="minorEastAsia" w:cstheme="minorEastAsia"/>
          <w:smallCaps w:val="0"/>
          <w:color w:val="000000" w:themeColor="text1"/>
          <w:spacing w:val="0"/>
          <w:kern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kern w:val="0"/>
          <w:sz w:val="24"/>
          <w:szCs w:val="24"/>
          <w:highlight w:val="none"/>
          <w14:textFill>
            <w14:solidFill>
              <w14:schemeClr w14:val="tx1"/>
            </w14:solidFill>
          </w14:textFill>
        </w:rPr>
        <w:t>23.13其他法律法规规定的无效投标情形。</w:t>
      </w:r>
    </w:p>
    <w:p>
      <w:pPr>
        <w:pStyle w:val="4"/>
        <w:spacing w:line="480" w:lineRule="exact"/>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99" w:name="_Toc24612"/>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24.对投标文件的审查和响应性的确定</w:t>
      </w:r>
      <w:bookmarkEnd w:id="99"/>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24.1评标委员会将组织审查投标文件是否完整，规定的技术方案是否提交，要求的投标保证金是否已有效提供，文件是否按招标文件规定签署。</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24.2评标委员会将确定每一投标供应商是否对招标文件的要求作出了实质性的响应，而没有重大偏离。实质性响应的投标是指投标符合招标文件的所有条款、条件和规定且没有重大偏离或保留。</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24.3 评标委员会有权拒绝被确定为非实质性响应的投标，投标人不能通过修正或撤回不符合之处而使其投标成为实质性响应的投标。</w:t>
      </w:r>
    </w:p>
    <w:p>
      <w:pPr>
        <w:pStyle w:val="4"/>
        <w:spacing w:line="480" w:lineRule="exact"/>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100" w:name="_Toc31730"/>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25.投标文件的澄清</w:t>
      </w:r>
      <w:bookmarkEnd w:id="100"/>
    </w:p>
    <w:p>
      <w:pPr>
        <w:overflowPunct w:val="0"/>
        <w:adjustRightInd w:val="0"/>
        <w:snapToGrid w:val="0"/>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25.1 对于投标文件中含义不明确、同类问题表述不一致或者有明显文字和计算错误的内容，评标委员会应当要求投标人作出必要的澄清、说明或者补正。</w:t>
      </w:r>
    </w:p>
    <w:p>
      <w:pPr>
        <w:overflowPunct w:val="0"/>
        <w:adjustRightInd w:val="0"/>
        <w:snapToGrid w:val="0"/>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25.2 投标人的澄清、说明或者补正应当采用书面形式加盖公章，并由法定代表人或其授权的代表签字。投标人的澄清、说明或者补正不得超出投标文件的范围或者改变投标文件的实质性内容。</w:t>
      </w:r>
    </w:p>
    <w:p>
      <w:pPr>
        <w:pStyle w:val="4"/>
        <w:spacing w:line="480" w:lineRule="exact"/>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101" w:name="_Toc23910"/>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26.投标文件的评估和比较</w:t>
      </w:r>
      <w:bookmarkEnd w:id="101"/>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26.1对所有实质性响应招标文件要求的投标文件，评标委员会将采用相同的程序和标准，遵循公平、公正、科学和择优的原则，按综合评分法进行评审，确定供应商的排名；</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26.2 评标标准和方法详见本招标文件第四部分“评标方法”；</w:t>
      </w:r>
    </w:p>
    <w:p>
      <w:pPr>
        <w:pStyle w:val="12"/>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26.3 投标文件报价出现前后不一致的，除招标文件另有规定外，按照下列规定修正：</w:t>
      </w:r>
    </w:p>
    <w:p>
      <w:pPr>
        <w:pStyle w:val="12"/>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26.3.1 投标文件中开标一览表（报价表）内容与投标文件中相应内容不一致的，以开标一览表（报价表）为准；</w:t>
      </w:r>
    </w:p>
    <w:p>
      <w:pPr>
        <w:pStyle w:val="12"/>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26.3.2 大写金额和小写金额不一致的，以大写金额为准；</w:t>
      </w:r>
    </w:p>
    <w:p>
      <w:pPr>
        <w:pStyle w:val="12"/>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26.3.3 单价金额小数点或者百分比有明显错位的，以开标一览表的总价为准，并修改单价；</w:t>
      </w:r>
    </w:p>
    <w:p>
      <w:pPr>
        <w:pStyle w:val="12"/>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26.3.4 总价金额与按单价汇总金额不一致的，以单价金额计算结果为准。</w:t>
      </w:r>
    </w:p>
    <w:p>
      <w:pPr>
        <w:pStyle w:val="12"/>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26.3.5 同时出现两种以上不一致的，按照上述规定的顺序修正。修正后的报价按照《政府采购货物和服务招标投标管理办法》（财政部第87号令）第五十一条第二款的规定经投标人确认后产生约束力，投标人不确认的，其投标无效。</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26.4 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26.4评标委员会根据全体评标成员签字的原始评标记录和评标结果编写评标报告。</w:t>
      </w:r>
    </w:p>
    <w:p>
      <w:pPr>
        <w:pStyle w:val="4"/>
        <w:spacing w:line="480" w:lineRule="exact"/>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102" w:name="_Toc10080"/>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27.评标过程的保密</w:t>
      </w:r>
      <w:bookmarkEnd w:id="102"/>
    </w:p>
    <w:p>
      <w:pPr>
        <w:pStyle w:val="12"/>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27.1 采购人、采购代理机构应当采取必要措施，保证评标在严格保密的情况下进行。除采购人代表、评标现场组织人员外，采购人的其他工作人员以及与评标工作无关的人员不得进入评标现场。</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27.2 开标后直至授予中标供应商合同为止，评标委员会成员和与评标工作有关的工作人员不得透露对投标文件的评审和比较、中标候选人的推荐情况以及与评标有关的其他情况；</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27.3 在投标文件的评审和比较、中标候选人推荐以及授予合同的过程中，供应商向采购人、采购代理机构和评标委员会施加影响的任何行为，都将会导致其投标被拒绝；</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27.4中标供应商确定后，采购人不对未中标供应商就评标过程以及未能</w:t>
      </w:r>
      <w:r>
        <w:rPr>
          <w:rFonts w:hint="eastAsia" w:asciiTheme="minorEastAsia" w:hAnsiTheme="minorEastAsia" w:eastAsiaTheme="minorEastAsia" w:cstheme="minorEastAsia"/>
          <w:smallCaps w:val="0"/>
          <w:color w:val="000000" w:themeColor="text1"/>
          <w:spacing w:val="0"/>
          <w:sz w:val="24"/>
          <w:szCs w:val="24"/>
          <w:highlight w:val="none"/>
          <w:lang w:val="en-US" w:eastAsia="zh-CN"/>
          <w14:textFill>
            <w14:solidFill>
              <w14:schemeClr w14:val="tx1"/>
            </w14:solidFill>
          </w14:textFill>
        </w:rPr>
        <w:t>中标</w:t>
      </w: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原因作出任何解释。未中标供应商不得向评标委员会组成人员或其他有关人员询问评审过程的情况。</w:t>
      </w:r>
    </w:p>
    <w:p>
      <w:pPr>
        <w:pStyle w:val="2"/>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103" w:name="_Hlt491765714"/>
      <w:bookmarkEnd w:id="103"/>
      <w:bookmarkStart w:id="104" w:name="_Toc347478703"/>
      <w:bookmarkStart w:id="105" w:name="_Toc497546880"/>
      <w:bookmarkStart w:id="106" w:name="_Toc497712095"/>
      <w:bookmarkStart w:id="107" w:name="_Toc32515"/>
      <w:bookmarkStart w:id="108" w:name="_Toc6053"/>
      <w:bookmarkStart w:id="109" w:name="_Toc385992360"/>
      <w:bookmarkStart w:id="110" w:name="_Toc389620199"/>
      <w:bookmarkStart w:id="111" w:name="_Toc497551782"/>
      <w:bookmarkStart w:id="112" w:name="_Toc492955421"/>
      <w:bookmarkStart w:id="113" w:name="_Toc497711547"/>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第六章 中标/合同</w:t>
      </w:r>
      <w:bookmarkEnd w:id="104"/>
      <w:bookmarkEnd w:id="105"/>
      <w:bookmarkEnd w:id="106"/>
      <w:bookmarkEnd w:id="107"/>
      <w:bookmarkEnd w:id="108"/>
      <w:bookmarkEnd w:id="109"/>
      <w:bookmarkEnd w:id="110"/>
      <w:bookmarkEnd w:id="111"/>
      <w:bookmarkEnd w:id="112"/>
      <w:bookmarkEnd w:id="113"/>
    </w:p>
    <w:p>
      <w:pPr>
        <w:pStyle w:val="4"/>
        <w:spacing w:line="480" w:lineRule="exact"/>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114" w:name="_Toc385992361"/>
      <w:bookmarkStart w:id="115" w:name="_Toc12161"/>
      <w:bookmarkStart w:id="116" w:name="_Toc347478704"/>
      <w:bookmarkStart w:id="117" w:name="_Toc389620200"/>
      <w:bookmarkStart w:id="118" w:name="_Toc20655"/>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28.中标准则</w:t>
      </w:r>
      <w:bookmarkEnd w:id="114"/>
      <w:bookmarkEnd w:id="115"/>
      <w:bookmarkEnd w:id="116"/>
      <w:bookmarkEnd w:id="117"/>
      <w:bookmarkEnd w:id="118"/>
    </w:p>
    <w:p>
      <w:pPr>
        <w:tabs>
          <w:tab w:val="left" w:pos="1080"/>
        </w:tabs>
        <w:spacing w:afterLines="50"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28.1 采购人可以委托评标委员会直接确定排名第一的供应商为中标人；采购人未委托的，采购代理机构应当在评标结束后2个工作日内将评标报告送采购人。采购人应当自收到评标报告之日起５个工作日内，在评标报告确定的中标候选人名单中按顺序确定中标人。</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28.2 排名第一的中标候选人放弃中标、因不可抗力提出不能履行合同，或者招标文件规定应当提交履约保证金而在规定的期限内未能提交，或者被查实存在影响中标结果的违法行为等情形，不符合中标条件的，采购人可以按照评标委员会提出的中标候选人名单排序依次确定其他中标候选人为中标供应商，依次确定其他中标候选人与采购人预期差距较大，或者对采购人明显不利的，采购人可以重新招标；</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28.3 本项目不保证最低价中标</w:t>
      </w:r>
      <w:bookmarkStart w:id="119" w:name="_Toc385992362"/>
      <w:bookmarkStart w:id="120" w:name="_Toc389620201"/>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w:t>
      </w: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ab/>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28.4 采购代理机构自中标人确定之日起2个工作日内，在省级以上财政部门指定的媒体上公告中标结果，同时，发出中标通知书。中标公告期限为1个工作日；</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28.4 中标通知书发出30天内，中标供应商不能按投标文件，包括补充文件（如澄清、承诺等）中承诺的条件履行签约行为，采购人有权废标，并扣除其投标保证金。</w:t>
      </w:r>
      <w:bookmarkEnd w:id="119"/>
      <w:bookmarkEnd w:id="120"/>
      <w:bookmarkStart w:id="121" w:name="_Toc385992364"/>
      <w:bookmarkStart w:id="122" w:name="_Toc389620203"/>
    </w:p>
    <w:p>
      <w:pPr>
        <w:pStyle w:val="4"/>
        <w:spacing w:line="480" w:lineRule="exact"/>
        <w:ind w:left="420"/>
        <w:rPr>
          <w:rFonts w:hint="eastAsia" w:asciiTheme="minorEastAsia" w:hAnsiTheme="minorEastAsia" w:eastAsiaTheme="minorEastAsia" w:cstheme="minorEastAsia"/>
          <w:smallCaps w:val="0"/>
          <w:color w:val="000000" w:themeColor="text1"/>
          <w:spacing w:val="0"/>
          <w:szCs w:val="24"/>
          <w:highlight w:val="none"/>
          <w14:textFill>
            <w14:solidFill>
              <w14:schemeClr w14:val="tx1"/>
            </w14:solidFill>
          </w14:textFill>
        </w:rPr>
      </w:pPr>
      <w:bookmarkStart w:id="123" w:name="_Toc27317"/>
      <w:bookmarkStart w:id="124" w:name="_Toc347478705"/>
      <w:bookmarkStart w:id="125" w:name="_Toc889"/>
      <w:r>
        <w:rPr>
          <w:rFonts w:hint="eastAsia" w:asciiTheme="minorEastAsia" w:hAnsiTheme="minorEastAsia" w:eastAsiaTheme="minorEastAsia" w:cstheme="minorEastAsia"/>
          <w:smallCaps w:val="0"/>
          <w:color w:val="000000" w:themeColor="text1"/>
          <w:spacing w:val="0"/>
          <w:szCs w:val="24"/>
          <w:highlight w:val="none"/>
          <w14:textFill>
            <w14:solidFill>
              <w14:schemeClr w14:val="tx1"/>
            </w14:solidFill>
          </w14:textFill>
        </w:rPr>
        <w:t>2</w:t>
      </w:r>
      <w:bookmarkEnd w:id="121"/>
      <w:bookmarkEnd w:id="122"/>
      <w:r>
        <w:rPr>
          <w:rFonts w:hint="eastAsia" w:asciiTheme="minorEastAsia" w:hAnsiTheme="minorEastAsia" w:eastAsiaTheme="minorEastAsia" w:cstheme="minorEastAsia"/>
          <w:smallCaps w:val="0"/>
          <w:color w:val="000000" w:themeColor="text1"/>
          <w:spacing w:val="0"/>
          <w:szCs w:val="24"/>
          <w:highlight w:val="none"/>
          <w14:textFill>
            <w14:solidFill>
              <w14:schemeClr w14:val="tx1"/>
            </w14:solidFill>
          </w14:textFill>
        </w:rPr>
        <w:t>9.中标通知</w:t>
      </w:r>
      <w:bookmarkEnd w:id="123"/>
      <w:bookmarkEnd w:id="124"/>
      <w:bookmarkEnd w:id="125"/>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29.1 采购代理机构向中标供应商发出中标通知书，其他供应商的投标保证金，将按16.2条款规定退还；</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29.2 中标通知书作为签订合同的依据，并成为合同的一个组成部分。</w:t>
      </w:r>
    </w:p>
    <w:p>
      <w:pPr>
        <w:pStyle w:val="4"/>
        <w:spacing w:line="480" w:lineRule="exact"/>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126" w:name="_Toc389620205"/>
      <w:bookmarkStart w:id="127" w:name="_Toc385992366"/>
      <w:bookmarkStart w:id="128" w:name="_Toc25890"/>
      <w:bookmarkStart w:id="129" w:name="_Toc7982"/>
      <w:bookmarkStart w:id="130" w:name="_Toc347478706"/>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30.签订合同</w:t>
      </w:r>
      <w:bookmarkEnd w:id="126"/>
      <w:bookmarkEnd w:id="127"/>
      <w:bookmarkEnd w:id="128"/>
      <w:bookmarkEnd w:id="129"/>
      <w:bookmarkEnd w:id="130"/>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30.1 中标供应商应在规定时间内与采购人签订合同，否则按违约处理，其投标保证金不予退还。</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30.2 招标文件、中标供应商的投标文件和补充文件（如澄清、承诺等）等，均为有法律约束力的合同组成部分。</w:t>
      </w:r>
      <w:bookmarkStart w:id="131" w:name="_Toc11154"/>
      <w:bookmarkEnd w:id="131"/>
    </w:p>
    <w:p>
      <w:pPr>
        <w:pStyle w:val="4"/>
        <w:pageBreakBefore w:val="0"/>
        <w:widowControl w:val="0"/>
        <w:kinsoku/>
        <w:wordWrap/>
        <w:overflowPunct/>
        <w:topLinePunct w:val="0"/>
        <w:bidi w:val="0"/>
        <w:snapToGrid/>
        <w:spacing w:line="480" w:lineRule="exact"/>
        <w:ind w:firstLine="0" w:firstLineChars="0"/>
        <w:textAlignment w:val="auto"/>
        <w:rPr>
          <w:rFonts w:hint="eastAsia" w:asciiTheme="minorEastAsia" w:hAnsiTheme="minorEastAsia" w:eastAsiaTheme="minorEastAsia" w:cstheme="minorEastAsia"/>
          <w:b/>
          <w:bCs/>
          <w:smallCaps w:val="0"/>
          <w:color w:val="000000" w:themeColor="text1"/>
          <w:spacing w:val="0"/>
          <w:kern w:val="2"/>
          <w:sz w:val="24"/>
          <w:szCs w:val="24"/>
          <w:highlight w:val="none"/>
          <w:lang w:val="en-US" w:eastAsia="zh-CN" w:bidi="ar-SA"/>
          <w14:textFill>
            <w14:solidFill>
              <w14:schemeClr w14:val="tx1"/>
            </w14:solidFill>
          </w14:textFill>
        </w:rPr>
      </w:pPr>
      <w:bookmarkStart w:id="132" w:name="_Toc22356"/>
      <w:r>
        <w:rPr>
          <w:rFonts w:hint="eastAsia" w:asciiTheme="minorEastAsia" w:hAnsiTheme="minorEastAsia" w:eastAsiaTheme="minorEastAsia" w:cstheme="minorEastAsia"/>
          <w:b/>
          <w:bCs/>
          <w:smallCaps w:val="0"/>
          <w:color w:val="000000" w:themeColor="text1"/>
          <w:spacing w:val="0"/>
          <w:kern w:val="2"/>
          <w:sz w:val="24"/>
          <w:szCs w:val="24"/>
          <w:highlight w:val="none"/>
          <w:lang w:val="en-US" w:eastAsia="zh-CN" w:bidi="ar-SA"/>
          <w14:textFill>
            <w14:solidFill>
              <w14:schemeClr w14:val="tx1"/>
            </w14:solidFill>
          </w14:textFill>
        </w:rPr>
        <w:t>31.代理服务费</w:t>
      </w:r>
      <w:bookmarkEnd w:id="132"/>
    </w:p>
    <w:p>
      <w:pPr>
        <w:pStyle w:val="12"/>
        <w:keepNext w:val="0"/>
        <w:keepLines w:val="0"/>
        <w:pageBreakBefore w:val="0"/>
        <w:widowControl w:val="0"/>
        <w:kinsoku/>
        <w:wordWrap/>
        <w:overflowPunct/>
        <w:topLinePunct w:val="0"/>
        <w:autoSpaceDE w:val="0"/>
        <w:autoSpaceDN w:val="0"/>
        <w:bidi w:val="0"/>
        <w:adjustRightInd w:val="0"/>
        <w:snapToGrid/>
        <w:spacing w:after="0" w:line="480" w:lineRule="exact"/>
        <w:ind w:left="0" w:leftChars="0" w:firstLine="480" w:firstLineChars="200"/>
        <w:textAlignment w:val="auto"/>
        <w:rPr>
          <w:rFonts w:hint="eastAsia" w:asciiTheme="minorEastAsia" w:hAnsiTheme="minorEastAsia" w:eastAsiaTheme="minorEastAsia" w:cstheme="minorEastAsia"/>
          <w:b w:val="0"/>
          <w:smallCaps w:val="0"/>
          <w:color w:val="000000" w:themeColor="text1"/>
          <w:spacing w:val="0"/>
          <w:kern w:val="2"/>
          <w:sz w:val="24"/>
          <w:szCs w:val="24"/>
          <w:highlight w:val="none"/>
          <w:lang w:val="en-US" w:eastAsia="zh-CN" w:bidi="ar-SA"/>
          <w14:textFill>
            <w14:solidFill>
              <w14:schemeClr w14:val="tx1"/>
            </w14:solidFill>
          </w14:textFill>
        </w:rPr>
      </w:pPr>
      <w:r>
        <w:rPr>
          <w:rFonts w:hint="eastAsia" w:asciiTheme="minorEastAsia" w:hAnsiTheme="minorEastAsia" w:eastAsiaTheme="minorEastAsia" w:cstheme="minorEastAsia"/>
          <w:b w:val="0"/>
          <w:smallCaps w:val="0"/>
          <w:color w:val="000000" w:themeColor="text1"/>
          <w:spacing w:val="0"/>
          <w:kern w:val="2"/>
          <w:sz w:val="24"/>
          <w:szCs w:val="24"/>
          <w:highlight w:val="none"/>
          <w:lang w:val="en-US" w:eastAsia="zh-CN" w:bidi="ar-SA"/>
          <w14:textFill>
            <w14:solidFill>
              <w14:schemeClr w14:val="tx1"/>
            </w14:solidFill>
          </w14:textFill>
        </w:rPr>
        <w:t>（1）</w:t>
      </w: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采购代理服务费：本项目采购代理服务费</w:t>
      </w:r>
      <w:r>
        <w:rPr>
          <w:rFonts w:hint="eastAsia" w:asciiTheme="minorEastAsia" w:hAnsiTheme="minorEastAsia" w:eastAsiaTheme="minorEastAsia" w:cstheme="minorEastAsia"/>
          <w:smallCaps w:val="0"/>
          <w:color w:val="000000" w:themeColor="text1"/>
          <w:spacing w:val="0"/>
          <w:sz w:val="24"/>
          <w:szCs w:val="24"/>
          <w:highlight w:val="none"/>
          <w:lang w:eastAsia="zh-CN"/>
          <w14:textFill>
            <w14:solidFill>
              <w14:schemeClr w14:val="tx1"/>
            </w14:solidFill>
          </w14:textFill>
        </w:rPr>
        <w:t>参考</w:t>
      </w: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《招标代理服务收费管理暂行办法》（计价格〔2002〕1980号）、发改价格〔2011〕534号标准计算，由</w:t>
      </w:r>
      <w:r>
        <w:rPr>
          <w:rFonts w:hint="eastAsia" w:asciiTheme="minorEastAsia" w:hAnsiTheme="minorEastAsia" w:eastAsiaTheme="minorEastAsia" w:cstheme="minorEastAsia"/>
          <w:smallCaps w:val="0"/>
          <w:color w:val="000000" w:themeColor="text1"/>
          <w:spacing w:val="0"/>
          <w:sz w:val="24"/>
          <w:szCs w:val="24"/>
          <w:highlight w:val="none"/>
          <w:lang w:val="en-US" w:eastAsia="zh-CN"/>
          <w14:textFill>
            <w14:solidFill>
              <w14:schemeClr w14:val="tx1"/>
            </w14:solidFill>
          </w14:textFill>
        </w:rPr>
        <w:t>中标供应商</w:t>
      </w: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在</w:t>
      </w:r>
      <w:r>
        <w:rPr>
          <w:rFonts w:hint="eastAsia" w:asciiTheme="minorEastAsia" w:hAnsiTheme="minorEastAsia" w:eastAsiaTheme="minorEastAsia" w:cstheme="minorEastAsia"/>
          <w:smallCaps w:val="0"/>
          <w:color w:val="000000" w:themeColor="text1"/>
          <w:spacing w:val="0"/>
          <w:sz w:val="24"/>
          <w:szCs w:val="24"/>
          <w:highlight w:val="none"/>
          <w:lang w:val="en-US" w:eastAsia="zh-CN"/>
          <w14:textFill>
            <w14:solidFill>
              <w14:schemeClr w14:val="tx1"/>
            </w14:solidFill>
          </w14:textFill>
        </w:rPr>
        <w:t>领取中标</w:t>
      </w: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通知书</w:t>
      </w:r>
      <w:r>
        <w:rPr>
          <w:rFonts w:hint="eastAsia" w:asciiTheme="minorEastAsia" w:hAnsiTheme="minorEastAsia" w:eastAsiaTheme="minorEastAsia" w:cstheme="minorEastAsia"/>
          <w:smallCaps w:val="0"/>
          <w:color w:val="000000" w:themeColor="text1"/>
          <w:spacing w:val="0"/>
          <w:sz w:val="24"/>
          <w:szCs w:val="24"/>
          <w:highlight w:val="none"/>
          <w:lang w:val="en-US" w:eastAsia="zh-CN"/>
          <w14:textFill>
            <w14:solidFill>
              <w14:schemeClr w14:val="tx1"/>
            </w14:solidFill>
          </w14:textFill>
        </w:rPr>
        <w:t>时向采购代理机构</w:t>
      </w: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一次性</w:t>
      </w:r>
      <w:r>
        <w:rPr>
          <w:rFonts w:hint="eastAsia" w:asciiTheme="minorEastAsia" w:hAnsiTheme="minorEastAsia" w:eastAsiaTheme="minorEastAsia" w:cstheme="minorEastAsia"/>
          <w:smallCaps w:val="0"/>
          <w:color w:val="000000" w:themeColor="text1"/>
          <w:spacing w:val="0"/>
          <w:sz w:val="24"/>
          <w:szCs w:val="24"/>
          <w:highlight w:val="none"/>
          <w:lang w:val="en-US" w:eastAsia="zh-CN"/>
          <w14:textFill>
            <w14:solidFill>
              <w14:schemeClr w14:val="tx1"/>
            </w14:solidFill>
          </w14:textFill>
        </w:rPr>
        <w:t>付清</w:t>
      </w: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w:t>
      </w:r>
    </w:p>
    <w:p>
      <w:pPr>
        <w:pStyle w:val="12"/>
        <w:keepNext w:val="0"/>
        <w:keepLines w:val="0"/>
        <w:pageBreakBefore w:val="0"/>
        <w:widowControl w:val="0"/>
        <w:tabs>
          <w:tab w:val="left" w:pos="578"/>
        </w:tabs>
        <w:kinsoku/>
        <w:wordWrap/>
        <w:overflowPunct/>
        <w:topLinePunct w:val="0"/>
        <w:autoSpaceDE w:val="0"/>
        <w:autoSpaceDN w:val="0"/>
        <w:bidi w:val="0"/>
        <w:adjustRightInd w:val="0"/>
        <w:snapToGrid/>
        <w:spacing w:line="480" w:lineRule="exact"/>
        <w:ind w:firstLine="480" w:firstLineChars="200"/>
        <w:textAlignment w:val="auto"/>
        <w:rPr>
          <w:rFonts w:hint="eastAsia" w:asciiTheme="minorEastAsia" w:hAnsiTheme="minorEastAsia" w:eastAsiaTheme="minorEastAsia" w:cstheme="minorEastAsia"/>
          <w:smallCaps w:val="0"/>
          <w:color w:val="000000" w:themeColor="text1"/>
          <w:spacing w:val="0"/>
          <w:sz w:val="24"/>
          <w:szCs w:val="24"/>
          <w:highlight w:val="none"/>
          <w:lang w:eastAsia="zh-CN"/>
          <w14:textFill>
            <w14:solidFill>
              <w14:schemeClr w14:val="tx1"/>
            </w14:solidFill>
          </w14:textFill>
        </w:rPr>
      </w:pPr>
      <w:r>
        <w:rPr>
          <w:rFonts w:hint="eastAsia" w:asciiTheme="minorEastAsia" w:hAnsiTheme="minorEastAsia" w:eastAsiaTheme="minorEastAsia" w:cstheme="minorEastAsia"/>
          <w:b w:val="0"/>
          <w:smallCaps w:val="0"/>
          <w:color w:val="000000" w:themeColor="text1"/>
          <w:spacing w:val="0"/>
          <w:kern w:val="2"/>
          <w:sz w:val="24"/>
          <w:szCs w:val="24"/>
          <w:highlight w:val="none"/>
          <w:lang w:val="en-US" w:eastAsia="zh-CN" w:bidi="ar-SA"/>
          <w14:textFill>
            <w14:solidFill>
              <w14:schemeClr w14:val="tx1"/>
            </w14:solidFill>
          </w14:textFill>
        </w:rPr>
        <w:t>（2）采购代理服务费的交纳方式：中标供应商在领取中标通知书时按上述收费标准，以转账或现金形式向采购代理机构直接缴纳。</w:t>
      </w:r>
    </w:p>
    <w:p>
      <w:pP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pStyle w:val="12"/>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pStyle w:val="12"/>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pStyle w:val="12"/>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sectPr>
          <w:footerReference r:id="rId7" w:type="default"/>
          <w:pgSz w:w="11906" w:h="16838"/>
          <w:pgMar w:top="1440" w:right="1800" w:bottom="1440" w:left="1800" w:header="851" w:footer="992" w:gutter="0"/>
          <w:cols w:space="720" w:num="1"/>
          <w:docGrid w:type="lines" w:linePitch="312" w:charSpace="0"/>
        </w:sectPr>
      </w:pPr>
    </w:p>
    <w:p>
      <w:pPr>
        <w:pStyle w:val="3"/>
        <w:spacing w:line="480" w:lineRule="exact"/>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133" w:name="_Toc5260"/>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第三部分 采购需求</w:t>
      </w:r>
      <w:bookmarkEnd w:id="133"/>
    </w:p>
    <w:p>
      <w:pP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p>
    <w:p>
      <w:pPr>
        <w:spacing w:line="480" w:lineRule="exact"/>
        <w:ind w:firstLine="480" w:firstLineChars="200"/>
        <w:rPr>
          <w:rFonts w:hint="eastAsia" w:asciiTheme="minorEastAsia" w:hAnsiTheme="minorEastAsia" w:eastAsiaTheme="minorEastAsia" w:cstheme="minorEastAsia"/>
          <w:smallCaps w:val="0"/>
          <w:color w:val="auto"/>
          <w:spacing w:val="0"/>
          <w:sz w:val="24"/>
          <w:szCs w:val="24"/>
          <w:highlight w:val="none"/>
          <w:lang w:eastAsia="zh-CN"/>
        </w:rPr>
      </w:pPr>
      <w:bookmarkStart w:id="134" w:name="_Toc360314467"/>
      <w:bookmarkEnd w:id="134"/>
      <w:bookmarkStart w:id="135" w:name="_Toc360365892"/>
      <w:bookmarkEnd w:id="135"/>
      <w:bookmarkStart w:id="136" w:name="_Toc360314473"/>
      <w:bookmarkEnd w:id="136"/>
      <w:bookmarkStart w:id="137" w:name="_Toc360365887"/>
      <w:bookmarkEnd w:id="137"/>
      <w:bookmarkStart w:id="138" w:name="_Toc360394860"/>
      <w:bookmarkEnd w:id="138"/>
      <w:bookmarkStart w:id="139" w:name="_Toc360394875"/>
      <w:bookmarkEnd w:id="139"/>
      <w:bookmarkStart w:id="140" w:name="_Toc360394867"/>
      <w:bookmarkEnd w:id="140"/>
      <w:bookmarkStart w:id="141" w:name="_Toc360368339"/>
      <w:bookmarkEnd w:id="141"/>
      <w:bookmarkStart w:id="142" w:name="_Toc360366384"/>
      <w:bookmarkEnd w:id="142"/>
      <w:bookmarkStart w:id="143" w:name="_Toc360314474"/>
      <w:bookmarkEnd w:id="143"/>
      <w:bookmarkStart w:id="144" w:name="_Toc360366381"/>
      <w:bookmarkEnd w:id="144"/>
      <w:bookmarkStart w:id="145" w:name="_Toc360368340"/>
      <w:bookmarkEnd w:id="145"/>
      <w:bookmarkStart w:id="146" w:name="_Toc360314468"/>
      <w:bookmarkEnd w:id="146"/>
      <w:bookmarkStart w:id="147" w:name="_Toc360314477"/>
      <w:bookmarkEnd w:id="147"/>
      <w:bookmarkStart w:id="148" w:name="_Toc360368349"/>
      <w:bookmarkEnd w:id="148"/>
      <w:bookmarkStart w:id="149" w:name="_Toc360365897"/>
      <w:bookmarkEnd w:id="149"/>
      <w:bookmarkStart w:id="150" w:name="_Toc360366390"/>
      <w:bookmarkEnd w:id="150"/>
      <w:bookmarkStart w:id="151" w:name="_Toc360314472"/>
      <w:bookmarkEnd w:id="151"/>
      <w:bookmarkStart w:id="152" w:name="_Toc360314471"/>
      <w:bookmarkEnd w:id="152"/>
      <w:bookmarkStart w:id="153" w:name="_Toc360394861"/>
      <w:bookmarkEnd w:id="153"/>
      <w:bookmarkStart w:id="154" w:name="_Toc360365895"/>
      <w:bookmarkEnd w:id="154"/>
      <w:bookmarkStart w:id="155" w:name="_Toc360314476"/>
      <w:bookmarkEnd w:id="155"/>
      <w:bookmarkStart w:id="156" w:name="_Toc360366382"/>
      <w:bookmarkEnd w:id="156"/>
      <w:bookmarkStart w:id="157" w:name="_Toc360365894"/>
      <w:bookmarkEnd w:id="157"/>
      <w:bookmarkStart w:id="158" w:name="_Toc360368347"/>
      <w:bookmarkEnd w:id="158"/>
      <w:bookmarkStart w:id="159" w:name="_Toc360394869"/>
      <w:bookmarkEnd w:id="159"/>
      <w:bookmarkStart w:id="160" w:name="_Toc360368345"/>
      <w:bookmarkEnd w:id="160"/>
      <w:bookmarkStart w:id="161" w:name="_Toc360394866"/>
      <w:bookmarkEnd w:id="161"/>
      <w:bookmarkStart w:id="162" w:name="_Toc360314464"/>
      <w:bookmarkEnd w:id="162"/>
      <w:bookmarkStart w:id="163" w:name="_Toc360366378"/>
      <w:bookmarkEnd w:id="163"/>
      <w:bookmarkStart w:id="164" w:name="_Toc360368352"/>
      <w:bookmarkEnd w:id="164"/>
      <w:bookmarkStart w:id="165" w:name="_Toc360366386"/>
      <w:bookmarkEnd w:id="165"/>
      <w:bookmarkStart w:id="166" w:name="_Toc360368350"/>
      <w:bookmarkEnd w:id="166"/>
      <w:bookmarkStart w:id="167" w:name="_Toc360365900"/>
      <w:bookmarkEnd w:id="167"/>
      <w:bookmarkStart w:id="168" w:name="_Toc360368351"/>
      <w:bookmarkEnd w:id="168"/>
      <w:bookmarkStart w:id="169" w:name="_Toc360394863"/>
      <w:bookmarkEnd w:id="169"/>
      <w:bookmarkStart w:id="170" w:name="_Toc360314475"/>
      <w:bookmarkEnd w:id="170"/>
      <w:bookmarkStart w:id="171" w:name="_Toc360394865"/>
      <w:bookmarkEnd w:id="171"/>
      <w:bookmarkStart w:id="172" w:name="_Toc360368344"/>
      <w:bookmarkEnd w:id="172"/>
      <w:bookmarkStart w:id="173" w:name="_Toc360366387"/>
      <w:bookmarkEnd w:id="173"/>
      <w:bookmarkStart w:id="174" w:name="_Toc360368342"/>
      <w:bookmarkEnd w:id="174"/>
      <w:bookmarkStart w:id="175" w:name="_Toc360366392"/>
      <w:bookmarkEnd w:id="175"/>
      <w:bookmarkStart w:id="176" w:name="_Toc360394870"/>
      <w:bookmarkEnd w:id="176"/>
      <w:bookmarkStart w:id="177" w:name="_Toc360314465"/>
      <w:bookmarkEnd w:id="177"/>
      <w:bookmarkStart w:id="178" w:name="_Toc360394864"/>
      <w:bookmarkEnd w:id="178"/>
      <w:bookmarkStart w:id="179" w:name="_Toc360366377"/>
      <w:bookmarkEnd w:id="179"/>
      <w:bookmarkStart w:id="180" w:name="_Toc360368343"/>
      <w:bookmarkEnd w:id="180"/>
      <w:bookmarkStart w:id="181" w:name="_Toc360366385"/>
      <w:bookmarkEnd w:id="181"/>
      <w:bookmarkStart w:id="182" w:name="_Toc360365890"/>
      <w:bookmarkEnd w:id="182"/>
      <w:bookmarkStart w:id="183" w:name="_Toc360365901"/>
      <w:bookmarkEnd w:id="183"/>
      <w:bookmarkStart w:id="184" w:name="_Toc360366379"/>
      <w:bookmarkEnd w:id="184"/>
      <w:bookmarkStart w:id="185" w:name="_Toc360314462"/>
      <w:bookmarkEnd w:id="185"/>
      <w:bookmarkStart w:id="186" w:name="_Toc360365899"/>
      <w:bookmarkEnd w:id="186"/>
      <w:bookmarkStart w:id="187" w:name="_Toc360366388"/>
      <w:bookmarkEnd w:id="187"/>
      <w:bookmarkStart w:id="188" w:name="_Toc360365896"/>
      <w:bookmarkEnd w:id="188"/>
      <w:bookmarkStart w:id="189" w:name="_Toc360368353"/>
      <w:bookmarkEnd w:id="189"/>
      <w:bookmarkStart w:id="190" w:name="_Toc360394873"/>
      <w:bookmarkEnd w:id="190"/>
      <w:bookmarkStart w:id="191" w:name="_Toc360368348"/>
      <w:bookmarkEnd w:id="191"/>
      <w:bookmarkStart w:id="192" w:name="_Toc360314469"/>
      <w:bookmarkEnd w:id="192"/>
      <w:bookmarkStart w:id="193" w:name="_Toc360365886"/>
      <w:bookmarkEnd w:id="193"/>
      <w:bookmarkStart w:id="194" w:name="_Toc360365889"/>
      <w:bookmarkEnd w:id="194"/>
      <w:bookmarkStart w:id="195" w:name="_Toc360368346"/>
      <w:bookmarkEnd w:id="195"/>
      <w:bookmarkStart w:id="196" w:name="_Toc360394872"/>
      <w:bookmarkEnd w:id="196"/>
      <w:bookmarkStart w:id="197" w:name="_Toc360365898"/>
      <w:bookmarkEnd w:id="197"/>
      <w:bookmarkStart w:id="198" w:name="_Toc360368338"/>
      <w:bookmarkEnd w:id="198"/>
      <w:bookmarkStart w:id="199" w:name="_Toc360394862"/>
      <w:bookmarkEnd w:id="199"/>
      <w:bookmarkStart w:id="200" w:name="_Toc360314463"/>
      <w:bookmarkEnd w:id="200"/>
      <w:bookmarkStart w:id="201" w:name="_Toc360366380"/>
      <w:bookmarkEnd w:id="201"/>
      <w:bookmarkStart w:id="202" w:name="_Toc360394868"/>
      <w:bookmarkEnd w:id="202"/>
      <w:bookmarkStart w:id="203" w:name="_Toc360365888"/>
      <w:bookmarkEnd w:id="203"/>
      <w:bookmarkStart w:id="204" w:name="_Toc360314470"/>
      <w:bookmarkEnd w:id="204"/>
      <w:bookmarkStart w:id="205" w:name="_Toc360394874"/>
      <w:bookmarkEnd w:id="205"/>
      <w:bookmarkStart w:id="206" w:name="_Toc360314466"/>
      <w:bookmarkEnd w:id="206"/>
      <w:bookmarkStart w:id="207" w:name="_Toc360365891"/>
      <w:bookmarkEnd w:id="207"/>
      <w:bookmarkStart w:id="208" w:name="_Toc360394871"/>
      <w:bookmarkEnd w:id="208"/>
      <w:bookmarkStart w:id="209" w:name="_Toc360366389"/>
      <w:bookmarkEnd w:id="209"/>
      <w:bookmarkStart w:id="210" w:name="_Toc360366391"/>
      <w:bookmarkEnd w:id="210"/>
      <w:bookmarkStart w:id="211" w:name="_Toc360365893"/>
      <w:bookmarkEnd w:id="211"/>
      <w:bookmarkStart w:id="212" w:name="_Toc360366383"/>
      <w:bookmarkEnd w:id="212"/>
      <w:bookmarkStart w:id="213" w:name="_Toc360368341"/>
      <w:bookmarkEnd w:id="213"/>
      <w:r>
        <w:rPr>
          <w:rFonts w:hint="eastAsia" w:asciiTheme="minorEastAsia" w:hAnsiTheme="minorEastAsia" w:eastAsiaTheme="minorEastAsia" w:cstheme="minorEastAsia"/>
          <w:smallCaps w:val="0"/>
          <w:color w:val="auto"/>
          <w:spacing w:val="0"/>
          <w:sz w:val="24"/>
          <w:szCs w:val="24"/>
          <w:highlight w:val="none"/>
        </w:rPr>
        <w:t>一、采购项目名称</w:t>
      </w:r>
      <w:r>
        <w:rPr>
          <w:rFonts w:hint="eastAsia" w:asciiTheme="minorEastAsia" w:hAnsiTheme="minorEastAsia" w:eastAsiaTheme="minorEastAsia" w:cstheme="minorEastAsia"/>
          <w:smallCaps w:val="0"/>
          <w:color w:val="auto"/>
          <w:spacing w:val="0"/>
          <w:sz w:val="24"/>
          <w:szCs w:val="24"/>
          <w:highlight w:val="none"/>
          <w:lang w:eastAsia="zh-CN"/>
        </w:rPr>
        <w:t>：</w:t>
      </w:r>
      <w:r>
        <w:rPr>
          <w:rFonts w:hint="eastAsia" w:asciiTheme="minorEastAsia" w:hAnsiTheme="minorEastAsia" w:eastAsiaTheme="minorEastAsia" w:cstheme="minorEastAsia"/>
          <w:smallCaps w:val="0"/>
          <w:color w:val="auto"/>
          <w:spacing w:val="0"/>
          <w:kern w:val="0"/>
          <w:sz w:val="24"/>
          <w:szCs w:val="24"/>
          <w:highlight w:val="none"/>
          <w:lang w:val="en-US" w:eastAsia="zh-CN"/>
        </w:rPr>
        <w:t>中小学远程同步互动教室设备采购项目</w:t>
      </w:r>
    </w:p>
    <w:p>
      <w:pPr>
        <w:spacing w:line="480" w:lineRule="exact"/>
        <w:ind w:firstLine="480" w:firstLineChars="200"/>
        <w:rPr>
          <w:rFonts w:hint="default" w:asciiTheme="minorEastAsia" w:hAnsiTheme="minorEastAsia" w:eastAsiaTheme="minorEastAsia" w:cstheme="minorEastAsia"/>
          <w:smallCaps w:val="0"/>
          <w:color w:val="auto"/>
          <w:spacing w:val="0"/>
          <w:sz w:val="24"/>
          <w:szCs w:val="24"/>
          <w:highlight w:val="none"/>
          <w:lang w:val="en-US" w:eastAsia="zh-CN"/>
        </w:rPr>
      </w:pPr>
      <w:r>
        <w:rPr>
          <w:rFonts w:hint="eastAsia" w:asciiTheme="minorEastAsia" w:hAnsiTheme="minorEastAsia" w:eastAsiaTheme="minorEastAsia" w:cstheme="minorEastAsia"/>
          <w:smallCaps w:val="0"/>
          <w:color w:val="auto"/>
          <w:spacing w:val="0"/>
          <w:sz w:val="24"/>
          <w:szCs w:val="24"/>
          <w:highlight w:val="none"/>
        </w:rPr>
        <w:t>二、采购项目编号</w:t>
      </w:r>
      <w:r>
        <w:rPr>
          <w:rFonts w:hint="eastAsia" w:asciiTheme="minorEastAsia" w:hAnsiTheme="minorEastAsia" w:eastAsiaTheme="minorEastAsia" w:cstheme="minorEastAsia"/>
          <w:smallCaps w:val="0"/>
          <w:color w:val="auto"/>
          <w:spacing w:val="0"/>
          <w:sz w:val="24"/>
          <w:szCs w:val="24"/>
          <w:highlight w:val="none"/>
          <w:lang w:eastAsia="zh-CN"/>
        </w:rPr>
        <w:t>：</w:t>
      </w:r>
      <w:r>
        <w:rPr>
          <w:rFonts w:hint="eastAsia" w:ascii="宋体" w:hAnsi="宋体" w:eastAsia="宋体" w:cs="宋体"/>
          <w:b w:val="0"/>
          <w:bCs w:val="0"/>
          <w:smallCaps w:val="0"/>
          <w:color w:val="auto"/>
          <w:spacing w:val="0"/>
          <w:kern w:val="2"/>
          <w:sz w:val="22"/>
          <w:szCs w:val="22"/>
          <w:lang w:val="en-US" w:eastAsia="zh-CN" w:bidi="ar"/>
        </w:rPr>
        <w:t>JDZB-2021-0</w:t>
      </w:r>
      <w:r>
        <w:rPr>
          <w:rFonts w:hint="eastAsia" w:ascii="宋体" w:hAnsi="宋体" w:cs="宋体"/>
          <w:b w:val="0"/>
          <w:bCs w:val="0"/>
          <w:smallCaps w:val="0"/>
          <w:color w:val="auto"/>
          <w:spacing w:val="0"/>
          <w:kern w:val="2"/>
          <w:sz w:val="22"/>
          <w:szCs w:val="22"/>
          <w:lang w:val="en-US" w:eastAsia="zh-CN" w:bidi="ar"/>
        </w:rPr>
        <w:t>52</w:t>
      </w:r>
    </w:p>
    <w:p>
      <w:pPr>
        <w:spacing w:line="480" w:lineRule="exact"/>
        <w:ind w:firstLine="480" w:firstLineChars="200"/>
        <w:rPr>
          <w:rFonts w:hint="eastAsia" w:asciiTheme="minorEastAsia" w:hAnsiTheme="minorEastAsia" w:eastAsiaTheme="minorEastAsia" w:cstheme="minorEastAsia"/>
          <w:smallCaps w:val="0"/>
          <w:color w:val="auto"/>
          <w:spacing w:val="0"/>
          <w:sz w:val="24"/>
          <w:szCs w:val="24"/>
          <w:highlight w:val="none"/>
          <w:lang w:val="en-US" w:eastAsia="zh-CN"/>
        </w:rPr>
      </w:pPr>
      <w:r>
        <w:rPr>
          <w:rFonts w:hint="eastAsia" w:asciiTheme="minorEastAsia" w:hAnsiTheme="minorEastAsia" w:eastAsiaTheme="minorEastAsia" w:cstheme="minorEastAsia"/>
          <w:smallCaps w:val="0"/>
          <w:color w:val="auto"/>
          <w:spacing w:val="0"/>
          <w:sz w:val="24"/>
          <w:szCs w:val="24"/>
          <w:highlight w:val="none"/>
        </w:rPr>
        <w:t>三、</w:t>
      </w:r>
      <w:r>
        <w:rPr>
          <w:rFonts w:hint="eastAsia" w:asciiTheme="minorEastAsia" w:hAnsiTheme="minorEastAsia" w:eastAsiaTheme="minorEastAsia" w:cstheme="minorEastAsia"/>
          <w:smallCaps w:val="0"/>
          <w:color w:val="auto"/>
          <w:spacing w:val="0"/>
          <w:sz w:val="24"/>
          <w:szCs w:val="24"/>
          <w:highlight w:val="none"/>
          <w:lang w:eastAsia="zh-CN"/>
        </w:rPr>
        <w:t>供货</w:t>
      </w:r>
      <w:r>
        <w:rPr>
          <w:rFonts w:hint="eastAsia" w:asciiTheme="minorEastAsia" w:hAnsiTheme="minorEastAsia" w:eastAsiaTheme="minorEastAsia" w:cstheme="minorEastAsia"/>
          <w:smallCaps w:val="0"/>
          <w:color w:val="auto"/>
          <w:spacing w:val="0"/>
          <w:sz w:val="24"/>
          <w:szCs w:val="24"/>
          <w:highlight w:val="none"/>
          <w:lang w:val="en-US" w:eastAsia="zh-CN"/>
        </w:rPr>
        <w:t>期：30日历天；</w:t>
      </w:r>
    </w:p>
    <w:p>
      <w:pPr>
        <w:spacing w:line="480" w:lineRule="exact"/>
        <w:ind w:firstLine="480" w:firstLineChars="200"/>
        <w:rPr>
          <w:rFonts w:hint="eastAsia" w:asciiTheme="minorEastAsia" w:hAnsiTheme="minorEastAsia" w:eastAsiaTheme="minorEastAsia" w:cstheme="minorEastAsia"/>
          <w:smallCaps w:val="0"/>
          <w:color w:val="auto"/>
          <w:spacing w:val="0"/>
          <w:sz w:val="24"/>
          <w:szCs w:val="24"/>
          <w:highlight w:val="none"/>
          <w:lang w:val="en-US" w:eastAsia="zh-CN"/>
        </w:rPr>
      </w:pPr>
      <w:r>
        <w:rPr>
          <w:rFonts w:hint="eastAsia" w:asciiTheme="minorEastAsia" w:hAnsiTheme="minorEastAsia" w:eastAsiaTheme="minorEastAsia" w:cstheme="minorEastAsia"/>
          <w:smallCaps w:val="0"/>
          <w:color w:val="auto"/>
          <w:spacing w:val="0"/>
          <w:sz w:val="24"/>
          <w:szCs w:val="24"/>
          <w:highlight w:val="none"/>
        </w:rPr>
        <w:t>四、采购</w:t>
      </w:r>
      <w:r>
        <w:rPr>
          <w:rFonts w:hint="eastAsia" w:asciiTheme="minorEastAsia" w:hAnsiTheme="minorEastAsia" w:eastAsiaTheme="minorEastAsia" w:cstheme="minorEastAsia"/>
          <w:smallCaps w:val="0"/>
          <w:color w:val="auto"/>
          <w:spacing w:val="0"/>
          <w:sz w:val="24"/>
          <w:szCs w:val="24"/>
          <w:highlight w:val="none"/>
          <w:lang w:eastAsia="zh-CN"/>
        </w:rPr>
        <w:t>预算</w:t>
      </w:r>
      <w:r>
        <w:rPr>
          <w:rFonts w:hint="eastAsia" w:asciiTheme="minorEastAsia" w:hAnsiTheme="minorEastAsia" w:eastAsiaTheme="minorEastAsia" w:cstheme="minorEastAsia"/>
          <w:smallCaps w:val="0"/>
          <w:color w:val="auto"/>
          <w:spacing w:val="0"/>
          <w:sz w:val="24"/>
          <w:szCs w:val="24"/>
          <w:highlight w:val="none"/>
          <w:lang w:val="en-US" w:eastAsia="zh-CN"/>
        </w:rPr>
        <w:t>：400.00万元；</w:t>
      </w:r>
    </w:p>
    <w:p>
      <w:pPr>
        <w:pStyle w:val="12"/>
        <w:ind w:left="0" w:leftChars="0" w:firstLine="480" w:firstLineChars="0"/>
        <w:rPr>
          <w:rFonts w:hint="eastAsia" w:asciiTheme="minorEastAsia" w:hAnsiTheme="minorEastAsia" w:eastAsiaTheme="minorEastAsia" w:cstheme="minorEastAsia"/>
          <w:smallCaps w:val="0"/>
          <w:color w:val="auto"/>
          <w:spacing w:val="0"/>
          <w:sz w:val="24"/>
          <w:szCs w:val="24"/>
          <w:highlight w:val="none"/>
          <w:lang w:val="en-US" w:eastAsia="zh-CN"/>
        </w:rPr>
      </w:pPr>
      <w:r>
        <w:rPr>
          <w:rFonts w:hint="eastAsia" w:asciiTheme="minorEastAsia" w:hAnsiTheme="minorEastAsia" w:eastAsiaTheme="minorEastAsia" w:cstheme="minorEastAsia"/>
          <w:smallCaps w:val="0"/>
          <w:color w:val="auto"/>
          <w:spacing w:val="0"/>
          <w:sz w:val="24"/>
          <w:szCs w:val="24"/>
          <w:highlight w:val="none"/>
          <w:lang w:val="en-US" w:eastAsia="zh-CN"/>
        </w:rPr>
        <w:t>五、质保期：三年。</w:t>
      </w:r>
    </w:p>
    <w:p>
      <w:pPr>
        <w:pStyle w:val="12"/>
        <w:ind w:left="0" w:leftChars="0" w:firstLine="480" w:firstLineChars="0"/>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六、采购清单：</w:t>
      </w:r>
    </w:p>
    <w:tbl>
      <w:tblPr>
        <w:tblStyle w:val="23"/>
        <w:tblW w:w="8329"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9"/>
        <w:gridCol w:w="855"/>
        <w:gridCol w:w="630"/>
        <w:gridCol w:w="690"/>
        <w:gridCol w:w="55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329" w:type="dxa"/>
            <w:gridSpan w:val="5"/>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green"/>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3" w:hRule="atLeast"/>
        </w:trPr>
        <w:tc>
          <w:tcPr>
            <w:tcW w:w="832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highlight w:val="green"/>
                <w:u w:val="none"/>
              </w:rPr>
            </w:pPr>
            <w:r>
              <w:rPr>
                <w:rFonts w:hint="eastAsia" w:ascii="宋体" w:hAnsi="宋体" w:eastAsia="宋体" w:cs="宋体"/>
                <w:i w:val="0"/>
                <w:iCs w:val="0"/>
                <w:color w:val="000000"/>
                <w:kern w:val="0"/>
                <w:sz w:val="28"/>
                <w:szCs w:val="28"/>
                <w:highlight w:val="none"/>
                <w:u w:val="none"/>
                <w:lang w:val="en-US" w:eastAsia="zh-CN" w:bidi="ar"/>
              </w:rPr>
              <w:t>一、互动录播教室部分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8" w:hRule="atLeast"/>
        </w:trPr>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设备</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名称</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5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参   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6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互动录播设备</w:t>
            </w:r>
          </w:p>
        </w:tc>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55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1)录播主机须采用嵌入式硬件架构设计， 整机配置ARM双核处理器、 Linux系统、1TB存储硬盘、支持SATA3.0、2GB系统内存。</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2)整机高度一体化，支持音视频采集、音视频编码、视频处理、音频处理、直播、录制、互动、参数设置等功能。</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3)★录播主机与高清液晶触控屏一体化设计，屏幕尺寸不小于15英寸，屏幕需为液晶电容屏，通过触控屏可实现导播操控且能够查看预监导播画面。（提供检测报告复印件并加盖厂家公章）</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4)整机具备开机、关机和节能三键合一。</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5)整机屏幕要求加装不小于3mm厚的钢化玻璃，保障安全性。</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6)USB接口数量≥3个。</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7)整机RJ45接口≥4个，其中POE接口≥3个。</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8)主机采用双网卡，摄像机接入网络和外网网络彼此隔离，两块网卡能够独立工作，互不影响。</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9)★整机HDMI输出接口数量≥3个，支持3840*2160@60HZ输出，且支持音视频同步输出。（提供检测报告复印件并加盖厂家公章）</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10)内置无线音频接收模块，整机无需外接音频接收模块，即可支持无线麦克风连接，至少支持2种不同类型的无线麦克风接入。</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11)支持录制时长设定，录制时长到达后可自动停止录制，支持设定时长包含40分钟、1小时、2小时、6小时、12小时，用户可根据需要提前结束录制。录制过程中，用户可通过主机一体化触控屏查看当前已录制时长。</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12)支持摄像机接入检测，摄像机离线会在主机屏幕上显示离线状态和对应的错误码。。</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13)主机支持H.264(BP/MP/HP)视频编码/解码，可扩展支持H.265编码/解码。</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14)主机在支持不少于8路1080P30fps编码的同时，支持不少于8路1080P30fps解码。</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15)★整机功耗≤40W。（提供检测报告复印件并加盖厂家公章）</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16)整机符合GB/T 2423.1-2019、GB/T 2423.2-2019、GB/T 2423.10-2019，0℃~40℃环境下可正常工作，在-20℃~60℃的环境下可正常贮存且贮存后功能无损，具备抗振动、防跌落特性，保证整机运输或使用过程中不易受损。（提供检测报告复印件并加盖厂家公章）</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17)支持用户在录播主机上随时查看已录制视频总容量，并采用百分比的形式便于用户清楚了解主机硬盘使用情况。</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18)设备支持本地升级，可通过U盘实现设备升级，同时支持OTA在线升级，升级过程支持版本号校验，支持在线下载升级包自动完成升级。</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19)整机具备内置扬声器，具备音频检测功能，用户可通过主机内置扬声器播放的提示音判断声音是否正常，通过主机一体化屏幕直接进行文件预览，可同步播放声音。</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20)具备自动息屏功能，避免屏幕常亮干扰课堂，同时支持用户设置自动息屏时间，适应不同使用场景。</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21)支持单个文件删除，支持文件夹删除，支持批量文件删除，支持批量文件夹删除，支持清空视频功能，可一键清空主机视频。</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22)支持FTP远程自动上传录像，录制停止后自动上传视频文件到FTP服务器，支持断点续传。</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23)主机支持手动时间设置，可手动设置年月日时分秒。主机支持自动时间设置，打开自动时间设置后主机会自动获取当前时间。</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24)支持上电自启动，设备通电后系统可自动启动，可通过软件设置开启或关闭上电自启动功能，支持定时开关机，可设定定时开关机时间。</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25)★支持通过IOT平台，通过web网页和公网环境，即可完成设备的远程配置，支持唤醒、关机、重启、参数配置操作。（提供检测报告复印件并加盖厂家公章）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4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互动录播系统</w:t>
            </w:r>
          </w:p>
        </w:tc>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55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1)用户可直接在触控录播主机上进行操作，一键开启、停止录制，所见即所得，保证较好的实时性和流畅性。</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2)为避免屏幕常亮干扰课堂教学，设备具备自动息屏功能，同时息屏时间用户可以自定义，适应不同使用场景。</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3)支持视频H.264编码，支持音频AAC/PCM编码，音视频同步录制，标准的流媒体MP4文件格式。</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4)在导播界面的预览窗口可实时观看教师全景/特写、学生全景/特写、多媒体电脑共五路画面，点击可进行画面切换。预监画面可实时推流给资源平台，实现平台直播。</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5)支持电影模式和资源模式同步录制，可根据用户的不同需求选择录制模式。</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 xml:space="preserve">6)支持FTP远程自动上传录像，录制停止后自动上传视频文件到FTP服务器，支持断点续传。 </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7)支持录播主机配置参数的导入导出，方便用户进行升级和调试。导播主画面实时显示拾音麦克风音量大小，并以音频进度条的形式呈现，方便老师实时了解录音状态。</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8)可根据用户实际的使用需求，选择需要自动导播的画面。</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9)支持设置视频录制清晰度，方便用户调整视频文件大小。</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10)具备自动导播切换延时设置，可根据用户习惯设置导播画面最短停留时长，避免过快切换导致的视频观看体验不佳。</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11)具备多媒体画面的像素值灵敏度设置，可根据用户习惯设置多媒体画面灵敏度的感应范围。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left"/>
              <w:rPr>
                <w:rFonts w:hint="eastAsia" w:ascii="宋体" w:hAnsi="宋体" w:eastAsia="宋体" w:cs="宋体"/>
                <w:i w:val="0"/>
                <w:iCs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嵌入式互动录播软件系统服务</w:t>
            </w:r>
          </w:p>
        </w:tc>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90" w:type="dxa"/>
            <w:vMerge w:val="restart"/>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05" w:type="dxa"/>
            <w:tcBorders>
              <w:top w:val="single" w:color="auto" w:sz="4" w:space="0"/>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1)支持标准SIP互动协议，支持与标准SIP终端实现音视频互动。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2)互动单向延时＜300ms。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3)互动过程唇音同步，音画不同步时间差＜50ms。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3"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4)互动过程支持网络监测，可在互动录播电脑主机一体化屏幕上实时显示当前互动网络状态，可同时看到主讲教室和所有听讲教室的网络状态。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5)可设置双流自动发送，设置自动发送后，呼叫建立，主讲教室将自动发送双流。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6)支持码率自适应，可根据网络状态，自适应调整码流大小，始终保障互动过程音视频流畅。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7)互动系统具备回声消除功能，在主讲教室与听讲教室同时发言的情况下，保证双方语音清晰，双方体验良好。。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8)★支持微信扫码登录，无需单独输入账号，使用微信扫描录播主机一体化触控屏上显示的二维码即可登录互动系统，登录后可显示用户头像和用户名。（提供检测报告复印件并加盖厂家公章）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9)支持跨运营商互动，通过云端多运营商自适应切换技术，可最大程度优化跨运营商带来的大延时。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10)支持课堂互动功能，授课过程中老师可通过在互动录播电脑主机一体化屏幕上单击听课教室画面将其切换为主画面，并与该教室实时连麦对讲，实现异地互动。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11)支持课程预约功能，录播主机能够接收平台下发的互动课表，并显示于互动录播电脑主机一体化触控屏上，用户点击课表即可立即加入课堂，进行实时互动。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5"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12)★系统支持抗丢包算法，录播主机双向互动过程中，在系统总丢包率80%的网络环境下，视频清晰，语音连贯。（提供检测报告复印件并加盖厂家公章）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超高清定位摄像设备</w:t>
            </w:r>
          </w:p>
        </w:tc>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690"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5505"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1)4K教师摄像机镜头水平视场角≥ 40°，4K学生摄像机镜头水平视场角≥ 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2)一体化集成设计，支持4K超高清，最大可提供4K@30fps图像编码输出，同时向下兼容1080p，720p等分辨率。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3)全景画面支持畸变矫正功能。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4)全景画面与特写画面必须采用相同图像传感器和图像处理器，确保两者图像输出亮度、颜色、风格等保持一致。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5)内置图像识别跟踪算法，无需物理转动，即可实现平滑自然的跟踪效果，避免干扰课堂教学。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6)整机接口:≥1路RJ45。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7)支持POE有线网络供电，只需要1路网线，即可实现供电及信号传输，支持同时输出特写和全景等多路画面。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8)传感器尺寸：≥CMOS 1/2.5英寸。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9)传感器有效像素≥850万。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0" w:hRule="atLeast"/>
        </w:trPr>
        <w:tc>
          <w:tcPr>
            <w:tcW w:w="649"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auto"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10)网络流传输协议：TCP, HTTP, UDP，RTSP, RTMP, ONVIF。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55"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超高清定位摄像服务</w:t>
            </w:r>
          </w:p>
        </w:tc>
        <w:tc>
          <w:tcPr>
            <w:tcW w:w="63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69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5505"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摄像系统集成服务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超高清教师/学生特写、全景摄像设备</w:t>
            </w:r>
          </w:p>
        </w:tc>
        <w:tc>
          <w:tcPr>
            <w:tcW w:w="630" w:type="dxa"/>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690" w:type="dxa"/>
            <w:vMerge w:val="restart"/>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5505" w:type="dxa"/>
            <w:tcBorders>
              <w:top w:val="single" w:color="auto" w:sz="4" w:space="0"/>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1)设备采用ARM硬件架构，linux操作系统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2)采用1/2.8英寸、250万全高清 CMOS传感器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3)摄像机同时支持SDI、HDMI、网络、CVBS四种视频输出接口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4)支持不少于3路1080P画面同时输出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5)支持不少于20倍光学变焦，16倍数字变焦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6)云台水平转动范围不小于±170°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7)云台垂直转动范围不小于±30°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8)支持至少1个音频输入接口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9)支持不少于2个RS232接口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10)至少支持1个RS485接口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11)</w:t>
            </w:r>
            <w:r>
              <w:rPr>
                <w:rFonts w:hint="eastAsia" w:ascii="宋体" w:hAnsi="宋体" w:eastAsia="宋体" w:cs="宋体"/>
                <w:i w:val="0"/>
                <w:iCs w:val="0"/>
                <w:color w:val="000000"/>
                <w:kern w:val="0"/>
                <w:sz w:val="20"/>
                <w:szCs w:val="20"/>
                <w:u w:val="none"/>
                <w:lang w:val="en-US" w:eastAsia="zh-CN" w:bidi="ar"/>
              </w:rPr>
              <w:t>至少支持AAC、G711A两种音频编码格式</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12）支持TCP/IP, HTTP, RTSP, RTMP, Onvif, DHCP, 组播等网络协议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0" w:hRule="atLeast"/>
        </w:trPr>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特写、全景摄像系统集成服务</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5505"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摄像系统集成服务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拾音吊麦设备</w:t>
            </w:r>
          </w:p>
        </w:tc>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690"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550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1)频率响应：100Hz～18KHz。</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2)灵敏度：-40dB±3 dB （re 0dB=1V/Pa@1kHz）。</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3)指向特性：超心型 ≤135°。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4)输出阻抗：200Ω±30%。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5)输出幅度：Max 300mV。</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6)最大承受声压：不小于100dB SPL。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7)支持直流48V幻象供电。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8）动态范围：不小于70dB（A）。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拾音吊麦集成服务</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拾音系统集成服务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音频处理设备</w:t>
            </w:r>
          </w:p>
        </w:tc>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90"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550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音频处理器：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1）内置数字音频信号处理器，降噪的同时防止语音信号失真及衰减；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2）内置AGC限幅电路，防止声音破音等问题；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3）支持8路吊麦输入（48V幻象供电）；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4）支持两路Line-in输入，满足教学课件、无线麦、同时输入，本地输出和至远程可任意配置；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5）能够消除对讲中产生的声学回声，真正的全双工通话；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6）一线制数字音频传输，抗干扰能力强，解决施工布线繁琐问题，降低工程成本；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7）自动抑制房间环境噪声，并提升声音的可懂度；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8）频响范围符合增强型语音音频宽带要求；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9）外观小巧，吸顶安装；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10）内置雷击保护、电源极性反接保护和静电保护；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音频处理服务</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9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55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音频系统集成服务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功放及音箱</w:t>
            </w:r>
          </w:p>
        </w:tc>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90" w:type="dxa"/>
            <w:vMerge w:val="restart"/>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05" w:type="dxa"/>
            <w:tcBorders>
              <w:top w:val="single" w:color="auto" w:sz="4" w:space="0"/>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1)采用功放与有源音箱一体化设计，内置麦克风无线接收模块，帮助教师实现多媒体扩音以及本地扩声功能。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2)双音箱有线连接，机箱采用塑胶材质，保护设备免受环境影响。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3)输出额定功率: 2*15W，喇叭单元尺寸≥5寸。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4)端口：220V电源接口*1、Line in*1、USB*1。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5)麦克风和功放音箱之间采用数字U段传输技术，有效避免环境中2.4G信号干扰，例如蓝牙及WIFI设备。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6)配置独立音频数字信号处理芯片，支持啸叫抑制功能。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7）支持教师扩声和输入音源叠加输出，可对接录播系统实现教师扩声音频的纯净采集，避免环境杂音干扰采集效果。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图像跟踪定位系统及服务</w:t>
            </w:r>
          </w:p>
        </w:tc>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90" w:type="dxa"/>
            <w:vMerge w:val="restart"/>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05" w:type="dxa"/>
            <w:tcBorders>
              <w:top w:val="single" w:color="auto" w:sz="4" w:space="0"/>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1）4K高清摄像机内嵌智能跟踪算法，无需单独安装定位跟踪主机及其他任何辅助拍摄设备，即可实现跟踪定位控制功能。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 通过两台4K高清摄像机可实现4路视频场景的跟踪定位功能；教师的特写和全景画面，学生的特写和全景画面，各通过一台摄像机完成。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 采用智能图像识别算法，每台高清摄像机同时输出2路场景画面并分析计算，实现1台摄像机的2景位拍摄，通过导播跟踪系统，实现所有画面的自动导播切换：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a)当教师在讲台区域站立授课时，自动切换为教师特写，当教师在讲台区域进行走动时，自动切换到教师全景；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b)学生起立发言时，首先切换为学生全景，再过渡为发言学生的特写画面，当多名学生站立时，自动切换到学生全景；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c)当教师切换多媒体授课时，自动切换为多媒体特写画面；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d)学生跟踪具备人脸检测辅助识别功能。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导播系统服务</w:t>
            </w:r>
          </w:p>
        </w:tc>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5505"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导播系统定制服务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left"/>
              <w:rPr>
                <w:rFonts w:hint="eastAsia" w:ascii="宋体" w:hAnsi="宋体" w:eastAsia="宋体" w:cs="宋体"/>
                <w:i w:val="0"/>
                <w:iCs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录播控制软件服务</w:t>
            </w:r>
          </w:p>
        </w:tc>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90"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05"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1)在同一局域网内的电脑上，可通过录播机ip地址和管理员密码，远程登录录播机，用户可便捷、快速进行实时导播控制和导播设置。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2)可设置录播机为“自动”导播模式和“手动”导播模式，满足用户不同场景需求。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手动”导播模式下，在导播界面的预览窗口可实时观看教师全景/特写、学生全景/特写、多媒体电脑共五路画面。支持6种导播画面分割方案，方案包括单画面、双画面、三画面和四画面，每种分割方案可自由选择视频源，适应用户各种课堂场景的需求。导播画面可实时推流给资源平台，实现平台直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4)支持搭配云台摄像机进行导播控制，可进行上下左右移动，放大缩小画面，并可以保存8种设置方案，方便用户进行精准导播。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5)用户可对录播机进行绑定学校和IOT平台的操作，方便进行设备的统一管理和维护。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6)支持进行存储服务器配置，满足用户对内容的保存和管理需求。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用户可配置直播推流地址，支持同时三路推流，可推送至希沃平台或者第三方直播平台，推流画面可选择导播画面、教师全景/特写、学生全景/特写、多媒体电脑、板书共7路画面，可设置选择画面高低两种码率，可设置音频开或者关，满足用户进行多平台直播的需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auto"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支持用户远程控制录播主机录制、关机、重启、定时开关机功能，方便进行设备的日常管理。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录播导播台设备</w:t>
            </w:r>
          </w:p>
        </w:tc>
        <w:tc>
          <w:tcPr>
            <w:tcW w:w="630" w:type="dxa"/>
            <w:vMerge w:val="restart"/>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9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05" w:type="dxa"/>
            <w:tcBorders>
              <w:top w:val="single" w:color="auto" w:sz="4" w:space="0"/>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1.整机采用纯金属材质，全铝机身，CNC工艺，坚固耐用，质感十足，底部配备≥4个硅胶垫，桌面使用更加稳固；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auto" w:sz="4" w:space="0"/>
              <w:left w:val="single" w:color="auto"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采用彩色背光按键，按键数量≥29个，背光颜色≥3种，可通过不同颜色表征不同的工作状态，简化老师理解，支持背光亮度调节，可以根据教室光线环境和用户喜好自行调节背光亮度，满足不同场景和用户使用需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auto"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3.整机配备云台操纵杆，通过整机摇杆操作，支持不少于8个方向的云台控制，可通过操纵杆的倾斜程度实现对云台摄像机的转动速度控制，同时可通过操纵杆实现ZOOM拉进拉远控制，满足精准的拍摄取景；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auto"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4.支持一键复位功能，可通过云台操纵杆，快速将摄像机复位到开机预置位画面；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auto"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整机支持不少于5个预置位，支持云台预置位设定，预置位设定无需打开其他设置软件，可直接通过键盘完成预置位设定，设定后预置位即刻生效，用户设定预置位过程有灯光提示，减少用户误操作的概率，预置位调用过程中导播键盘提供灯光颜色变化提示+蜂鸣器提示，给用户最准确的操控反馈，用户可直接通过预置位调用控制录制画面切换当前选中的某个预置位，实现对拍摄角度的精准控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auto"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6.支持云台摄像机控制选择，用户可以通过整机按键操作，支持≥5个摄像机通道选择，通道选择完成后，键盘操控命令仅对选中摄像机生效，不会产生串码；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5"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auto"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为满足用户在导播过程中对声音控制的诉求，整机支持≥3个音量控制旋钮，可实现对录播主机的实时音量、教师麦克风音量、学生麦克风音量的控制，控制旋钮采用无极编码器，转动顺滑无限位，旋钮表面采用条纹设计，操控触感一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auto"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8.整机支持≥2种通信方式，可使用USB或RS422进行通信，为保证控制实时性，不接受使用TCP/UDP通信方式；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auto"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9.整机通信接口≥2个，支持至少一个USB2.0接口，至少一个RS422接口；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auto"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整机与录播主机操作同步，用户通过导播键盘，可以实现开始、暂停、停止、三种录制状态控制，控制实时性良好，能够做到即点即录，无需等待，控制过程导播键盘提供灯光颜色变化提示+蜂鸣器提示，给用户最准确的操控反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auto"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11.支持导播模式控制，用户可根据使用场景需要，设置当前的导播模式，整机可设置录播主机为自动导播模式和手动导播模式，满足不同场景需求；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auto"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12.支持≥6种画面布局，包含单画面、双画面、画中画、三画面、四画面、自定义布局；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auto"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13.支持导播控制，用户可通过整机按键操作实现导播画面选择，选中通道能够高亮显示，支持≥6个导播通道控制；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auto"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整机内置蜂鸣器，用户在进行导播控制时，可通过蜂鸣器实现操控状态提醒，结合软件内部设计的检验机制，可以确保用户操控通过蜂鸣器得到精准反馈，用户也按照自身喜好和场景要求通过快捷键设定蜂鸣器打开和关闭，无需借助外部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讲桌</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0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定制讲桌，符合国标要求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录播导播集成服务</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550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导播系统集成服务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集中控制系统及服务</w:t>
            </w:r>
          </w:p>
        </w:tc>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90"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0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1.系统采用B/S混合云架构设计，支持在Windows、Linux、Android、IOS等多种操作系统通过网页浏览器登录使用。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2.系统支持对全校智慧教室的交互智能平板、交互智能录播、交互电子白板一体机设备进行集中运维管理和策略部署。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3.支持根据实际使用场景按照产品类型、建筑物、班级、设备开关机状态分级管理，并可模糊搜索定位管理设备。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4.支持实时查看指令执行状态，并且可监管指令发送日志，对发送失败的指令进行远程重发。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5.支持实时展示所有设备的使用状态及设备运行画面，并可监控单台设备的开机情况、软件使用情况、硬盘使用、内存使用率、设备ID等数据，便于远程定位及维护设备。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6.支持自定义循环周期设置锁屏周期指令，并支持一键下课锁屏、开机即锁屏、长时未使用自动锁屏等智能锁屏管理，以及可支持无网络激活码认证解锁、密码解锁，有网络场景下扫码快速解锁。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7.支持远程发送消息通知、文件传输、静默安装软件、倒计时。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8.支持远程实时控制设备，可监测设备当前运行界面，并远程操作设备界面，适用于远程维护和修复设备软件问题。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9.支持查看并导出设备使用数据、软件活跃数据、教学应用数据、健康度分析数据。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互动电视设备</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5505"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4K 超清电视， 尺寸： ≥55 寸， 分辨率： 超清 4K， 屏幕比例： 16:9， 输入接口： HDMI接口*3，通道识别自动开关机，开机无广告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6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智慧黑板设备</w:t>
            </w:r>
          </w:p>
        </w:tc>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690" w:type="dxa"/>
            <w:vMerge w:val="restart"/>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5505" w:type="dxa"/>
            <w:tcBorders>
              <w:top w:val="single" w:color="auto" w:sz="4" w:space="0"/>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整机采用全金属外壳，三拼接平面一体化设计，屏幕边缘采用金属圆角包边防护，整机背板采用金属材质。无推拉式结构，外部无任何可见内部功能模块连接线。主副屏过渡平滑并在同一平面，中间无单独边框阻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2、主屏与副屏均支持粉笔书写。钢化玻璃厚度≤4mm，钢化玻璃表面硬度≥8H。（提供国家权威检测报告复印件并加盖厂家公章）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3、粉笔书写细腻，抗折弯，不掉漆掉色。微瓷镀膜保证副屏硬度的同时提供优秀的书写体验，同时具备防潮、防锈、防眩光、防冲击、耐酒精、耐酸碱、耐高低温等优良特性。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4、中间屏幕采用3840*2160分辨率LED液晶屏，屏幕显示尺寸86寸。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采用红外触控技术，支持Windows系统中进行10点或以上触控，10点书写；支持在Android系统中进行10点或以上触控，10点书写。整机Android系统版本不低于Android8.0，内存不低于2GB，存储空间不低于8GB。（提供国家权威检测报告复印件并加盖厂家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6、为保护学生视力，整机具备护眼物理按键，可通过前置物理按键快速开启/关闭护眼功能。（提供国家权威检测报告复印件并加盖厂家公章）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为了方便教师快速录制课堂微课，整机前置物理按键，可通过此物理按键快速调用录屏功能，同步录制屏幕中的画面和声音，并自动保存成为标准格式视频，方便老师导出。（提供国家权威检测报告复印件并加盖厂家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8、为便于教师授课教学，所有功能菜单符合便利化、个性化设计要求，常用教学功能按钮菜单都使用软中控菜单调出，并可自定义按钮功能。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9、内置摄像头、麦克风，无外接线材连接，无可见模块化拼接，未占用整机设备端口。（提供国家权威检测报告复印件并加盖厂家公章）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智慧黑板控制系统集成服务</w:t>
            </w:r>
          </w:p>
        </w:tc>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690" w:type="dxa"/>
            <w:vMerge w:val="restart"/>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5505" w:type="dxa"/>
            <w:tcBorders>
              <w:top w:val="single" w:color="auto" w:sz="4" w:space="0"/>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1、无需任何外置接线与模块化衔接，设备自带800w像素以上内置摄像头和高清拾音麦克风，可进行二维码扫描识别，同时配合集控系统可实现教室远程巡课。（提供国家权威检测报告复印件并加盖厂家公章）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2、嵌入式Android操作系统下，互动白板支持不同背景颜色，同时提供学科专用背景，包括五线谱、信纸、田字格、英文格、篮球和足球场地平面图。（提供国家权威检测报告复印件并加盖厂家公章）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3、为便于老师进行设备连接，系统需具备前置Type-C接口，通过Type-C接口实现音视频输入。（提供国家权威检测报告复印件并加盖厂家公章）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4、智能一键式设计：仅使用一个物理按键即可完成系统（包括windows以及Android系统）的开机、关机、节能熄屏/唤醒功能。（提供国家权威检测报告复印件并加盖厂家公章）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系统内置专业硬件自检维护工具（工具与系统为同一厂家生产开发），可对系统触摸框、PC模块、光感系统等模块进行检测，同时生成检测提示供查看，同时可对Android系统运行内存、垃圾文件进行清理。支持直接扫描系统提供的二维码进行在线客服问题报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6、Android系统下，支持生成板书二维码，同一局域网环境下，可通过移动端进行扫码获取板书内容。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7、系统无需外接无线网卡，在Windows系统下接入无线网络，切换到嵌入式Android系统下可直接实现无线上网功能，不需手动重复设置。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8、系统关机状态下，通过长按电源键，可点击屏幕选择恢复系统系统及Windows操作系统到出厂默认状态，无需额外工具辅助。（提供国家权威检测报告复印件并加盖厂家公章）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9、支持智能 U 盘锁功能，系统可设置触摸及按键锁定，锁定后无法随意自由操作，需要使用时插入USB key 可解锁。（提供国家权威检测报告复印件并加盖厂家公章）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10、系统具备供电保护模块，能够检测内置电脑是否插好在位，在内置电脑未在位的情况下，内置电脑无法上电工作。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single" w:color="auto" w:sz="4" w:space="0"/>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外接电脑设备连接系统且触摸信号连通时，外接电脑设备可直接读取系统前置USB接口的移动存储设备数据。连接系统前置USB接口的翻页笔、无线键鼠可直接使用于外接电脑。（提供国家权威检测报告复印件并加盖厂家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12、厂家应提供线上学习平台与线上售后渠道保障教师的顺利使用。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OPS电脑设备</w:t>
            </w:r>
          </w:p>
        </w:tc>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90" w:type="dxa"/>
            <w:vMerge w:val="restart"/>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5505" w:type="dxa"/>
            <w:tcBorders>
              <w:top w:val="single" w:color="auto" w:sz="4" w:space="0"/>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1.处理器：Intel Core i5 及以上，内存：8G DDR4 笔记本内存或以上配置，硬盘≥256G SSD 固态硬盘，采用抽拉内置式模块化电脑，抽拉内置式，PC模块可插入整机，可实现无单独接线的插拔。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auto" w:sz="4" w:space="0"/>
              <w:bottom w:val="single" w:color="auto"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2.具有独立非外扩展的电脑USB接口：≥3路USB。≥1 路 HDMI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auto" w:sz="4" w:space="0"/>
              <w:left w:val="single" w:color="000000"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3.按压式卡扣方式设计无需工具即可快速拆卸电脑模块，具有标准PC防盗锁孔，确保电脑模块安全防盗.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85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OPS电脑系统集成服务</w:t>
            </w:r>
          </w:p>
        </w:tc>
        <w:tc>
          <w:tcPr>
            <w:tcW w:w="63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9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5505"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电脑系统集成服务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649" w:type="dxa"/>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视频展台设备</w:t>
            </w:r>
          </w:p>
        </w:tc>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90" w:type="dxa"/>
            <w:vMerge w:val="restart"/>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5505" w:type="dxa"/>
            <w:tcBorders>
              <w:top w:val="single" w:color="auto" w:sz="4" w:space="0"/>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1.采用≥800万像素摄像头；采用 USB五伏电源直接供电，无需额外配置电源适配器，环保无辐射；箱内USB连线采用隐藏式设计，箱内无可见连线且USB口下出，有效防止积尘，且方便布线和返修。（提供国家广播电视产品质量监督检验中心所出具的权威检测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2.A4大小拍摄幅面，1080P动态视频预览达到30帧/秒；托板及挂墙部分采用金属加强，托板可承重3kg，整机壁挂式安装。（提供国家广播电视产品质量监督检验中心所出具的权威检测报告）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3.支持展台成像画面实时批注，预设多种笔划粗细及颜色供选择，且支持对展台成像画面联同批注内容进行同步缩放、移动。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4.整机采用圆弧式设计，无锐角；同时托板采用磁吸吸附式机构，防止托板打落，方便打开及固定，避免机械式锁具故障率高的问题。（提供国家广播电视产品质量监督检验中心所出具的权威检测报告）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649"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展示托板正上方具备LED补光灯，保证展示区域的亮度及展示效果，补光灯开关采用触摸按键设计，同时可通过交互智能平板中的软件直接控制开关；（提供国家广播电视产品质量监督检验中心所出具的权威检测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6.带自动对焦摄像头；外壳在摄像头部分带保护镜片密封，防止灰尘沾染摄像头，防护等级达到IP4X级别。（提供国家广播电视产品质量监督检验中心所出具的权威检测报告）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7.具有故障自动检测功能：在调用展台却无法出现镜头采集画面信号时，可自动出现检测链接，并给出导致性原因（如硬件连接、摄像头占用、配套软件版本等问题）。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8.为保证兼容性及稳定性，视频展台需与交互智能平板为同一品牌厂家，提供国家认证认可监督管理委员会认可的证书（例如CCC证书、自声明证书）复印件证明。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9.支持对展台画面进行放大、缩小、旋转、自适应、冻结画面等操作。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10.支持展台画面实时批注，预设多种笔划粗细及颜色供选择，且支持对展台画面联同批注内容进行同步缩放、移动。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11.支持展台画面拍照截图并进行多图预览，可对任一图片进行全屏显示。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12.老师可在一体机或电脑上选择延时拍照功能，支持5秒或10秒延时模式，预留充足时间以便调整拍摄内容。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13.具备图像增强功能，可自动裁剪背景并增强文字显示，使文档画面更清晰。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14.可选择图像、文本或动态等多种情景模式，适应不同展示内容。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vMerge w:val="continue"/>
            <w:tcBorders>
              <w:top w:val="single" w:color="000000" w:sz="4" w:space="0"/>
              <w:left w:val="single" w:color="auto" w:sz="4" w:space="0"/>
              <w:bottom w:val="single" w:color="auto"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single" w:color="auto" w:sz="4" w:space="0"/>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15.支持故障自动检测，在软件无法出现展台拍摄画面时，自动出现检测链接，帮助用户检测“无画面”的原因，并给出引导性解决方案。可判断硬件连接、显卡驱动、摄像头占用、软件版本等问题。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vMerge w:val="continue"/>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auto" w:sz="4" w:space="0"/>
              <w:left w:val="single" w:color="000000"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16.支持二维码扫码功能：打开扫一扫功能后，将书本上的二维码放入扫描框内即可自动扫描，并进入系统浏览器获取二维码的链接内容，帮助老师快速获取电子教学资源。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85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视频站台集成服务</w:t>
            </w:r>
          </w:p>
        </w:tc>
        <w:tc>
          <w:tcPr>
            <w:tcW w:w="63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9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5505"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系统集成服务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无线耳带麦</w:t>
            </w:r>
          </w:p>
        </w:tc>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90"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0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1.无线麦克风集音频发射处理器、天线、电池、拾音麦克风于一体，配合一体化有源音箱，无需任何外接辅助设备即可实现本地扩声功能。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2.麦克风和功放音箱之间采用数字U段传输技术，有效避免环境中2.4G信号干扰。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3.支持智能红外对码及UHF对码，可在2s内快速完成与教学扩声音箱对码，无需繁琐操作。可与移动音箱或录播主机对码连接。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4.配合USB接收器连接一体机，具备翻页键功能，可远程操控一体机设备进行PPT教材翻页功能。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5.采用触点磁吸式充电方式，支持快速充电与超低功耗工作模式，课间充电10分钟，实现80分钟续航。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6.麦克风距离音箱最大有效工作距离≥10米，保证全教室覆盖。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8口千兆POE交换机</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550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国产千兆POE交换机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交换配置服务</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5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技术服务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录播系统机柜</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22U标准机柜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基础辅助类施工、安装服务</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0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所有设备的基础、辅助类安装，辅材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精品教室装修施工</w:t>
            </w:r>
          </w:p>
        </w:tc>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90" w:type="dxa"/>
            <w:vMerge w:val="restart"/>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05" w:type="dxa"/>
            <w:tcBorders>
              <w:top w:val="single" w:color="auto" w:sz="4" w:space="0"/>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（1）色调：桌椅、墙面、地面、窗帘等着色配合协调，整体颜色效果应适合录像，可提供不同色调材料搭配供选择。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（2）吊顶、墙壁工程：教室四周墙壁使用阻燃聚酯纤维吸音板材装修或条形木制微孔吸音板材装修（内填充吸音棉）。天花板选用600*600的矿棉板或聚酯纤维吸引板材。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（3）讲台，讲桌处理：要搭建讲台，做静音处理以减少老师走动时的杂音，边角采用不锈钢板材包边。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（4）窗帘：窗帘采用厚实窗帘，具有吸音和有效隔绝自然光的作用，色调与墙体协调。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（5）灯光：采用LED护眼灯,保证充足照明和完美的视频拍摄效果。讲台要增加教师LED正白灯补光。符合最新中小学教室照明要求。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（6）地面：2mm厚PVC地板铺装。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装修要符合相关标准和规定。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32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rPr>
            </w:pPr>
            <w:r>
              <w:rPr>
                <w:rFonts w:hint="eastAsia"/>
                <w:lang w:val="en-US" w:eastAsia="zh-CN"/>
              </w:rPr>
              <w:t>二、系统集成平台部分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区县级录播资源应用管理平台</w:t>
            </w:r>
          </w:p>
        </w:tc>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90" w:type="dxa"/>
            <w:vMerge w:val="restart"/>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套/区县</w:t>
            </w:r>
          </w:p>
        </w:tc>
        <w:tc>
          <w:tcPr>
            <w:tcW w:w="5505" w:type="dxa"/>
            <w:tcBorders>
              <w:top w:val="single" w:color="auto" w:sz="4" w:space="0"/>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 基础管理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 系统采用模块化的架构设计B/S架构，用户可通过浏览器实现数据看板查看、名师示范课点播、用户管理等功能。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 区域角色管理：系统至少提供超级管理员、内容管理员、权限管理员、专递课堂管理员四种默认角色，分别具备不同模块的管理权限；在添加区域管理员时，可根据所属的行政地区，为不同层级的管理者设置所管辖的区域权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 课程发布：课程发布时，可选择对应的学段、学科、发布模块、示范课分类等，方便用户按不同维度查找课程。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 上传附件：平台支持支持用户在发布课程时上传相关资料；所上传资料可支持不少于5种文件格式；课程发布后，观众观看课程时下载相关资料，进行深入学习。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 课程审核：支持区域管理员和学校管理员分别对所管辖区域范围内，教师申请发布的课程进行审核，监控公开课程资源的质量；拒绝课程发布时，需填写拒绝原因；若课程未通过时，系统将在消息中心自动通知该课程归属的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 ★课程评论：支持用户对已发布视频进行视频打点并插入课堂评价，所评论内容需关联视频对应时间点。平台支持用户在线发表视频评论，所评论内容支持以新消息提示方式自动提醒授课教师。支持管理员对用户评论进行信息管理，可选择性删除评论内容，管控评论秩序。（提供检测报告复印件并加盖厂家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 首页轮播图片：平台首页支持用户自定义不少于6张轮播图画面并支持图片的对应链接跳转；支持用户点击对应轮播图，跳转相应网页进行内容浏览。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 设备管理：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①. 显示管理员下辖的教室总数、在线教室总数、活跃教室数，实时呈现整体情况；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②. 管理员可实时查看教室信息和状态，包括：教室名称、设备IP、状态、信号源及教室详情，方便远程运维；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③. 支持学校管理员对录播主机进行远程关机、重启、密码设置等操作。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 督导巡课：用户可查看管辖区域内，正在直播授课的教室实时画面；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10）课程搜索：支持用户通过课程、教师、学校名称等关键词快速搜索已发布的课程资源，支持用户查看最近搜索关键词记录，方便用户再次快速查找相关课程。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 数据统计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 用户可浏览所管辖的区域数据，包括开通学校总数、加入教师总数、录播教室总数、专递课程总数、课程资源总数、课程观看人次，并可在看板中呈现以上6个数据近一个月的新增数量。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 看板呈现区域内已加入平台的教师的学段学科分布情况，并支持显示学段教师的占比数据，点击具体学段即可显示对应的学科分布情况。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 支持区域地图看板呈现：通过选定地图看板的任意区域，可直观展示各下辖区域的开通学校数量、加入教师数量、专递课堂数量等数据。点击任意区域可进入并查看该区域的详细数据情况。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 名校网络课堂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 提供以学校为单位展示的网络课程，支持用户在名校网络课堂页面上直观地查看学校课程数、观看人次等数据。平台支持在首页推荐该学校的热门课程，方便用户进行预览观看。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 ★用户可进入学校专区页面，详细了解该校情况，包括该校简介、活跃教师、学校上传的全部课程、课程观看总人次等数据。在活跃教师排行榜中，可看到各位名师发起的课程总数及总观看人次。（提供检测报告复印件并加盖厂家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 移动端观看课程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 在专递示范课/名校网络课堂/名师示范课的课程页面中，支持一键生成分享海报，也可一键复制观看链接，方便分享给其他观众，通过移动端打开观看。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 分享海报中包括课程名称、主讲人、学校名称及二维码等信息。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 视频在线剪辑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 ★支持用户对本地上传的视频，通过浏览器完成在线剪辑，将视频的无效内容删除，保留课堂中的重难点和精彩部分。（提供检测报告复印件并加盖厂家公章）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 效果预览：进行剪辑操作后，支持用户通过在线预览窗口，实时查看剪辑后的内容，确保视频效果。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 插入课堂活动：支持用户在平台上查看已上传的云课件，并选择课件中的课堂活动插入视频中，设置为课程的互动答题环节；课程发布后，用户观看到所对应的课程时间点时，系统将自动弹出课堂活动，需要完成互动答题才可进入下一阶段的知识点学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 平台资质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1）为保证系统安全性，要求平台的信息系统等级安全保护达到三级以上。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2）提供计算机软件著作权证书复印件并加盖厂家公章。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存储设备</w:t>
            </w:r>
          </w:p>
        </w:tc>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90" w:type="dxa"/>
            <w:vMerge w:val="restart"/>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台/区县</w:t>
            </w:r>
          </w:p>
        </w:tc>
        <w:tc>
          <w:tcPr>
            <w:tcW w:w="5505" w:type="dxa"/>
            <w:tcBorders>
              <w:top w:val="single" w:color="auto" w:sz="4" w:space="0"/>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1.处理器：Intel E3-1245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2.内存类型：DDR4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3.内存空间：不小于16GB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4.硬盘接口：SATA3.0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5.硬盘类型：3.5英吋HDD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6.硬盘空间：物理空间不小于250TB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7.设备高度：≤1U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8.操作系统：支持centos 64位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9.raid等级：支持raid 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10.指示灯：RUN*1 HDD*1 LAN1*1 LAN2*1 Power*1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11.电源：220V AC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12.开关：船型开关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13.USB：USB2.0≥4、USB3.0≥2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14.管理接口：IPMI*1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15.网络接口：RJ45≥4，支持10/100/1000Mbps 自适应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16.视频输出：VGA≥1 、HDMI≥1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17.调试接口：COM口≥1 ，设备支持一键复位功能。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18.点播流媒体服务：支持不少于200个点同时内网点播。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19.直播流媒体服务：支持不少于500个点同时内网直播。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20.产品通过3C认证，并提供证书复印件并加盖厂家投标专用章或公章。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21.虚拟化：支持虚拟化容器部署，稳定可靠。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22.远程运维：支持远程升级应用，远程修复故障。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存储服务</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台/区县</w:t>
            </w:r>
          </w:p>
        </w:tc>
        <w:tc>
          <w:tcPr>
            <w:tcW w:w="550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存储技术系统集成服务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录播设备对接调试及服务</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套/区县</w:t>
            </w:r>
          </w:p>
        </w:tc>
        <w:tc>
          <w:tcPr>
            <w:tcW w:w="5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产品整体系统集成及服务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液晶拼接显示屏</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套/区县</w:t>
            </w:r>
          </w:p>
        </w:tc>
        <w:tc>
          <w:tcPr>
            <w:tcW w:w="5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4块55寸4K液晶拼接单元，HDMI分配器 ，1块室内单红条形屏，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832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三、电脑教室部分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教师电脑</w:t>
            </w:r>
          </w:p>
        </w:tc>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690" w:type="dxa"/>
            <w:vMerge w:val="restart"/>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5505" w:type="dxa"/>
            <w:tcBorders>
              <w:top w:val="single" w:color="auto" w:sz="4" w:space="0"/>
              <w:left w:val="single" w:color="auto" w:sz="4" w:space="0"/>
              <w:bottom w:val="nil"/>
              <w:right w:val="single" w:color="auto"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FF0000"/>
                <w:sz w:val="20"/>
                <w:szCs w:val="20"/>
                <w:u w:val="none"/>
              </w:rPr>
            </w:pPr>
            <w:r>
              <w:rPr>
                <w:rFonts w:hint="eastAsia" w:ascii="宋体" w:hAnsi="宋体" w:eastAsia="宋体" w:cs="宋体"/>
                <w:i w:val="0"/>
                <w:color w:val="000000"/>
                <w:kern w:val="0"/>
                <w:sz w:val="20"/>
                <w:szCs w:val="20"/>
                <w:u w:val="none"/>
                <w:lang w:val="en-US" w:eastAsia="zh-CN" w:bidi="ar"/>
              </w:rPr>
              <w:t>1</w:t>
            </w:r>
            <w:r>
              <w:rPr>
                <w:rStyle w:val="89"/>
                <w:rFonts w:hint="eastAsia" w:ascii="宋体" w:hAnsi="宋体" w:eastAsia="宋体" w:cs="宋体"/>
                <w:lang w:val="en-US" w:eastAsia="zh-CN" w:bidi="ar"/>
              </w:rPr>
              <w:t>、</w:t>
            </w:r>
            <w:r>
              <w:rPr>
                <w:rStyle w:val="90"/>
                <w:rFonts w:hint="eastAsia" w:ascii="宋体" w:hAnsi="宋体" w:eastAsia="宋体" w:cs="宋体"/>
                <w:lang w:val="en-US" w:eastAsia="zh-CN" w:bidi="ar"/>
              </w:rPr>
              <w:t>CPU: Intel</w:t>
            </w:r>
            <w:r>
              <w:rPr>
                <w:rStyle w:val="89"/>
                <w:rFonts w:hint="eastAsia" w:ascii="宋体" w:hAnsi="宋体" w:eastAsia="宋体" w:cs="宋体"/>
                <w:lang w:val="en-US" w:eastAsia="zh-CN" w:bidi="ar"/>
              </w:rPr>
              <w:t>酷睿第</w:t>
            </w:r>
            <w:r>
              <w:rPr>
                <w:rStyle w:val="90"/>
                <w:rFonts w:hint="eastAsia" w:ascii="宋体" w:hAnsi="宋体" w:eastAsia="宋体" w:cs="宋体"/>
                <w:lang w:val="en-US" w:eastAsia="zh-CN" w:bidi="ar"/>
              </w:rPr>
              <w:t>10</w:t>
            </w:r>
            <w:r>
              <w:rPr>
                <w:rStyle w:val="89"/>
                <w:rFonts w:hint="eastAsia" w:ascii="宋体" w:hAnsi="宋体" w:eastAsia="宋体" w:cs="宋体"/>
                <w:lang w:val="en-US" w:eastAsia="zh-CN" w:bidi="ar"/>
              </w:rPr>
              <w:t>代</w:t>
            </w:r>
            <w:r>
              <w:rPr>
                <w:rStyle w:val="90"/>
                <w:rFonts w:hint="eastAsia" w:ascii="宋体" w:hAnsi="宋体" w:eastAsia="宋体" w:cs="宋体"/>
                <w:lang w:val="en-US" w:eastAsia="zh-CN" w:bidi="ar"/>
              </w:rPr>
              <w:t>cpu I3-10100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2、内存：≥4GB DDR4 2666MH内存，最高支持64GB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3、硬盘：≥1T机械盘，128GSSD固态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4、显卡：高性能集成显卡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5、主芯片：Intel-H410主机同品牌主板，且BIOS支持全中文，鼠标操作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6、★显示器：≥21.5显示器个,与主机同品牌。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7、★USB接口要求：整机USB接口数不低于8个。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8、★显示接口：同时具备HDMI D-Sub(VGA) DP接口。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9、★鼠标键盘接口：2个PS/2接口。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10、★其它接口：1 x PCI ，2 x PCI-e x 1,2 x M.2，集成千兆1000 Mbps 网卡。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11、★电源不低于200W。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12、防水抗菌键盘和光电鼠标。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13、★机箱：≥20L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14、★电源适应能力符合GB/T 9813.1-2016标准证书；★高海拔（低温）工作、贮存产品合格证书；★高低温度工作产品合格证书；★防尘检测合格证书；★静电放电抗扰、浪涌（冲击）抗扰产品合格证书；★盐雾、防腐合格证书；★噪音检测产品合格证书；★平均无故障时间MTBF的m1值不低于1100000小时；★USB数据接口产品合格检测证书；以上资质证书盖生产厂家鲜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15、生产厂家认证：节能、环保、售后通过CCCS 五星认证；★安全生产标准化证书；★原厂同品牌主板：主机带有节能专用芯片，可动态调整电压及有效节能的电压控制装置、方法及电脑装置；以上资质证书盖生产厂家鲜章。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16、★BIOS界面：全中文BIOS，BIOS界面支持鼠标操作。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17、★提供生产厂家授权及售后服务承诺原件加盖鲜章。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18、原厂主机、显示器三年全保修及免费上门；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19、一键还原功能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学生电脑服务</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5505"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学生电脑服务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学生电脑</w:t>
            </w:r>
          </w:p>
        </w:tc>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690" w:type="dxa"/>
            <w:vMerge w:val="restart"/>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5505" w:type="dxa"/>
            <w:tcBorders>
              <w:top w:val="single" w:color="auto" w:sz="4" w:space="0"/>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1、CPU: Intel酷睿第10代G6400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2、内存：≥4GB DDR4 2666MH内存，最高支持64GB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3、硬盘：≥128GSSD固态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4、显卡：高性能集成显卡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5、主芯片：Intel-H410主机同品牌主板，且BIOS支持全中文，鼠标操作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6、★显示器：≥21.5显示器个,与主机同品牌。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7、★USB接口要求：整机USB接口数不低于8个。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8、★显示接口：同时具备HDMI D-Sub(VGA) DP接口。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9、★鼠标键盘接口：2个PS/2接口。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10、★其它接口：1 x PCI ，2 x PCI-e x 1,2 x M.2，集成千兆1000 Mbps 网卡。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11、★电源不低于200W。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12、防水抗菌键盘和光电鼠标。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13、★机箱：≥20L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14、★电源适应能力符合GB/T 9813.1-2016标准证书；★高海拔（低温）工作、贮存产品合格证书；★高低温度工作产品合格证书；★防尘检测合格证书；★静电放电抗扰、浪涌（冲击）抗扰产品合格证书；★盐雾、防腐合格证书；★噪音检测产品合格证书；★平均无故障时间MTBF的m1值不低于1100000小时；★USB数据接口产品合格检测证书；以上资质证书盖生产厂家鲜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15、生产厂家认证：节能、环保、售后通过CCCS 五星认证；★安全生产标准化证书；★原厂同品牌主板：主机带有节能专用芯片，可动态调整电压及有效节能的电压控制装置、方法及电脑装置；以上资质证书盖生产厂家鲜章。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16、★BIOS界面：全中文BIOS，BIOS界面支持鼠标操作。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17、★提供生产厂家授权及售后服务承诺原件加盖鲜章。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nil"/>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18、原厂主机、显示器三年全保修及免费上门；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19、一键还原功能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教师电脑服务</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5505"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教师电脑服务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桌椅</w:t>
            </w:r>
          </w:p>
        </w:tc>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690"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05" w:type="dxa"/>
            <w:tcBorders>
              <w:top w:val="single" w:color="000000" w:sz="4" w:space="0"/>
              <w:left w:val="single" w:color="000000" w:sz="4" w:space="0"/>
              <w:bottom w:val="nil"/>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1、其中学生桌椅45套、教师桌椅套1、 桌面板采用环保材料制作，具有耐磨，耐热、耐酸碱，耐烟灼，耐撞击等性能，且色彩鲜艳，花式逼真。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nil"/>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 钢管表面静电喷塑，其特点附着力强，丰泽度好，塑粉坚硬，耐磨，耐冲击，具有耐水、耐晒、保光、保色之性能，喷涂层表面细腻，手感滑爽，色彩鲜艳。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05" w:type="dxa"/>
            <w:tcBorders>
              <w:top w:val="nil"/>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 脚垫采用塑料静音防滑胶垫，让学生使用更加舒适安全。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核心交换机</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550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以太网交换机主机,支持48个10/100/1000BASE-T电口,支持4个1000BASE-X SFP端口,支持AC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核心交换机配置服务</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5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核心交换机配置服务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教室机柜安装服务</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22U标准机柜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电脑教室装修服务</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电脑教室基础装修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基础辅助类施工、安装服务</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5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电源线、网线、PDU、PVC线槽等辅材</w:t>
            </w:r>
          </w:p>
        </w:tc>
      </w:tr>
    </w:tbl>
    <w:p>
      <w:pPr>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mallCaps w:val="0"/>
          <w:color w:val="000000" w:themeColor="text1"/>
          <w:spacing w:val="0"/>
          <w:sz w:val="11"/>
          <w:szCs w:val="11"/>
          <w:highlight w:val="none"/>
          <w:lang w:val="en-US" w:eastAsia="zh-CN"/>
          <w14:textFill>
            <w14:solidFill>
              <w14:schemeClr w14:val="tx1"/>
            </w14:solidFill>
          </w14:textFill>
        </w:rPr>
      </w:pPr>
    </w:p>
    <w:p>
      <w:pP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214" w:name="_Toc432"/>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br w:type="page"/>
      </w:r>
    </w:p>
    <w:p>
      <w:pPr>
        <w:pStyle w:val="3"/>
        <w:spacing w:line="480" w:lineRule="exact"/>
        <w:jc w:val="cente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第四部分 评标办法</w:t>
      </w:r>
      <w:bookmarkEnd w:id="214"/>
    </w:p>
    <w:p>
      <w:pPr>
        <w:pStyle w:val="2"/>
        <w:spacing w:line="480" w:lineRule="exact"/>
        <w:ind w:left="42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215" w:name="_Toc460"/>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1.投标文件初审</w:t>
      </w:r>
      <w:bookmarkEnd w:id="215"/>
    </w:p>
    <w:p>
      <w:pPr>
        <w:spacing w:line="480" w:lineRule="exact"/>
        <w:ind w:firstLine="420" w:firstLineChars="200"/>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（1）资格性审查内容和标准：</w:t>
      </w:r>
    </w:p>
    <w:tbl>
      <w:tblPr>
        <w:tblStyle w:val="23"/>
        <w:tblpPr w:leftFromText="180" w:rightFromText="180" w:vertAnchor="text" w:horzAnchor="page" w:tblpX="1901" w:tblpY="202"/>
        <w:tblOverlap w:val="never"/>
        <w:tblW w:w="82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5071"/>
        <w:gridCol w:w="25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690" w:type="dxa"/>
            <w:vAlign w:val="center"/>
          </w:tcPr>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序号</w:t>
            </w:r>
          </w:p>
        </w:tc>
        <w:tc>
          <w:tcPr>
            <w:tcW w:w="5071" w:type="dxa"/>
            <w:vAlign w:val="center"/>
          </w:tcPr>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审查内容</w:t>
            </w:r>
          </w:p>
        </w:tc>
        <w:tc>
          <w:tcPr>
            <w:tcW w:w="2534" w:type="dxa"/>
            <w:vAlign w:val="center"/>
          </w:tcPr>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合格条件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9" w:hRule="atLeast"/>
        </w:trPr>
        <w:tc>
          <w:tcPr>
            <w:tcW w:w="690" w:type="dxa"/>
            <w:vAlign w:val="center"/>
          </w:tcPr>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1</w:t>
            </w:r>
          </w:p>
        </w:tc>
        <w:tc>
          <w:tcPr>
            <w:tcW w:w="5071" w:type="dxa"/>
            <w:vAlign w:val="center"/>
          </w:tcPr>
          <w:p>
            <w:pPr>
              <w:jc w:val="left"/>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宋体" w:hAnsi="宋体" w:eastAsia="宋体" w:cs="宋体"/>
                <w:b w:val="0"/>
                <w:bCs w:val="0"/>
                <w:smallCaps w:val="0"/>
                <w:color w:val="000000"/>
                <w:spacing w:val="0"/>
                <w:kern w:val="2"/>
                <w:sz w:val="21"/>
                <w:szCs w:val="21"/>
                <w:lang w:val="en-US" w:eastAsia="zh-CN" w:bidi="ar"/>
              </w:rPr>
              <w:t>具有独立承担民事责任能力的法人、其他组织或自然人，提供三证合一或五证合一的企业提供带有统一社会信用代码的营业执照副本/事业单位法人证书副本/非企业专业服务机构执业许可证副本/自然人身份证</w:t>
            </w:r>
          </w:p>
        </w:tc>
        <w:tc>
          <w:tcPr>
            <w:tcW w:w="2534" w:type="dxa"/>
            <w:vAlign w:val="center"/>
          </w:tcPr>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按招标文件要求，</w:t>
            </w:r>
          </w:p>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合法有效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trPr>
        <w:tc>
          <w:tcPr>
            <w:tcW w:w="690" w:type="dxa"/>
            <w:vAlign w:val="center"/>
          </w:tcPr>
          <w:p>
            <w:pPr>
              <w:jc w:val="center"/>
              <w:rPr>
                <w:rFonts w:hint="eastAsia" w:asciiTheme="minorEastAsia" w:hAnsiTheme="minorEastAsia" w:eastAsiaTheme="minorEastAsia" w:cstheme="minorEastAsia"/>
                <w:smallCaps w:val="0"/>
                <w:color w:val="000000" w:themeColor="text1"/>
                <w:spacing w:val="0"/>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lang w:val="en-US" w:eastAsia="zh-CN"/>
                <w14:textFill>
                  <w14:solidFill>
                    <w14:schemeClr w14:val="tx1"/>
                  </w14:solidFill>
                </w14:textFill>
              </w:rPr>
              <w:t>2</w:t>
            </w:r>
          </w:p>
        </w:tc>
        <w:tc>
          <w:tcPr>
            <w:tcW w:w="5071" w:type="dxa"/>
            <w:vAlign w:val="center"/>
          </w:tcPr>
          <w:p>
            <w:pPr>
              <w:jc w:val="left"/>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u w:val="none"/>
                <w:lang w:val="en-US" w:eastAsia="zh-CN"/>
                <w14:textFill>
                  <w14:solidFill>
                    <w14:schemeClr w14:val="tx1"/>
                  </w14:solidFill>
                </w14:textFill>
              </w:rPr>
              <w:t>法定代表人授权委托书及被授权人身份证（法定代表人直接参加时，只须出示法定代表人身份证）</w:t>
            </w:r>
          </w:p>
        </w:tc>
        <w:tc>
          <w:tcPr>
            <w:tcW w:w="2534" w:type="dxa"/>
            <w:vAlign w:val="center"/>
          </w:tcPr>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按招标文件要求，</w:t>
            </w:r>
          </w:p>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合法有效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trPr>
        <w:tc>
          <w:tcPr>
            <w:tcW w:w="690" w:type="dxa"/>
            <w:vAlign w:val="center"/>
          </w:tcPr>
          <w:p>
            <w:pPr>
              <w:jc w:val="center"/>
              <w:rPr>
                <w:rFonts w:hint="eastAsia" w:asciiTheme="minorEastAsia" w:hAnsiTheme="minorEastAsia" w:eastAsiaTheme="minorEastAsia" w:cstheme="minorEastAsia"/>
                <w:smallCaps w:val="0"/>
                <w:color w:val="000000" w:themeColor="text1"/>
                <w:spacing w:val="0"/>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lang w:val="en-US" w:eastAsia="zh-CN"/>
                <w14:textFill>
                  <w14:solidFill>
                    <w14:schemeClr w14:val="tx1"/>
                  </w14:solidFill>
                </w14:textFill>
              </w:rPr>
              <w:t>3</w:t>
            </w:r>
          </w:p>
        </w:tc>
        <w:tc>
          <w:tcPr>
            <w:tcW w:w="5071" w:type="dxa"/>
            <w:vAlign w:val="center"/>
          </w:tcPr>
          <w:p>
            <w:pPr>
              <w:jc w:val="left"/>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u w:val="none"/>
                <w:lang w:val="en-US" w:eastAsia="zh-CN"/>
                <w14:textFill>
                  <w14:solidFill>
                    <w14:schemeClr w14:val="tx1"/>
                  </w14:solidFill>
                </w14:textFill>
              </w:rPr>
              <w:t>须提供2021年1月1日以来已缴存的至少一个月的社会保障资金缴存单据或社保机构开具的社会保险参保缴费情况证明。依法不需要缴纳社会保障资金的供应商应提供相关文件证明（复印件加盖供应商公章）</w:t>
            </w:r>
          </w:p>
        </w:tc>
        <w:tc>
          <w:tcPr>
            <w:tcW w:w="2534" w:type="dxa"/>
            <w:vAlign w:val="center"/>
          </w:tcPr>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按招标文件要求，</w:t>
            </w:r>
          </w:p>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合法有效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trPr>
        <w:tc>
          <w:tcPr>
            <w:tcW w:w="690" w:type="dxa"/>
            <w:vAlign w:val="center"/>
          </w:tcPr>
          <w:p>
            <w:pPr>
              <w:jc w:val="center"/>
              <w:rPr>
                <w:rFonts w:hint="eastAsia" w:asciiTheme="minorEastAsia" w:hAnsiTheme="minorEastAsia" w:eastAsiaTheme="minorEastAsia" w:cstheme="minorEastAsia"/>
                <w:smallCaps w:val="0"/>
                <w:color w:val="000000" w:themeColor="text1"/>
                <w:spacing w:val="0"/>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lang w:val="en-US" w:eastAsia="zh-CN"/>
                <w14:textFill>
                  <w14:solidFill>
                    <w14:schemeClr w14:val="tx1"/>
                  </w14:solidFill>
                </w14:textFill>
              </w:rPr>
              <w:t>4</w:t>
            </w:r>
          </w:p>
        </w:tc>
        <w:tc>
          <w:tcPr>
            <w:tcW w:w="5071" w:type="dxa"/>
            <w:vAlign w:val="center"/>
          </w:tcPr>
          <w:p>
            <w:pPr>
              <w:jc w:val="left"/>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u w:val="none"/>
                <w:lang w:val="en-US" w:eastAsia="zh-CN"/>
                <w14:textFill>
                  <w14:solidFill>
                    <w14:schemeClr w14:val="tx1"/>
                  </w14:solidFill>
                </w14:textFill>
              </w:rPr>
              <w:t>须提供2021年1月1日以来已缴纳的至少三个月的纳税证明或完税证明（提供增值税、企业所得税至少一种）。依法免税的供应商应提供相关文件证明（复印件加盖供应商公章）</w:t>
            </w:r>
          </w:p>
        </w:tc>
        <w:tc>
          <w:tcPr>
            <w:tcW w:w="2534" w:type="dxa"/>
            <w:vAlign w:val="center"/>
          </w:tcPr>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按招标文件要求，</w:t>
            </w:r>
          </w:p>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合法有效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trPr>
        <w:tc>
          <w:tcPr>
            <w:tcW w:w="690" w:type="dxa"/>
            <w:vAlign w:val="center"/>
          </w:tcPr>
          <w:p>
            <w:pPr>
              <w:jc w:val="center"/>
              <w:rPr>
                <w:rFonts w:hint="eastAsia" w:asciiTheme="minorEastAsia" w:hAnsiTheme="minorEastAsia" w:eastAsiaTheme="minorEastAsia" w:cstheme="minorEastAsia"/>
                <w:smallCaps w:val="0"/>
                <w:color w:val="000000" w:themeColor="text1"/>
                <w:spacing w:val="0"/>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lang w:val="en-US" w:eastAsia="zh-CN"/>
                <w14:textFill>
                  <w14:solidFill>
                    <w14:schemeClr w14:val="tx1"/>
                  </w14:solidFill>
                </w14:textFill>
              </w:rPr>
              <w:t>5</w:t>
            </w:r>
          </w:p>
        </w:tc>
        <w:tc>
          <w:tcPr>
            <w:tcW w:w="5071" w:type="dxa"/>
            <w:vAlign w:val="center"/>
          </w:tcPr>
          <w:p>
            <w:pPr>
              <w:jc w:val="left"/>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u w:val="none"/>
                <w:lang w:val="en-US" w:eastAsia="zh-CN"/>
                <w14:textFill>
                  <w14:solidFill>
                    <w14:schemeClr w14:val="tx1"/>
                  </w14:solidFill>
                </w14:textFill>
              </w:rPr>
              <w:t>提供经会计事务所或具有财务审计资质的单位出具的2019年度或2020年度财务审计报告，或其开标前三个月内银行出具的资信证明</w:t>
            </w:r>
          </w:p>
        </w:tc>
        <w:tc>
          <w:tcPr>
            <w:tcW w:w="2534" w:type="dxa"/>
            <w:vAlign w:val="center"/>
          </w:tcPr>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按招标文件要求，</w:t>
            </w:r>
          </w:p>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合法有效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690" w:type="dxa"/>
            <w:vAlign w:val="center"/>
          </w:tcPr>
          <w:p>
            <w:pPr>
              <w:jc w:val="center"/>
              <w:rPr>
                <w:rFonts w:hint="eastAsia" w:asciiTheme="minorEastAsia" w:hAnsiTheme="minorEastAsia" w:eastAsiaTheme="minorEastAsia" w:cstheme="minorEastAsia"/>
                <w:smallCaps w:val="0"/>
                <w:color w:val="000000" w:themeColor="text1"/>
                <w:spacing w:val="0"/>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lang w:val="en-US" w:eastAsia="zh-CN"/>
                <w14:textFill>
                  <w14:solidFill>
                    <w14:schemeClr w14:val="tx1"/>
                  </w14:solidFill>
                </w14:textFill>
              </w:rPr>
              <w:t>6</w:t>
            </w:r>
          </w:p>
        </w:tc>
        <w:tc>
          <w:tcPr>
            <w:tcW w:w="5071" w:type="dxa"/>
            <w:vAlign w:val="center"/>
          </w:tcPr>
          <w:p>
            <w:pPr>
              <w:jc w:val="left"/>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u w:val="none"/>
                <w:lang w:val="en-US" w:eastAsia="zh-CN"/>
                <w14:textFill>
                  <w14:solidFill>
                    <w14:schemeClr w14:val="tx1"/>
                  </w14:solidFill>
                </w14:textFill>
              </w:rPr>
              <w:t>近年（2018年至今）承担过类似项目，提供合同协议书1份</w:t>
            </w:r>
          </w:p>
        </w:tc>
        <w:tc>
          <w:tcPr>
            <w:tcW w:w="2534" w:type="dxa"/>
            <w:vAlign w:val="center"/>
          </w:tcPr>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按招标文件要求，</w:t>
            </w:r>
          </w:p>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合法有效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690" w:type="dxa"/>
            <w:vAlign w:val="center"/>
          </w:tcPr>
          <w:p>
            <w:pPr>
              <w:jc w:val="center"/>
              <w:rPr>
                <w:rFonts w:hint="eastAsia" w:asciiTheme="minorEastAsia" w:hAnsiTheme="minorEastAsia" w:eastAsiaTheme="minorEastAsia" w:cstheme="minorEastAsia"/>
                <w:smallCaps w:val="0"/>
                <w:color w:val="000000" w:themeColor="text1"/>
                <w:spacing w:val="0"/>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lang w:val="en-US" w:eastAsia="zh-CN"/>
                <w14:textFill>
                  <w14:solidFill>
                    <w14:schemeClr w14:val="tx1"/>
                  </w14:solidFill>
                </w14:textFill>
              </w:rPr>
              <w:t>7</w:t>
            </w:r>
          </w:p>
        </w:tc>
        <w:tc>
          <w:tcPr>
            <w:tcW w:w="5071" w:type="dxa"/>
            <w:vAlign w:val="center"/>
          </w:tcPr>
          <w:p>
            <w:pPr>
              <w:jc w:val="left"/>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lang w:val="en-US" w:eastAsia="zh-CN"/>
                <w14:textFill>
                  <w14:solidFill>
                    <w14:schemeClr w14:val="tx1"/>
                  </w14:solidFill>
                </w14:textFill>
              </w:rPr>
              <w:t>参加政府采购活动前3年内经营活动中没有重大违法记录声明；</w:t>
            </w:r>
          </w:p>
        </w:tc>
        <w:tc>
          <w:tcPr>
            <w:tcW w:w="2534" w:type="dxa"/>
            <w:vAlign w:val="center"/>
          </w:tcPr>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按招标文件要求，</w:t>
            </w:r>
          </w:p>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合法有效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1" w:hRule="atLeast"/>
        </w:trPr>
        <w:tc>
          <w:tcPr>
            <w:tcW w:w="690" w:type="dxa"/>
            <w:vAlign w:val="center"/>
          </w:tcPr>
          <w:p>
            <w:pPr>
              <w:jc w:val="center"/>
              <w:rPr>
                <w:rFonts w:hint="eastAsia" w:asciiTheme="minorEastAsia" w:hAnsiTheme="minorEastAsia" w:eastAsiaTheme="minorEastAsia" w:cstheme="minorEastAsia"/>
                <w:smallCaps w:val="0"/>
                <w:color w:val="000000" w:themeColor="text1"/>
                <w:spacing w:val="0"/>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lang w:val="en-US" w:eastAsia="zh-CN"/>
                <w14:textFill>
                  <w14:solidFill>
                    <w14:schemeClr w14:val="tx1"/>
                  </w14:solidFill>
                </w14:textFill>
              </w:rPr>
              <w:t>8</w:t>
            </w:r>
          </w:p>
        </w:tc>
        <w:tc>
          <w:tcPr>
            <w:tcW w:w="5071" w:type="dxa"/>
            <w:vAlign w:val="center"/>
          </w:tcPr>
          <w:p>
            <w:pPr>
              <w:jc w:val="left"/>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lang w:val="en-US" w:eastAsia="zh-CN"/>
                <w14:textFill>
                  <w14:solidFill>
                    <w14:schemeClr w14:val="tx1"/>
                  </w14:solidFill>
                </w14:textFill>
              </w:rPr>
              <w:t>投标人未被列入失信被执行人、重大税收违法案件当事人名单、政府采购严重违法失信行为记录名单，提供相关网站对企业信用记录查询截图（“中国执行信息公开网”失信被执行人名单（投标单位、法定代表人）；“信用中国”重大税收违法案件当事人名单；中国政府采购网“政府采购严重违法失信行为信息记录”）（提供查询结果网页截图并加盖供应商公章）；</w:t>
            </w:r>
          </w:p>
        </w:tc>
        <w:tc>
          <w:tcPr>
            <w:tcW w:w="2534" w:type="dxa"/>
            <w:vAlign w:val="center"/>
          </w:tcPr>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按招标文件要求，</w:t>
            </w:r>
          </w:p>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合法有效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690" w:type="dxa"/>
            <w:vAlign w:val="center"/>
          </w:tcPr>
          <w:p>
            <w:pPr>
              <w:jc w:val="center"/>
              <w:rPr>
                <w:rFonts w:hint="default" w:asciiTheme="minorEastAsia" w:hAnsiTheme="minorEastAsia" w:eastAsiaTheme="minorEastAsia" w:cstheme="minorEastAsia"/>
                <w:smallCaps w:val="0"/>
                <w:color w:val="000000" w:themeColor="text1"/>
                <w:spacing w:val="0"/>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lang w:val="en-US" w:eastAsia="zh-CN"/>
                <w14:textFill>
                  <w14:solidFill>
                    <w14:schemeClr w14:val="tx1"/>
                  </w14:solidFill>
                </w14:textFill>
              </w:rPr>
              <w:t>9</w:t>
            </w:r>
          </w:p>
        </w:tc>
        <w:tc>
          <w:tcPr>
            <w:tcW w:w="5071" w:type="dxa"/>
            <w:vAlign w:val="center"/>
          </w:tcPr>
          <w:p>
            <w:pPr>
              <w:jc w:val="left"/>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lang w:val="en-US" w:eastAsia="zh-CN"/>
                <w14:textFill>
                  <w14:solidFill>
                    <w14:schemeClr w14:val="tx1"/>
                  </w14:solidFill>
                </w14:textFill>
              </w:rPr>
              <w:t>单位负责人为同一人或者存在直接控股、管理关系的不同供应商，不得参加同一合同项下的政府采购活动。</w:t>
            </w:r>
          </w:p>
        </w:tc>
        <w:tc>
          <w:tcPr>
            <w:tcW w:w="2534" w:type="dxa"/>
            <w:vAlign w:val="center"/>
          </w:tcPr>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按招标文件要求，</w:t>
            </w:r>
          </w:p>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合法有效</w:t>
            </w:r>
          </w:p>
        </w:tc>
      </w:tr>
    </w:tbl>
    <w:p>
      <w:pPr>
        <w:spacing w:line="400" w:lineRule="exact"/>
        <w:ind w:firstLine="420" w:firstLineChars="200"/>
        <w:rPr>
          <w:rFonts w:hint="eastAsia" w:asciiTheme="minorEastAsia" w:hAnsiTheme="minorEastAsia" w:eastAsiaTheme="minorEastAsia" w:cstheme="minorEastAsia"/>
          <w:smallCaps w:val="0"/>
          <w:color w:val="000000" w:themeColor="text1"/>
          <w:spacing w:val="0"/>
          <w:sz w:val="21"/>
          <w:szCs w:val="21"/>
          <w:highlight w:val="none"/>
          <w:lang w:eastAsia="zh-CN"/>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注：1.如果供应商不具备资格、不满足招标文件所规定的资格标准或提供资格证明文件不全，将被视为未实质性响应招标文件</w:t>
      </w:r>
      <w:r>
        <w:rPr>
          <w:rFonts w:hint="eastAsia" w:asciiTheme="minorEastAsia" w:hAnsiTheme="minorEastAsia" w:eastAsiaTheme="minorEastAsia" w:cstheme="minorEastAsia"/>
          <w:smallCaps w:val="0"/>
          <w:color w:val="000000" w:themeColor="text1"/>
          <w:spacing w:val="0"/>
          <w:sz w:val="21"/>
          <w:szCs w:val="21"/>
          <w:highlight w:val="none"/>
          <w:lang w:eastAsia="zh-CN"/>
          <w14:textFill>
            <w14:solidFill>
              <w14:schemeClr w14:val="tx1"/>
            </w14:solidFill>
          </w14:textFill>
        </w:rPr>
        <w:t>；</w:t>
      </w:r>
    </w:p>
    <w:p>
      <w:pPr>
        <w:spacing w:line="400" w:lineRule="exact"/>
        <w:ind w:firstLine="420" w:firstLineChars="200"/>
        <w:rPr>
          <w:rFonts w:hint="eastAsia" w:asciiTheme="minorEastAsia" w:hAnsiTheme="minorEastAsia" w:eastAsiaTheme="minorEastAsia" w:cstheme="minorEastAsia"/>
          <w:smallCaps w:val="0"/>
          <w:color w:val="000000" w:themeColor="text1"/>
          <w:spacing w:val="0"/>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2.</w:t>
      </w:r>
      <w:r>
        <w:rPr>
          <w:rFonts w:hint="eastAsia" w:asciiTheme="minorEastAsia" w:hAnsiTheme="minorEastAsia" w:eastAsiaTheme="minorEastAsia" w:cstheme="minorEastAsia"/>
          <w:smallCaps w:val="0"/>
          <w:color w:val="000000" w:themeColor="text1"/>
          <w:spacing w:val="0"/>
          <w:sz w:val="21"/>
          <w:szCs w:val="21"/>
          <w:highlight w:val="none"/>
          <w:lang w:val="en-US" w:eastAsia="zh-CN"/>
          <w14:textFill>
            <w14:solidFill>
              <w14:schemeClr w14:val="tx1"/>
            </w14:solidFill>
          </w14:textFill>
        </w:rPr>
        <w:t>大学毕业生新办咨询业、信息业、技术服务业的企业或经营单位，经税务部门批准，免征企业所得税两年；新办从事交通运输、邮电通讯的企业或经营单位，经税务部门批准，第一年免征企业所得税，第二年减半征收企业所得税；新办从事公用事业、商业、物资业、对外贸易业、旅游业、物流业、仓储业、居民服务业、</w:t>
      </w:r>
      <w:r>
        <w:rPr>
          <w:rFonts w:hint="eastAsia" w:asciiTheme="minorEastAsia" w:hAnsiTheme="minorEastAsia" w:eastAsiaTheme="minorEastAsia" w:cstheme="minorEastAsia"/>
          <w:b/>
          <w:bCs/>
          <w:smallCaps w:val="0"/>
          <w:color w:val="000000" w:themeColor="text1"/>
          <w:spacing w:val="0"/>
          <w:sz w:val="21"/>
          <w:szCs w:val="21"/>
          <w:highlight w:val="none"/>
          <w:lang w:val="en-US" w:eastAsia="zh-CN"/>
          <w14:textFill>
            <w14:solidFill>
              <w14:schemeClr w14:val="tx1"/>
            </w14:solidFill>
          </w14:textFill>
        </w:rPr>
        <w:t>饮食业</w:t>
      </w:r>
      <w:r>
        <w:rPr>
          <w:rFonts w:hint="eastAsia" w:asciiTheme="minorEastAsia" w:hAnsiTheme="minorEastAsia" w:eastAsiaTheme="minorEastAsia" w:cstheme="minorEastAsia"/>
          <w:smallCaps w:val="0"/>
          <w:color w:val="000000" w:themeColor="text1"/>
          <w:spacing w:val="0"/>
          <w:sz w:val="21"/>
          <w:szCs w:val="21"/>
          <w:highlight w:val="none"/>
          <w:lang w:val="en-US" w:eastAsia="zh-CN"/>
          <w14:textFill>
            <w14:solidFill>
              <w14:schemeClr w14:val="tx1"/>
            </w14:solidFill>
          </w14:textFill>
        </w:rPr>
        <w:t>、教育文化事业、卫生事业的企业或经营单位，经税务部门批准，免征企业所得税</w:t>
      </w:r>
      <w:r>
        <w:rPr>
          <w:rFonts w:hint="eastAsia" w:asciiTheme="minorEastAsia" w:hAnsiTheme="minorEastAsia" w:eastAsiaTheme="minorEastAsia" w:cstheme="minorEastAsia"/>
          <w:b/>
          <w:bCs/>
          <w:smallCaps w:val="0"/>
          <w:color w:val="000000" w:themeColor="text1"/>
          <w:spacing w:val="0"/>
          <w:sz w:val="21"/>
          <w:szCs w:val="21"/>
          <w:highlight w:val="none"/>
          <w:lang w:val="en-US" w:eastAsia="zh-CN"/>
          <w14:textFill>
            <w14:solidFill>
              <w14:schemeClr w14:val="tx1"/>
            </w14:solidFill>
          </w14:textFill>
        </w:rPr>
        <w:t>一年</w:t>
      </w:r>
      <w:r>
        <w:rPr>
          <w:rFonts w:hint="eastAsia" w:asciiTheme="minorEastAsia" w:hAnsiTheme="minorEastAsia" w:eastAsiaTheme="minorEastAsia" w:cstheme="minorEastAsia"/>
          <w:smallCaps w:val="0"/>
          <w:color w:val="000000" w:themeColor="text1"/>
          <w:spacing w:val="0"/>
          <w:sz w:val="21"/>
          <w:szCs w:val="21"/>
          <w:highlight w:val="none"/>
          <w:lang w:val="en-US" w:eastAsia="zh-CN"/>
          <w14:textFill>
            <w14:solidFill>
              <w14:schemeClr w14:val="tx1"/>
            </w14:solidFill>
          </w14:textFill>
        </w:rPr>
        <w:t>。</w:t>
      </w:r>
    </w:p>
    <w:p>
      <w:pPr>
        <w:spacing w:line="400" w:lineRule="exact"/>
        <w:ind w:firstLine="420" w:firstLineChars="200"/>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（2）符合性审查内容和标准：</w:t>
      </w:r>
    </w:p>
    <w:tbl>
      <w:tblPr>
        <w:tblStyle w:val="23"/>
        <w:tblpPr w:leftFromText="180" w:rightFromText="180" w:vertAnchor="text" w:horzAnchor="page" w:tblpX="1737" w:tblpY="280"/>
        <w:tblOverlap w:val="never"/>
        <w:tblW w:w="85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9"/>
        <w:gridCol w:w="3727"/>
        <w:gridCol w:w="3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89" w:type="dxa"/>
            <w:vAlign w:val="center"/>
          </w:tcPr>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序号</w:t>
            </w:r>
          </w:p>
        </w:tc>
        <w:tc>
          <w:tcPr>
            <w:tcW w:w="3727" w:type="dxa"/>
            <w:vAlign w:val="center"/>
          </w:tcPr>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审查内容</w:t>
            </w:r>
          </w:p>
        </w:tc>
        <w:tc>
          <w:tcPr>
            <w:tcW w:w="3674" w:type="dxa"/>
            <w:vAlign w:val="center"/>
          </w:tcPr>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合格条件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89" w:type="dxa"/>
            <w:vAlign w:val="center"/>
          </w:tcPr>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1</w:t>
            </w:r>
          </w:p>
        </w:tc>
        <w:tc>
          <w:tcPr>
            <w:tcW w:w="3727" w:type="dxa"/>
            <w:vAlign w:val="center"/>
          </w:tcPr>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投标文件的有效性、完整性</w:t>
            </w:r>
          </w:p>
        </w:tc>
        <w:tc>
          <w:tcPr>
            <w:tcW w:w="3674" w:type="dxa"/>
            <w:vAlign w:val="center"/>
          </w:tcPr>
          <w:p>
            <w:pPr>
              <w:jc w:val="cente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1"/>
                <w:szCs w:val="21"/>
                <w:highlight w:val="none"/>
                <w14:textFill>
                  <w14:solidFill>
                    <w14:schemeClr w14:val="tx1"/>
                  </w14:solidFill>
                </w14:textFill>
              </w:rPr>
              <w:t>符合招标文件要求、无缺漏项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89" w:type="dxa"/>
            <w:vAlign w:val="center"/>
          </w:tcPr>
          <w:p>
            <w:pPr>
              <w:jc w:val="cente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2</w:t>
            </w:r>
          </w:p>
        </w:tc>
        <w:tc>
          <w:tcPr>
            <w:tcW w:w="3727" w:type="dxa"/>
            <w:vAlign w:val="center"/>
          </w:tcPr>
          <w:p>
            <w:pPr>
              <w:jc w:val="cente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投标文件的签署格式</w:t>
            </w:r>
          </w:p>
        </w:tc>
        <w:tc>
          <w:tcPr>
            <w:tcW w:w="3674" w:type="dxa"/>
            <w:vAlign w:val="center"/>
          </w:tcPr>
          <w:p>
            <w:pPr>
              <w:jc w:val="cente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符合招标文件要求、本人签字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89" w:type="dxa"/>
            <w:vAlign w:val="center"/>
          </w:tcPr>
          <w:p>
            <w:pPr>
              <w:jc w:val="cente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3</w:t>
            </w:r>
          </w:p>
        </w:tc>
        <w:tc>
          <w:tcPr>
            <w:tcW w:w="3727" w:type="dxa"/>
            <w:vAlign w:val="center"/>
          </w:tcPr>
          <w:p>
            <w:pPr>
              <w:jc w:val="cente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商务响应</w:t>
            </w:r>
          </w:p>
        </w:tc>
        <w:tc>
          <w:tcPr>
            <w:tcW w:w="3674" w:type="dxa"/>
            <w:vAlign w:val="center"/>
          </w:tcPr>
          <w:p>
            <w:pPr>
              <w:jc w:val="cente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符合招标文件要求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89" w:type="dxa"/>
            <w:vAlign w:val="center"/>
          </w:tcPr>
          <w:p>
            <w:pPr>
              <w:jc w:val="cente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4</w:t>
            </w:r>
          </w:p>
        </w:tc>
        <w:tc>
          <w:tcPr>
            <w:tcW w:w="3727" w:type="dxa"/>
            <w:vAlign w:val="center"/>
          </w:tcPr>
          <w:p>
            <w:pPr>
              <w:jc w:val="cente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技术响应</w:t>
            </w:r>
          </w:p>
        </w:tc>
        <w:tc>
          <w:tcPr>
            <w:tcW w:w="3674" w:type="dxa"/>
            <w:vAlign w:val="center"/>
          </w:tcPr>
          <w:p>
            <w:pPr>
              <w:jc w:val="cente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符合招标文件要求</w:t>
            </w:r>
          </w:p>
        </w:tc>
      </w:tr>
    </w:tbl>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注：以上各项有一项不合格，评审不予通过，作为未实质性响应招标文件，按无效响应文件处理。</w:t>
      </w:r>
    </w:p>
    <w:p>
      <w:pPr>
        <w:pStyle w:val="2"/>
        <w:spacing w:line="480" w:lineRule="exact"/>
        <w:ind w:left="420"/>
        <w:jc w:val="left"/>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216" w:name="_Toc15823"/>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2.投标文件详细评审</w:t>
      </w:r>
      <w:bookmarkEnd w:id="216"/>
    </w:p>
    <w:p>
      <w:pPr>
        <w:spacing w:line="480" w:lineRule="exact"/>
        <w:ind w:firstLine="480" w:firstLineChars="200"/>
        <w:jc w:val="left"/>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（1）本项目采用综合评分法进行评审，总分为</w:t>
      </w:r>
      <w:r>
        <w:rPr>
          <w:rFonts w:hint="eastAsia" w:asciiTheme="minorEastAsia" w:hAnsiTheme="minorEastAsia" w:eastAsiaTheme="minorEastAsia" w:cstheme="minorEastAsia"/>
          <w:smallCaps w:val="0"/>
          <w:color w:val="000000" w:themeColor="text1"/>
          <w:spacing w:val="0"/>
          <w:sz w:val="24"/>
          <w:highlight w:val="none"/>
          <w:u w:val="single"/>
          <w14:textFill>
            <w14:solidFill>
              <w14:schemeClr w14:val="tx1"/>
            </w14:solidFill>
          </w14:textFill>
        </w:rPr>
        <w:t>100</w:t>
      </w: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分。</w:t>
      </w:r>
    </w:p>
    <w:p>
      <w:pPr>
        <w:spacing w:line="480" w:lineRule="exact"/>
        <w:ind w:firstLine="480" w:firstLineChars="200"/>
        <w:jc w:val="left"/>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（2）评标委员会将对通过资格性、符合性审查，实质上响应招标文件要求的投标文件，按照招标文件中规定的各项因素进行综合评审，根据评审总得分由高到低的顺序推荐前3名候选供应商。</w:t>
      </w:r>
    </w:p>
    <w:p>
      <w:pPr>
        <w:spacing w:line="480" w:lineRule="exact"/>
        <w:ind w:firstLine="480" w:firstLineChars="200"/>
        <w:jc w:val="left"/>
        <w:rPr>
          <w:rFonts w:hint="eastAsia" w:asciiTheme="minorEastAsia" w:hAnsiTheme="minorEastAsia" w:eastAsiaTheme="minorEastAsia" w:cstheme="minorEastAsia"/>
          <w:bCs/>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bCs/>
          <w:smallCaps w:val="0"/>
          <w:color w:val="000000" w:themeColor="text1"/>
          <w:spacing w:val="0"/>
          <w:sz w:val="24"/>
          <w:highlight w:val="none"/>
          <w14:textFill>
            <w14:solidFill>
              <w14:schemeClr w14:val="tx1"/>
            </w14:solidFill>
          </w14:textFill>
        </w:rPr>
        <w:t>（3）评审内容和标准：</w:t>
      </w:r>
    </w:p>
    <w:p>
      <w:pPr>
        <w:spacing w:line="480" w:lineRule="exact"/>
        <w:jc w:val="center"/>
        <w:rPr>
          <w:rFonts w:hint="eastAsia" w:asciiTheme="minorEastAsia" w:hAnsiTheme="minorEastAsia" w:eastAsiaTheme="minorEastAsia" w:cstheme="minorEastAsia"/>
          <w:bCs/>
          <w:smallCaps w:val="0"/>
          <w:color w:val="000000" w:themeColor="text1"/>
          <w:spacing w:val="0"/>
          <w:sz w:val="24"/>
          <w:highlight w:val="none"/>
          <w14:textFill>
            <w14:solidFill>
              <w14:schemeClr w14:val="tx1"/>
            </w14:solidFill>
          </w14:textFill>
        </w:rPr>
      </w:pPr>
      <w:r>
        <w:rPr>
          <w:rFonts w:hint="eastAsia" w:ascii="宋体" w:hAnsi="宋体" w:eastAsia="宋体" w:cs="宋体"/>
          <w:b/>
          <w:bCs/>
          <w:smallCaps w:val="0"/>
          <w:color w:val="000000" w:themeColor="text1"/>
          <w:spacing w:val="0"/>
          <w:sz w:val="21"/>
          <w:szCs w:val="21"/>
          <w:highlight w:val="none"/>
          <w14:textFill>
            <w14:solidFill>
              <w14:schemeClr w14:val="tx1"/>
            </w14:solidFill>
          </w14:textFill>
        </w:rPr>
        <w:t>评分办法</w:t>
      </w:r>
    </w:p>
    <w:tbl>
      <w:tblPr>
        <w:tblStyle w:val="23"/>
        <w:tblW w:w="4922" w:type="pct"/>
        <w:tblInd w:w="1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5"/>
        <w:gridCol w:w="791"/>
        <w:gridCol w:w="6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9" w:type="pct"/>
            <w:noWrap w:val="0"/>
            <w:vAlign w:val="center"/>
          </w:tcPr>
          <w:p>
            <w:pPr>
              <w:spacing w:line="360" w:lineRule="auto"/>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评审内容</w:t>
            </w:r>
          </w:p>
        </w:tc>
        <w:tc>
          <w:tcPr>
            <w:tcW w:w="471" w:type="pct"/>
            <w:noWrap w:val="0"/>
            <w:vAlign w:val="center"/>
          </w:tcPr>
          <w:p>
            <w:pPr>
              <w:spacing w:line="360" w:lineRule="auto"/>
              <w:jc w:val="center"/>
              <w:rPr>
                <w:rFonts w:hint="eastAsia" w:ascii="宋体" w:hAnsi="宋体" w:eastAsia="宋体" w:cs="宋体"/>
                <w:b/>
                <w:sz w:val="21"/>
                <w:szCs w:val="21"/>
                <w:highlight w:val="none"/>
                <w:lang w:val="en-US" w:eastAsia="zh-CN"/>
              </w:rPr>
            </w:pPr>
            <w:r>
              <w:rPr>
                <w:rFonts w:hint="eastAsia" w:ascii="宋体" w:hAnsi="宋体" w:eastAsia="宋体" w:cs="宋体"/>
                <w:b/>
                <w:sz w:val="21"/>
                <w:szCs w:val="21"/>
                <w:highlight w:val="none"/>
              </w:rPr>
              <w:t>分</w:t>
            </w:r>
            <w:r>
              <w:rPr>
                <w:rFonts w:hint="eastAsia" w:ascii="宋体" w:hAnsi="宋体" w:cs="宋体"/>
                <w:b/>
                <w:sz w:val="21"/>
                <w:szCs w:val="21"/>
                <w:highlight w:val="none"/>
                <w:lang w:eastAsia="zh-CN"/>
              </w:rPr>
              <w:t>值</w:t>
            </w:r>
          </w:p>
        </w:tc>
        <w:tc>
          <w:tcPr>
            <w:tcW w:w="3768" w:type="pct"/>
            <w:noWrap w:val="0"/>
            <w:vAlign w:val="center"/>
          </w:tcPr>
          <w:p>
            <w:pPr>
              <w:spacing w:line="360" w:lineRule="auto"/>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评审原则与标准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trPr>
        <w:tc>
          <w:tcPr>
            <w:tcW w:w="759" w:type="pct"/>
            <w:noWrap w:val="0"/>
            <w:vAlign w:val="center"/>
          </w:tcPr>
          <w:p>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报  价</w:t>
            </w:r>
          </w:p>
        </w:tc>
        <w:tc>
          <w:tcPr>
            <w:tcW w:w="471" w:type="pct"/>
            <w:noWrap w:val="0"/>
            <w:vAlign w:val="center"/>
          </w:tcPr>
          <w:p>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30分</w:t>
            </w:r>
          </w:p>
        </w:tc>
        <w:tc>
          <w:tcPr>
            <w:tcW w:w="3768" w:type="pct"/>
            <w:noWrap w:val="0"/>
            <w:vAlign w:val="center"/>
          </w:tcPr>
          <w:p>
            <w:pPr>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实质性满足招标文件要求且投标价格最低的投标报价为评标基准价，其报价分为满分30分。</w:t>
            </w:r>
          </w:p>
          <w:p>
            <w:pPr>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其它投标报价得分=（评标基准价/投标报价）*30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759" w:type="pct"/>
            <w:vMerge w:val="restart"/>
            <w:noWrap w:val="0"/>
            <w:vAlign w:val="center"/>
          </w:tcPr>
          <w:p>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技术方案</w:t>
            </w:r>
          </w:p>
        </w:tc>
        <w:tc>
          <w:tcPr>
            <w:tcW w:w="471" w:type="pct"/>
            <w:vMerge w:val="restart"/>
            <w:noWrap w:val="0"/>
            <w:vAlign w:val="center"/>
          </w:tcPr>
          <w:p>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50</w:t>
            </w:r>
            <w:r>
              <w:rPr>
                <w:rFonts w:hint="eastAsia" w:ascii="宋体" w:hAnsi="宋体" w:eastAsia="宋体" w:cs="宋体"/>
                <w:sz w:val="21"/>
                <w:szCs w:val="21"/>
                <w:highlight w:val="none"/>
              </w:rPr>
              <w:t>分</w:t>
            </w:r>
          </w:p>
        </w:tc>
        <w:tc>
          <w:tcPr>
            <w:tcW w:w="3768" w:type="pct"/>
            <w:noWrap w:val="0"/>
            <w:vAlign w:val="center"/>
          </w:tcPr>
          <w:p>
            <w:pPr>
              <w:numPr>
                <w:ilvl w:val="0"/>
                <w:numId w:val="3"/>
              </w:numPr>
              <w:spacing w:line="360" w:lineRule="auto"/>
              <w:rPr>
                <w:rFonts w:hint="eastAsia" w:ascii="宋体" w:hAnsi="宋体" w:cs="宋体"/>
                <w:sz w:val="21"/>
                <w:szCs w:val="21"/>
                <w:highlight w:val="none"/>
                <w:lang w:val="en-US" w:eastAsia="zh-CN"/>
              </w:rPr>
            </w:pPr>
            <w:r>
              <w:rPr>
                <w:rFonts w:hint="eastAsia" w:ascii="宋体" w:hAnsi="宋体" w:eastAsia="宋体" w:cs="宋体"/>
                <w:sz w:val="21"/>
                <w:szCs w:val="21"/>
                <w:highlight w:val="none"/>
              </w:rPr>
              <w:t>所投产品、选型、规格指标、功能配置、数量准确</w:t>
            </w:r>
            <w:r>
              <w:rPr>
                <w:rFonts w:hint="eastAsia" w:ascii="宋体" w:hAnsi="宋体" w:eastAsia="宋体" w:cs="宋体"/>
                <w:sz w:val="21"/>
                <w:szCs w:val="21"/>
                <w:highlight w:val="none"/>
                <w:lang w:eastAsia="zh-CN"/>
              </w:rPr>
              <w:t>，完全满足招标文件要求且</w:t>
            </w:r>
            <w:r>
              <w:rPr>
                <w:rFonts w:hint="eastAsia" w:ascii="宋体" w:hAnsi="宋体" w:eastAsia="宋体" w:cs="宋体"/>
                <w:sz w:val="21"/>
                <w:szCs w:val="21"/>
                <w:highlight w:val="none"/>
              </w:rPr>
              <w:t>技术资料</w:t>
            </w:r>
            <w:r>
              <w:rPr>
                <w:rFonts w:hint="eastAsia" w:ascii="宋体" w:hAnsi="宋体" w:eastAsia="宋体" w:cs="宋体"/>
                <w:sz w:val="21"/>
                <w:szCs w:val="21"/>
                <w:highlight w:val="none"/>
                <w:lang w:eastAsia="zh-CN"/>
              </w:rPr>
              <w:t>、支持证明文件</w:t>
            </w:r>
            <w:r>
              <w:rPr>
                <w:rFonts w:hint="eastAsia" w:ascii="宋体" w:hAnsi="宋体" w:eastAsia="宋体" w:cs="宋体"/>
                <w:sz w:val="21"/>
                <w:szCs w:val="21"/>
                <w:highlight w:val="none"/>
              </w:rPr>
              <w:t>等</w:t>
            </w:r>
            <w:r>
              <w:rPr>
                <w:rFonts w:hint="eastAsia" w:ascii="宋体" w:hAnsi="宋体" w:eastAsia="宋体" w:cs="宋体"/>
                <w:sz w:val="21"/>
                <w:szCs w:val="21"/>
                <w:highlight w:val="none"/>
                <w:lang w:eastAsia="zh-CN"/>
              </w:rPr>
              <w:t>齐全的得</w:t>
            </w:r>
            <w:r>
              <w:rPr>
                <w:rFonts w:hint="eastAsia" w:ascii="宋体" w:hAnsi="宋体" w:eastAsia="宋体" w:cs="宋体"/>
                <w:sz w:val="21"/>
                <w:szCs w:val="21"/>
                <w:highlight w:val="none"/>
                <w:lang w:val="en-US" w:eastAsia="zh-CN"/>
              </w:rPr>
              <w:t>10分</w:t>
            </w:r>
            <w:r>
              <w:rPr>
                <w:rFonts w:hint="eastAsia" w:ascii="宋体" w:hAnsi="宋体" w:cs="宋体"/>
                <w:sz w:val="21"/>
                <w:szCs w:val="21"/>
                <w:highlight w:val="none"/>
                <w:lang w:val="en-US" w:eastAsia="zh-CN"/>
              </w:rPr>
              <w:t>；</w:t>
            </w:r>
          </w:p>
          <w:p>
            <w:pPr>
              <w:numPr>
                <w:ilvl w:val="0"/>
                <w:numId w:val="0"/>
              </w:numPr>
              <w:spacing w:line="360" w:lineRule="auto"/>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2、</w:t>
            </w:r>
            <w:r>
              <w:rPr>
                <w:rFonts w:hint="eastAsia" w:ascii="宋体" w:hAnsi="宋体" w:eastAsia="宋体" w:cs="宋体"/>
                <w:sz w:val="21"/>
                <w:szCs w:val="21"/>
                <w:highlight w:val="none"/>
                <w:lang w:eastAsia="zh-CN"/>
              </w:rPr>
              <w:t>采购要求中“</w:t>
            </w:r>
            <w:r>
              <w:rPr>
                <w:rFonts w:hint="eastAsia" w:ascii="宋体" w:hAnsi="宋体" w:eastAsia="宋体" w:cs="宋体"/>
                <w:sz w:val="21"/>
                <w:szCs w:val="21"/>
                <w:highlight w:val="none"/>
              </w:rPr>
              <w:t>★</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代表关键指标，</w:t>
            </w:r>
            <w:r>
              <w:rPr>
                <w:rFonts w:hint="eastAsia" w:ascii="宋体" w:hAnsi="宋体" w:eastAsia="宋体" w:cs="宋体"/>
                <w:sz w:val="21"/>
                <w:szCs w:val="21"/>
                <w:highlight w:val="none"/>
                <w:lang w:eastAsia="zh-CN"/>
              </w:rPr>
              <w:t>一项负偏离</w:t>
            </w:r>
            <w:r>
              <w:rPr>
                <w:rFonts w:hint="eastAsia" w:ascii="宋体" w:hAnsi="宋体" w:eastAsia="宋体" w:cs="宋体"/>
                <w:sz w:val="21"/>
                <w:szCs w:val="21"/>
                <w:highlight w:val="none"/>
              </w:rPr>
              <w:t>扣3分，无标识则表示一般指标，</w:t>
            </w:r>
            <w:r>
              <w:rPr>
                <w:rFonts w:hint="eastAsia" w:ascii="宋体" w:hAnsi="宋体" w:eastAsia="宋体" w:cs="宋体"/>
                <w:sz w:val="21"/>
                <w:szCs w:val="21"/>
                <w:highlight w:val="none"/>
                <w:lang w:eastAsia="zh-CN"/>
              </w:rPr>
              <w:t>一项</w:t>
            </w:r>
            <w:r>
              <w:rPr>
                <w:rFonts w:hint="eastAsia" w:ascii="宋体" w:hAnsi="宋体" w:eastAsia="宋体" w:cs="宋体"/>
                <w:sz w:val="21"/>
                <w:szCs w:val="21"/>
                <w:highlight w:val="none"/>
              </w:rPr>
              <w:t>不满足扣</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分，扣完为止</w:t>
            </w:r>
            <w:r>
              <w:rPr>
                <w:rFonts w:hint="eastAsia" w:ascii="宋体" w:hAnsi="宋体" w:eastAsia="宋体" w:cs="宋体"/>
                <w:sz w:val="21"/>
                <w:szCs w:val="21"/>
                <w:highlight w:val="none"/>
                <w:lang w:eastAsia="zh-CN"/>
              </w:rPr>
              <w:t>。优于采购要求中“</w:t>
            </w:r>
            <w:r>
              <w:rPr>
                <w:rFonts w:hint="eastAsia" w:ascii="宋体" w:hAnsi="宋体" w:eastAsia="宋体" w:cs="宋体"/>
                <w:sz w:val="21"/>
                <w:szCs w:val="21"/>
                <w:highlight w:val="none"/>
              </w:rPr>
              <w:t>★</w:t>
            </w:r>
            <w:r>
              <w:rPr>
                <w:rFonts w:hint="eastAsia" w:ascii="宋体" w:hAnsi="宋体" w:eastAsia="宋体" w:cs="宋体"/>
                <w:sz w:val="21"/>
                <w:szCs w:val="21"/>
                <w:highlight w:val="none"/>
                <w:lang w:eastAsia="zh-CN"/>
              </w:rPr>
              <w:t>”</w:t>
            </w:r>
            <w:r>
              <w:rPr>
                <w:rFonts w:hint="eastAsia" w:ascii="宋体" w:hAnsi="宋体" w:cs="宋体"/>
                <w:sz w:val="21"/>
                <w:szCs w:val="21"/>
                <w:highlight w:val="none"/>
                <w:lang w:val="en-US" w:eastAsia="zh-CN"/>
              </w:rPr>
              <w:t>关键指标一项加2分，优于无标识指标</w:t>
            </w:r>
            <w:r>
              <w:rPr>
                <w:rFonts w:hint="eastAsia" w:ascii="宋体" w:hAnsi="宋体" w:eastAsia="宋体" w:cs="宋体"/>
                <w:sz w:val="21"/>
                <w:szCs w:val="21"/>
                <w:highlight w:val="none"/>
                <w:lang w:eastAsia="zh-CN"/>
              </w:rPr>
              <w:t>要求一项加</w:t>
            </w:r>
            <w:r>
              <w:rPr>
                <w:rFonts w:hint="eastAsia" w:ascii="宋体" w:hAnsi="宋体" w:eastAsia="宋体" w:cs="宋体"/>
                <w:sz w:val="21"/>
                <w:szCs w:val="21"/>
                <w:highlight w:val="none"/>
                <w:lang w:val="en-US" w:eastAsia="zh-CN"/>
              </w:rPr>
              <w:t>1分，</w:t>
            </w:r>
            <w:r>
              <w:rPr>
                <w:rFonts w:hint="eastAsia" w:ascii="宋体" w:hAnsi="宋体" w:eastAsia="宋体" w:cs="宋体"/>
                <w:sz w:val="21"/>
                <w:szCs w:val="21"/>
                <w:highlight w:val="none"/>
              </w:rPr>
              <w:t>满分</w:t>
            </w:r>
            <w:r>
              <w:rPr>
                <w:rFonts w:hint="eastAsia" w:ascii="宋体" w:hAnsi="宋体" w:cs="宋体"/>
                <w:sz w:val="21"/>
                <w:szCs w:val="21"/>
                <w:highlight w:val="none"/>
                <w:lang w:val="en-US" w:eastAsia="zh-CN"/>
              </w:rPr>
              <w:t>1</w:t>
            </w:r>
            <w:r>
              <w:rPr>
                <w:rFonts w:hint="eastAsia" w:ascii="宋体" w:hAnsi="宋体" w:eastAsia="宋体" w:cs="宋体"/>
                <w:sz w:val="21"/>
                <w:szCs w:val="21"/>
                <w:highlight w:val="none"/>
                <w:lang w:val="en-US" w:eastAsia="zh-CN"/>
              </w:rPr>
              <w:t>0</w:t>
            </w:r>
            <w:r>
              <w:rPr>
                <w:rFonts w:hint="eastAsia" w:ascii="宋体" w:hAnsi="宋体" w:eastAsia="宋体" w:cs="宋体"/>
                <w:sz w:val="21"/>
                <w:szCs w:val="21"/>
                <w:highlight w:val="none"/>
              </w:rPr>
              <w:t>分</w:t>
            </w:r>
            <w:r>
              <w:rPr>
                <w:rFonts w:hint="eastAsia" w:ascii="宋体" w:hAnsi="宋体" w:eastAsia="宋体" w:cs="宋体"/>
                <w:sz w:val="21"/>
                <w:szCs w:val="21"/>
                <w:highlight w:val="none"/>
                <w:lang w:eastAsia="zh-CN"/>
              </w:rPr>
              <w:t>（优于招标文件指标项的供应商须详细说明并附详细佐证材料，否则视为无偏离或负偏离）</w:t>
            </w:r>
            <w:r>
              <w:rPr>
                <w:rFonts w:hint="eastAsia" w:ascii="宋体" w:hAnsi="宋体" w:eastAsia="宋体" w:cs="宋体"/>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759" w:type="pct"/>
            <w:vMerge w:val="continue"/>
            <w:noWrap w:val="0"/>
            <w:vAlign w:val="center"/>
          </w:tcPr>
          <w:p>
            <w:pPr>
              <w:spacing w:line="360" w:lineRule="auto"/>
              <w:jc w:val="center"/>
              <w:rPr>
                <w:rFonts w:hint="eastAsia" w:ascii="宋体" w:hAnsi="宋体" w:eastAsia="宋体" w:cs="宋体"/>
                <w:sz w:val="21"/>
                <w:szCs w:val="21"/>
                <w:highlight w:val="none"/>
              </w:rPr>
            </w:pPr>
          </w:p>
        </w:tc>
        <w:tc>
          <w:tcPr>
            <w:tcW w:w="471" w:type="pct"/>
            <w:vMerge w:val="continue"/>
            <w:noWrap w:val="0"/>
            <w:vAlign w:val="center"/>
          </w:tcPr>
          <w:p>
            <w:pPr>
              <w:spacing w:line="360" w:lineRule="auto"/>
              <w:jc w:val="center"/>
              <w:rPr>
                <w:rFonts w:hint="eastAsia" w:ascii="宋体" w:hAnsi="宋体" w:eastAsia="宋体" w:cs="宋体"/>
                <w:sz w:val="21"/>
                <w:szCs w:val="21"/>
                <w:highlight w:val="none"/>
              </w:rPr>
            </w:pPr>
          </w:p>
        </w:tc>
        <w:tc>
          <w:tcPr>
            <w:tcW w:w="3768" w:type="pct"/>
            <w:noWrap w:val="0"/>
            <w:vAlign w:val="center"/>
          </w:tcPr>
          <w:p>
            <w:pPr>
              <w:spacing w:line="360" w:lineRule="auto"/>
              <w:rPr>
                <w:rFonts w:hint="eastAsia" w:ascii="宋体" w:hAnsi="宋体" w:eastAsia="宋体" w:cs="宋体"/>
                <w:sz w:val="21"/>
                <w:szCs w:val="21"/>
                <w:highlight w:val="none"/>
              </w:rPr>
            </w:pPr>
            <w:r>
              <w:rPr>
                <w:rFonts w:hint="eastAsia" w:ascii="宋体" w:hAnsi="宋体" w:eastAsia="宋体" w:cs="宋体"/>
                <w:bCs/>
                <w:sz w:val="21"/>
                <w:szCs w:val="21"/>
                <w:highlight w:val="none"/>
              </w:rPr>
              <w:t>所投产品、主材、配件等货源渠道及来源正常，</w:t>
            </w:r>
            <w:r>
              <w:rPr>
                <w:rFonts w:hint="eastAsia" w:ascii="宋体" w:hAnsi="宋体" w:eastAsia="宋体" w:cs="宋体"/>
                <w:sz w:val="21"/>
                <w:szCs w:val="21"/>
                <w:highlight w:val="none"/>
              </w:rPr>
              <w:t>质量保证,符合国际、国内标准，检验手续合法有效。能提供</w:t>
            </w:r>
            <w:r>
              <w:rPr>
                <w:rFonts w:hint="eastAsia" w:ascii="宋体" w:hAnsi="宋体" w:eastAsia="宋体" w:cs="宋体"/>
                <w:bCs/>
                <w:sz w:val="21"/>
                <w:szCs w:val="21"/>
                <w:highlight w:val="none"/>
              </w:rPr>
              <w:t>产品来源渠道合法的证明文件（包括但不限于销售协议、代理协议、原厂授权等</w:t>
            </w:r>
            <w:r>
              <w:rPr>
                <w:rFonts w:hint="eastAsia" w:ascii="宋体" w:hAnsi="宋体" w:eastAsia="宋体" w:cs="宋体"/>
                <w:bCs/>
                <w:sz w:val="21"/>
                <w:szCs w:val="21"/>
                <w:highlight w:val="none"/>
                <w:lang w:eastAsia="zh-CN"/>
              </w:rPr>
              <w:t>且加盖原厂红色鲜章</w:t>
            </w:r>
            <w:r>
              <w:rPr>
                <w:rFonts w:hint="eastAsia" w:ascii="宋体" w:hAnsi="宋体" w:eastAsia="宋体" w:cs="宋体"/>
                <w:bCs/>
                <w:sz w:val="21"/>
                <w:szCs w:val="21"/>
                <w:highlight w:val="none"/>
              </w:rPr>
              <w:t>）、</w:t>
            </w:r>
            <w:r>
              <w:rPr>
                <w:rFonts w:hint="eastAsia" w:ascii="宋体" w:hAnsi="宋体" w:eastAsia="宋体" w:cs="宋体"/>
                <w:sz w:val="21"/>
                <w:szCs w:val="21"/>
                <w:highlight w:val="none"/>
              </w:rPr>
              <w:t>检验或检测报告、出厂合格证及国家强制认证等相关产品质量证明文件。根据供应商提供的证明文件齐全，综合比对各家供应商响应程度进行赋分。（证明材料齐全得：</w:t>
            </w:r>
            <w:r>
              <w:rPr>
                <w:rFonts w:hint="eastAsia" w:ascii="宋体" w:hAnsi="宋体" w:cs="宋体"/>
                <w:sz w:val="21"/>
                <w:szCs w:val="21"/>
                <w:highlight w:val="none"/>
                <w:lang w:val="en-US" w:eastAsia="zh-CN"/>
              </w:rPr>
              <w:t>7</w:t>
            </w:r>
            <w:r>
              <w:rPr>
                <w:rFonts w:hint="eastAsia" w:ascii="宋体" w:hAnsi="宋体" w:eastAsia="宋体" w:cs="宋体"/>
                <w:sz w:val="21"/>
                <w:szCs w:val="21"/>
                <w:highlight w:val="none"/>
              </w:rPr>
              <w:t>-</w:t>
            </w:r>
            <w:r>
              <w:rPr>
                <w:rFonts w:hint="eastAsia" w:ascii="宋体" w:hAnsi="宋体" w:cs="宋体"/>
                <w:sz w:val="21"/>
                <w:szCs w:val="21"/>
                <w:highlight w:val="none"/>
                <w:lang w:val="en-US" w:eastAsia="zh-CN"/>
              </w:rPr>
              <w:t>10</w:t>
            </w:r>
            <w:r>
              <w:rPr>
                <w:rFonts w:hint="eastAsia" w:ascii="宋体" w:hAnsi="宋体" w:eastAsia="宋体" w:cs="宋体"/>
                <w:sz w:val="21"/>
                <w:szCs w:val="21"/>
                <w:highlight w:val="none"/>
              </w:rPr>
              <w:t>分；缺少部分证明材料得</w:t>
            </w:r>
            <w:r>
              <w:rPr>
                <w:rFonts w:hint="eastAsia" w:ascii="宋体" w:hAnsi="宋体" w:cs="宋体"/>
                <w:sz w:val="21"/>
                <w:szCs w:val="21"/>
                <w:highlight w:val="none"/>
                <w:lang w:val="en-US" w:eastAsia="zh-CN"/>
              </w:rPr>
              <w:t>3</w:t>
            </w:r>
            <w:r>
              <w:rPr>
                <w:rFonts w:hint="eastAsia" w:ascii="宋体" w:hAnsi="宋体" w:eastAsia="宋体" w:cs="宋体"/>
                <w:sz w:val="21"/>
                <w:szCs w:val="21"/>
                <w:highlight w:val="none"/>
              </w:rPr>
              <w:t>-</w:t>
            </w:r>
            <w:r>
              <w:rPr>
                <w:rFonts w:hint="eastAsia" w:ascii="宋体" w:hAnsi="宋体" w:cs="宋体"/>
                <w:sz w:val="21"/>
                <w:szCs w:val="21"/>
                <w:highlight w:val="none"/>
                <w:lang w:val="en-US" w:eastAsia="zh-CN"/>
              </w:rPr>
              <w:t>7</w:t>
            </w:r>
            <w:r>
              <w:rPr>
                <w:rFonts w:hint="eastAsia" w:ascii="宋体" w:hAnsi="宋体" w:eastAsia="宋体" w:cs="宋体"/>
                <w:sz w:val="21"/>
                <w:szCs w:val="21"/>
                <w:highlight w:val="none"/>
              </w:rPr>
              <w:t>分；未提供证明材料或仅提供个别证明材料得：</w:t>
            </w:r>
            <w:r>
              <w:rPr>
                <w:rFonts w:hint="eastAsia" w:ascii="宋体" w:hAnsi="宋体" w:cs="宋体"/>
                <w:sz w:val="21"/>
                <w:szCs w:val="21"/>
                <w:highlight w:val="none"/>
                <w:lang w:val="en-US" w:eastAsia="zh-CN"/>
              </w:rPr>
              <w:t>0</w:t>
            </w:r>
            <w:r>
              <w:rPr>
                <w:rFonts w:hint="eastAsia" w:ascii="宋体" w:hAnsi="宋体" w:eastAsia="宋体" w:cs="宋体"/>
                <w:sz w:val="21"/>
                <w:szCs w:val="21"/>
                <w:highlight w:val="none"/>
              </w:rPr>
              <w:t>-</w:t>
            </w:r>
            <w:r>
              <w:rPr>
                <w:rFonts w:hint="eastAsia" w:ascii="宋体" w:hAnsi="宋体" w:cs="宋体"/>
                <w:sz w:val="21"/>
                <w:szCs w:val="21"/>
                <w:highlight w:val="none"/>
                <w:lang w:val="en-US" w:eastAsia="zh-CN"/>
              </w:rPr>
              <w:t>3</w:t>
            </w:r>
            <w:r>
              <w:rPr>
                <w:rFonts w:hint="eastAsia" w:ascii="宋体" w:hAnsi="宋体" w:eastAsia="宋体" w:cs="宋体"/>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759" w:type="pct"/>
            <w:vMerge w:val="continue"/>
            <w:noWrap w:val="0"/>
            <w:vAlign w:val="center"/>
          </w:tcPr>
          <w:p>
            <w:pPr>
              <w:spacing w:line="360" w:lineRule="auto"/>
              <w:jc w:val="center"/>
              <w:rPr>
                <w:rFonts w:hint="eastAsia" w:ascii="宋体" w:hAnsi="宋体" w:eastAsia="宋体" w:cs="宋体"/>
                <w:sz w:val="21"/>
                <w:szCs w:val="21"/>
                <w:highlight w:val="none"/>
              </w:rPr>
            </w:pPr>
          </w:p>
        </w:tc>
        <w:tc>
          <w:tcPr>
            <w:tcW w:w="471" w:type="pct"/>
            <w:vMerge w:val="continue"/>
            <w:noWrap w:val="0"/>
            <w:vAlign w:val="center"/>
          </w:tcPr>
          <w:p>
            <w:pPr>
              <w:spacing w:line="360" w:lineRule="auto"/>
              <w:jc w:val="center"/>
              <w:rPr>
                <w:rFonts w:hint="eastAsia" w:ascii="宋体" w:hAnsi="宋体" w:eastAsia="宋体" w:cs="宋体"/>
                <w:sz w:val="21"/>
                <w:szCs w:val="21"/>
                <w:highlight w:val="none"/>
              </w:rPr>
            </w:pPr>
          </w:p>
        </w:tc>
        <w:tc>
          <w:tcPr>
            <w:tcW w:w="3768" w:type="pct"/>
            <w:noWrap w:val="0"/>
            <w:vAlign w:val="center"/>
          </w:tcPr>
          <w:p>
            <w:pPr>
              <w:spacing w:line="360" w:lineRule="auto"/>
              <w:rPr>
                <w:rFonts w:hint="eastAsia" w:ascii="宋体" w:hAnsi="宋体" w:eastAsia="宋体" w:cs="宋体"/>
                <w:sz w:val="21"/>
                <w:szCs w:val="21"/>
                <w:highlight w:val="none"/>
                <w:lang w:eastAsia="zh-CN"/>
              </w:rPr>
            </w:pPr>
            <w:r>
              <w:rPr>
                <w:rFonts w:hint="eastAsia" w:ascii="宋体" w:hAnsi="宋体" w:cs="宋体"/>
                <w:sz w:val="21"/>
                <w:szCs w:val="21"/>
                <w:highlight w:val="none"/>
                <w:lang w:eastAsia="zh-CN"/>
              </w:rPr>
              <w:t>投标人</w:t>
            </w:r>
            <w:r>
              <w:rPr>
                <w:rFonts w:hint="eastAsia" w:ascii="宋体" w:hAnsi="宋体" w:eastAsia="宋体" w:cs="宋体"/>
                <w:sz w:val="21"/>
                <w:szCs w:val="21"/>
                <w:highlight w:val="none"/>
                <w:shd w:val="clear"/>
                <w:lang w:eastAsia="zh-CN"/>
              </w:rPr>
              <w:t>具备完善</w:t>
            </w:r>
            <w:r>
              <w:rPr>
                <w:rFonts w:hint="eastAsia" w:ascii="宋体" w:hAnsi="宋体" w:eastAsia="宋体" w:cs="宋体"/>
                <w:b w:val="0"/>
                <w:bCs w:val="0"/>
                <w:color w:val="auto"/>
                <w:sz w:val="21"/>
                <w:szCs w:val="21"/>
                <w:highlight w:val="none"/>
                <w:shd w:val="clear"/>
              </w:rPr>
              <w:t>可靠的产品质量管理体系</w:t>
            </w:r>
            <w:r>
              <w:rPr>
                <w:rFonts w:hint="eastAsia" w:ascii="宋体" w:hAnsi="宋体" w:eastAsia="宋体" w:cs="宋体"/>
                <w:b w:val="0"/>
                <w:bCs w:val="0"/>
                <w:color w:val="auto"/>
                <w:sz w:val="21"/>
                <w:szCs w:val="21"/>
                <w:highlight w:val="none"/>
                <w:shd w:val="clear"/>
                <w:lang w:eastAsia="zh-CN"/>
              </w:rPr>
              <w:t>，</w:t>
            </w:r>
            <w:r>
              <w:rPr>
                <w:rFonts w:hint="eastAsia" w:ascii="宋体" w:hAnsi="宋体" w:eastAsia="宋体" w:cs="宋体"/>
                <w:b w:val="0"/>
                <w:bCs w:val="0"/>
                <w:color w:val="auto"/>
                <w:sz w:val="21"/>
                <w:szCs w:val="21"/>
                <w:highlight w:val="none"/>
                <w:shd w:val="clear"/>
              </w:rPr>
              <w:t>能</w:t>
            </w:r>
            <w:r>
              <w:rPr>
                <w:rFonts w:hint="eastAsia" w:ascii="宋体" w:hAnsi="宋体" w:eastAsia="宋体" w:cs="宋体"/>
                <w:b w:val="0"/>
                <w:bCs w:val="0"/>
                <w:color w:val="auto"/>
                <w:sz w:val="21"/>
                <w:szCs w:val="21"/>
                <w:highlight w:val="none"/>
                <w:shd w:val="clear"/>
                <w:lang w:eastAsia="zh-CN"/>
              </w:rPr>
              <w:t>够确保</w:t>
            </w:r>
            <w:r>
              <w:rPr>
                <w:rFonts w:hint="eastAsia" w:ascii="宋体" w:hAnsi="宋体" w:eastAsia="宋体" w:cs="宋体"/>
                <w:b w:val="0"/>
                <w:bCs w:val="0"/>
                <w:color w:val="auto"/>
                <w:sz w:val="21"/>
                <w:szCs w:val="21"/>
                <w:highlight w:val="none"/>
                <w:shd w:val="clear"/>
              </w:rPr>
              <w:t>使用单位</w:t>
            </w:r>
            <w:r>
              <w:rPr>
                <w:rFonts w:hint="eastAsia" w:ascii="宋体" w:hAnsi="宋体" w:eastAsia="宋体" w:cs="宋体"/>
                <w:b w:val="0"/>
                <w:bCs w:val="0"/>
                <w:color w:val="auto"/>
                <w:sz w:val="21"/>
                <w:szCs w:val="21"/>
                <w:highlight w:val="none"/>
                <w:shd w:val="clear"/>
                <w:lang w:eastAsia="zh-CN"/>
              </w:rPr>
              <w:t>的</w:t>
            </w:r>
            <w:r>
              <w:rPr>
                <w:rFonts w:hint="eastAsia" w:ascii="宋体" w:hAnsi="宋体" w:eastAsia="宋体" w:cs="宋体"/>
                <w:b w:val="0"/>
                <w:bCs w:val="0"/>
                <w:color w:val="auto"/>
                <w:sz w:val="21"/>
                <w:szCs w:val="21"/>
                <w:highlight w:val="none"/>
                <w:shd w:val="clear"/>
              </w:rPr>
              <w:t>正常使用和维护</w:t>
            </w:r>
            <w:r>
              <w:rPr>
                <w:rFonts w:hint="eastAsia" w:ascii="宋体" w:hAnsi="宋体" w:eastAsia="宋体" w:cs="宋体"/>
                <w:b w:val="0"/>
                <w:bCs w:val="0"/>
                <w:color w:val="auto"/>
                <w:sz w:val="21"/>
                <w:szCs w:val="21"/>
                <w:highlight w:val="none"/>
                <w:shd w:val="clear"/>
                <w:lang w:eastAsia="zh-CN"/>
              </w:rPr>
              <w:t>，</w:t>
            </w:r>
            <w:r>
              <w:rPr>
                <w:rFonts w:hint="eastAsia" w:ascii="宋体" w:hAnsi="宋体" w:eastAsia="宋体" w:cs="宋体"/>
                <w:sz w:val="21"/>
                <w:szCs w:val="21"/>
                <w:highlight w:val="none"/>
                <w:shd w:val="clear"/>
                <w:lang w:eastAsia="zh-CN"/>
              </w:rPr>
              <w:t>评标委员会根据</w:t>
            </w:r>
            <w:r>
              <w:rPr>
                <w:rFonts w:hint="eastAsia" w:ascii="宋体" w:hAnsi="宋体" w:eastAsia="宋体" w:cs="宋体"/>
                <w:sz w:val="21"/>
                <w:szCs w:val="21"/>
                <w:highlight w:val="none"/>
                <w:shd w:val="clear"/>
              </w:rPr>
              <w:t>所投产品的工艺</w:t>
            </w:r>
            <w:r>
              <w:rPr>
                <w:rFonts w:hint="eastAsia" w:ascii="宋体" w:hAnsi="宋体" w:eastAsia="宋体" w:cs="宋体"/>
                <w:sz w:val="21"/>
                <w:szCs w:val="21"/>
                <w:highlight w:val="none"/>
                <w:shd w:val="clear"/>
                <w:lang w:eastAsia="zh-CN"/>
              </w:rPr>
              <w:t>、性能、质量、品质及</w:t>
            </w:r>
            <w:r>
              <w:rPr>
                <w:rFonts w:hint="eastAsia" w:ascii="宋体" w:hAnsi="宋体" w:eastAsia="宋体" w:cs="宋体"/>
                <w:sz w:val="21"/>
                <w:szCs w:val="21"/>
                <w:highlight w:val="none"/>
                <w:shd w:val="clear"/>
              </w:rPr>
              <w:t>生产厂商相关生产能力</w:t>
            </w:r>
            <w:r>
              <w:rPr>
                <w:rFonts w:hint="eastAsia" w:ascii="宋体" w:hAnsi="宋体" w:eastAsia="宋体" w:cs="宋体"/>
                <w:b w:val="0"/>
                <w:bCs w:val="0"/>
                <w:color w:val="auto"/>
                <w:sz w:val="21"/>
                <w:szCs w:val="21"/>
                <w:highlight w:val="none"/>
                <w:shd w:val="clear"/>
              </w:rPr>
              <w:t>等</w:t>
            </w:r>
            <w:r>
              <w:rPr>
                <w:rFonts w:hint="eastAsia" w:ascii="宋体" w:hAnsi="宋体" w:eastAsia="宋体" w:cs="宋体"/>
                <w:b w:val="0"/>
                <w:bCs w:val="0"/>
                <w:color w:val="auto"/>
                <w:sz w:val="21"/>
                <w:szCs w:val="21"/>
                <w:highlight w:val="none"/>
                <w:shd w:val="clear"/>
                <w:lang w:eastAsia="zh-CN"/>
              </w:rPr>
              <w:t>方面</w:t>
            </w:r>
            <w:r>
              <w:rPr>
                <w:rFonts w:hint="eastAsia" w:ascii="宋体" w:hAnsi="宋体" w:eastAsia="宋体" w:cs="宋体"/>
                <w:b w:val="0"/>
                <w:bCs w:val="0"/>
                <w:color w:val="auto"/>
                <w:sz w:val="21"/>
                <w:szCs w:val="21"/>
                <w:highlight w:val="none"/>
                <w:shd w:val="clear"/>
              </w:rPr>
              <w:t>进行</w:t>
            </w:r>
            <w:r>
              <w:rPr>
                <w:rFonts w:hint="eastAsia" w:ascii="宋体" w:hAnsi="宋体" w:eastAsia="宋体" w:cs="宋体"/>
                <w:b w:val="0"/>
                <w:bCs w:val="0"/>
                <w:color w:val="auto"/>
                <w:sz w:val="21"/>
                <w:szCs w:val="21"/>
                <w:highlight w:val="none"/>
                <w:shd w:val="clear"/>
                <w:lang w:eastAsia="zh-CN"/>
              </w:rPr>
              <w:t>综合评审</w:t>
            </w:r>
            <w:r>
              <w:rPr>
                <w:rFonts w:hint="eastAsia" w:ascii="宋体" w:hAnsi="宋体" w:eastAsia="宋体" w:cs="宋体"/>
                <w:b w:val="0"/>
                <w:bCs w:val="0"/>
                <w:color w:val="auto"/>
                <w:sz w:val="21"/>
                <w:szCs w:val="21"/>
                <w:highlight w:val="none"/>
                <w:shd w:val="clear"/>
              </w:rPr>
              <w:t>赋分</w:t>
            </w:r>
            <w:r>
              <w:rPr>
                <w:rFonts w:hint="eastAsia" w:ascii="宋体" w:hAnsi="宋体" w:eastAsia="宋体" w:cs="宋体"/>
                <w:sz w:val="21"/>
                <w:szCs w:val="21"/>
                <w:highlight w:val="none"/>
                <w:shd w:val="clear"/>
              </w:rPr>
              <w:t>（</w:t>
            </w:r>
            <w:r>
              <w:rPr>
                <w:rFonts w:hint="eastAsia" w:ascii="宋体" w:hAnsi="宋体" w:eastAsia="宋体" w:cs="宋体"/>
                <w:sz w:val="21"/>
                <w:szCs w:val="21"/>
                <w:highlight w:val="none"/>
                <w:shd w:val="clear"/>
                <w:lang w:eastAsia="zh-CN"/>
              </w:rPr>
              <w:t>生产厂商生产工艺先进、质量管理体系完备、产品性能稳定可靠者</w:t>
            </w:r>
            <w:r>
              <w:rPr>
                <w:rFonts w:hint="eastAsia" w:ascii="宋体" w:hAnsi="宋体" w:eastAsia="宋体" w:cs="宋体"/>
                <w:sz w:val="21"/>
                <w:szCs w:val="21"/>
                <w:highlight w:val="none"/>
                <w:shd w:val="clear"/>
              </w:rPr>
              <w:t>，得</w:t>
            </w:r>
            <w:r>
              <w:rPr>
                <w:rFonts w:hint="eastAsia" w:ascii="宋体" w:hAnsi="宋体" w:eastAsia="宋体" w:cs="宋体"/>
                <w:sz w:val="21"/>
                <w:szCs w:val="21"/>
                <w:highlight w:val="none"/>
                <w:shd w:val="clear"/>
                <w:lang w:val="en-US" w:eastAsia="zh-CN"/>
              </w:rPr>
              <w:t>7-</w:t>
            </w:r>
            <w:r>
              <w:rPr>
                <w:rFonts w:hint="eastAsia" w:ascii="宋体" w:hAnsi="宋体" w:eastAsia="宋体" w:cs="宋体"/>
                <w:sz w:val="21"/>
                <w:szCs w:val="21"/>
                <w:highlight w:val="none"/>
                <w:shd w:val="clear"/>
              </w:rPr>
              <w:t>10分；</w:t>
            </w:r>
            <w:r>
              <w:rPr>
                <w:rFonts w:hint="eastAsia" w:ascii="宋体" w:hAnsi="宋体" w:eastAsia="宋体" w:cs="宋体"/>
                <w:sz w:val="21"/>
                <w:szCs w:val="21"/>
                <w:highlight w:val="none"/>
                <w:shd w:val="clear"/>
                <w:lang w:eastAsia="zh-CN"/>
              </w:rPr>
              <w:t>生产厂商生产工艺成熟、质量管理体系健全、产品性能良好者</w:t>
            </w:r>
            <w:r>
              <w:rPr>
                <w:rFonts w:hint="eastAsia" w:ascii="宋体" w:hAnsi="宋体" w:eastAsia="宋体" w:cs="宋体"/>
                <w:sz w:val="21"/>
                <w:szCs w:val="21"/>
                <w:highlight w:val="none"/>
                <w:shd w:val="clear"/>
              </w:rPr>
              <w:t>，得</w:t>
            </w:r>
            <w:r>
              <w:rPr>
                <w:rFonts w:hint="eastAsia" w:ascii="宋体" w:hAnsi="宋体" w:eastAsia="宋体" w:cs="宋体"/>
                <w:sz w:val="21"/>
                <w:szCs w:val="21"/>
                <w:highlight w:val="none"/>
                <w:shd w:val="clear"/>
                <w:lang w:val="en-US" w:eastAsia="zh-CN"/>
              </w:rPr>
              <w:t>3</w:t>
            </w:r>
            <w:r>
              <w:rPr>
                <w:rFonts w:hint="eastAsia" w:ascii="宋体" w:hAnsi="宋体" w:eastAsia="宋体" w:cs="宋体"/>
                <w:sz w:val="21"/>
                <w:szCs w:val="21"/>
                <w:highlight w:val="none"/>
                <w:shd w:val="clear"/>
              </w:rPr>
              <w:t>-</w:t>
            </w:r>
            <w:r>
              <w:rPr>
                <w:rFonts w:hint="eastAsia" w:ascii="宋体" w:hAnsi="宋体" w:eastAsia="宋体" w:cs="宋体"/>
                <w:sz w:val="21"/>
                <w:szCs w:val="21"/>
                <w:highlight w:val="none"/>
                <w:shd w:val="clear"/>
                <w:lang w:val="en-US" w:eastAsia="zh-CN"/>
              </w:rPr>
              <w:t>7</w:t>
            </w:r>
            <w:r>
              <w:rPr>
                <w:rFonts w:hint="eastAsia" w:ascii="宋体" w:hAnsi="宋体" w:eastAsia="宋体" w:cs="宋体"/>
                <w:sz w:val="21"/>
                <w:szCs w:val="21"/>
                <w:highlight w:val="none"/>
                <w:shd w:val="clear"/>
              </w:rPr>
              <w:t>分；</w:t>
            </w:r>
            <w:r>
              <w:rPr>
                <w:rFonts w:hint="eastAsia" w:ascii="宋体" w:hAnsi="宋体" w:eastAsia="宋体" w:cs="宋体"/>
                <w:sz w:val="21"/>
                <w:szCs w:val="21"/>
                <w:highlight w:val="none"/>
                <w:shd w:val="clear"/>
                <w:lang w:eastAsia="zh-CN"/>
              </w:rPr>
              <w:t>生产厂商生产工艺落后、质量管理体系不全、产品性能一般者</w:t>
            </w:r>
            <w:r>
              <w:rPr>
                <w:rFonts w:hint="eastAsia" w:ascii="宋体" w:hAnsi="宋体" w:eastAsia="宋体" w:cs="宋体"/>
                <w:sz w:val="21"/>
                <w:szCs w:val="21"/>
                <w:highlight w:val="none"/>
                <w:shd w:val="clear"/>
              </w:rPr>
              <w:t>，得</w:t>
            </w:r>
            <w:r>
              <w:rPr>
                <w:rFonts w:hint="eastAsia" w:ascii="宋体" w:hAnsi="宋体" w:cs="宋体"/>
                <w:sz w:val="21"/>
                <w:szCs w:val="21"/>
                <w:highlight w:val="none"/>
                <w:shd w:val="clear"/>
                <w:lang w:val="en-US" w:eastAsia="zh-CN"/>
              </w:rPr>
              <w:t>0</w:t>
            </w:r>
            <w:r>
              <w:rPr>
                <w:rFonts w:hint="eastAsia" w:ascii="宋体" w:hAnsi="宋体" w:eastAsia="宋体" w:cs="宋体"/>
                <w:sz w:val="21"/>
                <w:szCs w:val="21"/>
                <w:highlight w:val="none"/>
                <w:shd w:val="clear"/>
              </w:rPr>
              <w:t>-</w:t>
            </w:r>
            <w:r>
              <w:rPr>
                <w:rFonts w:hint="eastAsia" w:ascii="宋体" w:hAnsi="宋体" w:cs="宋体"/>
                <w:sz w:val="21"/>
                <w:szCs w:val="21"/>
                <w:highlight w:val="none"/>
                <w:shd w:val="clear"/>
                <w:lang w:val="en-US" w:eastAsia="zh-CN"/>
              </w:rPr>
              <w:t>3</w:t>
            </w:r>
            <w:r>
              <w:rPr>
                <w:rFonts w:hint="eastAsia" w:ascii="宋体" w:hAnsi="宋体" w:eastAsia="宋体" w:cs="宋体"/>
                <w:sz w:val="21"/>
                <w:szCs w:val="21"/>
                <w:highlight w:val="none"/>
                <w:shd w:val="clear"/>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759" w:type="pct"/>
            <w:vMerge w:val="continue"/>
            <w:noWrap w:val="0"/>
            <w:vAlign w:val="center"/>
          </w:tcPr>
          <w:p>
            <w:pPr>
              <w:spacing w:line="360" w:lineRule="auto"/>
              <w:jc w:val="center"/>
              <w:rPr>
                <w:rFonts w:hint="eastAsia" w:ascii="宋体" w:hAnsi="宋体" w:eastAsia="宋体" w:cs="宋体"/>
                <w:sz w:val="21"/>
                <w:szCs w:val="21"/>
                <w:highlight w:val="none"/>
              </w:rPr>
            </w:pPr>
          </w:p>
        </w:tc>
        <w:tc>
          <w:tcPr>
            <w:tcW w:w="471" w:type="pct"/>
            <w:vMerge w:val="continue"/>
            <w:noWrap w:val="0"/>
            <w:vAlign w:val="center"/>
          </w:tcPr>
          <w:p>
            <w:pPr>
              <w:spacing w:line="360" w:lineRule="auto"/>
              <w:jc w:val="center"/>
              <w:rPr>
                <w:rFonts w:hint="eastAsia" w:ascii="宋体" w:hAnsi="宋体" w:eastAsia="宋体" w:cs="宋体"/>
                <w:sz w:val="21"/>
                <w:szCs w:val="21"/>
                <w:highlight w:val="none"/>
              </w:rPr>
            </w:pPr>
          </w:p>
        </w:tc>
        <w:tc>
          <w:tcPr>
            <w:tcW w:w="3768" w:type="pct"/>
            <w:noWrap w:val="0"/>
            <w:vAlign w:val="center"/>
          </w:tcPr>
          <w:p>
            <w:pPr>
              <w:spacing w:line="360" w:lineRule="auto"/>
              <w:rPr>
                <w:rFonts w:hint="eastAsia" w:ascii="宋体" w:hAnsi="宋体" w:eastAsia="宋体" w:cs="宋体"/>
                <w:color w:val="auto"/>
                <w:sz w:val="21"/>
                <w:szCs w:val="21"/>
                <w:highlight w:val="none"/>
              </w:rPr>
            </w:pPr>
            <w:r>
              <w:rPr>
                <w:rFonts w:hint="eastAsia" w:ascii="宋体" w:hAnsi="宋体" w:eastAsia="宋体" w:cs="宋体"/>
                <w:sz w:val="21"/>
                <w:szCs w:val="21"/>
                <w:highlight w:val="none"/>
              </w:rPr>
              <w:t>提供详细、完善、科学</w:t>
            </w:r>
            <w:r>
              <w:rPr>
                <w:rFonts w:hint="eastAsia" w:ascii="宋体" w:hAnsi="宋体" w:eastAsia="宋体" w:cs="宋体"/>
                <w:color w:val="auto"/>
                <w:sz w:val="21"/>
                <w:szCs w:val="21"/>
                <w:highlight w:val="none"/>
              </w:rPr>
              <w:t>的供货组织安排</w:t>
            </w:r>
            <w:r>
              <w:rPr>
                <w:rFonts w:hint="eastAsia" w:ascii="宋体" w:hAnsi="宋体" w:eastAsia="宋体" w:cs="宋体"/>
                <w:color w:val="auto"/>
                <w:sz w:val="21"/>
                <w:szCs w:val="21"/>
                <w:highlight w:val="none"/>
                <w:lang w:eastAsia="zh-CN"/>
              </w:rPr>
              <w:t>、安装实施</w:t>
            </w:r>
            <w:r>
              <w:rPr>
                <w:rFonts w:hint="eastAsia" w:ascii="宋体" w:hAnsi="宋体" w:eastAsia="宋体" w:cs="宋体"/>
                <w:color w:val="auto"/>
                <w:sz w:val="21"/>
                <w:szCs w:val="21"/>
                <w:highlight w:val="none"/>
              </w:rPr>
              <w:t>方案</w:t>
            </w:r>
            <w:r>
              <w:rPr>
                <w:rFonts w:hint="eastAsia" w:ascii="宋体" w:hAnsi="宋体" w:eastAsia="宋体" w:cs="宋体"/>
                <w:color w:val="auto"/>
                <w:sz w:val="21"/>
                <w:szCs w:val="21"/>
                <w:highlight w:val="none"/>
                <w:lang w:eastAsia="zh-CN"/>
              </w:rPr>
              <w:t>及多媒体教室施工方案，</w:t>
            </w:r>
            <w:r>
              <w:rPr>
                <w:rFonts w:hint="eastAsia" w:ascii="宋体" w:hAnsi="宋体" w:eastAsia="宋体" w:cs="宋体"/>
                <w:color w:val="auto"/>
                <w:sz w:val="21"/>
                <w:szCs w:val="21"/>
                <w:highlight w:val="none"/>
              </w:rPr>
              <w:t>方案中对项目实施的技术支持保障、安装所需要的专业设备、工程师及相关人员安排、交货安装进度合理、能够在预定交货安装期内完成。满分1</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分。</w:t>
            </w:r>
          </w:p>
          <w:p>
            <w:pPr>
              <w:spacing w:line="276"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1.提供详细完善、科学的</w:t>
            </w:r>
            <w:r>
              <w:rPr>
                <w:rFonts w:hint="eastAsia" w:ascii="宋体" w:hAnsi="宋体" w:eastAsia="宋体" w:cs="宋体"/>
                <w:sz w:val="21"/>
                <w:szCs w:val="21"/>
                <w:highlight w:val="none"/>
                <w:lang w:eastAsia="zh-CN"/>
              </w:rPr>
              <w:t>实施</w:t>
            </w:r>
            <w:r>
              <w:rPr>
                <w:rFonts w:hint="eastAsia" w:ascii="宋体" w:hAnsi="宋体" w:eastAsia="宋体" w:cs="宋体"/>
                <w:sz w:val="21"/>
                <w:szCs w:val="21"/>
                <w:highlight w:val="none"/>
              </w:rPr>
              <w:t>方案，有针对性且优于采购要求得</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-1</w:t>
            </w:r>
            <w:r>
              <w:rPr>
                <w:rFonts w:hint="eastAsia" w:ascii="宋体" w:hAnsi="宋体" w:eastAsia="宋体" w:cs="宋体"/>
                <w:sz w:val="21"/>
                <w:szCs w:val="21"/>
                <w:highlight w:val="none"/>
                <w:lang w:val="en-US" w:eastAsia="zh-CN"/>
              </w:rPr>
              <w:t>0</w:t>
            </w:r>
            <w:r>
              <w:rPr>
                <w:rFonts w:hint="eastAsia" w:ascii="宋体" w:hAnsi="宋体" w:eastAsia="宋体" w:cs="宋体"/>
                <w:sz w:val="21"/>
                <w:szCs w:val="21"/>
                <w:highlight w:val="none"/>
              </w:rPr>
              <w:t>分；</w:t>
            </w:r>
          </w:p>
          <w:p>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2.提供的方案不全或内容简单得1-</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759" w:type="pct"/>
            <w:noWrap w:val="0"/>
            <w:vAlign w:val="center"/>
          </w:tcPr>
          <w:p>
            <w:pPr>
              <w:spacing w:line="360" w:lineRule="auto"/>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商务响应</w:t>
            </w:r>
          </w:p>
        </w:tc>
        <w:tc>
          <w:tcPr>
            <w:tcW w:w="471" w:type="pct"/>
            <w:noWrap w:val="0"/>
            <w:vAlign w:val="center"/>
          </w:tcPr>
          <w:p>
            <w:pPr>
              <w:spacing w:line="360" w:lineRule="auto"/>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5分</w:t>
            </w:r>
          </w:p>
        </w:tc>
        <w:tc>
          <w:tcPr>
            <w:tcW w:w="3768" w:type="pct"/>
            <w:noWrap w:val="0"/>
            <w:vAlign w:val="center"/>
          </w:tcPr>
          <w:p>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投标</w:t>
            </w:r>
            <w:r>
              <w:rPr>
                <w:rFonts w:hint="eastAsia" w:ascii="宋体" w:hAnsi="宋体" w:eastAsia="宋体" w:cs="宋体"/>
                <w:sz w:val="21"/>
                <w:szCs w:val="21"/>
                <w:highlight w:val="none"/>
              </w:rPr>
              <w:t>文件对付款</w:t>
            </w:r>
            <w:r>
              <w:rPr>
                <w:rFonts w:hint="eastAsia" w:ascii="宋体" w:hAnsi="宋体" w:eastAsia="宋体" w:cs="宋体"/>
                <w:sz w:val="21"/>
                <w:szCs w:val="21"/>
                <w:highlight w:val="none"/>
                <w:lang w:eastAsia="zh-CN"/>
              </w:rPr>
              <w:t>方式</w:t>
            </w:r>
            <w:r>
              <w:rPr>
                <w:rFonts w:hint="eastAsia" w:ascii="宋体" w:hAnsi="宋体" w:eastAsia="宋体" w:cs="宋体"/>
                <w:sz w:val="21"/>
                <w:szCs w:val="21"/>
                <w:highlight w:val="none"/>
              </w:rPr>
              <w:t>、交货时间、地点、验收、质保期等商务要求进行响应说明，根据响应程度计1-5分，无响应说明不计分。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trPr>
        <w:tc>
          <w:tcPr>
            <w:tcW w:w="759" w:type="pct"/>
            <w:vMerge w:val="restart"/>
            <w:noWrap w:val="0"/>
            <w:vAlign w:val="center"/>
          </w:tcPr>
          <w:p>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质量保证及售后服务措施              </w:t>
            </w:r>
          </w:p>
        </w:tc>
        <w:tc>
          <w:tcPr>
            <w:tcW w:w="471" w:type="pct"/>
            <w:vMerge w:val="restart"/>
            <w:noWrap w:val="0"/>
            <w:vAlign w:val="center"/>
          </w:tcPr>
          <w:p>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10</w:t>
            </w:r>
            <w:r>
              <w:rPr>
                <w:rFonts w:hint="eastAsia" w:ascii="宋体" w:hAnsi="宋体" w:eastAsia="宋体" w:cs="宋体"/>
                <w:sz w:val="21"/>
                <w:szCs w:val="21"/>
                <w:highlight w:val="none"/>
              </w:rPr>
              <w:t>分</w:t>
            </w:r>
          </w:p>
        </w:tc>
        <w:tc>
          <w:tcPr>
            <w:tcW w:w="3768" w:type="pct"/>
            <w:noWrap w:val="0"/>
            <w:vAlign w:val="center"/>
          </w:tcPr>
          <w:p>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培训方案</w:t>
            </w:r>
            <w:r>
              <w:rPr>
                <w:rFonts w:hint="eastAsia" w:ascii="宋体" w:hAnsi="宋体" w:eastAsia="宋体" w:cs="宋体"/>
                <w:sz w:val="21"/>
                <w:szCs w:val="21"/>
                <w:highlight w:val="none"/>
                <w:lang w:eastAsia="zh-CN"/>
              </w:rPr>
              <w:t>详细合理</w:t>
            </w:r>
            <w:r>
              <w:rPr>
                <w:rFonts w:hint="eastAsia" w:ascii="宋体" w:hAnsi="宋体" w:eastAsia="宋体" w:cs="宋体"/>
                <w:sz w:val="21"/>
                <w:szCs w:val="21"/>
                <w:highlight w:val="none"/>
              </w:rPr>
              <w:t>，针对性</w:t>
            </w:r>
            <w:r>
              <w:rPr>
                <w:rFonts w:hint="eastAsia" w:ascii="宋体" w:hAnsi="宋体" w:eastAsia="宋体" w:cs="宋体"/>
                <w:sz w:val="21"/>
                <w:szCs w:val="21"/>
                <w:highlight w:val="none"/>
                <w:lang w:eastAsia="zh-CN"/>
              </w:rPr>
              <w:t>强</w:t>
            </w:r>
            <w:r>
              <w:rPr>
                <w:rFonts w:hint="eastAsia" w:ascii="宋体" w:hAnsi="宋体" w:eastAsia="宋体" w:cs="宋体"/>
                <w:sz w:val="21"/>
                <w:szCs w:val="21"/>
                <w:highlight w:val="none"/>
              </w:rPr>
              <w:t>，</w:t>
            </w:r>
            <w:r>
              <w:rPr>
                <w:rFonts w:hint="eastAsia" w:ascii="宋体" w:hAnsi="宋体" w:eastAsia="宋体" w:cs="宋体"/>
                <w:sz w:val="21"/>
                <w:szCs w:val="21"/>
                <w:highlight w:val="none"/>
                <w:lang w:eastAsia="zh-CN"/>
              </w:rPr>
              <w:t>人员、时间进度</w:t>
            </w:r>
            <w:r>
              <w:rPr>
                <w:rFonts w:hint="eastAsia" w:ascii="宋体" w:hAnsi="宋体" w:eastAsia="宋体" w:cs="宋体"/>
                <w:sz w:val="21"/>
                <w:szCs w:val="21"/>
                <w:highlight w:val="none"/>
              </w:rPr>
              <w:t>安排科学合理</w:t>
            </w:r>
            <w:r>
              <w:rPr>
                <w:rFonts w:hint="eastAsia" w:ascii="宋体" w:hAnsi="宋体" w:eastAsia="宋体" w:cs="宋体"/>
                <w:sz w:val="21"/>
                <w:szCs w:val="21"/>
                <w:highlight w:val="none"/>
                <w:lang w:eastAsia="zh-CN"/>
              </w:rPr>
              <w:t>，满分</w:t>
            </w:r>
            <w:r>
              <w:rPr>
                <w:rFonts w:hint="eastAsia" w:ascii="宋体" w:hAnsi="宋体" w:eastAsia="宋体" w:cs="宋体"/>
                <w:sz w:val="21"/>
                <w:szCs w:val="21"/>
                <w:highlight w:val="none"/>
                <w:lang w:val="en-US" w:eastAsia="zh-CN"/>
              </w:rPr>
              <w:t>3分</w:t>
            </w:r>
            <w:r>
              <w:rPr>
                <w:rFonts w:hint="eastAsia" w:ascii="宋体" w:hAnsi="宋体" w:eastAsia="宋体" w:cs="宋体"/>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59" w:type="pct"/>
            <w:vMerge w:val="continue"/>
            <w:noWrap w:val="0"/>
            <w:vAlign w:val="center"/>
          </w:tcPr>
          <w:p>
            <w:pPr>
              <w:spacing w:line="360" w:lineRule="auto"/>
              <w:jc w:val="center"/>
              <w:rPr>
                <w:rFonts w:hint="eastAsia" w:ascii="宋体" w:hAnsi="宋体" w:eastAsia="宋体" w:cs="宋体"/>
                <w:sz w:val="21"/>
                <w:szCs w:val="21"/>
                <w:highlight w:val="none"/>
              </w:rPr>
            </w:pPr>
          </w:p>
        </w:tc>
        <w:tc>
          <w:tcPr>
            <w:tcW w:w="471" w:type="pct"/>
            <w:vMerge w:val="continue"/>
            <w:noWrap w:val="0"/>
            <w:vAlign w:val="center"/>
          </w:tcPr>
          <w:p>
            <w:pPr>
              <w:spacing w:line="360" w:lineRule="auto"/>
              <w:jc w:val="center"/>
              <w:rPr>
                <w:rFonts w:hint="eastAsia" w:ascii="宋体" w:hAnsi="宋体" w:eastAsia="宋体" w:cs="宋体"/>
                <w:sz w:val="21"/>
                <w:szCs w:val="21"/>
                <w:highlight w:val="none"/>
                <w:lang w:val="en-US" w:eastAsia="zh-CN"/>
              </w:rPr>
            </w:pPr>
          </w:p>
        </w:tc>
        <w:tc>
          <w:tcPr>
            <w:tcW w:w="3768" w:type="pct"/>
            <w:noWrap w:val="0"/>
            <w:vAlign w:val="center"/>
          </w:tcPr>
          <w:p>
            <w:pPr>
              <w:spacing w:line="360" w:lineRule="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产品货源渠道正常，有质量保障（以证明材料为准），满分</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759" w:type="pct"/>
            <w:vMerge w:val="continue"/>
            <w:noWrap w:val="0"/>
            <w:vAlign w:val="center"/>
          </w:tcPr>
          <w:p>
            <w:pPr>
              <w:spacing w:line="360" w:lineRule="auto"/>
              <w:jc w:val="center"/>
              <w:rPr>
                <w:rFonts w:hint="eastAsia" w:ascii="宋体" w:hAnsi="宋体" w:eastAsia="宋体" w:cs="宋体"/>
                <w:sz w:val="21"/>
                <w:szCs w:val="21"/>
                <w:highlight w:val="none"/>
              </w:rPr>
            </w:pPr>
          </w:p>
        </w:tc>
        <w:tc>
          <w:tcPr>
            <w:tcW w:w="471" w:type="pct"/>
            <w:vMerge w:val="continue"/>
            <w:noWrap w:val="0"/>
            <w:vAlign w:val="center"/>
          </w:tcPr>
          <w:p>
            <w:pPr>
              <w:spacing w:line="360" w:lineRule="auto"/>
              <w:jc w:val="center"/>
              <w:rPr>
                <w:rFonts w:hint="eastAsia" w:ascii="宋体" w:hAnsi="宋体" w:eastAsia="宋体" w:cs="宋体"/>
                <w:sz w:val="21"/>
                <w:szCs w:val="21"/>
                <w:highlight w:val="none"/>
              </w:rPr>
            </w:pPr>
          </w:p>
        </w:tc>
        <w:tc>
          <w:tcPr>
            <w:tcW w:w="3768" w:type="pct"/>
            <w:noWrap w:val="0"/>
            <w:vAlign w:val="center"/>
          </w:tcPr>
          <w:p>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针对本项目在售后服务方案及承诺详细、具体</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有针对性，响应到场及时，并有</w:t>
            </w:r>
            <w:r>
              <w:rPr>
                <w:rFonts w:hint="eastAsia" w:ascii="宋体" w:hAnsi="宋体" w:eastAsia="宋体" w:cs="宋体"/>
                <w:sz w:val="21"/>
                <w:szCs w:val="21"/>
                <w:highlight w:val="none"/>
                <w:lang w:eastAsia="zh-CN"/>
              </w:rPr>
              <w:t>专业的</w:t>
            </w:r>
            <w:r>
              <w:rPr>
                <w:rFonts w:hint="eastAsia" w:ascii="宋体" w:hAnsi="宋体" w:eastAsia="宋体" w:cs="宋体"/>
                <w:sz w:val="21"/>
                <w:szCs w:val="21"/>
                <w:highlight w:val="none"/>
              </w:rPr>
              <w:t>售后服务人员（须提供相关证明材料）。满分</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759" w:type="pct"/>
            <w:noWrap w:val="0"/>
            <w:vAlign w:val="center"/>
          </w:tcPr>
          <w:p>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业 绩</w:t>
            </w:r>
          </w:p>
        </w:tc>
        <w:tc>
          <w:tcPr>
            <w:tcW w:w="471" w:type="pct"/>
            <w:noWrap w:val="0"/>
            <w:vAlign w:val="center"/>
          </w:tcPr>
          <w:p>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分</w:t>
            </w:r>
          </w:p>
        </w:tc>
        <w:tc>
          <w:tcPr>
            <w:tcW w:w="3768" w:type="pct"/>
            <w:noWrap w:val="0"/>
            <w:vAlign w:val="top"/>
          </w:tcPr>
          <w:p>
            <w:pPr>
              <w:spacing w:line="360" w:lineRule="auto"/>
              <w:jc w:val="left"/>
              <w:rPr>
                <w:rFonts w:hint="eastAsia" w:ascii="宋体" w:hAnsi="宋体" w:eastAsia="宋体" w:cs="宋体"/>
                <w:sz w:val="21"/>
                <w:szCs w:val="21"/>
                <w:highlight w:val="none"/>
              </w:rPr>
            </w:pPr>
            <w:r>
              <w:rPr>
                <w:rFonts w:hint="eastAsia" w:ascii="宋体" w:hAnsi="宋体" w:eastAsia="宋体" w:cs="宋体"/>
                <w:color w:val="000000"/>
                <w:sz w:val="21"/>
                <w:szCs w:val="21"/>
                <w:highlight w:val="none"/>
              </w:rPr>
              <w:t>提</w:t>
            </w:r>
            <w:r>
              <w:rPr>
                <w:rFonts w:hint="eastAsia" w:ascii="宋体" w:hAnsi="宋体" w:eastAsia="宋体" w:cs="宋体"/>
                <w:sz w:val="21"/>
                <w:szCs w:val="21"/>
                <w:highlight w:val="none"/>
              </w:rPr>
              <w:t>供201</w:t>
            </w:r>
            <w:r>
              <w:rPr>
                <w:rFonts w:hint="eastAsia" w:ascii="宋体" w:hAnsi="宋体" w:eastAsia="宋体" w:cs="宋体"/>
                <w:sz w:val="21"/>
                <w:szCs w:val="21"/>
                <w:highlight w:val="none"/>
                <w:lang w:val="en-US" w:eastAsia="zh-CN"/>
              </w:rPr>
              <w:t>8</w:t>
            </w:r>
            <w:r>
              <w:rPr>
                <w:rFonts w:hint="eastAsia" w:ascii="宋体" w:hAnsi="宋体" w:eastAsia="宋体" w:cs="宋体"/>
                <w:sz w:val="21"/>
                <w:szCs w:val="21"/>
                <w:highlight w:val="none"/>
              </w:rPr>
              <w:t>年1月至今</w:t>
            </w:r>
            <w:r>
              <w:rPr>
                <w:rFonts w:hint="eastAsia" w:ascii="宋体" w:hAnsi="宋体" w:eastAsia="宋体" w:cs="宋体"/>
                <w:sz w:val="21"/>
                <w:szCs w:val="21"/>
                <w:highlight w:val="none"/>
                <w:lang w:eastAsia="zh-CN"/>
              </w:rPr>
              <w:t>类似</w:t>
            </w:r>
            <w:r>
              <w:rPr>
                <w:rFonts w:hint="eastAsia" w:ascii="宋体" w:hAnsi="宋体" w:eastAsia="宋体" w:cs="宋体"/>
                <w:sz w:val="21"/>
                <w:szCs w:val="21"/>
                <w:highlight w:val="none"/>
              </w:rPr>
              <w:t>项目业绩，每提供1</w:t>
            </w:r>
            <w:r>
              <w:rPr>
                <w:rFonts w:hint="eastAsia" w:ascii="宋体" w:hAnsi="宋体" w:eastAsia="宋体" w:cs="宋体"/>
                <w:sz w:val="21"/>
                <w:szCs w:val="21"/>
                <w:highlight w:val="none"/>
                <w:lang w:eastAsia="zh-CN"/>
              </w:rPr>
              <w:t>份</w:t>
            </w:r>
            <w:r>
              <w:rPr>
                <w:rFonts w:hint="eastAsia" w:ascii="宋体" w:hAnsi="宋体" w:eastAsia="宋体" w:cs="宋体"/>
                <w:sz w:val="21"/>
                <w:szCs w:val="21"/>
                <w:highlight w:val="none"/>
              </w:rPr>
              <w:t>得</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分，最高得</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分。（以合同复印件加盖公章为准，原件备查）</w:t>
            </w:r>
          </w:p>
        </w:tc>
      </w:tr>
    </w:tbl>
    <w:p>
      <w:pPr>
        <w:spacing w:line="480" w:lineRule="exact"/>
        <w:ind w:firstLine="480" w:firstLineChars="200"/>
        <w:jc w:val="left"/>
        <w:rPr>
          <w:rFonts w:hint="eastAsia" w:asciiTheme="minorEastAsia" w:hAnsiTheme="minorEastAsia" w:eastAsiaTheme="minorEastAsia" w:cstheme="minorEastAsia"/>
          <w:bCs/>
          <w:smallCaps w:val="0"/>
          <w:color w:val="000000" w:themeColor="text1"/>
          <w:spacing w:val="0"/>
          <w:sz w:val="24"/>
          <w:highlight w:val="none"/>
          <w14:textFill>
            <w14:solidFill>
              <w14:schemeClr w14:val="tx1"/>
            </w14:solidFill>
          </w14:textFill>
        </w:rPr>
      </w:pPr>
    </w:p>
    <w:p>
      <w:pPr>
        <w:spacing w:line="400" w:lineRule="exact"/>
        <w:ind w:firstLine="420" w:firstLineChars="200"/>
        <w:rPr>
          <w:rFonts w:hint="eastAsia" w:ascii="宋体" w:hAnsi="宋体" w:eastAsia="宋体" w:cs="宋体"/>
          <w:smallCaps w:val="0"/>
          <w:color w:val="auto"/>
          <w:spacing w:val="0"/>
          <w:sz w:val="21"/>
          <w:szCs w:val="21"/>
          <w:highlight w:val="none"/>
        </w:rPr>
      </w:pPr>
      <w:bookmarkStart w:id="217" w:name="_Toc497712134"/>
      <w:bookmarkStart w:id="218" w:name="_Toc497546919"/>
      <w:bookmarkStart w:id="219" w:name="_Toc497551821"/>
      <w:bookmarkStart w:id="220" w:name="_Toc17437"/>
      <w:bookmarkStart w:id="221" w:name="_Toc389620242"/>
      <w:bookmarkStart w:id="222" w:name="_Toc492955460"/>
      <w:bookmarkStart w:id="223" w:name="_Toc385992402"/>
      <w:bookmarkStart w:id="224" w:name="_Toc347478744"/>
      <w:bookmarkStart w:id="225" w:name="_Toc497711586"/>
      <w:r>
        <w:rPr>
          <w:rFonts w:hint="eastAsia" w:ascii="宋体" w:hAnsi="宋体" w:eastAsia="宋体" w:cs="宋体"/>
          <w:smallCaps w:val="0"/>
          <w:color w:val="auto"/>
          <w:spacing w:val="0"/>
          <w:sz w:val="21"/>
          <w:szCs w:val="21"/>
          <w:highlight w:val="none"/>
        </w:rPr>
        <w:t>（4）特殊情况：</w:t>
      </w:r>
    </w:p>
    <w:p>
      <w:pPr>
        <w:spacing w:line="400" w:lineRule="exact"/>
        <w:ind w:firstLine="420" w:firstLineChars="200"/>
        <w:rPr>
          <w:rFonts w:hint="eastAsia" w:ascii="宋体" w:hAnsi="宋体" w:eastAsia="宋体" w:cs="宋体"/>
          <w:smallCaps w:val="0"/>
          <w:color w:val="000000" w:themeColor="text1"/>
          <w:spacing w:val="0"/>
          <w:sz w:val="21"/>
          <w:szCs w:val="21"/>
          <w:highlight w:val="none"/>
          <w14:textFill>
            <w14:solidFill>
              <w14:schemeClr w14:val="tx1"/>
            </w14:solidFill>
          </w14:textFill>
        </w:rPr>
      </w:pPr>
      <w:r>
        <w:rPr>
          <w:rFonts w:hint="eastAsia" w:ascii="宋体" w:hAnsi="宋体" w:eastAsia="宋体" w:cs="宋体"/>
          <w:smallCaps w:val="0"/>
          <w:color w:val="000000" w:themeColor="text1"/>
          <w:spacing w:val="0"/>
          <w:sz w:val="21"/>
          <w:szCs w:val="21"/>
          <w:highlight w:val="none"/>
          <w14:textFill>
            <w14:solidFill>
              <w14:schemeClr w14:val="tx1"/>
            </w14:solidFill>
          </w14:textFill>
        </w:rPr>
        <w:t>①评标委员会三分之二以上人员认为某投标报价有低于成本价嫌疑的，有可能影响产品质量或者不能诚信履约的，可要求该供应商在规定期限内，提供必要的书面文件予以解释和说明并附带相关证明材料，证明其报价合理性的；否则，评标委员会认定该供应商以低于成本价竞价，其响应文件作无效响应文件处理。</w:t>
      </w:r>
    </w:p>
    <w:p>
      <w:pPr>
        <w:spacing w:line="400" w:lineRule="exact"/>
        <w:ind w:firstLine="420" w:firstLineChars="200"/>
        <w:rPr>
          <w:rFonts w:hint="eastAsia" w:ascii="宋体" w:hAnsi="宋体" w:eastAsia="宋体" w:cs="宋体"/>
          <w:smallCaps w:val="0"/>
          <w:color w:val="000000" w:themeColor="text1"/>
          <w:spacing w:val="0"/>
          <w:sz w:val="21"/>
          <w:szCs w:val="21"/>
          <w:highlight w:val="none"/>
          <w14:textFill>
            <w14:solidFill>
              <w14:schemeClr w14:val="tx1"/>
            </w14:solidFill>
          </w14:textFill>
        </w:rPr>
      </w:pPr>
      <w:r>
        <w:rPr>
          <w:rFonts w:hint="eastAsia" w:ascii="宋体" w:hAnsi="宋体" w:eastAsia="宋体" w:cs="宋体"/>
          <w:smallCaps w:val="0"/>
          <w:color w:val="000000" w:themeColor="text1"/>
          <w:spacing w:val="0"/>
          <w:sz w:val="21"/>
          <w:szCs w:val="21"/>
          <w:highlight w:val="none"/>
          <w14:textFill>
            <w14:solidFill>
              <w14:schemeClr w14:val="tx1"/>
            </w14:solidFill>
          </w14:textFill>
        </w:rPr>
        <w:t>②得分相同的，按投标报价由低到高顺序排列。得分且投标报价相同的，比较技术得分，技术得分高者排在前。</w:t>
      </w:r>
    </w:p>
    <w:p>
      <w:pPr>
        <w:spacing w:line="400" w:lineRule="exact"/>
        <w:ind w:firstLine="420" w:firstLineChars="200"/>
        <w:rPr>
          <w:rFonts w:hint="eastAsia" w:ascii="宋体" w:hAnsi="宋体" w:eastAsia="宋体" w:cs="宋体"/>
          <w:smallCaps w:val="0"/>
          <w:color w:val="000000" w:themeColor="text1"/>
          <w:spacing w:val="0"/>
          <w:sz w:val="21"/>
          <w:szCs w:val="21"/>
          <w:highlight w:val="none"/>
          <w14:textFill>
            <w14:solidFill>
              <w14:schemeClr w14:val="tx1"/>
            </w14:solidFill>
          </w14:textFill>
        </w:rPr>
      </w:pPr>
      <w:r>
        <w:rPr>
          <w:rFonts w:hint="eastAsia" w:ascii="宋体" w:hAnsi="宋体" w:eastAsia="宋体" w:cs="宋体"/>
          <w:smallCaps w:val="0"/>
          <w:color w:val="000000" w:themeColor="text1"/>
          <w:spacing w:val="0"/>
          <w:sz w:val="21"/>
          <w:szCs w:val="21"/>
          <w:highlight w:val="none"/>
          <w14:textFill>
            <w14:solidFill>
              <w14:schemeClr w14:val="tx1"/>
            </w14:solidFill>
          </w14:textFill>
        </w:rPr>
        <w:t>③评委评分超过得分界限或未按照本办法规定时，该评委的该项评分作废，不计入汇总。</w:t>
      </w:r>
    </w:p>
    <w:p>
      <w:pPr>
        <w:numPr>
          <w:ilvl w:val="0"/>
          <w:numId w:val="4"/>
        </w:numPr>
        <w:spacing w:line="400" w:lineRule="exact"/>
        <w:ind w:firstLine="420" w:firstLineChars="200"/>
        <w:rPr>
          <w:rFonts w:hint="eastAsia" w:ascii="宋体" w:hAnsi="宋体" w:eastAsia="宋体" w:cs="宋体"/>
          <w:smallCaps w:val="0"/>
          <w:color w:val="000000" w:themeColor="text1"/>
          <w:spacing w:val="0"/>
          <w:sz w:val="21"/>
          <w:szCs w:val="21"/>
          <w:highlight w:val="none"/>
          <w14:textFill>
            <w14:solidFill>
              <w14:schemeClr w14:val="tx1"/>
            </w14:solidFill>
          </w14:textFill>
        </w:rPr>
      </w:pPr>
      <w:r>
        <w:rPr>
          <w:rFonts w:hint="eastAsia" w:ascii="宋体" w:hAnsi="宋体" w:eastAsia="宋体" w:cs="宋体"/>
          <w:smallCaps w:val="0"/>
          <w:color w:val="000000" w:themeColor="text1"/>
          <w:spacing w:val="0"/>
          <w:sz w:val="21"/>
          <w:szCs w:val="21"/>
          <w:highlight w:val="none"/>
          <w14:textFill>
            <w14:solidFill>
              <w14:schemeClr w14:val="tx1"/>
            </w14:solidFill>
          </w14:textFill>
        </w:rPr>
        <w:t>数字均保留二位小数，第三位“四舍五入”</w:t>
      </w:r>
    </w:p>
    <w:p>
      <w:pPr>
        <w:spacing w:line="400" w:lineRule="exact"/>
        <w:ind w:left="420" w:leftChars="200"/>
        <w:rPr>
          <w:rFonts w:hint="eastAsia" w:ascii="宋体" w:hAnsi="宋体" w:eastAsia="宋体" w:cs="宋体"/>
          <w:b/>
          <w:bCs/>
          <w:smallCaps w:val="0"/>
          <w:color w:val="000000" w:themeColor="text1"/>
          <w:spacing w:val="0"/>
          <w:sz w:val="21"/>
          <w:szCs w:val="21"/>
          <w:highlight w:val="none"/>
          <w14:textFill>
            <w14:solidFill>
              <w14:schemeClr w14:val="tx1"/>
            </w14:solidFill>
          </w14:textFill>
        </w:rPr>
      </w:pPr>
      <w:r>
        <w:rPr>
          <w:rFonts w:hint="eastAsia" w:ascii="宋体" w:hAnsi="宋体" w:eastAsia="宋体" w:cs="宋体"/>
          <w:b/>
          <w:bCs/>
          <w:smallCaps w:val="0"/>
          <w:color w:val="000000" w:themeColor="text1"/>
          <w:spacing w:val="0"/>
          <w:sz w:val="21"/>
          <w:szCs w:val="21"/>
          <w:highlight w:val="none"/>
          <w14:textFill>
            <w14:solidFill>
              <w14:schemeClr w14:val="tx1"/>
            </w14:solidFill>
          </w14:textFill>
        </w:rPr>
        <w:t>（6）政策加分项</w:t>
      </w:r>
    </w:p>
    <w:p>
      <w:pPr>
        <w:spacing w:line="400" w:lineRule="exact"/>
        <w:ind w:firstLine="420" w:firstLineChars="200"/>
        <w:rPr>
          <w:rFonts w:hint="eastAsia" w:ascii="宋体" w:hAnsi="宋体" w:eastAsia="宋体" w:cs="宋体"/>
          <w:smallCaps w:val="0"/>
          <w:color w:val="000000" w:themeColor="text1"/>
          <w:spacing w:val="0"/>
          <w:sz w:val="21"/>
          <w:szCs w:val="21"/>
          <w:highlight w:val="none"/>
          <w14:textFill>
            <w14:solidFill>
              <w14:schemeClr w14:val="tx1"/>
            </w14:solidFill>
          </w14:textFill>
        </w:rPr>
      </w:pPr>
      <w:r>
        <w:rPr>
          <w:rFonts w:hint="eastAsia" w:ascii="宋体" w:hAnsi="宋体" w:eastAsia="宋体" w:cs="宋体"/>
          <w:smallCaps w:val="0"/>
          <w:color w:val="000000" w:themeColor="text1"/>
          <w:spacing w:val="0"/>
          <w:sz w:val="21"/>
          <w:szCs w:val="21"/>
          <w:highlight w:val="none"/>
          <w14:textFill>
            <w14:solidFill>
              <w14:schemeClr w14:val="tx1"/>
            </w14:solidFill>
          </w14:textFill>
        </w:rPr>
        <w:t>1）根据财政部、工业和信息化部关于印发《政府采购促进中小企业发展暂行办法》的通知（财库[2011]181号）文件规定，对小型和微型企业产品的价格给予6%的扣除,用扣除后的价格参与评审。</w:t>
      </w:r>
    </w:p>
    <w:p>
      <w:pPr>
        <w:spacing w:line="400" w:lineRule="exact"/>
        <w:ind w:firstLine="422" w:firstLineChars="200"/>
        <w:rPr>
          <w:rFonts w:hint="eastAsia" w:ascii="宋体" w:hAnsi="宋体" w:eastAsia="宋体" w:cs="宋体"/>
          <w:smallCaps w:val="0"/>
          <w:color w:val="000000" w:themeColor="text1"/>
          <w:spacing w:val="0"/>
          <w:sz w:val="21"/>
          <w:szCs w:val="21"/>
          <w:highlight w:val="none"/>
          <w14:textFill>
            <w14:solidFill>
              <w14:schemeClr w14:val="tx1"/>
            </w14:solidFill>
          </w14:textFill>
        </w:rPr>
      </w:pPr>
      <w:r>
        <w:rPr>
          <w:rFonts w:hint="eastAsia" w:ascii="宋体" w:hAnsi="宋体" w:eastAsia="宋体" w:cs="宋体"/>
          <w:b/>
          <w:bCs/>
          <w:smallCaps w:val="0"/>
          <w:color w:val="000000" w:themeColor="text1"/>
          <w:spacing w:val="0"/>
          <w:sz w:val="21"/>
          <w:szCs w:val="21"/>
          <w:highlight w:val="none"/>
          <w14:textFill>
            <w14:solidFill>
              <w14:schemeClr w14:val="tx1"/>
            </w14:solidFill>
          </w14:textFill>
        </w:rPr>
        <w:t>参与评审报价的计算方法是：</w:t>
      </w:r>
    </w:p>
    <w:p>
      <w:pPr>
        <w:spacing w:line="400" w:lineRule="exact"/>
        <w:ind w:firstLine="422" w:firstLineChars="200"/>
        <w:rPr>
          <w:rFonts w:hint="eastAsia" w:ascii="宋体" w:hAnsi="宋体" w:eastAsia="宋体" w:cs="宋体"/>
          <w:b/>
          <w:bCs/>
          <w:smallCaps w:val="0"/>
          <w:color w:val="000000" w:themeColor="text1"/>
          <w:spacing w:val="0"/>
          <w:sz w:val="21"/>
          <w:szCs w:val="21"/>
          <w:highlight w:val="none"/>
          <w14:textFill>
            <w14:solidFill>
              <w14:schemeClr w14:val="tx1"/>
            </w14:solidFill>
          </w14:textFill>
        </w:rPr>
      </w:pPr>
      <w:r>
        <w:rPr>
          <w:rFonts w:hint="eastAsia" w:ascii="宋体" w:hAnsi="宋体" w:eastAsia="宋体" w:cs="宋体"/>
          <w:b/>
          <w:bCs/>
          <w:smallCaps w:val="0"/>
          <w:color w:val="000000" w:themeColor="text1"/>
          <w:spacing w:val="0"/>
          <w:sz w:val="21"/>
          <w:szCs w:val="21"/>
          <w:highlight w:val="none"/>
          <w14:textFill>
            <w14:solidFill>
              <w14:schemeClr w14:val="tx1"/>
            </w14:solidFill>
          </w14:textFill>
        </w:rPr>
        <w:t>参与评审报价=非小型和微型企业产品价格+小型和微型企业产品价格×94%。</w:t>
      </w:r>
    </w:p>
    <w:p>
      <w:pPr>
        <w:spacing w:line="400" w:lineRule="exact"/>
        <w:ind w:firstLine="420" w:firstLineChars="200"/>
        <w:rPr>
          <w:rFonts w:hint="eastAsia" w:ascii="宋体" w:hAnsi="宋体" w:eastAsia="宋体" w:cs="宋体"/>
          <w:smallCaps w:val="0"/>
          <w:color w:val="000000" w:themeColor="text1"/>
          <w:spacing w:val="0"/>
          <w:sz w:val="21"/>
          <w:szCs w:val="21"/>
          <w:highlight w:val="none"/>
          <w14:textFill>
            <w14:solidFill>
              <w14:schemeClr w14:val="tx1"/>
            </w14:solidFill>
          </w14:textFill>
        </w:rPr>
      </w:pPr>
      <w:r>
        <w:rPr>
          <w:rFonts w:hint="eastAsia" w:ascii="宋体" w:hAnsi="宋体" w:eastAsia="宋体" w:cs="宋体"/>
          <w:smallCaps w:val="0"/>
          <w:color w:val="000000" w:themeColor="text1"/>
          <w:spacing w:val="0"/>
          <w:sz w:val="21"/>
          <w:szCs w:val="21"/>
          <w:highlight w:val="none"/>
          <w14:textFill>
            <w14:solidFill>
              <w14:schemeClr w14:val="tx1"/>
            </w14:solidFill>
          </w14:textFill>
        </w:rPr>
        <w:t>注：参与报价的小型和微型企业须提供企业所在地的县级以上中小企业主管部门出具的证明文件原件和《中小企业声明函》原件（代理商报价的，还须提供代理商企业所在地的县级以上中小企业主管部门出具的证明文件原件和《中小企业声明函》原件），且须在投标文件中详细列明小型和微型企业产品价格明细，否则不给予价格扣除。小型、微型企业提供中型企业制造的货物的，视同为中型企业。</w:t>
      </w:r>
    </w:p>
    <w:p>
      <w:pPr>
        <w:spacing w:line="400" w:lineRule="exact"/>
        <w:ind w:firstLine="420" w:firstLineChars="200"/>
        <w:rPr>
          <w:rFonts w:hint="eastAsia" w:ascii="宋体" w:hAnsi="宋体" w:eastAsia="宋体" w:cs="宋体"/>
          <w:smallCaps w:val="0"/>
          <w:color w:val="000000" w:themeColor="text1"/>
          <w:spacing w:val="0"/>
          <w:sz w:val="21"/>
          <w:szCs w:val="21"/>
          <w:highlight w:val="none"/>
          <w14:textFill>
            <w14:solidFill>
              <w14:schemeClr w14:val="tx1"/>
            </w14:solidFill>
          </w14:textFill>
        </w:rPr>
      </w:pPr>
      <w:r>
        <w:rPr>
          <w:rFonts w:hint="eastAsia" w:ascii="宋体" w:hAnsi="宋体" w:eastAsia="宋体" w:cs="宋体"/>
          <w:smallCaps w:val="0"/>
          <w:color w:val="000000" w:themeColor="text1"/>
          <w:spacing w:val="0"/>
          <w:sz w:val="21"/>
          <w:szCs w:val="21"/>
          <w:highlight w:val="none"/>
          <w14:textFill>
            <w14:solidFill>
              <w14:schemeClr w14:val="tx1"/>
            </w14:solidFill>
          </w14:textFill>
        </w:rPr>
        <w:t>2)根据《财政部、司法部关于政府采购支持监狱企业发展有关问题的通知》（财库[2014]68号）文件规定，在政府采购活动中，监狱企业视同小型、微型企业，享受预留份额、评审中价格扣除等政府采购促进中小企业发展的政府采购政策。对监狱企业产品价格扣除，用扣除后的价格参与评审。</w:t>
      </w:r>
    </w:p>
    <w:p>
      <w:pPr>
        <w:spacing w:line="400" w:lineRule="exact"/>
        <w:ind w:firstLine="422" w:firstLineChars="200"/>
        <w:rPr>
          <w:rFonts w:hint="eastAsia" w:ascii="宋体" w:hAnsi="宋体" w:eastAsia="宋体" w:cs="宋体"/>
          <w:b/>
          <w:bCs/>
          <w:smallCaps w:val="0"/>
          <w:color w:val="000000" w:themeColor="text1"/>
          <w:spacing w:val="0"/>
          <w:sz w:val="21"/>
          <w:szCs w:val="21"/>
          <w:highlight w:val="none"/>
          <w14:textFill>
            <w14:solidFill>
              <w14:schemeClr w14:val="tx1"/>
            </w14:solidFill>
          </w14:textFill>
        </w:rPr>
      </w:pPr>
      <w:r>
        <w:rPr>
          <w:rFonts w:hint="eastAsia" w:ascii="宋体" w:hAnsi="宋体" w:eastAsia="宋体" w:cs="宋体"/>
          <w:b/>
          <w:bCs/>
          <w:smallCaps w:val="0"/>
          <w:color w:val="000000" w:themeColor="text1"/>
          <w:spacing w:val="0"/>
          <w:sz w:val="21"/>
          <w:szCs w:val="21"/>
          <w:highlight w:val="none"/>
          <w14:textFill>
            <w14:solidFill>
              <w14:schemeClr w14:val="tx1"/>
            </w14:solidFill>
          </w14:textFill>
        </w:rPr>
        <w:t>参与评审报价的计算方法是：</w:t>
      </w:r>
    </w:p>
    <w:p>
      <w:pPr>
        <w:spacing w:line="400" w:lineRule="exact"/>
        <w:ind w:firstLine="422" w:firstLineChars="200"/>
        <w:rPr>
          <w:rFonts w:hint="eastAsia" w:ascii="宋体" w:hAnsi="宋体" w:eastAsia="宋体" w:cs="宋体"/>
          <w:b/>
          <w:bCs/>
          <w:smallCaps w:val="0"/>
          <w:color w:val="000000" w:themeColor="text1"/>
          <w:spacing w:val="0"/>
          <w:sz w:val="21"/>
          <w:szCs w:val="21"/>
          <w:highlight w:val="none"/>
          <w14:textFill>
            <w14:solidFill>
              <w14:schemeClr w14:val="tx1"/>
            </w14:solidFill>
          </w14:textFill>
        </w:rPr>
      </w:pPr>
      <w:r>
        <w:rPr>
          <w:rFonts w:hint="eastAsia" w:ascii="宋体" w:hAnsi="宋体" w:eastAsia="宋体" w:cs="宋体"/>
          <w:b/>
          <w:bCs/>
          <w:smallCaps w:val="0"/>
          <w:color w:val="000000" w:themeColor="text1"/>
          <w:spacing w:val="0"/>
          <w:sz w:val="21"/>
          <w:szCs w:val="21"/>
          <w:highlight w:val="none"/>
          <w14:textFill>
            <w14:solidFill>
              <w14:schemeClr w14:val="tx1"/>
            </w14:solidFill>
          </w14:textFill>
        </w:rPr>
        <w:t>参与评审报价=非监狱企业产品价格+监狱企业产品价格×94%。</w:t>
      </w:r>
    </w:p>
    <w:p>
      <w:pPr>
        <w:spacing w:line="400" w:lineRule="exact"/>
        <w:ind w:firstLine="420" w:firstLineChars="200"/>
        <w:rPr>
          <w:rFonts w:hint="eastAsia" w:ascii="宋体" w:hAnsi="宋体" w:eastAsia="宋体" w:cs="宋体"/>
          <w:smallCaps w:val="0"/>
          <w:color w:val="000000" w:themeColor="text1"/>
          <w:spacing w:val="0"/>
          <w:sz w:val="21"/>
          <w:szCs w:val="21"/>
          <w:highlight w:val="none"/>
          <w14:textFill>
            <w14:solidFill>
              <w14:schemeClr w14:val="tx1"/>
            </w14:solidFill>
          </w14:textFill>
        </w:rPr>
      </w:pPr>
      <w:r>
        <w:rPr>
          <w:rFonts w:hint="eastAsia" w:ascii="宋体" w:hAnsi="宋体" w:eastAsia="宋体" w:cs="宋体"/>
          <w:smallCaps w:val="0"/>
          <w:color w:val="000000" w:themeColor="text1"/>
          <w:spacing w:val="0"/>
          <w:sz w:val="21"/>
          <w:szCs w:val="21"/>
          <w:highlight w:val="none"/>
          <w14:textFill>
            <w14:solidFill>
              <w14:schemeClr w14:val="tx1"/>
            </w14:solidFill>
          </w14:textFill>
        </w:rPr>
        <w:t>注：监狱企业参加政府采购活动时，应当提供由省级以上监狱管理局、戒毒管理局（含新疆生产建设兵团）出具的属于监狱企业的证明文件原件，且须在投标文件中详细列明监狱企业产品价格明细，否则不给予价格扣除。</w:t>
      </w:r>
    </w:p>
    <w:p>
      <w:pPr>
        <w:spacing w:line="400" w:lineRule="exact"/>
        <w:ind w:firstLine="420" w:firstLineChars="200"/>
        <w:rPr>
          <w:rFonts w:hint="eastAsia" w:ascii="宋体" w:hAnsi="宋体" w:eastAsia="宋体" w:cs="宋体"/>
          <w:smallCaps w:val="0"/>
          <w:color w:val="000000" w:themeColor="text1"/>
          <w:spacing w:val="0"/>
          <w:sz w:val="21"/>
          <w:szCs w:val="21"/>
          <w:highlight w:val="none"/>
          <w14:textFill>
            <w14:solidFill>
              <w14:schemeClr w14:val="tx1"/>
            </w14:solidFill>
          </w14:textFill>
        </w:rPr>
      </w:pPr>
      <w:r>
        <w:rPr>
          <w:rFonts w:hint="eastAsia" w:ascii="宋体" w:hAnsi="宋体" w:eastAsia="宋体" w:cs="宋体"/>
          <w:smallCaps w:val="0"/>
          <w:color w:val="000000" w:themeColor="text1"/>
          <w:spacing w:val="0"/>
          <w:sz w:val="21"/>
          <w:szCs w:val="21"/>
          <w:highlight w:val="none"/>
          <w14:textFill>
            <w14:solidFill>
              <w14:schemeClr w14:val="tx1"/>
            </w14:solidFill>
          </w14:textFill>
        </w:rPr>
        <w:t>3）根据财政部 民政部 中国残疾人联合会《三部门联合发布关于促进残疾人就业政府采购政策的通知》（财库〔2017〕141号）文件规定，在政府采购活动中，残疾人福利性单位视同小型、微型企业，享受预留份额、评审中价格扣除等促进中小企业发展的政府采购政策。对残疾人福利性单位产品价格扣除，用扣除后的价格参与评审。</w:t>
      </w:r>
    </w:p>
    <w:p>
      <w:pPr>
        <w:spacing w:line="400" w:lineRule="exact"/>
        <w:ind w:firstLine="422" w:firstLineChars="200"/>
        <w:rPr>
          <w:rFonts w:hint="eastAsia" w:ascii="宋体" w:hAnsi="宋体" w:eastAsia="宋体" w:cs="宋体"/>
          <w:b/>
          <w:bCs/>
          <w:smallCaps w:val="0"/>
          <w:color w:val="000000" w:themeColor="text1"/>
          <w:spacing w:val="0"/>
          <w:sz w:val="21"/>
          <w:szCs w:val="21"/>
          <w:highlight w:val="none"/>
          <w14:textFill>
            <w14:solidFill>
              <w14:schemeClr w14:val="tx1"/>
            </w14:solidFill>
          </w14:textFill>
        </w:rPr>
      </w:pPr>
      <w:r>
        <w:rPr>
          <w:rFonts w:hint="eastAsia" w:ascii="宋体" w:hAnsi="宋体" w:eastAsia="宋体" w:cs="宋体"/>
          <w:b/>
          <w:bCs/>
          <w:smallCaps w:val="0"/>
          <w:color w:val="000000" w:themeColor="text1"/>
          <w:spacing w:val="0"/>
          <w:sz w:val="21"/>
          <w:szCs w:val="21"/>
          <w:highlight w:val="none"/>
          <w14:textFill>
            <w14:solidFill>
              <w14:schemeClr w14:val="tx1"/>
            </w14:solidFill>
          </w14:textFill>
        </w:rPr>
        <w:t>参与评审报价的计算方法是：</w:t>
      </w:r>
    </w:p>
    <w:p>
      <w:pPr>
        <w:spacing w:line="400" w:lineRule="exact"/>
        <w:ind w:firstLine="422" w:firstLineChars="200"/>
        <w:rPr>
          <w:rFonts w:hint="eastAsia" w:ascii="宋体" w:hAnsi="宋体" w:eastAsia="宋体" w:cs="宋体"/>
          <w:b/>
          <w:bCs/>
          <w:smallCaps w:val="0"/>
          <w:color w:val="000000" w:themeColor="text1"/>
          <w:spacing w:val="0"/>
          <w:sz w:val="21"/>
          <w:szCs w:val="21"/>
          <w:highlight w:val="none"/>
          <w14:textFill>
            <w14:solidFill>
              <w14:schemeClr w14:val="tx1"/>
            </w14:solidFill>
          </w14:textFill>
        </w:rPr>
      </w:pPr>
      <w:r>
        <w:rPr>
          <w:rFonts w:hint="eastAsia" w:ascii="宋体" w:hAnsi="宋体" w:eastAsia="宋体" w:cs="宋体"/>
          <w:b/>
          <w:bCs/>
          <w:smallCaps w:val="0"/>
          <w:color w:val="000000" w:themeColor="text1"/>
          <w:spacing w:val="0"/>
          <w:sz w:val="21"/>
          <w:szCs w:val="21"/>
          <w:highlight w:val="none"/>
          <w14:textFill>
            <w14:solidFill>
              <w14:schemeClr w14:val="tx1"/>
            </w14:solidFill>
          </w14:textFill>
        </w:rPr>
        <w:t>参与评审报价=残疾人福利性单位产品价格+残疾人福利性单位产品价格×94%。</w:t>
      </w:r>
    </w:p>
    <w:p>
      <w:pPr>
        <w:spacing w:line="400" w:lineRule="exact"/>
        <w:ind w:firstLine="420" w:firstLineChars="200"/>
        <w:rPr>
          <w:rFonts w:hint="eastAsia" w:ascii="宋体" w:hAnsi="宋体" w:eastAsia="宋体" w:cs="宋体"/>
          <w:smallCaps w:val="0"/>
          <w:color w:val="000000" w:themeColor="text1"/>
          <w:spacing w:val="0"/>
          <w:sz w:val="21"/>
          <w:szCs w:val="21"/>
          <w:highlight w:val="none"/>
          <w14:textFill>
            <w14:solidFill>
              <w14:schemeClr w14:val="tx1"/>
            </w14:solidFill>
          </w14:textFill>
        </w:rPr>
      </w:pPr>
      <w:r>
        <w:rPr>
          <w:rFonts w:hint="eastAsia" w:ascii="宋体" w:hAnsi="宋体" w:eastAsia="宋体" w:cs="宋体"/>
          <w:smallCaps w:val="0"/>
          <w:color w:val="000000" w:themeColor="text1"/>
          <w:spacing w:val="0"/>
          <w:sz w:val="21"/>
          <w:szCs w:val="21"/>
          <w:highlight w:val="none"/>
          <w14:textFill>
            <w14:solidFill>
              <w14:schemeClr w14:val="tx1"/>
            </w14:solidFill>
          </w14:textFill>
        </w:rPr>
        <w:t>注：1、残疾人福利性单位在参加政府采购活动时，应当提供《残疾人福利性单位声明函》（见附件），且须在投标文件中详细列明残疾人福利性单位产品价格明细，否则不给予价格扣除；2、残疾人福利性单位属于小型、微型企业的，不重复享受政策；3、供应商提供的《残疾人福利性单位声明函》与事实不符的，依照《中华人民共和国政府采购法》第七十七条第一款的规定追究法律责任。</w:t>
      </w:r>
    </w:p>
    <w:p>
      <w:pPr>
        <w:pStyle w:val="2"/>
        <w:spacing w:line="500" w:lineRule="exact"/>
        <w:ind w:left="420"/>
        <w:rPr>
          <w:rFonts w:hint="eastAsia" w:ascii="宋体" w:hAnsi="宋体" w:eastAsia="宋体" w:cs="宋体"/>
          <w:smallCaps w:val="0"/>
          <w:color w:val="000000" w:themeColor="text1"/>
          <w:spacing w:val="0"/>
          <w:sz w:val="21"/>
          <w:szCs w:val="21"/>
          <w:highlight w:val="none"/>
          <w14:textFill>
            <w14:solidFill>
              <w14:schemeClr w14:val="tx1"/>
            </w14:solidFill>
          </w14:textFill>
        </w:rPr>
      </w:pPr>
      <w:bookmarkStart w:id="226" w:name="_Toc5719"/>
      <w:bookmarkStart w:id="227" w:name="_Toc7086"/>
      <w:bookmarkStart w:id="228" w:name="_Toc23533"/>
      <w:r>
        <w:rPr>
          <w:rFonts w:hint="eastAsia" w:ascii="宋体" w:hAnsi="宋体" w:eastAsia="宋体" w:cs="宋体"/>
          <w:smallCaps w:val="0"/>
          <w:color w:val="000000" w:themeColor="text1"/>
          <w:spacing w:val="0"/>
          <w:sz w:val="21"/>
          <w:szCs w:val="21"/>
          <w:highlight w:val="none"/>
          <w14:textFill>
            <w14:solidFill>
              <w14:schemeClr w14:val="tx1"/>
            </w14:solidFill>
          </w14:textFill>
        </w:rPr>
        <w:t>3. 投标文件的澄清</w:t>
      </w:r>
      <w:bookmarkEnd w:id="226"/>
      <w:bookmarkEnd w:id="227"/>
      <w:bookmarkEnd w:id="228"/>
    </w:p>
    <w:p>
      <w:pPr>
        <w:keepNext w:val="0"/>
        <w:keepLines w:val="0"/>
        <w:pageBreakBefore w:val="0"/>
        <w:widowControl w:val="0"/>
        <w:kinsoku/>
        <w:wordWrap/>
        <w:overflowPunct/>
        <w:topLinePunct w:val="0"/>
        <w:autoSpaceDE/>
        <w:autoSpaceDN/>
        <w:bidi w:val="0"/>
        <w:adjustRightInd/>
        <w:snapToGrid/>
        <w:spacing w:line="460" w:lineRule="exact"/>
        <w:ind w:firstLine="420" w:firstLineChars="200"/>
        <w:jc w:val="left"/>
        <w:textAlignment w:val="auto"/>
        <w:rPr>
          <w:rFonts w:hint="eastAsia" w:ascii="宋体" w:hAnsi="宋体" w:eastAsia="宋体" w:cs="宋体"/>
          <w:smallCaps w:val="0"/>
          <w:color w:val="000000" w:themeColor="text1"/>
          <w:spacing w:val="0"/>
          <w:sz w:val="21"/>
          <w:szCs w:val="21"/>
          <w:highlight w:val="none"/>
          <w14:textFill>
            <w14:solidFill>
              <w14:schemeClr w14:val="tx1"/>
            </w14:solidFill>
          </w14:textFill>
        </w:rPr>
      </w:pPr>
      <w:r>
        <w:rPr>
          <w:rFonts w:hint="eastAsia" w:ascii="宋体" w:hAnsi="宋体" w:eastAsia="宋体" w:cs="宋体"/>
          <w:smallCaps w:val="0"/>
          <w:color w:val="000000" w:themeColor="text1"/>
          <w:spacing w:val="0"/>
          <w:sz w:val="21"/>
          <w:szCs w:val="21"/>
          <w:highlight w:val="none"/>
          <w14:textFill>
            <w14:solidFill>
              <w14:schemeClr w14:val="tx1"/>
            </w14:solidFill>
          </w14:textFill>
        </w:rPr>
        <w:t>3.1下述情形为无效投标且不得澄清：</w:t>
      </w:r>
    </w:p>
    <w:p>
      <w:pPr>
        <w:keepNext w:val="0"/>
        <w:keepLines w:val="0"/>
        <w:pageBreakBefore w:val="0"/>
        <w:widowControl w:val="0"/>
        <w:kinsoku/>
        <w:wordWrap/>
        <w:overflowPunct/>
        <w:topLinePunct w:val="0"/>
        <w:autoSpaceDE/>
        <w:autoSpaceDN/>
        <w:bidi w:val="0"/>
        <w:adjustRightInd/>
        <w:snapToGrid/>
        <w:spacing w:line="460" w:lineRule="exact"/>
        <w:ind w:firstLine="420" w:firstLineChars="200"/>
        <w:jc w:val="left"/>
        <w:textAlignment w:val="auto"/>
        <w:rPr>
          <w:rFonts w:hint="eastAsia" w:ascii="宋体" w:hAnsi="宋体" w:eastAsia="宋体" w:cs="宋体"/>
          <w:smallCaps w:val="0"/>
          <w:color w:val="000000" w:themeColor="text1"/>
          <w:spacing w:val="0"/>
          <w:sz w:val="21"/>
          <w:szCs w:val="21"/>
          <w:highlight w:val="none"/>
          <w14:textFill>
            <w14:solidFill>
              <w14:schemeClr w14:val="tx1"/>
            </w14:solidFill>
          </w14:textFill>
        </w:rPr>
      </w:pPr>
      <w:r>
        <w:rPr>
          <w:rFonts w:hint="eastAsia" w:ascii="宋体" w:hAnsi="宋体" w:eastAsia="宋体" w:cs="宋体"/>
          <w:smallCaps w:val="0"/>
          <w:color w:val="000000" w:themeColor="text1"/>
          <w:spacing w:val="0"/>
          <w:sz w:val="21"/>
          <w:szCs w:val="21"/>
          <w:highlight w:val="none"/>
          <w14:textFill>
            <w14:solidFill>
              <w14:schemeClr w14:val="tx1"/>
            </w14:solidFill>
          </w14:textFill>
        </w:rPr>
        <w:t>（1）未按招标文件要求签字或盖章；</w:t>
      </w:r>
    </w:p>
    <w:p>
      <w:pPr>
        <w:keepNext w:val="0"/>
        <w:keepLines w:val="0"/>
        <w:pageBreakBefore w:val="0"/>
        <w:widowControl w:val="0"/>
        <w:kinsoku/>
        <w:wordWrap/>
        <w:overflowPunct/>
        <w:topLinePunct w:val="0"/>
        <w:autoSpaceDE/>
        <w:autoSpaceDN/>
        <w:bidi w:val="0"/>
        <w:adjustRightInd/>
        <w:snapToGrid/>
        <w:spacing w:line="460" w:lineRule="exact"/>
        <w:ind w:firstLine="420" w:firstLineChars="200"/>
        <w:jc w:val="left"/>
        <w:textAlignment w:val="auto"/>
        <w:rPr>
          <w:rFonts w:hint="eastAsia" w:ascii="宋体" w:hAnsi="宋体" w:eastAsia="宋体" w:cs="宋体"/>
          <w:smallCaps w:val="0"/>
          <w:color w:val="000000" w:themeColor="text1"/>
          <w:spacing w:val="0"/>
          <w:sz w:val="21"/>
          <w:szCs w:val="21"/>
          <w:highlight w:val="none"/>
          <w14:textFill>
            <w14:solidFill>
              <w14:schemeClr w14:val="tx1"/>
            </w14:solidFill>
          </w14:textFill>
        </w:rPr>
      </w:pPr>
      <w:r>
        <w:rPr>
          <w:rFonts w:hint="eastAsia" w:ascii="宋体" w:hAnsi="宋体" w:eastAsia="宋体" w:cs="宋体"/>
          <w:smallCaps w:val="0"/>
          <w:color w:val="000000" w:themeColor="text1"/>
          <w:spacing w:val="0"/>
          <w:sz w:val="21"/>
          <w:szCs w:val="21"/>
          <w:highlight w:val="none"/>
          <w14:textFill>
            <w14:solidFill>
              <w14:schemeClr w14:val="tx1"/>
            </w14:solidFill>
          </w14:textFill>
        </w:rPr>
        <w:t>（2）委托代理人没有合法、有效的授权委托；</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（3）未响应交付时限、付款方式；</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（4）未提供“符合性检查材料”和“资格性检查材料”；</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（5）单位负责人为同一人或者存在控股、管理关系的不同单位，同时参加投标。</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3.2除实质性响应和不得澄清内容外，评标委员会对含义不明确、同类问题表述不一致或者有明显文字和计算错误等内容，可以书面形式要求供应商作出书面澄清答复。澄清答复应由其法定代表人或委托代理人签字确认，并作为响应文件的一部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3.3如有必要，评标委员会可要求供应商限时提供资格证明文件的原件。供应商拒不提供或不能在规定时限内提供的，响应无效。</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4. 开标程序与评价比较</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（１）采购代理机构组织招标、开标、评标工作，整个过程受政府采购监管机构的监督、管理。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２）为了确保评标工作的公平、公正，依据政府采购法和政府采购相关法规、规章，成立评标委员会，评标委员会由采购人代表和有关技术、经济等方面的专家组成，成员人数为五人以上单数。其中，技术、经济等方面的专家不少于成员总数的三分之二。</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（３）采购代理机构在规定的时间和地点组织公开招标，服务商必须派法定代表人或被授权人参加，并签名报到。</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（４）开标时，采购代理机构对经检查的有效投标文件，依据投标顺序，以公开唱标的形式，将投标报价一览表的内容公布。</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（５）采购人与中标服务商正式签订政府采购合同前，凡与审查、投标、澄清、评标过程中有关的所有资料和内容，评标委员会成员及集中采购机构工作人员均负有保密责任，不得向外透露。</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3.2在投标文件资格性、有效性和完整性检查时，出现下列情况之一的，投标文件视为无效：</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（１）未按照招标文件规定要求装订、签署、盖章的；</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２）不具备招标文件中规定的资格要求的。如果评标委员会认为服务商的资格证明文件复印件存在疑点，可以要求其现场提供原件进行核查，两者出现不同或在规定的时间内未能及时提供原件的，投标文件视为无效；</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（３）投标文件中无投标有效期或有效期达不到招标文件要求的；</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（４）投标文件的构成缺少其中一项或某项达不到招标文件要求的；</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（５）服务商单位负责人为同一人或者存在直接控股、管理关系的不同服务商，参加同一合同项下的政府采购活动的；</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（６）扰乱评标秩序，澄清时与评委、甲方代表争吵的；</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（7）政府采购法律法规规定的其他情形。</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3.3在技术、服务及商务响应程度评审中，出现下列情况之一的，投标文件视为无效：</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（１）投标报价与市场价偏离较大，低于成本，形成不正当竞争的；</w:t>
      </w:r>
      <w:r>
        <w:rPr>
          <w:rFonts w:hint="eastAsia" w:asciiTheme="minorEastAsia" w:hAnsiTheme="minorEastAsia" w:eastAsiaTheme="minorEastAsia" w:cstheme="minorEastAsia"/>
          <w:b/>
          <w:bCs/>
          <w:smallCaps w:val="0"/>
          <w:color w:val="000000" w:themeColor="text1"/>
          <w:spacing w:val="0"/>
          <w:sz w:val="24"/>
          <w:szCs w:val="24"/>
          <w:highlight w:val="none"/>
          <w14:textFill>
            <w14:solidFill>
              <w14:schemeClr w14:val="tx1"/>
            </w14:solidFill>
          </w14:textFill>
        </w:rPr>
        <w:t>评标委员会认为供应商报价存在明显不合理的低于成本的报价，有可能影响服务质量或者不能诚信履约的，可要求该供应商在规定期限内，提供必要的书面文件予以解释和说明并附带相关证明材料，证明其报价合理性的；否则，评标委员会认定该供应商以低于成本价竞价，其响应文件作无效响应文件处理</w:t>
      </w: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w:t>
      </w:r>
      <w:r>
        <w:rPr>
          <w:rFonts w:hint="eastAsia" w:asciiTheme="minorEastAsia" w:hAnsiTheme="minorEastAsia" w:eastAsiaTheme="minorEastAsia" w:cstheme="minorEastAsia"/>
          <w:smallCaps w:val="0"/>
          <w:color w:val="000000" w:themeColor="text1"/>
          <w:spacing w:val="0"/>
          <w:sz w:val="24"/>
          <w:highlight w:val="none"/>
          <w:lang w:val="en-US" w:eastAsia="zh-CN"/>
          <w14:textFill>
            <w14:solidFill>
              <w14:schemeClr w14:val="tx1"/>
            </w14:solidFill>
          </w14:textFill>
        </w:rPr>
        <w:t>2</w:t>
      </w: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）提供虚假技术性能指标的（出现技术指标前后矛盾的，以国家职能部门认定的指标为准）；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w:t>
      </w:r>
      <w:r>
        <w:rPr>
          <w:rFonts w:hint="eastAsia" w:asciiTheme="minorEastAsia" w:hAnsiTheme="minorEastAsia" w:eastAsiaTheme="minorEastAsia" w:cstheme="minorEastAsia"/>
          <w:smallCaps w:val="0"/>
          <w:color w:val="000000" w:themeColor="text1"/>
          <w:spacing w:val="0"/>
          <w:sz w:val="24"/>
          <w:highlight w:val="none"/>
          <w:lang w:val="en-US" w:eastAsia="zh-CN"/>
          <w14:textFill>
            <w14:solidFill>
              <w14:schemeClr w14:val="tx1"/>
            </w14:solidFill>
          </w14:textFill>
        </w:rPr>
        <w:t>3</w:t>
      </w: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）投标文件在款项结算、质量保证、验收条件等方面的响 应与招标文件要求不一致或附加了采购人和评标委员会难以接受的条件的；</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w:t>
      </w:r>
      <w:r>
        <w:rPr>
          <w:rFonts w:hint="eastAsia" w:asciiTheme="minorEastAsia" w:hAnsiTheme="minorEastAsia" w:eastAsiaTheme="minorEastAsia" w:cstheme="minorEastAsia"/>
          <w:smallCaps w:val="0"/>
          <w:color w:val="000000" w:themeColor="text1"/>
          <w:spacing w:val="0"/>
          <w:sz w:val="24"/>
          <w:highlight w:val="none"/>
          <w:lang w:val="en-US" w:eastAsia="zh-CN"/>
          <w14:textFill>
            <w14:solidFill>
              <w14:schemeClr w14:val="tx1"/>
            </w14:solidFill>
          </w14:textFill>
        </w:rPr>
        <w:t>4</w:t>
      </w: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）未响应招标文件合同主要条款的；</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w:t>
      </w:r>
      <w:r>
        <w:rPr>
          <w:rFonts w:hint="eastAsia" w:asciiTheme="minorEastAsia" w:hAnsiTheme="minorEastAsia" w:eastAsiaTheme="minorEastAsia" w:cstheme="minorEastAsia"/>
          <w:smallCaps w:val="0"/>
          <w:color w:val="000000" w:themeColor="text1"/>
          <w:spacing w:val="0"/>
          <w:sz w:val="24"/>
          <w:highlight w:val="none"/>
          <w:lang w:val="en-US" w:eastAsia="zh-CN"/>
          <w14:textFill>
            <w14:solidFill>
              <w14:schemeClr w14:val="tx1"/>
            </w14:solidFill>
          </w14:textFill>
        </w:rPr>
        <w:t>5</w:t>
      </w: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）扰乱评标秩序，澄清时与评委、甲方代表争吵的；</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w:t>
      </w:r>
      <w:r>
        <w:rPr>
          <w:rFonts w:hint="eastAsia" w:asciiTheme="minorEastAsia" w:hAnsiTheme="minorEastAsia" w:eastAsiaTheme="minorEastAsia" w:cstheme="minorEastAsia"/>
          <w:smallCaps w:val="0"/>
          <w:color w:val="000000" w:themeColor="text1"/>
          <w:spacing w:val="0"/>
          <w:sz w:val="24"/>
          <w:highlight w:val="none"/>
          <w:lang w:val="en-US" w:eastAsia="zh-CN"/>
          <w14:textFill>
            <w14:solidFill>
              <w14:schemeClr w14:val="tx1"/>
            </w14:solidFill>
          </w14:textFill>
        </w:rPr>
        <w:t>6</w:t>
      </w: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）政府采购法律法规规定的其他情形。</w:t>
      </w:r>
    </w:p>
    <w:p>
      <w:pPr>
        <w:pStyle w:val="3"/>
        <w:spacing w:line="480" w:lineRule="exact"/>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br w:type="page"/>
      </w:r>
    </w:p>
    <w:p>
      <w:pPr>
        <w:pStyle w:val="3"/>
        <w:spacing w:line="480" w:lineRule="exact"/>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bookmarkStart w:id="229" w:name="_Toc13708"/>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第五部分 合同主要条款</w:t>
      </w:r>
      <w:bookmarkEnd w:id="229"/>
    </w:p>
    <w:p>
      <w:pPr>
        <w:spacing w:line="480" w:lineRule="exact"/>
        <w:jc w:val="center"/>
        <w:rPr>
          <w:rFonts w:hint="eastAsia" w:asciiTheme="minorEastAsia" w:hAnsiTheme="minorEastAsia" w:eastAsiaTheme="minorEastAsia" w:cstheme="minorEastAsia"/>
          <w:smallCaps w:val="0"/>
          <w:color w:val="000000" w:themeColor="text1"/>
          <w:spacing w:val="0"/>
          <w:sz w:val="24"/>
          <w:szCs w:val="24"/>
          <w:highlight w:val="none"/>
          <w:lang w:eastAsia="zh-CN"/>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smallCaps w:val="0"/>
          <w:color w:val="000000" w:themeColor="text1"/>
          <w:spacing w:val="0"/>
          <w:sz w:val="24"/>
          <w:szCs w:val="24"/>
          <w:highlight w:val="none"/>
          <w:lang w:val="en-US" w:eastAsia="zh-CN"/>
          <w14:textFill>
            <w14:solidFill>
              <w14:schemeClr w14:val="tx1"/>
            </w14:solidFill>
          </w14:textFill>
        </w:rPr>
        <w:t>此合同条款为参考条款，采购人可与中标供应商协商调整部分条款</w:t>
      </w:r>
      <w:r>
        <w:rPr>
          <w:rFonts w:hint="eastAsia" w:asciiTheme="minorEastAsia" w:hAnsiTheme="minorEastAsia" w:eastAsiaTheme="minorEastAsia" w:cstheme="minorEastAsia"/>
          <w:smallCaps w:val="0"/>
          <w:color w:val="000000" w:themeColor="text1"/>
          <w:spacing w:val="0"/>
          <w:sz w:val="24"/>
          <w:szCs w:val="24"/>
          <w:highlight w:val="none"/>
          <w:lang w:eastAsia="zh-CN"/>
          <w14:textFill>
            <w14:solidFill>
              <w14:schemeClr w14:val="tx1"/>
            </w14:solidFill>
          </w14:textFill>
        </w:rPr>
        <w:t>）</w:t>
      </w:r>
    </w:p>
    <w:p>
      <w:pPr>
        <w:pStyle w:val="81"/>
        <w:keepNext w:val="0"/>
        <w:keepLines w:val="0"/>
        <w:pageBreakBefore w:val="0"/>
        <w:widowControl w:val="0"/>
        <w:shd w:val="clear" w:color="auto" w:fill="auto"/>
        <w:tabs>
          <w:tab w:val="left" w:pos="5736"/>
        </w:tabs>
        <w:kinsoku/>
        <w:wordWrap/>
        <w:overflowPunct/>
        <w:topLinePunct w:val="0"/>
        <w:autoSpaceDE/>
        <w:autoSpaceDN/>
        <w:bidi w:val="0"/>
        <w:adjustRightInd/>
        <w:snapToGrid/>
        <w:spacing w:before="0" w:after="0" w:line="480" w:lineRule="exact"/>
        <w:ind w:right="0" w:firstLine="480" w:firstLineChars="200"/>
        <w:jc w:val="left"/>
        <w:textAlignment w:val="auto"/>
        <w:rPr>
          <w:rFonts w:hint="eastAsia" w:asciiTheme="minorEastAsia" w:hAnsiTheme="minorEastAsia" w:eastAsiaTheme="minorEastAsia" w:cstheme="minorEastAsia"/>
          <w:smallCaps w:val="0"/>
          <w:color w:val="000000" w:themeColor="text1"/>
          <w:spacing w:val="0"/>
          <w:w w:val="100"/>
          <w:position w:val="0"/>
          <w:sz w:val="24"/>
          <w:szCs w:val="24"/>
          <w:highlight w:val="none"/>
          <w:shd w:val="clear" w:color="auto" w:fill="auto"/>
          <w14:textFill>
            <w14:solidFill>
              <w14:schemeClr w14:val="tx1"/>
            </w14:solidFill>
          </w14:textFill>
        </w:rPr>
      </w:pPr>
    </w:p>
    <w:p>
      <w:pPr>
        <w:spacing w:line="360" w:lineRule="auto"/>
        <w:ind w:firstLine="560" w:firstLineChars="200"/>
        <w:rPr>
          <w:rFonts w:hint="eastAsia" w:ascii="宋体" w:hAnsi="宋体" w:cs="宋体"/>
          <w:sz w:val="28"/>
          <w:szCs w:val="28"/>
        </w:rPr>
      </w:pPr>
      <w:bookmarkStart w:id="230" w:name="_Toc19840"/>
      <w:r>
        <w:rPr>
          <w:rFonts w:hint="eastAsia" w:ascii="宋体" w:hAnsi="宋体" w:cs="宋体"/>
          <w:sz w:val="28"/>
          <w:szCs w:val="28"/>
          <w:lang w:val="zh-CN"/>
        </w:rPr>
        <w:t>（此合同主要条款，除商务条款外，其余部分只作为参考，最终签订的合同以采购人确定的合同内容为准。）</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一、合同内容及金额：即中标人的</w:t>
      </w:r>
      <w:r>
        <w:rPr>
          <w:rFonts w:hint="eastAsia" w:ascii="宋体" w:hAnsi="宋体" w:cs="宋体"/>
          <w:sz w:val="28"/>
          <w:szCs w:val="28"/>
          <w:lang w:eastAsia="zh-CN"/>
        </w:rPr>
        <w:t>中标</w:t>
      </w:r>
      <w:r>
        <w:rPr>
          <w:rFonts w:hint="eastAsia" w:ascii="宋体" w:hAnsi="宋体" w:cs="宋体"/>
          <w:sz w:val="28"/>
          <w:szCs w:val="28"/>
        </w:rPr>
        <w:t>内容及其成交总金额。</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二、产品技术规格、数量：即交付的产品技术规格、型号、数量与投标文件所指明的，或者与本合同所指明的产品技术规格及型号相一致。</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三、知识产权：即中标人应保证采购人在使用成交货物时，不承担任何涉及知识产权法律诉讼的责任。</w:t>
      </w:r>
    </w:p>
    <w:p>
      <w:pPr>
        <w:spacing w:line="360" w:lineRule="auto"/>
        <w:ind w:firstLine="562" w:firstLineChars="200"/>
        <w:rPr>
          <w:rFonts w:hint="eastAsia" w:ascii="宋体" w:hAnsi="宋体" w:cs="宋体"/>
          <w:sz w:val="28"/>
          <w:szCs w:val="28"/>
        </w:rPr>
      </w:pPr>
      <w:r>
        <w:rPr>
          <w:rFonts w:hint="eastAsia" w:ascii="宋体" w:hAnsi="宋体" w:cs="宋体"/>
          <w:b/>
          <w:bCs/>
          <w:sz w:val="28"/>
          <w:szCs w:val="28"/>
        </w:rPr>
        <w:t>四、</w:t>
      </w:r>
      <w:r>
        <w:rPr>
          <w:rFonts w:hint="eastAsia" w:ascii="宋体" w:hAnsi="宋体" w:cs="宋体"/>
          <w:b/>
          <w:bCs/>
          <w:sz w:val="28"/>
          <w:szCs w:val="28"/>
          <w:lang w:eastAsia="zh-CN"/>
        </w:rPr>
        <w:t>供货期</w:t>
      </w:r>
      <w:r>
        <w:rPr>
          <w:rFonts w:hint="eastAsia" w:ascii="宋体" w:hAnsi="宋体" w:cs="宋体"/>
          <w:b/>
          <w:bCs/>
          <w:sz w:val="28"/>
          <w:szCs w:val="28"/>
        </w:rPr>
        <w:t>：合同签订之日起30日</w:t>
      </w:r>
      <w:r>
        <w:rPr>
          <w:rFonts w:hint="eastAsia" w:ascii="宋体" w:hAnsi="宋体" w:cs="宋体"/>
          <w:b/>
          <w:bCs/>
          <w:sz w:val="28"/>
          <w:szCs w:val="28"/>
          <w:lang w:eastAsia="zh-CN"/>
        </w:rPr>
        <w:t>历日</w:t>
      </w:r>
      <w:r>
        <w:rPr>
          <w:rFonts w:hint="eastAsia" w:ascii="宋体" w:hAnsi="宋体" w:cs="宋体"/>
          <w:b/>
          <w:bCs/>
          <w:sz w:val="28"/>
          <w:szCs w:val="28"/>
        </w:rPr>
        <w:t>。</w:t>
      </w:r>
      <w:r>
        <w:rPr>
          <w:rFonts w:hint="eastAsia" w:ascii="宋体" w:hAnsi="宋体" w:cs="宋体"/>
          <w:sz w:val="28"/>
          <w:szCs w:val="28"/>
        </w:rPr>
        <w:t xml:space="preserve">                              </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中标人未征得采购人同意和谅解而单方面延迟交货，将按违约终止合同。</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中标人遇到可能妨碍按时交货和提供服务的情况，应当及时以书面形式通知采购人，说明原由、拖延的期限等；采购人、采购代理机构在收到通知后，尽快进行情况评估并确定是否通过修改合同，酌情延长交货时间或者通过协商加收误期赔偿金。</w:t>
      </w:r>
    </w:p>
    <w:p>
      <w:pPr>
        <w:spacing w:line="360" w:lineRule="auto"/>
        <w:ind w:firstLine="562" w:firstLineChars="200"/>
        <w:rPr>
          <w:rFonts w:hint="eastAsia" w:ascii="宋体" w:hAnsi="宋体" w:cs="宋体"/>
          <w:b/>
          <w:bCs/>
          <w:sz w:val="28"/>
          <w:szCs w:val="28"/>
        </w:rPr>
      </w:pPr>
      <w:r>
        <w:rPr>
          <w:rFonts w:hint="eastAsia" w:ascii="宋体" w:hAnsi="宋体" w:cs="宋体"/>
          <w:b/>
          <w:bCs/>
          <w:sz w:val="28"/>
          <w:szCs w:val="28"/>
        </w:rPr>
        <w:t>五、供货地点：采购人指定交货地点。</w:t>
      </w:r>
    </w:p>
    <w:p>
      <w:pPr>
        <w:spacing w:line="360" w:lineRule="auto"/>
        <w:ind w:firstLine="562" w:firstLineChars="200"/>
        <w:rPr>
          <w:rFonts w:hint="eastAsia" w:ascii="宋体" w:hAnsi="宋体" w:cs="宋体"/>
          <w:b/>
          <w:bCs/>
          <w:sz w:val="28"/>
          <w:szCs w:val="28"/>
        </w:rPr>
      </w:pPr>
      <w:r>
        <w:rPr>
          <w:rFonts w:hint="eastAsia" w:ascii="宋体" w:hAnsi="宋体" w:cs="宋体"/>
          <w:b/>
          <w:bCs/>
          <w:sz w:val="28"/>
          <w:szCs w:val="28"/>
        </w:rPr>
        <w:t>六、质保期：</w:t>
      </w:r>
      <w:r>
        <w:rPr>
          <w:rFonts w:hint="eastAsia" w:ascii="宋体" w:hAnsi="宋体" w:cs="宋体"/>
          <w:b/>
          <w:bCs/>
          <w:sz w:val="28"/>
          <w:szCs w:val="28"/>
          <w:lang w:val="en-US" w:eastAsia="zh-CN"/>
        </w:rPr>
        <w:t>3</w:t>
      </w:r>
      <w:r>
        <w:rPr>
          <w:rFonts w:hint="eastAsia" w:ascii="宋体" w:hAnsi="宋体" w:cs="宋体"/>
          <w:b/>
          <w:bCs/>
          <w:sz w:val="28"/>
          <w:szCs w:val="28"/>
        </w:rPr>
        <w:t>年。</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七、结算方式：</w:t>
      </w:r>
    </w:p>
    <w:p>
      <w:pPr>
        <w:spacing w:line="360" w:lineRule="auto"/>
        <w:ind w:firstLine="560" w:firstLineChars="200"/>
        <w:rPr>
          <w:rFonts w:hint="eastAsia" w:ascii="宋体" w:hAnsi="宋体" w:cs="宋体"/>
          <w:sz w:val="28"/>
          <w:szCs w:val="28"/>
        </w:rPr>
      </w:pPr>
      <w:r>
        <w:rPr>
          <w:rFonts w:hint="eastAsia" w:ascii="宋体" w:hAnsi="宋体" w:cs="宋体"/>
          <w:sz w:val="28"/>
          <w:szCs w:val="28"/>
          <w:lang w:val="zh-CN"/>
        </w:rPr>
        <w:t>具体付款方式甲乙双方协商确定，</w:t>
      </w:r>
      <w:r>
        <w:rPr>
          <w:rFonts w:hint="eastAsia" w:ascii="宋体" w:hAnsi="宋体" w:cs="宋体"/>
          <w:sz w:val="28"/>
          <w:szCs w:val="28"/>
        </w:rPr>
        <w:t>在付款前，必须开具全额发票给采购人。</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八、包装：包装必须适应货物特性和交通运输要求，以及国家有关标准或企业标准或合同要求。中标人应承担于包装、防护措施不妥引起的所有损失的责任和费用。</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九、运输：</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1、中标人负责所有货物的运输。确保货物安全、完整到达使用地点，运杂费用包含在总价内，包括货物从供货地点到使用地点的运输费、保险费、搬运费等。</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2、所有货物在运输、搬运、安装的过程中，造成采购人损失的，由中标人修复或更新。</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 xml:space="preserve">3、中标人可根据交货期、运输条件自行选择运输方式（另有规定的除外），承担一切运输费用。 </w:t>
      </w:r>
    </w:p>
    <w:p>
      <w:pPr>
        <w:spacing w:line="360" w:lineRule="auto"/>
        <w:rPr>
          <w:rFonts w:hint="eastAsia" w:ascii="宋体" w:hAnsi="宋体" w:cs="宋体"/>
          <w:sz w:val="28"/>
          <w:szCs w:val="28"/>
        </w:rPr>
      </w:pPr>
      <w:r>
        <w:rPr>
          <w:rFonts w:hint="eastAsia" w:ascii="宋体" w:hAnsi="宋体" w:cs="宋体"/>
          <w:sz w:val="28"/>
          <w:szCs w:val="28"/>
        </w:rPr>
        <w:t>十、技术保障：中标人应随同货物提供相应的中文技术文件（包括产品合格证、装箱清单、操作手册、使用说明、检测报告、维护手册、服务指南等资料）,现场安装、调试、试运行技术保障服务。</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十一、人员培训：提供免费培训，人数、地点按采购人的要求约定。</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十二、质量保证</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1、中标人应当保证所供货物的来源渠道正常，产品是全新的、未使用过的、且完全符合合同规定的质量、规格、技术指标等要求，并在质保期内、外应对由于产品设计、工艺或材料的缺陷而产生的质量问题负责。</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2、在质保期内，如果发现货物的质量、规格、技术指标等存在与合同中任何一项不符，采购人应在最短时间内，以书面形式向中标人提出索赔。同时通告采购代理机构。</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3、保修期内，损坏部件的修理费、往返运保费等均由中标人承担。保修期外，只收取单程的运保费及已维修的元器件成本费，未尽事宜由双方协商解决。</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4、中标人应当明确售后服务公约，承诺免费维修服务条件。</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十三、采购项目执行内容需要调整时，经采购人同意后，可以对相应的内容进行调整，并协商确定价格差额计算方法和负担办法。</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十四、产品设计变更</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成交后，生产加工产品的设计、数量需要变更、调整时，应办理相应的变更、调整审批手续，并协商确定设计变更、数量调整后的产品价款计算方法和工期顺延等事宜。</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十五、验收：通过检验的货物方可进行安装、调试、达到使用条件时由采购人负责组织验收或者邀请有关专家、质检机构、采购代理机构共同进行验收,验收费用由中标人支付(备注：如有验收需向采购代理机构支付金额2000-3000元不等)；验收合格须交接项目实施的全部资料，并填写政府采购项目验收报告单。验收须以合同、招投标文件、澄清、及国家相应的标准、规范等为依据。</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十六、合同争议的解决：合同执行中发生争议的，当事人双方应协商解决，协商达不成一致时，可向人民法院提请诉讼。</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十七、在发生不可抗力情况下的应对措施和解决办法。</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十八、合同一经签订，不得擅自变更、中止或者终止合同。对确需变更、调整或者中止、终止合同的，应按规定履行相应的手续。</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十九、违约责任：依据《中华人民共和国民法典》、《中华人民共和国政府采购法》的相关条款和本合同约定，中标人未全面履行合同义务或者发生违约，采购人会同采购代理机构有权终止合同，依法向中标人要求经济索赔，并报请政府采购监督管理机关进行相应的行政处罚。采购人违约的，应当赔偿给中标人造成的经济损失。</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二十、本合同一式肆份，甲方、乙方、采购代理机构各执壹份，政府采购管理部门备案壹份。签字盖章后生效，合同执行完毕自动失效。（合同的服务承诺则长期有效）。</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二十一、其它（在合同中具体明确）</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2"/>
        <w:gridCol w:w="3345"/>
        <w:gridCol w:w="2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62" w:type="dxa"/>
            <w:noWrap w:val="0"/>
            <w:vAlign w:val="center"/>
          </w:tcPr>
          <w:p>
            <w:pPr>
              <w:snapToGrid w:val="0"/>
              <w:spacing w:line="360" w:lineRule="auto"/>
              <w:jc w:val="center"/>
              <w:rPr>
                <w:rFonts w:hint="eastAsia" w:ascii="宋体" w:hAnsi="宋体" w:eastAsia="宋体" w:cs="宋体"/>
                <w:sz w:val="28"/>
                <w:szCs w:val="28"/>
              </w:rPr>
            </w:pPr>
            <w:r>
              <w:rPr>
                <w:rFonts w:hint="eastAsia" w:ascii="宋体" w:hAnsi="宋体" w:eastAsia="宋体" w:cs="宋体"/>
                <w:sz w:val="28"/>
                <w:szCs w:val="28"/>
              </w:rPr>
              <w:t>甲  方</w:t>
            </w:r>
          </w:p>
        </w:tc>
        <w:tc>
          <w:tcPr>
            <w:tcW w:w="3345" w:type="dxa"/>
            <w:noWrap w:val="0"/>
            <w:vAlign w:val="center"/>
          </w:tcPr>
          <w:p>
            <w:pPr>
              <w:snapToGrid w:val="0"/>
              <w:spacing w:line="360" w:lineRule="auto"/>
              <w:jc w:val="center"/>
              <w:rPr>
                <w:rFonts w:hint="eastAsia" w:ascii="宋体" w:hAnsi="宋体" w:eastAsia="宋体" w:cs="宋体"/>
                <w:sz w:val="28"/>
                <w:szCs w:val="28"/>
              </w:rPr>
            </w:pPr>
            <w:r>
              <w:rPr>
                <w:rFonts w:hint="eastAsia" w:ascii="宋体" w:hAnsi="宋体" w:eastAsia="宋体" w:cs="宋体"/>
                <w:sz w:val="28"/>
                <w:szCs w:val="28"/>
              </w:rPr>
              <w:t>乙  方</w:t>
            </w:r>
          </w:p>
        </w:tc>
        <w:tc>
          <w:tcPr>
            <w:tcW w:w="2820" w:type="dxa"/>
            <w:noWrap w:val="0"/>
            <w:vAlign w:val="center"/>
          </w:tcPr>
          <w:p>
            <w:pPr>
              <w:snapToGrid w:val="0"/>
              <w:spacing w:line="360" w:lineRule="auto"/>
              <w:jc w:val="center"/>
              <w:rPr>
                <w:rFonts w:hint="eastAsia" w:ascii="宋体" w:hAnsi="宋体" w:eastAsia="宋体" w:cs="宋体"/>
                <w:sz w:val="28"/>
                <w:szCs w:val="28"/>
              </w:rPr>
            </w:pPr>
            <w:r>
              <w:rPr>
                <w:rFonts w:hint="eastAsia" w:ascii="宋体" w:hAnsi="宋体" w:eastAsia="宋体" w:cs="宋体"/>
                <w:sz w:val="28"/>
                <w:szCs w:val="28"/>
              </w:rPr>
              <w:t>见证方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62" w:type="dxa"/>
            <w:noWrap w:val="0"/>
            <w:vAlign w:val="center"/>
          </w:tcPr>
          <w:p>
            <w:pPr>
              <w:snapToGrid w:val="0"/>
              <w:spacing w:line="360" w:lineRule="auto"/>
              <w:jc w:val="center"/>
              <w:rPr>
                <w:rFonts w:hint="eastAsia" w:ascii="宋体" w:hAnsi="宋体" w:eastAsia="宋体" w:cs="宋体"/>
                <w:sz w:val="28"/>
                <w:szCs w:val="28"/>
              </w:rPr>
            </w:pPr>
            <w:r>
              <w:rPr>
                <w:rFonts w:hint="eastAsia" w:ascii="宋体" w:hAnsi="宋体" w:eastAsia="宋体" w:cs="宋体"/>
                <w:sz w:val="28"/>
                <w:szCs w:val="28"/>
              </w:rPr>
              <w:t>采购人名称</w:t>
            </w:r>
          </w:p>
          <w:p>
            <w:pPr>
              <w:snapToGrid w:val="0"/>
              <w:spacing w:line="360" w:lineRule="auto"/>
              <w:jc w:val="center"/>
              <w:rPr>
                <w:rFonts w:hint="eastAsia" w:ascii="宋体" w:hAnsi="宋体" w:eastAsia="宋体" w:cs="宋体"/>
                <w:sz w:val="28"/>
                <w:szCs w:val="28"/>
              </w:rPr>
            </w:pPr>
            <w:r>
              <w:rPr>
                <w:rFonts w:hint="eastAsia" w:ascii="宋体" w:hAnsi="宋体" w:eastAsia="宋体" w:cs="宋体"/>
                <w:sz w:val="28"/>
                <w:szCs w:val="28"/>
              </w:rPr>
              <w:t>（盖章）</w:t>
            </w:r>
          </w:p>
        </w:tc>
        <w:tc>
          <w:tcPr>
            <w:tcW w:w="3345" w:type="dxa"/>
            <w:noWrap w:val="0"/>
            <w:vAlign w:val="center"/>
          </w:tcPr>
          <w:p>
            <w:pPr>
              <w:snapToGrid w:val="0"/>
              <w:spacing w:line="360" w:lineRule="auto"/>
              <w:jc w:val="center"/>
              <w:rPr>
                <w:rFonts w:hint="eastAsia" w:ascii="宋体" w:hAnsi="宋体" w:eastAsia="宋体" w:cs="宋体"/>
                <w:sz w:val="28"/>
                <w:szCs w:val="28"/>
              </w:rPr>
            </w:pPr>
            <w:r>
              <w:rPr>
                <w:rFonts w:hint="eastAsia" w:ascii="宋体" w:hAnsi="宋体" w:eastAsia="宋体" w:cs="宋体"/>
                <w:sz w:val="28"/>
                <w:szCs w:val="28"/>
              </w:rPr>
              <w:t>中标供应商全称</w:t>
            </w:r>
          </w:p>
          <w:p>
            <w:pPr>
              <w:snapToGrid w:val="0"/>
              <w:spacing w:line="360" w:lineRule="auto"/>
              <w:jc w:val="center"/>
              <w:rPr>
                <w:rFonts w:hint="eastAsia" w:ascii="宋体" w:hAnsi="宋体" w:eastAsia="宋体" w:cs="宋体"/>
                <w:sz w:val="28"/>
                <w:szCs w:val="28"/>
              </w:rPr>
            </w:pPr>
            <w:r>
              <w:rPr>
                <w:rFonts w:hint="eastAsia" w:ascii="宋体" w:hAnsi="宋体" w:eastAsia="宋体" w:cs="宋体"/>
                <w:sz w:val="28"/>
                <w:szCs w:val="28"/>
              </w:rPr>
              <w:t>（盖章）</w:t>
            </w:r>
          </w:p>
        </w:tc>
        <w:tc>
          <w:tcPr>
            <w:tcW w:w="2820" w:type="dxa"/>
            <w:noWrap w:val="0"/>
            <w:vAlign w:val="center"/>
          </w:tcPr>
          <w:p>
            <w:pPr>
              <w:snapToGrid w:val="0"/>
              <w:spacing w:line="360" w:lineRule="auto"/>
              <w:jc w:val="center"/>
              <w:rPr>
                <w:rFonts w:hint="eastAsia" w:ascii="宋体" w:hAnsi="宋体" w:eastAsia="宋体" w:cs="宋体"/>
                <w:sz w:val="28"/>
                <w:szCs w:val="28"/>
                <w:lang w:eastAsia="zh-CN"/>
              </w:rPr>
            </w:pPr>
            <w:r>
              <w:rPr>
                <w:rFonts w:hint="eastAsia" w:ascii="宋体" w:hAnsi="宋体" w:eastAsia="宋体" w:cs="宋体"/>
                <w:sz w:val="28"/>
                <w:szCs w:val="28"/>
                <w:lang w:eastAsia="zh-CN"/>
              </w:rPr>
              <w:t>代理机构</w:t>
            </w:r>
          </w:p>
          <w:p>
            <w:pPr>
              <w:snapToGrid w:val="0"/>
              <w:spacing w:line="360" w:lineRule="auto"/>
              <w:jc w:val="center"/>
              <w:rPr>
                <w:rFonts w:hint="eastAsia" w:ascii="宋体" w:hAnsi="宋体" w:eastAsia="宋体" w:cs="宋体"/>
                <w:sz w:val="28"/>
                <w:szCs w:val="28"/>
              </w:rPr>
            </w:pPr>
            <w:r>
              <w:rPr>
                <w:rFonts w:hint="eastAsia" w:ascii="宋体" w:hAnsi="宋体" w:eastAsia="宋体" w:cs="宋体"/>
                <w:sz w:val="28"/>
                <w:szCs w:val="28"/>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62" w:type="dxa"/>
            <w:noWrap w:val="0"/>
            <w:vAlign w:val="top"/>
          </w:tcPr>
          <w:p>
            <w:pPr>
              <w:snapToGrid w:val="0"/>
              <w:spacing w:line="360" w:lineRule="auto"/>
              <w:rPr>
                <w:rFonts w:hint="eastAsia" w:ascii="宋体" w:hAnsi="宋体" w:eastAsia="宋体" w:cs="宋体"/>
                <w:sz w:val="28"/>
                <w:szCs w:val="28"/>
              </w:rPr>
            </w:pPr>
            <w:r>
              <w:rPr>
                <w:rFonts w:hint="eastAsia" w:ascii="宋体" w:hAnsi="宋体" w:eastAsia="宋体" w:cs="宋体"/>
                <w:sz w:val="28"/>
                <w:szCs w:val="28"/>
              </w:rPr>
              <w:t>邮编：</w:t>
            </w:r>
          </w:p>
        </w:tc>
        <w:tc>
          <w:tcPr>
            <w:tcW w:w="3345" w:type="dxa"/>
            <w:noWrap w:val="0"/>
            <w:vAlign w:val="top"/>
          </w:tcPr>
          <w:p>
            <w:pPr>
              <w:snapToGrid w:val="0"/>
              <w:spacing w:line="360" w:lineRule="auto"/>
              <w:rPr>
                <w:rFonts w:hint="eastAsia" w:ascii="宋体" w:hAnsi="宋体" w:eastAsia="宋体" w:cs="宋体"/>
                <w:sz w:val="28"/>
                <w:szCs w:val="28"/>
              </w:rPr>
            </w:pPr>
            <w:r>
              <w:rPr>
                <w:rFonts w:hint="eastAsia" w:ascii="宋体" w:hAnsi="宋体" w:eastAsia="宋体" w:cs="宋体"/>
                <w:sz w:val="28"/>
                <w:szCs w:val="28"/>
              </w:rPr>
              <w:t>邮编：</w:t>
            </w:r>
          </w:p>
        </w:tc>
        <w:tc>
          <w:tcPr>
            <w:tcW w:w="2820" w:type="dxa"/>
            <w:noWrap w:val="0"/>
            <w:vAlign w:val="top"/>
          </w:tcPr>
          <w:p>
            <w:pPr>
              <w:snapToGrid w:val="0"/>
              <w:spacing w:line="360" w:lineRule="auto"/>
              <w:rPr>
                <w:rFonts w:hint="eastAsia" w:ascii="宋体" w:hAnsi="宋体" w:eastAsia="宋体" w:cs="宋体"/>
                <w:sz w:val="28"/>
                <w:szCs w:val="28"/>
              </w:rPr>
            </w:pPr>
            <w:r>
              <w:rPr>
                <w:rFonts w:hint="eastAsia" w:ascii="宋体" w:hAnsi="宋体" w:eastAsia="宋体" w:cs="宋体"/>
                <w:sz w:val="28"/>
                <w:szCs w:val="28"/>
              </w:rPr>
              <w:t>邮编：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62" w:type="dxa"/>
            <w:noWrap w:val="0"/>
            <w:vAlign w:val="top"/>
          </w:tcPr>
          <w:p>
            <w:pPr>
              <w:snapToGrid w:val="0"/>
              <w:spacing w:line="360" w:lineRule="auto"/>
              <w:rPr>
                <w:rFonts w:hint="eastAsia" w:ascii="宋体" w:hAnsi="宋体" w:eastAsia="宋体" w:cs="宋体"/>
                <w:sz w:val="28"/>
                <w:szCs w:val="28"/>
              </w:rPr>
            </w:pPr>
            <w:r>
              <w:rPr>
                <w:rFonts w:hint="eastAsia" w:ascii="宋体" w:hAnsi="宋体" w:eastAsia="宋体" w:cs="宋体"/>
                <w:sz w:val="28"/>
                <w:szCs w:val="28"/>
              </w:rPr>
              <w:t>被授权代表：（签字）</w:t>
            </w:r>
          </w:p>
          <w:p>
            <w:pPr>
              <w:snapToGrid w:val="0"/>
              <w:spacing w:line="360" w:lineRule="auto"/>
              <w:rPr>
                <w:rFonts w:hint="eastAsia" w:ascii="宋体" w:hAnsi="宋体" w:eastAsia="宋体" w:cs="宋体"/>
                <w:sz w:val="28"/>
                <w:szCs w:val="28"/>
              </w:rPr>
            </w:pPr>
          </w:p>
        </w:tc>
        <w:tc>
          <w:tcPr>
            <w:tcW w:w="3345" w:type="dxa"/>
            <w:noWrap w:val="0"/>
            <w:vAlign w:val="top"/>
          </w:tcPr>
          <w:p>
            <w:pPr>
              <w:snapToGrid w:val="0"/>
              <w:spacing w:line="360" w:lineRule="auto"/>
              <w:rPr>
                <w:rFonts w:hint="eastAsia" w:ascii="宋体" w:hAnsi="宋体" w:eastAsia="宋体" w:cs="宋体"/>
                <w:sz w:val="28"/>
                <w:szCs w:val="28"/>
              </w:rPr>
            </w:pPr>
            <w:r>
              <w:rPr>
                <w:rFonts w:hint="eastAsia" w:ascii="宋体" w:hAnsi="宋体" w:eastAsia="宋体" w:cs="宋体"/>
                <w:sz w:val="28"/>
                <w:szCs w:val="28"/>
              </w:rPr>
              <w:t>被授权代表：（签字）</w:t>
            </w:r>
          </w:p>
        </w:tc>
        <w:tc>
          <w:tcPr>
            <w:tcW w:w="2820" w:type="dxa"/>
            <w:noWrap w:val="0"/>
            <w:vAlign w:val="top"/>
          </w:tcPr>
          <w:p>
            <w:pPr>
              <w:snapToGrid w:val="0"/>
              <w:spacing w:line="360" w:lineRule="auto"/>
              <w:rPr>
                <w:rFonts w:hint="eastAsia" w:ascii="宋体" w:hAnsi="宋体" w:eastAsia="宋体" w:cs="宋体"/>
                <w:sz w:val="28"/>
                <w:szCs w:val="28"/>
              </w:rPr>
            </w:pPr>
            <w:r>
              <w:rPr>
                <w:rFonts w:hint="eastAsia" w:ascii="宋体" w:hAnsi="宋体" w:eastAsia="宋体" w:cs="宋体"/>
                <w:sz w:val="28"/>
                <w:szCs w:val="28"/>
              </w:rPr>
              <w:t>经办人：（签字）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62" w:type="dxa"/>
            <w:noWrap w:val="0"/>
            <w:vAlign w:val="top"/>
          </w:tcPr>
          <w:p>
            <w:pPr>
              <w:snapToGrid w:val="0"/>
              <w:spacing w:line="360" w:lineRule="auto"/>
              <w:rPr>
                <w:rFonts w:hint="eastAsia" w:ascii="宋体" w:hAnsi="宋体" w:eastAsia="宋体" w:cs="宋体"/>
                <w:sz w:val="28"/>
                <w:szCs w:val="28"/>
              </w:rPr>
            </w:pPr>
            <w:r>
              <w:rPr>
                <w:rFonts w:hint="eastAsia" w:ascii="宋体" w:hAnsi="宋体" w:eastAsia="宋体" w:cs="宋体"/>
                <w:sz w:val="28"/>
                <w:szCs w:val="28"/>
              </w:rPr>
              <w:t>电话：</w:t>
            </w:r>
          </w:p>
        </w:tc>
        <w:tc>
          <w:tcPr>
            <w:tcW w:w="3345" w:type="dxa"/>
            <w:noWrap w:val="0"/>
            <w:vAlign w:val="top"/>
          </w:tcPr>
          <w:p>
            <w:pPr>
              <w:snapToGrid w:val="0"/>
              <w:spacing w:line="360" w:lineRule="auto"/>
              <w:rPr>
                <w:rFonts w:hint="eastAsia" w:ascii="宋体" w:hAnsi="宋体" w:eastAsia="宋体" w:cs="宋体"/>
                <w:sz w:val="28"/>
                <w:szCs w:val="28"/>
              </w:rPr>
            </w:pPr>
            <w:r>
              <w:rPr>
                <w:rFonts w:hint="eastAsia" w:ascii="宋体" w:hAnsi="宋体" w:eastAsia="宋体" w:cs="宋体"/>
                <w:sz w:val="28"/>
                <w:szCs w:val="28"/>
              </w:rPr>
              <w:t>电话：</w:t>
            </w:r>
          </w:p>
        </w:tc>
        <w:tc>
          <w:tcPr>
            <w:tcW w:w="2820" w:type="dxa"/>
            <w:noWrap w:val="0"/>
            <w:vAlign w:val="top"/>
          </w:tcPr>
          <w:p>
            <w:pPr>
              <w:snapToGrid w:val="0"/>
              <w:spacing w:line="360" w:lineRule="auto"/>
              <w:rPr>
                <w:rFonts w:hint="eastAsia" w:ascii="宋体" w:hAnsi="宋体" w:eastAsia="宋体" w:cs="宋体"/>
                <w:sz w:val="28"/>
                <w:szCs w:val="28"/>
              </w:rPr>
            </w:pPr>
            <w:r>
              <w:rPr>
                <w:rFonts w:hint="eastAsia" w:ascii="宋体" w:hAnsi="宋体" w:eastAsia="宋体" w:cs="宋体"/>
                <w:sz w:val="28"/>
                <w:szCs w:val="28"/>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62" w:type="dxa"/>
            <w:noWrap w:val="0"/>
            <w:vAlign w:val="top"/>
          </w:tcPr>
          <w:p>
            <w:pPr>
              <w:snapToGrid w:val="0"/>
              <w:spacing w:line="360" w:lineRule="auto"/>
              <w:rPr>
                <w:rFonts w:hint="eastAsia" w:ascii="宋体" w:hAnsi="宋体" w:eastAsia="宋体" w:cs="宋体"/>
                <w:sz w:val="28"/>
                <w:szCs w:val="28"/>
              </w:rPr>
            </w:pPr>
          </w:p>
        </w:tc>
        <w:tc>
          <w:tcPr>
            <w:tcW w:w="3345" w:type="dxa"/>
            <w:noWrap w:val="0"/>
            <w:vAlign w:val="top"/>
          </w:tcPr>
          <w:p>
            <w:pPr>
              <w:snapToGrid w:val="0"/>
              <w:spacing w:line="360" w:lineRule="auto"/>
              <w:rPr>
                <w:rFonts w:hint="eastAsia" w:ascii="宋体" w:hAnsi="宋体" w:eastAsia="宋体" w:cs="宋体"/>
                <w:sz w:val="28"/>
                <w:szCs w:val="28"/>
              </w:rPr>
            </w:pPr>
            <w:r>
              <w:rPr>
                <w:rFonts w:hint="eastAsia" w:ascii="宋体" w:hAnsi="宋体" w:eastAsia="宋体" w:cs="宋体"/>
                <w:sz w:val="28"/>
                <w:szCs w:val="28"/>
              </w:rPr>
              <w:t>开户银行：</w:t>
            </w:r>
          </w:p>
        </w:tc>
        <w:tc>
          <w:tcPr>
            <w:tcW w:w="2820" w:type="dxa"/>
            <w:noWrap w:val="0"/>
            <w:vAlign w:val="top"/>
          </w:tcPr>
          <w:p>
            <w:pPr>
              <w:snapToGrid w:val="0"/>
              <w:spacing w:line="360" w:lineRule="auto"/>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62" w:type="dxa"/>
            <w:noWrap w:val="0"/>
            <w:vAlign w:val="top"/>
          </w:tcPr>
          <w:p>
            <w:pPr>
              <w:snapToGrid w:val="0"/>
              <w:spacing w:line="360" w:lineRule="auto"/>
              <w:rPr>
                <w:rFonts w:hint="eastAsia" w:ascii="宋体" w:hAnsi="宋体" w:eastAsia="宋体" w:cs="宋体"/>
                <w:sz w:val="28"/>
                <w:szCs w:val="28"/>
              </w:rPr>
            </w:pPr>
          </w:p>
        </w:tc>
        <w:tc>
          <w:tcPr>
            <w:tcW w:w="3345" w:type="dxa"/>
            <w:noWrap w:val="0"/>
            <w:vAlign w:val="top"/>
          </w:tcPr>
          <w:p>
            <w:pPr>
              <w:snapToGrid w:val="0"/>
              <w:spacing w:line="360" w:lineRule="auto"/>
              <w:rPr>
                <w:rFonts w:hint="eastAsia" w:ascii="宋体" w:hAnsi="宋体" w:eastAsia="宋体" w:cs="宋体"/>
                <w:sz w:val="28"/>
                <w:szCs w:val="28"/>
              </w:rPr>
            </w:pPr>
            <w:r>
              <w:rPr>
                <w:rFonts w:hint="eastAsia" w:ascii="宋体" w:hAnsi="宋体" w:eastAsia="宋体" w:cs="宋体"/>
                <w:sz w:val="28"/>
                <w:szCs w:val="28"/>
              </w:rPr>
              <w:t>帐号：</w:t>
            </w:r>
          </w:p>
        </w:tc>
        <w:tc>
          <w:tcPr>
            <w:tcW w:w="2820" w:type="dxa"/>
            <w:noWrap w:val="0"/>
            <w:vAlign w:val="top"/>
          </w:tcPr>
          <w:p>
            <w:pPr>
              <w:snapToGrid w:val="0"/>
              <w:spacing w:line="360" w:lineRule="auto"/>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62" w:type="dxa"/>
            <w:noWrap w:val="0"/>
            <w:vAlign w:val="top"/>
          </w:tcPr>
          <w:p>
            <w:pPr>
              <w:snapToGrid w:val="0"/>
              <w:spacing w:line="360" w:lineRule="auto"/>
              <w:rPr>
                <w:rFonts w:hint="eastAsia" w:ascii="宋体" w:hAnsi="宋体" w:eastAsia="宋体" w:cs="宋体"/>
                <w:sz w:val="28"/>
                <w:szCs w:val="28"/>
              </w:rPr>
            </w:pPr>
            <w:r>
              <w:rPr>
                <w:rFonts w:hint="eastAsia" w:ascii="宋体" w:hAnsi="宋体" w:eastAsia="宋体" w:cs="宋体"/>
                <w:sz w:val="28"/>
                <w:szCs w:val="28"/>
              </w:rPr>
              <w:t>日期：年</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月  日</w:t>
            </w:r>
          </w:p>
        </w:tc>
        <w:tc>
          <w:tcPr>
            <w:tcW w:w="3345" w:type="dxa"/>
            <w:noWrap w:val="0"/>
            <w:vAlign w:val="top"/>
          </w:tcPr>
          <w:p>
            <w:pPr>
              <w:snapToGrid w:val="0"/>
              <w:spacing w:line="360" w:lineRule="auto"/>
              <w:rPr>
                <w:rFonts w:hint="eastAsia" w:ascii="宋体" w:hAnsi="宋体" w:eastAsia="宋体" w:cs="宋体"/>
                <w:sz w:val="28"/>
                <w:szCs w:val="28"/>
              </w:rPr>
            </w:pPr>
            <w:r>
              <w:rPr>
                <w:rFonts w:hint="eastAsia" w:ascii="宋体" w:hAnsi="宋体" w:eastAsia="宋体" w:cs="宋体"/>
                <w:sz w:val="28"/>
                <w:szCs w:val="28"/>
              </w:rPr>
              <w:t>日期：   年   月   日</w:t>
            </w:r>
          </w:p>
        </w:tc>
        <w:tc>
          <w:tcPr>
            <w:tcW w:w="2820" w:type="dxa"/>
            <w:noWrap w:val="0"/>
            <w:vAlign w:val="top"/>
          </w:tcPr>
          <w:p>
            <w:pPr>
              <w:snapToGrid w:val="0"/>
              <w:spacing w:line="360" w:lineRule="auto"/>
              <w:rPr>
                <w:rFonts w:hint="eastAsia" w:ascii="宋体" w:hAnsi="宋体" w:eastAsia="宋体" w:cs="宋体"/>
                <w:sz w:val="28"/>
                <w:szCs w:val="28"/>
              </w:rPr>
            </w:pPr>
            <w:r>
              <w:rPr>
                <w:rFonts w:hint="eastAsia" w:ascii="宋体" w:hAnsi="宋体" w:eastAsia="宋体" w:cs="宋体"/>
                <w:sz w:val="28"/>
                <w:szCs w:val="28"/>
              </w:rPr>
              <w:t>日期：  年  月   日</w:t>
            </w:r>
          </w:p>
        </w:tc>
      </w:tr>
    </w:tbl>
    <w:p>
      <w:pPr>
        <w:pStyle w:val="12"/>
        <w:rPr>
          <w:rFonts w:hint="eastAsia" w:ascii="宋体" w:hAnsi="宋体" w:cs="宋体"/>
          <w:sz w:val="28"/>
          <w:szCs w:val="28"/>
        </w:rPr>
      </w:pPr>
    </w:p>
    <w:p>
      <w:pPr>
        <w:rPr>
          <w:rFonts w:hint="eastAsia" w:ascii="宋体" w:hAnsi="宋体" w:cs="宋体"/>
          <w:sz w:val="28"/>
          <w:szCs w:val="28"/>
        </w:rPr>
      </w:pPr>
    </w:p>
    <w:p>
      <w:pPr>
        <w:pStyle w:val="12"/>
        <w:rPr>
          <w:rFonts w:hint="eastAsia" w:ascii="宋体" w:hAnsi="宋体" w:cs="宋体"/>
          <w:sz w:val="28"/>
          <w:szCs w:val="28"/>
        </w:rPr>
      </w:pPr>
    </w:p>
    <w:p>
      <w:pPr>
        <w:rPr>
          <w:rFonts w:hint="eastAsia" w:ascii="宋体" w:hAnsi="宋体" w:cs="宋体"/>
          <w:sz w:val="28"/>
          <w:szCs w:val="28"/>
        </w:rPr>
      </w:pPr>
    </w:p>
    <w:p>
      <w:pPr>
        <w:pStyle w:val="12"/>
        <w:rPr>
          <w:rFonts w:hint="eastAsia"/>
        </w:rPr>
      </w:pPr>
    </w:p>
    <w:p>
      <w:pPr>
        <w:tabs>
          <w:tab w:val="left" w:pos="840"/>
        </w:tabs>
        <w:kinsoku w:val="0"/>
        <w:spacing w:line="360" w:lineRule="auto"/>
        <w:rPr>
          <w:rFonts w:hint="eastAsia" w:ascii="宋体" w:hAnsi="宋体" w:cs="宋体"/>
          <w:sz w:val="24"/>
        </w:rPr>
      </w:pPr>
    </w:p>
    <w:p>
      <w:pPr>
        <w:pStyle w:val="3"/>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r>
        <w:rPr>
          <w:rFonts w:hint="eastAsia" w:ascii="宋体" w:hAnsi="宋体" w:cs="宋体"/>
          <w:sz w:val="24"/>
        </w:rPr>
        <w:br w:type="page"/>
      </w:r>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第六部分 投标文件格式</w:t>
      </w:r>
      <w:bookmarkEnd w:id="217"/>
      <w:bookmarkEnd w:id="218"/>
      <w:bookmarkEnd w:id="219"/>
      <w:bookmarkEnd w:id="220"/>
      <w:bookmarkEnd w:id="221"/>
      <w:bookmarkEnd w:id="222"/>
      <w:bookmarkEnd w:id="223"/>
      <w:bookmarkEnd w:id="224"/>
      <w:bookmarkEnd w:id="225"/>
      <w:bookmarkEnd w:id="230"/>
      <w:bookmarkStart w:id="231" w:name="_Toc334522290"/>
    </w:p>
    <w:p>
      <w:pPr>
        <w:pStyle w:val="8"/>
        <w:spacing w:after="120" w:line="520" w:lineRule="exact"/>
        <w:rPr>
          <w:rFonts w:hint="eastAsia" w:asciiTheme="minorEastAsia" w:hAnsiTheme="minorEastAsia" w:eastAsiaTheme="minorEastAsia" w:cstheme="minorEastAsia"/>
          <w:smallCaps w:val="0"/>
          <w:color w:val="000000" w:themeColor="text1"/>
          <w:spacing w:val="0"/>
          <w:sz w:val="24"/>
          <w:szCs w:val="24"/>
          <w:highlight w:val="none"/>
          <w:u w:val="none"/>
          <w:lang w:val="en-US" w:eastAsia="zh-CN"/>
          <w14:textFill>
            <w14:solidFill>
              <w14:schemeClr w14:val="tx1"/>
            </w14:solidFill>
          </w14:textFill>
        </w:rPr>
      </w:pPr>
      <w:bookmarkStart w:id="232" w:name="_Toc347478745"/>
      <w:r>
        <w:rPr>
          <w:rFonts w:hint="eastAsia" w:asciiTheme="minorEastAsia" w:hAnsiTheme="minorEastAsia" w:eastAsiaTheme="minorEastAsia" w:cstheme="minorEastAsia"/>
          <w:smallCaps w:val="0"/>
          <w:color w:val="000000" w:themeColor="text1"/>
          <w:spacing w:val="0"/>
          <w:sz w:val="24"/>
          <w:szCs w:val="24"/>
          <w:highlight w:val="none"/>
          <w:u w:val="none"/>
          <w:lang w:val="en-US" w:eastAsia="zh-CN"/>
          <w14:textFill>
            <w14:solidFill>
              <w14:schemeClr w14:val="tx1"/>
            </w14:solidFill>
          </w14:textFill>
        </w:rPr>
        <w:t>项目编号：</w:t>
      </w:r>
    </w:p>
    <w:p>
      <w:pPr>
        <w:pStyle w:val="8"/>
        <w:spacing w:after="120" w:line="520" w:lineRule="exact"/>
        <w:ind w:firstLine="1440" w:firstLineChars="300"/>
        <w:rPr>
          <w:rFonts w:hint="eastAsia" w:asciiTheme="minorEastAsia" w:hAnsiTheme="minorEastAsia" w:eastAsiaTheme="minorEastAsia" w:cstheme="minorEastAsia"/>
          <w:smallCaps w:val="0"/>
          <w:color w:val="000000" w:themeColor="text1"/>
          <w:spacing w:val="0"/>
          <w:sz w:val="48"/>
          <w:szCs w:val="48"/>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48"/>
          <w:szCs w:val="48"/>
          <w:highlight w:val="none"/>
          <w:u w:val="single"/>
          <w14:textFill>
            <w14:solidFill>
              <w14:schemeClr w14:val="tx1"/>
            </w14:solidFill>
          </w14:textFill>
        </w:rPr>
        <w:t xml:space="preserve">      　　　　　　</w:t>
      </w:r>
      <w:r>
        <w:rPr>
          <w:rFonts w:hint="eastAsia" w:asciiTheme="minorEastAsia" w:hAnsiTheme="minorEastAsia" w:eastAsiaTheme="minorEastAsia" w:cstheme="minorEastAsia"/>
          <w:smallCaps w:val="0"/>
          <w:color w:val="000000" w:themeColor="text1"/>
          <w:spacing w:val="0"/>
          <w:sz w:val="48"/>
          <w:szCs w:val="48"/>
          <w:highlight w:val="none"/>
          <w14:textFill>
            <w14:solidFill>
              <w14:schemeClr w14:val="tx1"/>
            </w14:solidFill>
          </w14:textFill>
        </w:rPr>
        <w:t>项目</w:t>
      </w:r>
    </w:p>
    <w:p>
      <w:pPr>
        <w:spacing w:line="520" w:lineRule="exact"/>
        <w:jc w:val="center"/>
        <w:rPr>
          <w:rFonts w:hint="eastAsia" w:asciiTheme="minorEastAsia" w:hAnsiTheme="minorEastAsia" w:eastAsiaTheme="minorEastAsia" w:cstheme="minorEastAsia"/>
          <w:smallCaps w:val="0"/>
          <w:color w:val="000000" w:themeColor="text1"/>
          <w:spacing w:val="0"/>
          <w:sz w:val="52"/>
          <w:szCs w:val="52"/>
          <w:highlight w:val="none"/>
          <w14:textFill>
            <w14:solidFill>
              <w14:schemeClr w14:val="tx1"/>
            </w14:solidFill>
          </w14:textFill>
        </w:rPr>
      </w:pPr>
    </w:p>
    <w:p>
      <w:pPr>
        <w:spacing w:line="520" w:lineRule="exact"/>
        <w:jc w:val="center"/>
        <w:rPr>
          <w:rFonts w:hint="eastAsia" w:asciiTheme="minorEastAsia" w:hAnsiTheme="minorEastAsia" w:eastAsiaTheme="minorEastAsia" w:cstheme="minorEastAsia"/>
          <w:smallCaps w:val="0"/>
          <w:color w:val="000000" w:themeColor="text1"/>
          <w:spacing w:val="0"/>
          <w:sz w:val="52"/>
          <w:szCs w:val="52"/>
          <w:highlight w:val="none"/>
          <w14:textFill>
            <w14:solidFill>
              <w14:schemeClr w14:val="tx1"/>
            </w14:solidFill>
          </w14:textFill>
        </w:rPr>
      </w:pPr>
    </w:p>
    <w:p>
      <w:pPr>
        <w:pStyle w:val="12"/>
        <w:rPr>
          <w:rFonts w:hint="eastAsia" w:asciiTheme="minorEastAsia" w:hAnsiTheme="minorEastAsia" w:eastAsiaTheme="minorEastAsia" w:cstheme="minorEastAsia"/>
          <w:smallCaps w:val="0"/>
          <w:color w:val="000000" w:themeColor="text1"/>
          <w:spacing w:val="0"/>
          <w:sz w:val="52"/>
          <w:szCs w:val="52"/>
          <w:highlight w:val="none"/>
          <w14:textFill>
            <w14:solidFill>
              <w14:schemeClr w14:val="tx1"/>
            </w14:solidFill>
          </w14:textFill>
        </w:rPr>
      </w:pPr>
    </w:p>
    <w:p>
      <w:pPr>
        <w:pStyle w:val="12"/>
        <w:rPr>
          <w:rFonts w:hint="eastAsia" w:asciiTheme="minorEastAsia" w:hAnsiTheme="minorEastAsia" w:eastAsiaTheme="minorEastAsia" w:cstheme="minorEastAsia"/>
          <w:smallCaps w:val="0"/>
          <w:color w:val="000000" w:themeColor="text1"/>
          <w:spacing w:val="0"/>
          <w:sz w:val="52"/>
          <w:szCs w:val="52"/>
          <w:highlight w:val="none"/>
          <w14:textFill>
            <w14:solidFill>
              <w14:schemeClr w14:val="tx1"/>
            </w14:solidFill>
          </w14:textFill>
        </w:rPr>
      </w:pPr>
    </w:p>
    <w:p>
      <w:pPr>
        <w:spacing w:line="520" w:lineRule="exact"/>
        <w:jc w:val="center"/>
        <w:rPr>
          <w:rFonts w:hint="eastAsia" w:asciiTheme="minorEastAsia" w:hAnsiTheme="minorEastAsia" w:eastAsiaTheme="minorEastAsia" w:cstheme="minorEastAsia"/>
          <w:smallCaps w:val="0"/>
          <w:color w:val="000000" w:themeColor="text1"/>
          <w:spacing w:val="0"/>
          <w:sz w:val="52"/>
          <w:szCs w:val="52"/>
          <w:highlight w:val="none"/>
          <w14:textFill>
            <w14:solidFill>
              <w14:schemeClr w14:val="tx1"/>
            </w14:solidFill>
          </w14:textFill>
        </w:rPr>
      </w:pPr>
    </w:p>
    <w:p>
      <w:pPr>
        <w:spacing w:line="520" w:lineRule="exact"/>
        <w:jc w:val="center"/>
        <w:rPr>
          <w:rFonts w:hint="eastAsia" w:asciiTheme="minorEastAsia" w:hAnsiTheme="minorEastAsia" w:eastAsiaTheme="minorEastAsia" w:cstheme="minorEastAsia"/>
          <w:smallCaps w:val="0"/>
          <w:color w:val="000000" w:themeColor="text1"/>
          <w:spacing w:val="0"/>
          <w:sz w:val="52"/>
          <w:szCs w:val="52"/>
          <w:highlight w:val="none"/>
          <w14:textFill>
            <w14:solidFill>
              <w14:schemeClr w14:val="tx1"/>
            </w14:solidFill>
          </w14:textFill>
        </w:rPr>
      </w:pPr>
    </w:p>
    <w:p>
      <w:pPr>
        <w:spacing w:line="520" w:lineRule="exact"/>
        <w:jc w:val="center"/>
        <w:rPr>
          <w:rFonts w:hint="eastAsia" w:asciiTheme="minorEastAsia" w:hAnsiTheme="minorEastAsia" w:eastAsiaTheme="minorEastAsia" w:cstheme="minorEastAsia"/>
          <w:smallCaps w:val="0"/>
          <w:color w:val="000000" w:themeColor="text1"/>
          <w:spacing w:val="0"/>
          <w:sz w:val="52"/>
          <w:szCs w:val="52"/>
          <w:highlight w:val="none"/>
          <w14:textFill>
            <w14:solidFill>
              <w14:schemeClr w14:val="tx1"/>
            </w14:solidFill>
          </w14:textFill>
        </w:rPr>
      </w:pPr>
    </w:p>
    <w:p>
      <w:pPr>
        <w:spacing w:line="520" w:lineRule="exact"/>
        <w:jc w:val="center"/>
        <w:rPr>
          <w:rFonts w:hint="eastAsia" w:asciiTheme="minorEastAsia" w:hAnsiTheme="minorEastAsia" w:eastAsiaTheme="minorEastAsia" w:cstheme="minorEastAsia"/>
          <w:smallCaps w:val="0"/>
          <w:color w:val="000000" w:themeColor="text1"/>
          <w:spacing w:val="0"/>
          <w:sz w:val="52"/>
          <w:szCs w:val="52"/>
          <w:highlight w:val="none"/>
          <w14:textFill>
            <w14:solidFill>
              <w14:schemeClr w14:val="tx1"/>
            </w14:solidFill>
          </w14:textFill>
        </w:rPr>
      </w:pPr>
    </w:p>
    <w:p>
      <w:pPr>
        <w:spacing w:before="200" w:line="520" w:lineRule="exact"/>
        <w:jc w:val="center"/>
        <w:rPr>
          <w:rFonts w:hint="eastAsia" w:asciiTheme="minorEastAsia" w:hAnsiTheme="minorEastAsia" w:eastAsiaTheme="minorEastAsia" w:cstheme="minorEastAsia"/>
          <w:smallCaps w:val="0"/>
          <w:color w:val="000000" w:themeColor="text1"/>
          <w:spacing w:val="0"/>
          <w:sz w:val="72"/>
          <w:szCs w:val="72"/>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52"/>
          <w:szCs w:val="52"/>
          <w:highlight w:val="none"/>
          <w14:textFill>
            <w14:solidFill>
              <w14:schemeClr w14:val="tx1"/>
            </w14:solidFill>
          </w14:textFill>
        </w:rPr>
        <w:t>投标文件</w:t>
      </w:r>
      <w:r>
        <w:rPr>
          <w:rFonts w:hint="eastAsia" w:asciiTheme="minorEastAsia" w:hAnsiTheme="minorEastAsia" w:eastAsiaTheme="minorEastAsia" w:cstheme="minorEastAsia"/>
          <w:smallCaps w:val="0"/>
          <w:color w:val="000000" w:themeColor="text1"/>
          <w:spacing w:val="0"/>
          <w:sz w:val="72"/>
          <w:szCs w:val="72"/>
          <w:highlight w:val="none"/>
          <w14:textFill>
            <w14:solidFill>
              <w14:schemeClr w14:val="tx1"/>
            </w14:solidFill>
          </w14:textFill>
        </w:rPr>
        <w:t xml:space="preserve"> </w:t>
      </w:r>
    </w:p>
    <w:p>
      <w:pPr>
        <w:pStyle w:val="20"/>
        <w:widowControl/>
        <w:spacing w:before="0" w:beforeAutospacing="0" w:after="0" w:afterAutospacing="0" w:line="520" w:lineRule="exact"/>
        <w:jc w:val="center"/>
        <w:rPr>
          <w:rFonts w:hint="eastAsia" w:asciiTheme="minorEastAsia" w:hAnsiTheme="minorEastAsia" w:eastAsiaTheme="minorEastAsia" w:cstheme="minorEastAsia"/>
          <w:smallCaps w:val="0"/>
          <w:color w:val="000000" w:themeColor="text1"/>
          <w:spacing w:val="0"/>
          <w:sz w:val="28"/>
          <w:szCs w:val="28"/>
          <w:highlight w:val="none"/>
          <w:lang w:eastAsia="zh-CN"/>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8"/>
          <w:szCs w:val="28"/>
          <w:highlight w:val="none"/>
          <w:lang w:eastAsia="zh-CN"/>
          <w14:textFill>
            <w14:solidFill>
              <w14:schemeClr w14:val="tx1"/>
            </w14:solidFill>
          </w14:textFill>
        </w:rPr>
        <w:t>（</w:t>
      </w:r>
      <w:r>
        <w:rPr>
          <w:rFonts w:hint="eastAsia" w:asciiTheme="minorEastAsia" w:hAnsiTheme="minorEastAsia" w:eastAsiaTheme="minorEastAsia" w:cstheme="minorEastAsia"/>
          <w:smallCaps w:val="0"/>
          <w:color w:val="000000" w:themeColor="text1"/>
          <w:spacing w:val="0"/>
          <w:sz w:val="28"/>
          <w:szCs w:val="28"/>
          <w:highlight w:val="none"/>
          <w:lang w:val="en-US" w:eastAsia="zh-CN"/>
          <w14:textFill>
            <w14:solidFill>
              <w14:schemeClr w14:val="tx1"/>
            </w14:solidFill>
          </w14:textFill>
        </w:rPr>
        <w:t>正本/副本</w:t>
      </w:r>
      <w:r>
        <w:rPr>
          <w:rFonts w:hint="eastAsia" w:asciiTheme="minorEastAsia" w:hAnsiTheme="minorEastAsia" w:eastAsiaTheme="minorEastAsia" w:cstheme="minorEastAsia"/>
          <w:smallCaps w:val="0"/>
          <w:color w:val="000000" w:themeColor="text1"/>
          <w:spacing w:val="0"/>
          <w:sz w:val="28"/>
          <w:szCs w:val="28"/>
          <w:highlight w:val="none"/>
          <w:lang w:eastAsia="zh-CN"/>
          <w14:textFill>
            <w14:solidFill>
              <w14:schemeClr w14:val="tx1"/>
            </w14:solidFill>
          </w14:textFill>
        </w:rPr>
        <w:t>）</w:t>
      </w:r>
    </w:p>
    <w:p>
      <w:pPr>
        <w:pStyle w:val="15"/>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p>
    <w:p>
      <w:pPr>
        <w:spacing w:line="520" w:lineRule="exact"/>
        <w:rPr>
          <w:rFonts w:hint="eastAsia" w:asciiTheme="minorEastAsia" w:hAnsiTheme="minorEastAsia" w:eastAsiaTheme="minorEastAsia" w:cstheme="minorEastAsia"/>
          <w:smallCaps w:val="0"/>
          <w:color w:val="000000" w:themeColor="text1"/>
          <w:spacing w:val="0"/>
          <w:sz w:val="32"/>
          <w:highlight w:val="none"/>
          <w14:textFill>
            <w14:solidFill>
              <w14:schemeClr w14:val="tx1"/>
            </w14:solidFill>
          </w14:textFill>
        </w:rPr>
      </w:pPr>
    </w:p>
    <w:p>
      <w:pPr>
        <w:spacing w:line="520" w:lineRule="exact"/>
        <w:rPr>
          <w:rFonts w:hint="eastAsia" w:asciiTheme="minorEastAsia" w:hAnsiTheme="minorEastAsia" w:eastAsiaTheme="minorEastAsia" w:cstheme="minorEastAsia"/>
          <w:smallCaps w:val="0"/>
          <w:color w:val="000000" w:themeColor="text1"/>
          <w:spacing w:val="0"/>
          <w:sz w:val="32"/>
          <w:highlight w:val="none"/>
          <w14:textFill>
            <w14:solidFill>
              <w14:schemeClr w14:val="tx1"/>
            </w14:solidFill>
          </w14:textFill>
        </w:rPr>
      </w:pPr>
    </w:p>
    <w:p>
      <w:pPr>
        <w:spacing w:line="520" w:lineRule="exact"/>
        <w:rPr>
          <w:rFonts w:hint="eastAsia" w:asciiTheme="minorEastAsia" w:hAnsiTheme="minorEastAsia" w:eastAsiaTheme="minorEastAsia" w:cstheme="minorEastAsia"/>
          <w:smallCaps w:val="0"/>
          <w:color w:val="000000" w:themeColor="text1"/>
          <w:spacing w:val="0"/>
          <w:sz w:val="28"/>
          <w:highlight w:val="none"/>
          <w14:textFill>
            <w14:solidFill>
              <w14:schemeClr w14:val="tx1"/>
            </w14:solidFill>
          </w14:textFill>
        </w:rPr>
      </w:pPr>
    </w:p>
    <w:p>
      <w:pPr>
        <w:spacing w:line="520" w:lineRule="exact"/>
        <w:rPr>
          <w:rFonts w:hint="eastAsia" w:asciiTheme="minorEastAsia" w:hAnsiTheme="minorEastAsia" w:eastAsiaTheme="minorEastAsia" w:cstheme="minorEastAsia"/>
          <w:smallCaps w:val="0"/>
          <w:color w:val="000000" w:themeColor="text1"/>
          <w:spacing w:val="0"/>
          <w:sz w:val="28"/>
          <w:highlight w:val="none"/>
          <w14:textFill>
            <w14:solidFill>
              <w14:schemeClr w14:val="tx1"/>
            </w14:solidFill>
          </w14:textFill>
        </w:rPr>
      </w:pPr>
    </w:p>
    <w:p>
      <w:pPr>
        <w:spacing w:line="520" w:lineRule="exact"/>
        <w:rPr>
          <w:rFonts w:hint="eastAsia" w:asciiTheme="minorEastAsia" w:hAnsiTheme="minorEastAsia" w:eastAsiaTheme="minorEastAsia" w:cstheme="minorEastAsia"/>
          <w:smallCaps w:val="0"/>
          <w:color w:val="000000" w:themeColor="text1"/>
          <w:spacing w:val="0"/>
          <w:sz w:val="28"/>
          <w:highlight w:val="none"/>
          <w14:textFill>
            <w14:solidFill>
              <w14:schemeClr w14:val="tx1"/>
            </w14:solidFill>
          </w14:textFill>
        </w:rPr>
      </w:pPr>
    </w:p>
    <w:p>
      <w:pPr>
        <w:spacing w:line="520" w:lineRule="exact"/>
        <w:jc w:val="left"/>
        <w:rPr>
          <w:rFonts w:hint="eastAsia" w:asciiTheme="minorEastAsia" w:hAnsiTheme="minorEastAsia" w:eastAsiaTheme="minorEastAsia" w:cstheme="minorEastAsia"/>
          <w:smallCaps w:val="0"/>
          <w:color w:val="000000" w:themeColor="text1"/>
          <w:spacing w:val="0"/>
          <w:sz w:val="28"/>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8"/>
          <w:highlight w:val="none"/>
          <w14:textFill>
            <w14:solidFill>
              <w14:schemeClr w14:val="tx1"/>
            </w14:solidFill>
          </w14:textFill>
        </w:rPr>
        <w:t>　　　　</w:t>
      </w:r>
    </w:p>
    <w:p>
      <w:pPr>
        <w:spacing w:line="520" w:lineRule="exact"/>
        <w:jc w:val="left"/>
        <w:rPr>
          <w:rFonts w:hint="eastAsia" w:asciiTheme="minorEastAsia" w:hAnsiTheme="minorEastAsia" w:eastAsiaTheme="minorEastAsia" w:cstheme="minorEastAsia"/>
          <w:smallCaps w:val="0"/>
          <w:color w:val="000000" w:themeColor="text1"/>
          <w:spacing w:val="0"/>
          <w:sz w:val="28"/>
          <w:highlight w:val="none"/>
          <w14:textFill>
            <w14:solidFill>
              <w14:schemeClr w14:val="tx1"/>
            </w14:solidFill>
          </w14:textFill>
        </w:rPr>
      </w:pPr>
    </w:p>
    <w:p>
      <w:pPr>
        <w:spacing w:line="520" w:lineRule="exact"/>
        <w:jc w:val="left"/>
        <w:rPr>
          <w:rFonts w:hint="eastAsia" w:asciiTheme="minorEastAsia" w:hAnsiTheme="minorEastAsia" w:eastAsiaTheme="minorEastAsia" w:cstheme="minorEastAsia"/>
          <w:smallCaps w:val="0"/>
          <w:color w:val="000000" w:themeColor="text1"/>
          <w:spacing w:val="0"/>
          <w:sz w:val="28"/>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exact"/>
        <w:ind w:firstLine="1200" w:firstLineChars="400"/>
        <w:jc w:val="left"/>
        <w:textAlignment w:val="auto"/>
        <w:rPr>
          <w:rFonts w:hint="eastAsia" w:asciiTheme="minorEastAsia" w:hAnsiTheme="minorEastAsia" w:eastAsiaTheme="minorEastAsia" w:cstheme="minorEastAsia"/>
          <w:smallCaps w:val="0"/>
          <w:color w:val="000000" w:themeColor="text1"/>
          <w:spacing w:val="0"/>
          <w:sz w:val="30"/>
          <w:szCs w:val="30"/>
          <w:highlight w:val="none"/>
          <w:u w:val="singl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30"/>
          <w:szCs w:val="30"/>
          <w:highlight w:val="none"/>
          <w14:textFill>
            <w14:solidFill>
              <w14:schemeClr w14:val="tx1"/>
            </w14:solidFill>
          </w14:textFill>
        </w:rPr>
        <w:t>供应商</w:t>
      </w:r>
      <w:r>
        <w:rPr>
          <w:rFonts w:hint="eastAsia" w:asciiTheme="minorEastAsia" w:hAnsiTheme="minorEastAsia" w:eastAsiaTheme="minorEastAsia" w:cstheme="minorEastAsia"/>
          <w:smallCaps w:val="0"/>
          <w:color w:val="000000" w:themeColor="text1"/>
          <w:spacing w:val="0"/>
          <w:sz w:val="30"/>
          <w:szCs w:val="30"/>
          <w:highlight w:val="none"/>
          <w:lang w:val="en-US" w:eastAsia="zh-CN"/>
          <w14:textFill>
            <w14:solidFill>
              <w14:schemeClr w14:val="tx1"/>
            </w14:solidFill>
          </w14:textFill>
        </w:rPr>
        <w:t>名称</w:t>
      </w:r>
      <w:r>
        <w:rPr>
          <w:rFonts w:hint="eastAsia" w:asciiTheme="minorEastAsia" w:hAnsiTheme="minorEastAsia" w:eastAsiaTheme="minorEastAsia" w:cstheme="minorEastAsia"/>
          <w:smallCaps w:val="0"/>
          <w:color w:val="000000" w:themeColor="text1"/>
          <w:spacing w:val="0"/>
          <w:sz w:val="30"/>
          <w:szCs w:val="30"/>
          <w:highlight w:val="none"/>
          <w14:textFill>
            <w14:solidFill>
              <w14:schemeClr w14:val="tx1"/>
            </w14:solidFill>
          </w14:textFill>
        </w:rPr>
        <w:t>：</w:t>
      </w:r>
      <w:r>
        <w:rPr>
          <w:rFonts w:hint="eastAsia" w:asciiTheme="minorEastAsia" w:hAnsiTheme="minorEastAsia" w:eastAsiaTheme="minorEastAsia" w:cstheme="minorEastAsia"/>
          <w:smallCaps w:val="0"/>
          <w:color w:val="000000" w:themeColor="text1"/>
          <w:spacing w:val="0"/>
          <w:sz w:val="30"/>
          <w:szCs w:val="30"/>
          <w:highlight w:val="none"/>
          <w:u w:val="single"/>
          <w14:textFill>
            <w14:solidFill>
              <w14:schemeClr w14:val="tx1"/>
            </w14:solidFill>
          </w14:textFill>
        </w:rPr>
        <w:t xml:space="preserve">           </w:t>
      </w:r>
      <w:r>
        <w:rPr>
          <w:rFonts w:hint="eastAsia" w:asciiTheme="minorEastAsia" w:hAnsiTheme="minorEastAsia" w:eastAsiaTheme="minorEastAsia" w:cstheme="minorEastAsia"/>
          <w:smallCaps w:val="0"/>
          <w:color w:val="000000" w:themeColor="text1"/>
          <w:spacing w:val="0"/>
          <w:sz w:val="30"/>
          <w:szCs w:val="30"/>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smallCaps w:val="0"/>
          <w:color w:val="000000" w:themeColor="text1"/>
          <w:spacing w:val="0"/>
          <w:sz w:val="30"/>
          <w:szCs w:val="30"/>
          <w:highlight w:val="none"/>
          <w:u w:val="single"/>
          <w14:textFill>
            <w14:solidFill>
              <w14:schemeClr w14:val="tx1"/>
            </w14:solidFill>
          </w14:textFill>
        </w:rPr>
        <w:t xml:space="preserve"> (</w:t>
      </w:r>
      <w:r>
        <w:rPr>
          <w:rFonts w:hint="eastAsia" w:asciiTheme="minorEastAsia" w:hAnsiTheme="minorEastAsia" w:eastAsiaTheme="minorEastAsia" w:cstheme="minorEastAsia"/>
          <w:smallCaps w:val="0"/>
          <w:color w:val="000000" w:themeColor="text1"/>
          <w:spacing w:val="0"/>
          <w:sz w:val="30"/>
          <w:szCs w:val="30"/>
          <w:highlight w:val="none"/>
          <w:u w:val="single"/>
          <w:lang w:val="en-US" w:eastAsia="zh-CN"/>
          <w14:textFill>
            <w14:solidFill>
              <w14:schemeClr w14:val="tx1"/>
            </w14:solidFill>
          </w14:textFill>
        </w:rPr>
        <w:t>加盖公</w:t>
      </w:r>
      <w:r>
        <w:rPr>
          <w:rFonts w:hint="eastAsia" w:asciiTheme="minorEastAsia" w:hAnsiTheme="minorEastAsia" w:eastAsiaTheme="minorEastAsia" w:cstheme="minorEastAsia"/>
          <w:smallCaps w:val="0"/>
          <w:color w:val="000000" w:themeColor="text1"/>
          <w:spacing w:val="0"/>
          <w:sz w:val="30"/>
          <w:szCs w:val="30"/>
          <w:highlight w:val="none"/>
          <w:u w:val="single"/>
          <w14:textFill>
            <w14:solidFill>
              <w14:schemeClr w14:val="tx1"/>
            </w14:solidFill>
          </w14:textFill>
        </w:rPr>
        <w:t>章）</w:t>
      </w:r>
    </w:p>
    <w:p>
      <w:pPr>
        <w:keepNext w:val="0"/>
        <w:keepLines w:val="0"/>
        <w:pageBreakBefore w:val="0"/>
        <w:widowControl w:val="0"/>
        <w:kinsoku/>
        <w:wordWrap/>
        <w:overflowPunct/>
        <w:topLinePunct w:val="0"/>
        <w:autoSpaceDE/>
        <w:autoSpaceDN/>
        <w:bidi w:val="0"/>
        <w:adjustRightInd/>
        <w:snapToGrid/>
        <w:spacing w:line="600" w:lineRule="exact"/>
        <w:ind w:firstLine="1200" w:firstLineChars="400"/>
        <w:jc w:val="left"/>
        <w:textAlignment w:val="auto"/>
        <w:rPr>
          <w:rFonts w:hint="eastAsia" w:asciiTheme="minorEastAsia" w:hAnsiTheme="minorEastAsia" w:eastAsiaTheme="minorEastAsia" w:cstheme="minorEastAsia"/>
          <w:smallCaps w:val="0"/>
          <w:color w:val="000000" w:themeColor="text1"/>
          <w:spacing w:val="0"/>
          <w:sz w:val="30"/>
          <w:szCs w:val="30"/>
          <w:highlight w:val="none"/>
          <w:u w:val="singl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30"/>
          <w:szCs w:val="30"/>
          <w:highlight w:val="none"/>
          <w14:textFill>
            <w14:solidFill>
              <w14:schemeClr w14:val="tx1"/>
            </w14:solidFill>
          </w14:textFill>
        </w:rPr>
        <w:t>法定代表人（</w:t>
      </w:r>
      <w:r>
        <w:rPr>
          <w:rFonts w:hint="eastAsia" w:asciiTheme="minorEastAsia" w:hAnsiTheme="minorEastAsia" w:eastAsiaTheme="minorEastAsia" w:cstheme="minorEastAsia"/>
          <w:smallCaps w:val="0"/>
          <w:color w:val="000000" w:themeColor="text1"/>
          <w:spacing w:val="0"/>
          <w:sz w:val="30"/>
          <w:szCs w:val="30"/>
          <w:highlight w:val="none"/>
          <w:lang w:val="en-US" w:eastAsia="zh-CN"/>
          <w14:textFill>
            <w14:solidFill>
              <w14:schemeClr w14:val="tx1"/>
            </w14:solidFill>
          </w14:textFill>
        </w:rPr>
        <w:t>或</w:t>
      </w:r>
      <w:r>
        <w:rPr>
          <w:rFonts w:hint="eastAsia" w:asciiTheme="minorEastAsia" w:hAnsiTheme="minorEastAsia" w:eastAsiaTheme="minorEastAsia" w:cstheme="minorEastAsia"/>
          <w:smallCaps w:val="0"/>
          <w:color w:val="000000" w:themeColor="text1"/>
          <w:spacing w:val="0"/>
          <w:sz w:val="30"/>
          <w:szCs w:val="30"/>
          <w:highlight w:val="none"/>
          <w14:textFill>
            <w14:solidFill>
              <w14:schemeClr w14:val="tx1"/>
            </w14:solidFill>
          </w14:textFill>
        </w:rPr>
        <w:t>被授权人）：</w:t>
      </w:r>
      <w:r>
        <w:rPr>
          <w:rFonts w:hint="eastAsia" w:asciiTheme="minorEastAsia" w:hAnsiTheme="minorEastAsia" w:eastAsiaTheme="minorEastAsia" w:cstheme="minorEastAsia"/>
          <w:smallCaps w:val="0"/>
          <w:color w:val="000000" w:themeColor="text1"/>
          <w:spacing w:val="0"/>
          <w:sz w:val="30"/>
          <w:szCs w:val="30"/>
          <w:highlight w:val="none"/>
          <w:u w:val="single"/>
          <w14:textFill>
            <w14:solidFill>
              <w14:schemeClr w14:val="tx1"/>
            </w14:solidFill>
          </w14:textFill>
        </w:rPr>
        <w:t>　</w:t>
      </w:r>
      <w:r>
        <w:rPr>
          <w:rFonts w:hint="eastAsia" w:asciiTheme="minorEastAsia" w:hAnsiTheme="minorEastAsia" w:eastAsiaTheme="minorEastAsia" w:cstheme="minorEastAsia"/>
          <w:smallCaps w:val="0"/>
          <w:color w:val="000000" w:themeColor="text1"/>
          <w:spacing w:val="0"/>
          <w:sz w:val="30"/>
          <w:szCs w:val="30"/>
          <w:highlight w:val="none"/>
          <w:u w:val="single"/>
          <w:lang w:eastAsia="zh-CN"/>
          <w14:textFill>
            <w14:solidFill>
              <w14:schemeClr w14:val="tx1"/>
            </w14:solidFill>
          </w14:textFill>
        </w:rPr>
        <w:t>（</w:t>
      </w:r>
      <w:r>
        <w:rPr>
          <w:rFonts w:hint="eastAsia" w:asciiTheme="minorEastAsia" w:hAnsiTheme="minorEastAsia" w:eastAsiaTheme="minorEastAsia" w:cstheme="minorEastAsia"/>
          <w:smallCaps w:val="0"/>
          <w:color w:val="000000" w:themeColor="text1"/>
          <w:spacing w:val="0"/>
          <w:sz w:val="30"/>
          <w:szCs w:val="30"/>
          <w:highlight w:val="none"/>
          <w:u w:val="single"/>
          <w:lang w:val="en-US" w:eastAsia="zh-CN"/>
          <w14:textFill>
            <w14:solidFill>
              <w14:schemeClr w14:val="tx1"/>
            </w14:solidFill>
          </w14:textFill>
        </w:rPr>
        <w:t>签字或盖章</w:t>
      </w:r>
      <w:r>
        <w:rPr>
          <w:rFonts w:hint="eastAsia" w:asciiTheme="minorEastAsia" w:hAnsiTheme="minorEastAsia" w:eastAsiaTheme="minorEastAsia" w:cstheme="minorEastAsia"/>
          <w:smallCaps w:val="0"/>
          <w:color w:val="000000" w:themeColor="text1"/>
          <w:spacing w:val="0"/>
          <w:sz w:val="30"/>
          <w:szCs w:val="30"/>
          <w:highlight w:val="none"/>
          <w:u w:val="single"/>
          <w:lang w:eastAsia="zh-CN"/>
          <w14:textFill>
            <w14:solidFill>
              <w14:schemeClr w14:val="tx1"/>
            </w14:solidFill>
          </w14:textFill>
        </w:rPr>
        <w:t>）</w:t>
      </w:r>
    </w:p>
    <w:p>
      <w:pPr>
        <w:pStyle w:val="3"/>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30"/>
          <w:szCs w:val="30"/>
          <w:highlight w:val="none"/>
          <w14:textFill>
            <w14:solidFill>
              <w14:schemeClr w14:val="tx1"/>
            </w14:solidFill>
          </w14:textFill>
        </w:rPr>
        <w:t>二〇二</w:t>
      </w:r>
      <w:r>
        <w:rPr>
          <w:rFonts w:hint="eastAsia" w:asciiTheme="minorEastAsia" w:hAnsiTheme="minorEastAsia" w:eastAsiaTheme="minorEastAsia" w:cstheme="minorEastAsia"/>
          <w:smallCaps w:val="0"/>
          <w:color w:val="000000" w:themeColor="text1"/>
          <w:spacing w:val="0"/>
          <w:sz w:val="30"/>
          <w:szCs w:val="30"/>
          <w:highlight w:val="none"/>
          <w:lang w:val="en-US" w:eastAsia="zh-CN"/>
          <w14:textFill>
            <w14:solidFill>
              <w14:schemeClr w14:val="tx1"/>
            </w14:solidFill>
          </w14:textFill>
        </w:rPr>
        <w:t>一</w:t>
      </w:r>
      <w:r>
        <w:rPr>
          <w:rFonts w:hint="eastAsia" w:asciiTheme="minorEastAsia" w:hAnsiTheme="minorEastAsia" w:eastAsiaTheme="minorEastAsia" w:cstheme="minorEastAsia"/>
          <w:smallCaps w:val="0"/>
          <w:color w:val="000000" w:themeColor="text1"/>
          <w:spacing w:val="0"/>
          <w:sz w:val="30"/>
          <w:szCs w:val="30"/>
          <w:highlight w:val="none"/>
          <w14:textFill>
            <w14:solidFill>
              <w14:schemeClr w14:val="tx1"/>
            </w14:solidFill>
          </w14:textFill>
        </w:rPr>
        <w:t>年  月  日</w:t>
      </w:r>
      <w:r>
        <w:rPr>
          <w:rFonts w:hint="eastAsia" w:asciiTheme="minorEastAsia" w:hAnsiTheme="minorEastAsia" w:eastAsiaTheme="minorEastAsia" w:cstheme="minorEastAsia"/>
          <w:smallCaps w:val="0"/>
          <w:color w:val="000000" w:themeColor="text1"/>
          <w:spacing w:val="0"/>
          <w:sz w:val="28"/>
          <w:highlight w:val="none"/>
          <w14:textFill>
            <w14:solidFill>
              <w14:schemeClr w14:val="tx1"/>
            </w14:solidFill>
          </w14:textFill>
        </w:rPr>
        <w:br w:type="page"/>
      </w:r>
      <w:bookmarkStart w:id="233" w:name="_Toc70"/>
      <w:bookmarkStart w:id="234" w:name="_Toc23593"/>
      <w:r>
        <w:rPr>
          <w:rFonts w:hint="eastAsia" w:asciiTheme="minorEastAsia" w:hAnsiTheme="minorEastAsia" w:eastAsiaTheme="minorEastAsia" w:cstheme="minorEastAsia"/>
          <w:b/>
          <w:bCs/>
          <w:smallCaps w:val="0"/>
          <w:color w:val="000000" w:themeColor="text1"/>
          <w:spacing w:val="0"/>
          <w:highlight w:val="none"/>
          <w14:textFill>
            <w14:solidFill>
              <w14:schemeClr w14:val="tx1"/>
            </w14:solidFill>
          </w14:textFill>
        </w:rPr>
        <w:t>一、投标</w:t>
      </w:r>
      <w:bookmarkEnd w:id="231"/>
      <w:bookmarkEnd w:id="232"/>
      <w:bookmarkEnd w:id="233"/>
      <w:r>
        <w:rPr>
          <w:rFonts w:hint="eastAsia" w:asciiTheme="minorEastAsia" w:hAnsiTheme="minorEastAsia" w:eastAsiaTheme="minorEastAsia" w:cstheme="minorEastAsia"/>
          <w:b/>
          <w:bCs/>
          <w:smallCaps w:val="0"/>
          <w:color w:val="000000" w:themeColor="text1"/>
          <w:spacing w:val="0"/>
          <w:highlight w:val="none"/>
          <w14:textFill>
            <w14:solidFill>
              <w14:schemeClr w14:val="tx1"/>
            </w14:solidFill>
          </w14:textFill>
        </w:rPr>
        <w:t>函</w:t>
      </w:r>
      <w:bookmarkEnd w:id="234"/>
    </w:p>
    <w:tbl>
      <w:tblPr>
        <w:tblStyle w:val="23"/>
        <w:tblW w:w="8474" w:type="dxa"/>
        <w:jc w:val="center"/>
        <w:tblLayout w:type="fixed"/>
        <w:tblCellMar>
          <w:top w:w="0" w:type="dxa"/>
          <w:left w:w="108" w:type="dxa"/>
          <w:bottom w:w="0" w:type="dxa"/>
          <w:right w:w="108" w:type="dxa"/>
        </w:tblCellMar>
      </w:tblPr>
      <w:tblGrid>
        <w:gridCol w:w="779"/>
        <w:gridCol w:w="577"/>
        <w:gridCol w:w="1385"/>
        <w:gridCol w:w="411"/>
        <w:gridCol w:w="1580"/>
        <w:gridCol w:w="381"/>
        <w:gridCol w:w="925"/>
        <w:gridCol w:w="214"/>
        <w:gridCol w:w="2222"/>
      </w:tblGrid>
      <w:tr>
        <w:tblPrEx>
          <w:tblCellMar>
            <w:top w:w="0" w:type="dxa"/>
            <w:left w:w="108" w:type="dxa"/>
            <w:bottom w:w="0" w:type="dxa"/>
            <w:right w:w="108" w:type="dxa"/>
          </w:tblCellMar>
        </w:tblPrEx>
        <w:trPr>
          <w:trHeight w:val="340" w:hRule="atLeast"/>
          <w:jc w:val="center"/>
        </w:trPr>
        <w:tc>
          <w:tcPr>
            <w:tcW w:w="8474" w:type="dxa"/>
            <w:gridSpan w:val="9"/>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bookmarkStart w:id="235" w:name="_Toc312789403"/>
            <w:bookmarkStart w:id="236" w:name="_Toc311415657"/>
            <w:bookmarkStart w:id="237" w:name="_Toc347478746"/>
            <w:bookmarkStart w:id="238" w:name="_Toc9587"/>
            <w:bookmarkStart w:id="239" w:name="_Toc283240496"/>
            <w:bookmarkStart w:id="240" w:name="_Toc283626511"/>
            <w:bookmarkStart w:id="241" w:name="_Toc334522291"/>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致：</w:t>
            </w:r>
            <w:r>
              <w:rPr>
                <w:rFonts w:hint="eastAsia" w:asciiTheme="minorEastAsia" w:hAnsiTheme="minorEastAsia" w:eastAsiaTheme="minorEastAsia" w:cstheme="minorEastAsia"/>
                <w:bCs/>
                <w:i w:val="0"/>
                <w:iCs w:val="0"/>
                <w:smallCaps w:val="0"/>
                <w:color w:val="000000" w:themeColor="text1"/>
                <w:spacing w:val="0"/>
                <w:sz w:val="24"/>
                <w:szCs w:val="24"/>
                <w:highlight w:val="none"/>
                <w:u w:val="none"/>
                <w:lang w:val="en-US" w:eastAsia="zh-CN"/>
                <w14:textFill>
                  <w14:solidFill>
                    <w14:schemeClr w14:val="tx1"/>
                  </w14:solidFill>
                </w14:textFill>
              </w:rPr>
              <w:t>延川县教育科技体育局</w:t>
            </w:r>
            <w:r>
              <w:rPr>
                <w:rFonts w:hint="eastAsia" w:asciiTheme="minorEastAsia" w:hAnsiTheme="minorEastAsia" w:eastAsiaTheme="minorEastAsia" w:cstheme="minorEastAsia"/>
                <w:bCs/>
                <w:i w:val="0"/>
                <w:iCs w:val="0"/>
                <w:smallCaps w:val="0"/>
                <w:color w:val="000000" w:themeColor="text1"/>
                <w:spacing w:val="0"/>
                <w:sz w:val="24"/>
                <w:szCs w:val="24"/>
                <w:highlight w:val="none"/>
                <w:u w:val="none"/>
                <w14:textFill>
                  <w14:solidFill>
                    <w14:schemeClr w14:val="tx1"/>
                  </w14:solidFill>
                </w14:textFill>
              </w:rPr>
              <w:t xml:space="preserve"> </w:t>
            </w:r>
          </w:p>
        </w:tc>
      </w:tr>
      <w:tr>
        <w:tblPrEx>
          <w:tblCellMar>
            <w:top w:w="0" w:type="dxa"/>
            <w:left w:w="108" w:type="dxa"/>
            <w:bottom w:w="0" w:type="dxa"/>
            <w:right w:w="108" w:type="dxa"/>
          </w:tblCellMar>
        </w:tblPrEx>
        <w:trPr>
          <w:trHeight w:val="510" w:hRule="atLeast"/>
          <w:jc w:val="center"/>
        </w:trPr>
        <w:tc>
          <w:tcPr>
            <w:tcW w:w="779" w:type="dxa"/>
            <w:vMerge w:val="restart"/>
            <w:tcBorders>
              <w:top w:val="single" w:color="auto" w:sz="4" w:space="0"/>
              <w:left w:val="single" w:color="auto" w:sz="4" w:space="0"/>
              <w:bottom w:val="single" w:color="auto" w:sz="4" w:space="0"/>
              <w:right w:val="single" w:color="auto" w:sz="4" w:space="0"/>
            </w:tcBorders>
            <w:vAlign w:val="center"/>
          </w:tcPr>
          <w:p>
            <w:pPr>
              <w:tabs>
                <w:tab w:val="left" w:pos="1260"/>
              </w:tabs>
              <w:spacing w:line="30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企 业 法 人</w:t>
            </w:r>
          </w:p>
        </w:tc>
        <w:tc>
          <w:tcPr>
            <w:tcW w:w="196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企业名称</w:t>
            </w:r>
          </w:p>
        </w:tc>
        <w:tc>
          <w:tcPr>
            <w:tcW w:w="5733" w:type="dxa"/>
            <w:gridSpan w:val="6"/>
            <w:tcBorders>
              <w:top w:val="single" w:color="auto" w:sz="4" w:space="0"/>
              <w:left w:val="single" w:color="auto" w:sz="4" w:space="0"/>
              <w:bottom w:val="single" w:color="auto" w:sz="4" w:space="0"/>
              <w:right w:val="single" w:color="auto" w:sz="4" w:space="0"/>
            </w:tcBorders>
          </w:tcPr>
          <w:p>
            <w:pPr>
              <w:tabs>
                <w:tab w:val="left" w:pos="1260"/>
              </w:tabs>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510" w:hRule="atLeast"/>
          <w:jc w:val="center"/>
        </w:trPr>
        <w:tc>
          <w:tcPr>
            <w:tcW w:w="779"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96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法定地址</w:t>
            </w:r>
          </w:p>
        </w:tc>
        <w:tc>
          <w:tcPr>
            <w:tcW w:w="5733" w:type="dxa"/>
            <w:gridSpan w:val="6"/>
            <w:tcBorders>
              <w:top w:val="single" w:color="auto" w:sz="4" w:space="0"/>
              <w:left w:val="single" w:color="auto" w:sz="4" w:space="0"/>
              <w:bottom w:val="single" w:color="auto" w:sz="4" w:space="0"/>
              <w:right w:val="single" w:color="auto" w:sz="4" w:space="0"/>
            </w:tcBorders>
          </w:tcPr>
          <w:p>
            <w:pPr>
              <w:tabs>
                <w:tab w:val="left" w:pos="1260"/>
              </w:tabs>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510" w:hRule="atLeast"/>
          <w:jc w:val="center"/>
        </w:trPr>
        <w:tc>
          <w:tcPr>
            <w:tcW w:w="779"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96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法定代表人</w:t>
            </w:r>
          </w:p>
        </w:tc>
        <w:tc>
          <w:tcPr>
            <w:tcW w:w="2372" w:type="dxa"/>
            <w:gridSpan w:val="3"/>
            <w:tcBorders>
              <w:top w:val="single" w:color="auto" w:sz="4" w:space="0"/>
              <w:left w:val="single" w:color="auto" w:sz="4" w:space="0"/>
              <w:bottom w:val="single" w:color="auto" w:sz="4" w:space="0"/>
              <w:right w:val="single" w:color="auto" w:sz="4" w:space="0"/>
            </w:tcBorders>
          </w:tcPr>
          <w:p>
            <w:pPr>
              <w:tabs>
                <w:tab w:val="left" w:pos="1260"/>
              </w:tabs>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925" w:type="dxa"/>
            <w:tcBorders>
              <w:top w:val="single" w:color="auto" w:sz="4" w:space="0"/>
              <w:left w:val="single" w:color="auto" w:sz="4" w:space="0"/>
              <w:bottom w:val="single" w:color="auto" w:sz="4" w:space="0"/>
              <w:right w:val="single" w:color="auto" w:sz="4" w:space="0"/>
            </w:tcBorders>
            <w:vAlign w:val="center"/>
          </w:tcPr>
          <w:p>
            <w:pPr>
              <w:tabs>
                <w:tab w:val="left" w:pos="1260"/>
              </w:tabs>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职 务</w:t>
            </w:r>
          </w:p>
        </w:tc>
        <w:tc>
          <w:tcPr>
            <w:tcW w:w="2436" w:type="dxa"/>
            <w:gridSpan w:val="2"/>
            <w:tcBorders>
              <w:top w:val="single" w:color="auto" w:sz="4" w:space="0"/>
              <w:left w:val="single" w:color="auto" w:sz="4" w:space="0"/>
              <w:bottom w:val="single" w:color="auto" w:sz="4" w:space="0"/>
              <w:right w:val="single" w:color="auto" w:sz="4" w:space="0"/>
            </w:tcBorders>
          </w:tcPr>
          <w:p>
            <w:pPr>
              <w:tabs>
                <w:tab w:val="left" w:pos="1260"/>
              </w:tabs>
              <w:ind w:firstLine="459"/>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510" w:hRule="atLeast"/>
          <w:jc w:val="center"/>
        </w:trPr>
        <w:tc>
          <w:tcPr>
            <w:tcW w:w="779" w:type="dxa"/>
            <w:vMerge w:val="restart"/>
            <w:tcBorders>
              <w:top w:val="single" w:color="auto" w:sz="4" w:space="0"/>
              <w:left w:val="single" w:color="auto" w:sz="4" w:space="0"/>
              <w:bottom w:val="single" w:color="auto" w:sz="4" w:space="0"/>
              <w:right w:val="single" w:color="auto" w:sz="4" w:space="0"/>
            </w:tcBorders>
            <w:vAlign w:val="center"/>
          </w:tcPr>
          <w:p>
            <w:pPr>
              <w:tabs>
                <w:tab w:val="left" w:pos="1260"/>
              </w:tabs>
              <w:spacing w:line="36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96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项目名称</w:t>
            </w:r>
          </w:p>
        </w:tc>
        <w:tc>
          <w:tcPr>
            <w:tcW w:w="5733" w:type="dxa"/>
            <w:gridSpan w:val="6"/>
            <w:tcBorders>
              <w:top w:val="single" w:color="auto" w:sz="4" w:space="0"/>
              <w:left w:val="single" w:color="auto" w:sz="4" w:space="0"/>
              <w:bottom w:val="single" w:color="auto" w:sz="4" w:space="0"/>
              <w:right w:val="single" w:color="auto" w:sz="4" w:space="0"/>
            </w:tcBorders>
          </w:tcPr>
          <w:p>
            <w:pPr>
              <w:tabs>
                <w:tab w:val="left" w:pos="1260"/>
              </w:tabs>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510" w:hRule="atLeast"/>
          <w:jc w:val="center"/>
        </w:trPr>
        <w:tc>
          <w:tcPr>
            <w:tcW w:w="779"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96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文件编号</w:t>
            </w:r>
          </w:p>
        </w:tc>
        <w:tc>
          <w:tcPr>
            <w:tcW w:w="5733" w:type="dxa"/>
            <w:gridSpan w:val="6"/>
            <w:tcBorders>
              <w:top w:val="single" w:color="auto" w:sz="4" w:space="0"/>
              <w:left w:val="single" w:color="auto" w:sz="4" w:space="0"/>
              <w:bottom w:val="single" w:color="auto" w:sz="4" w:space="0"/>
              <w:right w:val="single" w:color="auto" w:sz="4" w:space="0"/>
            </w:tcBorders>
          </w:tcPr>
          <w:p>
            <w:pPr>
              <w:tabs>
                <w:tab w:val="left" w:pos="1260"/>
              </w:tabs>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510" w:hRule="atLeast"/>
          <w:jc w:val="center"/>
        </w:trPr>
        <w:tc>
          <w:tcPr>
            <w:tcW w:w="779"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96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被授权人</w:t>
            </w:r>
          </w:p>
        </w:tc>
        <w:tc>
          <w:tcPr>
            <w:tcW w:w="2372" w:type="dxa"/>
            <w:gridSpan w:val="3"/>
            <w:tcBorders>
              <w:top w:val="single" w:color="auto" w:sz="4" w:space="0"/>
              <w:left w:val="single" w:color="auto" w:sz="4" w:space="0"/>
              <w:bottom w:val="single" w:color="auto" w:sz="4" w:space="0"/>
              <w:right w:val="single" w:color="auto" w:sz="4" w:space="0"/>
            </w:tcBorders>
          </w:tcPr>
          <w:p>
            <w:pPr>
              <w:tabs>
                <w:tab w:val="left" w:pos="1260"/>
              </w:tabs>
              <w:ind w:firstLine="459"/>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925" w:type="dxa"/>
            <w:tcBorders>
              <w:top w:val="single" w:color="auto" w:sz="4" w:space="0"/>
              <w:left w:val="single" w:color="auto" w:sz="4" w:space="0"/>
              <w:bottom w:val="single" w:color="auto" w:sz="4" w:space="0"/>
              <w:right w:val="single" w:color="auto" w:sz="4" w:space="0"/>
            </w:tcBorders>
            <w:vAlign w:val="center"/>
          </w:tcPr>
          <w:p>
            <w:pPr>
              <w:tabs>
                <w:tab w:val="left" w:pos="1260"/>
              </w:tabs>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职 务</w:t>
            </w:r>
          </w:p>
        </w:tc>
        <w:tc>
          <w:tcPr>
            <w:tcW w:w="2436" w:type="dxa"/>
            <w:gridSpan w:val="2"/>
            <w:tcBorders>
              <w:top w:val="single" w:color="auto" w:sz="4" w:space="0"/>
              <w:left w:val="single" w:color="auto" w:sz="4" w:space="0"/>
              <w:bottom w:val="single" w:color="auto" w:sz="4" w:space="0"/>
              <w:right w:val="single" w:color="auto" w:sz="4" w:space="0"/>
            </w:tcBorders>
          </w:tcPr>
          <w:p>
            <w:pPr>
              <w:tabs>
                <w:tab w:val="left" w:pos="1260"/>
              </w:tabs>
              <w:ind w:firstLine="459"/>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510" w:hRule="atLeast"/>
          <w:jc w:val="center"/>
        </w:trPr>
        <w:tc>
          <w:tcPr>
            <w:tcW w:w="779"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96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递交响应文件</w:t>
            </w:r>
          </w:p>
        </w:tc>
        <w:tc>
          <w:tcPr>
            <w:tcW w:w="5733" w:type="dxa"/>
            <w:gridSpan w:val="6"/>
            <w:tcBorders>
              <w:top w:val="single" w:color="auto" w:sz="4" w:space="0"/>
              <w:left w:val="single" w:color="auto" w:sz="4" w:space="0"/>
              <w:bottom w:val="single" w:color="auto" w:sz="4" w:space="0"/>
              <w:right w:val="single" w:color="auto" w:sz="4" w:space="0"/>
            </w:tcBorders>
            <w:vAlign w:val="center"/>
          </w:tcPr>
          <w:p>
            <w:pPr>
              <w:tabs>
                <w:tab w:val="left" w:pos="1260"/>
              </w:tabs>
              <w:spacing w:line="360" w:lineRule="exact"/>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正本</w:t>
            </w:r>
            <w:r>
              <w:rPr>
                <w:rFonts w:hint="eastAsia" w:asciiTheme="minorEastAsia" w:hAnsiTheme="minorEastAsia" w:eastAsiaTheme="minorEastAsia" w:cstheme="minorEastAsia"/>
                <w:smallCaps w:val="0"/>
                <w:color w:val="000000" w:themeColor="text1"/>
                <w:spacing w:val="0"/>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smallCaps w:val="0"/>
                <w:color w:val="000000" w:themeColor="text1"/>
                <w:spacing w:val="0"/>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smallCaps w:val="0"/>
                <w:color w:val="000000" w:themeColor="text1"/>
                <w:spacing w:val="0"/>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份、副本</w:t>
            </w:r>
            <w:r>
              <w:rPr>
                <w:rFonts w:hint="eastAsia" w:asciiTheme="minorEastAsia" w:hAnsiTheme="minorEastAsia" w:eastAsiaTheme="minorEastAsia" w:cstheme="minorEastAsia"/>
                <w:smallCaps w:val="0"/>
                <w:color w:val="000000" w:themeColor="text1"/>
                <w:spacing w:val="0"/>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smallCaps w:val="0"/>
                <w:color w:val="000000" w:themeColor="text1"/>
                <w:spacing w:val="0"/>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smallCaps w:val="0"/>
                <w:color w:val="000000" w:themeColor="text1"/>
                <w:spacing w:val="0"/>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份</w:t>
            </w:r>
          </w:p>
        </w:tc>
      </w:tr>
      <w:tr>
        <w:tblPrEx>
          <w:tblCellMar>
            <w:top w:w="0" w:type="dxa"/>
            <w:left w:w="108" w:type="dxa"/>
            <w:bottom w:w="0" w:type="dxa"/>
            <w:right w:w="108" w:type="dxa"/>
          </w:tblCellMar>
        </w:tblPrEx>
        <w:trPr>
          <w:trHeight w:val="510" w:hRule="atLeast"/>
          <w:jc w:val="center"/>
        </w:trPr>
        <w:tc>
          <w:tcPr>
            <w:tcW w:w="779"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96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line="30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交纳保证金</w:t>
            </w:r>
          </w:p>
        </w:tc>
        <w:tc>
          <w:tcPr>
            <w:tcW w:w="5733" w:type="dxa"/>
            <w:gridSpan w:val="6"/>
            <w:tcBorders>
              <w:top w:val="single" w:color="auto" w:sz="4" w:space="0"/>
              <w:left w:val="single" w:color="auto" w:sz="4" w:space="0"/>
              <w:bottom w:val="single" w:color="auto" w:sz="4" w:space="0"/>
              <w:right w:val="single" w:color="auto" w:sz="4" w:space="0"/>
            </w:tcBorders>
            <w:vAlign w:val="center"/>
          </w:tcPr>
          <w:p>
            <w:pPr>
              <w:kinsoku w:val="0"/>
              <w:spacing w:line="300" w:lineRule="exact"/>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人民币：</w:t>
            </w:r>
            <w:r>
              <w:rPr>
                <w:rFonts w:hint="eastAsia" w:asciiTheme="minorEastAsia" w:hAnsiTheme="minorEastAsia" w:eastAsiaTheme="minorEastAsia" w:cstheme="minorEastAsia"/>
                <w:smallCaps w:val="0"/>
                <w:color w:val="000000" w:themeColor="text1"/>
                <w:spacing w:val="0"/>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（大写金额）</w:t>
            </w:r>
          </w:p>
        </w:tc>
      </w:tr>
      <w:tr>
        <w:tblPrEx>
          <w:tblCellMar>
            <w:top w:w="0" w:type="dxa"/>
            <w:left w:w="108" w:type="dxa"/>
            <w:bottom w:w="0" w:type="dxa"/>
            <w:right w:w="108" w:type="dxa"/>
          </w:tblCellMar>
        </w:tblPrEx>
        <w:trPr>
          <w:trHeight w:val="340" w:hRule="atLeast"/>
          <w:jc w:val="center"/>
        </w:trPr>
        <w:tc>
          <w:tcPr>
            <w:tcW w:w="779"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7695" w:type="dxa"/>
            <w:gridSpan w:val="8"/>
            <w:tcBorders>
              <w:top w:val="single" w:color="auto" w:sz="4" w:space="0"/>
              <w:left w:val="single" w:color="auto" w:sz="4" w:space="0"/>
              <w:bottom w:val="single" w:color="auto" w:sz="4" w:space="0"/>
              <w:right w:val="single" w:color="auto" w:sz="4" w:space="0"/>
            </w:tcBorders>
            <w:vAlign w:val="center"/>
          </w:tcPr>
          <w:p>
            <w:pPr>
              <w:tabs>
                <w:tab w:val="left" w:pos="1260"/>
              </w:tabs>
              <w:spacing w:line="360" w:lineRule="exact"/>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作为投标人郑重声明：</w:t>
            </w:r>
          </w:p>
        </w:tc>
      </w:tr>
      <w:tr>
        <w:tblPrEx>
          <w:tblCellMar>
            <w:top w:w="0" w:type="dxa"/>
            <w:left w:w="108" w:type="dxa"/>
            <w:bottom w:w="0" w:type="dxa"/>
            <w:right w:w="108" w:type="dxa"/>
          </w:tblCellMar>
        </w:tblPrEx>
        <w:trPr>
          <w:trHeight w:val="257" w:hRule="atLeast"/>
          <w:jc w:val="center"/>
        </w:trPr>
        <w:tc>
          <w:tcPr>
            <w:tcW w:w="779"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577" w:type="dxa"/>
            <w:tcBorders>
              <w:top w:val="single" w:color="auto" w:sz="4" w:space="0"/>
              <w:left w:val="single" w:color="auto" w:sz="4" w:space="0"/>
              <w:bottom w:val="single" w:color="auto" w:sz="4" w:space="0"/>
              <w:right w:val="single" w:color="auto" w:sz="4" w:space="0"/>
            </w:tcBorders>
            <w:vAlign w:val="center"/>
          </w:tcPr>
          <w:p>
            <w:pPr>
              <w:tabs>
                <w:tab w:val="left" w:pos="1260"/>
              </w:tabs>
              <w:spacing w:line="36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A</w:t>
            </w:r>
          </w:p>
        </w:tc>
        <w:tc>
          <w:tcPr>
            <w:tcW w:w="7118" w:type="dxa"/>
            <w:gridSpan w:val="7"/>
            <w:tcBorders>
              <w:top w:val="single" w:color="auto" w:sz="4" w:space="0"/>
              <w:left w:val="single" w:color="auto" w:sz="4" w:space="0"/>
              <w:bottom w:val="single" w:color="auto" w:sz="4" w:space="0"/>
              <w:right w:val="single" w:color="auto" w:sz="4" w:space="0"/>
            </w:tcBorders>
            <w:vAlign w:val="center"/>
          </w:tcPr>
          <w:p>
            <w:pPr>
              <w:tabs>
                <w:tab w:val="left" w:pos="1260"/>
              </w:tabs>
              <w:spacing w:line="300" w:lineRule="exact"/>
              <w:ind w:firstLine="210" w:firstLineChars="100"/>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依据招标文件的内容要求，提供完全满足采购需求的合格产品和全面技术、售后服务保障。</w:t>
            </w:r>
          </w:p>
        </w:tc>
      </w:tr>
      <w:tr>
        <w:tblPrEx>
          <w:tblCellMar>
            <w:top w:w="0" w:type="dxa"/>
            <w:left w:w="108" w:type="dxa"/>
            <w:bottom w:w="0" w:type="dxa"/>
            <w:right w:w="108" w:type="dxa"/>
          </w:tblCellMar>
        </w:tblPrEx>
        <w:trPr>
          <w:trHeight w:val="257" w:hRule="atLeast"/>
          <w:jc w:val="center"/>
        </w:trPr>
        <w:tc>
          <w:tcPr>
            <w:tcW w:w="779"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577" w:type="dxa"/>
            <w:tcBorders>
              <w:top w:val="single" w:color="auto" w:sz="4" w:space="0"/>
              <w:left w:val="single" w:color="auto" w:sz="4" w:space="0"/>
              <w:bottom w:val="single" w:color="auto" w:sz="4" w:space="0"/>
              <w:right w:val="single" w:color="auto" w:sz="4" w:space="0"/>
            </w:tcBorders>
            <w:vAlign w:val="center"/>
          </w:tcPr>
          <w:p>
            <w:pPr>
              <w:tabs>
                <w:tab w:val="left" w:pos="1260"/>
              </w:tabs>
              <w:spacing w:line="36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B</w:t>
            </w:r>
          </w:p>
        </w:tc>
        <w:tc>
          <w:tcPr>
            <w:tcW w:w="7118" w:type="dxa"/>
            <w:gridSpan w:val="7"/>
            <w:tcBorders>
              <w:top w:val="single" w:color="auto" w:sz="4" w:space="0"/>
              <w:left w:val="single" w:color="auto" w:sz="4" w:space="0"/>
              <w:bottom w:val="single" w:color="auto" w:sz="4" w:space="0"/>
              <w:right w:val="single" w:color="auto" w:sz="4" w:space="0"/>
            </w:tcBorders>
            <w:vAlign w:val="center"/>
          </w:tcPr>
          <w:p>
            <w:pPr>
              <w:tabs>
                <w:tab w:val="left" w:pos="1260"/>
              </w:tabs>
              <w:spacing w:line="300" w:lineRule="exact"/>
              <w:ind w:firstLine="210" w:firstLineChars="100"/>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已详细审查全部招标文件包括修改文件（如有）以及全部参考资料和有关附件，我们完全理解并同意放弃对这方面有不明及误解的权利。</w:t>
            </w:r>
          </w:p>
        </w:tc>
      </w:tr>
      <w:tr>
        <w:tblPrEx>
          <w:tblCellMar>
            <w:top w:w="0" w:type="dxa"/>
            <w:left w:w="108" w:type="dxa"/>
            <w:bottom w:w="0" w:type="dxa"/>
            <w:right w:w="108" w:type="dxa"/>
          </w:tblCellMar>
        </w:tblPrEx>
        <w:trPr>
          <w:trHeight w:val="257" w:hRule="atLeast"/>
          <w:jc w:val="center"/>
        </w:trPr>
        <w:tc>
          <w:tcPr>
            <w:tcW w:w="779"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577" w:type="dxa"/>
            <w:tcBorders>
              <w:top w:val="single" w:color="auto" w:sz="4" w:space="0"/>
              <w:left w:val="single" w:color="auto" w:sz="4" w:space="0"/>
              <w:bottom w:val="single" w:color="auto" w:sz="4" w:space="0"/>
              <w:right w:val="single" w:color="auto" w:sz="4" w:space="0"/>
            </w:tcBorders>
            <w:vAlign w:val="center"/>
          </w:tcPr>
          <w:p>
            <w:pPr>
              <w:tabs>
                <w:tab w:val="left" w:pos="1260"/>
              </w:tabs>
              <w:spacing w:line="36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C</w:t>
            </w:r>
          </w:p>
        </w:tc>
        <w:tc>
          <w:tcPr>
            <w:tcW w:w="7118" w:type="dxa"/>
            <w:gridSpan w:val="7"/>
            <w:tcBorders>
              <w:top w:val="single" w:color="auto" w:sz="4" w:space="0"/>
              <w:left w:val="single" w:color="auto" w:sz="4" w:space="0"/>
              <w:bottom w:val="single" w:color="auto" w:sz="4" w:space="0"/>
              <w:right w:val="single" w:color="auto" w:sz="4" w:space="0"/>
            </w:tcBorders>
            <w:vAlign w:val="center"/>
          </w:tcPr>
          <w:p>
            <w:pPr>
              <w:tabs>
                <w:tab w:val="left" w:pos="1260"/>
              </w:tabs>
              <w:spacing w:line="300" w:lineRule="exact"/>
              <w:ind w:firstLine="210" w:firstLineChars="100"/>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同意提供与本次招标采购活动相关的其他任何证据和资料。</w:t>
            </w:r>
          </w:p>
        </w:tc>
      </w:tr>
      <w:tr>
        <w:tblPrEx>
          <w:tblCellMar>
            <w:top w:w="0" w:type="dxa"/>
            <w:left w:w="108" w:type="dxa"/>
            <w:bottom w:w="0" w:type="dxa"/>
            <w:right w:w="108" w:type="dxa"/>
          </w:tblCellMar>
        </w:tblPrEx>
        <w:trPr>
          <w:trHeight w:val="257" w:hRule="atLeast"/>
          <w:jc w:val="center"/>
        </w:trPr>
        <w:tc>
          <w:tcPr>
            <w:tcW w:w="779"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577" w:type="dxa"/>
            <w:tcBorders>
              <w:top w:val="single" w:color="auto" w:sz="4" w:space="0"/>
              <w:left w:val="single" w:color="auto" w:sz="4" w:space="0"/>
              <w:bottom w:val="single" w:color="auto" w:sz="4" w:space="0"/>
              <w:right w:val="single" w:color="auto" w:sz="4" w:space="0"/>
            </w:tcBorders>
            <w:vAlign w:val="center"/>
          </w:tcPr>
          <w:p>
            <w:pPr>
              <w:tabs>
                <w:tab w:val="left" w:pos="1260"/>
              </w:tabs>
              <w:spacing w:line="36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D</w:t>
            </w:r>
          </w:p>
        </w:tc>
        <w:tc>
          <w:tcPr>
            <w:tcW w:w="7118" w:type="dxa"/>
            <w:gridSpan w:val="7"/>
            <w:tcBorders>
              <w:top w:val="single" w:color="auto" w:sz="4" w:space="0"/>
              <w:left w:val="single" w:color="auto" w:sz="4" w:space="0"/>
              <w:bottom w:val="single" w:color="auto" w:sz="4" w:space="0"/>
              <w:right w:val="single" w:color="auto" w:sz="4" w:space="0"/>
            </w:tcBorders>
            <w:vAlign w:val="center"/>
          </w:tcPr>
          <w:p>
            <w:pPr>
              <w:tabs>
                <w:tab w:val="left" w:pos="1260"/>
              </w:tabs>
              <w:spacing w:line="300" w:lineRule="exact"/>
              <w:ind w:firstLine="210" w:firstLineChars="100"/>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完全理解最低投标报价不作为中标的唯一条件，且尊重评标委员会的评审结论及中标结果。</w:t>
            </w:r>
          </w:p>
        </w:tc>
      </w:tr>
      <w:tr>
        <w:tblPrEx>
          <w:tblCellMar>
            <w:top w:w="0" w:type="dxa"/>
            <w:left w:w="108" w:type="dxa"/>
            <w:bottom w:w="0" w:type="dxa"/>
            <w:right w:w="108" w:type="dxa"/>
          </w:tblCellMar>
        </w:tblPrEx>
        <w:trPr>
          <w:trHeight w:val="257" w:hRule="atLeast"/>
          <w:jc w:val="center"/>
        </w:trPr>
        <w:tc>
          <w:tcPr>
            <w:tcW w:w="779"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577" w:type="dxa"/>
            <w:tcBorders>
              <w:top w:val="single" w:color="auto" w:sz="4" w:space="0"/>
              <w:left w:val="single" w:color="auto" w:sz="4" w:space="0"/>
              <w:bottom w:val="single" w:color="auto" w:sz="4" w:space="0"/>
              <w:right w:val="single" w:color="auto" w:sz="4" w:space="0"/>
            </w:tcBorders>
            <w:vAlign w:val="center"/>
          </w:tcPr>
          <w:p>
            <w:pPr>
              <w:tabs>
                <w:tab w:val="left" w:pos="1260"/>
              </w:tabs>
              <w:spacing w:line="36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E</w:t>
            </w:r>
          </w:p>
        </w:tc>
        <w:tc>
          <w:tcPr>
            <w:tcW w:w="7118" w:type="dxa"/>
            <w:gridSpan w:val="7"/>
            <w:tcBorders>
              <w:top w:val="single" w:color="auto" w:sz="4" w:space="0"/>
              <w:left w:val="single" w:color="auto" w:sz="4" w:space="0"/>
              <w:bottom w:val="single" w:color="auto" w:sz="4" w:space="0"/>
              <w:right w:val="single" w:color="auto" w:sz="4" w:space="0"/>
            </w:tcBorders>
            <w:vAlign w:val="center"/>
          </w:tcPr>
          <w:p>
            <w:pPr>
              <w:tabs>
                <w:tab w:val="left" w:pos="1260"/>
              </w:tabs>
              <w:spacing w:line="300" w:lineRule="exact"/>
              <w:ind w:firstLine="210" w:firstLineChars="100"/>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t>如果在规定的宣读报价时间后，供应商在投标有效期内撤回投标，其投标保证金将被贵方没收。</w:t>
            </w:r>
          </w:p>
        </w:tc>
      </w:tr>
      <w:tr>
        <w:tblPrEx>
          <w:tblCellMar>
            <w:top w:w="0" w:type="dxa"/>
            <w:left w:w="108" w:type="dxa"/>
            <w:bottom w:w="0" w:type="dxa"/>
            <w:right w:w="108" w:type="dxa"/>
          </w:tblCellMar>
        </w:tblPrEx>
        <w:trPr>
          <w:trHeight w:val="340" w:hRule="atLeast"/>
          <w:jc w:val="center"/>
        </w:trPr>
        <w:tc>
          <w:tcPr>
            <w:tcW w:w="779"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577" w:type="dxa"/>
            <w:tcBorders>
              <w:top w:val="single" w:color="auto" w:sz="4" w:space="0"/>
              <w:left w:val="single" w:color="auto" w:sz="4" w:space="0"/>
              <w:bottom w:val="single" w:color="auto" w:sz="4" w:space="0"/>
              <w:right w:val="single" w:color="auto" w:sz="4" w:space="0"/>
            </w:tcBorders>
            <w:vAlign w:val="center"/>
          </w:tcPr>
          <w:p>
            <w:pPr>
              <w:tabs>
                <w:tab w:val="left" w:pos="1260"/>
              </w:tabs>
              <w:spacing w:line="36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F</w:t>
            </w:r>
          </w:p>
        </w:tc>
        <w:tc>
          <w:tcPr>
            <w:tcW w:w="7118" w:type="dxa"/>
            <w:gridSpan w:val="7"/>
            <w:tcBorders>
              <w:top w:val="single" w:color="auto" w:sz="4" w:space="0"/>
              <w:left w:val="single" w:color="auto" w:sz="4" w:space="0"/>
              <w:bottom w:val="single" w:color="auto" w:sz="4" w:space="0"/>
              <w:right w:val="single" w:color="auto" w:sz="4" w:space="0"/>
            </w:tcBorders>
            <w:vAlign w:val="center"/>
          </w:tcPr>
          <w:p>
            <w:pPr>
              <w:tabs>
                <w:tab w:val="left" w:pos="1260"/>
              </w:tabs>
              <w:spacing w:line="300" w:lineRule="exact"/>
              <w:ind w:firstLine="205" w:firstLineChars="98"/>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t>本投标函有效期</w:t>
            </w:r>
            <w:r>
              <w:rPr>
                <w:rFonts w:hint="eastAsia" w:asciiTheme="minorEastAsia" w:hAnsiTheme="minorEastAsia" w:eastAsiaTheme="minorEastAsia" w:cstheme="minorEastAsia"/>
                <w:smallCaps w:val="0"/>
                <w:color w:val="000000" w:themeColor="text1"/>
                <w:spacing w:val="0"/>
                <w:szCs w:val="21"/>
                <w:highlight w:val="none"/>
                <w:u w:val="single"/>
                <w14:textFill>
                  <w14:solidFill>
                    <w14:schemeClr w14:val="tx1"/>
                  </w14:solidFill>
                </w14:textFill>
              </w:rPr>
              <w:t xml:space="preserve">二〇  </w:t>
            </w:r>
            <w:r>
              <w:rPr>
                <w:rFonts w:hint="eastAsia" w:asciiTheme="minorEastAsia" w:hAnsiTheme="minorEastAsia" w:eastAsiaTheme="minorEastAsia" w:cstheme="minorEastAsia"/>
                <w:smallCaps w:val="0"/>
                <w:color w:val="000000" w:themeColor="text1"/>
                <w:spacing w:val="0"/>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smallCaps w:val="0"/>
                <w:color w:val="000000" w:themeColor="text1"/>
                <w:spacing w:val="0"/>
                <w:szCs w:val="21"/>
                <w:highlight w:val="none"/>
                <w:u w:val="single"/>
                <w14:textFill>
                  <w14:solidFill>
                    <w14:schemeClr w14:val="tx1"/>
                  </w14:solidFill>
                </w14:textFill>
              </w:rPr>
              <w:t xml:space="preserve">年 </w:t>
            </w:r>
            <w:r>
              <w:rPr>
                <w:rFonts w:hint="eastAsia" w:asciiTheme="minorEastAsia" w:hAnsiTheme="minorEastAsia" w:eastAsiaTheme="minorEastAsia" w:cstheme="minorEastAsia"/>
                <w:smallCaps w:val="0"/>
                <w:color w:val="000000" w:themeColor="text1"/>
                <w:spacing w:val="0"/>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smallCaps w:val="0"/>
                <w:color w:val="000000" w:themeColor="text1"/>
                <w:spacing w:val="0"/>
                <w:szCs w:val="21"/>
                <w:highlight w:val="none"/>
                <w:u w:val="single"/>
                <w14:textFill>
                  <w14:solidFill>
                    <w14:schemeClr w14:val="tx1"/>
                  </w14:solidFill>
                </w14:textFill>
              </w:rPr>
              <w:t xml:space="preserve"> 月</w:t>
            </w:r>
            <w:r>
              <w:rPr>
                <w:rFonts w:hint="eastAsia" w:asciiTheme="minorEastAsia" w:hAnsiTheme="minorEastAsia" w:eastAsiaTheme="minorEastAsia" w:cstheme="minorEastAsia"/>
                <w:smallCaps w:val="0"/>
                <w:color w:val="000000" w:themeColor="text1"/>
                <w:spacing w:val="0"/>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smallCaps w:val="0"/>
                <w:color w:val="000000" w:themeColor="text1"/>
                <w:spacing w:val="0"/>
                <w:szCs w:val="21"/>
                <w:highlight w:val="none"/>
                <w:u w:val="single"/>
                <w14:textFill>
                  <w14:solidFill>
                    <w14:schemeClr w14:val="tx1"/>
                  </w14:solidFill>
                </w14:textFill>
              </w:rPr>
              <w:t xml:space="preserve">  日至二〇 </w:t>
            </w:r>
            <w:r>
              <w:rPr>
                <w:rFonts w:hint="eastAsia" w:asciiTheme="minorEastAsia" w:hAnsiTheme="minorEastAsia" w:eastAsiaTheme="minorEastAsia" w:cstheme="minorEastAsia"/>
                <w:smallCaps w:val="0"/>
                <w:color w:val="000000" w:themeColor="text1"/>
                <w:spacing w:val="0"/>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smallCaps w:val="0"/>
                <w:color w:val="000000" w:themeColor="text1"/>
                <w:spacing w:val="0"/>
                <w:szCs w:val="21"/>
                <w:highlight w:val="none"/>
                <w:u w:val="single"/>
                <w14:textFill>
                  <w14:solidFill>
                    <w14:schemeClr w14:val="tx1"/>
                  </w14:solidFill>
                </w14:textFill>
              </w:rPr>
              <w:t xml:space="preserve"> 年  </w:t>
            </w:r>
            <w:r>
              <w:rPr>
                <w:rFonts w:hint="eastAsia" w:asciiTheme="minorEastAsia" w:hAnsiTheme="minorEastAsia" w:eastAsiaTheme="minorEastAsia" w:cstheme="minorEastAsia"/>
                <w:smallCaps w:val="0"/>
                <w:color w:val="000000" w:themeColor="text1"/>
                <w:spacing w:val="0"/>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smallCaps w:val="0"/>
                <w:color w:val="000000" w:themeColor="text1"/>
                <w:spacing w:val="0"/>
                <w:szCs w:val="21"/>
                <w:highlight w:val="none"/>
                <w:u w:val="single"/>
                <w14:textFill>
                  <w14:solidFill>
                    <w14:schemeClr w14:val="tx1"/>
                  </w14:solidFill>
                </w14:textFill>
              </w:rPr>
              <w:t xml:space="preserve">月  </w:t>
            </w:r>
            <w:r>
              <w:rPr>
                <w:rFonts w:hint="eastAsia" w:asciiTheme="minorEastAsia" w:hAnsiTheme="minorEastAsia" w:eastAsiaTheme="minorEastAsia" w:cstheme="minorEastAsia"/>
                <w:smallCaps w:val="0"/>
                <w:color w:val="000000" w:themeColor="text1"/>
                <w:spacing w:val="0"/>
                <w:szCs w:val="21"/>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smallCaps w:val="0"/>
                <w:color w:val="000000" w:themeColor="text1"/>
                <w:spacing w:val="0"/>
                <w:szCs w:val="21"/>
                <w:highlight w:val="none"/>
                <w:u w:val="single"/>
                <w14:textFill>
                  <w14:solidFill>
                    <w14:schemeClr w14:val="tx1"/>
                  </w14:solidFill>
                </w14:textFill>
              </w:rPr>
              <w:t>日</w:t>
            </w:r>
          </w:p>
        </w:tc>
      </w:tr>
      <w:tr>
        <w:tblPrEx>
          <w:tblCellMar>
            <w:top w:w="0" w:type="dxa"/>
            <w:left w:w="108" w:type="dxa"/>
            <w:bottom w:w="0" w:type="dxa"/>
            <w:right w:w="108" w:type="dxa"/>
          </w:tblCellMar>
        </w:tblPrEx>
        <w:trPr>
          <w:trHeight w:val="340" w:hRule="atLeast"/>
          <w:jc w:val="center"/>
        </w:trPr>
        <w:tc>
          <w:tcPr>
            <w:tcW w:w="8474" w:type="dxa"/>
            <w:gridSpan w:val="9"/>
            <w:tcBorders>
              <w:top w:val="single" w:color="auto" w:sz="4" w:space="0"/>
              <w:left w:val="single" w:color="auto" w:sz="4" w:space="0"/>
              <w:bottom w:val="single" w:color="auto" w:sz="4" w:space="0"/>
              <w:right w:val="single" w:color="auto" w:sz="4" w:space="0"/>
            </w:tcBorders>
            <w:vAlign w:val="center"/>
          </w:tcPr>
          <w:p>
            <w:pPr>
              <w:tabs>
                <w:tab w:val="left" w:pos="1260"/>
              </w:tabs>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有关本次招标的所有联络函电，请按下列方式联系：</w:t>
            </w:r>
          </w:p>
        </w:tc>
      </w:tr>
      <w:tr>
        <w:tblPrEx>
          <w:tblCellMar>
            <w:top w:w="0" w:type="dxa"/>
            <w:left w:w="108" w:type="dxa"/>
            <w:bottom w:w="0" w:type="dxa"/>
            <w:right w:w="108" w:type="dxa"/>
          </w:tblCellMar>
        </w:tblPrEx>
        <w:trPr>
          <w:trHeight w:val="510" w:hRule="atLeast"/>
          <w:jc w:val="center"/>
        </w:trPr>
        <w:tc>
          <w:tcPr>
            <w:tcW w:w="1356"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地    址</w:t>
            </w:r>
          </w:p>
        </w:tc>
        <w:tc>
          <w:tcPr>
            <w:tcW w:w="3376" w:type="dxa"/>
            <w:gridSpan w:val="3"/>
            <w:tcBorders>
              <w:top w:val="single" w:color="auto" w:sz="4" w:space="0"/>
              <w:left w:val="single" w:color="auto" w:sz="4" w:space="0"/>
              <w:bottom w:val="single" w:color="auto" w:sz="4" w:space="0"/>
              <w:right w:val="single" w:color="auto" w:sz="4" w:space="0"/>
            </w:tcBorders>
            <w:vAlign w:val="center"/>
          </w:tcPr>
          <w:p>
            <w:pPr>
              <w:tabs>
                <w:tab w:val="left" w:pos="1260"/>
              </w:tabs>
              <w:ind w:firstLine="394"/>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520" w:type="dxa"/>
            <w:gridSpan w:val="3"/>
            <w:tcBorders>
              <w:top w:val="single" w:color="auto" w:sz="4" w:space="0"/>
              <w:left w:val="single" w:color="auto" w:sz="4" w:space="0"/>
              <w:bottom w:val="single" w:color="auto" w:sz="4" w:space="0"/>
              <w:right w:val="single" w:color="auto" w:sz="4" w:space="0"/>
            </w:tcBorders>
            <w:vAlign w:val="center"/>
          </w:tcPr>
          <w:p>
            <w:pPr>
              <w:tabs>
                <w:tab w:val="left" w:pos="1260"/>
              </w:tabs>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邮政编码</w:t>
            </w:r>
          </w:p>
        </w:tc>
        <w:tc>
          <w:tcPr>
            <w:tcW w:w="2222" w:type="dxa"/>
            <w:tcBorders>
              <w:top w:val="single" w:color="auto" w:sz="4" w:space="0"/>
              <w:left w:val="single" w:color="auto" w:sz="4" w:space="0"/>
              <w:bottom w:val="single" w:color="auto" w:sz="4" w:space="0"/>
              <w:right w:val="single" w:color="auto" w:sz="4" w:space="0"/>
            </w:tcBorders>
            <w:vAlign w:val="center"/>
          </w:tcPr>
          <w:p>
            <w:pPr>
              <w:tabs>
                <w:tab w:val="left" w:pos="1260"/>
              </w:tabs>
              <w:ind w:firstLine="459"/>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510" w:hRule="atLeast"/>
          <w:jc w:val="center"/>
        </w:trPr>
        <w:tc>
          <w:tcPr>
            <w:tcW w:w="1356"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电话/传真</w:t>
            </w:r>
          </w:p>
        </w:tc>
        <w:tc>
          <w:tcPr>
            <w:tcW w:w="3376" w:type="dxa"/>
            <w:gridSpan w:val="3"/>
            <w:tcBorders>
              <w:top w:val="single" w:color="auto" w:sz="4" w:space="0"/>
              <w:left w:val="single" w:color="auto" w:sz="4" w:space="0"/>
              <w:bottom w:val="single" w:color="auto" w:sz="4" w:space="0"/>
              <w:right w:val="single" w:color="auto" w:sz="4" w:space="0"/>
            </w:tcBorders>
            <w:vAlign w:val="center"/>
          </w:tcPr>
          <w:p>
            <w:pPr>
              <w:tabs>
                <w:tab w:val="left" w:pos="1260"/>
              </w:tabs>
              <w:ind w:firstLine="394"/>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520" w:type="dxa"/>
            <w:gridSpan w:val="3"/>
            <w:tcBorders>
              <w:top w:val="single" w:color="auto" w:sz="4" w:space="0"/>
              <w:left w:val="single" w:color="auto" w:sz="4" w:space="0"/>
              <w:bottom w:val="single" w:color="auto" w:sz="4" w:space="0"/>
              <w:right w:val="single" w:color="auto" w:sz="4" w:space="0"/>
            </w:tcBorders>
            <w:vAlign w:val="center"/>
          </w:tcPr>
          <w:p>
            <w:pPr>
              <w:tabs>
                <w:tab w:val="left" w:pos="1260"/>
              </w:tabs>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电子邮件</w:t>
            </w:r>
          </w:p>
        </w:tc>
        <w:tc>
          <w:tcPr>
            <w:tcW w:w="2222" w:type="dxa"/>
            <w:tcBorders>
              <w:top w:val="single" w:color="auto" w:sz="4" w:space="0"/>
              <w:left w:val="single" w:color="auto" w:sz="4" w:space="0"/>
              <w:bottom w:val="single" w:color="auto" w:sz="4" w:space="0"/>
              <w:right w:val="single" w:color="auto" w:sz="4" w:space="0"/>
            </w:tcBorders>
            <w:vAlign w:val="center"/>
          </w:tcPr>
          <w:p>
            <w:pPr>
              <w:tabs>
                <w:tab w:val="left" w:pos="1260"/>
              </w:tabs>
              <w:ind w:firstLine="459"/>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510" w:hRule="atLeast"/>
          <w:jc w:val="center"/>
        </w:trPr>
        <w:tc>
          <w:tcPr>
            <w:tcW w:w="1356"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网    址</w:t>
            </w:r>
          </w:p>
        </w:tc>
        <w:tc>
          <w:tcPr>
            <w:tcW w:w="3376" w:type="dxa"/>
            <w:gridSpan w:val="3"/>
            <w:tcBorders>
              <w:top w:val="single" w:color="auto" w:sz="4" w:space="0"/>
              <w:left w:val="single" w:color="auto" w:sz="4" w:space="0"/>
              <w:bottom w:val="single" w:color="auto" w:sz="4" w:space="0"/>
              <w:right w:val="single" w:color="auto" w:sz="4" w:space="0"/>
            </w:tcBorders>
            <w:vAlign w:val="center"/>
          </w:tcPr>
          <w:p>
            <w:pPr>
              <w:tabs>
                <w:tab w:val="left" w:pos="1260"/>
              </w:tabs>
              <w:ind w:firstLine="394"/>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520" w:type="dxa"/>
            <w:gridSpan w:val="3"/>
            <w:tcBorders>
              <w:top w:val="single" w:color="auto" w:sz="4" w:space="0"/>
              <w:left w:val="single" w:color="auto" w:sz="4" w:space="0"/>
              <w:bottom w:val="single" w:color="auto" w:sz="4" w:space="0"/>
              <w:right w:val="single" w:color="auto" w:sz="4" w:space="0"/>
            </w:tcBorders>
            <w:vAlign w:val="center"/>
          </w:tcPr>
          <w:p>
            <w:pPr>
              <w:tabs>
                <w:tab w:val="left" w:pos="1260"/>
              </w:tabs>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手机号码</w:t>
            </w:r>
          </w:p>
        </w:tc>
        <w:tc>
          <w:tcPr>
            <w:tcW w:w="2222" w:type="dxa"/>
            <w:tcBorders>
              <w:top w:val="single" w:color="auto" w:sz="4" w:space="0"/>
              <w:left w:val="single" w:color="auto" w:sz="4" w:space="0"/>
              <w:bottom w:val="single" w:color="auto" w:sz="4" w:space="0"/>
              <w:right w:val="single" w:color="auto" w:sz="4" w:space="0"/>
            </w:tcBorders>
            <w:vAlign w:val="center"/>
          </w:tcPr>
          <w:p>
            <w:pPr>
              <w:tabs>
                <w:tab w:val="left" w:pos="1260"/>
              </w:tabs>
              <w:ind w:firstLine="459"/>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340" w:hRule="atLeast"/>
          <w:jc w:val="center"/>
        </w:trPr>
        <w:tc>
          <w:tcPr>
            <w:tcW w:w="3152" w:type="dxa"/>
            <w:gridSpan w:val="4"/>
            <w:tcBorders>
              <w:top w:val="single" w:color="auto" w:sz="4" w:space="0"/>
              <w:left w:val="single" w:color="auto" w:sz="4" w:space="0"/>
              <w:bottom w:val="single" w:color="auto" w:sz="4" w:space="0"/>
              <w:right w:val="nil"/>
            </w:tcBorders>
            <w:vAlign w:val="center"/>
          </w:tcPr>
          <w:p>
            <w:pPr>
              <w:tabs>
                <w:tab w:val="left" w:pos="1260"/>
              </w:tabs>
              <w:jc w:val="cente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t>投标人</w:t>
            </w:r>
          </w:p>
        </w:tc>
        <w:tc>
          <w:tcPr>
            <w:tcW w:w="3100" w:type="dxa"/>
            <w:gridSpan w:val="4"/>
            <w:tcBorders>
              <w:top w:val="single" w:color="auto" w:sz="4" w:space="0"/>
              <w:left w:val="single" w:color="auto" w:sz="4" w:space="0"/>
              <w:bottom w:val="single" w:color="auto" w:sz="4" w:space="0"/>
              <w:right w:val="nil"/>
            </w:tcBorders>
            <w:vAlign w:val="center"/>
          </w:tcPr>
          <w:p>
            <w:pPr>
              <w:tabs>
                <w:tab w:val="left" w:pos="1260"/>
              </w:tabs>
              <w:jc w:val="cente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法定代表人或被授权人</w:t>
            </w:r>
          </w:p>
        </w:tc>
        <w:tc>
          <w:tcPr>
            <w:tcW w:w="2222" w:type="dxa"/>
            <w:tcBorders>
              <w:top w:val="single" w:color="auto" w:sz="4" w:space="0"/>
              <w:left w:val="single" w:color="auto" w:sz="4" w:space="0"/>
              <w:bottom w:val="single" w:color="auto" w:sz="4" w:space="0"/>
              <w:right w:val="single" w:color="auto" w:sz="4" w:space="0"/>
            </w:tcBorders>
            <w:vAlign w:val="center"/>
          </w:tcPr>
          <w:p>
            <w:pPr>
              <w:tabs>
                <w:tab w:val="left" w:pos="1260"/>
              </w:tabs>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签署日期</w:t>
            </w:r>
          </w:p>
        </w:tc>
      </w:tr>
      <w:tr>
        <w:tblPrEx>
          <w:tblCellMar>
            <w:top w:w="0" w:type="dxa"/>
            <w:left w:w="108" w:type="dxa"/>
            <w:bottom w:w="0" w:type="dxa"/>
            <w:right w:w="108" w:type="dxa"/>
          </w:tblCellMar>
        </w:tblPrEx>
        <w:trPr>
          <w:trHeight w:val="2028" w:hRule="atLeast"/>
          <w:jc w:val="center"/>
        </w:trPr>
        <w:tc>
          <w:tcPr>
            <w:tcW w:w="3152" w:type="dxa"/>
            <w:gridSpan w:val="4"/>
            <w:tcBorders>
              <w:top w:val="single" w:color="auto" w:sz="4" w:space="0"/>
              <w:left w:val="single" w:color="auto" w:sz="4" w:space="0"/>
              <w:bottom w:val="single" w:color="auto" w:sz="4" w:space="0"/>
              <w:right w:val="nil"/>
            </w:tcBorders>
            <w:vAlign w:val="center"/>
          </w:tcPr>
          <w:p>
            <w:pPr>
              <w:tabs>
                <w:tab w:val="left" w:pos="1260"/>
              </w:tabs>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（单位公章）</w:t>
            </w:r>
          </w:p>
        </w:tc>
        <w:tc>
          <w:tcPr>
            <w:tcW w:w="3100" w:type="dxa"/>
            <w:gridSpan w:val="4"/>
            <w:tcBorders>
              <w:top w:val="single" w:color="auto" w:sz="4" w:space="0"/>
              <w:left w:val="single" w:color="auto" w:sz="4" w:space="0"/>
              <w:bottom w:val="single" w:color="auto" w:sz="4" w:space="0"/>
              <w:right w:val="single" w:color="auto" w:sz="4" w:space="0"/>
            </w:tcBorders>
            <w:vAlign w:val="center"/>
          </w:tcPr>
          <w:p>
            <w:pPr>
              <w:tabs>
                <w:tab w:val="left" w:pos="1260"/>
              </w:tabs>
              <w:jc w:val="cente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（签字或盖章）</w:t>
            </w:r>
          </w:p>
        </w:tc>
        <w:tc>
          <w:tcPr>
            <w:tcW w:w="2222" w:type="dxa"/>
            <w:tcBorders>
              <w:top w:val="single" w:color="auto" w:sz="4" w:space="0"/>
              <w:left w:val="single" w:color="auto" w:sz="4" w:space="0"/>
              <w:bottom w:val="single" w:color="auto" w:sz="4" w:space="0"/>
              <w:right w:val="single" w:color="auto" w:sz="4" w:space="0"/>
            </w:tcBorders>
            <w:vAlign w:val="center"/>
          </w:tcPr>
          <w:p>
            <w:pPr>
              <w:tabs>
                <w:tab w:val="left" w:pos="1260"/>
              </w:tabs>
              <w:ind w:firstLine="420" w:firstLineChars="200"/>
              <w:jc w:val="cente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 xml:space="preserve">   年  月  日</w:t>
            </w:r>
          </w:p>
        </w:tc>
      </w:tr>
    </w:tbl>
    <w:p>
      <w:pPr>
        <w:pStyle w:val="3"/>
        <w:rPr>
          <w:rFonts w:hint="eastAsia" w:asciiTheme="minorEastAsia" w:hAnsiTheme="minorEastAsia" w:eastAsiaTheme="minorEastAsia" w:cstheme="minorEastAsia"/>
          <w:b/>
          <w:bCs/>
          <w:smallCaps w:val="0"/>
          <w:color w:val="000000" w:themeColor="text1"/>
          <w:spacing w:val="0"/>
          <w:szCs w:val="30"/>
          <w:highlight w:val="none"/>
          <w14:textFill>
            <w14:solidFill>
              <w14:schemeClr w14:val="tx1"/>
            </w14:solidFill>
          </w14:textFill>
        </w:rPr>
      </w:pPr>
      <w:bookmarkStart w:id="242" w:name="_Toc22959"/>
      <w:r>
        <w:rPr>
          <w:rFonts w:hint="eastAsia" w:asciiTheme="minorEastAsia" w:hAnsiTheme="minorEastAsia" w:eastAsiaTheme="minorEastAsia" w:cstheme="minorEastAsia"/>
          <w:b/>
          <w:bCs/>
          <w:smallCaps w:val="0"/>
          <w:color w:val="000000" w:themeColor="text1"/>
          <w:spacing w:val="0"/>
          <w:szCs w:val="30"/>
          <w:highlight w:val="none"/>
          <w14:textFill>
            <w14:solidFill>
              <w14:schemeClr w14:val="tx1"/>
            </w14:solidFill>
          </w14:textFill>
        </w:rPr>
        <w:t>二、</w:t>
      </w:r>
      <w:bookmarkEnd w:id="235"/>
      <w:bookmarkEnd w:id="236"/>
      <w:bookmarkEnd w:id="237"/>
      <w:bookmarkEnd w:id="238"/>
      <w:bookmarkEnd w:id="239"/>
      <w:bookmarkEnd w:id="240"/>
      <w:bookmarkEnd w:id="241"/>
      <w:r>
        <w:rPr>
          <w:rFonts w:hint="eastAsia" w:asciiTheme="minorEastAsia" w:hAnsiTheme="minorEastAsia" w:eastAsiaTheme="minorEastAsia" w:cstheme="minorEastAsia"/>
          <w:b/>
          <w:bCs/>
          <w:smallCaps w:val="0"/>
          <w:color w:val="000000" w:themeColor="text1"/>
          <w:spacing w:val="0"/>
          <w:szCs w:val="30"/>
          <w:highlight w:val="none"/>
          <w14:textFill>
            <w14:solidFill>
              <w14:schemeClr w14:val="tx1"/>
            </w14:solidFill>
          </w14:textFill>
        </w:rPr>
        <w:t>开标一览表</w:t>
      </w:r>
      <w:bookmarkEnd w:id="242"/>
    </w:p>
    <w:tbl>
      <w:tblPr>
        <w:tblStyle w:val="23"/>
        <w:tblW w:w="8449"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08"/>
        <w:gridCol w:w="634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95" w:hRule="atLeast"/>
          <w:jc w:val="center"/>
        </w:trPr>
        <w:tc>
          <w:tcPr>
            <w:tcW w:w="2108"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项目名称</w:t>
            </w:r>
          </w:p>
        </w:tc>
        <w:tc>
          <w:tcPr>
            <w:tcW w:w="6341"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20" w:hRule="atLeast"/>
          <w:jc w:val="center"/>
        </w:trPr>
        <w:tc>
          <w:tcPr>
            <w:tcW w:w="2108"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项目编号</w:t>
            </w:r>
          </w:p>
        </w:tc>
        <w:tc>
          <w:tcPr>
            <w:tcW w:w="6341" w:type="dxa"/>
            <w:vAlign w:val="center"/>
          </w:tcPr>
          <w:p>
            <w:pPr>
              <w:widowControl/>
              <w:spacing w:line="480" w:lineRule="exact"/>
              <w:jc w:val="center"/>
              <w:rPr>
                <w:rFonts w:hint="eastAsia" w:asciiTheme="minorEastAsia" w:hAnsiTheme="minorEastAsia" w:eastAsiaTheme="minorEastAsia" w:cstheme="minorEastAsia"/>
                <w:smallCaps w:val="0"/>
                <w:color w:val="000000" w:themeColor="text1"/>
                <w:spacing w:val="0"/>
                <w:kern w:val="0"/>
                <w:szCs w:val="21"/>
                <w:highlight w:val="none"/>
                <w14:textFill>
                  <w14:solidFill>
                    <w14:schemeClr w14:val="tx1"/>
                  </w14:solidFill>
                </w14:textFill>
              </w:rPr>
            </w:pPr>
          </w:p>
          <w:p>
            <w:pPr>
              <w:widowControl/>
              <w:spacing w:line="480" w:lineRule="exact"/>
              <w:jc w:val="center"/>
              <w:rPr>
                <w:rFonts w:hint="eastAsia" w:asciiTheme="minorEastAsia" w:hAnsiTheme="minorEastAsia" w:eastAsiaTheme="minorEastAsia" w:cstheme="minorEastAsia"/>
                <w:smallCaps w:val="0"/>
                <w:color w:val="000000" w:themeColor="text1"/>
                <w:spacing w:val="0"/>
                <w:kern w:val="0"/>
                <w:szCs w:val="21"/>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919" w:hRule="atLeast"/>
          <w:jc w:val="center"/>
        </w:trPr>
        <w:tc>
          <w:tcPr>
            <w:tcW w:w="2108"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供应商名称</w:t>
            </w:r>
          </w:p>
        </w:tc>
        <w:tc>
          <w:tcPr>
            <w:tcW w:w="6341"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935" w:hRule="atLeast"/>
          <w:jc w:val="center"/>
        </w:trPr>
        <w:tc>
          <w:tcPr>
            <w:tcW w:w="2108" w:type="dxa"/>
            <w:vAlign w:val="center"/>
          </w:tcPr>
          <w:p>
            <w:pPr>
              <w:jc w:val="center"/>
              <w:rPr>
                <w:rFonts w:hint="eastAsia" w:asciiTheme="minorEastAsia" w:hAnsiTheme="minorEastAsia" w:eastAsiaTheme="minorEastAsia" w:cstheme="minorEastAsia"/>
                <w:smallCaps w:val="0"/>
                <w:color w:val="000000" w:themeColor="text1"/>
                <w:spacing w:val="0"/>
                <w:highlight w:val="none"/>
                <w:lang w:eastAsia="zh-CN"/>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highlight w:val="none"/>
                <w:lang w:eastAsia="zh-CN"/>
                <w14:textFill>
                  <w14:solidFill>
                    <w14:schemeClr w14:val="tx1"/>
                  </w14:solidFill>
                </w14:textFill>
              </w:rPr>
              <w:t>报价</w:t>
            </w:r>
          </w:p>
          <w:p>
            <w:pPr>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（人民币）</w:t>
            </w:r>
          </w:p>
        </w:tc>
        <w:tc>
          <w:tcPr>
            <w:tcW w:w="6341" w:type="dxa"/>
            <w:vAlign w:val="center"/>
          </w:tcPr>
          <w:p>
            <w:pPr>
              <w:spacing w:line="480" w:lineRule="exact"/>
              <w:jc w:val="left"/>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722" w:hRule="atLeast"/>
          <w:jc w:val="center"/>
        </w:trPr>
        <w:tc>
          <w:tcPr>
            <w:tcW w:w="2108"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lang w:eastAsia="zh-CN"/>
                <w14:textFill>
                  <w14:solidFill>
                    <w14:schemeClr w14:val="tx1"/>
                  </w14:solidFill>
                </w14:textFill>
              </w:rPr>
              <w:t>供货</w:t>
            </w: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期</w:t>
            </w:r>
          </w:p>
        </w:tc>
        <w:tc>
          <w:tcPr>
            <w:tcW w:w="6341" w:type="dxa"/>
            <w:vAlign w:val="center"/>
          </w:tcPr>
          <w:p>
            <w:pPr>
              <w:spacing w:line="480" w:lineRule="exact"/>
              <w:jc w:val="left"/>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134" w:hRule="atLeast"/>
          <w:jc w:val="center"/>
        </w:trPr>
        <w:tc>
          <w:tcPr>
            <w:tcW w:w="2108"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承诺</w:t>
            </w:r>
          </w:p>
        </w:tc>
        <w:tc>
          <w:tcPr>
            <w:tcW w:w="6341"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承诺：我单位承诺本项目投标提供的所有证明材料全部真实有效，如查实出现虚假材料的，自动退出投标或取消我单位中标资格。</w:t>
            </w:r>
          </w:p>
        </w:tc>
      </w:tr>
    </w:tbl>
    <w:p>
      <w:pPr>
        <w:spacing w:line="480" w:lineRule="exact"/>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p>
    <w:p>
      <w:pPr>
        <w:spacing w:line="480" w:lineRule="exact"/>
        <w:ind w:right="-161" w:firstLine="2640" w:firstLineChars="1100"/>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法定代表人（被授权人）签字：</w:t>
      </w:r>
      <w:r>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t>　　　　　　　　　　</w:t>
      </w:r>
    </w:p>
    <w:p>
      <w:pPr>
        <w:spacing w:line="480" w:lineRule="exact"/>
        <w:ind w:right="-161" w:firstLine="2640" w:firstLineChars="11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投  　  标   　 单  　　位：</w:t>
      </w:r>
      <w:r>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t>　　　　  　（公章）</w:t>
      </w:r>
    </w:p>
    <w:p>
      <w:pPr>
        <w:spacing w:line="480" w:lineRule="exact"/>
        <w:ind w:firstLine="2640" w:firstLineChars="1100"/>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日                   　 期：</w:t>
      </w:r>
      <w:r>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t xml:space="preserve">　　           　　　     </w:t>
      </w:r>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t>　　　　　　　　</w:t>
      </w:r>
    </w:p>
    <w:p>
      <w:pPr>
        <w:spacing w:line="480" w:lineRule="exact"/>
        <w:rPr>
          <w:rFonts w:hint="eastAsia" w:asciiTheme="minorEastAsia" w:hAnsiTheme="minorEastAsia" w:eastAsiaTheme="minorEastAsia" w:cstheme="minorEastAsia"/>
          <w:b/>
          <w:bCs/>
          <w:smallCaps w:val="0"/>
          <w:color w:val="000000" w:themeColor="text1"/>
          <w:spacing w:val="0"/>
          <w:sz w:val="32"/>
          <w:szCs w:val="32"/>
          <w:highlight w:val="none"/>
          <w14:textFill>
            <w14:solidFill>
              <w14:schemeClr w14:val="tx1"/>
            </w14:solidFill>
          </w14:textFill>
        </w:rPr>
      </w:pPr>
      <w:r>
        <w:rPr>
          <w:rFonts w:hint="eastAsia" w:asciiTheme="minorEastAsia" w:hAnsiTheme="minorEastAsia" w:eastAsiaTheme="minorEastAsia" w:cstheme="minorEastAsia"/>
          <w:b/>
          <w:bCs/>
          <w:smallCaps w:val="0"/>
          <w:color w:val="000000" w:themeColor="text1"/>
          <w:spacing w:val="0"/>
          <w:sz w:val="32"/>
          <w:szCs w:val="32"/>
          <w:highlight w:val="none"/>
          <w14:textFill>
            <w14:solidFill>
              <w14:schemeClr w14:val="tx1"/>
            </w14:solidFill>
          </w14:textFill>
        </w:rPr>
        <w:br w:type="page"/>
      </w:r>
    </w:p>
    <w:p>
      <w:pPr>
        <w:pStyle w:val="11"/>
        <w:jc w:val="center"/>
        <w:rPr>
          <w:rFonts w:hint="eastAsia" w:hAnsi="宋体" w:cs="宋体"/>
          <w:b/>
          <w:sz w:val="32"/>
        </w:rPr>
      </w:pPr>
      <w:r>
        <w:rPr>
          <w:rFonts w:hint="eastAsia" w:hAnsi="宋体" w:cs="宋体"/>
          <w:b/>
          <w:sz w:val="32"/>
        </w:rPr>
        <w:t>分项报价表</w:t>
      </w:r>
    </w:p>
    <w:p>
      <w:pPr>
        <w:kinsoku w:val="0"/>
        <w:spacing w:line="500" w:lineRule="exact"/>
        <w:ind w:firstLine="240" w:firstLineChars="100"/>
        <w:rPr>
          <w:rFonts w:hint="eastAsia" w:ascii="宋体" w:hAnsi="宋体" w:cs="宋体"/>
          <w:sz w:val="24"/>
        </w:rPr>
      </w:pPr>
      <w:r>
        <w:rPr>
          <w:rFonts w:hint="eastAsia" w:ascii="宋体" w:hAnsi="宋体" w:cs="宋体"/>
          <w:sz w:val="24"/>
        </w:rPr>
        <w:t xml:space="preserve">项目名称：                                                  </w:t>
      </w:r>
    </w:p>
    <w:p>
      <w:pPr>
        <w:kinsoku w:val="0"/>
        <w:spacing w:line="500" w:lineRule="exact"/>
        <w:ind w:firstLine="240" w:firstLineChars="100"/>
        <w:rPr>
          <w:rFonts w:hint="eastAsia" w:ascii="宋体" w:hAnsi="宋体" w:cs="宋体"/>
          <w:sz w:val="24"/>
        </w:rPr>
      </w:pPr>
      <w:r>
        <w:rPr>
          <w:rFonts w:hint="eastAsia" w:ascii="宋体" w:hAnsi="宋体" w:cs="宋体"/>
          <w:sz w:val="24"/>
        </w:rPr>
        <w:t>项目编号：</w:t>
      </w:r>
    </w:p>
    <w:p>
      <w:pPr>
        <w:kinsoku w:val="0"/>
        <w:spacing w:line="500" w:lineRule="exact"/>
        <w:ind w:firstLine="240" w:firstLineChars="100"/>
        <w:rPr>
          <w:rFonts w:hint="eastAsia" w:ascii="宋体" w:hAnsi="宋体" w:cs="宋体"/>
          <w:sz w:val="24"/>
        </w:rPr>
      </w:pPr>
      <w:r>
        <w:rPr>
          <w:rFonts w:hint="eastAsia" w:ascii="宋体" w:hAnsi="宋体" w:cs="宋体"/>
          <w:sz w:val="24"/>
        </w:rPr>
        <w:t>投标人：                                            共   页，第   页</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1534"/>
        <w:gridCol w:w="884"/>
        <w:gridCol w:w="1150"/>
        <w:gridCol w:w="940"/>
        <w:gridCol w:w="940"/>
        <w:gridCol w:w="940"/>
        <w:gridCol w:w="727"/>
        <w:gridCol w:w="9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8" w:hRule="atLeast"/>
          <w:jc w:val="center"/>
        </w:trPr>
        <w:tc>
          <w:tcPr>
            <w:tcW w:w="268" w:type="pct"/>
            <w:noWrap w:val="0"/>
            <w:vAlign w:val="center"/>
          </w:tcPr>
          <w:p>
            <w:pPr>
              <w:jc w:val="center"/>
              <w:rPr>
                <w:rFonts w:hint="eastAsia" w:ascii="宋体" w:hAnsi="宋体" w:cs="宋体"/>
                <w:sz w:val="24"/>
              </w:rPr>
            </w:pPr>
            <w:r>
              <w:rPr>
                <w:rFonts w:hint="eastAsia" w:ascii="宋体" w:hAnsi="宋体" w:cs="宋体"/>
                <w:sz w:val="24"/>
              </w:rPr>
              <w:t>序号</w:t>
            </w:r>
          </w:p>
        </w:tc>
        <w:tc>
          <w:tcPr>
            <w:tcW w:w="900" w:type="pct"/>
            <w:noWrap w:val="0"/>
            <w:vAlign w:val="center"/>
          </w:tcPr>
          <w:p>
            <w:pPr>
              <w:jc w:val="center"/>
              <w:rPr>
                <w:rFonts w:hint="eastAsia" w:ascii="宋体" w:hAnsi="宋体" w:cs="宋体"/>
                <w:sz w:val="24"/>
              </w:rPr>
            </w:pPr>
            <w:r>
              <w:rPr>
                <w:rFonts w:hint="eastAsia" w:ascii="宋体" w:hAnsi="宋体" w:cs="宋体"/>
                <w:sz w:val="24"/>
              </w:rPr>
              <w:t>产品名称</w:t>
            </w:r>
          </w:p>
        </w:tc>
        <w:tc>
          <w:tcPr>
            <w:tcW w:w="518" w:type="pct"/>
            <w:noWrap w:val="0"/>
            <w:vAlign w:val="center"/>
          </w:tcPr>
          <w:p>
            <w:pPr>
              <w:jc w:val="center"/>
              <w:rPr>
                <w:rFonts w:hint="eastAsia" w:ascii="宋体" w:hAnsi="宋体" w:cs="宋体"/>
                <w:sz w:val="24"/>
              </w:rPr>
            </w:pPr>
            <w:r>
              <w:rPr>
                <w:rFonts w:hint="eastAsia" w:ascii="宋体" w:hAnsi="宋体" w:cs="宋体"/>
                <w:sz w:val="24"/>
              </w:rPr>
              <w:t>品牌</w:t>
            </w:r>
          </w:p>
        </w:tc>
        <w:tc>
          <w:tcPr>
            <w:tcW w:w="674" w:type="pct"/>
            <w:noWrap w:val="0"/>
            <w:vAlign w:val="center"/>
          </w:tcPr>
          <w:p>
            <w:pPr>
              <w:jc w:val="center"/>
              <w:rPr>
                <w:rFonts w:hint="eastAsia" w:ascii="宋体" w:hAnsi="宋体" w:cs="宋体"/>
                <w:sz w:val="24"/>
              </w:rPr>
            </w:pPr>
            <w:r>
              <w:rPr>
                <w:rFonts w:hint="eastAsia" w:ascii="宋体" w:hAnsi="宋体" w:cs="宋体"/>
                <w:sz w:val="24"/>
              </w:rPr>
              <w:t>规格</w:t>
            </w:r>
          </w:p>
          <w:p>
            <w:pPr>
              <w:jc w:val="center"/>
              <w:rPr>
                <w:rFonts w:hint="eastAsia" w:ascii="宋体" w:hAnsi="宋体" w:cs="宋体"/>
                <w:sz w:val="24"/>
              </w:rPr>
            </w:pPr>
            <w:r>
              <w:rPr>
                <w:rFonts w:hint="eastAsia" w:ascii="宋体" w:hAnsi="宋体" w:cs="宋体"/>
                <w:sz w:val="24"/>
              </w:rPr>
              <w:t>型号</w:t>
            </w:r>
          </w:p>
        </w:tc>
        <w:tc>
          <w:tcPr>
            <w:tcW w:w="551" w:type="pct"/>
            <w:noWrap w:val="0"/>
            <w:vAlign w:val="center"/>
          </w:tcPr>
          <w:p>
            <w:pPr>
              <w:jc w:val="center"/>
              <w:rPr>
                <w:rFonts w:hint="eastAsia" w:ascii="宋体" w:hAnsi="宋体" w:cs="宋体"/>
                <w:sz w:val="24"/>
              </w:rPr>
            </w:pPr>
            <w:r>
              <w:rPr>
                <w:rFonts w:hint="eastAsia" w:ascii="宋体" w:hAnsi="宋体" w:cs="宋体"/>
                <w:sz w:val="24"/>
              </w:rPr>
              <w:t>产地</w:t>
            </w:r>
          </w:p>
        </w:tc>
        <w:tc>
          <w:tcPr>
            <w:tcW w:w="551" w:type="pct"/>
            <w:noWrap w:val="0"/>
            <w:vAlign w:val="center"/>
          </w:tcPr>
          <w:p>
            <w:pPr>
              <w:jc w:val="center"/>
              <w:rPr>
                <w:rFonts w:hint="eastAsia" w:ascii="宋体" w:hAnsi="宋体" w:cs="宋体"/>
                <w:sz w:val="24"/>
              </w:rPr>
            </w:pPr>
            <w:r>
              <w:rPr>
                <w:rFonts w:hint="eastAsia" w:ascii="宋体" w:hAnsi="宋体" w:cs="宋体"/>
                <w:sz w:val="24"/>
              </w:rPr>
              <w:t>单位</w:t>
            </w:r>
          </w:p>
        </w:tc>
        <w:tc>
          <w:tcPr>
            <w:tcW w:w="551" w:type="pct"/>
            <w:noWrap w:val="0"/>
            <w:vAlign w:val="center"/>
          </w:tcPr>
          <w:p>
            <w:pPr>
              <w:jc w:val="center"/>
              <w:rPr>
                <w:rFonts w:hint="eastAsia" w:ascii="宋体" w:hAnsi="宋体" w:cs="宋体"/>
                <w:sz w:val="24"/>
              </w:rPr>
            </w:pPr>
            <w:r>
              <w:rPr>
                <w:rFonts w:hint="eastAsia" w:ascii="宋体" w:hAnsi="宋体" w:cs="宋体"/>
                <w:sz w:val="24"/>
              </w:rPr>
              <w:t>数量</w:t>
            </w:r>
          </w:p>
        </w:tc>
        <w:tc>
          <w:tcPr>
            <w:tcW w:w="426" w:type="pct"/>
            <w:noWrap w:val="0"/>
            <w:vAlign w:val="center"/>
          </w:tcPr>
          <w:p>
            <w:pPr>
              <w:jc w:val="center"/>
              <w:rPr>
                <w:rFonts w:hint="eastAsia" w:ascii="宋体" w:hAnsi="宋体" w:cs="宋体"/>
                <w:sz w:val="24"/>
              </w:rPr>
            </w:pPr>
            <w:r>
              <w:rPr>
                <w:rFonts w:hint="eastAsia" w:ascii="宋体" w:hAnsi="宋体" w:cs="宋体"/>
                <w:sz w:val="24"/>
              </w:rPr>
              <w:t>单价(元)</w:t>
            </w:r>
          </w:p>
        </w:tc>
        <w:tc>
          <w:tcPr>
            <w:tcW w:w="554" w:type="pct"/>
            <w:noWrap w:val="0"/>
            <w:vAlign w:val="center"/>
          </w:tcPr>
          <w:p>
            <w:pPr>
              <w:jc w:val="center"/>
              <w:rPr>
                <w:rFonts w:hint="eastAsia" w:ascii="宋体" w:hAnsi="宋体" w:cs="宋体"/>
                <w:sz w:val="24"/>
              </w:rPr>
            </w:pPr>
            <w:r>
              <w:rPr>
                <w:rFonts w:hint="eastAsia" w:ascii="宋体" w:hAnsi="宋体" w:cs="宋体"/>
                <w:sz w:val="24"/>
              </w:rPr>
              <w:t>合计(元)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268" w:type="pct"/>
            <w:noWrap w:val="0"/>
            <w:vAlign w:val="center"/>
          </w:tcPr>
          <w:p>
            <w:pPr>
              <w:jc w:val="center"/>
              <w:rPr>
                <w:rFonts w:hint="eastAsia" w:ascii="宋体" w:hAnsi="宋体" w:cs="宋体"/>
                <w:sz w:val="24"/>
              </w:rPr>
            </w:pPr>
            <w:r>
              <w:rPr>
                <w:rFonts w:hint="eastAsia" w:ascii="宋体" w:hAnsi="宋体" w:cs="宋体"/>
                <w:sz w:val="24"/>
              </w:rPr>
              <w:t>1</w:t>
            </w:r>
          </w:p>
        </w:tc>
        <w:tc>
          <w:tcPr>
            <w:tcW w:w="900" w:type="pct"/>
            <w:noWrap w:val="0"/>
            <w:vAlign w:val="center"/>
          </w:tcPr>
          <w:p>
            <w:pPr>
              <w:jc w:val="center"/>
              <w:rPr>
                <w:rFonts w:hint="eastAsia" w:ascii="宋体" w:hAnsi="宋体" w:cs="宋体"/>
                <w:sz w:val="24"/>
              </w:rPr>
            </w:pPr>
          </w:p>
        </w:tc>
        <w:tc>
          <w:tcPr>
            <w:tcW w:w="518" w:type="pct"/>
            <w:noWrap w:val="0"/>
            <w:vAlign w:val="center"/>
          </w:tcPr>
          <w:p>
            <w:pPr>
              <w:jc w:val="center"/>
              <w:rPr>
                <w:rFonts w:hint="eastAsia" w:ascii="宋体" w:hAnsi="宋体" w:cs="宋体"/>
                <w:sz w:val="24"/>
              </w:rPr>
            </w:pPr>
          </w:p>
        </w:tc>
        <w:tc>
          <w:tcPr>
            <w:tcW w:w="674" w:type="pct"/>
            <w:noWrap w:val="0"/>
            <w:vAlign w:val="center"/>
          </w:tcPr>
          <w:p>
            <w:pPr>
              <w:jc w:val="center"/>
              <w:rPr>
                <w:rFonts w:hint="eastAsia" w:ascii="宋体" w:hAnsi="宋体" w:cs="宋体"/>
                <w:sz w:val="24"/>
              </w:rPr>
            </w:pPr>
          </w:p>
        </w:tc>
        <w:tc>
          <w:tcPr>
            <w:tcW w:w="551" w:type="pct"/>
            <w:noWrap w:val="0"/>
            <w:vAlign w:val="center"/>
          </w:tcPr>
          <w:p>
            <w:pPr>
              <w:pStyle w:val="11"/>
              <w:rPr>
                <w:rFonts w:hint="eastAsia" w:hAnsi="宋体" w:cs="宋体"/>
                <w:sz w:val="24"/>
                <w:szCs w:val="24"/>
              </w:rPr>
            </w:pPr>
          </w:p>
        </w:tc>
        <w:tc>
          <w:tcPr>
            <w:tcW w:w="551" w:type="pct"/>
            <w:noWrap w:val="0"/>
            <w:vAlign w:val="center"/>
          </w:tcPr>
          <w:p>
            <w:pPr>
              <w:pStyle w:val="11"/>
              <w:rPr>
                <w:rFonts w:hint="eastAsia" w:hAnsi="宋体" w:cs="宋体"/>
                <w:sz w:val="24"/>
                <w:szCs w:val="24"/>
              </w:rPr>
            </w:pPr>
          </w:p>
        </w:tc>
        <w:tc>
          <w:tcPr>
            <w:tcW w:w="551" w:type="pct"/>
            <w:noWrap w:val="0"/>
            <w:vAlign w:val="center"/>
          </w:tcPr>
          <w:p>
            <w:pPr>
              <w:pStyle w:val="11"/>
              <w:rPr>
                <w:rFonts w:hint="eastAsia" w:hAnsi="宋体" w:cs="宋体"/>
                <w:sz w:val="24"/>
                <w:szCs w:val="24"/>
              </w:rPr>
            </w:pPr>
          </w:p>
        </w:tc>
        <w:tc>
          <w:tcPr>
            <w:tcW w:w="426" w:type="pct"/>
            <w:noWrap w:val="0"/>
            <w:vAlign w:val="center"/>
          </w:tcPr>
          <w:p>
            <w:pPr>
              <w:pStyle w:val="11"/>
              <w:rPr>
                <w:rFonts w:hint="eastAsia" w:hAnsi="宋体" w:cs="宋体"/>
                <w:sz w:val="24"/>
                <w:szCs w:val="24"/>
              </w:rPr>
            </w:pPr>
          </w:p>
        </w:tc>
        <w:tc>
          <w:tcPr>
            <w:tcW w:w="554" w:type="pct"/>
            <w:noWrap w:val="0"/>
            <w:vAlign w:val="center"/>
          </w:tcPr>
          <w:p>
            <w:pPr>
              <w:pStyle w:val="11"/>
              <w:rPr>
                <w:rFonts w:hint="eastAsia" w:hAnsi="宋体" w:cs="宋体"/>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268" w:type="pct"/>
            <w:noWrap w:val="0"/>
            <w:vAlign w:val="center"/>
          </w:tcPr>
          <w:p>
            <w:pPr>
              <w:jc w:val="center"/>
              <w:rPr>
                <w:rFonts w:hint="eastAsia" w:ascii="宋体" w:hAnsi="宋体" w:cs="宋体"/>
                <w:sz w:val="24"/>
              </w:rPr>
            </w:pPr>
            <w:r>
              <w:rPr>
                <w:rFonts w:hint="eastAsia" w:ascii="宋体" w:hAnsi="宋体" w:cs="宋体"/>
                <w:sz w:val="24"/>
              </w:rPr>
              <w:t>…</w:t>
            </w:r>
          </w:p>
        </w:tc>
        <w:tc>
          <w:tcPr>
            <w:tcW w:w="900" w:type="pct"/>
            <w:noWrap w:val="0"/>
            <w:vAlign w:val="center"/>
          </w:tcPr>
          <w:p>
            <w:pPr>
              <w:jc w:val="center"/>
              <w:rPr>
                <w:rFonts w:hint="eastAsia" w:ascii="宋体" w:hAnsi="宋体" w:cs="宋体"/>
                <w:sz w:val="24"/>
              </w:rPr>
            </w:pPr>
          </w:p>
        </w:tc>
        <w:tc>
          <w:tcPr>
            <w:tcW w:w="518" w:type="pct"/>
            <w:noWrap w:val="0"/>
            <w:vAlign w:val="center"/>
          </w:tcPr>
          <w:p>
            <w:pPr>
              <w:jc w:val="center"/>
              <w:rPr>
                <w:rFonts w:hint="eastAsia" w:ascii="宋体" w:hAnsi="宋体" w:cs="宋体"/>
                <w:sz w:val="24"/>
              </w:rPr>
            </w:pPr>
          </w:p>
        </w:tc>
        <w:tc>
          <w:tcPr>
            <w:tcW w:w="674" w:type="pct"/>
            <w:noWrap w:val="0"/>
            <w:vAlign w:val="center"/>
          </w:tcPr>
          <w:p>
            <w:pPr>
              <w:jc w:val="center"/>
              <w:rPr>
                <w:rFonts w:hint="eastAsia" w:ascii="宋体" w:hAnsi="宋体" w:cs="宋体"/>
                <w:sz w:val="24"/>
              </w:rPr>
            </w:pPr>
          </w:p>
        </w:tc>
        <w:tc>
          <w:tcPr>
            <w:tcW w:w="551" w:type="pct"/>
            <w:noWrap w:val="0"/>
            <w:vAlign w:val="center"/>
          </w:tcPr>
          <w:p>
            <w:pPr>
              <w:pStyle w:val="11"/>
              <w:rPr>
                <w:rFonts w:hint="eastAsia" w:hAnsi="宋体" w:cs="宋体"/>
                <w:sz w:val="24"/>
                <w:szCs w:val="24"/>
              </w:rPr>
            </w:pPr>
          </w:p>
        </w:tc>
        <w:tc>
          <w:tcPr>
            <w:tcW w:w="551" w:type="pct"/>
            <w:noWrap w:val="0"/>
            <w:vAlign w:val="center"/>
          </w:tcPr>
          <w:p>
            <w:pPr>
              <w:pStyle w:val="11"/>
              <w:rPr>
                <w:rFonts w:hint="eastAsia" w:hAnsi="宋体" w:cs="宋体"/>
                <w:sz w:val="24"/>
                <w:szCs w:val="24"/>
              </w:rPr>
            </w:pPr>
          </w:p>
        </w:tc>
        <w:tc>
          <w:tcPr>
            <w:tcW w:w="551" w:type="pct"/>
            <w:noWrap w:val="0"/>
            <w:vAlign w:val="center"/>
          </w:tcPr>
          <w:p>
            <w:pPr>
              <w:pStyle w:val="11"/>
              <w:rPr>
                <w:rFonts w:hint="eastAsia" w:hAnsi="宋体" w:cs="宋体"/>
                <w:sz w:val="24"/>
                <w:szCs w:val="24"/>
              </w:rPr>
            </w:pPr>
          </w:p>
        </w:tc>
        <w:tc>
          <w:tcPr>
            <w:tcW w:w="426" w:type="pct"/>
            <w:noWrap w:val="0"/>
            <w:vAlign w:val="center"/>
          </w:tcPr>
          <w:p>
            <w:pPr>
              <w:pStyle w:val="11"/>
              <w:rPr>
                <w:rFonts w:hint="eastAsia" w:hAnsi="宋体" w:cs="宋体"/>
                <w:sz w:val="24"/>
                <w:szCs w:val="24"/>
              </w:rPr>
            </w:pPr>
          </w:p>
        </w:tc>
        <w:tc>
          <w:tcPr>
            <w:tcW w:w="554" w:type="pct"/>
            <w:noWrap w:val="0"/>
            <w:vAlign w:val="center"/>
          </w:tcPr>
          <w:p>
            <w:pPr>
              <w:pStyle w:val="11"/>
              <w:rPr>
                <w:rFonts w:hint="eastAsia" w:hAnsi="宋体" w:cs="宋体"/>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268" w:type="pct"/>
            <w:noWrap w:val="0"/>
            <w:vAlign w:val="center"/>
          </w:tcPr>
          <w:p>
            <w:pPr>
              <w:jc w:val="center"/>
              <w:rPr>
                <w:rFonts w:hint="eastAsia" w:ascii="宋体" w:hAnsi="宋体" w:cs="宋体"/>
                <w:sz w:val="24"/>
              </w:rPr>
            </w:pPr>
            <w:r>
              <w:rPr>
                <w:rFonts w:hint="eastAsia" w:ascii="宋体" w:hAnsi="宋体" w:cs="宋体"/>
                <w:sz w:val="24"/>
              </w:rPr>
              <w:t>N</w:t>
            </w:r>
          </w:p>
        </w:tc>
        <w:tc>
          <w:tcPr>
            <w:tcW w:w="900" w:type="pct"/>
            <w:noWrap w:val="0"/>
            <w:vAlign w:val="center"/>
          </w:tcPr>
          <w:p>
            <w:pPr>
              <w:jc w:val="center"/>
              <w:rPr>
                <w:rFonts w:hint="eastAsia" w:ascii="宋体" w:hAnsi="宋体" w:cs="宋体"/>
                <w:sz w:val="24"/>
              </w:rPr>
            </w:pPr>
          </w:p>
        </w:tc>
        <w:tc>
          <w:tcPr>
            <w:tcW w:w="518" w:type="pct"/>
            <w:noWrap w:val="0"/>
            <w:vAlign w:val="center"/>
          </w:tcPr>
          <w:p>
            <w:pPr>
              <w:jc w:val="center"/>
              <w:rPr>
                <w:rFonts w:hint="eastAsia" w:ascii="宋体" w:hAnsi="宋体" w:cs="宋体"/>
                <w:sz w:val="24"/>
              </w:rPr>
            </w:pPr>
          </w:p>
        </w:tc>
        <w:tc>
          <w:tcPr>
            <w:tcW w:w="674" w:type="pct"/>
            <w:noWrap w:val="0"/>
            <w:vAlign w:val="center"/>
          </w:tcPr>
          <w:p>
            <w:pPr>
              <w:jc w:val="center"/>
              <w:rPr>
                <w:rFonts w:hint="eastAsia" w:ascii="宋体" w:hAnsi="宋体" w:cs="宋体"/>
                <w:sz w:val="24"/>
              </w:rPr>
            </w:pPr>
          </w:p>
        </w:tc>
        <w:tc>
          <w:tcPr>
            <w:tcW w:w="551" w:type="pct"/>
            <w:noWrap w:val="0"/>
            <w:vAlign w:val="center"/>
          </w:tcPr>
          <w:p>
            <w:pPr>
              <w:pStyle w:val="11"/>
              <w:rPr>
                <w:rFonts w:hint="eastAsia" w:hAnsi="宋体" w:cs="宋体"/>
                <w:sz w:val="24"/>
                <w:szCs w:val="24"/>
              </w:rPr>
            </w:pPr>
          </w:p>
        </w:tc>
        <w:tc>
          <w:tcPr>
            <w:tcW w:w="551" w:type="pct"/>
            <w:noWrap w:val="0"/>
            <w:vAlign w:val="center"/>
          </w:tcPr>
          <w:p>
            <w:pPr>
              <w:pStyle w:val="11"/>
              <w:rPr>
                <w:rFonts w:hint="eastAsia" w:hAnsi="宋体" w:cs="宋体"/>
                <w:sz w:val="24"/>
                <w:szCs w:val="24"/>
              </w:rPr>
            </w:pPr>
          </w:p>
        </w:tc>
        <w:tc>
          <w:tcPr>
            <w:tcW w:w="551" w:type="pct"/>
            <w:noWrap w:val="0"/>
            <w:vAlign w:val="center"/>
          </w:tcPr>
          <w:p>
            <w:pPr>
              <w:pStyle w:val="11"/>
              <w:rPr>
                <w:rFonts w:hint="eastAsia" w:hAnsi="宋体" w:cs="宋体"/>
                <w:sz w:val="24"/>
                <w:szCs w:val="24"/>
              </w:rPr>
            </w:pPr>
          </w:p>
        </w:tc>
        <w:tc>
          <w:tcPr>
            <w:tcW w:w="426" w:type="pct"/>
            <w:noWrap w:val="0"/>
            <w:vAlign w:val="center"/>
          </w:tcPr>
          <w:p>
            <w:pPr>
              <w:pStyle w:val="11"/>
              <w:rPr>
                <w:rFonts w:hint="eastAsia" w:hAnsi="宋体" w:cs="宋体"/>
                <w:sz w:val="24"/>
                <w:szCs w:val="24"/>
              </w:rPr>
            </w:pPr>
          </w:p>
        </w:tc>
        <w:tc>
          <w:tcPr>
            <w:tcW w:w="554" w:type="pct"/>
            <w:noWrap w:val="0"/>
            <w:vAlign w:val="center"/>
          </w:tcPr>
          <w:p>
            <w:pPr>
              <w:pStyle w:val="11"/>
              <w:rPr>
                <w:rFonts w:hint="eastAsia" w:hAnsi="宋体" w:cs="宋体"/>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5000" w:type="pct"/>
            <w:gridSpan w:val="9"/>
            <w:noWrap w:val="0"/>
            <w:vAlign w:val="center"/>
          </w:tcPr>
          <w:p>
            <w:pPr>
              <w:pStyle w:val="11"/>
              <w:rPr>
                <w:rFonts w:hint="eastAsia" w:hAnsi="宋体" w:cs="宋体"/>
                <w:spacing w:val="-6"/>
                <w:sz w:val="24"/>
                <w:szCs w:val="24"/>
              </w:rPr>
            </w:pPr>
            <w:r>
              <w:rPr>
                <w:rFonts w:hint="eastAsia" w:hAnsi="宋体" w:cs="宋体"/>
                <w:spacing w:val="-6"/>
                <w:sz w:val="24"/>
                <w:szCs w:val="24"/>
              </w:rPr>
              <w:t>总报价（人民币大写）：                              （</w:t>
            </w:r>
            <w:r>
              <w:rPr>
                <w:rFonts w:hint="eastAsia" w:hAnsi="宋体" w:cs="宋体"/>
                <w:sz w:val="24"/>
              </w:rPr>
              <w:t>¥</w:t>
            </w:r>
            <w:r>
              <w:rPr>
                <w:rFonts w:hint="eastAsia" w:hAnsi="宋体" w:cs="宋体"/>
                <w:spacing w:val="-6"/>
                <w:sz w:val="24"/>
                <w:szCs w:val="24"/>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5000" w:type="pct"/>
            <w:gridSpan w:val="9"/>
            <w:tcBorders>
              <w:top w:val="single" w:color="auto" w:sz="4" w:space="0"/>
              <w:left w:val="single" w:color="auto" w:sz="4" w:space="0"/>
              <w:bottom w:val="single" w:color="auto" w:sz="4" w:space="0"/>
              <w:right w:val="single" w:color="auto" w:sz="4" w:space="0"/>
            </w:tcBorders>
            <w:noWrap w:val="0"/>
            <w:vAlign w:val="center"/>
          </w:tcPr>
          <w:p>
            <w:pPr>
              <w:pStyle w:val="11"/>
              <w:rPr>
                <w:rFonts w:hint="eastAsia" w:hAnsi="宋体" w:cs="宋体"/>
                <w:spacing w:val="-6"/>
                <w:sz w:val="24"/>
                <w:szCs w:val="24"/>
              </w:rPr>
            </w:pPr>
            <w:r>
              <w:rPr>
                <w:rFonts w:hint="eastAsia" w:hAnsi="宋体" w:cs="宋体"/>
                <w:spacing w:val="-6"/>
                <w:sz w:val="24"/>
                <w:szCs w:val="24"/>
              </w:rPr>
              <w:t>备注：表内报价内容以元为单位，保留小数点后两位。</w:t>
            </w:r>
          </w:p>
        </w:tc>
      </w:tr>
    </w:tbl>
    <w:p>
      <w:pPr>
        <w:kinsoku w:val="0"/>
        <w:spacing w:line="500" w:lineRule="exact"/>
        <w:rPr>
          <w:rFonts w:hint="eastAsia" w:ascii="宋体" w:hAnsi="宋体" w:cs="宋体"/>
          <w:sz w:val="24"/>
        </w:rPr>
      </w:pPr>
      <w:r>
        <w:rPr>
          <w:rFonts w:hint="eastAsia" w:ascii="宋体" w:hAnsi="宋体" w:cs="宋体"/>
          <w:sz w:val="24"/>
        </w:rPr>
        <w:t>注：本表中的“总</w:t>
      </w:r>
      <w:r>
        <w:rPr>
          <w:rFonts w:hint="eastAsia" w:ascii="宋体" w:hAnsi="宋体" w:cs="宋体"/>
          <w:spacing w:val="-6"/>
          <w:sz w:val="24"/>
        </w:rPr>
        <w:t>报价</w:t>
      </w:r>
      <w:r>
        <w:rPr>
          <w:rFonts w:hint="eastAsia" w:ascii="宋体" w:hAnsi="宋体" w:cs="宋体"/>
          <w:sz w:val="24"/>
        </w:rPr>
        <w:t>”与“开标一览表”中的“总报价”一致,各子项分别报价。</w:t>
      </w:r>
    </w:p>
    <w:p>
      <w:pPr>
        <w:pStyle w:val="11"/>
        <w:rPr>
          <w:rFonts w:hint="eastAsia" w:hAnsi="宋体" w:cs="宋体"/>
          <w:sz w:val="24"/>
          <w:szCs w:val="24"/>
        </w:rPr>
      </w:pPr>
    </w:p>
    <w:p>
      <w:pPr>
        <w:pStyle w:val="11"/>
        <w:rPr>
          <w:rFonts w:hint="eastAsia" w:hAnsi="宋体" w:cs="宋体"/>
          <w:sz w:val="24"/>
          <w:szCs w:val="24"/>
        </w:rPr>
      </w:pPr>
    </w:p>
    <w:p>
      <w:pPr>
        <w:pStyle w:val="11"/>
        <w:rPr>
          <w:rFonts w:hint="eastAsia" w:hAnsi="宋体" w:cs="宋体"/>
          <w:sz w:val="24"/>
          <w:szCs w:val="24"/>
        </w:rPr>
      </w:pPr>
    </w:p>
    <w:p>
      <w:pPr>
        <w:pStyle w:val="18"/>
        <w:rPr>
          <w:rFonts w:hint="eastAsia" w:asciiTheme="minorEastAsia" w:hAnsiTheme="minorEastAsia" w:eastAsiaTheme="minorEastAsia" w:cstheme="minorEastAsia"/>
          <w:bCs/>
          <w:smallCaps w:val="0"/>
          <w:color w:val="0000FF"/>
          <w:spacing w:val="0"/>
          <w:sz w:val="30"/>
          <w:szCs w:val="30"/>
          <w:highlight w:val="none"/>
        </w:rPr>
      </w:pPr>
    </w:p>
    <w:p>
      <w:pPr>
        <w:rPr>
          <w:rFonts w:hint="eastAsia" w:asciiTheme="minorEastAsia" w:hAnsiTheme="minorEastAsia" w:eastAsiaTheme="minorEastAsia" w:cstheme="minorEastAsia"/>
          <w:bCs/>
          <w:smallCaps w:val="0"/>
          <w:color w:val="0000FF"/>
          <w:spacing w:val="0"/>
          <w:sz w:val="30"/>
          <w:szCs w:val="30"/>
          <w:highlight w:val="none"/>
        </w:rPr>
      </w:pPr>
    </w:p>
    <w:p>
      <w:pPr>
        <w:keepNext w:val="0"/>
        <w:keepLines w:val="0"/>
        <w:pageBreakBefore w:val="0"/>
        <w:widowControl w:val="0"/>
        <w:kinsoku/>
        <w:wordWrap/>
        <w:overflowPunct/>
        <w:topLinePunct w:val="0"/>
        <w:autoSpaceDE/>
        <w:autoSpaceDN/>
        <w:bidi w:val="0"/>
        <w:adjustRightInd/>
        <w:snapToGrid/>
        <w:spacing w:line="480" w:lineRule="exact"/>
        <w:ind w:left="0" w:right="0" w:firstLine="2640" w:firstLineChars="1100"/>
        <w:textAlignment w:val="auto"/>
        <w:rPr>
          <w:rFonts w:hint="eastAsia" w:asciiTheme="minorEastAsia" w:hAnsiTheme="minorEastAsia" w:eastAsiaTheme="minorEastAsia" w:cstheme="minorEastAsia"/>
          <w:smallCaps w:val="0"/>
          <w:color w:val="auto"/>
          <w:spacing w:val="0"/>
          <w:sz w:val="24"/>
          <w:szCs w:val="24"/>
          <w:highlight w:val="none"/>
          <w:u w:val="single"/>
        </w:rPr>
      </w:pPr>
      <w:r>
        <w:rPr>
          <w:rFonts w:hint="eastAsia" w:asciiTheme="minorEastAsia" w:hAnsiTheme="minorEastAsia" w:eastAsiaTheme="minorEastAsia" w:cstheme="minorEastAsia"/>
          <w:smallCaps w:val="0"/>
          <w:color w:val="auto"/>
          <w:spacing w:val="0"/>
          <w:sz w:val="24"/>
          <w:szCs w:val="24"/>
          <w:highlight w:val="none"/>
        </w:rPr>
        <w:t>法定代表人（被授权人）签字：</w:t>
      </w:r>
      <w:r>
        <w:rPr>
          <w:rFonts w:hint="eastAsia" w:asciiTheme="minorEastAsia" w:hAnsiTheme="minorEastAsia" w:eastAsiaTheme="minorEastAsia" w:cstheme="minorEastAsia"/>
          <w:smallCaps w:val="0"/>
          <w:color w:val="auto"/>
          <w:spacing w:val="0"/>
          <w:sz w:val="24"/>
          <w:szCs w:val="24"/>
          <w:highlight w:val="none"/>
          <w:u w:val="single"/>
        </w:rPr>
        <w:t>　　　　　　　　　　</w:t>
      </w:r>
    </w:p>
    <w:p>
      <w:pPr>
        <w:keepNext w:val="0"/>
        <w:keepLines w:val="0"/>
        <w:pageBreakBefore w:val="0"/>
        <w:widowControl w:val="0"/>
        <w:kinsoku/>
        <w:wordWrap/>
        <w:overflowPunct/>
        <w:topLinePunct w:val="0"/>
        <w:autoSpaceDE/>
        <w:autoSpaceDN/>
        <w:bidi w:val="0"/>
        <w:adjustRightInd/>
        <w:snapToGrid/>
        <w:spacing w:line="480" w:lineRule="exact"/>
        <w:ind w:left="0" w:right="0" w:firstLine="2640" w:firstLineChars="1100"/>
        <w:textAlignment w:val="auto"/>
        <w:rPr>
          <w:rFonts w:hint="eastAsia" w:asciiTheme="minorEastAsia" w:hAnsiTheme="minorEastAsia" w:eastAsiaTheme="minorEastAsia" w:cstheme="minorEastAsia"/>
          <w:smallCaps w:val="0"/>
          <w:color w:val="auto"/>
          <w:spacing w:val="0"/>
          <w:sz w:val="24"/>
          <w:szCs w:val="24"/>
          <w:highlight w:val="none"/>
        </w:rPr>
      </w:pPr>
      <w:r>
        <w:rPr>
          <w:rFonts w:hint="eastAsia" w:asciiTheme="minorEastAsia" w:hAnsiTheme="minorEastAsia" w:eastAsiaTheme="minorEastAsia" w:cstheme="minorEastAsia"/>
          <w:smallCaps w:val="0"/>
          <w:color w:val="auto"/>
          <w:spacing w:val="0"/>
          <w:sz w:val="24"/>
          <w:szCs w:val="24"/>
          <w:highlight w:val="none"/>
        </w:rPr>
        <w:t>投  　  标   　 单  　　位：</w:t>
      </w:r>
      <w:r>
        <w:rPr>
          <w:rFonts w:hint="eastAsia" w:asciiTheme="minorEastAsia" w:hAnsiTheme="minorEastAsia" w:eastAsiaTheme="minorEastAsia" w:cstheme="minorEastAsia"/>
          <w:smallCaps w:val="0"/>
          <w:color w:val="auto"/>
          <w:spacing w:val="0"/>
          <w:sz w:val="24"/>
          <w:szCs w:val="24"/>
          <w:highlight w:val="none"/>
          <w:u w:val="single"/>
        </w:rPr>
        <w:t>　　　　  　（公章）</w:t>
      </w:r>
    </w:p>
    <w:p>
      <w:pPr>
        <w:pStyle w:val="18"/>
        <w:keepNext w:val="0"/>
        <w:keepLines w:val="0"/>
        <w:pageBreakBefore w:val="0"/>
        <w:widowControl w:val="0"/>
        <w:kinsoku/>
        <w:wordWrap/>
        <w:overflowPunct/>
        <w:topLinePunct w:val="0"/>
        <w:autoSpaceDE/>
        <w:autoSpaceDN/>
        <w:bidi w:val="0"/>
        <w:adjustRightInd/>
        <w:snapToGrid/>
        <w:spacing w:line="480" w:lineRule="exact"/>
        <w:ind w:left="0" w:right="0" w:firstLine="2640" w:firstLineChars="1100"/>
        <w:textAlignment w:val="auto"/>
        <w:rPr>
          <w:rFonts w:hint="eastAsia" w:asciiTheme="minorEastAsia" w:hAnsiTheme="minorEastAsia" w:eastAsiaTheme="minorEastAsia" w:cstheme="minorEastAsia"/>
          <w:smallCaps w:val="0"/>
          <w:color w:val="auto"/>
          <w:spacing w:val="0"/>
          <w:highlight w:val="none"/>
        </w:rPr>
      </w:pPr>
      <w:r>
        <w:rPr>
          <w:rFonts w:hint="eastAsia" w:asciiTheme="minorEastAsia" w:hAnsiTheme="minorEastAsia" w:eastAsiaTheme="minorEastAsia" w:cstheme="minorEastAsia"/>
          <w:smallCaps w:val="0"/>
          <w:color w:val="auto"/>
          <w:spacing w:val="0"/>
          <w:sz w:val="24"/>
          <w:szCs w:val="24"/>
          <w:highlight w:val="none"/>
        </w:rPr>
        <w:t>日                   　 期：</w:t>
      </w:r>
      <w:r>
        <w:rPr>
          <w:rFonts w:hint="eastAsia" w:asciiTheme="minorEastAsia" w:hAnsiTheme="minorEastAsia" w:eastAsiaTheme="minorEastAsia" w:cstheme="minorEastAsia"/>
          <w:smallCaps w:val="0"/>
          <w:color w:val="auto"/>
          <w:spacing w:val="0"/>
          <w:sz w:val="24"/>
          <w:szCs w:val="24"/>
          <w:highlight w:val="none"/>
          <w:u w:val="single"/>
        </w:rPr>
        <w:t>　　           　　　</w:t>
      </w:r>
    </w:p>
    <w:p>
      <w:pPr>
        <w:rPr>
          <w:rFonts w:hint="eastAsia" w:asciiTheme="minorEastAsia" w:hAnsiTheme="minorEastAsia" w:eastAsiaTheme="minorEastAsia" w:cstheme="minorEastAsia"/>
          <w:bCs/>
          <w:smallCaps w:val="0"/>
          <w:color w:val="auto"/>
          <w:spacing w:val="0"/>
          <w:sz w:val="30"/>
          <w:szCs w:val="30"/>
          <w:highlight w:val="none"/>
        </w:rPr>
      </w:pPr>
      <w:r>
        <w:rPr>
          <w:rFonts w:hint="eastAsia" w:asciiTheme="minorEastAsia" w:hAnsiTheme="minorEastAsia" w:eastAsiaTheme="minorEastAsia" w:cstheme="minorEastAsia"/>
          <w:bCs/>
          <w:smallCaps w:val="0"/>
          <w:color w:val="auto"/>
          <w:spacing w:val="0"/>
          <w:sz w:val="30"/>
          <w:szCs w:val="30"/>
          <w:highlight w:val="none"/>
        </w:rPr>
        <w:br w:type="page"/>
      </w:r>
    </w:p>
    <w:p>
      <w:pPr>
        <w:spacing w:line="480" w:lineRule="exact"/>
        <w:jc w:val="center"/>
        <w:rPr>
          <w:rFonts w:hint="eastAsia" w:asciiTheme="minorEastAsia" w:hAnsiTheme="minorEastAsia" w:eastAsiaTheme="minorEastAsia" w:cstheme="minorEastAsia"/>
          <w:b/>
          <w:smallCaps w:val="0"/>
          <w:color w:val="000000" w:themeColor="text1"/>
          <w:spacing w:val="0"/>
          <w:sz w:val="32"/>
          <w:szCs w:val="32"/>
          <w:highlight w:val="none"/>
          <w14:textFill>
            <w14:solidFill>
              <w14:schemeClr w14:val="tx1"/>
            </w14:solidFill>
          </w14:textFill>
        </w:rPr>
      </w:pPr>
      <w:r>
        <w:rPr>
          <w:rFonts w:hint="eastAsia" w:asciiTheme="minorEastAsia" w:hAnsiTheme="minorEastAsia" w:eastAsiaTheme="minorEastAsia" w:cstheme="minorEastAsia"/>
          <w:bCs/>
          <w:smallCaps w:val="0"/>
          <w:color w:val="000000" w:themeColor="text1"/>
          <w:spacing w:val="0"/>
          <w:sz w:val="30"/>
          <w:szCs w:val="30"/>
          <w:highlight w:val="none"/>
          <w14:textFill>
            <w14:solidFill>
              <w14:schemeClr w14:val="tx1"/>
            </w14:solidFill>
          </w14:textFill>
        </w:rPr>
        <w:t>附件1：中小企业（监狱企业）声明函</w:t>
      </w:r>
    </w:p>
    <w:p>
      <w:pPr>
        <w:spacing w:line="480" w:lineRule="exact"/>
        <w:ind w:left="6" w:firstLine="482"/>
        <w:rPr>
          <w:rFonts w:hint="eastAsia" w:asciiTheme="minorEastAsia" w:hAnsiTheme="minorEastAsia" w:eastAsiaTheme="minorEastAsia" w:cstheme="minorEastAsia"/>
          <w:smallCaps w:val="0"/>
          <w:color w:val="000000" w:themeColor="text1"/>
          <w:spacing w:val="0"/>
          <w:sz w:val="24"/>
          <w:szCs w:val="28"/>
          <w:highlight w:val="none"/>
          <w14:textFill>
            <w14:solidFill>
              <w14:schemeClr w14:val="tx1"/>
            </w14:solidFill>
          </w14:textFill>
        </w:rPr>
      </w:pPr>
    </w:p>
    <w:p>
      <w:pPr>
        <w:spacing w:line="480" w:lineRule="exact"/>
        <w:ind w:left="6" w:firstLine="482"/>
        <w:rPr>
          <w:rFonts w:hint="eastAsia" w:asciiTheme="minorEastAsia" w:hAnsiTheme="minorEastAsia" w:eastAsiaTheme="minorEastAsia" w:cstheme="minorEastAsia"/>
          <w:smallCaps w:val="0"/>
          <w:color w:val="000000" w:themeColor="text1"/>
          <w:spacing w:val="0"/>
          <w:sz w:val="24"/>
          <w:szCs w:val="28"/>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8"/>
          <w:highlight w:val="none"/>
          <w14:textFill>
            <w14:solidFill>
              <w14:schemeClr w14:val="tx1"/>
            </w14:solidFill>
          </w14:textFill>
        </w:rPr>
        <w:t>本公司郑重声明，根据《政府采购促进中小企业发展暂行办法》（财库〔2011〕181号）或《政府采购支持监狱企业发展有关问题的通知》（财库〔2014〕68号）的规定，本公司为______（请填写：中型、小型、微型或监狱）企业。即，本公司同时满足以下条件：</w:t>
      </w:r>
    </w:p>
    <w:p>
      <w:pPr>
        <w:spacing w:line="480" w:lineRule="exact"/>
        <w:ind w:left="6" w:firstLine="482"/>
        <w:rPr>
          <w:rFonts w:hint="eastAsia" w:asciiTheme="minorEastAsia" w:hAnsiTheme="minorEastAsia" w:eastAsiaTheme="minorEastAsia" w:cstheme="minorEastAsia"/>
          <w:smallCaps w:val="0"/>
          <w:color w:val="000000" w:themeColor="text1"/>
          <w:spacing w:val="0"/>
          <w:sz w:val="24"/>
          <w:szCs w:val="28"/>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8"/>
          <w:highlight w:val="none"/>
          <w14:textFill>
            <w14:solidFill>
              <w14:schemeClr w14:val="tx1"/>
            </w14:solidFill>
          </w14:textFill>
        </w:rPr>
        <w:t>1.根据《工业和信息化部、国家统计局、国家发展和改革委员会、财政部关于印发中小企业划型标准规定的通知》（工信部联企业〔2011〕300号）或《政府采购支持监狱企业发展有关问题的通知》（财库〔2014〕68号）规定的划分标准，本公司为______（请填写：中型、小型、微型或监狱）企业。</w:t>
      </w:r>
    </w:p>
    <w:p>
      <w:pPr>
        <w:spacing w:line="480" w:lineRule="exact"/>
        <w:ind w:left="6" w:firstLine="482"/>
        <w:rPr>
          <w:rFonts w:hint="eastAsia" w:asciiTheme="minorEastAsia" w:hAnsiTheme="minorEastAsia" w:eastAsiaTheme="minorEastAsia" w:cstheme="minorEastAsia"/>
          <w:smallCaps w:val="0"/>
          <w:color w:val="000000" w:themeColor="text1"/>
          <w:spacing w:val="0"/>
          <w:sz w:val="24"/>
          <w:szCs w:val="28"/>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8"/>
          <w:highlight w:val="none"/>
          <w14:textFill>
            <w14:solidFill>
              <w14:schemeClr w14:val="tx1"/>
            </w14:solidFill>
          </w14:textFill>
        </w:rPr>
        <w:t>2.本公司参加______单位的______项目</w:t>
      </w:r>
      <w:r>
        <w:rPr>
          <w:rFonts w:hint="eastAsia" w:asciiTheme="minorEastAsia" w:hAnsiTheme="minorEastAsia" w:eastAsiaTheme="minorEastAsia" w:cstheme="minorEastAsia"/>
          <w:smallCaps w:val="0"/>
          <w:color w:val="000000" w:themeColor="text1"/>
          <w:spacing w:val="0"/>
          <w:sz w:val="24"/>
          <w:szCs w:val="28"/>
          <w:highlight w:val="none"/>
          <w:u w:val="single"/>
          <w14:textFill>
            <w14:solidFill>
              <w14:schemeClr w14:val="tx1"/>
            </w14:solidFill>
          </w14:textFill>
        </w:rPr>
        <w:t xml:space="preserve">    （标段）</w:t>
      </w:r>
      <w:r>
        <w:rPr>
          <w:rFonts w:hint="eastAsia" w:asciiTheme="minorEastAsia" w:hAnsiTheme="minorEastAsia" w:eastAsiaTheme="minorEastAsia" w:cstheme="minorEastAsia"/>
          <w:smallCaps w:val="0"/>
          <w:color w:val="000000" w:themeColor="text1"/>
          <w:spacing w:val="0"/>
          <w:sz w:val="24"/>
          <w:szCs w:val="28"/>
          <w:highlight w:val="none"/>
          <w14:textFill>
            <w14:solidFill>
              <w14:schemeClr w14:val="tx1"/>
            </w14:solidFill>
          </w14:textFill>
        </w:rPr>
        <w:t>采购活动提供本企业制造的货物及服务，由本企业承担工程、提供服务，或者提供其他______（请填写：中型、小型、微型或监狱）企业制造的货物。本条所称货物不包括使用大型企业注册商标的货物。</w:t>
      </w:r>
    </w:p>
    <w:p>
      <w:pPr>
        <w:spacing w:line="480" w:lineRule="exact"/>
        <w:ind w:left="6" w:firstLine="482"/>
        <w:rPr>
          <w:rFonts w:hint="eastAsia" w:asciiTheme="minorEastAsia" w:hAnsiTheme="minorEastAsia" w:eastAsiaTheme="minorEastAsia" w:cstheme="minorEastAsia"/>
          <w:smallCaps w:val="0"/>
          <w:color w:val="000000" w:themeColor="text1"/>
          <w:spacing w:val="0"/>
          <w:sz w:val="24"/>
          <w:szCs w:val="28"/>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8"/>
          <w:highlight w:val="none"/>
          <w14:textFill>
            <w14:solidFill>
              <w14:schemeClr w14:val="tx1"/>
            </w14:solidFill>
          </w14:textFill>
        </w:rPr>
        <w:t>本公司对上述声明的真实性负责。如有虚假，将依法承担相应责任。</w:t>
      </w:r>
    </w:p>
    <w:p>
      <w:pPr>
        <w:spacing w:line="480" w:lineRule="exact"/>
        <w:ind w:left="6" w:firstLine="482"/>
        <w:rPr>
          <w:rFonts w:hint="eastAsia" w:asciiTheme="minorEastAsia" w:hAnsiTheme="minorEastAsia" w:eastAsiaTheme="minorEastAsia" w:cstheme="minorEastAsia"/>
          <w:smallCaps w:val="0"/>
          <w:color w:val="000000" w:themeColor="text1"/>
          <w:spacing w:val="0"/>
          <w:sz w:val="24"/>
          <w:szCs w:val="28"/>
          <w:highlight w:val="none"/>
          <w14:textFill>
            <w14:solidFill>
              <w14:schemeClr w14:val="tx1"/>
            </w14:solidFill>
          </w14:textFill>
        </w:rPr>
      </w:pPr>
    </w:p>
    <w:p>
      <w:pPr>
        <w:spacing w:line="480" w:lineRule="exact"/>
        <w:ind w:left="6" w:firstLine="482"/>
        <w:rPr>
          <w:rFonts w:hint="eastAsia" w:asciiTheme="minorEastAsia" w:hAnsiTheme="minorEastAsia" w:eastAsiaTheme="minorEastAsia" w:cstheme="minorEastAsia"/>
          <w:smallCaps w:val="0"/>
          <w:color w:val="000000" w:themeColor="text1"/>
          <w:spacing w:val="0"/>
          <w:sz w:val="24"/>
          <w:szCs w:val="28"/>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8"/>
          <w:highlight w:val="none"/>
          <w14:textFill>
            <w14:solidFill>
              <w14:schemeClr w14:val="tx1"/>
            </w14:solidFill>
          </w14:textFill>
        </w:rPr>
        <w:t xml:space="preserve">                                   企业名称（盖公章）：</w:t>
      </w:r>
    </w:p>
    <w:p>
      <w:pPr>
        <w:spacing w:line="480" w:lineRule="exact"/>
        <w:ind w:left="6" w:firstLine="482"/>
        <w:rPr>
          <w:rFonts w:hint="eastAsia" w:asciiTheme="minorEastAsia" w:hAnsiTheme="minorEastAsia" w:eastAsiaTheme="minorEastAsia" w:cstheme="minorEastAsia"/>
          <w:smallCaps w:val="0"/>
          <w:color w:val="000000" w:themeColor="text1"/>
          <w:spacing w:val="0"/>
          <w:sz w:val="24"/>
          <w:szCs w:val="28"/>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8"/>
          <w:highlight w:val="none"/>
          <w14:textFill>
            <w14:solidFill>
              <w14:schemeClr w14:val="tx1"/>
            </w14:solidFill>
          </w14:textFill>
        </w:rPr>
        <w:t xml:space="preserve">                                    日   期：</w:t>
      </w:r>
    </w:p>
    <w:p>
      <w:pPr>
        <w:spacing w:line="480" w:lineRule="exact"/>
        <w:ind w:left="6" w:firstLine="482"/>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注：</w:t>
      </w:r>
    </w:p>
    <w:p>
      <w:pPr>
        <w:spacing w:line="480" w:lineRule="exact"/>
        <w:ind w:left="6" w:firstLine="482"/>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1、投标人符合《工业和信息化部、国家统计局、国家发展和改革委员会、财政部关于印发中小企业划型标准规定的通知》（工信部联企业〔2011〕300号）或《政府采购支持监狱企业发展有关问题的通知》（财库〔2014〕68号）规定的划分标准为中小型企业或监狱企业适用。</w:t>
      </w:r>
    </w:p>
    <w:p>
      <w:pPr>
        <w:spacing w:line="480" w:lineRule="exact"/>
        <w:ind w:left="6" w:firstLine="482"/>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2、在政府采购活动中，监狱企业视同小型、微型企业，享受预留份额、评审中价格扣除等政府采购促进中小企业发展的政府采购政策。（监狱企业参加政府采购活动时，还应当提供由省级以上监狱管理局、戒毒管理局(含新疆生产建设兵团)出具的属于监狱企业的证明文件。）</w:t>
      </w:r>
    </w:p>
    <w:p>
      <w:pPr>
        <w:spacing w:line="480" w:lineRule="exact"/>
        <w:ind w:left="6" w:firstLine="482"/>
        <w:rPr>
          <w:rFonts w:hint="eastAsia" w:asciiTheme="minorEastAsia" w:hAnsiTheme="minorEastAsia" w:eastAsiaTheme="minorEastAsia" w:cstheme="minorEastAsia"/>
          <w:b/>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3、投标人为非企业单位的，可不提供此声明。</w:t>
      </w:r>
      <w:r>
        <w:rPr>
          <w:rFonts w:hint="eastAsia" w:asciiTheme="minorEastAsia" w:hAnsiTheme="minorEastAsia" w:eastAsiaTheme="minorEastAsia" w:cstheme="minorEastAsia"/>
          <w:b/>
          <w:smallCaps w:val="0"/>
          <w:color w:val="000000" w:themeColor="text1"/>
          <w:spacing w:val="0"/>
          <w:szCs w:val="21"/>
          <w:highlight w:val="none"/>
          <w14:textFill>
            <w14:solidFill>
              <w14:schemeClr w14:val="tx1"/>
            </w14:solidFill>
          </w14:textFill>
        </w:rPr>
        <w:t xml:space="preserve">   </w:t>
      </w:r>
    </w:p>
    <w:p>
      <w:pPr>
        <w:spacing w:line="480" w:lineRule="exact"/>
        <w:jc w:val="center"/>
        <w:rPr>
          <w:rFonts w:hint="eastAsia" w:asciiTheme="minorEastAsia" w:hAnsiTheme="minorEastAsia" w:eastAsiaTheme="minorEastAsia" w:cstheme="minorEastAsia"/>
          <w:b/>
          <w:smallCaps w:val="0"/>
          <w:color w:val="000000" w:themeColor="text1"/>
          <w:spacing w:val="0"/>
          <w:sz w:val="32"/>
          <w:szCs w:val="32"/>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br w:type="page"/>
      </w:r>
      <w:r>
        <w:rPr>
          <w:rFonts w:hint="eastAsia" w:asciiTheme="minorEastAsia" w:hAnsiTheme="minorEastAsia" w:eastAsiaTheme="minorEastAsia" w:cstheme="minorEastAsia"/>
          <w:bCs/>
          <w:smallCaps w:val="0"/>
          <w:color w:val="000000" w:themeColor="text1"/>
          <w:spacing w:val="0"/>
          <w:sz w:val="30"/>
          <w:szCs w:val="30"/>
          <w:highlight w:val="none"/>
          <w14:textFill>
            <w14:solidFill>
              <w14:schemeClr w14:val="tx1"/>
            </w14:solidFill>
          </w14:textFill>
        </w:rPr>
        <w:t>附件2：残疾人福利性单位声明函</w:t>
      </w:r>
    </w:p>
    <w:p>
      <w:pPr>
        <w:pStyle w:val="8"/>
        <w:jc w:val="center"/>
        <w:rPr>
          <w:rFonts w:hint="eastAsia" w:asciiTheme="minorEastAsia" w:hAnsiTheme="minorEastAsia" w:eastAsiaTheme="minorEastAsia" w:cstheme="minorEastAsia"/>
          <w:b/>
          <w:smallCaps w:val="0"/>
          <w:color w:val="000000" w:themeColor="text1"/>
          <w:spacing w:val="0"/>
          <w:sz w:val="32"/>
          <w:szCs w:val="32"/>
          <w:highlight w:val="none"/>
          <w14:textFill>
            <w14:solidFill>
              <w14:schemeClr w14:val="tx1"/>
            </w14:solidFill>
          </w14:textFill>
        </w:rPr>
      </w:pPr>
    </w:p>
    <w:p>
      <w:pPr>
        <w:spacing w:line="480" w:lineRule="exact"/>
        <w:ind w:left="6" w:firstLine="482"/>
        <w:rPr>
          <w:rFonts w:hint="eastAsia" w:asciiTheme="minorEastAsia" w:hAnsiTheme="minorEastAsia" w:eastAsiaTheme="minorEastAsia" w:cstheme="minorEastAsia"/>
          <w:smallCaps w:val="0"/>
          <w:color w:val="000000" w:themeColor="text1"/>
          <w:spacing w:val="0"/>
          <w:sz w:val="24"/>
          <w:szCs w:val="28"/>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8"/>
          <w:highlight w:val="none"/>
          <w14:textFill>
            <w14:solidFill>
              <w14:schemeClr w14:val="tx1"/>
            </w14:solidFill>
          </w14:textFill>
        </w:rPr>
        <w:t>本单位郑重声明，根据《财政部 民政部 中国残疾人联合会关于促进残疾人就业政府采购政策的通知》（财库〔2017〕 141号）的规定，本单位为符合条件的残疾人福利性单位，且本单位参加______单位的______项目</w:t>
      </w:r>
      <w:r>
        <w:rPr>
          <w:rFonts w:hint="eastAsia" w:asciiTheme="minorEastAsia" w:hAnsiTheme="minorEastAsia" w:eastAsiaTheme="minorEastAsia" w:cstheme="minorEastAsia"/>
          <w:smallCaps w:val="0"/>
          <w:color w:val="000000" w:themeColor="text1"/>
          <w:spacing w:val="0"/>
          <w:sz w:val="24"/>
          <w:szCs w:val="28"/>
          <w:highlight w:val="none"/>
          <w:u w:val="single"/>
          <w14:textFill>
            <w14:solidFill>
              <w14:schemeClr w14:val="tx1"/>
            </w14:solidFill>
          </w14:textFill>
        </w:rPr>
        <w:t xml:space="preserve">   （标段）</w:t>
      </w:r>
      <w:r>
        <w:rPr>
          <w:rFonts w:hint="eastAsia" w:asciiTheme="minorEastAsia" w:hAnsiTheme="minorEastAsia" w:eastAsiaTheme="minorEastAsia" w:cstheme="minorEastAsia"/>
          <w:smallCaps w:val="0"/>
          <w:color w:val="000000" w:themeColor="text1"/>
          <w:spacing w:val="0"/>
          <w:sz w:val="24"/>
          <w:szCs w:val="28"/>
          <w:highlight w:val="none"/>
          <w14:textFill>
            <w14:solidFill>
              <w14:schemeClr w14:val="tx1"/>
            </w14:solidFill>
          </w14:textFill>
        </w:rPr>
        <w:t>采购活动提供本单位制造的货物（由本单位承担工程/提供服务），或者提供其他残疾人福利性单位制造的货物（不包括使用非残疾人福利性单位注册商标的货物）。</w:t>
      </w:r>
    </w:p>
    <w:p>
      <w:pPr>
        <w:spacing w:line="480" w:lineRule="exact"/>
        <w:ind w:left="6" w:firstLine="482"/>
        <w:rPr>
          <w:rFonts w:hint="eastAsia" w:asciiTheme="minorEastAsia" w:hAnsiTheme="minorEastAsia" w:eastAsiaTheme="minorEastAsia" w:cstheme="minorEastAsia"/>
          <w:smallCaps w:val="0"/>
          <w:color w:val="000000" w:themeColor="text1"/>
          <w:spacing w:val="0"/>
          <w:sz w:val="24"/>
          <w:szCs w:val="28"/>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8"/>
          <w:highlight w:val="none"/>
          <w14:textFill>
            <w14:solidFill>
              <w14:schemeClr w14:val="tx1"/>
            </w14:solidFill>
          </w14:textFill>
        </w:rPr>
        <w:t>本单位对上述声明的真实性负责。如有虚假，将依法承担相应责任。</w:t>
      </w:r>
    </w:p>
    <w:p>
      <w:pPr>
        <w:spacing w:before="120" w:after="120"/>
        <w:ind w:left="6" w:firstLine="480"/>
        <w:rPr>
          <w:rFonts w:hint="eastAsia" w:asciiTheme="minorEastAsia" w:hAnsiTheme="minorEastAsia" w:eastAsiaTheme="minorEastAsia" w:cstheme="minorEastAsia"/>
          <w:smallCaps w:val="0"/>
          <w:color w:val="000000" w:themeColor="text1"/>
          <w:spacing w:val="0"/>
          <w:sz w:val="24"/>
          <w:szCs w:val="28"/>
          <w:highlight w:val="none"/>
          <w14:textFill>
            <w14:solidFill>
              <w14:schemeClr w14:val="tx1"/>
            </w14:solidFill>
          </w14:textFill>
        </w:rPr>
      </w:pPr>
    </w:p>
    <w:p>
      <w:pPr>
        <w:spacing w:before="120" w:after="120"/>
        <w:ind w:left="6" w:firstLine="480"/>
        <w:rPr>
          <w:rFonts w:hint="eastAsia" w:asciiTheme="minorEastAsia" w:hAnsiTheme="minorEastAsia" w:eastAsiaTheme="minorEastAsia" w:cstheme="minorEastAsia"/>
          <w:smallCaps w:val="0"/>
          <w:color w:val="000000" w:themeColor="text1"/>
          <w:spacing w:val="0"/>
          <w:sz w:val="24"/>
          <w:szCs w:val="28"/>
          <w:highlight w:val="none"/>
          <w14:textFill>
            <w14:solidFill>
              <w14:schemeClr w14:val="tx1"/>
            </w14:solidFill>
          </w14:textFill>
        </w:rPr>
      </w:pPr>
    </w:p>
    <w:p>
      <w:pPr>
        <w:spacing w:before="120" w:after="120"/>
        <w:ind w:left="6" w:firstLine="480"/>
        <w:rPr>
          <w:rFonts w:hint="eastAsia" w:asciiTheme="minorEastAsia" w:hAnsiTheme="minorEastAsia" w:eastAsiaTheme="minorEastAsia" w:cstheme="minorEastAsia"/>
          <w:smallCaps w:val="0"/>
          <w:color w:val="000000" w:themeColor="text1"/>
          <w:spacing w:val="0"/>
          <w:sz w:val="24"/>
          <w:szCs w:val="28"/>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8"/>
          <w:highlight w:val="none"/>
          <w14:textFill>
            <w14:solidFill>
              <w14:schemeClr w14:val="tx1"/>
            </w14:solidFill>
          </w14:textFill>
        </w:rPr>
        <w:t xml:space="preserve">                                  单位名称（盖公章）：</w:t>
      </w:r>
    </w:p>
    <w:p>
      <w:pPr>
        <w:spacing w:before="120" w:after="120"/>
        <w:ind w:left="6" w:firstLine="480"/>
        <w:rPr>
          <w:rFonts w:hint="eastAsia" w:asciiTheme="minorEastAsia" w:hAnsiTheme="minorEastAsia" w:eastAsiaTheme="minorEastAsia" w:cstheme="minorEastAsia"/>
          <w:smallCaps w:val="0"/>
          <w:color w:val="000000" w:themeColor="text1"/>
          <w:spacing w:val="0"/>
          <w:sz w:val="24"/>
          <w:szCs w:val="28"/>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8"/>
          <w:highlight w:val="none"/>
          <w14:textFill>
            <w14:solidFill>
              <w14:schemeClr w14:val="tx1"/>
            </w14:solidFill>
          </w14:textFill>
        </w:rPr>
        <w:t xml:space="preserve">                                      日  期：</w:t>
      </w:r>
    </w:p>
    <w:p>
      <w:pPr>
        <w:spacing w:before="120" w:after="120"/>
        <w:ind w:left="6" w:firstLine="480"/>
        <w:rPr>
          <w:rFonts w:hint="eastAsia" w:asciiTheme="minorEastAsia" w:hAnsiTheme="minorEastAsia" w:eastAsiaTheme="minorEastAsia" w:cstheme="minorEastAsia"/>
          <w:smallCaps w:val="0"/>
          <w:color w:val="000000" w:themeColor="text1"/>
          <w:spacing w:val="0"/>
          <w:sz w:val="24"/>
          <w:szCs w:val="28"/>
          <w:highlight w:val="none"/>
          <w14:textFill>
            <w14:solidFill>
              <w14:schemeClr w14:val="tx1"/>
            </w14:solidFill>
          </w14:textFill>
        </w:rPr>
      </w:pPr>
    </w:p>
    <w:p>
      <w:pPr>
        <w:spacing w:line="480" w:lineRule="exact"/>
        <w:ind w:left="6" w:firstLine="482"/>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注：</w:t>
      </w:r>
    </w:p>
    <w:p>
      <w:pPr>
        <w:spacing w:line="480" w:lineRule="exact"/>
        <w:ind w:left="6" w:firstLine="482"/>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1、残疾人福利性单位视同小型、微型企业，享受预留份额、评审中价格扣除等促进中小企业发展的政府采购政策。残疾人福利性单位属于小型、微型企业的，不重复享受政策。</w:t>
      </w:r>
    </w:p>
    <w:p>
      <w:pPr>
        <w:spacing w:line="480" w:lineRule="exact"/>
        <w:ind w:left="6" w:firstLine="482"/>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2、投标人为非残疾人福利性单位的，可不提供此声明。</w:t>
      </w:r>
    </w:p>
    <w:p>
      <w:pPr>
        <w:spacing w:line="460" w:lineRule="exact"/>
        <w:jc w:val="left"/>
        <w:rPr>
          <w:rFonts w:hint="eastAsia" w:asciiTheme="minorEastAsia" w:hAnsiTheme="minorEastAsia" w:eastAsiaTheme="minorEastAsia" w:cstheme="minorEastAsia"/>
          <w:smallCaps w:val="0"/>
          <w:color w:val="000000" w:themeColor="text1"/>
          <w:spacing w:val="0"/>
          <w:kern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kern w:val="0"/>
          <w:sz w:val="24"/>
          <w:szCs w:val="24"/>
          <w:highlight w:val="none"/>
          <w14:textFill>
            <w14:solidFill>
              <w14:schemeClr w14:val="tx1"/>
            </w14:solidFill>
          </w14:textFill>
        </w:rPr>
        <w:br w:type="page"/>
      </w:r>
    </w:p>
    <w:p>
      <w:pPr>
        <w:pStyle w:val="3"/>
        <w:rPr>
          <w:rFonts w:hint="eastAsia" w:asciiTheme="minorEastAsia" w:hAnsiTheme="minorEastAsia" w:eastAsiaTheme="minorEastAsia" w:cstheme="minorEastAsia"/>
          <w:b/>
          <w:bCs/>
          <w:smallCaps w:val="0"/>
          <w:color w:val="000000" w:themeColor="text1"/>
          <w:spacing w:val="0"/>
          <w:szCs w:val="30"/>
          <w:highlight w:val="none"/>
          <w14:textFill>
            <w14:solidFill>
              <w14:schemeClr w14:val="tx1"/>
            </w14:solidFill>
          </w14:textFill>
        </w:rPr>
      </w:pPr>
      <w:bookmarkStart w:id="243" w:name="_Toc23112"/>
      <w:r>
        <w:rPr>
          <w:rFonts w:hint="eastAsia" w:asciiTheme="minorEastAsia" w:hAnsiTheme="minorEastAsia" w:eastAsiaTheme="minorEastAsia" w:cstheme="minorEastAsia"/>
          <w:b/>
          <w:bCs/>
          <w:smallCaps w:val="0"/>
          <w:color w:val="000000" w:themeColor="text1"/>
          <w:spacing w:val="0"/>
          <w:szCs w:val="30"/>
          <w:highlight w:val="none"/>
          <w14:textFill>
            <w14:solidFill>
              <w14:schemeClr w14:val="tx1"/>
            </w14:solidFill>
          </w14:textFill>
        </w:rPr>
        <w:t>三、商务/技术偏离表</w:t>
      </w:r>
      <w:bookmarkEnd w:id="243"/>
    </w:p>
    <w:p>
      <w:pPr>
        <w:spacing w:line="480" w:lineRule="exact"/>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供应商名称：</w:t>
      </w:r>
      <w:r>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t>　　　　　　　　　　</w:t>
      </w:r>
    </w:p>
    <w:p>
      <w:pPr>
        <w:spacing w:line="480" w:lineRule="exact"/>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采购项目名称：</w:t>
      </w:r>
      <w:r>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t>　　　　　　　　　</w:t>
      </w:r>
    </w:p>
    <w:tbl>
      <w:tblPr>
        <w:tblStyle w:val="23"/>
        <w:tblW w:w="8390"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680"/>
        <w:gridCol w:w="2847"/>
        <w:gridCol w:w="2056"/>
        <w:gridCol w:w="1204"/>
        <w:gridCol w:w="160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620" w:hRule="atLeast"/>
          <w:jc w:val="center"/>
        </w:trPr>
        <w:tc>
          <w:tcPr>
            <w:tcW w:w="680"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序号</w:t>
            </w:r>
          </w:p>
        </w:tc>
        <w:tc>
          <w:tcPr>
            <w:tcW w:w="2847"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招标文件要求</w:t>
            </w:r>
          </w:p>
        </w:tc>
        <w:tc>
          <w:tcPr>
            <w:tcW w:w="2056"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投标文件响应</w:t>
            </w:r>
          </w:p>
        </w:tc>
        <w:tc>
          <w:tcPr>
            <w:tcW w:w="1204"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偏离</w:t>
            </w:r>
          </w:p>
        </w:tc>
        <w:tc>
          <w:tcPr>
            <w:tcW w:w="1603"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说明</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680"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2847"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2056"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204"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603"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680"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2847"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2056"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204"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603"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680"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2847"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2056"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204"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603"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680"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2847"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2056"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204"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603"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680"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2847"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2056"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204"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603"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680"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2847"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2056"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204"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603"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680"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2847"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2056"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204"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603"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680"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2847"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2056"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204"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603"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680"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2847"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2056"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204"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603"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680"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2847"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2056"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204"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603"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680"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2847"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2056"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204"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603"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0" w:hRule="atLeast"/>
          <w:jc w:val="center"/>
        </w:trPr>
        <w:tc>
          <w:tcPr>
            <w:tcW w:w="680"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2847"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2056"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204"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603" w:type="dxa"/>
            <w:vAlign w:val="center"/>
          </w:tcPr>
          <w:p>
            <w:pPr>
              <w:spacing w:line="48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r>
    </w:tbl>
    <w:p>
      <w:pPr>
        <w:adjustRightInd w:val="0"/>
        <w:snapToGrid w:val="0"/>
        <w:spacing w:line="480" w:lineRule="exact"/>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 xml:space="preserve">   </w:t>
      </w: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声明：负偏离填写“负偏离”；正偏离填写“正偏离”；若不偏离，则填写“无；</w:t>
      </w:r>
    </w:p>
    <w:p>
      <w:pPr>
        <w:spacing w:line="480" w:lineRule="exact"/>
        <w:ind w:right="-161" w:firstLine="2640" w:firstLineChars="1100"/>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法定代表人或被授权代表签字：</w:t>
      </w:r>
      <w:r>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t>　　　　　　　　</w:t>
      </w:r>
    </w:p>
    <w:p>
      <w:pPr>
        <w:spacing w:line="480" w:lineRule="exact"/>
        <w:ind w:right="-161" w:firstLine="2640" w:firstLineChars="11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投   　　标  　　单 　  位：</w:t>
      </w:r>
      <w:r>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t>　　　　（公章）</w:t>
      </w:r>
    </w:p>
    <w:p>
      <w:pPr>
        <w:spacing w:line="480" w:lineRule="exact"/>
        <w:ind w:right="480" w:firstLine="2640" w:firstLineChars="1100"/>
        <w:rPr>
          <w:rFonts w:hint="eastAsia" w:asciiTheme="minorEastAsia" w:hAnsiTheme="minorEastAsia" w:eastAsiaTheme="minorEastAsia" w:cstheme="minorEastAsia"/>
          <w:b/>
          <w:bCs/>
          <w:smallCaps w:val="0"/>
          <w:color w:val="000000" w:themeColor="text1"/>
          <w:spacing w:val="0"/>
          <w:sz w:val="32"/>
          <w:szCs w:val="32"/>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日                    　期：</w:t>
      </w:r>
      <w:r>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t>　　        　　　</w:t>
      </w:r>
      <w:bookmarkStart w:id="244" w:name="_Toc27600"/>
      <w:bookmarkStart w:id="245" w:name="_Toc312789407"/>
      <w:bookmarkStart w:id="246" w:name="_Toc347478750"/>
      <w:bookmarkStart w:id="247" w:name="_Toc311415661"/>
      <w:bookmarkStart w:id="248" w:name="_Toc283240500"/>
      <w:bookmarkStart w:id="249" w:name="_Toc334522295"/>
      <w:r>
        <w:rPr>
          <w:rFonts w:hint="eastAsia" w:asciiTheme="minorEastAsia" w:hAnsiTheme="minorEastAsia" w:eastAsiaTheme="minorEastAsia" w:cstheme="minorEastAsia"/>
          <w:b/>
          <w:bCs/>
          <w:smallCaps w:val="0"/>
          <w:color w:val="000000" w:themeColor="text1"/>
          <w:spacing w:val="0"/>
          <w:sz w:val="32"/>
          <w:szCs w:val="32"/>
          <w:highlight w:val="none"/>
          <w14:textFill>
            <w14:solidFill>
              <w14:schemeClr w14:val="tx1"/>
            </w14:solidFill>
          </w14:textFill>
        </w:rPr>
        <w:br w:type="page"/>
      </w:r>
    </w:p>
    <w:bookmarkEnd w:id="244"/>
    <w:bookmarkEnd w:id="245"/>
    <w:bookmarkEnd w:id="246"/>
    <w:bookmarkEnd w:id="247"/>
    <w:bookmarkEnd w:id="248"/>
    <w:bookmarkEnd w:id="249"/>
    <w:p>
      <w:pPr>
        <w:pStyle w:val="3"/>
        <w:rPr>
          <w:rFonts w:hint="eastAsia" w:asciiTheme="minorEastAsia" w:hAnsiTheme="minorEastAsia" w:eastAsiaTheme="minorEastAsia" w:cstheme="minorEastAsia"/>
          <w:b/>
          <w:bCs/>
          <w:smallCaps w:val="0"/>
          <w:color w:val="000000" w:themeColor="text1"/>
          <w:spacing w:val="0"/>
          <w:highlight w:val="none"/>
          <w14:textFill>
            <w14:solidFill>
              <w14:schemeClr w14:val="tx1"/>
            </w14:solidFill>
          </w14:textFill>
        </w:rPr>
      </w:pPr>
      <w:bookmarkStart w:id="250" w:name="_Toc347478751"/>
      <w:bookmarkStart w:id="251" w:name="_Toc283240501"/>
      <w:bookmarkStart w:id="252" w:name="_Toc19436"/>
      <w:bookmarkStart w:id="253" w:name="_Toc334522296"/>
      <w:bookmarkStart w:id="254" w:name="_Toc311415662"/>
      <w:bookmarkStart w:id="255" w:name="_Toc312789408"/>
      <w:bookmarkStart w:id="256" w:name="_Toc18690"/>
      <w:r>
        <w:rPr>
          <w:rFonts w:hint="eastAsia" w:asciiTheme="minorEastAsia" w:hAnsiTheme="minorEastAsia" w:eastAsiaTheme="minorEastAsia" w:cstheme="minorEastAsia"/>
          <w:b/>
          <w:bCs/>
          <w:smallCaps w:val="0"/>
          <w:color w:val="000000" w:themeColor="text1"/>
          <w:spacing w:val="0"/>
          <w:highlight w:val="none"/>
          <w14:textFill>
            <w14:solidFill>
              <w14:schemeClr w14:val="tx1"/>
            </w14:solidFill>
          </w14:textFill>
        </w:rPr>
        <w:t>四、资格证明文件</w:t>
      </w:r>
      <w:bookmarkEnd w:id="250"/>
      <w:bookmarkEnd w:id="251"/>
      <w:bookmarkEnd w:id="252"/>
      <w:bookmarkEnd w:id="253"/>
      <w:bookmarkEnd w:id="254"/>
      <w:bookmarkEnd w:id="255"/>
      <w:bookmarkEnd w:id="256"/>
    </w:p>
    <w:p>
      <w:pPr>
        <w:pStyle w:val="20"/>
        <w:widowControl/>
        <w:spacing w:before="0" w:beforeAutospacing="0" w:after="0" w:afterAutospacing="0" w:line="400" w:lineRule="exact"/>
        <w:ind w:firstLine="480" w:firstLineChars="200"/>
        <w:jc w:val="both"/>
        <w:rPr>
          <w:rFonts w:hint="eastAsia" w:asciiTheme="minorEastAsia" w:hAnsiTheme="minorEastAsia" w:eastAsiaTheme="minorEastAsia" w:cstheme="minorEastAsia"/>
          <w:smallCaps w:val="0"/>
          <w:color w:val="000000" w:themeColor="text1"/>
          <w:spacing w:val="0"/>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4"/>
          <w:highlight w:val="none"/>
          <w:lang w:eastAsia="zh-CN"/>
          <w14:textFill>
            <w14:solidFill>
              <w14:schemeClr w14:val="tx1"/>
            </w14:solidFill>
          </w14:textFill>
        </w:rPr>
        <w:t>一、</w:t>
      </w:r>
      <w:r>
        <w:rPr>
          <w:rFonts w:hint="eastAsia" w:asciiTheme="minorEastAsia" w:hAnsiTheme="minorEastAsia" w:eastAsiaTheme="minorEastAsia" w:cstheme="minorEastAsia"/>
          <w:smallCaps w:val="0"/>
          <w:color w:val="000000" w:themeColor="text1"/>
          <w:spacing w:val="0"/>
          <w:szCs w:val="24"/>
          <w:highlight w:val="none"/>
          <w14:textFill>
            <w14:solidFill>
              <w14:schemeClr w14:val="tx1"/>
            </w14:solidFill>
          </w14:textFill>
        </w:rPr>
        <w:t>参加政府采购活动的供应商应当具备《中华人民共和国政府采购法》第二十二条第一款规定的条件，提供下列材料：</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eastAsia" w:asciiTheme="minorEastAsia" w:hAnsiTheme="minorEastAsia" w:eastAsiaTheme="minorEastAsia" w:cstheme="minorEastAsia"/>
          <w:smallCaps w:val="0"/>
          <w:color w:val="auto"/>
          <w:spacing w:val="0"/>
          <w:sz w:val="24"/>
          <w:szCs w:val="24"/>
          <w:highlight w:val="none"/>
          <w:u w:val="none"/>
          <w:lang w:val="en-US" w:eastAsia="zh-CN"/>
        </w:rPr>
      </w:pPr>
      <w:r>
        <w:rPr>
          <w:rFonts w:hint="eastAsia" w:asciiTheme="minorEastAsia" w:hAnsiTheme="minorEastAsia" w:eastAsiaTheme="minorEastAsia" w:cstheme="minorEastAsia"/>
          <w:smallCaps w:val="0"/>
          <w:color w:val="auto"/>
          <w:spacing w:val="0"/>
          <w:sz w:val="24"/>
          <w:szCs w:val="24"/>
          <w:highlight w:val="none"/>
          <w:u w:val="none"/>
          <w:lang w:val="en-US" w:eastAsia="zh-CN"/>
        </w:rPr>
        <w:t>1.</w:t>
      </w:r>
      <w:r>
        <w:rPr>
          <w:rFonts w:hint="eastAsia" w:ascii="宋体" w:hAnsi="宋体" w:eastAsia="宋体" w:cs="宋体"/>
          <w:b w:val="0"/>
          <w:bCs w:val="0"/>
          <w:smallCaps w:val="0"/>
          <w:color w:val="auto"/>
          <w:spacing w:val="0"/>
          <w:kern w:val="2"/>
          <w:sz w:val="24"/>
          <w:szCs w:val="24"/>
          <w:lang w:val="en-US" w:eastAsia="zh-CN" w:bidi="ar"/>
        </w:rPr>
        <w:t>具有独立承担民事责任能力的法人、其他组织或自然人，提供三证合一或五证合一的企业提供带有统一社会信用代码的营业执照副本/事业单位法人证书副本/非企业专业服务机构执业许可证副本/自然人身份证</w:t>
      </w:r>
      <w:r>
        <w:rPr>
          <w:rFonts w:hint="eastAsia" w:asciiTheme="minorEastAsia" w:hAnsiTheme="minorEastAsia" w:eastAsiaTheme="minorEastAsia" w:cstheme="minorEastAsia"/>
          <w:smallCaps w:val="0"/>
          <w:color w:val="auto"/>
          <w:spacing w:val="0"/>
          <w:sz w:val="24"/>
          <w:szCs w:val="24"/>
          <w:highlight w:val="none"/>
          <w:u w:val="none"/>
          <w:lang w:val="en-US" w:eastAsia="zh-CN"/>
        </w:rPr>
        <w:t>；</w:t>
      </w:r>
      <w:r>
        <w:rPr>
          <w:rFonts w:hint="eastAsia" w:asciiTheme="minorEastAsia" w:hAnsiTheme="minorEastAsia" w:eastAsiaTheme="minorEastAsia" w:cstheme="minorEastAsia"/>
          <w:smallCaps w:val="0"/>
          <w:color w:val="auto"/>
          <w:spacing w:val="0"/>
          <w:sz w:val="24"/>
          <w:szCs w:val="24"/>
          <w:highlight w:val="none"/>
          <w:u w:val="none"/>
          <w:lang w:val="en-US" w:eastAsia="zh-CN"/>
        </w:rPr>
        <w:br w:type="textWrapping"/>
      </w:r>
      <w:r>
        <w:rPr>
          <w:rFonts w:hint="eastAsia" w:asciiTheme="minorEastAsia" w:hAnsiTheme="minorEastAsia" w:eastAsiaTheme="minorEastAsia" w:cstheme="minorEastAsia"/>
          <w:smallCaps w:val="0"/>
          <w:color w:val="auto"/>
          <w:spacing w:val="0"/>
          <w:sz w:val="24"/>
          <w:szCs w:val="24"/>
          <w:highlight w:val="none"/>
          <w:u w:val="none"/>
          <w:lang w:val="en-US" w:eastAsia="zh-CN"/>
        </w:rPr>
        <w:t xml:space="preserve">  2.法定代表人授权委托书及被授权人身份证（法定代表人直接参加时，只须出示法定代表人身份证）；</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eastAsia" w:asciiTheme="minorEastAsia" w:hAnsiTheme="minorEastAsia" w:eastAsiaTheme="minorEastAsia" w:cstheme="minorEastAsia"/>
          <w:smallCaps w:val="0"/>
          <w:color w:val="auto"/>
          <w:spacing w:val="0"/>
          <w:sz w:val="24"/>
          <w:szCs w:val="24"/>
          <w:highlight w:val="none"/>
          <w:u w:val="none"/>
          <w:lang w:val="en-US" w:eastAsia="zh-CN"/>
        </w:rPr>
      </w:pPr>
      <w:r>
        <w:rPr>
          <w:rFonts w:hint="eastAsia" w:asciiTheme="minorEastAsia" w:hAnsiTheme="minorEastAsia" w:eastAsiaTheme="minorEastAsia" w:cstheme="minorEastAsia"/>
          <w:smallCaps w:val="0"/>
          <w:color w:val="auto"/>
          <w:spacing w:val="0"/>
          <w:sz w:val="24"/>
          <w:szCs w:val="24"/>
          <w:highlight w:val="none"/>
          <w:u w:val="none"/>
          <w:lang w:val="en-US" w:eastAsia="zh-CN"/>
        </w:rPr>
        <w:t>3.须提供2021年1月1日以来已缴存的至少一个月的社会保障资金缴存单据或社保机构开具的社会保险参保缴费情况证明。依法不需要缴纳社会保障资金的供应商应提供相关文件证明（复印件加盖供应商公章）；</w:t>
      </w:r>
      <w:r>
        <w:rPr>
          <w:rFonts w:hint="eastAsia" w:asciiTheme="minorEastAsia" w:hAnsiTheme="minorEastAsia" w:eastAsiaTheme="minorEastAsia" w:cstheme="minorEastAsia"/>
          <w:smallCaps w:val="0"/>
          <w:color w:val="auto"/>
          <w:spacing w:val="0"/>
          <w:sz w:val="24"/>
          <w:szCs w:val="24"/>
          <w:highlight w:val="none"/>
          <w:u w:val="none"/>
          <w:lang w:val="en-US" w:eastAsia="zh-CN"/>
        </w:rPr>
        <w:br w:type="textWrapping"/>
      </w:r>
      <w:r>
        <w:rPr>
          <w:rFonts w:hint="eastAsia" w:asciiTheme="minorEastAsia" w:hAnsiTheme="minorEastAsia" w:eastAsiaTheme="minorEastAsia" w:cstheme="minorEastAsia"/>
          <w:smallCaps w:val="0"/>
          <w:color w:val="auto"/>
          <w:spacing w:val="0"/>
          <w:sz w:val="24"/>
          <w:szCs w:val="24"/>
          <w:highlight w:val="none"/>
          <w:u w:val="none"/>
          <w:lang w:val="en-US" w:eastAsia="zh-CN"/>
        </w:rPr>
        <w:t xml:space="preserve">  4.须提供2021年1月1日以来已缴纳的至少三个月的纳税证明或完税证明（提供增值税、企业所得税至少一种）。依法免税的供应商应提供相关文件证明（复印件加盖供应商公章）。</w:t>
      </w:r>
      <w:r>
        <w:rPr>
          <w:rFonts w:hint="eastAsia" w:asciiTheme="minorEastAsia" w:hAnsiTheme="minorEastAsia" w:eastAsiaTheme="minorEastAsia" w:cstheme="minorEastAsia"/>
          <w:smallCaps w:val="0"/>
          <w:color w:val="auto"/>
          <w:spacing w:val="0"/>
          <w:sz w:val="24"/>
          <w:szCs w:val="24"/>
          <w:highlight w:val="none"/>
          <w:u w:val="none"/>
          <w:lang w:val="en-US" w:eastAsia="zh-CN"/>
        </w:rPr>
        <w:br w:type="textWrapping"/>
      </w:r>
      <w:r>
        <w:rPr>
          <w:rFonts w:hint="eastAsia" w:asciiTheme="minorEastAsia" w:hAnsiTheme="minorEastAsia" w:eastAsiaTheme="minorEastAsia" w:cstheme="minorEastAsia"/>
          <w:smallCaps w:val="0"/>
          <w:color w:val="auto"/>
          <w:spacing w:val="0"/>
          <w:sz w:val="24"/>
          <w:szCs w:val="24"/>
          <w:highlight w:val="none"/>
          <w:u w:val="none"/>
          <w:lang w:val="en-US" w:eastAsia="zh-CN"/>
        </w:rPr>
        <w:t xml:space="preserve">  5.提供经会计事务所或具有财务审计资质的单位出具的2019年度或2020年度财务审计报告，或其开标前三个月内银行出具的资信证明；</w:t>
      </w:r>
      <w:r>
        <w:rPr>
          <w:rFonts w:hint="eastAsia" w:asciiTheme="minorEastAsia" w:hAnsiTheme="minorEastAsia" w:eastAsiaTheme="minorEastAsia" w:cstheme="minorEastAsia"/>
          <w:smallCaps w:val="0"/>
          <w:color w:val="auto"/>
          <w:spacing w:val="0"/>
          <w:sz w:val="24"/>
          <w:szCs w:val="24"/>
          <w:highlight w:val="none"/>
          <w:u w:val="none"/>
          <w:lang w:val="en-US" w:eastAsia="zh-CN"/>
        </w:rPr>
        <w:br w:type="textWrapping"/>
      </w:r>
      <w:r>
        <w:rPr>
          <w:rFonts w:hint="eastAsia" w:asciiTheme="minorEastAsia" w:hAnsiTheme="minorEastAsia" w:eastAsiaTheme="minorEastAsia" w:cstheme="minorEastAsia"/>
          <w:smallCaps w:val="0"/>
          <w:color w:val="auto"/>
          <w:spacing w:val="0"/>
          <w:sz w:val="24"/>
          <w:szCs w:val="24"/>
          <w:highlight w:val="none"/>
          <w:u w:val="none"/>
          <w:lang w:val="en-US" w:eastAsia="zh-CN"/>
        </w:rPr>
        <w:t xml:space="preserve">  6.近年（2018年至今）承担过类似项目，提供合同协议书1份；</w:t>
      </w:r>
      <w:r>
        <w:rPr>
          <w:rFonts w:hint="eastAsia" w:asciiTheme="minorEastAsia" w:hAnsiTheme="minorEastAsia" w:eastAsiaTheme="minorEastAsia" w:cstheme="minorEastAsia"/>
          <w:smallCaps w:val="0"/>
          <w:color w:val="auto"/>
          <w:spacing w:val="0"/>
          <w:sz w:val="24"/>
          <w:szCs w:val="24"/>
          <w:highlight w:val="none"/>
          <w:u w:val="none"/>
          <w:lang w:val="en-US" w:eastAsia="zh-CN"/>
        </w:rPr>
        <w:br w:type="textWrapping"/>
      </w:r>
      <w:r>
        <w:rPr>
          <w:rFonts w:hint="eastAsia" w:asciiTheme="minorEastAsia" w:hAnsiTheme="minorEastAsia" w:eastAsiaTheme="minorEastAsia" w:cstheme="minorEastAsia"/>
          <w:smallCaps w:val="0"/>
          <w:color w:val="auto"/>
          <w:spacing w:val="0"/>
          <w:sz w:val="24"/>
          <w:szCs w:val="24"/>
          <w:highlight w:val="none"/>
          <w:u w:val="none"/>
          <w:lang w:val="en-US" w:eastAsia="zh-CN"/>
        </w:rPr>
        <w:t xml:space="preserve">  7.参加政府采购活动前3年内经营活动中没有重大违法记录声明。</w:t>
      </w:r>
      <w:r>
        <w:rPr>
          <w:rFonts w:hint="eastAsia" w:asciiTheme="minorEastAsia" w:hAnsiTheme="minorEastAsia" w:eastAsiaTheme="minorEastAsia" w:cstheme="minorEastAsia"/>
          <w:smallCaps w:val="0"/>
          <w:color w:val="auto"/>
          <w:spacing w:val="0"/>
          <w:sz w:val="24"/>
          <w:szCs w:val="24"/>
          <w:highlight w:val="none"/>
          <w:u w:val="none"/>
          <w:lang w:val="en-US" w:eastAsia="zh-CN"/>
        </w:rPr>
        <w:br w:type="textWrapping"/>
      </w:r>
      <w:r>
        <w:rPr>
          <w:rFonts w:hint="eastAsia" w:asciiTheme="minorEastAsia" w:hAnsiTheme="minorEastAsia" w:eastAsiaTheme="minorEastAsia" w:cstheme="minorEastAsia"/>
          <w:smallCaps w:val="0"/>
          <w:color w:val="auto"/>
          <w:spacing w:val="0"/>
          <w:sz w:val="24"/>
          <w:szCs w:val="24"/>
          <w:highlight w:val="none"/>
          <w:u w:val="none"/>
          <w:lang w:val="en-US" w:eastAsia="zh-CN"/>
        </w:rPr>
        <w:t xml:space="preserve">  8.投标人未被列入失信被执行人、重大税收违法案件当事人名单、政府采购严重违法失信行为记录名单，提供相关网站对企业信用记录查询截图（“中国执行信息公开网”失信被执行人名单（投标单位、法定代表人）；“信用中国”重大税收违法案件当事人名单；中国政府采购网“政府采购严重违法失信行为信息记录”）（提供查询结果网页截图并加盖供应商公章）；</w:t>
      </w:r>
      <w:r>
        <w:rPr>
          <w:rFonts w:hint="eastAsia" w:asciiTheme="minorEastAsia" w:hAnsiTheme="minorEastAsia" w:eastAsiaTheme="minorEastAsia" w:cstheme="minorEastAsia"/>
          <w:smallCaps w:val="0"/>
          <w:color w:val="auto"/>
          <w:spacing w:val="0"/>
          <w:sz w:val="24"/>
          <w:szCs w:val="24"/>
          <w:highlight w:val="none"/>
          <w:u w:val="none"/>
          <w:lang w:val="en-US" w:eastAsia="zh-CN"/>
        </w:rPr>
        <w:br w:type="textWrapping"/>
      </w:r>
      <w:r>
        <w:rPr>
          <w:rFonts w:hint="eastAsia" w:asciiTheme="minorEastAsia" w:hAnsiTheme="minorEastAsia" w:eastAsiaTheme="minorEastAsia" w:cstheme="minorEastAsia"/>
          <w:smallCaps w:val="0"/>
          <w:color w:val="auto"/>
          <w:spacing w:val="0"/>
          <w:sz w:val="24"/>
          <w:szCs w:val="24"/>
          <w:highlight w:val="none"/>
          <w:u w:val="none"/>
          <w:lang w:val="en-US" w:eastAsia="zh-CN"/>
        </w:rPr>
        <w:t xml:space="preserve">  9.单位负责人为同一人或者存在直接控股、管理关系的不同供应商，不得参加同一合同项下的政府采购活动。</w:t>
      </w:r>
    </w:p>
    <w:p>
      <w:pPr>
        <w:pStyle w:val="20"/>
        <w:widowControl/>
        <w:spacing w:before="0" w:beforeAutospacing="0" w:after="0" w:afterAutospacing="0" w:line="400" w:lineRule="exact"/>
        <w:ind w:firstLine="480"/>
        <w:jc w:val="both"/>
        <w:rPr>
          <w:rFonts w:hint="eastAsia" w:asciiTheme="minorEastAsia" w:hAnsiTheme="minorEastAsia" w:eastAsiaTheme="minorEastAsia" w:cstheme="minorEastAsia"/>
          <w:smallCaps w:val="0"/>
          <w:color w:val="000000" w:themeColor="text1"/>
          <w:spacing w:val="0"/>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4"/>
          <w:highlight w:val="none"/>
          <w14:textFill>
            <w14:solidFill>
              <w14:schemeClr w14:val="tx1"/>
            </w14:solidFill>
          </w14:textFill>
        </w:rPr>
        <w:t>注</w:t>
      </w:r>
      <w:r>
        <w:rPr>
          <w:rFonts w:hint="eastAsia" w:asciiTheme="minorEastAsia" w:hAnsiTheme="minorEastAsia" w:eastAsiaTheme="minorEastAsia" w:cstheme="minorEastAsia"/>
          <w:smallCaps w:val="0"/>
          <w:color w:val="000000" w:themeColor="text1"/>
          <w:spacing w:val="0"/>
          <w:szCs w:val="24"/>
          <w:highlight w:val="none"/>
          <w:lang w:eastAsia="zh-CN"/>
          <w14:textFill>
            <w14:solidFill>
              <w14:schemeClr w14:val="tx1"/>
            </w14:solidFill>
          </w14:textFill>
        </w:rPr>
        <w:t>：</w:t>
      </w:r>
      <w:r>
        <w:rPr>
          <w:rFonts w:hint="eastAsia" w:asciiTheme="minorEastAsia" w:hAnsiTheme="minorEastAsia" w:eastAsiaTheme="minorEastAsia" w:cstheme="minorEastAsia"/>
          <w:smallCaps w:val="0"/>
          <w:color w:val="000000" w:themeColor="text1"/>
          <w:spacing w:val="0"/>
          <w:szCs w:val="24"/>
          <w:highlight w:val="none"/>
          <w14:textFill>
            <w14:solidFill>
              <w14:schemeClr w14:val="tx1"/>
            </w14:solidFill>
          </w14:textFill>
        </w:rPr>
        <w:t>①单位负责人为同一人或者存在控股、管理关系的不同单位，不得参加同一项目的</w:t>
      </w:r>
      <w:r>
        <w:rPr>
          <w:rFonts w:hint="eastAsia" w:asciiTheme="minorEastAsia" w:hAnsiTheme="minorEastAsia" w:eastAsiaTheme="minorEastAsia" w:cstheme="minorEastAsia"/>
          <w:smallCaps w:val="0"/>
          <w:color w:val="000000" w:themeColor="text1"/>
          <w:spacing w:val="0"/>
          <w:szCs w:val="24"/>
          <w:highlight w:val="none"/>
          <w:lang w:val="en-US" w:eastAsia="zh-CN"/>
          <w14:textFill>
            <w14:solidFill>
              <w14:schemeClr w14:val="tx1"/>
            </w14:solidFill>
          </w14:textFill>
        </w:rPr>
        <w:t>投标</w:t>
      </w:r>
      <w:r>
        <w:rPr>
          <w:rFonts w:hint="eastAsia" w:asciiTheme="minorEastAsia" w:hAnsiTheme="minorEastAsia" w:eastAsiaTheme="minorEastAsia" w:cstheme="minorEastAsia"/>
          <w:smallCaps w:val="0"/>
          <w:color w:val="000000" w:themeColor="text1"/>
          <w:spacing w:val="0"/>
          <w:szCs w:val="24"/>
          <w:highlight w:val="none"/>
          <w:lang w:eastAsia="zh-CN"/>
          <w14:textFill>
            <w14:solidFill>
              <w14:schemeClr w14:val="tx1"/>
            </w14:solidFill>
          </w14:textFill>
        </w:rPr>
        <w:t>；</w:t>
      </w:r>
      <w:r>
        <w:rPr>
          <w:rFonts w:hint="eastAsia" w:asciiTheme="minorEastAsia" w:hAnsiTheme="minorEastAsia" w:eastAsiaTheme="minorEastAsia" w:cstheme="minorEastAsia"/>
          <w:smallCaps w:val="0"/>
          <w:color w:val="000000" w:themeColor="text1"/>
          <w:spacing w:val="0"/>
          <w:szCs w:val="24"/>
          <w:highlight w:val="none"/>
          <w:lang w:val="en-US" w:eastAsia="zh-CN"/>
          <w14:textFill>
            <w14:solidFill>
              <w14:schemeClr w14:val="tx1"/>
            </w14:solidFill>
          </w14:textFill>
        </w:rPr>
        <w:t>②</w:t>
      </w:r>
      <w:r>
        <w:rPr>
          <w:rFonts w:hint="eastAsia" w:asciiTheme="minorEastAsia" w:hAnsiTheme="minorEastAsia" w:eastAsiaTheme="minorEastAsia" w:cstheme="minorEastAsia"/>
          <w:smallCaps w:val="0"/>
          <w:color w:val="000000" w:themeColor="text1"/>
          <w:spacing w:val="0"/>
          <w:szCs w:val="24"/>
          <w:highlight w:val="none"/>
          <w:lang w:eastAsia="zh-CN"/>
          <w14:textFill>
            <w14:solidFill>
              <w14:schemeClr w14:val="tx1"/>
            </w14:solidFill>
          </w14:textFill>
        </w:rPr>
        <w:t>受疫情影响，每个公司派一人参与</w:t>
      </w:r>
      <w:r>
        <w:rPr>
          <w:rFonts w:hint="eastAsia" w:asciiTheme="minorEastAsia" w:hAnsiTheme="minorEastAsia" w:eastAsiaTheme="minorEastAsia" w:cstheme="minorEastAsia"/>
          <w:smallCaps w:val="0"/>
          <w:color w:val="000000" w:themeColor="text1"/>
          <w:spacing w:val="0"/>
          <w:szCs w:val="24"/>
          <w:highlight w:val="none"/>
          <w:lang w:val="en-US" w:eastAsia="zh-CN"/>
          <w14:textFill>
            <w14:solidFill>
              <w14:schemeClr w14:val="tx1"/>
            </w14:solidFill>
          </w14:textFill>
        </w:rPr>
        <w:t>开标</w:t>
      </w:r>
      <w:r>
        <w:rPr>
          <w:rFonts w:hint="eastAsia" w:asciiTheme="minorEastAsia" w:hAnsiTheme="minorEastAsia" w:eastAsiaTheme="minorEastAsia" w:cstheme="minorEastAsia"/>
          <w:smallCaps w:val="0"/>
          <w:color w:val="000000" w:themeColor="text1"/>
          <w:spacing w:val="0"/>
          <w:szCs w:val="24"/>
          <w:highlight w:val="none"/>
          <w:lang w:eastAsia="zh-CN"/>
          <w14:textFill>
            <w14:solidFill>
              <w14:schemeClr w14:val="tx1"/>
            </w14:solidFill>
          </w14:textFill>
        </w:rPr>
        <w:t>，到场人员需自备口罩等防护工具，做好个人防护。</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注：上述资质复印件装订在标书中。</w:t>
      </w:r>
    </w:p>
    <w:p>
      <w:pPr>
        <w:keepNext/>
        <w:keepLines/>
        <w:spacing w:line="480" w:lineRule="exact"/>
        <w:jc w:val="center"/>
        <w:rPr>
          <w:rFonts w:hint="eastAsia" w:asciiTheme="minorEastAsia" w:hAnsiTheme="minorEastAsia" w:eastAsiaTheme="minorEastAsia" w:cstheme="minorEastAsia"/>
          <w:b/>
          <w:bCs/>
          <w:smallCaps w:val="0"/>
          <w:color w:val="000000" w:themeColor="text1"/>
          <w:spacing w:val="0"/>
          <w:sz w:val="32"/>
          <w:szCs w:val="32"/>
          <w:highlight w:val="none"/>
          <w14:textFill>
            <w14:solidFill>
              <w14:schemeClr w14:val="tx1"/>
            </w14:solidFill>
          </w14:textFill>
        </w:rPr>
      </w:pPr>
      <w:r>
        <w:rPr>
          <w:rFonts w:hint="eastAsia" w:asciiTheme="minorEastAsia" w:hAnsiTheme="minorEastAsia" w:eastAsiaTheme="minorEastAsia" w:cstheme="minorEastAsia"/>
          <w:b/>
          <w:bCs/>
          <w:smallCaps w:val="0"/>
          <w:color w:val="000000" w:themeColor="text1"/>
          <w:spacing w:val="0"/>
          <w:sz w:val="32"/>
          <w:szCs w:val="32"/>
          <w:highlight w:val="none"/>
          <w14:textFill>
            <w14:solidFill>
              <w14:schemeClr w14:val="tx1"/>
            </w14:solidFill>
          </w14:textFill>
        </w:rPr>
        <w:br w:type="page"/>
      </w:r>
    </w:p>
    <w:p>
      <w:pPr>
        <w:spacing w:before="100" w:beforeAutospacing="1" w:after="100" w:afterAutospacing="1" w:line="500" w:lineRule="exact"/>
        <w:jc w:val="center"/>
        <w:rPr>
          <w:rFonts w:hint="eastAsia" w:asciiTheme="minorEastAsia" w:hAnsiTheme="minorEastAsia" w:eastAsiaTheme="minorEastAsia" w:cstheme="minorEastAsia"/>
          <w:smallCaps w:val="0"/>
          <w:color w:val="000000" w:themeColor="text1"/>
          <w:spacing w:val="0"/>
          <w:sz w:val="28"/>
          <w:szCs w:val="28"/>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8"/>
          <w:szCs w:val="28"/>
          <w:highlight w:val="none"/>
          <w14:textFill>
            <w14:solidFill>
              <w14:schemeClr w14:val="tx1"/>
            </w14:solidFill>
          </w14:textFill>
        </w:rPr>
        <w:t>附件一：供应商基本情况表</w:t>
      </w:r>
    </w:p>
    <w:tbl>
      <w:tblPr>
        <w:tblStyle w:val="23"/>
        <w:tblW w:w="879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9"/>
        <w:gridCol w:w="160"/>
        <w:gridCol w:w="1768"/>
        <w:gridCol w:w="706"/>
        <w:gridCol w:w="1224"/>
        <w:gridCol w:w="623"/>
        <w:gridCol w:w="779"/>
        <w:gridCol w:w="1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9" w:hRule="atLeast"/>
        </w:trPr>
        <w:tc>
          <w:tcPr>
            <w:tcW w:w="1979" w:type="dxa"/>
            <w:gridSpan w:val="2"/>
            <w:vAlign w:val="center"/>
          </w:tcPr>
          <w:p>
            <w:pPr>
              <w:spacing w:line="50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供应商名称</w:t>
            </w:r>
          </w:p>
        </w:tc>
        <w:tc>
          <w:tcPr>
            <w:tcW w:w="2474" w:type="dxa"/>
            <w:gridSpan w:val="2"/>
            <w:vAlign w:val="center"/>
          </w:tcPr>
          <w:p>
            <w:pPr>
              <w:spacing w:line="50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847" w:type="dxa"/>
            <w:gridSpan w:val="2"/>
            <w:vAlign w:val="center"/>
          </w:tcPr>
          <w:p>
            <w:pPr>
              <w:spacing w:line="50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主要业务</w:t>
            </w:r>
          </w:p>
        </w:tc>
        <w:tc>
          <w:tcPr>
            <w:tcW w:w="2491" w:type="dxa"/>
            <w:gridSpan w:val="2"/>
            <w:vAlign w:val="center"/>
          </w:tcPr>
          <w:p>
            <w:pPr>
              <w:spacing w:line="50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979" w:type="dxa"/>
            <w:gridSpan w:val="2"/>
            <w:vAlign w:val="center"/>
          </w:tcPr>
          <w:p>
            <w:pPr>
              <w:spacing w:line="500" w:lineRule="exact"/>
              <w:jc w:val="cente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t>注册资金</w:t>
            </w:r>
          </w:p>
        </w:tc>
        <w:tc>
          <w:tcPr>
            <w:tcW w:w="2474" w:type="dxa"/>
            <w:gridSpan w:val="2"/>
            <w:vAlign w:val="center"/>
          </w:tcPr>
          <w:p>
            <w:pPr>
              <w:spacing w:line="500" w:lineRule="exact"/>
              <w:jc w:val="cente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pPr>
          </w:p>
        </w:tc>
        <w:tc>
          <w:tcPr>
            <w:tcW w:w="1847" w:type="dxa"/>
            <w:gridSpan w:val="2"/>
            <w:vAlign w:val="center"/>
          </w:tcPr>
          <w:p>
            <w:pPr>
              <w:spacing w:line="500" w:lineRule="exact"/>
              <w:jc w:val="cente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t>现有职工人数</w:t>
            </w:r>
          </w:p>
        </w:tc>
        <w:tc>
          <w:tcPr>
            <w:tcW w:w="2491" w:type="dxa"/>
            <w:gridSpan w:val="2"/>
            <w:vAlign w:val="center"/>
          </w:tcPr>
          <w:p>
            <w:pPr>
              <w:spacing w:line="50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979" w:type="dxa"/>
            <w:gridSpan w:val="2"/>
            <w:vAlign w:val="center"/>
          </w:tcPr>
          <w:p>
            <w:pPr>
              <w:spacing w:line="500" w:lineRule="exact"/>
              <w:jc w:val="cente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t>注册地址</w:t>
            </w:r>
          </w:p>
        </w:tc>
        <w:tc>
          <w:tcPr>
            <w:tcW w:w="2474" w:type="dxa"/>
            <w:gridSpan w:val="2"/>
            <w:vAlign w:val="center"/>
          </w:tcPr>
          <w:p>
            <w:pPr>
              <w:spacing w:line="500" w:lineRule="exact"/>
              <w:jc w:val="cente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pPr>
          </w:p>
        </w:tc>
        <w:tc>
          <w:tcPr>
            <w:tcW w:w="1847" w:type="dxa"/>
            <w:gridSpan w:val="2"/>
            <w:vAlign w:val="center"/>
          </w:tcPr>
          <w:p>
            <w:pPr>
              <w:spacing w:line="500" w:lineRule="exact"/>
              <w:jc w:val="cente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t>单位联系人、联系方式</w:t>
            </w:r>
          </w:p>
        </w:tc>
        <w:tc>
          <w:tcPr>
            <w:tcW w:w="2491" w:type="dxa"/>
            <w:gridSpan w:val="2"/>
            <w:vAlign w:val="center"/>
          </w:tcPr>
          <w:p>
            <w:pPr>
              <w:spacing w:line="500" w:lineRule="exact"/>
              <w:jc w:val="cente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t>（电话、传真、邮址）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979" w:type="dxa"/>
            <w:gridSpan w:val="2"/>
            <w:vAlign w:val="center"/>
          </w:tcPr>
          <w:p>
            <w:pPr>
              <w:spacing w:line="500" w:lineRule="exact"/>
              <w:jc w:val="cente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t>成立时间</w:t>
            </w:r>
          </w:p>
        </w:tc>
        <w:tc>
          <w:tcPr>
            <w:tcW w:w="6812" w:type="dxa"/>
            <w:gridSpan w:val="6"/>
            <w:vAlign w:val="center"/>
          </w:tcPr>
          <w:p>
            <w:pPr>
              <w:spacing w:line="500" w:lineRule="exact"/>
              <w:jc w:val="cente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5" w:hRule="atLeast"/>
        </w:trPr>
        <w:tc>
          <w:tcPr>
            <w:tcW w:w="1979" w:type="dxa"/>
            <w:gridSpan w:val="2"/>
            <w:vAlign w:val="center"/>
          </w:tcPr>
          <w:p>
            <w:pPr>
              <w:spacing w:line="500" w:lineRule="exact"/>
              <w:jc w:val="cente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t>开户银行</w:t>
            </w:r>
          </w:p>
        </w:tc>
        <w:tc>
          <w:tcPr>
            <w:tcW w:w="6812" w:type="dxa"/>
            <w:gridSpan w:val="6"/>
            <w:vAlign w:val="center"/>
          </w:tcPr>
          <w:p>
            <w:pPr>
              <w:spacing w:line="500" w:lineRule="exact"/>
              <w:jc w:val="left"/>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t>开户行：</w:t>
            </w:r>
          </w:p>
          <w:p>
            <w:pPr>
              <w:spacing w:line="500" w:lineRule="exact"/>
              <w:jc w:val="left"/>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t>开户名称：</w:t>
            </w:r>
          </w:p>
          <w:p>
            <w:pPr>
              <w:spacing w:line="500" w:lineRule="exact"/>
              <w:jc w:val="left"/>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t>银行帐号：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8791" w:type="dxa"/>
            <w:gridSpan w:val="8"/>
            <w:vAlign w:val="center"/>
          </w:tcPr>
          <w:p>
            <w:pPr>
              <w:spacing w:line="50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固定经营场所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819" w:type="dxa"/>
            <w:vAlign w:val="center"/>
          </w:tcPr>
          <w:p>
            <w:pPr>
              <w:spacing w:line="500" w:lineRule="exact"/>
              <w:jc w:val="cente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t>名  称</w:t>
            </w:r>
          </w:p>
        </w:tc>
        <w:tc>
          <w:tcPr>
            <w:tcW w:w="1928" w:type="dxa"/>
            <w:gridSpan w:val="2"/>
            <w:vAlign w:val="center"/>
          </w:tcPr>
          <w:p>
            <w:pPr>
              <w:spacing w:line="500" w:lineRule="exact"/>
              <w:jc w:val="cente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t>注册地址</w:t>
            </w:r>
          </w:p>
        </w:tc>
        <w:tc>
          <w:tcPr>
            <w:tcW w:w="1930" w:type="dxa"/>
            <w:gridSpan w:val="2"/>
            <w:vAlign w:val="center"/>
          </w:tcPr>
          <w:p>
            <w:pPr>
              <w:spacing w:line="500" w:lineRule="exact"/>
              <w:jc w:val="cente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t>联系人</w:t>
            </w:r>
          </w:p>
        </w:tc>
        <w:tc>
          <w:tcPr>
            <w:tcW w:w="1402" w:type="dxa"/>
            <w:gridSpan w:val="2"/>
            <w:vAlign w:val="center"/>
          </w:tcPr>
          <w:p>
            <w:pPr>
              <w:spacing w:line="500" w:lineRule="exact"/>
              <w:jc w:val="cente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t>联络方式</w:t>
            </w:r>
          </w:p>
        </w:tc>
        <w:tc>
          <w:tcPr>
            <w:tcW w:w="1712" w:type="dxa"/>
            <w:vAlign w:val="center"/>
          </w:tcPr>
          <w:p>
            <w:pPr>
              <w:spacing w:line="500" w:lineRule="exact"/>
              <w:jc w:val="cente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bCs/>
                <w:smallCaps w:val="0"/>
                <w:color w:val="000000" w:themeColor="text1"/>
                <w:spacing w:val="0"/>
                <w:szCs w:val="21"/>
                <w:highlight w:val="none"/>
                <w14:textFill>
                  <w14:solidFill>
                    <w14:schemeClr w14:val="tx1"/>
                  </w14:solidFill>
                </w14:textFill>
              </w:rPr>
              <w:t>业务范围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819" w:type="dxa"/>
            <w:vAlign w:val="center"/>
          </w:tcPr>
          <w:p>
            <w:pPr>
              <w:spacing w:line="50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928" w:type="dxa"/>
            <w:gridSpan w:val="2"/>
            <w:vAlign w:val="center"/>
          </w:tcPr>
          <w:p>
            <w:pPr>
              <w:spacing w:line="50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930" w:type="dxa"/>
            <w:gridSpan w:val="2"/>
            <w:vAlign w:val="center"/>
          </w:tcPr>
          <w:p>
            <w:pPr>
              <w:spacing w:line="50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402" w:type="dxa"/>
            <w:gridSpan w:val="2"/>
            <w:vAlign w:val="center"/>
          </w:tcPr>
          <w:p>
            <w:pPr>
              <w:spacing w:line="50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712" w:type="dxa"/>
            <w:vAlign w:val="center"/>
          </w:tcPr>
          <w:p>
            <w:pPr>
              <w:spacing w:line="50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819" w:type="dxa"/>
            <w:vAlign w:val="center"/>
          </w:tcPr>
          <w:p>
            <w:pPr>
              <w:spacing w:line="50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928" w:type="dxa"/>
            <w:gridSpan w:val="2"/>
            <w:vAlign w:val="center"/>
          </w:tcPr>
          <w:p>
            <w:pPr>
              <w:spacing w:line="50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930" w:type="dxa"/>
            <w:gridSpan w:val="2"/>
            <w:vAlign w:val="center"/>
          </w:tcPr>
          <w:p>
            <w:pPr>
              <w:spacing w:line="50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402" w:type="dxa"/>
            <w:gridSpan w:val="2"/>
            <w:vAlign w:val="center"/>
          </w:tcPr>
          <w:p>
            <w:pPr>
              <w:spacing w:line="50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c>
          <w:tcPr>
            <w:tcW w:w="1712" w:type="dxa"/>
            <w:vAlign w:val="center"/>
          </w:tcPr>
          <w:p>
            <w:pPr>
              <w:spacing w:line="500" w:lineRule="exact"/>
              <w:jc w:val="cente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tc>
      </w:tr>
    </w:tbl>
    <w:p>
      <w:pPr>
        <w:spacing w:line="500" w:lineRule="exact"/>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p>
    <w:p>
      <w:pPr>
        <w:spacing w:line="500" w:lineRule="exact"/>
        <w:ind w:firstLine="240" w:firstLineChars="100"/>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供应商名称： （单位公章）</w:t>
      </w:r>
    </w:p>
    <w:p>
      <w:pPr>
        <w:spacing w:line="500" w:lineRule="exact"/>
        <w:ind w:firstLine="240" w:firstLineChars="100"/>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highlight w:val="none"/>
          <w14:textFill>
            <w14:solidFill>
              <w14:schemeClr w14:val="tx1"/>
            </w14:solidFill>
          </w14:textFill>
        </w:rPr>
        <w:t>法定代表人或全权代表：（签字或印章）</w:t>
      </w:r>
    </w:p>
    <w:p>
      <w:pPr>
        <w:jc w:val="center"/>
        <w:rPr>
          <w:rFonts w:hint="eastAsia" w:asciiTheme="minorEastAsia" w:hAnsiTheme="minorEastAsia" w:eastAsiaTheme="minorEastAsia" w:cstheme="minorEastAsia"/>
          <w:smallCaps w:val="0"/>
          <w:color w:val="000000" w:themeColor="text1"/>
          <w:spacing w:val="0"/>
          <w:sz w:val="32"/>
          <w:szCs w:val="32"/>
          <w:highlight w:val="none"/>
          <w14:textFill>
            <w14:solidFill>
              <w14:schemeClr w14:val="tx1"/>
            </w14:solidFill>
          </w14:textFill>
        </w:rPr>
      </w:pPr>
    </w:p>
    <w:p>
      <w:pPr>
        <w:jc w:val="center"/>
        <w:rPr>
          <w:rFonts w:hint="eastAsia" w:asciiTheme="minorEastAsia" w:hAnsiTheme="minorEastAsia" w:eastAsiaTheme="minorEastAsia" w:cstheme="minorEastAsia"/>
          <w:smallCaps w:val="0"/>
          <w:color w:val="000000" w:themeColor="text1"/>
          <w:spacing w:val="0"/>
          <w:sz w:val="32"/>
          <w:szCs w:val="32"/>
          <w:highlight w:val="none"/>
          <w14:textFill>
            <w14:solidFill>
              <w14:schemeClr w14:val="tx1"/>
            </w14:solidFill>
          </w14:textFill>
        </w:rPr>
      </w:pPr>
    </w:p>
    <w:p>
      <w:pPr>
        <w:jc w:val="center"/>
        <w:rPr>
          <w:rFonts w:hint="eastAsia" w:asciiTheme="minorEastAsia" w:hAnsiTheme="minorEastAsia" w:eastAsiaTheme="minorEastAsia" w:cstheme="minorEastAsia"/>
          <w:smallCaps w:val="0"/>
          <w:color w:val="000000" w:themeColor="text1"/>
          <w:spacing w:val="0"/>
          <w:sz w:val="32"/>
          <w:szCs w:val="32"/>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32"/>
          <w:szCs w:val="32"/>
          <w:highlight w:val="none"/>
          <w14:textFill>
            <w14:solidFill>
              <w14:schemeClr w14:val="tx1"/>
            </w14:solidFill>
          </w14:textFill>
        </w:rPr>
        <w:br w:type="page"/>
      </w:r>
    </w:p>
    <w:p>
      <w:pPr>
        <w:jc w:val="center"/>
        <w:rPr>
          <w:rFonts w:hint="eastAsia" w:asciiTheme="minorEastAsia" w:hAnsiTheme="minorEastAsia" w:eastAsiaTheme="minorEastAsia" w:cstheme="minorEastAsia"/>
          <w:smallCaps w:val="0"/>
          <w:color w:val="000000" w:themeColor="text1"/>
          <w:spacing w:val="0"/>
          <w:sz w:val="28"/>
          <w:szCs w:val="28"/>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8"/>
          <w:szCs w:val="28"/>
          <w:highlight w:val="none"/>
          <w14:textFill>
            <w14:solidFill>
              <w14:schemeClr w14:val="tx1"/>
            </w14:solidFill>
          </w14:textFill>
        </w:rPr>
        <w:t>附件二：法定代表人授权书</w:t>
      </w:r>
    </w:p>
    <w:p>
      <w:pPr>
        <w:tabs>
          <w:tab w:val="left" w:pos="8820"/>
        </w:tabs>
        <w:spacing w:line="480" w:lineRule="exact"/>
        <w:ind w:firstLine="573"/>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tabs>
          <w:tab w:val="left" w:pos="8820"/>
        </w:tabs>
        <w:spacing w:line="480" w:lineRule="exact"/>
        <w:ind w:firstLine="573"/>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本授权委托书声明：我</w:t>
      </w:r>
      <w:r>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t>（法定代表人姓名）</w:t>
      </w: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系注册于</w:t>
      </w:r>
      <w:r>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t xml:space="preserve">  （供应商地址）     </w:t>
      </w: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的</w:t>
      </w:r>
      <w:r>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t xml:space="preserve">（供应商名称）  </w:t>
      </w: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的法定代表人，现代表公司授权</w:t>
      </w:r>
      <w:r>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t>（被授权人的姓名、职务）</w:t>
      </w: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为我公司合法代理人，代表本公司参加</w:t>
      </w:r>
      <w:r>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t xml:space="preserve">（采购项目名称）            </w:t>
      </w: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采购项目编号</w:t>
      </w:r>
      <w:r>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t xml:space="preserve">         </w:t>
      </w: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的响应文件活动。代理人在本次响应文件中所签署的一切文件和处理的一切有关事务，我公司均予承认。</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本授权书于</w:t>
      </w:r>
      <w:r>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t xml:space="preserve">       </w:t>
      </w: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年</w:t>
      </w:r>
      <w:r>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t xml:space="preserve">    </w:t>
      </w: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月</w:t>
      </w:r>
      <w:r>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t xml:space="preserve">    </w:t>
      </w: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日签字或盖章生效，有效期</w:t>
      </w:r>
      <w:r>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t xml:space="preserve">     </w:t>
      </w: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天；特此声明。</w:t>
      </w:r>
    </w:p>
    <w:tbl>
      <w:tblPr>
        <w:tblStyle w:val="23"/>
        <w:tblpPr w:leftFromText="180" w:rightFromText="180" w:vertAnchor="text" w:horzAnchor="page" w:tblpX="1777" w:tblpY="513"/>
        <w:tblOverlap w:val="never"/>
        <w:tblW w:w="9003" w:type="dxa"/>
        <w:tblInd w:w="0"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4501"/>
        <w:gridCol w:w="4502"/>
      </w:tblGrid>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574" w:hRule="atLeast"/>
        </w:trPr>
        <w:tc>
          <w:tcPr>
            <w:tcW w:w="4501" w:type="dxa"/>
          </w:tcPr>
          <w:p>
            <w:pPr>
              <w:spacing w:line="480" w:lineRule="exact"/>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48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法定代表人身份证复印件</w:t>
            </w:r>
          </w:p>
          <w:p>
            <w:pPr>
              <w:spacing w:line="48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（正面）</w:t>
            </w:r>
          </w:p>
          <w:p>
            <w:pPr>
              <w:spacing w:line="48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480" w:lineRule="exact"/>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tc>
        <w:tc>
          <w:tcPr>
            <w:tcW w:w="4502" w:type="dxa"/>
          </w:tcPr>
          <w:p>
            <w:pPr>
              <w:spacing w:line="480" w:lineRule="exact"/>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48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授权代表身份证复印件</w:t>
            </w:r>
          </w:p>
          <w:p>
            <w:pPr>
              <w:spacing w:line="48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（正面）</w:t>
            </w:r>
          </w:p>
          <w:p>
            <w:pPr>
              <w:spacing w:line="48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860" w:hRule="atLeast"/>
        </w:trPr>
        <w:tc>
          <w:tcPr>
            <w:tcW w:w="4501" w:type="dxa"/>
          </w:tcPr>
          <w:p>
            <w:pPr>
              <w:spacing w:line="48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48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法定代表人身份证复印件</w:t>
            </w:r>
          </w:p>
          <w:p>
            <w:pPr>
              <w:spacing w:line="48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（反面）</w:t>
            </w:r>
          </w:p>
          <w:p>
            <w:pPr>
              <w:spacing w:line="480" w:lineRule="exact"/>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tc>
        <w:tc>
          <w:tcPr>
            <w:tcW w:w="4502" w:type="dxa"/>
          </w:tcPr>
          <w:p>
            <w:pPr>
              <w:spacing w:line="48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48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授权代表身份证复印件</w:t>
            </w:r>
          </w:p>
          <w:p>
            <w:pPr>
              <w:spacing w:line="48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（反面）</w:t>
            </w:r>
          </w:p>
          <w:p>
            <w:pPr>
              <w:spacing w:line="48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480" w:lineRule="exact"/>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tc>
      </w:tr>
    </w:tbl>
    <w:p>
      <w:pPr>
        <w:spacing w:line="480" w:lineRule="exact"/>
        <w:rPr>
          <w:rFonts w:hint="eastAsia" w:asciiTheme="minorEastAsia" w:hAnsiTheme="minorEastAsia" w:eastAsiaTheme="minorEastAsia" w:cstheme="minorEastAsia"/>
          <w:bCs/>
          <w:smallCaps w:val="0"/>
          <w:color w:val="000000" w:themeColor="text1"/>
          <w:spacing w:val="0"/>
          <w:sz w:val="24"/>
          <w:szCs w:val="24"/>
          <w:highlight w:val="none"/>
          <w:u w:val="single"/>
          <w14:textFill>
            <w14:solidFill>
              <w14:schemeClr w14:val="tx1"/>
            </w14:solidFill>
          </w14:textFill>
        </w:rPr>
      </w:pPr>
      <w:r>
        <w:rPr>
          <w:rFonts w:hint="eastAsia" w:asciiTheme="minorEastAsia" w:hAnsiTheme="minorEastAsia" w:eastAsiaTheme="minorEastAsia" w:cstheme="minorEastAsia"/>
          <w:bCs/>
          <w:smallCaps w:val="0"/>
          <w:color w:val="000000" w:themeColor="text1"/>
          <w:spacing w:val="0"/>
          <w:sz w:val="24"/>
          <w:szCs w:val="24"/>
          <w:highlight w:val="none"/>
          <w14:textFill>
            <w14:solidFill>
              <w14:schemeClr w14:val="tx1"/>
            </w14:solidFill>
          </w14:textFill>
        </w:rPr>
        <w:t>（注：本授权书有效期应与响应文件有效期一致）</w:t>
      </w:r>
    </w:p>
    <w:p>
      <w:pPr>
        <w:spacing w:line="480" w:lineRule="exact"/>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480" w:lineRule="exact"/>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　　　　　　　　　　　　　 供应商：（公章）</w:t>
      </w:r>
    </w:p>
    <w:p>
      <w:pPr>
        <w:spacing w:line="480" w:lineRule="exact"/>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 xml:space="preserve">                           法定代表人：（签字或盖章）</w:t>
      </w:r>
    </w:p>
    <w:p>
      <w:pPr>
        <w:spacing w:line="480" w:lineRule="exact"/>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 xml:space="preserve">                           被授权人：（签字或盖章）</w:t>
      </w:r>
    </w:p>
    <w:p>
      <w:pP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br w:type="page"/>
      </w:r>
    </w:p>
    <w:p>
      <w:pPr>
        <w:jc w:val="center"/>
        <w:rPr>
          <w:rFonts w:hint="eastAsia" w:asciiTheme="minorEastAsia" w:hAnsiTheme="minorEastAsia" w:eastAsiaTheme="minorEastAsia" w:cstheme="minorEastAsia"/>
          <w:smallCaps w:val="0"/>
          <w:color w:val="000000" w:themeColor="text1"/>
          <w:spacing w:val="0"/>
          <w:sz w:val="28"/>
          <w:szCs w:val="28"/>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8"/>
          <w:szCs w:val="28"/>
          <w:highlight w:val="none"/>
          <w14:textFill>
            <w14:solidFill>
              <w14:schemeClr w14:val="tx1"/>
            </w14:solidFill>
          </w14:textFill>
        </w:rPr>
        <w:t>附件三：法定代表人身份证明</w:t>
      </w:r>
    </w:p>
    <w:p>
      <w:pPr>
        <w:spacing w:line="480" w:lineRule="exact"/>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480" w:lineRule="exact"/>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供 应 商：</w:t>
      </w:r>
      <w:r>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t>　　　　　　      　　　</w:t>
      </w:r>
    </w:p>
    <w:p>
      <w:pPr>
        <w:spacing w:line="480" w:lineRule="exact"/>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单位性质：</w:t>
      </w:r>
      <w:r>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t>　　　　      　　　　</w:t>
      </w:r>
    </w:p>
    <w:p>
      <w:pPr>
        <w:spacing w:line="480" w:lineRule="exact"/>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地    址：</w:t>
      </w:r>
      <w:r>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t>　　　　　      　　　</w:t>
      </w:r>
    </w:p>
    <w:p>
      <w:pPr>
        <w:spacing w:line="480" w:lineRule="exact"/>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成立时间：</w:t>
      </w:r>
      <w:r>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t xml:space="preserve">         </w:t>
      </w: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年</w:t>
      </w:r>
      <w:r>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t xml:space="preserve">    </w:t>
      </w: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月</w:t>
      </w:r>
      <w:r>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t xml:space="preserve">    </w:t>
      </w: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日</w:t>
      </w:r>
    </w:p>
    <w:p>
      <w:pPr>
        <w:spacing w:line="480" w:lineRule="exact"/>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经营期限：</w:t>
      </w:r>
      <w:r>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t>　　　　      　　　　</w:t>
      </w:r>
    </w:p>
    <w:p>
      <w:pPr>
        <w:spacing w:line="480" w:lineRule="exact"/>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姓    名：</w:t>
      </w:r>
      <w:r>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t xml:space="preserve">              </w:t>
      </w: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性    别：</w:t>
      </w:r>
      <w:r>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t>　　　　　　</w:t>
      </w:r>
    </w:p>
    <w:p>
      <w:pPr>
        <w:spacing w:line="480" w:lineRule="exact"/>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年    龄：</w:t>
      </w:r>
      <w:r>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t xml:space="preserve">              </w:t>
      </w: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职    务：</w:t>
      </w:r>
      <w:r>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t>　　　　　　</w:t>
      </w:r>
    </w:p>
    <w:p>
      <w:pPr>
        <w:spacing w:line="480" w:lineRule="exact"/>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系</w:t>
      </w:r>
      <w:r>
        <w:rPr>
          <w:rFonts w:hint="eastAsia" w:asciiTheme="minorEastAsia" w:hAnsiTheme="minorEastAsia" w:eastAsiaTheme="minorEastAsia" w:cstheme="minorEastAsia"/>
          <w:smallCaps w:val="0"/>
          <w:color w:val="000000" w:themeColor="text1"/>
          <w:spacing w:val="0"/>
          <w:sz w:val="24"/>
          <w:szCs w:val="24"/>
          <w:highlight w:val="none"/>
          <w:u w:val="single"/>
          <w14:textFill>
            <w14:solidFill>
              <w14:schemeClr w14:val="tx1"/>
            </w14:solidFill>
          </w14:textFill>
        </w:rPr>
        <w:t xml:space="preserve">           </w:t>
      </w: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（供应商名称）的法定代表人。</w:t>
      </w:r>
    </w:p>
    <w:p>
      <w:pPr>
        <w:spacing w:line="480" w:lineRule="exact"/>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特此证明。</w:t>
      </w:r>
    </w:p>
    <w:p>
      <w:pPr>
        <w:spacing w:line="480" w:lineRule="exact"/>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附：法定代表人身份证。</w:t>
      </w:r>
    </w:p>
    <w:tbl>
      <w:tblPr>
        <w:tblStyle w:val="23"/>
        <w:tblpPr w:leftFromText="180" w:rightFromText="180" w:vertAnchor="text" w:horzAnchor="page" w:tblpX="1777" w:tblpY="513"/>
        <w:tblOverlap w:val="never"/>
        <w:tblW w:w="9003" w:type="dxa"/>
        <w:tblInd w:w="0"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4501"/>
        <w:gridCol w:w="4502"/>
      </w:tblGrid>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3290" w:hRule="atLeast"/>
        </w:trPr>
        <w:tc>
          <w:tcPr>
            <w:tcW w:w="4501" w:type="dxa"/>
          </w:tcPr>
          <w:p>
            <w:pPr>
              <w:spacing w:line="48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48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48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法定代表人身份证复印件</w:t>
            </w:r>
          </w:p>
          <w:p>
            <w:pPr>
              <w:spacing w:line="48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（正面）</w:t>
            </w:r>
          </w:p>
          <w:p>
            <w:pPr>
              <w:spacing w:line="480" w:lineRule="exact"/>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tc>
        <w:tc>
          <w:tcPr>
            <w:tcW w:w="4502" w:type="dxa"/>
          </w:tcPr>
          <w:p>
            <w:pPr>
              <w:spacing w:line="48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48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48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法定代表人身份证复印件</w:t>
            </w:r>
          </w:p>
          <w:p>
            <w:pPr>
              <w:spacing w:line="48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（反面）</w:t>
            </w:r>
          </w:p>
          <w:p>
            <w:pPr>
              <w:spacing w:line="48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480" w:lineRule="exact"/>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tc>
      </w:tr>
    </w:tbl>
    <w:p>
      <w:pPr>
        <w:spacing w:line="480" w:lineRule="exact"/>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480" w:lineRule="exact"/>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480" w:lineRule="exact"/>
        <w:ind w:firstLine="3840" w:firstLineChars="16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供应商：              （公章）</w:t>
      </w:r>
    </w:p>
    <w:p>
      <w:pPr>
        <w:spacing w:line="480" w:lineRule="exact"/>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480" w:lineRule="exact"/>
        <w:ind w:firstLine="5280" w:firstLineChars="2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 xml:space="preserve">年   月   日      </w:t>
      </w:r>
    </w:p>
    <w:p>
      <w:pPr>
        <w:pStyle w:val="12"/>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p>
    <w:p>
      <w:pPr>
        <w:keepNext/>
        <w:keepLines/>
        <w:spacing w:line="480" w:lineRule="exact"/>
        <w:jc w:val="center"/>
        <w:rPr>
          <w:rFonts w:hint="eastAsia" w:asciiTheme="minorEastAsia" w:hAnsiTheme="minorEastAsia" w:eastAsiaTheme="minorEastAsia" w:cstheme="minorEastAsia"/>
          <w:b/>
          <w:bCs/>
          <w:smallCaps w:val="0"/>
          <w:color w:val="000000" w:themeColor="text1"/>
          <w:spacing w:val="0"/>
          <w:sz w:val="32"/>
          <w:szCs w:val="32"/>
          <w:highlight w:val="none"/>
          <w14:textFill>
            <w14:solidFill>
              <w14:schemeClr w14:val="tx1"/>
            </w14:solidFill>
          </w14:textFill>
        </w:rPr>
      </w:pPr>
      <w:r>
        <w:rPr>
          <w:rFonts w:hint="eastAsia" w:asciiTheme="minorEastAsia" w:hAnsiTheme="minorEastAsia" w:eastAsiaTheme="minorEastAsia" w:cstheme="minorEastAsia"/>
          <w:b/>
          <w:bCs/>
          <w:smallCaps w:val="0"/>
          <w:color w:val="000000" w:themeColor="text1"/>
          <w:spacing w:val="0"/>
          <w:sz w:val="32"/>
          <w:szCs w:val="32"/>
          <w:highlight w:val="none"/>
          <w14:textFill>
            <w14:solidFill>
              <w14:schemeClr w14:val="tx1"/>
            </w14:solidFill>
          </w14:textFill>
        </w:rPr>
        <w:br w:type="page"/>
      </w:r>
    </w:p>
    <w:p>
      <w:pPr>
        <w:pStyle w:val="3"/>
        <w:rPr>
          <w:rFonts w:hint="eastAsia" w:asciiTheme="minorEastAsia" w:hAnsiTheme="minorEastAsia" w:eastAsiaTheme="minorEastAsia" w:cstheme="minorEastAsia"/>
          <w:b/>
          <w:bCs/>
          <w:smallCaps w:val="0"/>
          <w:color w:val="000000" w:themeColor="text1"/>
          <w:spacing w:val="0"/>
          <w:highlight w:val="none"/>
          <w14:textFill>
            <w14:solidFill>
              <w14:schemeClr w14:val="tx1"/>
            </w14:solidFill>
          </w14:textFill>
        </w:rPr>
      </w:pPr>
      <w:bookmarkStart w:id="257" w:name="_Toc16356"/>
      <w:bookmarkStart w:id="258" w:name="_Toc23008"/>
      <w:bookmarkStart w:id="259" w:name="_Toc347478755"/>
      <w:bookmarkStart w:id="260" w:name="_Toc334273802"/>
      <w:r>
        <w:rPr>
          <w:rFonts w:hint="eastAsia" w:asciiTheme="minorEastAsia" w:hAnsiTheme="minorEastAsia" w:eastAsiaTheme="minorEastAsia" w:cstheme="minorEastAsia"/>
          <w:b/>
          <w:bCs/>
          <w:smallCaps w:val="0"/>
          <w:color w:val="000000" w:themeColor="text1"/>
          <w:spacing w:val="0"/>
          <w:highlight w:val="none"/>
          <w14:textFill>
            <w14:solidFill>
              <w14:schemeClr w14:val="tx1"/>
            </w14:solidFill>
          </w14:textFill>
        </w:rPr>
        <w:t>五、投标保证金缴纳凭证</w:t>
      </w:r>
      <w:bookmarkEnd w:id="257"/>
    </w:p>
    <w:bookmarkEnd w:id="258"/>
    <w:bookmarkEnd w:id="259"/>
    <w:bookmarkEnd w:id="260"/>
    <w:p>
      <w:pPr>
        <w:spacing w:line="520" w:lineRule="exact"/>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bookmarkStart w:id="261" w:name="_Toc283240507"/>
      <w:bookmarkStart w:id="262" w:name="_Toc312789414"/>
      <w:bookmarkStart w:id="263" w:name="_Toc347478756"/>
      <w:bookmarkStart w:id="264" w:name="_Toc311415668"/>
      <w:bookmarkStart w:id="265" w:name="_Toc334522302"/>
      <w:bookmarkStart w:id="266" w:name="_Toc14435"/>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注：需附开户许可证、保证金缴纳凭证</w:t>
      </w:r>
    </w:p>
    <w:p>
      <w:pPr>
        <w:spacing w:line="52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52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52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52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52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52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52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52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52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52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52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52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52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52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52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52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52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52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52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52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52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52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52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spacing w:line="520" w:lineRule="exact"/>
        <w:jc w:val="cente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p>
    <w:p>
      <w:pPr>
        <w:pStyle w:val="3"/>
        <w:rPr>
          <w:rFonts w:hint="eastAsia" w:asciiTheme="minorEastAsia" w:hAnsiTheme="minorEastAsia" w:eastAsiaTheme="minorEastAsia" w:cstheme="minorEastAsia"/>
          <w:b/>
          <w:bCs/>
          <w:smallCaps w:val="0"/>
          <w:color w:val="000000" w:themeColor="text1"/>
          <w:spacing w:val="0"/>
          <w:highlight w:val="none"/>
          <w14:textFill>
            <w14:solidFill>
              <w14:schemeClr w14:val="tx1"/>
            </w14:solidFill>
          </w14:textFill>
        </w:rPr>
      </w:pPr>
      <w:bookmarkStart w:id="267" w:name="_Toc24516"/>
      <w:r>
        <w:rPr>
          <w:rFonts w:hint="eastAsia" w:asciiTheme="minorEastAsia" w:hAnsiTheme="minorEastAsia" w:eastAsiaTheme="minorEastAsia" w:cstheme="minorEastAsia"/>
          <w:b/>
          <w:bCs/>
          <w:smallCaps w:val="0"/>
          <w:color w:val="000000" w:themeColor="text1"/>
          <w:spacing w:val="0"/>
          <w:highlight w:val="none"/>
          <w14:textFill>
            <w14:solidFill>
              <w14:schemeClr w14:val="tx1"/>
            </w14:solidFill>
          </w14:textFill>
        </w:rPr>
        <w:t>六、投标方案</w:t>
      </w:r>
      <w:bookmarkEnd w:id="267"/>
    </w:p>
    <w:p>
      <w:pPr>
        <w:pStyle w:val="12"/>
        <w:spacing w:line="560" w:lineRule="exact"/>
        <w:ind w:firstLine="0"/>
        <w:jc w:val="left"/>
        <w:rPr>
          <w:rFonts w:hint="eastAsia" w:asciiTheme="minorEastAsia" w:hAnsiTheme="minorEastAsia" w:eastAsiaTheme="minorEastAsia" w:cstheme="minorEastAsia"/>
          <w:smallCaps w:val="0"/>
          <w:color w:val="000000" w:themeColor="text1"/>
          <w:spacing w:val="0"/>
          <w:kern w:val="2"/>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kern w:val="2"/>
          <w:sz w:val="24"/>
          <w:szCs w:val="24"/>
          <w:highlight w:val="none"/>
          <w14:textFill>
            <w14:solidFill>
              <w14:schemeClr w14:val="tx1"/>
            </w14:solidFill>
          </w14:textFill>
        </w:rPr>
        <w:t>根据《第四部分 评审办法》详细评审进行详细叙述且提供相应证明材料；</w:t>
      </w:r>
    </w:p>
    <w:p>
      <w:pPr>
        <w:spacing w:line="480" w:lineRule="exact"/>
        <w:ind w:firstLine="480" w:firstLineChars="200"/>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 w:val="24"/>
          <w:szCs w:val="24"/>
          <w:highlight w:val="none"/>
          <w14:textFill>
            <w14:solidFill>
              <w14:schemeClr w14:val="tx1"/>
            </w14:solidFill>
          </w14:textFill>
        </w:rPr>
        <w:t>　</w:t>
      </w:r>
    </w:p>
    <w:p>
      <w:pPr>
        <w:spacing w:line="520" w:lineRule="exact"/>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p>
    <w:p>
      <w:pPr>
        <w:spacing w:line="520" w:lineRule="exact"/>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pPr>
      <w:r>
        <w:rPr>
          <w:rFonts w:hint="eastAsia" w:asciiTheme="minorEastAsia" w:hAnsiTheme="minorEastAsia" w:eastAsiaTheme="minorEastAsia" w:cstheme="minorEastAsia"/>
          <w:smallCaps w:val="0"/>
          <w:color w:val="000000" w:themeColor="text1"/>
          <w:spacing w:val="0"/>
          <w:szCs w:val="21"/>
          <w:highlight w:val="none"/>
          <w14:textFill>
            <w14:solidFill>
              <w14:schemeClr w14:val="tx1"/>
            </w14:solidFill>
          </w14:textFill>
        </w:rPr>
        <w:t>　　　　　　</w:t>
      </w:r>
    </w:p>
    <w:p>
      <w:pPr>
        <w:pStyle w:val="3"/>
        <w:rPr>
          <w:rFonts w:hint="eastAsia" w:asciiTheme="minorEastAsia" w:hAnsiTheme="minorEastAsia" w:eastAsiaTheme="minorEastAsia" w:cstheme="minorEastAsia"/>
          <w:b/>
          <w:bCs/>
          <w:smallCaps w:val="0"/>
          <w:color w:val="000000" w:themeColor="text1"/>
          <w:spacing w:val="0"/>
          <w:highlight w:val="none"/>
          <w14:textFill>
            <w14:solidFill>
              <w14:schemeClr w14:val="tx1"/>
            </w14:solidFill>
          </w14:textFill>
        </w:rPr>
      </w:pPr>
      <w:r>
        <w:rPr>
          <w:rFonts w:hint="eastAsia" w:asciiTheme="minorEastAsia" w:hAnsiTheme="minorEastAsia" w:eastAsiaTheme="minorEastAsia" w:cstheme="minorEastAsia"/>
          <w:b/>
          <w:bCs/>
          <w:smallCaps w:val="0"/>
          <w:color w:val="000000" w:themeColor="text1"/>
          <w:spacing w:val="0"/>
          <w:highlight w:val="none"/>
          <w14:textFill>
            <w14:solidFill>
              <w14:schemeClr w14:val="tx1"/>
            </w14:solidFill>
          </w14:textFill>
        </w:rPr>
        <w:br w:type="page"/>
      </w:r>
    </w:p>
    <w:p>
      <w:pPr>
        <w:pStyle w:val="3"/>
        <w:rPr>
          <w:rFonts w:hint="eastAsia" w:asciiTheme="minorEastAsia" w:hAnsiTheme="minorEastAsia" w:eastAsiaTheme="minorEastAsia" w:cstheme="minorEastAsia"/>
          <w:b/>
          <w:bCs/>
          <w:smallCaps w:val="0"/>
          <w:color w:val="000000" w:themeColor="text1"/>
          <w:spacing w:val="0"/>
          <w:highlight w:val="none"/>
          <w14:textFill>
            <w14:solidFill>
              <w14:schemeClr w14:val="tx1"/>
            </w14:solidFill>
          </w14:textFill>
        </w:rPr>
      </w:pPr>
      <w:bookmarkStart w:id="268" w:name="_Toc18812"/>
      <w:r>
        <w:rPr>
          <w:rFonts w:hint="eastAsia" w:asciiTheme="minorEastAsia" w:hAnsiTheme="minorEastAsia" w:eastAsiaTheme="minorEastAsia" w:cstheme="minorEastAsia"/>
          <w:b/>
          <w:bCs/>
          <w:smallCaps w:val="0"/>
          <w:color w:val="000000" w:themeColor="text1"/>
          <w:spacing w:val="0"/>
          <w:highlight w:val="none"/>
          <w14:textFill>
            <w14:solidFill>
              <w14:schemeClr w14:val="tx1"/>
            </w14:solidFill>
          </w14:textFill>
        </w:rPr>
        <w:t>七、</w:t>
      </w:r>
      <w:bookmarkEnd w:id="261"/>
      <w:bookmarkEnd w:id="262"/>
      <w:bookmarkEnd w:id="263"/>
      <w:bookmarkEnd w:id="264"/>
      <w:bookmarkEnd w:id="265"/>
      <w:bookmarkEnd w:id="266"/>
      <w:r>
        <w:rPr>
          <w:rFonts w:hint="eastAsia" w:asciiTheme="minorEastAsia" w:hAnsiTheme="minorEastAsia" w:eastAsiaTheme="minorEastAsia" w:cstheme="minorEastAsia"/>
          <w:b/>
          <w:bCs/>
          <w:smallCaps w:val="0"/>
          <w:color w:val="000000" w:themeColor="text1"/>
          <w:spacing w:val="0"/>
          <w:highlight w:val="none"/>
          <w14:textFill>
            <w14:solidFill>
              <w14:schemeClr w14:val="tx1"/>
            </w14:solidFill>
          </w14:textFill>
        </w:rPr>
        <w:t>其他材料</w:t>
      </w:r>
      <w:bookmarkEnd w:id="268"/>
    </w:p>
    <w:p>
      <w:pPr>
        <w:spacing w:line="520" w:lineRule="exact"/>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p>
    <w:p>
      <w:pPr>
        <w:pStyle w:val="12"/>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p>
    <w:p>
      <w:pPr>
        <w:pStyle w:val="12"/>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p>
    <w:p>
      <w:pPr>
        <w:pStyle w:val="12"/>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p>
    <w:p>
      <w:pPr>
        <w:pStyle w:val="12"/>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p>
    <w:p>
      <w:pPr>
        <w:pStyle w:val="12"/>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p>
    <w:p>
      <w:pPr>
        <w:pStyle w:val="12"/>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p>
    <w:p>
      <w:pPr>
        <w:pStyle w:val="12"/>
        <w:ind w:left="0" w:leftChars="0" w:firstLine="0" w:firstLineChars="0"/>
        <w:rPr>
          <w:rFonts w:hint="eastAsia" w:asciiTheme="minorEastAsia" w:hAnsiTheme="minorEastAsia" w:eastAsiaTheme="minorEastAsia" w:cstheme="minorEastAsia"/>
          <w:smallCaps w:val="0"/>
          <w:color w:val="000000" w:themeColor="text1"/>
          <w:spacing w:val="0"/>
          <w:highlight w:val="none"/>
          <w14:textFill>
            <w14:solidFill>
              <w14:schemeClr w14:val="tx1"/>
            </w14:solidFill>
          </w14:textFill>
        </w:rPr>
      </w:pPr>
    </w:p>
    <w:sectPr>
      <w:footerReference r:id="rId8" w:type="default"/>
      <w:pgSz w:w="11906" w:h="16838"/>
      <w:pgMar w:top="1440" w:right="1797" w:bottom="1440" w:left="1797" w:header="720" w:footer="720"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宋体">
    <w:altName w:val="宋体"/>
    <w:panose1 w:val="02010600040101010101"/>
    <w:charset w:val="86"/>
    <w:family w:val="auto"/>
    <w:pitch w:val="default"/>
    <w:sig w:usb0="00000000" w:usb1="0000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onsolas">
    <w:panose1 w:val="020B0609020204030204"/>
    <w:charset w:val="00"/>
    <w:family w:val="auto"/>
    <w:pitch w:val="default"/>
    <w:sig w:usb0="E10002FF" w:usb1="4000FCFF" w:usb2="00000009" w:usb3="00000000" w:csb0="6000019F" w:csb1="DFD70000"/>
  </w:font>
  <w:font w:name="Cambria">
    <w:panose1 w:val="02040503050406030204"/>
    <w:charset w:val="00"/>
    <w:family w:val="roman"/>
    <w:pitch w:val="default"/>
    <w:sig w:usb0="E00002FF" w:usb1="400004FF" w:usb2="00000000" w:usb3="00000000" w:csb0="2000019F" w:csb1="00000000"/>
  </w:font>
  <w:font w:name="Wingdings 2">
    <w:altName w:val="Wingdings"/>
    <w:panose1 w:val="05020102010507070707"/>
    <w:charset w:val="02"/>
    <w:family w:val="roman"/>
    <w:pitch w:val="default"/>
    <w:sig w:usb0="00000000" w:usb1="00000000" w:usb2="00000000" w:usb3="00000000" w:csb0="80000000" w:csb1="00000000"/>
  </w:font>
  <w:font w:name="华文中宋">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360"/>
      <w:jc w:val="center"/>
      <w:rPr>
        <w:rFonts w:ascii="仿宋_GB2312" w:eastAsia="仿宋_GB2312"/>
      </w:rPr>
    </w:pPr>
  </w:p>
  <w:p>
    <w:pPr>
      <w:pStyle w:val="1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27"/>
        <w:rFonts w:cs="黑体"/>
      </w:rPr>
    </w:pPr>
    <w:r>
      <w:rPr>
        <w:rStyle w:val="27"/>
        <w:rFonts w:cs="黑体"/>
      </w:rPr>
      <w:fldChar w:fldCharType="begin"/>
    </w:r>
    <w:r>
      <w:rPr>
        <w:rStyle w:val="27"/>
        <w:rFonts w:cs="黑体"/>
      </w:rPr>
      <w:instrText xml:space="preserve">PAGE  </w:instrText>
    </w:r>
    <w:r>
      <w:rPr>
        <w:rStyle w:val="27"/>
        <w:rFonts w:cs="黑体"/>
      </w:rPr>
      <w:fldChar w:fldCharType="separate"/>
    </w:r>
    <w:r>
      <w:rPr>
        <w:rStyle w:val="27"/>
        <w:rFonts w:cs="黑体"/>
      </w:rPr>
      <w:t>2</w:t>
    </w:r>
    <w:r>
      <w:rPr>
        <w:rStyle w:val="27"/>
        <w:rFonts w:cs="黑体"/>
      </w:rPr>
      <w:fldChar w:fldCharType="end"/>
    </w:r>
  </w:p>
  <w:p>
    <w:pPr>
      <w:pStyle w:val="1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360"/>
      <w:jc w:val="center"/>
      <w:rPr>
        <w:rFonts w:ascii="仿宋_GB2312" w:eastAsia="仿宋_GB2312"/>
      </w:rPr>
    </w:pPr>
  </w:p>
  <w:p>
    <w:pPr>
      <w:pStyle w:val="14"/>
      <w:ind w:right="360"/>
      <w:jc w:val="center"/>
    </w:pPr>
    <w:r>
      <w:rPr>
        <w:rFonts w:hint="eastAsia" w:ascii="仿宋_GB2312" w:eastAsia="仿宋_GB2312"/>
        <w:kern w:val="0"/>
        <w:szCs w:val="21"/>
      </w:rPr>
      <w:t>第</w:t>
    </w:r>
    <w:r>
      <w:rPr>
        <w:rFonts w:ascii="仿宋_GB2312" w:eastAsia="仿宋_GB2312"/>
        <w:kern w:val="0"/>
        <w:szCs w:val="21"/>
      </w:rPr>
      <w:t xml:space="preserve"> </w:t>
    </w:r>
    <w:r>
      <w:rPr>
        <w:rFonts w:ascii="仿宋_GB2312" w:eastAsia="仿宋_GB2312"/>
        <w:kern w:val="0"/>
        <w:szCs w:val="21"/>
      </w:rPr>
      <w:fldChar w:fldCharType="begin"/>
    </w:r>
    <w:r>
      <w:rPr>
        <w:rFonts w:ascii="仿宋_GB2312" w:eastAsia="仿宋_GB2312"/>
        <w:kern w:val="0"/>
        <w:szCs w:val="21"/>
      </w:rPr>
      <w:instrText xml:space="preserve"> PAGE </w:instrText>
    </w:r>
    <w:r>
      <w:rPr>
        <w:rFonts w:ascii="仿宋_GB2312" w:eastAsia="仿宋_GB2312"/>
        <w:kern w:val="0"/>
        <w:szCs w:val="21"/>
      </w:rPr>
      <w:fldChar w:fldCharType="separate"/>
    </w:r>
    <w:r>
      <w:rPr>
        <w:rFonts w:ascii="仿宋_GB2312" w:eastAsia="仿宋_GB2312"/>
        <w:kern w:val="0"/>
        <w:szCs w:val="21"/>
      </w:rPr>
      <w:t>50</w:t>
    </w:r>
    <w:r>
      <w:rPr>
        <w:rFonts w:ascii="仿宋_GB2312" w:eastAsia="仿宋_GB2312"/>
        <w:kern w:val="0"/>
        <w:szCs w:val="21"/>
      </w:rPr>
      <w:fldChar w:fldCharType="end"/>
    </w:r>
    <w:r>
      <w:rPr>
        <w:rFonts w:ascii="仿宋_GB2312" w:eastAsia="仿宋_GB2312"/>
        <w:kern w:val="0"/>
        <w:szCs w:val="21"/>
      </w:rPr>
      <w:t xml:space="preserve"> </w:t>
    </w:r>
    <w:r>
      <w:rPr>
        <w:rFonts w:hint="eastAsia" w:ascii="仿宋_GB2312" w:eastAsia="仿宋_GB2312"/>
        <w:kern w:val="0"/>
        <w:szCs w:val="21"/>
      </w:rPr>
      <w:t>页</w:t>
    </w:r>
    <w:r>
      <w:rPr>
        <w:rFonts w:ascii="仿宋_GB2312" w:eastAsia="仿宋_GB2312"/>
        <w:kern w:val="0"/>
        <w:szCs w:val="21"/>
      </w:rPr>
      <w:t xml:space="preserve"> </w:t>
    </w:r>
    <w:r>
      <w:rPr>
        <w:rFonts w:hint="eastAsia" w:ascii="仿宋_GB2312" w:eastAsia="仿宋_GB2312"/>
        <w:kern w:val="0"/>
        <w:szCs w:val="21"/>
      </w:rPr>
      <w:t>共</w:t>
    </w:r>
    <w:r>
      <w:rPr>
        <w:rFonts w:ascii="仿宋_GB2312" w:eastAsia="仿宋_GB2312"/>
        <w:kern w:val="0"/>
        <w:szCs w:val="21"/>
      </w:rPr>
      <w:t xml:space="preserve"> </w:t>
    </w:r>
    <w:r>
      <w:rPr>
        <w:rFonts w:ascii="仿宋_GB2312" w:eastAsia="仿宋_GB2312"/>
        <w:kern w:val="0"/>
        <w:szCs w:val="21"/>
      </w:rPr>
      <w:fldChar w:fldCharType="begin"/>
    </w:r>
    <w:r>
      <w:rPr>
        <w:rFonts w:ascii="仿宋_GB2312" w:eastAsia="仿宋_GB2312"/>
        <w:kern w:val="0"/>
        <w:szCs w:val="21"/>
      </w:rPr>
      <w:instrText xml:space="preserve"> NUMPAGES </w:instrText>
    </w:r>
    <w:r>
      <w:rPr>
        <w:rFonts w:ascii="仿宋_GB2312" w:eastAsia="仿宋_GB2312"/>
        <w:kern w:val="0"/>
        <w:szCs w:val="21"/>
      </w:rPr>
      <w:fldChar w:fldCharType="separate"/>
    </w:r>
    <w:r>
      <w:rPr>
        <w:rFonts w:ascii="仿宋_GB2312" w:eastAsia="仿宋_GB2312"/>
        <w:kern w:val="0"/>
        <w:szCs w:val="21"/>
      </w:rPr>
      <w:t>50</w:t>
    </w:r>
    <w:r>
      <w:rPr>
        <w:rFonts w:ascii="仿宋_GB2312" w:eastAsia="仿宋_GB2312"/>
        <w:kern w:val="0"/>
        <w:szCs w:val="21"/>
      </w:rPr>
      <w:fldChar w:fldCharType="end"/>
    </w:r>
    <w:r>
      <w:rPr>
        <w:rFonts w:ascii="仿宋_GB2312" w:eastAsia="仿宋_GB2312"/>
        <w:kern w:val="0"/>
        <w:szCs w:val="21"/>
      </w:rPr>
      <w:t xml:space="preserve"> </w:t>
    </w:r>
    <w:r>
      <w:rPr>
        <w:rFonts w:hint="eastAsia" w:ascii="仿宋_GB2312" w:eastAsia="仿宋_GB2312"/>
        <w:kern w:val="0"/>
        <w:szCs w:val="21"/>
      </w:rPr>
      <w:t>页</w:t>
    </w:r>
  </w:p>
  <w:p>
    <w:pPr>
      <w:pStyle w:val="14"/>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3539490</wp:posOffset>
              </wp:positionH>
              <wp:positionV relativeFrom="page">
                <wp:posOffset>9928225</wp:posOffset>
              </wp:positionV>
              <wp:extent cx="460375" cy="140335"/>
              <wp:effectExtent l="0" t="0" r="0" b="0"/>
              <wp:wrapNone/>
              <wp:docPr id="19" name="Shape 19"/>
              <wp:cNvGraphicFramePr/>
              <a:graphic xmlns:a="http://schemas.openxmlformats.org/drawingml/2006/main">
                <a:graphicData uri="http://schemas.microsoft.com/office/word/2010/wordprocessingShape">
                  <wps:wsp>
                    <wps:cNvSpPr txBox="1"/>
                    <wps:spPr>
                      <a:xfrm>
                        <a:off x="0" y="0"/>
                        <a:ext cx="460375" cy="140335"/>
                      </a:xfrm>
                      <a:prstGeom prst="rect">
                        <a:avLst/>
                      </a:prstGeom>
                      <a:noFill/>
                    </wps:spPr>
                    <wps:txbx>
                      <w:txbxContent>
                        <w:p>
                          <w:pPr>
                            <w:pStyle w:val="85"/>
                            <w:keepNext w:val="0"/>
                            <w:keepLines w:val="0"/>
                            <w:widowControl w:val="0"/>
                            <w:shd w:val="clear" w:color="auto" w:fill="auto"/>
                            <w:bidi w:val="0"/>
                            <w:spacing w:before="0" w:after="0" w:line="240" w:lineRule="auto"/>
                            <w:ind w:left="0" w:right="0" w:firstLine="0"/>
                            <w:jc w:val="left"/>
                            <w:rPr>
                              <w:sz w:val="18"/>
                              <w:szCs w:val="18"/>
                            </w:rPr>
                          </w:pPr>
                          <w:r>
                            <w:rPr>
                              <w:rFonts w:ascii="宋体" w:hAnsi="宋体" w:eastAsia="宋体" w:cs="宋体"/>
                              <w:color w:val="000000"/>
                              <w:spacing w:val="0"/>
                              <w:w w:val="100"/>
                              <w:position w:val="0"/>
                              <w:sz w:val="18"/>
                              <w:szCs w:val="18"/>
                              <w:shd w:val="clear" w:color="auto" w:fill="auto"/>
                            </w:rPr>
                            <w:t xml:space="preserve">第 </w:t>
                          </w:r>
                          <w:r>
                            <w:fldChar w:fldCharType="begin"/>
                          </w:r>
                          <w:r>
                            <w:instrText xml:space="preserve"> PAGE \* MERGEFORMAT </w:instrText>
                          </w:r>
                          <w:r>
                            <w:fldChar w:fldCharType="separate"/>
                          </w:r>
                          <w:r>
                            <w:rPr>
                              <w:rFonts w:ascii="Calibri" w:hAnsi="Calibri" w:eastAsia="Calibri" w:cs="Calibri"/>
                              <w:color w:val="000000"/>
                              <w:spacing w:val="0"/>
                              <w:w w:val="100"/>
                              <w:position w:val="0"/>
                              <w:sz w:val="18"/>
                              <w:szCs w:val="18"/>
                              <w:shd w:val="clear" w:color="auto" w:fill="auto"/>
                            </w:rPr>
                            <w:t>#</w:t>
                          </w:r>
                          <w:r>
                            <w:rPr>
                              <w:rFonts w:ascii="Calibri" w:hAnsi="Calibri" w:eastAsia="Calibri" w:cs="Calibri"/>
                              <w:color w:val="000000"/>
                              <w:spacing w:val="0"/>
                              <w:w w:val="100"/>
                              <w:position w:val="0"/>
                              <w:sz w:val="18"/>
                              <w:szCs w:val="18"/>
                              <w:shd w:val="clear" w:color="auto" w:fill="auto"/>
                            </w:rPr>
                            <w:fldChar w:fldCharType="end"/>
                          </w:r>
                          <w:r>
                            <w:rPr>
                              <w:rFonts w:ascii="Calibri" w:hAnsi="Calibri" w:eastAsia="Calibri" w:cs="Calibri"/>
                              <w:color w:val="000000"/>
                              <w:spacing w:val="0"/>
                              <w:w w:val="100"/>
                              <w:position w:val="0"/>
                              <w:sz w:val="18"/>
                              <w:szCs w:val="18"/>
                              <w:shd w:val="clear" w:color="auto" w:fill="auto"/>
                            </w:rPr>
                            <w:t xml:space="preserve"> </w:t>
                          </w:r>
                          <w:r>
                            <w:rPr>
                              <w:rFonts w:ascii="宋体" w:hAnsi="宋体" w:eastAsia="宋体" w:cs="宋体"/>
                              <w:color w:val="000000"/>
                              <w:spacing w:val="0"/>
                              <w:w w:val="100"/>
                              <w:position w:val="0"/>
                              <w:sz w:val="18"/>
                              <w:szCs w:val="18"/>
                              <w:shd w:val="clear" w:color="auto" w:fill="auto"/>
                            </w:rPr>
                            <w:t>页</w:t>
                          </w:r>
                        </w:p>
                      </w:txbxContent>
                    </wps:txbx>
                    <wps:bodyPr wrap="none" lIns="0" tIns="0" rIns="0" bIns="0">
                      <a:spAutoFit/>
                    </wps:bodyPr>
                  </wps:wsp>
                </a:graphicData>
              </a:graphic>
            </wp:anchor>
          </w:drawing>
        </mc:Choice>
        <mc:Fallback>
          <w:pict>
            <v:shape id="Shape 19" o:spid="_x0000_s1026" o:spt="202" type="#_x0000_t202" style="position:absolute;left:0pt;margin-left:278.7pt;margin-top:781.75pt;height:11.05pt;width:36.25pt;mso-position-horizontal-relative:page;mso-position-vertical-relative:page;mso-wrap-style:none;z-index:-251657216;mso-width-relative:page;mso-height-relative:page;" filled="f" stroked="f" coordsize="21600,21600" o:gfxdata="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5I1hb&#10;2QAAAA0BAAAPAAAAAAAAAAEAIAAAACIAAABkcnMvZG93bnJldi54bWxQSwECFAAUAAAACACHTuJA&#10;1VTjEq4BAABxAwAADgAAAAAAAAABACAAAAAoAQAAZHJzL2Uyb0RvYy54bWxQSwUGAAAAAAYABgBZ&#10;AQAASAUAAAAA&#10;">
              <v:fill on="f" focussize="0,0"/>
              <v:stroke on="f"/>
              <v:imagedata o:title=""/>
              <o:lock v:ext="edit" aspectratio="f"/>
              <v:textbox inset="0mm,0mm,0mm,0mm" style="mso-fit-shape-to-text:t;">
                <w:txbxContent>
                  <w:p>
                    <w:pPr>
                      <w:pStyle w:val="85"/>
                      <w:keepNext w:val="0"/>
                      <w:keepLines w:val="0"/>
                      <w:widowControl w:val="0"/>
                      <w:shd w:val="clear" w:color="auto" w:fill="auto"/>
                      <w:bidi w:val="0"/>
                      <w:spacing w:before="0" w:after="0" w:line="240" w:lineRule="auto"/>
                      <w:ind w:left="0" w:right="0" w:firstLine="0"/>
                      <w:jc w:val="left"/>
                      <w:rPr>
                        <w:sz w:val="18"/>
                        <w:szCs w:val="18"/>
                      </w:rPr>
                    </w:pPr>
                    <w:r>
                      <w:rPr>
                        <w:rFonts w:ascii="宋体" w:hAnsi="宋体" w:eastAsia="宋体" w:cs="宋体"/>
                        <w:color w:val="000000"/>
                        <w:spacing w:val="0"/>
                        <w:w w:val="100"/>
                        <w:position w:val="0"/>
                        <w:sz w:val="18"/>
                        <w:szCs w:val="18"/>
                        <w:shd w:val="clear" w:color="auto" w:fill="auto"/>
                      </w:rPr>
                      <w:t xml:space="preserve">第 </w:t>
                    </w:r>
                    <w:r>
                      <w:fldChar w:fldCharType="begin"/>
                    </w:r>
                    <w:r>
                      <w:instrText xml:space="preserve"> PAGE \* MERGEFORMAT </w:instrText>
                    </w:r>
                    <w:r>
                      <w:fldChar w:fldCharType="separate"/>
                    </w:r>
                    <w:r>
                      <w:rPr>
                        <w:rFonts w:ascii="Calibri" w:hAnsi="Calibri" w:eastAsia="Calibri" w:cs="Calibri"/>
                        <w:color w:val="000000"/>
                        <w:spacing w:val="0"/>
                        <w:w w:val="100"/>
                        <w:position w:val="0"/>
                        <w:sz w:val="18"/>
                        <w:szCs w:val="18"/>
                        <w:shd w:val="clear" w:color="auto" w:fill="auto"/>
                      </w:rPr>
                      <w:t>#</w:t>
                    </w:r>
                    <w:r>
                      <w:rPr>
                        <w:rFonts w:ascii="Calibri" w:hAnsi="Calibri" w:eastAsia="Calibri" w:cs="Calibri"/>
                        <w:color w:val="000000"/>
                        <w:spacing w:val="0"/>
                        <w:w w:val="100"/>
                        <w:position w:val="0"/>
                        <w:sz w:val="18"/>
                        <w:szCs w:val="18"/>
                        <w:shd w:val="clear" w:color="auto" w:fill="auto"/>
                      </w:rPr>
                      <w:fldChar w:fldCharType="end"/>
                    </w:r>
                    <w:r>
                      <w:rPr>
                        <w:rFonts w:ascii="Calibri" w:hAnsi="Calibri" w:eastAsia="Calibri" w:cs="Calibri"/>
                        <w:color w:val="000000"/>
                        <w:spacing w:val="0"/>
                        <w:w w:val="100"/>
                        <w:position w:val="0"/>
                        <w:sz w:val="18"/>
                        <w:szCs w:val="18"/>
                        <w:shd w:val="clear" w:color="auto" w:fill="auto"/>
                      </w:rPr>
                      <w:t xml:space="preserve"> </w:t>
                    </w:r>
                    <w:r>
                      <w:rPr>
                        <w:rFonts w:ascii="宋体" w:hAnsi="宋体" w:eastAsia="宋体" w:cs="宋体"/>
                        <w:color w:val="000000"/>
                        <w:spacing w:val="0"/>
                        <w:w w:val="100"/>
                        <w:position w:val="0"/>
                        <w:sz w:val="18"/>
                        <w:szCs w:val="18"/>
                        <w:shd w:val="clear" w:color="auto" w:fill="auto"/>
                      </w:rP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
    <w:pPr>
      <w:pStyle w:val="16"/>
      <w:pBdr>
        <w:bottom w:val="none" w:color="auto" w:sz="0" w:space="0"/>
      </w:pBdr>
      <w:jc w:val="both"/>
      <w:rPr>
        <w:rFonts w:ascii="仿宋_GB2312" w:hAnsi="仿宋_GB2312" w:eastAsia="仿宋_GB2312"/>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DF283D"/>
    <w:multiLevelType w:val="singleLevel"/>
    <w:tmpl w:val="9CDF283D"/>
    <w:lvl w:ilvl="0" w:tentative="0">
      <w:start w:val="1"/>
      <w:numFmt w:val="decimal"/>
      <w:suff w:val="nothing"/>
      <w:lvlText w:val="%1、"/>
      <w:lvlJc w:val="left"/>
    </w:lvl>
  </w:abstractNum>
  <w:abstractNum w:abstractNumId="1">
    <w:nsid w:val="FE6ADF59"/>
    <w:multiLevelType w:val="singleLevel"/>
    <w:tmpl w:val="FE6ADF59"/>
    <w:lvl w:ilvl="0" w:tentative="0">
      <w:start w:val="5"/>
      <w:numFmt w:val="decimal"/>
      <w:suff w:val="nothing"/>
      <w:lvlText w:val="（%1）"/>
      <w:lvlJc w:val="left"/>
      <w:rPr>
        <w:rFonts w:cs="Times New Roman"/>
      </w:rPr>
    </w:lvl>
  </w:abstractNum>
  <w:abstractNum w:abstractNumId="2">
    <w:nsid w:val="0000001B"/>
    <w:multiLevelType w:val="multilevel"/>
    <w:tmpl w:val="0000001B"/>
    <w:lvl w:ilvl="0" w:tentative="0">
      <w:start w:val="1"/>
      <w:numFmt w:val="chineseCountingThousand"/>
      <w:pStyle w:val="67"/>
      <w:lvlText w:val="第%1部分"/>
      <w:lvlJc w:val="left"/>
      <w:pPr>
        <w:ind w:left="1283" w:hanging="432"/>
      </w:pPr>
      <w:rPr>
        <w:rFonts w:hint="eastAsia" w:cs="Times New Roman"/>
      </w:rPr>
    </w:lvl>
    <w:lvl w:ilvl="1" w:tentative="0">
      <w:start w:val="1"/>
      <w:numFmt w:val="decimal"/>
      <w:isLgl/>
      <w:lvlText w:val="%1.%2"/>
      <w:lvlJc w:val="left"/>
      <w:pPr>
        <w:ind w:left="576" w:hanging="576"/>
      </w:pPr>
      <w:rPr>
        <w:rFonts w:hint="eastAsia" w:cs="Times New Roman"/>
      </w:rPr>
    </w:lvl>
    <w:lvl w:ilvl="2" w:tentative="0">
      <w:start w:val="1"/>
      <w:numFmt w:val="decimal"/>
      <w:isLgl/>
      <w:lvlText w:val="%1.%2.%3"/>
      <w:lvlJc w:val="left"/>
      <w:pPr>
        <w:ind w:left="720" w:hanging="720"/>
      </w:pPr>
      <w:rPr>
        <w:rFonts w:hint="eastAsia" w:cs="Times New Roman"/>
      </w:rPr>
    </w:lvl>
    <w:lvl w:ilvl="3" w:tentative="0">
      <w:start w:val="1"/>
      <w:numFmt w:val="decimal"/>
      <w:isLgl/>
      <w:lvlText w:val="%1.%2.%3.%4"/>
      <w:lvlJc w:val="left"/>
      <w:pPr>
        <w:ind w:left="864" w:hanging="864"/>
      </w:pPr>
      <w:rPr>
        <w:rFonts w:hint="eastAsia" w:cs="Times New Roman"/>
      </w:rPr>
    </w:lvl>
    <w:lvl w:ilvl="4" w:tentative="0">
      <w:start w:val="1"/>
      <w:numFmt w:val="decimal"/>
      <w:isLgl/>
      <w:lvlText w:val="%1.%2.%3.%4.%5"/>
      <w:lvlJc w:val="left"/>
      <w:pPr>
        <w:ind w:left="1008" w:hanging="1008"/>
      </w:pPr>
      <w:rPr>
        <w:rFonts w:hint="eastAsia" w:cs="Times New Roman"/>
      </w:rPr>
    </w:lvl>
    <w:lvl w:ilvl="5" w:tentative="0">
      <w:start w:val="1"/>
      <w:numFmt w:val="decimal"/>
      <w:isLgl/>
      <w:lvlText w:val="%1.%2.%3.%4.%5.%6"/>
      <w:lvlJc w:val="left"/>
      <w:pPr>
        <w:ind w:left="1152" w:hanging="1152"/>
      </w:pPr>
      <w:rPr>
        <w:rFonts w:hint="eastAsia" w:cs="Times New Roman"/>
      </w:rPr>
    </w:lvl>
    <w:lvl w:ilvl="6" w:tentative="0">
      <w:start w:val="1"/>
      <w:numFmt w:val="decimal"/>
      <w:isLgl/>
      <w:lvlText w:val="%1.%2.%3.%4.%5.%6.%7"/>
      <w:lvlJc w:val="left"/>
      <w:pPr>
        <w:ind w:left="1296" w:hanging="1296"/>
      </w:pPr>
      <w:rPr>
        <w:rFonts w:hint="eastAsia" w:cs="Times New Roman"/>
      </w:rPr>
    </w:lvl>
    <w:lvl w:ilvl="7" w:tentative="0">
      <w:start w:val="1"/>
      <w:numFmt w:val="decimal"/>
      <w:isLgl/>
      <w:lvlText w:val="%1.%2.%3.%4.%5.%6.%7.%8"/>
      <w:lvlJc w:val="left"/>
      <w:pPr>
        <w:ind w:left="1440" w:hanging="1440"/>
      </w:pPr>
      <w:rPr>
        <w:rFonts w:hint="eastAsia" w:cs="Times New Roman"/>
      </w:rPr>
    </w:lvl>
    <w:lvl w:ilvl="8" w:tentative="0">
      <w:start w:val="1"/>
      <w:numFmt w:val="decimal"/>
      <w:isLgl/>
      <w:lvlText w:val="%1.%2.%3.%4.%5.%6.%7.%8.%9"/>
      <w:lvlJc w:val="left"/>
      <w:pPr>
        <w:ind w:left="1584" w:hanging="1584"/>
      </w:pPr>
      <w:rPr>
        <w:rFonts w:hint="eastAsia" w:cs="Times New Roman"/>
      </w:rPr>
    </w:lvl>
  </w:abstractNum>
  <w:abstractNum w:abstractNumId="3">
    <w:nsid w:val="552A671D"/>
    <w:multiLevelType w:val="multilevel"/>
    <w:tmpl w:val="552A671D"/>
    <w:lvl w:ilvl="0" w:tentative="0">
      <w:start w:val="1"/>
      <w:numFmt w:val="chineseCountingThousand"/>
      <w:lvlText w:val="第%1章"/>
      <w:lvlJc w:val="left"/>
      <w:rPr>
        <w:rFonts w:hint="eastAsia" w:cs="Times New Roman"/>
      </w:rPr>
    </w:lvl>
    <w:lvl w:ilvl="1" w:tentative="0">
      <w:start w:val="1"/>
      <w:numFmt w:val="chineseCountingThousand"/>
      <w:lvlText w:val="%2"/>
      <w:lvlJc w:val="left"/>
      <w:rPr>
        <w:rFonts w:hint="eastAsia" w:cs="Times New Roman"/>
      </w:rPr>
    </w:lvl>
    <w:lvl w:ilvl="2" w:tentative="0">
      <w:start w:val="1"/>
      <w:numFmt w:val="decimal"/>
      <w:isLgl/>
      <w:lvlText w:val="%2.%3"/>
      <w:lvlJc w:val="left"/>
      <w:rPr>
        <w:rFonts w:hint="eastAsia" w:cs="Times New Roman"/>
      </w:rPr>
    </w:lvl>
    <w:lvl w:ilvl="3" w:tentative="0">
      <w:start w:val="1"/>
      <w:numFmt w:val="decimal"/>
      <w:pStyle w:val="5"/>
      <w:isLgl/>
      <w:lvlText w:val="%2.%3.%4"/>
      <w:lvlJc w:val="left"/>
      <w:rPr>
        <w:rFonts w:hint="eastAsia" w:cs="Times New Roman"/>
      </w:rPr>
    </w:lvl>
    <w:lvl w:ilvl="4" w:tentative="0">
      <w:start w:val="1"/>
      <w:numFmt w:val="decimal"/>
      <w:lvlText w:val="%1.%2.%3.%4.%5"/>
      <w:lvlJc w:val="left"/>
      <w:rPr>
        <w:rFonts w:hint="eastAsia" w:cs="Times New Roman"/>
      </w:rPr>
    </w:lvl>
    <w:lvl w:ilvl="5" w:tentative="0">
      <w:start w:val="1"/>
      <w:numFmt w:val="decimal"/>
      <w:lvlText w:val="%1.%2.%3.%4.%5.%6"/>
      <w:lvlJc w:val="left"/>
      <w:rPr>
        <w:rFonts w:hint="eastAsia" w:cs="Times New Roman"/>
      </w:rPr>
    </w:lvl>
    <w:lvl w:ilvl="6" w:tentative="0">
      <w:start w:val="1"/>
      <w:numFmt w:val="decimal"/>
      <w:lvlText w:val="%1.%2.%3.%4.%5.%6.%7"/>
      <w:lvlJc w:val="left"/>
      <w:rPr>
        <w:rFonts w:hint="eastAsia" w:cs="Times New Roman"/>
      </w:rPr>
    </w:lvl>
    <w:lvl w:ilvl="7" w:tentative="0">
      <w:start w:val="1"/>
      <w:numFmt w:val="decimal"/>
      <w:lvlText w:val="%1.%2.%3.%4.%5.%6.%7.%8"/>
      <w:lvlJc w:val="left"/>
      <w:rPr>
        <w:rFonts w:hint="eastAsia" w:cs="Times New Roman"/>
      </w:rPr>
    </w:lvl>
    <w:lvl w:ilvl="8" w:tentative="0">
      <w:start w:val="1"/>
      <w:numFmt w:val="decimal"/>
      <w:lvlText w:val="%1.%2.%3.%4.%5.%6.%7.%8.%9"/>
      <w:lvlJc w:val="left"/>
      <w:rPr>
        <w:rFonts w:hint="eastAsia" w:cs="Times New Roman"/>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footnotePr>
    <w:pos w:val="beneathText"/>
  </w:footnotePr>
  <w:compat>
    <w:spaceForUL/>
    <w:balanceSingleByteDoubleByteWidth/>
    <w:doNotLeaveBackslashAlon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737A40"/>
    <w:rsid w:val="00012CFC"/>
    <w:rsid w:val="00025AC5"/>
    <w:rsid w:val="000550AC"/>
    <w:rsid w:val="00056751"/>
    <w:rsid w:val="000613F6"/>
    <w:rsid w:val="00065775"/>
    <w:rsid w:val="000730CA"/>
    <w:rsid w:val="00085646"/>
    <w:rsid w:val="00096E46"/>
    <w:rsid w:val="000A1505"/>
    <w:rsid w:val="000A15F7"/>
    <w:rsid w:val="000A38A6"/>
    <w:rsid w:val="000B3B49"/>
    <w:rsid w:val="000F38AC"/>
    <w:rsid w:val="000F6170"/>
    <w:rsid w:val="001017B8"/>
    <w:rsid w:val="0010535A"/>
    <w:rsid w:val="00120B14"/>
    <w:rsid w:val="00137BF1"/>
    <w:rsid w:val="001411F5"/>
    <w:rsid w:val="00151B27"/>
    <w:rsid w:val="001525DF"/>
    <w:rsid w:val="001572E5"/>
    <w:rsid w:val="001621EE"/>
    <w:rsid w:val="0016320C"/>
    <w:rsid w:val="00170870"/>
    <w:rsid w:val="00175312"/>
    <w:rsid w:val="00176C3F"/>
    <w:rsid w:val="00184D80"/>
    <w:rsid w:val="001B0C5F"/>
    <w:rsid w:val="001D6F38"/>
    <w:rsid w:val="00201ED3"/>
    <w:rsid w:val="00206721"/>
    <w:rsid w:val="00212F27"/>
    <w:rsid w:val="00222A41"/>
    <w:rsid w:val="0025097F"/>
    <w:rsid w:val="00250D98"/>
    <w:rsid w:val="00280AA2"/>
    <w:rsid w:val="00281B9A"/>
    <w:rsid w:val="00290AE6"/>
    <w:rsid w:val="002C09F0"/>
    <w:rsid w:val="002C1BDF"/>
    <w:rsid w:val="002C2AF1"/>
    <w:rsid w:val="002C69B3"/>
    <w:rsid w:val="002D05D9"/>
    <w:rsid w:val="002D0C97"/>
    <w:rsid w:val="003075CD"/>
    <w:rsid w:val="0034315E"/>
    <w:rsid w:val="003523C4"/>
    <w:rsid w:val="00383D66"/>
    <w:rsid w:val="003C7620"/>
    <w:rsid w:val="003D2640"/>
    <w:rsid w:val="00423EDE"/>
    <w:rsid w:val="004262DD"/>
    <w:rsid w:val="004311B7"/>
    <w:rsid w:val="00464AB4"/>
    <w:rsid w:val="00471DAD"/>
    <w:rsid w:val="0049520A"/>
    <w:rsid w:val="004A5558"/>
    <w:rsid w:val="004C2F78"/>
    <w:rsid w:val="004D54E4"/>
    <w:rsid w:val="004E0125"/>
    <w:rsid w:val="00505887"/>
    <w:rsid w:val="005256CE"/>
    <w:rsid w:val="00526157"/>
    <w:rsid w:val="00536391"/>
    <w:rsid w:val="00542400"/>
    <w:rsid w:val="005719F7"/>
    <w:rsid w:val="00573CA2"/>
    <w:rsid w:val="005B71B4"/>
    <w:rsid w:val="005D221D"/>
    <w:rsid w:val="005E265F"/>
    <w:rsid w:val="005F3D9E"/>
    <w:rsid w:val="00614D6E"/>
    <w:rsid w:val="00614EC6"/>
    <w:rsid w:val="00615E4D"/>
    <w:rsid w:val="00632AC7"/>
    <w:rsid w:val="00652622"/>
    <w:rsid w:val="006B1901"/>
    <w:rsid w:val="006B73D0"/>
    <w:rsid w:val="006C2FDF"/>
    <w:rsid w:val="00730960"/>
    <w:rsid w:val="00741A2F"/>
    <w:rsid w:val="00773EA4"/>
    <w:rsid w:val="00790220"/>
    <w:rsid w:val="00793126"/>
    <w:rsid w:val="007A386D"/>
    <w:rsid w:val="007A47AD"/>
    <w:rsid w:val="007B08F0"/>
    <w:rsid w:val="007C2CB6"/>
    <w:rsid w:val="007C33A4"/>
    <w:rsid w:val="007D6FFE"/>
    <w:rsid w:val="007E3061"/>
    <w:rsid w:val="0080271C"/>
    <w:rsid w:val="00831690"/>
    <w:rsid w:val="00847C6B"/>
    <w:rsid w:val="008609B6"/>
    <w:rsid w:val="00871AA1"/>
    <w:rsid w:val="00872C16"/>
    <w:rsid w:val="00875454"/>
    <w:rsid w:val="00894E1C"/>
    <w:rsid w:val="008A62BA"/>
    <w:rsid w:val="008A6541"/>
    <w:rsid w:val="008B25E8"/>
    <w:rsid w:val="008E3CB7"/>
    <w:rsid w:val="008E588F"/>
    <w:rsid w:val="009130BB"/>
    <w:rsid w:val="0091452B"/>
    <w:rsid w:val="00920FE3"/>
    <w:rsid w:val="0096501E"/>
    <w:rsid w:val="00971F23"/>
    <w:rsid w:val="0098424D"/>
    <w:rsid w:val="009848A6"/>
    <w:rsid w:val="009950BD"/>
    <w:rsid w:val="009E2A94"/>
    <w:rsid w:val="009E2E00"/>
    <w:rsid w:val="00A36F18"/>
    <w:rsid w:val="00A51919"/>
    <w:rsid w:val="00A565DF"/>
    <w:rsid w:val="00A66979"/>
    <w:rsid w:val="00AB27ED"/>
    <w:rsid w:val="00AE5C80"/>
    <w:rsid w:val="00B07AC5"/>
    <w:rsid w:val="00B251AB"/>
    <w:rsid w:val="00B52120"/>
    <w:rsid w:val="00B75521"/>
    <w:rsid w:val="00B8532E"/>
    <w:rsid w:val="00BC1925"/>
    <w:rsid w:val="00BF22B7"/>
    <w:rsid w:val="00C57904"/>
    <w:rsid w:val="00C72C88"/>
    <w:rsid w:val="00C90104"/>
    <w:rsid w:val="00CA2914"/>
    <w:rsid w:val="00CB08D5"/>
    <w:rsid w:val="00CC4F9E"/>
    <w:rsid w:val="00CE54A9"/>
    <w:rsid w:val="00CF4C3C"/>
    <w:rsid w:val="00CF6814"/>
    <w:rsid w:val="00D155CF"/>
    <w:rsid w:val="00D1735B"/>
    <w:rsid w:val="00D34624"/>
    <w:rsid w:val="00D35838"/>
    <w:rsid w:val="00D5369A"/>
    <w:rsid w:val="00D56789"/>
    <w:rsid w:val="00D60F0A"/>
    <w:rsid w:val="00D672C3"/>
    <w:rsid w:val="00D77B1D"/>
    <w:rsid w:val="00D95A5B"/>
    <w:rsid w:val="00DA0C0B"/>
    <w:rsid w:val="00DA0DCE"/>
    <w:rsid w:val="00DB09EF"/>
    <w:rsid w:val="00DB1832"/>
    <w:rsid w:val="00DB3427"/>
    <w:rsid w:val="00DB47A3"/>
    <w:rsid w:val="00DB7C89"/>
    <w:rsid w:val="00DE7069"/>
    <w:rsid w:val="00DE7CE9"/>
    <w:rsid w:val="00E020CE"/>
    <w:rsid w:val="00E2075A"/>
    <w:rsid w:val="00E20A5E"/>
    <w:rsid w:val="00E35334"/>
    <w:rsid w:val="00E36B60"/>
    <w:rsid w:val="00E41A52"/>
    <w:rsid w:val="00EA3889"/>
    <w:rsid w:val="00EB085C"/>
    <w:rsid w:val="00EB4CC0"/>
    <w:rsid w:val="00ED7277"/>
    <w:rsid w:val="00EE5884"/>
    <w:rsid w:val="00F2364D"/>
    <w:rsid w:val="00F23AA3"/>
    <w:rsid w:val="00F4479B"/>
    <w:rsid w:val="00FB7A8F"/>
    <w:rsid w:val="00FD1870"/>
    <w:rsid w:val="011D7DE6"/>
    <w:rsid w:val="011F4853"/>
    <w:rsid w:val="01254108"/>
    <w:rsid w:val="01311C82"/>
    <w:rsid w:val="01336668"/>
    <w:rsid w:val="01363679"/>
    <w:rsid w:val="0160654B"/>
    <w:rsid w:val="0168267E"/>
    <w:rsid w:val="016E41F5"/>
    <w:rsid w:val="01700D97"/>
    <w:rsid w:val="017505BA"/>
    <w:rsid w:val="0181585C"/>
    <w:rsid w:val="01856F72"/>
    <w:rsid w:val="019636EF"/>
    <w:rsid w:val="019C7014"/>
    <w:rsid w:val="019F42DA"/>
    <w:rsid w:val="01A5783C"/>
    <w:rsid w:val="01A904E8"/>
    <w:rsid w:val="01CE6D82"/>
    <w:rsid w:val="01D60296"/>
    <w:rsid w:val="01E45EDC"/>
    <w:rsid w:val="01F43840"/>
    <w:rsid w:val="01FF76F9"/>
    <w:rsid w:val="020F54DE"/>
    <w:rsid w:val="02192071"/>
    <w:rsid w:val="021A45B5"/>
    <w:rsid w:val="022D02B3"/>
    <w:rsid w:val="02330BA3"/>
    <w:rsid w:val="025043D9"/>
    <w:rsid w:val="0261542D"/>
    <w:rsid w:val="02665B89"/>
    <w:rsid w:val="026B589F"/>
    <w:rsid w:val="026F4F90"/>
    <w:rsid w:val="02854154"/>
    <w:rsid w:val="02876603"/>
    <w:rsid w:val="02B925B2"/>
    <w:rsid w:val="02B94673"/>
    <w:rsid w:val="02BC2E31"/>
    <w:rsid w:val="02BE2E94"/>
    <w:rsid w:val="02C5030E"/>
    <w:rsid w:val="02F527F7"/>
    <w:rsid w:val="02F81733"/>
    <w:rsid w:val="03021FF0"/>
    <w:rsid w:val="0303799C"/>
    <w:rsid w:val="030D2AD3"/>
    <w:rsid w:val="031253A4"/>
    <w:rsid w:val="031D05EF"/>
    <w:rsid w:val="031E095A"/>
    <w:rsid w:val="032E2B06"/>
    <w:rsid w:val="0336211B"/>
    <w:rsid w:val="0347353B"/>
    <w:rsid w:val="034C00DE"/>
    <w:rsid w:val="034D00C6"/>
    <w:rsid w:val="035763D2"/>
    <w:rsid w:val="035F4006"/>
    <w:rsid w:val="0380155B"/>
    <w:rsid w:val="03817534"/>
    <w:rsid w:val="03AE77CD"/>
    <w:rsid w:val="03B70728"/>
    <w:rsid w:val="03B77173"/>
    <w:rsid w:val="03E217AC"/>
    <w:rsid w:val="03E91251"/>
    <w:rsid w:val="03F61E63"/>
    <w:rsid w:val="040137B6"/>
    <w:rsid w:val="04060E12"/>
    <w:rsid w:val="04106589"/>
    <w:rsid w:val="0411125D"/>
    <w:rsid w:val="041D6E45"/>
    <w:rsid w:val="04225F9D"/>
    <w:rsid w:val="0426274B"/>
    <w:rsid w:val="04272E38"/>
    <w:rsid w:val="042A3E27"/>
    <w:rsid w:val="042D5D39"/>
    <w:rsid w:val="042E154C"/>
    <w:rsid w:val="0431511D"/>
    <w:rsid w:val="04333BF3"/>
    <w:rsid w:val="043D65E8"/>
    <w:rsid w:val="044622F6"/>
    <w:rsid w:val="044A4DD5"/>
    <w:rsid w:val="045118D0"/>
    <w:rsid w:val="04511969"/>
    <w:rsid w:val="04544E40"/>
    <w:rsid w:val="04563131"/>
    <w:rsid w:val="045C2B81"/>
    <w:rsid w:val="04792DB2"/>
    <w:rsid w:val="047A6EDE"/>
    <w:rsid w:val="04865A71"/>
    <w:rsid w:val="04986F5F"/>
    <w:rsid w:val="049A703A"/>
    <w:rsid w:val="049F30E8"/>
    <w:rsid w:val="04A769D2"/>
    <w:rsid w:val="04B01417"/>
    <w:rsid w:val="04B3209C"/>
    <w:rsid w:val="04CF36B1"/>
    <w:rsid w:val="04D33165"/>
    <w:rsid w:val="04E1345E"/>
    <w:rsid w:val="04E54C27"/>
    <w:rsid w:val="04EC44D3"/>
    <w:rsid w:val="04F21440"/>
    <w:rsid w:val="04F60677"/>
    <w:rsid w:val="04FF3368"/>
    <w:rsid w:val="05051F5C"/>
    <w:rsid w:val="05182ABB"/>
    <w:rsid w:val="051D511B"/>
    <w:rsid w:val="052E457B"/>
    <w:rsid w:val="05303C64"/>
    <w:rsid w:val="05360AF9"/>
    <w:rsid w:val="053632E2"/>
    <w:rsid w:val="054E2C8C"/>
    <w:rsid w:val="05535EB5"/>
    <w:rsid w:val="057809C7"/>
    <w:rsid w:val="058030C1"/>
    <w:rsid w:val="05975644"/>
    <w:rsid w:val="059B0729"/>
    <w:rsid w:val="05A651A6"/>
    <w:rsid w:val="05B84A9E"/>
    <w:rsid w:val="05C022DB"/>
    <w:rsid w:val="05C73233"/>
    <w:rsid w:val="05CB2366"/>
    <w:rsid w:val="05CF0D86"/>
    <w:rsid w:val="05E6708C"/>
    <w:rsid w:val="05EA5202"/>
    <w:rsid w:val="05EE7ACD"/>
    <w:rsid w:val="060D6388"/>
    <w:rsid w:val="06326D30"/>
    <w:rsid w:val="064E3D79"/>
    <w:rsid w:val="064F67BE"/>
    <w:rsid w:val="065D462F"/>
    <w:rsid w:val="066B3CA0"/>
    <w:rsid w:val="0679640D"/>
    <w:rsid w:val="067E2DCF"/>
    <w:rsid w:val="06845AA1"/>
    <w:rsid w:val="068C4E50"/>
    <w:rsid w:val="069E79FE"/>
    <w:rsid w:val="06A55271"/>
    <w:rsid w:val="06D110D5"/>
    <w:rsid w:val="06D41E0B"/>
    <w:rsid w:val="06D66FA1"/>
    <w:rsid w:val="06E37934"/>
    <w:rsid w:val="06E60E63"/>
    <w:rsid w:val="0704094F"/>
    <w:rsid w:val="070F1FCF"/>
    <w:rsid w:val="071530B8"/>
    <w:rsid w:val="07212F4C"/>
    <w:rsid w:val="07562754"/>
    <w:rsid w:val="076634FC"/>
    <w:rsid w:val="076E62E7"/>
    <w:rsid w:val="0772674B"/>
    <w:rsid w:val="077B2240"/>
    <w:rsid w:val="077F57A8"/>
    <w:rsid w:val="07836FD8"/>
    <w:rsid w:val="07A9646F"/>
    <w:rsid w:val="07C4089C"/>
    <w:rsid w:val="07C665A3"/>
    <w:rsid w:val="07D239B4"/>
    <w:rsid w:val="07DC2648"/>
    <w:rsid w:val="07E17363"/>
    <w:rsid w:val="07E30735"/>
    <w:rsid w:val="07E84712"/>
    <w:rsid w:val="08003084"/>
    <w:rsid w:val="08057885"/>
    <w:rsid w:val="081669A5"/>
    <w:rsid w:val="08205A99"/>
    <w:rsid w:val="082252C4"/>
    <w:rsid w:val="082451C6"/>
    <w:rsid w:val="0835215D"/>
    <w:rsid w:val="083668B3"/>
    <w:rsid w:val="08385B4E"/>
    <w:rsid w:val="083B569D"/>
    <w:rsid w:val="083C4975"/>
    <w:rsid w:val="083F0206"/>
    <w:rsid w:val="084854A3"/>
    <w:rsid w:val="084D1F11"/>
    <w:rsid w:val="08556065"/>
    <w:rsid w:val="085F4E79"/>
    <w:rsid w:val="087C0D3B"/>
    <w:rsid w:val="087C3740"/>
    <w:rsid w:val="088E4DD1"/>
    <w:rsid w:val="088F5717"/>
    <w:rsid w:val="08A511A3"/>
    <w:rsid w:val="08A932EA"/>
    <w:rsid w:val="08AF2206"/>
    <w:rsid w:val="08B91AB3"/>
    <w:rsid w:val="08BC7F58"/>
    <w:rsid w:val="08D072EC"/>
    <w:rsid w:val="08F03005"/>
    <w:rsid w:val="09131E5B"/>
    <w:rsid w:val="092119F0"/>
    <w:rsid w:val="09322736"/>
    <w:rsid w:val="09332226"/>
    <w:rsid w:val="0933291B"/>
    <w:rsid w:val="09383807"/>
    <w:rsid w:val="093C2906"/>
    <w:rsid w:val="095531D7"/>
    <w:rsid w:val="096557F4"/>
    <w:rsid w:val="098B6820"/>
    <w:rsid w:val="09962F65"/>
    <w:rsid w:val="099D1932"/>
    <w:rsid w:val="09A054CB"/>
    <w:rsid w:val="09BF2FB9"/>
    <w:rsid w:val="09CD4F1C"/>
    <w:rsid w:val="09E24D47"/>
    <w:rsid w:val="09F12C92"/>
    <w:rsid w:val="09F2188D"/>
    <w:rsid w:val="09F2483A"/>
    <w:rsid w:val="09F33252"/>
    <w:rsid w:val="0A1D6B11"/>
    <w:rsid w:val="0A1E62E5"/>
    <w:rsid w:val="0A200578"/>
    <w:rsid w:val="0A327FFB"/>
    <w:rsid w:val="0A352BB8"/>
    <w:rsid w:val="0A492649"/>
    <w:rsid w:val="0A4F7F2D"/>
    <w:rsid w:val="0A564E09"/>
    <w:rsid w:val="0A673E1F"/>
    <w:rsid w:val="0A6D55E7"/>
    <w:rsid w:val="0A735038"/>
    <w:rsid w:val="0A7A2420"/>
    <w:rsid w:val="0A841ED4"/>
    <w:rsid w:val="0A8569CF"/>
    <w:rsid w:val="0A9009FC"/>
    <w:rsid w:val="0AA24925"/>
    <w:rsid w:val="0AD215B9"/>
    <w:rsid w:val="0AE0030A"/>
    <w:rsid w:val="0AE82D52"/>
    <w:rsid w:val="0AEA2297"/>
    <w:rsid w:val="0AEE57D0"/>
    <w:rsid w:val="0AF63D69"/>
    <w:rsid w:val="0AFD5CF7"/>
    <w:rsid w:val="0B0A5AA6"/>
    <w:rsid w:val="0B1F7A6D"/>
    <w:rsid w:val="0B296443"/>
    <w:rsid w:val="0B2D51CC"/>
    <w:rsid w:val="0B325376"/>
    <w:rsid w:val="0B3A4D6A"/>
    <w:rsid w:val="0B484C43"/>
    <w:rsid w:val="0B491B09"/>
    <w:rsid w:val="0B504836"/>
    <w:rsid w:val="0B571AFF"/>
    <w:rsid w:val="0B5F6168"/>
    <w:rsid w:val="0B677F77"/>
    <w:rsid w:val="0B705BDD"/>
    <w:rsid w:val="0B852E80"/>
    <w:rsid w:val="0B862E3E"/>
    <w:rsid w:val="0B871973"/>
    <w:rsid w:val="0B8B3083"/>
    <w:rsid w:val="0B8B70B0"/>
    <w:rsid w:val="0BA330DE"/>
    <w:rsid w:val="0BA51AF4"/>
    <w:rsid w:val="0BA839CA"/>
    <w:rsid w:val="0BAB24B3"/>
    <w:rsid w:val="0BB15FFC"/>
    <w:rsid w:val="0BB36557"/>
    <w:rsid w:val="0BC91F0F"/>
    <w:rsid w:val="0BDC6D2B"/>
    <w:rsid w:val="0BF91C77"/>
    <w:rsid w:val="0C086D92"/>
    <w:rsid w:val="0C0E3ADA"/>
    <w:rsid w:val="0C125056"/>
    <w:rsid w:val="0C292185"/>
    <w:rsid w:val="0C301033"/>
    <w:rsid w:val="0C4017D5"/>
    <w:rsid w:val="0C4034DC"/>
    <w:rsid w:val="0C563925"/>
    <w:rsid w:val="0C570DEB"/>
    <w:rsid w:val="0C606ED7"/>
    <w:rsid w:val="0C75311E"/>
    <w:rsid w:val="0C9B4AA5"/>
    <w:rsid w:val="0CC4156E"/>
    <w:rsid w:val="0CD3290F"/>
    <w:rsid w:val="0CD67639"/>
    <w:rsid w:val="0CFE2AD9"/>
    <w:rsid w:val="0D081AE7"/>
    <w:rsid w:val="0D100A23"/>
    <w:rsid w:val="0D190B51"/>
    <w:rsid w:val="0D212DCE"/>
    <w:rsid w:val="0D226786"/>
    <w:rsid w:val="0D2D0684"/>
    <w:rsid w:val="0D367538"/>
    <w:rsid w:val="0D4033D0"/>
    <w:rsid w:val="0D663100"/>
    <w:rsid w:val="0D6B1CB4"/>
    <w:rsid w:val="0D7C402B"/>
    <w:rsid w:val="0D981069"/>
    <w:rsid w:val="0D9B2CFA"/>
    <w:rsid w:val="0D9E533A"/>
    <w:rsid w:val="0D9E7620"/>
    <w:rsid w:val="0DA03703"/>
    <w:rsid w:val="0DA465AD"/>
    <w:rsid w:val="0DC57106"/>
    <w:rsid w:val="0DC7172C"/>
    <w:rsid w:val="0DCF79AE"/>
    <w:rsid w:val="0DD00EBA"/>
    <w:rsid w:val="0DD97E7D"/>
    <w:rsid w:val="0DE5387C"/>
    <w:rsid w:val="0DE72386"/>
    <w:rsid w:val="0DE772F4"/>
    <w:rsid w:val="0DE9084D"/>
    <w:rsid w:val="0DF171E5"/>
    <w:rsid w:val="0DF44EB8"/>
    <w:rsid w:val="0E000372"/>
    <w:rsid w:val="0E1B6AD2"/>
    <w:rsid w:val="0E252A96"/>
    <w:rsid w:val="0E2C43A9"/>
    <w:rsid w:val="0E3878FF"/>
    <w:rsid w:val="0E5E546D"/>
    <w:rsid w:val="0E64798E"/>
    <w:rsid w:val="0E6674EC"/>
    <w:rsid w:val="0E7D11ED"/>
    <w:rsid w:val="0E7D3DFE"/>
    <w:rsid w:val="0E812434"/>
    <w:rsid w:val="0E8C3936"/>
    <w:rsid w:val="0E9677DF"/>
    <w:rsid w:val="0ECA183E"/>
    <w:rsid w:val="0ED2347B"/>
    <w:rsid w:val="0EE11387"/>
    <w:rsid w:val="0EE205CF"/>
    <w:rsid w:val="0EE364DB"/>
    <w:rsid w:val="0EE73BAC"/>
    <w:rsid w:val="0EF2254B"/>
    <w:rsid w:val="0EF804CA"/>
    <w:rsid w:val="0F1D4D59"/>
    <w:rsid w:val="0F2E0181"/>
    <w:rsid w:val="0F492381"/>
    <w:rsid w:val="0F4C035A"/>
    <w:rsid w:val="0F586B1D"/>
    <w:rsid w:val="0F614EB1"/>
    <w:rsid w:val="0F6516D6"/>
    <w:rsid w:val="0F655931"/>
    <w:rsid w:val="0F6E12E2"/>
    <w:rsid w:val="0F731B3C"/>
    <w:rsid w:val="0F742B1B"/>
    <w:rsid w:val="0F766C32"/>
    <w:rsid w:val="0F7E74BB"/>
    <w:rsid w:val="0F8649A7"/>
    <w:rsid w:val="0F8816FE"/>
    <w:rsid w:val="0F8A2CC8"/>
    <w:rsid w:val="0F9558A4"/>
    <w:rsid w:val="0F9577D6"/>
    <w:rsid w:val="0F981F69"/>
    <w:rsid w:val="0FC20D0E"/>
    <w:rsid w:val="0FE56BEA"/>
    <w:rsid w:val="0FE56C69"/>
    <w:rsid w:val="0FF23DB4"/>
    <w:rsid w:val="0FF90354"/>
    <w:rsid w:val="0FFF2D9F"/>
    <w:rsid w:val="10007670"/>
    <w:rsid w:val="10042382"/>
    <w:rsid w:val="100429F8"/>
    <w:rsid w:val="101D4285"/>
    <w:rsid w:val="102F2F29"/>
    <w:rsid w:val="10383BFB"/>
    <w:rsid w:val="103B29C8"/>
    <w:rsid w:val="104F0B8D"/>
    <w:rsid w:val="10592F65"/>
    <w:rsid w:val="10757017"/>
    <w:rsid w:val="10B35AD2"/>
    <w:rsid w:val="10B70B4D"/>
    <w:rsid w:val="10B77A86"/>
    <w:rsid w:val="10B84337"/>
    <w:rsid w:val="10D30835"/>
    <w:rsid w:val="10D34C56"/>
    <w:rsid w:val="10E54614"/>
    <w:rsid w:val="10E95BE1"/>
    <w:rsid w:val="10EA3E1B"/>
    <w:rsid w:val="10F330CC"/>
    <w:rsid w:val="10F9324A"/>
    <w:rsid w:val="11001744"/>
    <w:rsid w:val="1102785C"/>
    <w:rsid w:val="111035FE"/>
    <w:rsid w:val="111E64D1"/>
    <w:rsid w:val="11227234"/>
    <w:rsid w:val="112F182A"/>
    <w:rsid w:val="11312313"/>
    <w:rsid w:val="11327A0A"/>
    <w:rsid w:val="11617B26"/>
    <w:rsid w:val="11656F47"/>
    <w:rsid w:val="116752F4"/>
    <w:rsid w:val="116754EB"/>
    <w:rsid w:val="1179257A"/>
    <w:rsid w:val="118629FF"/>
    <w:rsid w:val="118D74C5"/>
    <w:rsid w:val="119C2329"/>
    <w:rsid w:val="11A90B6C"/>
    <w:rsid w:val="11B11303"/>
    <w:rsid w:val="11CC7536"/>
    <w:rsid w:val="11D905C4"/>
    <w:rsid w:val="11E378C4"/>
    <w:rsid w:val="11F67BEF"/>
    <w:rsid w:val="11FA5A8C"/>
    <w:rsid w:val="12110822"/>
    <w:rsid w:val="12146881"/>
    <w:rsid w:val="121557C2"/>
    <w:rsid w:val="12164FE2"/>
    <w:rsid w:val="12170D24"/>
    <w:rsid w:val="122B5BA5"/>
    <w:rsid w:val="122E09C8"/>
    <w:rsid w:val="123851B5"/>
    <w:rsid w:val="1239037E"/>
    <w:rsid w:val="125573C2"/>
    <w:rsid w:val="125969B4"/>
    <w:rsid w:val="126A6D5C"/>
    <w:rsid w:val="12A14108"/>
    <w:rsid w:val="12A76862"/>
    <w:rsid w:val="12B174DA"/>
    <w:rsid w:val="12B96BF5"/>
    <w:rsid w:val="12C23BE2"/>
    <w:rsid w:val="12C50CDD"/>
    <w:rsid w:val="12C67F4B"/>
    <w:rsid w:val="12CD28CA"/>
    <w:rsid w:val="12D12D74"/>
    <w:rsid w:val="12D336AE"/>
    <w:rsid w:val="12DB4DB8"/>
    <w:rsid w:val="12E27430"/>
    <w:rsid w:val="12FF7D23"/>
    <w:rsid w:val="130B30BD"/>
    <w:rsid w:val="130F5701"/>
    <w:rsid w:val="13224D07"/>
    <w:rsid w:val="132F2581"/>
    <w:rsid w:val="13312097"/>
    <w:rsid w:val="133121D7"/>
    <w:rsid w:val="13312991"/>
    <w:rsid w:val="133A4DCA"/>
    <w:rsid w:val="133C354A"/>
    <w:rsid w:val="133E79C2"/>
    <w:rsid w:val="134A5EB7"/>
    <w:rsid w:val="134F19F0"/>
    <w:rsid w:val="135266E7"/>
    <w:rsid w:val="1353029C"/>
    <w:rsid w:val="135A45D0"/>
    <w:rsid w:val="13786DE8"/>
    <w:rsid w:val="13857B9C"/>
    <w:rsid w:val="13883ACC"/>
    <w:rsid w:val="139C7A7B"/>
    <w:rsid w:val="13B35CEB"/>
    <w:rsid w:val="13B531DF"/>
    <w:rsid w:val="13B906CB"/>
    <w:rsid w:val="13BF0EFE"/>
    <w:rsid w:val="13CC0B43"/>
    <w:rsid w:val="13D548AF"/>
    <w:rsid w:val="13ED4ADA"/>
    <w:rsid w:val="13EF32F9"/>
    <w:rsid w:val="14302273"/>
    <w:rsid w:val="14494156"/>
    <w:rsid w:val="14502381"/>
    <w:rsid w:val="14557E21"/>
    <w:rsid w:val="14677BD0"/>
    <w:rsid w:val="14696ED7"/>
    <w:rsid w:val="14726DB9"/>
    <w:rsid w:val="14776943"/>
    <w:rsid w:val="147A10E9"/>
    <w:rsid w:val="1488077B"/>
    <w:rsid w:val="148D5715"/>
    <w:rsid w:val="14A82274"/>
    <w:rsid w:val="14B14D8A"/>
    <w:rsid w:val="14B60788"/>
    <w:rsid w:val="14B73BFF"/>
    <w:rsid w:val="14C45E41"/>
    <w:rsid w:val="14CA7109"/>
    <w:rsid w:val="14E06C74"/>
    <w:rsid w:val="14E400D7"/>
    <w:rsid w:val="14E7102B"/>
    <w:rsid w:val="14EF688D"/>
    <w:rsid w:val="15005D43"/>
    <w:rsid w:val="150E6914"/>
    <w:rsid w:val="15177090"/>
    <w:rsid w:val="151C12D0"/>
    <w:rsid w:val="1529584E"/>
    <w:rsid w:val="152D016F"/>
    <w:rsid w:val="152E25CD"/>
    <w:rsid w:val="153E69DF"/>
    <w:rsid w:val="154B1616"/>
    <w:rsid w:val="15627FFF"/>
    <w:rsid w:val="15682A80"/>
    <w:rsid w:val="156837DB"/>
    <w:rsid w:val="156A44F1"/>
    <w:rsid w:val="157E5969"/>
    <w:rsid w:val="15824CEA"/>
    <w:rsid w:val="158D7C98"/>
    <w:rsid w:val="15A15C4F"/>
    <w:rsid w:val="15A2010C"/>
    <w:rsid w:val="15A76506"/>
    <w:rsid w:val="15B817B2"/>
    <w:rsid w:val="15BC4E6D"/>
    <w:rsid w:val="15C411C7"/>
    <w:rsid w:val="15C62C57"/>
    <w:rsid w:val="15C90BD8"/>
    <w:rsid w:val="15CC1E28"/>
    <w:rsid w:val="15EC25C3"/>
    <w:rsid w:val="15EE7CF1"/>
    <w:rsid w:val="16393E8F"/>
    <w:rsid w:val="163A650D"/>
    <w:rsid w:val="163D2C63"/>
    <w:rsid w:val="163E35EE"/>
    <w:rsid w:val="16471021"/>
    <w:rsid w:val="165C22B6"/>
    <w:rsid w:val="165D1BF5"/>
    <w:rsid w:val="16692DA0"/>
    <w:rsid w:val="166A42FA"/>
    <w:rsid w:val="167C1A2B"/>
    <w:rsid w:val="169832CB"/>
    <w:rsid w:val="16993977"/>
    <w:rsid w:val="169D75DC"/>
    <w:rsid w:val="16AA5090"/>
    <w:rsid w:val="16B64B1C"/>
    <w:rsid w:val="16B651E8"/>
    <w:rsid w:val="16BE22E4"/>
    <w:rsid w:val="16CB0AAD"/>
    <w:rsid w:val="16D2515C"/>
    <w:rsid w:val="16DE6C2C"/>
    <w:rsid w:val="16E13D01"/>
    <w:rsid w:val="16E408F0"/>
    <w:rsid w:val="16EA7C57"/>
    <w:rsid w:val="16EE6ACA"/>
    <w:rsid w:val="16FB0FBA"/>
    <w:rsid w:val="171D5AFE"/>
    <w:rsid w:val="173049A4"/>
    <w:rsid w:val="175879B6"/>
    <w:rsid w:val="17644197"/>
    <w:rsid w:val="17756763"/>
    <w:rsid w:val="177E0C83"/>
    <w:rsid w:val="1786315A"/>
    <w:rsid w:val="17990000"/>
    <w:rsid w:val="17A10581"/>
    <w:rsid w:val="17A64ED9"/>
    <w:rsid w:val="17B43AA8"/>
    <w:rsid w:val="17C42C54"/>
    <w:rsid w:val="17C639F7"/>
    <w:rsid w:val="17DC4CA9"/>
    <w:rsid w:val="17E107C6"/>
    <w:rsid w:val="17EA5EA0"/>
    <w:rsid w:val="17F044EF"/>
    <w:rsid w:val="17F52807"/>
    <w:rsid w:val="17FD05D0"/>
    <w:rsid w:val="18072B80"/>
    <w:rsid w:val="182F5F4F"/>
    <w:rsid w:val="183B6992"/>
    <w:rsid w:val="184E20B4"/>
    <w:rsid w:val="185557EE"/>
    <w:rsid w:val="1860375C"/>
    <w:rsid w:val="186341CF"/>
    <w:rsid w:val="187A7CC6"/>
    <w:rsid w:val="1890654E"/>
    <w:rsid w:val="18921432"/>
    <w:rsid w:val="189214CC"/>
    <w:rsid w:val="18AD57B4"/>
    <w:rsid w:val="18AE5D84"/>
    <w:rsid w:val="18E357A5"/>
    <w:rsid w:val="18E630FA"/>
    <w:rsid w:val="19062305"/>
    <w:rsid w:val="190E0ACF"/>
    <w:rsid w:val="19246714"/>
    <w:rsid w:val="192C26C9"/>
    <w:rsid w:val="193275B4"/>
    <w:rsid w:val="19340D76"/>
    <w:rsid w:val="193548DD"/>
    <w:rsid w:val="19376A9C"/>
    <w:rsid w:val="1942537E"/>
    <w:rsid w:val="194E2712"/>
    <w:rsid w:val="194E7E98"/>
    <w:rsid w:val="197A0A4E"/>
    <w:rsid w:val="1984725D"/>
    <w:rsid w:val="19883568"/>
    <w:rsid w:val="19910E28"/>
    <w:rsid w:val="19974AA2"/>
    <w:rsid w:val="199A307A"/>
    <w:rsid w:val="199C5682"/>
    <w:rsid w:val="19AC4831"/>
    <w:rsid w:val="19BC0CD5"/>
    <w:rsid w:val="19D066D8"/>
    <w:rsid w:val="19DE648A"/>
    <w:rsid w:val="19EB7932"/>
    <w:rsid w:val="19F42E97"/>
    <w:rsid w:val="1A132439"/>
    <w:rsid w:val="1A15752C"/>
    <w:rsid w:val="1A4A5F7E"/>
    <w:rsid w:val="1A4C5E2D"/>
    <w:rsid w:val="1A4D6AF0"/>
    <w:rsid w:val="1A5315A9"/>
    <w:rsid w:val="1A674452"/>
    <w:rsid w:val="1A6B4D65"/>
    <w:rsid w:val="1A7072CF"/>
    <w:rsid w:val="1A7A2FC5"/>
    <w:rsid w:val="1A8A2439"/>
    <w:rsid w:val="1A93276E"/>
    <w:rsid w:val="1A9A41B1"/>
    <w:rsid w:val="1AA228CB"/>
    <w:rsid w:val="1AA776CF"/>
    <w:rsid w:val="1AAF4936"/>
    <w:rsid w:val="1AB669D1"/>
    <w:rsid w:val="1ABB7DEB"/>
    <w:rsid w:val="1AC02F48"/>
    <w:rsid w:val="1AC70911"/>
    <w:rsid w:val="1AD01EF8"/>
    <w:rsid w:val="1AD763F7"/>
    <w:rsid w:val="1ADE4A83"/>
    <w:rsid w:val="1B1A7D07"/>
    <w:rsid w:val="1B1B0D4D"/>
    <w:rsid w:val="1B31488A"/>
    <w:rsid w:val="1B4424BC"/>
    <w:rsid w:val="1B4B1E88"/>
    <w:rsid w:val="1B5407D2"/>
    <w:rsid w:val="1B583C48"/>
    <w:rsid w:val="1B5D42F8"/>
    <w:rsid w:val="1B5E3CE6"/>
    <w:rsid w:val="1B691493"/>
    <w:rsid w:val="1B83161D"/>
    <w:rsid w:val="1B836B82"/>
    <w:rsid w:val="1B9E69F1"/>
    <w:rsid w:val="1BA754F4"/>
    <w:rsid w:val="1BC95034"/>
    <w:rsid w:val="1BCA58E3"/>
    <w:rsid w:val="1BD06AC6"/>
    <w:rsid w:val="1BDB74FF"/>
    <w:rsid w:val="1BE90027"/>
    <w:rsid w:val="1BF1653B"/>
    <w:rsid w:val="1C055D03"/>
    <w:rsid w:val="1C064310"/>
    <w:rsid w:val="1C275E66"/>
    <w:rsid w:val="1C390A83"/>
    <w:rsid w:val="1C456CAA"/>
    <w:rsid w:val="1C50050E"/>
    <w:rsid w:val="1C5322E7"/>
    <w:rsid w:val="1C6D0F4E"/>
    <w:rsid w:val="1C7B0B74"/>
    <w:rsid w:val="1C8A0001"/>
    <w:rsid w:val="1C970F4B"/>
    <w:rsid w:val="1C9F1B5F"/>
    <w:rsid w:val="1CAC442B"/>
    <w:rsid w:val="1CB726C5"/>
    <w:rsid w:val="1CC85DBC"/>
    <w:rsid w:val="1CC863BE"/>
    <w:rsid w:val="1CCE3D44"/>
    <w:rsid w:val="1CD566A2"/>
    <w:rsid w:val="1CDD599B"/>
    <w:rsid w:val="1CF37985"/>
    <w:rsid w:val="1CFE6F9F"/>
    <w:rsid w:val="1D04722B"/>
    <w:rsid w:val="1D0C3386"/>
    <w:rsid w:val="1D0E259E"/>
    <w:rsid w:val="1D0F71C2"/>
    <w:rsid w:val="1D1536BC"/>
    <w:rsid w:val="1D217CD3"/>
    <w:rsid w:val="1D270667"/>
    <w:rsid w:val="1D2C4453"/>
    <w:rsid w:val="1D2C73FF"/>
    <w:rsid w:val="1D2E7D80"/>
    <w:rsid w:val="1D3C4F09"/>
    <w:rsid w:val="1D467C4A"/>
    <w:rsid w:val="1D4F4B2C"/>
    <w:rsid w:val="1D50244A"/>
    <w:rsid w:val="1D512486"/>
    <w:rsid w:val="1D566E09"/>
    <w:rsid w:val="1D5E7575"/>
    <w:rsid w:val="1D621AB8"/>
    <w:rsid w:val="1D626A4F"/>
    <w:rsid w:val="1D6B2BFD"/>
    <w:rsid w:val="1D747A57"/>
    <w:rsid w:val="1D7857F6"/>
    <w:rsid w:val="1D7F75CB"/>
    <w:rsid w:val="1D8E1F47"/>
    <w:rsid w:val="1D9839C2"/>
    <w:rsid w:val="1DA433EF"/>
    <w:rsid w:val="1DAA0C9D"/>
    <w:rsid w:val="1DAD0481"/>
    <w:rsid w:val="1DAE1F56"/>
    <w:rsid w:val="1DAE3882"/>
    <w:rsid w:val="1DC170D6"/>
    <w:rsid w:val="1DE53DF0"/>
    <w:rsid w:val="1DEC419D"/>
    <w:rsid w:val="1DEE46BA"/>
    <w:rsid w:val="1E013D44"/>
    <w:rsid w:val="1E0F5FF5"/>
    <w:rsid w:val="1E165BF9"/>
    <w:rsid w:val="1E1C4674"/>
    <w:rsid w:val="1E2546C3"/>
    <w:rsid w:val="1E381537"/>
    <w:rsid w:val="1E4051D5"/>
    <w:rsid w:val="1E555F4C"/>
    <w:rsid w:val="1E625F6A"/>
    <w:rsid w:val="1E690E6D"/>
    <w:rsid w:val="1E737E95"/>
    <w:rsid w:val="1E760D28"/>
    <w:rsid w:val="1E7D69BB"/>
    <w:rsid w:val="1E813A7A"/>
    <w:rsid w:val="1E92317D"/>
    <w:rsid w:val="1E9D6E6E"/>
    <w:rsid w:val="1EAA7D3E"/>
    <w:rsid w:val="1EAF7507"/>
    <w:rsid w:val="1EB552DF"/>
    <w:rsid w:val="1EBC1AE8"/>
    <w:rsid w:val="1ECA589A"/>
    <w:rsid w:val="1ED0750B"/>
    <w:rsid w:val="1ED274DA"/>
    <w:rsid w:val="1ED3326E"/>
    <w:rsid w:val="1ED77B59"/>
    <w:rsid w:val="1EE818D1"/>
    <w:rsid w:val="1F2322D6"/>
    <w:rsid w:val="1F257A72"/>
    <w:rsid w:val="1F310EAE"/>
    <w:rsid w:val="1F503012"/>
    <w:rsid w:val="1F5A362F"/>
    <w:rsid w:val="1F605D9B"/>
    <w:rsid w:val="1F613CD2"/>
    <w:rsid w:val="1F797178"/>
    <w:rsid w:val="1F840D70"/>
    <w:rsid w:val="1F872514"/>
    <w:rsid w:val="1F910276"/>
    <w:rsid w:val="1F9B0763"/>
    <w:rsid w:val="1F9E3DCE"/>
    <w:rsid w:val="1FA15C13"/>
    <w:rsid w:val="1FA61BF1"/>
    <w:rsid w:val="1FAA7821"/>
    <w:rsid w:val="1FB3582D"/>
    <w:rsid w:val="1FB71487"/>
    <w:rsid w:val="1FC574F1"/>
    <w:rsid w:val="1FCF312F"/>
    <w:rsid w:val="1FD768D0"/>
    <w:rsid w:val="1FD94767"/>
    <w:rsid w:val="1FD9711A"/>
    <w:rsid w:val="1FDC5957"/>
    <w:rsid w:val="1FFF5D71"/>
    <w:rsid w:val="20034DFA"/>
    <w:rsid w:val="20081B6F"/>
    <w:rsid w:val="2016045E"/>
    <w:rsid w:val="201756F0"/>
    <w:rsid w:val="201A4C8E"/>
    <w:rsid w:val="201E6EE5"/>
    <w:rsid w:val="202F53FF"/>
    <w:rsid w:val="20331FBB"/>
    <w:rsid w:val="203C73DC"/>
    <w:rsid w:val="205B447F"/>
    <w:rsid w:val="205E67DA"/>
    <w:rsid w:val="20663E19"/>
    <w:rsid w:val="20925F46"/>
    <w:rsid w:val="20990CFD"/>
    <w:rsid w:val="20B43E69"/>
    <w:rsid w:val="20B702B7"/>
    <w:rsid w:val="20B97787"/>
    <w:rsid w:val="20E01A64"/>
    <w:rsid w:val="20E15A18"/>
    <w:rsid w:val="20E51DA6"/>
    <w:rsid w:val="20E96344"/>
    <w:rsid w:val="20F56186"/>
    <w:rsid w:val="20F57829"/>
    <w:rsid w:val="20FA7FCC"/>
    <w:rsid w:val="20FB2922"/>
    <w:rsid w:val="21034658"/>
    <w:rsid w:val="211141B4"/>
    <w:rsid w:val="211F08E9"/>
    <w:rsid w:val="21282578"/>
    <w:rsid w:val="212A1275"/>
    <w:rsid w:val="212B17E8"/>
    <w:rsid w:val="21412940"/>
    <w:rsid w:val="21442D51"/>
    <w:rsid w:val="214A1E91"/>
    <w:rsid w:val="214D1CA5"/>
    <w:rsid w:val="215744B9"/>
    <w:rsid w:val="2161548B"/>
    <w:rsid w:val="21626B1E"/>
    <w:rsid w:val="2167073C"/>
    <w:rsid w:val="21A52E93"/>
    <w:rsid w:val="21BA163B"/>
    <w:rsid w:val="21DD2944"/>
    <w:rsid w:val="21E30DB2"/>
    <w:rsid w:val="21E96A9F"/>
    <w:rsid w:val="21FC7EFF"/>
    <w:rsid w:val="22153067"/>
    <w:rsid w:val="221A5B58"/>
    <w:rsid w:val="221C174E"/>
    <w:rsid w:val="222543D6"/>
    <w:rsid w:val="222C6196"/>
    <w:rsid w:val="22350543"/>
    <w:rsid w:val="2241742E"/>
    <w:rsid w:val="22483EA0"/>
    <w:rsid w:val="224B14A1"/>
    <w:rsid w:val="224D7816"/>
    <w:rsid w:val="22556196"/>
    <w:rsid w:val="225D0D4D"/>
    <w:rsid w:val="22626023"/>
    <w:rsid w:val="228B09AF"/>
    <w:rsid w:val="22A628A7"/>
    <w:rsid w:val="22C44196"/>
    <w:rsid w:val="22CE1FE8"/>
    <w:rsid w:val="22DE1ACA"/>
    <w:rsid w:val="22FF7862"/>
    <w:rsid w:val="23045142"/>
    <w:rsid w:val="23135ED4"/>
    <w:rsid w:val="23171E29"/>
    <w:rsid w:val="232003A8"/>
    <w:rsid w:val="23210002"/>
    <w:rsid w:val="23271337"/>
    <w:rsid w:val="233033AC"/>
    <w:rsid w:val="23473217"/>
    <w:rsid w:val="234D2187"/>
    <w:rsid w:val="23576E34"/>
    <w:rsid w:val="23577720"/>
    <w:rsid w:val="235D5026"/>
    <w:rsid w:val="235E0BE7"/>
    <w:rsid w:val="23647D37"/>
    <w:rsid w:val="238656C0"/>
    <w:rsid w:val="23915964"/>
    <w:rsid w:val="23A96531"/>
    <w:rsid w:val="23C802CF"/>
    <w:rsid w:val="23CA1C21"/>
    <w:rsid w:val="23D21DD1"/>
    <w:rsid w:val="23DB3666"/>
    <w:rsid w:val="23DF77EE"/>
    <w:rsid w:val="23FD1329"/>
    <w:rsid w:val="2417518C"/>
    <w:rsid w:val="241925C7"/>
    <w:rsid w:val="24192C3A"/>
    <w:rsid w:val="24346082"/>
    <w:rsid w:val="244F0311"/>
    <w:rsid w:val="245068E0"/>
    <w:rsid w:val="246029C5"/>
    <w:rsid w:val="24763EB4"/>
    <w:rsid w:val="2477395A"/>
    <w:rsid w:val="24814A98"/>
    <w:rsid w:val="248F2C9D"/>
    <w:rsid w:val="24A73B7F"/>
    <w:rsid w:val="24B329E8"/>
    <w:rsid w:val="24D42838"/>
    <w:rsid w:val="24E56A5D"/>
    <w:rsid w:val="24EF3AFC"/>
    <w:rsid w:val="24FB7427"/>
    <w:rsid w:val="250742D6"/>
    <w:rsid w:val="250D5C63"/>
    <w:rsid w:val="251271E8"/>
    <w:rsid w:val="251C0617"/>
    <w:rsid w:val="25354E09"/>
    <w:rsid w:val="256F17DD"/>
    <w:rsid w:val="256F37BE"/>
    <w:rsid w:val="25737719"/>
    <w:rsid w:val="257656A6"/>
    <w:rsid w:val="25846D1C"/>
    <w:rsid w:val="25910004"/>
    <w:rsid w:val="25923864"/>
    <w:rsid w:val="25957CEB"/>
    <w:rsid w:val="259C0970"/>
    <w:rsid w:val="25A531BF"/>
    <w:rsid w:val="25B8626D"/>
    <w:rsid w:val="25BC54D3"/>
    <w:rsid w:val="25BE656C"/>
    <w:rsid w:val="25CA5EA7"/>
    <w:rsid w:val="25D2346E"/>
    <w:rsid w:val="25F742AF"/>
    <w:rsid w:val="26037125"/>
    <w:rsid w:val="261C215E"/>
    <w:rsid w:val="262E21CA"/>
    <w:rsid w:val="2635297C"/>
    <w:rsid w:val="264E4CD4"/>
    <w:rsid w:val="26564490"/>
    <w:rsid w:val="26896468"/>
    <w:rsid w:val="269D3CA9"/>
    <w:rsid w:val="269D431E"/>
    <w:rsid w:val="26AC2A99"/>
    <w:rsid w:val="26B07722"/>
    <w:rsid w:val="26DB2A7C"/>
    <w:rsid w:val="26DE4844"/>
    <w:rsid w:val="26FD1FD9"/>
    <w:rsid w:val="2707113A"/>
    <w:rsid w:val="27081D67"/>
    <w:rsid w:val="27084DAF"/>
    <w:rsid w:val="27123B82"/>
    <w:rsid w:val="271A2E1E"/>
    <w:rsid w:val="271A436F"/>
    <w:rsid w:val="271C6AC7"/>
    <w:rsid w:val="271C6D3C"/>
    <w:rsid w:val="27205EB7"/>
    <w:rsid w:val="27226162"/>
    <w:rsid w:val="27250EC8"/>
    <w:rsid w:val="272C4F96"/>
    <w:rsid w:val="273042AF"/>
    <w:rsid w:val="27417AEA"/>
    <w:rsid w:val="27436CB6"/>
    <w:rsid w:val="274A4C06"/>
    <w:rsid w:val="27724CAC"/>
    <w:rsid w:val="27762667"/>
    <w:rsid w:val="277D7F56"/>
    <w:rsid w:val="27872070"/>
    <w:rsid w:val="279919E9"/>
    <w:rsid w:val="27A33190"/>
    <w:rsid w:val="27A5535E"/>
    <w:rsid w:val="27AF5D57"/>
    <w:rsid w:val="27C02D65"/>
    <w:rsid w:val="27DF04FB"/>
    <w:rsid w:val="27E67C7E"/>
    <w:rsid w:val="27F06F0B"/>
    <w:rsid w:val="280D4AA3"/>
    <w:rsid w:val="281A1FE6"/>
    <w:rsid w:val="28263197"/>
    <w:rsid w:val="28264212"/>
    <w:rsid w:val="2828680E"/>
    <w:rsid w:val="2830129F"/>
    <w:rsid w:val="28355139"/>
    <w:rsid w:val="28592385"/>
    <w:rsid w:val="28594B42"/>
    <w:rsid w:val="286D63BA"/>
    <w:rsid w:val="286F0CBF"/>
    <w:rsid w:val="2875726B"/>
    <w:rsid w:val="287F448B"/>
    <w:rsid w:val="288E70C3"/>
    <w:rsid w:val="289158DA"/>
    <w:rsid w:val="289501B5"/>
    <w:rsid w:val="28971113"/>
    <w:rsid w:val="28975406"/>
    <w:rsid w:val="289A440B"/>
    <w:rsid w:val="28B75C79"/>
    <w:rsid w:val="28C15FAC"/>
    <w:rsid w:val="28CF221C"/>
    <w:rsid w:val="28D41B5E"/>
    <w:rsid w:val="28E27EAD"/>
    <w:rsid w:val="28E52223"/>
    <w:rsid w:val="28EC762F"/>
    <w:rsid w:val="290468D0"/>
    <w:rsid w:val="290A7193"/>
    <w:rsid w:val="291578E5"/>
    <w:rsid w:val="291E7C56"/>
    <w:rsid w:val="292B7947"/>
    <w:rsid w:val="293614CD"/>
    <w:rsid w:val="293D76C0"/>
    <w:rsid w:val="29425A20"/>
    <w:rsid w:val="294F7E64"/>
    <w:rsid w:val="29531DA5"/>
    <w:rsid w:val="29584041"/>
    <w:rsid w:val="29607974"/>
    <w:rsid w:val="29750C60"/>
    <w:rsid w:val="29765A8A"/>
    <w:rsid w:val="29971101"/>
    <w:rsid w:val="29A13B5D"/>
    <w:rsid w:val="29B2547C"/>
    <w:rsid w:val="29BE57C4"/>
    <w:rsid w:val="29C02DBB"/>
    <w:rsid w:val="29C46476"/>
    <w:rsid w:val="29C844B8"/>
    <w:rsid w:val="29CD07B5"/>
    <w:rsid w:val="29DF577A"/>
    <w:rsid w:val="29E35C17"/>
    <w:rsid w:val="29ED6979"/>
    <w:rsid w:val="29F349AD"/>
    <w:rsid w:val="29F6769B"/>
    <w:rsid w:val="2A011D98"/>
    <w:rsid w:val="2A094BF6"/>
    <w:rsid w:val="2A0E1038"/>
    <w:rsid w:val="2A0E2D17"/>
    <w:rsid w:val="2A1E7774"/>
    <w:rsid w:val="2A396A65"/>
    <w:rsid w:val="2A5378FA"/>
    <w:rsid w:val="2A690B44"/>
    <w:rsid w:val="2A721FFA"/>
    <w:rsid w:val="2A776DA7"/>
    <w:rsid w:val="2A824759"/>
    <w:rsid w:val="2AA552A2"/>
    <w:rsid w:val="2AA622BE"/>
    <w:rsid w:val="2AAD0539"/>
    <w:rsid w:val="2AB0525A"/>
    <w:rsid w:val="2AB7600E"/>
    <w:rsid w:val="2ABA7FDC"/>
    <w:rsid w:val="2ABF2A8A"/>
    <w:rsid w:val="2AC90E6B"/>
    <w:rsid w:val="2ACB23B3"/>
    <w:rsid w:val="2AD10BBA"/>
    <w:rsid w:val="2AD92CA6"/>
    <w:rsid w:val="2AF36DAF"/>
    <w:rsid w:val="2AFB3A51"/>
    <w:rsid w:val="2B0566A8"/>
    <w:rsid w:val="2B216CF7"/>
    <w:rsid w:val="2B217D87"/>
    <w:rsid w:val="2B2362CF"/>
    <w:rsid w:val="2B260950"/>
    <w:rsid w:val="2B3F77AF"/>
    <w:rsid w:val="2B424C06"/>
    <w:rsid w:val="2B48753D"/>
    <w:rsid w:val="2B771322"/>
    <w:rsid w:val="2B880F75"/>
    <w:rsid w:val="2B9031D0"/>
    <w:rsid w:val="2BA37997"/>
    <w:rsid w:val="2BAF5D42"/>
    <w:rsid w:val="2BB17639"/>
    <w:rsid w:val="2BB7733B"/>
    <w:rsid w:val="2BB972CC"/>
    <w:rsid w:val="2BBB0337"/>
    <w:rsid w:val="2BCC4AAF"/>
    <w:rsid w:val="2BE63183"/>
    <w:rsid w:val="2BFE0303"/>
    <w:rsid w:val="2C040C81"/>
    <w:rsid w:val="2C1035F2"/>
    <w:rsid w:val="2C163C4E"/>
    <w:rsid w:val="2C1E21C8"/>
    <w:rsid w:val="2C227180"/>
    <w:rsid w:val="2C5C0BB5"/>
    <w:rsid w:val="2C5F1DE6"/>
    <w:rsid w:val="2C641521"/>
    <w:rsid w:val="2C6F33AD"/>
    <w:rsid w:val="2C7C5FAE"/>
    <w:rsid w:val="2C8F427E"/>
    <w:rsid w:val="2C944107"/>
    <w:rsid w:val="2C997A1D"/>
    <w:rsid w:val="2CA026FD"/>
    <w:rsid w:val="2CB7490F"/>
    <w:rsid w:val="2CCE4411"/>
    <w:rsid w:val="2CCE7FA6"/>
    <w:rsid w:val="2CD43314"/>
    <w:rsid w:val="2CE57D65"/>
    <w:rsid w:val="2CF55EBF"/>
    <w:rsid w:val="2CF866CB"/>
    <w:rsid w:val="2D14472B"/>
    <w:rsid w:val="2D267401"/>
    <w:rsid w:val="2D3A234F"/>
    <w:rsid w:val="2D42253E"/>
    <w:rsid w:val="2D4575F5"/>
    <w:rsid w:val="2D467141"/>
    <w:rsid w:val="2D480A7B"/>
    <w:rsid w:val="2D5414E6"/>
    <w:rsid w:val="2D563699"/>
    <w:rsid w:val="2D662601"/>
    <w:rsid w:val="2D74599B"/>
    <w:rsid w:val="2D8A6919"/>
    <w:rsid w:val="2D9640C1"/>
    <w:rsid w:val="2D9E07DC"/>
    <w:rsid w:val="2D9F1FBC"/>
    <w:rsid w:val="2DA216C6"/>
    <w:rsid w:val="2DA331D7"/>
    <w:rsid w:val="2DAB153A"/>
    <w:rsid w:val="2DC215A3"/>
    <w:rsid w:val="2DC97D8F"/>
    <w:rsid w:val="2DD64FFC"/>
    <w:rsid w:val="2DE547E8"/>
    <w:rsid w:val="2DE604CB"/>
    <w:rsid w:val="2DF13EC7"/>
    <w:rsid w:val="2DF27A43"/>
    <w:rsid w:val="2DF4421E"/>
    <w:rsid w:val="2DFE506A"/>
    <w:rsid w:val="2E021EB4"/>
    <w:rsid w:val="2E055AFE"/>
    <w:rsid w:val="2E115887"/>
    <w:rsid w:val="2E2F41DA"/>
    <w:rsid w:val="2E433B40"/>
    <w:rsid w:val="2E4A42D4"/>
    <w:rsid w:val="2E4E2E7B"/>
    <w:rsid w:val="2E624D5F"/>
    <w:rsid w:val="2E9350DE"/>
    <w:rsid w:val="2E9371E4"/>
    <w:rsid w:val="2E955098"/>
    <w:rsid w:val="2E985DCA"/>
    <w:rsid w:val="2EB17FE4"/>
    <w:rsid w:val="2EBC38E2"/>
    <w:rsid w:val="2EDB0390"/>
    <w:rsid w:val="2EDD08EE"/>
    <w:rsid w:val="2EE66354"/>
    <w:rsid w:val="2EE76A58"/>
    <w:rsid w:val="2EF42061"/>
    <w:rsid w:val="2F045B31"/>
    <w:rsid w:val="2F066A9B"/>
    <w:rsid w:val="2F297F69"/>
    <w:rsid w:val="2F302933"/>
    <w:rsid w:val="2F3D006C"/>
    <w:rsid w:val="2F4E38DA"/>
    <w:rsid w:val="2F5870E0"/>
    <w:rsid w:val="2F6B77C6"/>
    <w:rsid w:val="2F710094"/>
    <w:rsid w:val="2F8674B4"/>
    <w:rsid w:val="2F8E58E2"/>
    <w:rsid w:val="2F910260"/>
    <w:rsid w:val="2F9E4CB1"/>
    <w:rsid w:val="2FA51301"/>
    <w:rsid w:val="2FB614CF"/>
    <w:rsid w:val="2FF7065F"/>
    <w:rsid w:val="30016F1A"/>
    <w:rsid w:val="30090904"/>
    <w:rsid w:val="301D22EB"/>
    <w:rsid w:val="30243260"/>
    <w:rsid w:val="303D0A8C"/>
    <w:rsid w:val="30403B27"/>
    <w:rsid w:val="30413913"/>
    <w:rsid w:val="30481C49"/>
    <w:rsid w:val="304B5E7A"/>
    <w:rsid w:val="307D453A"/>
    <w:rsid w:val="307E5582"/>
    <w:rsid w:val="30814C4E"/>
    <w:rsid w:val="30842C02"/>
    <w:rsid w:val="30A8159F"/>
    <w:rsid w:val="30AC5B2B"/>
    <w:rsid w:val="30B664A1"/>
    <w:rsid w:val="30BA764F"/>
    <w:rsid w:val="30DA5955"/>
    <w:rsid w:val="30DA6A23"/>
    <w:rsid w:val="30F33A08"/>
    <w:rsid w:val="30F37A9E"/>
    <w:rsid w:val="30FC3E2F"/>
    <w:rsid w:val="31096C0B"/>
    <w:rsid w:val="310A2354"/>
    <w:rsid w:val="311E6A16"/>
    <w:rsid w:val="311F44C4"/>
    <w:rsid w:val="313D165F"/>
    <w:rsid w:val="315E40AF"/>
    <w:rsid w:val="31616B69"/>
    <w:rsid w:val="31774863"/>
    <w:rsid w:val="31883FB5"/>
    <w:rsid w:val="31BE7D8C"/>
    <w:rsid w:val="31C0016C"/>
    <w:rsid w:val="31D421A8"/>
    <w:rsid w:val="31DF397A"/>
    <w:rsid w:val="32157910"/>
    <w:rsid w:val="321B7A15"/>
    <w:rsid w:val="32255FC7"/>
    <w:rsid w:val="322C443F"/>
    <w:rsid w:val="3252179F"/>
    <w:rsid w:val="32603031"/>
    <w:rsid w:val="327A491D"/>
    <w:rsid w:val="327B3BB2"/>
    <w:rsid w:val="32832A7F"/>
    <w:rsid w:val="32834DF8"/>
    <w:rsid w:val="32D0410E"/>
    <w:rsid w:val="32D16C78"/>
    <w:rsid w:val="32D25370"/>
    <w:rsid w:val="32E26478"/>
    <w:rsid w:val="32F91E7D"/>
    <w:rsid w:val="32FF5395"/>
    <w:rsid w:val="330757F1"/>
    <w:rsid w:val="33083E69"/>
    <w:rsid w:val="3323088E"/>
    <w:rsid w:val="33335E9D"/>
    <w:rsid w:val="33460C0E"/>
    <w:rsid w:val="33463B70"/>
    <w:rsid w:val="33522135"/>
    <w:rsid w:val="335F1604"/>
    <w:rsid w:val="33756C32"/>
    <w:rsid w:val="33772C1F"/>
    <w:rsid w:val="337D4C9E"/>
    <w:rsid w:val="33895E8E"/>
    <w:rsid w:val="338E02AF"/>
    <w:rsid w:val="33A444EE"/>
    <w:rsid w:val="33AC697E"/>
    <w:rsid w:val="33B22003"/>
    <w:rsid w:val="33E02F15"/>
    <w:rsid w:val="33E446BF"/>
    <w:rsid w:val="33E87E5D"/>
    <w:rsid w:val="33F21039"/>
    <w:rsid w:val="33FC62E0"/>
    <w:rsid w:val="341B20D5"/>
    <w:rsid w:val="34206B4E"/>
    <w:rsid w:val="34283965"/>
    <w:rsid w:val="3475252A"/>
    <w:rsid w:val="34770058"/>
    <w:rsid w:val="34875533"/>
    <w:rsid w:val="348C634B"/>
    <w:rsid w:val="34985723"/>
    <w:rsid w:val="34A626F5"/>
    <w:rsid w:val="34A66356"/>
    <w:rsid w:val="34B31845"/>
    <w:rsid w:val="34C538EE"/>
    <w:rsid w:val="34E867F3"/>
    <w:rsid w:val="35057281"/>
    <w:rsid w:val="350C6374"/>
    <w:rsid w:val="35185A2C"/>
    <w:rsid w:val="351F4827"/>
    <w:rsid w:val="352274DE"/>
    <w:rsid w:val="353F7A2E"/>
    <w:rsid w:val="354E1375"/>
    <w:rsid w:val="35591B49"/>
    <w:rsid w:val="356516FF"/>
    <w:rsid w:val="356652F9"/>
    <w:rsid w:val="35795E02"/>
    <w:rsid w:val="357E6E53"/>
    <w:rsid w:val="358C0B0C"/>
    <w:rsid w:val="359F2CF4"/>
    <w:rsid w:val="35A93552"/>
    <w:rsid w:val="35AC5077"/>
    <w:rsid w:val="35AF6AE9"/>
    <w:rsid w:val="35D73DF4"/>
    <w:rsid w:val="35E20942"/>
    <w:rsid w:val="35E2644E"/>
    <w:rsid w:val="35E363A7"/>
    <w:rsid w:val="35E51D58"/>
    <w:rsid w:val="35FD2C8E"/>
    <w:rsid w:val="36010B27"/>
    <w:rsid w:val="360749A3"/>
    <w:rsid w:val="36137A86"/>
    <w:rsid w:val="36300829"/>
    <w:rsid w:val="36315E76"/>
    <w:rsid w:val="3633748A"/>
    <w:rsid w:val="36395D8A"/>
    <w:rsid w:val="364307F0"/>
    <w:rsid w:val="36492B18"/>
    <w:rsid w:val="364E5C15"/>
    <w:rsid w:val="365705BC"/>
    <w:rsid w:val="36591604"/>
    <w:rsid w:val="365D0654"/>
    <w:rsid w:val="367A67C2"/>
    <w:rsid w:val="367F0FAE"/>
    <w:rsid w:val="36950A98"/>
    <w:rsid w:val="36961922"/>
    <w:rsid w:val="369E1239"/>
    <w:rsid w:val="36A34C4F"/>
    <w:rsid w:val="36A352FD"/>
    <w:rsid w:val="36A54770"/>
    <w:rsid w:val="36A937CE"/>
    <w:rsid w:val="36AB3080"/>
    <w:rsid w:val="36B20473"/>
    <w:rsid w:val="36C52FEF"/>
    <w:rsid w:val="36CB56FA"/>
    <w:rsid w:val="36EA5E33"/>
    <w:rsid w:val="36F5074F"/>
    <w:rsid w:val="36FB04BB"/>
    <w:rsid w:val="37051650"/>
    <w:rsid w:val="37137E21"/>
    <w:rsid w:val="37153C9E"/>
    <w:rsid w:val="3737462F"/>
    <w:rsid w:val="375623B5"/>
    <w:rsid w:val="37651BF2"/>
    <w:rsid w:val="37666B35"/>
    <w:rsid w:val="37703F8A"/>
    <w:rsid w:val="377569F7"/>
    <w:rsid w:val="377B08E0"/>
    <w:rsid w:val="378F2F1F"/>
    <w:rsid w:val="379F230C"/>
    <w:rsid w:val="37A4379B"/>
    <w:rsid w:val="37AD5D3E"/>
    <w:rsid w:val="37B22A65"/>
    <w:rsid w:val="37B44558"/>
    <w:rsid w:val="37B849F7"/>
    <w:rsid w:val="37BD4219"/>
    <w:rsid w:val="37CF1082"/>
    <w:rsid w:val="37D049AF"/>
    <w:rsid w:val="37DD5ED4"/>
    <w:rsid w:val="38070F05"/>
    <w:rsid w:val="381074F6"/>
    <w:rsid w:val="382007B7"/>
    <w:rsid w:val="38235D58"/>
    <w:rsid w:val="38247B80"/>
    <w:rsid w:val="38276407"/>
    <w:rsid w:val="382803BD"/>
    <w:rsid w:val="38293179"/>
    <w:rsid w:val="38366F21"/>
    <w:rsid w:val="3843044A"/>
    <w:rsid w:val="384732AA"/>
    <w:rsid w:val="38475C6E"/>
    <w:rsid w:val="384B3477"/>
    <w:rsid w:val="38590E91"/>
    <w:rsid w:val="385A0F9F"/>
    <w:rsid w:val="385E3C7F"/>
    <w:rsid w:val="38653876"/>
    <w:rsid w:val="386D0F76"/>
    <w:rsid w:val="38741CD7"/>
    <w:rsid w:val="387518E0"/>
    <w:rsid w:val="38993ABC"/>
    <w:rsid w:val="389F60C5"/>
    <w:rsid w:val="38AD76EC"/>
    <w:rsid w:val="38E31423"/>
    <w:rsid w:val="38F27632"/>
    <w:rsid w:val="38F4724F"/>
    <w:rsid w:val="391A0078"/>
    <w:rsid w:val="39225398"/>
    <w:rsid w:val="392E780A"/>
    <w:rsid w:val="39365957"/>
    <w:rsid w:val="394114CD"/>
    <w:rsid w:val="39414D36"/>
    <w:rsid w:val="39471E24"/>
    <w:rsid w:val="39501C41"/>
    <w:rsid w:val="39511E89"/>
    <w:rsid w:val="39677729"/>
    <w:rsid w:val="39766067"/>
    <w:rsid w:val="39936FAB"/>
    <w:rsid w:val="39AD77E9"/>
    <w:rsid w:val="39B6037A"/>
    <w:rsid w:val="39BB23B0"/>
    <w:rsid w:val="39CB44B0"/>
    <w:rsid w:val="39E63F17"/>
    <w:rsid w:val="39EE440B"/>
    <w:rsid w:val="39F956F2"/>
    <w:rsid w:val="3A006DD4"/>
    <w:rsid w:val="3A0E0D4F"/>
    <w:rsid w:val="3A156339"/>
    <w:rsid w:val="3A1F3513"/>
    <w:rsid w:val="3A3B0FC7"/>
    <w:rsid w:val="3A792990"/>
    <w:rsid w:val="3A873383"/>
    <w:rsid w:val="3A931F8E"/>
    <w:rsid w:val="3A942A35"/>
    <w:rsid w:val="3A98182E"/>
    <w:rsid w:val="3AA36AC4"/>
    <w:rsid w:val="3AC0355F"/>
    <w:rsid w:val="3AC34CF6"/>
    <w:rsid w:val="3AE56B0E"/>
    <w:rsid w:val="3AE816BB"/>
    <w:rsid w:val="3AF773BD"/>
    <w:rsid w:val="3AFB02DC"/>
    <w:rsid w:val="3B053361"/>
    <w:rsid w:val="3B1A0DED"/>
    <w:rsid w:val="3B23728C"/>
    <w:rsid w:val="3B2845FA"/>
    <w:rsid w:val="3B2A350C"/>
    <w:rsid w:val="3B2E21CE"/>
    <w:rsid w:val="3B490191"/>
    <w:rsid w:val="3B4903E7"/>
    <w:rsid w:val="3B524246"/>
    <w:rsid w:val="3B586193"/>
    <w:rsid w:val="3B6921AF"/>
    <w:rsid w:val="3B72338E"/>
    <w:rsid w:val="3B737DAC"/>
    <w:rsid w:val="3B7B671A"/>
    <w:rsid w:val="3B863286"/>
    <w:rsid w:val="3B867CB1"/>
    <w:rsid w:val="3BB24A73"/>
    <w:rsid w:val="3BBE7038"/>
    <w:rsid w:val="3BBF1C49"/>
    <w:rsid w:val="3BD9534B"/>
    <w:rsid w:val="3BDF74FF"/>
    <w:rsid w:val="3BE25A3E"/>
    <w:rsid w:val="3BF10F31"/>
    <w:rsid w:val="3C0A25E2"/>
    <w:rsid w:val="3C1E2C5E"/>
    <w:rsid w:val="3C3430BD"/>
    <w:rsid w:val="3C3D03EE"/>
    <w:rsid w:val="3C497EA4"/>
    <w:rsid w:val="3C571F9B"/>
    <w:rsid w:val="3C6709BA"/>
    <w:rsid w:val="3C9A650E"/>
    <w:rsid w:val="3CA734EE"/>
    <w:rsid w:val="3CCE1706"/>
    <w:rsid w:val="3CCF0F7E"/>
    <w:rsid w:val="3CE101E0"/>
    <w:rsid w:val="3CEB0DDC"/>
    <w:rsid w:val="3CF0165A"/>
    <w:rsid w:val="3CF26568"/>
    <w:rsid w:val="3CF448BC"/>
    <w:rsid w:val="3CF61FB8"/>
    <w:rsid w:val="3D026D50"/>
    <w:rsid w:val="3D0975D2"/>
    <w:rsid w:val="3D0A4DC3"/>
    <w:rsid w:val="3D300CD4"/>
    <w:rsid w:val="3D3111F2"/>
    <w:rsid w:val="3D3221C2"/>
    <w:rsid w:val="3D3413C0"/>
    <w:rsid w:val="3D53720A"/>
    <w:rsid w:val="3D6C536F"/>
    <w:rsid w:val="3D7675AE"/>
    <w:rsid w:val="3D77050F"/>
    <w:rsid w:val="3D7A0A6E"/>
    <w:rsid w:val="3D7A454D"/>
    <w:rsid w:val="3D945F35"/>
    <w:rsid w:val="3DB8096E"/>
    <w:rsid w:val="3DC43F56"/>
    <w:rsid w:val="3DD37624"/>
    <w:rsid w:val="3DD82D7F"/>
    <w:rsid w:val="3DE674F3"/>
    <w:rsid w:val="3DEA2D75"/>
    <w:rsid w:val="3DEC0EBB"/>
    <w:rsid w:val="3DEF7F0B"/>
    <w:rsid w:val="3E091510"/>
    <w:rsid w:val="3E096F7B"/>
    <w:rsid w:val="3E253763"/>
    <w:rsid w:val="3E263FC4"/>
    <w:rsid w:val="3E27207C"/>
    <w:rsid w:val="3E273BBB"/>
    <w:rsid w:val="3E2774E0"/>
    <w:rsid w:val="3E3F7E36"/>
    <w:rsid w:val="3E4676D8"/>
    <w:rsid w:val="3E6575AF"/>
    <w:rsid w:val="3E68455D"/>
    <w:rsid w:val="3E7432E8"/>
    <w:rsid w:val="3E7771FF"/>
    <w:rsid w:val="3E7B1A41"/>
    <w:rsid w:val="3E7D1B0C"/>
    <w:rsid w:val="3E7F02C4"/>
    <w:rsid w:val="3E9C3AE4"/>
    <w:rsid w:val="3EA33124"/>
    <w:rsid w:val="3EAE0CB3"/>
    <w:rsid w:val="3EC55399"/>
    <w:rsid w:val="3EC74256"/>
    <w:rsid w:val="3EFD5292"/>
    <w:rsid w:val="3F112A33"/>
    <w:rsid w:val="3F1436C6"/>
    <w:rsid w:val="3F15400C"/>
    <w:rsid w:val="3F1F2849"/>
    <w:rsid w:val="3F2401C7"/>
    <w:rsid w:val="3F324ED7"/>
    <w:rsid w:val="3F3943F5"/>
    <w:rsid w:val="3F4A0C45"/>
    <w:rsid w:val="3F520081"/>
    <w:rsid w:val="3F567BD7"/>
    <w:rsid w:val="3F5A1600"/>
    <w:rsid w:val="3F5B088F"/>
    <w:rsid w:val="3F6D6287"/>
    <w:rsid w:val="3F9B225C"/>
    <w:rsid w:val="3FA754A9"/>
    <w:rsid w:val="3FB367FB"/>
    <w:rsid w:val="3FC03193"/>
    <w:rsid w:val="3FC46B79"/>
    <w:rsid w:val="3FD73DAD"/>
    <w:rsid w:val="3FE65381"/>
    <w:rsid w:val="3FE66F3D"/>
    <w:rsid w:val="3FF93C2A"/>
    <w:rsid w:val="4008449F"/>
    <w:rsid w:val="4013236F"/>
    <w:rsid w:val="401A4FDA"/>
    <w:rsid w:val="401E03FF"/>
    <w:rsid w:val="403D2D4A"/>
    <w:rsid w:val="40401EEE"/>
    <w:rsid w:val="404210D8"/>
    <w:rsid w:val="405179DB"/>
    <w:rsid w:val="40541C9A"/>
    <w:rsid w:val="405A4C3F"/>
    <w:rsid w:val="405F7EA7"/>
    <w:rsid w:val="4078045F"/>
    <w:rsid w:val="409964C0"/>
    <w:rsid w:val="40A72886"/>
    <w:rsid w:val="40A87E67"/>
    <w:rsid w:val="40AF4C5C"/>
    <w:rsid w:val="40B756C5"/>
    <w:rsid w:val="40B900B2"/>
    <w:rsid w:val="40BB091C"/>
    <w:rsid w:val="40DF39D0"/>
    <w:rsid w:val="40E87F63"/>
    <w:rsid w:val="40F921BB"/>
    <w:rsid w:val="40FC4CA4"/>
    <w:rsid w:val="410A071F"/>
    <w:rsid w:val="414241F1"/>
    <w:rsid w:val="415604A6"/>
    <w:rsid w:val="41573E44"/>
    <w:rsid w:val="4158589C"/>
    <w:rsid w:val="415D5024"/>
    <w:rsid w:val="41723885"/>
    <w:rsid w:val="41824378"/>
    <w:rsid w:val="4198531A"/>
    <w:rsid w:val="41A33E3D"/>
    <w:rsid w:val="41A41FC2"/>
    <w:rsid w:val="41A45BDA"/>
    <w:rsid w:val="41A5245B"/>
    <w:rsid w:val="41AB46E4"/>
    <w:rsid w:val="41AD6BC4"/>
    <w:rsid w:val="41AE464D"/>
    <w:rsid w:val="41B840E4"/>
    <w:rsid w:val="41D33A40"/>
    <w:rsid w:val="41DB5BFE"/>
    <w:rsid w:val="41DC5457"/>
    <w:rsid w:val="41E726DD"/>
    <w:rsid w:val="41E96B63"/>
    <w:rsid w:val="41E96D5C"/>
    <w:rsid w:val="41EF6D85"/>
    <w:rsid w:val="41F21B56"/>
    <w:rsid w:val="41F816B6"/>
    <w:rsid w:val="41F822A1"/>
    <w:rsid w:val="420325BB"/>
    <w:rsid w:val="42110465"/>
    <w:rsid w:val="42190386"/>
    <w:rsid w:val="421A02D1"/>
    <w:rsid w:val="423B5522"/>
    <w:rsid w:val="423D3DE1"/>
    <w:rsid w:val="423E1FD7"/>
    <w:rsid w:val="424352A3"/>
    <w:rsid w:val="4248262D"/>
    <w:rsid w:val="427750A6"/>
    <w:rsid w:val="42951111"/>
    <w:rsid w:val="4295436C"/>
    <w:rsid w:val="42960623"/>
    <w:rsid w:val="429847E1"/>
    <w:rsid w:val="429A2539"/>
    <w:rsid w:val="42A8344B"/>
    <w:rsid w:val="42C062EA"/>
    <w:rsid w:val="42C81B8D"/>
    <w:rsid w:val="42DD04ED"/>
    <w:rsid w:val="42DE040A"/>
    <w:rsid w:val="42E869F2"/>
    <w:rsid w:val="42EC38A3"/>
    <w:rsid w:val="42F47807"/>
    <w:rsid w:val="42FD5D96"/>
    <w:rsid w:val="43087E2A"/>
    <w:rsid w:val="43103CF1"/>
    <w:rsid w:val="43186FE4"/>
    <w:rsid w:val="43486B6E"/>
    <w:rsid w:val="434A0229"/>
    <w:rsid w:val="43634D9C"/>
    <w:rsid w:val="436E6BA7"/>
    <w:rsid w:val="43742A6D"/>
    <w:rsid w:val="437600B5"/>
    <w:rsid w:val="43A056E9"/>
    <w:rsid w:val="43A479C8"/>
    <w:rsid w:val="43A7107F"/>
    <w:rsid w:val="43B63EAE"/>
    <w:rsid w:val="43C1445C"/>
    <w:rsid w:val="43C56376"/>
    <w:rsid w:val="43CE3278"/>
    <w:rsid w:val="43E46B62"/>
    <w:rsid w:val="440621B9"/>
    <w:rsid w:val="44105F97"/>
    <w:rsid w:val="441B6862"/>
    <w:rsid w:val="44200A5D"/>
    <w:rsid w:val="44264752"/>
    <w:rsid w:val="44281B17"/>
    <w:rsid w:val="44315315"/>
    <w:rsid w:val="44641CE6"/>
    <w:rsid w:val="448D02D6"/>
    <w:rsid w:val="448D1D83"/>
    <w:rsid w:val="44A330B6"/>
    <w:rsid w:val="44A8112E"/>
    <w:rsid w:val="44B429AD"/>
    <w:rsid w:val="44CC291F"/>
    <w:rsid w:val="44D433F0"/>
    <w:rsid w:val="44EF298D"/>
    <w:rsid w:val="44F06B95"/>
    <w:rsid w:val="450022DA"/>
    <w:rsid w:val="450130B0"/>
    <w:rsid w:val="45016452"/>
    <w:rsid w:val="45176536"/>
    <w:rsid w:val="4524759F"/>
    <w:rsid w:val="45281228"/>
    <w:rsid w:val="452E2AC8"/>
    <w:rsid w:val="453C4BA2"/>
    <w:rsid w:val="454C5443"/>
    <w:rsid w:val="454E6DCE"/>
    <w:rsid w:val="455F4539"/>
    <w:rsid w:val="456D5760"/>
    <w:rsid w:val="45710FC4"/>
    <w:rsid w:val="4576463C"/>
    <w:rsid w:val="45787788"/>
    <w:rsid w:val="45944CA1"/>
    <w:rsid w:val="459A56A7"/>
    <w:rsid w:val="45AF1860"/>
    <w:rsid w:val="45B45239"/>
    <w:rsid w:val="45BD2CE4"/>
    <w:rsid w:val="45C976D8"/>
    <w:rsid w:val="45D11131"/>
    <w:rsid w:val="45E97BF4"/>
    <w:rsid w:val="45EC35F4"/>
    <w:rsid w:val="45F00F30"/>
    <w:rsid w:val="460043C4"/>
    <w:rsid w:val="46027A19"/>
    <w:rsid w:val="46271D52"/>
    <w:rsid w:val="46312998"/>
    <w:rsid w:val="46391F42"/>
    <w:rsid w:val="463A451B"/>
    <w:rsid w:val="46435D5D"/>
    <w:rsid w:val="465542FE"/>
    <w:rsid w:val="46610C6F"/>
    <w:rsid w:val="467F4F84"/>
    <w:rsid w:val="46966810"/>
    <w:rsid w:val="46AE2891"/>
    <w:rsid w:val="46C340CC"/>
    <w:rsid w:val="46CE2073"/>
    <w:rsid w:val="46E50FB2"/>
    <w:rsid w:val="47187CCB"/>
    <w:rsid w:val="47225414"/>
    <w:rsid w:val="473E39AE"/>
    <w:rsid w:val="474757D5"/>
    <w:rsid w:val="47625D6B"/>
    <w:rsid w:val="477B717F"/>
    <w:rsid w:val="478A0372"/>
    <w:rsid w:val="479474B2"/>
    <w:rsid w:val="47950F8C"/>
    <w:rsid w:val="47961F90"/>
    <w:rsid w:val="47A043B8"/>
    <w:rsid w:val="47BD643A"/>
    <w:rsid w:val="47C04D08"/>
    <w:rsid w:val="47CC2B0E"/>
    <w:rsid w:val="47FB1DC5"/>
    <w:rsid w:val="480B0CBC"/>
    <w:rsid w:val="4816540A"/>
    <w:rsid w:val="481761DF"/>
    <w:rsid w:val="481F7CDE"/>
    <w:rsid w:val="483144B4"/>
    <w:rsid w:val="48385F60"/>
    <w:rsid w:val="48404D6F"/>
    <w:rsid w:val="4842742C"/>
    <w:rsid w:val="48453577"/>
    <w:rsid w:val="484D0ACA"/>
    <w:rsid w:val="48553E37"/>
    <w:rsid w:val="48787AA8"/>
    <w:rsid w:val="487E1408"/>
    <w:rsid w:val="48825CB0"/>
    <w:rsid w:val="48843C54"/>
    <w:rsid w:val="48A46213"/>
    <w:rsid w:val="48A53ED1"/>
    <w:rsid w:val="48A560D7"/>
    <w:rsid w:val="48AD2A12"/>
    <w:rsid w:val="48BD51A1"/>
    <w:rsid w:val="48C65574"/>
    <w:rsid w:val="48CD5992"/>
    <w:rsid w:val="48D23C05"/>
    <w:rsid w:val="48D41C87"/>
    <w:rsid w:val="48DA01E2"/>
    <w:rsid w:val="491259CA"/>
    <w:rsid w:val="491969F2"/>
    <w:rsid w:val="493C3559"/>
    <w:rsid w:val="494129FB"/>
    <w:rsid w:val="49523966"/>
    <w:rsid w:val="495641F0"/>
    <w:rsid w:val="49644299"/>
    <w:rsid w:val="496B38E3"/>
    <w:rsid w:val="49835F42"/>
    <w:rsid w:val="498B6438"/>
    <w:rsid w:val="49A36F89"/>
    <w:rsid w:val="49B36218"/>
    <w:rsid w:val="49CD551F"/>
    <w:rsid w:val="49EA6D3D"/>
    <w:rsid w:val="49F3497A"/>
    <w:rsid w:val="49F45200"/>
    <w:rsid w:val="49F57D46"/>
    <w:rsid w:val="4A133C1A"/>
    <w:rsid w:val="4A172E7D"/>
    <w:rsid w:val="4A3A76A0"/>
    <w:rsid w:val="4A4B6D07"/>
    <w:rsid w:val="4A6018AF"/>
    <w:rsid w:val="4A6839E3"/>
    <w:rsid w:val="4A6D37B6"/>
    <w:rsid w:val="4A775DE5"/>
    <w:rsid w:val="4A8279CF"/>
    <w:rsid w:val="4A9C0B69"/>
    <w:rsid w:val="4AA07600"/>
    <w:rsid w:val="4AA1069C"/>
    <w:rsid w:val="4AAC59A5"/>
    <w:rsid w:val="4AB159D2"/>
    <w:rsid w:val="4AB71087"/>
    <w:rsid w:val="4AB86820"/>
    <w:rsid w:val="4ABF0E40"/>
    <w:rsid w:val="4ABF3199"/>
    <w:rsid w:val="4AD85A50"/>
    <w:rsid w:val="4AE76864"/>
    <w:rsid w:val="4AE9342D"/>
    <w:rsid w:val="4AF65D2A"/>
    <w:rsid w:val="4B04709C"/>
    <w:rsid w:val="4B2C7080"/>
    <w:rsid w:val="4B332952"/>
    <w:rsid w:val="4B341002"/>
    <w:rsid w:val="4B3B3167"/>
    <w:rsid w:val="4B4812A0"/>
    <w:rsid w:val="4B616044"/>
    <w:rsid w:val="4B8A67D7"/>
    <w:rsid w:val="4B964E34"/>
    <w:rsid w:val="4B9F000A"/>
    <w:rsid w:val="4BB8513C"/>
    <w:rsid w:val="4BCA1941"/>
    <w:rsid w:val="4BD36CDD"/>
    <w:rsid w:val="4BE4023D"/>
    <w:rsid w:val="4BE95D92"/>
    <w:rsid w:val="4BF1623D"/>
    <w:rsid w:val="4BF568CB"/>
    <w:rsid w:val="4C0B009B"/>
    <w:rsid w:val="4C133592"/>
    <w:rsid w:val="4C170E14"/>
    <w:rsid w:val="4C242B90"/>
    <w:rsid w:val="4C385BD8"/>
    <w:rsid w:val="4C3A78F0"/>
    <w:rsid w:val="4C463D11"/>
    <w:rsid w:val="4C4734D1"/>
    <w:rsid w:val="4C527F9F"/>
    <w:rsid w:val="4C6A5FAC"/>
    <w:rsid w:val="4C6C6293"/>
    <w:rsid w:val="4C951524"/>
    <w:rsid w:val="4C973834"/>
    <w:rsid w:val="4CAF384F"/>
    <w:rsid w:val="4CD91809"/>
    <w:rsid w:val="4CF05AC4"/>
    <w:rsid w:val="4CF54633"/>
    <w:rsid w:val="4CFC13AE"/>
    <w:rsid w:val="4CFC3759"/>
    <w:rsid w:val="4D0512C6"/>
    <w:rsid w:val="4D057192"/>
    <w:rsid w:val="4D0D7F63"/>
    <w:rsid w:val="4D220CBD"/>
    <w:rsid w:val="4D333390"/>
    <w:rsid w:val="4D4003A8"/>
    <w:rsid w:val="4D492902"/>
    <w:rsid w:val="4D4E259E"/>
    <w:rsid w:val="4D5A5B41"/>
    <w:rsid w:val="4D5A7ADC"/>
    <w:rsid w:val="4D5B03BD"/>
    <w:rsid w:val="4D702A10"/>
    <w:rsid w:val="4D8C7698"/>
    <w:rsid w:val="4D924F1F"/>
    <w:rsid w:val="4D9F442F"/>
    <w:rsid w:val="4DA35C51"/>
    <w:rsid w:val="4DA37FF2"/>
    <w:rsid w:val="4DAB0EB8"/>
    <w:rsid w:val="4DB31B33"/>
    <w:rsid w:val="4DC65E4E"/>
    <w:rsid w:val="4DCA51A8"/>
    <w:rsid w:val="4DCF5ABD"/>
    <w:rsid w:val="4DD348C3"/>
    <w:rsid w:val="4DDC196D"/>
    <w:rsid w:val="4E1D52ED"/>
    <w:rsid w:val="4E267295"/>
    <w:rsid w:val="4E3E225B"/>
    <w:rsid w:val="4E45466D"/>
    <w:rsid w:val="4E52559E"/>
    <w:rsid w:val="4E637B84"/>
    <w:rsid w:val="4E6649AA"/>
    <w:rsid w:val="4E891E31"/>
    <w:rsid w:val="4E8A7ABB"/>
    <w:rsid w:val="4E8C4B31"/>
    <w:rsid w:val="4E8D6A8C"/>
    <w:rsid w:val="4E8E634F"/>
    <w:rsid w:val="4E962D07"/>
    <w:rsid w:val="4E9852E1"/>
    <w:rsid w:val="4EBE282D"/>
    <w:rsid w:val="4EC957D3"/>
    <w:rsid w:val="4EDA3860"/>
    <w:rsid w:val="4EDC0173"/>
    <w:rsid w:val="4EF80316"/>
    <w:rsid w:val="4EF8448C"/>
    <w:rsid w:val="4EF9034E"/>
    <w:rsid w:val="4F122031"/>
    <w:rsid w:val="4F162B3A"/>
    <w:rsid w:val="4F164EB1"/>
    <w:rsid w:val="4F290FCB"/>
    <w:rsid w:val="4F2A36B6"/>
    <w:rsid w:val="4F432BB2"/>
    <w:rsid w:val="4F497688"/>
    <w:rsid w:val="4F4C742F"/>
    <w:rsid w:val="4F571138"/>
    <w:rsid w:val="4F6A53D2"/>
    <w:rsid w:val="4F6D2052"/>
    <w:rsid w:val="4F7349D3"/>
    <w:rsid w:val="4F7E6BC7"/>
    <w:rsid w:val="4F8018A3"/>
    <w:rsid w:val="4F80288E"/>
    <w:rsid w:val="4F823E14"/>
    <w:rsid w:val="4F824BC5"/>
    <w:rsid w:val="4F871DF3"/>
    <w:rsid w:val="4F887916"/>
    <w:rsid w:val="4F8B6E3B"/>
    <w:rsid w:val="4F9F3E11"/>
    <w:rsid w:val="4FCC4A3F"/>
    <w:rsid w:val="4FD40D6B"/>
    <w:rsid w:val="4FF57333"/>
    <w:rsid w:val="5004074C"/>
    <w:rsid w:val="5006791B"/>
    <w:rsid w:val="50067D24"/>
    <w:rsid w:val="502C5531"/>
    <w:rsid w:val="502F1A93"/>
    <w:rsid w:val="50324CB2"/>
    <w:rsid w:val="503774E0"/>
    <w:rsid w:val="50461AC0"/>
    <w:rsid w:val="50524696"/>
    <w:rsid w:val="505A63FC"/>
    <w:rsid w:val="5066627E"/>
    <w:rsid w:val="5074295E"/>
    <w:rsid w:val="50816C92"/>
    <w:rsid w:val="50A40C1F"/>
    <w:rsid w:val="50A44D36"/>
    <w:rsid w:val="50A6137C"/>
    <w:rsid w:val="50A73EE2"/>
    <w:rsid w:val="50BA16E8"/>
    <w:rsid w:val="50C04303"/>
    <w:rsid w:val="50CD64FE"/>
    <w:rsid w:val="50D46D5F"/>
    <w:rsid w:val="50DE1485"/>
    <w:rsid w:val="50EA49B5"/>
    <w:rsid w:val="50F93B8E"/>
    <w:rsid w:val="51027FC9"/>
    <w:rsid w:val="51167F92"/>
    <w:rsid w:val="511A2229"/>
    <w:rsid w:val="51215ECC"/>
    <w:rsid w:val="512E1AE5"/>
    <w:rsid w:val="513B5DFC"/>
    <w:rsid w:val="513C7B87"/>
    <w:rsid w:val="513E6F05"/>
    <w:rsid w:val="51531751"/>
    <w:rsid w:val="51576847"/>
    <w:rsid w:val="515F5F34"/>
    <w:rsid w:val="51703F89"/>
    <w:rsid w:val="517D22BE"/>
    <w:rsid w:val="519D30FA"/>
    <w:rsid w:val="519F1715"/>
    <w:rsid w:val="51AB047E"/>
    <w:rsid w:val="51C204A5"/>
    <w:rsid w:val="51CF0586"/>
    <w:rsid w:val="52042D6F"/>
    <w:rsid w:val="520D31E0"/>
    <w:rsid w:val="520E3195"/>
    <w:rsid w:val="52122895"/>
    <w:rsid w:val="52242C57"/>
    <w:rsid w:val="525358C8"/>
    <w:rsid w:val="52591665"/>
    <w:rsid w:val="526531D0"/>
    <w:rsid w:val="52665127"/>
    <w:rsid w:val="526C3E8F"/>
    <w:rsid w:val="527C0002"/>
    <w:rsid w:val="529A0957"/>
    <w:rsid w:val="52A3033D"/>
    <w:rsid w:val="52A568BC"/>
    <w:rsid w:val="52A65072"/>
    <w:rsid w:val="52A864E3"/>
    <w:rsid w:val="52C06D2F"/>
    <w:rsid w:val="52C81D6D"/>
    <w:rsid w:val="52D14405"/>
    <w:rsid w:val="52F47FB9"/>
    <w:rsid w:val="531038AD"/>
    <w:rsid w:val="5319229C"/>
    <w:rsid w:val="531A0C51"/>
    <w:rsid w:val="53290D1F"/>
    <w:rsid w:val="533B54E7"/>
    <w:rsid w:val="53416D4F"/>
    <w:rsid w:val="5342200F"/>
    <w:rsid w:val="53585D19"/>
    <w:rsid w:val="536E548C"/>
    <w:rsid w:val="537067FE"/>
    <w:rsid w:val="537E530C"/>
    <w:rsid w:val="53846BD2"/>
    <w:rsid w:val="538F6A37"/>
    <w:rsid w:val="539505D2"/>
    <w:rsid w:val="539F0170"/>
    <w:rsid w:val="53AC66DE"/>
    <w:rsid w:val="53B0520A"/>
    <w:rsid w:val="53B23526"/>
    <w:rsid w:val="53C46315"/>
    <w:rsid w:val="53D8759D"/>
    <w:rsid w:val="53EB690F"/>
    <w:rsid w:val="53ED59EC"/>
    <w:rsid w:val="542A63AD"/>
    <w:rsid w:val="542B78BA"/>
    <w:rsid w:val="542F60AC"/>
    <w:rsid w:val="543616B4"/>
    <w:rsid w:val="543D0B95"/>
    <w:rsid w:val="54466BAE"/>
    <w:rsid w:val="54583835"/>
    <w:rsid w:val="545B79F3"/>
    <w:rsid w:val="545D770F"/>
    <w:rsid w:val="54712EA6"/>
    <w:rsid w:val="54946A33"/>
    <w:rsid w:val="54996418"/>
    <w:rsid w:val="54A711BD"/>
    <w:rsid w:val="54AD4B0C"/>
    <w:rsid w:val="54BC5BB8"/>
    <w:rsid w:val="54C7283D"/>
    <w:rsid w:val="54CF3678"/>
    <w:rsid w:val="54DC3C64"/>
    <w:rsid w:val="54F569E2"/>
    <w:rsid w:val="551D4CAF"/>
    <w:rsid w:val="552014C3"/>
    <w:rsid w:val="552738E3"/>
    <w:rsid w:val="552A2637"/>
    <w:rsid w:val="553C77AD"/>
    <w:rsid w:val="554D502C"/>
    <w:rsid w:val="555257C6"/>
    <w:rsid w:val="556511A2"/>
    <w:rsid w:val="55790601"/>
    <w:rsid w:val="55792F00"/>
    <w:rsid w:val="557D1DFD"/>
    <w:rsid w:val="55897C1D"/>
    <w:rsid w:val="558A00B7"/>
    <w:rsid w:val="558C2275"/>
    <w:rsid w:val="559332B7"/>
    <w:rsid w:val="559C5EBE"/>
    <w:rsid w:val="55A5300C"/>
    <w:rsid w:val="55A704AB"/>
    <w:rsid w:val="55A95ED9"/>
    <w:rsid w:val="55AD6D11"/>
    <w:rsid w:val="55AF7FD1"/>
    <w:rsid w:val="55B10A93"/>
    <w:rsid w:val="55B5319E"/>
    <w:rsid w:val="55BC5958"/>
    <w:rsid w:val="55C44E2B"/>
    <w:rsid w:val="55C46F53"/>
    <w:rsid w:val="55D21AB6"/>
    <w:rsid w:val="55D32CD9"/>
    <w:rsid w:val="55D56CEC"/>
    <w:rsid w:val="55FC2AE1"/>
    <w:rsid w:val="55FD172B"/>
    <w:rsid w:val="56000D4B"/>
    <w:rsid w:val="560C1ADF"/>
    <w:rsid w:val="563022F4"/>
    <w:rsid w:val="56481BAF"/>
    <w:rsid w:val="56500652"/>
    <w:rsid w:val="56512880"/>
    <w:rsid w:val="56581BA2"/>
    <w:rsid w:val="56595C04"/>
    <w:rsid w:val="56766AD0"/>
    <w:rsid w:val="567A7F1C"/>
    <w:rsid w:val="56800275"/>
    <w:rsid w:val="56821F17"/>
    <w:rsid w:val="56840F05"/>
    <w:rsid w:val="569D5067"/>
    <w:rsid w:val="56A74E29"/>
    <w:rsid w:val="56AD2B15"/>
    <w:rsid w:val="56B2149B"/>
    <w:rsid w:val="56B608E1"/>
    <w:rsid w:val="56C92735"/>
    <w:rsid w:val="56CA0384"/>
    <w:rsid w:val="56D644B8"/>
    <w:rsid w:val="56E67E75"/>
    <w:rsid w:val="57113C73"/>
    <w:rsid w:val="571F6017"/>
    <w:rsid w:val="57200549"/>
    <w:rsid w:val="572450BF"/>
    <w:rsid w:val="5726342E"/>
    <w:rsid w:val="572A5478"/>
    <w:rsid w:val="572D5565"/>
    <w:rsid w:val="57313044"/>
    <w:rsid w:val="57334BC0"/>
    <w:rsid w:val="573549B7"/>
    <w:rsid w:val="574247FE"/>
    <w:rsid w:val="57454AB4"/>
    <w:rsid w:val="57493051"/>
    <w:rsid w:val="574F0A65"/>
    <w:rsid w:val="575614C2"/>
    <w:rsid w:val="57650401"/>
    <w:rsid w:val="576512DB"/>
    <w:rsid w:val="576B348A"/>
    <w:rsid w:val="57750D41"/>
    <w:rsid w:val="57772127"/>
    <w:rsid w:val="57872F82"/>
    <w:rsid w:val="579B02DD"/>
    <w:rsid w:val="57A56330"/>
    <w:rsid w:val="57A7076C"/>
    <w:rsid w:val="57A96686"/>
    <w:rsid w:val="57AD75EA"/>
    <w:rsid w:val="57CB27AF"/>
    <w:rsid w:val="57FF10FD"/>
    <w:rsid w:val="58185484"/>
    <w:rsid w:val="5821189A"/>
    <w:rsid w:val="582C6C78"/>
    <w:rsid w:val="582F1CDB"/>
    <w:rsid w:val="583036D3"/>
    <w:rsid w:val="583927DE"/>
    <w:rsid w:val="583E02F8"/>
    <w:rsid w:val="583F0027"/>
    <w:rsid w:val="58486342"/>
    <w:rsid w:val="584A52A3"/>
    <w:rsid w:val="58541E83"/>
    <w:rsid w:val="58600780"/>
    <w:rsid w:val="588D33DD"/>
    <w:rsid w:val="588E7956"/>
    <w:rsid w:val="58985A25"/>
    <w:rsid w:val="589B6B5E"/>
    <w:rsid w:val="58A07EEE"/>
    <w:rsid w:val="58B56DA2"/>
    <w:rsid w:val="58C113E0"/>
    <w:rsid w:val="58D44884"/>
    <w:rsid w:val="58D72AA8"/>
    <w:rsid w:val="58E87BEF"/>
    <w:rsid w:val="58F53B97"/>
    <w:rsid w:val="590C2E75"/>
    <w:rsid w:val="590E7E82"/>
    <w:rsid w:val="5911784F"/>
    <w:rsid w:val="59136D12"/>
    <w:rsid w:val="591E44AF"/>
    <w:rsid w:val="592C05AC"/>
    <w:rsid w:val="593405F8"/>
    <w:rsid w:val="59360A45"/>
    <w:rsid w:val="594C1F15"/>
    <w:rsid w:val="595250BA"/>
    <w:rsid w:val="596873E0"/>
    <w:rsid w:val="59696711"/>
    <w:rsid w:val="59777D36"/>
    <w:rsid w:val="59796619"/>
    <w:rsid w:val="598F32D5"/>
    <w:rsid w:val="599045B6"/>
    <w:rsid w:val="599E692D"/>
    <w:rsid w:val="59A64C57"/>
    <w:rsid w:val="59B44DC7"/>
    <w:rsid w:val="59CA1BD0"/>
    <w:rsid w:val="59DE38F2"/>
    <w:rsid w:val="59EA7B63"/>
    <w:rsid w:val="59EF1D77"/>
    <w:rsid w:val="59F05B6B"/>
    <w:rsid w:val="59FB0C66"/>
    <w:rsid w:val="59FC3A58"/>
    <w:rsid w:val="59FC3FF9"/>
    <w:rsid w:val="5A080B49"/>
    <w:rsid w:val="5A0F393D"/>
    <w:rsid w:val="5A131174"/>
    <w:rsid w:val="5A1967A2"/>
    <w:rsid w:val="5A1B44F8"/>
    <w:rsid w:val="5A275EA7"/>
    <w:rsid w:val="5A6D6AE9"/>
    <w:rsid w:val="5A78043B"/>
    <w:rsid w:val="5A784FB0"/>
    <w:rsid w:val="5A984877"/>
    <w:rsid w:val="5A9C2FBD"/>
    <w:rsid w:val="5A9D288A"/>
    <w:rsid w:val="5AA90317"/>
    <w:rsid w:val="5AB85BF1"/>
    <w:rsid w:val="5AC24F56"/>
    <w:rsid w:val="5AC850C0"/>
    <w:rsid w:val="5AD84371"/>
    <w:rsid w:val="5AEC6F6B"/>
    <w:rsid w:val="5AF4274B"/>
    <w:rsid w:val="5B0609B7"/>
    <w:rsid w:val="5B07560E"/>
    <w:rsid w:val="5B0878FE"/>
    <w:rsid w:val="5B0A0016"/>
    <w:rsid w:val="5B192465"/>
    <w:rsid w:val="5B2132D6"/>
    <w:rsid w:val="5B2A1B67"/>
    <w:rsid w:val="5B2D1810"/>
    <w:rsid w:val="5B2E1A88"/>
    <w:rsid w:val="5B30486A"/>
    <w:rsid w:val="5B492E36"/>
    <w:rsid w:val="5B4F5B6F"/>
    <w:rsid w:val="5B7F6764"/>
    <w:rsid w:val="5BA1458D"/>
    <w:rsid w:val="5BAB4E25"/>
    <w:rsid w:val="5BC001BA"/>
    <w:rsid w:val="5BC80765"/>
    <w:rsid w:val="5BDD5899"/>
    <w:rsid w:val="5BE73AAA"/>
    <w:rsid w:val="5BE8130A"/>
    <w:rsid w:val="5BEF7BB8"/>
    <w:rsid w:val="5BF62DBB"/>
    <w:rsid w:val="5BF812B9"/>
    <w:rsid w:val="5BFC256C"/>
    <w:rsid w:val="5C0D7EB1"/>
    <w:rsid w:val="5C1C0C6B"/>
    <w:rsid w:val="5C1E2E4F"/>
    <w:rsid w:val="5C306F71"/>
    <w:rsid w:val="5C3F07A0"/>
    <w:rsid w:val="5C4D3B17"/>
    <w:rsid w:val="5C85441F"/>
    <w:rsid w:val="5CBF567F"/>
    <w:rsid w:val="5CD11FA0"/>
    <w:rsid w:val="5CD30040"/>
    <w:rsid w:val="5CEA0AAE"/>
    <w:rsid w:val="5CEA3C39"/>
    <w:rsid w:val="5CEE7594"/>
    <w:rsid w:val="5CEF2A06"/>
    <w:rsid w:val="5D0409E7"/>
    <w:rsid w:val="5D087442"/>
    <w:rsid w:val="5D0C76D1"/>
    <w:rsid w:val="5D106C17"/>
    <w:rsid w:val="5D32389C"/>
    <w:rsid w:val="5D3A2DB0"/>
    <w:rsid w:val="5D3B517B"/>
    <w:rsid w:val="5D477EAC"/>
    <w:rsid w:val="5D583DD0"/>
    <w:rsid w:val="5D7301F1"/>
    <w:rsid w:val="5D92325A"/>
    <w:rsid w:val="5D934AFD"/>
    <w:rsid w:val="5DA37985"/>
    <w:rsid w:val="5DA742D8"/>
    <w:rsid w:val="5DA848B6"/>
    <w:rsid w:val="5DAE0DB0"/>
    <w:rsid w:val="5DB75F8F"/>
    <w:rsid w:val="5DB92FCD"/>
    <w:rsid w:val="5DBA00F0"/>
    <w:rsid w:val="5DC8107F"/>
    <w:rsid w:val="5DC95570"/>
    <w:rsid w:val="5DE83CE5"/>
    <w:rsid w:val="5DFE75F5"/>
    <w:rsid w:val="5E0277E3"/>
    <w:rsid w:val="5E0C32B0"/>
    <w:rsid w:val="5E1C0E9F"/>
    <w:rsid w:val="5E1D42ED"/>
    <w:rsid w:val="5E2749E4"/>
    <w:rsid w:val="5E276531"/>
    <w:rsid w:val="5E37065A"/>
    <w:rsid w:val="5E4100FF"/>
    <w:rsid w:val="5E446432"/>
    <w:rsid w:val="5E501B6D"/>
    <w:rsid w:val="5E5A5F6E"/>
    <w:rsid w:val="5E6F1E3D"/>
    <w:rsid w:val="5E7B5488"/>
    <w:rsid w:val="5E7E690F"/>
    <w:rsid w:val="5E8207C4"/>
    <w:rsid w:val="5E876825"/>
    <w:rsid w:val="5EBB51D3"/>
    <w:rsid w:val="5EEB69B6"/>
    <w:rsid w:val="5EF14FCB"/>
    <w:rsid w:val="5F014A00"/>
    <w:rsid w:val="5F062208"/>
    <w:rsid w:val="5F0A402B"/>
    <w:rsid w:val="5F1A6907"/>
    <w:rsid w:val="5F2638C1"/>
    <w:rsid w:val="5F473505"/>
    <w:rsid w:val="5F540063"/>
    <w:rsid w:val="5F7E6664"/>
    <w:rsid w:val="5F865AFF"/>
    <w:rsid w:val="5F8B457B"/>
    <w:rsid w:val="5F990054"/>
    <w:rsid w:val="5FA0177D"/>
    <w:rsid w:val="5FA15E79"/>
    <w:rsid w:val="5FD13FBD"/>
    <w:rsid w:val="5FD235AB"/>
    <w:rsid w:val="5FD3095F"/>
    <w:rsid w:val="5FD849C6"/>
    <w:rsid w:val="5FE53AB2"/>
    <w:rsid w:val="5FEC1348"/>
    <w:rsid w:val="600352FD"/>
    <w:rsid w:val="60173E36"/>
    <w:rsid w:val="601D46DF"/>
    <w:rsid w:val="60280DB4"/>
    <w:rsid w:val="602C2AF2"/>
    <w:rsid w:val="603C4083"/>
    <w:rsid w:val="60491E1E"/>
    <w:rsid w:val="605E7B03"/>
    <w:rsid w:val="605F5418"/>
    <w:rsid w:val="606177BE"/>
    <w:rsid w:val="606F48DF"/>
    <w:rsid w:val="60825CB5"/>
    <w:rsid w:val="60874FD9"/>
    <w:rsid w:val="608C3B49"/>
    <w:rsid w:val="6091695E"/>
    <w:rsid w:val="60A74FE8"/>
    <w:rsid w:val="60B230E7"/>
    <w:rsid w:val="60D64EAE"/>
    <w:rsid w:val="60E85415"/>
    <w:rsid w:val="60E87E12"/>
    <w:rsid w:val="60F92164"/>
    <w:rsid w:val="60FC3BAB"/>
    <w:rsid w:val="6119707B"/>
    <w:rsid w:val="612521F8"/>
    <w:rsid w:val="6138126F"/>
    <w:rsid w:val="613A36D1"/>
    <w:rsid w:val="61465855"/>
    <w:rsid w:val="61571715"/>
    <w:rsid w:val="61586FA6"/>
    <w:rsid w:val="61901E70"/>
    <w:rsid w:val="619A25EA"/>
    <w:rsid w:val="61A00CAD"/>
    <w:rsid w:val="61B1171B"/>
    <w:rsid w:val="61B14E85"/>
    <w:rsid w:val="61B67E2B"/>
    <w:rsid w:val="61B73FB6"/>
    <w:rsid w:val="61D15080"/>
    <w:rsid w:val="61DB402A"/>
    <w:rsid w:val="61F318DF"/>
    <w:rsid w:val="620C7A76"/>
    <w:rsid w:val="622D6B96"/>
    <w:rsid w:val="624734C1"/>
    <w:rsid w:val="62514EFA"/>
    <w:rsid w:val="625C38FE"/>
    <w:rsid w:val="626460C6"/>
    <w:rsid w:val="6266131C"/>
    <w:rsid w:val="62686C08"/>
    <w:rsid w:val="62737750"/>
    <w:rsid w:val="62873662"/>
    <w:rsid w:val="629009EB"/>
    <w:rsid w:val="62BA195F"/>
    <w:rsid w:val="62C411D3"/>
    <w:rsid w:val="62D66EF1"/>
    <w:rsid w:val="62DD5EFC"/>
    <w:rsid w:val="62E010D2"/>
    <w:rsid w:val="63027F06"/>
    <w:rsid w:val="63037A6F"/>
    <w:rsid w:val="631A1076"/>
    <w:rsid w:val="632473C1"/>
    <w:rsid w:val="6325095A"/>
    <w:rsid w:val="632B47B3"/>
    <w:rsid w:val="632B65A6"/>
    <w:rsid w:val="63341D49"/>
    <w:rsid w:val="6335634E"/>
    <w:rsid w:val="63361280"/>
    <w:rsid w:val="6363321E"/>
    <w:rsid w:val="63674736"/>
    <w:rsid w:val="63695281"/>
    <w:rsid w:val="636C0CDA"/>
    <w:rsid w:val="63700244"/>
    <w:rsid w:val="637725CF"/>
    <w:rsid w:val="637C14D4"/>
    <w:rsid w:val="638359CD"/>
    <w:rsid w:val="63844AE1"/>
    <w:rsid w:val="63883292"/>
    <w:rsid w:val="638D44A6"/>
    <w:rsid w:val="639D07AF"/>
    <w:rsid w:val="63B6580E"/>
    <w:rsid w:val="63BC52AF"/>
    <w:rsid w:val="63C85CF3"/>
    <w:rsid w:val="63CA71D4"/>
    <w:rsid w:val="63CC689F"/>
    <w:rsid w:val="63D74520"/>
    <w:rsid w:val="63E45E7D"/>
    <w:rsid w:val="63E75A85"/>
    <w:rsid w:val="63EF2B6B"/>
    <w:rsid w:val="63F105A4"/>
    <w:rsid w:val="63F67819"/>
    <w:rsid w:val="641653A4"/>
    <w:rsid w:val="64183536"/>
    <w:rsid w:val="641C4C57"/>
    <w:rsid w:val="642D156B"/>
    <w:rsid w:val="642E529C"/>
    <w:rsid w:val="64355FCD"/>
    <w:rsid w:val="643B3D71"/>
    <w:rsid w:val="644800A4"/>
    <w:rsid w:val="644C5785"/>
    <w:rsid w:val="64524DFA"/>
    <w:rsid w:val="64745736"/>
    <w:rsid w:val="64887875"/>
    <w:rsid w:val="64954BD0"/>
    <w:rsid w:val="649D2B1B"/>
    <w:rsid w:val="64D56ECD"/>
    <w:rsid w:val="64DF25A7"/>
    <w:rsid w:val="64E73A8C"/>
    <w:rsid w:val="64EC4CDD"/>
    <w:rsid w:val="651573E8"/>
    <w:rsid w:val="651F082A"/>
    <w:rsid w:val="654545A1"/>
    <w:rsid w:val="654B0A3A"/>
    <w:rsid w:val="6561258A"/>
    <w:rsid w:val="65685650"/>
    <w:rsid w:val="656A1BE6"/>
    <w:rsid w:val="657604AF"/>
    <w:rsid w:val="65872DD2"/>
    <w:rsid w:val="659B2192"/>
    <w:rsid w:val="659C10F7"/>
    <w:rsid w:val="659E2217"/>
    <w:rsid w:val="65A62294"/>
    <w:rsid w:val="65B07D83"/>
    <w:rsid w:val="65BB1693"/>
    <w:rsid w:val="65D005A9"/>
    <w:rsid w:val="65DE35D1"/>
    <w:rsid w:val="65EE260F"/>
    <w:rsid w:val="65F617E3"/>
    <w:rsid w:val="66015271"/>
    <w:rsid w:val="66034CB2"/>
    <w:rsid w:val="66101D61"/>
    <w:rsid w:val="66135BE0"/>
    <w:rsid w:val="661610AF"/>
    <w:rsid w:val="6622057D"/>
    <w:rsid w:val="663259E6"/>
    <w:rsid w:val="663C5209"/>
    <w:rsid w:val="664523FA"/>
    <w:rsid w:val="66477EE6"/>
    <w:rsid w:val="664D6317"/>
    <w:rsid w:val="66550936"/>
    <w:rsid w:val="66722D76"/>
    <w:rsid w:val="6689548A"/>
    <w:rsid w:val="668A5156"/>
    <w:rsid w:val="66A22733"/>
    <w:rsid w:val="66A569BF"/>
    <w:rsid w:val="66BB00BA"/>
    <w:rsid w:val="66C80C34"/>
    <w:rsid w:val="66CD4786"/>
    <w:rsid w:val="66D76DA9"/>
    <w:rsid w:val="66DB6D65"/>
    <w:rsid w:val="66F419AA"/>
    <w:rsid w:val="66FF3554"/>
    <w:rsid w:val="670661B6"/>
    <w:rsid w:val="670C21DB"/>
    <w:rsid w:val="670F085D"/>
    <w:rsid w:val="67206BB9"/>
    <w:rsid w:val="67452180"/>
    <w:rsid w:val="67534BDE"/>
    <w:rsid w:val="675B1139"/>
    <w:rsid w:val="676C7043"/>
    <w:rsid w:val="676F397A"/>
    <w:rsid w:val="677D748C"/>
    <w:rsid w:val="67894889"/>
    <w:rsid w:val="678D0220"/>
    <w:rsid w:val="679044A4"/>
    <w:rsid w:val="67917143"/>
    <w:rsid w:val="67975FB7"/>
    <w:rsid w:val="679A3799"/>
    <w:rsid w:val="679B56E1"/>
    <w:rsid w:val="67A15968"/>
    <w:rsid w:val="67AB4704"/>
    <w:rsid w:val="67B233EE"/>
    <w:rsid w:val="67C172FA"/>
    <w:rsid w:val="67D02C2B"/>
    <w:rsid w:val="67EC739F"/>
    <w:rsid w:val="67FC5C00"/>
    <w:rsid w:val="68231439"/>
    <w:rsid w:val="682918D1"/>
    <w:rsid w:val="682A122E"/>
    <w:rsid w:val="682D511F"/>
    <w:rsid w:val="683B3B2D"/>
    <w:rsid w:val="68440090"/>
    <w:rsid w:val="68485704"/>
    <w:rsid w:val="68606837"/>
    <w:rsid w:val="68697501"/>
    <w:rsid w:val="68704328"/>
    <w:rsid w:val="687F2101"/>
    <w:rsid w:val="688B5BEB"/>
    <w:rsid w:val="68975FDC"/>
    <w:rsid w:val="689E118D"/>
    <w:rsid w:val="68A50205"/>
    <w:rsid w:val="68AB04AC"/>
    <w:rsid w:val="68BF1372"/>
    <w:rsid w:val="68C525DC"/>
    <w:rsid w:val="68C92FE3"/>
    <w:rsid w:val="68D371D8"/>
    <w:rsid w:val="68DB186A"/>
    <w:rsid w:val="68DD6147"/>
    <w:rsid w:val="68F25515"/>
    <w:rsid w:val="68F43B15"/>
    <w:rsid w:val="68FE462E"/>
    <w:rsid w:val="691E49B3"/>
    <w:rsid w:val="692840E0"/>
    <w:rsid w:val="692A26E9"/>
    <w:rsid w:val="692B1576"/>
    <w:rsid w:val="692D3136"/>
    <w:rsid w:val="692D6226"/>
    <w:rsid w:val="69315B93"/>
    <w:rsid w:val="693D5BAA"/>
    <w:rsid w:val="69431A04"/>
    <w:rsid w:val="694622BE"/>
    <w:rsid w:val="69494E4B"/>
    <w:rsid w:val="694C0D84"/>
    <w:rsid w:val="69502A49"/>
    <w:rsid w:val="695C5F3D"/>
    <w:rsid w:val="69614590"/>
    <w:rsid w:val="696C52B9"/>
    <w:rsid w:val="697F778D"/>
    <w:rsid w:val="6996144F"/>
    <w:rsid w:val="69A9768E"/>
    <w:rsid w:val="69B500B4"/>
    <w:rsid w:val="69BB6F03"/>
    <w:rsid w:val="69BE42CE"/>
    <w:rsid w:val="69CC4E70"/>
    <w:rsid w:val="69DE0CE6"/>
    <w:rsid w:val="69DE20EF"/>
    <w:rsid w:val="69DE5425"/>
    <w:rsid w:val="69E412A3"/>
    <w:rsid w:val="69EE7928"/>
    <w:rsid w:val="6A0A3EC0"/>
    <w:rsid w:val="6A121B05"/>
    <w:rsid w:val="6A3352D5"/>
    <w:rsid w:val="6A425913"/>
    <w:rsid w:val="6A57757A"/>
    <w:rsid w:val="6A590230"/>
    <w:rsid w:val="6A6D447C"/>
    <w:rsid w:val="6A840D76"/>
    <w:rsid w:val="6A92005F"/>
    <w:rsid w:val="6AA22CC2"/>
    <w:rsid w:val="6AA86CF6"/>
    <w:rsid w:val="6AAC1B55"/>
    <w:rsid w:val="6AAF4D11"/>
    <w:rsid w:val="6AB251B8"/>
    <w:rsid w:val="6AB407BC"/>
    <w:rsid w:val="6AB454E2"/>
    <w:rsid w:val="6AD61945"/>
    <w:rsid w:val="6AD92A73"/>
    <w:rsid w:val="6AE91E94"/>
    <w:rsid w:val="6B02101A"/>
    <w:rsid w:val="6B11605C"/>
    <w:rsid w:val="6B144235"/>
    <w:rsid w:val="6B150DAE"/>
    <w:rsid w:val="6B251954"/>
    <w:rsid w:val="6B30275F"/>
    <w:rsid w:val="6B353DE1"/>
    <w:rsid w:val="6B3D1963"/>
    <w:rsid w:val="6B3D1E41"/>
    <w:rsid w:val="6B4E5EED"/>
    <w:rsid w:val="6B5506E6"/>
    <w:rsid w:val="6B711931"/>
    <w:rsid w:val="6B7751E7"/>
    <w:rsid w:val="6B797B31"/>
    <w:rsid w:val="6B82786A"/>
    <w:rsid w:val="6B881EB0"/>
    <w:rsid w:val="6B9A13DE"/>
    <w:rsid w:val="6B9E1C16"/>
    <w:rsid w:val="6BB348EE"/>
    <w:rsid w:val="6BD27D7E"/>
    <w:rsid w:val="6BDA7016"/>
    <w:rsid w:val="6BF4074C"/>
    <w:rsid w:val="6BF6778C"/>
    <w:rsid w:val="6BF9177C"/>
    <w:rsid w:val="6C121E9C"/>
    <w:rsid w:val="6C1B00D3"/>
    <w:rsid w:val="6C241848"/>
    <w:rsid w:val="6C275CA1"/>
    <w:rsid w:val="6C2C1486"/>
    <w:rsid w:val="6C3048B4"/>
    <w:rsid w:val="6C356318"/>
    <w:rsid w:val="6C3F64DD"/>
    <w:rsid w:val="6C466ED6"/>
    <w:rsid w:val="6C6E3A21"/>
    <w:rsid w:val="6C70241C"/>
    <w:rsid w:val="6C92793B"/>
    <w:rsid w:val="6CAD189E"/>
    <w:rsid w:val="6CAD2D18"/>
    <w:rsid w:val="6CBC5673"/>
    <w:rsid w:val="6CC35486"/>
    <w:rsid w:val="6CCF68FF"/>
    <w:rsid w:val="6CDD1F6A"/>
    <w:rsid w:val="6CE50D66"/>
    <w:rsid w:val="6CFC2F57"/>
    <w:rsid w:val="6D27408D"/>
    <w:rsid w:val="6D2E6CAD"/>
    <w:rsid w:val="6D553B66"/>
    <w:rsid w:val="6D675EA9"/>
    <w:rsid w:val="6D7A05CF"/>
    <w:rsid w:val="6D8F100D"/>
    <w:rsid w:val="6D915D56"/>
    <w:rsid w:val="6D950A6D"/>
    <w:rsid w:val="6DA43518"/>
    <w:rsid w:val="6DAF6B09"/>
    <w:rsid w:val="6DB97282"/>
    <w:rsid w:val="6DCA49C1"/>
    <w:rsid w:val="6DE018D8"/>
    <w:rsid w:val="6E005194"/>
    <w:rsid w:val="6E014465"/>
    <w:rsid w:val="6E021DFE"/>
    <w:rsid w:val="6E0347F9"/>
    <w:rsid w:val="6E083C27"/>
    <w:rsid w:val="6E0A59A0"/>
    <w:rsid w:val="6E152969"/>
    <w:rsid w:val="6E1628CD"/>
    <w:rsid w:val="6E185047"/>
    <w:rsid w:val="6E220A82"/>
    <w:rsid w:val="6E266E62"/>
    <w:rsid w:val="6E4A33FE"/>
    <w:rsid w:val="6E4A63FE"/>
    <w:rsid w:val="6E4E4655"/>
    <w:rsid w:val="6E634D17"/>
    <w:rsid w:val="6E8F31BE"/>
    <w:rsid w:val="6E910C62"/>
    <w:rsid w:val="6E9F1864"/>
    <w:rsid w:val="6ED444B7"/>
    <w:rsid w:val="6ED63291"/>
    <w:rsid w:val="6EE26C97"/>
    <w:rsid w:val="6EF60D57"/>
    <w:rsid w:val="6EF63C02"/>
    <w:rsid w:val="6EFC52D5"/>
    <w:rsid w:val="6EFF7BBC"/>
    <w:rsid w:val="6F021565"/>
    <w:rsid w:val="6F091745"/>
    <w:rsid w:val="6F0B2452"/>
    <w:rsid w:val="6F0B2FDD"/>
    <w:rsid w:val="6F0E08BA"/>
    <w:rsid w:val="6F163AB7"/>
    <w:rsid w:val="6F1E76A9"/>
    <w:rsid w:val="6F2A3D52"/>
    <w:rsid w:val="6F3E5716"/>
    <w:rsid w:val="6F432D29"/>
    <w:rsid w:val="6F440646"/>
    <w:rsid w:val="6F485187"/>
    <w:rsid w:val="6F5007FF"/>
    <w:rsid w:val="6F574490"/>
    <w:rsid w:val="6F637CFB"/>
    <w:rsid w:val="6F6B6D97"/>
    <w:rsid w:val="6F703054"/>
    <w:rsid w:val="6F7F236C"/>
    <w:rsid w:val="6F9469D7"/>
    <w:rsid w:val="6FC10AEA"/>
    <w:rsid w:val="6FD05E66"/>
    <w:rsid w:val="6FE04ED6"/>
    <w:rsid w:val="6FFF37F8"/>
    <w:rsid w:val="70011795"/>
    <w:rsid w:val="70085B22"/>
    <w:rsid w:val="700E3027"/>
    <w:rsid w:val="701C68F2"/>
    <w:rsid w:val="7025694B"/>
    <w:rsid w:val="704855C2"/>
    <w:rsid w:val="70581F56"/>
    <w:rsid w:val="706D2081"/>
    <w:rsid w:val="707002F7"/>
    <w:rsid w:val="70767737"/>
    <w:rsid w:val="707A46C8"/>
    <w:rsid w:val="70844C5E"/>
    <w:rsid w:val="7087628A"/>
    <w:rsid w:val="708D4D9A"/>
    <w:rsid w:val="70AF4D31"/>
    <w:rsid w:val="70BF2566"/>
    <w:rsid w:val="70C66A89"/>
    <w:rsid w:val="70C83038"/>
    <w:rsid w:val="70CE26FC"/>
    <w:rsid w:val="70DC2156"/>
    <w:rsid w:val="71125F51"/>
    <w:rsid w:val="71354CCA"/>
    <w:rsid w:val="713E5DF0"/>
    <w:rsid w:val="713E6D28"/>
    <w:rsid w:val="714232E1"/>
    <w:rsid w:val="714F681D"/>
    <w:rsid w:val="71551E63"/>
    <w:rsid w:val="715907AC"/>
    <w:rsid w:val="71662AF0"/>
    <w:rsid w:val="717619D2"/>
    <w:rsid w:val="719D0379"/>
    <w:rsid w:val="71A22875"/>
    <w:rsid w:val="71A53EC4"/>
    <w:rsid w:val="71DE4A8F"/>
    <w:rsid w:val="71E847DB"/>
    <w:rsid w:val="71F04980"/>
    <w:rsid w:val="71F60885"/>
    <w:rsid w:val="71F611D6"/>
    <w:rsid w:val="720578A8"/>
    <w:rsid w:val="72172E5E"/>
    <w:rsid w:val="721C5193"/>
    <w:rsid w:val="72200E83"/>
    <w:rsid w:val="724E1B8C"/>
    <w:rsid w:val="725D72DB"/>
    <w:rsid w:val="72605FB6"/>
    <w:rsid w:val="72671D90"/>
    <w:rsid w:val="726F1D22"/>
    <w:rsid w:val="72737A40"/>
    <w:rsid w:val="72762261"/>
    <w:rsid w:val="727E0112"/>
    <w:rsid w:val="72AB0605"/>
    <w:rsid w:val="72B8174E"/>
    <w:rsid w:val="72BB6F42"/>
    <w:rsid w:val="72D17473"/>
    <w:rsid w:val="72E7648F"/>
    <w:rsid w:val="72E86467"/>
    <w:rsid w:val="72EB6CDE"/>
    <w:rsid w:val="72EF13CA"/>
    <w:rsid w:val="7310050B"/>
    <w:rsid w:val="73186C9D"/>
    <w:rsid w:val="731B2E8E"/>
    <w:rsid w:val="731C0B9A"/>
    <w:rsid w:val="73202596"/>
    <w:rsid w:val="732F2681"/>
    <w:rsid w:val="732F7419"/>
    <w:rsid w:val="733026EC"/>
    <w:rsid w:val="73440C81"/>
    <w:rsid w:val="735A1E4E"/>
    <w:rsid w:val="73674DCE"/>
    <w:rsid w:val="7379157E"/>
    <w:rsid w:val="73861189"/>
    <w:rsid w:val="73866705"/>
    <w:rsid w:val="73AC491D"/>
    <w:rsid w:val="73D56E0B"/>
    <w:rsid w:val="73D72DB0"/>
    <w:rsid w:val="73D73EC0"/>
    <w:rsid w:val="73F141F2"/>
    <w:rsid w:val="740A7E44"/>
    <w:rsid w:val="741372EA"/>
    <w:rsid w:val="74154D06"/>
    <w:rsid w:val="74186E52"/>
    <w:rsid w:val="74236DEF"/>
    <w:rsid w:val="7447444A"/>
    <w:rsid w:val="7448163C"/>
    <w:rsid w:val="744C54F0"/>
    <w:rsid w:val="74513EB6"/>
    <w:rsid w:val="745D6991"/>
    <w:rsid w:val="746017E9"/>
    <w:rsid w:val="74675CB2"/>
    <w:rsid w:val="746F30B3"/>
    <w:rsid w:val="74753307"/>
    <w:rsid w:val="748B2347"/>
    <w:rsid w:val="749E413C"/>
    <w:rsid w:val="74A30CA1"/>
    <w:rsid w:val="74A93526"/>
    <w:rsid w:val="74AC43AC"/>
    <w:rsid w:val="74C5276E"/>
    <w:rsid w:val="74C554A6"/>
    <w:rsid w:val="74CD626D"/>
    <w:rsid w:val="74D02043"/>
    <w:rsid w:val="74DB169D"/>
    <w:rsid w:val="74EF1341"/>
    <w:rsid w:val="74F00387"/>
    <w:rsid w:val="75002093"/>
    <w:rsid w:val="752432D8"/>
    <w:rsid w:val="752711BD"/>
    <w:rsid w:val="75276161"/>
    <w:rsid w:val="75287895"/>
    <w:rsid w:val="754C5458"/>
    <w:rsid w:val="755713F6"/>
    <w:rsid w:val="755A7F6F"/>
    <w:rsid w:val="75601726"/>
    <w:rsid w:val="757671EB"/>
    <w:rsid w:val="757A5FD9"/>
    <w:rsid w:val="75814990"/>
    <w:rsid w:val="758324CD"/>
    <w:rsid w:val="758E5F42"/>
    <w:rsid w:val="759D070B"/>
    <w:rsid w:val="759D554F"/>
    <w:rsid w:val="75BD3B5F"/>
    <w:rsid w:val="75C164E9"/>
    <w:rsid w:val="75CA21BD"/>
    <w:rsid w:val="75CB5180"/>
    <w:rsid w:val="75E31905"/>
    <w:rsid w:val="760A23FD"/>
    <w:rsid w:val="760B0785"/>
    <w:rsid w:val="76194A72"/>
    <w:rsid w:val="76262686"/>
    <w:rsid w:val="76270F0D"/>
    <w:rsid w:val="762D10B4"/>
    <w:rsid w:val="7637239E"/>
    <w:rsid w:val="765949F3"/>
    <w:rsid w:val="76685FAC"/>
    <w:rsid w:val="766D2AA8"/>
    <w:rsid w:val="7675345C"/>
    <w:rsid w:val="76874510"/>
    <w:rsid w:val="76A7207E"/>
    <w:rsid w:val="76AF3C2B"/>
    <w:rsid w:val="76C465EE"/>
    <w:rsid w:val="76CD2432"/>
    <w:rsid w:val="76CF5A02"/>
    <w:rsid w:val="76EB61D7"/>
    <w:rsid w:val="76EC388B"/>
    <w:rsid w:val="76F43FB7"/>
    <w:rsid w:val="76F92D40"/>
    <w:rsid w:val="77092040"/>
    <w:rsid w:val="770D419A"/>
    <w:rsid w:val="77205B02"/>
    <w:rsid w:val="773C5B8F"/>
    <w:rsid w:val="774C654B"/>
    <w:rsid w:val="775623B4"/>
    <w:rsid w:val="77630D26"/>
    <w:rsid w:val="776337FF"/>
    <w:rsid w:val="776D38C6"/>
    <w:rsid w:val="777E37A3"/>
    <w:rsid w:val="778E46A2"/>
    <w:rsid w:val="77972476"/>
    <w:rsid w:val="77A84D47"/>
    <w:rsid w:val="77AA0D33"/>
    <w:rsid w:val="77AF6C61"/>
    <w:rsid w:val="77BA7C11"/>
    <w:rsid w:val="77E12EF7"/>
    <w:rsid w:val="77E74C3F"/>
    <w:rsid w:val="77F00B3E"/>
    <w:rsid w:val="77F913D5"/>
    <w:rsid w:val="77FA7DFE"/>
    <w:rsid w:val="781E774B"/>
    <w:rsid w:val="78337903"/>
    <w:rsid w:val="78543463"/>
    <w:rsid w:val="787338AC"/>
    <w:rsid w:val="787C66ED"/>
    <w:rsid w:val="789E4367"/>
    <w:rsid w:val="78A50397"/>
    <w:rsid w:val="78A525FD"/>
    <w:rsid w:val="78C22791"/>
    <w:rsid w:val="78D478F9"/>
    <w:rsid w:val="78DA174A"/>
    <w:rsid w:val="78E516D7"/>
    <w:rsid w:val="78EB1B0E"/>
    <w:rsid w:val="78FD1C1A"/>
    <w:rsid w:val="790002AF"/>
    <w:rsid w:val="790B5A05"/>
    <w:rsid w:val="790D7151"/>
    <w:rsid w:val="7913007D"/>
    <w:rsid w:val="792B211F"/>
    <w:rsid w:val="793F23B4"/>
    <w:rsid w:val="79471B05"/>
    <w:rsid w:val="794951BC"/>
    <w:rsid w:val="794D4437"/>
    <w:rsid w:val="795066A5"/>
    <w:rsid w:val="79537DA4"/>
    <w:rsid w:val="79550D90"/>
    <w:rsid w:val="79724599"/>
    <w:rsid w:val="797D61BD"/>
    <w:rsid w:val="798C3990"/>
    <w:rsid w:val="799367B2"/>
    <w:rsid w:val="799845D8"/>
    <w:rsid w:val="799A47BE"/>
    <w:rsid w:val="79A6002C"/>
    <w:rsid w:val="79A95503"/>
    <w:rsid w:val="79AC3E60"/>
    <w:rsid w:val="79BE0F86"/>
    <w:rsid w:val="79BE2F03"/>
    <w:rsid w:val="79C433D1"/>
    <w:rsid w:val="79D1473C"/>
    <w:rsid w:val="79E21F10"/>
    <w:rsid w:val="79EB232F"/>
    <w:rsid w:val="79EF3444"/>
    <w:rsid w:val="79F333E8"/>
    <w:rsid w:val="79F86C86"/>
    <w:rsid w:val="79F93683"/>
    <w:rsid w:val="79FB5425"/>
    <w:rsid w:val="79FF5F22"/>
    <w:rsid w:val="7A05113D"/>
    <w:rsid w:val="7A370191"/>
    <w:rsid w:val="7A4613C6"/>
    <w:rsid w:val="7A4A0F1E"/>
    <w:rsid w:val="7A4E43CE"/>
    <w:rsid w:val="7A6A604B"/>
    <w:rsid w:val="7A6C2348"/>
    <w:rsid w:val="7A6D4065"/>
    <w:rsid w:val="7A8E45BD"/>
    <w:rsid w:val="7AB335D5"/>
    <w:rsid w:val="7AB739D6"/>
    <w:rsid w:val="7ABE7E40"/>
    <w:rsid w:val="7ADB3971"/>
    <w:rsid w:val="7B05497D"/>
    <w:rsid w:val="7B0A075C"/>
    <w:rsid w:val="7B1A143D"/>
    <w:rsid w:val="7B393B80"/>
    <w:rsid w:val="7B3D0289"/>
    <w:rsid w:val="7B5037AB"/>
    <w:rsid w:val="7B55730A"/>
    <w:rsid w:val="7B680104"/>
    <w:rsid w:val="7BC75FB9"/>
    <w:rsid w:val="7BC96C20"/>
    <w:rsid w:val="7BD40588"/>
    <w:rsid w:val="7BE43943"/>
    <w:rsid w:val="7BEA1FDB"/>
    <w:rsid w:val="7BEC58A5"/>
    <w:rsid w:val="7BEE3928"/>
    <w:rsid w:val="7BF50E70"/>
    <w:rsid w:val="7BF735AB"/>
    <w:rsid w:val="7C084DF6"/>
    <w:rsid w:val="7C0C214C"/>
    <w:rsid w:val="7C2E5A05"/>
    <w:rsid w:val="7C353C5A"/>
    <w:rsid w:val="7C3C45C7"/>
    <w:rsid w:val="7C6C4B65"/>
    <w:rsid w:val="7C8119E2"/>
    <w:rsid w:val="7C8578FB"/>
    <w:rsid w:val="7C8A381A"/>
    <w:rsid w:val="7C8B27D7"/>
    <w:rsid w:val="7C90314A"/>
    <w:rsid w:val="7C9F6716"/>
    <w:rsid w:val="7CC07284"/>
    <w:rsid w:val="7CCB33EB"/>
    <w:rsid w:val="7CDC7D70"/>
    <w:rsid w:val="7D003806"/>
    <w:rsid w:val="7D1F6591"/>
    <w:rsid w:val="7D2B4AA2"/>
    <w:rsid w:val="7D2E6B19"/>
    <w:rsid w:val="7D3F5597"/>
    <w:rsid w:val="7D5720E9"/>
    <w:rsid w:val="7D594A70"/>
    <w:rsid w:val="7D662879"/>
    <w:rsid w:val="7D7710F3"/>
    <w:rsid w:val="7DA03E23"/>
    <w:rsid w:val="7DAB4D07"/>
    <w:rsid w:val="7DAB7968"/>
    <w:rsid w:val="7DC624B4"/>
    <w:rsid w:val="7DC760E6"/>
    <w:rsid w:val="7DE7791A"/>
    <w:rsid w:val="7DF826A2"/>
    <w:rsid w:val="7DFA6B24"/>
    <w:rsid w:val="7E2030B4"/>
    <w:rsid w:val="7E2C20F1"/>
    <w:rsid w:val="7E445CF5"/>
    <w:rsid w:val="7E5004A3"/>
    <w:rsid w:val="7E54393E"/>
    <w:rsid w:val="7E6431D7"/>
    <w:rsid w:val="7E661F2C"/>
    <w:rsid w:val="7E6E7AB8"/>
    <w:rsid w:val="7E735784"/>
    <w:rsid w:val="7E7C22B4"/>
    <w:rsid w:val="7E85254C"/>
    <w:rsid w:val="7E9855AE"/>
    <w:rsid w:val="7E9A0754"/>
    <w:rsid w:val="7E9D20EB"/>
    <w:rsid w:val="7EAA3785"/>
    <w:rsid w:val="7EB07431"/>
    <w:rsid w:val="7EB108A7"/>
    <w:rsid w:val="7EBB06B8"/>
    <w:rsid w:val="7EE77F9D"/>
    <w:rsid w:val="7EE9152E"/>
    <w:rsid w:val="7EEE40CC"/>
    <w:rsid w:val="7EF42FE8"/>
    <w:rsid w:val="7EFA2E4E"/>
    <w:rsid w:val="7F0F5D02"/>
    <w:rsid w:val="7F113FE7"/>
    <w:rsid w:val="7F2D5F46"/>
    <w:rsid w:val="7F327F0F"/>
    <w:rsid w:val="7F3E6A5C"/>
    <w:rsid w:val="7F4D054F"/>
    <w:rsid w:val="7F566B68"/>
    <w:rsid w:val="7F66784A"/>
    <w:rsid w:val="7F71434E"/>
    <w:rsid w:val="7F735B58"/>
    <w:rsid w:val="7F7927AF"/>
    <w:rsid w:val="7F7C5AD9"/>
    <w:rsid w:val="7F7D2697"/>
    <w:rsid w:val="7FA77CA3"/>
    <w:rsid w:val="7FA91989"/>
    <w:rsid w:val="7FBB791C"/>
    <w:rsid w:val="7FC14BB1"/>
    <w:rsid w:val="7FCB12C2"/>
    <w:rsid w:val="7FD55793"/>
    <w:rsid w:val="7FD56C6B"/>
    <w:rsid w:val="7FD91DE3"/>
    <w:rsid w:val="7FE11D24"/>
    <w:rsid w:val="7FE37963"/>
    <w:rsid w:val="7FE43F86"/>
    <w:rsid w:val="7FF06E4B"/>
    <w:rsid w:val="7FF64FE2"/>
    <w:rsid w:val="7FF87BA3"/>
    <w:rsid w:val="7FF901F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qFormat="1" w:unhideWhenUsed="0" w:uiPriority="99" w:semiHidden="0" w:name="toc 2"/>
    <w:lsdException w:qFormat="1" w:unhideWhenUsed="0" w:uiPriority="9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99" w:semiHidden="0"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qFormat="1" w:unhideWhenUsed="0" w:uiPriority="99" w:semiHidden="0" w:name="Body Text 3"/>
    <w:lsdException w:qFormat="1" w:unhideWhenUsed="0" w:uiPriority="99" w:semiHidden="0" w:name="Body Text Indent 2"/>
    <w:lsdException w:uiPriority="99" w:name="Body Text Indent 3"/>
    <w:lsdException w:uiPriority="99" w:name="Block Text"/>
    <w:lsdException w:qFormat="1" w:unhideWhenUsed="0" w:uiPriority="99" w:semiHidden="0" w:name="Hyperlink"/>
    <w:lsdException w:qFormat="1" w:unhideWhenUsed="0" w:uiPriority="0" w:semiHidden="0" w:name="FollowedHyperlink" w:locked="1"/>
    <w:lsdException w:qFormat="1" w:unhideWhenUsed="0" w:uiPriority="99" w:semiHidden="0" w:name="Strong"/>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qFormat="1" w:uiPriority="99" w:name="HTML Code"/>
    <w:lsdException w:qFormat="1" w:uiPriority="99" w:name="HTML Definition"/>
    <w:lsdException w:qFormat="1" w:uiPriority="99" w:name="HTML Keyboard"/>
    <w:lsdException w:qFormat="1" w:unhideWhenUsed="0" w:uiPriority="0" w:semiHidden="0" w:name="HTML Preformatted"/>
    <w:lsdException w:qFormat="1"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paragraph" w:styleId="3">
    <w:name w:val="heading 1"/>
    <w:basedOn w:val="1"/>
    <w:next w:val="1"/>
    <w:link w:val="87"/>
    <w:qFormat/>
    <w:uiPriority w:val="99"/>
    <w:pPr>
      <w:keepNext/>
      <w:keepLines/>
      <w:spacing w:line="576" w:lineRule="auto"/>
      <w:jc w:val="center"/>
      <w:outlineLvl w:val="0"/>
    </w:pPr>
    <w:rPr>
      <w:rFonts w:ascii="Times New Roman" w:hAnsi="Times New Roman" w:eastAsia="黑体" w:cs="Times New Roman"/>
      <w:kern w:val="44"/>
      <w:sz w:val="30"/>
      <w:szCs w:val="20"/>
    </w:rPr>
  </w:style>
  <w:style w:type="paragraph" w:styleId="2">
    <w:name w:val="heading 2"/>
    <w:basedOn w:val="1"/>
    <w:next w:val="1"/>
    <w:link w:val="36"/>
    <w:qFormat/>
    <w:uiPriority w:val="99"/>
    <w:pPr>
      <w:keepNext/>
      <w:keepLines/>
      <w:spacing w:line="413" w:lineRule="auto"/>
      <w:ind w:left="200" w:leftChars="200"/>
      <w:jc w:val="center"/>
      <w:outlineLvl w:val="1"/>
    </w:pPr>
    <w:rPr>
      <w:rFonts w:ascii="仿宋_GB2312" w:hAnsi="仿宋_GB2312" w:cs="Times New Roman"/>
      <w:b/>
      <w:kern w:val="0"/>
      <w:sz w:val="24"/>
      <w:szCs w:val="20"/>
    </w:rPr>
  </w:style>
  <w:style w:type="paragraph" w:styleId="4">
    <w:name w:val="heading 3"/>
    <w:basedOn w:val="1"/>
    <w:next w:val="1"/>
    <w:link w:val="37"/>
    <w:qFormat/>
    <w:uiPriority w:val="99"/>
    <w:pPr>
      <w:keepNext/>
      <w:keepLines/>
      <w:spacing w:line="413" w:lineRule="auto"/>
      <w:ind w:left="200" w:leftChars="200"/>
      <w:outlineLvl w:val="2"/>
    </w:pPr>
    <w:rPr>
      <w:rFonts w:ascii="仿宋_GB2312" w:hAnsi="仿宋_GB2312" w:eastAsia="仿宋_GB2312" w:cs="Times New Roman"/>
      <w:b/>
      <w:kern w:val="0"/>
      <w:sz w:val="24"/>
      <w:szCs w:val="20"/>
    </w:rPr>
  </w:style>
  <w:style w:type="paragraph" w:styleId="5">
    <w:name w:val="heading 4"/>
    <w:basedOn w:val="1"/>
    <w:next w:val="1"/>
    <w:link w:val="38"/>
    <w:qFormat/>
    <w:uiPriority w:val="99"/>
    <w:pPr>
      <w:pageBreakBefore/>
      <w:numPr>
        <w:ilvl w:val="3"/>
        <w:numId w:val="1"/>
      </w:numPr>
      <w:adjustRightInd w:val="0"/>
      <w:spacing w:before="280" w:after="290" w:line="376" w:lineRule="atLeast"/>
      <w:jc w:val="left"/>
      <w:textAlignment w:val="baseline"/>
      <w:outlineLvl w:val="3"/>
    </w:pPr>
    <w:rPr>
      <w:rFonts w:ascii="Arial" w:hAnsi="Arial" w:cs="Times New Roman"/>
      <w:b/>
      <w:bCs/>
      <w:kern w:val="0"/>
      <w:sz w:val="24"/>
      <w:szCs w:val="28"/>
    </w:rPr>
  </w:style>
  <w:style w:type="character" w:default="1" w:styleId="25">
    <w:name w:val="Default Paragraph Font"/>
    <w:semiHidden/>
    <w:qFormat/>
    <w:uiPriority w:val="99"/>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widowControl/>
      <w:ind w:firstLine="420"/>
      <w:jc w:val="left"/>
    </w:pPr>
    <w:rPr>
      <w:kern w:val="0"/>
      <w:sz w:val="20"/>
      <w:szCs w:val="20"/>
    </w:rPr>
  </w:style>
  <w:style w:type="paragraph" w:styleId="7">
    <w:name w:val="Body Text 3"/>
    <w:basedOn w:val="1"/>
    <w:link w:val="40"/>
    <w:qFormat/>
    <w:uiPriority w:val="99"/>
    <w:pPr>
      <w:spacing w:after="120"/>
    </w:pPr>
    <w:rPr>
      <w:rFonts w:ascii="Times New Roman" w:hAnsi="Times New Roman" w:eastAsia="华文宋体" w:cs="Times New Roman"/>
      <w:kern w:val="0"/>
      <w:sz w:val="16"/>
      <w:szCs w:val="16"/>
    </w:rPr>
  </w:style>
  <w:style w:type="paragraph" w:styleId="8">
    <w:name w:val="Body Text"/>
    <w:basedOn w:val="1"/>
    <w:next w:val="1"/>
    <w:link w:val="41"/>
    <w:qFormat/>
    <w:uiPriority w:val="99"/>
    <w:rPr>
      <w:rFonts w:ascii="Times New Roman" w:hAnsi="Times New Roman" w:cs="Times New Roman"/>
      <w:position w:val="-16"/>
      <w:sz w:val="28"/>
      <w:szCs w:val="24"/>
    </w:rPr>
  </w:style>
  <w:style w:type="paragraph" w:styleId="9">
    <w:name w:val="Body Text Indent"/>
    <w:basedOn w:val="1"/>
    <w:link w:val="42"/>
    <w:qFormat/>
    <w:uiPriority w:val="99"/>
    <w:pPr>
      <w:spacing w:line="540" w:lineRule="exact"/>
      <w:ind w:firstLine="480" w:firstLineChars="200"/>
    </w:pPr>
    <w:rPr>
      <w:sz w:val="24"/>
    </w:rPr>
  </w:style>
  <w:style w:type="paragraph" w:styleId="10">
    <w:name w:val="toc 3"/>
    <w:basedOn w:val="1"/>
    <w:next w:val="1"/>
    <w:qFormat/>
    <w:uiPriority w:val="99"/>
    <w:pPr>
      <w:ind w:left="420"/>
      <w:jc w:val="left"/>
    </w:pPr>
    <w:rPr>
      <w:rFonts w:eastAsia="仿宋_GB2312"/>
      <w:sz w:val="24"/>
    </w:rPr>
  </w:style>
  <w:style w:type="paragraph" w:styleId="11">
    <w:name w:val="Plain Text"/>
    <w:basedOn w:val="1"/>
    <w:qFormat/>
    <w:uiPriority w:val="0"/>
    <w:rPr>
      <w:rFonts w:ascii="宋体" w:hAnsi="Courier New" w:eastAsiaTheme="minorEastAsia" w:cstheme="minorBidi"/>
      <w:szCs w:val="22"/>
    </w:rPr>
  </w:style>
  <w:style w:type="paragraph" w:styleId="12">
    <w:name w:val="Body Text Indent 2"/>
    <w:basedOn w:val="1"/>
    <w:next w:val="1"/>
    <w:link w:val="39"/>
    <w:qFormat/>
    <w:uiPriority w:val="99"/>
    <w:pPr>
      <w:autoSpaceDE w:val="0"/>
      <w:autoSpaceDN w:val="0"/>
      <w:adjustRightInd w:val="0"/>
      <w:spacing w:line="640" w:lineRule="exact"/>
      <w:ind w:firstLine="645"/>
    </w:pPr>
    <w:rPr>
      <w:rFonts w:ascii="楷体_GB2312" w:eastAsia="楷体_GB2312"/>
      <w:kern w:val="0"/>
      <w:sz w:val="32"/>
      <w:szCs w:val="32"/>
    </w:rPr>
  </w:style>
  <w:style w:type="paragraph" w:styleId="13">
    <w:name w:val="Balloon Text"/>
    <w:basedOn w:val="1"/>
    <w:link w:val="43"/>
    <w:qFormat/>
    <w:uiPriority w:val="99"/>
    <w:rPr>
      <w:sz w:val="18"/>
      <w:szCs w:val="18"/>
    </w:rPr>
  </w:style>
  <w:style w:type="paragraph" w:styleId="14">
    <w:name w:val="footer"/>
    <w:basedOn w:val="1"/>
    <w:link w:val="44"/>
    <w:qFormat/>
    <w:uiPriority w:val="99"/>
    <w:pPr>
      <w:tabs>
        <w:tab w:val="center" w:pos="4153"/>
        <w:tab w:val="right" w:pos="8306"/>
      </w:tabs>
      <w:snapToGrid w:val="0"/>
      <w:jc w:val="left"/>
    </w:pPr>
    <w:rPr>
      <w:sz w:val="18"/>
    </w:rPr>
  </w:style>
  <w:style w:type="paragraph" w:styleId="15">
    <w:name w:val="envelope return"/>
    <w:basedOn w:val="1"/>
    <w:qFormat/>
    <w:uiPriority w:val="99"/>
    <w:pPr>
      <w:snapToGrid w:val="0"/>
    </w:pPr>
    <w:rPr>
      <w:rFonts w:ascii="Arial" w:hAnsi="Arial"/>
    </w:rPr>
  </w:style>
  <w:style w:type="paragraph" w:styleId="16">
    <w:name w:val="header"/>
    <w:basedOn w:val="1"/>
    <w:link w:val="46"/>
    <w:qFormat/>
    <w:uiPriority w:val="99"/>
    <w:pPr>
      <w:pBdr>
        <w:bottom w:val="single" w:color="auto" w:sz="6" w:space="1"/>
      </w:pBdr>
      <w:tabs>
        <w:tab w:val="center" w:pos="4153"/>
        <w:tab w:val="right" w:pos="8306"/>
      </w:tabs>
      <w:adjustRightInd w:val="0"/>
      <w:spacing w:line="240" w:lineRule="atLeast"/>
      <w:jc w:val="center"/>
    </w:pPr>
    <w:rPr>
      <w:kern w:val="0"/>
      <w:sz w:val="18"/>
    </w:rPr>
  </w:style>
  <w:style w:type="paragraph" w:styleId="17">
    <w:name w:val="toc 1"/>
    <w:basedOn w:val="1"/>
    <w:next w:val="1"/>
    <w:link w:val="78"/>
    <w:qFormat/>
    <w:uiPriority w:val="99"/>
    <w:pPr>
      <w:jc w:val="left"/>
    </w:pPr>
    <w:rPr>
      <w:rFonts w:ascii="Times New Roman" w:hAnsi="Times New Roman" w:eastAsia="仿宋_GB2312" w:cs="Times New Roman"/>
      <w:caps/>
      <w:kern w:val="0"/>
      <w:sz w:val="24"/>
      <w:szCs w:val="20"/>
    </w:rPr>
  </w:style>
  <w:style w:type="paragraph" w:styleId="18">
    <w:name w:val="toc 2"/>
    <w:basedOn w:val="1"/>
    <w:next w:val="1"/>
    <w:qFormat/>
    <w:uiPriority w:val="99"/>
    <w:pPr>
      <w:ind w:left="210"/>
      <w:jc w:val="left"/>
    </w:pPr>
    <w:rPr>
      <w:rFonts w:eastAsia="仿宋_GB2312"/>
      <w:smallCaps/>
      <w:sz w:val="24"/>
    </w:rPr>
  </w:style>
  <w:style w:type="paragraph" w:styleId="19">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20">
    <w:name w:val="Normal (Web)"/>
    <w:basedOn w:val="1"/>
    <w:next w:val="15"/>
    <w:qFormat/>
    <w:uiPriority w:val="99"/>
    <w:pPr>
      <w:spacing w:before="100" w:beforeAutospacing="1" w:after="100" w:afterAutospacing="1"/>
      <w:jc w:val="left"/>
    </w:pPr>
    <w:rPr>
      <w:rFonts w:ascii="Times New Roman" w:hAnsi="Times New Roman" w:cs="Times New Roman"/>
      <w:kern w:val="0"/>
      <w:sz w:val="24"/>
      <w:szCs w:val="20"/>
    </w:rPr>
  </w:style>
  <w:style w:type="paragraph" w:styleId="21">
    <w:name w:val="Title"/>
    <w:basedOn w:val="1"/>
    <w:next w:val="1"/>
    <w:link w:val="47"/>
    <w:qFormat/>
    <w:uiPriority w:val="99"/>
    <w:pPr>
      <w:jc w:val="center"/>
    </w:pPr>
    <w:rPr>
      <w:rFonts w:eastAsia="黑体"/>
      <w:b/>
      <w:sz w:val="32"/>
    </w:rPr>
  </w:style>
  <w:style w:type="paragraph" w:styleId="22">
    <w:name w:val="Body Text First Indent 2"/>
    <w:basedOn w:val="9"/>
    <w:link w:val="45"/>
    <w:qFormat/>
    <w:uiPriority w:val="99"/>
    <w:pPr>
      <w:spacing w:after="120" w:line="240" w:lineRule="auto"/>
      <w:ind w:left="420" w:leftChars="200" w:firstLine="420"/>
    </w:pPr>
    <w:rPr>
      <w:sz w:val="21"/>
    </w:rPr>
  </w:style>
  <w:style w:type="table" w:styleId="24">
    <w:name w:val="Table Grid"/>
    <w:basedOn w:val="23"/>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Strong"/>
    <w:basedOn w:val="25"/>
    <w:qFormat/>
    <w:uiPriority w:val="99"/>
    <w:rPr>
      <w:rFonts w:cs="Times New Roman"/>
      <w:b/>
    </w:rPr>
  </w:style>
  <w:style w:type="character" w:styleId="27">
    <w:name w:val="page number"/>
    <w:basedOn w:val="25"/>
    <w:qFormat/>
    <w:uiPriority w:val="99"/>
    <w:rPr>
      <w:rFonts w:cs="Times New Roman"/>
    </w:rPr>
  </w:style>
  <w:style w:type="character" w:styleId="28">
    <w:name w:val="FollowedHyperlink"/>
    <w:basedOn w:val="25"/>
    <w:qFormat/>
    <w:locked/>
    <w:uiPriority w:val="0"/>
    <w:rPr>
      <w:color w:val="333333"/>
      <w:u w:val="none"/>
    </w:rPr>
  </w:style>
  <w:style w:type="character" w:styleId="29">
    <w:name w:val="Emphasis"/>
    <w:basedOn w:val="25"/>
    <w:qFormat/>
    <w:locked/>
    <w:uiPriority w:val="0"/>
  </w:style>
  <w:style w:type="character" w:styleId="30">
    <w:name w:val="HTML Definition"/>
    <w:basedOn w:val="25"/>
    <w:semiHidden/>
    <w:unhideWhenUsed/>
    <w:qFormat/>
    <w:uiPriority w:val="99"/>
    <w:rPr>
      <w:i/>
    </w:rPr>
  </w:style>
  <w:style w:type="character" w:styleId="31">
    <w:name w:val="Hyperlink"/>
    <w:basedOn w:val="25"/>
    <w:qFormat/>
    <w:uiPriority w:val="99"/>
    <w:rPr>
      <w:rFonts w:cs="Times New Roman"/>
      <w:color w:val="0000FF"/>
      <w:u w:val="single"/>
    </w:rPr>
  </w:style>
  <w:style w:type="character" w:styleId="32">
    <w:name w:val="HTML Code"/>
    <w:basedOn w:val="25"/>
    <w:semiHidden/>
    <w:unhideWhenUsed/>
    <w:qFormat/>
    <w:uiPriority w:val="99"/>
    <w:rPr>
      <w:rFonts w:hint="default" w:ascii="Consolas" w:hAnsi="Consolas" w:eastAsia="Consolas" w:cs="Consolas"/>
      <w:color w:val="C7254E"/>
      <w:sz w:val="21"/>
      <w:szCs w:val="21"/>
      <w:shd w:val="clear" w:fill="F9F2F4"/>
    </w:rPr>
  </w:style>
  <w:style w:type="character" w:styleId="33">
    <w:name w:val="HTML Keyboard"/>
    <w:basedOn w:val="25"/>
    <w:semiHidden/>
    <w:unhideWhenUsed/>
    <w:qFormat/>
    <w:uiPriority w:val="99"/>
    <w:rPr>
      <w:rFonts w:ascii="Consolas" w:hAnsi="Consolas" w:eastAsia="Consolas" w:cs="Consolas"/>
      <w:color w:val="FFFFFF"/>
      <w:sz w:val="21"/>
      <w:szCs w:val="21"/>
      <w:shd w:val="clear" w:fill="333333"/>
    </w:rPr>
  </w:style>
  <w:style w:type="character" w:styleId="34">
    <w:name w:val="HTML Sample"/>
    <w:basedOn w:val="25"/>
    <w:semiHidden/>
    <w:unhideWhenUsed/>
    <w:qFormat/>
    <w:uiPriority w:val="99"/>
    <w:rPr>
      <w:rFonts w:hint="default" w:ascii="Consolas" w:hAnsi="Consolas" w:eastAsia="Consolas" w:cs="Consolas"/>
      <w:sz w:val="21"/>
      <w:szCs w:val="21"/>
    </w:rPr>
  </w:style>
  <w:style w:type="character" w:customStyle="1" w:styleId="35">
    <w:name w:val="Heading 1 Char"/>
    <w:basedOn w:val="25"/>
    <w:link w:val="3"/>
    <w:qFormat/>
    <w:locked/>
    <w:uiPriority w:val="99"/>
    <w:rPr>
      <w:rFonts w:eastAsia="黑体"/>
      <w:kern w:val="44"/>
      <w:sz w:val="30"/>
    </w:rPr>
  </w:style>
  <w:style w:type="character" w:customStyle="1" w:styleId="36">
    <w:name w:val="Heading 2 Char"/>
    <w:basedOn w:val="25"/>
    <w:link w:val="2"/>
    <w:qFormat/>
    <w:locked/>
    <w:uiPriority w:val="99"/>
    <w:rPr>
      <w:rFonts w:ascii="仿宋_GB2312" w:hAnsi="仿宋_GB2312" w:eastAsia="宋体"/>
      <w:b/>
      <w:sz w:val="24"/>
    </w:rPr>
  </w:style>
  <w:style w:type="character" w:customStyle="1" w:styleId="37">
    <w:name w:val="Heading 3 Char"/>
    <w:basedOn w:val="25"/>
    <w:link w:val="4"/>
    <w:qFormat/>
    <w:locked/>
    <w:uiPriority w:val="99"/>
    <w:rPr>
      <w:rFonts w:ascii="仿宋_GB2312" w:hAnsi="仿宋_GB2312" w:eastAsia="仿宋_GB2312"/>
      <w:b/>
      <w:sz w:val="24"/>
    </w:rPr>
  </w:style>
  <w:style w:type="character" w:customStyle="1" w:styleId="38">
    <w:name w:val="Heading 4 Char"/>
    <w:basedOn w:val="25"/>
    <w:link w:val="5"/>
    <w:qFormat/>
    <w:locked/>
    <w:uiPriority w:val="99"/>
    <w:rPr>
      <w:rFonts w:ascii="Arial" w:hAnsi="Arial"/>
      <w:b/>
      <w:kern w:val="0"/>
      <w:sz w:val="28"/>
    </w:rPr>
  </w:style>
  <w:style w:type="character" w:customStyle="1" w:styleId="39">
    <w:name w:val="Body Text Indent 2 Char"/>
    <w:basedOn w:val="25"/>
    <w:link w:val="12"/>
    <w:semiHidden/>
    <w:qFormat/>
    <w:uiPriority w:val="99"/>
    <w:rPr>
      <w:rFonts w:ascii="Calibri" w:hAnsi="Calibri" w:cs="黑体"/>
    </w:rPr>
  </w:style>
  <w:style w:type="character" w:customStyle="1" w:styleId="40">
    <w:name w:val="Body Text 3 Char"/>
    <w:basedOn w:val="25"/>
    <w:link w:val="7"/>
    <w:qFormat/>
    <w:locked/>
    <w:uiPriority w:val="99"/>
    <w:rPr>
      <w:rFonts w:eastAsia="华文宋体"/>
      <w:sz w:val="16"/>
    </w:rPr>
  </w:style>
  <w:style w:type="character" w:customStyle="1" w:styleId="41">
    <w:name w:val="Body Text Char"/>
    <w:basedOn w:val="25"/>
    <w:link w:val="8"/>
    <w:qFormat/>
    <w:locked/>
    <w:uiPriority w:val="99"/>
    <w:rPr>
      <w:rFonts w:cs="Times New Roman"/>
      <w:kern w:val="2"/>
      <w:position w:val="-16"/>
      <w:sz w:val="24"/>
      <w:szCs w:val="24"/>
    </w:rPr>
  </w:style>
  <w:style w:type="character" w:customStyle="1" w:styleId="42">
    <w:name w:val="Body Text Indent Char"/>
    <w:basedOn w:val="25"/>
    <w:link w:val="9"/>
    <w:semiHidden/>
    <w:qFormat/>
    <w:uiPriority w:val="99"/>
    <w:rPr>
      <w:rFonts w:ascii="Calibri" w:hAnsi="Calibri" w:cs="黑体"/>
    </w:rPr>
  </w:style>
  <w:style w:type="character" w:customStyle="1" w:styleId="43">
    <w:name w:val="Balloon Text Char"/>
    <w:basedOn w:val="25"/>
    <w:link w:val="13"/>
    <w:qFormat/>
    <w:locked/>
    <w:uiPriority w:val="99"/>
    <w:rPr>
      <w:rFonts w:ascii="Calibri" w:hAnsi="Calibri" w:cs="黑体"/>
      <w:kern w:val="2"/>
      <w:sz w:val="18"/>
      <w:szCs w:val="18"/>
    </w:rPr>
  </w:style>
  <w:style w:type="character" w:customStyle="1" w:styleId="44">
    <w:name w:val="Footer Char"/>
    <w:basedOn w:val="25"/>
    <w:link w:val="14"/>
    <w:semiHidden/>
    <w:qFormat/>
    <w:uiPriority w:val="99"/>
    <w:rPr>
      <w:rFonts w:ascii="Calibri" w:hAnsi="Calibri" w:cs="黑体"/>
      <w:sz w:val="18"/>
      <w:szCs w:val="18"/>
    </w:rPr>
  </w:style>
  <w:style w:type="character" w:customStyle="1" w:styleId="45">
    <w:name w:val="Body Text First Indent 2 Char"/>
    <w:basedOn w:val="42"/>
    <w:link w:val="22"/>
    <w:semiHidden/>
    <w:qFormat/>
    <w:uiPriority w:val="99"/>
  </w:style>
  <w:style w:type="character" w:customStyle="1" w:styleId="46">
    <w:name w:val="Header Char"/>
    <w:basedOn w:val="25"/>
    <w:link w:val="16"/>
    <w:semiHidden/>
    <w:qFormat/>
    <w:uiPriority w:val="99"/>
    <w:rPr>
      <w:rFonts w:ascii="Calibri" w:hAnsi="Calibri" w:cs="黑体"/>
      <w:sz w:val="18"/>
      <w:szCs w:val="18"/>
    </w:rPr>
  </w:style>
  <w:style w:type="character" w:customStyle="1" w:styleId="47">
    <w:name w:val="Title Char"/>
    <w:basedOn w:val="25"/>
    <w:link w:val="21"/>
    <w:qFormat/>
    <w:uiPriority w:val="10"/>
    <w:rPr>
      <w:rFonts w:asciiTheme="majorHAnsi" w:hAnsiTheme="majorHAnsi" w:cstheme="majorBidi"/>
      <w:b/>
      <w:bCs/>
      <w:sz w:val="32"/>
      <w:szCs w:val="32"/>
    </w:rPr>
  </w:style>
  <w:style w:type="paragraph" w:customStyle="1" w:styleId="48">
    <w:name w:val="Char Char Char Char Char Char Char Char Char Char Char Char Char Char Char Char Char Char Char Char Char Char Char Char Char Char Char Char Char Char Char Char Char"/>
    <w:basedOn w:val="1"/>
    <w:qFormat/>
    <w:uiPriority w:val="99"/>
    <w:pPr>
      <w:widowControl/>
      <w:spacing w:line="240" w:lineRule="exact"/>
      <w:jc w:val="left"/>
    </w:pPr>
    <w:rPr>
      <w:sz w:val="28"/>
      <w:szCs w:val="20"/>
    </w:rPr>
  </w:style>
  <w:style w:type="paragraph" w:customStyle="1" w:styleId="49">
    <w:name w:val="xl36"/>
    <w:basedOn w:val="1"/>
    <w:qFormat/>
    <w:uiPriority w:val="99"/>
    <w:pPr>
      <w:widowControl/>
      <w:jc w:val="center"/>
    </w:pPr>
    <w:rPr>
      <w:rFonts w:ascii="宋体" w:hAnsi="宋体"/>
      <w:kern w:val="0"/>
      <w:sz w:val="24"/>
    </w:rPr>
  </w:style>
  <w:style w:type="paragraph" w:customStyle="1" w:styleId="50">
    <w:name w:val="Preformatted"/>
    <w:basedOn w:val="1"/>
    <w:qFormat/>
    <w:uiPriority w:val="99"/>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rPr>
  </w:style>
  <w:style w:type="paragraph" w:customStyle="1" w:styleId="51">
    <w:name w:val="Normal_0"/>
    <w:qFormat/>
    <w:uiPriority w:val="99"/>
    <w:pPr>
      <w:spacing w:before="120" w:after="240"/>
      <w:jc w:val="both"/>
    </w:pPr>
    <w:rPr>
      <w:rFonts w:ascii="Calibri" w:hAnsi="Calibri" w:eastAsia="宋体" w:cs="Times New Roman"/>
      <w:kern w:val="0"/>
      <w:sz w:val="22"/>
      <w:szCs w:val="22"/>
      <w:lang w:val="ru-RU" w:eastAsia="en-US" w:bidi="ar-SA"/>
    </w:rPr>
  </w:style>
  <w:style w:type="paragraph" w:customStyle="1" w:styleId="52">
    <w:name w:val="Normal_1"/>
    <w:qFormat/>
    <w:uiPriority w:val="99"/>
    <w:pPr>
      <w:spacing w:before="120" w:after="240"/>
      <w:jc w:val="both"/>
    </w:pPr>
    <w:rPr>
      <w:rFonts w:ascii="Calibri" w:hAnsi="Calibri" w:eastAsia="宋体" w:cs="Times New Roman"/>
      <w:kern w:val="0"/>
      <w:sz w:val="22"/>
      <w:szCs w:val="22"/>
      <w:lang w:val="ru-RU" w:eastAsia="en-US" w:bidi="ar-SA"/>
    </w:rPr>
  </w:style>
  <w:style w:type="paragraph" w:customStyle="1" w:styleId="53">
    <w:name w:val="Normal_2"/>
    <w:qFormat/>
    <w:uiPriority w:val="99"/>
    <w:pPr>
      <w:spacing w:before="120" w:after="240"/>
      <w:jc w:val="both"/>
    </w:pPr>
    <w:rPr>
      <w:rFonts w:ascii="Calibri" w:hAnsi="Calibri" w:eastAsia="宋体" w:cs="Times New Roman"/>
      <w:kern w:val="0"/>
      <w:sz w:val="22"/>
      <w:szCs w:val="22"/>
      <w:lang w:val="ru-RU" w:eastAsia="en-US" w:bidi="ar-SA"/>
    </w:rPr>
  </w:style>
  <w:style w:type="paragraph" w:customStyle="1" w:styleId="54">
    <w:name w:val="Normal_3"/>
    <w:qFormat/>
    <w:uiPriority w:val="99"/>
    <w:pPr>
      <w:spacing w:before="120" w:after="240"/>
      <w:jc w:val="both"/>
    </w:pPr>
    <w:rPr>
      <w:rFonts w:ascii="Calibri" w:hAnsi="Calibri" w:eastAsia="宋体" w:cs="Times New Roman"/>
      <w:kern w:val="0"/>
      <w:sz w:val="22"/>
      <w:szCs w:val="22"/>
      <w:lang w:val="ru-RU" w:eastAsia="en-US" w:bidi="ar-SA"/>
    </w:rPr>
  </w:style>
  <w:style w:type="paragraph" w:customStyle="1" w:styleId="55">
    <w:name w:val="Normal_4"/>
    <w:qFormat/>
    <w:uiPriority w:val="99"/>
    <w:pPr>
      <w:spacing w:before="120" w:after="240"/>
      <w:jc w:val="both"/>
    </w:pPr>
    <w:rPr>
      <w:rFonts w:ascii="Calibri" w:hAnsi="Calibri" w:eastAsia="宋体" w:cs="Times New Roman"/>
      <w:kern w:val="0"/>
      <w:sz w:val="22"/>
      <w:szCs w:val="22"/>
      <w:lang w:val="ru-RU" w:eastAsia="en-US" w:bidi="ar-SA"/>
    </w:rPr>
  </w:style>
  <w:style w:type="character" w:customStyle="1" w:styleId="56">
    <w:name w:val="font01"/>
    <w:basedOn w:val="25"/>
    <w:qFormat/>
    <w:uiPriority w:val="99"/>
    <w:rPr>
      <w:rFonts w:ascii="Wingdings 2" w:hAnsi="Wingdings 2" w:eastAsia="Times New Roman" w:cs="Wingdings 2"/>
      <w:color w:val="000000"/>
      <w:sz w:val="22"/>
      <w:szCs w:val="22"/>
      <w:u w:val="none"/>
    </w:rPr>
  </w:style>
  <w:style w:type="character" w:customStyle="1" w:styleId="57">
    <w:name w:val="font11"/>
    <w:basedOn w:val="25"/>
    <w:qFormat/>
    <w:uiPriority w:val="99"/>
    <w:rPr>
      <w:rFonts w:ascii="宋体" w:hAnsi="宋体" w:eastAsia="宋体" w:cs="宋体"/>
      <w:color w:val="000000"/>
      <w:sz w:val="22"/>
      <w:szCs w:val="22"/>
      <w:u w:val="none"/>
    </w:rPr>
  </w:style>
  <w:style w:type="character" w:customStyle="1" w:styleId="58">
    <w:name w:val="font81"/>
    <w:basedOn w:val="25"/>
    <w:qFormat/>
    <w:uiPriority w:val="99"/>
    <w:rPr>
      <w:rFonts w:ascii="宋体" w:hAnsi="宋体" w:eastAsia="宋体" w:cs="宋体"/>
      <w:color w:val="333333"/>
      <w:sz w:val="22"/>
      <w:szCs w:val="22"/>
      <w:u w:val="none"/>
    </w:rPr>
  </w:style>
  <w:style w:type="character" w:customStyle="1" w:styleId="59">
    <w:name w:val="font71"/>
    <w:basedOn w:val="25"/>
    <w:qFormat/>
    <w:uiPriority w:val="99"/>
    <w:rPr>
      <w:rFonts w:ascii="Wingdings 2" w:hAnsi="Wingdings 2" w:eastAsia="Times New Roman" w:cs="Wingdings 2"/>
      <w:color w:val="333333"/>
      <w:sz w:val="22"/>
      <w:szCs w:val="22"/>
      <w:u w:val="none"/>
    </w:rPr>
  </w:style>
  <w:style w:type="character" w:customStyle="1" w:styleId="60">
    <w:name w:val="font31"/>
    <w:basedOn w:val="25"/>
    <w:qFormat/>
    <w:uiPriority w:val="99"/>
    <w:rPr>
      <w:rFonts w:ascii="宋体" w:hAnsi="宋体" w:eastAsia="宋体" w:cs="宋体"/>
      <w:color w:val="000000"/>
      <w:sz w:val="22"/>
      <w:szCs w:val="22"/>
      <w:u w:val="none"/>
    </w:rPr>
  </w:style>
  <w:style w:type="character" w:customStyle="1" w:styleId="61">
    <w:name w:val="font51"/>
    <w:basedOn w:val="25"/>
    <w:qFormat/>
    <w:uiPriority w:val="99"/>
    <w:rPr>
      <w:rFonts w:ascii="Wingdings 2" w:hAnsi="Wingdings 2" w:eastAsia="Times New Roman" w:cs="Wingdings 2"/>
      <w:color w:val="000000"/>
      <w:sz w:val="22"/>
      <w:szCs w:val="22"/>
      <w:u w:val="none"/>
    </w:rPr>
  </w:style>
  <w:style w:type="character" w:customStyle="1" w:styleId="62">
    <w:name w:val="font21"/>
    <w:basedOn w:val="25"/>
    <w:qFormat/>
    <w:uiPriority w:val="99"/>
    <w:rPr>
      <w:rFonts w:ascii="宋体" w:hAnsi="宋体" w:eastAsia="宋体" w:cs="宋体"/>
      <w:b/>
      <w:color w:val="000000"/>
      <w:sz w:val="22"/>
      <w:szCs w:val="22"/>
      <w:u w:val="none"/>
    </w:rPr>
  </w:style>
  <w:style w:type="paragraph" w:customStyle="1" w:styleId="63">
    <w:name w:val="_Style 3"/>
    <w:qFormat/>
    <w:uiPriority w:val="99"/>
    <w:pPr>
      <w:widowControl w:val="0"/>
      <w:jc w:val="both"/>
    </w:pPr>
    <w:rPr>
      <w:rFonts w:ascii="Times New Roman" w:hAnsi="Times New Roman" w:eastAsia="宋体" w:cs="Times New Roman"/>
      <w:kern w:val="2"/>
      <w:sz w:val="21"/>
      <w:szCs w:val="24"/>
      <w:lang w:val="en-US" w:eastAsia="zh-CN" w:bidi="ar-SA"/>
    </w:rPr>
  </w:style>
  <w:style w:type="character" w:customStyle="1" w:styleId="64">
    <w:name w:val="gpa"/>
    <w:basedOn w:val="25"/>
    <w:qFormat/>
    <w:uiPriority w:val="99"/>
    <w:rPr>
      <w:rFonts w:ascii="Arial" w:hAnsi="Arial" w:cs="Arial"/>
      <w:sz w:val="15"/>
      <w:szCs w:val="15"/>
    </w:rPr>
  </w:style>
  <w:style w:type="character" w:customStyle="1" w:styleId="65">
    <w:name w:val="selected"/>
    <w:basedOn w:val="25"/>
    <w:qFormat/>
    <w:uiPriority w:val="99"/>
    <w:rPr>
      <w:rFonts w:cs="Times New Roman"/>
      <w:shd w:val="clear" w:color="auto" w:fill="B00006"/>
    </w:rPr>
  </w:style>
  <w:style w:type="character" w:customStyle="1" w:styleId="66">
    <w:name w:val="displayarti"/>
    <w:basedOn w:val="25"/>
    <w:qFormat/>
    <w:uiPriority w:val="99"/>
    <w:rPr>
      <w:rFonts w:cs="Times New Roman"/>
      <w:color w:val="FFFFFF"/>
      <w:shd w:val="clear" w:color="auto" w:fill="A00000"/>
    </w:rPr>
  </w:style>
  <w:style w:type="paragraph" w:customStyle="1" w:styleId="67">
    <w:name w:val="QQ"/>
    <w:basedOn w:val="3"/>
    <w:qFormat/>
    <w:uiPriority w:val="99"/>
    <w:pPr>
      <w:numPr>
        <w:ilvl w:val="0"/>
        <w:numId w:val="2"/>
      </w:numPr>
    </w:pPr>
    <w:rPr>
      <w:sz w:val="32"/>
    </w:rPr>
  </w:style>
  <w:style w:type="paragraph" w:customStyle="1" w:styleId="68">
    <w:name w:val="图"/>
    <w:basedOn w:val="1"/>
    <w:qFormat/>
    <w:uiPriority w:val="99"/>
    <w:pPr>
      <w:keepNext/>
      <w:adjustRightInd w:val="0"/>
      <w:spacing w:before="60" w:after="60" w:line="300" w:lineRule="auto"/>
      <w:jc w:val="center"/>
      <w:textAlignment w:val="center"/>
    </w:pPr>
    <w:rPr>
      <w:spacing w:val="20"/>
      <w:kern w:val="0"/>
      <w:sz w:val="24"/>
      <w:szCs w:val="20"/>
    </w:rPr>
  </w:style>
  <w:style w:type="paragraph" w:customStyle="1" w:styleId="69">
    <w:name w:val="列出段落1"/>
    <w:basedOn w:val="1"/>
    <w:qFormat/>
    <w:uiPriority w:val="99"/>
    <w:pPr>
      <w:ind w:firstLine="420" w:firstLineChars="200"/>
    </w:pPr>
    <w:rPr>
      <w:rFonts w:cs="Times New Roman"/>
    </w:rPr>
  </w:style>
  <w:style w:type="paragraph" w:customStyle="1" w:styleId="70">
    <w:name w:val="_Style 4"/>
    <w:basedOn w:val="1"/>
    <w:qFormat/>
    <w:uiPriority w:val="99"/>
    <w:pPr>
      <w:ind w:firstLine="420" w:firstLineChars="200"/>
    </w:pPr>
    <w:rPr>
      <w:sz w:val="24"/>
      <w:szCs w:val="20"/>
    </w:rPr>
  </w:style>
  <w:style w:type="paragraph" w:customStyle="1" w:styleId="71">
    <w:name w:val="无间隔1"/>
    <w:qFormat/>
    <w:uiPriority w:val="99"/>
    <w:pPr>
      <w:widowControl w:val="0"/>
      <w:spacing w:after="200" w:line="276" w:lineRule="auto"/>
      <w:jc w:val="both"/>
    </w:pPr>
    <w:rPr>
      <w:rFonts w:ascii="Calibri" w:hAnsi="Calibri" w:eastAsia="宋体" w:cs="Calibri"/>
      <w:kern w:val="2"/>
      <w:sz w:val="21"/>
      <w:szCs w:val="21"/>
      <w:lang w:val="en-US" w:eastAsia="zh-CN" w:bidi="ar-SA"/>
    </w:rPr>
  </w:style>
  <w:style w:type="paragraph" w:customStyle="1" w:styleId="72">
    <w:name w:val="样式1"/>
    <w:basedOn w:val="1"/>
    <w:qFormat/>
    <w:uiPriority w:val="99"/>
    <w:rPr>
      <w:rFonts w:eastAsia="仿宋_GB2312"/>
    </w:rPr>
  </w:style>
  <w:style w:type="paragraph" w:customStyle="1" w:styleId="73">
    <w:name w:val="宋体正文"/>
    <w:basedOn w:val="1"/>
    <w:qFormat/>
    <w:uiPriority w:val="99"/>
    <w:pPr>
      <w:spacing w:line="360" w:lineRule="auto"/>
      <w:jc w:val="left"/>
    </w:pPr>
    <w:rPr>
      <w:sz w:val="24"/>
    </w:rPr>
  </w:style>
  <w:style w:type="character" w:customStyle="1" w:styleId="74">
    <w:name w:val="font101"/>
    <w:basedOn w:val="25"/>
    <w:qFormat/>
    <w:uiPriority w:val="99"/>
    <w:rPr>
      <w:rFonts w:ascii="宋体" w:hAnsi="宋体" w:eastAsia="宋体" w:cs="宋体"/>
      <w:color w:val="000000"/>
      <w:sz w:val="20"/>
      <w:szCs w:val="20"/>
      <w:u w:val="none"/>
    </w:rPr>
  </w:style>
  <w:style w:type="character" w:customStyle="1" w:styleId="75">
    <w:name w:val="font161"/>
    <w:basedOn w:val="25"/>
    <w:qFormat/>
    <w:uiPriority w:val="99"/>
    <w:rPr>
      <w:rFonts w:ascii="宋体" w:hAnsi="宋体" w:eastAsia="宋体" w:cs="宋体"/>
      <w:color w:val="FF0000"/>
      <w:sz w:val="20"/>
      <w:szCs w:val="20"/>
      <w:u w:val="none"/>
    </w:rPr>
  </w:style>
  <w:style w:type="character" w:customStyle="1" w:styleId="76">
    <w:name w:val="font141"/>
    <w:basedOn w:val="25"/>
    <w:qFormat/>
    <w:uiPriority w:val="99"/>
    <w:rPr>
      <w:rFonts w:ascii="宋体" w:hAnsi="宋体" w:eastAsia="宋体" w:cs="宋体"/>
      <w:color w:val="000000"/>
      <w:sz w:val="20"/>
      <w:szCs w:val="20"/>
      <w:u w:val="none"/>
    </w:rPr>
  </w:style>
  <w:style w:type="character" w:customStyle="1" w:styleId="77">
    <w:name w:val="font131"/>
    <w:basedOn w:val="25"/>
    <w:qFormat/>
    <w:uiPriority w:val="99"/>
    <w:rPr>
      <w:rFonts w:ascii="Arial" w:hAnsi="Arial" w:cs="Arial"/>
      <w:color w:val="000000"/>
      <w:sz w:val="18"/>
      <w:szCs w:val="18"/>
      <w:u w:val="none"/>
    </w:rPr>
  </w:style>
  <w:style w:type="character" w:customStyle="1" w:styleId="78">
    <w:name w:val="TOC 1 Char"/>
    <w:link w:val="17"/>
    <w:qFormat/>
    <w:locked/>
    <w:uiPriority w:val="99"/>
    <w:rPr>
      <w:rFonts w:eastAsia="仿宋_GB2312"/>
      <w:caps/>
      <w:sz w:val="24"/>
    </w:rPr>
  </w:style>
  <w:style w:type="paragraph" w:customStyle="1" w:styleId="79">
    <w:name w:val="正文1"/>
    <w:qFormat/>
    <w:uiPriority w:val="99"/>
    <w:pPr>
      <w:widowControl w:val="0"/>
      <w:adjustRightInd w:val="0"/>
      <w:spacing w:line="312" w:lineRule="atLeast"/>
      <w:jc w:val="both"/>
      <w:textAlignment w:val="baseline"/>
    </w:pPr>
    <w:rPr>
      <w:rFonts w:ascii="宋体" w:hAnsi="Calibri" w:eastAsia="宋体" w:cs="Times New Roman"/>
      <w:kern w:val="0"/>
      <w:sz w:val="34"/>
      <w:szCs w:val="22"/>
      <w:lang w:val="en-US" w:eastAsia="zh-CN" w:bidi="ar-SA"/>
    </w:rPr>
  </w:style>
  <w:style w:type="paragraph" w:customStyle="1" w:styleId="80">
    <w:name w:val="Table Paragraph"/>
    <w:basedOn w:val="1"/>
    <w:qFormat/>
    <w:uiPriority w:val="1"/>
    <w:rPr>
      <w:rFonts w:ascii="宋体" w:hAnsi="宋体" w:eastAsia="宋体" w:cs="宋体"/>
      <w:lang w:val="zh-CN" w:eastAsia="zh-CN" w:bidi="zh-CN"/>
    </w:rPr>
  </w:style>
  <w:style w:type="paragraph" w:customStyle="1" w:styleId="81">
    <w:name w:val="正文文本1"/>
    <w:basedOn w:val="1"/>
    <w:qFormat/>
    <w:uiPriority w:val="0"/>
    <w:pPr>
      <w:widowControl w:val="0"/>
      <w:shd w:val="clear" w:color="auto" w:fill="FFFFFF"/>
      <w:spacing w:line="427" w:lineRule="auto"/>
    </w:pPr>
    <w:rPr>
      <w:rFonts w:ascii="宋体" w:hAnsi="宋体" w:eastAsia="宋体" w:cs="宋体"/>
      <w:sz w:val="30"/>
      <w:szCs w:val="30"/>
      <w:u w:val="none"/>
      <w:lang w:val="zh-CN" w:eastAsia="zh-CN" w:bidi="zh-CN"/>
    </w:rPr>
  </w:style>
  <w:style w:type="paragraph" w:customStyle="1" w:styleId="82">
    <w:name w:val="标题 #2"/>
    <w:basedOn w:val="1"/>
    <w:qFormat/>
    <w:uiPriority w:val="0"/>
    <w:pPr>
      <w:widowControl w:val="0"/>
      <w:shd w:val="clear" w:color="auto" w:fill="FFFFFF"/>
      <w:spacing w:line="624" w:lineRule="exact"/>
      <w:outlineLvl w:val="1"/>
    </w:pPr>
    <w:rPr>
      <w:rFonts w:ascii="宋体" w:hAnsi="宋体" w:eastAsia="宋体" w:cs="宋体"/>
      <w:b/>
      <w:bCs/>
      <w:sz w:val="30"/>
      <w:szCs w:val="30"/>
      <w:u w:val="none"/>
      <w:lang w:val="zh-CN" w:eastAsia="zh-CN" w:bidi="zh-CN"/>
    </w:rPr>
  </w:style>
  <w:style w:type="paragraph" w:customStyle="1" w:styleId="83">
    <w:name w:val="正文文本 (2)"/>
    <w:basedOn w:val="1"/>
    <w:qFormat/>
    <w:uiPriority w:val="0"/>
    <w:pPr>
      <w:widowControl w:val="0"/>
      <w:shd w:val="clear" w:color="auto" w:fill="FFFFFF"/>
      <w:spacing w:line="624" w:lineRule="exact"/>
    </w:pPr>
    <w:rPr>
      <w:rFonts w:ascii="Calibri" w:hAnsi="Calibri" w:eastAsia="Calibri" w:cs="Calibri"/>
      <w:sz w:val="30"/>
      <w:szCs w:val="30"/>
      <w:u w:val="none"/>
      <w:lang w:val="zh-CN" w:eastAsia="zh-CN" w:bidi="zh-CN"/>
    </w:rPr>
  </w:style>
  <w:style w:type="paragraph" w:customStyle="1" w:styleId="84">
    <w:name w:val="其他"/>
    <w:basedOn w:val="1"/>
    <w:qFormat/>
    <w:uiPriority w:val="0"/>
    <w:pPr>
      <w:widowControl w:val="0"/>
      <w:shd w:val="clear" w:color="auto" w:fill="FFFFFF"/>
      <w:spacing w:line="427" w:lineRule="auto"/>
    </w:pPr>
    <w:rPr>
      <w:rFonts w:ascii="宋体" w:hAnsi="宋体" w:eastAsia="宋体" w:cs="宋体"/>
      <w:sz w:val="30"/>
      <w:szCs w:val="30"/>
      <w:u w:val="none"/>
      <w:lang w:val="zh-CN" w:eastAsia="zh-CN" w:bidi="zh-CN"/>
    </w:rPr>
  </w:style>
  <w:style w:type="paragraph" w:customStyle="1" w:styleId="85">
    <w:name w:val="页眉或页脚 (2)"/>
    <w:basedOn w:val="1"/>
    <w:qFormat/>
    <w:uiPriority w:val="0"/>
    <w:pPr>
      <w:widowControl w:val="0"/>
      <w:shd w:val="clear" w:color="auto" w:fill="FFFFFF"/>
    </w:pPr>
    <w:rPr>
      <w:rFonts w:ascii="Times New Roman" w:hAnsi="Times New Roman" w:eastAsia="Times New Roman" w:cs="Times New Roman"/>
      <w:sz w:val="20"/>
      <w:szCs w:val="20"/>
      <w:u w:val="none"/>
      <w:lang w:val="zh-CN" w:eastAsia="zh-CN" w:bidi="zh-CN"/>
    </w:rPr>
  </w:style>
  <w:style w:type="paragraph" w:customStyle="1" w:styleId="86">
    <w:name w:val="WPSOffice手动目录 1"/>
    <w:qFormat/>
    <w:uiPriority w:val="0"/>
    <w:pPr>
      <w:ind w:leftChars="0"/>
    </w:pPr>
    <w:rPr>
      <w:rFonts w:ascii="Times New Roman" w:hAnsi="Times New Roman" w:eastAsia="宋体" w:cs="Times New Roman"/>
      <w:sz w:val="20"/>
      <w:szCs w:val="20"/>
    </w:rPr>
  </w:style>
  <w:style w:type="character" w:customStyle="1" w:styleId="87">
    <w:name w:val="标题 1 Char"/>
    <w:basedOn w:val="25"/>
    <w:link w:val="3"/>
    <w:qFormat/>
    <w:locked/>
    <w:uiPriority w:val="99"/>
    <w:rPr>
      <w:rFonts w:eastAsia="黑体"/>
      <w:kern w:val="44"/>
      <w:sz w:val="30"/>
    </w:rPr>
  </w:style>
  <w:style w:type="paragraph" w:customStyle="1" w:styleId="88">
    <w:name w:val="Plain Text1"/>
    <w:basedOn w:val="1"/>
    <w:qFormat/>
    <w:uiPriority w:val="0"/>
    <w:rPr>
      <w:rFonts w:ascii="宋体" w:hAnsi="Courier New"/>
    </w:rPr>
  </w:style>
  <w:style w:type="character" w:customStyle="1" w:styleId="89">
    <w:name w:val="font61"/>
    <w:basedOn w:val="25"/>
    <w:qFormat/>
    <w:uiPriority w:val="0"/>
    <w:rPr>
      <w:rFonts w:hint="eastAsia" w:ascii="宋体" w:hAnsi="宋体" w:eastAsia="宋体" w:cs="宋体"/>
      <w:color w:val="000000"/>
      <w:sz w:val="20"/>
      <w:szCs w:val="20"/>
      <w:u w:val="none"/>
    </w:rPr>
  </w:style>
  <w:style w:type="character" w:customStyle="1" w:styleId="90">
    <w:name w:val="font41"/>
    <w:basedOn w:val="25"/>
    <w:qFormat/>
    <w:uiPriority w:val="0"/>
    <w:rPr>
      <w:rFonts w:hint="default" w:ascii="Arial" w:hAnsi="Arial" w:cs="Arial"/>
      <w:color w:val="000000"/>
      <w:sz w:val="20"/>
      <w:szCs w:val="20"/>
      <w:u w:val="none"/>
    </w:rPr>
  </w:style>
  <w:style w:type="character" w:customStyle="1" w:styleId="91">
    <w:name w:val="hour_pm"/>
    <w:basedOn w:val="25"/>
    <w:qFormat/>
    <w:uiPriority w:val="0"/>
  </w:style>
  <w:style w:type="character" w:customStyle="1" w:styleId="92">
    <w:name w:val="tmpztreemove_arrow"/>
    <w:basedOn w:val="25"/>
    <w:qFormat/>
    <w:uiPriority w:val="0"/>
    <w:rPr>
      <w:shd w:val="clear" w:fill="FFFFFF"/>
    </w:rPr>
  </w:style>
  <w:style w:type="character" w:customStyle="1" w:styleId="93">
    <w:name w:val="hover3"/>
    <w:basedOn w:val="25"/>
    <w:qFormat/>
    <w:uiPriority w:val="0"/>
    <w:rPr>
      <w:shd w:val="clear" w:fill="EEEEEE"/>
    </w:rPr>
  </w:style>
  <w:style w:type="character" w:customStyle="1" w:styleId="94">
    <w:name w:val="old"/>
    <w:basedOn w:val="25"/>
    <w:qFormat/>
    <w:uiPriority w:val="0"/>
    <w:rPr>
      <w:color w:val="999999"/>
    </w:rPr>
  </w:style>
  <w:style w:type="character" w:customStyle="1" w:styleId="95">
    <w:name w:val="glyphicon4"/>
    <w:basedOn w:val="25"/>
    <w:qFormat/>
    <w:uiPriority w:val="0"/>
  </w:style>
  <w:style w:type="character" w:customStyle="1" w:styleId="96">
    <w:name w:val="hour_am"/>
    <w:basedOn w:val="25"/>
    <w:qFormat/>
    <w:uiPriority w:val="0"/>
  </w:style>
  <w:style w:type="paragraph" w:customStyle="1" w:styleId="97">
    <w:name w:val="title11"/>
    <w:basedOn w:val="1"/>
    <w:qFormat/>
    <w:uiPriority w:val="0"/>
    <w:pPr>
      <w:spacing w:before="150" w:beforeAutospacing="0" w:after="0" w:afterAutospacing="0" w:line="450" w:lineRule="atLeast"/>
      <w:ind w:left="0" w:right="0"/>
      <w:jc w:val="left"/>
    </w:pPr>
    <w:rPr>
      <w:b/>
      <w:kern w:val="0"/>
      <w:sz w:val="24"/>
      <w:szCs w:val="24"/>
      <w:lang w:val="en-US" w:eastAsia="zh-CN" w:bidi="ar"/>
    </w:rPr>
  </w:style>
  <w:style w:type="character" w:customStyle="1" w:styleId="98">
    <w:name w:val="indent"/>
    <w:basedOn w:val="25"/>
    <w:qFormat/>
    <w:uiPriority w:val="0"/>
  </w:style>
  <w:style w:type="character" w:customStyle="1" w:styleId="99">
    <w:name w:val="button"/>
    <w:basedOn w:val="25"/>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50</Pages>
  <Words>4465</Words>
  <Characters>25454</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2015-11-30T09:37:00Z</dcterms:created>
  <dc:creator>Administrator</dc:creator>
  <cp:lastModifiedBy>Administrator</cp:lastModifiedBy>
  <cp:lastPrinted>2021-09-08T04:50:00Z</cp:lastPrinted>
  <dcterms:modified xsi:type="dcterms:W3CDTF">2021-10-29T02:21:51Z</dcterms:modified>
  <dc:title>文件编号：</dc:title>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FFB37EEE2612402BACD2D84802EA9850</vt:lpwstr>
  </property>
</Properties>
</file>