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420" w:lineRule="atLeast"/>
        <w:ind w:left="0" w:right="0"/>
        <w:jc w:val="center"/>
        <w:rPr>
          <w:rFonts w:hint="eastAsia" w:ascii="宋体" w:hAnsi="宋体" w:eastAsia="宋体" w:cs="宋体"/>
          <w:b/>
          <w:bCs/>
          <w:sz w:val="36"/>
          <w:szCs w:val="36"/>
        </w:rPr>
      </w:pPr>
      <w:r>
        <w:rPr>
          <w:rFonts w:hint="eastAsia" w:ascii="宋体" w:hAnsi="宋体" w:eastAsia="宋体" w:cs="宋体"/>
          <w:b/>
          <w:bCs/>
          <w:sz w:val="36"/>
          <w:szCs w:val="36"/>
          <w:bdr w:val="none" w:color="auto" w:sz="0" w:space="0"/>
        </w:rPr>
        <w:t>关于宝鸡市陈仓区凤阁岭镇2021年中央提前批财政专项资金毛家庄村股份经济合作社果蔬种植设施农业项目的采购结果公告</w:t>
      </w:r>
    </w:p>
    <w:p>
      <w:pPr>
        <w:pStyle w:val="1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textAlignment w:val="auto"/>
      </w:pPr>
      <w:r>
        <w:t>一、项目编号：SXJJ-2021-011</w:t>
      </w:r>
    </w:p>
    <w:p>
      <w:pPr>
        <w:pStyle w:val="1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textAlignment w:val="auto"/>
      </w:pPr>
      <w:r>
        <w:t>二、项目名称：宝鸡市陈仓区凤阁岭镇2021年中央提前批财政专项资金毛家庄村股份经济合作社果蔬种植设施农业项目</w:t>
      </w:r>
    </w:p>
    <w:p>
      <w:pPr>
        <w:pStyle w:val="1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textAlignment w:val="auto"/>
      </w:pPr>
      <w:r>
        <w:t>三、采购结果：</w:t>
      </w:r>
    </w:p>
    <w:p>
      <w:pPr>
        <w:pStyle w:val="1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textAlignment w:val="auto"/>
      </w:pPr>
      <w:r>
        <w:t xml:space="preserve">1、一标段 </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成交结果：成交</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供应商名称：陕西京方建设工程有限公司</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 xml:space="preserve">供应商地址：宝鸡市金台区大庆路北67号金泰大厦16层1602室 </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 xml:space="preserve">成交 金额 ：中标 2,189,000.00元 </w:t>
      </w:r>
    </w:p>
    <w:p>
      <w:pPr>
        <w:pStyle w:val="19"/>
        <w:keepNext w:val="0"/>
        <w:keepLines w:val="0"/>
        <w:widowControl/>
        <w:suppressLineNumbers w:val="0"/>
        <w:spacing w:before="0" w:beforeAutospacing="0" w:after="0" w:afterAutospacing="0"/>
        <w:ind w:left="0" w:right="0"/>
      </w:pPr>
      <w:r>
        <w:t xml:space="preserve">2、二标段 </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 xml:space="preserve">成交结果： 成交 </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供应商名称：陕西东江龙建设工程有限公司</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 xml:space="preserve">供应商地址：陕西省宝鸡市高新开发区高新大道107号院碧桂园凤凰城36号楼2单元2701室 </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成交 金额 ： 中标 788,7</w:t>
      </w:r>
      <w:bookmarkStart w:id="0" w:name="_GoBack"/>
      <w:bookmarkEnd w:id="0"/>
      <w:r>
        <w:rPr>
          <w:rFonts w:hint="eastAsia" w:ascii="宋体" w:hAnsi="宋体" w:eastAsia="宋体" w:cs="宋体"/>
          <w:sz w:val="27"/>
          <w:szCs w:val="27"/>
          <w:bdr w:val="none" w:color="auto" w:sz="0" w:space="0"/>
        </w:rPr>
        <w:t xml:space="preserve">47.12元 </w:t>
      </w:r>
    </w:p>
    <w:p>
      <w:pPr>
        <w:pStyle w:val="19"/>
        <w:keepNext w:val="0"/>
        <w:keepLines w:val="0"/>
        <w:widowControl/>
        <w:suppressLineNumbers w:val="0"/>
        <w:spacing w:before="0" w:beforeAutospacing="0" w:after="0" w:afterAutospacing="0"/>
        <w:ind w:left="0" w:right="0"/>
      </w:pPr>
      <w:r>
        <w:t>四、主要成交标的信息</w:t>
      </w:r>
    </w:p>
    <w:p>
      <w:pPr>
        <w:pStyle w:val="19"/>
        <w:keepNext w:val="0"/>
        <w:keepLines w:val="0"/>
        <w:widowControl/>
        <w:suppressLineNumbers w:val="0"/>
        <w:spacing w:before="0" w:beforeAutospacing="0" w:after="0" w:afterAutospacing="0"/>
        <w:ind w:left="0" w:right="0"/>
      </w:pPr>
      <w:r>
        <w:t xml:space="preserve">1、一标段 </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fldChar w:fldCharType="begin"/>
      </w:r>
      <w:r>
        <w:rPr>
          <w:rFonts w:hint="eastAsia" w:ascii="宋体" w:hAnsi="宋体" w:eastAsia="宋体" w:cs="宋体"/>
          <w:sz w:val="27"/>
          <w:szCs w:val="27"/>
          <w:bdr w:val="none" w:color="auto" w:sz="0" w:space="0"/>
        </w:rPr>
        <w:instrText xml:space="preserve"> HYPERLINK "http://www.ccgp-shaanxi.gov.cn/gpex/javascript:location.href = encodeURI(encodeURI('/download.html?url=upload/commoninfo/2021/4/21/1618964201520.jpg&amp;fileName=陕西京方建设工程有限公司.jpg'))" </w:instrText>
      </w:r>
      <w:r>
        <w:rPr>
          <w:rFonts w:hint="eastAsia" w:ascii="宋体" w:hAnsi="宋体" w:eastAsia="宋体" w:cs="宋体"/>
          <w:sz w:val="27"/>
          <w:szCs w:val="27"/>
          <w:bdr w:val="none" w:color="auto" w:sz="0" w:space="0"/>
        </w:rPr>
        <w:fldChar w:fldCharType="separate"/>
      </w:r>
      <w:r>
        <w:rPr>
          <w:rStyle w:val="9"/>
          <w:rFonts w:hint="eastAsia" w:ascii="宋体" w:hAnsi="宋体" w:eastAsia="宋体" w:cs="宋体"/>
          <w:sz w:val="27"/>
          <w:szCs w:val="27"/>
          <w:bdr w:val="none" w:color="auto" w:sz="0" w:space="0"/>
        </w:rPr>
        <w:t>陕西京方建设工程有限公司.jpg</w:t>
      </w:r>
      <w:r>
        <w:rPr>
          <w:rFonts w:hint="eastAsia" w:ascii="宋体" w:hAnsi="宋体" w:eastAsia="宋体" w:cs="宋体"/>
          <w:sz w:val="27"/>
          <w:szCs w:val="27"/>
          <w:bdr w:val="none" w:color="auto" w:sz="0" w:space="0"/>
        </w:rPr>
        <w:fldChar w:fldCharType="end"/>
      </w:r>
    </w:p>
    <w:p>
      <w:pPr>
        <w:pStyle w:val="19"/>
        <w:keepNext w:val="0"/>
        <w:keepLines w:val="0"/>
        <w:widowControl/>
        <w:suppressLineNumbers w:val="0"/>
        <w:spacing w:before="0" w:beforeAutospacing="0" w:after="0" w:afterAutospacing="0"/>
        <w:ind w:left="0" w:right="0"/>
      </w:pPr>
      <w:r>
        <w:t xml:space="preserve">2、二标段 </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fldChar w:fldCharType="begin"/>
      </w:r>
      <w:r>
        <w:rPr>
          <w:rFonts w:hint="eastAsia" w:ascii="宋体" w:hAnsi="宋体" w:eastAsia="宋体" w:cs="宋体"/>
          <w:sz w:val="27"/>
          <w:szCs w:val="27"/>
          <w:bdr w:val="none" w:color="auto" w:sz="0" w:space="0"/>
        </w:rPr>
        <w:instrText xml:space="preserve"> HYPERLINK "http://www.ccgp-shaanxi.gov.cn/gpex/javascript:location.href = encodeURI(encodeURI('/download.html?url=upload/commoninfo/2021/4/21/1618964963534.jpg&amp;fileName=陕西东江龙建设工程有限公司.jpg'))" </w:instrText>
      </w:r>
      <w:r>
        <w:rPr>
          <w:rFonts w:hint="eastAsia" w:ascii="宋体" w:hAnsi="宋体" w:eastAsia="宋体" w:cs="宋体"/>
          <w:sz w:val="27"/>
          <w:szCs w:val="27"/>
          <w:bdr w:val="none" w:color="auto" w:sz="0" w:space="0"/>
        </w:rPr>
        <w:fldChar w:fldCharType="separate"/>
      </w:r>
      <w:r>
        <w:rPr>
          <w:rStyle w:val="9"/>
          <w:rFonts w:hint="eastAsia" w:ascii="宋体" w:hAnsi="宋体" w:eastAsia="宋体" w:cs="宋体"/>
          <w:sz w:val="27"/>
          <w:szCs w:val="27"/>
          <w:bdr w:val="none" w:color="auto" w:sz="0" w:space="0"/>
        </w:rPr>
        <w:t>陕西东江龙建设工程有限公司.jpg</w:t>
      </w:r>
      <w:r>
        <w:rPr>
          <w:rFonts w:hint="eastAsia" w:ascii="宋体" w:hAnsi="宋体" w:eastAsia="宋体" w:cs="宋体"/>
          <w:sz w:val="27"/>
          <w:szCs w:val="27"/>
          <w:bdr w:val="none" w:color="auto" w:sz="0" w:space="0"/>
        </w:rPr>
        <w:fldChar w:fldCharType="end"/>
      </w:r>
    </w:p>
    <w:p>
      <w:pPr>
        <w:pStyle w:val="19"/>
        <w:keepNext w:val="0"/>
        <w:keepLines w:val="0"/>
        <w:widowControl/>
        <w:suppressLineNumbers w:val="0"/>
        <w:spacing w:before="0" w:beforeAutospacing="0" w:after="0" w:afterAutospacing="0"/>
        <w:ind w:left="0" w:right="0"/>
      </w:pPr>
      <w:r>
        <w:t xml:space="preserve">五、 磋商小组名单： </w:t>
      </w:r>
    </w:p>
    <w:tbl>
      <w:tblPr>
        <w:tblW w:w="5000" w:type="pct"/>
        <w:tblInd w:w="-435" w:type="dxa"/>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2778"/>
        <w:gridCol w:w="2779"/>
        <w:gridCol w:w="2779"/>
      </w:tblGrid>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15" w:type="dxa"/>
            <w:left w:w="15" w:type="dxa"/>
            <w:bottom w:w="15" w:type="dxa"/>
            <w:right w:w="15" w:type="dxa"/>
          </w:tblCellMar>
        </w:tblPrEx>
        <w:trPr>
          <w:trHeight w:val="540" w:hRule="atLeast"/>
        </w:trPr>
        <w:tc>
          <w:tcPr>
            <w:tcW w:w="1650" w:type="pct"/>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jc w:val="center"/>
              <w:rPr>
                <w:rFonts w:ascii="微软雅黑" w:hAnsi="微软雅黑" w:eastAsia="微软雅黑" w:cs="微软雅黑"/>
                <w:b/>
                <w:bCs/>
                <w:color w:val="000000"/>
                <w:sz w:val="21"/>
                <w:szCs w:val="21"/>
              </w:rPr>
            </w:pPr>
            <w:r>
              <w:rPr>
                <w:rFonts w:hint="eastAsia" w:ascii="微软雅黑" w:hAnsi="微软雅黑" w:eastAsia="微软雅黑" w:cs="微软雅黑"/>
                <w:b/>
                <w:bCs/>
                <w:color w:val="000000"/>
                <w:kern w:val="0"/>
                <w:sz w:val="21"/>
                <w:szCs w:val="21"/>
                <w:bdr w:val="none" w:color="auto" w:sz="0" w:space="0"/>
                <w:lang w:val="en-US" w:eastAsia="zh-CN" w:bidi="ar"/>
              </w:rPr>
              <w:t>标项名称</w:t>
            </w:r>
          </w:p>
        </w:tc>
        <w:tc>
          <w:tcPr>
            <w:tcW w:w="1650" w:type="pct"/>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jc w:val="center"/>
              <w:rPr>
                <w:rFonts w:hint="eastAsia" w:ascii="微软雅黑" w:hAnsi="微软雅黑" w:eastAsia="微软雅黑" w:cs="微软雅黑"/>
                <w:b/>
                <w:bCs/>
                <w:color w:val="000000"/>
                <w:sz w:val="21"/>
                <w:szCs w:val="21"/>
              </w:rPr>
            </w:pPr>
            <w:r>
              <w:rPr>
                <w:rFonts w:hint="eastAsia" w:ascii="微软雅黑" w:hAnsi="微软雅黑" w:eastAsia="微软雅黑" w:cs="微软雅黑"/>
                <w:b/>
                <w:bCs/>
                <w:color w:val="000000"/>
                <w:kern w:val="0"/>
                <w:sz w:val="21"/>
                <w:szCs w:val="21"/>
                <w:bdr w:val="none" w:color="auto" w:sz="0" w:space="0"/>
                <w:lang w:val="en-US" w:eastAsia="zh-CN" w:bidi="ar"/>
              </w:rPr>
              <w:t>专家</w:t>
            </w:r>
          </w:p>
        </w:tc>
        <w:tc>
          <w:tcPr>
            <w:tcW w:w="1650" w:type="pct"/>
            <w:tcBorders>
              <w:top w:val="single" w:color="CCCCCC" w:sz="6" w:space="0"/>
              <w:left w:val="single" w:color="CCCCCC" w:sz="6" w:space="0"/>
              <w:bottom w:val="single" w:color="CCCCCC" w:sz="6" w:space="0"/>
              <w:right w:val="single" w:color="CCCCCC" w:sz="6" w:space="0"/>
            </w:tcBorders>
            <w:shd w:val="clear"/>
            <w:vAlign w:val="center"/>
          </w:tcPr>
          <w:p>
            <w:pPr>
              <w:keepNext w:val="0"/>
              <w:keepLines w:val="0"/>
              <w:widowControl/>
              <w:suppressLineNumbers w:val="0"/>
              <w:jc w:val="center"/>
              <w:rPr>
                <w:rFonts w:hint="eastAsia" w:ascii="微软雅黑" w:hAnsi="微软雅黑" w:eastAsia="微软雅黑" w:cs="微软雅黑"/>
                <w:b/>
                <w:bCs/>
                <w:color w:val="000000"/>
                <w:sz w:val="21"/>
                <w:szCs w:val="21"/>
              </w:rPr>
            </w:pPr>
            <w:r>
              <w:rPr>
                <w:rFonts w:hint="eastAsia" w:ascii="微软雅黑" w:hAnsi="微软雅黑" w:eastAsia="微软雅黑" w:cs="微软雅黑"/>
                <w:b/>
                <w:bCs/>
                <w:color w:val="000000"/>
                <w:kern w:val="0"/>
                <w:sz w:val="21"/>
                <w:szCs w:val="21"/>
                <w:bdr w:val="none" w:color="auto" w:sz="0" w:space="0"/>
                <w:lang w:val="en-US" w:eastAsia="zh-CN" w:bidi="ar"/>
              </w:rPr>
              <w:t>采购人代表</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15" w:type="dxa"/>
            <w:left w:w="15" w:type="dxa"/>
            <w:bottom w:w="15" w:type="dxa"/>
            <w:right w:w="15" w:type="dxa"/>
          </w:tblCellMar>
        </w:tblPrEx>
        <w:trPr>
          <w:trHeight w:val="600" w:hRule="atLeast"/>
        </w:trPr>
        <w:tc>
          <w:tcPr>
            <w:tcW w:w="0" w:type="auto"/>
            <w:tcBorders>
              <w:top w:val="single" w:color="CCCCCC" w:sz="6" w:space="0"/>
              <w:left w:val="single" w:color="CCCCCC" w:sz="6" w:space="0"/>
              <w:bottom w:val="single" w:color="CCCCCC" w:sz="6" w:space="0"/>
              <w:right w:val="single" w:color="CCCCCC" w:sz="6" w:space="0"/>
            </w:tcBorders>
            <w:shd w:val="clear"/>
            <w:tcMar>
              <w:top w:w="0" w:type="dxa"/>
              <w:left w:w="75" w:type="dxa"/>
              <w:bottom w:w="0" w:type="dxa"/>
              <w:right w:w="75" w:type="dxa"/>
            </w:tcMar>
            <w:vAlign w:val="center"/>
          </w:tcPr>
          <w:p>
            <w:pPr>
              <w:keepNext w:val="0"/>
              <w:keepLines w:val="0"/>
              <w:widowControl/>
              <w:suppressLineNumbers w:val="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一标段</w:t>
            </w:r>
          </w:p>
        </w:tc>
        <w:tc>
          <w:tcPr>
            <w:tcW w:w="0" w:type="auto"/>
            <w:tcBorders>
              <w:top w:val="single" w:color="CCCCCC" w:sz="6" w:space="0"/>
              <w:left w:val="single" w:color="CCCCCC" w:sz="6" w:space="0"/>
              <w:bottom w:val="single" w:color="CCCCCC" w:sz="6" w:space="0"/>
              <w:right w:val="single" w:color="CCCCCC" w:sz="6" w:space="0"/>
            </w:tcBorders>
            <w:shd w:val="clear"/>
            <w:tcMar>
              <w:top w:w="0" w:type="dxa"/>
              <w:left w:w="75" w:type="dxa"/>
              <w:bottom w:w="0" w:type="dxa"/>
              <w:right w:w="75" w:type="dxa"/>
            </w:tcMar>
            <w:vAlign w:val="center"/>
          </w:tcPr>
          <w:p>
            <w:pPr>
              <w:keepNext w:val="0"/>
              <w:keepLines w:val="0"/>
              <w:widowControl/>
              <w:suppressLineNumbers w:val="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任亚红、杨栋</w:t>
            </w:r>
          </w:p>
        </w:tc>
        <w:tc>
          <w:tcPr>
            <w:tcW w:w="0" w:type="auto"/>
            <w:tcBorders>
              <w:top w:val="single" w:color="CCCCCC" w:sz="6" w:space="0"/>
              <w:left w:val="single" w:color="CCCCCC" w:sz="6" w:space="0"/>
              <w:bottom w:val="single" w:color="CCCCCC" w:sz="6" w:space="0"/>
              <w:right w:val="single" w:color="CCCCCC" w:sz="6" w:space="0"/>
            </w:tcBorders>
            <w:shd w:val="clear"/>
            <w:tcMar>
              <w:top w:w="0" w:type="dxa"/>
              <w:left w:w="75" w:type="dxa"/>
              <w:bottom w:w="0" w:type="dxa"/>
              <w:right w:w="75" w:type="dxa"/>
            </w:tcMar>
            <w:vAlign w:val="center"/>
          </w:tcPr>
          <w:p>
            <w:pPr>
              <w:keepNext w:val="0"/>
              <w:keepLines w:val="0"/>
              <w:widowControl/>
              <w:suppressLineNumbers w:val="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张虎林</w:t>
            </w:r>
          </w:p>
        </w:tc>
      </w:tr>
      <w:tr>
        <w:tblPrEx>
          <w:tblBorders>
            <w:top w:val="single" w:color="CCCCCC" w:sz="6" w:space="0"/>
            <w:left w:val="single" w:color="CCCCCC" w:sz="6" w:space="0"/>
            <w:bottom w:val="single" w:color="CCCCCC" w:sz="6" w:space="0"/>
            <w:right w:val="single" w:color="CCCCCC" w:sz="6" w:space="0"/>
            <w:insideH w:val="none" w:color="auto" w:sz="0" w:space="0"/>
            <w:insideV w:val="none" w:color="auto" w:sz="0" w:space="0"/>
          </w:tblBorders>
          <w:shd w:val="clear"/>
          <w:tblCellMar>
            <w:top w:w="15" w:type="dxa"/>
            <w:left w:w="15" w:type="dxa"/>
            <w:bottom w:w="15" w:type="dxa"/>
            <w:right w:w="15" w:type="dxa"/>
          </w:tblCellMar>
        </w:tblPrEx>
        <w:trPr>
          <w:trHeight w:val="600" w:hRule="atLeast"/>
        </w:trPr>
        <w:tc>
          <w:tcPr>
            <w:tcW w:w="0" w:type="auto"/>
            <w:tcBorders>
              <w:top w:val="single" w:color="CCCCCC" w:sz="6" w:space="0"/>
              <w:left w:val="single" w:color="CCCCCC" w:sz="6" w:space="0"/>
              <w:bottom w:val="single" w:color="CCCCCC" w:sz="6" w:space="0"/>
              <w:right w:val="single" w:color="CCCCCC" w:sz="6" w:space="0"/>
            </w:tcBorders>
            <w:shd w:val="clear"/>
            <w:tcMar>
              <w:top w:w="0" w:type="dxa"/>
              <w:left w:w="75" w:type="dxa"/>
              <w:bottom w:w="0" w:type="dxa"/>
              <w:right w:w="75" w:type="dxa"/>
            </w:tcMar>
            <w:vAlign w:val="center"/>
          </w:tcPr>
          <w:p>
            <w:pPr>
              <w:keepNext w:val="0"/>
              <w:keepLines w:val="0"/>
              <w:widowControl/>
              <w:suppressLineNumbers w:val="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二标段</w:t>
            </w:r>
          </w:p>
        </w:tc>
        <w:tc>
          <w:tcPr>
            <w:tcW w:w="0" w:type="auto"/>
            <w:tcBorders>
              <w:top w:val="single" w:color="CCCCCC" w:sz="6" w:space="0"/>
              <w:left w:val="single" w:color="CCCCCC" w:sz="6" w:space="0"/>
              <w:bottom w:val="single" w:color="CCCCCC" w:sz="6" w:space="0"/>
              <w:right w:val="single" w:color="CCCCCC" w:sz="6" w:space="0"/>
            </w:tcBorders>
            <w:shd w:val="clear"/>
            <w:tcMar>
              <w:top w:w="0" w:type="dxa"/>
              <w:left w:w="75" w:type="dxa"/>
              <w:bottom w:w="0" w:type="dxa"/>
              <w:right w:w="75" w:type="dxa"/>
            </w:tcMar>
            <w:vAlign w:val="center"/>
          </w:tcPr>
          <w:p>
            <w:pPr>
              <w:keepNext w:val="0"/>
              <w:keepLines w:val="0"/>
              <w:widowControl/>
              <w:suppressLineNumbers w:val="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任亚红、杨栋</w:t>
            </w:r>
          </w:p>
        </w:tc>
        <w:tc>
          <w:tcPr>
            <w:tcW w:w="0" w:type="auto"/>
            <w:tcBorders>
              <w:top w:val="single" w:color="CCCCCC" w:sz="6" w:space="0"/>
              <w:left w:val="single" w:color="CCCCCC" w:sz="6" w:space="0"/>
              <w:bottom w:val="single" w:color="CCCCCC" w:sz="6" w:space="0"/>
              <w:right w:val="single" w:color="CCCCCC" w:sz="6" w:space="0"/>
            </w:tcBorders>
            <w:shd w:val="clear"/>
            <w:tcMar>
              <w:top w:w="0" w:type="dxa"/>
              <w:left w:w="75" w:type="dxa"/>
              <w:bottom w:w="0" w:type="dxa"/>
              <w:right w:w="75" w:type="dxa"/>
            </w:tcMar>
            <w:vAlign w:val="center"/>
          </w:tcPr>
          <w:p>
            <w:pPr>
              <w:keepNext w:val="0"/>
              <w:keepLines w:val="0"/>
              <w:widowControl/>
              <w:suppressLineNumbers w:val="0"/>
              <w:jc w:val="left"/>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kern w:val="0"/>
                <w:sz w:val="21"/>
                <w:szCs w:val="21"/>
                <w:bdr w:val="none" w:color="auto" w:sz="0" w:space="0"/>
                <w:lang w:val="en-US" w:eastAsia="zh-CN" w:bidi="ar"/>
              </w:rPr>
              <w:t>张虎林</w:t>
            </w:r>
          </w:p>
        </w:tc>
      </w:tr>
    </w:tbl>
    <w:p>
      <w:pPr>
        <w:pStyle w:val="19"/>
        <w:keepNext w:val="0"/>
        <w:keepLines w:val="0"/>
        <w:widowControl/>
        <w:suppressLineNumbers w:val="0"/>
        <w:spacing w:before="0" w:beforeAutospacing="0" w:after="0" w:afterAutospacing="0"/>
        <w:ind w:left="0" w:right="0"/>
      </w:pPr>
      <w:r>
        <w:t>六、代理服务费收费标准及金额</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代理服务费收费标准：采购代理机构参照国家计委关于印发《招标代理服务收费管理暂行办法》的通知（计价格〔2002〕1980号）、《国家发展和改革委员会办公厅关于招标代理服务收费有关问题的通知》（发改办价格〔2003〕857号）规定向中标（成交）供应商收取代理服务费。</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 xml:space="preserve">代理服务费金额： </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1、一标段: 18,323.00元</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2、二标段: 11,831.00元</w:t>
      </w:r>
    </w:p>
    <w:p>
      <w:pPr>
        <w:pStyle w:val="19"/>
        <w:keepNext w:val="0"/>
        <w:keepLines w:val="0"/>
        <w:widowControl/>
        <w:suppressLineNumbers w:val="0"/>
        <w:spacing w:before="0" w:beforeAutospacing="0" w:after="0" w:afterAutospacing="0"/>
        <w:ind w:left="0" w:right="0"/>
      </w:pPr>
      <w:r>
        <w:t>七、公告期限</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自本公告发布之日起1个工作日。</w:t>
      </w:r>
    </w:p>
    <w:p>
      <w:pPr>
        <w:pStyle w:val="19"/>
        <w:keepNext w:val="0"/>
        <w:keepLines w:val="0"/>
        <w:widowControl/>
        <w:suppressLineNumbers w:val="0"/>
        <w:spacing w:before="0" w:beforeAutospacing="0" w:after="0" w:afterAutospacing="0"/>
        <w:ind w:left="0" w:right="0"/>
      </w:pPr>
      <w:r>
        <w:t>八、其他补充事宜</w:t>
      </w:r>
    </w:p>
    <w:p>
      <w:pPr>
        <w:pStyle w:val="19"/>
        <w:keepNext w:val="0"/>
        <w:keepLines w:val="0"/>
        <w:widowControl/>
        <w:suppressLineNumbers w:val="0"/>
        <w:spacing w:before="0" w:beforeAutospacing="0" w:after="0" w:afterAutospacing="0"/>
        <w:ind w:left="0" w:right="0"/>
      </w:pPr>
      <w:r>
        <w:t>九、凡对本次公告内容提出询问，请按以下方式联系。</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1、采购人信息：宝鸡市陈仓区凤阁岭镇人民政府</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联系人：宝鸡市陈仓区凤阁岭镇人民政府经办</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联系地址：宝鸡市陈仓区</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联系电话：13571190652</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2、项目联系方式：</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项目联系人：康依琳</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电话：0917-3678038</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传真：/</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3、采购代理机构：</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名称：陕西建基建设工程项目管理有限公司</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地址：宝鸡市大庆路89号泽润金花国际一单元2704室</w:t>
      </w:r>
    </w:p>
    <w:p>
      <w:pPr>
        <w:pStyle w:val="4"/>
        <w:keepNext w:val="0"/>
        <w:keepLines w:val="0"/>
        <w:widowControl/>
        <w:suppressLineNumbers w:val="0"/>
        <w:spacing w:before="0" w:beforeAutospacing="0" w:after="0" w:afterAutospacing="0" w:line="420" w:lineRule="atLeast"/>
        <w:ind w:left="0" w:right="0" w:firstLine="420"/>
        <w:rPr>
          <w:rFonts w:hint="eastAsia" w:ascii="宋体" w:hAnsi="宋体" w:eastAsia="宋体" w:cs="宋体"/>
          <w:sz w:val="27"/>
          <w:szCs w:val="27"/>
        </w:rPr>
      </w:pPr>
      <w:r>
        <w:rPr>
          <w:rFonts w:hint="eastAsia" w:ascii="宋体" w:hAnsi="宋体" w:eastAsia="宋体" w:cs="宋体"/>
          <w:sz w:val="27"/>
          <w:szCs w:val="27"/>
          <w:bdr w:val="none" w:color="auto" w:sz="0" w:space="0"/>
        </w:rPr>
        <w:t>联系方式：0917-3678038</w:t>
      </w:r>
    </w:p>
    <w:p>
      <w:pPr>
        <w:pStyle w:val="19"/>
        <w:keepNext w:val="0"/>
        <w:keepLines w:val="0"/>
        <w:widowControl/>
        <w:suppressLineNumbers w:val="0"/>
        <w:spacing w:before="0" w:beforeAutospacing="0" w:after="0" w:afterAutospacing="0"/>
        <w:ind w:left="0" w:right="0"/>
      </w:pPr>
      <w:r>
        <w:t>十、附件：</w:t>
      </w:r>
    </w:p>
    <w:p>
      <w:pPr>
        <w:pStyle w:val="4"/>
        <w:keepNext w:val="0"/>
        <w:keepLines w:val="0"/>
        <w:widowControl/>
        <w:suppressLineNumbers w:val="0"/>
        <w:spacing w:before="210" w:beforeAutospacing="0" w:after="210" w:afterAutospacing="0" w:line="420" w:lineRule="atLeast"/>
        <w:ind w:left="0" w:right="0" w:firstLine="420"/>
        <w:jc w:val="center"/>
        <w:rPr>
          <w:rFonts w:hint="eastAsia" w:ascii="宋体" w:hAnsi="宋体" w:eastAsia="宋体" w:cs="宋体"/>
          <w:sz w:val="27"/>
          <w:szCs w:val="27"/>
        </w:rPr>
      </w:pPr>
      <w:r>
        <w:rPr>
          <w:rFonts w:hint="eastAsia" w:ascii="宋体" w:hAnsi="宋体" w:eastAsia="宋体" w:cs="宋体"/>
          <w:sz w:val="27"/>
          <w:szCs w:val="27"/>
          <w:bdr w:val="none" w:color="auto" w:sz="0" w:space="0"/>
          <w:lang w:val="en-US" w:eastAsia="zh-CN"/>
        </w:rPr>
        <w:t xml:space="preserve">                   </w:t>
      </w:r>
      <w:r>
        <w:rPr>
          <w:rFonts w:hint="eastAsia" w:ascii="宋体" w:hAnsi="宋体" w:eastAsia="宋体" w:cs="宋体"/>
          <w:sz w:val="27"/>
          <w:szCs w:val="27"/>
          <w:bdr w:val="none" w:color="auto" w:sz="0" w:space="0"/>
        </w:rPr>
        <w:t>陕西建基建设工程项目管理有限公司</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BD174D"/>
    <w:rsid w:val="2EBD174D"/>
    <w:rsid w:val="3AE35642"/>
    <w:rsid w:val="4E407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10"/>
    <w:semiHidden/>
    <w:unhideWhenUsed/>
    <w:qFormat/>
    <w:uiPriority w:val="0"/>
    <w:pPr>
      <w:keepNext/>
      <w:keepLines/>
      <w:spacing w:beforeLines="0" w:beforeAutospacing="0" w:afterLines="0" w:afterAutospacing="0" w:line="480" w:lineRule="auto"/>
      <w:jc w:val="center"/>
      <w:outlineLvl w:val="1"/>
    </w:pPr>
    <w:rPr>
      <w:rFonts w:ascii="Arial" w:hAnsi="Arial" w:eastAsia="宋体" w:cs="Times New Roman"/>
      <w:b/>
      <w:sz w:val="2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FollowedHyperlink"/>
    <w:basedOn w:val="6"/>
    <w:uiPriority w:val="0"/>
    <w:rPr>
      <w:color w:val="800080"/>
      <w:u w:val="none"/>
    </w:rPr>
  </w:style>
  <w:style w:type="character" w:styleId="8">
    <w:name w:val="Emphasis"/>
    <w:basedOn w:val="6"/>
    <w:qFormat/>
    <w:uiPriority w:val="0"/>
  </w:style>
  <w:style w:type="character" w:styleId="9">
    <w:name w:val="Hyperlink"/>
    <w:basedOn w:val="6"/>
    <w:uiPriority w:val="0"/>
    <w:rPr>
      <w:color w:val="0000FF"/>
      <w:u w:val="none"/>
    </w:rPr>
  </w:style>
  <w:style w:type="character" w:customStyle="1" w:styleId="10">
    <w:name w:val="标题 2 Char"/>
    <w:link w:val="3"/>
    <w:qFormat/>
    <w:uiPriority w:val="0"/>
    <w:rPr>
      <w:rFonts w:ascii="Arial" w:hAnsi="Arial" w:eastAsia="宋体" w:cs="Times New Roman"/>
      <w:b/>
      <w:sz w:val="28"/>
    </w:rPr>
  </w:style>
  <w:style w:type="character" w:customStyle="1" w:styleId="11">
    <w:name w:val="proollist"/>
    <w:basedOn w:val="6"/>
    <w:uiPriority w:val="0"/>
  </w:style>
  <w:style w:type="character" w:customStyle="1" w:styleId="12">
    <w:name w:val="span-long"/>
    <w:basedOn w:val="6"/>
    <w:uiPriority w:val="0"/>
  </w:style>
  <w:style w:type="character" w:customStyle="1" w:styleId="13">
    <w:name w:val="input-direction"/>
    <w:basedOn w:val="6"/>
    <w:uiPriority w:val="0"/>
    <w:rPr>
      <w:color w:val="FF6600"/>
    </w:rPr>
  </w:style>
  <w:style w:type="character" w:customStyle="1" w:styleId="14">
    <w:name w:val="phone"/>
    <w:basedOn w:val="6"/>
    <w:uiPriority w:val="0"/>
    <w:rPr>
      <w:color w:val="FF8833"/>
      <w:sz w:val="18"/>
      <w:szCs w:val="18"/>
      <w:bdr w:val="none" w:color="auto" w:sz="0" w:space="0"/>
    </w:rPr>
  </w:style>
  <w:style w:type="character" w:customStyle="1" w:styleId="15">
    <w:name w:val="beforeinfotext"/>
    <w:basedOn w:val="6"/>
    <w:uiPriority w:val="0"/>
    <w:rPr>
      <w:color w:val="666666"/>
    </w:rPr>
  </w:style>
  <w:style w:type="character" w:customStyle="1" w:styleId="16">
    <w:name w:val="number"/>
    <w:basedOn w:val="6"/>
    <w:uiPriority w:val="0"/>
    <w:rPr>
      <w:color w:val="FF8833"/>
      <w:sz w:val="18"/>
      <w:szCs w:val="18"/>
      <w:bdr w:val="none" w:color="auto" w:sz="0" w:space="0"/>
    </w:rPr>
  </w:style>
  <w:style w:type="character" w:customStyle="1" w:styleId="17">
    <w:name w:val="tmpztreemove_arrow"/>
    <w:basedOn w:val="6"/>
    <w:uiPriority w:val="0"/>
    <w:rPr>
      <w:bdr w:val="none" w:color="auto" w:sz="0" w:space="0"/>
    </w:rPr>
  </w:style>
  <w:style w:type="character" w:customStyle="1" w:styleId="18">
    <w:name w:val="stclosebtn"/>
    <w:basedOn w:val="6"/>
    <w:uiPriority w:val="0"/>
  </w:style>
  <w:style w:type="paragraph" w:customStyle="1" w:styleId="19">
    <w:name w:val="num"/>
    <w:basedOn w:val="1"/>
    <w:uiPriority w:val="0"/>
    <w:pPr>
      <w:spacing w:before="105" w:beforeAutospacing="0"/>
      <w:ind w:firstLine="0"/>
      <w:jc w:val="left"/>
    </w:pPr>
    <w:rPr>
      <w:b/>
      <w:bCs/>
      <w:kern w:val="0"/>
      <w:lang w:val="en-US" w:eastAsia="zh-CN" w:bidi="ar"/>
    </w:rPr>
  </w:style>
  <w:style w:type="character" w:customStyle="1" w:styleId="20">
    <w:name w:val="active6"/>
    <w:basedOn w:val="6"/>
    <w:uiPriority w:val="0"/>
    <w:rPr>
      <w:color w:val="00FF00"/>
      <w:bdr w:val="none" w:color="FF0000" w:sz="0" w:space="0"/>
      <w:shd w:val="clear" w:fill="000000"/>
    </w:rPr>
  </w:style>
  <w:style w:type="character" w:customStyle="1" w:styleId="21">
    <w:name w:val="hilite5"/>
    <w:basedOn w:val="6"/>
    <w:uiPriority w:val="0"/>
    <w:rPr>
      <w:color w:val="FFFFFF"/>
      <w:bdr w:val="none" w:color="000000" w:sz="0" w:space="0"/>
      <w:shd w:val="clear" w:fill="666677"/>
    </w:rPr>
  </w:style>
  <w:style w:type="character" w:customStyle="1" w:styleId="22">
    <w:name w:val="button2"/>
    <w:basedOn w:val="6"/>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2021-04-21T01:12:00Z</dcterms:created>
  <dc:creator>Administrator</dc:creator>
  <cp:lastModifiedBy>Administrator</cp:lastModifiedBy>
  <dcterms:modified xsi:type="dcterms:W3CDTF">2021-04-21T01:14:01Z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911474CF61A64F18855795FC56091CBB</vt:lpwstr>
  </property>
</Properties>
</file>