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0" w:beforeAutospacing="0" w:after="0" w:afterAutospacing="0" w:line="360" w:lineRule="auto"/>
        <w:rPr>
          <w:rFonts w:hint="eastAsia" w:ascii="宋体" w:hAnsi="宋体" w:cs="宋体"/>
          <w:b/>
          <w:bCs/>
          <w:color w:val="333333"/>
          <w:sz w:val="36"/>
          <w:szCs w:val="36"/>
          <w:highlight w:val="yellow"/>
          <w:lang w:val="en-US" w:eastAsia="zh-CN"/>
        </w:rPr>
      </w:pPr>
      <w:r>
        <w:rPr>
          <w:rFonts w:hint="eastAsia" w:ascii="宋体" w:hAnsi="宋体" w:cs="宋体"/>
          <w:b/>
          <w:bCs/>
          <w:color w:val="333333"/>
          <w:sz w:val="36"/>
          <w:szCs w:val="36"/>
          <w:lang w:val="en-US" w:eastAsia="zh-CN"/>
        </w:rPr>
        <w:t>项目编号：</w:t>
      </w:r>
      <w:r>
        <w:rPr>
          <w:rFonts w:hint="eastAsia" w:ascii="宋体" w:hAnsi="宋体" w:cs="宋体"/>
          <w:b/>
          <w:bCs/>
          <w:color w:val="333333"/>
          <w:sz w:val="36"/>
          <w:szCs w:val="36"/>
          <w:highlight w:val="yellow"/>
          <w:lang w:val="en-US" w:eastAsia="zh-CN"/>
        </w:rPr>
        <w:t>ZFCG-彬州市-2021-00015</w:t>
      </w:r>
    </w:p>
    <w:p>
      <w:pPr>
        <w:pStyle w:val="2"/>
        <w:rPr>
          <w:rFonts w:hint="eastAsia" w:ascii="宋体" w:hAnsi="宋体" w:eastAsia="宋体" w:cs="宋体"/>
        </w:rPr>
      </w:pPr>
    </w:p>
    <w:p>
      <w:pPr>
        <w:pStyle w:val="2"/>
        <w:rPr>
          <w:rFonts w:hint="eastAsia" w:ascii="方正小标宋简体" w:hAnsi="方正小标宋简体" w:eastAsia="方正小标宋简体" w:cs="方正小标宋简体"/>
          <w:b w:val="0"/>
          <w:bCs w:val="0"/>
          <w:sz w:val="52"/>
          <w:szCs w:val="52"/>
          <w:highlight w:val="none"/>
        </w:rPr>
      </w:pPr>
    </w:p>
    <w:p>
      <w:pPr>
        <w:rPr>
          <w:rFonts w:hint="eastAsia"/>
        </w:rPr>
      </w:pPr>
    </w:p>
    <w:p>
      <w:pPr>
        <w:pStyle w:val="3"/>
        <w:keepNext w:val="0"/>
        <w:keepLines w:val="0"/>
        <w:pageBreakBefore w:val="0"/>
        <w:widowControl/>
        <w:kinsoku/>
        <w:wordWrap/>
        <w:overflowPunct/>
        <w:topLinePunct w:val="0"/>
        <w:autoSpaceDE/>
        <w:autoSpaceDN/>
        <w:bidi w:val="0"/>
        <w:adjustRightInd w:val="0"/>
        <w:snapToGrid w:val="0"/>
        <w:spacing w:beforeAutospacing="0" w:afterAutospacing="0" w:line="1000" w:lineRule="exact"/>
        <w:jc w:val="center"/>
        <w:textAlignment w:val="baseline"/>
        <w:rPr>
          <w:rStyle w:val="15"/>
          <w:rFonts w:hint="eastAsia" w:ascii="方正小标宋简体" w:hAnsi="方正小标宋简体" w:eastAsia="方正小标宋简体" w:cs="方正小标宋简体"/>
          <w:b w:val="0"/>
          <w:bCs/>
          <w:i w:val="0"/>
          <w:caps w:val="0"/>
          <w:spacing w:val="0"/>
          <w:w w:val="100"/>
          <w:sz w:val="48"/>
          <w:szCs w:val="48"/>
          <w:lang w:eastAsia="zh-CN"/>
        </w:rPr>
      </w:pPr>
      <w:r>
        <w:rPr>
          <w:rStyle w:val="15"/>
          <w:rFonts w:hint="eastAsia" w:ascii="方正小标宋简体" w:hAnsi="方正小标宋简体" w:eastAsia="方正小标宋简体" w:cs="方正小标宋简体"/>
          <w:b w:val="0"/>
          <w:bCs/>
          <w:i w:val="0"/>
          <w:caps w:val="0"/>
          <w:spacing w:val="0"/>
          <w:w w:val="100"/>
          <w:sz w:val="48"/>
          <w:szCs w:val="48"/>
          <w:lang w:eastAsia="zh-CN"/>
        </w:rPr>
        <w:t>彬州市机关事务服务中心关于公务用车</w:t>
      </w:r>
    </w:p>
    <w:p>
      <w:pPr>
        <w:pStyle w:val="3"/>
        <w:keepNext w:val="0"/>
        <w:keepLines w:val="0"/>
        <w:pageBreakBefore w:val="0"/>
        <w:widowControl/>
        <w:kinsoku/>
        <w:wordWrap/>
        <w:overflowPunct/>
        <w:topLinePunct w:val="0"/>
        <w:autoSpaceDE/>
        <w:autoSpaceDN/>
        <w:bidi w:val="0"/>
        <w:adjustRightInd w:val="0"/>
        <w:snapToGrid w:val="0"/>
        <w:spacing w:beforeAutospacing="0" w:afterAutospacing="0" w:line="1000" w:lineRule="exact"/>
        <w:jc w:val="center"/>
        <w:textAlignment w:val="baseline"/>
        <w:rPr>
          <w:rStyle w:val="15"/>
          <w:rFonts w:hint="eastAsia" w:ascii="方正小标宋简体" w:hAnsi="方正小标宋简体" w:eastAsia="方正小标宋简体" w:cs="方正小标宋简体"/>
          <w:b w:val="0"/>
          <w:bCs/>
          <w:i w:val="0"/>
          <w:caps w:val="0"/>
          <w:spacing w:val="0"/>
          <w:w w:val="100"/>
          <w:sz w:val="46"/>
          <w:szCs w:val="46"/>
          <w:lang w:eastAsia="zh-CN"/>
        </w:rPr>
      </w:pPr>
      <w:r>
        <w:rPr>
          <w:rStyle w:val="15"/>
          <w:rFonts w:hint="eastAsia" w:ascii="方正小标宋简体" w:hAnsi="方正小标宋简体" w:eastAsia="方正小标宋简体" w:cs="方正小标宋简体"/>
          <w:b w:val="0"/>
          <w:bCs/>
          <w:i w:val="0"/>
          <w:caps w:val="0"/>
          <w:spacing w:val="0"/>
          <w:w w:val="100"/>
          <w:sz w:val="48"/>
          <w:szCs w:val="48"/>
          <w:lang w:eastAsia="zh-CN"/>
        </w:rPr>
        <w:t>定点加油、维修、保险项目</w:t>
      </w:r>
    </w:p>
    <w:p>
      <w:pPr>
        <w:pStyle w:val="3"/>
        <w:keepNext w:val="0"/>
        <w:keepLines w:val="0"/>
        <w:pageBreakBefore w:val="0"/>
        <w:widowControl/>
        <w:kinsoku/>
        <w:wordWrap/>
        <w:overflowPunct/>
        <w:topLinePunct w:val="0"/>
        <w:autoSpaceDE/>
        <w:autoSpaceDN/>
        <w:bidi w:val="0"/>
        <w:adjustRightInd w:val="0"/>
        <w:snapToGrid w:val="0"/>
        <w:spacing w:beforeAutospacing="0" w:afterAutospacing="0" w:line="1240" w:lineRule="exact"/>
        <w:jc w:val="center"/>
        <w:textAlignment w:val="baseline"/>
        <w:rPr>
          <w:rStyle w:val="15"/>
          <w:rFonts w:hint="eastAsia" w:ascii="方正小标宋简体" w:hAnsi="方正小标宋简体" w:eastAsia="方正小标宋简体" w:cs="方正小标宋简体"/>
          <w:b w:val="0"/>
          <w:bCs/>
          <w:i w:val="0"/>
          <w:caps w:val="0"/>
          <w:spacing w:val="0"/>
          <w:w w:val="100"/>
          <w:sz w:val="72"/>
          <w:szCs w:val="72"/>
          <w:lang w:val="en-US" w:eastAsia="zh-CN"/>
        </w:rPr>
      </w:pPr>
      <w:r>
        <w:rPr>
          <w:rStyle w:val="15"/>
          <w:rFonts w:hint="eastAsia" w:ascii="方正小标宋简体" w:hAnsi="方正小标宋简体" w:eastAsia="方正小标宋简体" w:cs="方正小标宋简体"/>
          <w:b w:val="0"/>
          <w:bCs/>
          <w:i w:val="0"/>
          <w:caps w:val="0"/>
          <w:spacing w:val="0"/>
          <w:w w:val="100"/>
          <w:sz w:val="72"/>
          <w:szCs w:val="72"/>
          <w:lang w:eastAsia="zh-CN"/>
        </w:rPr>
        <w:t>公开招标文件</w:t>
      </w:r>
    </w:p>
    <w:p>
      <w:pPr>
        <w:snapToGrid w:val="0"/>
        <w:ind w:firstLine="723" w:firstLineChars="200"/>
        <w:rPr>
          <w:rStyle w:val="15"/>
          <w:rFonts w:hint="eastAsia" w:ascii="宋体" w:hAnsi="宋体" w:eastAsia="宋体" w:cs="宋体"/>
          <w:b/>
          <w:kern w:val="3"/>
          <w:sz w:val="36"/>
          <w:szCs w:val="36"/>
          <w:highlight w:val="none"/>
        </w:rPr>
      </w:pPr>
    </w:p>
    <w:p>
      <w:pPr>
        <w:snapToGrid w:val="0"/>
        <w:ind w:firstLine="723" w:firstLineChars="200"/>
        <w:rPr>
          <w:rStyle w:val="15"/>
          <w:rFonts w:hint="eastAsia" w:ascii="宋体" w:hAnsi="宋体" w:eastAsia="宋体" w:cs="宋体"/>
          <w:b/>
          <w:kern w:val="3"/>
          <w:sz w:val="36"/>
          <w:szCs w:val="36"/>
          <w:highlight w:val="none"/>
        </w:rPr>
      </w:pPr>
    </w:p>
    <w:p>
      <w:pPr>
        <w:snapToGrid w:val="0"/>
        <w:ind w:firstLine="723" w:firstLineChars="200"/>
        <w:rPr>
          <w:rStyle w:val="15"/>
          <w:rFonts w:hint="eastAsia" w:ascii="宋体" w:hAnsi="宋体" w:eastAsia="宋体" w:cs="宋体"/>
          <w:b/>
          <w:kern w:val="3"/>
          <w:sz w:val="36"/>
          <w:szCs w:val="36"/>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rPr>
          <w:rStyle w:val="15"/>
          <w:rFonts w:hint="eastAsia" w:ascii="宋体" w:hAnsi="宋体" w:eastAsia="宋体" w:cs="宋体"/>
          <w:b/>
          <w:kern w:val="3"/>
          <w:sz w:val="32"/>
          <w:szCs w:val="32"/>
          <w:highlight w:val="none"/>
        </w:rPr>
      </w:pPr>
    </w:p>
    <w:p>
      <w:pPr>
        <w:snapToGrid w:val="0"/>
        <w:rPr>
          <w:rStyle w:val="15"/>
          <w:rFonts w:hint="eastAsia" w:ascii="宋体" w:hAnsi="宋体" w:eastAsia="宋体" w:cs="宋体"/>
          <w:b/>
          <w:kern w:val="3"/>
          <w:sz w:val="36"/>
          <w:szCs w:val="36"/>
          <w:highlight w:val="none"/>
        </w:rPr>
      </w:pPr>
    </w:p>
    <w:p>
      <w:pPr>
        <w:snapToGrid w:val="0"/>
        <w:rPr>
          <w:rStyle w:val="15"/>
          <w:rFonts w:hint="eastAsia" w:ascii="宋体" w:hAnsi="宋体" w:eastAsia="宋体" w:cs="宋体"/>
          <w:b/>
          <w:kern w:val="3"/>
          <w:sz w:val="36"/>
          <w:szCs w:val="36"/>
          <w:highlight w:val="none"/>
        </w:rPr>
      </w:pPr>
    </w:p>
    <w:p>
      <w:pPr>
        <w:pStyle w:val="2"/>
        <w:rPr>
          <w:rFonts w:hint="eastAsia" w:ascii="宋体" w:hAnsi="宋体" w:eastAsia="宋体" w:cs="宋体"/>
        </w:rPr>
      </w:pPr>
    </w:p>
    <w:p>
      <w:pPr>
        <w:snapToGrid w:val="0"/>
        <w:rPr>
          <w:rStyle w:val="15"/>
          <w:rFonts w:hint="eastAsia" w:ascii="宋体" w:hAnsi="宋体" w:eastAsia="宋体" w:cs="宋体"/>
          <w:b/>
          <w:kern w:val="3"/>
          <w:sz w:val="36"/>
          <w:szCs w:val="36"/>
          <w:highlight w:val="none"/>
        </w:rPr>
      </w:pPr>
    </w:p>
    <w:p>
      <w:pPr>
        <w:snapToGrid w:val="0"/>
        <w:rPr>
          <w:rStyle w:val="15"/>
          <w:rFonts w:hint="eastAsia" w:ascii="宋体" w:hAnsi="宋体" w:eastAsia="宋体" w:cs="宋体"/>
          <w:b/>
          <w:kern w:val="3"/>
          <w:sz w:val="36"/>
          <w:szCs w:val="36"/>
          <w:highlight w:val="none"/>
        </w:rPr>
      </w:pPr>
    </w:p>
    <w:p>
      <w:pPr>
        <w:snapToGrid w:val="0"/>
        <w:spacing w:line="360" w:lineRule="auto"/>
        <w:ind w:firstLine="2711" w:firstLineChars="750"/>
        <w:rPr>
          <w:rStyle w:val="15"/>
          <w:rFonts w:hint="eastAsia" w:ascii="宋体" w:hAnsi="宋体" w:eastAsia="宋体" w:cs="宋体"/>
          <w:b/>
          <w:kern w:val="3"/>
          <w:sz w:val="36"/>
          <w:szCs w:val="36"/>
        </w:rPr>
      </w:pPr>
      <w:r>
        <w:rPr>
          <w:rStyle w:val="15"/>
          <w:rFonts w:hint="eastAsia" w:ascii="宋体" w:hAnsi="宋体" w:eastAsia="宋体" w:cs="宋体"/>
          <w:b/>
          <w:kern w:val="3"/>
          <w:sz w:val="36"/>
          <w:szCs w:val="36"/>
        </w:rPr>
        <w:t>彬州市政府采购中心</w:t>
      </w:r>
    </w:p>
    <w:p>
      <w:pPr>
        <w:snapToGrid w:val="0"/>
        <w:spacing w:line="360" w:lineRule="auto"/>
        <w:ind w:firstLine="3072" w:firstLineChars="850"/>
        <w:rPr>
          <w:rStyle w:val="15"/>
          <w:rFonts w:hint="eastAsia" w:ascii="宋体" w:hAnsi="宋体" w:eastAsia="宋体" w:cs="宋体"/>
          <w:b/>
          <w:kern w:val="3"/>
          <w:sz w:val="36"/>
          <w:szCs w:val="36"/>
          <w:highlight w:val="none"/>
        </w:rPr>
      </w:pPr>
      <w:r>
        <w:rPr>
          <w:rStyle w:val="15"/>
          <w:rFonts w:hint="eastAsia" w:ascii="宋体" w:hAnsi="宋体" w:eastAsia="宋体" w:cs="宋体"/>
          <w:b/>
          <w:kern w:val="3"/>
          <w:sz w:val="36"/>
          <w:szCs w:val="36"/>
          <w:highlight w:val="none"/>
        </w:rPr>
        <w:t>二〇二一年</w:t>
      </w:r>
      <w:r>
        <w:rPr>
          <w:rStyle w:val="15"/>
          <w:rFonts w:hint="eastAsia" w:ascii="宋体" w:hAnsi="宋体" w:cs="宋体"/>
          <w:b/>
          <w:kern w:val="3"/>
          <w:sz w:val="36"/>
          <w:szCs w:val="36"/>
          <w:highlight w:val="none"/>
          <w:lang w:eastAsia="zh-CN"/>
        </w:rPr>
        <w:t>十</w:t>
      </w:r>
      <w:r>
        <w:rPr>
          <w:rStyle w:val="15"/>
          <w:rFonts w:hint="eastAsia" w:ascii="宋体" w:hAnsi="宋体" w:eastAsia="宋体" w:cs="宋体"/>
          <w:b/>
          <w:kern w:val="3"/>
          <w:sz w:val="36"/>
          <w:szCs w:val="36"/>
          <w:highlight w:val="none"/>
        </w:rPr>
        <w:t>月</w:t>
      </w:r>
    </w:p>
    <w:p>
      <w:pPr>
        <w:jc w:val="center"/>
        <w:rPr>
          <w:rFonts w:hint="eastAsia" w:ascii="方正小标宋简体" w:hAnsi="方正小标宋简体" w:eastAsia="方正小标宋简体" w:cs="方正小标宋简体"/>
          <w:b w:val="0"/>
          <w:bCs w:val="0"/>
          <w:sz w:val="52"/>
          <w:szCs w:val="52"/>
          <w:highlight w:val="none"/>
        </w:rPr>
      </w:pPr>
    </w:p>
    <w:p>
      <w:pPr>
        <w:jc w:val="center"/>
        <w:rPr>
          <w:rFonts w:hint="eastAsia" w:ascii="方正小标宋简体" w:hAnsi="方正小标宋简体" w:eastAsia="方正小标宋简体" w:cs="方正小标宋简体"/>
          <w:b w:val="0"/>
          <w:bCs w:val="0"/>
          <w:sz w:val="52"/>
          <w:szCs w:val="52"/>
          <w:highlight w:val="none"/>
        </w:rPr>
      </w:pPr>
    </w:p>
    <w:p>
      <w:pPr>
        <w:jc w:val="center"/>
        <w:rPr>
          <w:rFonts w:hint="eastAsia" w:ascii="方正小标宋简体" w:hAnsi="方正小标宋简体" w:eastAsia="方正小标宋简体" w:cs="方正小标宋简体"/>
          <w:b w:val="0"/>
          <w:bCs w:val="0"/>
          <w:sz w:val="52"/>
          <w:szCs w:val="52"/>
          <w:highlight w:val="none"/>
        </w:rPr>
      </w:pPr>
      <w:r>
        <w:rPr>
          <w:rFonts w:hint="eastAsia" w:ascii="方正小标宋简体" w:hAnsi="方正小标宋简体" w:eastAsia="方正小标宋简体" w:cs="方正小标宋简体"/>
          <w:b w:val="0"/>
          <w:bCs w:val="0"/>
          <w:sz w:val="52"/>
          <w:szCs w:val="52"/>
          <w:highlight w:val="none"/>
        </w:rPr>
        <w:t>目</w:t>
      </w:r>
      <w:r>
        <w:rPr>
          <w:rFonts w:hint="eastAsia" w:ascii="方正小标宋简体" w:hAnsi="方正小标宋简体" w:eastAsia="方正小标宋简体" w:cs="方正小标宋简体"/>
          <w:b w:val="0"/>
          <w:bCs w:val="0"/>
          <w:sz w:val="52"/>
          <w:szCs w:val="52"/>
          <w:highlight w:val="none"/>
          <w:lang w:val="en-US" w:eastAsia="zh-CN"/>
        </w:rPr>
        <w:t xml:space="preserve">  </w:t>
      </w:r>
      <w:r>
        <w:rPr>
          <w:rFonts w:hint="eastAsia" w:ascii="方正小标宋简体" w:hAnsi="方正小标宋简体" w:eastAsia="方正小标宋简体" w:cs="方正小标宋简体"/>
          <w:b w:val="0"/>
          <w:bCs w:val="0"/>
          <w:sz w:val="52"/>
          <w:szCs w:val="52"/>
          <w:highlight w:val="none"/>
        </w:rPr>
        <w:t>录</w:t>
      </w:r>
    </w:p>
    <w:p>
      <w:pPr>
        <w:pStyle w:val="2"/>
        <w:rPr>
          <w:rFonts w:hint="eastAsia" w:ascii="宋体" w:hAnsi="宋体" w:eastAsia="宋体" w:cs="宋体"/>
        </w:rPr>
      </w:pP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rPr>
          <w:rFonts w:hint="eastAsia" w:ascii="宋体" w:hAnsi="宋体" w:eastAsia="宋体" w:cs="宋体"/>
          <w:bCs/>
          <w:sz w:val="28"/>
          <w:szCs w:val="28"/>
          <w:highlight w:val="none"/>
        </w:rPr>
      </w:pPr>
      <w:r>
        <w:rPr>
          <w:rStyle w:val="15"/>
          <w:rFonts w:hint="eastAsia" w:ascii="宋体" w:hAnsi="宋体" w:eastAsia="宋体" w:cs="宋体"/>
          <w:bCs/>
          <w:kern w:val="3"/>
          <w:sz w:val="30"/>
          <w:szCs w:val="30"/>
          <w:highlight w:val="none"/>
        </w:rPr>
        <w:fldChar w:fldCharType="begin"/>
      </w:r>
      <w:r>
        <w:rPr>
          <w:rStyle w:val="15"/>
          <w:rFonts w:hint="eastAsia" w:ascii="宋体" w:hAnsi="宋体" w:eastAsia="宋体" w:cs="宋体"/>
          <w:bCs/>
          <w:kern w:val="3"/>
          <w:sz w:val="30"/>
          <w:szCs w:val="30"/>
          <w:highlight w:val="none"/>
        </w:rPr>
        <w:instrText xml:space="preserve">TOC \o "1-2" \h \u </w:instrText>
      </w:r>
      <w:r>
        <w:rPr>
          <w:rStyle w:val="15"/>
          <w:rFonts w:hint="eastAsia" w:ascii="宋体" w:hAnsi="宋体" w:eastAsia="宋体" w:cs="宋体"/>
          <w:bCs/>
          <w:kern w:val="3"/>
          <w:sz w:val="30"/>
          <w:szCs w:val="30"/>
          <w:highlight w:val="none"/>
        </w:rPr>
        <w:fldChar w:fldCharType="separate"/>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"_Toc9192"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rPr>
        <w:t xml:space="preserve">第一章  </w:t>
      </w:r>
      <w:r>
        <w:rPr>
          <w:rStyle w:val="15"/>
          <w:rFonts w:hint="eastAsia" w:ascii="宋体" w:hAnsi="宋体" w:cs="宋体"/>
          <w:b w:val="0"/>
          <w:bCs/>
          <w:kern w:val="3"/>
          <w:sz w:val="28"/>
          <w:szCs w:val="28"/>
          <w:highlight w:val="none"/>
          <w:lang w:eastAsia="zh-CN"/>
        </w:rPr>
        <w:t>公开招标</w:t>
      </w:r>
      <w:r>
        <w:rPr>
          <w:rFonts w:hint="eastAsia" w:ascii="宋体" w:hAnsi="宋体" w:eastAsia="宋体" w:cs="宋体"/>
          <w:bCs/>
          <w:sz w:val="28"/>
          <w:szCs w:val="28"/>
          <w:highlight w:val="none"/>
        </w:rPr>
        <w:t>公告</w:t>
      </w:r>
      <w:r>
        <w:rPr>
          <w:rFonts w:hint="eastAsia" w:ascii="宋体" w:hAnsi="宋体" w:eastAsia="宋体" w:cs="宋体"/>
          <w:bCs/>
          <w:sz w:val="28"/>
          <w:szCs w:val="28"/>
          <w:highlight w:val="none"/>
        </w:rPr>
        <w:tab/>
      </w: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 PAGEREF _Toc9192 \h </w:instrText>
      </w:r>
      <w:r>
        <w:rPr>
          <w:rFonts w:hint="eastAsia" w:ascii="宋体" w:hAnsi="宋体" w:eastAsia="宋体" w:cs="宋体"/>
          <w:bCs/>
          <w:sz w:val="28"/>
          <w:szCs w:val="28"/>
          <w:highlight w:val="none"/>
        </w:rPr>
        <w:fldChar w:fldCharType="separate"/>
      </w:r>
      <w:r>
        <w:rPr>
          <w:rFonts w:hint="eastAsia" w:ascii="宋体" w:hAnsi="宋体" w:eastAsia="宋体" w:cs="宋体"/>
          <w:bCs/>
          <w:sz w:val="28"/>
          <w:szCs w:val="28"/>
          <w:highlight w:val="none"/>
        </w:rPr>
        <w:t>1</w:t>
      </w:r>
      <w:r>
        <w:rPr>
          <w:rFonts w:hint="eastAsia" w:ascii="宋体" w:hAnsi="宋体" w:eastAsia="宋体" w:cs="宋体"/>
          <w:bCs/>
          <w:sz w:val="28"/>
          <w:szCs w:val="28"/>
          <w:highlight w:val="none"/>
        </w:rPr>
        <w:fldChar w:fldCharType="end"/>
      </w:r>
      <w:r>
        <w:rPr>
          <w:rFonts w:hint="eastAsia" w:ascii="宋体" w:hAnsi="宋体" w:eastAsia="宋体" w:cs="宋体"/>
          <w:bCs/>
          <w:sz w:val="28"/>
          <w:szCs w:val="28"/>
          <w:highlight w:val="none"/>
        </w:rPr>
        <w:fldChar w:fldCharType="end"/>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rPr>
          <w:rFonts w:hint="eastAsia" w:ascii="宋体" w:hAnsi="宋体" w:eastAsia="宋体" w:cs="宋体"/>
          <w:bCs/>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"_Toc27724"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rPr>
        <w:t xml:space="preserve">第二章  </w:t>
      </w:r>
      <w:r>
        <w:rPr>
          <w:rStyle w:val="15"/>
          <w:rFonts w:hint="eastAsia" w:ascii="宋体" w:hAnsi="宋体" w:cs="宋体"/>
          <w:b w:val="0"/>
          <w:bCs/>
          <w:kern w:val="3"/>
          <w:sz w:val="28"/>
          <w:szCs w:val="28"/>
          <w:highlight w:val="none"/>
          <w:lang w:eastAsia="zh-CN"/>
        </w:rPr>
        <w:t>公开招标</w:t>
      </w:r>
      <w:r>
        <w:rPr>
          <w:rFonts w:hint="eastAsia" w:ascii="宋体" w:hAnsi="宋体" w:eastAsia="宋体" w:cs="宋体"/>
          <w:bCs/>
          <w:sz w:val="28"/>
          <w:szCs w:val="28"/>
          <w:highlight w:val="none"/>
        </w:rPr>
        <w:t>须知</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3</w:t>
      </w:r>
      <w:r>
        <w:rPr>
          <w:rFonts w:hint="eastAsia" w:ascii="宋体" w:hAnsi="宋体" w:eastAsia="宋体" w:cs="宋体"/>
          <w:bCs/>
          <w:sz w:val="28"/>
          <w:szCs w:val="28"/>
          <w:highlight w:val="none"/>
        </w:rPr>
        <w:fldChar w:fldCharType="end"/>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rPr>
          <w:rFonts w:hint="eastAsia" w:ascii="宋体" w:hAnsi="宋体" w:eastAsia="宋体" w:cs="宋体"/>
          <w:bCs/>
          <w:sz w:val="28"/>
          <w:szCs w:val="28"/>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\l "_Toc23073" </w:instrText>
      </w:r>
      <w:r>
        <w:rPr>
          <w:rFonts w:hint="eastAsia" w:ascii="宋体" w:hAnsi="宋体" w:eastAsia="宋体" w:cs="宋体"/>
          <w:sz w:val="28"/>
          <w:szCs w:val="28"/>
          <w:highlight w:val="none"/>
        </w:rPr>
        <w:fldChar w:fldCharType="separate"/>
      </w:r>
      <w:r>
        <w:rPr>
          <w:rFonts w:hint="eastAsia" w:ascii="宋体" w:hAnsi="宋体" w:eastAsia="宋体" w:cs="宋体"/>
          <w:bCs/>
          <w:sz w:val="28"/>
          <w:szCs w:val="28"/>
          <w:highlight w:val="none"/>
        </w:rPr>
        <w:t xml:space="preserve">第三章  </w:t>
      </w:r>
      <w:r>
        <w:rPr>
          <w:rStyle w:val="15"/>
          <w:rFonts w:hint="eastAsia" w:ascii="宋体" w:hAnsi="宋体" w:cs="宋体"/>
          <w:b w:val="0"/>
          <w:bCs/>
          <w:kern w:val="3"/>
          <w:sz w:val="28"/>
          <w:szCs w:val="28"/>
          <w:highlight w:val="none"/>
          <w:lang w:eastAsia="zh-CN"/>
        </w:rPr>
        <w:t>公开招标</w:t>
      </w:r>
      <w:r>
        <w:rPr>
          <w:rFonts w:hint="eastAsia" w:ascii="宋体" w:hAnsi="宋体" w:eastAsia="宋体" w:cs="宋体"/>
          <w:bCs/>
          <w:sz w:val="28"/>
          <w:szCs w:val="28"/>
          <w:highlight w:val="none"/>
        </w:rPr>
        <w:t>内容及技术要求</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2</w:t>
      </w:r>
      <w:r>
        <w:rPr>
          <w:rFonts w:hint="eastAsia" w:ascii="宋体" w:hAnsi="宋体" w:eastAsia="宋体" w:cs="宋体"/>
          <w:bCs/>
          <w:sz w:val="28"/>
          <w:szCs w:val="28"/>
          <w:highlight w:val="none"/>
        </w:rPr>
        <w:fldChar w:fldCharType="end"/>
      </w:r>
      <w:r>
        <w:rPr>
          <w:rFonts w:hint="eastAsia" w:ascii="宋体" w:hAnsi="宋体" w:cs="宋体"/>
          <w:bCs/>
          <w:sz w:val="28"/>
          <w:szCs w:val="28"/>
          <w:highlight w:val="none"/>
          <w:lang w:val="en-US" w:eastAsia="zh-CN"/>
        </w:rPr>
        <w:t>7</w:t>
      </w:r>
    </w:p>
    <w:p>
      <w:pPr>
        <w:keepNext w:val="0"/>
        <w:keepLines w:val="0"/>
        <w:pageBreakBefore w:val="0"/>
        <w:widowControl/>
        <w:kinsoku/>
        <w:wordWrap/>
        <w:overflowPunct/>
        <w:topLinePunct w:val="0"/>
        <w:autoSpaceDE/>
        <w:autoSpaceDN/>
        <w:bidi w:val="0"/>
        <w:adjustRightInd w:val="0"/>
        <w:snapToGrid w:val="0"/>
        <w:spacing w:line="480" w:lineRule="auto"/>
        <w:jc w:val="both"/>
        <w:outlineLvl w:val="0"/>
        <w:rPr>
          <w:rFonts w:hint="default" w:ascii="Arial" w:hAnsi="Arial" w:eastAsia="宋体" w:cs="Arial"/>
          <w:bCs/>
          <w:sz w:val="18"/>
          <w:szCs w:val="18"/>
          <w:highlight w:val="none"/>
          <w:lang w:val="en-US"/>
        </w:rPr>
      </w:pPr>
      <w:r>
        <w:rPr>
          <w:rStyle w:val="15"/>
          <w:rFonts w:hint="eastAsia" w:ascii="宋体" w:hAnsi="宋体" w:eastAsia="宋体" w:cs="宋体"/>
          <w:b w:val="0"/>
          <w:bCs/>
          <w:kern w:val="3"/>
          <w:sz w:val="28"/>
          <w:szCs w:val="28"/>
          <w:highlight w:val="none"/>
          <w:lang w:val="en-US" w:eastAsia="zh-CN" w:bidi="ar-SA"/>
        </w:rPr>
        <w:t>第四章   政府采购合同（格式）</w:t>
      </w:r>
      <w:r>
        <w:rPr>
          <w:rFonts w:hint="default" w:ascii="Arial" w:hAnsi="Arial" w:eastAsia="宋体" w:cs="Arial"/>
          <w:b/>
          <w:bCs w:val="0"/>
          <w:sz w:val="18"/>
          <w:szCs w:val="18"/>
          <w:highlight w:val="none"/>
        </w:rPr>
        <w:t>……………………………………………………………………</w:t>
      </w:r>
      <w:r>
        <w:rPr>
          <w:rFonts w:hint="eastAsia" w:ascii="宋体" w:hAnsi="宋体" w:cs="宋体"/>
          <w:b w:val="0"/>
          <w:bCs/>
          <w:sz w:val="28"/>
          <w:szCs w:val="28"/>
          <w:highlight w:val="none"/>
          <w:lang w:val="en-US" w:eastAsia="zh-CN"/>
        </w:rPr>
        <w:t>29</w:t>
      </w:r>
    </w:p>
    <w:p>
      <w:pPr>
        <w:keepNext w:val="0"/>
        <w:keepLines w:val="0"/>
        <w:pageBreakBefore w:val="0"/>
        <w:widowControl/>
        <w:kinsoku/>
        <w:wordWrap/>
        <w:overflowPunct/>
        <w:topLinePunct w:val="0"/>
        <w:autoSpaceDE/>
        <w:autoSpaceDN/>
        <w:bidi w:val="0"/>
        <w:adjustRightInd w:val="0"/>
        <w:snapToGrid w:val="0"/>
        <w:spacing w:line="480" w:lineRule="auto"/>
        <w:jc w:val="distribute"/>
        <w:outlineLvl w:val="0"/>
        <w:rPr>
          <w:rFonts w:hint="eastAsia" w:ascii="宋体" w:hAnsi="宋体" w:cs="宋体"/>
          <w:b w:val="0"/>
          <w:bCs/>
          <w:sz w:val="28"/>
          <w:szCs w:val="28"/>
          <w:highlight w:val="none"/>
          <w:lang w:val="en-US" w:eastAsia="zh-CN"/>
        </w:rPr>
      </w:pPr>
      <w:r>
        <w:rPr>
          <w:rStyle w:val="15"/>
          <w:rFonts w:hint="eastAsia" w:ascii="宋体" w:hAnsi="宋体" w:eastAsia="宋体" w:cs="宋体"/>
          <w:b w:val="0"/>
          <w:bCs/>
          <w:kern w:val="3"/>
          <w:sz w:val="28"/>
          <w:szCs w:val="28"/>
          <w:highlight w:val="none"/>
          <w:lang w:val="en-US" w:eastAsia="zh-CN" w:bidi="ar-SA"/>
        </w:rPr>
        <w:t>第五章 公开招标响应文件格式</w:t>
      </w:r>
      <w:r>
        <w:rPr>
          <w:rFonts w:hint="default" w:ascii="Arial" w:hAnsi="Arial" w:eastAsia="宋体" w:cs="Arial"/>
          <w:b/>
          <w:bCs w:val="0"/>
          <w:sz w:val="18"/>
          <w:szCs w:val="18"/>
          <w:highlight w:val="none"/>
        </w:rPr>
        <w:t>………………………………………………………………………</w:t>
      </w:r>
      <w:r>
        <w:rPr>
          <w:rFonts w:hint="eastAsia" w:ascii="宋体" w:hAnsi="宋体" w:cs="宋体"/>
          <w:b w:val="0"/>
          <w:bCs/>
          <w:sz w:val="28"/>
          <w:szCs w:val="28"/>
          <w:highlight w:val="none"/>
          <w:lang w:val="en-US" w:eastAsia="zh-CN"/>
        </w:rPr>
        <w:t>32</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eastAsia" w:ascii="宋体" w:hAnsi="宋体" w:cs="宋体"/>
          <w:bCs/>
          <w:sz w:val="28"/>
          <w:szCs w:val="28"/>
          <w:highlight w:val="none"/>
          <w:lang w:val="en-US" w:eastAsia="zh-CN"/>
        </w:rPr>
      </w:pPr>
      <w:r>
        <w:rPr>
          <w:rFonts w:hint="eastAsia" w:ascii="宋体" w:hAnsi="宋体" w:eastAsia="宋体" w:cs="宋体"/>
          <w:bCs/>
          <w:kern w:val="3"/>
          <w:sz w:val="28"/>
          <w:szCs w:val="28"/>
          <w:highlight w:val="none"/>
        </w:rPr>
        <w:t xml:space="preserve">第一部分  </w:t>
      </w:r>
      <w:r>
        <w:rPr>
          <w:rStyle w:val="15"/>
          <w:rFonts w:hint="eastAsia" w:ascii="宋体" w:hAnsi="宋体" w:cs="宋体"/>
          <w:b w:val="0"/>
          <w:bCs/>
          <w:kern w:val="3"/>
          <w:sz w:val="28"/>
          <w:szCs w:val="28"/>
          <w:highlight w:val="none"/>
          <w:lang w:eastAsia="zh-CN"/>
        </w:rPr>
        <w:t>公开招标</w:t>
      </w:r>
      <w:r>
        <w:rPr>
          <w:rFonts w:hint="eastAsia" w:ascii="宋体" w:hAnsi="宋体" w:eastAsia="宋体" w:cs="宋体"/>
          <w:bCs/>
          <w:kern w:val="3"/>
          <w:sz w:val="28"/>
          <w:szCs w:val="28"/>
          <w:highlight w:val="none"/>
        </w:rPr>
        <w:t>响应函</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34</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第二部分</w:t>
      </w:r>
      <w:r>
        <w:rPr>
          <w:rFonts w:hint="eastAsia" w:ascii="宋体" w:hAnsi="宋体" w:eastAsia="宋体" w:cs="宋体"/>
          <w:bCs/>
          <w:sz w:val="28"/>
          <w:szCs w:val="28"/>
          <w:highlight w:val="none"/>
        </w:rPr>
        <w:tab/>
      </w:r>
      <w:r>
        <w:rPr>
          <w:rFonts w:hint="eastAsia" w:ascii="宋体" w:hAnsi="宋体" w:eastAsia="宋体" w:cs="宋体"/>
          <w:bCs/>
          <w:sz w:val="28"/>
          <w:szCs w:val="28"/>
          <w:highlight w:val="none"/>
        </w:rPr>
        <w:t>3</w:t>
      </w:r>
      <w:r>
        <w:rPr>
          <w:rFonts w:hint="eastAsia" w:ascii="宋体" w:hAnsi="宋体" w:cs="宋体"/>
          <w:bCs/>
          <w:sz w:val="28"/>
          <w:szCs w:val="28"/>
          <w:highlight w:val="none"/>
          <w:lang w:val="en-US" w:eastAsia="zh-CN"/>
        </w:rPr>
        <w:t>5</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第三部分  法定代表人身份证明及授权委托书</w:t>
      </w:r>
      <w:r>
        <w:rPr>
          <w:rFonts w:hint="eastAsia" w:ascii="宋体" w:hAnsi="宋体" w:eastAsia="宋体" w:cs="宋体"/>
          <w:bCs/>
          <w:sz w:val="28"/>
          <w:szCs w:val="28"/>
          <w:highlight w:val="none"/>
        </w:rPr>
        <w:tab/>
      </w:r>
      <w:r>
        <w:rPr>
          <w:rFonts w:hint="eastAsia" w:ascii="宋体" w:hAnsi="宋体" w:eastAsia="宋体" w:cs="宋体"/>
          <w:bCs/>
          <w:sz w:val="28"/>
          <w:szCs w:val="28"/>
          <w:highlight w:val="none"/>
        </w:rPr>
        <w:t>3</w:t>
      </w:r>
      <w:r>
        <w:rPr>
          <w:rFonts w:hint="eastAsia" w:ascii="宋体" w:hAnsi="宋体" w:cs="宋体"/>
          <w:bCs/>
          <w:sz w:val="28"/>
          <w:szCs w:val="28"/>
          <w:highlight w:val="none"/>
          <w:lang w:val="en-US" w:eastAsia="zh-CN"/>
        </w:rPr>
        <w:t>7</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第四部分  供应商资格证明文件</w:t>
      </w:r>
      <w:r>
        <w:rPr>
          <w:rFonts w:hint="eastAsia" w:ascii="宋体" w:hAnsi="宋体" w:eastAsia="宋体" w:cs="宋体"/>
          <w:bCs/>
          <w:sz w:val="28"/>
          <w:szCs w:val="28"/>
          <w:highlight w:val="none"/>
        </w:rPr>
        <w:tab/>
      </w:r>
      <w:r>
        <w:rPr>
          <w:rFonts w:hint="eastAsia" w:ascii="宋体" w:hAnsi="宋体" w:eastAsia="宋体" w:cs="宋体"/>
          <w:bCs/>
          <w:sz w:val="28"/>
          <w:szCs w:val="28"/>
          <w:highlight w:val="none"/>
        </w:rPr>
        <w:t>3</w:t>
      </w:r>
      <w:r>
        <w:rPr>
          <w:rFonts w:hint="eastAsia" w:ascii="宋体" w:hAnsi="宋体" w:cs="宋体"/>
          <w:bCs/>
          <w:sz w:val="28"/>
          <w:szCs w:val="28"/>
          <w:highlight w:val="none"/>
          <w:lang w:val="en-US" w:eastAsia="zh-CN"/>
        </w:rPr>
        <w:t>9</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rPr>
        <w:t xml:space="preserve">第五部分  </w:t>
      </w:r>
      <w:r>
        <w:rPr>
          <w:rStyle w:val="15"/>
          <w:rFonts w:hint="eastAsia" w:ascii="宋体" w:hAnsi="宋体" w:cs="宋体"/>
          <w:b w:val="0"/>
          <w:bCs/>
          <w:kern w:val="3"/>
          <w:sz w:val="28"/>
          <w:szCs w:val="28"/>
          <w:highlight w:val="none"/>
          <w:lang w:eastAsia="zh-CN"/>
        </w:rPr>
        <w:t>公开招标</w:t>
      </w:r>
      <w:r>
        <w:rPr>
          <w:rFonts w:hint="eastAsia" w:ascii="宋体" w:hAnsi="宋体" w:eastAsia="宋体" w:cs="宋体"/>
          <w:bCs/>
          <w:sz w:val="28"/>
          <w:szCs w:val="28"/>
          <w:highlight w:val="none"/>
        </w:rPr>
        <w:t>响应方案说明</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40</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第六部分  供应商承诺书</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41</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default" w:ascii="宋体" w:hAnsi="宋体" w:eastAsia="宋体" w:cs="宋体"/>
          <w:bCs/>
          <w:sz w:val="28"/>
          <w:szCs w:val="28"/>
          <w:highlight w:val="none"/>
          <w:lang w:val="en-US" w:eastAsia="zh-CN"/>
        </w:rPr>
      </w:pPr>
      <w:r>
        <w:rPr>
          <w:rFonts w:hint="eastAsia" w:ascii="宋体" w:hAnsi="宋体" w:eastAsia="宋体" w:cs="宋体"/>
          <w:bCs/>
          <w:sz w:val="28"/>
          <w:szCs w:val="28"/>
          <w:highlight w:val="none"/>
        </w:rPr>
        <w:t>第七部分  政府采购供应商拒绝政府采购领域商业贿赂承诺</w:t>
      </w:r>
      <w:r>
        <w:rPr>
          <w:rFonts w:hint="eastAsia" w:ascii="宋体" w:hAnsi="宋体" w:cs="宋体"/>
          <w:bCs/>
          <w:sz w:val="28"/>
          <w:szCs w:val="28"/>
          <w:highlight w:val="none"/>
          <w:lang w:eastAsia="zh-CN"/>
        </w:rPr>
        <w:t>书</w:t>
      </w:r>
      <w:r>
        <w:rPr>
          <w:rFonts w:hint="eastAsia" w:ascii="宋体" w:hAnsi="宋体" w:eastAsia="宋体" w:cs="宋体"/>
          <w:bCs/>
          <w:sz w:val="28"/>
          <w:szCs w:val="28"/>
          <w:highlight w:val="none"/>
        </w:rPr>
        <w:tab/>
      </w:r>
      <w:r>
        <w:rPr>
          <w:rFonts w:hint="eastAsia" w:ascii="宋体" w:hAnsi="宋体" w:cs="宋体"/>
          <w:bCs/>
          <w:sz w:val="28"/>
          <w:szCs w:val="28"/>
          <w:highlight w:val="none"/>
          <w:lang w:val="en-US" w:eastAsia="zh-CN"/>
        </w:rPr>
        <w:t>42</w:t>
      </w:r>
    </w:p>
    <w:p>
      <w:pPr>
        <w:pStyle w:val="140"/>
        <w:keepNext w:val="0"/>
        <w:keepLines w:val="0"/>
        <w:pageBreakBefore w:val="0"/>
        <w:widowControl/>
        <w:tabs>
          <w:tab w:val="right" w:leader="dot" w:pos="9042"/>
        </w:tabs>
        <w:kinsoku/>
        <w:wordWrap/>
        <w:overflowPunct/>
        <w:topLinePunct w:val="0"/>
        <w:autoSpaceDE/>
        <w:autoSpaceDN/>
        <w:bidi w:val="0"/>
        <w:adjustRightInd w:val="0"/>
        <w:snapToGrid w:val="0"/>
        <w:spacing w:line="480" w:lineRule="auto"/>
        <w:ind w:firstLine="560" w:firstLineChars="200"/>
        <w:rPr>
          <w:rFonts w:hint="eastAsia" w:ascii="宋体" w:hAnsi="宋体" w:cs="宋体"/>
          <w:bCs/>
          <w:sz w:val="28"/>
          <w:szCs w:val="28"/>
          <w:highlight w:val="none"/>
          <w:lang w:val="en-US" w:eastAsia="zh-CN"/>
        </w:rPr>
      </w:pPr>
      <w:r>
        <w:rPr>
          <w:rFonts w:hint="eastAsia" w:ascii="宋体" w:hAnsi="宋体" w:eastAsia="宋体" w:cs="宋体"/>
          <w:bCs/>
          <w:sz w:val="28"/>
          <w:szCs w:val="28"/>
          <w:highlight w:val="none"/>
        </w:rPr>
        <w:t>第八部分  附件</w:t>
      </w:r>
      <w:r>
        <w:rPr>
          <w:rFonts w:hint="eastAsia" w:ascii="宋体" w:hAnsi="宋体" w:eastAsia="宋体" w:cs="宋体"/>
          <w:bCs/>
          <w:sz w:val="28"/>
          <w:szCs w:val="28"/>
          <w:highlight w:val="none"/>
        </w:rPr>
        <w:tab/>
      </w:r>
      <w:r>
        <w:rPr>
          <w:rFonts w:hint="eastAsia" w:ascii="宋体" w:hAnsi="宋体" w:eastAsia="宋体" w:cs="宋体"/>
          <w:bCs/>
          <w:sz w:val="28"/>
          <w:szCs w:val="28"/>
          <w:highlight w:val="none"/>
          <w:lang w:val="en-US" w:eastAsia="zh-CN"/>
        </w:rPr>
        <w:t>4</w:t>
      </w:r>
      <w:r>
        <w:rPr>
          <w:rFonts w:hint="eastAsia" w:ascii="宋体" w:hAnsi="宋体" w:cs="宋体"/>
          <w:bCs/>
          <w:sz w:val="28"/>
          <w:szCs w:val="28"/>
          <w:highlight w:val="none"/>
          <w:lang w:val="en-US" w:eastAsia="zh-CN"/>
        </w:rPr>
        <w:t>3</w:t>
      </w: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560" w:firstLineChars="200"/>
        <w:rPr>
          <w:rFonts w:hint="eastAsia" w:ascii="宋体" w:hAnsi="宋体" w:cs="宋体"/>
          <w:bCs/>
          <w:sz w:val="28"/>
          <w:szCs w:val="28"/>
          <w:highlight w:val="none"/>
          <w:lang w:val="en-US" w:eastAsia="zh-CN"/>
        </w:rPr>
      </w:pPr>
    </w:p>
    <w:p>
      <w:pPr>
        <w:pStyle w:val="140"/>
        <w:tabs>
          <w:tab w:val="right" w:leader="dot" w:pos="9042"/>
        </w:tabs>
        <w:spacing w:line="480" w:lineRule="auto"/>
        <w:ind w:firstLine="600" w:firstLineChars="200"/>
        <w:rPr>
          <w:rFonts w:hint="default" w:ascii="宋体" w:hAnsi="宋体" w:cs="宋体"/>
          <w:bCs/>
          <w:sz w:val="30"/>
          <w:szCs w:val="30"/>
          <w:highlight w:val="none"/>
          <w:lang w:val="en-US" w:eastAsia="zh-CN"/>
        </w:rPr>
      </w:pPr>
    </w:p>
    <w:p>
      <w:pPr>
        <w:pStyle w:val="140"/>
        <w:tabs>
          <w:tab w:val="right" w:leader="dot" w:pos="9042"/>
        </w:tabs>
        <w:spacing w:line="480" w:lineRule="auto"/>
        <w:rPr>
          <w:rFonts w:hint="eastAsia" w:ascii="宋体" w:hAnsi="宋体" w:eastAsia="宋体" w:cs="宋体"/>
          <w:bCs/>
          <w:kern w:val="3"/>
          <w:sz w:val="30"/>
          <w:szCs w:val="30"/>
          <w:highlight w:val="none"/>
        </w:rPr>
      </w:pPr>
    </w:p>
    <w:p>
      <w:pPr>
        <w:snapToGrid w:val="0"/>
        <w:spacing w:line="480" w:lineRule="auto"/>
        <w:rPr>
          <w:rStyle w:val="15"/>
          <w:rFonts w:hint="eastAsia" w:ascii="宋体" w:hAnsi="宋体" w:eastAsia="宋体" w:cs="宋体"/>
          <w:bCs/>
          <w:kern w:val="3"/>
          <w:sz w:val="30"/>
          <w:szCs w:val="30"/>
          <w:highlight w:val="none"/>
        </w:rPr>
      </w:pPr>
      <w:r>
        <w:rPr>
          <w:rStyle w:val="15"/>
          <w:rFonts w:hint="eastAsia" w:ascii="宋体" w:hAnsi="宋体" w:eastAsia="宋体" w:cs="宋体"/>
          <w:bCs/>
          <w:kern w:val="3"/>
          <w:sz w:val="30"/>
          <w:szCs w:val="30"/>
          <w:highlight w:val="none"/>
        </w:rPr>
        <w:fldChar w:fldCharType="end"/>
      </w:r>
    </w:p>
    <w:p>
      <w:pPr>
        <w:pStyle w:val="25"/>
        <w:snapToGrid w:val="0"/>
        <w:rPr>
          <w:rStyle w:val="15"/>
          <w:rFonts w:hint="eastAsia" w:ascii="宋体" w:hAnsi="宋体" w:eastAsia="宋体" w:cs="宋体"/>
          <w:sz w:val="36"/>
          <w:highlight w:val="none"/>
        </w:rPr>
        <w:sectPr>
          <w:headerReference r:id="rId3" w:type="default"/>
          <w:footerReference r:id="rId4" w:type="default"/>
          <w:pgSz w:w="11910" w:h="16840"/>
          <w:pgMar w:top="1417" w:right="1417" w:bottom="1417" w:left="1417" w:header="874" w:footer="952" w:gutter="0"/>
          <w:pgNumType w:fmt="decimal" w:start="1"/>
          <w:cols w:space="0" w:num="1"/>
          <w:rtlGutter w:val="0"/>
        </w:sectPr>
      </w:pPr>
    </w:p>
    <w:p>
      <w:pPr>
        <w:pStyle w:val="25"/>
        <w:numPr>
          <w:ilvl w:val="0"/>
          <w:numId w:val="3"/>
        </w:numPr>
        <w:snapToGrid w:val="0"/>
        <w:outlineLvl w:val="0"/>
        <w:rPr>
          <w:rStyle w:val="15"/>
          <w:rFonts w:hint="eastAsia" w:ascii="宋体" w:hAnsi="宋体" w:eastAsia="宋体" w:cs="宋体"/>
          <w:b/>
          <w:bCs w:val="0"/>
          <w:kern w:val="3"/>
          <w:sz w:val="36"/>
          <w:szCs w:val="36"/>
          <w:highlight w:val="none"/>
        </w:rPr>
      </w:pPr>
      <w:bookmarkStart w:id="0" w:name="_Toc9192"/>
      <w:r>
        <w:rPr>
          <w:rStyle w:val="15"/>
          <w:rFonts w:hint="eastAsia" w:ascii="宋体" w:hAnsi="宋体" w:eastAsia="宋体" w:cs="宋体"/>
          <w:b/>
          <w:bCs w:val="0"/>
          <w:kern w:val="3"/>
          <w:sz w:val="36"/>
          <w:szCs w:val="36"/>
          <w:highlight w:val="none"/>
          <w:lang w:eastAsia="zh-CN"/>
        </w:rPr>
        <w:t>公开招标</w:t>
      </w:r>
      <w:r>
        <w:rPr>
          <w:rStyle w:val="15"/>
          <w:rFonts w:hint="eastAsia" w:ascii="宋体" w:hAnsi="宋体" w:eastAsia="宋体" w:cs="宋体"/>
          <w:b/>
          <w:bCs w:val="0"/>
          <w:kern w:val="3"/>
          <w:sz w:val="36"/>
          <w:szCs w:val="36"/>
          <w:highlight w:val="none"/>
        </w:rPr>
        <w:t>公告</w:t>
      </w:r>
      <w:bookmarkEnd w:id="0"/>
    </w:p>
    <w:p>
      <w:pPr>
        <w:numPr>
          <w:ilvl w:val="0"/>
          <w:numId w:val="0"/>
        </w:numPr>
        <w:rPr>
          <w:rFonts w:hint="eastAsia"/>
        </w:rPr>
      </w:pPr>
    </w:p>
    <w:p>
      <w:pPr>
        <w:pStyle w:val="8"/>
        <w:widowControl/>
        <w:spacing w:before="0" w:beforeAutospacing="0" w:after="0" w:afterAutospacing="0" w:line="360" w:lineRule="auto"/>
        <w:ind w:firstLine="422" w:firstLineChars="200"/>
        <w:rPr>
          <w:rFonts w:hint="eastAsia" w:ascii="宋体" w:hAnsi="宋体" w:cs="宋体"/>
          <w:b/>
          <w:bCs/>
          <w:color w:val="333333"/>
          <w:sz w:val="21"/>
          <w:szCs w:val="21"/>
          <w:lang w:val="en-US" w:eastAsia="zh-CN"/>
        </w:rPr>
      </w:pPr>
      <w:r>
        <w:rPr>
          <w:rFonts w:hint="eastAsia" w:ascii="宋体" w:hAnsi="宋体" w:cs="宋体"/>
          <w:b/>
          <w:bCs/>
          <w:color w:val="333333"/>
          <w:sz w:val="21"/>
          <w:szCs w:val="21"/>
          <w:lang w:val="en-US" w:eastAsia="zh-CN"/>
        </w:rPr>
        <w:t>彬州市机关事务服务中心关于公务用车定点加油、维修、保险项目潜在的供应商可在彬州市财政局办公楼1005 室获取采购文件，并于</w:t>
      </w:r>
      <w:r>
        <w:rPr>
          <w:rFonts w:hint="eastAsia" w:ascii="宋体" w:hAnsi="宋体" w:cs="宋体"/>
          <w:b/>
          <w:bCs/>
          <w:color w:val="333333"/>
          <w:sz w:val="21"/>
          <w:szCs w:val="21"/>
          <w:highlight w:val="yellow"/>
          <w:lang w:val="en-US" w:eastAsia="zh-CN"/>
        </w:rPr>
        <w:t>2021-10-18</w:t>
      </w:r>
      <w:r>
        <w:rPr>
          <w:rFonts w:hint="eastAsia" w:ascii="宋体" w:hAnsi="宋体" w:cs="宋体"/>
          <w:b/>
          <w:bCs/>
          <w:color w:val="333333"/>
          <w:sz w:val="21"/>
          <w:szCs w:val="21"/>
          <w:lang w:val="en-US" w:eastAsia="zh-CN"/>
        </w:rPr>
        <w:t xml:space="preserve">  10:00:00前递交响应文件。</w:t>
      </w:r>
    </w:p>
    <w:p>
      <w:pPr>
        <w:pStyle w:val="8"/>
        <w:widowControl/>
        <w:spacing w:before="0" w:beforeAutospacing="0" w:after="0" w:afterAutospacing="0" w:line="360" w:lineRule="auto"/>
        <w:rPr>
          <w:rFonts w:hint="eastAsia" w:ascii="宋体" w:hAnsi="宋体" w:cs="宋体"/>
          <w:b/>
          <w:bCs/>
          <w:color w:val="333333"/>
          <w:sz w:val="21"/>
          <w:szCs w:val="21"/>
          <w:lang w:val="en-US" w:eastAsia="zh-CN"/>
        </w:rPr>
      </w:pPr>
      <w:r>
        <w:rPr>
          <w:rFonts w:hint="eastAsia" w:ascii="宋体" w:hAnsi="宋体" w:cs="宋体"/>
          <w:b/>
          <w:bCs/>
          <w:color w:val="333333"/>
          <w:sz w:val="21"/>
          <w:szCs w:val="21"/>
          <w:lang w:val="en-US" w:eastAsia="zh-CN"/>
        </w:rPr>
        <w:t>一、项目基本情况：</w:t>
      </w:r>
    </w:p>
    <w:p>
      <w:pPr>
        <w:pStyle w:val="8"/>
        <w:widowControl/>
        <w:spacing w:before="0" w:beforeAutospacing="0" w:after="0" w:afterAutospacing="0" w:line="360" w:lineRule="auto"/>
        <w:ind w:firstLine="420" w:firstLineChars="200"/>
        <w:rPr>
          <w:rFonts w:hint="eastAsia" w:ascii="宋体" w:hAnsi="宋体" w:cs="宋体"/>
          <w:color w:val="333333"/>
          <w:sz w:val="21"/>
          <w:szCs w:val="21"/>
          <w:highlight w:val="yellow"/>
          <w:lang w:val="en-US" w:eastAsia="zh-CN"/>
        </w:rPr>
      </w:pPr>
      <w:r>
        <w:rPr>
          <w:rFonts w:hint="eastAsia" w:ascii="宋体" w:hAnsi="宋体" w:cs="宋体"/>
          <w:color w:val="333333"/>
          <w:sz w:val="21"/>
          <w:szCs w:val="21"/>
          <w:lang w:val="en-US" w:eastAsia="zh-CN"/>
        </w:rPr>
        <w:t>1、项目编号：</w:t>
      </w:r>
      <w:r>
        <w:rPr>
          <w:rFonts w:hint="eastAsia" w:ascii="宋体" w:hAnsi="宋体" w:cs="宋体"/>
          <w:color w:val="333333"/>
          <w:sz w:val="21"/>
          <w:szCs w:val="21"/>
          <w:highlight w:val="yellow"/>
          <w:lang w:val="en-US" w:eastAsia="zh-CN"/>
        </w:rPr>
        <w:t>ZFCG-彬州市-2021-00015</w:t>
      </w:r>
    </w:p>
    <w:p>
      <w:pPr>
        <w:pStyle w:val="8"/>
        <w:widowControl/>
        <w:spacing w:before="0" w:beforeAutospacing="0" w:after="0" w:afterAutospacing="0" w:line="360" w:lineRule="auto"/>
        <w:ind w:firstLine="420" w:firstLineChars="200"/>
        <w:rPr>
          <w:rFonts w:hint="eastAsia" w:ascii="宋体" w:hAnsi="宋体" w:cs="宋体"/>
          <w:color w:val="333333"/>
          <w:sz w:val="21"/>
          <w:szCs w:val="21"/>
          <w:lang w:val="en-US" w:eastAsia="zh-CN"/>
        </w:rPr>
      </w:pPr>
      <w:r>
        <w:rPr>
          <w:rFonts w:hint="eastAsia" w:ascii="宋体" w:hAnsi="宋体" w:cs="宋体"/>
          <w:color w:val="333333"/>
          <w:sz w:val="21"/>
          <w:szCs w:val="21"/>
          <w:lang w:val="en-US" w:eastAsia="zh-CN"/>
        </w:rPr>
        <w:t>2、项目名称：彬州市机关事务服务中心关于公务用车定点加油、维修、保险项目</w:t>
      </w:r>
    </w:p>
    <w:p>
      <w:pPr>
        <w:pStyle w:val="8"/>
        <w:widowControl/>
        <w:spacing w:before="0" w:beforeAutospacing="0" w:after="0" w:afterAutospacing="0" w:line="360" w:lineRule="auto"/>
        <w:ind w:firstLine="420" w:firstLineChars="200"/>
        <w:rPr>
          <w:rFonts w:hint="eastAsia" w:ascii="宋体" w:hAnsi="宋体" w:cs="宋体"/>
          <w:color w:val="333333"/>
          <w:sz w:val="21"/>
          <w:szCs w:val="21"/>
          <w:lang w:val="en-US" w:eastAsia="zh-CN"/>
        </w:rPr>
      </w:pPr>
      <w:r>
        <w:rPr>
          <w:rFonts w:hint="eastAsia" w:ascii="宋体" w:hAnsi="宋体" w:cs="宋体"/>
          <w:color w:val="333333"/>
          <w:sz w:val="21"/>
          <w:szCs w:val="21"/>
          <w:lang w:val="en-US" w:eastAsia="zh-CN"/>
        </w:rPr>
        <w:t xml:space="preserve">3、预算金额：1.00元       </w:t>
      </w:r>
    </w:p>
    <w:p>
      <w:pPr>
        <w:pStyle w:val="8"/>
        <w:widowControl/>
        <w:spacing w:before="0" w:beforeAutospacing="0" w:after="0" w:afterAutospacing="0" w:line="360" w:lineRule="auto"/>
        <w:ind w:firstLine="420" w:firstLineChars="200"/>
        <w:rPr>
          <w:rFonts w:hint="eastAsia" w:ascii="宋体" w:hAnsi="宋体" w:cs="宋体"/>
          <w:color w:val="333333"/>
          <w:sz w:val="21"/>
          <w:szCs w:val="21"/>
          <w:lang w:val="en-US" w:eastAsia="zh-CN"/>
        </w:rPr>
      </w:pPr>
      <w:r>
        <w:rPr>
          <w:rFonts w:hint="eastAsia" w:ascii="宋体" w:hAnsi="宋体" w:cs="宋体"/>
          <w:color w:val="333333"/>
          <w:sz w:val="21"/>
          <w:szCs w:val="21"/>
          <w:lang w:val="en-US" w:eastAsia="zh-CN"/>
        </w:rPr>
        <w:t>4、最高限价：1.00元</w:t>
      </w:r>
    </w:p>
    <w:p>
      <w:pPr>
        <w:pStyle w:val="8"/>
        <w:widowControl/>
        <w:spacing w:before="0" w:beforeAutospacing="0" w:after="0" w:afterAutospacing="0" w:line="360" w:lineRule="auto"/>
        <w:ind w:firstLine="840" w:firstLineChars="400"/>
        <w:rPr>
          <w:rFonts w:hint="eastAsia" w:ascii="宋体" w:hAnsi="宋体" w:cs="宋体"/>
          <w:color w:val="333333"/>
          <w:sz w:val="21"/>
          <w:szCs w:val="21"/>
          <w:lang w:val="en-US" w:eastAsia="zh-CN"/>
        </w:rPr>
      </w:pPr>
      <w:r>
        <w:rPr>
          <w:rFonts w:hint="eastAsia" w:ascii="宋体" w:hAnsi="宋体" w:cs="宋体"/>
          <w:color w:val="333333"/>
          <w:sz w:val="21"/>
          <w:szCs w:val="21"/>
          <w:lang w:val="en-US" w:eastAsia="zh-CN"/>
        </w:rPr>
        <w:t>第一包：公务用车定点加油</w:t>
      </w:r>
    </w:p>
    <w:p>
      <w:pPr>
        <w:pStyle w:val="8"/>
        <w:widowControl/>
        <w:spacing w:before="0" w:beforeAutospacing="0" w:after="0" w:afterAutospacing="0" w:line="360" w:lineRule="auto"/>
        <w:ind w:firstLine="840" w:firstLineChars="400"/>
        <w:rPr>
          <w:rFonts w:hint="eastAsia" w:ascii="宋体" w:hAnsi="宋体" w:cs="宋体"/>
          <w:color w:val="333333"/>
          <w:sz w:val="21"/>
          <w:szCs w:val="21"/>
          <w:lang w:val="en-US" w:eastAsia="zh-CN"/>
        </w:rPr>
      </w:pPr>
      <w:r>
        <w:rPr>
          <w:rFonts w:hint="eastAsia" w:ascii="宋体" w:hAnsi="宋体" w:cs="宋体"/>
          <w:color w:val="333333"/>
          <w:sz w:val="21"/>
          <w:szCs w:val="21"/>
          <w:lang w:val="en-US" w:eastAsia="zh-CN"/>
        </w:rPr>
        <w:t>第二包：公务用车定点维修</w:t>
      </w:r>
    </w:p>
    <w:p>
      <w:pPr>
        <w:pStyle w:val="8"/>
        <w:widowControl/>
        <w:spacing w:before="0" w:beforeAutospacing="0" w:after="0" w:afterAutospacing="0" w:line="360" w:lineRule="auto"/>
        <w:ind w:firstLine="840" w:firstLineChars="400"/>
        <w:rPr>
          <w:rFonts w:hint="eastAsia" w:ascii="宋体" w:hAnsi="宋体" w:eastAsia="宋体" w:cs="宋体"/>
          <w:color w:val="333333"/>
          <w:sz w:val="21"/>
          <w:szCs w:val="21"/>
          <w:lang w:val="en-US" w:eastAsia="zh-CN"/>
        </w:rPr>
      </w:pPr>
      <w:r>
        <w:rPr>
          <w:rFonts w:hint="eastAsia" w:ascii="宋体" w:hAnsi="宋体" w:cs="宋体"/>
          <w:color w:val="333333"/>
          <w:sz w:val="21"/>
          <w:szCs w:val="21"/>
          <w:lang w:val="en-US" w:eastAsia="zh-CN"/>
        </w:rPr>
        <w:t>第三包：</w:t>
      </w:r>
      <w:r>
        <w:rPr>
          <w:rFonts w:hint="eastAsia" w:ascii="宋体" w:hAnsi="宋体" w:cs="宋体"/>
          <w:color w:val="333333"/>
          <w:sz w:val="21"/>
          <w:szCs w:val="21"/>
          <w:lang w:eastAsia="zh-CN"/>
        </w:rPr>
        <w:t>公务用车定点</w:t>
      </w:r>
      <w:r>
        <w:rPr>
          <w:rFonts w:hint="eastAsia" w:ascii="宋体" w:hAnsi="宋体" w:cs="宋体"/>
          <w:color w:val="333333"/>
          <w:sz w:val="21"/>
          <w:szCs w:val="21"/>
          <w:lang w:val="en-US" w:eastAsia="zh-CN"/>
        </w:rPr>
        <w:t>保险</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5、采购需求：</w:t>
      </w:r>
      <w:r>
        <w:rPr>
          <w:rFonts w:hint="eastAsia" w:ascii="宋体" w:hAnsi="宋体" w:eastAsia="宋体" w:cs="宋体"/>
          <w:b w:val="0"/>
          <w:bCs w:val="0"/>
          <w:kern w:val="0"/>
          <w:sz w:val="22"/>
          <w:szCs w:val="22"/>
          <w:highlight w:val="none"/>
          <w:lang w:val="en-US" w:eastAsia="zh-CN" w:bidi="ar-SA"/>
        </w:rPr>
        <w:t>彬州市机关事务服务中心关于公务用车定点加油、维修、保险项目</w:t>
      </w:r>
    </w:p>
    <w:p>
      <w:pPr>
        <w:pStyle w:val="8"/>
        <w:widowControl/>
        <w:spacing w:before="0" w:beforeAutospacing="0" w:after="0" w:afterAutospacing="0" w:line="360" w:lineRule="auto"/>
        <w:ind w:firstLine="840" w:firstLineChars="400"/>
        <w:rPr>
          <w:rFonts w:hint="default" w:ascii="宋体" w:hAnsi="宋体" w:eastAsia="宋体" w:cs="宋体"/>
          <w:color w:val="333333"/>
          <w:sz w:val="21"/>
          <w:szCs w:val="21"/>
          <w:lang w:val="en-US" w:eastAsia="zh-CN"/>
        </w:rPr>
      </w:pPr>
      <w:r>
        <w:rPr>
          <w:rFonts w:hint="eastAsia" w:ascii="宋体" w:hAnsi="宋体" w:cs="宋体"/>
          <w:color w:val="333333"/>
          <w:sz w:val="21"/>
          <w:szCs w:val="21"/>
        </w:rPr>
        <w:t xml:space="preserve">第一包 </w:t>
      </w:r>
      <w:r>
        <w:rPr>
          <w:rFonts w:hint="eastAsia" w:ascii="宋体" w:hAnsi="宋体" w:cs="宋体"/>
          <w:color w:val="333333"/>
          <w:sz w:val="21"/>
          <w:szCs w:val="21"/>
          <w:lang w:eastAsia="zh-CN"/>
        </w:rPr>
        <w:t>确定</w:t>
      </w:r>
      <w:r>
        <w:rPr>
          <w:rFonts w:hint="eastAsia" w:ascii="宋体" w:hAnsi="宋体" w:cs="宋体"/>
          <w:color w:val="333333"/>
          <w:sz w:val="21"/>
          <w:szCs w:val="21"/>
          <w:lang w:val="en-US" w:eastAsia="zh-CN"/>
        </w:rPr>
        <w:t>3家定点加油点。</w:t>
      </w:r>
    </w:p>
    <w:p>
      <w:pPr>
        <w:pStyle w:val="8"/>
        <w:widowControl/>
        <w:spacing w:before="0" w:beforeAutospacing="0" w:after="0" w:afterAutospacing="0" w:line="360" w:lineRule="auto"/>
        <w:ind w:firstLine="840" w:firstLineChars="400"/>
        <w:rPr>
          <w:rFonts w:hint="eastAsia" w:ascii="宋体" w:hAnsi="宋体" w:cs="宋体"/>
          <w:color w:val="333333"/>
          <w:sz w:val="21"/>
          <w:szCs w:val="21"/>
          <w:lang w:val="en-US" w:eastAsia="zh-CN"/>
        </w:rPr>
      </w:pPr>
      <w:r>
        <w:rPr>
          <w:rFonts w:hint="eastAsia" w:ascii="宋体" w:hAnsi="宋体" w:cs="宋体"/>
          <w:color w:val="333333"/>
          <w:sz w:val="21"/>
          <w:szCs w:val="21"/>
        </w:rPr>
        <w:t xml:space="preserve">第二包 </w:t>
      </w:r>
      <w:r>
        <w:rPr>
          <w:rFonts w:hint="eastAsia" w:ascii="宋体" w:hAnsi="宋体" w:cs="宋体"/>
          <w:color w:val="333333"/>
          <w:sz w:val="21"/>
          <w:szCs w:val="21"/>
          <w:lang w:eastAsia="zh-CN"/>
        </w:rPr>
        <w:t>确定</w:t>
      </w:r>
      <w:r>
        <w:rPr>
          <w:rFonts w:hint="eastAsia" w:ascii="宋体" w:hAnsi="宋体" w:cs="宋体"/>
          <w:color w:val="333333"/>
          <w:sz w:val="21"/>
          <w:szCs w:val="21"/>
          <w:lang w:val="en-US" w:eastAsia="zh-CN"/>
        </w:rPr>
        <w:t>4家符合要求的维修点。</w:t>
      </w:r>
    </w:p>
    <w:p>
      <w:pPr>
        <w:pStyle w:val="8"/>
        <w:widowControl/>
        <w:spacing w:before="0" w:beforeAutospacing="0" w:after="0" w:afterAutospacing="0" w:line="360" w:lineRule="auto"/>
        <w:ind w:firstLine="840" w:firstLineChars="400"/>
        <w:rPr>
          <w:rFonts w:hint="default" w:ascii="宋体" w:hAnsi="宋体" w:cs="宋体"/>
          <w:color w:val="333333"/>
          <w:sz w:val="21"/>
          <w:szCs w:val="21"/>
          <w:lang w:val="en-US" w:eastAsia="zh-CN"/>
        </w:rPr>
      </w:pPr>
      <w:r>
        <w:rPr>
          <w:rFonts w:hint="eastAsia" w:ascii="宋体" w:hAnsi="宋体" w:cs="宋体"/>
          <w:color w:val="333333"/>
          <w:sz w:val="21"/>
          <w:szCs w:val="21"/>
          <w:lang w:val="en-US" w:eastAsia="zh-CN"/>
        </w:rPr>
        <w:t>第三包 确定4家保险公司。</w:t>
      </w:r>
    </w:p>
    <w:p>
      <w:pPr>
        <w:pStyle w:val="8"/>
        <w:widowControl/>
        <w:spacing w:before="0" w:beforeAutospacing="0" w:after="0" w:afterAutospacing="0" w:line="360" w:lineRule="auto"/>
        <w:ind w:firstLine="840" w:firstLineChars="400"/>
        <w:rPr>
          <w:rFonts w:hint="eastAsia" w:ascii="宋体" w:hAnsi="宋体" w:eastAsia="宋体" w:cs="宋体"/>
          <w:color w:val="333333"/>
          <w:sz w:val="21"/>
          <w:szCs w:val="21"/>
          <w:lang w:eastAsia="zh-CN"/>
        </w:rPr>
      </w:pPr>
      <w:r>
        <w:rPr>
          <w:rFonts w:hint="eastAsia" w:ascii="宋体" w:hAnsi="宋体" w:cs="宋体"/>
          <w:color w:val="333333"/>
          <w:sz w:val="21"/>
          <w:szCs w:val="21"/>
        </w:rPr>
        <w:t>项目概况：</w:t>
      </w:r>
      <w:r>
        <w:rPr>
          <w:rFonts w:hint="eastAsia" w:ascii="宋体" w:hAnsi="宋体" w:cs="宋体"/>
          <w:color w:val="333333"/>
          <w:sz w:val="21"/>
          <w:szCs w:val="21"/>
          <w:lang w:eastAsia="zh-CN"/>
        </w:rPr>
        <w:t>保障彬州市公务用车</w:t>
      </w:r>
      <w:r>
        <w:rPr>
          <w:rFonts w:hint="eastAsia" w:ascii="宋体" w:hAnsi="宋体" w:eastAsia="宋体" w:cs="宋体"/>
          <w:b w:val="0"/>
          <w:bCs w:val="0"/>
          <w:kern w:val="0"/>
          <w:sz w:val="22"/>
          <w:szCs w:val="22"/>
          <w:highlight w:val="none"/>
          <w:lang w:val="en-US" w:eastAsia="zh-CN" w:bidi="ar-SA"/>
        </w:rPr>
        <w:t>定点加油、维修、保险</w:t>
      </w:r>
      <w:r>
        <w:rPr>
          <w:rFonts w:hint="eastAsia" w:ascii="宋体" w:hAnsi="宋体" w:cs="宋体"/>
          <w:b w:val="0"/>
          <w:bCs w:val="0"/>
          <w:kern w:val="0"/>
          <w:sz w:val="22"/>
          <w:szCs w:val="22"/>
          <w:highlight w:val="none"/>
          <w:lang w:val="en-US" w:eastAsia="zh-CN" w:bidi="ar-SA"/>
        </w:rPr>
        <w:t>项目。</w:t>
      </w:r>
    </w:p>
    <w:p>
      <w:pPr>
        <w:pStyle w:val="8"/>
        <w:widowControl/>
        <w:spacing w:before="0" w:beforeAutospacing="0" w:after="0" w:afterAutospacing="0" w:line="360" w:lineRule="auto"/>
        <w:ind w:firstLine="840" w:firstLineChars="400"/>
        <w:rPr>
          <w:rFonts w:hint="eastAsia" w:ascii="宋体" w:hAnsi="宋体" w:cs="宋体"/>
          <w:color w:val="333333"/>
          <w:sz w:val="21"/>
          <w:szCs w:val="21"/>
        </w:rPr>
      </w:pPr>
      <w:r>
        <w:rPr>
          <w:rFonts w:hint="eastAsia" w:ascii="宋体" w:hAnsi="宋体" w:cs="宋体"/>
          <w:color w:val="333333"/>
          <w:sz w:val="21"/>
          <w:szCs w:val="21"/>
        </w:rPr>
        <w:t>简要技术要求：详见招标文件</w:t>
      </w:r>
    </w:p>
    <w:p>
      <w:pPr>
        <w:pStyle w:val="8"/>
        <w:widowControl/>
        <w:spacing w:before="0" w:beforeAutospacing="0" w:after="0" w:afterAutospacing="0" w:line="360" w:lineRule="auto"/>
        <w:ind w:firstLine="840" w:firstLineChars="400"/>
        <w:rPr>
          <w:rFonts w:hint="eastAsia" w:ascii="宋体" w:hAnsi="宋体" w:eastAsia="宋体" w:cs="宋体"/>
          <w:sz w:val="21"/>
          <w:szCs w:val="21"/>
          <w:lang w:eastAsia="zh-CN"/>
        </w:rPr>
      </w:pPr>
      <w:r>
        <w:rPr>
          <w:rFonts w:hint="eastAsia" w:ascii="宋体" w:hAnsi="宋体" w:cs="宋体"/>
          <w:color w:val="333333"/>
          <w:sz w:val="21"/>
          <w:szCs w:val="21"/>
        </w:rPr>
        <w:t>项目用途：</w:t>
      </w:r>
      <w:r>
        <w:rPr>
          <w:rFonts w:hint="eastAsia" w:ascii="宋体" w:hAnsi="宋体" w:cs="宋体"/>
          <w:color w:val="333333"/>
          <w:sz w:val="21"/>
          <w:szCs w:val="21"/>
          <w:lang w:eastAsia="zh-CN"/>
        </w:rPr>
        <w:t>保障我市公务用车日常工作。</w:t>
      </w:r>
    </w:p>
    <w:p>
      <w:pPr>
        <w:pStyle w:val="8"/>
        <w:widowControl/>
        <w:spacing w:before="0" w:beforeAutospacing="0" w:after="0" w:afterAutospacing="0" w:line="360" w:lineRule="auto"/>
        <w:ind w:firstLine="420" w:firstLineChars="200"/>
        <w:rPr>
          <w:rFonts w:hint="eastAsia" w:ascii="宋体" w:hAnsi="宋体" w:cs="宋体"/>
          <w:sz w:val="21"/>
          <w:szCs w:val="21"/>
        </w:rPr>
      </w:pPr>
      <w:r>
        <w:rPr>
          <w:rFonts w:hint="eastAsia" w:ascii="宋体" w:hAnsi="宋体" w:cs="宋体"/>
          <w:color w:val="333333"/>
          <w:sz w:val="21"/>
          <w:szCs w:val="21"/>
        </w:rPr>
        <w:t>6、合同履行期限：</w:t>
      </w:r>
      <w:r>
        <w:rPr>
          <w:rFonts w:hint="eastAsia" w:ascii="宋体" w:hAnsi="宋体" w:cs="宋体"/>
          <w:color w:val="333333"/>
          <w:sz w:val="21"/>
          <w:szCs w:val="21"/>
          <w:highlight w:val="yellow"/>
        </w:rPr>
        <w:t>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18</w:t>
      </w:r>
      <w:r>
        <w:rPr>
          <w:rFonts w:hint="eastAsia" w:ascii="宋体" w:hAnsi="宋体" w:cs="宋体"/>
          <w:color w:val="333333"/>
          <w:sz w:val="21"/>
          <w:szCs w:val="21"/>
          <w:highlight w:val="yellow"/>
        </w:rPr>
        <w:t xml:space="preserve"> 00:00:00 至 202</w:t>
      </w:r>
      <w:r>
        <w:rPr>
          <w:rFonts w:hint="eastAsia" w:ascii="宋体" w:hAnsi="宋体" w:cs="宋体"/>
          <w:color w:val="333333"/>
          <w:sz w:val="21"/>
          <w:szCs w:val="21"/>
          <w:highlight w:val="yellow"/>
          <w:lang w:val="en-US" w:eastAsia="zh-CN"/>
        </w:rPr>
        <w:t>3</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17</w:t>
      </w:r>
      <w:r>
        <w:rPr>
          <w:rFonts w:hint="eastAsia" w:ascii="宋体" w:hAnsi="宋体" w:cs="宋体"/>
          <w:color w:val="333333"/>
          <w:sz w:val="21"/>
          <w:szCs w:val="21"/>
          <w:highlight w:val="yellow"/>
        </w:rPr>
        <w:t xml:space="preserve">   00:00:00</w:t>
      </w:r>
      <w:r>
        <w:rPr>
          <w:rFonts w:hint="eastAsia" w:ascii="宋体" w:hAnsi="宋体" w:cs="宋体"/>
          <w:color w:val="333333"/>
          <w:sz w:val="21"/>
          <w:szCs w:val="21"/>
        </w:rPr>
        <w:t>（具体服务起止日期可随合同签订时间相应顺延）</w:t>
      </w:r>
    </w:p>
    <w:p>
      <w:pPr>
        <w:pStyle w:val="148"/>
        <w:keepNext w:val="0"/>
        <w:keepLines w:val="0"/>
        <w:pageBreakBefore w:val="0"/>
        <w:widowControl/>
        <w:kinsoku/>
        <w:wordWrap/>
        <w:overflowPunct/>
        <w:topLinePunct w:val="0"/>
        <w:bidi w:val="0"/>
        <w:adjustRightInd w:val="0"/>
        <w:snapToGrid w:val="0"/>
        <w:spacing w:before="0" w:line="360" w:lineRule="auto"/>
        <w:ind w:firstLine="420" w:firstLineChars="200"/>
        <w:textAlignment w:val="baseline"/>
        <w:rPr>
          <w:rFonts w:hint="eastAsia" w:ascii="宋体" w:hAnsi="宋体" w:cs="宋体"/>
          <w:b w:val="0"/>
          <w:bCs w:val="0"/>
          <w:color w:val="333333"/>
          <w:sz w:val="21"/>
          <w:szCs w:val="21"/>
        </w:rPr>
      </w:pPr>
      <w:r>
        <w:rPr>
          <w:rFonts w:hint="eastAsia" w:ascii="宋体" w:hAnsi="宋体" w:cs="宋体"/>
          <w:b w:val="0"/>
          <w:bCs w:val="0"/>
          <w:color w:val="333333"/>
          <w:sz w:val="21"/>
          <w:szCs w:val="21"/>
        </w:rPr>
        <w:t>7、本项目是否接受联合体投标：否</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二、 响应供应商的资格要求</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1、满足《中华人民共和国政府采购法》第二十二条规定</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2、落实政府采购政策需满足的资格要求：依据《中华人民共和国政府采购法》和《中华人民共和国政府采购法实施条例》的有关规定，落实政府采购政策，详见</w:t>
      </w:r>
      <w:r>
        <w:rPr>
          <w:rFonts w:hint="eastAsia" w:ascii="宋体" w:hAnsi="宋体" w:cs="宋体"/>
          <w:color w:val="333333"/>
          <w:sz w:val="21"/>
          <w:szCs w:val="21"/>
          <w:lang w:eastAsia="zh-CN"/>
        </w:rPr>
        <w:t>公开招标</w:t>
      </w:r>
      <w:r>
        <w:rPr>
          <w:rFonts w:hint="eastAsia" w:ascii="宋体" w:hAnsi="宋体" w:cs="宋体"/>
          <w:color w:val="333333"/>
          <w:sz w:val="21"/>
          <w:szCs w:val="21"/>
        </w:rPr>
        <w:t>文件；1、《政府采购促进中小企业发展管理办法》（财库〔2020〕46号）；2、《财政部司法部关于政府采购支持监狱企业发展有关问题的通知》（财库【2014】68号）；3、《国务院办公厅关于建立政府强制采购节能产品制度的通知》（国办发【2007】51号）；4、《财政部、国家环保总局关于环境标志产品政府采购实施的意见》（财库[2006]90号）；5、《财政部办公厅关于政府采购进口产品管理有关问题的通知》（财办库[2008]248号）；6、陕西省财政厅关于印发《陕西省中小企业政府采购信用融资办法》（陕财办采〔2018〕23号）；7、其他需要落实的政府采购政策；</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3、本项目的特定资格要求：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财务状况报告：提供2020年度经审计的财务报告或在开标日期前六个月内其基本开户银行出具的资信证明，以上二种形式的证明资料提供任何一种即可；4、税收缴纳证明：提供供应商2020年至今任意一个月已缴纳的完税凭证或税务机关开具的完税证明（任意税种）；5、社会保障资金缴纳证明：提供供应商2020年至今任意一个月已缴纳的社会保障资金缴存单据或社保机构开具的社会保险参保缴费情况证明；依法不需要缴纳社会保障资金的应提供相关文件证明；6、提供具有履行本合同所必需的设备和专业技术能力的承诺；7、参加政府采购活动前3年内在经营活动中没有重大违法记录的书面声明；8、供应商不得为“信用中国”网站（www.creditchina.gov.cn）中列入失信被执行人和重大税收违法案件当事人名单、不得为“中国政府采购网”（www.ccgp.gov.cn）政府采购严重违法失信行为记录名单中被财政部门禁止参加政府采购活动的供应商；9、本项目不接受联合体投标；</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三、 采购文件的获取方式</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时间：</w:t>
      </w:r>
      <w:r>
        <w:rPr>
          <w:rFonts w:hint="eastAsia" w:ascii="宋体" w:hAnsi="宋体" w:cs="宋体"/>
          <w:color w:val="333333"/>
          <w:sz w:val="21"/>
          <w:szCs w:val="21"/>
          <w:highlight w:val="yellow"/>
          <w:lang w:val="en-US" w:eastAsia="zh-CN"/>
        </w:rPr>
        <w:t>2021-09-27</w:t>
      </w:r>
      <w:r>
        <w:rPr>
          <w:rFonts w:hint="eastAsia" w:ascii="宋体" w:hAnsi="宋体" w:cs="宋体"/>
          <w:color w:val="333333"/>
          <w:sz w:val="21"/>
          <w:szCs w:val="21"/>
          <w:highlight w:val="yellow"/>
        </w:rPr>
        <w:t>至2021-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08</w:t>
      </w:r>
      <w:r>
        <w:rPr>
          <w:rFonts w:hint="eastAsia" w:ascii="宋体" w:hAnsi="宋体" w:cs="宋体"/>
          <w:color w:val="333333"/>
          <w:sz w:val="21"/>
          <w:szCs w:val="21"/>
          <w:highlight w:val="yellow"/>
        </w:rPr>
        <w:t xml:space="preserve">    18:00:00 止</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地点：彬州市财政局办公楼1005 室</w:t>
      </w:r>
    </w:p>
    <w:p>
      <w:pPr>
        <w:pStyle w:val="8"/>
        <w:widowControl/>
        <w:spacing w:before="0" w:beforeAutospacing="0" w:after="0" w:afterAutospacing="0" w:line="360" w:lineRule="auto"/>
        <w:ind w:firstLine="420"/>
        <w:rPr>
          <w:rFonts w:hint="eastAsia" w:ascii="宋体" w:hAnsi="宋体" w:eastAsia="宋体" w:cs="宋体"/>
          <w:sz w:val="21"/>
          <w:szCs w:val="21"/>
          <w:lang w:eastAsia="zh-CN"/>
        </w:rPr>
      </w:pPr>
      <w:r>
        <w:rPr>
          <w:rFonts w:hint="eastAsia" w:ascii="宋体" w:hAnsi="宋体" w:cs="宋体"/>
          <w:color w:val="333333"/>
          <w:sz w:val="21"/>
          <w:szCs w:val="21"/>
        </w:rPr>
        <w:t>方式：现场</w:t>
      </w:r>
      <w:r>
        <w:rPr>
          <w:rFonts w:hint="eastAsia" w:ascii="宋体" w:hAnsi="宋体" w:cs="宋体"/>
          <w:color w:val="333333"/>
          <w:sz w:val="21"/>
          <w:szCs w:val="21"/>
          <w:lang w:eastAsia="zh-CN"/>
        </w:rPr>
        <w:t>领取</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售价：免费获取</w:t>
      </w:r>
    </w:p>
    <w:p>
      <w:pPr>
        <w:pStyle w:val="8"/>
        <w:widowControl/>
        <w:spacing w:before="0" w:beforeAutospacing="0" w:after="0" w:afterAutospacing="0" w:line="360" w:lineRule="auto"/>
        <w:ind w:firstLine="420"/>
        <w:rPr>
          <w:rFonts w:hint="eastAsia" w:ascii="宋体" w:hAnsi="宋体" w:cs="宋体"/>
          <w:sz w:val="21"/>
          <w:szCs w:val="21"/>
        </w:rPr>
      </w:pPr>
      <w:r>
        <w:rPr>
          <w:rStyle w:val="13"/>
          <w:rFonts w:hint="eastAsia" w:ascii="宋体" w:hAnsi="宋体" w:cs="宋体"/>
          <w:color w:val="333333"/>
          <w:sz w:val="21"/>
          <w:szCs w:val="21"/>
        </w:rPr>
        <w:t>注：领取时间：</w:t>
      </w:r>
      <w:r>
        <w:rPr>
          <w:rStyle w:val="13"/>
          <w:rFonts w:hint="eastAsia" w:ascii="宋体" w:hAnsi="宋体" w:cs="宋体"/>
          <w:color w:val="333333"/>
          <w:sz w:val="21"/>
          <w:szCs w:val="21"/>
          <w:highlight w:val="yellow"/>
        </w:rPr>
        <w:t>2021-0</w:t>
      </w:r>
      <w:r>
        <w:rPr>
          <w:rStyle w:val="13"/>
          <w:rFonts w:hint="eastAsia" w:ascii="宋体" w:hAnsi="宋体" w:cs="宋体"/>
          <w:color w:val="333333"/>
          <w:sz w:val="21"/>
          <w:szCs w:val="21"/>
          <w:highlight w:val="yellow"/>
          <w:lang w:val="en-US" w:eastAsia="zh-CN"/>
        </w:rPr>
        <w:t>9</w:t>
      </w:r>
      <w:r>
        <w:rPr>
          <w:rStyle w:val="13"/>
          <w:rFonts w:hint="eastAsia" w:ascii="宋体" w:hAnsi="宋体" w:cs="宋体"/>
          <w:color w:val="333333"/>
          <w:sz w:val="21"/>
          <w:szCs w:val="21"/>
          <w:highlight w:val="yellow"/>
        </w:rPr>
        <w:t>-</w:t>
      </w:r>
      <w:r>
        <w:rPr>
          <w:rStyle w:val="13"/>
          <w:rFonts w:hint="eastAsia" w:ascii="宋体" w:hAnsi="宋体" w:cs="宋体"/>
          <w:color w:val="333333"/>
          <w:sz w:val="21"/>
          <w:szCs w:val="21"/>
          <w:highlight w:val="yellow"/>
          <w:lang w:val="en-US" w:eastAsia="zh-CN"/>
        </w:rPr>
        <w:t xml:space="preserve">27 </w:t>
      </w:r>
      <w:r>
        <w:rPr>
          <w:rStyle w:val="13"/>
          <w:rFonts w:hint="eastAsia" w:ascii="宋体" w:hAnsi="宋体" w:cs="宋体"/>
          <w:color w:val="333333"/>
          <w:sz w:val="21"/>
          <w:szCs w:val="21"/>
          <w:highlight w:val="yellow"/>
        </w:rPr>
        <w:t xml:space="preserve"> 08:30:00至2021-</w:t>
      </w:r>
      <w:r>
        <w:rPr>
          <w:rStyle w:val="13"/>
          <w:rFonts w:hint="eastAsia" w:ascii="宋体" w:hAnsi="宋体" w:cs="宋体"/>
          <w:color w:val="333333"/>
          <w:sz w:val="21"/>
          <w:szCs w:val="21"/>
          <w:highlight w:val="yellow"/>
          <w:lang w:val="en-US" w:eastAsia="zh-CN"/>
        </w:rPr>
        <w:t>10</w:t>
      </w:r>
      <w:r>
        <w:rPr>
          <w:rStyle w:val="13"/>
          <w:rFonts w:hint="eastAsia" w:ascii="宋体" w:hAnsi="宋体" w:cs="宋体"/>
          <w:color w:val="333333"/>
          <w:sz w:val="21"/>
          <w:szCs w:val="21"/>
          <w:highlight w:val="yellow"/>
        </w:rPr>
        <w:t>-</w:t>
      </w:r>
      <w:r>
        <w:rPr>
          <w:rStyle w:val="13"/>
          <w:rFonts w:hint="eastAsia" w:ascii="宋体" w:hAnsi="宋体" w:cs="宋体"/>
          <w:color w:val="333333"/>
          <w:sz w:val="21"/>
          <w:szCs w:val="21"/>
          <w:highlight w:val="yellow"/>
          <w:lang w:val="en-US" w:eastAsia="zh-CN"/>
        </w:rPr>
        <w:t>08</w:t>
      </w:r>
      <w:r>
        <w:rPr>
          <w:rStyle w:val="13"/>
          <w:rFonts w:hint="eastAsia" w:ascii="宋体" w:hAnsi="宋体" w:cs="宋体"/>
          <w:color w:val="333333"/>
          <w:sz w:val="21"/>
          <w:szCs w:val="21"/>
          <w:highlight w:val="yellow"/>
        </w:rPr>
        <w:t xml:space="preserve">  18:00:00</w:t>
      </w:r>
      <w:r>
        <w:rPr>
          <w:rStyle w:val="13"/>
          <w:rFonts w:hint="eastAsia" w:ascii="宋体" w:hAnsi="宋体" w:cs="宋体"/>
          <w:color w:val="333333"/>
          <w:sz w:val="21"/>
          <w:szCs w:val="21"/>
        </w:rPr>
        <w:t>（双休日及法定节假日除外）；领取</w:t>
      </w:r>
      <w:r>
        <w:rPr>
          <w:rStyle w:val="13"/>
          <w:rFonts w:hint="eastAsia" w:ascii="宋体" w:hAnsi="宋体" w:cs="宋体"/>
          <w:color w:val="333333"/>
          <w:sz w:val="21"/>
          <w:szCs w:val="21"/>
          <w:lang w:eastAsia="zh-CN"/>
        </w:rPr>
        <w:t>公开招标</w:t>
      </w:r>
      <w:r>
        <w:rPr>
          <w:rStyle w:val="13"/>
          <w:rFonts w:hint="eastAsia" w:ascii="宋体" w:hAnsi="宋体" w:cs="宋体"/>
          <w:color w:val="333333"/>
          <w:sz w:val="21"/>
          <w:szCs w:val="21"/>
        </w:rPr>
        <w:t>文件时请携带介绍信</w:t>
      </w:r>
      <w:r>
        <w:rPr>
          <w:rStyle w:val="13"/>
          <w:rFonts w:hint="eastAsia" w:ascii="宋体" w:hAnsi="宋体" w:cs="宋体"/>
          <w:color w:val="333333"/>
          <w:sz w:val="21"/>
          <w:szCs w:val="21"/>
          <w:lang w:eastAsia="zh-CN"/>
        </w:rPr>
        <w:t>原件</w:t>
      </w:r>
      <w:r>
        <w:rPr>
          <w:rStyle w:val="13"/>
          <w:rFonts w:hint="eastAsia" w:ascii="宋体" w:hAnsi="宋体" w:cs="宋体"/>
          <w:color w:val="333333"/>
          <w:sz w:val="21"/>
          <w:szCs w:val="21"/>
        </w:rPr>
        <w:t>、</w:t>
      </w:r>
      <w:r>
        <w:rPr>
          <w:rStyle w:val="13"/>
          <w:rFonts w:hint="eastAsia" w:ascii="宋体" w:hAnsi="宋体" w:cs="宋体"/>
          <w:color w:val="333333"/>
          <w:sz w:val="21"/>
          <w:szCs w:val="21"/>
          <w:lang w:eastAsia="zh-CN"/>
        </w:rPr>
        <w:t>营业执照复印件、及合法有效的法人或授权</w:t>
      </w:r>
      <w:r>
        <w:rPr>
          <w:rStyle w:val="13"/>
          <w:rFonts w:hint="eastAsia" w:ascii="宋体" w:hAnsi="宋体" w:cs="宋体"/>
          <w:color w:val="333333"/>
          <w:sz w:val="21"/>
          <w:szCs w:val="21"/>
        </w:rPr>
        <w:t>代理人身份证原件</w:t>
      </w:r>
      <w:r>
        <w:rPr>
          <w:rStyle w:val="13"/>
          <w:rFonts w:hint="eastAsia" w:ascii="宋体" w:hAnsi="宋体" w:cs="宋体"/>
          <w:color w:val="333333"/>
          <w:sz w:val="21"/>
          <w:szCs w:val="21"/>
          <w:lang w:eastAsia="zh-CN"/>
        </w:rPr>
        <w:t>和复印件</w:t>
      </w:r>
      <w:r>
        <w:rPr>
          <w:rStyle w:val="13"/>
          <w:rFonts w:hint="eastAsia" w:ascii="宋体" w:hAnsi="宋体" w:cs="宋体"/>
          <w:color w:val="333333"/>
          <w:sz w:val="21"/>
          <w:szCs w:val="21"/>
        </w:rPr>
        <w:t>现场</w:t>
      </w:r>
      <w:r>
        <w:rPr>
          <w:rStyle w:val="13"/>
          <w:rFonts w:hint="eastAsia" w:ascii="宋体" w:hAnsi="宋体" w:cs="宋体"/>
          <w:color w:val="333333"/>
          <w:sz w:val="21"/>
          <w:szCs w:val="21"/>
          <w:lang w:eastAsia="zh-CN"/>
        </w:rPr>
        <w:t>领取</w:t>
      </w:r>
      <w:r>
        <w:rPr>
          <w:rStyle w:val="13"/>
          <w:rFonts w:hint="eastAsia" w:ascii="宋体" w:hAnsi="宋体" w:cs="宋体"/>
          <w:color w:val="333333"/>
          <w:sz w:val="21"/>
          <w:szCs w:val="21"/>
        </w:rPr>
        <w:t>，谢绝邮寄。</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四、 响应文件递交</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截止时间：</w:t>
      </w:r>
      <w:r>
        <w:rPr>
          <w:rFonts w:hint="eastAsia" w:ascii="宋体" w:hAnsi="宋体" w:cs="宋体"/>
          <w:color w:val="333333"/>
          <w:sz w:val="21"/>
          <w:szCs w:val="21"/>
          <w:highlight w:val="yellow"/>
        </w:rPr>
        <w:t>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18</w:t>
      </w:r>
      <w:r>
        <w:rPr>
          <w:rFonts w:hint="eastAsia" w:ascii="宋体" w:hAnsi="宋体" w:cs="宋体"/>
          <w:color w:val="333333"/>
          <w:sz w:val="21"/>
          <w:szCs w:val="21"/>
          <w:highlight w:val="yellow"/>
        </w:rPr>
        <w:t xml:space="preserve">  </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0</w:t>
      </w:r>
      <w:r>
        <w:rPr>
          <w:rFonts w:hint="eastAsia" w:ascii="宋体" w:hAnsi="宋体" w:cs="宋体"/>
          <w:color w:val="333333"/>
          <w:sz w:val="21"/>
          <w:szCs w:val="21"/>
          <w:highlight w:val="yellow"/>
        </w:rPr>
        <w:t>0:00</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地点：彬州市财政局十一楼</w:t>
      </w:r>
      <w:r>
        <w:rPr>
          <w:rFonts w:hint="eastAsia" w:ascii="宋体" w:hAnsi="宋体" w:cs="宋体"/>
          <w:color w:val="333333"/>
          <w:sz w:val="21"/>
          <w:szCs w:val="21"/>
          <w:lang w:val="en-US" w:eastAsia="zh-CN"/>
        </w:rPr>
        <w:t>1103</w:t>
      </w:r>
      <w:r>
        <w:rPr>
          <w:rFonts w:hint="eastAsia" w:ascii="宋体" w:hAnsi="宋体" w:cs="宋体"/>
          <w:color w:val="333333"/>
          <w:sz w:val="21"/>
          <w:szCs w:val="21"/>
        </w:rPr>
        <w:t>会议室</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五、公告期限</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自本公告发布之日起</w:t>
      </w:r>
      <w:r>
        <w:rPr>
          <w:rFonts w:hint="eastAsia" w:ascii="宋体" w:hAnsi="宋体" w:cs="宋体"/>
          <w:color w:val="333333"/>
          <w:sz w:val="21"/>
          <w:szCs w:val="21"/>
          <w:lang w:val="en-US" w:eastAsia="zh-CN"/>
        </w:rPr>
        <w:t>20</w:t>
      </w:r>
      <w:r>
        <w:rPr>
          <w:rFonts w:hint="eastAsia" w:ascii="宋体" w:hAnsi="宋体" w:cs="宋体"/>
          <w:color w:val="333333"/>
          <w:sz w:val="21"/>
          <w:szCs w:val="21"/>
        </w:rPr>
        <w:t>个工作日。</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六、其他补充事宜</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七、对本次采购提出询问，请按以下方式联系。</w:t>
      </w:r>
    </w:p>
    <w:p>
      <w:pPr>
        <w:pStyle w:val="8"/>
        <w:widowControl/>
        <w:spacing w:before="0" w:beforeAutospacing="0" w:after="0" w:afterAutospacing="0" w:line="360" w:lineRule="auto"/>
        <w:ind w:firstLine="420"/>
        <w:rPr>
          <w:rFonts w:hint="eastAsia" w:ascii="宋体" w:hAnsi="宋体" w:eastAsia="宋体" w:cs="宋体"/>
          <w:sz w:val="21"/>
          <w:szCs w:val="21"/>
          <w:lang w:eastAsia="zh-CN"/>
        </w:rPr>
      </w:pPr>
      <w:r>
        <w:rPr>
          <w:rFonts w:hint="eastAsia" w:ascii="宋体" w:hAnsi="宋体" w:cs="宋体"/>
          <w:color w:val="333333"/>
          <w:sz w:val="21"/>
          <w:szCs w:val="21"/>
        </w:rPr>
        <w:t>1、采购人信息：彬州市</w:t>
      </w:r>
      <w:r>
        <w:rPr>
          <w:rFonts w:hint="eastAsia" w:ascii="宋体" w:hAnsi="宋体" w:cs="宋体"/>
          <w:color w:val="333333"/>
          <w:sz w:val="21"/>
          <w:szCs w:val="21"/>
          <w:lang w:eastAsia="zh-CN"/>
        </w:rPr>
        <w:t>机关事务服务中心</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地址：</w:t>
      </w:r>
      <w:r>
        <w:rPr>
          <w:rFonts w:hint="eastAsia"/>
          <w:sz w:val="22"/>
          <w:szCs w:val="22"/>
          <w:highlight w:val="none"/>
        </w:rPr>
        <w:t>陕西省咸阳市彬州市西大街</w:t>
      </w:r>
      <w:r>
        <w:rPr>
          <w:sz w:val="22"/>
          <w:szCs w:val="22"/>
          <w:highlight w:val="none"/>
        </w:rPr>
        <w:t>51</w:t>
      </w:r>
      <w:r>
        <w:rPr>
          <w:rFonts w:hint="eastAsia"/>
          <w:sz w:val="22"/>
          <w:szCs w:val="22"/>
          <w:highlight w:val="none"/>
        </w:rPr>
        <w:t>号</w:t>
      </w:r>
    </w:p>
    <w:p>
      <w:pPr>
        <w:pStyle w:val="8"/>
        <w:widowControl/>
        <w:spacing w:before="0" w:beforeAutospacing="0" w:after="0" w:afterAutospacing="0" w:line="360" w:lineRule="auto"/>
        <w:ind w:firstLine="420"/>
        <w:rPr>
          <w:rFonts w:hint="eastAsia" w:ascii="宋体" w:hAnsi="宋体" w:cs="宋体"/>
          <w:sz w:val="21"/>
          <w:szCs w:val="21"/>
          <w:lang w:eastAsia="zh-CN"/>
        </w:rPr>
      </w:pPr>
      <w:r>
        <w:rPr>
          <w:rFonts w:hint="eastAsia" w:ascii="宋体" w:hAnsi="宋体" w:cs="宋体"/>
          <w:color w:val="333333"/>
          <w:sz w:val="21"/>
          <w:szCs w:val="21"/>
        </w:rPr>
        <w:t>联系人：</w:t>
      </w:r>
      <w:r>
        <w:rPr>
          <w:rFonts w:hint="eastAsia" w:ascii="宋体" w:hAnsi="宋体" w:cs="宋体"/>
          <w:sz w:val="21"/>
          <w:szCs w:val="21"/>
          <w:lang w:eastAsia="zh-CN"/>
        </w:rPr>
        <w:t>姚园园</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电话：</w:t>
      </w:r>
      <w:r>
        <w:rPr>
          <w:rFonts w:ascii="宋体" w:hAnsi="宋体" w:cs="宋体"/>
          <w:sz w:val="22"/>
          <w:szCs w:val="22"/>
          <w:highlight w:val="none"/>
        </w:rPr>
        <w:t>029</w:t>
      </w:r>
      <w:r>
        <w:rPr>
          <w:rFonts w:hint="eastAsia" w:ascii="宋体" w:hAnsi="宋体" w:cs="宋体"/>
          <w:sz w:val="22"/>
          <w:szCs w:val="22"/>
          <w:highlight w:val="none"/>
          <w:lang w:val="en-US" w:eastAsia="zh-CN"/>
        </w:rPr>
        <w:t>-</w:t>
      </w:r>
      <w:r>
        <w:rPr>
          <w:rFonts w:ascii="宋体" w:hAnsi="宋体" w:cs="宋体"/>
          <w:sz w:val="22"/>
          <w:szCs w:val="22"/>
          <w:highlight w:val="none"/>
        </w:rPr>
        <w:t>34928232</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2、项目联系方式</w:t>
      </w:r>
    </w:p>
    <w:p>
      <w:pPr>
        <w:pStyle w:val="8"/>
        <w:widowControl/>
        <w:spacing w:before="0" w:beforeAutospacing="0" w:after="0" w:afterAutospacing="0" w:line="360" w:lineRule="auto"/>
        <w:ind w:firstLine="420"/>
        <w:rPr>
          <w:rFonts w:hint="eastAsia" w:ascii="宋体" w:hAnsi="宋体" w:eastAsia="宋体" w:cs="宋体"/>
          <w:sz w:val="21"/>
          <w:szCs w:val="21"/>
          <w:lang w:eastAsia="zh-CN"/>
        </w:rPr>
      </w:pPr>
      <w:r>
        <w:rPr>
          <w:rFonts w:hint="eastAsia" w:ascii="宋体" w:hAnsi="宋体" w:cs="宋体"/>
          <w:color w:val="333333"/>
          <w:sz w:val="21"/>
          <w:szCs w:val="21"/>
        </w:rPr>
        <w:t>项目联系人：</w:t>
      </w:r>
      <w:r>
        <w:rPr>
          <w:rFonts w:hint="eastAsia" w:ascii="宋体" w:hAnsi="宋体" w:cs="宋体"/>
          <w:color w:val="333333"/>
          <w:sz w:val="21"/>
          <w:szCs w:val="21"/>
          <w:lang w:eastAsia="zh-CN"/>
        </w:rPr>
        <w:t>武小琪</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电 话：02934968566</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3、采购代理机构信息</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名称：彬州市政府采购中心</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联系地址：彬州市财政局办公楼1005 室</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联系方式：</w:t>
      </w:r>
      <w:r>
        <w:rPr>
          <w:rFonts w:hint="eastAsia" w:ascii="宋体" w:hAnsi="宋体" w:cs="宋体"/>
          <w:color w:val="333333"/>
          <w:sz w:val="21"/>
          <w:szCs w:val="21"/>
        </w:rPr>
        <w:fldChar w:fldCharType="begin"/>
      </w:r>
      <w:r>
        <w:rPr>
          <w:rFonts w:hint="eastAsia" w:ascii="宋体" w:hAnsi="宋体" w:cs="宋体"/>
          <w:color w:val="333333"/>
          <w:sz w:val="21"/>
          <w:szCs w:val="21"/>
        </w:rPr>
        <w:instrText xml:space="preserve"> HYPERLINK "http://www.ccgp.gov.cn/agency/a_agencylist.html" \t "http://www.ccgp-shaanxi.gov.cn/notice/_blank" </w:instrText>
      </w:r>
      <w:r>
        <w:rPr>
          <w:rFonts w:hint="eastAsia" w:ascii="宋体" w:hAnsi="宋体" w:cs="宋体"/>
          <w:color w:val="333333"/>
          <w:sz w:val="21"/>
          <w:szCs w:val="21"/>
        </w:rPr>
        <w:fldChar w:fldCharType="separate"/>
      </w:r>
      <w:r>
        <w:rPr>
          <w:rStyle w:val="18"/>
          <w:rFonts w:hint="eastAsia" w:ascii="宋体" w:hAnsi="宋体" w:eastAsia="宋体" w:cs="宋体"/>
          <w:color w:val="333333"/>
          <w:sz w:val="21"/>
          <w:szCs w:val="21"/>
          <w:u w:val="none"/>
        </w:rPr>
        <w:t>http://www.ccgp.gov.cn/agency/a_agencylist.html</w:t>
      </w:r>
      <w:r>
        <w:rPr>
          <w:rFonts w:hint="eastAsia" w:ascii="宋体" w:hAnsi="宋体" w:cs="宋体"/>
          <w:color w:val="333333"/>
          <w:sz w:val="21"/>
          <w:szCs w:val="21"/>
        </w:rPr>
        <w:fldChar w:fldCharType="end"/>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八、附件：</w:t>
      </w:r>
    </w:p>
    <w:p>
      <w:pPr>
        <w:pStyle w:val="8"/>
        <w:widowControl/>
        <w:spacing w:before="210" w:beforeAutospacing="0" w:after="210" w:afterAutospacing="0" w:line="360" w:lineRule="auto"/>
        <w:ind w:firstLine="420"/>
        <w:jc w:val="center"/>
        <w:rPr>
          <w:rFonts w:hint="eastAsia" w:ascii="宋体" w:hAnsi="宋体" w:cs="宋体"/>
          <w:sz w:val="21"/>
          <w:szCs w:val="21"/>
        </w:rPr>
      </w:pPr>
      <w:r>
        <w:rPr>
          <w:rFonts w:hint="eastAsia" w:ascii="宋体" w:hAnsi="宋体" w:cs="宋体"/>
          <w:color w:val="333333"/>
          <w:sz w:val="21"/>
          <w:szCs w:val="21"/>
          <w:lang w:val="en-US" w:eastAsia="zh-CN"/>
        </w:rPr>
        <w:t xml:space="preserve">                                </w:t>
      </w:r>
      <w:r>
        <w:rPr>
          <w:rFonts w:hint="eastAsia" w:ascii="宋体" w:hAnsi="宋体" w:cs="宋体"/>
          <w:color w:val="333333"/>
          <w:sz w:val="21"/>
          <w:szCs w:val="21"/>
        </w:rPr>
        <w:t>彬州市政府采购中心</w:t>
      </w:r>
    </w:p>
    <w:p>
      <w:pPr>
        <w:pStyle w:val="8"/>
        <w:widowControl/>
        <w:spacing w:before="210" w:beforeAutospacing="0" w:after="210" w:afterAutospacing="0" w:line="360" w:lineRule="auto"/>
        <w:ind w:firstLine="420"/>
        <w:jc w:val="center"/>
        <w:rPr>
          <w:rFonts w:hint="eastAsia" w:ascii="宋体" w:hAnsi="宋体" w:cs="宋体"/>
          <w:color w:val="333333"/>
          <w:sz w:val="21"/>
          <w:szCs w:val="21"/>
        </w:rPr>
      </w:pPr>
      <w:r>
        <w:rPr>
          <w:rFonts w:hint="eastAsia" w:ascii="宋体" w:hAnsi="宋体" w:cs="宋体"/>
          <w:color w:val="333333"/>
          <w:sz w:val="21"/>
          <w:szCs w:val="21"/>
          <w:lang w:val="en-US" w:eastAsia="zh-CN"/>
        </w:rPr>
        <w:t xml:space="preserve">                               </w:t>
      </w:r>
      <w:r>
        <w:rPr>
          <w:rFonts w:hint="eastAsia" w:ascii="宋体" w:hAnsi="宋体" w:cs="宋体"/>
          <w:color w:val="333333"/>
          <w:sz w:val="21"/>
          <w:szCs w:val="21"/>
        </w:rPr>
        <w:t>2021年</w:t>
      </w:r>
      <w:r>
        <w:rPr>
          <w:rFonts w:hint="eastAsia" w:ascii="宋体" w:hAnsi="宋体" w:cs="宋体"/>
          <w:color w:val="333333"/>
          <w:sz w:val="21"/>
          <w:szCs w:val="21"/>
          <w:lang w:val="en-US" w:eastAsia="zh-CN"/>
        </w:rPr>
        <w:t>09</w:t>
      </w:r>
      <w:r>
        <w:rPr>
          <w:rFonts w:hint="eastAsia" w:ascii="宋体" w:hAnsi="宋体" w:cs="宋体"/>
          <w:color w:val="333333"/>
          <w:sz w:val="21"/>
          <w:szCs w:val="21"/>
        </w:rPr>
        <w:t>月</w:t>
      </w:r>
      <w:r>
        <w:rPr>
          <w:rFonts w:hint="eastAsia" w:ascii="宋体" w:hAnsi="宋体" w:cs="宋体"/>
          <w:color w:val="333333"/>
          <w:sz w:val="21"/>
          <w:szCs w:val="21"/>
          <w:lang w:val="en-US" w:eastAsia="zh-CN"/>
        </w:rPr>
        <w:t>26</w:t>
      </w:r>
      <w:r>
        <w:rPr>
          <w:rFonts w:hint="eastAsia" w:ascii="宋体" w:hAnsi="宋体" w:cs="宋体"/>
          <w:color w:val="333333"/>
          <w:sz w:val="21"/>
          <w:szCs w:val="21"/>
        </w:rPr>
        <w:t>日</w:t>
      </w:r>
    </w:p>
    <w:p>
      <w:pPr>
        <w:rPr>
          <w:rStyle w:val="15"/>
          <w:rFonts w:hint="eastAsia" w:ascii="宋体" w:hAnsi="宋体" w:eastAsia="宋体" w:cs="宋体"/>
          <w:sz w:val="21"/>
          <w:highlight w:val="none"/>
        </w:rPr>
      </w:pPr>
    </w:p>
    <w:p>
      <w:pPr>
        <w:pStyle w:val="25"/>
        <w:snapToGrid w:val="0"/>
        <w:outlineLvl w:val="0"/>
        <w:rPr>
          <w:rStyle w:val="15"/>
          <w:rFonts w:hint="eastAsia" w:ascii="宋体" w:hAnsi="宋体" w:eastAsia="宋体" w:cs="宋体"/>
          <w:sz w:val="36"/>
          <w:highlight w:val="none"/>
        </w:rPr>
      </w:pPr>
      <w:bookmarkStart w:id="1" w:name="_Toc27724"/>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Fonts w:hint="eastAsia"/>
        </w:rPr>
      </w:pPr>
    </w:p>
    <w:p>
      <w:pPr>
        <w:pStyle w:val="25"/>
        <w:snapToGrid w:val="0"/>
        <w:outlineLvl w:val="0"/>
        <w:rPr>
          <w:rStyle w:val="15"/>
          <w:rFonts w:hint="eastAsia" w:ascii="宋体" w:hAnsi="宋体" w:eastAsia="宋体" w:cs="宋体"/>
          <w:sz w:val="36"/>
          <w:highlight w:val="none"/>
        </w:rPr>
      </w:pPr>
      <w:r>
        <w:rPr>
          <w:rStyle w:val="15"/>
          <w:rFonts w:hint="eastAsia" w:ascii="宋体" w:hAnsi="宋体" w:eastAsia="宋体" w:cs="宋体"/>
          <w:sz w:val="36"/>
          <w:highlight w:val="none"/>
        </w:rPr>
        <w:t xml:space="preserve">第二章  </w:t>
      </w:r>
      <w:r>
        <w:rPr>
          <w:rStyle w:val="15"/>
          <w:rFonts w:hint="eastAsia" w:ascii="宋体" w:hAnsi="宋体" w:cs="宋体"/>
          <w:b/>
          <w:bCs w:val="0"/>
          <w:kern w:val="3"/>
          <w:sz w:val="36"/>
          <w:szCs w:val="36"/>
          <w:highlight w:val="none"/>
          <w:lang w:eastAsia="zh-CN"/>
        </w:rPr>
        <w:t>公开招标</w:t>
      </w:r>
      <w:r>
        <w:rPr>
          <w:rStyle w:val="15"/>
          <w:rFonts w:hint="eastAsia" w:ascii="宋体" w:hAnsi="宋体" w:eastAsia="宋体" w:cs="宋体"/>
          <w:sz w:val="36"/>
          <w:highlight w:val="none"/>
        </w:rPr>
        <w:t>须知</w:t>
      </w:r>
      <w:bookmarkEnd w:id="1"/>
    </w:p>
    <w:p>
      <w:pPr>
        <w:snapToGrid w:val="0"/>
        <w:spacing w:line="460" w:lineRule="exact"/>
        <w:ind w:right="25"/>
        <w:jc w:val="center"/>
        <w:outlineLvl w:val="1"/>
        <w:rPr>
          <w:rStyle w:val="15"/>
          <w:rFonts w:hint="eastAsia" w:ascii="宋体" w:hAnsi="宋体" w:eastAsia="宋体" w:cs="宋体"/>
          <w:b/>
          <w:bCs/>
          <w:kern w:val="0"/>
          <w:sz w:val="28"/>
          <w:szCs w:val="28"/>
          <w:highlight w:val="none"/>
          <w:lang w:val="zh-TW"/>
        </w:rPr>
      </w:pPr>
      <w:bookmarkStart w:id="2" w:name="_Toc4538"/>
      <w:r>
        <w:rPr>
          <w:rStyle w:val="15"/>
          <w:rFonts w:hint="eastAsia" w:ascii="宋体" w:hAnsi="宋体" w:eastAsia="宋体" w:cs="宋体"/>
          <w:b/>
          <w:bCs/>
          <w:sz w:val="28"/>
          <w:szCs w:val="28"/>
          <w:highlight w:val="none"/>
        </w:rPr>
        <w:t>第一节  供应商须知附表</w:t>
      </w:r>
      <w:bookmarkEnd w:id="2"/>
    </w:p>
    <w:tbl>
      <w:tblPr>
        <w:tblStyle w:val="10"/>
        <w:tblW w:w="92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5"/>
        <w:gridCol w:w="1374"/>
        <w:gridCol w:w="7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jc w:val="center"/>
        </w:trPr>
        <w:tc>
          <w:tcPr>
            <w:tcW w:w="595" w:type="dxa"/>
            <w:vAlign w:val="center"/>
          </w:tcPr>
          <w:p>
            <w:pPr>
              <w:snapToGrid w:val="0"/>
              <w:spacing w:line="440" w:lineRule="exact"/>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1374" w:type="dxa"/>
            <w:vAlign w:val="center"/>
          </w:tcPr>
          <w:p>
            <w:pPr>
              <w:snapToGrid w:val="0"/>
              <w:spacing w:line="440" w:lineRule="exact"/>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内 容</w:t>
            </w:r>
          </w:p>
        </w:tc>
        <w:tc>
          <w:tcPr>
            <w:tcW w:w="7276" w:type="dxa"/>
            <w:vAlign w:val="center"/>
          </w:tcPr>
          <w:p>
            <w:pPr>
              <w:snapToGrid w:val="0"/>
              <w:spacing w:line="440" w:lineRule="exact"/>
              <w:ind w:right="71"/>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说明与要求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1374" w:type="dxa"/>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采购人</w:t>
            </w:r>
          </w:p>
        </w:tc>
        <w:tc>
          <w:tcPr>
            <w:tcW w:w="7276" w:type="dxa"/>
            <w:vAlign w:val="center"/>
          </w:tcPr>
          <w:p>
            <w:pPr>
              <w:tabs>
                <w:tab w:val="left" w:pos="1620"/>
              </w:tabs>
              <w:snapToGrid w:val="0"/>
              <w:spacing w:line="440" w:lineRule="exact"/>
              <w:ind w:right="71" w:firstLine="440" w:firstLineChars="200"/>
              <w:jc w:val="left"/>
              <w:rPr>
                <w:rStyle w:val="15"/>
                <w:rFonts w:ascii="宋体"/>
                <w:kern w:val="0"/>
                <w:sz w:val="22"/>
                <w:szCs w:val="22"/>
                <w:highlight w:val="none"/>
              </w:rPr>
            </w:pPr>
            <w:r>
              <w:rPr>
                <w:rStyle w:val="15"/>
                <w:rFonts w:hint="eastAsia" w:ascii="宋体" w:hAnsi="宋体" w:eastAsia="宋体" w:cs="宋体"/>
                <w:kern w:val="0"/>
                <w:sz w:val="22"/>
                <w:szCs w:val="22"/>
                <w:highlight w:val="none"/>
                <w:lang w:val="zh-CN"/>
              </w:rPr>
              <w:t>名  称:</w:t>
            </w:r>
            <w:r>
              <w:rPr>
                <w:rStyle w:val="15"/>
                <w:rFonts w:hint="eastAsia" w:ascii="宋体" w:hAnsi="宋体" w:eastAsia="宋体" w:cs="宋体"/>
                <w:kern w:val="0"/>
                <w:sz w:val="22"/>
                <w:szCs w:val="22"/>
                <w:highlight w:val="none"/>
              </w:rPr>
              <w:t xml:space="preserve"> </w:t>
            </w:r>
            <w:r>
              <w:rPr>
                <w:rStyle w:val="15"/>
                <w:rFonts w:hint="eastAsia" w:ascii="宋体" w:hAnsi="宋体"/>
                <w:bCs/>
                <w:kern w:val="3"/>
                <w:sz w:val="22"/>
                <w:szCs w:val="22"/>
                <w:highlight w:val="none"/>
              </w:rPr>
              <w:t>彬州市机关事务服务中心</w:t>
            </w:r>
          </w:p>
          <w:p>
            <w:pPr>
              <w:pStyle w:val="8"/>
              <w:spacing w:beforeAutospacing="0" w:afterAutospacing="0" w:line="408" w:lineRule="atLeast"/>
              <w:ind w:firstLine="440" w:firstLineChars="200"/>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地</w:t>
            </w:r>
            <w:r>
              <w:rPr>
                <w:rStyle w:val="15"/>
                <w:rFonts w:hint="eastAsia" w:ascii="宋体" w:hAnsi="宋体" w:eastAsia="宋体" w:cs="宋体"/>
                <w:sz w:val="22"/>
                <w:szCs w:val="22"/>
                <w:highlight w:val="none"/>
              </w:rPr>
              <w:t xml:space="preserve">  </w:t>
            </w:r>
            <w:r>
              <w:rPr>
                <w:rStyle w:val="15"/>
                <w:rFonts w:hint="eastAsia" w:ascii="宋体" w:hAnsi="宋体" w:eastAsia="宋体" w:cs="宋体"/>
                <w:sz w:val="22"/>
                <w:szCs w:val="22"/>
                <w:highlight w:val="none"/>
                <w:lang w:val="zh-CN"/>
              </w:rPr>
              <w:t>址：</w:t>
            </w:r>
            <w:r>
              <w:rPr>
                <w:rFonts w:hint="eastAsia"/>
                <w:sz w:val="22"/>
                <w:szCs w:val="22"/>
                <w:highlight w:val="none"/>
              </w:rPr>
              <w:t>陕西省咸阳市彬州市西大街</w:t>
            </w:r>
            <w:r>
              <w:rPr>
                <w:sz w:val="22"/>
                <w:szCs w:val="22"/>
                <w:highlight w:val="none"/>
              </w:rPr>
              <w:t>51</w:t>
            </w:r>
            <w:r>
              <w:rPr>
                <w:rFonts w:hint="eastAsia"/>
                <w:sz w:val="22"/>
                <w:szCs w:val="22"/>
                <w:highlight w:val="none"/>
              </w:rPr>
              <w:t>号</w:t>
            </w:r>
          </w:p>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zh-CN"/>
              </w:rPr>
              <w:t>联系人：</w:t>
            </w:r>
            <w:r>
              <w:rPr>
                <w:rStyle w:val="15"/>
                <w:rFonts w:hint="eastAsia" w:ascii="宋体" w:hAnsi="宋体" w:cs="宋体"/>
                <w:kern w:val="0"/>
                <w:sz w:val="22"/>
                <w:szCs w:val="22"/>
                <w:highlight w:val="none"/>
                <w:lang w:val="zh-CN"/>
              </w:rPr>
              <w:t>姚园园</w:t>
            </w:r>
          </w:p>
          <w:p>
            <w:pPr>
              <w:tabs>
                <w:tab w:val="left" w:pos="1620"/>
              </w:tabs>
              <w:snapToGrid w:val="0"/>
              <w:spacing w:line="440" w:lineRule="exact"/>
              <w:ind w:right="71"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lang w:val="zh-CN"/>
              </w:rPr>
              <w:t>电</w:t>
            </w:r>
            <w:r>
              <w:rPr>
                <w:rStyle w:val="15"/>
                <w:rFonts w:hint="eastAsia" w:ascii="宋体" w:hAnsi="宋体" w:eastAsia="宋体" w:cs="宋体"/>
                <w:kern w:val="0"/>
                <w:sz w:val="22"/>
                <w:szCs w:val="22"/>
                <w:highlight w:val="none"/>
              </w:rPr>
              <w:t xml:space="preserve">  </w:t>
            </w:r>
            <w:r>
              <w:rPr>
                <w:rStyle w:val="15"/>
                <w:rFonts w:hint="eastAsia" w:ascii="宋体" w:hAnsi="宋体" w:eastAsia="宋体" w:cs="宋体"/>
                <w:kern w:val="0"/>
                <w:sz w:val="22"/>
                <w:szCs w:val="22"/>
                <w:highlight w:val="none"/>
                <w:lang w:val="zh-CN"/>
              </w:rPr>
              <w:t>话：</w:t>
            </w:r>
            <w:r>
              <w:rPr>
                <w:rFonts w:hint="eastAsia" w:ascii="宋体" w:hAnsi="宋体" w:cs="宋体"/>
                <w:color w:val="333333"/>
                <w:sz w:val="21"/>
                <w:szCs w:val="21"/>
              </w:rPr>
              <w:t>029-3492287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3"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2</w:t>
            </w:r>
          </w:p>
        </w:tc>
        <w:tc>
          <w:tcPr>
            <w:tcW w:w="1374" w:type="dxa"/>
            <w:vAlign w:val="center"/>
          </w:tcPr>
          <w:p>
            <w:pPr>
              <w:snapToGrid w:val="0"/>
              <w:spacing w:line="360" w:lineRule="auto"/>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sz w:val="22"/>
                <w:szCs w:val="22"/>
                <w:highlight w:val="none"/>
              </w:rPr>
              <w:t>采购代理机构</w:t>
            </w:r>
          </w:p>
        </w:tc>
        <w:tc>
          <w:tcPr>
            <w:tcW w:w="7276" w:type="dxa"/>
          </w:tcPr>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采购代理机构：彬州市政府采购中心</w:t>
            </w:r>
          </w:p>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址：彬州市财政局办公楼1005 室</w:t>
            </w:r>
          </w:p>
          <w:p>
            <w:pPr>
              <w:snapToGrid w:val="0"/>
              <w:spacing w:line="360" w:lineRule="auto"/>
              <w:ind w:firstLine="440" w:firstLineChars="200"/>
              <w:rPr>
                <w:rStyle w:val="15"/>
                <w:rFonts w:hint="eastAsia" w:ascii="宋体" w:hAnsi="宋体" w:eastAsia="宋体" w:cs="宋体"/>
                <w:sz w:val="22"/>
                <w:szCs w:val="22"/>
                <w:highlight w:val="none"/>
                <w:lang w:eastAsia="zh-CN"/>
              </w:rPr>
            </w:pPr>
            <w:r>
              <w:rPr>
                <w:rStyle w:val="15"/>
                <w:rFonts w:hint="eastAsia" w:ascii="宋体" w:hAnsi="宋体" w:eastAsia="宋体" w:cs="宋体"/>
                <w:sz w:val="22"/>
                <w:szCs w:val="22"/>
                <w:highlight w:val="none"/>
              </w:rPr>
              <w:t>联   系   人：</w:t>
            </w:r>
            <w:r>
              <w:rPr>
                <w:rStyle w:val="15"/>
                <w:rFonts w:hint="eastAsia" w:ascii="宋体" w:hAnsi="宋体" w:cs="宋体"/>
                <w:sz w:val="22"/>
                <w:szCs w:val="22"/>
                <w:highlight w:val="none"/>
                <w:lang w:eastAsia="zh-CN"/>
              </w:rPr>
              <w:t>武小琪</w:t>
            </w:r>
          </w:p>
          <w:p>
            <w:pPr>
              <w:snapToGrid w:val="0"/>
              <w:spacing w:line="360" w:lineRule="auto"/>
              <w:ind w:firstLine="440" w:firstLineChars="200"/>
              <w:rPr>
                <w:rStyle w:val="15"/>
                <w:rFonts w:hint="eastAsia" w:ascii="宋体" w:hAnsi="宋体" w:eastAsia="宋体" w:cs="宋体"/>
                <w:kern w:val="0"/>
                <w:sz w:val="22"/>
                <w:szCs w:val="22"/>
                <w:highlight w:val="none"/>
                <w:lang w:val="zh-CN"/>
              </w:rPr>
            </w:pPr>
            <w:r>
              <w:rPr>
                <w:rStyle w:val="15"/>
                <w:rFonts w:hint="eastAsia" w:ascii="宋体" w:hAnsi="宋体" w:eastAsia="宋体" w:cs="宋体"/>
                <w:sz w:val="22"/>
                <w:szCs w:val="22"/>
                <w:highlight w:val="none"/>
              </w:rPr>
              <w:t>电        话：029-34968566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3</w:t>
            </w:r>
          </w:p>
        </w:tc>
        <w:tc>
          <w:tcPr>
            <w:tcW w:w="1374"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项目名称</w:t>
            </w:r>
          </w:p>
        </w:tc>
        <w:tc>
          <w:tcPr>
            <w:tcW w:w="7276" w:type="dxa"/>
            <w:vAlign w:val="center"/>
          </w:tcPr>
          <w:p>
            <w:pPr>
              <w:pStyle w:val="8"/>
              <w:widowControl/>
              <w:spacing w:before="0" w:beforeAutospacing="0" w:after="0" w:afterAutospacing="0" w:line="360" w:lineRule="auto"/>
              <w:ind w:firstLine="420" w:firstLineChars="200"/>
              <w:rPr>
                <w:rStyle w:val="15"/>
                <w:rFonts w:hint="eastAsia" w:ascii="宋体" w:hAnsi="宋体" w:eastAsia="宋体" w:cs="宋体"/>
                <w:sz w:val="22"/>
                <w:szCs w:val="22"/>
                <w:highlight w:val="none"/>
              </w:rPr>
            </w:pPr>
            <w:r>
              <w:rPr>
                <w:rFonts w:hint="eastAsia" w:ascii="宋体" w:hAnsi="宋体" w:cs="宋体"/>
                <w:color w:val="333333"/>
                <w:sz w:val="21"/>
                <w:szCs w:val="21"/>
                <w:lang w:val="en-US" w:eastAsia="zh-CN"/>
              </w:rPr>
              <w:t>彬州市机关事务服务中心关于公务用车定点加油、维修、保险计划项目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4</w:t>
            </w:r>
          </w:p>
        </w:tc>
        <w:tc>
          <w:tcPr>
            <w:tcW w:w="1374"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项目编号</w:t>
            </w:r>
          </w:p>
        </w:tc>
        <w:tc>
          <w:tcPr>
            <w:tcW w:w="7276" w:type="dxa"/>
            <w:vAlign w:val="center"/>
          </w:tcPr>
          <w:p>
            <w:pPr>
              <w:tabs>
                <w:tab w:val="left" w:pos="1620"/>
              </w:tabs>
              <w:snapToGrid w:val="0"/>
              <w:spacing w:line="440" w:lineRule="exact"/>
              <w:ind w:right="71" w:firstLine="420" w:firstLineChars="200"/>
              <w:jc w:val="left"/>
              <w:rPr>
                <w:rStyle w:val="15"/>
                <w:rFonts w:hint="default" w:ascii="宋体" w:hAnsi="宋体" w:eastAsia="宋体" w:cs="宋体"/>
                <w:kern w:val="0"/>
                <w:sz w:val="22"/>
                <w:szCs w:val="22"/>
                <w:highlight w:val="none"/>
                <w:lang w:val="en-US" w:eastAsia="zh-CN"/>
              </w:rPr>
            </w:pPr>
            <w:r>
              <w:rPr>
                <w:rFonts w:hint="eastAsia" w:ascii="宋体" w:hAnsi="宋体" w:cs="宋体"/>
                <w:color w:val="333333"/>
                <w:sz w:val="21"/>
                <w:szCs w:val="21"/>
                <w:highlight w:val="yellow"/>
              </w:rPr>
              <w:t>ZFCG-彬州市-2021-00015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1374" w:type="dxa"/>
            <w:vAlign w:val="center"/>
          </w:tcPr>
          <w:p>
            <w:pPr>
              <w:snapToGrid w:val="0"/>
              <w:spacing w:line="500" w:lineRule="exact"/>
              <w:ind w:left="0" w:leftChars="0" w:firstLine="0" w:firstLineChars="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资金来源及</w:t>
            </w:r>
          </w:p>
          <w:p>
            <w:pPr>
              <w:snapToGrid w:val="0"/>
              <w:spacing w:line="500" w:lineRule="exact"/>
              <w:ind w:left="0" w:leftChars="0" w:firstLine="0" w:firstLineChars="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采购预算金额</w:t>
            </w:r>
          </w:p>
        </w:tc>
        <w:tc>
          <w:tcPr>
            <w:tcW w:w="7276" w:type="dxa"/>
            <w:vAlign w:val="center"/>
          </w:tcPr>
          <w:p>
            <w:pPr>
              <w:snapToGrid w:val="0"/>
              <w:spacing w:line="50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资金来源：财政资金</w:t>
            </w:r>
          </w:p>
          <w:p>
            <w:pPr>
              <w:snapToGrid w:val="0"/>
              <w:spacing w:line="50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采购预算金额:</w:t>
            </w:r>
            <w:r>
              <w:rPr>
                <w:rStyle w:val="15"/>
                <w:rFonts w:hint="eastAsia" w:ascii="宋体" w:hAnsi="宋体" w:cs="宋体"/>
                <w:sz w:val="22"/>
                <w:szCs w:val="22"/>
                <w:highlight w:val="none"/>
                <w:lang w:val="en-US" w:eastAsia="zh-CN"/>
              </w:rPr>
              <w:t>1</w:t>
            </w:r>
            <w:r>
              <w:rPr>
                <w:rFonts w:hint="eastAsia" w:ascii="宋体" w:hAnsi="宋体" w:eastAsia="宋体" w:cs="宋体"/>
                <w:sz w:val="22"/>
                <w:szCs w:val="22"/>
                <w:highlight w:val="none"/>
              </w:rPr>
              <w:t>.00元</w:t>
            </w:r>
            <w:r>
              <w:rPr>
                <w:rStyle w:val="15"/>
                <w:rFonts w:hint="eastAsia" w:ascii="宋体" w:hAnsi="宋体" w:eastAsia="宋体" w:cs="宋体"/>
                <w:sz w:val="22"/>
                <w:szCs w:val="22"/>
                <w:highlight w:val="none"/>
              </w:rPr>
              <w:t>。</w:t>
            </w:r>
          </w:p>
          <w:p>
            <w:pPr>
              <w:snapToGrid w:val="0"/>
              <w:spacing w:line="500" w:lineRule="exact"/>
              <w:ind w:firstLine="440" w:firstLineChars="200"/>
              <w:rPr>
                <w:rStyle w:val="15"/>
                <w:rFonts w:hint="eastAsia" w:ascii="宋体" w:hAnsi="宋体" w:eastAsia="宋体" w:cs="宋体"/>
                <w:sz w:val="22"/>
                <w:szCs w:val="22"/>
                <w:highlight w:val="none"/>
                <w:lang w:val="en-US" w:eastAsia="zh-CN"/>
              </w:rPr>
            </w:pPr>
            <w:r>
              <w:rPr>
                <w:rStyle w:val="15"/>
                <w:rFonts w:hint="eastAsia" w:ascii="宋体" w:hAnsi="宋体" w:eastAsia="宋体" w:cs="宋体"/>
                <w:sz w:val="22"/>
                <w:szCs w:val="22"/>
                <w:highlight w:val="none"/>
                <w:lang w:val="zh-CN"/>
              </w:rPr>
              <w:t>供应商报价大于采购预算金额，作为不实质性响应询价响应文件，按无效</w:t>
            </w:r>
            <w:r>
              <w:rPr>
                <w:rStyle w:val="15"/>
                <w:rFonts w:hint="eastAsia" w:ascii="宋体" w:hAnsi="宋体" w:eastAsia="宋体" w:cs="宋体"/>
                <w:sz w:val="22"/>
                <w:szCs w:val="22"/>
                <w:highlight w:val="none"/>
              </w:rPr>
              <w:t>标</w:t>
            </w:r>
            <w:r>
              <w:rPr>
                <w:rStyle w:val="15"/>
                <w:rFonts w:hint="eastAsia" w:ascii="宋体" w:hAnsi="宋体" w:eastAsia="宋体" w:cs="宋体"/>
                <w:sz w:val="22"/>
                <w:szCs w:val="22"/>
                <w:highlight w:val="none"/>
                <w:lang w:val="zh-CN"/>
              </w:rPr>
              <w:t>处理。</w:t>
            </w:r>
            <w:r>
              <w:rPr>
                <w:rStyle w:val="15"/>
                <w:rFonts w:hint="eastAsia" w:ascii="宋体" w:hAnsi="宋体" w:cs="宋体"/>
                <w:sz w:val="22"/>
                <w:szCs w:val="22"/>
                <w:highlight w:val="none"/>
                <w:lang w:val="en-US" w:eastAsia="zh-CN"/>
              </w:rPr>
              <w:t>(本项目无需报价）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w:t>
            </w:r>
          </w:p>
        </w:tc>
        <w:tc>
          <w:tcPr>
            <w:tcW w:w="1374" w:type="dxa"/>
            <w:vAlign w:val="center"/>
          </w:tcPr>
          <w:p>
            <w:pPr>
              <w:tabs>
                <w:tab w:val="left" w:pos="1620"/>
              </w:tabs>
              <w:snapToGrid w:val="0"/>
              <w:spacing w:line="440" w:lineRule="exact"/>
              <w:ind w:left="0" w:leftChars="0" w:right="71" w:firstLine="0" w:firstLineChars="0"/>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采购项目</w:t>
            </w:r>
          </w:p>
          <w:p>
            <w:pPr>
              <w:tabs>
                <w:tab w:val="left" w:pos="1620"/>
              </w:tabs>
              <w:snapToGrid w:val="0"/>
              <w:spacing w:line="440" w:lineRule="exact"/>
              <w:ind w:left="0" w:leftChars="0" w:right="71" w:firstLine="0" w:firstLineChars="0"/>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内容</w:t>
            </w:r>
          </w:p>
        </w:tc>
        <w:tc>
          <w:tcPr>
            <w:tcW w:w="7276" w:type="dxa"/>
            <w:vAlign w:val="center"/>
          </w:tcPr>
          <w:p>
            <w:pPr>
              <w:pStyle w:val="8"/>
              <w:widowControl/>
              <w:spacing w:before="0" w:beforeAutospacing="0" w:after="0" w:afterAutospacing="0" w:line="360" w:lineRule="auto"/>
              <w:ind w:firstLine="420" w:firstLineChars="200"/>
              <w:rPr>
                <w:rFonts w:hint="eastAsia" w:ascii="宋体" w:hAnsi="宋体" w:cs="宋体"/>
                <w:color w:val="333333"/>
                <w:sz w:val="21"/>
                <w:szCs w:val="21"/>
                <w:lang w:val="en-US" w:eastAsia="zh-CN"/>
              </w:rPr>
            </w:pPr>
          </w:p>
          <w:p>
            <w:pPr>
              <w:pStyle w:val="8"/>
              <w:widowControl/>
              <w:spacing w:before="0" w:beforeAutospacing="0" w:after="0" w:afterAutospacing="0" w:line="360" w:lineRule="auto"/>
              <w:ind w:firstLine="420" w:firstLineChars="200"/>
              <w:rPr>
                <w:rStyle w:val="15"/>
                <w:rFonts w:hint="eastAsia" w:ascii="宋体" w:hAnsi="宋体" w:eastAsia="宋体" w:cs="宋体"/>
                <w:kern w:val="0"/>
                <w:sz w:val="22"/>
                <w:szCs w:val="22"/>
                <w:highlight w:val="none"/>
                <w:lang w:eastAsia="zh-CN"/>
              </w:rPr>
            </w:pPr>
            <w:r>
              <w:rPr>
                <w:rFonts w:hint="eastAsia" w:ascii="宋体" w:hAnsi="宋体" w:cs="宋体"/>
                <w:color w:val="333333"/>
                <w:sz w:val="21"/>
                <w:szCs w:val="21"/>
                <w:lang w:val="en-US" w:eastAsia="zh-CN"/>
              </w:rPr>
              <w:t>彬州市机关事务服务中心关于公务用车定点加油、维修、保险项目，</w:t>
            </w:r>
            <w:r>
              <w:rPr>
                <w:rStyle w:val="15"/>
                <w:rFonts w:hint="eastAsia" w:ascii="宋体" w:hAnsi="宋体" w:eastAsia="宋体" w:cs="宋体"/>
                <w:bCs/>
                <w:kern w:val="3"/>
                <w:sz w:val="22"/>
                <w:szCs w:val="22"/>
                <w:highlight w:val="none"/>
              </w:rPr>
              <w:t>具体详见</w:t>
            </w:r>
            <w:r>
              <w:rPr>
                <w:rStyle w:val="15"/>
                <w:rFonts w:hint="eastAsia" w:ascii="宋体" w:hAnsi="宋体" w:cs="宋体"/>
                <w:bCs/>
                <w:kern w:val="3"/>
                <w:sz w:val="22"/>
                <w:szCs w:val="22"/>
                <w:highlight w:val="none"/>
                <w:lang w:eastAsia="zh-CN"/>
              </w:rPr>
              <w:t>公开招标文件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1374" w:type="dxa"/>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质量标准</w:t>
            </w:r>
          </w:p>
        </w:tc>
        <w:tc>
          <w:tcPr>
            <w:tcW w:w="7276" w:type="dxa"/>
            <w:vAlign w:val="center"/>
          </w:tcPr>
          <w:p>
            <w:pPr>
              <w:tabs>
                <w:tab w:val="left" w:pos="1620"/>
              </w:tabs>
              <w:snapToGrid w:val="0"/>
              <w:spacing w:line="440" w:lineRule="exact"/>
              <w:ind w:right="71"/>
              <w:jc w:val="left"/>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w:t>
            </w:r>
          </w:p>
        </w:tc>
        <w:tc>
          <w:tcPr>
            <w:tcW w:w="1374" w:type="dxa"/>
            <w:vAlign w:val="center"/>
          </w:tcPr>
          <w:p>
            <w:pPr>
              <w:tabs>
                <w:tab w:val="left" w:pos="1620"/>
              </w:tabs>
              <w:snapToGrid w:val="0"/>
              <w:spacing w:line="440" w:lineRule="exact"/>
              <w:ind w:right="-197"/>
              <w:jc w:val="center"/>
              <w:rPr>
                <w:rStyle w:val="15"/>
                <w:rFonts w:hint="eastAsia" w:cs="宋体"/>
                <w:bCs w:val="0"/>
                <w:kern w:val="0"/>
                <w:sz w:val="22"/>
                <w:szCs w:val="22"/>
                <w:highlight w:val="none"/>
                <w:lang w:eastAsia="zh-CN"/>
              </w:rPr>
            </w:pPr>
            <w:r>
              <w:rPr>
                <w:rStyle w:val="15"/>
                <w:rFonts w:hint="eastAsia" w:cs="宋体"/>
                <w:bCs w:val="0"/>
                <w:kern w:val="0"/>
                <w:sz w:val="22"/>
                <w:szCs w:val="22"/>
                <w:highlight w:val="none"/>
                <w:lang w:eastAsia="zh-CN"/>
              </w:rPr>
              <w:t>公开招标</w:t>
            </w:r>
          </w:p>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ascii="宋体" w:hAnsi="宋体" w:eastAsia="宋体" w:cs="宋体"/>
                <w:kern w:val="0"/>
                <w:sz w:val="22"/>
                <w:szCs w:val="22"/>
                <w:highlight w:val="none"/>
                <w:lang w:val="en-US" w:eastAsia="zh-CN"/>
              </w:rPr>
              <w:t>保证函</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bCs/>
                <w:kern w:val="3"/>
                <w:sz w:val="22"/>
                <w:szCs w:val="22"/>
                <w:highlight w:val="none"/>
                <w:lang w:val="en-US" w:eastAsia="zh-CN"/>
              </w:rPr>
              <w:t>根据咸财采购〔2021〕9号咸阳市财政局关于促进政府采购公平竞争优化营商环境的通知，供应商参与我市政府采购活动时，一律免交招标文件工本费及投标保证金；根据项目特点、中小微企业诚信等情况免收履约保证金，确需收取履约保证金的，允许供应商通过支票、保函等非现金方式提供。本次项目无需缴纳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lang w:val="en-US" w:eastAsia="zh-CN"/>
              </w:rPr>
            </w:pPr>
            <w:r>
              <w:rPr>
                <w:rStyle w:val="15"/>
                <w:rFonts w:hint="eastAsia" w:ascii="宋体" w:hAnsi="宋体" w:cs="宋体"/>
                <w:sz w:val="22"/>
                <w:szCs w:val="22"/>
                <w:highlight w:val="none"/>
                <w:lang w:val="en-US" w:eastAsia="zh-CN"/>
              </w:rPr>
              <w:t>9</w:t>
            </w:r>
          </w:p>
        </w:tc>
        <w:tc>
          <w:tcPr>
            <w:tcW w:w="1374" w:type="dxa"/>
            <w:vAlign w:val="center"/>
          </w:tcPr>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工期</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bCs/>
                <w:kern w:val="3"/>
                <w:sz w:val="22"/>
                <w:szCs w:val="22"/>
                <w:highlight w:val="none"/>
                <w:lang w:val="en-US" w:eastAsia="zh-CN"/>
              </w:rPr>
            </w:pPr>
            <w:r>
              <w:rPr>
                <w:rStyle w:val="15"/>
                <w:rFonts w:hint="eastAsia" w:ascii="宋体" w:hAnsi="宋体" w:eastAsia="宋体" w:cs="宋体"/>
                <w:bCs/>
                <w:kern w:val="3"/>
                <w:sz w:val="22"/>
                <w:szCs w:val="22"/>
                <w:highlight w:val="none"/>
                <w:lang w:val="en-US" w:eastAsia="zh-CN"/>
              </w:rPr>
              <w:t xml:space="preserve"> 10月 25日前完成项目。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default" w:ascii="宋体" w:hAnsi="宋体" w:eastAsia="宋体" w:cs="宋体"/>
                <w:sz w:val="22"/>
                <w:szCs w:val="22"/>
                <w:highlight w:val="none"/>
                <w:lang w:val="en-US" w:eastAsia="zh-CN"/>
              </w:rPr>
            </w:pPr>
            <w:r>
              <w:rPr>
                <w:rStyle w:val="15"/>
                <w:rFonts w:hint="eastAsia" w:ascii="宋体" w:hAnsi="宋体" w:cs="宋体"/>
                <w:sz w:val="22"/>
                <w:szCs w:val="22"/>
                <w:highlight w:val="none"/>
                <w:lang w:val="en-US" w:eastAsia="zh-CN"/>
              </w:rPr>
              <w:t>10</w:t>
            </w:r>
          </w:p>
        </w:tc>
        <w:tc>
          <w:tcPr>
            <w:tcW w:w="1374" w:type="dxa"/>
            <w:vAlign w:val="center"/>
          </w:tcPr>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投标有效期</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bCs/>
                <w:kern w:val="3"/>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90日历天(从递交询价响应文件的截止之日起算)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default" w:ascii="宋体" w:hAnsi="宋体" w:eastAsia="宋体" w:cs="宋体"/>
                <w:sz w:val="22"/>
                <w:szCs w:val="22"/>
                <w:highlight w:val="none"/>
                <w:lang w:val="en-US" w:eastAsia="zh-CN"/>
              </w:rPr>
            </w:pPr>
            <w:r>
              <w:rPr>
                <w:rStyle w:val="15"/>
                <w:rFonts w:hint="eastAsia" w:ascii="宋体" w:hAnsi="宋体" w:cs="宋体"/>
                <w:sz w:val="22"/>
                <w:szCs w:val="22"/>
                <w:highlight w:val="none"/>
                <w:lang w:val="en-US" w:eastAsia="zh-CN"/>
              </w:rPr>
              <w:t>11</w:t>
            </w:r>
          </w:p>
        </w:tc>
        <w:tc>
          <w:tcPr>
            <w:tcW w:w="1374" w:type="dxa"/>
            <w:vAlign w:val="center"/>
          </w:tcPr>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代理服务费</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bCs/>
                <w:kern w:val="3"/>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无代理服务费。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default" w:ascii="宋体" w:hAnsi="宋体" w:eastAsia="宋体" w:cs="宋体"/>
                <w:sz w:val="22"/>
                <w:szCs w:val="22"/>
                <w:highlight w:val="none"/>
                <w:lang w:val="en-US" w:eastAsia="zh-CN"/>
              </w:rPr>
            </w:pPr>
            <w:r>
              <w:rPr>
                <w:rStyle w:val="15"/>
                <w:rFonts w:hint="eastAsia" w:ascii="宋体" w:hAnsi="宋体" w:cs="宋体"/>
                <w:sz w:val="22"/>
                <w:szCs w:val="22"/>
                <w:highlight w:val="none"/>
                <w:lang w:val="en-US" w:eastAsia="zh-CN"/>
              </w:rPr>
              <w:t>12</w:t>
            </w:r>
          </w:p>
        </w:tc>
        <w:tc>
          <w:tcPr>
            <w:tcW w:w="1374" w:type="dxa"/>
            <w:vAlign w:val="center"/>
          </w:tcPr>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cs="宋体"/>
                <w:bCs w:val="0"/>
                <w:kern w:val="0"/>
                <w:sz w:val="22"/>
                <w:szCs w:val="22"/>
                <w:highlight w:val="none"/>
                <w:lang w:eastAsia="zh-CN"/>
              </w:rPr>
              <w:t>公开招标</w:t>
            </w:r>
            <w:r>
              <w:rPr>
                <w:rStyle w:val="15"/>
                <w:rFonts w:hint="eastAsia" w:ascii="宋体" w:hAnsi="宋体" w:eastAsia="宋体" w:cs="宋体"/>
                <w:kern w:val="0"/>
                <w:sz w:val="22"/>
                <w:szCs w:val="22"/>
                <w:highlight w:val="none"/>
                <w:lang w:val="zh-CN" w:eastAsia="zh-CN" w:bidi="ar-SA"/>
              </w:rPr>
              <w:t>响应文件装订及份数要求</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bCs/>
                <w:kern w:val="3"/>
                <w:sz w:val="22"/>
                <w:szCs w:val="22"/>
                <w:highlight w:val="none"/>
                <w:lang w:val="en-US" w:eastAsia="zh-CN"/>
              </w:rPr>
            </w:pPr>
            <w:r>
              <w:rPr>
                <w:rStyle w:val="15"/>
                <w:rFonts w:hint="eastAsia" w:ascii="宋体" w:hAnsi="宋体" w:eastAsia="宋体" w:cs="宋体"/>
                <w:kern w:val="0"/>
                <w:sz w:val="22"/>
                <w:szCs w:val="22"/>
                <w:highlight w:val="none"/>
                <w:lang w:val="zh-CN" w:eastAsia="zh-CN" w:bidi="ar-SA"/>
              </w:rPr>
              <w:t>响应文件正本及各副本分别装订成册（不得采用活页，采用胶装方式装订），正本壹份，副本贰份，电子文件（光盘一张，U盘二个）。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13</w:t>
            </w:r>
          </w:p>
        </w:tc>
        <w:tc>
          <w:tcPr>
            <w:tcW w:w="1374" w:type="dxa"/>
            <w:vAlign w:val="center"/>
          </w:tcPr>
          <w:p>
            <w:pPr>
              <w:pStyle w:val="121"/>
              <w:snapToGrid w:val="0"/>
              <w:spacing w:line="400" w:lineRule="exact"/>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响应文件</w:t>
            </w:r>
          </w:p>
          <w:p>
            <w:pPr>
              <w:pStyle w:val="121"/>
              <w:snapToGrid w:val="0"/>
              <w:spacing w:line="40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密封与标识</w:t>
            </w:r>
          </w:p>
        </w:tc>
        <w:tc>
          <w:tcPr>
            <w:tcW w:w="7276" w:type="dxa"/>
            <w:vAlign w:val="center"/>
          </w:tcPr>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所有密封包装均应符合以下要求：</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（1）响应文件正本、所有副本，应分别装袋密封，电子文件放置正本袋内，加贴封条，并在封套的封口处（封套两端折叠封口处）加盖供应商单位公章。</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（2）项目名称、项目编号、供应商名称、地址、年月日、“正本”或“副本”字样。</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w:t>
            </w:r>
            <w:r>
              <w:rPr>
                <w:rStyle w:val="15"/>
                <w:rFonts w:hint="eastAsia" w:ascii="宋体" w:hAnsi="宋体" w:eastAsia="宋体" w:cs="宋体"/>
                <w:sz w:val="22"/>
                <w:szCs w:val="22"/>
                <w:highlight w:val="none"/>
              </w:rPr>
              <w:t>3</w:t>
            </w:r>
            <w:r>
              <w:rPr>
                <w:rStyle w:val="15"/>
                <w:rFonts w:hint="eastAsia" w:ascii="宋体" w:hAnsi="宋体" w:eastAsia="宋体" w:cs="宋体"/>
                <w:sz w:val="22"/>
                <w:szCs w:val="22"/>
                <w:highlight w:val="none"/>
                <w:lang w:val="zh-CN"/>
              </w:rPr>
              <w:t>）供应商应按照</w:t>
            </w:r>
            <w:r>
              <w:rPr>
                <w:rStyle w:val="15"/>
                <w:rFonts w:hint="eastAsia" w:cs="宋体"/>
                <w:b w:val="0"/>
                <w:bCs/>
                <w:kern w:val="3"/>
                <w:sz w:val="22"/>
                <w:szCs w:val="22"/>
                <w:highlight w:val="none"/>
                <w:lang w:eastAsia="zh-CN"/>
              </w:rPr>
              <w:t>公开招标</w:t>
            </w:r>
            <w:r>
              <w:rPr>
                <w:rStyle w:val="15"/>
                <w:rFonts w:hint="eastAsia" w:cs="宋体"/>
                <w:sz w:val="22"/>
                <w:szCs w:val="22"/>
                <w:highlight w:val="none"/>
                <w:lang w:val="zh-CN"/>
              </w:rPr>
              <w:t>文件</w:t>
            </w:r>
            <w:r>
              <w:rPr>
                <w:rStyle w:val="15"/>
                <w:rFonts w:hint="eastAsia" w:ascii="宋体" w:hAnsi="宋体" w:eastAsia="宋体" w:cs="宋体"/>
                <w:sz w:val="22"/>
                <w:szCs w:val="22"/>
                <w:highlight w:val="none"/>
                <w:lang w:val="zh-CN"/>
              </w:rPr>
              <w:t xml:space="preserve">“第五章  </w:t>
            </w:r>
            <w:r>
              <w:rPr>
                <w:rStyle w:val="15"/>
                <w:rFonts w:hint="eastAsia" w:cs="宋体"/>
                <w:b w:val="0"/>
                <w:bCs/>
                <w:kern w:val="3"/>
                <w:sz w:val="22"/>
                <w:szCs w:val="22"/>
                <w:highlight w:val="none"/>
                <w:lang w:eastAsia="zh-CN"/>
              </w:rPr>
              <w:t>公开招标</w:t>
            </w:r>
            <w:r>
              <w:rPr>
                <w:rStyle w:val="15"/>
                <w:rFonts w:hint="eastAsia" w:ascii="宋体" w:hAnsi="宋体" w:eastAsia="宋体" w:cs="宋体"/>
                <w:sz w:val="22"/>
                <w:szCs w:val="22"/>
                <w:highlight w:val="none"/>
                <w:lang w:val="zh-CN"/>
              </w:rPr>
              <w:t>响应文件格式”中指明的要求进行签字或盖章。</w:t>
            </w:r>
          </w:p>
          <w:p>
            <w:pPr>
              <w:pStyle w:val="121"/>
              <w:snapToGrid w:val="0"/>
              <w:spacing w:line="400" w:lineRule="exact"/>
              <w:ind w:firstLine="440" w:firstLineChars="200"/>
              <w:jc w:val="both"/>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注：响应文件如果未按上述规定密封和加写标记，招标代理机构将拒绝接收。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14</w:t>
            </w:r>
          </w:p>
        </w:tc>
        <w:tc>
          <w:tcPr>
            <w:tcW w:w="1374" w:type="dxa"/>
            <w:vAlign w:val="center"/>
          </w:tcPr>
          <w:p>
            <w:pPr>
              <w:tabs>
                <w:tab w:val="left" w:pos="1620"/>
              </w:tabs>
              <w:snapToGrid w:val="0"/>
              <w:spacing w:line="440" w:lineRule="exact"/>
              <w:ind w:right="-197"/>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评审方法</w:t>
            </w:r>
          </w:p>
        </w:tc>
        <w:tc>
          <w:tcPr>
            <w:tcW w:w="7276" w:type="dxa"/>
            <w:vAlign w:val="center"/>
          </w:tcPr>
          <w:p>
            <w:pPr>
              <w:tabs>
                <w:tab w:val="left" w:pos="1620"/>
              </w:tabs>
              <w:snapToGrid w:val="0"/>
              <w:spacing w:line="440" w:lineRule="exact"/>
              <w:ind w:right="71"/>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eastAsia="zh-CN"/>
              </w:rPr>
              <w:t>综合评分</w:t>
            </w:r>
            <w:r>
              <w:rPr>
                <w:rStyle w:val="15"/>
                <w:rFonts w:hint="eastAsia" w:ascii="宋体" w:hAnsi="宋体" w:eastAsia="宋体" w:cs="宋体"/>
                <w:kern w:val="0"/>
                <w:sz w:val="22"/>
                <w:szCs w:val="22"/>
                <w:highlight w:val="none"/>
              </w:rPr>
              <w:t>法，详见评审办法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15</w:t>
            </w:r>
          </w:p>
        </w:tc>
        <w:tc>
          <w:tcPr>
            <w:tcW w:w="1374" w:type="dxa"/>
            <w:vAlign w:val="center"/>
          </w:tcPr>
          <w:p>
            <w:pPr>
              <w:pStyle w:val="121"/>
              <w:snapToGrid w:val="0"/>
              <w:spacing w:line="400" w:lineRule="exact"/>
              <w:jc w:val="center"/>
              <w:rPr>
                <w:rStyle w:val="15"/>
                <w:rFonts w:hint="eastAsia" w:ascii="宋体" w:hAnsi="宋体" w:eastAsia="宋体" w:cs="宋体"/>
                <w:kern w:val="0"/>
                <w:sz w:val="22"/>
                <w:szCs w:val="22"/>
                <w:highlight w:val="none"/>
              </w:rPr>
            </w:pPr>
            <w:r>
              <w:rPr>
                <w:rStyle w:val="15"/>
                <w:rFonts w:hint="eastAsia" w:cs="宋体"/>
                <w:bCs w:val="0"/>
                <w:kern w:val="0"/>
                <w:sz w:val="22"/>
                <w:szCs w:val="22"/>
                <w:highlight w:val="none"/>
                <w:lang w:eastAsia="zh-CN"/>
              </w:rPr>
              <w:t>公开招标</w:t>
            </w:r>
            <w:r>
              <w:rPr>
                <w:rStyle w:val="15"/>
                <w:rFonts w:hint="eastAsia" w:ascii="宋体" w:hAnsi="宋体" w:eastAsia="宋体" w:cs="宋体"/>
                <w:sz w:val="22"/>
                <w:szCs w:val="22"/>
                <w:highlight w:val="none"/>
                <w:lang w:val="zh-CN"/>
              </w:rPr>
              <w:t>时需核验</w:t>
            </w:r>
            <w:r>
              <w:rPr>
                <w:rStyle w:val="15"/>
                <w:rFonts w:hint="eastAsia" w:ascii="宋体" w:hAnsi="宋体" w:eastAsia="宋体" w:cs="宋体"/>
                <w:kern w:val="0"/>
                <w:sz w:val="22"/>
                <w:szCs w:val="22"/>
                <w:highlight w:val="none"/>
                <w:lang w:val="zh-CN"/>
              </w:rPr>
              <w:t>证资料</w:t>
            </w:r>
          </w:p>
        </w:tc>
        <w:tc>
          <w:tcPr>
            <w:tcW w:w="7276" w:type="dxa"/>
            <w:vAlign w:val="center"/>
          </w:tcPr>
          <w:p>
            <w:pPr>
              <w:numPr>
                <w:ilvl w:val="0"/>
                <w:numId w:val="4"/>
              </w:num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参加政府采购活动前3年内在经营活动中没有重大违法记录的书面声明；</w:t>
            </w:r>
          </w:p>
          <w:p>
            <w:pPr>
              <w:numPr>
                <w:ilvl w:val="0"/>
                <w:numId w:val="0"/>
              </w:numPr>
              <w:snapToGrid w:val="0"/>
              <w:spacing w:line="360" w:lineRule="auto"/>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注：其中，第</w:t>
            </w:r>
            <w:r>
              <w:rPr>
                <w:rStyle w:val="15"/>
                <w:rFonts w:hint="eastAsia" w:ascii="宋体" w:hAnsi="宋体" w:eastAsia="宋体" w:cs="宋体"/>
                <w:sz w:val="22"/>
                <w:szCs w:val="22"/>
                <w:highlight w:val="none"/>
              </w:rPr>
              <w:t>1-</w:t>
            </w:r>
            <w:r>
              <w:rPr>
                <w:rStyle w:val="15"/>
                <w:rFonts w:hint="eastAsia" w:ascii="宋体" w:hAnsi="宋体" w:eastAsia="宋体" w:cs="宋体"/>
                <w:sz w:val="22"/>
                <w:szCs w:val="22"/>
                <w:highlight w:val="none"/>
                <w:lang w:val="en-US" w:eastAsia="zh-CN"/>
              </w:rPr>
              <w:t>3</w:t>
            </w:r>
            <w:r>
              <w:rPr>
                <w:rStyle w:val="15"/>
                <w:rFonts w:hint="eastAsia" w:ascii="宋体" w:hAnsi="宋体" w:eastAsia="宋体" w:cs="宋体"/>
                <w:sz w:val="22"/>
                <w:szCs w:val="22"/>
                <w:highlight w:val="none"/>
                <w:lang w:val="zh-CN"/>
              </w:rPr>
              <w:t>项在开标现场由采购人或代理机构查验。</w:t>
            </w:r>
          </w:p>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以上资料提供原件及复印件加盖单位公章，如未携带或缺项，则按无效标处理。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16</w:t>
            </w:r>
          </w:p>
        </w:tc>
        <w:tc>
          <w:tcPr>
            <w:tcW w:w="1374" w:type="dxa"/>
            <w:vAlign w:val="center"/>
          </w:tcPr>
          <w:p>
            <w:pPr>
              <w:snapToGrid w:val="0"/>
              <w:spacing w:line="420" w:lineRule="exact"/>
              <w:jc w:val="center"/>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现场踏勘</w:t>
            </w:r>
          </w:p>
        </w:tc>
        <w:tc>
          <w:tcPr>
            <w:tcW w:w="7276" w:type="dxa"/>
            <w:vAlign w:val="center"/>
          </w:tcPr>
          <w:p>
            <w:pPr>
              <w:snapToGrid w:val="0"/>
              <w:spacing w:line="42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TW"/>
              </w:rPr>
              <w:t>不组织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17</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分包</w:t>
            </w:r>
          </w:p>
        </w:tc>
        <w:tc>
          <w:tcPr>
            <w:tcW w:w="7276" w:type="dxa"/>
            <w:vAlign w:val="center"/>
          </w:tcPr>
          <w:p>
            <w:pPr>
              <w:snapToGrid w:val="0"/>
              <w:spacing w:line="420" w:lineRule="exac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lang w:val="zh-TW"/>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18</w:t>
            </w:r>
          </w:p>
        </w:tc>
        <w:tc>
          <w:tcPr>
            <w:tcW w:w="1374" w:type="dxa"/>
            <w:vAlign w:val="center"/>
          </w:tcPr>
          <w:p>
            <w:pPr>
              <w:snapToGrid w:val="0"/>
              <w:spacing w:line="500" w:lineRule="atLeast"/>
              <w:ind w:left="-199" w:leftChars="-95" w:right="-249"/>
              <w:jc w:val="center"/>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lang w:val="zh-TW"/>
              </w:rPr>
              <w:t>其他未尽事宜</w:t>
            </w:r>
          </w:p>
        </w:tc>
        <w:tc>
          <w:tcPr>
            <w:tcW w:w="7276" w:type="dxa"/>
            <w:vAlign w:val="center"/>
          </w:tcPr>
          <w:p>
            <w:pPr>
              <w:snapToGrid w:val="0"/>
              <w:spacing w:line="500" w:lineRule="atLeast"/>
              <w:jc w:val="lef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lang w:val="zh-TW"/>
              </w:rPr>
              <w:t>按照《中华人民共和国政府采购法》及相关法律法规执行。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19</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rPr>
            </w:pPr>
            <w:r>
              <w:rPr>
                <w:rStyle w:val="15"/>
                <w:rFonts w:hint="eastAsia" w:ascii="宋体" w:hAnsi="宋体" w:cs="宋体"/>
                <w:bCs w:val="0"/>
                <w:kern w:val="0"/>
                <w:sz w:val="22"/>
                <w:szCs w:val="22"/>
                <w:highlight w:val="none"/>
                <w:lang w:eastAsia="zh-CN"/>
              </w:rPr>
              <w:t>公开招标</w:t>
            </w:r>
            <w:r>
              <w:rPr>
                <w:rStyle w:val="15"/>
                <w:rFonts w:hint="eastAsia" w:ascii="宋体" w:hAnsi="宋体" w:eastAsia="宋体" w:cs="宋体"/>
                <w:kern w:val="0"/>
                <w:sz w:val="22"/>
                <w:szCs w:val="22"/>
                <w:highlight w:val="none"/>
              </w:rPr>
              <w:t>响应文件截止递交时间</w:t>
            </w:r>
          </w:p>
          <w:p>
            <w:pPr>
              <w:snapToGrid w:val="0"/>
              <w:spacing w:line="420" w:lineRule="exact"/>
              <w:jc w:val="center"/>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及地点</w:t>
            </w:r>
          </w:p>
        </w:tc>
        <w:tc>
          <w:tcPr>
            <w:tcW w:w="7276" w:type="dxa"/>
            <w:vAlign w:val="center"/>
          </w:tcPr>
          <w:p>
            <w:pPr>
              <w:snapToGrid w:val="0"/>
              <w:spacing w:line="420" w:lineRule="exact"/>
              <w:jc w:val="left"/>
              <w:rPr>
                <w:rStyle w:val="15"/>
                <w:rFonts w:hint="eastAsia" w:ascii="宋体" w:hAnsi="宋体" w:eastAsia="宋体" w:cs="宋体"/>
                <w:kern w:val="0"/>
                <w:sz w:val="22"/>
                <w:szCs w:val="22"/>
                <w:highlight w:val="yellow"/>
              </w:rPr>
            </w:pPr>
            <w:r>
              <w:rPr>
                <w:rStyle w:val="15"/>
                <w:rFonts w:hint="eastAsia" w:ascii="宋体" w:hAnsi="宋体" w:eastAsia="宋体" w:cs="宋体"/>
                <w:kern w:val="0"/>
                <w:sz w:val="22"/>
                <w:szCs w:val="22"/>
                <w:highlight w:val="none"/>
              </w:rPr>
              <w:t>递交截止时间：</w:t>
            </w:r>
            <w:r>
              <w:rPr>
                <w:rStyle w:val="15"/>
                <w:rFonts w:hint="eastAsia" w:ascii="宋体" w:hAnsi="宋体" w:eastAsia="宋体" w:cs="宋体"/>
                <w:kern w:val="0"/>
                <w:sz w:val="22"/>
                <w:szCs w:val="22"/>
                <w:highlight w:val="yellow"/>
              </w:rPr>
              <w:t>2021年</w:t>
            </w:r>
            <w:r>
              <w:rPr>
                <w:rStyle w:val="15"/>
                <w:rFonts w:hint="eastAsia" w:ascii="宋体" w:hAnsi="宋体" w:cs="宋体"/>
                <w:kern w:val="0"/>
                <w:sz w:val="22"/>
                <w:szCs w:val="22"/>
                <w:highlight w:val="yellow"/>
                <w:lang w:val="en-US" w:eastAsia="zh-CN"/>
              </w:rPr>
              <w:t>10</w:t>
            </w:r>
            <w:r>
              <w:rPr>
                <w:rStyle w:val="15"/>
                <w:rFonts w:hint="eastAsia" w:ascii="宋体" w:hAnsi="宋体" w:eastAsia="宋体" w:cs="宋体"/>
                <w:kern w:val="0"/>
                <w:sz w:val="22"/>
                <w:szCs w:val="22"/>
                <w:highlight w:val="yellow"/>
              </w:rPr>
              <w:t>月</w:t>
            </w:r>
            <w:r>
              <w:rPr>
                <w:rStyle w:val="15"/>
                <w:rFonts w:hint="eastAsia" w:ascii="宋体" w:hAnsi="宋体" w:cs="宋体"/>
                <w:kern w:val="0"/>
                <w:sz w:val="22"/>
                <w:szCs w:val="22"/>
                <w:highlight w:val="yellow"/>
                <w:lang w:val="en-US" w:eastAsia="zh-CN"/>
              </w:rPr>
              <w:t>18</w:t>
            </w:r>
            <w:r>
              <w:rPr>
                <w:rStyle w:val="15"/>
                <w:rFonts w:hint="eastAsia" w:ascii="宋体" w:hAnsi="宋体" w:eastAsia="宋体" w:cs="宋体"/>
                <w:kern w:val="0"/>
                <w:sz w:val="22"/>
                <w:szCs w:val="22"/>
                <w:highlight w:val="yellow"/>
              </w:rPr>
              <w:t>日</w:t>
            </w:r>
            <w:r>
              <w:rPr>
                <w:rStyle w:val="15"/>
                <w:rFonts w:hint="eastAsia" w:ascii="宋体" w:hAnsi="宋体" w:cs="宋体"/>
                <w:kern w:val="0"/>
                <w:sz w:val="22"/>
                <w:szCs w:val="22"/>
                <w:highlight w:val="yellow"/>
                <w:lang w:eastAsia="zh-CN"/>
              </w:rPr>
              <w:t>上</w:t>
            </w:r>
            <w:r>
              <w:rPr>
                <w:rStyle w:val="15"/>
                <w:rFonts w:hint="eastAsia" w:ascii="宋体" w:hAnsi="宋体" w:eastAsia="宋体" w:cs="宋体"/>
                <w:kern w:val="0"/>
                <w:sz w:val="22"/>
                <w:szCs w:val="22"/>
                <w:highlight w:val="yellow"/>
              </w:rPr>
              <w:t>午1</w:t>
            </w:r>
            <w:r>
              <w:rPr>
                <w:rStyle w:val="15"/>
                <w:rFonts w:hint="eastAsia" w:ascii="宋体" w:hAnsi="宋体" w:cs="宋体"/>
                <w:kern w:val="0"/>
                <w:sz w:val="22"/>
                <w:szCs w:val="22"/>
                <w:highlight w:val="yellow"/>
                <w:lang w:val="en-US" w:eastAsia="zh-CN"/>
              </w:rPr>
              <w:t>0</w:t>
            </w:r>
            <w:r>
              <w:rPr>
                <w:rStyle w:val="15"/>
                <w:rFonts w:hint="eastAsia" w:ascii="宋体" w:hAnsi="宋体" w:eastAsia="宋体" w:cs="宋体"/>
                <w:kern w:val="0"/>
                <w:sz w:val="22"/>
                <w:szCs w:val="22"/>
                <w:highlight w:val="yellow"/>
              </w:rPr>
              <w:t>：</w:t>
            </w:r>
            <w:r>
              <w:rPr>
                <w:rStyle w:val="15"/>
                <w:rFonts w:hint="eastAsia" w:ascii="宋体" w:hAnsi="宋体" w:cs="宋体"/>
                <w:kern w:val="0"/>
                <w:sz w:val="22"/>
                <w:szCs w:val="22"/>
                <w:highlight w:val="yellow"/>
                <w:lang w:val="en-US" w:eastAsia="zh-CN"/>
              </w:rPr>
              <w:t>0</w:t>
            </w:r>
            <w:r>
              <w:rPr>
                <w:rStyle w:val="15"/>
                <w:rFonts w:hint="eastAsia" w:ascii="宋体" w:hAnsi="宋体" w:eastAsia="宋体" w:cs="宋体"/>
                <w:kern w:val="0"/>
                <w:sz w:val="22"/>
                <w:szCs w:val="22"/>
                <w:highlight w:val="yellow"/>
              </w:rPr>
              <w:t>0时</w:t>
            </w:r>
          </w:p>
          <w:p>
            <w:pPr>
              <w:snapToGrid w:val="0"/>
              <w:spacing w:line="420" w:lineRule="exact"/>
              <w:jc w:val="left"/>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递交地点：</w:t>
            </w:r>
            <w:r>
              <w:rPr>
                <w:rStyle w:val="15"/>
                <w:rFonts w:hint="eastAsia" w:ascii="宋体" w:hAnsi="宋体" w:eastAsia="宋体" w:cs="宋体"/>
                <w:sz w:val="22"/>
                <w:szCs w:val="22"/>
                <w:highlight w:val="none"/>
              </w:rPr>
              <w:t>彬州市财政局十一楼1103会议室。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20</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lang w:val="zh-TW"/>
              </w:rPr>
            </w:pPr>
            <w:r>
              <w:rPr>
                <w:rStyle w:val="15"/>
                <w:rFonts w:hint="eastAsia" w:ascii="宋体" w:hAnsi="宋体" w:cs="宋体"/>
                <w:bCs w:val="0"/>
                <w:kern w:val="0"/>
                <w:sz w:val="22"/>
                <w:szCs w:val="22"/>
                <w:highlight w:val="none"/>
                <w:lang w:eastAsia="zh-CN"/>
              </w:rPr>
              <w:t>公开招标</w:t>
            </w:r>
            <w:r>
              <w:rPr>
                <w:rStyle w:val="15"/>
                <w:rFonts w:hint="eastAsia" w:ascii="宋体" w:hAnsi="宋体" w:eastAsia="宋体" w:cs="宋体"/>
                <w:kern w:val="0"/>
                <w:sz w:val="22"/>
                <w:szCs w:val="22"/>
                <w:highlight w:val="none"/>
                <w:lang w:val="zh-CN"/>
              </w:rPr>
              <w:t>时间及地点</w:t>
            </w:r>
          </w:p>
        </w:tc>
        <w:tc>
          <w:tcPr>
            <w:tcW w:w="7276" w:type="dxa"/>
            <w:vAlign w:val="center"/>
          </w:tcPr>
          <w:p>
            <w:pPr>
              <w:snapToGrid w:val="0"/>
              <w:spacing w:line="420" w:lineRule="exact"/>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递交截止时间：</w:t>
            </w:r>
            <w:r>
              <w:rPr>
                <w:rStyle w:val="15"/>
                <w:rFonts w:hint="eastAsia" w:ascii="宋体" w:hAnsi="宋体" w:eastAsia="宋体" w:cs="宋体"/>
                <w:kern w:val="0"/>
                <w:sz w:val="22"/>
                <w:szCs w:val="22"/>
                <w:highlight w:val="yellow"/>
              </w:rPr>
              <w:t>2021年</w:t>
            </w:r>
            <w:r>
              <w:rPr>
                <w:rStyle w:val="15"/>
                <w:rFonts w:hint="eastAsia" w:ascii="宋体" w:hAnsi="宋体" w:cs="宋体"/>
                <w:kern w:val="0"/>
                <w:sz w:val="22"/>
                <w:szCs w:val="22"/>
                <w:highlight w:val="yellow"/>
                <w:lang w:val="en-US" w:eastAsia="zh-CN"/>
              </w:rPr>
              <w:t>10</w:t>
            </w:r>
            <w:r>
              <w:rPr>
                <w:rStyle w:val="15"/>
                <w:rFonts w:hint="eastAsia" w:ascii="宋体" w:hAnsi="宋体" w:eastAsia="宋体" w:cs="宋体"/>
                <w:kern w:val="0"/>
                <w:sz w:val="22"/>
                <w:szCs w:val="22"/>
                <w:highlight w:val="yellow"/>
              </w:rPr>
              <w:t>月</w:t>
            </w:r>
            <w:r>
              <w:rPr>
                <w:rStyle w:val="15"/>
                <w:rFonts w:hint="eastAsia" w:ascii="宋体" w:hAnsi="宋体" w:cs="宋体"/>
                <w:kern w:val="0"/>
                <w:sz w:val="22"/>
                <w:szCs w:val="22"/>
                <w:highlight w:val="yellow"/>
                <w:lang w:val="en-US" w:eastAsia="zh-CN"/>
              </w:rPr>
              <w:t>18</w:t>
            </w:r>
            <w:r>
              <w:rPr>
                <w:rStyle w:val="15"/>
                <w:rFonts w:hint="eastAsia" w:ascii="宋体" w:hAnsi="宋体" w:eastAsia="宋体" w:cs="宋体"/>
                <w:kern w:val="0"/>
                <w:sz w:val="22"/>
                <w:szCs w:val="22"/>
                <w:highlight w:val="yellow"/>
              </w:rPr>
              <w:t>日</w:t>
            </w:r>
            <w:r>
              <w:rPr>
                <w:rStyle w:val="15"/>
                <w:rFonts w:hint="eastAsia" w:ascii="宋体" w:hAnsi="宋体" w:cs="宋体"/>
                <w:kern w:val="0"/>
                <w:sz w:val="22"/>
                <w:szCs w:val="22"/>
                <w:highlight w:val="yellow"/>
                <w:lang w:eastAsia="zh-CN"/>
              </w:rPr>
              <w:t>上</w:t>
            </w:r>
            <w:r>
              <w:rPr>
                <w:rStyle w:val="15"/>
                <w:rFonts w:hint="eastAsia" w:ascii="宋体" w:hAnsi="宋体" w:eastAsia="宋体" w:cs="宋体"/>
                <w:kern w:val="0"/>
                <w:sz w:val="22"/>
                <w:szCs w:val="22"/>
                <w:highlight w:val="yellow"/>
              </w:rPr>
              <w:t>午1</w:t>
            </w:r>
            <w:r>
              <w:rPr>
                <w:rStyle w:val="15"/>
                <w:rFonts w:hint="eastAsia" w:ascii="宋体" w:hAnsi="宋体" w:cs="宋体"/>
                <w:kern w:val="0"/>
                <w:sz w:val="22"/>
                <w:szCs w:val="22"/>
                <w:highlight w:val="yellow"/>
                <w:lang w:val="en-US" w:eastAsia="zh-CN"/>
              </w:rPr>
              <w:t>0</w:t>
            </w:r>
            <w:r>
              <w:rPr>
                <w:rStyle w:val="15"/>
                <w:rFonts w:hint="eastAsia" w:ascii="宋体" w:hAnsi="宋体" w:eastAsia="宋体" w:cs="宋体"/>
                <w:kern w:val="0"/>
                <w:sz w:val="22"/>
                <w:szCs w:val="22"/>
                <w:highlight w:val="yellow"/>
              </w:rPr>
              <w:t>：</w:t>
            </w:r>
            <w:r>
              <w:rPr>
                <w:rStyle w:val="15"/>
                <w:rFonts w:hint="eastAsia" w:ascii="宋体" w:hAnsi="宋体" w:cs="宋体"/>
                <w:kern w:val="0"/>
                <w:sz w:val="22"/>
                <w:szCs w:val="22"/>
                <w:highlight w:val="yellow"/>
                <w:lang w:val="en-US" w:eastAsia="zh-CN"/>
              </w:rPr>
              <w:t>0</w:t>
            </w:r>
            <w:r>
              <w:rPr>
                <w:rStyle w:val="15"/>
                <w:rFonts w:hint="eastAsia" w:ascii="宋体" w:hAnsi="宋体" w:eastAsia="宋体" w:cs="宋体"/>
                <w:kern w:val="0"/>
                <w:sz w:val="22"/>
                <w:szCs w:val="22"/>
                <w:highlight w:val="yellow"/>
              </w:rPr>
              <w:t>0时</w:t>
            </w:r>
          </w:p>
          <w:p>
            <w:pPr>
              <w:snapToGrid w:val="0"/>
              <w:spacing w:line="420" w:lineRule="exact"/>
              <w:jc w:val="left"/>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递交地点：</w:t>
            </w:r>
            <w:r>
              <w:rPr>
                <w:rStyle w:val="15"/>
                <w:rFonts w:hint="eastAsia" w:ascii="宋体" w:hAnsi="宋体" w:eastAsia="宋体" w:cs="宋体"/>
                <w:sz w:val="22"/>
                <w:szCs w:val="22"/>
                <w:highlight w:val="none"/>
              </w:rPr>
              <w:t>彬州市财政局十一楼1103会议室。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21</w:t>
            </w:r>
          </w:p>
        </w:tc>
        <w:tc>
          <w:tcPr>
            <w:tcW w:w="1374" w:type="dxa"/>
            <w:vAlign w:val="center"/>
          </w:tcPr>
          <w:p>
            <w:pPr>
              <w:snapToGrid w:val="0"/>
              <w:spacing w:line="480" w:lineRule="exact"/>
              <w:jc w:val="center"/>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rPr>
              <w:t>补充说明</w:t>
            </w:r>
          </w:p>
        </w:tc>
        <w:tc>
          <w:tcPr>
            <w:tcW w:w="7276" w:type="dxa"/>
            <w:vAlign w:val="center"/>
          </w:tcPr>
          <w:p>
            <w:pPr>
              <w:snapToGrid w:val="0"/>
              <w:spacing w:line="480" w:lineRule="exac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rPr>
              <w:t xml:space="preserve">致各供应商：陕西省政府采购网于2018年12月27日发布《陕西省财政厅关于政府采购供应商注册登记有关事项的通知》，请各供应商尽快完善在陕西省政府采购平台注册或及其它信息（公示期需5个工作日）。 如中标后还未入库，导致采购结果无法录入的，后果自行承担。 </w:t>
            </w:r>
          </w:p>
        </w:tc>
      </w:tr>
    </w:tbl>
    <w:p>
      <w:pPr>
        <w:keepNext w:val="0"/>
        <w:keepLines w:val="0"/>
        <w:pageBreakBefore w:val="0"/>
        <w:widowControl/>
        <w:kinsoku/>
        <w:wordWrap/>
        <w:overflowPunct/>
        <w:topLinePunct w:val="0"/>
        <w:autoSpaceDE/>
        <w:autoSpaceDN/>
        <w:bidi w:val="0"/>
        <w:adjustRightInd/>
        <w:snapToGrid w:val="0"/>
        <w:spacing w:line="240" w:lineRule="exact"/>
        <w:ind w:right="-108" w:firstLine="562" w:firstLineChars="200"/>
        <w:jc w:val="center"/>
        <w:textAlignment w:val="baseline"/>
        <w:outlineLvl w:val="1"/>
        <w:rPr>
          <w:rStyle w:val="15"/>
          <w:rFonts w:hint="eastAsia" w:ascii="宋体" w:hAnsi="宋体" w:eastAsia="宋体" w:cs="宋体"/>
          <w:b/>
          <w:kern w:val="0"/>
          <w:sz w:val="28"/>
          <w:szCs w:val="28"/>
          <w:highlight w:val="none"/>
        </w:rPr>
      </w:pPr>
      <w:bookmarkStart w:id="3" w:name="_Toc14608"/>
    </w:p>
    <w:p>
      <w:pPr>
        <w:snapToGrid w:val="0"/>
        <w:spacing w:line="480" w:lineRule="auto"/>
        <w:ind w:right="-109" w:firstLine="562" w:firstLineChars="200"/>
        <w:jc w:val="center"/>
        <w:outlineLvl w:val="1"/>
        <w:rPr>
          <w:rStyle w:val="15"/>
          <w:rFonts w:hint="eastAsia" w:ascii="宋体" w:hAnsi="宋体" w:eastAsia="宋体" w:cs="宋体"/>
          <w:b/>
          <w:kern w:val="0"/>
          <w:sz w:val="28"/>
          <w:szCs w:val="28"/>
          <w:highlight w:val="none"/>
        </w:rPr>
      </w:pPr>
      <w:r>
        <w:rPr>
          <w:rStyle w:val="15"/>
          <w:rFonts w:hint="eastAsia" w:ascii="宋体" w:hAnsi="宋体" w:eastAsia="宋体" w:cs="宋体"/>
          <w:b/>
          <w:kern w:val="0"/>
          <w:sz w:val="28"/>
          <w:szCs w:val="28"/>
          <w:highlight w:val="none"/>
        </w:rPr>
        <w:t>第二节   供应商须知</w:t>
      </w:r>
      <w:bookmarkEnd w:id="3"/>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一、名词解释</w:t>
      </w:r>
    </w:p>
    <w:p>
      <w:pPr>
        <w:pStyle w:val="8"/>
        <w:widowControl/>
        <w:spacing w:before="0" w:beforeAutospacing="0" w:after="0" w:afterAutospacing="0" w:line="360" w:lineRule="auto"/>
        <w:ind w:firstLine="420"/>
        <w:rPr>
          <w:rFonts w:hint="eastAsia" w:ascii="宋体" w:hAnsi="宋体" w:eastAsia="宋体" w:cs="宋体"/>
          <w:color w:val="333333"/>
          <w:sz w:val="21"/>
          <w:szCs w:val="21"/>
          <w:lang w:eastAsia="zh-CN"/>
        </w:rPr>
      </w:pPr>
      <w:r>
        <w:rPr>
          <w:rStyle w:val="15"/>
          <w:rFonts w:hint="eastAsia" w:ascii="宋体" w:hAnsi="宋体" w:eastAsia="宋体" w:cs="宋体"/>
          <w:sz w:val="22"/>
          <w:szCs w:val="22"/>
          <w:highlight w:val="none"/>
        </w:rPr>
        <w:t>1、采购人：</w:t>
      </w:r>
      <w:r>
        <w:rPr>
          <w:rFonts w:hint="eastAsia" w:ascii="宋体" w:hAnsi="宋体" w:cs="宋体"/>
          <w:color w:val="333333"/>
          <w:sz w:val="21"/>
          <w:szCs w:val="21"/>
        </w:rPr>
        <w:t>彬州市</w:t>
      </w:r>
      <w:r>
        <w:rPr>
          <w:rFonts w:hint="eastAsia" w:ascii="宋体" w:hAnsi="宋体" w:cs="宋体"/>
          <w:color w:val="333333"/>
          <w:sz w:val="21"/>
          <w:szCs w:val="21"/>
          <w:lang w:eastAsia="zh-CN"/>
        </w:rPr>
        <w:t>机关事务服务中心</w:t>
      </w:r>
    </w:p>
    <w:p>
      <w:pPr>
        <w:snapToGrid w:val="0"/>
        <w:spacing w:line="36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2、采购代理机构：彬州市政府采购中心</w:t>
      </w:r>
    </w:p>
    <w:p>
      <w:pPr>
        <w:snapToGrid w:val="0"/>
        <w:spacing w:line="36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3、供应商：参加本次</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的供应商</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二、</w:t>
      </w:r>
      <w:r>
        <w:rPr>
          <w:rStyle w:val="15"/>
          <w:rFonts w:hint="eastAsia" w:ascii="宋体" w:hAnsi="宋体" w:cs="宋体"/>
          <w:b/>
          <w:bCs w:val="0"/>
          <w:kern w:val="3"/>
          <w:sz w:val="22"/>
          <w:szCs w:val="22"/>
          <w:highlight w:val="none"/>
          <w:lang w:eastAsia="zh-CN"/>
        </w:rPr>
        <w:t>公开招标</w:t>
      </w:r>
      <w:r>
        <w:rPr>
          <w:rStyle w:val="15"/>
          <w:rFonts w:hint="eastAsia" w:ascii="宋体" w:hAnsi="宋体" w:cs="宋体"/>
          <w:b/>
          <w:bCs w:val="0"/>
          <w:kern w:val="0"/>
          <w:sz w:val="22"/>
          <w:szCs w:val="22"/>
          <w:highlight w:val="none"/>
          <w:lang w:eastAsia="zh-CN"/>
        </w:rPr>
        <w:t>文件</w:t>
      </w:r>
      <w:r>
        <w:rPr>
          <w:rStyle w:val="15"/>
          <w:rFonts w:hint="eastAsia" w:ascii="宋体" w:hAnsi="宋体" w:eastAsia="宋体" w:cs="宋体"/>
          <w:b/>
          <w:kern w:val="0"/>
          <w:sz w:val="22"/>
          <w:szCs w:val="22"/>
          <w:highlight w:val="none"/>
        </w:rPr>
        <w:t>要求</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b w:val="0"/>
          <w:bCs/>
          <w:kern w:val="0"/>
          <w:sz w:val="22"/>
          <w:szCs w:val="22"/>
          <w:highlight w:val="none"/>
        </w:rPr>
        <w:t>包括</w:t>
      </w:r>
      <w:r>
        <w:rPr>
          <w:rStyle w:val="15"/>
          <w:rFonts w:hint="eastAsia" w:ascii="宋体" w:hAnsi="宋体" w:eastAsia="宋体" w:cs="宋体"/>
          <w:b w:val="0"/>
          <w:bCs/>
          <w:sz w:val="22"/>
          <w:szCs w:val="22"/>
          <w:highlight w:val="none"/>
        </w:rPr>
        <w:t>要</w:t>
      </w:r>
      <w:r>
        <w:rPr>
          <w:rStyle w:val="15"/>
          <w:rFonts w:hint="eastAsia" w:ascii="宋体" w:hAnsi="宋体" w:eastAsia="宋体" w:cs="宋体"/>
          <w:sz w:val="22"/>
          <w:szCs w:val="22"/>
          <w:highlight w:val="none"/>
        </w:rPr>
        <w:t>求提供的服务</w:t>
      </w:r>
      <w:r>
        <w:rPr>
          <w:rStyle w:val="15"/>
          <w:rFonts w:hint="eastAsia" w:ascii="宋体" w:hAnsi="宋体" w:eastAsia="宋体" w:cs="宋体"/>
          <w:kern w:val="0"/>
          <w:sz w:val="22"/>
          <w:szCs w:val="22"/>
          <w:highlight w:val="none"/>
        </w:rPr>
        <w:t>。各供应商应仔细阅读</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中所有的事项、格式、条款和规范要求，在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响应文件中对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的各方面都做出实质性的响应，按照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的要求提交全部资料。</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的澄清：任何要求对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进行澄清的供应商，均应在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响应文件递交截止前3个工作日按</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中的通讯地址以书面形式通知采购代理机构，采购代理机构将视情况确定采用适当方式予以澄清或以书面形式予以答复，并在其认为必要时，将不标明询问来源的书面答复发送每个购买</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的供应商。对文件中有关表述不准确或难以理解或有疑义的内容，各供应商应及时与有关部门人员联系，否则，视为认同</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的所有条款。</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的修改</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响应文件递交截止前3个工作日，采购代理机构可主动地或在解答供应商提出的澄清问题时,对已发出的</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进行必要的澄清或修改。</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的修改将以书面形式通知购买</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的供应商，并作为</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的补充，与其具有同等法律效力。</w:t>
      </w:r>
    </w:p>
    <w:p>
      <w:pPr>
        <w:pStyle w:val="2"/>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3-3、为使各供应商编写</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响应文件时，有充分时间对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的修改内容进行研究，采购人和采购代理机构可根据项目实际情况决定是否后延</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响应文件的递交截止期。</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4、各供应商必须从采购代理机构</w:t>
      </w:r>
      <w:r>
        <w:rPr>
          <w:rStyle w:val="15"/>
          <w:rFonts w:hint="eastAsia" w:ascii="宋体" w:hAnsi="宋体" w:eastAsia="宋体" w:cs="宋体"/>
          <w:kern w:val="0"/>
          <w:sz w:val="22"/>
          <w:szCs w:val="22"/>
          <w:highlight w:val="none"/>
          <w:lang w:eastAsia="zh-CN"/>
        </w:rPr>
        <w:t>领取</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，供应商自行转让或复制文件视为无效。</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一经</w:t>
      </w:r>
      <w:r>
        <w:rPr>
          <w:rStyle w:val="15"/>
          <w:rFonts w:hint="eastAsia" w:ascii="宋体" w:hAnsi="宋体" w:eastAsia="宋体" w:cs="宋体"/>
          <w:kern w:val="0"/>
          <w:sz w:val="22"/>
          <w:szCs w:val="22"/>
          <w:highlight w:val="none"/>
          <w:lang w:eastAsia="zh-CN"/>
        </w:rPr>
        <w:t>领取</w:t>
      </w:r>
      <w:r>
        <w:rPr>
          <w:rStyle w:val="15"/>
          <w:rFonts w:hint="eastAsia" w:ascii="宋体" w:hAnsi="宋体" w:eastAsia="宋体" w:cs="宋体"/>
          <w:kern w:val="0"/>
          <w:sz w:val="22"/>
          <w:szCs w:val="22"/>
          <w:highlight w:val="none"/>
        </w:rPr>
        <w:t>，仅作为本次</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使用。</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5、本文件的解释权归采购人和采购代理机构。</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三、</w:t>
      </w:r>
      <w:r>
        <w:rPr>
          <w:rStyle w:val="15"/>
          <w:rFonts w:hint="eastAsia" w:ascii="宋体" w:hAnsi="宋体" w:cs="宋体"/>
          <w:b/>
          <w:bCs w:val="0"/>
          <w:kern w:val="3"/>
          <w:sz w:val="22"/>
          <w:szCs w:val="22"/>
          <w:highlight w:val="none"/>
          <w:lang w:eastAsia="zh-CN"/>
        </w:rPr>
        <w:t>公开招标</w:t>
      </w:r>
      <w:r>
        <w:rPr>
          <w:rStyle w:val="15"/>
          <w:rFonts w:hint="eastAsia" w:ascii="宋体" w:hAnsi="宋体" w:eastAsia="宋体" w:cs="宋体"/>
          <w:b/>
          <w:bCs w:val="0"/>
          <w:kern w:val="0"/>
          <w:sz w:val="22"/>
          <w:szCs w:val="22"/>
          <w:highlight w:val="none"/>
        </w:rPr>
        <w:t>的内</w:t>
      </w:r>
      <w:r>
        <w:rPr>
          <w:rStyle w:val="15"/>
          <w:rFonts w:hint="eastAsia" w:ascii="宋体" w:hAnsi="宋体" w:eastAsia="宋体" w:cs="宋体"/>
          <w:b/>
          <w:kern w:val="0"/>
          <w:sz w:val="22"/>
          <w:szCs w:val="22"/>
          <w:highlight w:val="none"/>
        </w:rPr>
        <w:t>容要求</w:t>
      </w:r>
    </w:p>
    <w:p>
      <w:pPr>
        <w:pStyle w:val="8"/>
        <w:keepNext w:val="0"/>
        <w:keepLines w:val="0"/>
        <w:pageBreakBefore w:val="0"/>
        <w:widowControl/>
        <w:kinsoku/>
        <w:wordWrap/>
        <w:overflowPunct/>
        <w:topLinePunct w:val="0"/>
        <w:bidi w:val="0"/>
        <w:adjustRightInd w:val="0"/>
        <w:snapToGrid w:val="0"/>
        <w:spacing w:beforeAutospacing="0" w:afterAutospacing="0" w:line="336" w:lineRule="auto"/>
        <w:ind w:firstLine="42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内容</w:t>
      </w:r>
      <w:r>
        <w:rPr>
          <w:rFonts w:hint="eastAsia" w:ascii="宋体" w:hAnsi="宋体" w:cs="宋体"/>
          <w:color w:val="333333"/>
          <w:sz w:val="21"/>
          <w:szCs w:val="21"/>
          <w:highlight w:val="yellow"/>
          <w:lang w:val="en-US" w:eastAsia="zh-CN"/>
        </w:rPr>
        <w:t>彬州市机关事务服务中心关于公务用车定点加油、维修、保险项目</w:t>
      </w:r>
      <w:r>
        <w:rPr>
          <w:rStyle w:val="15"/>
          <w:rFonts w:hint="eastAsia" w:ascii="宋体" w:hAnsi="宋体" w:eastAsia="宋体" w:cs="宋体"/>
          <w:kern w:val="0"/>
          <w:sz w:val="22"/>
          <w:szCs w:val="22"/>
          <w:highlight w:val="none"/>
        </w:rPr>
        <w:t>，具体详见采购清单，供应商应对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中的所有内容进行响应，不得在其中选项，否则按无效文件处理。</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1-1、各供应商根据给定的项目内容及服务要求并编制</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1-2、列出所有服务方案与</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要求有偏差的，须注明。</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2.供应商资格：</w:t>
      </w:r>
    </w:p>
    <w:p>
      <w:pPr>
        <w:snapToGrid w:val="0"/>
        <w:spacing w:line="48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财务状况报告：提供2020年度经审计的财务报告或在开标日期前六个月内其基本开户银行出具的资信证明，以上二种形式的证明资料提供任何一种即可；4、税收缴纳证明：提供供应商2020年至今任意一个月已缴纳的完税凭证或税务机关开具的完税证明（任意税种）；5、社会保障资金缴纳证明：提供供应商2020年至今任意一个月已缴纳的社会保障资金缴存单据或社保机构开具的社会保险参保缴费情况证明；依法不需要缴纳社会保障资金的应提供相关文件证明；6、提供具有履行本合同所必需的设备和专业技术能力的承诺；7、参加政府采购活动前3年内在经营活动中没有重大违法记录的书面声明；8、供应商不得为“信用中国”网站</w:t>
      </w:r>
      <w:r>
        <w:rPr>
          <w:rStyle w:val="15"/>
          <w:rFonts w:hint="eastAsia" w:ascii="宋体" w:hAnsi="宋体" w:eastAsia="宋体" w:cs="宋体"/>
          <w:sz w:val="20"/>
          <w:szCs w:val="20"/>
          <w:highlight w:val="none"/>
        </w:rPr>
        <w:t>（www.creditchina.gov.cn）</w:t>
      </w:r>
      <w:r>
        <w:rPr>
          <w:rStyle w:val="15"/>
          <w:rFonts w:hint="eastAsia" w:ascii="宋体" w:hAnsi="宋体" w:eastAsia="宋体" w:cs="宋体"/>
          <w:sz w:val="22"/>
          <w:szCs w:val="22"/>
          <w:highlight w:val="none"/>
        </w:rPr>
        <w:t>中列入失信被执行人和重大税收违法案件当事人名单、不得为“中国政府采购网”（www.ccgp.gov.cn）政府采购严重违法失信行为记录名单中被财政部门禁止参加政府采购活动的供应商；9、本项目不接受联合体投标；</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响应文件的编制：</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响应文件必须根据</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给定的格式编写，对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做出实质性响应，具体内容包括：</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第一部分  </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第二部分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（一）报价一览表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（二）设备分项报价表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第三部分  法定代表人身份证明及授权委托书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第四部分  供应商资格证明文件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第五部分  </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响应方案说明</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第六部分  供应商承诺书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第七部分  政府采购供应商拒绝政府采购领域商业贿赂承诺书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第八部分  附件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1、中小企业声明函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2、残疾人福利性单位声明函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3、监狱企业证明函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4、规格、技术参数偏离表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报价：</w:t>
      </w:r>
    </w:p>
    <w:p>
      <w:pPr>
        <w:numPr>
          <w:ilvl w:val="0"/>
          <w:numId w:val="5"/>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本次报价为一次性报价。</w:t>
      </w:r>
    </w:p>
    <w:p>
      <w:pPr>
        <w:numPr>
          <w:ilvl w:val="0"/>
          <w:numId w:val="5"/>
        </w:numPr>
        <w:snapToGrid w:val="0"/>
        <w:spacing w:line="480" w:lineRule="auto"/>
        <w:ind w:left="-20" w:leftChars="0" w:right="-109" w:firstLine="440" w:firstLineChars="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各供应商应在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响应文件中的报价一览表上，标明总报价、工期、质量标准等项，任何有选择的报价采购代理机构不予接受。</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投标报价包括完成本项目</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中所提出的工作范围及要求的全部内容，并达到国家及采购人验收标准的所有费用，包括人工费、技术资料费、踏勘费、售后服务、风险、税金以及验收费等所有费用，任何错报、漏报由供应商自行负责。</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凡因供应商对</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阅读不深、理解不透、误解、疏漏、或因市场行情了解不清造成的后果和风险均由各供应商自负。</w:t>
      </w:r>
    </w:p>
    <w:p>
      <w:pPr>
        <w:numPr>
          <w:ilvl w:val="0"/>
          <w:numId w:val="5"/>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不组织勘察现场。供应商自行勘察现场，以便查明或核实有关编制响应文件和签订合同所必需的一切资料；供应商应承担踏勘现场的责任和风险以及期间发生的一切费用，供应商若因踏勘现场而发生的人身伤亡、财物或其它损失，不论何种原因所造成，采购人和采购代理机构均不负责任。</w:t>
      </w:r>
    </w:p>
    <w:p>
      <w:pPr>
        <w:numPr>
          <w:ilvl w:val="0"/>
          <w:numId w:val="5"/>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最低报价不作为成交的唯一条件。</w:t>
      </w:r>
    </w:p>
    <w:p>
      <w:pPr>
        <w:numPr>
          <w:ilvl w:val="0"/>
          <w:numId w:val="5"/>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yellow"/>
        </w:rPr>
        <w:t>最高限价为人民币：大写：</w:t>
      </w:r>
      <w:r>
        <w:rPr>
          <w:rStyle w:val="15"/>
          <w:rFonts w:hint="eastAsia" w:ascii="宋体" w:hAnsi="宋体" w:cs="宋体"/>
          <w:kern w:val="0"/>
          <w:sz w:val="22"/>
          <w:szCs w:val="22"/>
          <w:highlight w:val="yellow"/>
          <w:lang w:eastAsia="zh-CN"/>
        </w:rPr>
        <w:t>零</w:t>
      </w:r>
      <w:r>
        <w:rPr>
          <w:rStyle w:val="15"/>
          <w:rFonts w:hint="eastAsia" w:ascii="宋体" w:hAnsi="宋体" w:eastAsia="宋体" w:cs="宋体"/>
          <w:kern w:val="0"/>
          <w:sz w:val="22"/>
          <w:szCs w:val="22"/>
          <w:highlight w:val="yellow"/>
          <w:lang w:eastAsia="zh-CN"/>
        </w:rPr>
        <w:t>元</w:t>
      </w:r>
      <w:r>
        <w:rPr>
          <w:rStyle w:val="15"/>
          <w:rFonts w:hint="eastAsia" w:ascii="宋体" w:hAnsi="宋体" w:eastAsia="宋体" w:cs="宋体"/>
          <w:kern w:val="0"/>
          <w:sz w:val="22"/>
          <w:szCs w:val="22"/>
          <w:highlight w:val="yellow"/>
        </w:rPr>
        <w:t>整；小写：</w:t>
      </w:r>
      <w:r>
        <w:rPr>
          <w:rFonts w:hint="eastAsia" w:ascii="宋体" w:hAnsi="宋体" w:cs="宋体"/>
          <w:sz w:val="22"/>
          <w:szCs w:val="22"/>
          <w:highlight w:val="yellow"/>
          <w:lang w:val="en-US" w:eastAsia="zh-CN"/>
        </w:rPr>
        <w:t>0.00</w:t>
      </w:r>
      <w:r>
        <w:rPr>
          <w:rFonts w:hint="eastAsia" w:ascii="宋体" w:hAnsi="宋体" w:eastAsia="宋体" w:cs="宋体"/>
          <w:sz w:val="22"/>
          <w:szCs w:val="22"/>
          <w:highlight w:val="yellow"/>
        </w:rPr>
        <w:t>元</w:t>
      </w:r>
      <w:r>
        <w:rPr>
          <w:rStyle w:val="15"/>
          <w:rFonts w:hint="eastAsia" w:ascii="宋体" w:hAnsi="宋体" w:eastAsia="宋体" w:cs="宋体"/>
          <w:kern w:val="0"/>
          <w:sz w:val="22"/>
          <w:szCs w:val="22"/>
          <w:highlight w:val="yellow"/>
        </w:rPr>
        <w:t>，</w:t>
      </w:r>
      <w:r>
        <w:rPr>
          <w:rStyle w:val="15"/>
          <w:rFonts w:hint="eastAsia" w:ascii="宋体" w:hAnsi="宋体" w:eastAsia="宋体" w:cs="宋体"/>
          <w:kern w:val="0"/>
          <w:sz w:val="22"/>
          <w:szCs w:val="22"/>
          <w:highlight w:val="none"/>
        </w:rPr>
        <w:t>大于最高限价的投标价均为无效报价。且不得推荐为中标候选人。</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3-3、报价货币：人民币。单位：元（精确到小数点后两位）。</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w:t>
      </w:r>
      <w:r>
        <w:rPr>
          <w:rStyle w:val="15"/>
          <w:rFonts w:hint="eastAsia" w:ascii="宋体" w:hAnsi="宋体" w:cs="宋体"/>
          <w:kern w:val="0"/>
          <w:sz w:val="22"/>
          <w:szCs w:val="22"/>
          <w:highlight w:val="none"/>
          <w:lang w:eastAsia="zh-CN"/>
        </w:rPr>
        <w:t>公开招标</w:t>
      </w:r>
      <w:r>
        <w:rPr>
          <w:rStyle w:val="15"/>
          <w:rFonts w:hint="eastAsia" w:ascii="宋体" w:hAnsi="宋体" w:eastAsia="宋体" w:cs="宋体"/>
          <w:kern w:val="0"/>
          <w:sz w:val="22"/>
          <w:szCs w:val="22"/>
          <w:highlight w:val="none"/>
        </w:rPr>
        <w:t>期间一切费用自理。</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5</w:t>
      </w:r>
      <w:r>
        <w:rPr>
          <w:rStyle w:val="15"/>
          <w:rFonts w:hint="eastAsia" w:ascii="宋体" w:hAnsi="宋体" w:eastAsia="宋体" w:cs="宋体"/>
          <w:kern w:val="0"/>
          <w:sz w:val="22"/>
          <w:szCs w:val="22"/>
          <w:highlight w:val="none"/>
        </w:rPr>
        <w:t>、</w:t>
      </w:r>
      <w:r>
        <w:rPr>
          <w:rStyle w:val="15"/>
          <w:rFonts w:hint="eastAsia" w:ascii="宋体" w:hAnsi="宋体" w:cs="宋体"/>
          <w:kern w:val="0"/>
          <w:sz w:val="22"/>
          <w:szCs w:val="22"/>
          <w:highlight w:val="none"/>
          <w:lang w:eastAsia="zh-CN"/>
        </w:rPr>
        <w:t>公开招标</w:t>
      </w:r>
      <w:r>
        <w:rPr>
          <w:rStyle w:val="15"/>
          <w:rFonts w:hint="eastAsia" w:ascii="宋体" w:hAnsi="宋体" w:eastAsia="宋体" w:cs="宋体"/>
          <w:kern w:val="0"/>
          <w:sz w:val="22"/>
          <w:szCs w:val="22"/>
          <w:highlight w:val="none"/>
        </w:rPr>
        <w:t>响应文件有效期为自</w:t>
      </w:r>
      <w:r>
        <w:rPr>
          <w:rStyle w:val="15"/>
          <w:rFonts w:hint="eastAsia" w:ascii="宋体" w:hAnsi="宋体" w:cs="宋体"/>
          <w:kern w:val="0"/>
          <w:sz w:val="22"/>
          <w:szCs w:val="22"/>
          <w:highlight w:val="none"/>
          <w:lang w:eastAsia="zh-CN"/>
        </w:rPr>
        <w:t>开标</w:t>
      </w:r>
      <w:r>
        <w:rPr>
          <w:rStyle w:val="15"/>
          <w:rFonts w:hint="eastAsia" w:ascii="宋体" w:hAnsi="宋体" w:eastAsia="宋体" w:cs="宋体"/>
          <w:kern w:val="0"/>
          <w:sz w:val="22"/>
          <w:szCs w:val="22"/>
          <w:highlight w:val="none"/>
        </w:rPr>
        <w:t>之日起算九十日历天，成交供应商的</w:t>
      </w:r>
      <w:r>
        <w:rPr>
          <w:rStyle w:val="15"/>
          <w:rFonts w:hint="eastAsia" w:ascii="宋体" w:hAnsi="宋体" w:cs="宋体"/>
          <w:kern w:val="0"/>
          <w:sz w:val="22"/>
          <w:szCs w:val="22"/>
          <w:highlight w:val="none"/>
          <w:lang w:eastAsia="zh-CN"/>
        </w:rPr>
        <w:t>公开招标</w:t>
      </w:r>
      <w:r>
        <w:rPr>
          <w:rStyle w:val="15"/>
          <w:rFonts w:hint="eastAsia" w:ascii="宋体" w:hAnsi="宋体" w:eastAsia="宋体" w:cs="宋体"/>
          <w:kern w:val="0"/>
          <w:sz w:val="22"/>
          <w:szCs w:val="22"/>
          <w:highlight w:val="none"/>
        </w:rPr>
        <w:t>响应文件有效期延长至合同执行完毕。</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四、</w:t>
      </w:r>
      <w:r>
        <w:rPr>
          <w:rStyle w:val="15"/>
          <w:rFonts w:hint="eastAsia" w:ascii="宋体" w:hAnsi="宋体" w:eastAsia="宋体" w:cs="宋体"/>
          <w:b/>
          <w:kern w:val="0"/>
          <w:sz w:val="22"/>
          <w:szCs w:val="22"/>
          <w:highlight w:val="none"/>
          <w:lang w:eastAsia="zh-CN"/>
        </w:rPr>
        <w:t>公开招标</w:t>
      </w:r>
      <w:r>
        <w:rPr>
          <w:rStyle w:val="15"/>
          <w:rFonts w:hint="eastAsia" w:ascii="宋体" w:hAnsi="宋体" w:eastAsia="宋体" w:cs="宋体"/>
          <w:b/>
          <w:kern w:val="0"/>
          <w:sz w:val="22"/>
          <w:szCs w:val="22"/>
          <w:highlight w:val="none"/>
        </w:rPr>
        <w:t>响应文件的式样和签署</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1、响应文件应根据</w:t>
      </w:r>
      <w:r>
        <w:rPr>
          <w:rStyle w:val="15"/>
          <w:rFonts w:hint="eastAsia" w:ascii="宋体" w:hAnsi="宋体" w:cs="宋体"/>
          <w:kern w:val="0"/>
          <w:sz w:val="22"/>
          <w:szCs w:val="22"/>
          <w:highlight w:val="none"/>
          <w:lang w:eastAsia="zh-CN"/>
        </w:rPr>
        <w:t>公开招标</w:t>
      </w:r>
      <w:r>
        <w:rPr>
          <w:rStyle w:val="15"/>
          <w:rFonts w:hint="eastAsia" w:ascii="宋体" w:hAnsi="宋体" w:cs="宋体"/>
          <w:sz w:val="22"/>
          <w:szCs w:val="22"/>
          <w:highlight w:val="none"/>
          <w:lang w:eastAsia="zh-CN"/>
        </w:rPr>
        <w:t>文件</w:t>
      </w:r>
      <w:r>
        <w:rPr>
          <w:rStyle w:val="15"/>
          <w:rFonts w:hint="eastAsia" w:ascii="宋体" w:hAnsi="宋体" w:eastAsia="宋体" w:cs="宋体"/>
          <w:sz w:val="22"/>
          <w:szCs w:val="22"/>
          <w:highlight w:val="none"/>
        </w:rPr>
        <w:t>的要求制作。响应供应商应填写全称，同时按要求签署、盖章。如有遗漏，将被视为无效响应文件。</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2、响应文件格式。供应商应严格按照</w:t>
      </w:r>
      <w:r>
        <w:rPr>
          <w:rStyle w:val="15"/>
          <w:rFonts w:hint="eastAsia" w:ascii="宋体" w:hAnsi="宋体" w:cs="宋体"/>
          <w:kern w:val="0"/>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w:t>
      </w:r>
      <w:r>
        <w:rPr>
          <w:rStyle w:val="15"/>
          <w:rFonts w:hint="eastAsia" w:ascii="宋体" w:hAnsi="宋体" w:eastAsia="宋体" w:cs="宋体"/>
          <w:sz w:val="22"/>
          <w:szCs w:val="22"/>
          <w:highlight w:val="none"/>
          <w:lang w:val="zh-CN"/>
        </w:rPr>
        <w:t>第五章</w:t>
      </w:r>
      <w:r>
        <w:rPr>
          <w:rStyle w:val="15"/>
          <w:rFonts w:hint="eastAsia" w:ascii="宋体" w:hAnsi="宋体" w:cs="宋体"/>
          <w:kern w:val="0"/>
          <w:sz w:val="22"/>
          <w:szCs w:val="22"/>
          <w:highlight w:val="none"/>
          <w:lang w:eastAsia="zh-CN"/>
        </w:rPr>
        <w:t>公开招标</w:t>
      </w:r>
      <w:r>
        <w:rPr>
          <w:rStyle w:val="15"/>
          <w:rFonts w:hint="eastAsia" w:ascii="宋体" w:hAnsi="宋体" w:eastAsia="宋体" w:cs="宋体"/>
          <w:sz w:val="22"/>
          <w:szCs w:val="22"/>
          <w:highlight w:val="none"/>
          <w:lang w:val="zh-CN"/>
        </w:rPr>
        <w:t>响应文件格式”</w:t>
      </w:r>
      <w:r>
        <w:rPr>
          <w:rStyle w:val="15"/>
          <w:rFonts w:hint="eastAsia" w:ascii="宋体" w:hAnsi="宋体" w:eastAsia="宋体" w:cs="宋体"/>
          <w:sz w:val="22"/>
          <w:szCs w:val="22"/>
          <w:highlight w:val="none"/>
        </w:rPr>
        <w:t>填写相关内容。除明确允许供应商可以自行编写的外，供应商不得以“响应文件格式”规定之外的方式填写相关内容。否则，供应商提供的响应文件将作为无效响应文件。</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 对于没有格式要求的响应文件由供应商自行编写。</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 响应文件正本壹份、副本贰份、电子文件（电子光盘一张，U盘二个）。响应文件一律采用A4纸幅面装订成册</w:t>
      </w:r>
      <w:r>
        <w:rPr>
          <w:rStyle w:val="15"/>
          <w:rFonts w:hint="eastAsia" w:ascii="宋体" w:hAnsi="宋体" w:eastAsia="宋体" w:cs="宋体"/>
          <w:sz w:val="22"/>
          <w:szCs w:val="22"/>
          <w:highlight w:val="none"/>
          <w:lang w:val="zh-CN"/>
        </w:rPr>
        <w:t>（不得采用活页，采用胶装方式装订</w:t>
      </w:r>
      <w:r>
        <w:rPr>
          <w:rStyle w:val="15"/>
          <w:rFonts w:hint="eastAsia" w:ascii="宋体" w:hAnsi="宋体" w:eastAsia="宋体" w:cs="宋体"/>
          <w:sz w:val="22"/>
          <w:szCs w:val="22"/>
          <w:highlight w:val="none"/>
        </w:rPr>
        <w:t>），并逐页编目编码，正本和副本分别装订，响应文件应在其封面右上角清楚地标明“正本”或“副本”字样。若正本和副本有不一致的内容，以正本书面响应文件为准。</w:t>
      </w:r>
    </w:p>
    <w:p>
      <w:pPr>
        <w:tabs>
          <w:tab w:val="left" w:pos="1095"/>
        </w:tabs>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5、响应文件的正本和副本均需打印或用不褪色、不变质的墨水书写，凡是标明由法定代表人、委托代理人签字、盖章的，必须签署姓名全称及加盖私章。响应文件副本可采用正本的复印件，并加盖单位</w:t>
      </w:r>
      <w:r>
        <w:rPr>
          <w:rStyle w:val="15"/>
          <w:rFonts w:hint="eastAsia" w:ascii="宋体" w:hAnsi="宋体" w:cs="宋体"/>
          <w:sz w:val="22"/>
          <w:szCs w:val="22"/>
          <w:highlight w:val="none"/>
          <w:lang w:eastAsia="zh-CN"/>
        </w:rPr>
        <w:t>公</w:t>
      </w:r>
      <w:r>
        <w:rPr>
          <w:rStyle w:val="15"/>
          <w:rFonts w:hint="eastAsia" w:ascii="宋体" w:hAnsi="宋体" w:eastAsia="宋体" w:cs="宋体"/>
          <w:sz w:val="22"/>
          <w:szCs w:val="22"/>
          <w:highlight w:val="none"/>
        </w:rPr>
        <w:t>章。</w:t>
      </w:r>
    </w:p>
    <w:p>
      <w:pPr>
        <w:tabs>
          <w:tab w:val="left" w:pos="1095"/>
        </w:tabs>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响应文件的打印和书写应清楚工整，任何行间插字、涂改或增删，必须由供应商的法定代表人（或其委托代理人）签字或盖个人印鉴、响应文件签署骑缝章。字迹潦草、表达不清或可能导致非唯一理解的响应文件可能视为无效。</w:t>
      </w:r>
    </w:p>
    <w:p>
      <w:pPr>
        <w:snapToGrid w:val="0"/>
        <w:spacing w:line="480" w:lineRule="auto"/>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7、 电子文件制作要求，电子文件与纸质正本</w:t>
      </w:r>
      <w:r>
        <w:rPr>
          <w:rStyle w:val="15"/>
          <w:rFonts w:hint="eastAsia" w:ascii="宋体" w:hAnsi="宋体" w:cs="宋体"/>
          <w:b w:val="0"/>
          <w:bCs/>
          <w:kern w:val="3"/>
          <w:sz w:val="22"/>
          <w:szCs w:val="22"/>
          <w:highlight w:val="none"/>
          <w:lang w:eastAsia="zh-CN"/>
        </w:rPr>
        <w:t>公开招标文件</w:t>
      </w:r>
      <w:r>
        <w:rPr>
          <w:rStyle w:val="15"/>
          <w:rFonts w:hint="eastAsia" w:ascii="宋体" w:hAnsi="宋体" w:eastAsia="宋体" w:cs="宋体"/>
          <w:sz w:val="22"/>
          <w:szCs w:val="22"/>
          <w:highlight w:val="none"/>
        </w:rPr>
        <w:t>的内容应保持一致，具有同等法律效力。</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五、</w:t>
      </w:r>
      <w:r>
        <w:rPr>
          <w:rStyle w:val="15"/>
          <w:rFonts w:hint="eastAsia" w:ascii="宋体" w:hAnsi="宋体" w:eastAsia="宋体" w:cs="宋体"/>
          <w:b/>
          <w:kern w:val="0"/>
          <w:sz w:val="22"/>
          <w:szCs w:val="22"/>
          <w:highlight w:val="none"/>
          <w:lang w:eastAsia="zh-CN"/>
        </w:rPr>
        <w:t>公开招标</w:t>
      </w:r>
      <w:r>
        <w:rPr>
          <w:rStyle w:val="15"/>
          <w:rFonts w:hint="eastAsia" w:ascii="宋体" w:hAnsi="宋体" w:eastAsia="宋体" w:cs="宋体"/>
          <w:b/>
          <w:kern w:val="0"/>
          <w:sz w:val="22"/>
          <w:szCs w:val="22"/>
          <w:highlight w:val="none"/>
        </w:rPr>
        <w:t>响应文件的密封、修改和递交</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1、</w:t>
      </w:r>
      <w:r>
        <w:rPr>
          <w:rStyle w:val="15"/>
          <w:rFonts w:hint="eastAsia" w:ascii="宋体" w:hAnsi="宋体" w:eastAsia="宋体" w:cs="宋体"/>
          <w:b/>
          <w:sz w:val="22"/>
          <w:szCs w:val="22"/>
          <w:highlight w:val="none"/>
        </w:rPr>
        <w:t>响应文件</w:t>
      </w:r>
      <w:r>
        <w:rPr>
          <w:rStyle w:val="15"/>
          <w:rFonts w:hint="eastAsia" w:ascii="宋体" w:hAnsi="宋体" w:eastAsia="宋体" w:cs="宋体"/>
          <w:b/>
          <w:bCs/>
          <w:sz w:val="22"/>
          <w:szCs w:val="22"/>
          <w:highlight w:val="none"/>
        </w:rPr>
        <w:t>的密封和标记</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1-1</w:t>
      </w:r>
      <w:r>
        <w:rPr>
          <w:rStyle w:val="15"/>
          <w:rFonts w:hint="eastAsia" w:ascii="宋体" w:hAnsi="宋体" w:eastAsia="宋体" w:cs="宋体"/>
          <w:kern w:val="0"/>
          <w:sz w:val="22"/>
          <w:szCs w:val="22"/>
          <w:highlight w:val="none"/>
        </w:rPr>
        <w:t>参加</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时，供应商应将响应文件所有正、副本、电子文件全部密封递交。</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1-2所有密封包装均应符合以下要求：</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eastAsia="宋体" w:cs="宋体"/>
          <w:sz w:val="22"/>
          <w:szCs w:val="22"/>
          <w:highlight w:val="none"/>
        </w:rPr>
        <w:t>响应文件正本、所有副本，应分别装袋密封，电子文件放置正本袋内，加贴封条，并在封套的封口处（封套两端折叠封口处）盖供应商单位章。</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（2）项目名称、项目编号、供应商名称、年月日、“正本”或“副本”字样。</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（3）供应商应按照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 xml:space="preserve">“第五章  </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响应文件格式”中指明的要求进行签字或盖章。</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响应文件如果未按上述规定密封和加写标记，招标代理机构将拒绝接收。</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2、响应文件的</w:t>
      </w:r>
      <w:r>
        <w:rPr>
          <w:rStyle w:val="15"/>
          <w:rFonts w:hint="eastAsia" w:ascii="宋体" w:hAnsi="宋体" w:eastAsia="宋体" w:cs="宋体"/>
          <w:b/>
          <w:kern w:val="0"/>
          <w:sz w:val="22"/>
          <w:szCs w:val="22"/>
          <w:highlight w:val="none"/>
          <w:lang w:val="zh-CN"/>
        </w:rPr>
        <w:t>修改或者撤回</w:t>
      </w:r>
    </w:p>
    <w:p>
      <w:pPr>
        <w:pStyle w:val="137"/>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2-1</w:t>
      </w:r>
      <w:r>
        <w:rPr>
          <w:rStyle w:val="15"/>
          <w:rFonts w:hint="eastAsia" w:ascii="宋体" w:hAnsi="宋体" w:eastAsia="宋体" w:cs="宋体"/>
          <w:kern w:val="0"/>
          <w:sz w:val="22"/>
          <w:szCs w:val="22"/>
          <w:highlight w:val="none"/>
        </w:rPr>
        <w:t>供应商在</w:t>
      </w:r>
      <w:r>
        <w:rPr>
          <w:rStyle w:val="15"/>
          <w:rFonts w:hint="eastAsia" w:ascii="宋体" w:hAnsi="宋体" w:eastAsia="宋体" w:cs="宋体"/>
          <w:sz w:val="22"/>
          <w:szCs w:val="22"/>
          <w:highlight w:val="none"/>
        </w:rPr>
        <w:t>本章规定的</w:t>
      </w:r>
      <w:r>
        <w:rPr>
          <w:rStyle w:val="15"/>
          <w:rFonts w:hint="eastAsia" w:ascii="宋体" w:hAnsi="宋体" w:eastAsia="宋体" w:cs="宋体"/>
          <w:kern w:val="0"/>
          <w:sz w:val="22"/>
          <w:szCs w:val="22"/>
          <w:highlight w:val="none"/>
        </w:rPr>
        <w:t>提交响应文件截止时间前，可以对所提交的响应文件进行补充、修改或者撤回，并书面通知采购人、招标代理机构。</w:t>
      </w:r>
    </w:p>
    <w:p>
      <w:pPr>
        <w:pStyle w:val="137"/>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2-2供应商的修改书或撤回</w:t>
      </w:r>
      <w:r>
        <w:rPr>
          <w:rStyle w:val="15"/>
          <w:rFonts w:hint="eastAsia" w:hAnsi="宋体" w:cs="宋体"/>
          <w:sz w:val="22"/>
          <w:szCs w:val="22"/>
          <w:highlight w:val="none"/>
          <w:lang w:eastAsia="zh-CN"/>
        </w:rPr>
        <w:t>文件</w:t>
      </w:r>
      <w:r>
        <w:rPr>
          <w:rStyle w:val="15"/>
          <w:rFonts w:hint="eastAsia" w:ascii="宋体" w:hAnsi="宋体" w:eastAsia="宋体" w:cs="宋体"/>
          <w:sz w:val="22"/>
          <w:szCs w:val="22"/>
          <w:highlight w:val="none"/>
        </w:rPr>
        <w:t>，应由其法定代表人或委托代理人签署并盖单位公章。修改书应按</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规定进行密封和标注，并在密封袋上标注“响应文件修改”或“响应文件撤回通知”字样，“修改文件”作为响应文件的组成部分；招标代理机构不退还供应商已撤回的响应文件（包括纸质和电子版）。</w:t>
      </w:r>
    </w:p>
    <w:p>
      <w:pPr>
        <w:pStyle w:val="137"/>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2-3</w:t>
      </w:r>
      <w:r>
        <w:rPr>
          <w:rStyle w:val="15"/>
          <w:rFonts w:hint="eastAsia" w:ascii="宋体" w:hAnsi="宋体" w:eastAsia="宋体" w:cs="宋体"/>
          <w:kern w:val="0"/>
          <w:sz w:val="22"/>
          <w:szCs w:val="22"/>
          <w:highlight w:val="none"/>
        </w:rPr>
        <w:t>供应商在递交</w:t>
      </w:r>
      <w:r>
        <w:rPr>
          <w:rStyle w:val="15"/>
          <w:rFonts w:hint="eastAsia" w:hAnsi="宋体" w:cs="宋体"/>
          <w:kern w:val="0"/>
          <w:sz w:val="22"/>
          <w:szCs w:val="22"/>
          <w:highlight w:val="none"/>
          <w:lang w:eastAsia="zh-CN"/>
        </w:rPr>
        <w:t>公开招标</w:t>
      </w:r>
      <w:r>
        <w:rPr>
          <w:rStyle w:val="15"/>
          <w:rFonts w:hint="eastAsia" w:ascii="宋体" w:hAnsi="宋体" w:eastAsia="宋体" w:cs="宋体"/>
          <w:kern w:val="0"/>
          <w:sz w:val="22"/>
          <w:szCs w:val="22"/>
          <w:highlight w:val="none"/>
        </w:rPr>
        <w:t>文件截止期后不得修改、撤回响应性文件。</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3、响应文件的递交与接收</w:t>
      </w:r>
    </w:p>
    <w:p>
      <w:pPr>
        <w:snapToGrid w:val="0"/>
        <w:spacing w:line="480" w:lineRule="auto"/>
        <w:ind w:firstLine="440" w:firstLineChars="200"/>
        <w:rPr>
          <w:rStyle w:val="15"/>
          <w:rFonts w:hint="eastAsia" w:ascii="宋体" w:hAnsi="宋体" w:eastAsia="宋体" w:cs="宋体"/>
          <w:b/>
          <w:kern w:val="0"/>
          <w:sz w:val="22"/>
          <w:szCs w:val="22"/>
          <w:highlight w:val="none"/>
        </w:rPr>
      </w:pPr>
      <w:r>
        <w:rPr>
          <w:rStyle w:val="15"/>
          <w:rFonts w:hint="eastAsia" w:ascii="宋体" w:hAnsi="宋体" w:eastAsia="宋体" w:cs="宋体"/>
          <w:sz w:val="22"/>
          <w:szCs w:val="22"/>
          <w:highlight w:val="none"/>
        </w:rPr>
        <w:t>供应商应在本章规定的</w:t>
      </w:r>
      <w:r>
        <w:rPr>
          <w:rStyle w:val="15"/>
          <w:rFonts w:hint="eastAsia" w:ascii="宋体" w:hAnsi="宋体" w:eastAsia="宋体" w:cs="宋体"/>
          <w:kern w:val="0"/>
          <w:sz w:val="22"/>
          <w:szCs w:val="22"/>
          <w:highlight w:val="none"/>
        </w:rPr>
        <w:t>提交响应文件截止时间</w:t>
      </w:r>
      <w:r>
        <w:rPr>
          <w:rStyle w:val="15"/>
          <w:rFonts w:hint="eastAsia" w:ascii="宋体" w:hAnsi="宋体" w:eastAsia="宋体" w:cs="宋体"/>
          <w:sz w:val="22"/>
          <w:szCs w:val="22"/>
          <w:highlight w:val="none"/>
        </w:rPr>
        <w:t>前，将响应文件送达</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须知前附表中指定的地点。</w:t>
      </w:r>
      <w:r>
        <w:rPr>
          <w:rStyle w:val="15"/>
          <w:rFonts w:hint="eastAsia" w:ascii="宋体" w:hAnsi="宋体" w:eastAsia="宋体" w:cs="宋体"/>
          <w:kern w:val="0"/>
          <w:sz w:val="22"/>
          <w:szCs w:val="22"/>
          <w:highlight w:val="none"/>
        </w:rPr>
        <w:t>在截止时间后送达的响应文件，采购人、招标代理机构或者</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小组将拒收。</w:t>
      </w:r>
    </w:p>
    <w:p>
      <w:pPr>
        <w:snapToGrid w:val="0"/>
        <w:spacing w:line="480" w:lineRule="auto"/>
        <w:ind w:right="-109"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kern w:val="0"/>
          <w:sz w:val="22"/>
          <w:szCs w:val="22"/>
          <w:highlight w:val="none"/>
        </w:rPr>
        <w:t>六、采购代理机构</w:t>
      </w:r>
      <w:r>
        <w:rPr>
          <w:rStyle w:val="15"/>
          <w:rFonts w:hint="eastAsia" w:ascii="宋体" w:hAnsi="宋体" w:eastAsia="宋体" w:cs="宋体"/>
          <w:b/>
          <w:bCs w:val="0"/>
          <w:kern w:val="0"/>
          <w:sz w:val="22"/>
          <w:szCs w:val="22"/>
          <w:highlight w:val="none"/>
        </w:rPr>
        <w:t>及</w:t>
      </w:r>
      <w:r>
        <w:rPr>
          <w:rStyle w:val="15"/>
          <w:rFonts w:hint="eastAsia" w:ascii="宋体" w:hAnsi="宋体" w:cs="宋体"/>
          <w:b/>
          <w:bCs w:val="0"/>
          <w:kern w:val="3"/>
          <w:sz w:val="22"/>
          <w:szCs w:val="22"/>
          <w:highlight w:val="none"/>
          <w:lang w:eastAsia="zh-CN"/>
        </w:rPr>
        <w:t>公开招标</w:t>
      </w:r>
      <w:r>
        <w:rPr>
          <w:rStyle w:val="15"/>
          <w:rFonts w:hint="eastAsia" w:ascii="宋体" w:hAnsi="宋体" w:eastAsia="宋体" w:cs="宋体"/>
          <w:b/>
          <w:bCs w:val="0"/>
          <w:kern w:val="0"/>
          <w:sz w:val="22"/>
          <w:szCs w:val="22"/>
          <w:highlight w:val="none"/>
        </w:rPr>
        <w:t>小组职能</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1、采购代理机构组织</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、评审工作，</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整个过程接受采购管理机构的监督和管理，参加</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的供应商须签名报到以证明出席。</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2、为确保</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工作公平、公正，根据《中华人民共和国政府采购法》的有关规定成立</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小组成员（有关专家）在政府采购专家库中随机抽取。</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小组成员应当遵守并履行下列义务：</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2-1、遵纪守法，客观、公正、廉洁地履行职责，审查</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响应文件是否符合</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kern w:val="0"/>
          <w:sz w:val="22"/>
          <w:szCs w:val="22"/>
          <w:highlight w:val="none"/>
          <w:lang w:eastAsia="zh-CN"/>
        </w:rPr>
        <w:t>文件</w:t>
      </w:r>
      <w:r>
        <w:rPr>
          <w:rStyle w:val="15"/>
          <w:rFonts w:hint="eastAsia" w:ascii="宋体" w:hAnsi="宋体" w:eastAsia="宋体" w:cs="宋体"/>
          <w:kern w:val="0"/>
          <w:sz w:val="22"/>
          <w:szCs w:val="22"/>
          <w:highlight w:val="none"/>
        </w:rPr>
        <w:t>的要求，并做出评价；</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2-2、要求供应商对</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响应文件有关事项作出解释或者澄清；</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的要求和</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办法进行评审，推荐成交候选单位名单，对评审意见承担个人责任；</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2-4、对评审过程和结果以及供应商的商业秘密保密；</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2-5、参与</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结果报告的起草；</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2-6、配合采购代理机构答复供应商提出的质疑； </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2-7、配合财政部门的投诉处理工作。</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小组的职能：</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3-1、对各供应商</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响应文件（含澄清、说明或补正的内容）中的总报价、技术方案、人员配置、商务响应等内容进行评审。</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3-2、依据</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及响应文件，并视评审情况，从质量和服务均能满足采购文件实质性要求的供应商中，按照报价由低到高的顺序提出3名以上成交候选人，并编写评审报告。</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3-3、协商处理</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过程中出现的其它相关问题。</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开始时，采购代理机构依据递交</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顺序的逆顺序，将各供应商的报价及有关内容进行公布。</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开始后，直到与成交的供应商签定合同为止，凡与审查、澄清、评价和比较各供应商的有关资料及意见等内容，</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小组均不得向供应商及与</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无关的其他人透露。</w:t>
      </w:r>
    </w:p>
    <w:p>
      <w:pPr>
        <w:pStyle w:val="110"/>
        <w:snapToGrid w:val="0"/>
        <w:spacing w:line="480" w:lineRule="auto"/>
        <w:ind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bCs w:val="0"/>
          <w:kern w:val="0"/>
          <w:sz w:val="22"/>
          <w:szCs w:val="22"/>
          <w:highlight w:val="none"/>
        </w:rPr>
        <w:t>七、</w:t>
      </w:r>
      <w:r>
        <w:rPr>
          <w:rStyle w:val="15"/>
          <w:rFonts w:hint="eastAsia" w:ascii="宋体" w:hAnsi="宋体" w:cs="宋体"/>
          <w:b/>
          <w:bCs w:val="0"/>
          <w:kern w:val="3"/>
          <w:sz w:val="22"/>
          <w:szCs w:val="22"/>
          <w:highlight w:val="none"/>
          <w:lang w:eastAsia="zh-CN"/>
        </w:rPr>
        <w:t>公开招标</w:t>
      </w:r>
      <w:r>
        <w:rPr>
          <w:rStyle w:val="15"/>
          <w:rFonts w:hint="eastAsia" w:ascii="宋体" w:hAnsi="宋体" w:eastAsia="宋体" w:cs="宋体"/>
          <w:b/>
          <w:bCs w:val="0"/>
          <w:kern w:val="0"/>
          <w:sz w:val="22"/>
          <w:szCs w:val="22"/>
          <w:highlight w:val="none"/>
        </w:rPr>
        <w:t>会议程序</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会议程序</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1-1、采购人将按规定的时间和地点组织</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采购会议，供应商应委派授权委托人或法定代表人（携带有效证件）准时参加，参加开标的授权委托人或法定代表人须签名以证明其出席。</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1-2、开标仪式由彬州市政府采购中心主持，采购人、采购人代表、监督代表、供应商代表以及有关工作人员参加。</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1-3、同意撤回的投标将不予开封。</w:t>
      </w:r>
    </w:p>
    <w:p>
      <w:pPr>
        <w:snapToGrid w:val="0"/>
        <w:spacing w:line="360"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bCs/>
          <w:kern w:val="0"/>
          <w:sz w:val="22"/>
          <w:szCs w:val="22"/>
          <w:highlight w:val="none"/>
        </w:rPr>
        <w:t>1-4、开标时，请</w:t>
      </w:r>
      <w:r>
        <w:rPr>
          <w:rStyle w:val="15"/>
          <w:rFonts w:hint="eastAsia" w:ascii="宋体" w:hAnsi="宋体" w:eastAsia="宋体" w:cs="宋体"/>
          <w:kern w:val="0"/>
          <w:sz w:val="22"/>
          <w:szCs w:val="22"/>
          <w:highlight w:val="none"/>
        </w:rPr>
        <w:t>采购人或代理机构</w:t>
      </w:r>
      <w:r>
        <w:rPr>
          <w:rStyle w:val="15"/>
          <w:rFonts w:hint="eastAsia" w:ascii="宋体" w:hAnsi="宋体" w:eastAsia="宋体" w:cs="宋体"/>
          <w:bCs/>
          <w:kern w:val="0"/>
          <w:sz w:val="22"/>
          <w:szCs w:val="22"/>
          <w:highlight w:val="none"/>
        </w:rPr>
        <w:t>查验:</w:t>
      </w:r>
    </w:p>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参加政府采购活动前3年内在经营活动中没有重大违法记录的书面声明；4、保证金转账凭证及采购代理机构开具的保证金收款收据原件；</w:t>
      </w:r>
    </w:p>
    <w:p>
      <w:pPr>
        <w:snapToGrid w:val="0"/>
        <w:spacing w:line="360" w:lineRule="auto"/>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注：其中，第</w:t>
      </w:r>
      <w:r>
        <w:rPr>
          <w:rStyle w:val="15"/>
          <w:rFonts w:hint="eastAsia" w:ascii="宋体" w:hAnsi="宋体" w:eastAsia="宋体" w:cs="宋体"/>
          <w:sz w:val="22"/>
          <w:szCs w:val="22"/>
          <w:highlight w:val="none"/>
        </w:rPr>
        <w:t>1-4</w:t>
      </w:r>
      <w:r>
        <w:rPr>
          <w:rStyle w:val="15"/>
          <w:rFonts w:hint="eastAsia" w:ascii="宋体" w:hAnsi="宋体" w:eastAsia="宋体" w:cs="宋体"/>
          <w:sz w:val="22"/>
          <w:szCs w:val="22"/>
          <w:highlight w:val="none"/>
          <w:lang w:val="zh-CN"/>
        </w:rPr>
        <w:t>项在开标现场由采购人或代理机构查验。</w:t>
      </w:r>
    </w:p>
    <w:p>
      <w:pPr>
        <w:snapToGrid w:val="0"/>
        <w:spacing w:line="360"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sz w:val="22"/>
          <w:szCs w:val="22"/>
          <w:highlight w:val="none"/>
          <w:lang w:val="zh-CN"/>
        </w:rPr>
        <w:t>以上资料提供原件及复印件加盖单位公章，如未携带或缺项，则按无效标处理。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1-5、由供应商代表与监标人检查响应文件的密封情况，经确认无误后签字认可。由采购代理机构工作人员当众拆封并宣读供应商名称、响应文件份数、</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总报价、工期、质量等内容。对于供应商在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截止时间前递交的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声明，在</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时当众宣读，评审时有效；</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1-6、将各供应商的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响应文件送交</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小组评审；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1-7、推荐成交候选人；</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1-8、</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会议结束。</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2-1、按照《中华人民共和国政府采购法》，依法组建</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小组，在政府采购专家库中随机抽取。</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小组成员由采购人代表和有关技术、经济等方面的专家组成，其中技术、经济专家人数不少于</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小组总人数的2/3，采购人代表须持有委托书。</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小组成员对各供应商</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响应文件进行审查、质疑、评估和比较，并推荐成交候选人。</w:t>
      </w:r>
    </w:p>
    <w:p>
      <w:pPr>
        <w:pStyle w:val="110"/>
        <w:snapToGrid w:val="0"/>
        <w:spacing w:line="456" w:lineRule="auto"/>
        <w:ind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bCs w:val="0"/>
          <w:kern w:val="0"/>
          <w:sz w:val="22"/>
          <w:szCs w:val="22"/>
          <w:highlight w:val="none"/>
        </w:rPr>
        <w:t>八、评 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1、评审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小组将遵循公开、公平、公正和择优的原则，对所有供应商的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响应文件评审，都采用相同的程序和标准。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1-2、评审过程的保密：评审应在严格保密的状态下进行，在响应文件的评审、比较、成交候选供应商推荐以及授予合同的过程中，供应商向采购人和</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小组施加影响的任何行为，都将会导致其报价被拒绝；成交供应商确定后，采购人不对未成交供应商就评审过程以及未能成交原因做出任何解释。未成交供应商不得向</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小组成员或其他相关人员索问评审过程的情况和材料。</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1-3、供应商或</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响应文件出现的下列情形将按照无效响应文件处理，由</w:t>
      </w:r>
      <w:r>
        <w:rPr>
          <w:rStyle w:val="15"/>
          <w:rFonts w:hint="eastAsia" w:ascii="宋体" w:hAnsi="宋体" w:cs="宋体"/>
          <w:b w:val="0"/>
          <w:bCs/>
          <w:kern w:val="3"/>
          <w:sz w:val="22"/>
          <w:szCs w:val="22"/>
          <w:highlight w:val="none"/>
          <w:lang w:eastAsia="zh-CN"/>
        </w:rPr>
        <w:t>招标</w:t>
      </w:r>
      <w:r>
        <w:rPr>
          <w:rStyle w:val="15"/>
          <w:rFonts w:hint="eastAsia" w:ascii="宋体" w:hAnsi="宋体" w:eastAsia="宋体" w:cs="宋体"/>
          <w:kern w:val="0"/>
          <w:sz w:val="22"/>
          <w:szCs w:val="22"/>
          <w:highlight w:val="none"/>
        </w:rPr>
        <w:t>小组否决</w:t>
      </w:r>
      <w:r>
        <w:rPr>
          <w:rStyle w:val="15"/>
          <w:rFonts w:hint="eastAsia" w:cs="宋体"/>
          <w:kern w:val="0"/>
          <w:sz w:val="22"/>
          <w:szCs w:val="22"/>
          <w:highlight w:val="none"/>
          <w:lang w:eastAsia="zh-CN"/>
        </w:rPr>
        <w:t>其是否进入下一阶段</w:t>
      </w:r>
      <w:r>
        <w:rPr>
          <w:rStyle w:val="15"/>
          <w:rFonts w:hint="eastAsia" w:ascii="宋体" w:hAnsi="宋体" w:eastAsia="宋体" w:cs="宋体"/>
          <w:kern w:val="0"/>
          <w:sz w:val="22"/>
          <w:szCs w:val="22"/>
          <w:highlight w:val="none"/>
        </w:rPr>
        <w:t>：</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（1）未按</w:t>
      </w:r>
      <w:r>
        <w:rPr>
          <w:rStyle w:val="15"/>
          <w:rFonts w:hint="eastAsia" w:cs="宋体"/>
          <w:b w:val="0"/>
          <w:bCs/>
          <w:kern w:val="3"/>
          <w:sz w:val="22"/>
          <w:szCs w:val="22"/>
          <w:highlight w:val="none"/>
          <w:lang w:eastAsia="zh-CN"/>
        </w:rPr>
        <w:t>公开</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规定要求密封、签署、盖章；</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（2）不具备</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规定资格条件的或提供的资格审查文件不全的；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（3）响应文件内容不全或字迹模糊辨认不清导致</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响应文件不满足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实质性要求的；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（4）响应文件中提供虚假或失实材料的；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（5）未按</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文件要求进行承诺的。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（6）报价超过最高限价的；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（7）属于</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中所列无效响应情形的；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（8）与</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要求条款有重大偏离的；</w:t>
      </w:r>
    </w:p>
    <w:p>
      <w:pPr>
        <w:pStyle w:val="110"/>
        <w:snapToGrid w:val="0"/>
        <w:spacing w:line="456"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（9）不符合法律、法规和</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中规定的其他实质性要求的。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2、评审程序及办法</w:t>
      </w:r>
    </w:p>
    <w:p>
      <w:pPr>
        <w:snapToGrid w:val="0"/>
        <w:spacing w:line="456"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bCs/>
          <w:kern w:val="0"/>
          <w:sz w:val="22"/>
          <w:szCs w:val="22"/>
          <w:highlight w:val="none"/>
        </w:rPr>
        <w:t>2-1、采用</w:t>
      </w:r>
      <w:r>
        <w:rPr>
          <w:rStyle w:val="15"/>
          <w:rFonts w:hint="eastAsia" w:ascii="宋体" w:hAnsi="宋体" w:cs="宋体"/>
          <w:bCs/>
          <w:kern w:val="0"/>
          <w:sz w:val="22"/>
          <w:szCs w:val="22"/>
          <w:highlight w:val="none"/>
          <w:lang w:eastAsia="zh-CN"/>
        </w:rPr>
        <w:t>综合</w:t>
      </w:r>
      <w:r>
        <w:rPr>
          <w:rStyle w:val="15"/>
          <w:rFonts w:hint="eastAsia" w:ascii="宋体" w:hAnsi="宋体" w:eastAsia="宋体" w:cs="宋体"/>
          <w:bCs/>
          <w:kern w:val="0"/>
          <w:sz w:val="22"/>
          <w:szCs w:val="22"/>
          <w:highlight w:val="none"/>
        </w:rPr>
        <w:t>评标价法，即指以满足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bCs/>
          <w:kern w:val="0"/>
          <w:sz w:val="22"/>
          <w:szCs w:val="22"/>
          <w:highlight w:val="none"/>
        </w:rPr>
        <w:t>文件全部实质性要求且</w:t>
      </w:r>
      <w:r>
        <w:rPr>
          <w:rStyle w:val="15"/>
          <w:rFonts w:hint="eastAsia" w:ascii="宋体" w:hAnsi="宋体" w:cs="宋体"/>
          <w:bCs/>
          <w:kern w:val="0"/>
          <w:sz w:val="22"/>
          <w:szCs w:val="22"/>
          <w:highlight w:val="none"/>
          <w:lang w:eastAsia="zh-CN"/>
        </w:rPr>
        <w:t>综合得分最高</w:t>
      </w:r>
      <w:r>
        <w:rPr>
          <w:rStyle w:val="15"/>
          <w:rFonts w:hint="eastAsia" w:ascii="宋体" w:hAnsi="宋体" w:eastAsia="宋体" w:cs="宋体"/>
          <w:bCs/>
          <w:kern w:val="0"/>
          <w:sz w:val="22"/>
          <w:szCs w:val="22"/>
          <w:highlight w:val="none"/>
        </w:rPr>
        <w:t>的原则确定成立供应商的办法。参加</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bCs/>
          <w:kern w:val="0"/>
          <w:sz w:val="22"/>
          <w:szCs w:val="22"/>
          <w:highlight w:val="none"/>
        </w:rPr>
        <w:t>采购活动的供应商，应当按照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Cs/>
          <w:kern w:val="0"/>
          <w:sz w:val="22"/>
          <w:szCs w:val="22"/>
          <w:highlight w:val="none"/>
          <w:lang w:eastAsia="zh-CN"/>
        </w:rPr>
        <w:t>文件</w:t>
      </w:r>
      <w:r>
        <w:rPr>
          <w:rStyle w:val="15"/>
          <w:rFonts w:hint="eastAsia" w:ascii="宋体" w:hAnsi="宋体" w:eastAsia="宋体" w:cs="宋体"/>
          <w:bCs/>
          <w:kern w:val="0"/>
          <w:sz w:val="22"/>
          <w:szCs w:val="22"/>
          <w:highlight w:val="none"/>
        </w:rPr>
        <w:t>的规定一次报出不得更改的价格。</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bCs/>
          <w:kern w:val="0"/>
          <w:sz w:val="22"/>
          <w:szCs w:val="22"/>
          <w:highlight w:val="none"/>
        </w:rPr>
        <w:t>小组认为响应供应商的报价明显低于其他通过符合性审查投标人的报价，有可能影响产品质量或者不能诚信履约的，要求其在评审现场合理的时间内提供书面说明，必要时提供相关材料证明；响应供应商如不能证明其报价的合理性的，将作为无效响应文件处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2-2、采取逐项分步评审方式，每一步评审不符合者，不进入下一步评审，全部评审合格的供应商，按</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总报价由低到高排序，推荐出成交候选单位。</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（1）资格审查：</w:t>
      </w:r>
    </w:p>
    <w:tbl>
      <w:tblPr>
        <w:tblStyle w:val="10"/>
        <w:tblW w:w="92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9"/>
        <w:gridCol w:w="8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exact"/>
          <w:jc w:val="center"/>
        </w:trPr>
        <w:tc>
          <w:tcPr>
            <w:tcW w:w="809" w:type="dxa"/>
            <w:vAlign w:val="center"/>
          </w:tcPr>
          <w:p>
            <w:pPr>
              <w:tabs>
                <w:tab w:val="left" w:pos="0"/>
              </w:tabs>
              <w:snapToGrid w:val="0"/>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8468" w:type="dxa"/>
            <w:vAlign w:val="center"/>
          </w:tcPr>
          <w:p>
            <w:pPr>
              <w:tabs>
                <w:tab w:val="left" w:pos="0"/>
              </w:tabs>
              <w:snapToGrid w:val="0"/>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法定代表人授权书及被授权人身份证(法定代表人直接参加投标，须提交其身份证原件、复印件及法定代表人身份证明)；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财务状况报告：提供2020年度经审计的财务报告或在开标日期前六个月内其基本开户银行出具的资信证明，以上二种形式的证明资料提供任何一种即可；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税收缴纳证明：提供供应商2020年至今任意一个月已缴纳的完税凭证或税务机关开具的完税证明（任意税种）；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9"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社会保障资金缴纳证明：提供供应商2020年至今任意一个月已缴纳的社会保障资金缴存单据或社保机构开具的社会保险参保缴费情况证明；依法不需要缴纳社会保障资金的应提供相关文件证明；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7"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提供具有履行本合同所必需的设备和专业技术能力的承诺；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参加政府采购活动前3年内在经营活动中没有重大违法记录的书面声明；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9</w:t>
            </w:r>
          </w:p>
        </w:tc>
        <w:tc>
          <w:tcPr>
            <w:tcW w:w="8468" w:type="dxa"/>
            <w:vAlign w:val="center"/>
          </w:tcPr>
          <w:p>
            <w:pPr>
              <w:tabs>
                <w:tab w:val="left" w:pos="0"/>
              </w:tabs>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本项目不接受联合体投标；</w:t>
            </w:r>
          </w:p>
        </w:tc>
      </w:tr>
    </w:tbl>
    <w:p>
      <w:pPr>
        <w:pStyle w:val="110"/>
        <w:snapToGrid w:val="0"/>
        <w:spacing w:line="240" w:lineRule="auto"/>
        <w:ind w:firstLine="440" w:firstLineChars="200"/>
        <w:rPr>
          <w:rStyle w:val="15"/>
          <w:rFonts w:hint="eastAsia" w:ascii="宋体" w:hAnsi="宋体" w:eastAsia="宋体" w:cs="宋体"/>
          <w:kern w:val="0"/>
          <w:sz w:val="22"/>
          <w:szCs w:val="22"/>
          <w:highlight w:val="none"/>
        </w:rPr>
      </w:pP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未通过资格审查的供应商</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响应文件不进入下一阶段的评审。</w:t>
      </w:r>
    </w:p>
    <w:p>
      <w:pPr>
        <w:pStyle w:val="110"/>
        <w:numPr>
          <w:ilvl w:val="0"/>
          <w:numId w:val="6"/>
        </w:numPr>
        <w:snapToGrid w:val="0"/>
        <w:spacing w:line="480" w:lineRule="auto"/>
        <w:ind w:firstLine="440" w:firstLineChars="200"/>
        <w:rPr>
          <w:rStyle w:val="15"/>
          <w:rFonts w:hint="eastAsia" w:ascii="宋体" w:hAnsi="宋体" w:eastAsia="宋体" w:cs="宋体"/>
          <w:highlight w:val="none"/>
        </w:rPr>
      </w:pPr>
      <w:r>
        <w:rPr>
          <w:rStyle w:val="15"/>
          <w:rFonts w:hint="eastAsia" w:ascii="宋体" w:hAnsi="宋体" w:eastAsia="宋体" w:cs="宋体"/>
          <w:kern w:val="0"/>
          <w:sz w:val="22"/>
          <w:szCs w:val="22"/>
          <w:highlight w:val="none"/>
        </w:rPr>
        <w:t>符合性及有效性审查，内容如下：</w:t>
      </w:r>
    </w:p>
    <w:tbl>
      <w:tblPr>
        <w:tblStyle w:val="10"/>
        <w:tblW w:w="92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2653"/>
        <w:gridCol w:w="5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exact"/>
          <w:jc w:val="center"/>
        </w:trPr>
        <w:tc>
          <w:tcPr>
            <w:tcW w:w="735"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2653"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评审因素</w:t>
            </w:r>
          </w:p>
        </w:tc>
        <w:tc>
          <w:tcPr>
            <w:tcW w:w="5851"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响应文件的签署盖章</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响应文件按照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规定盖章签字齐全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4"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响应文件格式</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应符合“第五章  </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响应文件格式”要求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40"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响应文件份数</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应符合“供应商须知前附表”12条规定的正本、副本、电子文件数量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9"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投标有效期</w:t>
            </w:r>
          </w:p>
        </w:tc>
        <w:tc>
          <w:tcPr>
            <w:tcW w:w="5851" w:type="dxa"/>
            <w:vAlign w:val="center"/>
          </w:tcPr>
          <w:p>
            <w:pPr>
              <w:tabs>
                <w:tab w:val="left" w:pos="0"/>
              </w:tabs>
              <w:snapToGrid w:val="0"/>
              <w:spacing w:line="240" w:lineRule="auto"/>
              <w:rPr>
                <w:rStyle w:val="15"/>
                <w:rFonts w:hint="eastAsia" w:ascii="宋体" w:hAnsi="宋体" w:eastAsia="宋体" w:cs="宋体"/>
                <w:i/>
                <w:iCs/>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工期</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2"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响应方案及承诺</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4"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报价</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只能有一个有效报价，不得提交选择性报价，且投标报价小于最高限价要求的。</w:t>
            </w:r>
          </w:p>
        </w:tc>
      </w:tr>
    </w:tbl>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未通过符合性审查的供应商响应文件不进入下一阶段的评审。</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小组从质量和服务均能满足</w:t>
      </w:r>
      <w:r>
        <w:rPr>
          <w:rStyle w:val="15"/>
          <w:rFonts w:hint="eastAsia" w:cs="宋体"/>
          <w:kern w:val="0"/>
          <w:sz w:val="22"/>
          <w:szCs w:val="22"/>
          <w:highlight w:val="none"/>
          <w:lang w:eastAsia="zh-CN"/>
        </w:rPr>
        <w:t>招标</w:t>
      </w:r>
      <w:r>
        <w:rPr>
          <w:rStyle w:val="15"/>
          <w:rFonts w:hint="eastAsia" w:ascii="宋体" w:hAnsi="宋体" w:eastAsia="宋体" w:cs="宋体"/>
          <w:kern w:val="0"/>
          <w:sz w:val="22"/>
          <w:szCs w:val="22"/>
          <w:highlight w:val="none"/>
        </w:rPr>
        <w:t>文件实质性响应要求的供应商中，按照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总</w:t>
      </w:r>
      <w:r>
        <w:rPr>
          <w:rStyle w:val="15"/>
          <w:rFonts w:hint="eastAsia" w:cs="宋体"/>
          <w:kern w:val="0"/>
          <w:sz w:val="22"/>
          <w:szCs w:val="22"/>
          <w:highlight w:val="none"/>
          <w:lang w:eastAsia="zh-CN"/>
        </w:rPr>
        <w:t>得分</w:t>
      </w:r>
      <w:r>
        <w:rPr>
          <w:rStyle w:val="15"/>
          <w:rFonts w:hint="eastAsia" w:ascii="宋体" w:hAnsi="宋体" w:eastAsia="宋体" w:cs="宋体"/>
          <w:kern w:val="0"/>
          <w:sz w:val="22"/>
          <w:szCs w:val="22"/>
          <w:highlight w:val="none"/>
        </w:rPr>
        <w:t>由低到高的顺序提出成交候选人，并编写评审结论。</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2-3、对响应文件含义不明确、同类问题表述不一致或者有明显文字和计算错误的内容，</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小组可以要求供应商在规定的时间内做出必要的澄清、说明或者纠正。供应商的澄清、说明或者补正应当采用书面形式，由其授权的代表签字，并不得超出</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响应文件的范围或者改变响应文件的实质性内容。</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2-4、澄清文件将作为响应文件的一部分。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2-5、算术错误将按以下方法更正：</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（1）响应文件的大写金额和小写金额不一致的，以大写金额为准；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（2）总价金额与按单价汇总金额不一致的，以单价金额计算结果为准；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（3）单价金额小数点或者百分比有明细错位,以开标一览表的总价为准,并修改单价；</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（4）对不同文字文本询价响应文件的解释发生异议的，以中文文本为准；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（5）对于供应商不接受对其错误的更改，其询价属于无效询价情形。</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Fonts w:hint="eastAsia" w:ascii="宋体" w:hAnsi="宋体" w:eastAsia="宋体" w:cs="宋体"/>
          <w:highlight w:val="none"/>
        </w:rPr>
      </w:pPr>
      <w:r>
        <w:rPr>
          <w:rStyle w:val="15"/>
          <w:rFonts w:hint="eastAsia" w:ascii="宋体" w:hAnsi="宋体" w:eastAsia="宋体" w:cs="宋体"/>
          <w:kern w:val="0"/>
          <w:sz w:val="22"/>
          <w:szCs w:val="22"/>
          <w:highlight w:val="none"/>
        </w:rPr>
        <w:t>3、本项目落实政府采购政策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3-1、投标企业政府采购政策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（1）中小企业落实政府采购政策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①中小企业应符合工信部联企业[2011]300号文件规定，采购活动执行《政府采购促进中小企业发展暂行办法》（财库〔2011〕181号）的规定。提供本企业制造的货物、承担的工程或者服务，或者提供其他中小企业制造的货物。（本项所称货物不包括使用大型企业注册商标的货物）。</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②投标供应商须提供中小企业管理部门开具的中小企业证明函，以此为依据享受政府采购政策。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③投标供应商出具《中小企业声明函》，同时还需有财务审计资质的单位出具的上一年度财务审计报告、从业人员证明（养老保险缴纳证明或劳动合同），由评委会审定，符合条件的企业享受政府采购政策，开标时提供原件备查。</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（2）监狱和戒毒企业落实政府采购政策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监狱和戒毒企业应符合《财政部、司法部关于政府采购支持监狱企业发展有关问题的通知》--财库[2014]68号，并提供由省级以上监狱管理局、戒毒管理局(含新疆生产建设兵团)出具的属于监狱企业的证明，开标时提供原件备查。</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（3）残疾人福利性单位落实政府采购政策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①残疾人福利性单位应符合财库〔2017〕141号规定，提供本单位制造的货物、承担的工程或者服务（以下简称产品），或者提供其他残疾人福利性单位制造的货物（不包括使用非残疾人福利性单位注册商标的货物）。</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②投标供应商须按照财库〔2017〕141号规定，提供《残疾人福利性单位声明函》，并对声明的真实性负责。以此为依据享受政府采购政策。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③中标、成交供应商为残疾人福利性单位的，采购人或者其委托的采购代理机构应当随中标、成交结果同时公告其《残疾人福利性单位声明函》，接受社会监督。</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（4）投标供应商应如实提供以上证明文件，如存在虚假应标，将取消其投标资格。</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3-2、投标产品政府采购政策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（1）节能产品根据《国务院办公厅关于建立政府强制采购节能产品制度的通知》（国办发[2007] 51号）的规定，以中国政府采购网（http://www.ccgp.gov.cn/）公布的最新一期节能产品政府采购清单为准。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（2）环境标志产品根据《环境标志产品政府采购实施的意见》（财库[2006]90号）的规定，以中国政府采购网（http://www.ccgp.gov.cn/）公布的最新一期环境标志产品政府采购清单为准。</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投标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优惠明细表及属于清单内产品的证明资料的不给予优惠。</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（4）若节能、环保、环境标志清单内的产品仅是构成投标产品的部件、组件或零件的，则该投标产品不享受鼓励优惠政策。</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（5）同一标段的节能、环保、环境标志产品部分优惠只对属于清单内的非强制类产品进行优惠，强制类产品不给予优惠。</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（6）节能、环保、环境标志产品不重复优惠；同时列入国家级清单和省级清单的产品不重复优惠。</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（7）获得上述认证的产品在投标时应提供有效证明材料。以上所有证明文件复印件须加盖供应商公章并注明“与原件一致”，否则不予优惠。</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3-3、价格优惠比例</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（1）投标企业优惠比例</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符合</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规定的小微企业、监狱企业或残疾人福利性单位优惠条件的供应商，价格给予6%的扣除（不重复优惠，最高为6%），用扣除后的价格参与评审。</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（2）投标产品优惠比例</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投标产品为节能、环保、环境标志产品清单中的产品，符合</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要求的，价格给予6%的扣除（不重复优惠，最高为6%），用扣除后的价格参与评审。</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4、成交价格=成交供应商的有效投标报价。</w:t>
      </w:r>
    </w:p>
    <w:p>
      <w:pPr>
        <w:pStyle w:val="120"/>
        <w:keepNext w:val="0"/>
        <w:keepLines w:val="0"/>
        <w:pageBreakBefore w:val="0"/>
        <w:widowControl/>
        <w:numPr>
          <w:ilvl w:val="0"/>
          <w:numId w:val="0"/>
        </w:numPr>
        <w:tabs>
          <w:tab w:val="left" w:pos="720"/>
        </w:tabs>
        <w:kinsoku/>
        <w:wordWrap/>
        <w:overflowPunct/>
        <w:topLinePunct w:val="0"/>
        <w:autoSpaceDE/>
        <w:autoSpaceDN/>
        <w:bidi w:val="0"/>
        <w:adjustRightInd w:val="0"/>
        <w:snapToGrid w:val="0"/>
        <w:spacing w:line="428" w:lineRule="auto"/>
        <w:ind w:firstLine="442" w:firstLineChars="20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九、确定成交、询问及质疑</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1、确定成交供应商</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（1）采购代理机构在评审结束后2个工作日内将评审报告送采购人确认，采购人在收到评审报告后5个工作日内，从评审报告提出的成交候选供应商中，按照排序由高到低的原则确定成交供应商。</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（2）采购代理机构在成交供应商确定后2个工作日内在“陕西省政府采购网”公告成交结果。供应商在法定质疑期内一次性提出针对同一采购程序环节的质疑。</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2、询问及质疑</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2-1询问及质疑依据《中华人民共和国政府采购法》、《中华人民共和国政府采购法实施条例》及相关法律法规处理。供应商在法定质疑期内一次性提出针对同一采购程序环节的质疑。</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2-2质疑函应以书面方式递交。</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2-3质疑函递交联系方式：</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采购代理机构名称： 彬州市政府采购中心</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电话：029-34968566</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址：彬州市财政局办公楼1005室</w:t>
      </w:r>
    </w:p>
    <w:p>
      <w:pPr>
        <w:pStyle w:val="111"/>
        <w:keepNext w:val="0"/>
        <w:keepLines w:val="0"/>
        <w:pageBreakBefore w:val="0"/>
        <w:widowControl/>
        <w:kinsoku/>
        <w:wordWrap/>
        <w:overflowPunct/>
        <w:topLinePunct w:val="0"/>
        <w:autoSpaceDE/>
        <w:autoSpaceDN/>
        <w:bidi w:val="0"/>
        <w:adjustRightInd w:val="0"/>
        <w:snapToGrid w:val="0"/>
        <w:spacing w:line="428"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3、采购代理机构不做未中标原因的解释。</w:t>
      </w:r>
    </w:p>
    <w:p>
      <w:pPr>
        <w:keepNext w:val="0"/>
        <w:keepLines w:val="0"/>
        <w:pageBreakBefore w:val="0"/>
        <w:widowControl/>
        <w:kinsoku/>
        <w:wordWrap/>
        <w:overflowPunct/>
        <w:topLinePunct w:val="0"/>
        <w:autoSpaceDE/>
        <w:autoSpaceDN/>
        <w:bidi w:val="0"/>
        <w:adjustRightInd w:val="0"/>
        <w:snapToGrid w:val="0"/>
        <w:spacing w:line="428"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十、合同</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成交供应商确定后，成交供应商与采购人洽谈合同条款，并签订合同。</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及成交供应商的响应文件以及</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过程中的承诺内容均作为合同的有效组成部分。</w:t>
      </w:r>
    </w:p>
    <w:p>
      <w:pPr>
        <w:keepNext w:val="0"/>
        <w:keepLines w:val="0"/>
        <w:pageBreakBefore w:val="0"/>
        <w:widowControl/>
        <w:kinsoku/>
        <w:wordWrap/>
        <w:overflowPunct/>
        <w:topLinePunct w:val="0"/>
        <w:autoSpaceDE/>
        <w:autoSpaceDN/>
        <w:bidi w:val="0"/>
        <w:adjustRightInd w:val="0"/>
        <w:snapToGrid w:val="0"/>
        <w:spacing w:line="428"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十一、代理服务费</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lang w:eastAsia="zh-CN"/>
        </w:rPr>
      </w:pPr>
      <w:r>
        <w:rPr>
          <w:rStyle w:val="15"/>
          <w:rFonts w:hint="eastAsia" w:ascii="宋体" w:hAnsi="宋体" w:eastAsia="宋体" w:cs="宋体"/>
          <w:kern w:val="0"/>
          <w:sz w:val="22"/>
          <w:szCs w:val="22"/>
          <w:highlight w:val="none"/>
        </w:rPr>
        <w:t>按照“</w:t>
      </w:r>
      <w:r>
        <w:rPr>
          <w:rStyle w:val="15"/>
          <w:rFonts w:hint="eastAsia" w:ascii="宋体" w:hAnsi="宋体" w:eastAsia="宋体" w:cs="宋体"/>
          <w:kern w:val="0"/>
          <w:sz w:val="22"/>
          <w:szCs w:val="22"/>
          <w:highlight w:val="none"/>
          <w:lang w:eastAsia="zh-CN"/>
        </w:rPr>
        <w:t>转发《咸阳市财政局关于促进政府采购公平竞争优化营商环境的通知》的通知</w:t>
      </w:r>
      <w:r>
        <w:rPr>
          <w:rStyle w:val="15"/>
          <w:rFonts w:hint="eastAsia" w:ascii="宋体" w:hAnsi="宋体" w:eastAsia="宋体" w:cs="宋体"/>
          <w:kern w:val="0"/>
          <w:sz w:val="22"/>
          <w:szCs w:val="22"/>
          <w:highlight w:val="none"/>
        </w:rPr>
        <w:t>”政府采购中心无代理服务费收取</w:t>
      </w:r>
      <w:r>
        <w:rPr>
          <w:rStyle w:val="15"/>
          <w:rFonts w:hint="eastAsia" w:ascii="宋体" w:hAnsi="宋体" w:eastAsia="宋体" w:cs="宋体"/>
          <w:kern w:val="0"/>
          <w:sz w:val="22"/>
          <w:szCs w:val="22"/>
          <w:highlight w:val="none"/>
          <w:lang w:eastAsia="zh-CN"/>
        </w:rPr>
        <w:t>。</w:t>
      </w:r>
    </w:p>
    <w:p>
      <w:pPr>
        <w:keepNext w:val="0"/>
        <w:keepLines w:val="0"/>
        <w:pageBreakBefore w:val="0"/>
        <w:widowControl/>
        <w:kinsoku/>
        <w:wordWrap/>
        <w:overflowPunct/>
        <w:topLinePunct w:val="0"/>
        <w:autoSpaceDE/>
        <w:autoSpaceDN/>
        <w:bidi w:val="0"/>
        <w:adjustRightInd w:val="0"/>
        <w:snapToGrid w:val="0"/>
        <w:spacing w:line="428"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十二、其它</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1、特殊情况处理：出现下列情况采购人或者采购代理机构应当终止</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采购，发布项目终止公告并说明原因，重新开展采购活动。</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（1）因情况变化，不再符合规定的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采购方式适用情形的；</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（2）出现影响采购公正的违法、违规行为的；</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采购项目通过发布公告征集供应商不足3家且采购人或询价小组无法推荐的。</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开始到成交单位确定前，</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小组、采购人及有关人员要严格遵循保密原则，任何一方不得向与评审无关的单位和人员透露与</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有关的其它供应商的技术资料、价格及其它信息。否则，按政府采购有关处罚条款进行相应的处罚。</w:t>
      </w:r>
    </w:p>
    <w:p>
      <w:pPr>
        <w:keepNext w:val="0"/>
        <w:keepLines w:val="0"/>
        <w:pageBreakBefore w:val="0"/>
        <w:widowControl/>
        <w:kinsoku/>
        <w:wordWrap/>
        <w:overflowPunct/>
        <w:topLinePunct w:val="0"/>
        <w:autoSpaceDE/>
        <w:autoSpaceDN/>
        <w:bidi w:val="0"/>
        <w:adjustRightInd w:val="0"/>
        <w:snapToGrid w:val="0"/>
        <w:spacing w:line="428"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4、成交单位确定后，成交单位无正当理由拖延或拒签合同的，采购人有权取消其成交资格，并按评审顺序重新确定成交单位。同时报请监督机构予以通报，取消其进入政府采购市场的资格，并没收其保证金。</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82" w:firstLineChars="200"/>
        <w:textAlignment w:val="baseline"/>
        <w:rPr>
          <w:rFonts w:hint="eastAsia" w:ascii="宋体" w:hAnsi="宋体" w:eastAsia="宋体" w:cs="宋体"/>
          <w:color w:val="auto"/>
          <w:szCs w:val="21"/>
          <w:highlight w:val="none"/>
          <w:lang w:eastAsia="zh-CN"/>
        </w:rPr>
      </w:pPr>
      <w:r>
        <w:rPr>
          <w:rFonts w:hint="eastAsia" w:ascii="宋体" w:hAnsi="宋体" w:eastAsia="宋体" w:cs="宋体"/>
          <w:b/>
          <w:bCs w:val="0"/>
          <w:color w:val="auto"/>
          <w:szCs w:val="21"/>
          <w:highlight w:val="none"/>
          <w:lang w:eastAsia="zh-CN"/>
        </w:rPr>
        <w:t>十三、</w:t>
      </w:r>
      <w:r>
        <w:rPr>
          <w:rFonts w:hint="eastAsia" w:ascii="宋体" w:hAnsi="宋体" w:eastAsia="宋体" w:cs="宋体"/>
          <w:b/>
          <w:bCs w:val="0"/>
          <w:color w:val="auto"/>
          <w:szCs w:val="21"/>
          <w:highlight w:val="none"/>
        </w:rPr>
        <w:t>评</w:t>
      </w:r>
      <w:r>
        <w:rPr>
          <w:rFonts w:hint="eastAsia" w:ascii="宋体" w:hAnsi="宋体" w:eastAsia="宋体" w:cs="宋体"/>
          <w:b/>
          <w:color w:val="auto"/>
          <w:szCs w:val="21"/>
          <w:highlight w:val="none"/>
        </w:rPr>
        <w:t>标办法</w:t>
      </w:r>
    </w:p>
    <w:p>
      <w:pPr>
        <w:pStyle w:val="110"/>
        <w:keepNext w:val="0"/>
        <w:keepLines w:val="0"/>
        <w:pageBreakBefore w:val="0"/>
        <w:widowControl/>
        <w:kinsoku/>
        <w:wordWrap/>
        <w:overflowPunct/>
        <w:topLinePunct w:val="0"/>
        <w:autoSpaceDE/>
        <w:autoSpaceDN/>
        <w:bidi w:val="0"/>
        <w:adjustRightInd w:val="0"/>
        <w:snapToGrid w:val="0"/>
        <w:spacing w:line="428" w:lineRule="auto"/>
        <w:ind w:firstLine="480" w:firstLineChars="200"/>
        <w:textAlignment w:val="baseline"/>
        <w:rPr>
          <w:rFonts w:hint="eastAsia" w:ascii="宋体" w:hAnsi="宋体" w:eastAsia="宋体" w:cs="宋体"/>
          <w:color w:val="auto"/>
          <w:szCs w:val="21"/>
        </w:rPr>
      </w:pPr>
      <w:r>
        <w:rPr>
          <w:rFonts w:hint="eastAsia" w:ascii="宋体" w:hAnsi="宋体" w:eastAsia="宋体" w:cs="宋体"/>
          <w:color w:val="auto"/>
          <w:szCs w:val="21"/>
          <w:highlight w:val="none"/>
        </w:rPr>
        <w:t>投标文件评审</w:t>
      </w:r>
      <w:r>
        <w:rPr>
          <w:rFonts w:hint="eastAsia" w:ascii="宋体" w:hAnsi="宋体" w:eastAsia="宋体" w:cs="宋体"/>
          <w:color w:val="auto"/>
          <w:szCs w:val="21"/>
          <w:highlight w:val="none"/>
          <w:lang w:eastAsia="zh-CN"/>
        </w:rPr>
        <w:t>过程中，</w:t>
      </w:r>
      <w:r>
        <w:rPr>
          <w:rFonts w:hint="eastAsia" w:ascii="宋体" w:hAnsi="宋体" w:eastAsia="宋体" w:cs="宋体"/>
          <w:color w:val="auto"/>
          <w:szCs w:val="21"/>
          <w:highlight w:val="none"/>
        </w:rPr>
        <w:t>价格</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 xml:space="preserve">技术参数及方案 </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质量保证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业绩及售后服务</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商务响应</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全部符合入</w:t>
      </w:r>
      <w:r>
        <w:rPr>
          <w:rFonts w:hint="eastAsia" w:ascii="宋体" w:hAnsi="宋体" w:eastAsia="宋体" w:cs="宋体"/>
          <w:color w:val="auto"/>
          <w:szCs w:val="21"/>
        </w:rPr>
        <w:t>评单位条件的投标人才能成为入评单位；未成为入评单位的投标人,不得进入评审。</w:t>
      </w:r>
    </w:p>
    <w:p>
      <w:pPr>
        <w:keepNext w:val="0"/>
        <w:keepLines w:val="0"/>
        <w:pageBreakBefore w:val="0"/>
        <w:widowControl/>
        <w:kinsoku/>
        <w:wordWrap/>
        <w:overflowPunct/>
        <w:topLinePunct w:val="0"/>
        <w:autoSpaceDE/>
        <w:autoSpaceDN/>
        <w:bidi w:val="0"/>
        <w:adjustRightInd w:val="0"/>
        <w:snapToGrid w:val="0"/>
        <w:spacing w:line="428" w:lineRule="auto"/>
        <w:ind w:firstLine="480" w:firstLineChars="200"/>
        <w:textAlignment w:val="baseline"/>
        <w:rPr>
          <w:rFonts w:hint="eastAsia" w:ascii="宋体" w:hAnsi="宋体" w:eastAsia="宋体" w:cs="宋体"/>
          <w:bCs/>
          <w:color w:val="auto"/>
          <w:kern w:val="2"/>
          <w:sz w:val="24"/>
          <w:szCs w:val="21"/>
          <w:lang w:val="en-US" w:eastAsia="zh-CN" w:bidi="ar-SA"/>
        </w:rPr>
      </w:pPr>
      <w:r>
        <w:rPr>
          <w:rFonts w:hint="eastAsia" w:ascii="宋体" w:hAnsi="宋体" w:eastAsia="宋体" w:cs="宋体"/>
          <w:bCs/>
          <w:color w:val="auto"/>
          <w:kern w:val="2"/>
          <w:sz w:val="24"/>
          <w:szCs w:val="21"/>
          <w:lang w:val="en-US" w:eastAsia="zh-CN" w:bidi="ar-SA"/>
        </w:rPr>
        <w:t>①评审投标文件。</w:t>
      </w:r>
    </w:p>
    <w:p>
      <w:pPr>
        <w:keepNext w:val="0"/>
        <w:keepLines w:val="0"/>
        <w:pageBreakBefore w:val="0"/>
        <w:widowControl/>
        <w:kinsoku/>
        <w:wordWrap/>
        <w:overflowPunct/>
        <w:topLinePunct w:val="0"/>
        <w:autoSpaceDE/>
        <w:autoSpaceDN/>
        <w:bidi w:val="0"/>
        <w:adjustRightInd w:val="0"/>
        <w:snapToGrid w:val="0"/>
        <w:spacing w:line="428" w:lineRule="auto"/>
        <w:ind w:firstLine="480" w:firstLineChars="200"/>
        <w:textAlignment w:val="baseline"/>
        <w:rPr>
          <w:rFonts w:hint="eastAsia" w:ascii="宋体" w:hAnsi="宋体" w:eastAsia="宋体" w:cs="宋体"/>
          <w:bCs/>
          <w:color w:val="auto"/>
          <w:kern w:val="2"/>
          <w:sz w:val="24"/>
          <w:szCs w:val="21"/>
          <w:lang w:val="en-US" w:eastAsia="zh-CN" w:bidi="ar-SA"/>
        </w:rPr>
      </w:pPr>
      <w:r>
        <w:rPr>
          <w:rFonts w:hint="eastAsia" w:ascii="宋体" w:hAnsi="宋体" w:eastAsia="宋体" w:cs="宋体"/>
          <w:bCs/>
          <w:color w:val="auto"/>
          <w:kern w:val="2"/>
          <w:sz w:val="24"/>
          <w:szCs w:val="21"/>
          <w:lang w:val="en-US" w:eastAsia="zh-CN" w:bidi="ar-SA"/>
        </w:rPr>
        <w:t>②确定中标候选人。</w:t>
      </w:r>
    </w:p>
    <w:p>
      <w:pPr>
        <w:keepNext w:val="0"/>
        <w:keepLines w:val="0"/>
        <w:pageBreakBefore w:val="0"/>
        <w:widowControl/>
        <w:kinsoku/>
        <w:wordWrap/>
        <w:overflowPunct/>
        <w:topLinePunct w:val="0"/>
        <w:autoSpaceDE/>
        <w:autoSpaceDN/>
        <w:bidi w:val="0"/>
        <w:adjustRightInd w:val="0"/>
        <w:snapToGrid w:val="0"/>
        <w:spacing w:line="428" w:lineRule="auto"/>
        <w:ind w:firstLine="480" w:firstLineChars="200"/>
        <w:textAlignment w:val="baseline"/>
        <w:rPr>
          <w:rFonts w:hint="eastAsia" w:ascii="宋体" w:hAnsi="宋体" w:eastAsia="宋体" w:cs="宋体"/>
          <w:bCs/>
          <w:color w:val="auto"/>
          <w:kern w:val="2"/>
          <w:sz w:val="24"/>
          <w:szCs w:val="21"/>
          <w:lang w:val="en-US" w:eastAsia="zh-CN" w:bidi="ar-SA"/>
        </w:rPr>
      </w:pPr>
      <w:r>
        <w:rPr>
          <w:rFonts w:hint="eastAsia" w:ascii="宋体" w:hAnsi="宋体" w:eastAsia="宋体" w:cs="宋体"/>
          <w:bCs/>
          <w:color w:val="auto"/>
          <w:kern w:val="2"/>
          <w:sz w:val="24"/>
          <w:szCs w:val="21"/>
          <w:lang w:val="en-US" w:eastAsia="zh-CN" w:bidi="ar-SA"/>
        </w:rPr>
        <w:t>投标文件评审项评分标准：总分                       100分</w:t>
      </w:r>
    </w:p>
    <w:p>
      <w:pPr>
        <w:keepNext w:val="0"/>
        <w:keepLines w:val="0"/>
        <w:pageBreakBefore w:val="0"/>
        <w:widowControl/>
        <w:kinsoku/>
        <w:wordWrap/>
        <w:overflowPunct/>
        <w:topLinePunct w:val="0"/>
        <w:autoSpaceDE/>
        <w:autoSpaceDN/>
        <w:bidi w:val="0"/>
        <w:adjustRightInd w:val="0"/>
        <w:snapToGrid w:val="0"/>
        <w:spacing w:line="428" w:lineRule="auto"/>
        <w:ind w:firstLine="480" w:firstLineChars="200"/>
        <w:textAlignment w:val="baseline"/>
        <w:rPr>
          <w:rFonts w:hint="eastAsia" w:ascii="宋体" w:hAnsi="宋体" w:eastAsia="宋体" w:cs="宋体"/>
          <w:bCs/>
          <w:color w:val="auto"/>
          <w:kern w:val="2"/>
          <w:sz w:val="24"/>
          <w:szCs w:val="21"/>
          <w:lang w:val="en-US" w:eastAsia="zh-CN" w:bidi="ar-SA"/>
        </w:rPr>
      </w:pPr>
      <w:r>
        <w:rPr>
          <w:rFonts w:hint="eastAsia" w:ascii="宋体" w:hAnsi="宋体" w:eastAsia="宋体" w:cs="宋体"/>
          <w:bCs/>
          <w:color w:val="auto"/>
          <w:kern w:val="2"/>
          <w:sz w:val="24"/>
          <w:szCs w:val="21"/>
          <w:lang w:val="en-US" w:eastAsia="zh-CN" w:bidi="ar-SA"/>
        </w:rPr>
        <w:t>其中：</w:t>
      </w:r>
    </w:p>
    <w:p>
      <w:pPr>
        <w:keepNext w:val="0"/>
        <w:keepLines w:val="0"/>
        <w:pageBreakBefore w:val="0"/>
        <w:widowControl/>
        <w:kinsoku/>
        <w:wordWrap/>
        <w:overflowPunct/>
        <w:topLinePunct w:val="0"/>
        <w:autoSpaceDE/>
        <w:autoSpaceDN/>
        <w:bidi w:val="0"/>
        <w:adjustRightInd w:val="0"/>
        <w:snapToGrid w:val="0"/>
        <w:spacing w:line="428" w:lineRule="auto"/>
        <w:ind w:firstLine="402" w:firstLineChars="149"/>
        <w:textAlignment w:val="baseline"/>
        <w:rPr>
          <w:rFonts w:ascii="仿宋" w:hAnsi="仿宋" w:eastAsia="仿宋" w:cs="仿宋"/>
          <w:sz w:val="28"/>
          <w:szCs w:val="28"/>
        </w:rPr>
      </w:pPr>
      <w:r>
        <w:rPr>
          <w:rFonts w:hint="eastAsia" w:ascii="仿宋" w:hAnsi="仿宋" w:eastAsia="仿宋" w:cs="仿宋"/>
          <w:spacing w:val="-5"/>
          <w:sz w:val="28"/>
          <w:szCs w:val="28"/>
          <w:lang w:eastAsia="zh-CN"/>
        </w:rPr>
        <w:t>综</w:t>
      </w:r>
      <w:r>
        <w:rPr>
          <w:rFonts w:ascii="仿宋" w:hAnsi="仿宋" w:eastAsia="仿宋" w:cs="仿宋"/>
          <w:spacing w:val="-5"/>
          <w:sz w:val="28"/>
          <w:szCs w:val="28"/>
        </w:rPr>
        <w:t>合评分明细表（满分100分）</w:t>
      </w:r>
    </w:p>
    <w:p>
      <w:pPr>
        <w:spacing w:before="257" w:line="545" w:lineRule="exact"/>
        <w:jc w:val="center"/>
        <w:rPr>
          <w:rFonts w:ascii="仿宋" w:hAnsi="仿宋" w:eastAsia="仿宋" w:cs="仿宋"/>
          <w:b/>
          <w:bCs/>
          <w:spacing w:val="-2"/>
          <w:position w:val="19"/>
          <w:sz w:val="28"/>
          <w:szCs w:val="28"/>
        </w:rPr>
      </w:pPr>
    </w:p>
    <w:p>
      <w:pPr>
        <w:spacing w:before="257" w:line="545" w:lineRule="exact"/>
        <w:jc w:val="center"/>
        <w:rPr>
          <w:rFonts w:ascii="仿宋" w:hAnsi="仿宋" w:eastAsia="仿宋" w:cs="仿宋"/>
          <w:b/>
          <w:bCs/>
          <w:sz w:val="28"/>
          <w:szCs w:val="28"/>
        </w:rPr>
      </w:pPr>
      <w:r>
        <w:rPr>
          <w:rFonts w:ascii="仿宋" w:hAnsi="仿宋" w:eastAsia="仿宋" w:cs="仿宋"/>
          <w:b/>
          <w:bCs/>
          <w:spacing w:val="-2"/>
          <w:position w:val="19"/>
          <w:sz w:val="28"/>
          <w:szCs w:val="28"/>
        </w:rPr>
        <w:t>评分因素及权重</w:t>
      </w:r>
    </w:p>
    <w:p>
      <w:pPr>
        <w:spacing w:line="204" w:lineRule="auto"/>
        <w:jc w:val="center"/>
        <w:rPr>
          <w:rFonts w:ascii="仿宋" w:hAnsi="仿宋" w:eastAsia="仿宋" w:cs="仿宋"/>
          <w:sz w:val="28"/>
          <w:szCs w:val="28"/>
        </w:rPr>
      </w:pPr>
      <w:r>
        <w:rPr>
          <w:rFonts w:ascii="仿宋" w:hAnsi="仿宋" w:eastAsia="仿宋" w:cs="仿宋"/>
          <w:spacing w:val="-3"/>
          <w:sz w:val="28"/>
          <w:szCs w:val="28"/>
        </w:rPr>
        <w:t>一标段</w:t>
      </w:r>
      <w:r>
        <w:rPr>
          <w:rFonts w:hint="eastAsia" w:ascii="仿宋" w:hAnsi="仿宋" w:eastAsia="仿宋" w:cs="仿宋"/>
          <w:spacing w:val="-3"/>
          <w:sz w:val="28"/>
          <w:szCs w:val="28"/>
          <w:lang w:eastAsia="zh-CN"/>
        </w:rPr>
        <w:t>车辆加油业务</w:t>
      </w:r>
      <w:r>
        <w:rPr>
          <w:rFonts w:ascii="仿宋" w:hAnsi="仿宋" w:eastAsia="仿宋" w:cs="仿宋"/>
          <w:spacing w:val="-3"/>
          <w:sz w:val="28"/>
          <w:szCs w:val="28"/>
        </w:rPr>
        <w:t>评分办法</w:t>
      </w:r>
    </w:p>
    <w:p>
      <w:pPr>
        <w:spacing w:line="193" w:lineRule="exact"/>
        <w:jc w:val="center"/>
      </w:pPr>
    </w:p>
    <w:tbl>
      <w:tblPr>
        <w:tblStyle w:val="150"/>
        <w:tblW w:w="89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540"/>
        <w:gridCol w:w="546"/>
        <w:gridCol w:w="67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1107" w:type="dxa"/>
          </w:tcPr>
          <w:p>
            <w:pPr>
              <w:spacing w:before="45" w:line="545" w:lineRule="exact"/>
              <w:ind w:firstLine="127"/>
              <w:rPr>
                <w:rFonts w:ascii="仿宋" w:hAnsi="仿宋" w:eastAsia="仿宋" w:cs="仿宋"/>
                <w:sz w:val="28"/>
                <w:szCs w:val="28"/>
              </w:rPr>
            </w:pPr>
            <w:r>
              <w:rPr>
                <w:rFonts w:ascii="仿宋" w:hAnsi="仿宋" w:eastAsia="仿宋" w:cs="仿宋"/>
                <w:spacing w:val="-9"/>
                <w:position w:val="19"/>
                <w:sz w:val="28"/>
                <w:szCs w:val="28"/>
              </w:rPr>
              <w:t>评标</w:t>
            </w:r>
          </w:p>
          <w:p>
            <w:pPr>
              <w:spacing w:line="204" w:lineRule="auto"/>
              <w:ind w:firstLine="155"/>
              <w:rPr>
                <w:rFonts w:ascii="仿宋" w:hAnsi="仿宋" w:eastAsia="仿宋" w:cs="仿宋"/>
                <w:sz w:val="28"/>
                <w:szCs w:val="28"/>
              </w:rPr>
            </w:pPr>
            <w:r>
              <w:rPr>
                <w:rFonts w:ascii="仿宋" w:hAnsi="仿宋" w:eastAsia="仿宋" w:cs="仿宋"/>
                <w:spacing w:val="-23"/>
                <w:sz w:val="28"/>
                <w:szCs w:val="28"/>
              </w:rPr>
              <w:t>因素</w:t>
            </w:r>
          </w:p>
        </w:tc>
        <w:tc>
          <w:tcPr>
            <w:tcW w:w="1086" w:type="dxa"/>
            <w:gridSpan w:val="2"/>
          </w:tcPr>
          <w:p>
            <w:pPr>
              <w:spacing w:before="318" w:line="190" w:lineRule="auto"/>
              <w:ind w:firstLine="122"/>
              <w:rPr>
                <w:rFonts w:ascii="仿宋" w:hAnsi="仿宋" w:eastAsia="仿宋" w:cs="仿宋"/>
                <w:sz w:val="28"/>
                <w:szCs w:val="28"/>
              </w:rPr>
            </w:pPr>
            <w:r>
              <w:rPr>
                <w:rFonts w:ascii="仿宋" w:hAnsi="仿宋" w:eastAsia="仿宋" w:cs="仿宋"/>
                <w:spacing w:val="-6"/>
                <w:sz w:val="28"/>
                <w:szCs w:val="28"/>
              </w:rPr>
              <w:t>权值%</w:t>
            </w:r>
          </w:p>
        </w:tc>
        <w:tc>
          <w:tcPr>
            <w:tcW w:w="6746" w:type="dxa"/>
          </w:tcPr>
          <w:p>
            <w:pPr>
              <w:spacing w:line="263" w:lineRule="auto"/>
              <w:rPr>
                <w:rFonts w:ascii="仿宋"/>
              </w:rPr>
            </w:pPr>
          </w:p>
          <w:p>
            <w:pPr>
              <w:spacing w:before="91" w:line="190" w:lineRule="auto"/>
              <w:ind w:firstLine="3014"/>
              <w:rPr>
                <w:rFonts w:ascii="仿宋" w:hAnsi="仿宋" w:eastAsia="仿宋" w:cs="仿宋"/>
                <w:sz w:val="28"/>
                <w:szCs w:val="28"/>
              </w:rPr>
            </w:pPr>
            <w:r>
              <w:rPr>
                <w:rFonts w:ascii="仿宋" w:hAnsi="仿宋" w:eastAsia="仿宋" w:cs="仿宋"/>
                <w:spacing w:val="-5"/>
                <w:sz w:val="28"/>
                <w:szCs w:val="28"/>
              </w:rPr>
              <w:t>评审要素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1107" w:type="dxa"/>
          </w:tcPr>
          <w:p>
            <w:pPr>
              <w:spacing w:before="40" w:line="303" w:lineRule="auto"/>
              <w:ind w:left="127" w:right="55"/>
              <w:jc w:val="left"/>
              <w:rPr>
                <w:rFonts w:ascii="仿宋" w:hAnsi="仿宋" w:eastAsia="仿宋" w:cs="仿宋"/>
                <w:sz w:val="28"/>
                <w:szCs w:val="28"/>
              </w:rPr>
            </w:pPr>
            <w:r>
              <w:rPr>
                <w:rFonts w:ascii="仿宋" w:hAnsi="仿宋" w:eastAsia="仿宋" w:cs="仿宋"/>
                <w:spacing w:val="-9"/>
                <w:sz w:val="28"/>
                <w:szCs w:val="28"/>
              </w:rPr>
              <w:t>价格（优</w:t>
            </w:r>
            <w:r>
              <w:rPr>
                <w:rFonts w:ascii="仿宋" w:hAnsi="仿宋" w:eastAsia="仿宋" w:cs="仿宋"/>
                <w:spacing w:val="-13"/>
                <w:sz w:val="28"/>
                <w:szCs w:val="28"/>
              </w:rPr>
              <w:t>惠率）</w:t>
            </w:r>
          </w:p>
        </w:tc>
        <w:tc>
          <w:tcPr>
            <w:tcW w:w="540" w:type="dxa"/>
          </w:tcPr>
          <w:p>
            <w:pPr>
              <w:spacing w:line="479" w:lineRule="auto"/>
              <w:rPr>
                <w:rFonts w:ascii="仿宋"/>
              </w:rPr>
            </w:pPr>
          </w:p>
          <w:p>
            <w:pPr>
              <w:spacing w:before="91" w:line="180" w:lineRule="auto"/>
              <w:ind w:firstLine="151"/>
              <w:rPr>
                <w:rFonts w:ascii="仿宋" w:hAnsi="仿宋" w:eastAsia="仿宋" w:cs="仿宋"/>
                <w:sz w:val="28"/>
                <w:szCs w:val="28"/>
              </w:rPr>
            </w:pPr>
            <w:r>
              <w:rPr>
                <w:rFonts w:hint="eastAsia" w:ascii="仿宋" w:hAnsi="仿宋" w:eastAsia="仿宋" w:cs="仿宋"/>
                <w:spacing w:val="-6"/>
                <w:sz w:val="28"/>
                <w:szCs w:val="28"/>
                <w:lang w:val="en-US" w:eastAsia="zh-CN"/>
              </w:rPr>
              <w:t>3</w:t>
            </w:r>
            <w:r>
              <w:rPr>
                <w:rFonts w:ascii="仿宋" w:hAnsi="仿宋" w:eastAsia="仿宋" w:cs="仿宋"/>
                <w:spacing w:val="-6"/>
                <w:sz w:val="28"/>
                <w:szCs w:val="28"/>
              </w:rPr>
              <w:t>0</w:t>
            </w:r>
          </w:p>
        </w:tc>
        <w:tc>
          <w:tcPr>
            <w:tcW w:w="546" w:type="dxa"/>
          </w:tcPr>
          <w:p>
            <w:pPr>
              <w:spacing w:line="479" w:lineRule="auto"/>
              <w:jc w:val="left"/>
              <w:rPr>
                <w:rFonts w:ascii="仿宋"/>
              </w:rPr>
            </w:pPr>
          </w:p>
          <w:p>
            <w:pPr>
              <w:spacing w:before="91" w:line="180" w:lineRule="auto"/>
              <w:ind w:firstLine="245"/>
              <w:jc w:val="left"/>
              <w:rPr>
                <w:rFonts w:ascii="仿宋" w:hAnsi="仿宋" w:eastAsia="仿宋" w:cs="仿宋"/>
                <w:sz w:val="28"/>
                <w:szCs w:val="28"/>
              </w:rPr>
            </w:pPr>
            <w:r>
              <w:rPr>
                <w:rFonts w:hint="eastAsia" w:ascii="仿宋" w:hAnsi="仿宋" w:eastAsia="仿宋" w:cs="仿宋"/>
                <w:spacing w:val="-6"/>
                <w:sz w:val="28"/>
                <w:szCs w:val="28"/>
                <w:lang w:val="en-US" w:eastAsia="zh-CN"/>
              </w:rPr>
              <w:t>3</w:t>
            </w:r>
            <w:r>
              <w:rPr>
                <w:rFonts w:ascii="仿宋" w:hAnsi="仿宋" w:eastAsia="仿宋" w:cs="仿宋"/>
                <w:spacing w:val="-6"/>
                <w:sz w:val="28"/>
                <w:szCs w:val="28"/>
              </w:rPr>
              <w:t>0</w:t>
            </w:r>
          </w:p>
        </w:tc>
        <w:tc>
          <w:tcPr>
            <w:tcW w:w="6746" w:type="dxa"/>
          </w:tcPr>
          <w:p>
            <w:pPr>
              <w:spacing w:before="40" w:line="303" w:lineRule="auto"/>
              <w:ind w:left="45" w:right="105" w:firstLine="545"/>
              <w:rPr>
                <w:rFonts w:hint="eastAsia" w:ascii="仿宋" w:hAnsi="仿宋" w:eastAsia="仿宋" w:cs="仿宋"/>
                <w:sz w:val="28"/>
                <w:szCs w:val="28"/>
                <w:lang w:val="en-US" w:eastAsia="zh-CN"/>
              </w:rPr>
            </w:pPr>
            <w:r>
              <w:rPr>
                <w:rFonts w:ascii="仿宋" w:hAnsi="仿宋" w:eastAsia="仿宋" w:cs="仿宋"/>
                <w:spacing w:val="-2"/>
                <w:sz w:val="28"/>
                <w:szCs w:val="28"/>
              </w:rPr>
              <w:t>有效供应商最高优惠率为基准价得</w:t>
            </w:r>
            <w:r>
              <w:rPr>
                <w:rFonts w:hint="eastAsia" w:ascii="仿宋" w:hAnsi="仿宋" w:eastAsia="仿宋" w:cs="仿宋"/>
                <w:spacing w:val="-2"/>
                <w:sz w:val="28"/>
                <w:szCs w:val="28"/>
                <w:lang w:val="en-US" w:eastAsia="zh-CN"/>
              </w:rPr>
              <w:t>3</w:t>
            </w:r>
            <w:r>
              <w:rPr>
                <w:rFonts w:ascii="仿宋" w:hAnsi="仿宋" w:eastAsia="仿宋" w:cs="仿宋"/>
                <w:spacing w:val="-2"/>
                <w:sz w:val="28"/>
                <w:szCs w:val="28"/>
              </w:rPr>
              <w:t>0分，其他各服务</w:t>
            </w:r>
            <w:r>
              <w:rPr>
                <w:rFonts w:ascii="仿宋" w:hAnsi="仿宋" w:eastAsia="仿宋" w:cs="仿宋"/>
                <w:spacing w:val="-8"/>
                <w:sz w:val="28"/>
                <w:szCs w:val="28"/>
              </w:rPr>
              <w:t>商的报价得分按下列公式计算</w:t>
            </w:r>
            <w:r>
              <w:rPr>
                <w:rFonts w:ascii="仿宋" w:hAnsi="仿宋" w:eastAsia="仿宋" w:cs="仿宋"/>
                <w:spacing w:val="-88"/>
                <w:sz w:val="28"/>
                <w:szCs w:val="28"/>
              </w:rPr>
              <w:t>：</w:t>
            </w:r>
            <w:r>
              <w:rPr>
                <w:rFonts w:ascii="仿宋" w:hAnsi="仿宋" w:eastAsia="仿宋" w:cs="仿宋"/>
                <w:spacing w:val="-11"/>
                <w:sz w:val="28"/>
                <w:szCs w:val="28"/>
              </w:rPr>
              <w:t>投标报价得分=（评标基准价/投标报价）×价格权</w:t>
            </w:r>
            <w:r>
              <w:rPr>
                <w:rFonts w:ascii="仿宋" w:hAnsi="仿宋" w:eastAsia="仿宋" w:cs="仿宋"/>
                <w:spacing w:val="-5"/>
                <w:sz w:val="28"/>
                <w:szCs w:val="28"/>
              </w:rPr>
              <w:t>值%×100</w:t>
            </w:r>
            <w:r>
              <w:rPr>
                <w:rFonts w:hint="eastAsia" w:ascii="仿宋" w:hAnsi="仿宋" w:eastAsia="仿宋" w:cs="仿宋"/>
                <w:spacing w:val="-5"/>
                <w:sz w:val="28"/>
                <w:szCs w:val="28"/>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36" w:hRule="atLeast"/>
        </w:trPr>
        <w:tc>
          <w:tcPr>
            <w:tcW w:w="1107" w:type="dxa"/>
            <w:vMerge w:val="restart"/>
            <w:tcBorders>
              <w:bottom w:val="nil"/>
            </w:tcBorders>
          </w:tcPr>
          <w:p>
            <w:pPr>
              <w:spacing w:line="258" w:lineRule="auto"/>
              <w:rPr>
                <w:rFonts w:ascii="仿宋"/>
              </w:rPr>
            </w:pPr>
          </w:p>
          <w:p>
            <w:pPr>
              <w:spacing w:line="258" w:lineRule="auto"/>
              <w:rPr>
                <w:rFonts w:ascii="仿宋"/>
              </w:rPr>
            </w:pPr>
          </w:p>
          <w:p>
            <w:pPr>
              <w:spacing w:line="258" w:lineRule="auto"/>
              <w:rPr>
                <w:rFonts w:ascii="仿宋"/>
              </w:rPr>
            </w:pPr>
          </w:p>
          <w:p>
            <w:pPr>
              <w:spacing w:line="258" w:lineRule="auto"/>
              <w:rPr>
                <w:rFonts w:ascii="仿宋"/>
              </w:rPr>
            </w:pPr>
          </w:p>
          <w:p>
            <w:pPr>
              <w:spacing w:line="258" w:lineRule="auto"/>
              <w:rPr>
                <w:rFonts w:ascii="仿宋"/>
              </w:rPr>
            </w:pPr>
          </w:p>
          <w:p>
            <w:pPr>
              <w:spacing w:line="258" w:lineRule="auto"/>
              <w:rPr>
                <w:rFonts w:ascii="仿宋"/>
              </w:rPr>
            </w:pPr>
          </w:p>
          <w:p>
            <w:pPr>
              <w:spacing w:line="258" w:lineRule="auto"/>
              <w:rPr>
                <w:rFonts w:ascii="仿宋"/>
              </w:rPr>
            </w:pPr>
          </w:p>
          <w:p>
            <w:pPr>
              <w:spacing w:line="259" w:lineRule="auto"/>
              <w:rPr>
                <w:rFonts w:ascii="仿宋"/>
              </w:rPr>
            </w:pPr>
          </w:p>
          <w:p>
            <w:pPr>
              <w:spacing w:line="259" w:lineRule="auto"/>
              <w:rPr>
                <w:rFonts w:ascii="仿宋"/>
              </w:rPr>
            </w:pPr>
          </w:p>
          <w:p>
            <w:pPr>
              <w:spacing w:line="259" w:lineRule="auto"/>
              <w:rPr>
                <w:rFonts w:ascii="仿宋"/>
              </w:rPr>
            </w:pPr>
          </w:p>
          <w:p>
            <w:pPr>
              <w:spacing w:line="259" w:lineRule="auto"/>
              <w:rPr>
                <w:rFonts w:ascii="仿宋"/>
              </w:rPr>
            </w:pPr>
          </w:p>
          <w:p>
            <w:pPr>
              <w:spacing w:before="91" w:line="190" w:lineRule="auto"/>
              <w:ind w:firstLine="231"/>
              <w:rPr>
                <w:rFonts w:ascii="仿宋" w:hAnsi="仿宋" w:eastAsia="仿宋" w:cs="仿宋"/>
                <w:sz w:val="28"/>
                <w:szCs w:val="28"/>
              </w:rPr>
            </w:pPr>
            <w:r>
              <w:rPr>
                <w:rFonts w:ascii="仿宋" w:hAnsi="仿宋" w:eastAsia="仿宋" w:cs="仿宋"/>
                <w:spacing w:val="-8"/>
                <w:sz w:val="28"/>
                <w:szCs w:val="28"/>
              </w:rPr>
              <w:t>服务</w:t>
            </w:r>
          </w:p>
          <w:p>
            <w:pPr>
              <w:spacing w:before="256" w:line="190" w:lineRule="auto"/>
              <w:ind w:firstLine="239"/>
              <w:rPr>
                <w:rFonts w:ascii="仿宋" w:hAnsi="仿宋" w:eastAsia="仿宋" w:cs="仿宋"/>
                <w:sz w:val="28"/>
                <w:szCs w:val="28"/>
              </w:rPr>
            </w:pPr>
            <w:r>
              <w:rPr>
                <w:rFonts w:ascii="仿宋" w:hAnsi="仿宋" w:eastAsia="仿宋" w:cs="仿宋"/>
                <w:spacing w:val="-12"/>
                <w:sz w:val="28"/>
                <w:szCs w:val="28"/>
              </w:rPr>
              <w:t>方案</w:t>
            </w:r>
          </w:p>
          <w:p>
            <w:pPr>
              <w:spacing w:before="256" w:line="190" w:lineRule="auto"/>
              <w:ind w:firstLine="235"/>
              <w:rPr>
                <w:rFonts w:ascii="仿宋" w:hAnsi="仿宋" w:eastAsia="仿宋" w:cs="仿宋"/>
                <w:sz w:val="28"/>
                <w:szCs w:val="28"/>
              </w:rPr>
            </w:pPr>
            <w:r>
              <w:rPr>
                <w:rFonts w:ascii="仿宋" w:hAnsi="仿宋" w:eastAsia="仿宋" w:cs="仿宋"/>
                <w:spacing w:val="-11"/>
                <w:sz w:val="28"/>
                <w:szCs w:val="28"/>
              </w:rPr>
              <w:t>及承</w:t>
            </w:r>
          </w:p>
          <w:p>
            <w:pPr>
              <w:spacing w:before="256" w:line="190" w:lineRule="auto"/>
              <w:ind w:firstLine="370"/>
              <w:rPr>
                <w:rFonts w:ascii="仿宋" w:hAnsi="仿宋" w:eastAsia="仿宋" w:cs="仿宋"/>
                <w:sz w:val="28"/>
                <w:szCs w:val="28"/>
              </w:rPr>
            </w:pPr>
            <w:r>
              <w:rPr>
                <w:rFonts w:ascii="仿宋" w:hAnsi="仿宋" w:eastAsia="仿宋" w:cs="仿宋"/>
                <w:sz w:val="28"/>
                <w:szCs w:val="28"/>
              </w:rPr>
              <w:t>诺</w:t>
            </w:r>
          </w:p>
        </w:tc>
        <w:tc>
          <w:tcPr>
            <w:tcW w:w="540" w:type="dxa"/>
            <w:vMerge w:val="restart"/>
            <w:tcBorders>
              <w:bottom w:val="nil"/>
            </w:tcBorders>
          </w:tcPr>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spacing w:line="241" w:lineRule="auto"/>
              <w:rPr>
                <w:rFonts w:ascii="仿宋"/>
              </w:rPr>
            </w:pPr>
          </w:p>
          <w:p>
            <w:pPr>
              <w:spacing w:line="241" w:lineRule="auto"/>
              <w:rPr>
                <w:rFonts w:ascii="仿宋"/>
              </w:rPr>
            </w:pPr>
          </w:p>
          <w:p>
            <w:pPr>
              <w:spacing w:line="241" w:lineRule="auto"/>
              <w:rPr>
                <w:rFonts w:ascii="仿宋"/>
              </w:rPr>
            </w:pPr>
          </w:p>
          <w:p>
            <w:pPr>
              <w:spacing w:line="241" w:lineRule="auto"/>
              <w:rPr>
                <w:rFonts w:ascii="仿宋"/>
              </w:rPr>
            </w:pPr>
          </w:p>
          <w:p>
            <w:pPr>
              <w:spacing w:line="241" w:lineRule="auto"/>
              <w:rPr>
                <w:rFonts w:ascii="仿宋"/>
              </w:rPr>
            </w:pPr>
          </w:p>
          <w:p>
            <w:pPr>
              <w:spacing w:line="241" w:lineRule="auto"/>
              <w:rPr>
                <w:rFonts w:ascii="仿宋"/>
              </w:rPr>
            </w:pPr>
          </w:p>
          <w:p>
            <w:pPr>
              <w:spacing w:before="91" w:line="180" w:lineRule="auto"/>
              <w:ind w:firstLine="113"/>
              <w:rPr>
                <w:rFonts w:ascii="仿宋" w:hAnsi="仿宋" w:eastAsia="仿宋" w:cs="仿宋"/>
                <w:sz w:val="28"/>
                <w:szCs w:val="28"/>
              </w:rPr>
            </w:pPr>
            <w:r>
              <w:rPr>
                <w:rFonts w:ascii="仿宋" w:hAnsi="仿宋" w:eastAsia="仿宋" w:cs="仿宋"/>
                <w:spacing w:val="-5"/>
                <w:sz w:val="28"/>
                <w:szCs w:val="28"/>
              </w:rPr>
              <w:t>40</w:t>
            </w:r>
          </w:p>
        </w:tc>
        <w:tc>
          <w:tcPr>
            <w:tcW w:w="546" w:type="dxa"/>
          </w:tcPr>
          <w:p>
            <w:pPr>
              <w:spacing w:line="479" w:lineRule="auto"/>
              <w:jc w:val="left"/>
              <w:rPr>
                <w:rFonts w:ascii="仿宋"/>
              </w:rPr>
            </w:pPr>
          </w:p>
          <w:p>
            <w:pPr>
              <w:spacing w:before="91" w:line="180" w:lineRule="auto"/>
              <w:ind w:firstLine="312"/>
              <w:jc w:val="left"/>
              <w:rPr>
                <w:rFonts w:ascii="仿宋" w:hAnsi="仿宋" w:eastAsia="仿宋" w:cs="仿宋"/>
                <w:sz w:val="28"/>
                <w:szCs w:val="28"/>
              </w:rPr>
            </w:pPr>
            <w:r>
              <w:rPr>
                <w:rFonts w:ascii="仿宋" w:hAnsi="仿宋" w:eastAsia="仿宋" w:cs="仿宋"/>
                <w:sz w:val="28"/>
                <w:szCs w:val="28"/>
              </w:rPr>
              <w:t>8</w:t>
            </w:r>
          </w:p>
        </w:tc>
        <w:tc>
          <w:tcPr>
            <w:tcW w:w="6746" w:type="dxa"/>
          </w:tcPr>
          <w:p>
            <w:pPr>
              <w:spacing w:before="40" w:line="303" w:lineRule="auto"/>
              <w:ind w:left="121" w:right="28" w:firstLine="569"/>
              <w:rPr>
                <w:rFonts w:ascii="仿宋" w:hAnsi="仿宋" w:eastAsia="仿宋" w:cs="仿宋"/>
                <w:sz w:val="28"/>
                <w:szCs w:val="28"/>
              </w:rPr>
            </w:pPr>
            <w:r>
              <w:rPr>
                <w:rFonts w:ascii="仿宋" w:hAnsi="仿宋" w:eastAsia="仿宋" w:cs="仿宋"/>
                <w:sz w:val="28"/>
                <w:szCs w:val="28"/>
              </w:rPr>
              <w:t>1、根据投标文件服务方案对本项目采购需求的响应</w:t>
            </w:r>
            <w:r>
              <w:rPr>
                <w:rFonts w:ascii="仿宋" w:hAnsi="仿宋" w:eastAsia="仿宋" w:cs="仿宋"/>
                <w:spacing w:val="-2"/>
                <w:sz w:val="28"/>
                <w:szCs w:val="28"/>
              </w:rPr>
              <w:t>程度（如响应是否完整，内容是否清晰，措施是否可行）</w:t>
            </w:r>
            <w:r>
              <w:rPr>
                <w:rFonts w:ascii="仿宋" w:hAnsi="仿宋" w:eastAsia="仿宋" w:cs="仿宋"/>
                <w:spacing w:val="-4"/>
                <w:sz w:val="28"/>
                <w:szCs w:val="28"/>
              </w:rPr>
              <w:t>打分，优得6-8分，良得3-5分，中得1-2分。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5" w:hRule="atLeast"/>
        </w:trPr>
        <w:tc>
          <w:tcPr>
            <w:tcW w:w="1107" w:type="dxa"/>
            <w:vMerge w:val="continue"/>
            <w:tcBorders>
              <w:top w:val="nil"/>
              <w:bottom w:val="nil"/>
            </w:tcBorders>
          </w:tcPr>
          <w:p>
            <w:pPr>
              <w:rPr>
                <w:rFonts w:ascii="仿宋"/>
              </w:rPr>
            </w:pPr>
          </w:p>
        </w:tc>
        <w:tc>
          <w:tcPr>
            <w:tcW w:w="540" w:type="dxa"/>
            <w:vMerge w:val="continue"/>
            <w:tcBorders>
              <w:top w:val="nil"/>
              <w:bottom w:val="nil"/>
            </w:tcBorders>
          </w:tcPr>
          <w:p>
            <w:pPr>
              <w:rPr>
                <w:rFonts w:ascii="仿宋"/>
              </w:rPr>
            </w:pPr>
          </w:p>
        </w:tc>
        <w:tc>
          <w:tcPr>
            <w:tcW w:w="546" w:type="dxa"/>
          </w:tcPr>
          <w:p>
            <w:pPr>
              <w:spacing w:line="359" w:lineRule="auto"/>
              <w:jc w:val="left"/>
              <w:rPr>
                <w:rFonts w:ascii="仿宋"/>
              </w:rPr>
            </w:pPr>
          </w:p>
          <w:p>
            <w:pPr>
              <w:spacing w:line="359" w:lineRule="auto"/>
              <w:jc w:val="left"/>
              <w:rPr>
                <w:rFonts w:ascii="仿宋"/>
              </w:rPr>
            </w:pPr>
          </w:p>
          <w:p>
            <w:pPr>
              <w:spacing w:before="91" w:line="180" w:lineRule="auto"/>
              <w:ind w:firstLine="312"/>
              <w:jc w:val="left"/>
              <w:rPr>
                <w:rFonts w:ascii="仿宋" w:hAnsi="仿宋" w:eastAsia="仿宋" w:cs="仿宋"/>
                <w:sz w:val="28"/>
                <w:szCs w:val="28"/>
              </w:rPr>
            </w:pPr>
            <w:r>
              <w:rPr>
                <w:rFonts w:ascii="仿宋" w:hAnsi="仿宋" w:eastAsia="仿宋" w:cs="仿宋"/>
                <w:sz w:val="28"/>
                <w:szCs w:val="28"/>
              </w:rPr>
              <w:t>9</w:t>
            </w:r>
          </w:p>
        </w:tc>
        <w:tc>
          <w:tcPr>
            <w:tcW w:w="6746" w:type="dxa"/>
          </w:tcPr>
          <w:p>
            <w:pPr>
              <w:spacing w:before="41" w:line="317" w:lineRule="auto"/>
              <w:ind w:left="112" w:right="105" w:firstLine="560"/>
              <w:rPr>
                <w:rFonts w:ascii="仿宋" w:hAnsi="仿宋" w:eastAsia="仿宋" w:cs="仿宋"/>
                <w:sz w:val="28"/>
                <w:szCs w:val="28"/>
              </w:rPr>
            </w:pPr>
            <w:r>
              <w:rPr>
                <w:rFonts w:ascii="仿宋" w:hAnsi="仿宋" w:eastAsia="仿宋" w:cs="仿宋"/>
                <w:spacing w:val="1"/>
                <w:sz w:val="28"/>
                <w:szCs w:val="28"/>
              </w:rPr>
              <w:t>2、根据投标人对所属加油站内部管理规范、安全生</w:t>
            </w:r>
            <w:r>
              <w:rPr>
                <w:rFonts w:ascii="仿宋" w:hAnsi="仿宋" w:eastAsia="仿宋" w:cs="仿宋"/>
                <w:spacing w:val="-5"/>
                <w:sz w:val="28"/>
                <w:szCs w:val="28"/>
              </w:rPr>
              <w:t>产管理制度、车辆加油车卡对号及加油档案管理制度、人员管理制度、设备管理制度、环境保护制度等打分。优得</w:t>
            </w:r>
            <w:r>
              <w:rPr>
                <w:rFonts w:ascii="仿宋" w:hAnsi="仿宋" w:eastAsia="仿宋" w:cs="仿宋"/>
                <w:spacing w:val="-4"/>
                <w:sz w:val="28"/>
                <w:szCs w:val="28"/>
              </w:rPr>
              <w:t>6-9分，良得3-6分，中得1-3分。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0" w:hRule="atLeast"/>
        </w:trPr>
        <w:tc>
          <w:tcPr>
            <w:tcW w:w="1107" w:type="dxa"/>
            <w:vMerge w:val="continue"/>
            <w:tcBorders>
              <w:top w:val="nil"/>
              <w:bottom w:val="nil"/>
            </w:tcBorders>
          </w:tcPr>
          <w:p>
            <w:pPr>
              <w:rPr>
                <w:rFonts w:ascii="仿宋"/>
              </w:rPr>
            </w:pPr>
          </w:p>
        </w:tc>
        <w:tc>
          <w:tcPr>
            <w:tcW w:w="540" w:type="dxa"/>
            <w:vMerge w:val="continue"/>
            <w:tcBorders>
              <w:top w:val="nil"/>
              <w:bottom w:val="nil"/>
            </w:tcBorders>
          </w:tcPr>
          <w:p>
            <w:pPr>
              <w:rPr>
                <w:rFonts w:ascii="仿宋"/>
              </w:rPr>
            </w:pPr>
          </w:p>
        </w:tc>
        <w:tc>
          <w:tcPr>
            <w:tcW w:w="546" w:type="dxa"/>
          </w:tcPr>
          <w:p>
            <w:pPr>
              <w:jc w:val="left"/>
              <w:rPr>
                <w:rFonts w:ascii="仿宋"/>
              </w:rPr>
            </w:pPr>
          </w:p>
          <w:p>
            <w:pPr>
              <w:jc w:val="left"/>
              <w:rPr>
                <w:rFonts w:ascii="仿宋"/>
              </w:rPr>
            </w:pPr>
          </w:p>
          <w:p>
            <w:pPr>
              <w:jc w:val="left"/>
              <w:rPr>
                <w:rFonts w:ascii="仿宋"/>
              </w:rPr>
            </w:pPr>
          </w:p>
          <w:p>
            <w:pPr>
              <w:jc w:val="left"/>
              <w:rPr>
                <w:rFonts w:ascii="仿宋"/>
              </w:rPr>
            </w:pPr>
          </w:p>
          <w:p>
            <w:pPr>
              <w:spacing w:before="91" w:line="180" w:lineRule="auto"/>
              <w:ind w:firstLine="312"/>
              <w:jc w:val="left"/>
              <w:rPr>
                <w:rFonts w:ascii="仿宋" w:hAnsi="仿宋" w:eastAsia="仿宋" w:cs="仿宋"/>
                <w:sz w:val="28"/>
                <w:szCs w:val="28"/>
              </w:rPr>
            </w:pPr>
            <w:r>
              <w:rPr>
                <w:rFonts w:ascii="仿宋" w:hAnsi="仿宋" w:eastAsia="仿宋" w:cs="仿宋"/>
                <w:sz w:val="28"/>
                <w:szCs w:val="28"/>
              </w:rPr>
              <w:t>8</w:t>
            </w:r>
          </w:p>
        </w:tc>
        <w:tc>
          <w:tcPr>
            <w:tcW w:w="6746" w:type="dxa"/>
          </w:tcPr>
          <w:p>
            <w:pPr>
              <w:spacing w:before="46" w:line="325" w:lineRule="auto"/>
              <w:ind w:left="119" w:right="103" w:firstLine="556"/>
              <w:rPr>
                <w:rFonts w:ascii="仿宋" w:hAnsi="仿宋" w:eastAsia="仿宋" w:cs="仿宋"/>
                <w:sz w:val="28"/>
                <w:szCs w:val="28"/>
              </w:rPr>
            </w:pPr>
            <w:r>
              <w:rPr>
                <w:rFonts w:ascii="仿宋" w:hAnsi="仿宋" w:eastAsia="仿宋" w:cs="仿宋"/>
                <w:spacing w:val="1"/>
                <w:sz w:val="28"/>
                <w:szCs w:val="28"/>
              </w:rPr>
              <w:t>3、本项目的服务措施。包括拟为本项目配置的主管</w:t>
            </w:r>
            <w:r>
              <w:rPr>
                <w:rFonts w:ascii="仿宋" w:hAnsi="仿宋" w:eastAsia="仿宋" w:cs="仿宋"/>
                <w:spacing w:val="-5"/>
                <w:sz w:val="28"/>
                <w:szCs w:val="28"/>
              </w:rPr>
              <w:t>人员、工作人员情况，所属加油站联系协调人员情况，上</w:t>
            </w:r>
            <w:r>
              <w:rPr>
                <w:rFonts w:ascii="仿宋" w:hAnsi="仿宋" w:eastAsia="仿宋" w:cs="仿宋"/>
                <w:spacing w:val="6"/>
                <w:sz w:val="28"/>
                <w:szCs w:val="28"/>
              </w:rPr>
              <w:t>门服务的主要内容及措施，服务承诺及服务监督电话公</w:t>
            </w:r>
            <w:r>
              <w:rPr>
                <w:rFonts w:ascii="仿宋" w:hAnsi="仿宋" w:eastAsia="仿宋" w:cs="仿宋"/>
                <w:spacing w:val="-4"/>
                <w:sz w:val="28"/>
                <w:szCs w:val="28"/>
              </w:rPr>
              <w:t>开、用户投诉受理制度等。优得5-8分，良得3-5分，中得1-3分。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4" w:hRule="atLeast"/>
        </w:trPr>
        <w:tc>
          <w:tcPr>
            <w:tcW w:w="1107" w:type="dxa"/>
            <w:vMerge w:val="continue"/>
            <w:tcBorders>
              <w:top w:val="nil"/>
            </w:tcBorders>
          </w:tcPr>
          <w:p>
            <w:pPr>
              <w:rPr>
                <w:rFonts w:ascii="仿宋"/>
              </w:rPr>
            </w:pPr>
          </w:p>
        </w:tc>
        <w:tc>
          <w:tcPr>
            <w:tcW w:w="540" w:type="dxa"/>
            <w:vMerge w:val="continue"/>
            <w:tcBorders>
              <w:top w:val="nil"/>
            </w:tcBorders>
          </w:tcPr>
          <w:p>
            <w:pPr>
              <w:rPr>
                <w:rFonts w:ascii="仿宋"/>
              </w:rPr>
            </w:pPr>
          </w:p>
        </w:tc>
        <w:tc>
          <w:tcPr>
            <w:tcW w:w="546" w:type="dxa"/>
          </w:tcPr>
          <w:p>
            <w:pPr>
              <w:jc w:val="left"/>
              <w:rPr>
                <w:rFonts w:ascii="仿宋"/>
              </w:rPr>
            </w:pPr>
          </w:p>
          <w:p>
            <w:pPr>
              <w:jc w:val="left"/>
              <w:rPr>
                <w:rFonts w:ascii="仿宋"/>
              </w:rPr>
            </w:pPr>
          </w:p>
          <w:p>
            <w:pPr>
              <w:spacing w:line="241" w:lineRule="auto"/>
              <w:jc w:val="left"/>
              <w:rPr>
                <w:rFonts w:ascii="仿宋"/>
              </w:rPr>
            </w:pPr>
          </w:p>
          <w:p>
            <w:pPr>
              <w:spacing w:before="92" w:line="180" w:lineRule="auto"/>
              <w:ind w:firstLine="317"/>
              <w:jc w:val="left"/>
              <w:rPr>
                <w:rFonts w:ascii="仿宋" w:hAnsi="仿宋" w:eastAsia="仿宋" w:cs="仿宋"/>
                <w:sz w:val="28"/>
                <w:szCs w:val="28"/>
              </w:rPr>
            </w:pPr>
            <w:r>
              <w:rPr>
                <w:rFonts w:ascii="仿宋" w:hAnsi="仿宋" w:eastAsia="仿宋" w:cs="仿宋"/>
                <w:sz w:val="28"/>
                <w:szCs w:val="28"/>
              </w:rPr>
              <w:t>5</w:t>
            </w:r>
          </w:p>
        </w:tc>
        <w:tc>
          <w:tcPr>
            <w:tcW w:w="6746" w:type="dxa"/>
          </w:tcPr>
          <w:p>
            <w:pPr>
              <w:spacing w:before="44" w:line="317" w:lineRule="auto"/>
              <w:ind w:left="118" w:right="105" w:firstLine="550"/>
              <w:rPr>
                <w:rFonts w:ascii="仿宋" w:hAnsi="仿宋" w:eastAsia="仿宋" w:cs="仿宋"/>
                <w:sz w:val="28"/>
                <w:szCs w:val="28"/>
              </w:rPr>
            </w:pPr>
            <w:r>
              <w:rPr>
                <w:rFonts w:ascii="仿宋" w:hAnsi="仿宋" w:eastAsia="仿宋" w:cs="仿宋"/>
                <w:spacing w:val="1"/>
                <w:sz w:val="28"/>
                <w:szCs w:val="28"/>
              </w:rPr>
              <w:t>4、有监督管理要求落实措施。承诺向市级单位报送</w:t>
            </w:r>
            <w:r>
              <w:rPr>
                <w:rFonts w:ascii="仿宋" w:hAnsi="仿宋" w:eastAsia="仿宋" w:cs="仿宋"/>
                <w:spacing w:val="-5"/>
                <w:sz w:val="28"/>
                <w:szCs w:val="28"/>
              </w:rPr>
              <w:t>加油清单，并按本项目要求汇总报送定点加油销售记录统计表、油品质量及计量检测报告、走访座谈活动开展情况等。优得5分，良得3分，中得1分。</w:t>
            </w:r>
          </w:p>
        </w:tc>
      </w:tr>
    </w:tbl>
    <w:p>
      <w:pPr>
        <w:rPr>
          <w:rFonts w:ascii="仿宋"/>
        </w:rPr>
      </w:pPr>
    </w:p>
    <w:p>
      <w:pPr>
        <w:sectPr>
          <w:headerReference r:id="rId5" w:type="default"/>
          <w:footerReference r:id="rId6" w:type="default"/>
          <w:pgSz w:w="11907" w:h="16840"/>
          <w:pgMar w:top="1417" w:right="1417" w:bottom="1417" w:left="1417" w:header="0" w:footer="1077" w:gutter="0"/>
          <w:pgNumType w:fmt="decimal" w:start="1"/>
          <w:cols w:space="720" w:num="1"/>
          <w:rtlGutter w:val="0"/>
        </w:sectPr>
      </w:pPr>
    </w:p>
    <w:p/>
    <w:p>
      <w:pPr>
        <w:spacing w:line="52" w:lineRule="exact"/>
      </w:pPr>
    </w:p>
    <w:tbl>
      <w:tblPr>
        <w:tblStyle w:val="150"/>
        <w:tblW w:w="90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1"/>
        <w:gridCol w:w="549"/>
        <w:gridCol w:w="731"/>
        <w:gridCol w:w="68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63" w:hRule="atLeast"/>
        </w:trPr>
        <w:tc>
          <w:tcPr>
            <w:tcW w:w="961" w:type="dxa"/>
            <w:vMerge w:val="restart"/>
            <w:tcBorders>
              <w:bottom w:val="nil"/>
            </w:tcBorders>
          </w:tcPr>
          <w:p>
            <w:pPr>
              <w:rPr>
                <w:rFonts w:ascii="仿宋"/>
              </w:rPr>
            </w:pPr>
          </w:p>
        </w:tc>
        <w:tc>
          <w:tcPr>
            <w:tcW w:w="549" w:type="dxa"/>
            <w:vMerge w:val="restart"/>
            <w:tcBorders>
              <w:bottom w:val="nil"/>
            </w:tcBorders>
          </w:tcPr>
          <w:p>
            <w:pPr>
              <w:rPr>
                <w:rFonts w:ascii="仿宋"/>
              </w:rPr>
            </w:pPr>
          </w:p>
        </w:tc>
        <w:tc>
          <w:tcPr>
            <w:tcW w:w="731" w:type="dxa"/>
          </w:tcPr>
          <w:p>
            <w:pPr>
              <w:spacing w:line="241" w:lineRule="auto"/>
              <w:rPr>
                <w:rFonts w:ascii="仿宋"/>
              </w:rPr>
            </w:pPr>
          </w:p>
          <w:p>
            <w:pPr>
              <w:spacing w:line="242" w:lineRule="auto"/>
              <w:rPr>
                <w:rFonts w:ascii="仿宋"/>
              </w:rPr>
            </w:pPr>
          </w:p>
          <w:p>
            <w:pPr>
              <w:spacing w:before="91" w:line="180" w:lineRule="auto"/>
              <w:ind w:firstLine="317"/>
              <w:rPr>
                <w:rFonts w:ascii="仿宋" w:hAnsi="仿宋" w:eastAsia="仿宋" w:cs="仿宋"/>
                <w:sz w:val="28"/>
                <w:szCs w:val="28"/>
              </w:rPr>
            </w:pPr>
            <w:r>
              <w:rPr>
                <w:rFonts w:ascii="仿宋" w:hAnsi="仿宋" w:eastAsia="仿宋" w:cs="仿宋"/>
                <w:sz w:val="28"/>
                <w:szCs w:val="28"/>
              </w:rPr>
              <w:t>5</w:t>
            </w:r>
          </w:p>
        </w:tc>
        <w:tc>
          <w:tcPr>
            <w:tcW w:w="6842" w:type="dxa"/>
          </w:tcPr>
          <w:p>
            <w:pPr>
              <w:spacing w:before="43" w:line="303" w:lineRule="auto"/>
              <w:ind w:left="123" w:right="107" w:firstLine="556"/>
              <w:rPr>
                <w:rFonts w:ascii="仿宋" w:hAnsi="仿宋" w:eastAsia="仿宋" w:cs="仿宋"/>
                <w:sz w:val="28"/>
                <w:szCs w:val="28"/>
              </w:rPr>
            </w:pPr>
            <w:r>
              <w:rPr>
                <w:rFonts w:ascii="仿宋" w:hAnsi="仿宋" w:eastAsia="仿宋" w:cs="仿宋"/>
                <w:spacing w:val="1"/>
                <w:sz w:val="28"/>
                <w:szCs w:val="28"/>
              </w:rPr>
              <w:t>5、信息化管理水平。投标人是否建有先进的加油站</w:t>
            </w:r>
            <w:r>
              <w:rPr>
                <w:rFonts w:ascii="仿宋" w:hAnsi="仿宋" w:eastAsia="仿宋" w:cs="仿宋"/>
                <w:spacing w:val="-5"/>
                <w:sz w:val="28"/>
                <w:szCs w:val="28"/>
              </w:rPr>
              <w:t>信息管理系统，加油机所有的交易数据是否可实时动态管理。优得5分，良得3分，中得1分。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5" w:hRule="atLeast"/>
        </w:trPr>
        <w:tc>
          <w:tcPr>
            <w:tcW w:w="961" w:type="dxa"/>
            <w:vMerge w:val="continue"/>
            <w:tcBorders>
              <w:top w:val="nil"/>
            </w:tcBorders>
          </w:tcPr>
          <w:p>
            <w:pPr>
              <w:rPr>
                <w:rFonts w:ascii="仿宋"/>
              </w:rPr>
            </w:pPr>
          </w:p>
        </w:tc>
        <w:tc>
          <w:tcPr>
            <w:tcW w:w="549" w:type="dxa"/>
            <w:vMerge w:val="continue"/>
            <w:tcBorders>
              <w:top w:val="nil"/>
            </w:tcBorders>
          </w:tcPr>
          <w:p>
            <w:pPr>
              <w:rPr>
                <w:rFonts w:ascii="仿宋"/>
              </w:rPr>
            </w:pPr>
          </w:p>
        </w:tc>
        <w:tc>
          <w:tcPr>
            <w:tcW w:w="731" w:type="dxa"/>
          </w:tcPr>
          <w:p>
            <w:pPr>
              <w:spacing w:line="359" w:lineRule="auto"/>
              <w:rPr>
                <w:rFonts w:ascii="仿宋"/>
              </w:rPr>
            </w:pPr>
          </w:p>
          <w:p>
            <w:pPr>
              <w:spacing w:line="359" w:lineRule="auto"/>
              <w:rPr>
                <w:rFonts w:ascii="仿宋"/>
              </w:rPr>
            </w:pPr>
          </w:p>
          <w:p>
            <w:pPr>
              <w:spacing w:before="91" w:line="180" w:lineRule="auto"/>
              <w:ind w:firstLine="317"/>
              <w:rPr>
                <w:rFonts w:ascii="仿宋" w:hAnsi="仿宋" w:eastAsia="仿宋" w:cs="仿宋"/>
                <w:sz w:val="28"/>
                <w:szCs w:val="28"/>
              </w:rPr>
            </w:pPr>
            <w:r>
              <w:rPr>
                <w:rFonts w:ascii="仿宋" w:hAnsi="仿宋" w:eastAsia="仿宋" w:cs="仿宋"/>
                <w:sz w:val="28"/>
                <w:szCs w:val="28"/>
              </w:rPr>
              <w:t>5</w:t>
            </w:r>
          </w:p>
        </w:tc>
        <w:tc>
          <w:tcPr>
            <w:tcW w:w="6842" w:type="dxa"/>
          </w:tcPr>
          <w:p>
            <w:pPr>
              <w:spacing w:before="40" w:line="360" w:lineRule="auto"/>
              <w:ind w:firstLine="675"/>
              <w:rPr>
                <w:rFonts w:ascii="仿宋" w:hAnsi="仿宋" w:eastAsia="仿宋" w:cs="仿宋"/>
                <w:sz w:val="28"/>
                <w:szCs w:val="28"/>
              </w:rPr>
            </w:pPr>
            <w:r>
              <w:rPr>
                <w:rFonts w:ascii="仿宋" w:hAnsi="仿宋" w:eastAsia="仿宋" w:cs="仿宋"/>
                <w:spacing w:val="1"/>
                <w:sz w:val="28"/>
                <w:szCs w:val="28"/>
              </w:rPr>
              <w:t>6、本项目的增值服务措施。投标人在响应招标文件</w:t>
            </w:r>
            <w:r>
              <w:rPr>
                <w:rFonts w:ascii="仿宋" w:hAnsi="仿宋" w:eastAsia="仿宋" w:cs="仿宋"/>
                <w:spacing w:val="-5"/>
                <w:sz w:val="28"/>
                <w:szCs w:val="28"/>
              </w:rPr>
              <w:t>基础上，对市级单位公务用车定点加油、日常养护方面的其他特殊服务承诺或优惠，根据其实质性意义及可实现程</w:t>
            </w:r>
            <w:r>
              <w:rPr>
                <w:rFonts w:ascii="仿宋" w:hAnsi="仿宋" w:eastAsia="仿宋" w:cs="仿宋"/>
                <w:spacing w:val="-4"/>
                <w:sz w:val="28"/>
                <w:szCs w:val="28"/>
              </w:rPr>
              <w:t>度等情况打分。优得5分，良得3分，中得1分。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549" w:hRule="atLeast"/>
        </w:trPr>
        <w:tc>
          <w:tcPr>
            <w:tcW w:w="961" w:type="dxa"/>
            <w:vMerge w:val="restart"/>
            <w:tcBorders>
              <w:bottom w:val="nil"/>
            </w:tcBorders>
          </w:tcPr>
          <w:p>
            <w:pPr>
              <w:spacing w:line="256" w:lineRule="auto"/>
              <w:rPr>
                <w:rFonts w:ascii="仿宋"/>
              </w:rPr>
            </w:pPr>
          </w:p>
          <w:p>
            <w:pPr>
              <w:spacing w:line="256" w:lineRule="auto"/>
              <w:rPr>
                <w:rFonts w:ascii="仿宋"/>
              </w:rPr>
            </w:pPr>
          </w:p>
          <w:p>
            <w:pPr>
              <w:spacing w:line="256" w:lineRule="auto"/>
              <w:rPr>
                <w:rFonts w:ascii="仿宋"/>
              </w:rPr>
            </w:pPr>
          </w:p>
          <w:p>
            <w:pPr>
              <w:spacing w:line="256" w:lineRule="auto"/>
              <w:rPr>
                <w:rFonts w:ascii="仿宋"/>
              </w:rPr>
            </w:pPr>
          </w:p>
          <w:p>
            <w:pPr>
              <w:spacing w:line="256" w:lineRule="auto"/>
              <w:rPr>
                <w:rFonts w:ascii="仿宋"/>
              </w:rPr>
            </w:pPr>
          </w:p>
          <w:p>
            <w:pPr>
              <w:spacing w:line="256" w:lineRule="auto"/>
              <w:rPr>
                <w:rFonts w:ascii="仿宋"/>
              </w:rPr>
            </w:pPr>
          </w:p>
          <w:p>
            <w:pPr>
              <w:spacing w:line="256" w:lineRule="auto"/>
              <w:rPr>
                <w:rFonts w:ascii="仿宋"/>
              </w:rPr>
            </w:pPr>
          </w:p>
          <w:p>
            <w:pPr>
              <w:spacing w:line="257" w:lineRule="auto"/>
              <w:rPr>
                <w:rFonts w:ascii="仿宋"/>
              </w:rPr>
            </w:pPr>
          </w:p>
          <w:p>
            <w:pPr>
              <w:spacing w:line="257" w:lineRule="auto"/>
              <w:rPr>
                <w:rFonts w:ascii="仿宋"/>
              </w:rPr>
            </w:pPr>
          </w:p>
          <w:p>
            <w:pPr>
              <w:spacing w:line="257" w:lineRule="auto"/>
              <w:rPr>
                <w:rFonts w:ascii="仿宋"/>
              </w:rPr>
            </w:pPr>
          </w:p>
          <w:p>
            <w:pPr>
              <w:spacing w:line="257" w:lineRule="auto"/>
              <w:rPr>
                <w:rFonts w:ascii="仿宋"/>
              </w:rPr>
            </w:pPr>
          </w:p>
          <w:p>
            <w:pPr>
              <w:spacing w:line="257" w:lineRule="auto"/>
              <w:rPr>
                <w:rFonts w:ascii="仿宋"/>
              </w:rPr>
            </w:pPr>
          </w:p>
          <w:p>
            <w:pPr>
              <w:spacing w:before="91" w:line="545" w:lineRule="exact"/>
              <w:ind w:firstLine="239"/>
              <w:rPr>
                <w:rFonts w:ascii="仿宋" w:hAnsi="仿宋" w:eastAsia="仿宋" w:cs="仿宋"/>
                <w:sz w:val="28"/>
                <w:szCs w:val="28"/>
              </w:rPr>
            </w:pPr>
            <w:r>
              <w:rPr>
                <w:rFonts w:ascii="仿宋" w:hAnsi="仿宋" w:eastAsia="仿宋" w:cs="仿宋"/>
                <w:spacing w:val="-12"/>
                <w:position w:val="19"/>
                <w:sz w:val="28"/>
                <w:szCs w:val="28"/>
              </w:rPr>
              <w:t>质量</w:t>
            </w:r>
          </w:p>
          <w:p>
            <w:pPr>
              <w:spacing w:line="204" w:lineRule="auto"/>
              <w:ind w:firstLine="233"/>
              <w:rPr>
                <w:rFonts w:ascii="仿宋" w:hAnsi="仿宋" w:eastAsia="仿宋" w:cs="仿宋"/>
                <w:sz w:val="28"/>
                <w:szCs w:val="28"/>
              </w:rPr>
            </w:pPr>
            <w:r>
              <w:rPr>
                <w:rFonts w:ascii="仿宋" w:hAnsi="仿宋" w:eastAsia="仿宋" w:cs="仿宋"/>
                <w:spacing w:val="-9"/>
                <w:sz w:val="28"/>
                <w:szCs w:val="28"/>
              </w:rPr>
              <w:t>保证</w:t>
            </w:r>
          </w:p>
        </w:tc>
        <w:tc>
          <w:tcPr>
            <w:tcW w:w="549" w:type="dxa"/>
            <w:vMerge w:val="restart"/>
            <w:tcBorders>
              <w:bottom w:val="nil"/>
            </w:tcBorders>
          </w:tcPr>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rPr>
                <w:rFonts w:ascii="仿宋"/>
              </w:rPr>
            </w:pPr>
          </w:p>
          <w:p>
            <w:pPr>
              <w:spacing w:line="241" w:lineRule="auto"/>
              <w:rPr>
                <w:rFonts w:ascii="仿宋"/>
              </w:rPr>
            </w:pPr>
          </w:p>
          <w:p>
            <w:pPr>
              <w:spacing w:before="91" w:line="180" w:lineRule="auto"/>
              <w:ind w:firstLine="113"/>
              <w:rPr>
                <w:rFonts w:hint="default" w:ascii="仿宋" w:hAnsi="仿宋" w:eastAsia="仿宋" w:cs="仿宋"/>
                <w:sz w:val="28"/>
                <w:szCs w:val="28"/>
                <w:lang w:val="en-US" w:eastAsia="zh-CN"/>
              </w:rPr>
            </w:pPr>
            <w:r>
              <w:rPr>
                <w:rFonts w:hint="eastAsia" w:ascii="仿宋" w:hAnsi="仿宋" w:eastAsia="仿宋" w:cs="仿宋"/>
                <w:spacing w:val="-5"/>
                <w:sz w:val="28"/>
                <w:szCs w:val="28"/>
                <w:lang w:val="en-US" w:eastAsia="zh-CN"/>
              </w:rPr>
              <w:t>30</w:t>
            </w:r>
          </w:p>
        </w:tc>
        <w:tc>
          <w:tcPr>
            <w:tcW w:w="731" w:type="dxa"/>
          </w:tcPr>
          <w:p>
            <w:pPr>
              <w:spacing w:line="298" w:lineRule="auto"/>
              <w:rPr>
                <w:rFonts w:ascii="仿宋"/>
              </w:rPr>
            </w:pPr>
          </w:p>
          <w:p>
            <w:pPr>
              <w:spacing w:line="299" w:lineRule="auto"/>
              <w:rPr>
                <w:rFonts w:ascii="仿宋"/>
              </w:rPr>
            </w:pPr>
          </w:p>
          <w:p>
            <w:pPr>
              <w:spacing w:line="299" w:lineRule="auto"/>
              <w:rPr>
                <w:rFonts w:ascii="仿宋"/>
              </w:rPr>
            </w:pPr>
          </w:p>
          <w:p>
            <w:pPr>
              <w:spacing w:line="299" w:lineRule="auto"/>
              <w:rPr>
                <w:rFonts w:ascii="仿宋"/>
              </w:rPr>
            </w:pPr>
          </w:p>
          <w:p>
            <w:pPr>
              <w:spacing w:before="91" w:line="180" w:lineRule="auto"/>
              <w:ind w:firstLine="262"/>
              <w:rPr>
                <w:rFonts w:hint="eastAsia" w:ascii="仿宋" w:hAnsi="仿宋" w:eastAsia="仿宋" w:cs="仿宋"/>
                <w:sz w:val="28"/>
                <w:szCs w:val="28"/>
                <w:lang w:val="en-US" w:eastAsia="zh-CN"/>
              </w:rPr>
            </w:pPr>
            <w:r>
              <w:rPr>
                <w:rFonts w:ascii="仿宋" w:hAnsi="仿宋" w:eastAsia="仿宋" w:cs="仿宋"/>
                <w:spacing w:val="-14"/>
                <w:w w:val="99"/>
                <w:sz w:val="28"/>
                <w:szCs w:val="28"/>
              </w:rPr>
              <w:t>1</w:t>
            </w:r>
            <w:r>
              <w:rPr>
                <w:rFonts w:hint="eastAsia" w:ascii="仿宋" w:hAnsi="仿宋" w:eastAsia="仿宋" w:cs="仿宋"/>
                <w:spacing w:val="-14"/>
                <w:w w:val="99"/>
                <w:sz w:val="28"/>
                <w:szCs w:val="28"/>
                <w:lang w:val="en-US" w:eastAsia="zh-CN"/>
              </w:rPr>
              <w:t>0</w:t>
            </w:r>
          </w:p>
        </w:tc>
        <w:tc>
          <w:tcPr>
            <w:tcW w:w="6842" w:type="dxa"/>
          </w:tcPr>
          <w:p>
            <w:pPr>
              <w:spacing w:before="43" w:line="359" w:lineRule="auto"/>
              <w:ind w:left="122" w:right="101" w:firstLine="572"/>
              <w:rPr>
                <w:rFonts w:ascii="仿宋" w:hAnsi="仿宋" w:eastAsia="仿宋" w:cs="仿宋"/>
                <w:sz w:val="28"/>
                <w:szCs w:val="28"/>
              </w:rPr>
            </w:pPr>
            <w:r>
              <w:rPr>
                <w:rFonts w:ascii="仿宋" w:hAnsi="仿宋" w:eastAsia="仿宋" w:cs="仿宋"/>
                <w:spacing w:val="-12"/>
                <w:sz w:val="28"/>
                <w:szCs w:val="28"/>
              </w:rPr>
              <w:t>1、油品质量：供货渠道是否合法、正规、稳定得0-8</w:t>
            </w:r>
            <w:r>
              <w:rPr>
                <w:rFonts w:ascii="仿宋" w:hAnsi="仿宋" w:eastAsia="仿宋" w:cs="仿宋"/>
                <w:spacing w:val="-9"/>
                <w:sz w:val="28"/>
                <w:szCs w:val="28"/>
              </w:rPr>
              <w:t>分；提供政府相关职能部门出具的油品质量抽检结果合格</w:t>
            </w:r>
            <w:r>
              <w:rPr>
                <w:rFonts w:ascii="仿宋" w:hAnsi="仿宋" w:eastAsia="仿宋" w:cs="仿宋"/>
                <w:spacing w:val="-10"/>
                <w:sz w:val="28"/>
                <w:szCs w:val="28"/>
              </w:rPr>
              <w:t>证明的得5分，未提供的不得分；油品种类是否齐全得1-3</w:t>
            </w:r>
            <w:r>
              <w:rPr>
                <w:rFonts w:ascii="仿宋" w:hAnsi="仿宋" w:eastAsia="仿宋" w:cs="仿宋"/>
                <w:spacing w:val="-5"/>
                <w:sz w:val="28"/>
                <w:szCs w:val="28"/>
              </w:rPr>
              <w:t>分。（需提供油品来源的授权书或协议书等、2020年1月1</w:t>
            </w:r>
            <w:r>
              <w:rPr>
                <w:rFonts w:ascii="仿宋" w:hAnsi="仿宋" w:eastAsia="仿宋" w:cs="仿宋"/>
                <w:spacing w:val="-8"/>
                <w:sz w:val="28"/>
                <w:szCs w:val="28"/>
              </w:rPr>
              <w:t>日以后的油品质量抽检或检查结果合格证明材料、销售油品种类资料等）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20" w:hRule="atLeast"/>
        </w:trPr>
        <w:tc>
          <w:tcPr>
            <w:tcW w:w="961" w:type="dxa"/>
            <w:vMerge w:val="continue"/>
            <w:tcBorders>
              <w:top w:val="nil"/>
              <w:bottom w:val="nil"/>
            </w:tcBorders>
          </w:tcPr>
          <w:p>
            <w:pPr>
              <w:rPr>
                <w:rFonts w:ascii="仿宋"/>
              </w:rPr>
            </w:pPr>
          </w:p>
        </w:tc>
        <w:tc>
          <w:tcPr>
            <w:tcW w:w="549" w:type="dxa"/>
            <w:vMerge w:val="continue"/>
            <w:tcBorders>
              <w:top w:val="nil"/>
              <w:bottom w:val="nil"/>
            </w:tcBorders>
          </w:tcPr>
          <w:p>
            <w:pPr>
              <w:rPr>
                <w:rFonts w:ascii="仿宋"/>
              </w:rPr>
            </w:pPr>
          </w:p>
        </w:tc>
        <w:tc>
          <w:tcPr>
            <w:tcW w:w="731" w:type="dxa"/>
          </w:tcPr>
          <w:p>
            <w:pPr>
              <w:spacing w:line="319" w:lineRule="auto"/>
              <w:rPr>
                <w:rFonts w:ascii="仿宋"/>
              </w:rPr>
            </w:pPr>
          </w:p>
          <w:p>
            <w:pPr>
              <w:spacing w:line="320" w:lineRule="auto"/>
              <w:rPr>
                <w:rFonts w:ascii="仿宋"/>
              </w:rPr>
            </w:pPr>
          </w:p>
          <w:p>
            <w:pPr>
              <w:spacing w:line="320" w:lineRule="auto"/>
              <w:rPr>
                <w:rFonts w:ascii="仿宋"/>
              </w:rPr>
            </w:pPr>
          </w:p>
          <w:p>
            <w:pPr>
              <w:spacing w:before="91" w:line="180" w:lineRule="auto"/>
              <w:ind w:firstLine="262"/>
              <w:rPr>
                <w:rFonts w:ascii="仿宋" w:hAnsi="仿宋" w:eastAsia="仿宋" w:cs="仿宋"/>
                <w:sz w:val="28"/>
                <w:szCs w:val="28"/>
              </w:rPr>
            </w:pPr>
            <w:r>
              <w:rPr>
                <w:rFonts w:ascii="仿宋" w:hAnsi="仿宋" w:eastAsia="仿宋" w:cs="仿宋"/>
                <w:spacing w:val="-14"/>
                <w:w w:val="99"/>
                <w:sz w:val="28"/>
                <w:szCs w:val="28"/>
              </w:rPr>
              <w:t>10</w:t>
            </w:r>
          </w:p>
        </w:tc>
        <w:tc>
          <w:tcPr>
            <w:tcW w:w="6842" w:type="dxa"/>
          </w:tcPr>
          <w:p>
            <w:pPr>
              <w:spacing w:before="44" w:line="325" w:lineRule="auto"/>
              <w:ind w:left="123" w:right="104" w:firstLine="553"/>
              <w:rPr>
                <w:rFonts w:ascii="仿宋" w:hAnsi="仿宋" w:eastAsia="仿宋" w:cs="仿宋"/>
                <w:sz w:val="28"/>
                <w:szCs w:val="28"/>
              </w:rPr>
            </w:pPr>
            <w:r>
              <w:rPr>
                <w:rFonts w:ascii="仿宋" w:hAnsi="仿宋" w:eastAsia="仿宋" w:cs="仿宋"/>
                <w:spacing w:val="-8"/>
                <w:sz w:val="28"/>
                <w:szCs w:val="28"/>
              </w:rPr>
              <w:t>2、设施设备：符合国家技术规范和质量标准、计量</w:t>
            </w:r>
            <w:r>
              <w:rPr>
                <w:rFonts w:ascii="仿宋" w:hAnsi="仿宋" w:eastAsia="仿宋" w:cs="仿宋"/>
                <w:spacing w:val="-5"/>
                <w:sz w:val="28"/>
                <w:szCs w:val="28"/>
              </w:rPr>
              <w:t>检定规程规定，具有经质量技术监督部门效验合格的加油</w:t>
            </w:r>
            <w:r>
              <w:rPr>
                <w:rFonts w:ascii="仿宋" w:hAnsi="仿宋" w:eastAsia="仿宋" w:cs="仿宋"/>
                <w:spacing w:val="-14"/>
                <w:w w:val="99"/>
                <w:sz w:val="28"/>
                <w:szCs w:val="28"/>
              </w:rPr>
              <w:t>机，油机、油车先进，配备合理，消防设施齐备。优得8-10</w:t>
            </w:r>
            <w:r>
              <w:rPr>
                <w:rFonts w:ascii="仿宋" w:hAnsi="仿宋" w:eastAsia="仿宋" w:cs="仿宋"/>
                <w:spacing w:val="-9"/>
                <w:sz w:val="28"/>
                <w:szCs w:val="28"/>
              </w:rPr>
              <w:t>分，良得5-7分，中得2-4分。（需提供设备设施清单及相</w:t>
            </w:r>
            <w:r>
              <w:rPr>
                <w:rFonts w:ascii="仿宋" w:hAnsi="仿宋" w:eastAsia="仿宋" w:cs="仿宋"/>
                <w:spacing w:val="-3"/>
                <w:sz w:val="28"/>
                <w:szCs w:val="28"/>
              </w:rPr>
              <w:t>关证明材料）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356" w:hRule="atLeast"/>
        </w:trPr>
        <w:tc>
          <w:tcPr>
            <w:tcW w:w="961" w:type="dxa"/>
            <w:vMerge w:val="continue"/>
            <w:tcBorders>
              <w:top w:val="nil"/>
            </w:tcBorders>
          </w:tcPr>
          <w:p>
            <w:pPr>
              <w:rPr>
                <w:rFonts w:ascii="仿宋"/>
              </w:rPr>
            </w:pPr>
          </w:p>
        </w:tc>
        <w:tc>
          <w:tcPr>
            <w:tcW w:w="549" w:type="dxa"/>
            <w:vMerge w:val="continue"/>
            <w:tcBorders>
              <w:top w:val="nil"/>
            </w:tcBorders>
          </w:tcPr>
          <w:p>
            <w:pPr>
              <w:rPr>
                <w:rFonts w:ascii="仿宋"/>
              </w:rPr>
            </w:pPr>
          </w:p>
        </w:tc>
        <w:tc>
          <w:tcPr>
            <w:tcW w:w="731" w:type="dxa"/>
          </w:tcPr>
          <w:p>
            <w:pPr>
              <w:spacing w:line="359" w:lineRule="auto"/>
              <w:rPr>
                <w:rFonts w:ascii="仿宋"/>
              </w:rPr>
            </w:pPr>
          </w:p>
          <w:p>
            <w:pPr>
              <w:spacing w:line="360" w:lineRule="auto"/>
              <w:rPr>
                <w:rFonts w:ascii="仿宋"/>
              </w:rPr>
            </w:pPr>
          </w:p>
          <w:p>
            <w:pPr>
              <w:spacing w:before="91" w:line="180" w:lineRule="auto"/>
              <w:ind w:firstLine="262"/>
              <w:rPr>
                <w:rFonts w:hint="eastAsia" w:ascii="仿宋" w:hAnsi="仿宋" w:eastAsia="仿宋" w:cs="仿宋"/>
                <w:sz w:val="28"/>
                <w:szCs w:val="28"/>
                <w:lang w:val="en-US" w:eastAsia="zh-CN"/>
              </w:rPr>
            </w:pPr>
            <w:r>
              <w:rPr>
                <w:rFonts w:ascii="仿宋" w:hAnsi="仿宋" w:eastAsia="仿宋" w:cs="仿宋"/>
                <w:spacing w:val="-14"/>
                <w:w w:val="99"/>
                <w:sz w:val="28"/>
                <w:szCs w:val="28"/>
              </w:rPr>
              <w:t>1</w:t>
            </w:r>
            <w:r>
              <w:rPr>
                <w:rFonts w:hint="eastAsia" w:ascii="仿宋" w:hAnsi="仿宋" w:eastAsia="仿宋" w:cs="仿宋"/>
                <w:spacing w:val="-14"/>
                <w:w w:val="99"/>
                <w:sz w:val="28"/>
                <w:szCs w:val="28"/>
                <w:lang w:val="en-US" w:eastAsia="zh-CN"/>
              </w:rPr>
              <w:t>0</w:t>
            </w:r>
          </w:p>
        </w:tc>
        <w:tc>
          <w:tcPr>
            <w:tcW w:w="6842" w:type="dxa"/>
          </w:tcPr>
          <w:p>
            <w:pPr>
              <w:spacing w:before="44" w:line="317" w:lineRule="auto"/>
              <w:ind w:left="122" w:right="107" w:firstLine="556"/>
              <w:rPr>
                <w:rFonts w:ascii="仿宋" w:hAnsi="仿宋" w:eastAsia="仿宋" w:cs="仿宋"/>
                <w:sz w:val="28"/>
                <w:szCs w:val="28"/>
              </w:rPr>
            </w:pPr>
            <w:r>
              <w:rPr>
                <w:rFonts w:ascii="仿宋" w:hAnsi="仿宋" w:eastAsia="仿宋" w:cs="仿宋"/>
                <w:spacing w:val="-8"/>
                <w:sz w:val="28"/>
                <w:szCs w:val="28"/>
              </w:rPr>
              <w:t>3、网点分布：彬州市内销售网点根据投标人提供的</w:t>
            </w:r>
            <w:r>
              <w:rPr>
                <w:rFonts w:ascii="仿宋" w:hAnsi="仿宋" w:eastAsia="仿宋" w:cs="仿宋"/>
                <w:sz w:val="28"/>
                <w:szCs w:val="28"/>
              </w:rPr>
              <w:t xml:space="preserve"> 加油站清单(附各加油站营业执照复印件并加盖投标人公章)打分，根据加油站数量横向对比，1个加油站记2分，</w:t>
            </w:r>
            <w:r>
              <w:rPr>
                <w:rFonts w:ascii="仿宋" w:hAnsi="仿宋" w:eastAsia="仿宋" w:cs="仿宋"/>
                <w:spacing w:val="-2"/>
                <w:sz w:val="28"/>
                <w:szCs w:val="28"/>
              </w:rPr>
              <w:t>以此类推，最高14分。</w:t>
            </w:r>
          </w:p>
        </w:tc>
      </w:tr>
    </w:tbl>
    <w:p>
      <w:pPr>
        <w:rPr>
          <w:rFonts w:ascii="仿宋"/>
        </w:rPr>
      </w:pPr>
    </w:p>
    <w:p>
      <w:pPr>
        <w:sectPr>
          <w:headerReference r:id="rId7" w:type="default"/>
          <w:footerReference r:id="rId8" w:type="default"/>
          <w:pgSz w:w="11907" w:h="16840"/>
          <w:pgMar w:top="1417" w:right="1417" w:bottom="1417" w:left="1417" w:header="0" w:footer="1273" w:gutter="0"/>
          <w:pgNumType w:fmt="decimal"/>
          <w:cols w:space="720" w:num="1"/>
          <w:rtlGutter w:val="0"/>
        </w:sectPr>
      </w:pPr>
    </w:p>
    <w:p>
      <w:pPr>
        <w:spacing w:before="91" w:line="190" w:lineRule="auto"/>
        <w:ind w:firstLine="3522"/>
        <w:rPr>
          <w:rFonts w:ascii="仿宋" w:hAnsi="仿宋" w:eastAsia="仿宋" w:cs="仿宋"/>
          <w:sz w:val="28"/>
          <w:szCs w:val="28"/>
        </w:rPr>
      </w:pPr>
      <w:r>
        <w:rPr>
          <w:rFonts w:ascii="仿宋" w:hAnsi="仿宋" w:eastAsia="仿宋" w:cs="仿宋"/>
          <w:spacing w:val="-3"/>
          <w:sz w:val="28"/>
          <w:szCs w:val="28"/>
        </w:rPr>
        <w:t>二标段</w:t>
      </w:r>
      <w:r>
        <w:rPr>
          <w:rFonts w:hint="eastAsia" w:ascii="仿宋" w:hAnsi="仿宋" w:eastAsia="仿宋" w:cs="仿宋"/>
          <w:spacing w:val="-3"/>
          <w:sz w:val="28"/>
          <w:szCs w:val="28"/>
          <w:lang w:eastAsia="zh-CN"/>
        </w:rPr>
        <w:t>车辆维修业务</w:t>
      </w:r>
      <w:r>
        <w:rPr>
          <w:rFonts w:ascii="仿宋" w:hAnsi="仿宋" w:eastAsia="仿宋" w:cs="仿宋"/>
          <w:spacing w:val="-3"/>
          <w:sz w:val="28"/>
          <w:szCs w:val="28"/>
        </w:rPr>
        <w:t>评分办法</w:t>
      </w:r>
    </w:p>
    <w:p>
      <w:pPr>
        <w:spacing w:line="216" w:lineRule="exact"/>
      </w:pPr>
    </w:p>
    <w:tbl>
      <w:tblPr>
        <w:tblStyle w:val="150"/>
        <w:tblW w:w="8686" w:type="dxa"/>
        <w:tblInd w:w="1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3"/>
        <w:gridCol w:w="1443"/>
        <w:gridCol w:w="57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1503" w:type="dxa"/>
          </w:tcPr>
          <w:p>
            <w:pPr>
              <w:spacing w:before="45" w:line="545" w:lineRule="exact"/>
              <w:ind w:firstLine="489"/>
              <w:rPr>
                <w:rFonts w:ascii="仿宋" w:hAnsi="仿宋" w:eastAsia="仿宋" w:cs="仿宋"/>
                <w:sz w:val="28"/>
                <w:szCs w:val="28"/>
              </w:rPr>
            </w:pPr>
            <w:r>
              <w:rPr>
                <w:rFonts w:ascii="仿宋" w:hAnsi="仿宋" w:eastAsia="仿宋" w:cs="仿宋"/>
                <w:spacing w:val="-9"/>
                <w:position w:val="19"/>
                <w:sz w:val="28"/>
                <w:szCs w:val="28"/>
              </w:rPr>
              <w:t>评标</w:t>
            </w:r>
          </w:p>
          <w:p>
            <w:pPr>
              <w:spacing w:line="204" w:lineRule="auto"/>
              <w:ind w:firstLine="516"/>
              <w:rPr>
                <w:rFonts w:ascii="仿宋" w:hAnsi="仿宋" w:eastAsia="仿宋" w:cs="仿宋"/>
                <w:sz w:val="28"/>
                <w:szCs w:val="28"/>
              </w:rPr>
            </w:pPr>
            <w:r>
              <w:rPr>
                <w:rFonts w:ascii="仿宋" w:hAnsi="仿宋" w:eastAsia="仿宋" w:cs="仿宋"/>
                <w:spacing w:val="-23"/>
                <w:sz w:val="28"/>
                <w:szCs w:val="28"/>
              </w:rPr>
              <w:t>因素</w:t>
            </w:r>
          </w:p>
        </w:tc>
        <w:tc>
          <w:tcPr>
            <w:tcW w:w="1443" w:type="dxa"/>
          </w:tcPr>
          <w:p>
            <w:pPr>
              <w:spacing w:before="45" w:line="545" w:lineRule="exact"/>
              <w:ind w:firstLine="455"/>
              <w:rPr>
                <w:rFonts w:ascii="仿宋" w:hAnsi="仿宋" w:eastAsia="仿宋" w:cs="仿宋"/>
                <w:sz w:val="28"/>
                <w:szCs w:val="28"/>
              </w:rPr>
            </w:pPr>
            <w:r>
              <w:rPr>
                <w:rFonts w:ascii="仿宋" w:hAnsi="仿宋" w:eastAsia="仿宋" w:cs="仿宋"/>
                <w:spacing w:val="-8"/>
                <w:position w:val="19"/>
                <w:sz w:val="28"/>
                <w:szCs w:val="28"/>
              </w:rPr>
              <w:t>权值</w:t>
            </w:r>
          </w:p>
          <w:p>
            <w:pPr>
              <w:spacing w:line="204" w:lineRule="auto"/>
              <w:ind w:firstLine="651"/>
              <w:rPr>
                <w:rFonts w:ascii="仿宋" w:hAnsi="仿宋" w:eastAsia="仿宋" w:cs="仿宋"/>
                <w:sz w:val="28"/>
                <w:szCs w:val="28"/>
              </w:rPr>
            </w:pPr>
            <w:r>
              <w:rPr>
                <w:rFonts w:ascii="仿宋" w:hAnsi="仿宋" w:eastAsia="仿宋" w:cs="仿宋"/>
                <w:sz w:val="28"/>
                <w:szCs w:val="28"/>
              </w:rPr>
              <w:t>%</w:t>
            </w:r>
          </w:p>
        </w:tc>
        <w:tc>
          <w:tcPr>
            <w:tcW w:w="5740" w:type="dxa"/>
          </w:tcPr>
          <w:p>
            <w:pPr>
              <w:spacing w:before="315" w:line="190" w:lineRule="auto"/>
              <w:ind w:firstLine="2326"/>
              <w:rPr>
                <w:rFonts w:ascii="仿宋" w:hAnsi="仿宋" w:eastAsia="仿宋" w:cs="仿宋"/>
                <w:sz w:val="28"/>
                <w:szCs w:val="28"/>
              </w:rPr>
            </w:pPr>
            <w:r>
              <w:rPr>
                <w:rFonts w:ascii="仿宋" w:hAnsi="仿宋" w:eastAsia="仿宋" w:cs="仿宋"/>
                <w:spacing w:val="-5"/>
                <w:sz w:val="28"/>
                <w:szCs w:val="28"/>
              </w:rPr>
              <w:t>评价要素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5" w:hRule="atLeast"/>
        </w:trPr>
        <w:tc>
          <w:tcPr>
            <w:tcW w:w="1503" w:type="dxa"/>
            <w:vMerge w:val="restart"/>
            <w:tcBorders>
              <w:bottom w:val="nil"/>
            </w:tcBorders>
          </w:tcPr>
          <w:p>
            <w:pPr>
              <w:spacing w:line="254" w:lineRule="auto"/>
              <w:rPr>
                <w:rFonts w:ascii="仿宋"/>
              </w:rPr>
            </w:pPr>
          </w:p>
          <w:p>
            <w:pPr>
              <w:spacing w:line="254" w:lineRule="auto"/>
              <w:rPr>
                <w:rFonts w:ascii="仿宋"/>
              </w:rPr>
            </w:pPr>
          </w:p>
          <w:p>
            <w:pPr>
              <w:spacing w:line="254" w:lineRule="auto"/>
              <w:rPr>
                <w:rFonts w:ascii="仿宋"/>
              </w:rPr>
            </w:pPr>
          </w:p>
          <w:p>
            <w:pPr>
              <w:spacing w:line="254" w:lineRule="auto"/>
              <w:rPr>
                <w:rFonts w:ascii="仿宋"/>
              </w:rPr>
            </w:pPr>
          </w:p>
          <w:p>
            <w:pPr>
              <w:spacing w:line="254" w:lineRule="auto"/>
              <w:rPr>
                <w:rFonts w:ascii="仿宋"/>
              </w:rPr>
            </w:pPr>
          </w:p>
          <w:p>
            <w:pPr>
              <w:spacing w:line="254" w:lineRule="auto"/>
              <w:rPr>
                <w:rFonts w:ascii="仿宋"/>
              </w:rPr>
            </w:pPr>
          </w:p>
          <w:p>
            <w:pPr>
              <w:spacing w:line="254"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before="91" w:line="358" w:lineRule="auto"/>
              <w:ind w:left="171" w:right="171" w:firstLine="317"/>
              <w:rPr>
                <w:rFonts w:ascii="仿宋" w:hAnsi="仿宋" w:eastAsia="仿宋" w:cs="仿宋"/>
                <w:sz w:val="28"/>
                <w:szCs w:val="28"/>
              </w:rPr>
            </w:pPr>
            <w:r>
              <w:rPr>
                <w:rFonts w:ascii="仿宋" w:hAnsi="仿宋" w:eastAsia="仿宋" w:cs="仿宋"/>
                <w:spacing w:val="-9"/>
                <w:sz w:val="28"/>
                <w:szCs w:val="28"/>
              </w:rPr>
              <w:t>价格</w:t>
            </w:r>
            <w:r>
              <w:rPr>
                <w:rFonts w:ascii="仿宋" w:hAnsi="仿宋" w:eastAsia="仿宋" w:cs="仿宋"/>
                <w:spacing w:val="-12"/>
                <w:sz w:val="28"/>
                <w:szCs w:val="28"/>
              </w:rPr>
              <w:t>（</w:t>
            </w:r>
            <w:r>
              <w:rPr>
                <w:rFonts w:hint="eastAsia" w:ascii="仿宋" w:hAnsi="仿宋" w:eastAsia="仿宋" w:cs="仿宋"/>
                <w:spacing w:val="-12"/>
                <w:sz w:val="28"/>
                <w:szCs w:val="28"/>
                <w:lang w:eastAsia="zh-CN"/>
              </w:rPr>
              <w:t>优惠率</w:t>
            </w:r>
            <w:r>
              <w:rPr>
                <w:rFonts w:ascii="仿宋" w:hAnsi="仿宋" w:eastAsia="仿宋" w:cs="仿宋"/>
                <w:spacing w:val="-12"/>
                <w:sz w:val="28"/>
                <w:szCs w:val="28"/>
              </w:rPr>
              <w:t>）</w:t>
            </w:r>
            <w:r>
              <w:rPr>
                <w:rFonts w:hint="eastAsia" w:ascii="仿宋" w:hAnsi="仿宋" w:eastAsia="仿宋" w:cs="仿宋"/>
                <w:spacing w:val="-12"/>
                <w:sz w:val="28"/>
                <w:szCs w:val="28"/>
                <w:lang w:val="en-US" w:eastAsia="zh-CN"/>
              </w:rPr>
              <w:t>3</w:t>
            </w:r>
            <w:r>
              <w:rPr>
                <w:rFonts w:ascii="仿宋" w:hAnsi="仿宋" w:eastAsia="仿宋" w:cs="仿宋"/>
                <w:spacing w:val="-12"/>
                <w:sz w:val="28"/>
                <w:szCs w:val="28"/>
              </w:rPr>
              <w:t>0分</w:t>
            </w:r>
          </w:p>
        </w:tc>
        <w:tc>
          <w:tcPr>
            <w:tcW w:w="1443" w:type="dxa"/>
          </w:tcPr>
          <w:p>
            <w:pPr>
              <w:spacing w:before="357" w:line="358" w:lineRule="auto"/>
              <w:ind w:left="142" w:right="143" w:firstLine="175"/>
              <w:rPr>
                <w:rFonts w:ascii="仿宋" w:hAnsi="仿宋" w:eastAsia="仿宋" w:cs="仿宋"/>
                <w:sz w:val="28"/>
                <w:szCs w:val="28"/>
              </w:rPr>
            </w:pPr>
            <w:r>
              <w:rPr>
                <w:rFonts w:ascii="仿宋" w:hAnsi="仿宋" w:eastAsia="仿宋" w:cs="仿宋"/>
                <w:spacing w:val="-7"/>
                <w:sz w:val="28"/>
                <w:szCs w:val="28"/>
              </w:rPr>
              <w:t>零配件</w:t>
            </w:r>
            <w:r>
              <w:rPr>
                <w:rFonts w:ascii="仿宋" w:hAnsi="仿宋" w:eastAsia="仿宋" w:cs="仿宋"/>
                <w:spacing w:val="-12"/>
                <w:sz w:val="28"/>
                <w:szCs w:val="28"/>
              </w:rPr>
              <w:t>（1</w:t>
            </w:r>
            <w:r>
              <w:rPr>
                <w:rFonts w:hint="eastAsia" w:ascii="仿宋" w:hAnsi="仿宋" w:eastAsia="仿宋" w:cs="仿宋"/>
                <w:spacing w:val="-12"/>
                <w:sz w:val="28"/>
                <w:szCs w:val="28"/>
                <w:lang w:val="en-US" w:eastAsia="zh-CN"/>
              </w:rPr>
              <w:t>5</w:t>
            </w:r>
            <w:r>
              <w:rPr>
                <w:rFonts w:ascii="仿宋" w:hAnsi="仿宋" w:eastAsia="仿宋" w:cs="仿宋"/>
                <w:spacing w:val="-12"/>
                <w:sz w:val="28"/>
                <w:szCs w:val="28"/>
              </w:rPr>
              <w:t>分）</w:t>
            </w:r>
          </w:p>
        </w:tc>
        <w:tc>
          <w:tcPr>
            <w:tcW w:w="5740" w:type="dxa"/>
            <w:vMerge w:val="restart"/>
            <w:tcBorders>
              <w:bottom w:val="nil"/>
            </w:tcBorders>
          </w:tcPr>
          <w:p>
            <w:pPr>
              <w:spacing w:before="41" w:line="338" w:lineRule="auto"/>
              <w:ind w:left="123" w:right="106" w:firstLine="1"/>
              <w:rPr>
                <w:rFonts w:ascii="仿宋" w:hAnsi="仿宋" w:eastAsia="仿宋" w:cs="仿宋"/>
                <w:sz w:val="28"/>
                <w:szCs w:val="28"/>
              </w:rPr>
            </w:pPr>
            <w:r>
              <w:rPr>
                <w:rFonts w:ascii="仿宋" w:hAnsi="仿宋" w:eastAsia="仿宋" w:cs="仿宋"/>
                <w:spacing w:val="-1"/>
                <w:sz w:val="28"/>
                <w:szCs w:val="28"/>
              </w:rPr>
              <w:t>满足招标文件要求且投标价格最低的投标报</w:t>
            </w:r>
            <w:r>
              <w:rPr>
                <w:rFonts w:ascii="仿宋" w:hAnsi="仿宋" w:eastAsia="仿宋" w:cs="仿宋"/>
                <w:spacing w:val="-5"/>
                <w:sz w:val="28"/>
                <w:szCs w:val="28"/>
              </w:rPr>
              <w:t>价为评标基准价，其价格分为满分。其他投标</w:t>
            </w:r>
            <w:r>
              <w:rPr>
                <w:rFonts w:ascii="仿宋" w:hAnsi="仿宋" w:eastAsia="仿宋" w:cs="仿宋"/>
                <w:spacing w:val="-11"/>
                <w:sz w:val="28"/>
                <w:szCs w:val="28"/>
              </w:rPr>
              <w:t>供应商的价格分统一按照下列公式计算：投标报价得分=（评标基准价/投标报价）×价格权</w:t>
            </w:r>
            <w:r>
              <w:rPr>
                <w:rFonts w:ascii="仿宋" w:hAnsi="仿宋" w:eastAsia="仿宋" w:cs="仿宋"/>
                <w:spacing w:val="-5"/>
                <w:sz w:val="28"/>
                <w:szCs w:val="28"/>
              </w:rPr>
              <w:t>值%×100。符合招标文件规定的中小企业、监狱企业、残疾人福利性质企业优惠条件的供应</w:t>
            </w:r>
            <w:r>
              <w:rPr>
                <w:rFonts w:ascii="仿宋" w:hAnsi="仿宋" w:eastAsia="仿宋" w:cs="仿宋"/>
                <w:spacing w:val="-2"/>
                <w:sz w:val="28"/>
                <w:szCs w:val="28"/>
              </w:rPr>
              <w:t>商，价格给予6%的扣除，用扣除后的价格参</w:t>
            </w:r>
            <w:r>
              <w:rPr>
                <w:rFonts w:ascii="仿宋" w:hAnsi="仿宋" w:eastAsia="仿宋" w:cs="仿宋"/>
                <w:spacing w:val="-5"/>
                <w:sz w:val="28"/>
                <w:szCs w:val="28"/>
              </w:rPr>
              <w:t>与评审。</w:t>
            </w:r>
          </w:p>
          <w:p>
            <w:pPr>
              <w:spacing w:before="257" w:line="338" w:lineRule="auto"/>
              <w:ind w:left="125" w:right="12" w:firstLine="6"/>
              <w:rPr>
                <w:rFonts w:ascii="仿宋" w:hAnsi="仿宋" w:eastAsia="仿宋" w:cs="仿宋"/>
                <w:sz w:val="28"/>
                <w:szCs w:val="28"/>
              </w:rPr>
            </w:pPr>
            <w:r>
              <w:rPr>
                <w:rFonts w:ascii="仿宋" w:hAnsi="仿宋" w:eastAsia="仿宋" w:cs="仿宋"/>
                <w:spacing w:val="-9"/>
                <w:sz w:val="28"/>
                <w:szCs w:val="28"/>
              </w:rPr>
              <w:t>注：1、评标小组认为报价明显低于其他通过</w:t>
            </w:r>
            <w:r>
              <w:rPr>
                <w:rFonts w:ascii="仿宋" w:hAnsi="仿宋" w:eastAsia="仿宋" w:cs="仿宋"/>
                <w:spacing w:val="-5"/>
                <w:sz w:val="28"/>
                <w:szCs w:val="28"/>
              </w:rPr>
              <w:t>符合性审查投标人的报价，有可能影响服务质量或者不能诚信履约的，应当要求其在评审现场合理的时间内提供书面说明，必要时提交相</w:t>
            </w:r>
            <w:r>
              <w:rPr>
                <w:rFonts w:ascii="仿宋" w:hAnsi="仿宋" w:eastAsia="仿宋" w:cs="仿宋"/>
                <w:spacing w:val="-2"/>
                <w:sz w:val="28"/>
                <w:szCs w:val="28"/>
              </w:rPr>
              <w:t>关证明材料；投标人不能证明其报价合理性</w:t>
            </w:r>
            <w:r>
              <w:rPr>
                <w:rFonts w:ascii="仿宋" w:hAnsi="仿宋" w:eastAsia="仿宋" w:cs="仿宋"/>
                <w:spacing w:val="-7"/>
                <w:sz w:val="28"/>
                <w:szCs w:val="28"/>
              </w:rPr>
              <w:t>的，评标小组应当将其作为无效投标处理。2、</w:t>
            </w:r>
            <w:r>
              <w:rPr>
                <w:rFonts w:ascii="仿宋" w:hAnsi="仿宋" w:eastAsia="仿宋" w:cs="仿宋"/>
                <w:spacing w:val="-5"/>
                <w:sz w:val="28"/>
                <w:szCs w:val="28"/>
              </w:rPr>
              <w:t>残疾人福利性单位属于小型、微型企业的，不</w:t>
            </w:r>
            <w:r>
              <w:rPr>
                <w:rFonts w:ascii="仿宋" w:hAnsi="仿宋" w:eastAsia="仿宋" w:cs="仿宋"/>
                <w:spacing w:val="-3"/>
                <w:sz w:val="28"/>
                <w:szCs w:val="28"/>
              </w:rPr>
              <w:t>重复享受政策。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8" w:hRule="atLeast"/>
        </w:trPr>
        <w:tc>
          <w:tcPr>
            <w:tcW w:w="1503" w:type="dxa"/>
            <w:vMerge w:val="continue"/>
            <w:tcBorders>
              <w:top w:val="nil"/>
            </w:tcBorders>
          </w:tcPr>
          <w:p>
            <w:pPr>
              <w:rPr>
                <w:rFonts w:ascii="仿宋"/>
              </w:rPr>
            </w:pPr>
          </w:p>
        </w:tc>
        <w:tc>
          <w:tcPr>
            <w:tcW w:w="1443" w:type="dxa"/>
          </w:tcPr>
          <w:p>
            <w:pPr>
              <w:spacing w:line="254" w:lineRule="auto"/>
              <w:rPr>
                <w:rFonts w:ascii="仿宋"/>
              </w:rPr>
            </w:pPr>
          </w:p>
          <w:p>
            <w:pPr>
              <w:spacing w:line="254"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line="255" w:lineRule="auto"/>
              <w:rPr>
                <w:rFonts w:ascii="仿宋"/>
              </w:rPr>
            </w:pPr>
          </w:p>
          <w:p>
            <w:pPr>
              <w:spacing w:before="91" w:line="358" w:lineRule="auto"/>
              <w:ind w:left="142" w:right="143" w:firstLine="181"/>
              <w:rPr>
                <w:rFonts w:ascii="仿宋" w:hAnsi="仿宋" w:eastAsia="仿宋" w:cs="仿宋"/>
                <w:sz w:val="28"/>
                <w:szCs w:val="28"/>
              </w:rPr>
            </w:pPr>
            <w:r>
              <w:rPr>
                <w:rFonts w:ascii="仿宋" w:hAnsi="仿宋" w:eastAsia="仿宋" w:cs="仿宋"/>
                <w:spacing w:val="-9"/>
                <w:sz w:val="28"/>
                <w:szCs w:val="28"/>
              </w:rPr>
              <w:t>工时费</w:t>
            </w:r>
            <w:r>
              <w:rPr>
                <w:rFonts w:ascii="仿宋" w:hAnsi="仿宋" w:eastAsia="仿宋" w:cs="仿宋"/>
                <w:spacing w:val="-12"/>
                <w:sz w:val="28"/>
                <w:szCs w:val="28"/>
              </w:rPr>
              <w:t>（1</w:t>
            </w:r>
            <w:r>
              <w:rPr>
                <w:rFonts w:hint="eastAsia" w:ascii="仿宋" w:hAnsi="仿宋" w:eastAsia="仿宋" w:cs="仿宋"/>
                <w:spacing w:val="-12"/>
                <w:sz w:val="28"/>
                <w:szCs w:val="28"/>
                <w:lang w:val="en-US" w:eastAsia="zh-CN"/>
              </w:rPr>
              <w:t>5</w:t>
            </w:r>
            <w:r>
              <w:rPr>
                <w:rFonts w:ascii="仿宋" w:hAnsi="仿宋" w:eastAsia="仿宋" w:cs="仿宋"/>
                <w:spacing w:val="-12"/>
                <w:sz w:val="28"/>
                <w:szCs w:val="28"/>
              </w:rPr>
              <w:t>分）</w:t>
            </w:r>
          </w:p>
        </w:tc>
        <w:tc>
          <w:tcPr>
            <w:tcW w:w="5740" w:type="dxa"/>
            <w:vMerge w:val="continue"/>
            <w:tcBorders>
              <w:top w:val="nil"/>
            </w:tcBorders>
          </w:tcPr>
          <w:p>
            <w:pPr>
              <w:rPr>
                <w:rFonts w:ascii="仿宋"/>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5" w:hRule="atLeast"/>
        </w:trPr>
        <w:tc>
          <w:tcPr>
            <w:tcW w:w="1503" w:type="dxa"/>
          </w:tcPr>
          <w:p>
            <w:pPr>
              <w:spacing w:line="339" w:lineRule="auto"/>
              <w:rPr>
                <w:rFonts w:ascii="仿宋"/>
              </w:rPr>
            </w:pPr>
          </w:p>
          <w:p>
            <w:pPr>
              <w:spacing w:line="340" w:lineRule="auto"/>
              <w:rPr>
                <w:rFonts w:ascii="仿宋"/>
              </w:rPr>
            </w:pPr>
          </w:p>
          <w:p>
            <w:pPr>
              <w:spacing w:before="91" w:line="359" w:lineRule="auto"/>
              <w:ind w:left="124" w:right="217" w:firstLine="1"/>
              <w:rPr>
                <w:rFonts w:ascii="仿宋" w:hAnsi="仿宋" w:eastAsia="仿宋" w:cs="仿宋"/>
                <w:sz w:val="28"/>
                <w:szCs w:val="28"/>
              </w:rPr>
            </w:pPr>
            <w:r>
              <w:rPr>
                <w:rFonts w:ascii="仿宋" w:hAnsi="仿宋" w:eastAsia="仿宋" w:cs="仿宋"/>
                <w:spacing w:val="-7"/>
                <w:sz w:val="28"/>
                <w:szCs w:val="28"/>
              </w:rPr>
              <w:t>技术及</w:t>
            </w:r>
            <w:r>
              <w:rPr>
                <w:rFonts w:ascii="仿宋" w:hAnsi="仿宋" w:eastAsia="仿宋" w:cs="仿宋"/>
                <w:spacing w:val="-8"/>
                <w:sz w:val="28"/>
                <w:szCs w:val="28"/>
              </w:rPr>
              <w:t>设备</w:t>
            </w:r>
            <w:r>
              <w:rPr>
                <w:rFonts w:ascii="仿宋" w:hAnsi="仿宋" w:eastAsia="仿宋" w:cs="仿宋"/>
                <w:spacing w:val="-11"/>
                <w:sz w:val="28"/>
                <w:szCs w:val="28"/>
              </w:rPr>
              <w:t>（2</w:t>
            </w:r>
            <w:r>
              <w:rPr>
                <w:rFonts w:hint="eastAsia" w:ascii="仿宋" w:hAnsi="仿宋" w:eastAsia="仿宋" w:cs="仿宋"/>
                <w:spacing w:val="-11"/>
                <w:sz w:val="28"/>
                <w:szCs w:val="28"/>
                <w:lang w:val="en-US" w:eastAsia="zh-CN"/>
              </w:rPr>
              <w:t>0</w:t>
            </w:r>
            <w:r>
              <w:rPr>
                <w:rFonts w:ascii="仿宋" w:hAnsi="仿宋" w:eastAsia="仿宋" w:cs="仿宋"/>
                <w:spacing w:val="-11"/>
                <w:sz w:val="28"/>
                <w:szCs w:val="28"/>
              </w:rPr>
              <w:t>分）</w:t>
            </w:r>
          </w:p>
        </w:tc>
        <w:tc>
          <w:tcPr>
            <w:tcW w:w="1443" w:type="dxa"/>
          </w:tcPr>
          <w:p>
            <w:pPr>
              <w:spacing w:line="306" w:lineRule="auto"/>
              <w:rPr>
                <w:rFonts w:ascii="仿宋"/>
              </w:rPr>
            </w:pPr>
          </w:p>
          <w:p>
            <w:pPr>
              <w:spacing w:line="306" w:lineRule="auto"/>
              <w:rPr>
                <w:rFonts w:ascii="仿宋"/>
              </w:rPr>
            </w:pPr>
          </w:p>
          <w:p>
            <w:pPr>
              <w:spacing w:line="306" w:lineRule="auto"/>
              <w:rPr>
                <w:rFonts w:ascii="仿宋"/>
              </w:rPr>
            </w:pPr>
          </w:p>
          <w:p>
            <w:pPr>
              <w:spacing w:before="91" w:line="358" w:lineRule="auto"/>
              <w:ind w:left="211" w:right="160" w:hanging="37"/>
              <w:rPr>
                <w:rFonts w:ascii="仿宋" w:hAnsi="仿宋" w:eastAsia="仿宋" w:cs="仿宋"/>
                <w:sz w:val="28"/>
                <w:szCs w:val="28"/>
              </w:rPr>
            </w:pPr>
            <w:r>
              <w:rPr>
                <w:rFonts w:ascii="仿宋" w:hAnsi="仿宋" w:eastAsia="仿宋" w:cs="仿宋"/>
                <w:spacing w:val="-5"/>
                <w:sz w:val="28"/>
                <w:szCs w:val="28"/>
              </w:rPr>
              <w:t>厂房面积</w:t>
            </w:r>
            <w:r>
              <w:rPr>
                <w:rFonts w:ascii="仿宋" w:hAnsi="仿宋" w:eastAsia="仿宋" w:cs="仿宋"/>
                <w:spacing w:val="-14"/>
                <w:sz w:val="28"/>
                <w:szCs w:val="28"/>
              </w:rPr>
              <w:t>（5分）</w:t>
            </w:r>
          </w:p>
        </w:tc>
        <w:tc>
          <w:tcPr>
            <w:tcW w:w="5740" w:type="dxa"/>
          </w:tcPr>
          <w:p>
            <w:pPr>
              <w:spacing w:before="47" w:line="274" w:lineRule="auto"/>
              <w:ind w:left="127" w:right="107" w:firstLine="13"/>
              <w:rPr>
                <w:rFonts w:ascii="仿宋" w:hAnsi="仿宋" w:eastAsia="仿宋" w:cs="仿宋"/>
                <w:sz w:val="28"/>
                <w:szCs w:val="28"/>
              </w:rPr>
            </w:pPr>
            <w:r>
              <w:rPr>
                <w:rFonts w:ascii="仿宋" w:hAnsi="仿宋" w:eastAsia="仿宋" w:cs="仿宋"/>
                <w:spacing w:val="-6"/>
                <w:sz w:val="28"/>
                <w:szCs w:val="28"/>
              </w:rPr>
              <w:t>厂房面积500-600㎡（包含500㎡）的计2</w:t>
            </w:r>
            <w:r>
              <w:rPr>
                <w:rFonts w:ascii="仿宋" w:hAnsi="仿宋" w:eastAsia="仿宋" w:cs="仿宋"/>
                <w:spacing w:val="-11"/>
                <w:sz w:val="28"/>
                <w:szCs w:val="28"/>
              </w:rPr>
              <w:t>分；</w:t>
            </w:r>
          </w:p>
          <w:p>
            <w:pPr>
              <w:spacing w:before="256" w:line="190" w:lineRule="auto"/>
              <w:ind w:firstLine="140"/>
              <w:rPr>
                <w:rFonts w:ascii="仿宋" w:hAnsi="仿宋" w:eastAsia="仿宋" w:cs="仿宋"/>
                <w:sz w:val="28"/>
                <w:szCs w:val="28"/>
              </w:rPr>
            </w:pPr>
            <w:r>
              <w:rPr>
                <w:rFonts w:ascii="仿宋" w:hAnsi="仿宋" w:eastAsia="仿宋" w:cs="仿宋"/>
                <w:spacing w:val="-6"/>
                <w:sz w:val="28"/>
                <w:szCs w:val="28"/>
              </w:rPr>
              <w:t>厂房面积600-700㎡（包含600㎡）的计3</w:t>
            </w:r>
          </w:p>
          <w:p>
            <w:pPr>
              <w:spacing w:before="256" w:line="190" w:lineRule="auto"/>
              <w:ind w:firstLine="127"/>
              <w:rPr>
                <w:rFonts w:ascii="仿宋" w:hAnsi="仿宋" w:eastAsia="仿宋" w:cs="仿宋"/>
                <w:sz w:val="28"/>
                <w:szCs w:val="28"/>
              </w:rPr>
            </w:pPr>
            <w:r>
              <w:rPr>
                <w:rFonts w:ascii="仿宋" w:hAnsi="仿宋" w:eastAsia="仿宋" w:cs="仿宋"/>
                <w:spacing w:val="-11"/>
                <w:sz w:val="28"/>
                <w:szCs w:val="28"/>
              </w:rPr>
              <w:t>分；</w:t>
            </w:r>
          </w:p>
          <w:p>
            <w:pPr>
              <w:spacing w:before="256" w:line="274" w:lineRule="auto"/>
              <w:ind w:left="140" w:right="48"/>
              <w:rPr>
                <w:rFonts w:ascii="仿宋" w:hAnsi="仿宋" w:eastAsia="仿宋" w:cs="仿宋"/>
                <w:sz w:val="28"/>
                <w:szCs w:val="28"/>
              </w:rPr>
            </w:pPr>
            <w:r>
              <w:rPr>
                <w:rFonts w:ascii="仿宋" w:hAnsi="仿宋" w:eastAsia="仿宋" w:cs="仿宋"/>
                <w:spacing w:val="-5"/>
                <w:sz w:val="28"/>
                <w:szCs w:val="28"/>
              </w:rPr>
              <w:t>厂房面积大于700-800㎡（包含700㎡）</w:t>
            </w:r>
            <w:r>
              <w:rPr>
                <w:rFonts w:ascii="仿宋" w:hAnsi="仿宋" w:eastAsia="仿宋" w:cs="仿宋"/>
                <w:spacing w:val="-11"/>
                <w:sz w:val="28"/>
                <w:szCs w:val="28"/>
              </w:rPr>
              <w:t>的计5分。（以产权证书或租赁合同为依据）</w:t>
            </w:r>
          </w:p>
        </w:tc>
      </w:tr>
    </w:tbl>
    <w:p>
      <w:pPr>
        <w:rPr>
          <w:rFonts w:ascii="仿宋"/>
        </w:rPr>
      </w:pPr>
    </w:p>
    <w:p>
      <w:pPr>
        <w:sectPr>
          <w:headerReference r:id="rId9" w:type="default"/>
          <w:footerReference r:id="rId10" w:type="default"/>
          <w:pgSz w:w="11907" w:h="16840"/>
          <w:pgMar w:top="1417" w:right="1417" w:bottom="1417" w:left="1417" w:header="0" w:footer="1273" w:gutter="0"/>
          <w:pgNumType w:fmt="decimal"/>
          <w:cols w:space="720" w:num="1"/>
          <w:rtlGutter w:val="0"/>
        </w:sectPr>
      </w:pPr>
    </w:p>
    <w:p>
      <w:pPr>
        <w:spacing w:line="52" w:lineRule="exact"/>
      </w:pPr>
    </w:p>
    <w:tbl>
      <w:tblPr>
        <w:tblStyle w:val="150"/>
        <w:tblW w:w="8686" w:type="dxa"/>
        <w:tblInd w:w="1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3"/>
        <w:gridCol w:w="1443"/>
        <w:gridCol w:w="57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2" w:hRule="atLeast"/>
        </w:trPr>
        <w:tc>
          <w:tcPr>
            <w:tcW w:w="1503" w:type="dxa"/>
            <w:vMerge w:val="restart"/>
            <w:tcBorders>
              <w:bottom w:val="nil"/>
            </w:tcBorders>
          </w:tcPr>
          <w:p>
            <w:pPr>
              <w:rPr>
                <w:rFonts w:ascii="仿宋"/>
              </w:rPr>
            </w:pPr>
          </w:p>
        </w:tc>
        <w:tc>
          <w:tcPr>
            <w:tcW w:w="1443" w:type="dxa"/>
          </w:tcPr>
          <w:p>
            <w:pPr>
              <w:spacing w:before="318" w:line="190" w:lineRule="auto"/>
              <w:ind w:firstLine="319"/>
              <w:rPr>
                <w:rFonts w:ascii="仿宋" w:hAnsi="仿宋" w:eastAsia="仿宋" w:cs="仿宋"/>
                <w:sz w:val="28"/>
                <w:szCs w:val="28"/>
              </w:rPr>
            </w:pPr>
            <w:r>
              <w:rPr>
                <w:rFonts w:ascii="仿宋" w:hAnsi="仿宋" w:eastAsia="仿宋" w:cs="仿宋"/>
                <w:spacing w:val="-7"/>
                <w:sz w:val="28"/>
                <w:szCs w:val="28"/>
              </w:rPr>
              <w:t>停车场</w:t>
            </w:r>
          </w:p>
          <w:p>
            <w:pPr>
              <w:spacing w:before="254" w:line="190" w:lineRule="auto"/>
              <w:ind w:firstLine="176"/>
              <w:rPr>
                <w:rFonts w:ascii="仿宋" w:hAnsi="仿宋" w:eastAsia="仿宋" w:cs="仿宋"/>
                <w:sz w:val="28"/>
                <w:szCs w:val="28"/>
              </w:rPr>
            </w:pPr>
            <w:r>
              <w:rPr>
                <w:rFonts w:ascii="仿宋" w:hAnsi="仿宋" w:eastAsia="仿宋" w:cs="仿宋"/>
                <w:spacing w:val="-5"/>
                <w:sz w:val="28"/>
                <w:szCs w:val="28"/>
              </w:rPr>
              <w:t>接待室面</w:t>
            </w:r>
          </w:p>
          <w:p>
            <w:pPr>
              <w:spacing w:before="259" w:line="190" w:lineRule="auto"/>
              <w:ind w:firstLine="597"/>
              <w:rPr>
                <w:rFonts w:ascii="仿宋" w:hAnsi="仿宋" w:eastAsia="仿宋" w:cs="仿宋"/>
                <w:sz w:val="28"/>
                <w:szCs w:val="28"/>
              </w:rPr>
            </w:pPr>
            <w:r>
              <w:rPr>
                <w:rFonts w:ascii="仿宋" w:hAnsi="仿宋" w:eastAsia="仿宋" w:cs="仿宋"/>
                <w:sz w:val="28"/>
                <w:szCs w:val="28"/>
              </w:rPr>
              <w:t>积</w:t>
            </w:r>
          </w:p>
          <w:p>
            <w:pPr>
              <w:spacing w:before="256" w:line="190" w:lineRule="auto"/>
              <w:ind w:firstLine="247"/>
              <w:rPr>
                <w:rFonts w:ascii="仿宋" w:hAnsi="仿宋" w:eastAsia="仿宋" w:cs="仿宋"/>
                <w:sz w:val="28"/>
                <w:szCs w:val="28"/>
              </w:rPr>
            </w:pPr>
            <w:r>
              <w:rPr>
                <w:rFonts w:ascii="仿宋" w:hAnsi="仿宋" w:eastAsia="仿宋" w:cs="仿宋"/>
                <w:spacing w:val="-5"/>
                <w:sz w:val="28"/>
                <w:szCs w:val="28"/>
              </w:rPr>
              <w:t>（5分）</w:t>
            </w:r>
          </w:p>
        </w:tc>
        <w:tc>
          <w:tcPr>
            <w:tcW w:w="5740" w:type="dxa"/>
          </w:tcPr>
          <w:p>
            <w:pPr>
              <w:spacing w:before="43" w:line="303" w:lineRule="auto"/>
              <w:ind w:left="126" w:right="29"/>
              <w:rPr>
                <w:rFonts w:ascii="仿宋" w:hAnsi="仿宋" w:eastAsia="仿宋" w:cs="仿宋"/>
                <w:sz w:val="28"/>
                <w:szCs w:val="28"/>
              </w:rPr>
            </w:pPr>
            <w:r>
              <w:rPr>
                <w:rFonts w:ascii="仿宋" w:hAnsi="仿宋" w:eastAsia="仿宋" w:cs="仿宋"/>
                <w:spacing w:val="-11"/>
                <w:sz w:val="28"/>
                <w:szCs w:val="28"/>
              </w:rPr>
              <w:t>停车场面积150-200㎡（包含200㎡）的计2分；停车场面积200-300㎡（包含300㎡）的计3分；</w:t>
            </w:r>
            <w:r>
              <w:rPr>
                <w:rFonts w:ascii="仿宋" w:hAnsi="仿宋" w:eastAsia="仿宋" w:cs="仿宋"/>
                <w:spacing w:val="-2"/>
                <w:sz w:val="28"/>
                <w:szCs w:val="28"/>
              </w:rPr>
              <w:t>停车场面积大于300㎡的计4分；</w:t>
            </w:r>
          </w:p>
          <w:p>
            <w:pPr>
              <w:spacing w:before="258" w:line="274" w:lineRule="auto"/>
              <w:ind w:left="124" w:right="104" w:hanging="3"/>
              <w:rPr>
                <w:rFonts w:ascii="仿宋" w:hAnsi="仿宋" w:eastAsia="仿宋" w:cs="仿宋"/>
                <w:sz w:val="28"/>
                <w:szCs w:val="28"/>
              </w:rPr>
            </w:pPr>
            <w:r>
              <w:rPr>
                <w:rFonts w:ascii="仿宋" w:hAnsi="仿宋" w:eastAsia="仿宋" w:cs="仿宋"/>
                <w:spacing w:val="-14"/>
                <w:sz w:val="28"/>
                <w:szCs w:val="28"/>
              </w:rPr>
              <w:t>有接待室大于20㎡的计1分，小于20㎡的不</w:t>
            </w:r>
            <w:r>
              <w:rPr>
                <w:rFonts w:ascii="仿宋" w:hAnsi="仿宋" w:eastAsia="仿宋" w:cs="仿宋"/>
                <w:spacing w:val="-9"/>
                <w:sz w:val="28"/>
                <w:szCs w:val="28"/>
              </w:rPr>
              <w:t>计分。（以</w:t>
            </w:r>
            <w:r>
              <w:rPr>
                <w:rFonts w:hint="eastAsia" w:ascii="仿宋" w:hAnsi="仿宋" w:eastAsia="仿宋" w:cs="仿宋"/>
                <w:spacing w:val="-9"/>
                <w:sz w:val="28"/>
                <w:szCs w:val="28"/>
              </w:rPr>
              <w:t>产权证书或租赁合同</w:t>
            </w:r>
            <w:r>
              <w:rPr>
                <w:rFonts w:ascii="仿宋" w:hAnsi="仿宋" w:eastAsia="仿宋" w:cs="仿宋"/>
                <w:spacing w:val="-9"/>
                <w:sz w:val="28"/>
                <w:szCs w:val="28"/>
              </w:rPr>
              <w:t>为依据）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9" w:hRule="atLeast"/>
        </w:trPr>
        <w:tc>
          <w:tcPr>
            <w:tcW w:w="1503" w:type="dxa"/>
            <w:vMerge w:val="continue"/>
            <w:tcBorders>
              <w:top w:val="nil"/>
              <w:bottom w:val="nil"/>
            </w:tcBorders>
          </w:tcPr>
          <w:p>
            <w:pPr>
              <w:rPr>
                <w:rFonts w:ascii="仿宋"/>
              </w:rPr>
            </w:pPr>
          </w:p>
        </w:tc>
        <w:tc>
          <w:tcPr>
            <w:tcW w:w="1443" w:type="dxa"/>
          </w:tcPr>
          <w:p>
            <w:pPr>
              <w:spacing w:before="41" w:line="190" w:lineRule="auto"/>
              <w:ind w:firstLine="461"/>
              <w:rPr>
                <w:rFonts w:ascii="仿宋" w:hAnsi="仿宋" w:eastAsia="仿宋" w:cs="仿宋"/>
                <w:sz w:val="28"/>
                <w:szCs w:val="28"/>
              </w:rPr>
            </w:pPr>
            <w:r>
              <w:rPr>
                <w:rFonts w:ascii="仿宋" w:hAnsi="仿宋" w:eastAsia="仿宋" w:cs="仿宋"/>
                <w:spacing w:val="-12"/>
                <w:sz w:val="28"/>
                <w:szCs w:val="28"/>
              </w:rPr>
              <w:t>通用</w:t>
            </w:r>
          </w:p>
          <w:p>
            <w:pPr>
              <w:spacing w:before="256" w:line="190" w:lineRule="auto"/>
              <w:ind w:firstLine="455"/>
              <w:rPr>
                <w:rFonts w:ascii="仿宋" w:hAnsi="仿宋" w:eastAsia="仿宋" w:cs="仿宋"/>
                <w:sz w:val="28"/>
                <w:szCs w:val="28"/>
              </w:rPr>
            </w:pPr>
            <w:r>
              <w:rPr>
                <w:rFonts w:ascii="仿宋" w:hAnsi="仿宋" w:eastAsia="仿宋" w:cs="仿宋"/>
                <w:spacing w:val="-8"/>
                <w:sz w:val="28"/>
                <w:szCs w:val="28"/>
              </w:rPr>
              <w:t>设备</w:t>
            </w:r>
          </w:p>
          <w:p>
            <w:pPr>
              <w:spacing w:before="256" w:line="190" w:lineRule="auto"/>
              <w:ind w:firstLine="247"/>
              <w:rPr>
                <w:rFonts w:ascii="仿宋" w:hAnsi="仿宋" w:eastAsia="仿宋" w:cs="仿宋"/>
                <w:sz w:val="28"/>
                <w:szCs w:val="28"/>
              </w:rPr>
            </w:pPr>
            <w:r>
              <w:rPr>
                <w:rFonts w:ascii="仿宋" w:hAnsi="仿宋" w:eastAsia="仿宋" w:cs="仿宋"/>
                <w:spacing w:val="-5"/>
                <w:sz w:val="28"/>
                <w:szCs w:val="28"/>
              </w:rPr>
              <w:t>（5分）</w:t>
            </w:r>
          </w:p>
        </w:tc>
        <w:tc>
          <w:tcPr>
            <w:tcW w:w="5740" w:type="dxa"/>
          </w:tcPr>
          <w:p>
            <w:pPr>
              <w:spacing w:before="40" w:line="303" w:lineRule="auto"/>
              <w:ind w:left="124" w:right="5" w:firstLine="1"/>
              <w:rPr>
                <w:rFonts w:ascii="仿宋" w:hAnsi="仿宋" w:eastAsia="仿宋" w:cs="仿宋"/>
                <w:sz w:val="28"/>
                <w:szCs w:val="28"/>
              </w:rPr>
            </w:pPr>
            <w:r>
              <w:rPr>
                <w:rFonts w:ascii="仿宋" w:hAnsi="仿宋" w:eastAsia="仿宋" w:cs="仿宋"/>
                <w:sz w:val="28"/>
                <w:szCs w:val="28"/>
              </w:rPr>
              <w:t>根据各投标供应商所提供设备的种类及规模，</w:t>
            </w:r>
            <w:r>
              <w:rPr>
                <w:rFonts w:ascii="仿宋" w:hAnsi="仿宋" w:eastAsia="仿宋" w:cs="仿宋"/>
                <w:spacing w:val="-7"/>
                <w:sz w:val="28"/>
                <w:szCs w:val="28"/>
              </w:rPr>
              <w:t>经评审小组横向比较，按其响应程度计1-5分。</w:t>
            </w:r>
            <w:r>
              <w:rPr>
                <w:rFonts w:ascii="仿宋" w:hAnsi="仿宋" w:eastAsia="仿宋" w:cs="仿宋"/>
                <w:spacing w:val="-2"/>
                <w:sz w:val="28"/>
                <w:szCs w:val="28"/>
              </w:rPr>
              <w:t>（以</w:t>
            </w:r>
            <w:r>
              <w:rPr>
                <w:rFonts w:hint="eastAsia" w:ascii="仿宋" w:hAnsi="仿宋" w:eastAsia="仿宋" w:cs="仿宋"/>
                <w:spacing w:val="-2"/>
                <w:sz w:val="28"/>
                <w:szCs w:val="28"/>
              </w:rPr>
              <w:t>照片</w:t>
            </w:r>
            <w:r>
              <w:rPr>
                <w:rFonts w:ascii="仿宋" w:hAnsi="仿宋" w:eastAsia="仿宋" w:cs="仿宋"/>
                <w:spacing w:val="-2"/>
                <w:sz w:val="28"/>
                <w:szCs w:val="28"/>
              </w:rPr>
              <w:t>为依据）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1503" w:type="dxa"/>
            <w:vMerge w:val="continue"/>
            <w:tcBorders>
              <w:top w:val="nil"/>
              <w:bottom w:val="nil"/>
            </w:tcBorders>
          </w:tcPr>
          <w:p>
            <w:pPr>
              <w:rPr>
                <w:rFonts w:ascii="仿宋"/>
              </w:rPr>
            </w:pPr>
          </w:p>
        </w:tc>
        <w:tc>
          <w:tcPr>
            <w:tcW w:w="1443" w:type="dxa"/>
          </w:tcPr>
          <w:p>
            <w:pPr>
              <w:spacing w:before="314" w:line="358" w:lineRule="auto"/>
              <w:ind w:left="247" w:right="160" w:hanging="69"/>
              <w:rPr>
                <w:rFonts w:ascii="仿宋" w:hAnsi="仿宋" w:eastAsia="仿宋" w:cs="仿宋"/>
                <w:sz w:val="28"/>
                <w:szCs w:val="28"/>
              </w:rPr>
            </w:pPr>
            <w:r>
              <w:rPr>
                <w:rFonts w:ascii="仿宋" w:hAnsi="仿宋" w:eastAsia="仿宋" w:cs="仿宋"/>
                <w:spacing w:val="-6"/>
                <w:sz w:val="28"/>
                <w:szCs w:val="28"/>
              </w:rPr>
              <w:t>专用设备</w:t>
            </w:r>
            <w:r>
              <w:rPr>
                <w:rFonts w:ascii="仿宋" w:hAnsi="仿宋" w:eastAsia="仿宋" w:cs="仿宋"/>
                <w:spacing w:val="-5"/>
                <w:sz w:val="28"/>
                <w:szCs w:val="28"/>
              </w:rPr>
              <w:t>（5分）</w:t>
            </w:r>
          </w:p>
        </w:tc>
        <w:tc>
          <w:tcPr>
            <w:tcW w:w="5740" w:type="dxa"/>
          </w:tcPr>
          <w:p>
            <w:pPr>
              <w:spacing w:before="40" w:line="303" w:lineRule="auto"/>
              <w:ind w:left="124" w:right="5" w:firstLine="1"/>
              <w:rPr>
                <w:rFonts w:ascii="仿宋" w:hAnsi="仿宋" w:eastAsia="仿宋" w:cs="仿宋"/>
                <w:sz w:val="28"/>
                <w:szCs w:val="28"/>
              </w:rPr>
            </w:pPr>
            <w:r>
              <w:rPr>
                <w:rFonts w:ascii="仿宋" w:hAnsi="仿宋" w:eastAsia="仿宋" w:cs="仿宋"/>
                <w:sz w:val="28"/>
                <w:szCs w:val="28"/>
              </w:rPr>
              <w:t>根据各投标供应商所提供设备的种类及规模，</w:t>
            </w:r>
            <w:r>
              <w:rPr>
                <w:rFonts w:ascii="仿宋" w:hAnsi="仿宋" w:eastAsia="仿宋" w:cs="仿宋"/>
                <w:spacing w:val="-7"/>
                <w:sz w:val="28"/>
                <w:szCs w:val="28"/>
              </w:rPr>
              <w:t>经评审小组横向比较，按其响应程度计1-5分。</w:t>
            </w:r>
            <w:r>
              <w:rPr>
                <w:rFonts w:ascii="仿宋" w:hAnsi="仿宋" w:eastAsia="仿宋" w:cs="仿宋"/>
                <w:spacing w:val="-2"/>
                <w:sz w:val="28"/>
                <w:szCs w:val="28"/>
              </w:rPr>
              <w:t>（以</w:t>
            </w:r>
            <w:r>
              <w:rPr>
                <w:rFonts w:hint="eastAsia" w:ascii="仿宋" w:hAnsi="仿宋" w:eastAsia="仿宋" w:cs="仿宋"/>
                <w:spacing w:val="-2"/>
                <w:sz w:val="28"/>
                <w:szCs w:val="28"/>
              </w:rPr>
              <w:t>照片</w:t>
            </w:r>
            <w:r>
              <w:rPr>
                <w:rFonts w:ascii="仿宋" w:hAnsi="仿宋" w:eastAsia="仿宋" w:cs="仿宋"/>
                <w:spacing w:val="-2"/>
                <w:sz w:val="28"/>
                <w:szCs w:val="28"/>
              </w:rPr>
              <w:t>为依据）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1503" w:type="dxa"/>
            <w:vMerge w:val="continue"/>
            <w:tcBorders>
              <w:top w:val="nil"/>
            </w:tcBorders>
          </w:tcPr>
          <w:p>
            <w:pPr>
              <w:rPr>
                <w:rFonts w:ascii="仿宋"/>
              </w:rPr>
            </w:pPr>
          </w:p>
        </w:tc>
        <w:tc>
          <w:tcPr>
            <w:tcW w:w="1443" w:type="dxa"/>
          </w:tcPr>
          <w:p>
            <w:pPr>
              <w:spacing w:before="315" w:line="358" w:lineRule="auto"/>
              <w:ind w:left="247" w:right="160" w:hanging="70"/>
              <w:rPr>
                <w:rFonts w:ascii="仿宋" w:hAnsi="仿宋" w:eastAsia="仿宋" w:cs="仿宋"/>
                <w:sz w:val="28"/>
                <w:szCs w:val="28"/>
              </w:rPr>
            </w:pPr>
            <w:r>
              <w:rPr>
                <w:rFonts w:ascii="仿宋" w:hAnsi="仿宋" w:eastAsia="仿宋" w:cs="仿宋"/>
                <w:spacing w:val="-5"/>
                <w:sz w:val="28"/>
                <w:szCs w:val="28"/>
              </w:rPr>
              <w:t>检测设备（5分）</w:t>
            </w:r>
          </w:p>
        </w:tc>
        <w:tc>
          <w:tcPr>
            <w:tcW w:w="5740" w:type="dxa"/>
          </w:tcPr>
          <w:p>
            <w:pPr>
              <w:spacing w:before="41" w:line="303" w:lineRule="auto"/>
              <w:ind w:left="124" w:right="5" w:firstLine="1"/>
              <w:rPr>
                <w:rFonts w:ascii="仿宋" w:hAnsi="仿宋" w:eastAsia="仿宋" w:cs="仿宋"/>
                <w:sz w:val="28"/>
                <w:szCs w:val="28"/>
              </w:rPr>
            </w:pPr>
            <w:r>
              <w:rPr>
                <w:rFonts w:ascii="仿宋" w:hAnsi="仿宋" w:eastAsia="仿宋" w:cs="仿宋"/>
                <w:sz w:val="28"/>
                <w:szCs w:val="28"/>
              </w:rPr>
              <w:t>根据各投标供应商所提供设备的种类及规模，</w:t>
            </w:r>
            <w:r>
              <w:rPr>
                <w:rFonts w:ascii="仿宋" w:hAnsi="仿宋" w:eastAsia="仿宋" w:cs="仿宋"/>
                <w:spacing w:val="-7"/>
                <w:sz w:val="28"/>
                <w:szCs w:val="28"/>
              </w:rPr>
              <w:t>经评审小组横向比较，按其响应程度计1-5分。</w:t>
            </w:r>
            <w:r>
              <w:rPr>
                <w:rFonts w:ascii="仿宋" w:hAnsi="仿宋" w:eastAsia="仿宋" w:cs="仿宋"/>
                <w:spacing w:val="-2"/>
                <w:sz w:val="28"/>
                <w:szCs w:val="28"/>
              </w:rPr>
              <w:t>（以</w:t>
            </w:r>
            <w:r>
              <w:rPr>
                <w:rFonts w:hint="eastAsia" w:ascii="仿宋" w:hAnsi="仿宋" w:eastAsia="仿宋" w:cs="仿宋"/>
                <w:spacing w:val="-2"/>
                <w:sz w:val="28"/>
                <w:szCs w:val="28"/>
              </w:rPr>
              <w:t>照片为</w:t>
            </w:r>
            <w:r>
              <w:rPr>
                <w:rFonts w:ascii="仿宋" w:hAnsi="仿宋" w:eastAsia="仿宋" w:cs="仿宋"/>
                <w:spacing w:val="-2"/>
                <w:sz w:val="28"/>
                <w:szCs w:val="28"/>
              </w:rPr>
              <w:t>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1503" w:type="dxa"/>
            <w:vMerge w:val="restart"/>
            <w:tcBorders>
              <w:bottom w:val="nil"/>
            </w:tcBorders>
          </w:tcPr>
          <w:p>
            <w:pPr>
              <w:spacing w:line="339" w:lineRule="auto"/>
              <w:rPr>
                <w:rFonts w:ascii="仿宋"/>
              </w:rPr>
            </w:pPr>
          </w:p>
          <w:p>
            <w:pPr>
              <w:spacing w:line="340" w:lineRule="auto"/>
              <w:rPr>
                <w:rFonts w:ascii="仿宋"/>
              </w:rPr>
            </w:pPr>
          </w:p>
          <w:p>
            <w:pPr>
              <w:spacing w:before="91" w:line="190" w:lineRule="auto"/>
              <w:ind w:firstLine="492"/>
              <w:rPr>
                <w:rFonts w:ascii="仿宋" w:hAnsi="仿宋" w:eastAsia="仿宋" w:cs="仿宋"/>
                <w:sz w:val="28"/>
                <w:szCs w:val="28"/>
              </w:rPr>
            </w:pPr>
            <w:r>
              <w:rPr>
                <w:rFonts w:ascii="仿宋" w:hAnsi="仿宋" w:eastAsia="仿宋" w:cs="仿宋"/>
                <w:spacing w:val="-11"/>
                <w:sz w:val="28"/>
                <w:szCs w:val="28"/>
              </w:rPr>
              <w:t>人员</w:t>
            </w:r>
          </w:p>
          <w:p>
            <w:pPr>
              <w:spacing w:before="257" w:line="359" w:lineRule="auto"/>
              <w:ind w:left="171" w:right="171" w:firstLine="320"/>
              <w:rPr>
                <w:rFonts w:ascii="仿宋" w:hAnsi="仿宋" w:eastAsia="仿宋" w:cs="仿宋"/>
                <w:sz w:val="28"/>
                <w:szCs w:val="28"/>
              </w:rPr>
            </w:pPr>
            <w:r>
              <w:rPr>
                <w:rFonts w:ascii="仿宋" w:hAnsi="仿宋" w:eastAsia="仿宋" w:cs="仿宋"/>
                <w:spacing w:val="-11"/>
                <w:sz w:val="28"/>
                <w:szCs w:val="28"/>
              </w:rPr>
              <w:t>配备</w:t>
            </w:r>
            <w:r>
              <w:rPr>
                <w:rFonts w:ascii="仿宋" w:hAnsi="仿宋" w:eastAsia="仿宋" w:cs="仿宋"/>
                <w:spacing w:val="-12"/>
                <w:sz w:val="28"/>
                <w:szCs w:val="28"/>
              </w:rPr>
              <w:t>（1</w:t>
            </w:r>
            <w:r>
              <w:rPr>
                <w:rFonts w:hint="eastAsia" w:ascii="仿宋" w:hAnsi="仿宋" w:eastAsia="仿宋" w:cs="仿宋"/>
                <w:spacing w:val="-12"/>
                <w:sz w:val="28"/>
                <w:szCs w:val="28"/>
                <w:lang w:val="en-US" w:eastAsia="zh-CN"/>
              </w:rPr>
              <w:t>0</w:t>
            </w:r>
            <w:r>
              <w:rPr>
                <w:rFonts w:ascii="仿宋" w:hAnsi="仿宋" w:eastAsia="仿宋" w:cs="仿宋"/>
                <w:spacing w:val="-12"/>
                <w:sz w:val="28"/>
                <w:szCs w:val="28"/>
              </w:rPr>
              <w:t>分）</w:t>
            </w:r>
          </w:p>
        </w:tc>
        <w:tc>
          <w:tcPr>
            <w:tcW w:w="1443" w:type="dxa"/>
          </w:tcPr>
          <w:p>
            <w:pPr>
              <w:spacing w:before="316" w:line="358" w:lineRule="auto"/>
              <w:ind w:left="211" w:right="160" w:hanging="21"/>
              <w:rPr>
                <w:rFonts w:ascii="仿宋" w:hAnsi="仿宋" w:eastAsia="仿宋" w:cs="仿宋"/>
                <w:sz w:val="28"/>
                <w:szCs w:val="28"/>
              </w:rPr>
            </w:pPr>
            <w:r>
              <w:rPr>
                <w:rFonts w:ascii="仿宋" w:hAnsi="仿宋" w:eastAsia="仿宋" w:cs="仿宋"/>
                <w:spacing w:val="-9"/>
                <w:sz w:val="28"/>
                <w:szCs w:val="28"/>
              </w:rPr>
              <w:t>管理人员</w:t>
            </w:r>
            <w:r>
              <w:rPr>
                <w:rFonts w:ascii="仿宋" w:hAnsi="仿宋" w:eastAsia="仿宋" w:cs="仿宋"/>
                <w:spacing w:val="-14"/>
                <w:sz w:val="28"/>
                <w:szCs w:val="28"/>
              </w:rPr>
              <w:t>（5分）</w:t>
            </w:r>
          </w:p>
        </w:tc>
        <w:tc>
          <w:tcPr>
            <w:tcW w:w="5740" w:type="dxa"/>
          </w:tcPr>
          <w:p>
            <w:pPr>
              <w:spacing w:before="42" w:line="303" w:lineRule="auto"/>
              <w:ind w:left="124" w:right="88" w:firstLine="1"/>
              <w:rPr>
                <w:rFonts w:ascii="仿宋" w:hAnsi="仿宋" w:eastAsia="仿宋" w:cs="仿宋"/>
                <w:sz w:val="28"/>
                <w:szCs w:val="28"/>
              </w:rPr>
            </w:pPr>
            <w:r>
              <w:rPr>
                <w:rFonts w:ascii="仿宋" w:hAnsi="仿宋" w:eastAsia="仿宋" w:cs="仿宋"/>
                <w:spacing w:val="-4"/>
                <w:sz w:val="28"/>
                <w:szCs w:val="28"/>
              </w:rPr>
              <w:t>企业管理负责人，技术负责人，质量检测人，</w:t>
            </w:r>
            <w:r>
              <w:rPr>
                <w:rFonts w:ascii="仿宋" w:hAnsi="仿宋" w:eastAsia="仿宋" w:cs="仿宋"/>
                <w:spacing w:val="-5"/>
                <w:sz w:val="28"/>
                <w:szCs w:val="28"/>
              </w:rPr>
              <w:t>业务和价格核算人有相关资格证书，按其响应</w:t>
            </w:r>
            <w:r>
              <w:rPr>
                <w:rFonts w:ascii="仿宋" w:hAnsi="仿宋" w:eastAsia="仿宋" w:cs="仿宋"/>
                <w:spacing w:val="-9"/>
                <w:sz w:val="28"/>
                <w:szCs w:val="28"/>
              </w:rPr>
              <w:t>程度计1-5分。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9" w:hRule="atLeast"/>
        </w:trPr>
        <w:tc>
          <w:tcPr>
            <w:tcW w:w="1503" w:type="dxa"/>
            <w:vMerge w:val="continue"/>
            <w:tcBorders>
              <w:top w:val="nil"/>
            </w:tcBorders>
          </w:tcPr>
          <w:p>
            <w:pPr>
              <w:rPr>
                <w:rFonts w:ascii="仿宋"/>
              </w:rPr>
            </w:pPr>
          </w:p>
        </w:tc>
        <w:tc>
          <w:tcPr>
            <w:tcW w:w="1443" w:type="dxa"/>
          </w:tcPr>
          <w:p>
            <w:pPr>
              <w:spacing w:before="317" w:line="358" w:lineRule="auto"/>
              <w:ind w:left="142" w:right="143" w:firstLine="38"/>
              <w:rPr>
                <w:rFonts w:ascii="仿宋" w:hAnsi="仿宋" w:eastAsia="仿宋" w:cs="仿宋"/>
                <w:sz w:val="28"/>
                <w:szCs w:val="28"/>
              </w:rPr>
            </w:pPr>
            <w:r>
              <w:rPr>
                <w:rFonts w:ascii="仿宋" w:hAnsi="仿宋" w:eastAsia="仿宋" w:cs="仿宋"/>
                <w:spacing w:val="-6"/>
                <w:sz w:val="28"/>
                <w:szCs w:val="28"/>
              </w:rPr>
              <w:t>维修人员</w:t>
            </w:r>
            <w:r>
              <w:rPr>
                <w:rFonts w:ascii="仿宋" w:hAnsi="仿宋" w:eastAsia="仿宋" w:cs="仿宋"/>
                <w:spacing w:val="-12"/>
                <w:sz w:val="28"/>
                <w:szCs w:val="28"/>
              </w:rPr>
              <w:t>（</w:t>
            </w:r>
            <w:r>
              <w:rPr>
                <w:rFonts w:hint="eastAsia" w:ascii="仿宋" w:hAnsi="仿宋" w:eastAsia="仿宋" w:cs="仿宋"/>
                <w:spacing w:val="-12"/>
                <w:sz w:val="28"/>
                <w:szCs w:val="28"/>
                <w:lang w:val="en-US" w:eastAsia="zh-CN"/>
              </w:rPr>
              <w:t>5</w:t>
            </w:r>
            <w:r>
              <w:rPr>
                <w:rFonts w:ascii="仿宋" w:hAnsi="仿宋" w:eastAsia="仿宋" w:cs="仿宋"/>
                <w:spacing w:val="-12"/>
                <w:sz w:val="28"/>
                <w:szCs w:val="28"/>
              </w:rPr>
              <w:t>分）</w:t>
            </w:r>
          </w:p>
        </w:tc>
        <w:tc>
          <w:tcPr>
            <w:tcW w:w="5740" w:type="dxa"/>
          </w:tcPr>
          <w:p>
            <w:pPr>
              <w:spacing w:before="43" w:line="303" w:lineRule="auto"/>
              <w:ind w:left="127" w:right="104" w:hanging="3"/>
              <w:rPr>
                <w:rFonts w:ascii="仿宋" w:hAnsi="仿宋" w:eastAsia="仿宋" w:cs="仿宋"/>
                <w:sz w:val="28"/>
                <w:szCs w:val="28"/>
              </w:rPr>
            </w:pPr>
            <w:r>
              <w:rPr>
                <w:rFonts w:ascii="仿宋" w:hAnsi="仿宋" w:eastAsia="仿宋" w:cs="仿宋"/>
                <w:spacing w:val="-5"/>
                <w:sz w:val="28"/>
                <w:szCs w:val="28"/>
              </w:rPr>
              <w:t>机修、电器、钣金、涂漆的维修技术人员，有</w:t>
            </w:r>
            <w:r>
              <w:rPr>
                <w:rFonts w:ascii="仿宋" w:hAnsi="仿宋" w:eastAsia="仿宋" w:cs="仿宋"/>
                <w:spacing w:val="-13"/>
                <w:w w:val="98"/>
                <w:sz w:val="28"/>
                <w:szCs w:val="28"/>
              </w:rPr>
              <w:t>高级技师职称每人计1分，最高计4分；有中</w:t>
            </w:r>
            <w:r>
              <w:rPr>
                <w:rFonts w:ascii="仿宋" w:hAnsi="仿宋" w:eastAsia="仿宋" w:cs="仿宋"/>
                <w:spacing w:val="-5"/>
                <w:sz w:val="28"/>
                <w:szCs w:val="28"/>
              </w:rPr>
              <w:t>级技师职称每人计0.5分，最高计</w:t>
            </w:r>
            <w:r>
              <w:rPr>
                <w:rFonts w:hint="eastAsia" w:ascii="仿宋" w:hAnsi="仿宋" w:eastAsia="仿宋" w:cs="仿宋"/>
                <w:spacing w:val="-5"/>
                <w:sz w:val="28"/>
                <w:szCs w:val="28"/>
                <w:lang w:val="en-US" w:eastAsia="zh-CN"/>
              </w:rPr>
              <w:t>5</w:t>
            </w:r>
            <w:r>
              <w:rPr>
                <w:rFonts w:ascii="仿宋" w:hAnsi="仿宋" w:eastAsia="仿宋" w:cs="仿宋"/>
                <w:spacing w:val="-5"/>
                <w:sz w:val="28"/>
                <w:szCs w:val="28"/>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9" w:hRule="atLeast"/>
        </w:trPr>
        <w:tc>
          <w:tcPr>
            <w:tcW w:w="1503" w:type="dxa"/>
          </w:tcPr>
          <w:p>
            <w:pPr>
              <w:spacing w:before="44" w:line="190" w:lineRule="auto"/>
              <w:ind w:firstLine="487"/>
              <w:rPr>
                <w:rFonts w:ascii="仿宋" w:hAnsi="仿宋" w:eastAsia="仿宋" w:cs="仿宋"/>
                <w:sz w:val="28"/>
                <w:szCs w:val="28"/>
              </w:rPr>
            </w:pPr>
            <w:r>
              <w:rPr>
                <w:rFonts w:ascii="仿宋" w:hAnsi="仿宋" w:eastAsia="仿宋" w:cs="仿宋"/>
                <w:spacing w:val="-9"/>
                <w:sz w:val="28"/>
                <w:szCs w:val="28"/>
              </w:rPr>
              <w:t>环境</w:t>
            </w:r>
          </w:p>
          <w:p>
            <w:pPr>
              <w:spacing w:before="258" w:line="274" w:lineRule="auto"/>
              <w:ind w:left="171" w:right="171" w:firstLine="317"/>
              <w:rPr>
                <w:rFonts w:ascii="仿宋" w:hAnsi="仿宋" w:eastAsia="仿宋" w:cs="仿宋"/>
                <w:sz w:val="28"/>
                <w:szCs w:val="28"/>
              </w:rPr>
            </w:pPr>
            <w:r>
              <w:rPr>
                <w:rFonts w:ascii="仿宋" w:hAnsi="仿宋" w:eastAsia="仿宋" w:cs="仿宋"/>
                <w:spacing w:val="-9"/>
                <w:sz w:val="28"/>
                <w:szCs w:val="28"/>
              </w:rPr>
              <w:t>保护</w:t>
            </w:r>
            <w:r>
              <w:rPr>
                <w:rFonts w:ascii="仿宋" w:hAnsi="仿宋" w:eastAsia="仿宋" w:cs="仿宋"/>
                <w:spacing w:val="-12"/>
                <w:sz w:val="28"/>
                <w:szCs w:val="28"/>
              </w:rPr>
              <w:t>（10分）</w:t>
            </w:r>
          </w:p>
        </w:tc>
        <w:tc>
          <w:tcPr>
            <w:tcW w:w="7183" w:type="dxa"/>
            <w:gridSpan w:val="2"/>
          </w:tcPr>
          <w:p>
            <w:pPr>
              <w:spacing w:before="43" w:line="303" w:lineRule="auto"/>
              <w:ind w:left="125" w:right="104" w:hanging="2"/>
              <w:rPr>
                <w:rFonts w:ascii="仿宋" w:hAnsi="仿宋" w:eastAsia="仿宋" w:cs="仿宋"/>
                <w:sz w:val="28"/>
                <w:szCs w:val="28"/>
              </w:rPr>
            </w:pPr>
            <w:r>
              <w:rPr>
                <w:rFonts w:ascii="仿宋" w:hAnsi="仿宋" w:eastAsia="仿宋" w:cs="仿宋"/>
                <w:spacing w:val="-3"/>
                <w:sz w:val="28"/>
                <w:szCs w:val="28"/>
              </w:rPr>
              <w:t>根据各投标供应商所提供的处理废油、废液、废气，以及存储有毒、易燃、易爆、腐蚀剂、压力容器等的处理设施</w:t>
            </w:r>
            <w:r>
              <w:rPr>
                <w:rFonts w:ascii="仿宋" w:hAnsi="仿宋" w:eastAsia="仿宋" w:cs="仿宋"/>
                <w:spacing w:val="-5"/>
                <w:sz w:val="28"/>
                <w:szCs w:val="28"/>
              </w:rPr>
              <w:t>及措施，按其响应程度计1-10分。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1503" w:type="dxa"/>
          </w:tcPr>
          <w:p>
            <w:pPr>
              <w:spacing w:before="45" w:line="544" w:lineRule="exact"/>
              <w:jc w:val="both"/>
              <w:rPr>
                <w:rFonts w:hint="eastAsia" w:ascii="仿宋" w:hAnsi="仿宋" w:eastAsia="仿宋" w:cs="仿宋"/>
                <w:sz w:val="24"/>
                <w:szCs w:val="24"/>
                <w:lang w:eastAsia="zh-CN"/>
              </w:rPr>
            </w:pPr>
            <w:r>
              <w:rPr>
                <w:rFonts w:hint="eastAsia" w:ascii="仿宋" w:hAnsi="仿宋" w:eastAsia="仿宋" w:cs="仿宋"/>
                <w:spacing w:val="-12"/>
                <w:position w:val="19"/>
                <w:sz w:val="28"/>
                <w:szCs w:val="28"/>
                <w:lang w:eastAsia="zh-CN"/>
              </w:rPr>
              <w:t>质量保证（</w:t>
            </w:r>
            <w:r>
              <w:rPr>
                <w:rFonts w:hint="eastAsia" w:ascii="仿宋" w:hAnsi="仿宋" w:eastAsia="仿宋" w:cs="仿宋"/>
                <w:spacing w:val="-12"/>
                <w:position w:val="19"/>
                <w:sz w:val="28"/>
                <w:szCs w:val="28"/>
                <w:lang w:val="en-US" w:eastAsia="zh-CN"/>
              </w:rPr>
              <w:t>10分</w:t>
            </w:r>
            <w:r>
              <w:rPr>
                <w:rFonts w:hint="eastAsia" w:ascii="仿宋" w:hAnsi="仿宋" w:eastAsia="仿宋" w:cs="仿宋"/>
                <w:spacing w:val="-12"/>
                <w:position w:val="19"/>
                <w:sz w:val="28"/>
                <w:szCs w:val="28"/>
                <w:lang w:eastAsia="zh-CN"/>
              </w:rPr>
              <w:t>）</w:t>
            </w:r>
          </w:p>
        </w:tc>
        <w:tc>
          <w:tcPr>
            <w:tcW w:w="7183" w:type="dxa"/>
            <w:gridSpan w:val="2"/>
          </w:tcPr>
          <w:p>
            <w:pPr>
              <w:spacing w:before="46" w:line="274" w:lineRule="auto"/>
              <w:ind w:left="122" w:right="106" w:firstLine="1"/>
              <w:rPr>
                <w:rFonts w:ascii="仿宋" w:hAnsi="仿宋" w:eastAsia="仿宋" w:cs="仿宋"/>
                <w:sz w:val="28"/>
                <w:szCs w:val="28"/>
              </w:rPr>
            </w:pPr>
            <w:r>
              <w:rPr>
                <w:rFonts w:ascii="仿宋" w:hAnsi="仿宋" w:eastAsia="仿宋" w:cs="仿宋"/>
                <w:spacing w:val="9"/>
                <w:sz w:val="28"/>
                <w:szCs w:val="28"/>
              </w:rPr>
              <w:t>根据各投标供应商所提供的维修质量保障措施、管理制</w:t>
            </w:r>
            <w:r>
              <w:rPr>
                <w:rFonts w:ascii="仿宋" w:hAnsi="仿宋" w:eastAsia="仿宋" w:cs="仿宋"/>
                <w:spacing w:val="-5"/>
                <w:sz w:val="28"/>
                <w:szCs w:val="28"/>
              </w:rPr>
              <w:t>度，按其响应程度计1-10分。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7" w:hRule="atLeast"/>
        </w:trPr>
        <w:tc>
          <w:tcPr>
            <w:tcW w:w="1503" w:type="dxa"/>
          </w:tcPr>
          <w:p>
            <w:pPr>
              <w:spacing w:before="43" w:line="190" w:lineRule="auto"/>
              <w:ind w:firstLine="491"/>
              <w:rPr>
                <w:rFonts w:ascii="仿宋" w:hAnsi="仿宋" w:eastAsia="仿宋" w:cs="仿宋"/>
                <w:color w:val="auto"/>
                <w:sz w:val="28"/>
                <w:szCs w:val="28"/>
              </w:rPr>
            </w:pPr>
            <w:r>
              <w:rPr>
                <w:rFonts w:ascii="仿宋" w:hAnsi="仿宋" w:eastAsia="仿宋" w:cs="仿宋"/>
                <w:color w:val="auto"/>
                <w:spacing w:val="-11"/>
                <w:sz w:val="28"/>
                <w:szCs w:val="28"/>
              </w:rPr>
              <w:t>安全</w:t>
            </w:r>
          </w:p>
          <w:p>
            <w:pPr>
              <w:spacing w:before="256" w:line="274" w:lineRule="auto"/>
              <w:ind w:left="171" w:right="171" w:firstLine="317"/>
              <w:rPr>
                <w:rFonts w:ascii="仿宋" w:hAnsi="仿宋" w:eastAsia="仿宋" w:cs="仿宋"/>
                <w:color w:val="auto"/>
                <w:sz w:val="28"/>
                <w:szCs w:val="28"/>
              </w:rPr>
            </w:pPr>
            <w:r>
              <w:rPr>
                <w:rFonts w:ascii="仿宋" w:hAnsi="仿宋" w:eastAsia="仿宋" w:cs="仿宋"/>
                <w:color w:val="auto"/>
                <w:spacing w:val="-9"/>
                <w:sz w:val="28"/>
                <w:szCs w:val="28"/>
              </w:rPr>
              <w:t>保障</w:t>
            </w:r>
            <w:r>
              <w:rPr>
                <w:rFonts w:ascii="仿宋" w:hAnsi="仿宋" w:eastAsia="仿宋" w:cs="仿宋"/>
                <w:color w:val="auto"/>
                <w:spacing w:val="-12"/>
                <w:sz w:val="28"/>
                <w:szCs w:val="28"/>
              </w:rPr>
              <w:t>（10分）</w:t>
            </w:r>
          </w:p>
        </w:tc>
        <w:tc>
          <w:tcPr>
            <w:tcW w:w="7183" w:type="dxa"/>
            <w:gridSpan w:val="2"/>
          </w:tcPr>
          <w:p>
            <w:pPr>
              <w:spacing w:before="316" w:line="359" w:lineRule="auto"/>
              <w:ind w:left="124" w:right="106" w:hanging="1"/>
              <w:rPr>
                <w:rFonts w:ascii="仿宋" w:hAnsi="仿宋" w:eastAsia="仿宋" w:cs="仿宋"/>
                <w:color w:val="auto"/>
                <w:sz w:val="28"/>
                <w:szCs w:val="28"/>
              </w:rPr>
            </w:pPr>
            <w:r>
              <w:rPr>
                <w:rFonts w:ascii="仿宋" w:hAnsi="仿宋" w:eastAsia="仿宋" w:cs="仿宋"/>
                <w:color w:val="auto"/>
                <w:spacing w:val="9"/>
                <w:sz w:val="28"/>
                <w:szCs w:val="28"/>
              </w:rPr>
              <w:t>根据各投标供应商所提供的各工种、设备的安全操作规</w:t>
            </w:r>
            <w:r>
              <w:rPr>
                <w:rFonts w:ascii="仿宋" w:hAnsi="仿宋" w:eastAsia="仿宋" w:cs="仿宋"/>
                <w:color w:val="auto"/>
                <w:spacing w:val="-4"/>
                <w:sz w:val="28"/>
                <w:szCs w:val="28"/>
              </w:rPr>
              <w:t>程、安全防护措施，按其响应程度计1-10分。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2" w:hRule="atLeast"/>
        </w:trPr>
        <w:tc>
          <w:tcPr>
            <w:tcW w:w="1503" w:type="dxa"/>
          </w:tcPr>
          <w:p>
            <w:pPr>
              <w:spacing w:before="45" w:line="190" w:lineRule="auto"/>
              <w:ind w:firstLine="487"/>
              <w:rPr>
                <w:rFonts w:ascii="仿宋" w:hAnsi="仿宋" w:eastAsia="仿宋" w:cs="仿宋"/>
                <w:color w:val="auto"/>
                <w:sz w:val="28"/>
                <w:szCs w:val="28"/>
              </w:rPr>
            </w:pPr>
            <w:r>
              <w:rPr>
                <w:rFonts w:ascii="仿宋" w:hAnsi="仿宋" w:eastAsia="仿宋" w:cs="仿宋"/>
                <w:color w:val="auto"/>
                <w:spacing w:val="-9"/>
                <w:sz w:val="28"/>
                <w:szCs w:val="28"/>
              </w:rPr>
              <w:t>应急</w:t>
            </w:r>
          </w:p>
          <w:p>
            <w:pPr>
              <w:spacing w:before="256" w:line="274" w:lineRule="auto"/>
              <w:ind w:left="171" w:right="171" w:firstLine="315"/>
              <w:rPr>
                <w:rFonts w:ascii="仿宋" w:hAnsi="仿宋" w:eastAsia="仿宋" w:cs="仿宋"/>
                <w:color w:val="auto"/>
                <w:sz w:val="28"/>
                <w:szCs w:val="28"/>
              </w:rPr>
            </w:pPr>
            <w:r>
              <w:rPr>
                <w:rFonts w:ascii="仿宋" w:hAnsi="仿宋" w:eastAsia="仿宋" w:cs="仿宋"/>
                <w:color w:val="auto"/>
                <w:spacing w:val="-8"/>
                <w:sz w:val="28"/>
                <w:szCs w:val="28"/>
              </w:rPr>
              <w:t>服务</w:t>
            </w:r>
            <w:r>
              <w:rPr>
                <w:rFonts w:ascii="仿宋" w:hAnsi="仿宋" w:eastAsia="仿宋" w:cs="仿宋"/>
                <w:color w:val="auto"/>
                <w:spacing w:val="-12"/>
                <w:sz w:val="28"/>
                <w:szCs w:val="28"/>
              </w:rPr>
              <w:t>（10分）</w:t>
            </w:r>
          </w:p>
        </w:tc>
        <w:tc>
          <w:tcPr>
            <w:tcW w:w="7183" w:type="dxa"/>
            <w:gridSpan w:val="2"/>
          </w:tcPr>
          <w:p>
            <w:pPr>
              <w:spacing w:before="47" w:line="302" w:lineRule="auto"/>
              <w:ind w:left="122" w:right="106" w:firstLine="1"/>
              <w:rPr>
                <w:rFonts w:ascii="仿宋" w:hAnsi="仿宋" w:eastAsia="仿宋" w:cs="仿宋"/>
                <w:color w:val="auto"/>
                <w:sz w:val="28"/>
                <w:szCs w:val="28"/>
              </w:rPr>
            </w:pPr>
            <w:r>
              <w:rPr>
                <w:rFonts w:ascii="仿宋" w:hAnsi="仿宋" w:eastAsia="仿宋" w:cs="仿宋"/>
                <w:color w:val="auto"/>
                <w:spacing w:val="9"/>
                <w:sz w:val="28"/>
                <w:szCs w:val="28"/>
              </w:rPr>
              <w:t>根据各投标供应商所提供的紧急车辆维修应急服务与保</w:t>
            </w:r>
            <w:r>
              <w:rPr>
                <w:rFonts w:ascii="仿宋" w:hAnsi="仿宋" w:eastAsia="仿宋" w:cs="仿宋"/>
                <w:color w:val="auto"/>
                <w:spacing w:val="-3"/>
                <w:sz w:val="28"/>
                <w:szCs w:val="28"/>
              </w:rPr>
              <w:t>障、事故车辆路途施救服务等方面措施方案，按其响应程</w:t>
            </w:r>
            <w:r>
              <w:rPr>
                <w:rFonts w:ascii="仿宋" w:hAnsi="仿宋" w:eastAsia="仿宋" w:cs="仿宋"/>
                <w:color w:val="auto"/>
                <w:spacing w:val="-9"/>
                <w:sz w:val="28"/>
                <w:szCs w:val="28"/>
              </w:rPr>
              <w:t>度计1-10分。</w:t>
            </w:r>
          </w:p>
        </w:tc>
      </w:tr>
    </w:tbl>
    <w:p>
      <w:pPr>
        <w:rPr>
          <w:rFonts w:ascii="仿宋"/>
          <w:color w:val="auto"/>
        </w:rPr>
      </w:pPr>
      <w:bookmarkStart w:id="33" w:name="_GoBack"/>
      <w:bookmarkEnd w:id="33"/>
    </w:p>
    <w:p>
      <w:pPr>
        <w:spacing w:before="91" w:line="190" w:lineRule="auto"/>
        <w:ind w:firstLine="3545"/>
        <w:rPr>
          <w:rFonts w:ascii="仿宋" w:hAnsi="仿宋" w:eastAsia="仿宋" w:cs="仿宋"/>
          <w:color w:val="auto"/>
          <w:spacing w:val="-3"/>
          <w:sz w:val="28"/>
          <w:szCs w:val="28"/>
        </w:rPr>
      </w:pPr>
    </w:p>
    <w:p>
      <w:pPr>
        <w:spacing w:before="91" w:line="190" w:lineRule="auto"/>
        <w:ind w:firstLine="3545"/>
        <w:rPr>
          <w:color w:val="auto"/>
        </w:rPr>
      </w:pPr>
      <w:r>
        <w:rPr>
          <w:rFonts w:ascii="仿宋" w:hAnsi="仿宋" w:eastAsia="仿宋" w:cs="仿宋"/>
          <w:color w:val="auto"/>
          <w:spacing w:val="-3"/>
          <w:sz w:val="28"/>
          <w:szCs w:val="28"/>
        </w:rPr>
        <w:t>三标段</w:t>
      </w:r>
      <w:r>
        <w:rPr>
          <w:rFonts w:hint="eastAsia" w:ascii="仿宋" w:hAnsi="仿宋" w:eastAsia="仿宋" w:cs="仿宋"/>
          <w:color w:val="auto"/>
          <w:spacing w:val="-3"/>
          <w:sz w:val="28"/>
          <w:szCs w:val="28"/>
          <w:lang w:eastAsia="zh-CN"/>
        </w:rPr>
        <w:t>保险业务</w:t>
      </w:r>
      <w:r>
        <w:rPr>
          <w:rFonts w:ascii="仿宋" w:hAnsi="仿宋" w:eastAsia="仿宋" w:cs="仿宋"/>
          <w:color w:val="auto"/>
          <w:spacing w:val="-3"/>
          <w:sz w:val="28"/>
          <w:szCs w:val="28"/>
        </w:rPr>
        <w:t>评分办法</w:t>
      </w:r>
    </w:p>
    <w:p>
      <w:pPr>
        <w:spacing w:line="113" w:lineRule="exact"/>
        <w:rPr>
          <w:color w:val="auto"/>
        </w:rPr>
      </w:pPr>
    </w:p>
    <w:tbl>
      <w:tblPr>
        <w:tblStyle w:val="150"/>
        <w:tblW w:w="871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6"/>
        <w:gridCol w:w="741"/>
        <w:gridCol w:w="2037"/>
        <w:gridCol w:w="4166"/>
        <w:gridCol w:w="7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6" w:hRule="atLeast"/>
        </w:trPr>
        <w:tc>
          <w:tcPr>
            <w:tcW w:w="996"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233"/>
              <w:textAlignment w:val="baseline"/>
              <w:rPr>
                <w:rFonts w:ascii="仿宋" w:hAnsi="仿宋" w:eastAsia="仿宋" w:cs="仿宋"/>
                <w:color w:val="auto"/>
                <w:sz w:val="28"/>
                <w:szCs w:val="28"/>
              </w:rPr>
            </w:pPr>
            <w:r>
              <w:rPr>
                <w:rFonts w:ascii="仿宋" w:hAnsi="仿宋" w:eastAsia="仿宋" w:cs="仿宋"/>
                <w:color w:val="auto"/>
                <w:spacing w:val="-9"/>
                <w:position w:val="18"/>
                <w:sz w:val="28"/>
                <w:szCs w:val="28"/>
              </w:rPr>
              <w:t>评标</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261"/>
              <w:textAlignment w:val="baseline"/>
              <w:rPr>
                <w:rFonts w:ascii="仿宋" w:hAnsi="仿宋" w:eastAsia="仿宋" w:cs="仿宋"/>
                <w:color w:val="auto"/>
                <w:sz w:val="28"/>
                <w:szCs w:val="28"/>
              </w:rPr>
            </w:pPr>
            <w:r>
              <w:rPr>
                <w:rFonts w:ascii="仿宋" w:hAnsi="仿宋" w:eastAsia="仿宋" w:cs="仿宋"/>
                <w:color w:val="auto"/>
                <w:spacing w:val="-23"/>
                <w:sz w:val="28"/>
                <w:szCs w:val="28"/>
              </w:rPr>
              <w:t>因素</w:t>
            </w:r>
          </w:p>
        </w:tc>
        <w:tc>
          <w:tcPr>
            <w:tcW w:w="2778" w:type="dxa"/>
            <w:gridSpan w:val="2"/>
          </w:tcPr>
          <w:p>
            <w:pPr>
              <w:keepNext w:val="0"/>
              <w:keepLines w:val="0"/>
              <w:pageBreakBefore w:val="0"/>
              <w:widowControl/>
              <w:kinsoku/>
              <w:wordWrap/>
              <w:overflowPunct/>
              <w:topLinePunct w:val="0"/>
              <w:autoSpaceDE/>
              <w:autoSpaceDN/>
              <w:bidi w:val="0"/>
              <w:adjustRightInd w:val="0"/>
              <w:snapToGrid w:val="0"/>
              <w:spacing w:line="240" w:lineRule="auto"/>
              <w:ind w:left="0" w:right="0" w:firstLine="1060"/>
              <w:textAlignment w:val="baseline"/>
              <w:rPr>
                <w:rFonts w:ascii="仿宋" w:hAnsi="仿宋" w:eastAsia="仿宋" w:cs="仿宋"/>
                <w:color w:val="auto"/>
                <w:sz w:val="28"/>
                <w:szCs w:val="28"/>
              </w:rPr>
            </w:pPr>
            <w:r>
              <w:rPr>
                <w:rFonts w:ascii="仿宋" w:hAnsi="仿宋" w:eastAsia="仿宋" w:cs="仿宋"/>
                <w:color w:val="auto"/>
                <w:spacing w:val="-6"/>
                <w:sz w:val="28"/>
                <w:szCs w:val="28"/>
              </w:rPr>
              <w:t>权值%</w:t>
            </w:r>
          </w:p>
        </w:tc>
        <w:tc>
          <w:tcPr>
            <w:tcW w:w="4166"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right="0"/>
              <w:jc w:val="center"/>
              <w:textAlignment w:val="baseline"/>
              <w:rPr>
                <w:rFonts w:ascii="仿宋" w:hAnsi="仿宋" w:eastAsia="仿宋" w:cs="仿宋"/>
                <w:color w:val="auto"/>
                <w:spacing w:val="-5"/>
                <w:sz w:val="28"/>
                <w:szCs w:val="28"/>
              </w:rPr>
            </w:pPr>
            <w:r>
              <w:rPr>
                <w:rFonts w:ascii="仿宋" w:hAnsi="仿宋" w:eastAsia="仿宋" w:cs="仿宋"/>
                <w:color w:val="auto"/>
                <w:spacing w:val="-5"/>
                <w:sz w:val="28"/>
                <w:szCs w:val="28"/>
              </w:rPr>
              <w:t>评审</w:t>
            </w:r>
          </w:p>
          <w:p>
            <w:pPr>
              <w:keepNext w:val="0"/>
              <w:keepLines w:val="0"/>
              <w:pageBreakBefore w:val="0"/>
              <w:widowControl/>
              <w:kinsoku/>
              <w:wordWrap/>
              <w:overflowPunct/>
              <w:topLinePunct w:val="0"/>
              <w:autoSpaceDE/>
              <w:autoSpaceDN/>
              <w:bidi w:val="0"/>
              <w:adjustRightInd w:val="0"/>
              <w:snapToGrid w:val="0"/>
              <w:spacing w:line="240" w:lineRule="auto"/>
              <w:ind w:right="0"/>
              <w:jc w:val="center"/>
              <w:textAlignment w:val="baseline"/>
              <w:rPr>
                <w:rFonts w:ascii="仿宋" w:hAnsi="仿宋" w:eastAsia="仿宋" w:cs="仿宋"/>
                <w:color w:val="auto"/>
                <w:sz w:val="28"/>
                <w:szCs w:val="28"/>
              </w:rPr>
            </w:pPr>
            <w:r>
              <w:rPr>
                <w:rFonts w:ascii="仿宋" w:hAnsi="仿宋" w:eastAsia="仿宋" w:cs="仿宋"/>
                <w:color w:val="auto"/>
                <w:spacing w:val="-5"/>
                <w:sz w:val="28"/>
                <w:szCs w:val="28"/>
              </w:rPr>
              <w:t>标准</w:t>
            </w:r>
          </w:p>
        </w:tc>
        <w:tc>
          <w:tcPr>
            <w:tcW w:w="778"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right="0"/>
              <w:jc w:val="center"/>
              <w:textAlignment w:val="baseline"/>
              <w:rPr>
                <w:rFonts w:ascii="仿宋" w:hAnsi="仿宋" w:eastAsia="仿宋" w:cs="仿宋"/>
                <w:color w:val="auto"/>
                <w:spacing w:val="-10"/>
                <w:sz w:val="28"/>
                <w:szCs w:val="28"/>
              </w:rPr>
            </w:pPr>
            <w:r>
              <w:rPr>
                <w:rFonts w:ascii="仿宋" w:hAnsi="仿宋" w:eastAsia="仿宋" w:cs="仿宋"/>
                <w:color w:val="auto"/>
                <w:spacing w:val="-10"/>
                <w:sz w:val="28"/>
                <w:szCs w:val="28"/>
              </w:rPr>
              <w:t>备</w:t>
            </w:r>
          </w:p>
          <w:p>
            <w:pPr>
              <w:keepNext w:val="0"/>
              <w:keepLines w:val="0"/>
              <w:pageBreakBefore w:val="0"/>
              <w:widowControl/>
              <w:kinsoku/>
              <w:wordWrap/>
              <w:overflowPunct/>
              <w:topLinePunct w:val="0"/>
              <w:autoSpaceDE/>
              <w:autoSpaceDN/>
              <w:bidi w:val="0"/>
              <w:adjustRightInd w:val="0"/>
              <w:snapToGrid w:val="0"/>
              <w:spacing w:line="240" w:lineRule="auto"/>
              <w:ind w:right="0"/>
              <w:jc w:val="center"/>
              <w:textAlignment w:val="baseline"/>
              <w:rPr>
                <w:rFonts w:ascii="仿宋" w:hAnsi="仿宋" w:eastAsia="仿宋" w:cs="仿宋"/>
                <w:color w:val="auto"/>
                <w:sz w:val="28"/>
                <w:szCs w:val="28"/>
              </w:rPr>
            </w:pPr>
            <w:r>
              <w:rPr>
                <w:rFonts w:ascii="仿宋" w:hAnsi="仿宋" w:eastAsia="仿宋" w:cs="仿宋"/>
                <w:color w:val="auto"/>
                <w:spacing w:val="-10"/>
                <w:sz w:val="28"/>
                <w:szCs w:val="28"/>
              </w:rPr>
              <w:t>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1" w:hRule="atLeast"/>
        </w:trPr>
        <w:tc>
          <w:tcPr>
            <w:tcW w:w="996"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41"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183"/>
              <w:textAlignment w:val="baseline"/>
              <w:rPr>
                <w:rFonts w:ascii="仿宋" w:hAnsi="仿宋" w:eastAsia="仿宋" w:cs="仿宋"/>
                <w:color w:val="auto"/>
                <w:sz w:val="28"/>
                <w:szCs w:val="28"/>
              </w:rPr>
            </w:pPr>
            <w:r>
              <w:rPr>
                <w:rFonts w:ascii="仿宋" w:hAnsi="仿宋" w:eastAsia="仿宋" w:cs="仿宋"/>
                <w:color w:val="auto"/>
                <w:spacing w:val="-10"/>
                <w:sz w:val="28"/>
                <w:szCs w:val="28"/>
              </w:rPr>
              <w:t>100</w:t>
            </w: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200"/>
              <w:textAlignment w:val="baseline"/>
              <w:rPr>
                <w:rFonts w:ascii="仿宋" w:hAnsi="仿宋" w:eastAsia="仿宋" w:cs="仿宋"/>
                <w:color w:val="auto"/>
                <w:sz w:val="28"/>
                <w:szCs w:val="28"/>
              </w:rPr>
            </w:pPr>
            <w:r>
              <w:rPr>
                <w:rFonts w:ascii="仿宋" w:hAnsi="仿宋" w:eastAsia="仿宋" w:cs="仿宋"/>
                <w:color w:val="auto"/>
                <w:spacing w:val="-4"/>
                <w:sz w:val="28"/>
                <w:szCs w:val="28"/>
              </w:rPr>
              <w:t>分项最高分值</w:t>
            </w:r>
          </w:p>
        </w:tc>
        <w:tc>
          <w:tcPr>
            <w:tcW w:w="4166"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78"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6" w:hRule="atLeast"/>
        </w:trPr>
        <w:tc>
          <w:tcPr>
            <w:tcW w:w="996"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firstLine="141"/>
              <w:textAlignment w:val="baseline"/>
              <w:rPr>
                <w:rFonts w:ascii="仿宋" w:hAnsi="仿宋" w:eastAsia="仿宋" w:cs="仿宋"/>
                <w:color w:val="auto"/>
                <w:sz w:val="28"/>
                <w:szCs w:val="28"/>
              </w:rPr>
            </w:pPr>
            <w:r>
              <w:rPr>
                <w:rFonts w:ascii="仿宋" w:hAnsi="仿宋" w:eastAsia="仿宋" w:cs="仿宋"/>
                <w:color w:val="auto"/>
                <w:spacing w:val="-9"/>
                <w:sz w:val="28"/>
                <w:szCs w:val="28"/>
              </w:rPr>
              <w:t>报价</w:t>
            </w:r>
            <w:r>
              <w:rPr>
                <w:rFonts w:ascii="仿宋" w:hAnsi="仿宋" w:eastAsia="仿宋" w:cs="仿宋"/>
                <w:color w:val="auto"/>
                <w:spacing w:val="-7"/>
                <w:sz w:val="28"/>
                <w:szCs w:val="28"/>
              </w:rPr>
              <w:t>（优惠</w:t>
            </w:r>
            <w:r>
              <w:rPr>
                <w:rFonts w:ascii="仿宋" w:hAnsi="仿宋" w:eastAsia="仿宋" w:cs="仿宋"/>
                <w:color w:val="auto"/>
                <w:spacing w:val="28"/>
                <w:w w:val="112"/>
                <w:sz w:val="28"/>
                <w:szCs w:val="28"/>
              </w:rPr>
              <w:t>率）</w:t>
            </w:r>
          </w:p>
        </w:tc>
        <w:tc>
          <w:tcPr>
            <w:tcW w:w="741"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firstLine="235"/>
              <w:textAlignment w:val="baseline"/>
              <w:rPr>
                <w:rFonts w:ascii="仿宋" w:hAnsi="仿宋" w:eastAsia="仿宋" w:cs="仿宋"/>
                <w:color w:val="auto"/>
                <w:sz w:val="28"/>
                <w:szCs w:val="28"/>
              </w:rPr>
            </w:pPr>
            <w:r>
              <w:rPr>
                <w:rFonts w:hint="eastAsia" w:ascii="仿宋" w:hAnsi="仿宋" w:eastAsia="仿宋" w:cs="仿宋"/>
                <w:color w:val="auto"/>
                <w:spacing w:val="-6"/>
                <w:sz w:val="28"/>
                <w:szCs w:val="28"/>
                <w:lang w:val="en-US" w:eastAsia="zh-CN"/>
              </w:rPr>
              <w:t>3</w:t>
            </w:r>
            <w:r>
              <w:rPr>
                <w:rFonts w:ascii="仿宋" w:hAnsi="仿宋" w:eastAsia="仿宋" w:cs="仿宋"/>
                <w:color w:val="auto"/>
                <w:spacing w:val="-6"/>
                <w:sz w:val="28"/>
                <w:szCs w:val="28"/>
              </w:rPr>
              <w:t>0</w:t>
            </w: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hanging="732"/>
              <w:jc w:val="center"/>
              <w:textAlignment w:val="baseline"/>
              <w:rPr>
                <w:rFonts w:ascii="仿宋" w:hAnsi="仿宋" w:eastAsia="仿宋" w:cs="仿宋"/>
                <w:color w:val="auto"/>
                <w:sz w:val="28"/>
                <w:szCs w:val="28"/>
              </w:rPr>
            </w:pPr>
            <w:r>
              <w:rPr>
                <w:rFonts w:ascii="仿宋" w:hAnsi="仿宋" w:eastAsia="仿宋" w:cs="仿宋"/>
                <w:color w:val="auto"/>
                <w:spacing w:val="-6"/>
                <w:sz w:val="28"/>
                <w:szCs w:val="28"/>
              </w:rPr>
              <w:t>新车（</w:t>
            </w:r>
            <w:r>
              <w:rPr>
                <w:rFonts w:hint="eastAsia" w:ascii="仿宋" w:hAnsi="仿宋" w:eastAsia="仿宋" w:cs="仿宋"/>
                <w:color w:val="auto"/>
                <w:spacing w:val="-6"/>
                <w:sz w:val="28"/>
                <w:szCs w:val="28"/>
                <w:lang w:val="en-US" w:eastAsia="zh-CN"/>
              </w:rPr>
              <w:t xml:space="preserve"> </w:t>
            </w:r>
            <w:r>
              <w:rPr>
                <w:rFonts w:ascii="仿宋" w:hAnsi="仿宋" w:eastAsia="仿宋" w:cs="仿宋"/>
                <w:color w:val="auto"/>
                <w:spacing w:val="-6"/>
                <w:sz w:val="28"/>
                <w:szCs w:val="28"/>
              </w:rPr>
              <w:t>商业险）</w:t>
            </w:r>
            <w:r>
              <w:rPr>
                <w:rFonts w:hint="eastAsia" w:ascii="仿宋" w:hAnsi="仿宋" w:eastAsia="仿宋" w:cs="仿宋"/>
                <w:color w:val="auto"/>
                <w:spacing w:val="-6"/>
                <w:sz w:val="28"/>
                <w:szCs w:val="28"/>
                <w:lang w:val="en-US" w:eastAsia="zh-CN"/>
              </w:rPr>
              <w:t>7</w:t>
            </w:r>
            <w:r>
              <w:rPr>
                <w:rFonts w:ascii="仿宋" w:hAnsi="仿宋" w:eastAsia="仿宋" w:cs="仿宋"/>
                <w:color w:val="auto"/>
                <w:spacing w:val="-8"/>
                <w:sz w:val="28"/>
                <w:szCs w:val="28"/>
              </w:rPr>
              <w:t>分</w:t>
            </w:r>
          </w:p>
        </w:tc>
        <w:tc>
          <w:tcPr>
            <w:tcW w:w="4166"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628" w:firstLineChars="200"/>
              <w:textAlignment w:val="baseline"/>
              <w:rPr>
                <w:rFonts w:ascii="仿宋" w:hAnsi="仿宋" w:eastAsia="仿宋" w:cs="仿宋"/>
                <w:color w:val="auto"/>
                <w:spacing w:val="17"/>
                <w:sz w:val="28"/>
                <w:szCs w:val="28"/>
              </w:rPr>
            </w:pPr>
          </w:p>
          <w:p>
            <w:pPr>
              <w:keepNext w:val="0"/>
              <w:keepLines w:val="0"/>
              <w:pageBreakBefore w:val="0"/>
              <w:widowControl/>
              <w:kinsoku/>
              <w:wordWrap/>
              <w:overflowPunct/>
              <w:topLinePunct w:val="0"/>
              <w:autoSpaceDE/>
              <w:autoSpaceDN/>
              <w:bidi w:val="0"/>
              <w:adjustRightInd w:val="0"/>
              <w:snapToGrid w:val="0"/>
              <w:spacing w:line="240" w:lineRule="auto"/>
              <w:ind w:left="0" w:right="0" w:firstLine="628" w:firstLineChars="200"/>
              <w:textAlignment w:val="baseline"/>
              <w:rPr>
                <w:rFonts w:ascii="仿宋" w:hAnsi="仿宋" w:eastAsia="仿宋" w:cs="仿宋"/>
                <w:color w:val="auto"/>
                <w:sz w:val="28"/>
                <w:szCs w:val="28"/>
              </w:rPr>
            </w:pPr>
            <w:r>
              <w:rPr>
                <w:rFonts w:ascii="仿宋" w:hAnsi="仿宋" w:eastAsia="仿宋" w:cs="仿宋"/>
                <w:color w:val="auto"/>
                <w:spacing w:val="17"/>
                <w:sz w:val="28"/>
                <w:szCs w:val="28"/>
              </w:rPr>
              <w:t>满足招标文件要求且投标最高的</w:t>
            </w:r>
            <w:r>
              <w:rPr>
                <w:rFonts w:ascii="仿宋" w:hAnsi="仿宋" w:eastAsia="仿宋" w:cs="仿宋"/>
                <w:color w:val="auto"/>
                <w:spacing w:val="-3"/>
                <w:sz w:val="28"/>
                <w:szCs w:val="28"/>
              </w:rPr>
              <w:t>投标优惠率为评标基准折扣，其报价分为满分。其他投标供应商的报</w:t>
            </w:r>
            <w:r>
              <w:rPr>
                <w:rFonts w:ascii="仿宋" w:hAnsi="仿宋" w:eastAsia="仿宋" w:cs="仿宋"/>
                <w:color w:val="auto"/>
                <w:spacing w:val="-15"/>
                <w:sz w:val="28"/>
                <w:szCs w:val="28"/>
              </w:rPr>
              <w:t>价分值统一按照下列公式计算：</w:t>
            </w:r>
            <w:r>
              <w:rPr>
                <w:rFonts w:ascii="仿宋" w:hAnsi="仿宋" w:eastAsia="仿宋" w:cs="仿宋"/>
                <w:spacing w:val="-11"/>
                <w:sz w:val="28"/>
                <w:szCs w:val="28"/>
              </w:rPr>
              <w:t>投标报价得分=（评标基准价/投标报价）×价格权</w:t>
            </w:r>
            <w:r>
              <w:rPr>
                <w:rFonts w:ascii="仿宋" w:hAnsi="仿宋" w:eastAsia="仿宋" w:cs="仿宋"/>
                <w:spacing w:val="-5"/>
                <w:sz w:val="28"/>
                <w:szCs w:val="28"/>
              </w:rPr>
              <w:t>值%×100。</w:t>
            </w:r>
          </w:p>
        </w:tc>
        <w:tc>
          <w:tcPr>
            <w:tcW w:w="778" w:type="dxa"/>
            <w:vMerge w:val="restart"/>
            <w:tcBorders>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15" w:hRule="atLeast"/>
        </w:trPr>
        <w:tc>
          <w:tcPr>
            <w:tcW w:w="99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41"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344"/>
              <w:textAlignment w:val="baseline"/>
              <w:rPr>
                <w:rFonts w:ascii="仿宋" w:hAnsi="仿宋" w:eastAsia="仿宋" w:cs="仿宋"/>
                <w:color w:val="auto"/>
                <w:sz w:val="28"/>
                <w:szCs w:val="28"/>
              </w:rPr>
            </w:pPr>
            <w:r>
              <w:rPr>
                <w:rFonts w:ascii="仿宋" w:hAnsi="仿宋" w:eastAsia="仿宋" w:cs="仿宋"/>
                <w:color w:val="auto"/>
                <w:spacing w:val="-5"/>
                <w:sz w:val="28"/>
                <w:szCs w:val="28"/>
              </w:rPr>
              <w:t>三年无事故</w:t>
            </w:r>
          </w:p>
          <w:p>
            <w:pPr>
              <w:keepNext w:val="0"/>
              <w:keepLines w:val="0"/>
              <w:pageBreakBefore w:val="0"/>
              <w:widowControl/>
              <w:kinsoku/>
              <w:wordWrap/>
              <w:overflowPunct/>
              <w:topLinePunct w:val="0"/>
              <w:autoSpaceDE/>
              <w:autoSpaceDN/>
              <w:bidi w:val="0"/>
              <w:adjustRightInd w:val="0"/>
              <w:snapToGrid w:val="0"/>
              <w:spacing w:line="240" w:lineRule="auto"/>
              <w:ind w:right="0"/>
              <w:textAlignment w:val="baseline"/>
              <w:rPr>
                <w:rFonts w:ascii="仿宋" w:hAnsi="仿宋" w:eastAsia="仿宋" w:cs="仿宋"/>
                <w:color w:val="auto"/>
                <w:sz w:val="28"/>
                <w:szCs w:val="28"/>
              </w:rPr>
            </w:pPr>
            <w:r>
              <w:rPr>
                <w:rFonts w:ascii="仿宋" w:hAnsi="仿宋" w:eastAsia="仿宋" w:cs="仿宋"/>
                <w:color w:val="auto"/>
                <w:spacing w:val="-4"/>
                <w:sz w:val="28"/>
                <w:szCs w:val="28"/>
              </w:rPr>
              <w:t>（商业险）</w:t>
            </w:r>
            <w:r>
              <w:rPr>
                <w:rFonts w:hint="eastAsia" w:ascii="仿宋" w:hAnsi="仿宋" w:eastAsia="仿宋" w:cs="仿宋"/>
                <w:color w:val="auto"/>
                <w:spacing w:val="-4"/>
                <w:sz w:val="28"/>
                <w:szCs w:val="28"/>
                <w:lang w:val="en-US" w:eastAsia="zh-CN"/>
              </w:rPr>
              <w:t>8</w:t>
            </w:r>
            <w:r>
              <w:rPr>
                <w:rFonts w:ascii="仿宋" w:hAnsi="仿宋" w:eastAsia="仿宋" w:cs="仿宋"/>
                <w:color w:val="auto"/>
                <w:spacing w:val="-8"/>
                <w:sz w:val="28"/>
                <w:szCs w:val="28"/>
              </w:rPr>
              <w:t>分</w:t>
            </w:r>
          </w:p>
        </w:tc>
        <w:tc>
          <w:tcPr>
            <w:tcW w:w="416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78"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11" w:hRule="atLeast"/>
        </w:trPr>
        <w:tc>
          <w:tcPr>
            <w:tcW w:w="99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41"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62"/>
              <w:jc w:val="right"/>
              <w:textAlignment w:val="baseline"/>
              <w:rPr>
                <w:rFonts w:ascii="仿宋" w:hAnsi="仿宋" w:eastAsia="仿宋" w:cs="仿宋"/>
                <w:color w:val="auto"/>
                <w:sz w:val="28"/>
                <w:szCs w:val="28"/>
              </w:rPr>
            </w:pPr>
            <w:r>
              <w:rPr>
                <w:rFonts w:ascii="仿宋" w:hAnsi="仿宋" w:eastAsia="仿宋" w:cs="仿宋"/>
                <w:color w:val="auto"/>
                <w:spacing w:val="-4"/>
                <w:sz w:val="28"/>
                <w:szCs w:val="28"/>
              </w:rPr>
              <w:t>一年内连续出险</w:t>
            </w:r>
          </w:p>
          <w:p>
            <w:pPr>
              <w:keepNext w:val="0"/>
              <w:keepLines w:val="0"/>
              <w:pageBreakBefore w:val="0"/>
              <w:widowControl/>
              <w:kinsoku/>
              <w:wordWrap/>
              <w:overflowPunct/>
              <w:topLinePunct w:val="0"/>
              <w:autoSpaceDE/>
              <w:autoSpaceDN/>
              <w:bidi w:val="0"/>
              <w:adjustRightInd w:val="0"/>
              <w:snapToGrid w:val="0"/>
              <w:spacing w:line="240" w:lineRule="auto"/>
              <w:ind w:left="0" w:right="0" w:hanging="716"/>
              <w:jc w:val="right"/>
              <w:textAlignment w:val="baseline"/>
              <w:rPr>
                <w:rFonts w:ascii="仿宋" w:hAnsi="仿宋" w:eastAsia="仿宋" w:cs="仿宋"/>
                <w:color w:val="auto"/>
                <w:sz w:val="28"/>
                <w:szCs w:val="28"/>
              </w:rPr>
            </w:pPr>
            <w:r>
              <w:rPr>
                <w:rFonts w:ascii="仿宋" w:hAnsi="仿宋" w:eastAsia="仿宋" w:cs="仿宋"/>
                <w:color w:val="auto"/>
                <w:spacing w:val="-8"/>
                <w:sz w:val="28"/>
                <w:szCs w:val="28"/>
              </w:rPr>
              <w:t>两次（商业险）</w:t>
            </w:r>
            <w:r>
              <w:rPr>
                <w:rFonts w:hint="eastAsia" w:ascii="仿宋" w:hAnsi="仿宋" w:eastAsia="仿宋" w:cs="仿宋"/>
                <w:color w:val="auto"/>
                <w:spacing w:val="-8"/>
                <w:sz w:val="28"/>
                <w:szCs w:val="28"/>
                <w:lang w:val="en-US" w:eastAsia="zh-CN"/>
              </w:rPr>
              <w:t>7</w:t>
            </w:r>
            <w:r>
              <w:rPr>
                <w:rFonts w:ascii="仿宋" w:hAnsi="仿宋" w:eastAsia="仿宋" w:cs="仿宋"/>
                <w:color w:val="auto"/>
                <w:spacing w:val="-8"/>
                <w:sz w:val="28"/>
                <w:szCs w:val="28"/>
              </w:rPr>
              <w:t>分</w:t>
            </w:r>
          </w:p>
        </w:tc>
        <w:tc>
          <w:tcPr>
            <w:tcW w:w="416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78"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57" w:hRule="atLeast"/>
        </w:trPr>
        <w:tc>
          <w:tcPr>
            <w:tcW w:w="996"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41"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344"/>
              <w:textAlignment w:val="baseline"/>
              <w:rPr>
                <w:rFonts w:ascii="仿宋" w:hAnsi="仿宋" w:eastAsia="仿宋" w:cs="仿宋"/>
                <w:color w:val="auto"/>
                <w:sz w:val="28"/>
                <w:szCs w:val="28"/>
              </w:rPr>
            </w:pPr>
            <w:r>
              <w:rPr>
                <w:rFonts w:ascii="仿宋" w:hAnsi="仿宋" w:eastAsia="仿宋" w:cs="仿宋"/>
                <w:color w:val="auto"/>
                <w:spacing w:val="-5"/>
                <w:sz w:val="28"/>
                <w:szCs w:val="28"/>
              </w:rPr>
              <w:t>三年无事故</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firstLine="0" w:firstLineChars="0"/>
              <w:textAlignment w:val="baseline"/>
              <w:rPr>
                <w:rFonts w:ascii="仿宋" w:hAnsi="仿宋" w:eastAsia="仿宋" w:cs="仿宋"/>
                <w:color w:val="auto"/>
                <w:sz w:val="28"/>
                <w:szCs w:val="28"/>
              </w:rPr>
            </w:pPr>
            <w:r>
              <w:rPr>
                <w:rFonts w:ascii="仿宋" w:hAnsi="仿宋" w:eastAsia="仿宋" w:cs="仿宋"/>
                <w:color w:val="auto"/>
                <w:spacing w:val="-4"/>
                <w:sz w:val="28"/>
                <w:szCs w:val="28"/>
              </w:rPr>
              <w:t>（强制险）</w:t>
            </w:r>
            <w:r>
              <w:rPr>
                <w:rFonts w:hint="eastAsia" w:ascii="仿宋" w:hAnsi="仿宋" w:eastAsia="仿宋" w:cs="仿宋"/>
                <w:color w:val="auto"/>
                <w:spacing w:val="-4"/>
                <w:sz w:val="28"/>
                <w:szCs w:val="28"/>
                <w:lang w:val="en-US" w:eastAsia="zh-CN"/>
              </w:rPr>
              <w:t>8</w:t>
            </w:r>
            <w:r>
              <w:rPr>
                <w:rFonts w:ascii="仿宋" w:hAnsi="仿宋" w:eastAsia="仿宋" w:cs="仿宋"/>
                <w:color w:val="auto"/>
                <w:spacing w:val="-8"/>
                <w:sz w:val="28"/>
                <w:szCs w:val="28"/>
              </w:rPr>
              <w:t>分</w:t>
            </w:r>
          </w:p>
        </w:tc>
        <w:tc>
          <w:tcPr>
            <w:tcW w:w="4166"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c>
          <w:tcPr>
            <w:tcW w:w="778"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742" w:hRule="atLeast"/>
        </w:trPr>
        <w:tc>
          <w:tcPr>
            <w:tcW w:w="996"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ascii="仿宋" w:hAnsi="仿宋" w:eastAsia="仿宋" w:cs="仿宋"/>
                <w:color w:val="auto"/>
                <w:spacing w:val="-6"/>
                <w:sz w:val="28"/>
                <w:szCs w:val="28"/>
              </w:rPr>
            </w:pPr>
            <w:r>
              <w:rPr>
                <w:rFonts w:ascii="仿宋" w:hAnsi="仿宋" w:eastAsia="仿宋" w:cs="仿宋"/>
                <w:color w:val="auto"/>
                <w:spacing w:val="-6"/>
                <w:sz w:val="28"/>
                <w:szCs w:val="28"/>
              </w:rPr>
              <w:t>投</w:t>
            </w:r>
            <w:r>
              <w:rPr>
                <w:rFonts w:hint="eastAsia" w:ascii="仿宋" w:hAnsi="仿宋" w:eastAsia="仿宋" w:cs="仿宋"/>
                <w:color w:val="auto"/>
                <w:spacing w:val="-6"/>
                <w:sz w:val="28"/>
                <w:szCs w:val="28"/>
                <w:lang w:val="en-US" w:eastAsia="zh-CN"/>
              </w:rPr>
              <w:t xml:space="preserve"> </w:t>
            </w:r>
            <w:r>
              <w:rPr>
                <w:rFonts w:ascii="仿宋" w:hAnsi="仿宋" w:eastAsia="仿宋" w:cs="仿宋"/>
                <w:color w:val="auto"/>
                <w:spacing w:val="-6"/>
                <w:sz w:val="28"/>
                <w:szCs w:val="28"/>
              </w:rPr>
              <w:t>标</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ascii="仿宋" w:hAnsi="仿宋" w:eastAsia="仿宋" w:cs="仿宋"/>
                <w:color w:val="auto"/>
                <w:sz w:val="28"/>
                <w:szCs w:val="28"/>
              </w:rPr>
            </w:pPr>
            <w:r>
              <w:rPr>
                <w:rFonts w:ascii="仿宋" w:hAnsi="仿宋" w:eastAsia="仿宋" w:cs="仿宋"/>
                <w:color w:val="auto"/>
                <w:spacing w:val="-6"/>
                <w:sz w:val="28"/>
                <w:szCs w:val="28"/>
              </w:rPr>
              <w:t>方</w:t>
            </w:r>
            <w:r>
              <w:rPr>
                <w:rFonts w:ascii="仿宋" w:hAnsi="仿宋" w:eastAsia="仿宋" w:cs="仿宋"/>
                <w:color w:val="auto"/>
                <w:sz w:val="28"/>
                <w:szCs w:val="28"/>
              </w:rPr>
              <w:t xml:space="preserve"> 案</w:t>
            </w:r>
          </w:p>
        </w:tc>
        <w:tc>
          <w:tcPr>
            <w:tcW w:w="741"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jc w:val="center"/>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firstLine="237"/>
              <w:jc w:val="both"/>
              <w:textAlignment w:val="baseline"/>
              <w:rPr>
                <w:rFonts w:hint="default" w:ascii="仿宋" w:hAnsi="仿宋" w:eastAsia="仿宋" w:cs="仿宋"/>
                <w:color w:val="auto"/>
                <w:sz w:val="28"/>
                <w:szCs w:val="28"/>
                <w:lang w:val="en-US" w:eastAsia="zh-CN"/>
              </w:rPr>
            </w:pPr>
            <w:r>
              <w:rPr>
                <w:rFonts w:hint="eastAsia" w:ascii="仿宋" w:hAnsi="仿宋" w:eastAsia="仿宋" w:cs="仿宋"/>
                <w:color w:val="auto"/>
                <w:spacing w:val="-7"/>
                <w:sz w:val="28"/>
                <w:szCs w:val="28"/>
                <w:lang w:val="en-US" w:eastAsia="zh-CN"/>
              </w:rPr>
              <w:t>40</w:t>
            </w:r>
          </w:p>
        </w:tc>
        <w:tc>
          <w:tcPr>
            <w:tcW w:w="2037" w:type="dxa"/>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firstLine="892"/>
              <w:jc w:val="both"/>
              <w:textAlignment w:val="baseline"/>
              <w:rPr>
                <w:rFonts w:hint="eastAsia" w:ascii="仿宋" w:hAnsi="仿宋" w:eastAsia="仿宋" w:cs="仿宋"/>
                <w:color w:val="auto"/>
                <w:sz w:val="28"/>
                <w:szCs w:val="28"/>
                <w:lang w:val="en-US" w:eastAsia="zh-CN"/>
              </w:rPr>
            </w:pPr>
            <w:r>
              <w:rPr>
                <w:rFonts w:ascii="仿宋" w:hAnsi="仿宋" w:eastAsia="仿宋" w:cs="仿宋"/>
                <w:color w:val="auto"/>
                <w:spacing w:val="-7"/>
                <w:sz w:val="28"/>
                <w:szCs w:val="28"/>
              </w:rPr>
              <w:t>2</w:t>
            </w:r>
            <w:r>
              <w:rPr>
                <w:rFonts w:hint="eastAsia" w:ascii="仿宋" w:hAnsi="仿宋" w:eastAsia="仿宋" w:cs="仿宋"/>
                <w:color w:val="auto"/>
                <w:spacing w:val="-7"/>
                <w:sz w:val="28"/>
                <w:szCs w:val="28"/>
                <w:lang w:val="en-US" w:eastAsia="zh-CN"/>
              </w:rPr>
              <w:t>0</w:t>
            </w:r>
          </w:p>
        </w:tc>
        <w:tc>
          <w:tcPr>
            <w:tcW w:w="4166"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502" w:firstLineChars="201"/>
              <w:textAlignment w:val="baseline"/>
              <w:rPr>
                <w:rFonts w:ascii="仿宋" w:hAnsi="仿宋" w:eastAsia="仿宋" w:cs="仿宋"/>
                <w:color w:val="auto"/>
                <w:sz w:val="28"/>
                <w:szCs w:val="28"/>
              </w:rPr>
            </w:pPr>
            <w:r>
              <w:rPr>
                <w:rFonts w:ascii="仿宋" w:hAnsi="仿宋" w:eastAsia="仿宋" w:cs="仿宋"/>
                <w:color w:val="auto"/>
                <w:spacing w:val="-15"/>
                <w:sz w:val="28"/>
                <w:szCs w:val="28"/>
              </w:rPr>
              <w:t>有完整的实施方案：①项目的实施</w:t>
            </w:r>
            <w:r>
              <w:rPr>
                <w:rFonts w:ascii="仿宋" w:hAnsi="仿宋" w:eastAsia="仿宋" w:cs="仿宋"/>
                <w:color w:val="auto"/>
                <w:spacing w:val="-4"/>
                <w:sz w:val="28"/>
                <w:szCs w:val="28"/>
              </w:rPr>
              <w:t>方案（5分</w:t>
            </w:r>
            <w:r>
              <w:rPr>
                <w:rFonts w:ascii="仿宋" w:hAnsi="仿宋" w:eastAsia="仿宋" w:cs="仿宋"/>
                <w:color w:val="auto"/>
                <w:spacing w:val="-86"/>
                <w:sz w:val="28"/>
                <w:szCs w:val="28"/>
              </w:rPr>
              <w:t>）；</w:t>
            </w:r>
            <w:r>
              <w:rPr>
                <w:rFonts w:ascii="仿宋" w:hAnsi="仿宋" w:eastAsia="仿宋" w:cs="仿宋"/>
                <w:color w:val="auto"/>
                <w:spacing w:val="-4"/>
                <w:sz w:val="28"/>
                <w:szCs w:val="28"/>
              </w:rPr>
              <w:t>②管理组织机构图和制度性文件（</w:t>
            </w:r>
            <w:r>
              <w:rPr>
                <w:rFonts w:hint="eastAsia" w:ascii="仿宋" w:hAnsi="仿宋" w:eastAsia="仿宋" w:cs="仿宋"/>
                <w:color w:val="auto"/>
                <w:spacing w:val="-4"/>
                <w:sz w:val="28"/>
                <w:szCs w:val="28"/>
                <w:lang w:val="en-US" w:eastAsia="zh-CN"/>
              </w:rPr>
              <w:t>3</w:t>
            </w:r>
            <w:r>
              <w:rPr>
                <w:rFonts w:ascii="仿宋" w:hAnsi="仿宋" w:eastAsia="仿宋" w:cs="仿宋"/>
                <w:color w:val="auto"/>
                <w:spacing w:val="-4"/>
                <w:sz w:val="28"/>
                <w:szCs w:val="28"/>
              </w:rPr>
              <w:t>分</w:t>
            </w:r>
            <w:r>
              <w:rPr>
                <w:rFonts w:ascii="仿宋" w:hAnsi="仿宋" w:eastAsia="仿宋" w:cs="仿宋"/>
                <w:color w:val="auto"/>
                <w:spacing w:val="-97"/>
                <w:sz w:val="28"/>
                <w:szCs w:val="28"/>
              </w:rPr>
              <w:t>）；</w:t>
            </w:r>
            <w:r>
              <w:rPr>
                <w:rFonts w:ascii="仿宋" w:hAnsi="仿宋" w:eastAsia="仿宋" w:cs="仿宋"/>
                <w:color w:val="auto"/>
                <w:spacing w:val="-4"/>
                <w:sz w:val="28"/>
                <w:szCs w:val="28"/>
              </w:rPr>
              <w:t>③人员配</w:t>
            </w:r>
            <w:r>
              <w:rPr>
                <w:rFonts w:ascii="仿宋" w:hAnsi="仿宋" w:eastAsia="仿宋" w:cs="仿宋"/>
                <w:color w:val="auto"/>
                <w:spacing w:val="1"/>
                <w:sz w:val="28"/>
                <w:szCs w:val="28"/>
              </w:rPr>
              <w:t>备和岗位技术规范表（</w:t>
            </w:r>
            <w:r>
              <w:rPr>
                <w:rFonts w:hint="eastAsia" w:ascii="仿宋" w:hAnsi="仿宋" w:eastAsia="仿宋" w:cs="仿宋"/>
                <w:color w:val="auto"/>
                <w:spacing w:val="1"/>
                <w:sz w:val="28"/>
                <w:szCs w:val="28"/>
                <w:lang w:val="en-US" w:eastAsia="zh-CN"/>
              </w:rPr>
              <w:t>3</w:t>
            </w:r>
            <w:r>
              <w:rPr>
                <w:rFonts w:ascii="仿宋" w:hAnsi="仿宋" w:eastAsia="仿宋" w:cs="仿宋"/>
                <w:color w:val="auto"/>
                <w:spacing w:val="1"/>
                <w:sz w:val="28"/>
                <w:szCs w:val="28"/>
              </w:rPr>
              <w:t>分</w:t>
            </w:r>
            <w:r>
              <w:rPr>
                <w:rFonts w:ascii="仿宋" w:hAnsi="仿宋" w:eastAsia="仿宋" w:cs="仿宋"/>
                <w:color w:val="auto"/>
                <w:spacing w:val="-89"/>
                <w:sz w:val="28"/>
                <w:szCs w:val="28"/>
              </w:rPr>
              <w:t>）；</w:t>
            </w:r>
            <w:r>
              <w:rPr>
                <w:rFonts w:ascii="仿宋" w:hAnsi="仿宋" w:eastAsia="仿宋" w:cs="仿宋"/>
                <w:color w:val="auto"/>
                <w:spacing w:val="1"/>
                <w:sz w:val="28"/>
                <w:szCs w:val="28"/>
              </w:rPr>
              <w:t>④</w:t>
            </w:r>
            <w:r>
              <w:rPr>
                <w:rFonts w:ascii="仿宋" w:hAnsi="仿宋" w:eastAsia="仿宋" w:cs="仿宋"/>
                <w:color w:val="auto"/>
                <w:spacing w:val="14"/>
                <w:w w:val="103"/>
                <w:sz w:val="28"/>
                <w:szCs w:val="28"/>
              </w:rPr>
              <w:t>拟投入的仪器设备人员清单（</w:t>
            </w:r>
            <w:r>
              <w:rPr>
                <w:rFonts w:hint="eastAsia" w:ascii="仿宋" w:hAnsi="仿宋" w:eastAsia="仿宋" w:cs="仿宋"/>
                <w:color w:val="auto"/>
                <w:spacing w:val="14"/>
                <w:w w:val="103"/>
                <w:sz w:val="28"/>
                <w:szCs w:val="28"/>
                <w:lang w:val="en-US" w:eastAsia="zh-CN"/>
              </w:rPr>
              <w:t>3</w:t>
            </w:r>
            <w:r>
              <w:rPr>
                <w:rFonts w:ascii="仿宋" w:hAnsi="仿宋" w:eastAsia="仿宋" w:cs="仿宋"/>
                <w:color w:val="auto"/>
                <w:spacing w:val="1"/>
                <w:sz w:val="28"/>
                <w:szCs w:val="28"/>
              </w:rPr>
              <w:t>分</w:t>
            </w:r>
            <w:r>
              <w:rPr>
                <w:rFonts w:ascii="仿宋" w:hAnsi="仿宋" w:eastAsia="仿宋" w:cs="仿宋"/>
                <w:color w:val="auto"/>
                <w:spacing w:val="-93"/>
                <w:sz w:val="28"/>
                <w:szCs w:val="28"/>
              </w:rPr>
              <w:t>）；</w:t>
            </w:r>
            <w:r>
              <w:rPr>
                <w:rFonts w:ascii="仿宋" w:hAnsi="仿宋" w:eastAsia="仿宋" w:cs="仿宋"/>
                <w:color w:val="auto"/>
                <w:spacing w:val="1"/>
                <w:sz w:val="28"/>
                <w:szCs w:val="28"/>
              </w:rPr>
              <w:t>⑤安全文明措施（</w:t>
            </w:r>
            <w:r>
              <w:rPr>
                <w:rFonts w:hint="eastAsia" w:ascii="仿宋" w:hAnsi="仿宋" w:eastAsia="仿宋" w:cs="仿宋"/>
                <w:color w:val="auto"/>
                <w:spacing w:val="1"/>
                <w:sz w:val="28"/>
                <w:szCs w:val="28"/>
                <w:lang w:val="en-US" w:eastAsia="zh-CN"/>
              </w:rPr>
              <w:t>3</w:t>
            </w:r>
            <w:r>
              <w:rPr>
                <w:rFonts w:ascii="仿宋" w:hAnsi="仿宋" w:eastAsia="仿宋" w:cs="仿宋"/>
                <w:color w:val="auto"/>
                <w:spacing w:val="1"/>
                <w:sz w:val="28"/>
                <w:szCs w:val="28"/>
              </w:rPr>
              <w:t>分</w:t>
            </w:r>
            <w:r>
              <w:rPr>
                <w:rFonts w:ascii="仿宋" w:hAnsi="仿宋" w:eastAsia="仿宋" w:cs="仿宋"/>
                <w:color w:val="auto"/>
                <w:spacing w:val="-93"/>
                <w:sz w:val="28"/>
                <w:szCs w:val="28"/>
              </w:rPr>
              <w:t>）；</w:t>
            </w:r>
            <w:r>
              <w:rPr>
                <w:rFonts w:ascii="仿宋" w:hAnsi="仿宋" w:eastAsia="仿宋" w:cs="仿宋"/>
                <w:color w:val="auto"/>
                <w:spacing w:val="14"/>
                <w:w w:val="103"/>
                <w:sz w:val="28"/>
                <w:szCs w:val="28"/>
              </w:rPr>
              <w:t>⑥各种风险措施和预案措施（</w:t>
            </w:r>
            <w:r>
              <w:rPr>
                <w:rFonts w:hint="eastAsia" w:ascii="仿宋" w:hAnsi="仿宋" w:eastAsia="仿宋" w:cs="仿宋"/>
                <w:color w:val="auto"/>
                <w:spacing w:val="14"/>
                <w:w w:val="103"/>
                <w:sz w:val="28"/>
                <w:szCs w:val="28"/>
                <w:lang w:val="en-US" w:eastAsia="zh-CN"/>
              </w:rPr>
              <w:t>3</w:t>
            </w:r>
            <w:r>
              <w:rPr>
                <w:rFonts w:ascii="仿宋" w:hAnsi="仿宋" w:eastAsia="仿宋" w:cs="仿宋"/>
                <w:color w:val="auto"/>
                <w:spacing w:val="-25"/>
                <w:w w:val="90"/>
                <w:sz w:val="28"/>
                <w:szCs w:val="28"/>
              </w:rPr>
              <w:t>分）。</w:t>
            </w:r>
          </w:p>
        </w:tc>
        <w:tc>
          <w:tcPr>
            <w:tcW w:w="778"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59"/>
              <w:jc w:val="both"/>
              <w:textAlignment w:val="baseline"/>
              <w:rPr>
                <w:rFonts w:ascii="仿宋" w:hAnsi="仿宋" w:eastAsia="仿宋" w:cs="仿宋"/>
                <w:color w:val="auto"/>
                <w:sz w:val="28"/>
                <w:szCs w:val="28"/>
              </w:rPr>
            </w:pPr>
            <w:r>
              <w:rPr>
                <w:rFonts w:ascii="仿宋" w:hAnsi="仿宋" w:eastAsia="仿宋" w:cs="仿宋"/>
                <w:color w:val="auto"/>
                <w:spacing w:val="-23"/>
                <w:position w:val="19"/>
                <w:sz w:val="28"/>
                <w:szCs w:val="28"/>
              </w:rPr>
              <w:t>以供</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31"/>
              <w:jc w:val="both"/>
              <w:textAlignment w:val="baseline"/>
              <w:rPr>
                <w:rFonts w:ascii="仿宋" w:hAnsi="仿宋" w:eastAsia="仿宋" w:cs="仿宋"/>
                <w:color w:val="auto"/>
                <w:sz w:val="28"/>
                <w:szCs w:val="28"/>
              </w:rPr>
            </w:pPr>
            <w:r>
              <w:rPr>
                <w:rFonts w:ascii="仿宋" w:hAnsi="仿宋" w:eastAsia="仿宋" w:cs="仿宋"/>
                <w:color w:val="auto"/>
                <w:spacing w:val="-9"/>
                <w:sz w:val="28"/>
                <w:szCs w:val="28"/>
              </w:rPr>
              <w:t>应商</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30"/>
              <w:jc w:val="both"/>
              <w:textAlignment w:val="baseline"/>
              <w:rPr>
                <w:rFonts w:ascii="仿宋" w:hAnsi="仿宋" w:eastAsia="仿宋" w:cs="仿宋"/>
                <w:color w:val="auto"/>
                <w:sz w:val="28"/>
                <w:szCs w:val="28"/>
              </w:rPr>
            </w:pPr>
            <w:r>
              <w:rPr>
                <w:rFonts w:ascii="仿宋" w:hAnsi="仿宋" w:eastAsia="仿宋" w:cs="仿宋"/>
                <w:color w:val="auto"/>
                <w:spacing w:val="-8"/>
                <w:sz w:val="28"/>
                <w:szCs w:val="28"/>
              </w:rPr>
              <w:t>投标</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31"/>
              <w:jc w:val="both"/>
              <w:textAlignment w:val="baseline"/>
              <w:rPr>
                <w:rFonts w:ascii="仿宋" w:hAnsi="仿宋" w:eastAsia="仿宋" w:cs="仿宋"/>
                <w:color w:val="auto"/>
                <w:sz w:val="28"/>
                <w:szCs w:val="28"/>
              </w:rPr>
            </w:pPr>
            <w:r>
              <w:rPr>
                <w:rFonts w:ascii="仿宋" w:hAnsi="仿宋" w:eastAsia="仿宋" w:cs="仿宋"/>
                <w:color w:val="auto"/>
                <w:spacing w:val="-9"/>
                <w:sz w:val="28"/>
                <w:szCs w:val="28"/>
              </w:rPr>
              <w:t>文件</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34"/>
              <w:jc w:val="both"/>
              <w:textAlignment w:val="baseline"/>
              <w:rPr>
                <w:rFonts w:ascii="仿宋" w:hAnsi="仿宋" w:eastAsia="仿宋" w:cs="仿宋"/>
                <w:color w:val="auto"/>
                <w:sz w:val="28"/>
                <w:szCs w:val="28"/>
              </w:rPr>
            </w:pPr>
            <w:r>
              <w:rPr>
                <w:rFonts w:ascii="仿宋" w:hAnsi="仿宋" w:eastAsia="仿宋" w:cs="仿宋"/>
                <w:color w:val="auto"/>
                <w:spacing w:val="-11"/>
                <w:sz w:val="28"/>
                <w:szCs w:val="28"/>
              </w:rPr>
              <w:t>正本</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67"/>
              <w:jc w:val="both"/>
              <w:textAlignment w:val="baseline"/>
              <w:rPr>
                <w:rFonts w:ascii="仿宋" w:hAnsi="仿宋" w:eastAsia="仿宋" w:cs="仿宋"/>
                <w:color w:val="auto"/>
                <w:sz w:val="28"/>
                <w:szCs w:val="28"/>
              </w:rPr>
            </w:pPr>
            <w:r>
              <w:rPr>
                <w:rFonts w:ascii="仿宋" w:hAnsi="仿宋" w:eastAsia="仿宋" w:cs="仿宋"/>
                <w:color w:val="auto"/>
                <w:spacing w:val="-27"/>
                <w:sz w:val="28"/>
                <w:szCs w:val="28"/>
              </w:rPr>
              <w:t>中提</w:t>
            </w:r>
          </w:p>
          <w:p>
            <w:pPr>
              <w:keepNext w:val="0"/>
              <w:keepLines w:val="0"/>
              <w:pageBreakBefore w:val="0"/>
              <w:widowControl/>
              <w:kinsoku/>
              <w:wordWrap/>
              <w:overflowPunct/>
              <w:topLinePunct w:val="0"/>
              <w:autoSpaceDE/>
              <w:autoSpaceDN/>
              <w:bidi w:val="0"/>
              <w:adjustRightInd w:val="0"/>
              <w:snapToGrid w:val="0"/>
              <w:spacing w:line="240" w:lineRule="auto"/>
              <w:ind w:left="0" w:right="0" w:firstLine="32"/>
              <w:jc w:val="both"/>
              <w:textAlignment w:val="baseline"/>
              <w:rPr>
                <w:rFonts w:ascii="仿宋" w:hAnsi="仿宋" w:eastAsia="仿宋" w:cs="仿宋"/>
                <w:color w:val="auto"/>
                <w:sz w:val="28"/>
                <w:szCs w:val="28"/>
              </w:rPr>
            </w:pPr>
            <w:r>
              <w:rPr>
                <w:rFonts w:ascii="仿宋" w:hAnsi="仿宋" w:eastAsia="仿宋" w:cs="仿宋"/>
                <w:color w:val="auto"/>
                <w:spacing w:val="-9"/>
                <w:sz w:val="28"/>
                <w:szCs w:val="28"/>
              </w:rPr>
              <w:t>供的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428" w:hRule="atLeast"/>
        </w:trPr>
        <w:tc>
          <w:tcPr>
            <w:tcW w:w="996"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firstLine="0" w:firstLineChars="0"/>
              <w:jc w:val="center"/>
              <w:textAlignment w:val="baseline"/>
              <w:rPr>
                <w:rFonts w:ascii="仿宋" w:hAnsi="仿宋" w:eastAsia="仿宋" w:cs="仿宋"/>
                <w:color w:val="auto"/>
                <w:spacing w:val="-6"/>
                <w:sz w:val="28"/>
                <w:szCs w:val="28"/>
              </w:rPr>
            </w:pPr>
          </w:p>
        </w:tc>
        <w:tc>
          <w:tcPr>
            <w:tcW w:w="741"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237"/>
              <w:textAlignment w:val="baseline"/>
              <w:rPr>
                <w:rFonts w:ascii="仿宋" w:hAnsi="仿宋" w:eastAsia="仿宋" w:cs="仿宋"/>
                <w:color w:val="auto"/>
                <w:spacing w:val="-7"/>
                <w:sz w:val="28"/>
                <w:szCs w:val="28"/>
              </w:rPr>
            </w:pPr>
          </w:p>
        </w:tc>
        <w:tc>
          <w:tcPr>
            <w:tcW w:w="2037" w:type="dxa"/>
            <w:vAlign w:val="top"/>
          </w:tcPr>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892" w:firstLineChars="0"/>
              <w:textAlignment w:val="baseline"/>
              <w:rPr>
                <w:rFonts w:hint="eastAsia" w:ascii="仿宋" w:hAnsi="仿宋" w:eastAsia="仿宋" w:cs="仿宋"/>
                <w:color w:val="auto"/>
                <w:kern w:val="2"/>
                <w:sz w:val="28"/>
                <w:szCs w:val="28"/>
                <w:lang w:val="en-US" w:eastAsia="zh-CN" w:bidi="ar-SA"/>
              </w:rPr>
            </w:pPr>
            <w:r>
              <w:rPr>
                <w:rFonts w:ascii="仿宋" w:hAnsi="仿宋" w:eastAsia="仿宋" w:cs="仿宋"/>
                <w:color w:val="auto"/>
                <w:spacing w:val="-7"/>
                <w:sz w:val="28"/>
                <w:szCs w:val="28"/>
              </w:rPr>
              <w:t>2</w:t>
            </w:r>
            <w:r>
              <w:rPr>
                <w:rFonts w:hint="eastAsia" w:ascii="仿宋" w:hAnsi="仿宋" w:eastAsia="仿宋" w:cs="仿宋"/>
                <w:color w:val="auto"/>
                <w:spacing w:val="-7"/>
                <w:sz w:val="28"/>
                <w:szCs w:val="28"/>
                <w:lang w:val="en-US" w:eastAsia="zh-CN"/>
              </w:rPr>
              <w:t>0</w:t>
            </w:r>
          </w:p>
        </w:tc>
        <w:tc>
          <w:tcPr>
            <w:tcW w:w="4166" w:type="dxa"/>
            <w:vAlign w:val="top"/>
          </w:tcPr>
          <w:p>
            <w:pPr>
              <w:keepNext w:val="0"/>
              <w:keepLines w:val="0"/>
              <w:pageBreakBefore w:val="0"/>
              <w:widowControl/>
              <w:kinsoku/>
              <w:wordWrap/>
              <w:overflowPunct/>
              <w:topLinePunct w:val="0"/>
              <w:autoSpaceDE/>
              <w:autoSpaceDN/>
              <w:bidi w:val="0"/>
              <w:adjustRightInd w:val="0"/>
              <w:snapToGrid w:val="0"/>
              <w:spacing w:line="240" w:lineRule="auto"/>
              <w:ind w:left="0" w:right="0" w:firstLine="595" w:firstLineChars="211"/>
              <w:textAlignment w:val="baseline"/>
              <w:rPr>
                <w:rFonts w:ascii="仿宋" w:hAnsi="仿宋" w:eastAsia="仿宋" w:cs="仿宋"/>
                <w:color w:val="auto"/>
                <w:kern w:val="2"/>
                <w:sz w:val="28"/>
                <w:szCs w:val="28"/>
                <w:lang w:val="en-US" w:eastAsia="zh-CN" w:bidi="ar-SA"/>
              </w:rPr>
            </w:pPr>
            <w:r>
              <w:rPr>
                <w:rFonts w:ascii="仿宋" w:hAnsi="仿宋" w:eastAsia="仿宋" w:cs="仿宋"/>
                <w:color w:val="auto"/>
                <w:spacing w:val="1"/>
                <w:sz w:val="28"/>
                <w:szCs w:val="28"/>
              </w:rPr>
              <w:t>服务质量保证措施：服务内容丰</w:t>
            </w:r>
            <w:r>
              <w:rPr>
                <w:rFonts w:ascii="仿宋" w:hAnsi="仿宋" w:eastAsia="仿宋" w:cs="仿宋"/>
                <w:color w:val="auto"/>
                <w:spacing w:val="-4"/>
                <w:sz w:val="28"/>
                <w:szCs w:val="28"/>
              </w:rPr>
              <w:t>富、合理，投保理赔程序清晰便捷</w:t>
            </w:r>
            <w:r>
              <w:rPr>
                <w:rFonts w:ascii="仿宋" w:hAnsi="仿宋" w:eastAsia="仿宋" w:cs="仿宋"/>
                <w:color w:val="auto"/>
                <w:spacing w:val="-3"/>
                <w:sz w:val="28"/>
                <w:szCs w:val="28"/>
              </w:rPr>
              <w:t>迅速，各类培训和增值服务丰富实</w:t>
            </w:r>
            <w:r>
              <w:rPr>
                <w:rFonts w:ascii="仿宋" w:hAnsi="仿宋" w:eastAsia="仿宋" w:cs="仿宋"/>
                <w:color w:val="auto"/>
                <w:spacing w:val="1"/>
                <w:sz w:val="28"/>
                <w:szCs w:val="28"/>
              </w:rPr>
              <w:t>用，再保安排合理（</w:t>
            </w:r>
            <w:r>
              <w:rPr>
                <w:rFonts w:hint="eastAsia" w:ascii="仿宋" w:hAnsi="仿宋" w:eastAsia="仿宋" w:cs="仿宋"/>
                <w:color w:val="auto"/>
                <w:spacing w:val="1"/>
                <w:sz w:val="28"/>
                <w:szCs w:val="28"/>
                <w:lang w:val="en-US" w:eastAsia="zh-CN"/>
              </w:rPr>
              <w:t>10-20</w:t>
            </w:r>
            <w:r>
              <w:rPr>
                <w:rFonts w:ascii="仿宋" w:hAnsi="仿宋" w:eastAsia="仿宋" w:cs="仿宋"/>
                <w:color w:val="auto"/>
                <w:spacing w:val="1"/>
                <w:sz w:val="28"/>
                <w:szCs w:val="28"/>
              </w:rPr>
              <w:t>分</w:t>
            </w:r>
            <w:r>
              <w:rPr>
                <w:rFonts w:ascii="仿宋" w:hAnsi="仿宋" w:eastAsia="仿宋" w:cs="仿宋"/>
                <w:color w:val="auto"/>
                <w:spacing w:val="-93"/>
                <w:sz w:val="28"/>
                <w:szCs w:val="28"/>
              </w:rPr>
              <w:t>）；</w:t>
            </w:r>
            <w:r>
              <w:rPr>
                <w:rFonts w:ascii="仿宋" w:hAnsi="仿宋" w:eastAsia="仿宋" w:cs="仿宋"/>
                <w:color w:val="auto"/>
                <w:spacing w:val="13"/>
                <w:sz w:val="28"/>
                <w:szCs w:val="28"/>
              </w:rPr>
              <w:t>服务内容充实，投保理赔程序规</w:t>
            </w:r>
            <w:r>
              <w:rPr>
                <w:rFonts w:ascii="仿宋" w:hAnsi="仿宋" w:eastAsia="仿宋" w:cs="仿宋"/>
                <w:color w:val="auto"/>
                <w:spacing w:val="-4"/>
                <w:sz w:val="28"/>
                <w:szCs w:val="28"/>
              </w:rPr>
              <w:t>范，各类服务基本满足本项目需求</w:t>
            </w:r>
            <w:r>
              <w:rPr>
                <w:rFonts w:ascii="仿宋" w:hAnsi="仿宋" w:eastAsia="仿宋" w:cs="仿宋"/>
                <w:color w:val="auto"/>
                <w:spacing w:val="-1"/>
                <w:sz w:val="28"/>
                <w:szCs w:val="28"/>
              </w:rPr>
              <w:t>（10-19分</w:t>
            </w:r>
            <w:r>
              <w:rPr>
                <w:rFonts w:ascii="仿宋" w:hAnsi="仿宋" w:eastAsia="仿宋" w:cs="仿宋"/>
                <w:color w:val="auto"/>
                <w:spacing w:val="-78"/>
                <w:sz w:val="28"/>
                <w:szCs w:val="28"/>
              </w:rPr>
              <w:t>）；</w:t>
            </w:r>
            <w:r>
              <w:rPr>
                <w:rFonts w:ascii="仿宋" w:hAnsi="仿宋" w:eastAsia="仿宋" w:cs="仿宋"/>
                <w:color w:val="auto"/>
                <w:spacing w:val="-1"/>
                <w:sz w:val="28"/>
                <w:szCs w:val="28"/>
              </w:rPr>
              <w:t>服务内容一般，投</w:t>
            </w:r>
            <w:r>
              <w:rPr>
                <w:rFonts w:ascii="仿宋" w:hAnsi="仿宋" w:eastAsia="仿宋" w:cs="仿宋"/>
                <w:color w:val="auto"/>
                <w:spacing w:val="-3"/>
                <w:sz w:val="28"/>
                <w:szCs w:val="28"/>
              </w:rPr>
              <w:t>保、理赔、培训等服务欠缺或可操</w:t>
            </w:r>
            <w:r>
              <w:rPr>
                <w:rFonts w:ascii="仿宋" w:hAnsi="仿宋" w:eastAsia="仿宋" w:cs="仿宋"/>
                <w:color w:val="auto"/>
                <w:spacing w:val="-13"/>
                <w:w w:val="97"/>
                <w:sz w:val="28"/>
                <w:szCs w:val="28"/>
              </w:rPr>
              <w:t>作性低（0-9分）。</w:t>
            </w:r>
          </w:p>
        </w:tc>
        <w:tc>
          <w:tcPr>
            <w:tcW w:w="778" w:type="dxa"/>
          </w:tcPr>
          <w:p>
            <w:pPr>
              <w:keepNext w:val="0"/>
              <w:keepLines w:val="0"/>
              <w:pageBreakBefore w:val="0"/>
              <w:widowControl/>
              <w:kinsoku/>
              <w:wordWrap/>
              <w:overflowPunct/>
              <w:topLinePunct w:val="0"/>
              <w:autoSpaceDE/>
              <w:autoSpaceDN/>
              <w:bidi w:val="0"/>
              <w:adjustRightInd w:val="0"/>
              <w:snapToGrid w:val="0"/>
              <w:spacing w:line="240" w:lineRule="auto"/>
              <w:ind w:left="0" w:right="0" w:firstLine="546" w:firstLineChars="215"/>
              <w:jc w:val="left"/>
              <w:textAlignment w:val="baseline"/>
              <w:rPr>
                <w:rFonts w:ascii="仿宋" w:hAnsi="仿宋" w:eastAsia="仿宋" w:cs="仿宋"/>
                <w:color w:val="auto"/>
                <w:spacing w:val="-9"/>
                <w:sz w:val="28"/>
                <w:szCs w:val="28"/>
              </w:rPr>
            </w:pPr>
            <w:r>
              <w:rPr>
                <w:rFonts w:hint="eastAsia" w:ascii="仿宋" w:hAnsi="仿宋" w:eastAsia="仿宋" w:cs="仿宋"/>
                <w:color w:val="auto"/>
                <w:spacing w:val="-3"/>
                <w:sz w:val="26"/>
                <w:szCs w:val="26"/>
                <w:lang w:val="en-US" w:eastAsia="zh-CN"/>
              </w:rPr>
              <w:t xml:space="preserve"> </w:t>
            </w:r>
            <w:r>
              <w:rPr>
                <w:rFonts w:ascii="仿宋" w:hAnsi="仿宋" w:eastAsia="仿宋" w:cs="仿宋"/>
                <w:color w:val="auto"/>
                <w:spacing w:val="-3"/>
                <w:sz w:val="26"/>
                <w:szCs w:val="26"/>
              </w:rPr>
              <w:t>有关</w:t>
            </w:r>
            <w:r>
              <w:rPr>
                <w:rFonts w:ascii="仿宋" w:hAnsi="仿宋" w:eastAsia="仿宋" w:cs="仿宋"/>
                <w:color w:val="auto"/>
                <w:spacing w:val="-4"/>
                <w:sz w:val="26"/>
                <w:szCs w:val="26"/>
              </w:rPr>
              <w:t>证明材料复印件并加盖供应商公章为</w:t>
            </w:r>
            <w:r>
              <w:rPr>
                <w:rFonts w:ascii="仿宋" w:hAnsi="仿宋" w:eastAsia="仿宋" w:cs="仿宋"/>
                <w:color w:val="auto"/>
                <w:spacing w:val="-14"/>
                <w:sz w:val="26"/>
                <w:szCs w:val="26"/>
              </w:rPr>
              <w:t>依据。</w:t>
            </w:r>
          </w:p>
        </w:tc>
      </w:tr>
    </w:tbl>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color w:val="auto"/>
        </w:rPr>
        <w:sectPr>
          <w:headerReference r:id="rId11" w:type="default"/>
          <w:footerReference r:id="rId12" w:type="default"/>
          <w:pgSz w:w="11907" w:h="16840"/>
          <w:pgMar w:top="1417" w:right="1417" w:bottom="1417" w:left="1417" w:header="0" w:footer="1134" w:gutter="0"/>
          <w:pgNumType w:fmt="decimal"/>
          <w:cols w:space="720" w:num="1"/>
          <w:rtlGutter w:val="0"/>
        </w:sectPr>
      </w:pPr>
    </w:p>
    <w:p>
      <w:pPr>
        <w:keepNext w:val="0"/>
        <w:keepLines w:val="0"/>
        <w:pageBreakBefore w:val="0"/>
        <w:widowControl/>
        <w:kinsoku/>
        <w:wordWrap/>
        <w:overflowPunct/>
        <w:topLinePunct w:val="0"/>
        <w:autoSpaceDE/>
        <w:autoSpaceDN/>
        <w:bidi w:val="0"/>
        <w:adjustRightInd w:val="0"/>
        <w:snapToGrid w:val="0"/>
        <w:spacing w:line="240" w:lineRule="auto"/>
        <w:ind w:left="0" w:right="0"/>
        <w:textAlignment w:val="baseline"/>
        <w:rPr>
          <w:color w:val="auto"/>
        </w:rPr>
      </w:pPr>
    </w:p>
    <w:tbl>
      <w:tblPr>
        <w:tblStyle w:val="150"/>
        <w:tblW w:w="880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07"/>
        <w:gridCol w:w="749"/>
        <w:gridCol w:w="2058"/>
        <w:gridCol w:w="4209"/>
        <w:gridCol w:w="7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779" w:hRule="atLeast"/>
        </w:trPr>
        <w:tc>
          <w:tcPr>
            <w:tcW w:w="1007"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88" w:lineRule="auto"/>
              <w:ind w:left="0" w:leftChars="0" w:right="0" w:firstLine="0" w:firstLineChars="0"/>
              <w:jc w:val="center"/>
              <w:textAlignment w:val="baseline"/>
              <w:rPr>
                <w:rFonts w:ascii="仿宋" w:hAnsi="仿宋" w:eastAsia="仿宋" w:cs="仿宋"/>
                <w:color w:val="auto"/>
                <w:spacing w:val="-6"/>
                <w:sz w:val="28"/>
                <w:szCs w:val="28"/>
              </w:rPr>
            </w:pPr>
            <w:r>
              <w:rPr>
                <w:rFonts w:ascii="仿宋" w:hAnsi="仿宋" w:eastAsia="仿宋" w:cs="仿宋"/>
                <w:color w:val="auto"/>
                <w:spacing w:val="-6"/>
                <w:sz w:val="28"/>
                <w:szCs w:val="28"/>
              </w:rPr>
              <w:t>服务及</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firstLine="0" w:firstLineChars="0"/>
              <w:jc w:val="center"/>
              <w:textAlignment w:val="baseline"/>
              <w:rPr>
                <w:rFonts w:ascii="仿宋" w:hAnsi="仿宋" w:eastAsia="仿宋" w:cs="仿宋"/>
                <w:color w:val="auto"/>
                <w:spacing w:val="-6"/>
                <w:sz w:val="28"/>
                <w:szCs w:val="28"/>
              </w:rPr>
            </w:pP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firstLine="0" w:firstLineChars="0"/>
              <w:jc w:val="center"/>
              <w:textAlignment w:val="baseline"/>
              <w:rPr>
                <w:rFonts w:ascii="仿宋" w:hAnsi="仿宋" w:eastAsia="仿宋" w:cs="仿宋"/>
                <w:color w:val="auto"/>
                <w:spacing w:val="-6"/>
                <w:sz w:val="28"/>
                <w:szCs w:val="28"/>
              </w:rPr>
            </w:pP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firstLine="0" w:firstLineChars="0"/>
              <w:jc w:val="center"/>
              <w:textAlignment w:val="baseline"/>
              <w:rPr>
                <w:rFonts w:ascii="仿宋" w:hAnsi="仿宋" w:eastAsia="仿宋" w:cs="仿宋"/>
                <w:color w:val="auto"/>
                <w:spacing w:val="-6"/>
                <w:sz w:val="28"/>
                <w:szCs w:val="28"/>
              </w:rPr>
            </w:pP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firstLine="0" w:firstLineChars="0"/>
              <w:jc w:val="center"/>
              <w:textAlignment w:val="baseline"/>
              <w:rPr>
                <w:rFonts w:ascii="仿宋" w:hAnsi="仿宋" w:eastAsia="仿宋" w:cs="仿宋"/>
                <w:color w:val="auto"/>
                <w:sz w:val="28"/>
                <w:szCs w:val="28"/>
              </w:rPr>
            </w:pPr>
            <w:r>
              <w:rPr>
                <w:rFonts w:ascii="仿宋" w:hAnsi="仿宋" w:eastAsia="仿宋" w:cs="仿宋"/>
                <w:color w:val="auto"/>
                <w:spacing w:val="-9"/>
                <w:sz w:val="28"/>
                <w:szCs w:val="28"/>
              </w:rPr>
              <w:t>承</w:t>
            </w:r>
            <w:r>
              <w:rPr>
                <w:rFonts w:hint="eastAsia" w:ascii="仿宋" w:hAnsi="仿宋" w:eastAsia="仿宋" w:cs="仿宋"/>
                <w:color w:val="auto"/>
                <w:spacing w:val="-9"/>
                <w:sz w:val="28"/>
                <w:szCs w:val="28"/>
                <w:lang w:val="en-US" w:eastAsia="zh-CN"/>
              </w:rPr>
              <w:t xml:space="preserve">  </w:t>
            </w:r>
            <w:r>
              <w:rPr>
                <w:rFonts w:ascii="仿宋" w:hAnsi="仿宋" w:eastAsia="仿宋" w:cs="仿宋"/>
                <w:color w:val="auto"/>
                <w:spacing w:val="-9"/>
                <w:sz w:val="28"/>
                <w:szCs w:val="28"/>
              </w:rPr>
              <w:t>诺</w:t>
            </w:r>
          </w:p>
        </w:tc>
        <w:tc>
          <w:tcPr>
            <w:tcW w:w="749" w:type="dxa"/>
            <w:vMerge w:val="restart"/>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237"/>
              <w:textAlignment w:val="baseline"/>
              <w:rPr>
                <w:rFonts w:ascii="仿宋" w:hAnsi="仿宋" w:eastAsia="仿宋" w:cs="仿宋"/>
                <w:color w:val="auto"/>
                <w:sz w:val="28"/>
                <w:szCs w:val="28"/>
              </w:rPr>
            </w:pPr>
            <w:r>
              <w:rPr>
                <w:rFonts w:ascii="仿宋" w:hAnsi="仿宋" w:eastAsia="仿宋" w:cs="仿宋"/>
                <w:color w:val="auto"/>
                <w:spacing w:val="-7"/>
                <w:sz w:val="28"/>
                <w:szCs w:val="28"/>
              </w:rPr>
              <w:t>30</w:t>
            </w:r>
          </w:p>
        </w:tc>
        <w:tc>
          <w:tcPr>
            <w:tcW w:w="2058" w:type="dxa"/>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910"/>
              <w:textAlignment w:val="baseline"/>
              <w:rPr>
                <w:rFonts w:ascii="仿宋" w:hAnsi="仿宋" w:eastAsia="仿宋" w:cs="仿宋"/>
                <w:color w:val="auto"/>
                <w:sz w:val="28"/>
                <w:szCs w:val="28"/>
              </w:rPr>
            </w:pPr>
            <w:r>
              <w:rPr>
                <w:rFonts w:ascii="仿宋" w:hAnsi="仿宋" w:eastAsia="仿宋" w:cs="仿宋"/>
                <w:color w:val="auto"/>
                <w:spacing w:val="-13"/>
                <w:w w:val="98"/>
                <w:sz w:val="28"/>
                <w:szCs w:val="28"/>
              </w:rPr>
              <w:t>10</w:t>
            </w:r>
          </w:p>
        </w:tc>
        <w:tc>
          <w:tcPr>
            <w:tcW w:w="4209" w:type="dxa"/>
          </w:tcPr>
          <w:p>
            <w:pPr>
              <w:keepNext w:val="0"/>
              <w:keepLines w:val="0"/>
              <w:pageBreakBefore w:val="0"/>
              <w:widowControl/>
              <w:kinsoku/>
              <w:wordWrap/>
              <w:overflowPunct/>
              <w:topLinePunct w:val="0"/>
              <w:autoSpaceDE/>
              <w:autoSpaceDN/>
              <w:bidi w:val="0"/>
              <w:adjustRightInd w:val="0"/>
              <w:snapToGrid w:val="0"/>
              <w:spacing w:line="288" w:lineRule="auto"/>
              <w:ind w:left="0" w:right="0" w:firstLine="500" w:firstLineChars="200"/>
              <w:textAlignment w:val="baseline"/>
              <w:rPr>
                <w:rFonts w:ascii="仿宋" w:hAnsi="仿宋" w:eastAsia="仿宋" w:cs="仿宋"/>
                <w:color w:val="auto"/>
                <w:sz w:val="28"/>
                <w:szCs w:val="28"/>
              </w:rPr>
            </w:pPr>
            <w:r>
              <w:rPr>
                <w:rFonts w:ascii="仿宋" w:hAnsi="仿宋" w:eastAsia="仿宋" w:cs="仿宋"/>
                <w:color w:val="auto"/>
                <w:spacing w:val="-15"/>
                <w:sz w:val="28"/>
                <w:szCs w:val="28"/>
              </w:rPr>
              <w:t>服务体系：有专门的政府采购车辆</w:t>
            </w:r>
            <w:r>
              <w:rPr>
                <w:rFonts w:ascii="仿宋" w:hAnsi="仿宋" w:eastAsia="仿宋" w:cs="仿宋"/>
                <w:color w:val="auto"/>
                <w:spacing w:val="-3"/>
                <w:sz w:val="28"/>
                <w:szCs w:val="28"/>
              </w:rPr>
              <w:t>保险组织机构或专人，设有专门的咨询服务、保险受理、理赔、争议</w:t>
            </w:r>
            <w:r>
              <w:rPr>
                <w:rFonts w:ascii="仿宋" w:hAnsi="仿宋" w:eastAsia="仿宋" w:cs="仿宋"/>
                <w:color w:val="auto"/>
                <w:spacing w:val="-2"/>
                <w:sz w:val="28"/>
                <w:szCs w:val="28"/>
              </w:rPr>
              <w:t>调节、投诉等专门机构或专人。</w:t>
            </w:r>
          </w:p>
        </w:tc>
        <w:tc>
          <w:tcPr>
            <w:tcW w:w="786" w:type="dxa"/>
            <w:vMerge w:val="restart"/>
            <w:tcBorders>
              <w:top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5" w:hRule="atLeast"/>
        </w:trPr>
        <w:tc>
          <w:tcPr>
            <w:tcW w:w="1007"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749"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2058" w:type="dxa"/>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964"/>
              <w:textAlignment w:val="baseline"/>
              <w:rPr>
                <w:rFonts w:ascii="仿宋" w:hAnsi="仿宋" w:eastAsia="仿宋" w:cs="仿宋"/>
                <w:color w:val="auto"/>
                <w:sz w:val="28"/>
                <w:szCs w:val="28"/>
              </w:rPr>
            </w:pPr>
            <w:r>
              <w:rPr>
                <w:rFonts w:ascii="仿宋" w:hAnsi="仿宋" w:eastAsia="仿宋" w:cs="仿宋"/>
                <w:color w:val="auto"/>
                <w:sz w:val="28"/>
                <w:szCs w:val="28"/>
              </w:rPr>
              <w:t>5</w:t>
            </w:r>
          </w:p>
        </w:tc>
        <w:tc>
          <w:tcPr>
            <w:tcW w:w="4209" w:type="dxa"/>
          </w:tcPr>
          <w:p>
            <w:pPr>
              <w:keepNext w:val="0"/>
              <w:keepLines w:val="0"/>
              <w:pageBreakBefore w:val="0"/>
              <w:widowControl/>
              <w:kinsoku/>
              <w:wordWrap/>
              <w:overflowPunct/>
              <w:topLinePunct w:val="0"/>
              <w:autoSpaceDE/>
              <w:autoSpaceDN/>
              <w:bidi w:val="0"/>
              <w:adjustRightInd w:val="0"/>
              <w:snapToGrid w:val="0"/>
              <w:spacing w:line="288" w:lineRule="auto"/>
              <w:ind w:left="0" w:right="0" w:firstLine="500" w:firstLineChars="200"/>
              <w:textAlignment w:val="baseline"/>
              <w:rPr>
                <w:rFonts w:ascii="仿宋" w:hAnsi="仿宋" w:eastAsia="仿宋" w:cs="仿宋"/>
                <w:color w:val="auto"/>
                <w:sz w:val="28"/>
                <w:szCs w:val="28"/>
              </w:rPr>
            </w:pPr>
            <w:r>
              <w:rPr>
                <w:rFonts w:ascii="仿宋" w:hAnsi="仿宋" w:eastAsia="仿宋" w:cs="仿宋"/>
                <w:color w:val="auto"/>
                <w:spacing w:val="-15"/>
                <w:sz w:val="28"/>
                <w:szCs w:val="28"/>
              </w:rPr>
              <w:t>服务网点：保险公司应有合法的服</w:t>
            </w:r>
            <w:r>
              <w:rPr>
                <w:rFonts w:ascii="仿宋" w:hAnsi="仿宋" w:eastAsia="仿宋" w:cs="仿宋"/>
                <w:color w:val="auto"/>
                <w:spacing w:val="-3"/>
                <w:sz w:val="28"/>
                <w:szCs w:val="28"/>
              </w:rPr>
              <w:t>务网点和健全的服务机构，网点较少的酌情扣分。</w:t>
            </w:r>
          </w:p>
        </w:tc>
        <w:tc>
          <w:tcPr>
            <w:tcW w:w="78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72" w:hRule="atLeast"/>
        </w:trPr>
        <w:tc>
          <w:tcPr>
            <w:tcW w:w="1007"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749"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2058" w:type="dxa"/>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957"/>
              <w:textAlignment w:val="baseline"/>
              <w:rPr>
                <w:rFonts w:ascii="仿宋" w:hAnsi="仿宋" w:eastAsia="仿宋" w:cs="仿宋"/>
                <w:color w:val="auto"/>
                <w:sz w:val="28"/>
                <w:szCs w:val="28"/>
              </w:rPr>
            </w:pPr>
            <w:r>
              <w:rPr>
                <w:rFonts w:ascii="仿宋" w:hAnsi="仿宋" w:eastAsia="仿宋" w:cs="仿宋"/>
                <w:color w:val="auto"/>
                <w:sz w:val="28"/>
                <w:szCs w:val="28"/>
              </w:rPr>
              <w:t>4</w:t>
            </w:r>
          </w:p>
        </w:tc>
        <w:tc>
          <w:tcPr>
            <w:tcW w:w="4209" w:type="dxa"/>
          </w:tcPr>
          <w:p>
            <w:pPr>
              <w:keepNext w:val="0"/>
              <w:keepLines w:val="0"/>
              <w:pageBreakBefore w:val="0"/>
              <w:widowControl/>
              <w:kinsoku/>
              <w:wordWrap/>
              <w:overflowPunct/>
              <w:topLinePunct w:val="0"/>
              <w:autoSpaceDE/>
              <w:autoSpaceDN/>
              <w:bidi w:val="0"/>
              <w:adjustRightInd w:val="0"/>
              <w:snapToGrid w:val="0"/>
              <w:spacing w:line="288" w:lineRule="auto"/>
              <w:ind w:left="0" w:right="0" w:firstLine="496" w:firstLineChars="200"/>
              <w:textAlignment w:val="baseline"/>
              <w:rPr>
                <w:rFonts w:ascii="仿宋" w:hAnsi="仿宋" w:eastAsia="仿宋" w:cs="仿宋"/>
                <w:color w:val="auto"/>
                <w:sz w:val="28"/>
                <w:szCs w:val="28"/>
              </w:rPr>
            </w:pPr>
            <w:r>
              <w:rPr>
                <w:rFonts w:ascii="仿宋" w:hAnsi="仿宋" w:eastAsia="仿宋" w:cs="仿宋"/>
                <w:color w:val="auto"/>
                <w:spacing w:val="-16"/>
                <w:sz w:val="28"/>
                <w:szCs w:val="28"/>
              </w:rPr>
              <w:t>服务态度：礼貌待客，服务周到，</w:t>
            </w:r>
            <w:r>
              <w:rPr>
                <w:rFonts w:ascii="仿宋" w:hAnsi="仿宋" w:eastAsia="仿宋" w:cs="仿宋"/>
                <w:color w:val="auto"/>
                <w:spacing w:val="-3"/>
                <w:sz w:val="28"/>
                <w:szCs w:val="28"/>
              </w:rPr>
              <w:t>解答问题耐心细致，能经常回访保</w:t>
            </w:r>
            <w:r>
              <w:rPr>
                <w:rFonts w:ascii="仿宋" w:hAnsi="仿宋" w:eastAsia="仿宋" w:cs="仿宋"/>
                <w:color w:val="auto"/>
                <w:spacing w:val="-6"/>
                <w:sz w:val="28"/>
                <w:szCs w:val="28"/>
              </w:rPr>
              <w:t>户（1分</w:t>
            </w:r>
            <w:r>
              <w:rPr>
                <w:rFonts w:ascii="仿宋" w:hAnsi="仿宋" w:eastAsia="仿宋" w:cs="仿宋"/>
                <w:color w:val="auto"/>
                <w:spacing w:val="-85"/>
                <w:sz w:val="28"/>
                <w:szCs w:val="28"/>
              </w:rPr>
              <w:t>）；</w:t>
            </w:r>
            <w:r>
              <w:rPr>
                <w:rFonts w:ascii="仿宋" w:hAnsi="仿宋" w:eastAsia="仿宋" w:cs="仿宋"/>
                <w:color w:val="auto"/>
                <w:spacing w:val="-6"/>
                <w:sz w:val="28"/>
                <w:szCs w:val="28"/>
              </w:rPr>
              <w:t>有健全的维护车辆安</w:t>
            </w:r>
            <w:r>
              <w:rPr>
                <w:rFonts w:ascii="仿宋" w:hAnsi="仿宋" w:eastAsia="仿宋" w:cs="仿宋"/>
                <w:color w:val="auto"/>
                <w:spacing w:val="-5"/>
                <w:sz w:val="28"/>
                <w:szCs w:val="28"/>
              </w:rPr>
              <w:t>全行驶服务措施（1分</w:t>
            </w:r>
            <w:r>
              <w:rPr>
                <w:rFonts w:ascii="仿宋" w:hAnsi="仿宋" w:eastAsia="仿宋" w:cs="仿宋"/>
                <w:color w:val="auto"/>
                <w:spacing w:val="-83"/>
                <w:sz w:val="28"/>
                <w:szCs w:val="28"/>
              </w:rPr>
              <w:t>）；</w:t>
            </w:r>
            <w:r>
              <w:rPr>
                <w:rFonts w:ascii="仿宋" w:hAnsi="仿宋" w:eastAsia="仿宋" w:cs="仿宋"/>
                <w:color w:val="auto"/>
                <w:spacing w:val="-5"/>
                <w:sz w:val="28"/>
                <w:szCs w:val="28"/>
              </w:rPr>
              <w:t>全天24</w:t>
            </w:r>
            <w:r>
              <w:rPr>
                <w:rFonts w:ascii="仿宋" w:hAnsi="仿宋" w:eastAsia="仿宋" w:cs="仿宋"/>
                <w:color w:val="auto"/>
                <w:spacing w:val="-13"/>
                <w:sz w:val="28"/>
                <w:szCs w:val="28"/>
              </w:rPr>
              <w:t>小时、全年365天（无休息日）服</w:t>
            </w:r>
            <w:r>
              <w:rPr>
                <w:rFonts w:ascii="仿宋" w:hAnsi="仿宋" w:eastAsia="仿宋" w:cs="仿宋"/>
                <w:color w:val="auto"/>
                <w:spacing w:val="-27"/>
                <w:w w:val="98"/>
                <w:sz w:val="28"/>
                <w:szCs w:val="28"/>
              </w:rPr>
              <w:t>务（2分）。</w:t>
            </w:r>
          </w:p>
        </w:tc>
        <w:tc>
          <w:tcPr>
            <w:tcW w:w="786" w:type="dxa"/>
            <w:vMerge w:val="continue"/>
            <w:tcBorders>
              <w:top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02" w:hRule="atLeast"/>
        </w:trPr>
        <w:tc>
          <w:tcPr>
            <w:tcW w:w="1007"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749"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2058" w:type="dxa"/>
            <w:tcBorders>
              <w:top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961"/>
              <w:textAlignment w:val="baseline"/>
              <w:rPr>
                <w:rFonts w:ascii="仿宋" w:hAnsi="仿宋" w:eastAsia="仿宋" w:cs="仿宋"/>
                <w:color w:val="auto"/>
                <w:sz w:val="28"/>
                <w:szCs w:val="28"/>
              </w:rPr>
            </w:pPr>
            <w:r>
              <w:rPr>
                <w:rFonts w:ascii="仿宋" w:hAnsi="仿宋" w:eastAsia="仿宋" w:cs="仿宋"/>
                <w:color w:val="auto"/>
                <w:sz w:val="28"/>
                <w:szCs w:val="28"/>
              </w:rPr>
              <w:t>6</w:t>
            </w:r>
          </w:p>
        </w:tc>
        <w:tc>
          <w:tcPr>
            <w:tcW w:w="4209" w:type="dxa"/>
            <w:tcBorders>
              <w:top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firstLine="563" w:firstLineChars="215"/>
              <w:textAlignment w:val="baseline"/>
              <w:rPr>
                <w:rFonts w:ascii="仿宋" w:hAnsi="仿宋" w:eastAsia="仿宋" w:cs="仿宋"/>
                <w:color w:val="auto"/>
                <w:sz w:val="28"/>
                <w:szCs w:val="28"/>
              </w:rPr>
            </w:pPr>
            <w:r>
              <w:rPr>
                <w:rFonts w:ascii="仿宋" w:hAnsi="仿宋" w:eastAsia="仿宋" w:cs="仿宋"/>
                <w:color w:val="auto"/>
                <w:spacing w:val="-9"/>
                <w:sz w:val="28"/>
                <w:szCs w:val="28"/>
              </w:rPr>
              <w:t>响应时间承诺：出险查勘现场,省</w:t>
            </w:r>
            <w:r>
              <w:rPr>
                <w:rFonts w:ascii="仿宋" w:hAnsi="仿宋" w:eastAsia="仿宋" w:cs="仿宋"/>
                <w:color w:val="auto"/>
                <w:spacing w:val="-16"/>
                <w:sz w:val="28"/>
                <w:szCs w:val="28"/>
              </w:rPr>
              <w:t>内24小时内(2分)；市内(包括县</w:t>
            </w:r>
            <w:r>
              <w:rPr>
                <w:rFonts w:ascii="仿宋" w:hAnsi="仿宋" w:eastAsia="仿宋" w:cs="仿宋"/>
                <w:color w:val="auto"/>
                <w:spacing w:val="-13"/>
                <w:w w:val="98"/>
                <w:sz w:val="28"/>
                <w:szCs w:val="28"/>
              </w:rPr>
              <w:t>区)2小时内(2分)；市区半小时内</w:t>
            </w:r>
            <w:r>
              <w:rPr>
                <w:rFonts w:ascii="仿宋" w:hAnsi="仿宋" w:eastAsia="仿宋" w:cs="仿宋"/>
                <w:color w:val="auto"/>
                <w:spacing w:val="-13"/>
                <w:w w:val="96"/>
                <w:sz w:val="28"/>
                <w:szCs w:val="28"/>
              </w:rPr>
              <w:t>到达现场（2分）。</w:t>
            </w:r>
          </w:p>
        </w:tc>
        <w:tc>
          <w:tcPr>
            <w:tcW w:w="786" w:type="dxa"/>
            <w:vMerge w:val="restart"/>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8" w:hRule="atLeast"/>
        </w:trPr>
        <w:tc>
          <w:tcPr>
            <w:tcW w:w="1007"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749" w:type="dxa"/>
            <w:vMerge w:val="continue"/>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c>
          <w:tcPr>
            <w:tcW w:w="2058" w:type="dxa"/>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964"/>
              <w:textAlignment w:val="baseline"/>
              <w:rPr>
                <w:rFonts w:ascii="仿宋" w:hAnsi="仿宋" w:eastAsia="仿宋" w:cs="仿宋"/>
                <w:color w:val="auto"/>
                <w:sz w:val="28"/>
                <w:szCs w:val="28"/>
              </w:rPr>
            </w:pPr>
            <w:r>
              <w:rPr>
                <w:rFonts w:ascii="仿宋" w:hAnsi="仿宋" w:eastAsia="仿宋" w:cs="仿宋"/>
                <w:color w:val="auto"/>
                <w:sz w:val="28"/>
                <w:szCs w:val="28"/>
              </w:rPr>
              <w:t>5</w:t>
            </w:r>
          </w:p>
        </w:tc>
        <w:tc>
          <w:tcPr>
            <w:tcW w:w="4209" w:type="dxa"/>
          </w:tcPr>
          <w:p>
            <w:pPr>
              <w:keepNext w:val="0"/>
              <w:keepLines w:val="0"/>
              <w:pageBreakBefore w:val="0"/>
              <w:widowControl/>
              <w:kinsoku/>
              <w:wordWrap/>
              <w:overflowPunct/>
              <w:topLinePunct w:val="0"/>
              <w:autoSpaceDE/>
              <w:autoSpaceDN/>
              <w:bidi w:val="0"/>
              <w:adjustRightInd w:val="0"/>
              <w:snapToGrid w:val="0"/>
              <w:spacing w:line="288" w:lineRule="auto"/>
              <w:ind w:right="0" w:firstLine="628" w:firstLineChars="200"/>
              <w:jc w:val="both"/>
              <w:textAlignment w:val="baseline"/>
              <w:rPr>
                <w:rFonts w:ascii="仿宋" w:hAnsi="仿宋" w:eastAsia="仿宋" w:cs="仿宋"/>
                <w:color w:val="auto"/>
                <w:sz w:val="28"/>
                <w:szCs w:val="28"/>
              </w:rPr>
            </w:pPr>
            <w:r>
              <w:rPr>
                <w:rFonts w:ascii="仿宋" w:hAnsi="仿宋" w:eastAsia="仿宋" w:cs="仿宋"/>
                <w:color w:val="auto"/>
                <w:spacing w:val="17"/>
                <w:sz w:val="28"/>
                <w:szCs w:val="28"/>
              </w:rPr>
              <w:t>有严格执行投标报价的书面承诺</w:t>
            </w:r>
            <w:r>
              <w:rPr>
                <w:rFonts w:ascii="仿宋" w:hAnsi="仿宋" w:eastAsia="仿宋" w:cs="仿宋"/>
                <w:color w:val="auto"/>
                <w:spacing w:val="-7"/>
                <w:sz w:val="28"/>
                <w:szCs w:val="28"/>
              </w:rPr>
              <w:t>书</w:t>
            </w:r>
            <w:r>
              <w:rPr>
                <w:rFonts w:hint="eastAsia" w:ascii="仿宋" w:hAnsi="仿宋" w:eastAsia="仿宋" w:cs="仿宋"/>
                <w:color w:val="auto"/>
                <w:spacing w:val="-7"/>
                <w:sz w:val="28"/>
                <w:szCs w:val="28"/>
                <w:lang w:val="en-US" w:eastAsia="zh-CN"/>
              </w:rPr>
              <w:t>(1分），</w:t>
            </w:r>
            <w:r>
              <w:rPr>
                <w:rFonts w:ascii="仿宋" w:hAnsi="仿宋" w:eastAsia="仿宋" w:cs="仿宋"/>
                <w:color w:val="auto"/>
                <w:spacing w:val="-7"/>
                <w:sz w:val="28"/>
                <w:szCs w:val="28"/>
              </w:rPr>
              <w:t>有本项目合同主要条款</w:t>
            </w:r>
            <w:r>
              <w:rPr>
                <w:rFonts w:ascii="仿宋" w:hAnsi="仿宋" w:eastAsia="仿宋" w:cs="仿宋"/>
                <w:color w:val="auto"/>
                <w:spacing w:val="-4"/>
                <w:sz w:val="28"/>
                <w:szCs w:val="28"/>
              </w:rPr>
              <w:t>响应说明（2分</w:t>
            </w:r>
            <w:r>
              <w:rPr>
                <w:rFonts w:ascii="仿宋" w:hAnsi="仿宋" w:eastAsia="仿宋" w:cs="仿宋"/>
                <w:color w:val="auto"/>
                <w:spacing w:val="-95"/>
                <w:w w:val="75"/>
                <w:sz w:val="28"/>
                <w:szCs w:val="28"/>
              </w:rPr>
              <w:t>）；</w:t>
            </w:r>
            <w:r>
              <w:rPr>
                <w:rFonts w:ascii="仿宋" w:hAnsi="仿宋" w:eastAsia="仿宋" w:cs="仿宋"/>
                <w:color w:val="auto"/>
                <w:spacing w:val="-4"/>
                <w:sz w:val="28"/>
                <w:szCs w:val="28"/>
              </w:rPr>
              <w:t>有2019年以来</w:t>
            </w:r>
            <w:r>
              <w:rPr>
                <w:rFonts w:ascii="仿宋" w:hAnsi="仿宋" w:eastAsia="仿宋" w:cs="仿宋"/>
                <w:color w:val="auto"/>
                <w:spacing w:val="-3"/>
                <w:sz w:val="28"/>
                <w:szCs w:val="28"/>
              </w:rPr>
              <w:t>同类项目业绩（以合同或中标通书</w:t>
            </w:r>
            <w:r>
              <w:rPr>
                <w:rFonts w:ascii="仿宋" w:hAnsi="仿宋" w:eastAsia="仿宋" w:cs="仿宋"/>
                <w:color w:val="auto"/>
                <w:spacing w:val="-13"/>
                <w:w w:val="98"/>
                <w:sz w:val="28"/>
                <w:szCs w:val="28"/>
              </w:rPr>
              <w:t>为依据</w:t>
            </w:r>
            <w:r>
              <w:rPr>
                <w:rFonts w:ascii="仿宋" w:hAnsi="仿宋" w:eastAsia="仿宋" w:cs="仿宋"/>
                <w:color w:val="auto"/>
                <w:spacing w:val="-101"/>
                <w:sz w:val="28"/>
                <w:szCs w:val="28"/>
              </w:rPr>
              <w:t>）（</w:t>
            </w:r>
            <w:r>
              <w:rPr>
                <w:rFonts w:ascii="仿宋" w:hAnsi="仿宋" w:eastAsia="仿宋" w:cs="仿宋"/>
                <w:color w:val="auto"/>
                <w:spacing w:val="-13"/>
                <w:w w:val="98"/>
                <w:sz w:val="28"/>
                <w:szCs w:val="28"/>
              </w:rPr>
              <w:t>2分）。</w:t>
            </w:r>
          </w:p>
        </w:tc>
        <w:tc>
          <w:tcPr>
            <w:tcW w:w="786" w:type="dxa"/>
            <w:vMerge w:val="continue"/>
            <w:tcBorders>
              <w:top w:val="nil"/>
              <w:bottom w:val="nil"/>
            </w:tcBorders>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8" w:hRule="atLeast"/>
        </w:trPr>
        <w:tc>
          <w:tcPr>
            <w:tcW w:w="8809" w:type="dxa"/>
            <w:gridSpan w:val="5"/>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hint="eastAsia" w:ascii="宋体" w:hAnsi="宋体" w:eastAsia="宋体" w:cs="宋体"/>
                <w:b/>
                <w:sz w:val="24"/>
                <w:szCs w:val="24"/>
                <w:highlight w:val="none"/>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482" w:firstLineChars="200"/>
              <w:textAlignment w:val="baseline"/>
              <w:rPr>
                <w:rFonts w:ascii="仿宋"/>
                <w:color w:val="auto"/>
              </w:rPr>
            </w:pPr>
            <w:r>
              <w:rPr>
                <w:rFonts w:hint="eastAsia" w:ascii="宋体" w:hAnsi="宋体" w:eastAsia="宋体" w:cs="宋体"/>
                <w:b/>
                <w:sz w:val="24"/>
                <w:szCs w:val="24"/>
                <w:highlight w:val="none"/>
              </w:rPr>
              <w:t>根据</w:t>
            </w:r>
            <w:r>
              <w:rPr>
                <w:rFonts w:hint="eastAsia" w:ascii="宋体" w:hAnsi="宋体" w:cs="宋体"/>
                <w:b/>
                <w:sz w:val="24"/>
                <w:szCs w:val="24"/>
                <w:highlight w:val="none"/>
                <w:lang w:eastAsia="zh-CN"/>
              </w:rPr>
              <w:t>招标</w:t>
            </w:r>
            <w:r>
              <w:rPr>
                <w:rFonts w:hint="eastAsia" w:ascii="宋体" w:hAnsi="宋体" w:eastAsia="宋体" w:cs="宋体"/>
                <w:b/>
                <w:sz w:val="24"/>
                <w:szCs w:val="24"/>
                <w:highlight w:val="none"/>
              </w:rPr>
              <w:t>文件的响应程度按差别计分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3" w:hRule="atLeast"/>
        </w:trPr>
        <w:tc>
          <w:tcPr>
            <w:tcW w:w="8809" w:type="dxa"/>
            <w:gridSpan w:val="5"/>
          </w:tcPr>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hint="eastAsia" w:ascii="宋体" w:hAnsi="宋体" w:eastAsia="宋体" w:cs="宋体"/>
                <w:b/>
                <w:sz w:val="24"/>
                <w:szCs w:val="24"/>
                <w:highlight w:val="none"/>
              </w:rPr>
            </w:pPr>
          </w:p>
          <w:p>
            <w:pPr>
              <w:keepNext w:val="0"/>
              <w:keepLines w:val="0"/>
              <w:pageBreakBefore w:val="0"/>
              <w:widowControl/>
              <w:kinsoku/>
              <w:wordWrap/>
              <w:overflowPunct/>
              <w:topLinePunct w:val="0"/>
              <w:autoSpaceDE/>
              <w:autoSpaceDN/>
              <w:bidi w:val="0"/>
              <w:adjustRightInd w:val="0"/>
              <w:snapToGrid w:val="0"/>
              <w:spacing w:line="288" w:lineRule="auto"/>
              <w:ind w:left="0" w:right="0" w:firstLine="482" w:firstLineChars="200"/>
              <w:textAlignment w:val="baseline"/>
              <w:rPr>
                <w:rFonts w:ascii="仿宋"/>
                <w:color w:val="auto"/>
              </w:rPr>
            </w:pPr>
            <w:r>
              <w:rPr>
                <w:rFonts w:hint="eastAsia" w:ascii="宋体" w:hAnsi="宋体" w:eastAsia="宋体" w:cs="宋体"/>
                <w:b/>
                <w:sz w:val="24"/>
                <w:szCs w:val="24"/>
                <w:highlight w:val="none"/>
              </w:rPr>
              <w:t>备注：以上所有证明文件须提供清晰复印件加盖供应商公章装订于正、副本中，原件备查。</w:t>
            </w:r>
          </w:p>
        </w:tc>
      </w:tr>
    </w:tbl>
    <w:p>
      <w:pPr>
        <w:keepNext w:val="0"/>
        <w:keepLines w:val="0"/>
        <w:pageBreakBefore w:val="0"/>
        <w:widowControl/>
        <w:kinsoku/>
        <w:wordWrap/>
        <w:overflowPunct/>
        <w:topLinePunct w:val="0"/>
        <w:autoSpaceDE/>
        <w:autoSpaceDN/>
        <w:bidi w:val="0"/>
        <w:adjustRightInd w:val="0"/>
        <w:snapToGrid w:val="0"/>
        <w:spacing w:line="288" w:lineRule="auto"/>
        <w:ind w:left="0" w:right="0"/>
        <w:textAlignment w:val="baseline"/>
        <w:rPr>
          <w:rFonts w:ascii="仿宋"/>
        </w:rPr>
      </w:pPr>
    </w:p>
    <w:p>
      <w:pPr>
        <w:pStyle w:val="2"/>
        <w:rPr>
          <w:rFonts w:ascii="仿宋"/>
        </w:rPr>
      </w:pPr>
    </w:p>
    <w:p>
      <w:pPr>
        <w:rPr>
          <w:rFonts w:ascii="仿宋"/>
        </w:rPr>
      </w:pPr>
    </w:p>
    <w:p>
      <w:pPr>
        <w:pStyle w:val="2"/>
        <w:rPr>
          <w:rFonts w:ascii="仿宋"/>
        </w:rPr>
      </w:pPr>
    </w:p>
    <w:p>
      <w:pPr>
        <w:pStyle w:val="25"/>
        <w:numPr>
          <w:ilvl w:val="0"/>
          <w:numId w:val="7"/>
        </w:numPr>
        <w:snapToGrid w:val="0"/>
        <w:ind w:firstLine="723" w:firstLineChars="200"/>
        <w:outlineLvl w:val="0"/>
        <w:rPr>
          <w:rStyle w:val="84"/>
          <w:rFonts w:hint="eastAsia" w:ascii="宋体" w:hAnsi="宋体" w:eastAsia="宋体" w:cs="宋体"/>
          <w:b/>
          <w:bCs/>
          <w:sz w:val="36"/>
          <w:highlight w:val="none"/>
        </w:rPr>
      </w:pPr>
      <w:r>
        <w:rPr>
          <w:rStyle w:val="84"/>
          <w:rFonts w:hint="eastAsia" w:ascii="宋体" w:hAnsi="宋体" w:eastAsia="宋体" w:cs="宋体"/>
          <w:b/>
          <w:sz w:val="36"/>
          <w:highlight w:val="none"/>
        </w:rPr>
        <w:t xml:space="preserve"> </w:t>
      </w:r>
      <w:bookmarkStart w:id="4" w:name="_Toc23073"/>
      <w:r>
        <w:rPr>
          <w:rStyle w:val="84"/>
          <w:rFonts w:hint="eastAsia" w:ascii="宋体" w:hAnsi="宋体" w:cs="宋体"/>
          <w:b/>
          <w:sz w:val="36"/>
          <w:highlight w:val="none"/>
          <w:lang w:eastAsia="zh-CN"/>
        </w:rPr>
        <w:t>公开招标</w:t>
      </w:r>
      <w:r>
        <w:rPr>
          <w:rStyle w:val="84"/>
          <w:rFonts w:hint="eastAsia" w:ascii="宋体" w:hAnsi="宋体" w:eastAsia="宋体" w:cs="宋体"/>
          <w:b/>
          <w:sz w:val="36"/>
          <w:highlight w:val="none"/>
          <w:lang w:eastAsia="zh-CN"/>
        </w:rPr>
        <w:t>内</w:t>
      </w:r>
      <w:r>
        <w:rPr>
          <w:rStyle w:val="84"/>
          <w:rFonts w:hint="eastAsia" w:ascii="宋体" w:hAnsi="宋体" w:eastAsia="宋体" w:cs="宋体"/>
          <w:b/>
          <w:sz w:val="36"/>
          <w:highlight w:val="none"/>
        </w:rPr>
        <w:t>容及</w:t>
      </w:r>
      <w:r>
        <w:rPr>
          <w:rStyle w:val="84"/>
          <w:rFonts w:hint="eastAsia" w:ascii="宋体" w:hAnsi="宋体" w:eastAsia="宋体" w:cs="宋体"/>
          <w:b/>
          <w:sz w:val="36"/>
          <w:highlight w:val="none"/>
          <w:lang w:eastAsia="zh-CN"/>
        </w:rPr>
        <w:t>技术</w:t>
      </w:r>
      <w:r>
        <w:rPr>
          <w:rStyle w:val="84"/>
          <w:rFonts w:hint="eastAsia" w:ascii="宋体" w:hAnsi="宋体" w:eastAsia="宋体" w:cs="宋体"/>
          <w:b/>
          <w:sz w:val="36"/>
          <w:highlight w:val="none"/>
        </w:rPr>
        <w:t>要求</w:t>
      </w:r>
      <w:bookmarkEnd w:id="4"/>
    </w:p>
    <w:p>
      <w:pPr>
        <w:snapToGrid w:val="0"/>
        <w:spacing w:line="360" w:lineRule="auto"/>
        <w:rPr>
          <w:rStyle w:val="15"/>
          <w:rFonts w:hint="eastAsia" w:ascii="宋体" w:hAnsi="宋体" w:eastAsia="宋体" w:cs="宋体"/>
          <w:b/>
          <w:sz w:val="22"/>
          <w:szCs w:val="22"/>
          <w:highlight w:val="none"/>
        </w:rPr>
      </w:pPr>
    </w:p>
    <w:p>
      <w:pPr>
        <w:numPr>
          <w:ilvl w:val="0"/>
          <w:numId w:val="0"/>
        </w:numPr>
        <w:snapToGrid w:val="0"/>
        <w:spacing w:line="360" w:lineRule="auto"/>
        <w:outlineLvl w:val="1"/>
        <w:rPr>
          <w:szCs w:val="21"/>
        </w:rPr>
      </w:pPr>
      <w:r>
        <w:rPr>
          <w:rStyle w:val="15"/>
          <w:rFonts w:hint="eastAsia" w:ascii="宋体" w:hAnsi="宋体" w:cs="宋体"/>
          <w:b/>
          <w:bCs w:val="0"/>
          <w:sz w:val="22"/>
          <w:szCs w:val="22"/>
          <w:highlight w:val="none"/>
          <w:lang w:eastAsia="zh-CN"/>
        </w:rPr>
        <w:t>一、</w:t>
      </w:r>
      <w:r>
        <w:rPr>
          <w:rStyle w:val="15"/>
          <w:rFonts w:hint="eastAsia" w:ascii="宋体" w:hAnsi="宋体" w:eastAsia="宋体" w:cs="宋体"/>
          <w:b/>
          <w:bCs w:val="0"/>
          <w:sz w:val="22"/>
          <w:szCs w:val="22"/>
          <w:highlight w:val="none"/>
          <w:lang w:eastAsia="zh-CN"/>
        </w:rPr>
        <w:t>采</w:t>
      </w:r>
      <w:r>
        <w:rPr>
          <w:rStyle w:val="15"/>
          <w:rFonts w:hint="eastAsia" w:ascii="宋体" w:hAnsi="宋体" w:eastAsia="宋体" w:cs="宋体"/>
          <w:b/>
          <w:sz w:val="22"/>
          <w:szCs w:val="22"/>
          <w:highlight w:val="none"/>
          <w:lang w:eastAsia="zh-CN"/>
        </w:rPr>
        <w:t>购明细</w:t>
      </w:r>
      <w:bookmarkStart w:id="5" w:name="_Toc2353"/>
    </w:p>
    <w:p>
      <w:pPr>
        <w:pStyle w:val="8"/>
        <w:widowControl/>
        <w:spacing w:before="0" w:beforeAutospacing="0" w:after="0" w:afterAutospacing="0" w:line="360" w:lineRule="auto"/>
        <w:ind w:firstLine="420"/>
        <w:rPr>
          <w:rStyle w:val="15"/>
          <w:rFonts w:hint="eastAsia" w:ascii="宋体" w:hAnsi="宋体" w:eastAsia="宋体" w:cs="宋体"/>
          <w:b/>
          <w:bCs/>
          <w:kern w:val="0"/>
          <w:sz w:val="22"/>
          <w:szCs w:val="22"/>
          <w:highlight w:val="none"/>
          <w:lang w:eastAsia="zh-CN"/>
        </w:rPr>
      </w:pPr>
      <w:r>
        <w:rPr>
          <w:rFonts w:hint="eastAsia" w:ascii="宋体" w:hAnsi="宋体" w:eastAsia="宋体" w:cs="宋体"/>
          <w:b w:val="0"/>
          <w:bCs w:val="0"/>
          <w:kern w:val="0"/>
          <w:sz w:val="22"/>
          <w:szCs w:val="22"/>
          <w:highlight w:val="yellow"/>
          <w:lang w:val="en-US" w:eastAsia="zh-CN" w:bidi="ar-SA"/>
        </w:rPr>
        <w:t>彬州市机关事务服务中心关于公务用车定点加油、维修、保险项</w:t>
      </w:r>
      <w:r>
        <w:rPr>
          <w:rFonts w:hint="eastAsia" w:ascii="宋体" w:hAnsi="宋体" w:cs="宋体"/>
          <w:b w:val="0"/>
          <w:bCs w:val="0"/>
          <w:kern w:val="0"/>
          <w:sz w:val="22"/>
          <w:szCs w:val="22"/>
          <w:highlight w:val="yellow"/>
          <w:lang w:val="en-US" w:eastAsia="zh-CN" w:bidi="ar-SA"/>
        </w:rPr>
        <w:t>目</w:t>
      </w:r>
      <w:r>
        <w:rPr>
          <w:rFonts w:hint="eastAsia" w:ascii="宋体" w:hAnsi="宋体" w:cs="宋体"/>
          <w:b w:val="0"/>
          <w:bCs w:val="0"/>
          <w:kern w:val="0"/>
          <w:sz w:val="22"/>
          <w:szCs w:val="22"/>
          <w:highlight w:val="none"/>
          <w:lang w:val="en-US" w:eastAsia="zh-CN" w:bidi="ar-SA"/>
        </w:rPr>
        <w:t>，</w:t>
      </w:r>
      <w:r>
        <w:rPr>
          <w:rFonts w:hint="eastAsia" w:ascii="宋体" w:hAnsi="宋体" w:cs="宋体"/>
          <w:color w:val="333333"/>
          <w:sz w:val="21"/>
          <w:szCs w:val="21"/>
          <w:lang w:eastAsia="zh-CN"/>
        </w:rPr>
        <w:t>需要确定</w:t>
      </w:r>
      <w:r>
        <w:rPr>
          <w:rFonts w:hint="eastAsia" w:ascii="宋体" w:hAnsi="宋体" w:cs="宋体"/>
          <w:color w:val="333333"/>
          <w:sz w:val="21"/>
          <w:szCs w:val="21"/>
          <w:lang w:val="en-US" w:eastAsia="zh-CN"/>
        </w:rPr>
        <w:t>3家定点加油点，4家符合要求的维修点，和4家保险公司。</w:t>
      </w:r>
    </w:p>
    <w:p>
      <w:pPr>
        <w:numPr>
          <w:ilvl w:val="0"/>
          <w:numId w:val="0"/>
        </w:numPr>
        <w:adjustRightInd w:val="0"/>
        <w:snapToGrid w:val="0"/>
        <w:spacing w:line="396" w:lineRule="auto"/>
        <w:outlineLvl w:val="1"/>
        <w:rPr>
          <w:rStyle w:val="15"/>
          <w:rFonts w:hint="eastAsia" w:ascii="宋体" w:hAnsi="宋体" w:eastAsia="宋体" w:cs="宋体"/>
          <w:b/>
          <w:bCs/>
          <w:kern w:val="0"/>
          <w:sz w:val="22"/>
          <w:szCs w:val="22"/>
          <w:highlight w:val="yellow"/>
        </w:rPr>
      </w:pPr>
      <w:r>
        <w:rPr>
          <w:rStyle w:val="15"/>
          <w:rFonts w:hint="eastAsia" w:ascii="宋体" w:hAnsi="宋体" w:eastAsia="宋体" w:cs="宋体"/>
          <w:b/>
          <w:bCs/>
          <w:kern w:val="0"/>
          <w:sz w:val="22"/>
          <w:szCs w:val="22"/>
          <w:highlight w:val="none"/>
          <w:lang w:eastAsia="zh-CN"/>
        </w:rPr>
        <w:t>二、</w:t>
      </w:r>
      <w:r>
        <w:rPr>
          <w:rStyle w:val="15"/>
          <w:rFonts w:hint="eastAsia" w:ascii="宋体" w:hAnsi="宋体" w:eastAsia="宋体" w:cs="宋体"/>
          <w:b/>
          <w:bCs/>
          <w:kern w:val="0"/>
          <w:sz w:val="22"/>
          <w:szCs w:val="22"/>
          <w:highlight w:val="none"/>
        </w:rPr>
        <w:t>工期：</w:t>
      </w:r>
      <w:r>
        <w:rPr>
          <w:rStyle w:val="15"/>
          <w:rFonts w:hint="eastAsia" w:ascii="宋体" w:hAnsi="宋体" w:cs="宋体"/>
          <w:b/>
          <w:bCs/>
          <w:kern w:val="0"/>
          <w:sz w:val="22"/>
          <w:szCs w:val="22"/>
          <w:highlight w:val="yellow"/>
          <w:lang w:val="en-US" w:eastAsia="zh-CN"/>
        </w:rPr>
        <w:t>2021年</w:t>
      </w:r>
      <w:r>
        <w:rPr>
          <w:rStyle w:val="15"/>
          <w:rFonts w:hint="eastAsia" w:ascii="宋体" w:hAnsi="宋体" w:eastAsia="宋体" w:cs="宋体"/>
          <w:b/>
          <w:bCs/>
          <w:kern w:val="0"/>
          <w:sz w:val="22"/>
          <w:szCs w:val="22"/>
          <w:highlight w:val="yellow"/>
        </w:rPr>
        <w:t xml:space="preserve"> </w:t>
      </w:r>
      <w:r>
        <w:rPr>
          <w:rStyle w:val="15"/>
          <w:rFonts w:hint="eastAsia" w:ascii="宋体" w:hAnsi="宋体" w:cs="宋体"/>
          <w:b/>
          <w:bCs/>
          <w:kern w:val="0"/>
          <w:sz w:val="22"/>
          <w:szCs w:val="22"/>
          <w:highlight w:val="yellow"/>
          <w:lang w:val="en-US" w:eastAsia="zh-CN"/>
        </w:rPr>
        <w:t>10</w:t>
      </w:r>
      <w:r>
        <w:rPr>
          <w:rStyle w:val="15"/>
          <w:rFonts w:hint="eastAsia" w:ascii="宋体" w:hAnsi="宋体" w:eastAsia="宋体" w:cs="宋体"/>
          <w:b/>
          <w:bCs/>
          <w:kern w:val="0"/>
          <w:sz w:val="22"/>
          <w:szCs w:val="22"/>
          <w:highlight w:val="yellow"/>
        </w:rPr>
        <w:t>月</w:t>
      </w:r>
      <w:r>
        <w:rPr>
          <w:rStyle w:val="15"/>
          <w:rFonts w:hint="eastAsia" w:ascii="宋体" w:hAnsi="宋体" w:eastAsia="宋体" w:cs="宋体"/>
          <w:b/>
          <w:bCs/>
          <w:kern w:val="0"/>
          <w:sz w:val="22"/>
          <w:szCs w:val="22"/>
          <w:highlight w:val="yellow"/>
          <w:lang w:val="en-US" w:eastAsia="zh-CN"/>
        </w:rPr>
        <w:t>2</w:t>
      </w:r>
      <w:r>
        <w:rPr>
          <w:rStyle w:val="15"/>
          <w:rFonts w:hint="eastAsia" w:ascii="宋体" w:hAnsi="宋体" w:cs="宋体"/>
          <w:b/>
          <w:bCs/>
          <w:kern w:val="0"/>
          <w:sz w:val="22"/>
          <w:szCs w:val="22"/>
          <w:highlight w:val="yellow"/>
          <w:lang w:val="en-US" w:eastAsia="zh-CN"/>
        </w:rPr>
        <w:t>5</w:t>
      </w:r>
      <w:r>
        <w:rPr>
          <w:rStyle w:val="15"/>
          <w:rFonts w:hint="eastAsia" w:ascii="宋体" w:hAnsi="宋体" w:eastAsia="宋体" w:cs="宋体"/>
          <w:b/>
          <w:bCs/>
          <w:kern w:val="0"/>
          <w:sz w:val="22"/>
          <w:szCs w:val="22"/>
          <w:highlight w:val="yellow"/>
        </w:rPr>
        <w:t>日前工程竣工；</w:t>
      </w:r>
      <w:bookmarkEnd w:id="5"/>
    </w:p>
    <w:p>
      <w:pPr>
        <w:adjustRightInd w:val="0"/>
        <w:snapToGrid w:val="0"/>
        <w:spacing w:line="396" w:lineRule="auto"/>
        <w:outlineLvl w:val="1"/>
        <w:rPr>
          <w:rStyle w:val="15"/>
          <w:rFonts w:hint="eastAsia" w:ascii="宋体" w:hAnsi="宋体" w:eastAsia="宋体" w:cs="宋体"/>
          <w:b/>
          <w:bCs/>
          <w:kern w:val="0"/>
          <w:sz w:val="22"/>
          <w:szCs w:val="22"/>
          <w:highlight w:val="none"/>
        </w:rPr>
      </w:pPr>
      <w:bookmarkStart w:id="6" w:name="_Toc19775"/>
      <w:r>
        <w:rPr>
          <w:rStyle w:val="15"/>
          <w:rFonts w:hint="eastAsia" w:ascii="宋体" w:hAnsi="宋体" w:eastAsia="宋体" w:cs="宋体"/>
          <w:b/>
          <w:bCs/>
          <w:kern w:val="0"/>
          <w:sz w:val="22"/>
          <w:szCs w:val="22"/>
          <w:highlight w:val="none"/>
        </w:rPr>
        <w:t>三、质量要求：合格。</w:t>
      </w:r>
      <w:bookmarkEnd w:id="6"/>
    </w:p>
    <w:p>
      <w:pPr>
        <w:adjustRightInd w:val="0"/>
        <w:snapToGrid w:val="0"/>
        <w:spacing w:line="396" w:lineRule="auto"/>
        <w:outlineLvl w:val="1"/>
        <w:rPr>
          <w:rStyle w:val="15"/>
          <w:rFonts w:hint="eastAsia" w:ascii="宋体" w:hAnsi="宋体" w:eastAsia="宋体" w:cs="宋体"/>
          <w:b/>
          <w:bCs/>
          <w:kern w:val="0"/>
          <w:sz w:val="22"/>
          <w:szCs w:val="22"/>
          <w:highlight w:val="none"/>
        </w:rPr>
      </w:pPr>
      <w:bookmarkStart w:id="7" w:name="_Toc12823"/>
      <w:r>
        <w:rPr>
          <w:rStyle w:val="15"/>
          <w:rFonts w:hint="eastAsia" w:ascii="宋体" w:hAnsi="宋体" w:eastAsia="宋体" w:cs="宋体"/>
          <w:b/>
          <w:bCs/>
          <w:kern w:val="0"/>
          <w:sz w:val="22"/>
          <w:szCs w:val="22"/>
          <w:highlight w:val="none"/>
        </w:rPr>
        <w:t>四、技术支持：</w:t>
      </w:r>
      <w:bookmarkEnd w:id="7"/>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1、所</w:t>
      </w:r>
      <w:r>
        <w:rPr>
          <w:rStyle w:val="15"/>
          <w:rFonts w:hint="eastAsia" w:ascii="宋体" w:hAnsi="宋体" w:eastAsia="宋体" w:cs="宋体"/>
          <w:kern w:val="0"/>
          <w:sz w:val="22"/>
          <w:szCs w:val="22"/>
          <w:highlight w:val="none"/>
          <w:lang w:eastAsia="zh-CN"/>
        </w:rPr>
        <w:t>购</w:t>
      </w:r>
      <w:r>
        <w:rPr>
          <w:rStyle w:val="15"/>
          <w:rFonts w:hint="eastAsia" w:ascii="宋体" w:hAnsi="宋体" w:cs="宋体"/>
          <w:kern w:val="0"/>
          <w:sz w:val="22"/>
          <w:szCs w:val="22"/>
          <w:highlight w:val="none"/>
          <w:lang w:eastAsia="zh-CN"/>
        </w:rPr>
        <w:t>项目</w:t>
      </w:r>
      <w:r>
        <w:rPr>
          <w:rStyle w:val="15"/>
          <w:rFonts w:hint="eastAsia" w:ascii="宋体" w:hAnsi="宋体" w:eastAsia="宋体" w:cs="宋体"/>
          <w:kern w:val="0"/>
          <w:sz w:val="22"/>
          <w:szCs w:val="22"/>
          <w:highlight w:val="none"/>
        </w:rPr>
        <w:t>必须能</w:t>
      </w:r>
      <w:r>
        <w:rPr>
          <w:rStyle w:val="15"/>
          <w:rFonts w:hint="eastAsia" w:ascii="宋体" w:hAnsi="宋体" w:eastAsia="宋体" w:cs="宋体"/>
          <w:kern w:val="0"/>
          <w:sz w:val="22"/>
          <w:szCs w:val="22"/>
          <w:highlight w:val="none"/>
          <w:lang w:eastAsia="zh-CN"/>
        </w:rPr>
        <w:t>符合</w:t>
      </w:r>
      <w:r>
        <w:rPr>
          <w:rFonts w:hint="eastAsia" w:ascii="宋体" w:hAnsi="宋体" w:eastAsia="宋体" w:cs="宋体"/>
          <w:b w:val="0"/>
          <w:bCs w:val="0"/>
          <w:kern w:val="0"/>
          <w:sz w:val="22"/>
          <w:szCs w:val="22"/>
          <w:highlight w:val="yellow"/>
          <w:lang w:val="en-US" w:eastAsia="zh-CN" w:bidi="ar-SA"/>
        </w:rPr>
        <w:t>彬州市机关事务服务中心</w:t>
      </w:r>
      <w:r>
        <w:rPr>
          <w:rStyle w:val="15"/>
          <w:rFonts w:hint="eastAsia" w:ascii="宋体" w:hAnsi="宋体" w:eastAsia="宋体" w:cs="宋体"/>
          <w:kern w:val="0"/>
          <w:sz w:val="22"/>
          <w:szCs w:val="22"/>
          <w:highlight w:val="none"/>
        </w:rPr>
        <w:t>配置</w:t>
      </w:r>
      <w:r>
        <w:rPr>
          <w:rStyle w:val="15"/>
          <w:rFonts w:hint="eastAsia" w:ascii="宋体" w:hAnsi="宋体" w:eastAsia="宋体" w:cs="宋体"/>
          <w:kern w:val="0"/>
          <w:sz w:val="22"/>
          <w:szCs w:val="22"/>
          <w:highlight w:val="none"/>
          <w:lang w:eastAsia="zh-CN"/>
        </w:rPr>
        <w:t>清单</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提供服务期内7*24小时的技术咨询服务。供应商怠于或无法提供服务支持的，采购人有权委托第三方处理，由此产生的费用和后果由供应商负责，费用直接从应付款中扣除。供应商指定的项目总协调人必须是供应商公司管理层人员。项目咨询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2.供应商在项目服务过程中，质量保障人员、资源不足或者执行不力，给项目质量带来的风险超出采购人认定的允许范围时，采购人可终止本项目的合作并进行索赔。</w:t>
      </w:r>
    </w:p>
    <w:p>
      <w:pPr>
        <w:adjustRightInd w:val="0"/>
        <w:snapToGrid w:val="0"/>
        <w:spacing w:line="396" w:lineRule="auto"/>
        <w:jc w:val="left"/>
        <w:outlineLvl w:val="1"/>
        <w:rPr>
          <w:rStyle w:val="15"/>
          <w:rFonts w:hint="eastAsia" w:ascii="宋体" w:hAnsi="宋体" w:eastAsia="宋体" w:cs="宋体"/>
          <w:b/>
          <w:bCs/>
          <w:kern w:val="0"/>
          <w:sz w:val="22"/>
          <w:szCs w:val="22"/>
          <w:highlight w:val="none"/>
        </w:rPr>
      </w:pPr>
      <w:bookmarkStart w:id="8" w:name="_Toc1460"/>
      <w:r>
        <w:rPr>
          <w:rStyle w:val="15"/>
          <w:rFonts w:hint="eastAsia" w:ascii="宋体" w:hAnsi="宋体" w:eastAsia="宋体" w:cs="宋体"/>
          <w:b/>
          <w:bCs/>
          <w:kern w:val="0"/>
          <w:sz w:val="22"/>
          <w:szCs w:val="22"/>
          <w:highlight w:val="none"/>
        </w:rPr>
        <w:t>五、质量保证：</w:t>
      </w:r>
      <w:bookmarkEnd w:id="8"/>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供应商交付的服务必须保证质量可靠，应全面满足</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的要求，</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未明确要求的内容，供应商按服务要求或以采购人的补充要求为准。所供服务应严格按照国家最新发布的规范标准执行，如发生问题由供应商承担全部责任。</w:t>
      </w:r>
    </w:p>
    <w:p>
      <w:pPr>
        <w:adjustRightInd w:val="0"/>
        <w:snapToGrid w:val="0"/>
        <w:spacing w:line="396" w:lineRule="auto"/>
        <w:outlineLvl w:val="1"/>
        <w:rPr>
          <w:rStyle w:val="15"/>
          <w:rFonts w:hint="eastAsia" w:ascii="宋体" w:hAnsi="宋体" w:eastAsia="宋体" w:cs="宋体"/>
          <w:b/>
          <w:bCs/>
          <w:kern w:val="0"/>
          <w:sz w:val="22"/>
          <w:szCs w:val="22"/>
          <w:highlight w:val="none"/>
        </w:rPr>
      </w:pPr>
      <w:bookmarkStart w:id="9" w:name="_Toc1246"/>
      <w:r>
        <w:rPr>
          <w:rStyle w:val="15"/>
          <w:rFonts w:hint="eastAsia" w:ascii="宋体" w:hAnsi="宋体" w:eastAsia="宋体" w:cs="宋体"/>
          <w:b/>
          <w:bCs/>
          <w:kern w:val="0"/>
          <w:sz w:val="22"/>
          <w:szCs w:val="22"/>
          <w:highlight w:val="none"/>
        </w:rPr>
        <w:t>六、验收：</w:t>
      </w:r>
      <w:bookmarkEnd w:id="9"/>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由采购人和供应商共同对项目进行验收。其内容包括确认是否按照采购人要求进行服务、是否在规定时间内提供完毕。</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1.若发现供应商有弄虚作假的，在投标阶段故意或随意夸大技术性能，供应商应无条件退货，本合同解除，供应商赔偿采购人相应的损失。</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2.验收标准：按</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、响应文件及澄清函等技术指标进行验收。各项指标均应符合验收标准及要求。</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3.验收合格后，填写验收单，双方签字生效。</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4.验收依据：</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4.1合同文本；</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4.2响应文件及澄清函、</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4.3国家和行业制定的相应的标准和规范；</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4.4验收清单</w:t>
      </w:r>
    </w:p>
    <w:p>
      <w:pPr>
        <w:adjustRightInd w:val="0"/>
        <w:snapToGrid w:val="0"/>
        <w:spacing w:line="396" w:lineRule="auto"/>
        <w:outlineLvl w:val="1"/>
        <w:rPr>
          <w:rStyle w:val="15"/>
          <w:rFonts w:hint="eastAsia" w:ascii="宋体" w:hAnsi="宋体" w:eastAsia="宋体" w:cs="宋体"/>
          <w:b/>
          <w:bCs/>
          <w:kern w:val="0"/>
          <w:sz w:val="22"/>
          <w:szCs w:val="22"/>
          <w:highlight w:val="none"/>
        </w:rPr>
      </w:pPr>
      <w:bookmarkStart w:id="10" w:name="_Toc22545"/>
      <w:r>
        <w:rPr>
          <w:rStyle w:val="15"/>
          <w:rFonts w:hint="eastAsia" w:ascii="宋体" w:hAnsi="宋体" w:eastAsia="宋体" w:cs="宋体"/>
          <w:b/>
          <w:bCs/>
          <w:kern w:val="0"/>
          <w:sz w:val="22"/>
          <w:szCs w:val="22"/>
          <w:highlight w:val="none"/>
        </w:rPr>
        <w:t>七、知识产权：</w:t>
      </w:r>
      <w:bookmarkEnd w:id="10"/>
    </w:p>
    <w:p>
      <w:pPr>
        <w:adjustRightInd w:val="0"/>
        <w:snapToGrid w:val="0"/>
        <w:spacing w:line="396" w:lineRule="auto"/>
        <w:ind w:firstLine="440" w:firstLineChars="200"/>
        <w:rPr>
          <w:rStyle w:val="15"/>
          <w:rFonts w:hint="eastAsia" w:ascii="宋体" w:hAnsi="宋体" w:eastAsia="宋体" w:cs="宋体"/>
          <w:sz w:val="21"/>
          <w:highlight w:val="none"/>
        </w:rPr>
      </w:pPr>
      <w:r>
        <w:rPr>
          <w:rStyle w:val="15"/>
          <w:rFonts w:hint="eastAsia" w:ascii="宋体" w:hAnsi="宋体" w:eastAsia="宋体" w:cs="宋体"/>
          <w:kern w:val="0"/>
          <w:sz w:val="22"/>
          <w:szCs w:val="22"/>
          <w:highlight w:val="none"/>
        </w:rPr>
        <w:t>1.供应商应对所供服务具有或已取得合法知识产权，供应商应保证所供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p>
    <w:p>
      <w:pPr>
        <w:pStyle w:val="25"/>
        <w:snapToGrid w:val="0"/>
        <w:ind w:firstLine="723" w:firstLineChars="200"/>
        <w:outlineLvl w:val="0"/>
        <w:rPr>
          <w:rStyle w:val="15"/>
          <w:rFonts w:hint="eastAsia" w:ascii="宋体" w:hAnsi="宋体" w:eastAsia="宋体" w:cs="宋体"/>
          <w:sz w:val="36"/>
          <w:highlight w:val="none"/>
        </w:rPr>
      </w:pPr>
      <w:bookmarkStart w:id="11" w:name="_Toc28758"/>
    </w:p>
    <w:p>
      <w:pPr>
        <w:rPr>
          <w:rFonts w:hint="eastAsia" w:ascii="宋体" w:hAnsi="宋体" w:eastAsia="宋体" w:cs="宋体"/>
        </w:rPr>
      </w:pPr>
    </w:p>
    <w:p>
      <w:pPr>
        <w:pStyle w:val="25"/>
        <w:snapToGrid w:val="0"/>
        <w:ind w:firstLine="723" w:firstLineChars="200"/>
        <w:outlineLvl w:val="0"/>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Style w:val="15"/>
          <w:rFonts w:hint="eastAsia" w:ascii="宋体" w:hAnsi="宋体" w:eastAsia="宋体" w:cs="宋体"/>
          <w:sz w:val="36"/>
          <w:highlight w:val="none"/>
        </w:rPr>
      </w:pPr>
    </w:p>
    <w:p>
      <w:pPr>
        <w:pStyle w:val="2"/>
        <w:rPr>
          <w:rStyle w:val="15"/>
          <w:rFonts w:hint="eastAsia" w:ascii="宋体" w:hAnsi="宋体" w:eastAsia="宋体" w:cs="宋体"/>
          <w:sz w:val="36"/>
          <w:highlight w:val="none"/>
        </w:rPr>
      </w:pPr>
    </w:p>
    <w:p>
      <w:pPr>
        <w:rPr>
          <w:rFonts w:hint="eastAsia"/>
        </w:rPr>
      </w:pPr>
    </w:p>
    <w:p>
      <w:pPr>
        <w:pStyle w:val="2"/>
        <w:rPr>
          <w:rStyle w:val="15"/>
          <w:rFonts w:hint="eastAsia" w:ascii="宋体" w:hAnsi="宋体" w:eastAsia="宋体" w:cs="宋体"/>
          <w:sz w:val="36"/>
          <w:highlight w:val="none"/>
        </w:rPr>
      </w:pPr>
    </w:p>
    <w:p>
      <w:pPr>
        <w:pStyle w:val="25"/>
        <w:snapToGrid w:val="0"/>
        <w:ind w:firstLine="723" w:firstLineChars="200"/>
        <w:outlineLvl w:val="0"/>
        <w:rPr>
          <w:rStyle w:val="15"/>
          <w:rFonts w:hint="eastAsia" w:ascii="宋体" w:hAnsi="宋体" w:eastAsia="宋体" w:cs="宋体"/>
          <w:sz w:val="36"/>
          <w:highlight w:val="none"/>
        </w:rPr>
      </w:pPr>
      <w:r>
        <w:rPr>
          <w:rStyle w:val="15"/>
          <w:rFonts w:hint="eastAsia" w:ascii="宋体" w:hAnsi="宋体" w:eastAsia="宋体" w:cs="宋体"/>
          <w:sz w:val="36"/>
          <w:highlight w:val="none"/>
        </w:rPr>
        <w:t>第四章   政府采购合同（格式）</w:t>
      </w:r>
      <w:bookmarkEnd w:id="11"/>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（以下简称“甲方”）和</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en-US" w:eastAsia="zh-CN"/>
        </w:rPr>
        <w:t xml:space="preserve">              </w:t>
      </w:r>
      <w:r>
        <w:rPr>
          <w:rStyle w:val="15"/>
          <w:rFonts w:hint="eastAsia" w:ascii="宋体" w:hAnsi="宋体" w:eastAsia="宋体" w:cs="宋体"/>
          <w:sz w:val="22"/>
          <w:szCs w:val="22"/>
          <w:highlight w:val="none"/>
        </w:rPr>
        <w:t>（以下简称“乙方”）同意在</w:t>
      </w:r>
      <w:r>
        <w:rPr>
          <w:rStyle w:val="15"/>
          <w:rFonts w:hint="eastAsia" w:ascii="宋体" w:hAnsi="宋体" w:eastAsia="宋体" w:cs="宋体"/>
          <w:spacing w:val="-4"/>
          <w:sz w:val="22"/>
          <w:szCs w:val="22"/>
          <w:highlight w:val="none"/>
          <w:u w:val="single"/>
        </w:rPr>
        <w:t xml:space="preserve">                        </w:t>
      </w:r>
      <w:r>
        <w:rPr>
          <w:rStyle w:val="15"/>
          <w:rFonts w:hint="eastAsia" w:ascii="宋体" w:hAnsi="宋体" w:eastAsia="宋体" w:cs="宋体"/>
          <w:spacing w:val="-4"/>
          <w:sz w:val="22"/>
          <w:szCs w:val="22"/>
          <w:highlight w:val="none"/>
        </w:rPr>
        <w:t>（采购中心名称）的</w:t>
      </w:r>
      <w:r>
        <w:rPr>
          <w:rStyle w:val="15"/>
          <w:rFonts w:hint="eastAsia" w:ascii="宋体" w:hAnsi="宋体" w:eastAsia="宋体" w:cs="宋体"/>
          <w:sz w:val="22"/>
          <w:szCs w:val="22"/>
          <w:highlight w:val="none"/>
        </w:rPr>
        <w:t>见证下，按下述条款和条件签订本合同。</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1、合同文件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下列文件是构成本合同不可分割的部分（文件内容如有抵触，以后形成的文件为准）：</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①</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（名称、编号）：</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②乙方的投标文件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③附件：代理机构在采购期间发布的所有补充</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；乙方在评审答疑时及投标有效期内补充的所有书面文件；乙方投标时随同投标文件一起递送的资料及附图；代理机构发出的中标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；双方澄清、确认共同签字、盖章的补充文件。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2.合同范围和条件：本合同的范围和条件应与</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的规定相一致。</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3.合同内容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4.合同总金额、工期及地点</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合同的总金额为（人民币大写）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工期：</w:t>
      </w:r>
      <w:r>
        <w:rPr>
          <w:rStyle w:val="15"/>
          <w:rFonts w:hint="eastAsia" w:ascii="宋体" w:hAnsi="宋体" w:eastAsia="宋体" w:cs="宋体"/>
          <w:sz w:val="22"/>
          <w:szCs w:val="22"/>
          <w:highlight w:val="none"/>
          <w:u w:val="single"/>
        </w:rPr>
        <w:t xml:space="preserve">      年   月   日</w:t>
      </w:r>
      <w:r>
        <w:rPr>
          <w:rStyle w:val="15"/>
          <w:rFonts w:hint="eastAsia" w:ascii="宋体" w:hAnsi="宋体" w:eastAsia="宋体" w:cs="宋体"/>
          <w:sz w:val="22"/>
          <w:szCs w:val="22"/>
          <w:highlight w:val="none"/>
        </w:rPr>
        <w:t>前供货完毕。</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交货地点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5、报价清单（详见</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及投标文件）</w:t>
      </w:r>
      <w:r>
        <w:rPr>
          <w:rStyle w:val="15"/>
          <w:rFonts w:hint="eastAsia" w:ascii="宋体" w:hAnsi="宋体" w:eastAsia="宋体" w:cs="宋体"/>
          <w:bCs/>
          <w:sz w:val="22"/>
          <w:szCs w:val="22"/>
          <w:highlight w:val="none"/>
          <w:u w:val="single"/>
          <w:lang w:eastAsia="zh-CN"/>
        </w:rPr>
        <w:t>甲乙双方自行约定</w:t>
      </w:r>
      <w:r>
        <w:rPr>
          <w:rStyle w:val="15"/>
          <w:rFonts w:hint="eastAsia" w:ascii="宋体" w:hAnsi="宋体" w:eastAsia="宋体" w:cs="宋体"/>
          <w:bCs/>
          <w:sz w:val="22"/>
          <w:szCs w:val="22"/>
          <w:highlight w:val="none"/>
          <w:u w:val="singl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6.付款方式</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7、货物证明材料</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乙方向甲方提供的货物必须真实、有效，如有虚假需承担相应的法律责任。</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8、违约责任：</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（1）甲方无正当理由不得延期付款，如不能按时付款时因向乙方说明原因，并向乙方偿付拖欠款项的滞纳金，金额每日按逾期款金额的万分之三计算。</w:t>
      </w:r>
    </w:p>
    <w:p>
      <w:pPr>
        <w:pStyle w:val="2"/>
        <w:keepNext w:val="0"/>
        <w:keepLines w:val="0"/>
        <w:pageBreakBefore w:val="0"/>
        <w:widowControl w:val="0"/>
        <w:kinsoku/>
        <w:wordWrap/>
        <w:overflowPunct/>
        <w:topLinePunct w:val="0"/>
        <w:autoSpaceDE/>
        <w:autoSpaceDN/>
        <w:bidi w:val="0"/>
        <w:adjustRightInd/>
        <w:snapToGrid w:val="0"/>
        <w:spacing w:line="120" w:lineRule="exact"/>
        <w:textAlignment w:val="baseline"/>
        <w:rPr>
          <w:rFonts w:hint="eastAsia" w:ascii="宋体" w:hAnsi="宋体" w:eastAsia="宋体" w:cs="宋体"/>
        </w:rPr>
      </w:pPr>
    </w:p>
    <w:p>
      <w:pPr>
        <w:pStyle w:val="2"/>
        <w:spacing w:line="360" w:lineRule="auto"/>
        <w:ind w:left="0" w:leftChars="0" w:firstLine="418" w:firstLineChars="190"/>
        <w:rPr>
          <w:rStyle w:val="15"/>
          <w:rFonts w:hint="eastAsia" w:ascii="宋体" w:hAnsi="宋体" w:eastAsia="宋体" w:cs="宋体"/>
          <w:kern w:val="2"/>
          <w:sz w:val="22"/>
          <w:szCs w:val="22"/>
          <w:highlight w:val="none"/>
          <w:lang w:val="en-US" w:eastAsia="zh-CN" w:bidi="ar-SA"/>
        </w:rPr>
      </w:pPr>
      <w:r>
        <w:rPr>
          <w:rStyle w:val="15"/>
          <w:rFonts w:hint="eastAsia" w:ascii="宋体" w:hAnsi="宋体" w:eastAsia="宋体" w:cs="宋体"/>
          <w:kern w:val="2"/>
          <w:sz w:val="22"/>
          <w:szCs w:val="22"/>
          <w:highlight w:val="none"/>
          <w:lang w:val="en-US" w:eastAsia="zh-CN" w:bidi="ar-SA"/>
        </w:rPr>
        <w:t>（2）乙方实施下列行为之一的，甲方有权解除合同，并有权要求乙方赔偿损失。经甲方同意继续履行合同的，甲方可从应支付给乙方的货款中获得经济上的赔偿,其标准为每逾期一</w:t>
      </w:r>
    </w:p>
    <w:p>
      <w:pPr>
        <w:snapToGrid w:val="0"/>
        <w:spacing w:line="360" w:lineRule="auto"/>
        <w:rPr>
          <w:rStyle w:val="15"/>
          <w:rFonts w:hint="eastAsia" w:ascii="宋体" w:hAnsi="宋体" w:eastAsia="宋体" w:cs="宋体"/>
          <w:kern w:val="2"/>
          <w:sz w:val="22"/>
          <w:szCs w:val="22"/>
          <w:highlight w:val="none"/>
          <w:lang w:val="en-US" w:eastAsia="zh-CN" w:bidi="ar-SA"/>
        </w:rPr>
      </w:pPr>
      <w:r>
        <w:rPr>
          <w:rStyle w:val="15"/>
          <w:rFonts w:hint="eastAsia" w:ascii="宋体" w:hAnsi="宋体" w:eastAsia="宋体" w:cs="宋体"/>
          <w:kern w:val="2"/>
          <w:sz w:val="22"/>
          <w:szCs w:val="22"/>
          <w:highlight w:val="none"/>
          <w:lang w:val="en-US" w:eastAsia="zh-CN" w:bidi="ar-SA"/>
        </w:rPr>
        <w:t>天，按合同总额的万分之三计算。</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①乙方未按合同约定的时间供货结束；</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②乙方送交的货物经验收不合格，或验收后出现质量问题。</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（3）如果乙方不履行售后服务承诺,乙方应向甲方支付合同总价5%的违约金。</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（4）上述违约金、滞纳金不能补偿对方损失时，双方有权向对方追索实际损失的赔偿金。</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（5）由于不可抗力原因使乙方延迟供货，或者由于不可抗力原因影响甲方履约，可不执行违约责任条款，由双方协商解决。</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9、其他约定：</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（1）签订合同前，乙方须将营业执照及相关证书原件交甲方查验。</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（2）乙方所有人员均应持证上岗，并向甲方出示相关证书原件。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（3）乙方应自觉接受甲方及有关部门对供货过程的全程监督，所有供货结束后，都应经过甲方及有关部门的认可；</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（4）接到用户报修电话，乙方维保人员必须在</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小时内赶到现场。</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10、未尽事宜，甲乙双方友好协商解决。</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11.争议的解决方式</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与本合同有关的一切争议，甲方和乙方双方应通过友好协商解决，如协商仍不能解决，双方同意提交当地仲裁委员会进行裁决。</w:t>
      </w:r>
    </w:p>
    <w:p>
      <w:pPr>
        <w:numPr>
          <w:ilvl w:val="0"/>
          <w:numId w:val="8"/>
        </w:num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本合同一式六份，在甲方、乙方双方签字、盖章，并经采购中心见证后生效。甲、乙双方各两份、财政局各一份，采购中心各一份。</w:t>
      </w:r>
    </w:p>
    <w:tbl>
      <w:tblPr>
        <w:tblStyle w:val="10"/>
        <w:tblpPr w:leftFromText="180" w:rightFromText="180" w:vertAnchor="text" w:horzAnchor="page" w:tblpX="1281" w:tblpY="97"/>
        <w:tblOverlap w:val="never"/>
        <w:tblW w:w="940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4595"/>
        <w:gridCol w:w="48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0" w:hRule="atLeast"/>
        </w:trPr>
        <w:tc>
          <w:tcPr>
            <w:tcW w:w="4595" w:type="dxa"/>
            <w:tcBorders>
              <w:top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甲方：</w:t>
            </w:r>
          </w:p>
        </w:tc>
        <w:tc>
          <w:tcPr>
            <w:tcW w:w="4807" w:type="dxa"/>
            <w:tcBorders>
              <w:top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乙方：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通讯地址：</w:t>
            </w: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通讯地址：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邮政编码：</w:t>
            </w: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邮政编码：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765" w:hRule="exact"/>
        </w:trPr>
        <w:tc>
          <w:tcPr>
            <w:tcW w:w="4595" w:type="dxa"/>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电话：</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传真：</w:t>
            </w:r>
          </w:p>
        </w:tc>
        <w:tc>
          <w:tcPr>
            <w:tcW w:w="4807" w:type="dxa"/>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电话：</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传真：</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维保人员名单、手机号码</w:t>
            </w:r>
          </w:p>
          <w:p>
            <w:pPr>
              <w:snapToGrid w:val="0"/>
              <w:ind w:firstLine="422" w:firstLineChars="192"/>
              <w:jc w:val="left"/>
              <w:rPr>
                <w:rStyle w:val="15"/>
                <w:rFonts w:hint="eastAsia" w:ascii="宋体" w:hAnsi="宋体" w:eastAsia="宋体" w:cs="宋体"/>
                <w:position w:val="-2"/>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8" w:hRule="exac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开户银行：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99" w:hRule="exact"/>
        </w:trPr>
        <w:tc>
          <w:tcPr>
            <w:tcW w:w="4595" w:type="dxa"/>
            <w:tcBorders>
              <w:bottom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p>
        </w:tc>
        <w:tc>
          <w:tcPr>
            <w:tcW w:w="4807" w:type="dxa"/>
            <w:tcBorders>
              <w:bottom w:val="single" w:color="000000" w:sz="12" w:space="0"/>
            </w:tcBorders>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账号：</w:t>
            </w:r>
          </w:p>
          <w:p>
            <w:pPr>
              <w:snapToGrid w:val="0"/>
              <w:ind w:firstLine="422" w:firstLineChars="192"/>
              <w:jc w:val="left"/>
              <w:rPr>
                <w:rStyle w:val="15"/>
                <w:rFonts w:hint="eastAsia" w:ascii="宋体" w:hAnsi="宋体" w:eastAsia="宋体" w:cs="宋体"/>
                <w:position w:val="-2"/>
                <w:sz w:val="22"/>
                <w:szCs w:val="22"/>
                <w:highlight w:val="none"/>
              </w:rPr>
            </w:pPr>
          </w:p>
          <w:p>
            <w:pPr>
              <w:snapToGrid w:val="0"/>
              <w:ind w:firstLine="422" w:firstLineChars="192"/>
              <w:jc w:val="left"/>
              <w:rPr>
                <w:rStyle w:val="15"/>
                <w:rFonts w:hint="eastAsia" w:ascii="宋体" w:hAnsi="宋体" w:eastAsia="宋体" w:cs="宋体"/>
                <w:position w:val="-2"/>
                <w:sz w:val="22"/>
                <w:szCs w:val="22"/>
                <w:highlight w:val="none"/>
              </w:rPr>
            </w:pPr>
          </w:p>
          <w:p>
            <w:pPr>
              <w:snapToGrid w:val="0"/>
              <w:ind w:firstLine="422" w:firstLineChars="192"/>
              <w:jc w:val="left"/>
              <w:rPr>
                <w:rStyle w:val="15"/>
                <w:rFonts w:hint="eastAsia" w:ascii="宋体" w:hAnsi="宋体" w:eastAsia="宋体" w:cs="宋体"/>
                <w:position w:val="-2"/>
                <w:sz w:val="22"/>
                <w:szCs w:val="22"/>
                <w:highlight w:val="none"/>
              </w:rPr>
            </w:pPr>
          </w:p>
        </w:tc>
      </w:tr>
    </w:tbl>
    <w:p>
      <w:pPr>
        <w:snapToGrid w:val="0"/>
        <w:spacing w:line="540" w:lineRule="exact"/>
        <w:ind w:firstLine="440" w:firstLineChars="200"/>
        <w:rPr>
          <w:rStyle w:val="15"/>
          <w:rFonts w:hint="eastAsia" w:ascii="宋体" w:hAnsi="宋体" w:eastAsia="宋体" w:cs="宋体"/>
          <w:sz w:val="22"/>
          <w:szCs w:val="22"/>
          <w:highlight w:val="none"/>
        </w:rPr>
      </w:pPr>
    </w:p>
    <w:p>
      <w:pPr>
        <w:snapToGrid w:val="0"/>
        <w:spacing w:line="540" w:lineRule="exact"/>
        <w:ind w:left="0" w:leftChars="0" w:firstLine="420" w:firstLineChars="60"/>
        <w:rPr>
          <w:rStyle w:val="15"/>
          <w:rFonts w:hint="eastAsia" w:ascii="宋体" w:hAnsi="宋体" w:eastAsia="宋体" w:cs="宋体"/>
          <w:sz w:val="22"/>
          <w:szCs w:val="22"/>
          <w:highlight w:val="none"/>
        </w:rPr>
      </w:pPr>
      <w:r>
        <w:rPr>
          <w:rStyle w:val="15"/>
          <w:rFonts w:hint="eastAsia" w:ascii="宋体" w:hAnsi="宋体" w:eastAsia="宋体" w:cs="宋体"/>
          <w:spacing w:val="240"/>
          <w:sz w:val="22"/>
          <w:szCs w:val="22"/>
          <w:highlight w:val="none"/>
        </w:rPr>
        <w:t>甲</w:t>
      </w:r>
      <w:r>
        <w:rPr>
          <w:rStyle w:val="15"/>
          <w:rFonts w:hint="eastAsia" w:ascii="宋体" w:hAnsi="宋体" w:eastAsia="宋体" w:cs="宋体"/>
          <w:sz w:val="22"/>
          <w:szCs w:val="22"/>
          <w:highlight w:val="none"/>
        </w:rPr>
        <w:t xml:space="preserve">方：                </w:t>
      </w:r>
      <w:r>
        <w:rPr>
          <w:rStyle w:val="15"/>
          <w:rFonts w:hint="eastAsia" w:ascii="宋体" w:hAnsi="宋体" w:eastAsia="宋体" w:cs="宋体"/>
          <w:spacing w:val="240"/>
          <w:sz w:val="22"/>
          <w:szCs w:val="22"/>
          <w:highlight w:val="none"/>
        </w:rPr>
        <w:t>乙</w:t>
      </w:r>
      <w:r>
        <w:rPr>
          <w:rStyle w:val="15"/>
          <w:rFonts w:hint="eastAsia" w:ascii="宋体" w:hAnsi="宋体" w:eastAsia="宋体" w:cs="宋体"/>
          <w:sz w:val="22"/>
          <w:szCs w:val="22"/>
          <w:highlight w:val="none"/>
        </w:rPr>
        <w:t xml:space="preserve">方：           </w:t>
      </w:r>
      <w:r>
        <w:rPr>
          <w:rStyle w:val="15"/>
          <w:rFonts w:hint="eastAsia" w:ascii="宋体" w:hAnsi="宋体" w:eastAsia="宋体" w:cs="宋体"/>
          <w:spacing w:val="60"/>
          <w:sz w:val="22"/>
          <w:szCs w:val="22"/>
          <w:highlight w:val="none"/>
        </w:rPr>
        <w:t>见证</w:t>
      </w:r>
      <w:r>
        <w:rPr>
          <w:rStyle w:val="15"/>
          <w:rFonts w:hint="eastAsia" w:ascii="宋体" w:hAnsi="宋体" w:eastAsia="宋体" w:cs="宋体"/>
          <w:sz w:val="22"/>
          <w:szCs w:val="22"/>
          <w:highlight w:val="none"/>
        </w:rPr>
        <w:t xml:space="preserve">方：（采购中心） </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单位盖章：                单位盖章：           单位盖章： </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代表签字：                代表签字：           代表签字：</w:t>
      </w:r>
    </w:p>
    <w:p>
      <w:pPr>
        <w:snapToGrid w:val="0"/>
        <w:spacing w:line="540" w:lineRule="exact"/>
        <w:rPr>
          <w:rStyle w:val="15"/>
          <w:rFonts w:hint="eastAsia" w:ascii="宋体" w:hAnsi="宋体" w:eastAsia="宋体" w:cs="宋体"/>
          <w:sz w:val="22"/>
          <w:szCs w:val="22"/>
          <w:highlight w:val="none"/>
        </w:rPr>
      </w:pPr>
    </w:p>
    <w:p>
      <w:pPr>
        <w:snapToGrid w:val="0"/>
        <w:spacing w:line="540" w:lineRule="exact"/>
        <w:ind w:firstLine="5500" w:firstLineChars="25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签订时间：  年   月   日 </w:t>
      </w:r>
    </w:p>
    <w:p>
      <w:pPr>
        <w:snapToGrid w:val="0"/>
        <w:spacing w:line="600" w:lineRule="exact"/>
        <w:jc w:val="left"/>
        <w:rPr>
          <w:rStyle w:val="15"/>
          <w:rFonts w:hint="eastAsia" w:ascii="宋体" w:hAnsi="宋体" w:eastAsia="宋体" w:cs="宋体"/>
          <w:b/>
          <w:bCs/>
          <w:sz w:val="21"/>
          <w:highlight w:val="none"/>
        </w:rPr>
      </w:pPr>
    </w:p>
    <w:p>
      <w:pPr>
        <w:pStyle w:val="25"/>
        <w:snapToGrid w:val="0"/>
        <w:rPr>
          <w:rStyle w:val="15"/>
          <w:rFonts w:hint="eastAsia" w:ascii="宋体" w:hAnsi="宋体" w:eastAsia="宋体" w:cs="宋体"/>
          <w:sz w:val="21"/>
          <w:szCs w:val="21"/>
          <w:highlight w:val="none"/>
          <w:lang w:val="zh-CN"/>
        </w:rPr>
      </w:pPr>
    </w:p>
    <w:p>
      <w:pPr>
        <w:pStyle w:val="110"/>
        <w:snapToGrid w:val="0"/>
        <w:rPr>
          <w:rStyle w:val="15"/>
          <w:rFonts w:hint="eastAsia" w:ascii="宋体" w:hAnsi="宋体" w:eastAsia="宋体" w:cs="宋体"/>
          <w:highlight w:val="none"/>
        </w:rPr>
      </w:pPr>
    </w:p>
    <w:p>
      <w:pPr>
        <w:pStyle w:val="110"/>
        <w:snapToGrid w:val="0"/>
        <w:rPr>
          <w:rStyle w:val="15"/>
          <w:rFonts w:hint="eastAsia" w:ascii="宋体" w:hAnsi="宋体" w:eastAsia="宋体" w:cs="宋体"/>
          <w:highlight w:val="none"/>
        </w:rPr>
      </w:pPr>
    </w:p>
    <w:p>
      <w:pPr>
        <w:snapToGrid w:val="0"/>
        <w:rPr>
          <w:rStyle w:val="15"/>
          <w:rFonts w:hint="eastAsia" w:ascii="宋体" w:hAnsi="宋体" w:eastAsia="宋体" w:cs="宋体"/>
          <w:sz w:val="21"/>
          <w:highlight w:val="none"/>
        </w:rPr>
      </w:pPr>
    </w:p>
    <w:p>
      <w:pPr>
        <w:pStyle w:val="110"/>
        <w:snapToGrid w:val="0"/>
        <w:rPr>
          <w:rStyle w:val="15"/>
          <w:rFonts w:hint="eastAsia" w:ascii="宋体" w:hAnsi="宋体" w:eastAsia="宋体" w:cs="宋体"/>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pStyle w:val="2"/>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pStyle w:val="2"/>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Fonts w:hint="eastAsia" w:ascii="宋体" w:hAnsi="宋体" w:eastAsia="宋体" w:cs="宋体"/>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pPr>
    </w:p>
    <w:p>
      <w:pPr>
        <w:spacing w:line="360" w:lineRule="auto"/>
        <w:jc w:val="center"/>
        <w:outlineLvl w:val="0"/>
        <w:rPr>
          <w:rStyle w:val="15"/>
          <w:rFonts w:hint="eastAsia" w:ascii="宋体" w:hAnsi="宋体" w:eastAsia="宋体" w:cs="宋体"/>
          <w:b/>
          <w:bCs/>
          <w:kern w:val="44"/>
          <w:sz w:val="36"/>
          <w:szCs w:val="44"/>
          <w:highlight w:val="none"/>
        </w:rPr>
      </w:pPr>
      <w:bookmarkStart w:id="12" w:name="_Toc9753"/>
      <w:r>
        <w:rPr>
          <w:rStyle w:val="15"/>
          <w:rFonts w:hint="eastAsia" w:ascii="宋体" w:hAnsi="宋体" w:eastAsia="宋体" w:cs="宋体"/>
          <w:b/>
          <w:bCs/>
          <w:kern w:val="44"/>
          <w:sz w:val="36"/>
          <w:szCs w:val="44"/>
          <w:highlight w:val="none"/>
        </w:rPr>
        <w:t xml:space="preserve">第五章 </w:t>
      </w:r>
      <w:r>
        <w:rPr>
          <w:rStyle w:val="15"/>
          <w:rFonts w:hint="eastAsia" w:ascii="宋体" w:hAnsi="宋体" w:cs="宋体"/>
          <w:b/>
          <w:bCs/>
          <w:kern w:val="44"/>
          <w:sz w:val="36"/>
          <w:szCs w:val="44"/>
          <w:highlight w:val="none"/>
          <w:lang w:eastAsia="zh-CN"/>
        </w:rPr>
        <w:t>公开招标</w:t>
      </w:r>
      <w:r>
        <w:rPr>
          <w:rStyle w:val="15"/>
          <w:rFonts w:hint="eastAsia" w:ascii="宋体" w:hAnsi="宋体" w:eastAsia="宋体" w:cs="宋体"/>
          <w:b/>
          <w:bCs/>
          <w:kern w:val="44"/>
          <w:sz w:val="36"/>
          <w:szCs w:val="44"/>
          <w:highlight w:val="none"/>
        </w:rPr>
        <w:t>响应文件格式</w:t>
      </w:r>
      <w:bookmarkEnd w:id="12"/>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sectPr>
          <w:headerReference r:id="rId13" w:type="default"/>
          <w:footerReference r:id="rId14" w:type="default"/>
          <w:pgSz w:w="11910" w:h="16840"/>
          <w:pgMar w:top="1417" w:right="1417" w:bottom="1417" w:left="1417" w:header="874" w:footer="1077" w:gutter="0"/>
          <w:pgNumType w:fmt="decimal" w:start="26"/>
          <w:cols w:space="0" w:num="1"/>
          <w:rtlGutter w:val="0"/>
        </w:sectPr>
      </w:pPr>
    </w:p>
    <w:tbl>
      <w:tblPr>
        <w:tblStyle w:val="10"/>
        <w:tblpPr w:leftFromText="180" w:rightFromText="180" w:vertAnchor="text" w:horzAnchor="page" w:tblpX="20654" w:tblpY="-297"/>
        <w:tblOverlap w:val="never"/>
        <w:tblW w:w="17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732" w:type="dxa"/>
            <w:vAlign w:val="center"/>
          </w:tcPr>
          <w:p>
            <w:pPr>
              <w:spacing w:line="360" w:lineRule="auto"/>
              <w:jc w:val="center"/>
              <w:rPr>
                <w:rStyle w:val="15"/>
                <w:rFonts w:hint="eastAsia" w:ascii="宋体" w:hAnsi="宋体" w:eastAsia="宋体" w:cs="宋体"/>
                <w:b/>
                <w:sz w:val="40"/>
                <w:szCs w:val="44"/>
                <w:highlight w:val="none"/>
              </w:rPr>
            </w:pPr>
            <w:r>
              <w:rPr>
                <w:rStyle w:val="15"/>
                <w:rFonts w:hint="eastAsia" w:ascii="宋体" w:hAnsi="宋体" w:eastAsia="宋体" w:cs="宋体"/>
                <w:b/>
                <w:sz w:val="40"/>
                <w:szCs w:val="44"/>
                <w:highlight w:val="none"/>
              </w:rPr>
              <w:t>正/副本</w:t>
            </w:r>
          </w:p>
        </w:tc>
      </w:tr>
    </w:tbl>
    <w:tbl>
      <w:tblPr>
        <w:tblStyle w:val="10"/>
        <w:tblpPr w:leftFromText="180" w:rightFromText="180" w:vertAnchor="text" w:horzAnchor="page" w:tblpX="8735" w:tblpY="-80"/>
        <w:tblOverlap w:val="never"/>
        <w:tblW w:w="17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732" w:type="dxa"/>
            <w:vAlign w:val="center"/>
          </w:tcPr>
          <w:p>
            <w:pPr>
              <w:spacing w:line="360" w:lineRule="auto"/>
              <w:jc w:val="center"/>
              <w:rPr>
                <w:rStyle w:val="15"/>
                <w:rFonts w:hint="eastAsia" w:ascii="宋体" w:hAnsi="宋体" w:eastAsia="宋体" w:cs="宋体"/>
                <w:b/>
                <w:sz w:val="40"/>
                <w:szCs w:val="44"/>
                <w:highlight w:val="none"/>
              </w:rPr>
            </w:pPr>
            <w:r>
              <w:rPr>
                <w:rStyle w:val="15"/>
                <w:rFonts w:hint="eastAsia" w:ascii="宋体" w:hAnsi="宋体" w:eastAsia="宋体" w:cs="宋体"/>
                <w:b/>
                <w:sz w:val="40"/>
                <w:szCs w:val="44"/>
                <w:highlight w:val="none"/>
              </w:rPr>
              <w:t>正/副本</w:t>
            </w:r>
          </w:p>
        </w:tc>
      </w:tr>
    </w:tbl>
    <w:p>
      <w:pPr>
        <w:tabs>
          <w:tab w:val="left" w:pos="525"/>
        </w:tabs>
        <w:jc w:val="center"/>
        <w:rPr>
          <w:rStyle w:val="15"/>
          <w:rFonts w:hint="eastAsia" w:ascii="宋体" w:hAnsi="宋体" w:eastAsia="宋体" w:cs="宋体"/>
          <w:b/>
          <w:bCs/>
          <w:sz w:val="36"/>
          <w:szCs w:val="36"/>
          <w:highlight w:val="none"/>
        </w:rPr>
      </w:pPr>
    </w:p>
    <w:p>
      <w:pPr>
        <w:snapToGrid w:val="0"/>
        <w:spacing w:line="360" w:lineRule="auto"/>
        <w:ind w:right="45"/>
        <w:jc w:val="center"/>
        <w:rPr>
          <w:rStyle w:val="15"/>
          <w:rFonts w:hint="eastAsia" w:ascii="宋体" w:hAnsi="宋体" w:eastAsia="宋体" w:cs="宋体"/>
          <w:b/>
          <w:sz w:val="36"/>
          <w:szCs w:val="36"/>
          <w:highlight w:val="none"/>
        </w:rPr>
      </w:pPr>
    </w:p>
    <w:p>
      <w:pPr>
        <w:pStyle w:val="3"/>
        <w:widowControl/>
        <w:spacing w:before="300" w:beforeAutospacing="0" w:after="300" w:afterAutospacing="0" w:line="360" w:lineRule="auto"/>
        <w:jc w:val="both"/>
        <w:rPr>
          <w:rStyle w:val="15"/>
          <w:rFonts w:hint="eastAsia" w:ascii="宋体" w:hAnsi="宋体" w:eastAsia="宋体" w:cs="宋体"/>
          <w:b/>
          <w:bCs w:val="0"/>
          <w:i w:val="0"/>
          <w:caps w:val="0"/>
          <w:spacing w:val="0"/>
          <w:w w:val="100"/>
          <w:sz w:val="52"/>
          <w:szCs w:val="52"/>
          <w:lang w:eastAsia="zh-CN"/>
        </w:rPr>
      </w:pPr>
      <w:bookmarkStart w:id="13" w:name="_Toc14726"/>
    </w:p>
    <w:p>
      <w:pPr>
        <w:pStyle w:val="3"/>
        <w:widowControl/>
        <w:spacing w:before="300" w:beforeAutospacing="0" w:after="300" w:afterAutospacing="0" w:line="360" w:lineRule="auto"/>
        <w:jc w:val="center"/>
        <w:rPr>
          <w:rStyle w:val="15"/>
          <w:rFonts w:hint="eastAsia" w:cs="宋体"/>
          <w:b/>
          <w:bCs w:val="0"/>
          <w:i w:val="0"/>
          <w:caps w:val="0"/>
          <w:spacing w:val="0"/>
          <w:w w:val="100"/>
          <w:sz w:val="48"/>
          <w:szCs w:val="48"/>
          <w:lang w:eastAsia="zh-CN"/>
        </w:rPr>
      </w:pPr>
      <w:r>
        <w:rPr>
          <w:rStyle w:val="15"/>
          <w:rFonts w:hint="eastAsia" w:ascii="宋体" w:hAnsi="宋体" w:eastAsia="宋体" w:cs="宋体"/>
          <w:b/>
          <w:bCs w:val="0"/>
          <w:i w:val="0"/>
          <w:caps w:val="0"/>
          <w:spacing w:val="0"/>
          <w:w w:val="100"/>
          <w:sz w:val="48"/>
          <w:szCs w:val="48"/>
          <w:lang w:eastAsia="zh-CN"/>
        </w:rPr>
        <w:t>彬州市</w:t>
      </w:r>
      <w:r>
        <w:rPr>
          <w:rStyle w:val="15"/>
          <w:rFonts w:hint="eastAsia" w:cs="宋体"/>
          <w:b/>
          <w:bCs w:val="0"/>
          <w:i w:val="0"/>
          <w:caps w:val="0"/>
          <w:spacing w:val="0"/>
          <w:w w:val="100"/>
          <w:sz w:val="48"/>
          <w:szCs w:val="48"/>
          <w:lang w:eastAsia="zh-CN"/>
        </w:rPr>
        <w:t>机关事务服务中心关于公务用车</w:t>
      </w: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48"/>
          <w:szCs w:val="48"/>
          <w:lang w:eastAsia="zh-CN"/>
        </w:rPr>
      </w:pPr>
      <w:r>
        <w:rPr>
          <w:rStyle w:val="15"/>
          <w:rFonts w:hint="eastAsia" w:cs="宋体"/>
          <w:b/>
          <w:bCs w:val="0"/>
          <w:i w:val="0"/>
          <w:caps w:val="0"/>
          <w:spacing w:val="0"/>
          <w:w w:val="100"/>
          <w:sz w:val="48"/>
          <w:szCs w:val="48"/>
          <w:lang w:eastAsia="zh-CN"/>
        </w:rPr>
        <w:t>定点加油、维修、保险</w:t>
      </w:r>
      <w:r>
        <w:rPr>
          <w:rStyle w:val="15"/>
          <w:rFonts w:hint="eastAsia" w:ascii="宋体" w:hAnsi="宋体" w:eastAsia="宋体" w:cs="宋体"/>
          <w:b/>
          <w:bCs w:val="0"/>
          <w:i w:val="0"/>
          <w:caps w:val="0"/>
          <w:spacing w:val="0"/>
          <w:w w:val="100"/>
          <w:sz w:val="48"/>
          <w:szCs w:val="48"/>
          <w:lang w:eastAsia="zh-CN"/>
        </w:rPr>
        <w:t>项目</w:t>
      </w:r>
    </w:p>
    <w:p>
      <w:pPr>
        <w:snapToGrid w:val="0"/>
        <w:spacing w:line="360" w:lineRule="auto"/>
        <w:ind w:right="45"/>
        <w:jc w:val="center"/>
        <w:outlineLvl w:val="0"/>
        <w:rPr>
          <w:rStyle w:val="15"/>
          <w:rFonts w:hint="eastAsia" w:ascii="宋体" w:hAnsi="宋体" w:eastAsia="宋体" w:cs="宋体"/>
          <w:b/>
          <w:bCs/>
          <w:kern w:val="0"/>
          <w:sz w:val="44"/>
          <w:szCs w:val="44"/>
          <w:highlight w:val="none"/>
          <w:lang w:eastAsia="zh-CN"/>
        </w:rPr>
      </w:pPr>
    </w:p>
    <w:p>
      <w:pPr>
        <w:pStyle w:val="2"/>
        <w:rPr>
          <w:rFonts w:hint="eastAsia"/>
          <w:lang w:eastAsia="zh-CN"/>
        </w:rPr>
      </w:pPr>
    </w:p>
    <w:p>
      <w:pPr>
        <w:snapToGrid w:val="0"/>
        <w:spacing w:line="360" w:lineRule="auto"/>
        <w:ind w:right="45"/>
        <w:jc w:val="center"/>
        <w:outlineLvl w:val="0"/>
        <w:rPr>
          <w:rStyle w:val="15"/>
          <w:rFonts w:hint="eastAsia" w:ascii="宋体" w:hAnsi="宋体" w:eastAsia="宋体" w:cs="宋体"/>
          <w:b w:val="0"/>
          <w:bCs/>
          <w:spacing w:val="142"/>
          <w:sz w:val="44"/>
          <w:szCs w:val="44"/>
          <w:highlight w:val="none"/>
        </w:rPr>
      </w:pPr>
      <w:r>
        <w:rPr>
          <w:rStyle w:val="15"/>
          <w:rFonts w:hint="eastAsia" w:ascii="宋体" w:hAnsi="宋体" w:cs="宋体"/>
          <w:b w:val="0"/>
          <w:bCs/>
          <w:spacing w:val="142"/>
          <w:sz w:val="44"/>
          <w:szCs w:val="44"/>
          <w:highlight w:val="none"/>
          <w:lang w:eastAsia="zh-CN"/>
        </w:rPr>
        <w:t>公开招标</w:t>
      </w:r>
      <w:r>
        <w:rPr>
          <w:rStyle w:val="15"/>
          <w:rFonts w:hint="eastAsia" w:ascii="宋体" w:hAnsi="宋体" w:eastAsia="宋体" w:cs="宋体"/>
          <w:b w:val="0"/>
          <w:bCs/>
          <w:spacing w:val="142"/>
          <w:sz w:val="44"/>
          <w:szCs w:val="44"/>
          <w:highlight w:val="none"/>
        </w:rPr>
        <w:t>响应文件</w:t>
      </w:r>
      <w:bookmarkEnd w:id="13"/>
    </w:p>
    <w:p>
      <w:pPr>
        <w:spacing w:line="500" w:lineRule="atLeast"/>
        <w:rPr>
          <w:rStyle w:val="15"/>
          <w:rFonts w:hint="eastAsia" w:ascii="宋体" w:hAnsi="宋体" w:eastAsia="宋体" w:cs="宋体"/>
          <w:sz w:val="28"/>
          <w:szCs w:val="28"/>
          <w:highlight w:val="none"/>
        </w:rPr>
      </w:pPr>
      <w:r>
        <w:rPr>
          <w:rStyle w:val="15"/>
          <w:rFonts w:hint="eastAsia" w:ascii="宋体" w:hAnsi="宋体" w:eastAsia="宋体" w:cs="宋体"/>
          <w:b/>
          <w:bCs/>
          <w:sz w:val="72"/>
          <w:szCs w:val="72"/>
          <w:highlight w:val="none"/>
        </w:rPr>
        <w:t xml:space="preserve"> </w:t>
      </w:r>
    </w:p>
    <w:p>
      <w:pPr>
        <w:spacing w:line="500" w:lineRule="atLeast"/>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snapToGrid w:val="0"/>
        <w:spacing w:line="360" w:lineRule="auto"/>
        <w:ind w:right="45"/>
        <w:jc w:val="center"/>
        <w:outlineLvl w:val="0"/>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pStyle w:val="28"/>
        <w:snapToGrid w:val="0"/>
        <w:spacing w:before="156" w:line="900" w:lineRule="exact"/>
        <w:ind w:firstLine="1120" w:firstLineChars="400"/>
        <w:outlineLvl w:val="0"/>
        <w:rPr>
          <w:rStyle w:val="15"/>
          <w:rFonts w:hint="eastAsia" w:ascii="宋体" w:hAnsi="宋体" w:eastAsia="宋体" w:cs="宋体"/>
          <w:sz w:val="28"/>
          <w:szCs w:val="28"/>
          <w:highlight w:val="none"/>
        </w:rPr>
      </w:pPr>
      <w:bookmarkStart w:id="14" w:name="_Toc3367"/>
      <w:r>
        <w:rPr>
          <w:rStyle w:val="15"/>
          <w:rFonts w:hint="eastAsia" w:ascii="宋体" w:hAnsi="宋体" w:eastAsia="宋体" w:cs="宋体"/>
          <w:sz w:val="28"/>
          <w:szCs w:val="28"/>
          <w:highlight w:val="none"/>
        </w:rPr>
        <w:t>供 应 商：</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（盖单位公章）</w:t>
      </w:r>
      <w:bookmarkEnd w:id="14"/>
    </w:p>
    <w:p>
      <w:pPr>
        <w:pStyle w:val="28"/>
        <w:snapToGrid w:val="0"/>
        <w:spacing w:before="156" w:line="900" w:lineRule="exact"/>
        <w:ind w:firstLine="1120" w:firstLineChars="400"/>
        <w:outlineLvl w:val="0"/>
        <w:rPr>
          <w:rStyle w:val="15"/>
          <w:rFonts w:hint="eastAsia" w:ascii="宋体" w:hAnsi="宋体" w:eastAsia="宋体" w:cs="宋体"/>
          <w:sz w:val="28"/>
          <w:szCs w:val="28"/>
          <w:highlight w:val="none"/>
        </w:rPr>
      </w:pPr>
      <w:bookmarkStart w:id="15" w:name="_Toc32198"/>
      <w:r>
        <w:rPr>
          <w:rStyle w:val="15"/>
          <w:rFonts w:hint="eastAsia" w:ascii="宋体" w:hAnsi="宋体" w:eastAsia="宋体" w:cs="宋体"/>
          <w:sz w:val="28"/>
          <w:szCs w:val="28"/>
          <w:highlight w:val="none"/>
        </w:rPr>
        <w:t>法定代表人或委托代理人：</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（签字或盖章）</w:t>
      </w:r>
      <w:bookmarkEnd w:id="15"/>
    </w:p>
    <w:p>
      <w:pPr>
        <w:pStyle w:val="28"/>
        <w:snapToGrid w:val="0"/>
        <w:spacing w:before="156" w:line="900" w:lineRule="exact"/>
        <w:ind w:left="0" w:leftChars="0" w:firstLine="0" w:firstLineChars="0"/>
        <w:jc w:val="center"/>
        <w:outlineLvl w:val="0"/>
        <w:rPr>
          <w:rStyle w:val="15"/>
          <w:rFonts w:hint="eastAsia" w:ascii="宋体" w:hAnsi="宋体" w:eastAsia="宋体" w:cs="宋体"/>
          <w:sz w:val="28"/>
          <w:szCs w:val="28"/>
          <w:highlight w:val="none"/>
        </w:rPr>
      </w:pPr>
      <w:bookmarkStart w:id="16" w:name="_Toc1562"/>
      <w:r>
        <w:rPr>
          <w:rStyle w:val="15"/>
          <w:rFonts w:hint="eastAsia" w:ascii="宋体" w:hAnsi="宋体" w:eastAsia="宋体" w:cs="宋体"/>
          <w:sz w:val="28"/>
          <w:szCs w:val="28"/>
          <w:highlight w:val="none"/>
        </w:rPr>
        <w:t>日    期：</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年</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月</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日</w:t>
      </w:r>
      <w:bookmarkEnd w:id="16"/>
    </w:p>
    <w:p>
      <w:pPr>
        <w:spacing w:line="500" w:lineRule="atLeast"/>
        <w:jc w:val="center"/>
        <w:outlineLvl w:val="0"/>
        <w:rPr>
          <w:rStyle w:val="56"/>
          <w:rFonts w:hint="eastAsia" w:ascii="宋体" w:hAnsi="宋体" w:eastAsia="宋体" w:cs="宋体"/>
          <w:bCs/>
          <w:szCs w:val="32"/>
          <w:highlight w:val="none"/>
        </w:rPr>
      </w:pPr>
      <w:bookmarkStart w:id="17" w:name="_Toc18551"/>
      <w:r>
        <w:rPr>
          <w:rStyle w:val="56"/>
          <w:rFonts w:hint="eastAsia" w:ascii="宋体" w:hAnsi="宋体" w:eastAsia="宋体" w:cs="宋体"/>
          <w:bCs/>
          <w:szCs w:val="32"/>
          <w:highlight w:val="none"/>
        </w:rPr>
        <w:t xml:space="preserve">第一部分  </w:t>
      </w:r>
      <w:r>
        <w:rPr>
          <w:rStyle w:val="56"/>
          <w:rFonts w:hint="eastAsia" w:ascii="宋体" w:hAnsi="宋体" w:cs="宋体"/>
          <w:bCs/>
          <w:szCs w:val="32"/>
          <w:highlight w:val="none"/>
          <w:lang w:eastAsia="zh-CN"/>
        </w:rPr>
        <w:t>公开招标</w:t>
      </w:r>
      <w:r>
        <w:rPr>
          <w:rStyle w:val="56"/>
          <w:rFonts w:hint="eastAsia" w:ascii="宋体" w:hAnsi="宋体" w:eastAsia="宋体" w:cs="宋体"/>
          <w:bCs/>
          <w:szCs w:val="32"/>
          <w:highlight w:val="none"/>
        </w:rPr>
        <w:t>响应函</w:t>
      </w:r>
      <w:bookmarkEnd w:id="17"/>
    </w:p>
    <w:p>
      <w:pPr>
        <w:keepNext w:val="0"/>
        <w:keepLines w:val="0"/>
        <w:pageBreakBefore w:val="0"/>
        <w:widowControl/>
        <w:kinsoku/>
        <w:wordWrap/>
        <w:overflowPunct/>
        <w:topLinePunct w:val="0"/>
        <w:autoSpaceDE/>
        <w:autoSpaceDN/>
        <w:bidi w:val="0"/>
        <w:adjustRightInd/>
        <w:spacing w:line="440" w:lineRule="exact"/>
        <w:ind w:firstLine="331" w:firstLineChars="150"/>
        <w:textAlignment w:val="baseline"/>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致</w:t>
      </w:r>
      <w:r>
        <w:rPr>
          <w:rStyle w:val="15"/>
          <w:rFonts w:hint="eastAsia" w:ascii="宋体" w:hAnsi="宋体" w:eastAsia="宋体" w:cs="宋体"/>
          <w:sz w:val="22"/>
          <w:szCs w:val="22"/>
          <w:highlight w:val="none"/>
          <w:u w:val="single"/>
        </w:rPr>
        <w:t xml:space="preserve">     </w:t>
      </w:r>
      <w:r>
        <w:rPr>
          <w:rStyle w:val="15"/>
          <w:rFonts w:hint="eastAsia" w:ascii="宋体" w:hAnsi="宋体" w:cs="宋体"/>
          <w:sz w:val="22"/>
          <w:szCs w:val="22"/>
          <w:highlight w:val="none"/>
          <w:u w:val="single"/>
          <w:lang w:val="en-US" w:eastAsia="zh-CN"/>
        </w:rPr>
        <w:t xml:space="preserve">  </w:t>
      </w:r>
      <w:r>
        <w:rPr>
          <w:rStyle w:val="15"/>
          <w:rFonts w:hint="eastAsia" w:ascii="宋体" w:hAnsi="宋体" w:eastAsia="宋体" w:cs="宋体"/>
          <w:b/>
          <w:bCs/>
          <w:sz w:val="22"/>
          <w:szCs w:val="22"/>
          <w:highlight w:val="none"/>
          <w:u w:val="single"/>
        </w:rPr>
        <w:t>（采购人名称</w:t>
      </w:r>
      <w:r>
        <w:rPr>
          <w:rStyle w:val="15"/>
          <w:rFonts w:hint="eastAsia" w:ascii="宋体" w:hAnsi="宋体" w:eastAsia="宋体" w:cs="宋体"/>
          <w:sz w:val="22"/>
          <w:szCs w:val="22"/>
          <w:highlight w:val="none"/>
          <w:u w:val="single"/>
        </w:rPr>
        <w:t>）</w:t>
      </w:r>
      <w:r>
        <w:rPr>
          <w:rStyle w:val="15"/>
          <w:rFonts w:hint="eastAsia" w:ascii="宋体" w:hAnsi="宋体" w:eastAsia="宋体" w:cs="宋体"/>
          <w:b/>
          <w:bCs/>
          <w:sz w:val="22"/>
          <w:szCs w:val="22"/>
          <w:highlight w:val="none"/>
        </w:rPr>
        <w:t>：</w:t>
      </w:r>
    </w:p>
    <w:p>
      <w:pPr>
        <w:keepNext w:val="0"/>
        <w:keepLines w:val="0"/>
        <w:pageBreakBefore w:val="0"/>
        <w:widowControl/>
        <w:kinsoku/>
        <w:wordWrap/>
        <w:overflowPunct/>
        <w:topLinePunct w:val="0"/>
        <w:autoSpaceDE/>
        <w:autoSpaceDN/>
        <w:bidi w:val="0"/>
        <w:adjustRightInd/>
        <w:spacing w:line="440" w:lineRule="exact"/>
        <w:ind w:right="-512"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我公司收到贵单位</w:t>
      </w:r>
      <w:r>
        <w:rPr>
          <w:rStyle w:val="15"/>
          <w:rFonts w:hint="eastAsia" w:ascii="宋体" w:hAnsi="宋体" w:eastAsia="宋体" w:cs="宋体"/>
          <w:kern w:val="0"/>
          <w:sz w:val="22"/>
          <w:szCs w:val="22"/>
          <w:highlight w:val="none"/>
          <w:u w:val="single"/>
        </w:rPr>
        <w:t xml:space="preserve">                         （项目名称和项目编号）</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，经详细研究，</w:t>
      </w:r>
    </w:p>
    <w:p>
      <w:pPr>
        <w:keepNext w:val="0"/>
        <w:keepLines w:val="0"/>
        <w:pageBreakBefore w:val="0"/>
        <w:widowControl/>
        <w:kinsoku/>
        <w:wordWrap/>
        <w:overflowPunct/>
        <w:topLinePunct w:val="0"/>
        <w:autoSpaceDE/>
        <w:autoSpaceDN/>
        <w:bidi w:val="0"/>
        <w:adjustRightInd/>
        <w:spacing w:line="440" w:lineRule="exact"/>
        <w:ind w:right="-512"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我们决定参加本次</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活动。为此，我方郑重声明以下诸点，并负法律责任。</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1、愿意按照</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中的一切要求，提供服务，完成合同的责任和义务。</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2、按</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的规定，我公司的总报价为：</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（大写）：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元；（小写）￥：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元</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3</w:t>
      </w:r>
      <w:r>
        <w:rPr>
          <w:rStyle w:val="15"/>
          <w:rFonts w:hint="eastAsia" w:ascii="宋体" w:hAnsi="宋体" w:eastAsia="宋体" w:cs="宋体"/>
          <w:kern w:val="0"/>
          <w:sz w:val="22"/>
          <w:szCs w:val="22"/>
          <w:highlight w:val="none"/>
        </w:rPr>
        <w:t>、我方提交的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响应文件正本</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份、副本</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份、</w:t>
      </w:r>
      <w:r>
        <w:rPr>
          <w:rStyle w:val="15"/>
          <w:rFonts w:hint="eastAsia" w:ascii="宋体" w:hAnsi="宋体" w:eastAsia="宋体" w:cs="宋体"/>
          <w:bCs/>
          <w:sz w:val="22"/>
          <w:szCs w:val="22"/>
          <w:highlight w:val="none"/>
        </w:rPr>
        <w:t>电子文件</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份（分别为光盘</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 xml:space="preserve"> ，U盘 </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w:t>
      </w:r>
      <w:r>
        <w:rPr>
          <w:rStyle w:val="15"/>
          <w:rFonts w:hint="eastAsia" w:ascii="宋体" w:hAnsi="宋体" w:eastAsia="宋体" w:cs="宋体"/>
          <w:sz w:val="22"/>
          <w:szCs w:val="22"/>
          <w:highlight w:val="none"/>
        </w:rPr>
        <w:t>并保证响应文件提供的数据和材料是真实、准确的</w:t>
      </w:r>
      <w:r>
        <w:rPr>
          <w:rStyle w:val="15"/>
          <w:rFonts w:hint="eastAsia" w:ascii="宋体" w:hAnsi="宋体" w:eastAsia="宋体" w:cs="宋体"/>
          <w:kern w:val="0"/>
          <w:sz w:val="22"/>
          <w:szCs w:val="22"/>
          <w:highlight w:val="none"/>
        </w:rPr>
        <w:t>。</w:t>
      </w:r>
    </w:p>
    <w:p>
      <w:pPr>
        <w:keepNext w:val="0"/>
        <w:keepLines w:val="0"/>
        <w:pageBreakBefore w:val="0"/>
        <w:widowControl/>
        <w:kinsoku/>
        <w:wordWrap/>
        <w:overflowPunct/>
        <w:topLinePunct w:val="0"/>
        <w:autoSpaceDE/>
        <w:autoSpaceDN/>
        <w:bidi w:val="0"/>
        <w:adjustRightInd/>
        <w:spacing w:line="440" w:lineRule="exact"/>
        <w:ind w:firstLine="330" w:firstLineChars="15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en-US" w:eastAsia="zh-CN"/>
        </w:rPr>
        <w:t>4</w:t>
      </w:r>
      <w:r>
        <w:rPr>
          <w:rStyle w:val="15"/>
          <w:rFonts w:hint="eastAsia" w:ascii="宋体" w:hAnsi="宋体" w:eastAsia="宋体" w:cs="宋体"/>
          <w:sz w:val="22"/>
          <w:szCs w:val="22"/>
          <w:highlight w:val="none"/>
        </w:rPr>
        <w:t>、本项目工期为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5</w:t>
      </w:r>
      <w:r>
        <w:rPr>
          <w:rStyle w:val="15"/>
          <w:rFonts w:hint="eastAsia" w:ascii="宋体" w:hAnsi="宋体" w:eastAsia="宋体" w:cs="宋体"/>
          <w:kern w:val="0"/>
          <w:sz w:val="22"/>
          <w:szCs w:val="22"/>
          <w:highlight w:val="none"/>
        </w:rPr>
        <w:t>、已详细阅读了</w:t>
      </w:r>
      <w:r>
        <w:rPr>
          <w:rStyle w:val="15"/>
          <w:rFonts w:hint="eastAsia" w:ascii="宋体" w:hAnsi="宋体" w:cs="宋体"/>
          <w:b w:val="0"/>
          <w:bCs/>
          <w:kern w:val="3"/>
          <w:sz w:val="22"/>
          <w:szCs w:val="22"/>
          <w:highlight w:val="none"/>
          <w:lang w:eastAsia="zh-CN"/>
        </w:rPr>
        <w:t>公开招标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kern w:val="0"/>
          <w:sz w:val="22"/>
          <w:szCs w:val="22"/>
          <w:highlight w:val="none"/>
        </w:rPr>
        <w:t>，完全理解并放弃提出含糊不清或易形成歧义的表述和资料。</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6</w:t>
      </w:r>
      <w:r>
        <w:rPr>
          <w:rStyle w:val="15"/>
          <w:rFonts w:hint="eastAsia" w:ascii="宋体" w:hAnsi="宋体" w:eastAsia="宋体" w:cs="宋体"/>
          <w:kern w:val="0"/>
          <w:sz w:val="22"/>
          <w:szCs w:val="22"/>
          <w:highlight w:val="none"/>
        </w:rPr>
        <w:t>、在规定的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有效期内撤回</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响应文件，我们愿接受政府采购的有关处罚决定。</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7</w:t>
      </w:r>
      <w:r>
        <w:rPr>
          <w:rStyle w:val="15"/>
          <w:rFonts w:hint="eastAsia" w:ascii="宋体" w:hAnsi="宋体" w:eastAsia="宋体" w:cs="宋体"/>
          <w:kern w:val="0"/>
          <w:sz w:val="22"/>
          <w:szCs w:val="22"/>
          <w:highlight w:val="none"/>
        </w:rPr>
        <w:t>、同意向贵方提供可能要求的，与本次</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有关的任何证据或资料。我们完全理解最低报价不作为成交的唯一条件，且尊重</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小组的结论和成交结果。</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8</w:t>
      </w:r>
      <w:r>
        <w:rPr>
          <w:rStyle w:val="15"/>
          <w:rFonts w:hint="eastAsia" w:ascii="宋体" w:hAnsi="宋体" w:eastAsia="宋体" w:cs="宋体"/>
          <w:kern w:val="0"/>
          <w:sz w:val="22"/>
          <w:szCs w:val="22"/>
          <w:highlight w:val="none"/>
        </w:rPr>
        <w:t>、我方的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响应文件有效期为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日历天。</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9</w:t>
      </w:r>
      <w:r>
        <w:rPr>
          <w:rStyle w:val="15"/>
          <w:rFonts w:hint="eastAsia" w:ascii="宋体" w:hAnsi="宋体" w:eastAsia="宋体" w:cs="宋体"/>
          <w:kern w:val="0"/>
          <w:sz w:val="22"/>
          <w:szCs w:val="22"/>
          <w:highlight w:val="none"/>
        </w:rPr>
        <w:t>、有关于</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kern w:val="0"/>
          <w:sz w:val="22"/>
          <w:szCs w:val="22"/>
          <w:highlight w:val="none"/>
        </w:rPr>
        <w:t>响应文件的函电，请按下列地址联系。</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供应商全称：</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（盖单位公章）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法定代表人或委托代理人：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（签字或盖章）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地    址：</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开户银行：</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账    号：</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电    话：</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传    真：</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邮    编：</w:t>
      </w:r>
      <w:r>
        <w:rPr>
          <w:rStyle w:val="15"/>
          <w:rFonts w:hint="eastAsia" w:ascii="宋体" w:hAnsi="宋体" w:eastAsia="宋体" w:cs="宋体"/>
          <w:kern w:val="0"/>
          <w:sz w:val="22"/>
          <w:szCs w:val="22"/>
          <w:highlight w:val="none"/>
          <w:u w:val="single"/>
        </w:rPr>
        <w:t xml:space="preserve">                                       </w:t>
      </w:r>
    </w:p>
    <w:p>
      <w:pPr>
        <w:pStyle w:val="115"/>
        <w:keepNext w:val="0"/>
        <w:keepLines w:val="0"/>
        <w:pageBreakBefore w:val="0"/>
        <w:widowControl/>
        <w:kinsoku/>
        <w:wordWrap/>
        <w:overflowPunct/>
        <w:topLinePunct w:val="0"/>
        <w:autoSpaceDE/>
        <w:autoSpaceDN/>
        <w:bidi w:val="0"/>
        <w:adjustRightInd/>
        <w:snapToGrid w:val="0"/>
        <w:spacing w:line="440" w:lineRule="exact"/>
        <w:ind w:firstLine="330" w:firstLineChars="150"/>
        <w:jc w:val="both"/>
        <w:textAlignment w:val="baseline"/>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480" w:lineRule="exact"/>
        <w:ind w:right="-197" w:firstLine="643" w:firstLineChars="200"/>
        <w:jc w:val="center"/>
        <w:rPr>
          <w:rStyle w:val="56"/>
          <w:rFonts w:hint="eastAsia" w:ascii="宋体" w:hAnsi="宋体" w:eastAsia="宋体" w:cs="宋体"/>
          <w:bCs/>
          <w:szCs w:val="32"/>
          <w:highlight w:val="none"/>
        </w:rPr>
      </w:pPr>
    </w:p>
    <w:p>
      <w:pPr>
        <w:spacing w:line="480" w:lineRule="exact"/>
        <w:ind w:right="-197" w:firstLine="643" w:firstLineChars="200"/>
        <w:jc w:val="center"/>
        <w:rPr>
          <w:rStyle w:val="56"/>
          <w:rFonts w:hint="eastAsia" w:ascii="宋体" w:hAnsi="宋体" w:eastAsia="宋体" w:cs="宋体"/>
          <w:bCs/>
          <w:szCs w:val="32"/>
          <w:highlight w:val="none"/>
        </w:rPr>
      </w:pPr>
    </w:p>
    <w:p>
      <w:pPr>
        <w:spacing w:line="480" w:lineRule="exact"/>
        <w:ind w:right="-197" w:firstLine="643" w:firstLineChars="200"/>
        <w:jc w:val="center"/>
        <w:rPr>
          <w:rStyle w:val="56"/>
          <w:rFonts w:hint="eastAsia" w:ascii="宋体" w:hAnsi="宋体" w:eastAsia="宋体" w:cs="宋体"/>
          <w:bCs/>
          <w:szCs w:val="32"/>
          <w:highlight w:val="none"/>
        </w:rPr>
      </w:pPr>
    </w:p>
    <w:p>
      <w:pPr>
        <w:spacing w:line="480" w:lineRule="exact"/>
        <w:ind w:right="-197" w:firstLine="643" w:firstLineChars="200"/>
        <w:jc w:val="center"/>
        <w:rPr>
          <w:rStyle w:val="56"/>
          <w:rFonts w:hint="eastAsia" w:ascii="宋体" w:hAnsi="宋体" w:eastAsia="宋体" w:cs="宋体"/>
          <w:bCs/>
          <w:szCs w:val="32"/>
          <w:highlight w:val="none"/>
        </w:rPr>
      </w:pPr>
    </w:p>
    <w:p>
      <w:pPr>
        <w:spacing w:line="480" w:lineRule="exact"/>
        <w:ind w:right="-197" w:firstLine="643" w:firstLineChars="200"/>
        <w:jc w:val="center"/>
        <w:rPr>
          <w:rStyle w:val="56"/>
          <w:rFonts w:hint="eastAsia" w:ascii="宋体" w:hAnsi="宋体" w:eastAsia="宋体" w:cs="宋体"/>
          <w:bCs/>
          <w:szCs w:val="32"/>
          <w:highlight w:val="none"/>
        </w:rPr>
      </w:pPr>
      <w:r>
        <w:rPr>
          <w:rStyle w:val="56"/>
          <w:rFonts w:hint="eastAsia" w:ascii="宋体" w:hAnsi="宋体" w:eastAsia="宋体" w:cs="宋体"/>
          <w:bCs/>
          <w:szCs w:val="32"/>
          <w:highlight w:val="none"/>
        </w:rPr>
        <w:t xml:space="preserve">第二部分 </w:t>
      </w:r>
    </w:p>
    <w:p>
      <w:pPr>
        <w:spacing w:line="480" w:lineRule="exact"/>
        <w:ind w:left="0" w:leftChars="0" w:right="-197" w:firstLine="0" w:firstLineChars="0"/>
        <w:jc w:val="center"/>
        <w:outlineLvl w:val="1"/>
        <w:rPr>
          <w:rStyle w:val="15"/>
          <w:rFonts w:hint="eastAsia" w:ascii="宋体" w:hAnsi="宋体" w:eastAsia="宋体" w:cs="宋体"/>
          <w:b/>
          <w:bCs/>
          <w:sz w:val="28"/>
          <w:szCs w:val="28"/>
          <w:highlight w:val="none"/>
          <w:lang w:val="zh-CN"/>
        </w:rPr>
      </w:pPr>
      <w:r>
        <w:rPr>
          <w:rStyle w:val="56"/>
          <w:rFonts w:hint="eastAsia" w:ascii="宋体" w:hAnsi="宋体" w:eastAsia="宋体" w:cs="宋体"/>
          <w:bCs/>
          <w:szCs w:val="32"/>
          <w:highlight w:val="none"/>
        </w:rPr>
        <w:t xml:space="preserve"> </w:t>
      </w:r>
      <w:bookmarkStart w:id="18" w:name="_Toc29056"/>
      <w:r>
        <w:rPr>
          <w:rStyle w:val="56"/>
          <w:rFonts w:hint="eastAsia" w:ascii="宋体" w:hAnsi="宋体" w:eastAsia="宋体" w:cs="宋体"/>
          <w:bCs/>
          <w:szCs w:val="32"/>
          <w:highlight w:val="none"/>
        </w:rPr>
        <w:t>（一）报价一览表</w:t>
      </w:r>
      <w:bookmarkEnd w:id="18"/>
    </w:p>
    <w:p>
      <w:pPr>
        <w:pStyle w:val="115"/>
        <w:snapToGrid w:val="0"/>
        <w:spacing w:line="500" w:lineRule="atLeast"/>
        <w:jc w:val="both"/>
        <w:rPr>
          <w:rStyle w:val="15"/>
          <w:rFonts w:hint="eastAsia" w:ascii="宋体" w:hAnsi="宋体" w:eastAsia="宋体" w:cs="宋体"/>
          <w:b w:val="0"/>
          <w:bCs w:val="0"/>
          <w:sz w:val="22"/>
          <w:szCs w:val="22"/>
          <w:highlight w:val="none"/>
          <w:lang w:val="zh-CN"/>
        </w:rPr>
      </w:pP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u w:val="single"/>
        </w:rPr>
      </w:pPr>
      <w:r>
        <w:rPr>
          <w:rStyle w:val="15"/>
          <w:rFonts w:hint="eastAsia" w:ascii="宋体" w:hAnsi="宋体" w:eastAsia="宋体" w:cs="宋体"/>
          <w:b w:val="0"/>
          <w:bCs w:val="0"/>
          <w:sz w:val="22"/>
          <w:szCs w:val="22"/>
          <w:highlight w:val="none"/>
          <w:lang w:val="zh-CN"/>
        </w:rPr>
        <w:t>项目编号：</w:t>
      </w:r>
      <w:r>
        <w:rPr>
          <w:rStyle w:val="15"/>
          <w:rFonts w:hint="eastAsia" w:ascii="宋体" w:hAnsi="宋体" w:eastAsia="宋体" w:cs="宋体"/>
          <w:b w:val="0"/>
          <w:bCs w:val="0"/>
          <w:sz w:val="22"/>
          <w:szCs w:val="22"/>
          <w:highlight w:val="none"/>
          <w:u w:val="single"/>
        </w:rPr>
        <w:t xml:space="preserve">                </w:t>
      </w: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供 应 商：</w:t>
      </w:r>
      <w:r>
        <w:rPr>
          <w:rStyle w:val="15"/>
          <w:rFonts w:hint="eastAsia" w:ascii="宋体" w:hAnsi="宋体" w:eastAsia="宋体" w:cs="宋体"/>
          <w:b w:val="0"/>
          <w:bCs w:val="0"/>
          <w:sz w:val="22"/>
          <w:szCs w:val="22"/>
          <w:highlight w:val="none"/>
          <w:u w:val="single"/>
        </w:rPr>
        <w:t xml:space="preserve">                </w:t>
      </w:r>
    </w:p>
    <w:p>
      <w:pPr>
        <w:pStyle w:val="115"/>
        <w:snapToGrid w:val="0"/>
        <w:spacing w:line="500" w:lineRule="atLeast"/>
        <w:ind w:firstLine="440" w:firstLineChars="200"/>
        <w:jc w:val="right"/>
        <w:rPr>
          <w:rStyle w:val="15"/>
          <w:rFonts w:hint="eastAsia" w:ascii="宋体" w:hAnsi="宋体" w:eastAsia="宋体" w:cs="宋体"/>
          <w:b w:val="0"/>
          <w:sz w:val="22"/>
          <w:szCs w:val="22"/>
          <w:highlight w:val="none"/>
        </w:rPr>
      </w:pPr>
      <w:r>
        <w:rPr>
          <w:rStyle w:val="15"/>
          <w:rFonts w:hint="eastAsia" w:ascii="宋体" w:hAnsi="宋体" w:eastAsia="宋体" w:cs="宋体"/>
          <w:b w:val="0"/>
          <w:bCs w:val="0"/>
          <w:sz w:val="22"/>
          <w:szCs w:val="22"/>
          <w:highlight w:val="none"/>
          <w:lang w:val="zh-CN"/>
        </w:rPr>
        <w:t xml:space="preserve">报价单位：人民币 </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元</w:t>
      </w:r>
    </w:p>
    <w:tbl>
      <w:tblPr>
        <w:tblStyle w:val="10"/>
        <w:tblW w:w="87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4"/>
        <w:gridCol w:w="1850"/>
        <w:gridCol w:w="1809"/>
        <w:gridCol w:w="2152"/>
        <w:gridCol w:w="10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834" w:type="dxa"/>
            <w:vAlign w:val="center"/>
          </w:tcPr>
          <w:p>
            <w:pPr>
              <w:pStyle w:val="115"/>
              <w:snapToGrid w:val="0"/>
              <w:spacing w:line="420" w:lineRule="exact"/>
              <w:rPr>
                <w:rStyle w:val="15"/>
                <w:rFonts w:hint="eastAsia" w:ascii="宋体" w:hAnsi="宋体" w:eastAsia="宋体" w:cs="宋体"/>
                <w:b w:val="0"/>
                <w:sz w:val="22"/>
                <w:szCs w:val="22"/>
                <w:highlight w:val="none"/>
              </w:rPr>
            </w:pPr>
            <w:r>
              <w:rPr>
                <w:rStyle w:val="15"/>
                <w:rFonts w:hint="eastAsia" w:ascii="宋体" w:hAnsi="宋体" w:eastAsia="宋体" w:cs="宋体"/>
                <w:b w:val="0"/>
                <w:sz w:val="22"/>
                <w:szCs w:val="22"/>
                <w:highlight w:val="none"/>
              </w:rPr>
              <w:t>项目名称</w:t>
            </w:r>
          </w:p>
        </w:tc>
        <w:tc>
          <w:tcPr>
            <w:tcW w:w="1850"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总报价（元）</w:t>
            </w:r>
          </w:p>
        </w:tc>
        <w:tc>
          <w:tcPr>
            <w:tcW w:w="1809"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工期</w:t>
            </w:r>
          </w:p>
        </w:tc>
        <w:tc>
          <w:tcPr>
            <w:tcW w:w="2152" w:type="dxa"/>
            <w:vAlign w:val="center"/>
          </w:tcPr>
          <w:p>
            <w:pPr>
              <w:pStyle w:val="115"/>
              <w:snapToGrid w:val="0"/>
              <w:spacing w:line="420" w:lineRule="exact"/>
              <w:ind w:firstLine="440" w:firstLineChars="200"/>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质量标准</w:t>
            </w:r>
          </w:p>
          <w:p>
            <w:pPr>
              <w:pStyle w:val="115"/>
              <w:snapToGrid w:val="0"/>
              <w:spacing w:line="420" w:lineRule="exact"/>
              <w:ind w:firstLine="440" w:firstLineChars="200"/>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（合格</w:t>
            </w:r>
            <w:r>
              <w:rPr>
                <w:rStyle w:val="15"/>
                <w:rFonts w:hint="eastAsia" w:ascii="宋体" w:hAnsi="宋体" w:eastAsia="宋体" w:cs="宋体"/>
                <w:b w:val="0"/>
                <w:sz w:val="22"/>
                <w:szCs w:val="22"/>
                <w:highlight w:val="none"/>
              </w:rPr>
              <w:t>/不合格）</w:t>
            </w:r>
          </w:p>
        </w:tc>
        <w:tc>
          <w:tcPr>
            <w:tcW w:w="1086"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8731" w:type="dxa"/>
            <w:gridSpan w:val="5"/>
          </w:tcPr>
          <w:p>
            <w:pPr>
              <w:pStyle w:val="115"/>
              <w:snapToGrid w:val="0"/>
              <w:spacing w:line="500" w:lineRule="atLeast"/>
              <w:ind w:firstLine="440" w:firstLineChars="200"/>
              <w:jc w:val="both"/>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总报价（大写）：</w:t>
            </w:r>
          </w:p>
          <w:p>
            <w:pPr>
              <w:pStyle w:val="115"/>
              <w:snapToGrid w:val="0"/>
              <w:spacing w:line="500" w:lineRule="atLeast"/>
              <w:ind w:firstLine="440" w:firstLineChars="200"/>
              <w:jc w:val="both"/>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（小写）：</w:t>
            </w:r>
          </w:p>
        </w:tc>
      </w:tr>
    </w:tbl>
    <w:p>
      <w:pPr>
        <w:ind w:firstLine="440" w:firstLineChars="200"/>
        <w:rPr>
          <w:rStyle w:val="15"/>
          <w:rFonts w:hint="eastAsia" w:ascii="宋体" w:hAnsi="宋体" w:eastAsia="宋体" w:cs="宋体"/>
          <w:sz w:val="22"/>
          <w:szCs w:val="22"/>
          <w:highlight w:val="none"/>
        </w:rPr>
      </w:pP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说明：</w:t>
      </w: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1、总报价填写，精确到小数点后两位，大小写不一致时，以大写为准；</w:t>
      </w: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2、本表所列各项数据与响应文件其他地方表述不一致时，以本表为准。</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供</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应</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商：</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w:t>
      </w:r>
      <w:r>
        <w:rPr>
          <w:rStyle w:val="15"/>
          <w:rFonts w:hint="eastAsia" w:ascii="宋体" w:hAnsi="宋体" w:eastAsia="宋体" w:cs="宋体"/>
          <w:b w:val="0"/>
          <w:bCs w:val="0"/>
          <w:kern w:val="0"/>
          <w:sz w:val="22"/>
          <w:szCs w:val="22"/>
          <w:highlight w:val="none"/>
        </w:rPr>
        <w:t>盖单位公章</w:t>
      </w:r>
      <w:r>
        <w:rPr>
          <w:rStyle w:val="15"/>
          <w:rFonts w:hint="eastAsia" w:ascii="宋体" w:hAnsi="宋体" w:eastAsia="宋体" w:cs="宋体"/>
          <w:b w:val="0"/>
          <w:bCs w:val="0"/>
          <w:sz w:val="22"/>
          <w:szCs w:val="22"/>
          <w:highlight w:val="none"/>
          <w:lang w:val="zh-CN"/>
        </w:rPr>
        <w:t>）</w:t>
      </w: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法定代表人或委托代理人：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（签字或盖章）</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500" w:lineRule="atLeast"/>
        <w:ind w:right="-197"/>
        <w:rPr>
          <w:rStyle w:val="15"/>
          <w:rFonts w:hint="eastAsia" w:ascii="宋体" w:hAnsi="宋体" w:eastAsia="宋体" w:cs="宋体"/>
          <w:b/>
          <w:bCs/>
          <w:sz w:val="21"/>
          <w:highlight w:val="none"/>
        </w:rPr>
      </w:pPr>
    </w:p>
    <w:p>
      <w:pPr>
        <w:pStyle w:val="110"/>
        <w:snapToGrid w:val="0"/>
        <w:rPr>
          <w:rStyle w:val="15"/>
          <w:rFonts w:hint="eastAsia" w:ascii="宋体" w:hAnsi="宋体" w:eastAsia="宋体" w:cs="宋体"/>
          <w:b/>
          <w:bCs w:val="0"/>
          <w:highlight w:val="none"/>
        </w:rPr>
      </w:pPr>
    </w:p>
    <w:p>
      <w:pPr>
        <w:rPr>
          <w:rStyle w:val="15"/>
          <w:rFonts w:hint="eastAsia" w:ascii="宋体" w:hAnsi="宋体" w:eastAsia="宋体" w:cs="宋体"/>
          <w:b/>
          <w:bCs/>
          <w:sz w:val="21"/>
          <w:highlight w:val="none"/>
        </w:rPr>
      </w:pPr>
    </w:p>
    <w:p>
      <w:pPr>
        <w:pStyle w:val="2"/>
        <w:rPr>
          <w:rStyle w:val="15"/>
          <w:rFonts w:hint="eastAsia" w:ascii="宋体" w:hAnsi="宋体" w:eastAsia="宋体" w:cs="宋体"/>
          <w:b/>
          <w:bCs/>
          <w:sz w:val="21"/>
          <w:highlight w:val="none"/>
        </w:rPr>
      </w:pPr>
    </w:p>
    <w:p>
      <w:pPr>
        <w:rPr>
          <w:rStyle w:val="15"/>
          <w:rFonts w:hint="eastAsia" w:ascii="宋体" w:hAnsi="宋体" w:eastAsia="宋体" w:cs="宋体"/>
          <w:b/>
          <w:bCs/>
          <w:sz w:val="21"/>
          <w:highlight w:val="none"/>
        </w:rPr>
      </w:pPr>
    </w:p>
    <w:p>
      <w:pPr>
        <w:pStyle w:val="2"/>
        <w:rPr>
          <w:rStyle w:val="15"/>
          <w:rFonts w:hint="eastAsia" w:ascii="宋体" w:hAnsi="宋体" w:eastAsia="宋体" w:cs="宋体"/>
          <w:b/>
          <w:bCs/>
          <w:sz w:val="21"/>
          <w:highlight w:val="none"/>
        </w:rPr>
      </w:pPr>
    </w:p>
    <w:p>
      <w:pPr>
        <w:rPr>
          <w:rFonts w:hint="eastAsia" w:ascii="宋体" w:hAnsi="宋体" w:eastAsia="宋体" w:cs="宋体"/>
        </w:rPr>
      </w:pPr>
    </w:p>
    <w:p>
      <w:pPr>
        <w:numPr>
          <w:ilvl w:val="0"/>
          <w:numId w:val="9"/>
        </w:numPr>
        <w:spacing w:line="480" w:lineRule="exact"/>
        <w:ind w:right="-197" w:firstLine="643" w:firstLineChars="200"/>
        <w:jc w:val="center"/>
        <w:outlineLvl w:val="1"/>
        <w:rPr>
          <w:rStyle w:val="56"/>
          <w:rFonts w:hint="eastAsia" w:ascii="宋体" w:hAnsi="宋体" w:eastAsia="宋体" w:cs="宋体"/>
          <w:bCs/>
          <w:szCs w:val="32"/>
          <w:highlight w:val="none"/>
          <w:lang w:val="zh-CN"/>
        </w:rPr>
      </w:pPr>
      <w:bookmarkStart w:id="19" w:name="_Toc24439"/>
      <w:r>
        <w:rPr>
          <w:rStyle w:val="56"/>
          <w:rFonts w:hint="eastAsia" w:ascii="宋体" w:hAnsi="宋体" w:eastAsia="宋体" w:cs="宋体"/>
          <w:bCs/>
          <w:szCs w:val="32"/>
          <w:highlight w:val="none"/>
          <w:lang w:val="zh-CN"/>
        </w:rPr>
        <w:t>设备分项报价表</w:t>
      </w:r>
      <w:bookmarkEnd w:id="19"/>
    </w:p>
    <w:p>
      <w:pPr>
        <w:pStyle w:val="122"/>
        <w:snapToGrid w:val="0"/>
        <w:rPr>
          <w:rStyle w:val="15"/>
          <w:rFonts w:hint="eastAsia" w:ascii="宋体" w:hAnsi="宋体" w:eastAsia="宋体" w:cs="宋体"/>
          <w:sz w:val="21"/>
          <w:szCs w:val="24"/>
          <w:highlight w:val="none"/>
          <w:lang w:val="zh-CN"/>
        </w:rPr>
      </w:pPr>
    </w:p>
    <w:tbl>
      <w:tblPr>
        <w:tblStyle w:val="10"/>
        <w:tblW w:w="822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00"/>
        <w:gridCol w:w="1725"/>
        <w:gridCol w:w="1110"/>
        <w:gridCol w:w="1104"/>
        <w:gridCol w:w="720"/>
        <w:gridCol w:w="735"/>
        <w:gridCol w:w="1114"/>
        <w:gridCol w:w="11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9" w:hRule="atLeast"/>
          <w:jc w:val="center"/>
        </w:trPr>
        <w:tc>
          <w:tcPr>
            <w:tcW w:w="60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序号</w:t>
            </w:r>
          </w:p>
        </w:tc>
        <w:tc>
          <w:tcPr>
            <w:tcW w:w="1725"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货物名称</w:t>
            </w:r>
          </w:p>
        </w:tc>
        <w:tc>
          <w:tcPr>
            <w:tcW w:w="111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品牌</w:t>
            </w:r>
          </w:p>
        </w:tc>
        <w:tc>
          <w:tcPr>
            <w:tcW w:w="1104" w:type="dxa"/>
            <w:tcBorders>
              <w:top w:val="single" w:color="000000" w:sz="12" w:space="0"/>
            </w:tcBorders>
            <w:vAlign w:val="center"/>
          </w:tcPr>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型号</w:t>
            </w:r>
          </w:p>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规格</w:t>
            </w:r>
          </w:p>
        </w:tc>
        <w:tc>
          <w:tcPr>
            <w:tcW w:w="72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 xml:space="preserve">数量 </w:t>
            </w:r>
          </w:p>
        </w:tc>
        <w:tc>
          <w:tcPr>
            <w:tcW w:w="735"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单位</w:t>
            </w:r>
          </w:p>
        </w:tc>
        <w:tc>
          <w:tcPr>
            <w:tcW w:w="1114"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单价（元）</w:t>
            </w:r>
          </w:p>
        </w:tc>
        <w:tc>
          <w:tcPr>
            <w:tcW w:w="1115" w:type="dxa"/>
            <w:tcBorders>
              <w:top w:val="single" w:color="000000" w:sz="12" w:space="0"/>
            </w:tcBorders>
          </w:tcPr>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总价</w:t>
            </w:r>
          </w:p>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8223" w:type="dxa"/>
            <w:gridSpan w:val="8"/>
            <w:tcBorders>
              <w:bottom w:val="single" w:color="000000" w:sz="12" w:space="0"/>
            </w:tcBorders>
            <w:vAlign w:val="center"/>
          </w:tcPr>
          <w:p>
            <w:pPr>
              <w:pStyle w:val="115"/>
              <w:snapToGrid w:val="0"/>
              <w:spacing w:line="420" w:lineRule="exact"/>
              <w:jc w:val="lef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合计（大写）：</w:t>
            </w:r>
          </w:p>
        </w:tc>
      </w:tr>
    </w:tbl>
    <w:p>
      <w:pPr>
        <w:pStyle w:val="115"/>
        <w:snapToGrid w:val="0"/>
        <w:spacing w:line="420" w:lineRule="exact"/>
        <w:ind w:firstLine="440" w:firstLineChars="200"/>
        <w:jc w:val="left"/>
        <w:rPr>
          <w:rStyle w:val="15"/>
          <w:rFonts w:hint="eastAsia" w:ascii="宋体" w:hAnsi="宋体" w:eastAsia="宋体" w:cs="宋体"/>
          <w:sz w:val="32"/>
          <w:szCs w:val="32"/>
          <w:highlight w:val="none"/>
        </w:rPr>
      </w:pPr>
      <w:r>
        <w:rPr>
          <w:rStyle w:val="15"/>
          <w:rFonts w:hint="eastAsia" w:ascii="宋体" w:hAnsi="宋体" w:eastAsia="宋体" w:cs="宋体"/>
          <w:b w:val="0"/>
          <w:bCs w:val="0"/>
          <w:sz w:val="22"/>
          <w:szCs w:val="22"/>
          <w:highlight w:val="none"/>
        </w:rPr>
        <w:t>说明：供应商必须按</w:t>
      </w:r>
      <w:r>
        <w:rPr>
          <w:rStyle w:val="15"/>
          <w:rFonts w:hint="eastAsia" w:ascii="宋体" w:hAnsi="宋体" w:eastAsia="宋体" w:cs="宋体"/>
          <w:b w:val="0"/>
          <w:bCs w:val="0"/>
          <w:sz w:val="22"/>
          <w:szCs w:val="22"/>
          <w:highlight w:val="none"/>
          <w:lang w:eastAsia="zh-CN"/>
        </w:rPr>
        <w:t>“</w:t>
      </w:r>
      <w:r>
        <w:rPr>
          <w:rStyle w:val="15"/>
          <w:rFonts w:hint="eastAsia" w:ascii="宋体" w:hAnsi="宋体" w:eastAsia="宋体" w:cs="宋体"/>
          <w:b w:val="0"/>
          <w:bCs w:val="0"/>
          <w:sz w:val="22"/>
          <w:szCs w:val="22"/>
          <w:highlight w:val="none"/>
        </w:rPr>
        <w:t>设备分项报价表</w:t>
      </w:r>
      <w:r>
        <w:rPr>
          <w:rStyle w:val="15"/>
          <w:rFonts w:hint="eastAsia" w:ascii="宋体" w:hAnsi="宋体" w:eastAsia="宋体" w:cs="宋体"/>
          <w:b w:val="0"/>
          <w:bCs w:val="0"/>
          <w:sz w:val="22"/>
          <w:szCs w:val="22"/>
          <w:highlight w:val="none"/>
          <w:lang w:eastAsia="zh-CN"/>
        </w:rPr>
        <w:t>”</w:t>
      </w:r>
      <w:r>
        <w:rPr>
          <w:rStyle w:val="15"/>
          <w:rFonts w:hint="eastAsia" w:ascii="宋体" w:hAnsi="宋体" w:eastAsia="宋体" w:cs="宋体"/>
          <w:b w:val="0"/>
          <w:bCs w:val="0"/>
          <w:sz w:val="22"/>
          <w:szCs w:val="22"/>
          <w:highlight w:val="none"/>
        </w:rPr>
        <w:t>的格式详细报出</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b w:val="0"/>
          <w:bCs w:val="0"/>
          <w:sz w:val="22"/>
          <w:szCs w:val="22"/>
          <w:highlight w:val="none"/>
        </w:rPr>
        <w:t>总报价的各个组成部分的报价，总价填写，精确到小数点后两位，大小写不一致时，以大写为准。</w:t>
      </w:r>
    </w:p>
    <w:p>
      <w:pPr>
        <w:spacing w:line="360" w:lineRule="auto"/>
        <w:rPr>
          <w:rStyle w:val="15"/>
          <w:rFonts w:hint="eastAsia" w:ascii="宋体" w:hAnsi="宋体" w:eastAsia="宋体" w:cs="宋体"/>
          <w:sz w:val="32"/>
          <w:highlight w:val="none"/>
        </w:rPr>
      </w:pPr>
    </w:p>
    <w:p>
      <w:pPr>
        <w:spacing w:line="360" w:lineRule="auto"/>
        <w:ind w:firstLine="2560" w:firstLineChars="800"/>
        <w:rPr>
          <w:rStyle w:val="15"/>
          <w:rFonts w:hint="eastAsia" w:ascii="宋体" w:hAnsi="宋体" w:eastAsia="宋体" w:cs="宋体"/>
          <w:sz w:val="32"/>
          <w:highlight w:val="none"/>
        </w:rPr>
      </w:pP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hAnsi="宋体" w:cs="宋体"/>
          <w:b w:val="0"/>
          <w:bCs w:val="0"/>
          <w:sz w:val="22"/>
          <w:szCs w:val="22"/>
          <w:highlight w:val="none"/>
          <w:lang w:val="en-US" w:eastAsia="zh-CN"/>
        </w:rPr>
        <w:t xml:space="preserve"> </w:t>
      </w:r>
      <w:r>
        <w:rPr>
          <w:rStyle w:val="15"/>
          <w:rFonts w:hint="eastAsia" w:ascii="宋体" w:hAnsi="宋体" w:eastAsia="宋体" w:cs="宋体"/>
          <w:b w:val="0"/>
          <w:bCs w:val="0"/>
          <w:sz w:val="22"/>
          <w:szCs w:val="22"/>
          <w:highlight w:val="none"/>
          <w:lang w:val="zh-CN"/>
        </w:rPr>
        <w:t>供</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应</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商：</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w:t>
      </w:r>
      <w:r>
        <w:rPr>
          <w:rStyle w:val="15"/>
          <w:rFonts w:hint="eastAsia" w:ascii="宋体" w:hAnsi="宋体" w:eastAsia="宋体" w:cs="宋体"/>
          <w:b w:val="0"/>
          <w:bCs w:val="0"/>
          <w:kern w:val="0"/>
          <w:sz w:val="22"/>
          <w:szCs w:val="22"/>
          <w:highlight w:val="none"/>
        </w:rPr>
        <w:t>盖单位公章</w:t>
      </w:r>
      <w:r>
        <w:rPr>
          <w:rStyle w:val="15"/>
          <w:rFonts w:hint="eastAsia" w:ascii="宋体" w:hAnsi="宋体" w:eastAsia="宋体" w:cs="宋体"/>
          <w:b w:val="0"/>
          <w:bCs w:val="0"/>
          <w:sz w:val="22"/>
          <w:szCs w:val="22"/>
          <w:highlight w:val="none"/>
          <w:lang w:val="zh-CN"/>
        </w:rPr>
        <w:t>）</w:t>
      </w:r>
    </w:p>
    <w:p>
      <w:pPr>
        <w:pStyle w:val="115"/>
        <w:snapToGrid w:val="0"/>
        <w:spacing w:line="500" w:lineRule="atLeast"/>
        <w:ind w:firstLine="3080" w:firstLineChars="14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法定代表人或委托代理人：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（签字或盖章）</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pStyle w:val="110"/>
        <w:snapToGrid w:val="0"/>
        <w:rPr>
          <w:rStyle w:val="15"/>
          <w:rFonts w:hint="eastAsia" w:ascii="宋体" w:hAnsi="宋体" w:eastAsia="宋体" w:cs="宋体"/>
          <w:b/>
          <w:bCs w:val="0"/>
          <w:highlight w:val="none"/>
        </w:rPr>
      </w:pPr>
    </w:p>
    <w:p>
      <w:pPr>
        <w:rPr>
          <w:rStyle w:val="15"/>
          <w:rFonts w:hint="eastAsia" w:ascii="宋体" w:hAnsi="宋体" w:eastAsia="宋体" w:cs="宋体"/>
          <w:b/>
          <w:bCs/>
          <w:sz w:val="21"/>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26"/>
        <w:ind w:firstLine="643" w:firstLineChars="200"/>
        <w:outlineLvl w:val="0"/>
        <w:rPr>
          <w:rStyle w:val="15"/>
          <w:rFonts w:hint="eastAsia" w:ascii="宋体" w:hAnsi="宋体" w:eastAsia="宋体" w:cs="宋体"/>
          <w:sz w:val="32"/>
          <w:highlight w:val="none"/>
        </w:rPr>
      </w:pPr>
      <w:bookmarkStart w:id="20" w:name="_Toc28175"/>
      <w:r>
        <w:rPr>
          <w:rStyle w:val="15"/>
          <w:rFonts w:hint="eastAsia" w:ascii="宋体" w:hAnsi="宋体" w:eastAsia="宋体" w:cs="宋体"/>
          <w:kern w:val="2"/>
          <w:sz w:val="32"/>
          <w:highlight w:val="none"/>
        </w:rPr>
        <w:t>第三部分  法定代表人身份证明及授权委托书</w:t>
      </w:r>
      <w:bookmarkEnd w:id="20"/>
    </w:p>
    <w:p>
      <w:pPr>
        <w:pStyle w:val="135"/>
        <w:snapToGrid w:val="0"/>
        <w:spacing w:before="0" w:beforeAutospacing="0" w:after="0" w:afterAutospacing="0" w:line="540" w:lineRule="atLeast"/>
        <w:ind w:firstLine="482" w:firstLineChars="200"/>
        <w:jc w:val="center"/>
        <w:outlineLvl w:val="1"/>
        <w:rPr>
          <w:rStyle w:val="15"/>
          <w:rFonts w:hint="eastAsia" w:ascii="宋体" w:hAnsi="宋体" w:eastAsia="宋体" w:cs="宋体"/>
          <w:highlight w:val="none"/>
        </w:rPr>
      </w:pPr>
      <w:bookmarkStart w:id="21" w:name="_Toc15808"/>
      <w:r>
        <w:rPr>
          <w:rStyle w:val="15"/>
          <w:rFonts w:hint="eastAsia" w:ascii="宋体" w:hAnsi="宋体" w:eastAsia="宋体" w:cs="宋体"/>
          <w:b/>
          <w:highlight w:val="none"/>
        </w:rPr>
        <w:t>1、法定代表人身份证明</w:t>
      </w:r>
      <w:bookmarkEnd w:id="21"/>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供应商名称：</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单位性质：</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成立时间：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经营期限：</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姓名：</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性别：</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年龄：</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职务：</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系</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（供应商名称）的法定代表人。</w:t>
      </w:r>
    </w:p>
    <w:p>
      <w:pPr>
        <w:pStyle w:val="135"/>
        <w:snapToGrid w:val="0"/>
        <w:spacing w:before="0" w:beforeAutospacing="0" w:after="0" w:afterAutospacing="0" w:line="540" w:lineRule="atLeast"/>
        <w:ind w:firstLine="440" w:firstLineChars="200"/>
        <w:jc w:val="both"/>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特此证明</w:t>
      </w:r>
    </w:p>
    <w:p>
      <w:pPr>
        <w:pStyle w:val="135"/>
        <w:snapToGrid w:val="0"/>
        <w:spacing w:before="0" w:beforeAutospacing="0" w:after="0" w:afterAutospacing="0" w:line="540" w:lineRule="atLeast"/>
        <w:ind w:firstLine="440" w:firstLineChars="200"/>
        <w:jc w:val="righ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（盖单位公章）</w:t>
      </w:r>
    </w:p>
    <w:p>
      <w:pPr>
        <w:pStyle w:val="115"/>
        <w:snapToGrid w:val="0"/>
        <w:spacing w:line="54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spacing w:line="500" w:lineRule="atLeast"/>
        <w:ind w:right="-197"/>
        <w:rPr>
          <w:rStyle w:val="15"/>
          <w:rFonts w:hint="eastAsia" w:ascii="宋体" w:hAnsi="宋体" w:eastAsia="宋体" w:cs="宋体"/>
          <w:b/>
          <w:bCs/>
          <w:sz w:val="21"/>
          <w:highlight w:val="none"/>
        </w:rPr>
      </w:pPr>
    </w:p>
    <w:p>
      <w:pPr>
        <w:pStyle w:val="2"/>
        <w:rPr>
          <w:rFonts w:hint="eastAsia"/>
        </w:rPr>
      </w:pPr>
    </w:p>
    <w:p>
      <w:pPr>
        <w:spacing w:line="500" w:lineRule="atLeast"/>
        <w:ind w:right="-197"/>
        <w:rPr>
          <w:rStyle w:val="15"/>
          <w:rFonts w:hint="eastAsia" w:ascii="宋体" w:hAnsi="宋体" w:eastAsia="宋体" w:cs="宋体"/>
          <w:b/>
          <w:bCs/>
          <w:sz w:val="21"/>
          <w:highlight w:val="none"/>
        </w:rPr>
      </w:pPr>
    </w:p>
    <w:p>
      <w:pPr>
        <w:snapToGrid w:val="0"/>
        <w:spacing w:line="360" w:lineRule="auto"/>
        <w:ind w:firstLine="560" w:firstLineChars="200"/>
        <w:jc w:val="center"/>
        <w:rPr>
          <w:rStyle w:val="15"/>
          <w:rFonts w:hint="eastAsia" w:ascii="宋体" w:hAnsi="宋体" w:eastAsia="宋体" w:cs="宋体"/>
          <w:sz w:val="28"/>
          <w:szCs w:val="28"/>
          <w:highlight w:val="none"/>
        </w:rPr>
      </w:pPr>
      <w:r>
        <w:rPr>
          <w:rStyle w:val="15"/>
          <w:rFonts w:hint="eastAsia" w:ascii="宋体" w:hAnsi="宋体" w:eastAsia="宋体" w:cs="宋体"/>
          <w:sz w:val="28"/>
          <w:szCs w:val="28"/>
          <w:highlight w:val="none"/>
        </w:rPr>
        <w:t xml:space="preserve"> </w:t>
      </w:r>
    </w:p>
    <w:p>
      <w:pPr>
        <w:snapToGrid w:val="0"/>
        <w:spacing w:line="360" w:lineRule="auto"/>
        <w:ind w:firstLine="482" w:firstLineChars="200"/>
        <w:jc w:val="center"/>
        <w:outlineLvl w:val="1"/>
        <w:rPr>
          <w:rStyle w:val="15"/>
          <w:rFonts w:hint="eastAsia" w:ascii="宋体" w:hAnsi="宋体" w:eastAsia="宋体" w:cs="宋体"/>
          <w:sz w:val="21"/>
          <w:highlight w:val="none"/>
        </w:rPr>
      </w:pPr>
      <w:bookmarkStart w:id="22" w:name="_Toc3438"/>
      <w:r>
        <w:rPr>
          <w:rStyle w:val="15"/>
          <w:rFonts w:hint="eastAsia" w:ascii="宋体" w:hAnsi="宋体" w:eastAsia="宋体" w:cs="宋体"/>
          <w:b/>
          <w:szCs w:val="24"/>
          <w:highlight w:val="none"/>
        </w:rPr>
        <w:t>2、</w:t>
      </w:r>
      <w:r>
        <w:rPr>
          <w:rStyle w:val="15"/>
          <w:rFonts w:hint="eastAsia" w:ascii="宋体" w:hAnsi="宋体" w:eastAsia="宋体" w:cs="宋体"/>
          <w:b/>
          <w:bCs/>
          <w:szCs w:val="24"/>
          <w:highlight w:val="none"/>
        </w:rPr>
        <w:t>法定代表人授权委托书</w:t>
      </w:r>
      <w:bookmarkEnd w:id="22"/>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注册于</w:t>
      </w:r>
      <w:r>
        <w:rPr>
          <w:rStyle w:val="15"/>
          <w:rFonts w:hint="eastAsia" w:ascii="宋体" w:hAnsi="宋体" w:eastAsia="宋体" w:cs="宋体"/>
          <w:sz w:val="22"/>
          <w:szCs w:val="22"/>
          <w:highlight w:val="none"/>
          <w:u w:val="single"/>
        </w:rPr>
        <w:t>（工商行政管理局名称）</w:t>
      </w:r>
      <w:r>
        <w:rPr>
          <w:rStyle w:val="15"/>
          <w:rFonts w:hint="eastAsia" w:ascii="宋体" w:hAnsi="宋体" w:eastAsia="宋体" w:cs="宋体"/>
          <w:sz w:val="22"/>
          <w:szCs w:val="22"/>
          <w:highlight w:val="none"/>
        </w:rPr>
        <w:t>之</w:t>
      </w:r>
      <w:r>
        <w:rPr>
          <w:rStyle w:val="15"/>
          <w:rFonts w:hint="eastAsia" w:ascii="宋体" w:hAnsi="宋体" w:eastAsia="宋体" w:cs="宋体"/>
          <w:sz w:val="22"/>
          <w:szCs w:val="22"/>
          <w:highlight w:val="none"/>
          <w:u w:val="single"/>
        </w:rPr>
        <w:t>（供应商全称）</w:t>
      </w:r>
      <w:r>
        <w:rPr>
          <w:rStyle w:val="15"/>
          <w:rFonts w:hint="eastAsia" w:ascii="宋体" w:hAnsi="宋体" w:eastAsia="宋体" w:cs="宋体"/>
          <w:sz w:val="22"/>
          <w:szCs w:val="22"/>
          <w:highlight w:val="none"/>
        </w:rPr>
        <w:t>法定代表人</w:t>
      </w:r>
      <w:r>
        <w:rPr>
          <w:rStyle w:val="15"/>
          <w:rFonts w:hint="eastAsia" w:ascii="宋体" w:hAnsi="宋体" w:eastAsia="宋体" w:cs="宋体"/>
          <w:sz w:val="22"/>
          <w:szCs w:val="22"/>
          <w:highlight w:val="none"/>
          <w:u w:val="single"/>
        </w:rPr>
        <w:t>（姓名和职务）</w:t>
      </w:r>
      <w:r>
        <w:rPr>
          <w:rStyle w:val="15"/>
          <w:rFonts w:hint="eastAsia" w:ascii="宋体" w:hAnsi="宋体" w:eastAsia="宋体" w:cs="宋体"/>
          <w:sz w:val="22"/>
          <w:szCs w:val="22"/>
          <w:highlight w:val="none"/>
        </w:rPr>
        <w:t>授权</w:t>
      </w:r>
      <w:r>
        <w:rPr>
          <w:rStyle w:val="15"/>
          <w:rFonts w:hint="eastAsia" w:ascii="宋体" w:hAnsi="宋体" w:eastAsia="宋体" w:cs="宋体"/>
          <w:sz w:val="22"/>
          <w:szCs w:val="22"/>
          <w:highlight w:val="none"/>
          <w:u w:val="single"/>
        </w:rPr>
        <w:t>（委托代理人姓名和职务）</w:t>
      </w:r>
      <w:r>
        <w:rPr>
          <w:rStyle w:val="15"/>
          <w:rFonts w:hint="eastAsia" w:ascii="宋体" w:hAnsi="宋体" w:eastAsia="宋体" w:cs="宋体"/>
          <w:sz w:val="22"/>
          <w:szCs w:val="22"/>
          <w:highlight w:val="none"/>
        </w:rPr>
        <w:t>为本公司的合法代理人，就</w:t>
      </w:r>
      <w:r>
        <w:rPr>
          <w:rStyle w:val="15"/>
          <w:rFonts w:hint="eastAsia" w:ascii="宋体" w:hAnsi="宋体" w:eastAsia="宋体" w:cs="宋体"/>
          <w:sz w:val="22"/>
          <w:szCs w:val="22"/>
          <w:highlight w:val="none"/>
          <w:u w:val="single"/>
        </w:rPr>
        <w:t>（项目名称和项目编号）</w:t>
      </w:r>
      <w:r>
        <w:rPr>
          <w:rStyle w:val="15"/>
          <w:rFonts w:hint="eastAsia" w:ascii="宋体" w:hAnsi="宋体" w:eastAsia="宋体" w:cs="宋体"/>
          <w:sz w:val="22"/>
          <w:szCs w:val="22"/>
          <w:highlight w:val="none"/>
        </w:rPr>
        <w:t>的询价及合同的执行和完成，以本公司的名义处理一切与之有关的事宜。</w:t>
      </w:r>
    </w:p>
    <w:p>
      <w:pPr>
        <w:pStyle w:val="110"/>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bCs w:val="0"/>
          <w:sz w:val="22"/>
          <w:szCs w:val="22"/>
          <w:highlight w:val="none"/>
        </w:rPr>
        <w:t>委托期限： 投标截止之日起</w:t>
      </w:r>
      <w:r>
        <w:rPr>
          <w:rStyle w:val="15"/>
          <w:rFonts w:hint="eastAsia" w:ascii="宋体" w:hAnsi="宋体" w:eastAsia="宋体" w:cs="宋体"/>
          <w:bCs w:val="0"/>
          <w:sz w:val="22"/>
          <w:szCs w:val="22"/>
          <w:highlight w:val="none"/>
          <w:u w:val="single"/>
        </w:rPr>
        <w:t xml:space="preserve">      </w:t>
      </w:r>
      <w:r>
        <w:rPr>
          <w:rStyle w:val="15"/>
          <w:rFonts w:hint="eastAsia" w:ascii="宋体" w:hAnsi="宋体" w:eastAsia="宋体" w:cs="宋体"/>
          <w:bCs w:val="0"/>
          <w:sz w:val="22"/>
          <w:szCs w:val="22"/>
          <w:highlight w:val="none"/>
        </w:rPr>
        <w:t xml:space="preserve">天内保持有效。 </w:t>
      </w:r>
      <w:r>
        <w:rPr>
          <w:rStyle w:val="15"/>
          <w:rFonts w:hint="eastAsia" w:ascii="宋体" w:hAnsi="宋体" w:eastAsia="宋体" w:cs="宋体"/>
          <w:sz w:val="22"/>
          <w:szCs w:val="22"/>
          <w:highlight w:val="non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委托代理人姓名：</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性别：</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年龄：</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职    务：</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身份证号码：</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通讯地址：</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邮政编码：</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电    话：</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传真：</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法定代表人/委托代理人身份证复印件</w:t>
      </w:r>
    </w:p>
    <w:tbl>
      <w:tblPr>
        <w:tblStyle w:val="10"/>
        <w:tblW w:w="9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16"/>
        <w:gridCol w:w="49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0" w:hRule="atLeast"/>
          <w:jc w:val="center"/>
        </w:trPr>
        <w:tc>
          <w:tcPr>
            <w:tcW w:w="4416"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正面</w:t>
            </w:r>
          </w:p>
        </w:tc>
        <w:tc>
          <w:tcPr>
            <w:tcW w:w="4943"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委托代理人身份证复印件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正面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7" w:hRule="atLeast"/>
          <w:jc w:val="center"/>
        </w:trPr>
        <w:tc>
          <w:tcPr>
            <w:tcW w:w="4416"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反面</w:t>
            </w:r>
          </w:p>
        </w:tc>
        <w:tc>
          <w:tcPr>
            <w:tcW w:w="4943"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被授权委托人身份证复印件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反面</w:t>
            </w:r>
          </w:p>
        </w:tc>
      </w:tr>
    </w:tbl>
    <w:p>
      <w:pPr>
        <w:snapToGrid w:val="0"/>
        <w:spacing w:line="480" w:lineRule="auto"/>
        <w:ind w:firstLine="630"/>
        <w:rPr>
          <w:rStyle w:val="15"/>
          <w:rFonts w:hint="eastAsia" w:ascii="宋体" w:hAnsi="宋体" w:eastAsia="宋体" w:cs="宋体"/>
          <w:sz w:val="22"/>
          <w:szCs w:val="22"/>
          <w:highlight w:val="none"/>
        </w:rPr>
      </w:pP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  应  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r>
        <w:rPr>
          <w:rStyle w:val="15"/>
          <w:rFonts w:hint="eastAsia" w:ascii="宋体" w:hAnsi="宋体" w:eastAsia="宋体" w:cs="宋体"/>
          <w:kern w:val="0"/>
          <w:sz w:val="22"/>
          <w:szCs w:val="22"/>
          <w:highlight w:val="none"/>
        </w:rPr>
        <w:t>盖单位公章</w:t>
      </w:r>
      <w:r>
        <w:rPr>
          <w:rStyle w:val="15"/>
          <w:rFonts w:hint="eastAsia" w:ascii="宋体" w:hAnsi="宋体" w:eastAsia="宋体" w:cs="宋体"/>
          <w:sz w:val="22"/>
          <w:szCs w:val="22"/>
          <w:highlight w:val="none"/>
        </w:rPr>
        <w:t>）</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（签字或盖章）</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委托代理人：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（签字或盖章）</w:t>
      </w:r>
    </w:p>
    <w:p>
      <w:pPr>
        <w:snapToGrid w:val="0"/>
        <w:spacing w:line="480" w:lineRule="auto"/>
        <w:ind w:firstLine="440" w:firstLineChars="200"/>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日     期：</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年</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月</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日</w:t>
      </w:r>
    </w:p>
    <w:p>
      <w:pPr>
        <w:pStyle w:val="26"/>
        <w:ind w:firstLine="643" w:firstLineChars="200"/>
        <w:outlineLvl w:val="0"/>
        <w:rPr>
          <w:rStyle w:val="15"/>
          <w:rFonts w:hint="eastAsia" w:ascii="宋体" w:hAnsi="宋体" w:eastAsia="宋体" w:cs="宋体"/>
          <w:sz w:val="32"/>
          <w:highlight w:val="none"/>
        </w:rPr>
      </w:pPr>
      <w:bookmarkStart w:id="23" w:name="_Toc3730"/>
      <w:r>
        <w:rPr>
          <w:rStyle w:val="15"/>
          <w:rFonts w:hint="eastAsia" w:ascii="宋体" w:hAnsi="宋体" w:eastAsia="宋体" w:cs="宋体"/>
          <w:kern w:val="2"/>
          <w:sz w:val="32"/>
          <w:highlight w:val="none"/>
        </w:rPr>
        <w:t>第四部分  供应商资格证明文件</w:t>
      </w:r>
      <w:bookmarkEnd w:id="23"/>
    </w:p>
    <w:p>
      <w:pPr>
        <w:spacing w:line="560" w:lineRule="exact"/>
        <w:ind w:right="-197" w:firstLine="422" w:firstLineChars="200"/>
        <w:jc w:val="left"/>
        <w:rPr>
          <w:rStyle w:val="15"/>
          <w:rFonts w:hint="eastAsia" w:ascii="宋体" w:hAnsi="宋体" w:eastAsia="宋体" w:cs="宋体"/>
          <w:b/>
          <w:kern w:val="0"/>
          <w:sz w:val="21"/>
          <w:highlight w:val="none"/>
        </w:rPr>
      </w:pPr>
      <w:r>
        <w:rPr>
          <w:rStyle w:val="15"/>
          <w:rFonts w:hint="eastAsia" w:ascii="宋体" w:hAnsi="宋体" w:eastAsia="宋体" w:cs="宋体"/>
          <w:b/>
          <w:kern w:val="0"/>
          <w:sz w:val="21"/>
          <w:highlight w:val="none"/>
        </w:rPr>
        <w:t>供应商资格要求：</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法定代表人授权书及被授权人身份证(法定代表人直接参加投标，须提交其身份证原件、复印件及法定代表人身份证明)；</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财务状况报告：提供2020年度经审计的财务报告或在开标日期前六个月内其基本开户银行出具的资信证明，以上二种形式的证明资料提供任何一种即可；</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税收缴纳证明：提供供应商2020年至今任意一个月已缴纳的完税凭证或税务机关开具的完税证明（任意税种）；</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社会保障资金缴纳证明：提供供应商2020年至今任意一个月已缴纳的社会保障资金缴存单据或社保机构开具的社会保险参保缴费情况证明；依法不需要缴纳社会保障资金的应提供相关文件证明；</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提供具有履行本合同所必需的设备和专业技术能力的承诺；</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参加政府采购活动前3年内在经营活动中没有重大违法记录的书面声明；</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p>
    <w:p>
      <w:pPr>
        <w:numPr>
          <w:ilvl w:val="0"/>
          <w:numId w:val="10"/>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本项目不接受联合体投标；</w:t>
      </w:r>
    </w:p>
    <w:p>
      <w:pPr>
        <w:spacing w:line="360" w:lineRule="auto"/>
        <w:rPr>
          <w:rStyle w:val="15"/>
          <w:rFonts w:hint="eastAsia" w:ascii="宋体" w:hAnsi="宋体" w:eastAsia="宋体" w:cs="宋体"/>
          <w:sz w:val="22"/>
          <w:szCs w:val="22"/>
          <w:highlight w:val="none"/>
        </w:rPr>
      </w:pPr>
    </w:p>
    <w:p>
      <w:pPr>
        <w:spacing w:line="360" w:lineRule="auto"/>
        <w:rPr>
          <w:rStyle w:val="15"/>
          <w:rFonts w:hint="eastAsia" w:ascii="宋体" w:hAnsi="宋体" w:eastAsia="宋体" w:cs="宋体"/>
          <w:sz w:val="22"/>
          <w:szCs w:val="22"/>
          <w:highlight w:val="none"/>
        </w:rPr>
      </w:pPr>
    </w:p>
    <w:p>
      <w:pPr>
        <w:spacing w:line="360" w:lineRule="auto"/>
        <w:rPr>
          <w:rStyle w:val="15"/>
          <w:rFonts w:hint="eastAsia" w:ascii="宋体" w:hAnsi="宋体" w:eastAsia="宋体" w:cs="宋体"/>
          <w:sz w:val="22"/>
          <w:szCs w:val="22"/>
          <w:highlight w:val="none"/>
        </w:rPr>
      </w:pPr>
    </w:p>
    <w:p>
      <w:pPr>
        <w:spacing w:line="360" w:lineRule="auto"/>
        <w:rPr>
          <w:rStyle w:val="15"/>
          <w:rFonts w:hint="eastAsia" w:ascii="宋体" w:hAnsi="宋体" w:eastAsia="宋体" w:cs="宋体"/>
          <w:sz w:val="22"/>
          <w:szCs w:val="22"/>
          <w:highlight w:val="none"/>
        </w:rPr>
      </w:pPr>
    </w:p>
    <w:p>
      <w:pPr>
        <w:spacing w:line="360" w:lineRule="auto"/>
        <w:rPr>
          <w:rStyle w:val="15"/>
          <w:rFonts w:hint="eastAsia" w:ascii="宋体" w:hAnsi="宋体" w:eastAsia="宋体" w:cs="宋体"/>
          <w:sz w:val="22"/>
          <w:szCs w:val="22"/>
          <w:highlight w:val="none"/>
        </w:rPr>
      </w:pPr>
    </w:p>
    <w:p>
      <w:pPr>
        <w:spacing w:line="360" w:lineRule="auto"/>
        <w:rPr>
          <w:rStyle w:val="15"/>
          <w:rFonts w:hint="eastAsia" w:ascii="宋体" w:hAnsi="宋体" w:eastAsia="宋体" w:cs="宋体"/>
          <w:sz w:val="22"/>
          <w:szCs w:val="22"/>
          <w:highlight w:val="none"/>
        </w:rPr>
      </w:pPr>
    </w:p>
    <w:p>
      <w:pPr>
        <w:pStyle w:val="2"/>
        <w:rPr>
          <w:rFonts w:hint="eastAsia" w:ascii="宋体" w:hAnsi="宋体" w:eastAsia="宋体" w:cs="宋体"/>
        </w:rPr>
      </w:pPr>
    </w:p>
    <w:p>
      <w:pPr>
        <w:rPr>
          <w:rFonts w:hint="eastAsia"/>
        </w:rPr>
      </w:pPr>
    </w:p>
    <w:p>
      <w:pPr>
        <w:spacing w:line="560" w:lineRule="exact"/>
        <w:ind w:firstLine="643" w:firstLineChars="200"/>
        <w:jc w:val="center"/>
        <w:outlineLvl w:val="0"/>
        <w:rPr>
          <w:rStyle w:val="15"/>
          <w:rFonts w:hint="eastAsia" w:ascii="宋体" w:hAnsi="宋体" w:eastAsia="宋体" w:cs="宋体"/>
          <w:sz w:val="32"/>
          <w:szCs w:val="32"/>
          <w:highlight w:val="none"/>
        </w:rPr>
      </w:pPr>
      <w:bookmarkStart w:id="24" w:name="_Toc30027"/>
      <w:r>
        <w:rPr>
          <w:rStyle w:val="56"/>
          <w:rFonts w:hint="eastAsia" w:ascii="宋体" w:hAnsi="宋体" w:eastAsia="宋体" w:cs="宋体"/>
          <w:bCs/>
          <w:szCs w:val="32"/>
          <w:highlight w:val="none"/>
        </w:rPr>
        <w:t xml:space="preserve">第五部分  </w:t>
      </w:r>
      <w:r>
        <w:rPr>
          <w:rStyle w:val="56"/>
          <w:rFonts w:hint="eastAsia" w:ascii="宋体" w:hAnsi="宋体" w:cs="宋体"/>
          <w:bCs/>
          <w:szCs w:val="32"/>
          <w:highlight w:val="none"/>
          <w:lang w:eastAsia="zh-CN"/>
        </w:rPr>
        <w:t>公开招标</w:t>
      </w:r>
      <w:r>
        <w:rPr>
          <w:rStyle w:val="56"/>
          <w:rFonts w:hint="eastAsia" w:ascii="宋体" w:hAnsi="宋体" w:eastAsia="宋体" w:cs="宋体"/>
          <w:bCs/>
          <w:szCs w:val="32"/>
          <w:highlight w:val="none"/>
        </w:rPr>
        <w:t>响应方案说明</w:t>
      </w:r>
      <w:bookmarkEnd w:id="24"/>
    </w:p>
    <w:p>
      <w:pPr>
        <w:spacing w:line="480" w:lineRule="auto"/>
        <w:ind w:firstLine="440" w:firstLineChars="200"/>
        <w:rPr>
          <w:rStyle w:val="15"/>
          <w:rFonts w:hint="eastAsia" w:ascii="宋体" w:hAnsi="宋体" w:eastAsia="宋体" w:cs="宋体"/>
          <w:sz w:val="22"/>
          <w:szCs w:val="22"/>
          <w:highlight w:val="none"/>
          <w:lang w:eastAsia="zh-CN"/>
        </w:rPr>
      </w:pPr>
      <w:r>
        <w:rPr>
          <w:rStyle w:val="15"/>
          <w:rFonts w:hint="eastAsia" w:ascii="宋体" w:hAnsi="宋体" w:eastAsia="宋体" w:cs="宋体"/>
          <w:sz w:val="22"/>
          <w:szCs w:val="22"/>
          <w:highlight w:val="none"/>
        </w:rPr>
        <w:t>1</w:t>
      </w:r>
      <w:r>
        <w:rPr>
          <w:rStyle w:val="15"/>
          <w:rFonts w:hint="eastAsia" w:ascii="宋体" w:hAnsi="宋体" w:cs="宋体"/>
          <w:sz w:val="22"/>
          <w:szCs w:val="22"/>
          <w:highlight w:val="none"/>
          <w:lang w:eastAsia="zh-CN"/>
        </w:rPr>
        <w:t>、项目的服务、质量和售后方案</w:t>
      </w:r>
      <w:r>
        <w:rPr>
          <w:rStyle w:val="15"/>
          <w:rFonts w:hint="eastAsia" w:ascii="宋体" w:hAnsi="宋体" w:eastAsia="宋体" w:cs="宋体"/>
          <w:sz w:val="22"/>
          <w:szCs w:val="22"/>
          <w:highlight w:val="none"/>
          <w:lang w:eastAsia="zh-CN"/>
        </w:rPr>
        <w:t>；</w:t>
      </w:r>
    </w:p>
    <w:p>
      <w:pPr>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2、类似项目业绩（以合同或中标</w:t>
      </w:r>
      <w:r>
        <w:rPr>
          <w:rStyle w:val="15"/>
          <w:rFonts w:hint="eastAsia" w:ascii="宋体" w:hAnsi="宋体" w:cs="宋体"/>
          <w:b w:val="0"/>
          <w:bCs/>
          <w:kern w:val="0"/>
          <w:sz w:val="22"/>
          <w:szCs w:val="22"/>
          <w:highlight w:val="none"/>
          <w:lang w:eastAsia="zh-CN"/>
        </w:rPr>
        <w:t>文件</w:t>
      </w:r>
      <w:r>
        <w:rPr>
          <w:rStyle w:val="15"/>
          <w:rFonts w:hint="eastAsia" w:ascii="宋体" w:hAnsi="宋体" w:eastAsia="宋体" w:cs="宋体"/>
          <w:sz w:val="22"/>
          <w:szCs w:val="22"/>
          <w:highlight w:val="none"/>
        </w:rPr>
        <w:t>为准）；</w:t>
      </w:r>
    </w:p>
    <w:p>
      <w:pPr>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3、主要产品技术指标；</w:t>
      </w:r>
    </w:p>
    <w:p>
      <w:pPr>
        <w:spacing w:line="480" w:lineRule="auto"/>
        <w:ind w:firstLine="440" w:firstLineChars="200"/>
        <w:rPr>
          <w:rStyle w:val="15"/>
          <w:rFonts w:hint="eastAsia" w:ascii="宋体" w:hAnsi="宋体" w:eastAsia="宋体" w:cs="宋体"/>
          <w:sz w:val="21"/>
          <w:highlight w:val="none"/>
        </w:rPr>
      </w:pPr>
      <w:r>
        <w:rPr>
          <w:rStyle w:val="15"/>
          <w:rFonts w:hint="eastAsia" w:ascii="宋体" w:hAnsi="宋体" w:eastAsia="宋体" w:cs="宋体"/>
          <w:sz w:val="22"/>
          <w:szCs w:val="22"/>
          <w:highlight w:val="none"/>
        </w:rPr>
        <w:t>投标人须提供所投主要产品有效的证明材料，包含但不限于：质量监督或检验部门出具的产品质量检验报告（或产品质量认证证书）或厂家授权书或提供与所投产品相同型号的最新的技术彩页、主要技术指标、参数及性能的详细说明或提供所投产品文字、图片说明辅助说明产品技术参数等的技术资料等；</w:t>
      </w:r>
    </w:p>
    <w:p>
      <w:pPr>
        <w:spacing w:line="480" w:lineRule="auto"/>
        <w:ind w:firstLine="440" w:firstLineChars="200"/>
        <w:rPr>
          <w:rStyle w:val="15"/>
          <w:rFonts w:hint="eastAsia" w:ascii="宋体" w:hAnsi="宋体" w:eastAsia="宋体" w:cs="宋体"/>
          <w:sz w:val="32"/>
          <w:szCs w:val="32"/>
          <w:highlight w:val="none"/>
        </w:rPr>
      </w:pPr>
      <w:r>
        <w:rPr>
          <w:rStyle w:val="15"/>
          <w:rFonts w:hint="eastAsia" w:ascii="宋体" w:hAnsi="宋体" w:eastAsia="宋体" w:cs="宋体"/>
          <w:sz w:val="22"/>
          <w:szCs w:val="22"/>
          <w:highlight w:val="none"/>
        </w:rPr>
        <w:t>4、供应商认为有必要提供而增加其</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的其它资料。</w:t>
      </w:r>
    </w:p>
    <w:p>
      <w:pPr>
        <w:spacing w:line="500" w:lineRule="atLeast"/>
        <w:ind w:firstLine="400" w:firstLineChars="200"/>
        <w:jc w:val="center"/>
        <w:outlineLvl w:val="0"/>
        <w:rPr>
          <w:rStyle w:val="15"/>
          <w:rFonts w:hint="eastAsia" w:ascii="宋体" w:hAnsi="宋体" w:eastAsia="宋体" w:cs="宋体"/>
          <w:b/>
          <w:bCs/>
          <w:sz w:val="36"/>
          <w:szCs w:val="36"/>
          <w:highlight w:val="none"/>
        </w:rPr>
      </w:pPr>
      <w:r>
        <w:rPr>
          <w:rFonts w:hint="eastAsia" w:ascii="宋体" w:hAnsi="宋体" w:eastAsia="宋体" w:cs="宋体"/>
          <w:sz w:val="20"/>
          <w:highlight w:val="none"/>
        </w:rPr>
        <w:br w:type="page"/>
      </w:r>
      <w:bookmarkStart w:id="25" w:name="_Toc4774"/>
      <w:r>
        <w:rPr>
          <w:rStyle w:val="56"/>
          <w:rFonts w:hint="eastAsia" w:ascii="宋体" w:hAnsi="宋体" w:eastAsia="宋体" w:cs="宋体"/>
          <w:bCs/>
          <w:szCs w:val="32"/>
          <w:highlight w:val="none"/>
        </w:rPr>
        <w:t>第六部分  供应商承诺书</w:t>
      </w:r>
      <w:bookmarkEnd w:id="25"/>
    </w:p>
    <w:p>
      <w:pPr>
        <w:spacing w:line="500" w:lineRule="atLeast"/>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u w:val="single"/>
        </w:rPr>
        <w:t>致          （采购人）:</w:t>
      </w:r>
    </w:p>
    <w:p>
      <w:p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作为参加贵单位的</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项目</w:t>
      </w:r>
      <w:r>
        <w:rPr>
          <w:rStyle w:val="15"/>
          <w:rFonts w:hint="eastAsia" w:ascii="宋体" w:hAnsi="宋体" w:eastAsia="宋体" w:cs="宋体"/>
          <w:sz w:val="22"/>
          <w:szCs w:val="22"/>
          <w:highlight w:val="none"/>
        </w:rPr>
        <w:t>的</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供应商，本公司郑重承诺：</w:t>
      </w:r>
    </w:p>
    <w:p>
      <w:pPr>
        <w:numPr>
          <w:ilvl w:val="0"/>
          <w:numId w:val="11"/>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在参加本项目</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之前不存在被依法禁止经营行为、财产被接管或冻结的情况，如有隐瞒实情，愿承担一切责任及后果。</w:t>
      </w:r>
    </w:p>
    <w:p>
      <w:pPr>
        <w:numPr>
          <w:ilvl w:val="0"/>
          <w:numId w:val="0"/>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2、近三年受到有关行政主管部门的行政处理、不良行为记录为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次（没有填零），如有隐瞒实情，愿承担一切责任及后果。</w:t>
      </w:r>
    </w:p>
    <w:p>
      <w:pPr>
        <w:numPr>
          <w:ilvl w:val="0"/>
          <w:numId w:val="12"/>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参加本次</w:t>
      </w:r>
      <w:r>
        <w:rPr>
          <w:rStyle w:val="15"/>
          <w:rFonts w:hint="eastAsia" w:ascii="宋体" w:hAnsi="宋体" w:cs="宋体"/>
          <w:b w:val="0"/>
          <w:bCs/>
          <w:kern w:val="3"/>
          <w:sz w:val="22"/>
          <w:szCs w:val="22"/>
          <w:highlight w:val="none"/>
          <w:lang w:eastAsia="zh-CN"/>
        </w:rPr>
        <w:t>公开招标</w:t>
      </w:r>
      <w:r>
        <w:rPr>
          <w:rStyle w:val="15"/>
          <w:rFonts w:hint="eastAsia" w:ascii="宋体" w:hAnsi="宋体" w:eastAsia="宋体" w:cs="宋体"/>
          <w:sz w:val="22"/>
          <w:szCs w:val="22"/>
          <w:highlight w:val="none"/>
        </w:rPr>
        <w:t>提交的所有资格证明文件是真实的、有效的，如有隐瞒实情，愿承担一切责任及后果。</w:t>
      </w:r>
    </w:p>
    <w:p>
      <w:p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4、我方已阅读了《财政部关于在政府采购活动中查询及使用信用记录有关问题的通知-财库[2016]125号》文件，并领会了文件的精神。因违反文件规定所产生的后果由我方自行承担。</w:t>
      </w:r>
    </w:p>
    <w:p>
      <w:pPr>
        <w:spacing w:line="500" w:lineRule="atLeast"/>
        <w:rPr>
          <w:rStyle w:val="15"/>
          <w:rFonts w:hint="eastAsia" w:ascii="宋体" w:hAnsi="宋体" w:eastAsia="宋体" w:cs="宋体"/>
          <w:sz w:val="22"/>
          <w:szCs w:val="22"/>
          <w:highlight w:val="none"/>
        </w:rPr>
      </w:pPr>
    </w:p>
    <w:p>
      <w:pPr>
        <w:spacing w:line="36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cs="宋体"/>
          <w:sz w:val="22"/>
          <w:szCs w:val="22"/>
          <w:highlight w:val="none"/>
          <w:lang w:val="en-US" w:eastAsia="zh-CN"/>
        </w:rPr>
        <w:t xml:space="preserve">             </w:t>
      </w: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r>
        <w:rPr>
          <w:rStyle w:val="15"/>
          <w:rFonts w:hint="eastAsia" w:ascii="宋体" w:hAnsi="宋体" w:eastAsia="宋体" w:cs="宋体"/>
          <w:kern w:val="0"/>
          <w:sz w:val="22"/>
          <w:szCs w:val="22"/>
          <w:highlight w:val="none"/>
        </w:rPr>
        <w:t>盖单位公章</w:t>
      </w:r>
      <w:r>
        <w:rPr>
          <w:rStyle w:val="15"/>
          <w:rFonts w:hint="eastAsia" w:ascii="宋体" w:hAnsi="宋体" w:eastAsia="宋体" w:cs="宋体"/>
          <w:sz w:val="22"/>
          <w:szCs w:val="22"/>
          <w:highlight w:val="none"/>
        </w:rPr>
        <w:t>）</w:t>
      </w:r>
    </w:p>
    <w:p>
      <w:pPr>
        <w:pStyle w:val="115"/>
        <w:snapToGrid w:val="0"/>
        <w:spacing w:line="360" w:lineRule="auto"/>
        <w:ind w:firstLine="2640" w:firstLineChars="1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w:t>
      </w:r>
      <w:r>
        <w:rPr>
          <w:rStyle w:val="15"/>
          <w:rFonts w:hint="eastAsia" w:ascii="宋体" w:hAnsi="宋体" w:eastAsia="宋体" w:cs="宋体"/>
          <w:b w:val="0"/>
          <w:bCs w:val="0"/>
          <w:sz w:val="22"/>
          <w:szCs w:val="22"/>
          <w:highlight w:val="none"/>
        </w:rPr>
        <w:t>或</w:t>
      </w:r>
      <w:r>
        <w:rPr>
          <w:rStyle w:val="15"/>
          <w:rFonts w:hint="eastAsia" w:ascii="宋体" w:hAnsi="宋体" w:eastAsia="宋体" w:cs="宋体"/>
          <w:b w:val="0"/>
          <w:bCs w:val="0"/>
          <w:sz w:val="22"/>
          <w:szCs w:val="22"/>
          <w:highlight w:val="none"/>
          <w:lang w:val="zh-CN"/>
        </w:rPr>
        <w:t>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w:t>
      </w:r>
      <w:r>
        <w:rPr>
          <w:rStyle w:val="15"/>
          <w:rFonts w:hint="eastAsia" w:ascii="宋体" w:hAnsi="宋体" w:eastAsia="宋体" w:cs="宋体"/>
          <w:b w:val="0"/>
          <w:bCs w:val="0"/>
          <w:sz w:val="22"/>
          <w:szCs w:val="22"/>
          <w:highlight w:val="none"/>
        </w:rPr>
        <w:t>或</w:t>
      </w:r>
      <w:r>
        <w:rPr>
          <w:rStyle w:val="15"/>
          <w:rFonts w:hint="eastAsia" w:ascii="宋体" w:hAnsi="宋体" w:eastAsia="宋体" w:cs="宋体"/>
          <w:b w:val="0"/>
          <w:bCs w:val="0"/>
          <w:sz w:val="22"/>
          <w:szCs w:val="22"/>
          <w:highlight w:val="none"/>
          <w:lang w:val="zh-CN"/>
        </w:rPr>
        <w:t>盖章）</w:t>
      </w:r>
    </w:p>
    <w:p>
      <w:pPr>
        <w:spacing w:line="360" w:lineRule="auto"/>
        <w:ind w:firstLine="2860" w:firstLineChars="13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spacing w:line="480" w:lineRule="auto"/>
        <w:jc w:val="right"/>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sz w:val="28"/>
          <w:szCs w:val="28"/>
          <w:highlight w:val="none"/>
        </w:rPr>
      </w:pPr>
    </w:p>
    <w:p>
      <w:pPr>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sz w:val="28"/>
          <w:szCs w:val="28"/>
          <w:highlight w:val="none"/>
        </w:rPr>
      </w:pPr>
    </w:p>
    <w:p>
      <w:pPr>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sz w:val="28"/>
          <w:szCs w:val="28"/>
          <w:highlight w:val="none"/>
        </w:rPr>
      </w:pPr>
    </w:p>
    <w:p>
      <w:pPr>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highlight w:val="none"/>
        </w:rPr>
      </w:pPr>
    </w:p>
    <w:p>
      <w:pPr>
        <w:pStyle w:val="110"/>
        <w:snapToGrid w:val="0"/>
        <w:rPr>
          <w:rStyle w:val="15"/>
          <w:rFonts w:hint="eastAsia" w:ascii="宋体" w:hAnsi="宋体" w:eastAsia="宋体" w:cs="宋体"/>
          <w:highlight w:val="none"/>
        </w:rPr>
      </w:pPr>
    </w:p>
    <w:p>
      <w:pPr>
        <w:pStyle w:val="26"/>
        <w:numPr>
          <w:ilvl w:val="0"/>
          <w:numId w:val="13"/>
        </w:numPr>
        <w:ind w:left="0" w:leftChars="0" w:firstLine="0" w:firstLineChars="0"/>
        <w:outlineLvl w:val="0"/>
        <w:rPr>
          <w:rStyle w:val="15"/>
          <w:rFonts w:hint="eastAsia" w:ascii="宋体" w:hAnsi="宋体" w:eastAsia="宋体" w:cs="宋体"/>
          <w:kern w:val="2"/>
          <w:sz w:val="32"/>
          <w:highlight w:val="none"/>
        </w:rPr>
      </w:pPr>
      <w:bookmarkStart w:id="26" w:name="_Toc22067"/>
      <w:r>
        <w:rPr>
          <w:rStyle w:val="15"/>
          <w:rFonts w:hint="eastAsia" w:ascii="宋体" w:hAnsi="宋体" w:eastAsia="宋体" w:cs="宋体"/>
          <w:kern w:val="2"/>
          <w:sz w:val="32"/>
          <w:highlight w:val="none"/>
        </w:rPr>
        <w:t>政府采购供应商拒绝政府采购领域商业贿赂</w:t>
      </w:r>
    </w:p>
    <w:p>
      <w:pPr>
        <w:pStyle w:val="26"/>
        <w:numPr>
          <w:ilvl w:val="0"/>
          <w:numId w:val="0"/>
        </w:numPr>
        <w:ind w:leftChars="0"/>
        <w:jc w:val="center"/>
        <w:outlineLvl w:val="0"/>
        <w:rPr>
          <w:rStyle w:val="15"/>
          <w:rFonts w:hint="eastAsia" w:ascii="宋体" w:hAnsi="宋体" w:eastAsia="宋体" w:cs="宋体"/>
          <w:b w:val="0"/>
          <w:bCs w:val="0"/>
          <w:sz w:val="36"/>
          <w:szCs w:val="36"/>
          <w:highlight w:val="none"/>
        </w:rPr>
      </w:pPr>
      <w:r>
        <w:rPr>
          <w:rStyle w:val="15"/>
          <w:rFonts w:hint="eastAsia" w:ascii="宋体" w:hAnsi="宋体" w:eastAsia="宋体" w:cs="宋体"/>
          <w:kern w:val="2"/>
          <w:sz w:val="32"/>
          <w:highlight w:val="none"/>
        </w:rPr>
        <w:t>承</w:t>
      </w:r>
      <w:r>
        <w:rPr>
          <w:rStyle w:val="15"/>
          <w:rFonts w:hint="eastAsia" w:ascii="宋体" w:hAnsi="宋体" w:eastAsia="宋体" w:cs="宋体"/>
          <w:kern w:val="2"/>
          <w:sz w:val="32"/>
          <w:highlight w:val="none"/>
          <w:lang w:val="en-US" w:eastAsia="zh-CN"/>
        </w:rPr>
        <w:t xml:space="preserve">  </w:t>
      </w:r>
      <w:r>
        <w:rPr>
          <w:rStyle w:val="15"/>
          <w:rFonts w:hint="eastAsia" w:ascii="宋体" w:hAnsi="宋体" w:eastAsia="宋体" w:cs="宋体"/>
          <w:kern w:val="2"/>
          <w:sz w:val="32"/>
          <w:highlight w:val="none"/>
        </w:rPr>
        <w:t>诺</w:t>
      </w:r>
      <w:r>
        <w:rPr>
          <w:rStyle w:val="15"/>
          <w:rFonts w:hint="eastAsia" w:ascii="宋体" w:hAnsi="宋体" w:eastAsia="宋体" w:cs="宋体"/>
          <w:kern w:val="2"/>
          <w:sz w:val="32"/>
          <w:highlight w:val="none"/>
          <w:lang w:val="en-US" w:eastAsia="zh-CN"/>
        </w:rPr>
        <w:t xml:space="preserve">  </w:t>
      </w:r>
      <w:r>
        <w:rPr>
          <w:rStyle w:val="15"/>
          <w:rFonts w:hint="eastAsia" w:ascii="宋体" w:hAnsi="宋体" w:eastAsia="宋体" w:cs="宋体"/>
          <w:kern w:val="2"/>
          <w:sz w:val="32"/>
          <w:highlight w:val="none"/>
        </w:rPr>
        <w:t>书</w:t>
      </w:r>
      <w:bookmarkEnd w:id="26"/>
    </w:p>
    <w:p>
      <w:p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为响应党中央、国务院关于治理政府采购领域商业贿赂行为的号召，我单位在此庄严承诺：</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在参与政府采购活动中遵纪守法、诚信经营、公平竞标。</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不向采购人、采购代理机构和政府采购评审专家进行任何形式的商业贿赂以谋取交易机会。</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不向政府采购招标代理机构和采购人提供虚假资格文件或采用虚假应标方式参与政府采购市场竞争并谋取中标、成交。</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不采取“围标、陪标”等商业欺诈手段获得政府采购定单。</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不采取不正当手段低毁、排挤其他供应商。</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不在提供商品和服务时“偷梁换柱、以次充好”损害采购人的合法权益。</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不与采购人、采购代理机构政府采购评审专家或其它供应商恶意串通，进行质疑和投诉，维护政府采购市场秩序。</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尊重和接受政府采购监督管理部门的监督和政府采购代理机构招标要求，承担因违约行为给采购人造成的损失。</w:t>
      </w:r>
    </w:p>
    <w:p>
      <w:pPr>
        <w:numPr>
          <w:ilvl w:val="0"/>
          <w:numId w:val="14"/>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不发生其他有悖于政府采购公开、公平、公正和诚信原则的行为。</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承诺单位：</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（盖单位公章）</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法定代表人</w:t>
      </w:r>
      <w:r>
        <w:rPr>
          <w:rStyle w:val="15"/>
          <w:rFonts w:hint="eastAsia" w:ascii="宋体" w:hAnsi="宋体" w:eastAsia="宋体" w:cs="宋体"/>
          <w:sz w:val="22"/>
          <w:szCs w:val="22"/>
          <w:highlight w:val="none"/>
        </w:rPr>
        <w:t>或</w:t>
      </w:r>
      <w:r>
        <w:rPr>
          <w:rStyle w:val="15"/>
          <w:rFonts w:hint="eastAsia" w:ascii="宋体" w:hAnsi="宋体" w:eastAsia="宋体" w:cs="宋体"/>
          <w:kern w:val="0"/>
          <w:sz w:val="22"/>
          <w:szCs w:val="22"/>
          <w:highlight w:val="none"/>
        </w:rPr>
        <w:t>委托代理人：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签字</w:t>
      </w:r>
      <w:r>
        <w:rPr>
          <w:rStyle w:val="15"/>
          <w:rFonts w:hint="eastAsia" w:ascii="宋体" w:hAnsi="宋体" w:eastAsia="宋体" w:cs="宋体"/>
          <w:sz w:val="22"/>
          <w:szCs w:val="22"/>
          <w:highlight w:val="none"/>
        </w:rPr>
        <w:t>或</w:t>
      </w:r>
      <w:r>
        <w:rPr>
          <w:rStyle w:val="15"/>
          <w:rFonts w:hint="eastAsia" w:ascii="宋体" w:hAnsi="宋体" w:eastAsia="宋体" w:cs="宋体"/>
          <w:kern w:val="0"/>
          <w:sz w:val="22"/>
          <w:szCs w:val="22"/>
          <w:highlight w:val="none"/>
        </w:rPr>
        <w:t>盖章）</w:t>
      </w:r>
    </w:p>
    <w:p>
      <w:pPr>
        <w:tabs>
          <w:tab w:val="left" w:pos="2394"/>
        </w:tabs>
        <w:spacing w:line="460" w:lineRule="exact"/>
        <w:ind w:firstLine="440" w:firstLineChars="200"/>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地    址：</w:t>
      </w:r>
      <w:r>
        <w:rPr>
          <w:rStyle w:val="15"/>
          <w:rFonts w:hint="eastAsia" w:ascii="宋体" w:hAnsi="宋体" w:eastAsia="宋体" w:cs="宋体"/>
          <w:kern w:val="0"/>
          <w:sz w:val="22"/>
          <w:szCs w:val="22"/>
          <w:highlight w:val="none"/>
          <w:u w:val="single"/>
        </w:rPr>
        <w:t xml:space="preserve">                              </w:t>
      </w:r>
    </w:p>
    <w:p>
      <w:pPr>
        <w:tabs>
          <w:tab w:val="left" w:pos="2394"/>
        </w:tabs>
        <w:spacing w:line="460" w:lineRule="exact"/>
        <w:ind w:firstLine="440" w:firstLineChars="200"/>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邮    编：</w:t>
      </w:r>
      <w:r>
        <w:rPr>
          <w:rStyle w:val="15"/>
          <w:rFonts w:hint="eastAsia" w:ascii="宋体" w:hAnsi="宋体" w:eastAsia="宋体" w:cs="宋体"/>
          <w:kern w:val="0"/>
          <w:sz w:val="22"/>
          <w:szCs w:val="22"/>
          <w:highlight w:val="none"/>
          <w:u w:val="single"/>
        </w:rPr>
        <w:t xml:space="preserve">                              </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电    话：</w:t>
      </w:r>
      <w:r>
        <w:rPr>
          <w:rStyle w:val="15"/>
          <w:rFonts w:hint="eastAsia" w:ascii="宋体" w:hAnsi="宋体" w:eastAsia="宋体" w:cs="宋体"/>
          <w:kern w:val="0"/>
          <w:sz w:val="22"/>
          <w:szCs w:val="22"/>
          <w:highlight w:val="none"/>
          <w:u w:val="single"/>
        </w:rPr>
        <w:t xml:space="preserve">                              </w:t>
      </w:r>
    </w:p>
    <w:p>
      <w:p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spacing w:line="500" w:lineRule="atLeast"/>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highlight w:val="none"/>
        </w:rPr>
      </w:pPr>
    </w:p>
    <w:p>
      <w:pPr>
        <w:pStyle w:val="26"/>
        <w:outlineLvl w:val="0"/>
        <w:rPr>
          <w:rStyle w:val="15"/>
          <w:rFonts w:hint="eastAsia" w:ascii="宋体" w:hAnsi="宋体" w:eastAsia="宋体" w:cs="宋体"/>
          <w:sz w:val="32"/>
          <w:highlight w:val="none"/>
        </w:rPr>
      </w:pPr>
      <w:bookmarkStart w:id="27" w:name="_Toc18468"/>
      <w:r>
        <w:rPr>
          <w:rStyle w:val="15"/>
          <w:rFonts w:hint="eastAsia" w:ascii="宋体" w:hAnsi="宋体" w:eastAsia="宋体" w:cs="宋体"/>
          <w:kern w:val="2"/>
          <w:sz w:val="32"/>
          <w:highlight w:val="none"/>
        </w:rPr>
        <w:t>第八部分  附件</w:t>
      </w:r>
      <w:bookmarkEnd w:id="27"/>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1、中小企业声明函（若是）</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本公司郑重声明，根据《政府采购促进中小企业发展暂行办法》（财库[2011]181号）的规定，本公司为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（请填写：中型、小型、微型）企业。即，本公司同时满足以下条件：</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1、根据《工业和信息化部、国家统计局、国家发展和改革委员会、财政部关于印发中小企业划型标准规定的通知》（工信部联企业[2011]300号）规定的划分标准，本公司为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2、本公司参加</w:t>
      </w:r>
      <w:r>
        <w:rPr>
          <w:rStyle w:val="15"/>
          <w:rFonts w:hint="eastAsia" w:ascii="宋体" w:hAnsi="宋体" w:eastAsia="宋体" w:cs="宋体"/>
          <w:sz w:val="22"/>
          <w:szCs w:val="22"/>
          <w:highlight w:val="none"/>
          <w:u w:val="single"/>
        </w:rPr>
        <w:t xml:space="preserve">             项目名称</w:t>
      </w:r>
      <w:r>
        <w:rPr>
          <w:rStyle w:val="15"/>
          <w:rFonts w:hint="eastAsia" w:ascii="宋体" w:hAnsi="宋体" w:eastAsia="宋体" w:cs="宋体"/>
          <w:sz w:val="22"/>
          <w:szCs w:val="22"/>
          <w:highlight w:val="none"/>
        </w:rPr>
        <w:t>（项目编号：</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项目采购活动提供本企业的</w:t>
      </w:r>
      <w:r>
        <w:rPr>
          <w:rStyle w:val="15"/>
          <w:rFonts w:hint="eastAsia" w:ascii="宋体" w:hAnsi="宋体" w:cs="宋体"/>
          <w:sz w:val="22"/>
          <w:szCs w:val="22"/>
          <w:highlight w:val="none"/>
          <w:lang w:eastAsia="zh-CN"/>
        </w:rPr>
        <w:t>产品及售后服务</w:t>
      </w:r>
      <w:r>
        <w:rPr>
          <w:rStyle w:val="15"/>
          <w:rFonts w:hint="eastAsia" w:ascii="宋体" w:hAnsi="宋体" w:eastAsia="宋体" w:cs="宋体"/>
          <w:sz w:val="22"/>
          <w:szCs w:val="22"/>
          <w:highlight w:val="none"/>
        </w:rPr>
        <w:t>，由本企业承担</w:t>
      </w:r>
      <w:r>
        <w:rPr>
          <w:rStyle w:val="15"/>
          <w:rFonts w:hint="eastAsia" w:ascii="宋体" w:hAnsi="宋体" w:cs="宋体"/>
          <w:sz w:val="22"/>
          <w:szCs w:val="22"/>
          <w:highlight w:val="none"/>
          <w:lang w:eastAsia="zh-CN"/>
        </w:rPr>
        <w:t>售后</w:t>
      </w:r>
      <w:r>
        <w:rPr>
          <w:rStyle w:val="15"/>
          <w:rFonts w:hint="eastAsia" w:ascii="宋体" w:hAnsi="宋体" w:eastAsia="宋体" w:cs="宋体"/>
          <w:sz w:val="22"/>
          <w:szCs w:val="22"/>
          <w:highlight w:val="none"/>
        </w:rPr>
        <w:t>、提供服务，或者提供其他</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（请填写：中型、小型、微型）企业制造的货物。本条所称</w:t>
      </w:r>
      <w:r>
        <w:rPr>
          <w:rStyle w:val="15"/>
          <w:rFonts w:hint="eastAsia" w:ascii="宋体" w:hAnsi="宋体" w:cs="宋体"/>
          <w:sz w:val="22"/>
          <w:szCs w:val="22"/>
          <w:highlight w:val="none"/>
          <w:lang w:eastAsia="zh-CN"/>
        </w:rPr>
        <w:t>产品</w:t>
      </w:r>
      <w:r>
        <w:rPr>
          <w:rStyle w:val="15"/>
          <w:rFonts w:hint="eastAsia" w:ascii="宋体" w:hAnsi="宋体" w:eastAsia="宋体" w:cs="宋体"/>
          <w:sz w:val="22"/>
          <w:szCs w:val="22"/>
          <w:highlight w:val="none"/>
        </w:rPr>
        <w:t>不包括使用大型企业注册商标的货物。</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本公司对上述声明的真实性负责。如有虚假、将依法承担相应责任。</w:t>
      </w:r>
    </w:p>
    <w:p>
      <w:pPr>
        <w:spacing w:line="560" w:lineRule="exact"/>
        <w:rPr>
          <w:rStyle w:val="15"/>
          <w:rFonts w:hint="eastAsia" w:ascii="宋体" w:hAnsi="宋体" w:eastAsia="宋体" w:cs="宋体"/>
          <w:sz w:val="22"/>
          <w:szCs w:val="22"/>
          <w:highlight w:val="none"/>
        </w:rPr>
      </w:pPr>
    </w:p>
    <w:p>
      <w:pPr>
        <w:spacing w:line="560" w:lineRule="exact"/>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cs="宋体"/>
          <w:sz w:val="22"/>
          <w:szCs w:val="22"/>
          <w:highlight w:val="none"/>
          <w:lang w:val="en-US" w:eastAsia="zh-CN"/>
        </w:rPr>
        <w:t xml:space="preserve">                        </w:t>
      </w: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（加盖单位公章）</w:t>
      </w:r>
    </w:p>
    <w:p>
      <w:pPr>
        <w:spacing w:line="560" w:lineRule="exact"/>
        <w:ind w:firstLine="440" w:firstLineChars="200"/>
        <w:jc w:val="center"/>
        <w:outlineLvl w:val="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w:t>
      </w:r>
      <w:bookmarkStart w:id="28" w:name="_Toc20022"/>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bookmarkEnd w:id="28"/>
    </w:p>
    <w:p>
      <w:pPr>
        <w:spacing w:line="560" w:lineRule="exact"/>
        <w:ind w:firstLine="440" w:firstLineChars="200"/>
        <w:rPr>
          <w:rStyle w:val="15"/>
          <w:rFonts w:hint="eastAsia" w:ascii="宋体" w:hAnsi="宋体" w:eastAsia="宋体" w:cs="宋体"/>
          <w:sz w:val="22"/>
          <w:szCs w:val="22"/>
          <w:highlight w:val="none"/>
        </w:rPr>
      </w:pP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注：1、若供应商所投</w:t>
      </w:r>
      <w:r>
        <w:rPr>
          <w:rStyle w:val="15"/>
          <w:rFonts w:hint="eastAsia" w:ascii="宋体" w:hAnsi="宋体" w:cs="宋体"/>
          <w:sz w:val="22"/>
          <w:szCs w:val="22"/>
          <w:highlight w:val="none"/>
          <w:lang w:eastAsia="zh-CN"/>
        </w:rPr>
        <w:t>产品及售后服务</w:t>
      </w:r>
      <w:r>
        <w:rPr>
          <w:rStyle w:val="15"/>
          <w:rFonts w:hint="eastAsia" w:ascii="宋体" w:hAnsi="宋体" w:eastAsia="宋体" w:cs="宋体"/>
          <w:sz w:val="22"/>
          <w:szCs w:val="22"/>
          <w:highlight w:val="none"/>
        </w:rPr>
        <w:t>为中小企业</w:t>
      </w:r>
      <w:r>
        <w:rPr>
          <w:rStyle w:val="15"/>
          <w:rFonts w:hint="eastAsia" w:ascii="宋体" w:hAnsi="宋体" w:cs="宋体"/>
          <w:sz w:val="22"/>
          <w:szCs w:val="22"/>
          <w:highlight w:val="none"/>
          <w:lang w:eastAsia="zh-CN"/>
        </w:rPr>
        <w:t>自身的</w:t>
      </w:r>
      <w:r>
        <w:rPr>
          <w:rStyle w:val="15"/>
          <w:rFonts w:hint="eastAsia" w:ascii="宋体" w:hAnsi="宋体" w:eastAsia="宋体" w:cs="宋体"/>
          <w:sz w:val="22"/>
          <w:szCs w:val="22"/>
          <w:highlight w:val="none"/>
        </w:rPr>
        <w:t>，须在响应文件中提供相关证明文件供评委评审，否则不给予产品的价格扣除。</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2、若供应商不填写本表或不符合中小企业要求的，将不给与产品的价格扣除。</w:t>
      </w:r>
    </w:p>
    <w:p>
      <w:pPr>
        <w:spacing w:line="560" w:lineRule="exact"/>
        <w:ind w:firstLine="440" w:firstLineChars="200"/>
        <w:rPr>
          <w:rStyle w:val="15"/>
          <w:rFonts w:hint="eastAsia" w:ascii="宋体" w:hAnsi="宋体" w:eastAsia="宋体" w:cs="宋体"/>
          <w:highlight w:val="none"/>
        </w:rPr>
      </w:pPr>
      <w:r>
        <w:rPr>
          <w:rStyle w:val="15"/>
          <w:rFonts w:hint="eastAsia" w:ascii="宋体" w:hAnsi="宋体" w:eastAsia="宋体" w:cs="宋体"/>
          <w:sz w:val="22"/>
          <w:szCs w:val="22"/>
          <w:highlight w:val="none"/>
        </w:rPr>
        <w:t>3、写前请认真阅读《工业和信息化部、国家统计局、国家发展和改革委员会、财政部关于印发中小企业划型标准规定的通知》（工信部联企业[2011]300号）和《财政部 工业和信息化部关于印发政府采购促进中小企业发展暂行办法的通知》(财库[2011]181号)相关规定。</w:t>
      </w:r>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2、残疾人福利性单位声明函（若是）</w:t>
      </w:r>
    </w:p>
    <w:p>
      <w:pPr>
        <w:pStyle w:val="27"/>
        <w:spacing w:line="560" w:lineRule="exact"/>
        <w:ind w:firstLine="562" w:firstLineChars="200"/>
        <w:rPr>
          <w:rStyle w:val="15"/>
          <w:rFonts w:hint="eastAsia" w:ascii="宋体" w:hAnsi="宋体" w:eastAsia="宋体" w:cs="宋体"/>
          <w:kern w:val="2"/>
          <w:sz w:val="28"/>
          <w:highlight w:val="none"/>
        </w:rPr>
      </w:pP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本单位郑重声明，根据《财政部 民政部 中国残疾人联合会关于促进残疾人就业政府采购政策的通知》（财库〔2017〕141号）的规定，本单位为符合条件的残疾人福利性单位，且本单位参加项目名称（项目编号：____）的采购活动提供本单位制造的货物（由本单位承担工程/提供服务），或者提供其他残疾人福利性单位制造的货物（不包括使用非残疾人福利性单位注册商标的货物）。</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本单位对上述声明的真实性负责。如有虚假，将依法承担相应责任。</w:t>
      </w:r>
    </w:p>
    <w:p>
      <w:pPr>
        <w:pStyle w:val="110"/>
        <w:snapToGrid w:val="0"/>
        <w:spacing w:line="560" w:lineRule="exact"/>
        <w:rPr>
          <w:rStyle w:val="15"/>
          <w:rFonts w:hint="eastAsia" w:ascii="宋体" w:hAnsi="宋体" w:eastAsia="宋体" w:cs="宋体"/>
          <w:sz w:val="28"/>
          <w:szCs w:val="21"/>
          <w:highlight w:val="none"/>
        </w:rPr>
      </w:pPr>
    </w:p>
    <w:p>
      <w:pPr>
        <w:spacing w:line="560" w:lineRule="exact"/>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cs="宋体"/>
          <w:sz w:val="22"/>
          <w:szCs w:val="22"/>
          <w:highlight w:val="none"/>
          <w:lang w:val="en-US" w:eastAsia="zh-CN"/>
        </w:rPr>
        <w:t xml:space="preserve">                            </w:t>
      </w: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（加盖单位公章）</w:t>
      </w:r>
    </w:p>
    <w:p>
      <w:pPr>
        <w:spacing w:line="560" w:lineRule="exact"/>
        <w:ind w:firstLine="440" w:firstLineChars="200"/>
        <w:jc w:val="center"/>
        <w:outlineLvl w:val="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w:t>
      </w:r>
      <w:bookmarkStart w:id="29" w:name="_Toc13119"/>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bookmarkEnd w:id="29"/>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备注：根据《财政部 民政部 中国残疾人联合会关于促进残疾人就业政府采购政策的通知》（财库〔2017〕141号）的规定：</w:t>
      </w:r>
    </w:p>
    <w:p>
      <w:pPr>
        <w:spacing w:line="560" w:lineRule="exact"/>
        <w:ind w:firstLine="440" w:firstLineChars="200"/>
        <w:jc w:val="left"/>
        <w:outlineLvl w:val="0"/>
        <w:rPr>
          <w:rStyle w:val="15"/>
          <w:rFonts w:hint="eastAsia" w:ascii="宋体" w:hAnsi="宋体" w:eastAsia="宋体" w:cs="宋体"/>
          <w:sz w:val="22"/>
          <w:szCs w:val="22"/>
          <w:highlight w:val="none"/>
        </w:rPr>
      </w:pPr>
      <w:bookmarkStart w:id="30" w:name="_Toc15770"/>
      <w:r>
        <w:rPr>
          <w:rStyle w:val="15"/>
          <w:rFonts w:hint="eastAsia" w:ascii="宋体" w:hAnsi="宋体" w:eastAsia="宋体" w:cs="宋体"/>
          <w:sz w:val="22"/>
          <w:szCs w:val="22"/>
          <w:highlight w:val="none"/>
        </w:rPr>
        <w:t>一、享受政府采购支持政策的残疾人福利性单位应当同时满足以下条件：</w:t>
      </w:r>
      <w:bookmarkEnd w:id="30"/>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（一）安置的残疾人占本单位在职职工人数的比例不低于25%（含25%），并且安置的残疾人人数不少于10人（含10人）；</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（二）依法与安置的每位残疾人签订了一年以上（含一年）的劳动合同或服务协议；</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（三）为安置的每位残疾人按月足额缴纳了基本养老保险、基本医疗保险、失业保险、工伤保险和生育保险等社会保险费；</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（四）通过银行等金融机构向安置的每位残疾人，按月支付了不低于单位所在区县适用的经省级人民政府批准的月最低工资标准的工资；</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（五）提供本单位制造的货物、承担的工程或者服务（以下简称产品），或者提供其他残疾人福利性单位制造的货物（不包括使用非残疾人福利性单位注册商标的货物）。</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numPr>
          <w:ilvl w:val="0"/>
          <w:numId w:val="15"/>
        </w:num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成交、成交供应商为残疾人福利性单位的，采购人或者其委托的采购代理机构应当随成交、成交结果同时公告其《残疾人福利性单位声明函》，接受社会监督。</w:t>
      </w: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jc w:val="center"/>
        <w:rPr>
          <w:rStyle w:val="90"/>
          <w:rFonts w:hint="eastAsia" w:ascii="宋体" w:hAnsi="宋体" w:eastAsia="宋体" w:cs="宋体"/>
          <w:bCs/>
          <w:sz w:val="28"/>
          <w:szCs w:val="32"/>
          <w:highlight w:val="none"/>
        </w:rPr>
      </w:pPr>
      <w:r>
        <w:rPr>
          <w:rStyle w:val="90"/>
          <w:rFonts w:hint="eastAsia" w:ascii="宋体" w:hAnsi="宋体" w:eastAsia="宋体" w:cs="宋体"/>
          <w:bCs/>
          <w:sz w:val="28"/>
          <w:szCs w:val="32"/>
          <w:highlight w:val="none"/>
        </w:rPr>
        <w:t>3、监狱企业证明函（若是）</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监狱企业参加政府采购活动时，应当提供由省级以上监狱管理局、戒毒管理局（含新疆生产建设兵团）出具的属于监狱企业的证明文件。</w:t>
      </w:r>
    </w:p>
    <w:p>
      <w:pPr>
        <w:pStyle w:val="110"/>
        <w:snapToGrid w:val="0"/>
        <w:spacing w:line="560" w:lineRule="exact"/>
        <w:rPr>
          <w:rStyle w:val="15"/>
          <w:rFonts w:hint="eastAsia" w:ascii="宋体" w:hAnsi="宋体" w:eastAsia="宋体" w:cs="宋体"/>
          <w:highlight w:val="none"/>
        </w:rPr>
      </w:pPr>
    </w:p>
    <w:p>
      <w:pPr>
        <w:pStyle w:val="28"/>
        <w:snapToGrid w:val="0"/>
        <w:rPr>
          <w:rStyle w:val="15"/>
          <w:rFonts w:hint="eastAsia" w:ascii="宋体" w:hAnsi="宋体" w:eastAsia="宋体" w:cs="宋体"/>
          <w:sz w:val="20"/>
          <w:highlight w:val="none"/>
        </w:rPr>
      </w:pPr>
    </w:p>
    <w:p>
      <w:pPr>
        <w:pStyle w:val="28"/>
        <w:snapToGrid w:val="0"/>
        <w:rPr>
          <w:rStyle w:val="15"/>
          <w:rFonts w:hint="eastAsia" w:ascii="宋体" w:hAnsi="宋体" w:eastAsia="宋体" w:cs="宋体"/>
          <w:sz w:val="20"/>
          <w:highlight w:val="none"/>
        </w:rPr>
      </w:pPr>
    </w:p>
    <w:p>
      <w:pPr>
        <w:pStyle w:val="28"/>
        <w:snapToGrid w:val="0"/>
        <w:rPr>
          <w:rStyle w:val="15"/>
          <w:rFonts w:hint="eastAsia" w:ascii="宋体" w:hAnsi="宋体" w:eastAsia="宋体" w:cs="宋体"/>
          <w:sz w:val="20"/>
          <w:highlight w:val="none"/>
        </w:rPr>
      </w:pPr>
    </w:p>
    <w:p>
      <w:pPr>
        <w:pStyle w:val="28"/>
        <w:snapToGrid w:val="0"/>
        <w:rPr>
          <w:rStyle w:val="15"/>
          <w:rFonts w:hint="eastAsia" w:ascii="宋体" w:hAnsi="宋体" w:eastAsia="宋体" w:cs="宋体"/>
          <w:sz w:val="20"/>
          <w:highlight w:val="none"/>
        </w:rPr>
      </w:pPr>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4、规格、技术参数偏离表</w:t>
      </w:r>
    </w:p>
    <w:p>
      <w:pPr>
        <w:spacing w:line="400" w:lineRule="atLeast"/>
        <w:ind w:firstLine="210" w:firstLineChars="100"/>
        <w:rPr>
          <w:rStyle w:val="15"/>
          <w:rFonts w:hint="eastAsia" w:ascii="宋体" w:hAnsi="宋体" w:eastAsia="宋体" w:cs="宋体"/>
          <w:sz w:val="21"/>
          <w:highlight w:val="none"/>
        </w:rPr>
      </w:pP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供应商名称：</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 xml:space="preserve">  采购项目编号：</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 xml:space="preserve">  </w:t>
      </w:r>
    </w:p>
    <w:tbl>
      <w:tblPr>
        <w:tblStyle w:val="10"/>
        <w:tblW w:w="90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072"/>
        <w:gridCol w:w="1695"/>
        <w:gridCol w:w="2071"/>
        <w:gridCol w:w="1695"/>
        <w:gridCol w:w="15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0" w:hRule="atLeast"/>
          <w:jc w:val="center"/>
        </w:trPr>
        <w:tc>
          <w:tcPr>
            <w:tcW w:w="2072"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cs="宋体"/>
                <w:b/>
                <w:bCs/>
                <w:sz w:val="21"/>
                <w:highlight w:val="none"/>
                <w:lang w:eastAsia="zh-CN"/>
              </w:rPr>
              <w:t>货物</w:t>
            </w:r>
            <w:r>
              <w:rPr>
                <w:rStyle w:val="15"/>
                <w:rFonts w:hint="eastAsia" w:ascii="宋体" w:hAnsi="宋体" w:eastAsia="宋体" w:cs="宋体"/>
                <w:b/>
                <w:bCs/>
                <w:sz w:val="21"/>
                <w:highlight w:val="none"/>
              </w:rPr>
              <w:t>名称</w:t>
            </w:r>
          </w:p>
        </w:tc>
        <w:tc>
          <w:tcPr>
            <w:tcW w:w="1695"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招标规格</w:t>
            </w:r>
          </w:p>
        </w:tc>
        <w:tc>
          <w:tcPr>
            <w:tcW w:w="2071"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投标规格</w:t>
            </w:r>
          </w:p>
        </w:tc>
        <w:tc>
          <w:tcPr>
            <w:tcW w:w="1695"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偏离</w:t>
            </w:r>
          </w:p>
        </w:tc>
        <w:tc>
          <w:tcPr>
            <w:tcW w:w="1507"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bl>
    <w:p>
      <w:pPr>
        <w:spacing w:line="400" w:lineRule="atLeast"/>
        <w:rPr>
          <w:rStyle w:val="15"/>
          <w:rFonts w:hint="eastAsia" w:ascii="宋体" w:hAnsi="宋体" w:eastAsia="宋体" w:cs="宋体"/>
          <w:sz w:val="21"/>
          <w:highlight w:val="none"/>
        </w:rPr>
      </w:pP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注： 1、对于有偏离的（包含正、负偏离）必须具体指出技术指标项目。</w:t>
      </w: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声明：除本规格、技术偏离表所列的偏离指标外，其它所有规格、技术参数均完全响应“</w:t>
      </w:r>
      <w:r>
        <w:rPr>
          <w:rStyle w:val="15"/>
          <w:rFonts w:hint="eastAsia" w:ascii="宋体" w:hAnsi="宋体" w:cs="宋体"/>
          <w:b w:val="0"/>
          <w:bCs/>
          <w:kern w:val="3"/>
          <w:sz w:val="22"/>
          <w:szCs w:val="22"/>
          <w:highlight w:val="none"/>
          <w:lang w:eastAsia="zh-CN"/>
        </w:rPr>
        <w:t>公开招标文件</w:t>
      </w:r>
      <w:r>
        <w:rPr>
          <w:rStyle w:val="15"/>
          <w:rFonts w:hint="eastAsia" w:ascii="宋体" w:hAnsi="宋体" w:eastAsia="宋体" w:cs="宋体"/>
          <w:sz w:val="21"/>
          <w:highlight w:val="none"/>
        </w:rPr>
        <w:t>”中的要求。</w:t>
      </w:r>
    </w:p>
    <w:p>
      <w:pPr>
        <w:rPr>
          <w:rStyle w:val="15"/>
          <w:rFonts w:hint="eastAsia" w:ascii="宋体" w:hAnsi="宋体" w:eastAsia="宋体" w:cs="宋体"/>
          <w:sz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spacing w:line="500" w:lineRule="exact"/>
        <w:ind w:firstLine="420" w:firstLineChars="200"/>
        <w:jc w:val="center"/>
        <w:outlineLvl w:val="0"/>
        <w:rPr>
          <w:rStyle w:val="15"/>
          <w:rFonts w:hint="eastAsia" w:ascii="宋体" w:hAnsi="宋体" w:eastAsia="宋体" w:cs="宋体"/>
          <w:sz w:val="21"/>
          <w:highlight w:val="none"/>
          <w:u w:val="single"/>
        </w:rPr>
      </w:pPr>
      <w:r>
        <w:rPr>
          <w:rStyle w:val="15"/>
          <w:rFonts w:hint="eastAsia" w:ascii="宋体" w:hAnsi="宋体" w:eastAsia="宋体" w:cs="宋体"/>
          <w:sz w:val="21"/>
          <w:highlight w:val="none"/>
        </w:rPr>
        <w:t xml:space="preserve">                           </w:t>
      </w:r>
      <w:bookmarkStart w:id="31" w:name="_Toc21654"/>
      <w:r>
        <w:rPr>
          <w:rStyle w:val="15"/>
          <w:rFonts w:hint="eastAsia" w:ascii="宋体" w:hAnsi="宋体" w:eastAsia="宋体" w:cs="宋体"/>
          <w:sz w:val="21"/>
          <w:highlight w:val="none"/>
        </w:rPr>
        <w:t>供应商：</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（盖单位公章）</w:t>
      </w:r>
      <w:bookmarkEnd w:id="31"/>
    </w:p>
    <w:p>
      <w:pPr>
        <w:spacing w:line="500" w:lineRule="exact"/>
        <w:ind w:firstLine="420" w:firstLineChars="200"/>
        <w:jc w:val="center"/>
        <w:outlineLvl w:val="0"/>
        <w:rPr>
          <w:rStyle w:val="15"/>
          <w:rFonts w:hint="eastAsia" w:ascii="宋体" w:hAnsi="宋体" w:eastAsia="宋体" w:cs="宋体"/>
          <w:sz w:val="21"/>
          <w:highlight w:val="none"/>
        </w:rPr>
      </w:pPr>
      <w:r>
        <w:rPr>
          <w:rStyle w:val="15"/>
          <w:rFonts w:hint="eastAsia" w:ascii="宋体" w:hAnsi="宋体" w:eastAsia="宋体" w:cs="宋体"/>
          <w:sz w:val="21"/>
          <w:highlight w:val="none"/>
        </w:rPr>
        <w:t xml:space="preserve">                          </w:t>
      </w:r>
      <w:bookmarkStart w:id="32" w:name="_Toc1575"/>
      <w:r>
        <w:rPr>
          <w:rStyle w:val="15"/>
          <w:rFonts w:hint="eastAsia" w:ascii="宋体" w:hAnsi="宋体" w:eastAsia="宋体" w:cs="宋体"/>
          <w:sz w:val="21"/>
          <w:highlight w:val="none"/>
        </w:rPr>
        <w:t>日  期：</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年</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月</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日</w:t>
      </w:r>
      <w:bookmarkEnd w:id="32"/>
    </w:p>
    <w:p>
      <w:pPr>
        <w:pStyle w:val="110"/>
        <w:snapToGrid w:val="0"/>
        <w:rPr>
          <w:rStyle w:val="15"/>
          <w:rFonts w:hint="eastAsia" w:ascii="宋体" w:hAnsi="宋体" w:eastAsia="宋体" w:cs="宋体"/>
          <w:b/>
          <w:sz w:val="21"/>
          <w:szCs w:val="21"/>
          <w:highlight w:val="none"/>
        </w:rPr>
      </w:pPr>
    </w:p>
    <w:p>
      <w:pPr>
        <w:rPr>
          <w:rStyle w:val="15"/>
          <w:rFonts w:hint="eastAsia" w:ascii="宋体" w:hAnsi="宋体" w:eastAsia="宋体" w:cs="宋体"/>
          <w:b/>
          <w:bCs/>
          <w:sz w:val="21"/>
          <w:highlight w:val="none"/>
        </w:rPr>
      </w:pPr>
    </w:p>
    <w:p>
      <w:pPr>
        <w:spacing w:before="312" w:after="312"/>
        <w:jc w:val="center"/>
        <w:rPr>
          <w:rStyle w:val="15"/>
          <w:rFonts w:hint="eastAsia" w:ascii="宋体" w:hAnsi="宋体" w:eastAsia="宋体" w:cs="宋体"/>
          <w:b/>
          <w:sz w:val="28"/>
          <w:szCs w:val="28"/>
          <w:highlight w:val="none"/>
        </w:rPr>
      </w:pPr>
    </w:p>
    <w:p>
      <w:pPr>
        <w:spacing w:before="312" w:after="312"/>
        <w:jc w:val="center"/>
        <w:rPr>
          <w:rStyle w:val="15"/>
          <w:rFonts w:hint="eastAsia" w:ascii="宋体" w:hAnsi="宋体" w:eastAsia="宋体" w:cs="宋体"/>
          <w:b/>
          <w:sz w:val="28"/>
          <w:szCs w:val="28"/>
          <w:highlight w:val="none"/>
        </w:rPr>
      </w:pPr>
    </w:p>
    <w:p>
      <w:pPr>
        <w:spacing w:before="312" w:after="312"/>
        <w:ind w:firstLine="562" w:firstLineChars="200"/>
        <w:jc w:val="center"/>
        <w:rPr>
          <w:rStyle w:val="15"/>
          <w:rFonts w:hint="eastAsia" w:ascii="宋体" w:hAnsi="宋体" w:eastAsia="宋体" w:cs="宋体"/>
          <w:b/>
          <w:sz w:val="28"/>
          <w:szCs w:val="28"/>
          <w:highlight w:val="none"/>
        </w:rPr>
      </w:pPr>
      <w:r>
        <w:rPr>
          <w:rStyle w:val="15"/>
          <w:rFonts w:hint="eastAsia" w:ascii="宋体" w:hAnsi="宋体" w:eastAsia="宋体" w:cs="宋体"/>
          <w:b/>
          <w:sz w:val="28"/>
          <w:szCs w:val="28"/>
          <w:highlight w:val="none"/>
        </w:rPr>
        <w:t>5、具有履行本合同所必需的设备和专业技术能力的承诺函</w:t>
      </w:r>
    </w:p>
    <w:p>
      <w:pPr>
        <w:spacing w:line="460" w:lineRule="exact"/>
        <w:ind w:firstLine="440" w:firstLineChars="200"/>
        <w:jc w:val="left"/>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项目名称：</w:t>
      </w:r>
      <w:r>
        <w:rPr>
          <w:rStyle w:val="15"/>
          <w:rFonts w:hint="eastAsia" w:ascii="宋体" w:hAnsi="宋体" w:eastAsia="宋体" w:cs="宋体"/>
          <w:kern w:val="0"/>
          <w:sz w:val="22"/>
          <w:szCs w:val="22"/>
          <w:highlight w:val="none"/>
          <w:u w:val="single"/>
        </w:rPr>
        <w:t xml:space="preserve">              </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项目编号：</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 </w:t>
      </w:r>
    </w:p>
    <w:p>
      <w:pPr>
        <w:spacing w:line="480" w:lineRule="exact"/>
        <w:ind w:firstLine="440" w:firstLineChars="200"/>
        <w:jc w:val="left"/>
        <w:rPr>
          <w:rStyle w:val="15"/>
          <w:rFonts w:hint="eastAsia" w:ascii="宋体" w:hAnsi="宋体" w:eastAsia="宋体" w:cs="宋体"/>
          <w:kern w:val="0"/>
          <w:sz w:val="22"/>
          <w:szCs w:val="22"/>
          <w:highlight w:val="none"/>
          <w:lang w:eastAsia="zh-CN"/>
        </w:rPr>
      </w:pPr>
      <w:r>
        <w:rPr>
          <w:rStyle w:val="15"/>
          <w:rFonts w:hint="eastAsia" w:ascii="宋体" w:hAnsi="宋体" w:eastAsia="宋体" w:cs="宋体"/>
          <w:kern w:val="0"/>
          <w:sz w:val="22"/>
          <w:szCs w:val="22"/>
          <w:highlight w:val="none"/>
        </w:rPr>
        <w:t xml:space="preserve">致：  </w:t>
      </w:r>
      <w:r>
        <w:rPr>
          <w:rStyle w:val="15"/>
          <w:rFonts w:hint="eastAsia" w:ascii="宋体" w:hAnsi="宋体" w:eastAsia="宋体" w:cs="宋体"/>
          <w:kern w:val="0"/>
          <w:sz w:val="22"/>
          <w:szCs w:val="22"/>
          <w:highlight w:val="none"/>
          <w:lang w:eastAsia="zh-CN"/>
        </w:rPr>
        <w:t>彬州市机关事务服务中心</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u w:val="single"/>
        </w:rPr>
        <w:t xml:space="preserve">             （投标人名称）</w:t>
      </w:r>
      <w:r>
        <w:rPr>
          <w:rStyle w:val="15"/>
          <w:rFonts w:hint="eastAsia" w:ascii="宋体" w:hAnsi="宋体" w:eastAsia="宋体" w:cs="宋体"/>
          <w:kern w:val="0"/>
          <w:sz w:val="22"/>
          <w:szCs w:val="22"/>
          <w:highlight w:val="none"/>
        </w:rPr>
        <w:t>郑重声明，我公司具有履行合同所必需的设备和专业技术能力，在合同签订前后随时愿意提供相关证明材料，符合法律法规规定的资格条件。我方对以上声明负全部法律责任。</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特此声明。</w:t>
      </w:r>
    </w:p>
    <w:p>
      <w:pPr>
        <w:spacing w:line="48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（盖单位公章）</w:t>
      </w:r>
    </w:p>
    <w:p>
      <w:pPr>
        <w:spacing w:before="312" w:after="312" w:line="480" w:lineRule="exact"/>
        <w:ind w:firstLine="440" w:firstLineChars="200"/>
        <w:rPr>
          <w:rStyle w:val="15"/>
          <w:rFonts w:hint="eastAsia" w:ascii="宋体" w:hAnsi="宋体" w:eastAsia="宋体" w:cs="宋体"/>
          <w:bCs/>
          <w:sz w:val="22"/>
          <w:szCs w:val="22"/>
          <w:highlight w:val="none"/>
        </w:rPr>
      </w:pPr>
      <w:r>
        <w:rPr>
          <w:rStyle w:val="15"/>
          <w:rFonts w:hint="eastAsia" w:ascii="宋体" w:hAnsi="宋体" w:eastAsia="宋体" w:cs="宋体"/>
          <w:sz w:val="22"/>
          <w:szCs w:val="22"/>
          <w:highlight w:val="none"/>
        </w:rPr>
        <w:t>法定代表人或委托代理人：</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（签字或盖章）</w:t>
      </w:r>
    </w:p>
    <w:p>
      <w:pPr>
        <w:spacing w:line="480" w:lineRule="exact"/>
        <w:ind w:right="504"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月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numPr>
          <w:ilvl w:val="0"/>
          <w:numId w:val="0"/>
        </w:numPr>
        <w:adjustRightInd w:val="0"/>
        <w:snapToGrid w:val="0"/>
        <w:spacing w:line="396" w:lineRule="auto"/>
        <w:outlineLvl w:val="1"/>
        <w:rPr>
          <w:rStyle w:val="15"/>
          <w:rFonts w:hint="eastAsia" w:ascii="宋体" w:hAnsi="宋体" w:eastAsia="宋体" w:cs="宋体"/>
          <w:b/>
          <w:bCs/>
          <w:kern w:val="0"/>
          <w:sz w:val="22"/>
          <w:szCs w:val="22"/>
          <w:highlight w:val="none"/>
          <w:lang w:val="en-US" w:eastAsia="zh-CN"/>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pStyle w:val="110"/>
        <w:snapToGrid w:val="0"/>
        <w:rPr>
          <w:rStyle w:val="15"/>
          <w:rFonts w:hint="eastAsia" w:ascii="宋体" w:hAnsi="宋体" w:eastAsia="宋体" w:cs="宋体"/>
          <w:b/>
          <w:sz w:val="21"/>
          <w:szCs w:val="21"/>
          <w:highlight w:val="none"/>
        </w:rPr>
      </w:pPr>
    </w:p>
    <w:sectPr>
      <w:footerReference r:id="rId15" w:type="default"/>
      <w:pgSz w:w="11906" w:h="16838"/>
      <w:pgMar w:top="1417" w:right="1417" w:bottom="1417" w:left="1417" w:header="851" w:footer="992" w:gutter="0"/>
      <w:pgNumType w:fmt="decimal"/>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pperplate Gothic Bold">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modern"/>
    <w:pitch w:val="default"/>
    <w:sig w:usb0="E10002FF" w:usb1="4000FCFF" w:usb2="00000009" w:usb3="00000000" w:csb0="600001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30" o:spid="_x0000_s1026"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97uOX0gAAAAUBAAAPAAAAAAAAAAEAIAAAACIAAABkcnMvZG93bnJldi54bWxQ&#10;SwECFAAUAAAACACHTuJAonSKYcQBAACOAwAADgAAAAAAAAABACAAAAAhAQAAZHJzL2Uyb0RvYy54&#10;bWxQSwUGAAAAAAYABgBZAQAAVwU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87" w:line="119" w:lineRule="exact"/>
      <w:ind w:firstLine="4722"/>
      <w:rPr>
        <w:rFonts w:ascii="Calibri" w:hAnsi="Calibri" w:eastAsia="Calibri" w:cs="Calibri"/>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87" w:line="118" w:lineRule="exact"/>
      <w:ind w:firstLine="4322"/>
      <w:rPr>
        <w:rFonts w:ascii="Calibri" w:hAnsi="Calibri" w:eastAsia="Calibri" w:cs="Calibri"/>
        <w:sz w:val="18"/>
        <w:szCs w:val="18"/>
      </w:rPr>
    </w:pPr>
    <w:r>
      <w:rPr>
        <w:sz w:val="21"/>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23</w:t>
                    </w:r>
                    <w:r>
                      <w:fldChar w:fldCharType="end"/>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margin">
                <wp:posOffset>2673985</wp:posOffset>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0.55pt;margin-top:0pt;height:144pt;width:144pt;mso-position-horizontal-relative:margin;mso-wrap-style:none;z-index:251664384;mso-width-relative:page;mso-height-relative:page;" filled="f" stroked="f" coordsize="21600,21600" o:gfxdata="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1MW1rVAAAACAEAAA8AAAAAAAAAAQAgAAAAIgAAAGRycy9kb3ducmV2LnhtbFBL&#10;AQIUABQAAAAIAIdO4kCk+9p2MgIAAGMEAAAOAAAAAAAAAAEAIAAAACQBAABkcnMvZTJvRG9jLnht&#10;bFBLBQYAAAAABgAGAFkBAADIBQAAAAA=&#10;">
              <v:fill on="f" focussize="0,0"/>
              <v:stroke on="f" weight="0.5pt"/>
              <v:imagedata o:title=""/>
              <o:lock v:ext="edit" aspectratio="f"/>
              <v:textbox inset="0mm,0mm,0mm,0mm" style="mso-fit-shape-to-text:t;">
                <w:txbxContent>
                  <w:p>
                    <w:pPr>
                      <w:pStyle w:val="6"/>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32" o:spid="_x0000_s1026" o:spt="202" type="#_x0000_t202" style="position:absolute;left:0pt;margin-top:0pt;height:144pt;width:144pt;mso-position-horizontal:center;mso-position-horizontal-relative:margin;z-index:251663360;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7jl9IAAAAFAQAADwAAAAAAAAABACAAAAAiAAAAZHJzL2Rvd25yZXYueG1s&#10;UEsBAhQAFAAAAAgAh07iQGRewPTFAQAAjgMAAA4AAAAAAAAAAQAgAAAAIQEAAGRycy9lMm9Eb2Mu&#10;eG1sUEsFBgAAAAAGAAYAWQEAAFgFA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33</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26"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7jl9IAAAAFAQAADwAAAAAAAAABACAAAAAiAAAAZHJzL2Rvd25yZXYueG1s&#10;UEsBAhQAFAAAAAgAh07iQM2tVh/FAQAAjgMAAA4AAAAAAAAAAQAgAAAAIQEAAGRycy9lMm9Eb2Mu&#10;eG1sUEsFBgAAAAAGAAYAWQEAAFgFA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23" w:lineRule="atLeast"/>
      <w:ind w:right="-290"/>
      <w:rPr>
        <w:rStyle w:val="15"/>
        <w:rFonts w:ascii="仿宋" w:hAnsi="仿宋" w:eastAsia="仿宋"/>
        <w:iCs/>
        <w:kern w:val="0"/>
        <w:sz w:val="15"/>
        <w:szCs w:val="15"/>
        <w:u w:val="single"/>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spacing w:line="360" w:lineRule="auto"/>
                            <w:ind w:right="4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snapToGrid w:val="0"/>
                      <w:spacing w:line="360" w:lineRule="auto"/>
                      <w:ind w:right="45"/>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仿宋"/>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仿宋"/>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仿宋"/>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仿宋"/>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仿宋"/>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AA323"/>
    <w:multiLevelType w:val="singleLevel"/>
    <w:tmpl w:val="BAFAA323"/>
    <w:lvl w:ilvl="0" w:tentative="0">
      <w:start w:val="3"/>
      <w:numFmt w:val="chineseCounting"/>
      <w:suff w:val="space"/>
      <w:lvlText w:val="第%1章"/>
      <w:lvlJc w:val="left"/>
      <w:rPr>
        <w:rFonts w:hint="eastAsia" w:cs="Times New Roman"/>
      </w:rPr>
    </w:lvl>
  </w:abstractNum>
  <w:abstractNum w:abstractNumId="1">
    <w:nsid w:val="CD01DE73"/>
    <w:multiLevelType w:val="singleLevel"/>
    <w:tmpl w:val="CD01DE73"/>
    <w:lvl w:ilvl="0" w:tentative="0">
      <w:start w:val="2"/>
      <w:numFmt w:val="decimal"/>
      <w:suff w:val="nothing"/>
      <w:lvlText w:val="（%1）"/>
      <w:lvlJc w:val="left"/>
      <w:rPr>
        <w:rFonts w:cs="Times New Roman"/>
      </w:rPr>
    </w:lvl>
  </w:abstractNum>
  <w:abstractNum w:abstractNumId="2">
    <w:nsid w:val="0148579C"/>
    <w:multiLevelType w:val="multilevel"/>
    <w:tmpl w:val="0148579C"/>
    <w:lvl w:ilvl="0" w:tentative="0">
      <w:start w:val="1"/>
      <w:numFmt w:val="decimal"/>
      <w:suff w:val="nothing"/>
      <w:lvlText w:val="（%1）"/>
      <w:lvlJc w:val="left"/>
      <w:pPr>
        <w:ind w:left="-20"/>
      </w:pPr>
      <w:rPr>
        <w:rFonts w:cs="Times New Roman"/>
      </w:rPr>
    </w:lvl>
    <w:lvl w:ilvl="1" w:tentative="0">
      <w:start w:val="1"/>
      <w:numFmt w:val="lowerLetter"/>
      <w:lvlText w:val="%1)"/>
      <w:lvlJc w:val="left"/>
      <w:pPr>
        <w:ind w:left="840" w:hanging="420"/>
      </w:pPr>
      <w:rPr>
        <w:rFonts w:cs="Times New Roman"/>
      </w:rPr>
    </w:lvl>
    <w:lvl w:ilvl="2" w:tentative="0">
      <w:start w:val="1"/>
      <w:numFmt w:val="lowerRoman"/>
      <w:lvlText w:val="%1."/>
      <w:lvlJc w:val="right"/>
      <w:pPr>
        <w:ind w:left="1260" w:hanging="420"/>
      </w:pPr>
      <w:rPr>
        <w:rFonts w:cs="Times New Roman"/>
      </w:rPr>
    </w:lvl>
    <w:lvl w:ilvl="3" w:tentative="0">
      <w:start w:val="1"/>
      <w:numFmt w:val="decimal"/>
      <w:lvlText w:val="%1."/>
      <w:lvlJc w:val="left"/>
      <w:pPr>
        <w:ind w:left="1680" w:hanging="420"/>
      </w:pPr>
      <w:rPr>
        <w:rFonts w:cs="Times New Roman"/>
      </w:rPr>
    </w:lvl>
    <w:lvl w:ilvl="4" w:tentative="0">
      <w:start w:val="1"/>
      <w:numFmt w:val="lowerLetter"/>
      <w:lvlText w:val="%1)"/>
      <w:lvlJc w:val="left"/>
      <w:pPr>
        <w:ind w:left="2100" w:hanging="420"/>
      </w:pPr>
      <w:rPr>
        <w:rFonts w:cs="Times New Roman"/>
      </w:rPr>
    </w:lvl>
    <w:lvl w:ilvl="5" w:tentative="0">
      <w:start w:val="1"/>
      <w:numFmt w:val="lowerRoman"/>
      <w:lvlText w:val="%1."/>
      <w:lvlJc w:val="right"/>
      <w:pPr>
        <w:ind w:left="2520" w:hanging="420"/>
      </w:pPr>
      <w:rPr>
        <w:rFonts w:cs="Times New Roman"/>
      </w:rPr>
    </w:lvl>
    <w:lvl w:ilvl="6" w:tentative="0">
      <w:start w:val="1"/>
      <w:numFmt w:val="decimal"/>
      <w:lvlText w:val="%1."/>
      <w:lvlJc w:val="left"/>
      <w:pPr>
        <w:ind w:left="2940" w:hanging="420"/>
      </w:pPr>
      <w:rPr>
        <w:rFonts w:cs="Times New Roman"/>
      </w:rPr>
    </w:lvl>
    <w:lvl w:ilvl="7" w:tentative="0">
      <w:start w:val="1"/>
      <w:numFmt w:val="lowerLetter"/>
      <w:lvlText w:val="%1)"/>
      <w:lvlJc w:val="left"/>
      <w:pPr>
        <w:ind w:left="3360" w:hanging="420"/>
      </w:pPr>
      <w:rPr>
        <w:rFonts w:cs="Times New Roman"/>
      </w:rPr>
    </w:lvl>
    <w:lvl w:ilvl="8" w:tentative="0">
      <w:start w:val="1"/>
      <w:numFmt w:val="lowerRoman"/>
      <w:lvlText w:val="%1."/>
      <w:lvlJc w:val="right"/>
      <w:pPr>
        <w:ind w:left="3780" w:hanging="420"/>
      </w:pPr>
      <w:rPr>
        <w:rFonts w:cs="Times New Roman"/>
      </w:rPr>
    </w:lvl>
  </w:abstractNum>
  <w:abstractNum w:abstractNumId="3">
    <w:nsid w:val="03B8B9CB"/>
    <w:multiLevelType w:val="singleLevel"/>
    <w:tmpl w:val="03B8B9CB"/>
    <w:lvl w:ilvl="0" w:tentative="0">
      <w:start w:val="1"/>
      <w:numFmt w:val="chineseCounting"/>
      <w:suff w:val="space"/>
      <w:lvlText w:val="第%1章"/>
      <w:lvlJc w:val="left"/>
      <w:rPr>
        <w:rFonts w:hint="eastAsia"/>
      </w:rPr>
    </w:lvl>
  </w:abstractNum>
  <w:abstractNum w:abstractNumId="4">
    <w:nsid w:val="1DC990F9"/>
    <w:multiLevelType w:val="singleLevel"/>
    <w:tmpl w:val="1DC990F9"/>
    <w:lvl w:ilvl="0" w:tentative="0">
      <w:start w:val="2"/>
      <w:numFmt w:val="chineseCounting"/>
      <w:suff w:val="nothing"/>
      <w:lvlText w:val="%1、"/>
      <w:lvlJc w:val="left"/>
      <w:rPr>
        <w:rFonts w:cs="Times New Roman"/>
      </w:rPr>
    </w:lvl>
  </w:abstractNum>
  <w:abstractNum w:abstractNumId="5">
    <w:nsid w:val="273FAB19"/>
    <w:multiLevelType w:val="singleLevel"/>
    <w:tmpl w:val="273FAB19"/>
    <w:lvl w:ilvl="0" w:tentative="0">
      <w:start w:val="12"/>
      <w:numFmt w:val="decimal"/>
      <w:suff w:val="nothing"/>
      <w:lvlText w:val="%1、"/>
      <w:lvlJc w:val="left"/>
      <w:rPr>
        <w:rFonts w:cs="Times New Roman"/>
      </w:rPr>
    </w:lvl>
  </w:abstractNum>
  <w:abstractNum w:abstractNumId="6">
    <w:nsid w:val="2F000001"/>
    <w:multiLevelType w:val="multilevel"/>
    <w:tmpl w:val="2F000001"/>
    <w:lvl w:ilvl="0" w:tentative="0">
      <w:start w:val="1"/>
      <w:numFmt w:val="japaneseCounting"/>
      <w:pStyle w:val="9"/>
      <w:suff w:val="nothing"/>
      <w:lvlText w:val="第%1部分"/>
      <w:lvlJc w:val="center"/>
      <w:rPr>
        <w:rFonts w:ascii="宋体" w:hAnsi="宋体" w:eastAsia="黑体" w:cs="Times New Roman"/>
        <w:b/>
        <w:sz w:val="36"/>
        <w:szCs w:val="36"/>
      </w:rPr>
    </w:lvl>
    <w:lvl w:ilvl="1" w:tentative="0">
      <w:start w:val="1"/>
      <w:numFmt w:val="japaneseCounting"/>
      <w:suff w:val="nothing"/>
      <w:lvlText w:val="%1、"/>
      <w:lvlJc w:val="left"/>
      <w:rPr>
        <w:rFonts w:ascii="宋体" w:hAnsi="宋体" w:eastAsia="宋体" w:cs="Times New Roman"/>
        <w:b/>
        <w:sz w:val="30"/>
        <w:szCs w:val="30"/>
      </w:rPr>
    </w:lvl>
    <w:lvl w:ilvl="2" w:tentative="0">
      <w:start w:val="1"/>
      <w:numFmt w:val="decimal"/>
      <w:suff w:val="nothing"/>
      <w:lvlText w:val="%1、"/>
      <w:lvlJc w:val="left"/>
      <w:pPr>
        <w:ind w:left="226"/>
      </w:pPr>
      <w:rPr>
        <w:rFonts w:ascii="宋体" w:hAnsi="宋体" w:eastAsia="宋体" w:cs="Times New Roman"/>
        <w:b/>
        <w:sz w:val="32"/>
        <w:szCs w:val="32"/>
      </w:rPr>
    </w:lvl>
    <w:lvl w:ilvl="3" w:tentative="0">
      <w:start w:val="1"/>
      <w:numFmt w:val="decimal"/>
      <w:suff w:val="nothing"/>
      <w:lvlText w:val="（%1）."/>
      <w:lvlJc w:val="left"/>
      <w:pPr>
        <w:ind w:left="339"/>
      </w:pPr>
      <w:rPr>
        <w:rFonts w:ascii="宋体" w:hAnsi="宋体" w:eastAsia="宋体" w:cs="Times New Roman"/>
        <w:b/>
        <w:sz w:val="20"/>
        <w:szCs w:val="20"/>
      </w:rPr>
    </w:lvl>
    <w:lvl w:ilvl="4" w:tentative="0">
      <w:start w:val="1"/>
      <w:numFmt w:val="upperLetter"/>
      <w:suff w:val="nothing"/>
      <w:lvlText w:val="%1."/>
      <w:lvlJc w:val="left"/>
      <w:pPr>
        <w:ind w:left="452"/>
      </w:pPr>
      <w:rPr>
        <w:rFonts w:ascii="宋体" w:hAnsi="宋体" w:eastAsia="宋体" w:cs="Times New Roman"/>
        <w:b/>
        <w:sz w:val="28"/>
        <w:szCs w:val="28"/>
      </w:rPr>
    </w:lvl>
    <w:lvl w:ilvl="5" w:tentative="0">
      <w:start w:val="1"/>
      <w:numFmt w:val="decimal"/>
      <w:lvlText w:val="%1.%2.%3.%4.%5.%6"/>
      <w:lvlJc w:val="left"/>
      <w:pPr>
        <w:ind w:left="565"/>
      </w:pPr>
      <w:rPr>
        <w:rFonts w:cs="Times New Roman"/>
        <w:sz w:val="20"/>
        <w:szCs w:val="20"/>
      </w:rPr>
    </w:lvl>
    <w:lvl w:ilvl="6" w:tentative="0">
      <w:start w:val="1"/>
      <w:numFmt w:val="decimal"/>
      <w:lvlText w:val="%1.%2.%3.%4.%5.%6.%7"/>
      <w:lvlJc w:val="left"/>
      <w:pPr>
        <w:ind w:left="678"/>
      </w:pPr>
      <w:rPr>
        <w:rFonts w:cs="Times New Roman"/>
        <w:sz w:val="20"/>
        <w:szCs w:val="20"/>
      </w:rPr>
    </w:lvl>
    <w:lvl w:ilvl="7" w:tentative="0">
      <w:start w:val="1"/>
      <w:numFmt w:val="decimal"/>
      <w:lvlText w:val="%1.%2.%3.%4.%5.%6.%7.%8"/>
      <w:lvlJc w:val="left"/>
      <w:pPr>
        <w:ind w:left="791"/>
      </w:pPr>
      <w:rPr>
        <w:rFonts w:cs="Times New Roman"/>
        <w:sz w:val="20"/>
        <w:szCs w:val="20"/>
      </w:rPr>
    </w:lvl>
    <w:lvl w:ilvl="8" w:tentative="0">
      <w:start w:val="1"/>
      <w:numFmt w:val="decimal"/>
      <w:lvlText w:val="%1.%2.%3.%4.%5.%6.%7.%8.%9"/>
      <w:lvlJc w:val="left"/>
      <w:pPr>
        <w:ind w:left="904"/>
      </w:pPr>
      <w:rPr>
        <w:rFonts w:cs="Times New Roman"/>
        <w:sz w:val="20"/>
        <w:szCs w:val="20"/>
      </w:rPr>
    </w:lvl>
  </w:abstractNum>
  <w:abstractNum w:abstractNumId="7">
    <w:nsid w:val="336FEA0F"/>
    <w:multiLevelType w:val="singleLevel"/>
    <w:tmpl w:val="336FEA0F"/>
    <w:lvl w:ilvl="0" w:tentative="0">
      <w:start w:val="7"/>
      <w:numFmt w:val="chineseCounting"/>
      <w:suff w:val="space"/>
      <w:lvlText w:val="第%1部分"/>
      <w:lvlJc w:val="left"/>
      <w:rPr>
        <w:rFonts w:hint="eastAsia"/>
      </w:rPr>
    </w:lvl>
  </w:abstractNum>
  <w:abstractNum w:abstractNumId="8">
    <w:nsid w:val="4B37A35F"/>
    <w:multiLevelType w:val="singleLevel"/>
    <w:tmpl w:val="4B37A35F"/>
    <w:lvl w:ilvl="0" w:tentative="0">
      <w:start w:val="1"/>
      <w:numFmt w:val="decimal"/>
      <w:suff w:val="nothing"/>
      <w:lvlText w:val="%1、"/>
      <w:lvlJc w:val="left"/>
    </w:lvl>
  </w:abstractNum>
  <w:abstractNum w:abstractNumId="9">
    <w:nsid w:val="4BD4EB23"/>
    <w:multiLevelType w:val="singleLevel"/>
    <w:tmpl w:val="4BD4EB23"/>
    <w:lvl w:ilvl="0" w:tentative="0">
      <w:start w:val="2"/>
      <w:numFmt w:val="chineseCounting"/>
      <w:suff w:val="nothing"/>
      <w:lvlText w:val="（%1）"/>
      <w:lvlJc w:val="left"/>
      <w:rPr>
        <w:rFonts w:cs="Times New Roman"/>
      </w:rPr>
    </w:lvl>
  </w:abstractNum>
  <w:abstractNum w:abstractNumId="10">
    <w:nsid w:val="55716214"/>
    <w:multiLevelType w:val="multilevel"/>
    <w:tmpl w:val="55716214"/>
    <w:lvl w:ilvl="0" w:tentative="0">
      <w:start w:val="1"/>
      <w:numFmt w:val="japaneseCounting"/>
      <w:lvlText w:val="第%1章"/>
      <w:lvlJc w:val="left"/>
      <w:pPr>
        <w:ind w:left="300" w:hanging="420"/>
      </w:pPr>
      <w:rPr>
        <w:rFonts w:ascii="黑体" w:hAnsi="Times New Roman" w:eastAsia="黑体" w:cs="Times New Roman"/>
        <w:b w:val="0"/>
        <w:sz w:val="36"/>
      </w:rPr>
    </w:lvl>
    <w:lvl w:ilvl="1" w:tentative="0">
      <w:start w:val="1"/>
      <w:numFmt w:val="decimal"/>
      <w:pStyle w:val="120"/>
      <w:lvlText w:val="%1.%2"/>
      <w:lvlJc w:val="left"/>
      <w:rPr>
        <w:rFonts w:cs="Times New Roman"/>
      </w:rPr>
    </w:lvl>
    <w:lvl w:ilvl="2" w:tentative="0">
      <w:start w:val="1"/>
      <w:numFmt w:val="decimal"/>
      <w:lvlText w:val="%1.%2.%3"/>
      <w:lvlJc w:val="left"/>
      <w:rPr>
        <w:rFonts w:cs="Times New Roman"/>
        <w:color w:val="000000"/>
      </w:rPr>
    </w:lvl>
    <w:lvl w:ilvl="3" w:tentative="0">
      <w:start w:val="1"/>
      <w:numFmt w:val="decimal"/>
      <w:lvlText w:val="%1.%2.%3.%4"/>
      <w:lvlJc w:val="left"/>
      <w:rPr>
        <w:rFonts w:cs="Times New Roman"/>
      </w:rPr>
    </w:lvl>
    <w:lvl w:ilvl="4" w:tentative="0">
      <w:start w:val="1"/>
      <w:numFmt w:val="decimal"/>
      <w:lvlText w:val="%1.%2.%3.%4.%5"/>
      <w:lvlJc w:val="left"/>
      <w:pPr>
        <w:ind w:left="4620" w:hanging="850"/>
      </w:pPr>
      <w:rPr>
        <w:rFonts w:cs="Times New Roman"/>
      </w:rPr>
    </w:lvl>
    <w:lvl w:ilvl="5" w:tentative="0">
      <w:start w:val="1"/>
      <w:numFmt w:val="decimal"/>
      <w:lvlText w:val="%1.%2.%3.%4.%5.%6"/>
      <w:lvlJc w:val="left"/>
      <w:pPr>
        <w:ind w:left="5329" w:hanging="1135"/>
      </w:pPr>
      <w:rPr>
        <w:rFonts w:cs="Times New Roman"/>
      </w:rPr>
    </w:lvl>
    <w:lvl w:ilvl="6" w:tentative="0">
      <w:start w:val="1"/>
      <w:numFmt w:val="decimal"/>
      <w:lvlText w:val="%1.%2.%3.%4.%5.%6.%7"/>
      <w:lvlJc w:val="left"/>
      <w:pPr>
        <w:ind w:left="5896" w:hanging="1276"/>
      </w:pPr>
      <w:rPr>
        <w:rFonts w:cs="Times New Roman"/>
      </w:rPr>
    </w:lvl>
    <w:lvl w:ilvl="7" w:tentative="0">
      <w:start w:val="1"/>
      <w:numFmt w:val="decimal"/>
      <w:lvlText w:val="%1.%2.%3.%4.%5.%6.%7.%8"/>
      <w:lvlJc w:val="left"/>
      <w:pPr>
        <w:ind w:left="6463" w:hanging="1418"/>
      </w:pPr>
      <w:rPr>
        <w:rFonts w:cs="Times New Roman"/>
      </w:rPr>
    </w:lvl>
    <w:lvl w:ilvl="8" w:tentative="0">
      <w:start w:val="1"/>
      <w:numFmt w:val="decimal"/>
      <w:lvlText w:val="%1.%2.%3.%4.%5.%6.%7.%8.%9"/>
      <w:lvlJc w:val="left"/>
      <w:pPr>
        <w:ind w:left="7171" w:hanging="1700"/>
      </w:pPr>
      <w:rPr>
        <w:rFonts w:cs="Times New Roman"/>
      </w:rPr>
    </w:lvl>
  </w:abstractNum>
  <w:abstractNum w:abstractNumId="11">
    <w:nsid w:val="57514DF1"/>
    <w:multiLevelType w:val="singleLevel"/>
    <w:tmpl w:val="57514DF1"/>
    <w:lvl w:ilvl="0" w:tentative="0">
      <w:start w:val="1"/>
      <w:numFmt w:val="decimal"/>
      <w:suff w:val="nothing"/>
      <w:lvlText w:val="%1、"/>
      <w:lvlJc w:val="left"/>
      <w:rPr>
        <w:rFonts w:cs="Times New Roman"/>
      </w:rPr>
    </w:lvl>
  </w:abstractNum>
  <w:abstractNum w:abstractNumId="12">
    <w:nsid w:val="59549718"/>
    <w:multiLevelType w:val="singleLevel"/>
    <w:tmpl w:val="59549718"/>
    <w:lvl w:ilvl="0" w:tentative="0">
      <w:start w:val="3"/>
      <w:numFmt w:val="decimal"/>
      <w:suff w:val="nothing"/>
      <w:lvlText w:val="%1、"/>
      <w:lvlJc w:val="left"/>
      <w:rPr>
        <w:rFonts w:cs="Times New Roman"/>
      </w:rPr>
    </w:lvl>
  </w:abstractNum>
  <w:abstractNum w:abstractNumId="13">
    <w:nsid w:val="5FB84EA0"/>
    <w:multiLevelType w:val="singleLevel"/>
    <w:tmpl w:val="5FB84EA0"/>
    <w:lvl w:ilvl="0" w:tentative="0">
      <w:start w:val="1"/>
      <w:numFmt w:val="decimal"/>
      <w:suff w:val="nothing"/>
      <w:lvlText w:val="%1、"/>
      <w:lvlJc w:val="left"/>
    </w:lvl>
  </w:abstractNum>
  <w:abstractNum w:abstractNumId="14">
    <w:nsid w:val="7188221F"/>
    <w:multiLevelType w:val="singleLevel"/>
    <w:tmpl w:val="7188221F"/>
    <w:lvl w:ilvl="0" w:tentative="0">
      <w:start w:val="1"/>
      <w:numFmt w:val="decimal"/>
      <w:suff w:val="nothing"/>
      <w:lvlText w:val="%1、"/>
      <w:lvlJc w:val="left"/>
      <w:rPr>
        <w:rFonts w:cs="Times New Roman"/>
      </w:rPr>
    </w:lvl>
  </w:abstractNum>
  <w:num w:numId="1">
    <w:abstractNumId w:val="6"/>
  </w:num>
  <w:num w:numId="2">
    <w:abstractNumId w:val="10"/>
  </w:num>
  <w:num w:numId="3">
    <w:abstractNumId w:val="3"/>
  </w:num>
  <w:num w:numId="4">
    <w:abstractNumId w:val="13"/>
  </w:num>
  <w:num w:numId="5">
    <w:abstractNumId w:val="2"/>
  </w:num>
  <w:num w:numId="6">
    <w:abstractNumId w:val="1"/>
  </w:num>
  <w:num w:numId="7">
    <w:abstractNumId w:val="0"/>
  </w:num>
  <w:num w:numId="8">
    <w:abstractNumId w:val="5"/>
  </w:num>
  <w:num w:numId="9">
    <w:abstractNumId w:val="9"/>
  </w:num>
  <w:num w:numId="10">
    <w:abstractNumId w:val="14"/>
  </w:num>
  <w:num w:numId="11">
    <w:abstractNumId w:val="8"/>
  </w:num>
  <w:num w:numId="12">
    <w:abstractNumId w:val="12"/>
  </w:num>
  <w:num w:numId="13">
    <w:abstractNumId w:val="7"/>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noLineBreaksAfter w:lang="zh-CN" w:val="$([{£¥·‘“〈《「『【〔〖〝﹙﹛﹝＄（．［｛￡￥"/>
  <w:noLineBreaksBefore w:lang="zh-CN" w:val="!%),.:;&gt;?]}¢¨°·ˇˉ―‖’”…‰′″›℃∶、。〃〉》」』】〕〗〞︶︺︾﹀﹄﹚﹜﹞！＂％＇），．：；？］｀｜｝～￠"/>
  <w:hdrShapeDefaults>
    <o:shapelayout v:ext="edit">
      <o:idmap v:ext="edit" data="3,4"/>
    </o:shapelayout>
  </w:hdrShapeDefaults>
  <w:compat>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250"/>
    <w:rsid w:val="000D55CD"/>
    <w:rsid w:val="0016201A"/>
    <w:rsid w:val="001A0015"/>
    <w:rsid w:val="00210344"/>
    <w:rsid w:val="002130A7"/>
    <w:rsid w:val="002555A5"/>
    <w:rsid w:val="0028081E"/>
    <w:rsid w:val="002D71F4"/>
    <w:rsid w:val="00304FA3"/>
    <w:rsid w:val="00320ADC"/>
    <w:rsid w:val="00367792"/>
    <w:rsid w:val="00381226"/>
    <w:rsid w:val="003D0680"/>
    <w:rsid w:val="003F7F45"/>
    <w:rsid w:val="00426BA5"/>
    <w:rsid w:val="004907AA"/>
    <w:rsid w:val="00601B27"/>
    <w:rsid w:val="007071D6"/>
    <w:rsid w:val="00712533"/>
    <w:rsid w:val="00947213"/>
    <w:rsid w:val="0097777E"/>
    <w:rsid w:val="00AE40C3"/>
    <w:rsid w:val="00BB1333"/>
    <w:rsid w:val="00C267A3"/>
    <w:rsid w:val="00C35DDE"/>
    <w:rsid w:val="00D72FE4"/>
    <w:rsid w:val="00DB04D3"/>
    <w:rsid w:val="00EB04B6"/>
    <w:rsid w:val="00F83250"/>
    <w:rsid w:val="00FE108C"/>
    <w:rsid w:val="01077BC8"/>
    <w:rsid w:val="012C6C81"/>
    <w:rsid w:val="014B709D"/>
    <w:rsid w:val="01662660"/>
    <w:rsid w:val="017845C1"/>
    <w:rsid w:val="023B2CCB"/>
    <w:rsid w:val="024809DA"/>
    <w:rsid w:val="024E0361"/>
    <w:rsid w:val="02764F13"/>
    <w:rsid w:val="027B53DB"/>
    <w:rsid w:val="02F661B3"/>
    <w:rsid w:val="034547C8"/>
    <w:rsid w:val="03564A89"/>
    <w:rsid w:val="035957D4"/>
    <w:rsid w:val="036645DC"/>
    <w:rsid w:val="037A1B96"/>
    <w:rsid w:val="038851F0"/>
    <w:rsid w:val="039537CD"/>
    <w:rsid w:val="03AB1B4D"/>
    <w:rsid w:val="03DD4FD5"/>
    <w:rsid w:val="03F8171C"/>
    <w:rsid w:val="04074F5F"/>
    <w:rsid w:val="041023A0"/>
    <w:rsid w:val="042342D1"/>
    <w:rsid w:val="046D6F45"/>
    <w:rsid w:val="04A57AB9"/>
    <w:rsid w:val="050C63FC"/>
    <w:rsid w:val="05396D0B"/>
    <w:rsid w:val="059C621C"/>
    <w:rsid w:val="05A40862"/>
    <w:rsid w:val="05BB24F2"/>
    <w:rsid w:val="069774DD"/>
    <w:rsid w:val="06BE7AB1"/>
    <w:rsid w:val="06BF245A"/>
    <w:rsid w:val="06D43725"/>
    <w:rsid w:val="073857FE"/>
    <w:rsid w:val="076D6AD0"/>
    <w:rsid w:val="07A96D92"/>
    <w:rsid w:val="07E33E38"/>
    <w:rsid w:val="07E504D8"/>
    <w:rsid w:val="0804094B"/>
    <w:rsid w:val="081D720C"/>
    <w:rsid w:val="085965AB"/>
    <w:rsid w:val="08B74769"/>
    <w:rsid w:val="08CA21C4"/>
    <w:rsid w:val="08DF09D0"/>
    <w:rsid w:val="08F13A10"/>
    <w:rsid w:val="091561FC"/>
    <w:rsid w:val="09507E76"/>
    <w:rsid w:val="098E61E0"/>
    <w:rsid w:val="0A465132"/>
    <w:rsid w:val="0A5E7DD4"/>
    <w:rsid w:val="0AA374FE"/>
    <w:rsid w:val="0AF43B4E"/>
    <w:rsid w:val="0B2C0832"/>
    <w:rsid w:val="0B3E41F4"/>
    <w:rsid w:val="0B4C4DB8"/>
    <w:rsid w:val="0B675953"/>
    <w:rsid w:val="0B7C5CF4"/>
    <w:rsid w:val="0BE32B15"/>
    <w:rsid w:val="0BFA4B31"/>
    <w:rsid w:val="0C062D74"/>
    <w:rsid w:val="0C0D6AEC"/>
    <w:rsid w:val="0C1D5089"/>
    <w:rsid w:val="0C423727"/>
    <w:rsid w:val="0C822096"/>
    <w:rsid w:val="0C823657"/>
    <w:rsid w:val="0CB06F90"/>
    <w:rsid w:val="0CB60A44"/>
    <w:rsid w:val="0CC15F4F"/>
    <w:rsid w:val="0D0C5EC5"/>
    <w:rsid w:val="0DB24CAF"/>
    <w:rsid w:val="0DBE6CA1"/>
    <w:rsid w:val="0DDD00D9"/>
    <w:rsid w:val="0DF573AA"/>
    <w:rsid w:val="0E635F61"/>
    <w:rsid w:val="0E814BCC"/>
    <w:rsid w:val="0EA35C31"/>
    <w:rsid w:val="0ED25FC4"/>
    <w:rsid w:val="0F2321CF"/>
    <w:rsid w:val="0F3C628F"/>
    <w:rsid w:val="0F58352F"/>
    <w:rsid w:val="0F8111BA"/>
    <w:rsid w:val="0F9648E4"/>
    <w:rsid w:val="0F9909E9"/>
    <w:rsid w:val="1029744F"/>
    <w:rsid w:val="106B69A3"/>
    <w:rsid w:val="10B953DE"/>
    <w:rsid w:val="10F0285A"/>
    <w:rsid w:val="111310AE"/>
    <w:rsid w:val="116635A8"/>
    <w:rsid w:val="118E310F"/>
    <w:rsid w:val="11BF79E7"/>
    <w:rsid w:val="11EE4852"/>
    <w:rsid w:val="11F77DCE"/>
    <w:rsid w:val="120716F7"/>
    <w:rsid w:val="12100DEC"/>
    <w:rsid w:val="1249038D"/>
    <w:rsid w:val="12D47B5B"/>
    <w:rsid w:val="13064DE9"/>
    <w:rsid w:val="13395345"/>
    <w:rsid w:val="1359399B"/>
    <w:rsid w:val="13740D16"/>
    <w:rsid w:val="139F7D54"/>
    <w:rsid w:val="142812FD"/>
    <w:rsid w:val="14716D06"/>
    <w:rsid w:val="149057D8"/>
    <w:rsid w:val="14B4204C"/>
    <w:rsid w:val="14B8424D"/>
    <w:rsid w:val="14C673C5"/>
    <w:rsid w:val="14D05AC9"/>
    <w:rsid w:val="150B2F31"/>
    <w:rsid w:val="15585180"/>
    <w:rsid w:val="15662927"/>
    <w:rsid w:val="15816E0D"/>
    <w:rsid w:val="158B6638"/>
    <w:rsid w:val="15A915D0"/>
    <w:rsid w:val="15E7302A"/>
    <w:rsid w:val="160E339C"/>
    <w:rsid w:val="168B3833"/>
    <w:rsid w:val="168F415C"/>
    <w:rsid w:val="16AD49FE"/>
    <w:rsid w:val="16B95E65"/>
    <w:rsid w:val="1708030B"/>
    <w:rsid w:val="17126049"/>
    <w:rsid w:val="178338B9"/>
    <w:rsid w:val="17AC33C2"/>
    <w:rsid w:val="17FC034A"/>
    <w:rsid w:val="180C2DDA"/>
    <w:rsid w:val="181115DE"/>
    <w:rsid w:val="18401C1F"/>
    <w:rsid w:val="18851B2F"/>
    <w:rsid w:val="18B1784E"/>
    <w:rsid w:val="18D65DDB"/>
    <w:rsid w:val="192720D0"/>
    <w:rsid w:val="19297DA8"/>
    <w:rsid w:val="194633C0"/>
    <w:rsid w:val="197610B7"/>
    <w:rsid w:val="19EA7DB0"/>
    <w:rsid w:val="19FF6F3F"/>
    <w:rsid w:val="1A117784"/>
    <w:rsid w:val="1A372615"/>
    <w:rsid w:val="1A6A3578"/>
    <w:rsid w:val="1A9E3BC4"/>
    <w:rsid w:val="1AB11ADF"/>
    <w:rsid w:val="1AC17B83"/>
    <w:rsid w:val="1AC43C2E"/>
    <w:rsid w:val="1AC543AF"/>
    <w:rsid w:val="1AE160ED"/>
    <w:rsid w:val="1B3352B4"/>
    <w:rsid w:val="1B4753A1"/>
    <w:rsid w:val="1BEC0E27"/>
    <w:rsid w:val="1C065ED1"/>
    <w:rsid w:val="1C2F52F4"/>
    <w:rsid w:val="1C327C0A"/>
    <w:rsid w:val="1C691011"/>
    <w:rsid w:val="1C775099"/>
    <w:rsid w:val="1CC4154F"/>
    <w:rsid w:val="1DA24B45"/>
    <w:rsid w:val="1DBC73D1"/>
    <w:rsid w:val="1DC71CC4"/>
    <w:rsid w:val="1DD43846"/>
    <w:rsid w:val="1DF46DC9"/>
    <w:rsid w:val="1DFB1199"/>
    <w:rsid w:val="1E56167E"/>
    <w:rsid w:val="1E702D51"/>
    <w:rsid w:val="1E7C2C9A"/>
    <w:rsid w:val="1ECD0993"/>
    <w:rsid w:val="1EDD3494"/>
    <w:rsid w:val="1EF77F94"/>
    <w:rsid w:val="1F07496E"/>
    <w:rsid w:val="1F5300DC"/>
    <w:rsid w:val="1FEE45C5"/>
    <w:rsid w:val="20056C08"/>
    <w:rsid w:val="20E47C9D"/>
    <w:rsid w:val="21087701"/>
    <w:rsid w:val="210F0B63"/>
    <w:rsid w:val="213D3358"/>
    <w:rsid w:val="2185311D"/>
    <w:rsid w:val="21C540DB"/>
    <w:rsid w:val="21D10C67"/>
    <w:rsid w:val="22126B30"/>
    <w:rsid w:val="23017804"/>
    <w:rsid w:val="230B3672"/>
    <w:rsid w:val="232417D2"/>
    <w:rsid w:val="234A1E99"/>
    <w:rsid w:val="235774FF"/>
    <w:rsid w:val="235F438E"/>
    <w:rsid w:val="23C6608D"/>
    <w:rsid w:val="23E4799F"/>
    <w:rsid w:val="23EF6C2F"/>
    <w:rsid w:val="24132E6D"/>
    <w:rsid w:val="244561FC"/>
    <w:rsid w:val="245B33C9"/>
    <w:rsid w:val="24756129"/>
    <w:rsid w:val="2493403C"/>
    <w:rsid w:val="249C39BA"/>
    <w:rsid w:val="24A616DF"/>
    <w:rsid w:val="24A86A68"/>
    <w:rsid w:val="24B92FA2"/>
    <w:rsid w:val="25835F3B"/>
    <w:rsid w:val="25A151E9"/>
    <w:rsid w:val="25B72F35"/>
    <w:rsid w:val="2608518D"/>
    <w:rsid w:val="26177045"/>
    <w:rsid w:val="269E1F7F"/>
    <w:rsid w:val="26BD483A"/>
    <w:rsid w:val="26C969F4"/>
    <w:rsid w:val="273610D5"/>
    <w:rsid w:val="27421820"/>
    <w:rsid w:val="278F7D11"/>
    <w:rsid w:val="27A068F9"/>
    <w:rsid w:val="281314F8"/>
    <w:rsid w:val="281B289B"/>
    <w:rsid w:val="287C0EFB"/>
    <w:rsid w:val="28900266"/>
    <w:rsid w:val="28DE430B"/>
    <w:rsid w:val="28F91A85"/>
    <w:rsid w:val="290E6E1F"/>
    <w:rsid w:val="297B530D"/>
    <w:rsid w:val="2A1F33E6"/>
    <w:rsid w:val="2A8E2501"/>
    <w:rsid w:val="2ABD609F"/>
    <w:rsid w:val="2AD73FC6"/>
    <w:rsid w:val="2ADC6089"/>
    <w:rsid w:val="2B101430"/>
    <w:rsid w:val="2B596DD5"/>
    <w:rsid w:val="2B627044"/>
    <w:rsid w:val="2B723A96"/>
    <w:rsid w:val="2B92646F"/>
    <w:rsid w:val="2B9B277B"/>
    <w:rsid w:val="2BB25699"/>
    <w:rsid w:val="2BC00B0D"/>
    <w:rsid w:val="2BC403DB"/>
    <w:rsid w:val="2BF344FE"/>
    <w:rsid w:val="2C5470C3"/>
    <w:rsid w:val="2C907555"/>
    <w:rsid w:val="2C9B00E1"/>
    <w:rsid w:val="2CB25573"/>
    <w:rsid w:val="2D2F1B84"/>
    <w:rsid w:val="2D883ECA"/>
    <w:rsid w:val="2DB36668"/>
    <w:rsid w:val="2DB6430A"/>
    <w:rsid w:val="2E204904"/>
    <w:rsid w:val="2E304903"/>
    <w:rsid w:val="2E415C1E"/>
    <w:rsid w:val="2E634D00"/>
    <w:rsid w:val="2E9F746F"/>
    <w:rsid w:val="2EB02B0E"/>
    <w:rsid w:val="2EC17828"/>
    <w:rsid w:val="2ECC1694"/>
    <w:rsid w:val="2EDB1780"/>
    <w:rsid w:val="2EE92226"/>
    <w:rsid w:val="2F1244AA"/>
    <w:rsid w:val="2F8256F6"/>
    <w:rsid w:val="2F86042C"/>
    <w:rsid w:val="2FF02A5E"/>
    <w:rsid w:val="30FB0296"/>
    <w:rsid w:val="30FF04C2"/>
    <w:rsid w:val="31044EA7"/>
    <w:rsid w:val="3123133C"/>
    <w:rsid w:val="314C255E"/>
    <w:rsid w:val="31543441"/>
    <w:rsid w:val="315500D2"/>
    <w:rsid w:val="31760415"/>
    <w:rsid w:val="31AA0C7D"/>
    <w:rsid w:val="31F52FEC"/>
    <w:rsid w:val="323424A4"/>
    <w:rsid w:val="324F10B1"/>
    <w:rsid w:val="32942B5D"/>
    <w:rsid w:val="32987D44"/>
    <w:rsid w:val="32A113A5"/>
    <w:rsid w:val="32DB367A"/>
    <w:rsid w:val="32F63618"/>
    <w:rsid w:val="32FC3ECD"/>
    <w:rsid w:val="33C53AE6"/>
    <w:rsid w:val="33DC23EC"/>
    <w:rsid w:val="33EE3066"/>
    <w:rsid w:val="340D2263"/>
    <w:rsid w:val="340D30AE"/>
    <w:rsid w:val="345E5E66"/>
    <w:rsid w:val="346331B2"/>
    <w:rsid w:val="349951E5"/>
    <w:rsid w:val="34A42BDE"/>
    <w:rsid w:val="34C53D83"/>
    <w:rsid w:val="34EA6168"/>
    <w:rsid w:val="35404C4D"/>
    <w:rsid w:val="355A0415"/>
    <w:rsid w:val="35FB159E"/>
    <w:rsid w:val="36062CAD"/>
    <w:rsid w:val="362465B2"/>
    <w:rsid w:val="3669790C"/>
    <w:rsid w:val="36CF5E9C"/>
    <w:rsid w:val="36EE5502"/>
    <w:rsid w:val="373C32B3"/>
    <w:rsid w:val="37582BC9"/>
    <w:rsid w:val="3799616E"/>
    <w:rsid w:val="37D810B5"/>
    <w:rsid w:val="37FE4910"/>
    <w:rsid w:val="3800423A"/>
    <w:rsid w:val="38B81995"/>
    <w:rsid w:val="39401BC1"/>
    <w:rsid w:val="39712708"/>
    <w:rsid w:val="397215E5"/>
    <w:rsid w:val="399544A3"/>
    <w:rsid w:val="39D641E5"/>
    <w:rsid w:val="39DF15E7"/>
    <w:rsid w:val="3A006C90"/>
    <w:rsid w:val="3A264FA7"/>
    <w:rsid w:val="3A4F1503"/>
    <w:rsid w:val="3A5C30DE"/>
    <w:rsid w:val="3ACE77D1"/>
    <w:rsid w:val="3ACF4228"/>
    <w:rsid w:val="3ADD2BE8"/>
    <w:rsid w:val="3B1B2C61"/>
    <w:rsid w:val="3B593345"/>
    <w:rsid w:val="3B8713CA"/>
    <w:rsid w:val="3B964832"/>
    <w:rsid w:val="3BA34D5C"/>
    <w:rsid w:val="3BD53C24"/>
    <w:rsid w:val="3BFE3474"/>
    <w:rsid w:val="3C205F70"/>
    <w:rsid w:val="3C551194"/>
    <w:rsid w:val="3D4C5CAF"/>
    <w:rsid w:val="3D607F06"/>
    <w:rsid w:val="3DBC2FA6"/>
    <w:rsid w:val="3DC1722A"/>
    <w:rsid w:val="3DF53227"/>
    <w:rsid w:val="3E176485"/>
    <w:rsid w:val="3E28126B"/>
    <w:rsid w:val="3E3920A4"/>
    <w:rsid w:val="3E3D7D25"/>
    <w:rsid w:val="3E461192"/>
    <w:rsid w:val="3ECA0FC3"/>
    <w:rsid w:val="3ECF537C"/>
    <w:rsid w:val="3ED22CA7"/>
    <w:rsid w:val="3EDD7956"/>
    <w:rsid w:val="3EF14F30"/>
    <w:rsid w:val="3EFB5F11"/>
    <w:rsid w:val="3F0721B1"/>
    <w:rsid w:val="3F1B28DE"/>
    <w:rsid w:val="3F356B55"/>
    <w:rsid w:val="3F8857FD"/>
    <w:rsid w:val="3FAF6578"/>
    <w:rsid w:val="40160A7C"/>
    <w:rsid w:val="40551768"/>
    <w:rsid w:val="40736CEB"/>
    <w:rsid w:val="407577C4"/>
    <w:rsid w:val="408A173D"/>
    <w:rsid w:val="40A76614"/>
    <w:rsid w:val="40A84AD8"/>
    <w:rsid w:val="40EF1ABE"/>
    <w:rsid w:val="4148294F"/>
    <w:rsid w:val="416825A4"/>
    <w:rsid w:val="418D4D87"/>
    <w:rsid w:val="41EF1B27"/>
    <w:rsid w:val="42047947"/>
    <w:rsid w:val="423D2E20"/>
    <w:rsid w:val="428D3C32"/>
    <w:rsid w:val="4296591C"/>
    <w:rsid w:val="42A3775A"/>
    <w:rsid w:val="42A711BF"/>
    <w:rsid w:val="42B45A25"/>
    <w:rsid w:val="42BE1D45"/>
    <w:rsid w:val="42C51FB2"/>
    <w:rsid w:val="432834A8"/>
    <w:rsid w:val="43BE179D"/>
    <w:rsid w:val="44B57441"/>
    <w:rsid w:val="44D526D9"/>
    <w:rsid w:val="44E44B95"/>
    <w:rsid w:val="44F347F5"/>
    <w:rsid w:val="45412E9D"/>
    <w:rsid w:val="45484ED9"/>
    <w:rsid w:val="454A33EC"/>
    <w:rsid w:val="45955CF4"/>
    <w:rsid w:val="4599366F"/>
    <w:rsid w:val="459F2F61"/>
    <w:rsid w:val="45BF59B5"/>
    <w:rsid w:val="45E07790"/>
    <w:rsid w:val="45F847B5"/>
    <w:rsid w:val="46223F6A"/>
    <w:rsid w:val="462E04D4"/>
    <w:rsid w:val="46561566"/>
    <w:rsid w:val="46625728"/>
    <w:rsid w:val="46865E9D"/>
    <w:rsid w:val="46C765E0"/>
    <w:rsid w:val="46D42BA6"/>
    <w:rsid w:val="46F3129A"/>
    <w:rsid w:val="47246751"/>
    <w:rsid w:val="47450F23"/>
    <w:rsid w:val="47BA72A6"/>
    <w:rsid w:val="48492BB2"/>
    <w:rsid w:val="48726521"/>
    <w:rsid w:val="487C3629"/>
    <w:rsid w:val="48AF0B69"/>
    <w:rsid w:val="48BB3B5F"/>
    <w:rsid w:val="48BC6D2A"/>
    <w:rsid w:val="491278B6"/>
    <w:rsid w:val="49871345"/>
    <w:rsid w:val="498C6481"/>
    <w:rsid w:val="498F543D"/>
    <w:rsid w:val="49C41F7E"/>
    <w:rsid w:val="49D065DE"/>
    <w:rsid w:val="4A1B4944"/>
    <w:rsid w:val="4A270C36"/>
    <w:rsid w:val="4A325992"/>
    <w:rsid w:val="4A4557ED"/>
    <w:rsid w:val="4A7C67F6"/>
    <w:rsid w:val="4AAD5E31"/>
    <w:rsid w:val="4ACF1F4E"/>
    <w:rsid w:val="4B09769B"/>
    <w:rsid w:val="4B1D4D6B"/>
    <w:rsid w:val="4B380135"/>
    <w:rsid w:val="4B5430DF"/>
    <w:rsid w:val="4B8A1A37"/>
    <w:rsid w:val="4C5F6E73"/>
    <w:rsid w:val="4CA611EB"/>
    <w:rsid w:val="4CBB1ED1"/>
    <w:rsid w:val="4CD97615"/>
    <w:rsid w:val="4CDF7748"/>
    <w:rsid w:val="4D1E6E55"/>
    <w:rsid w:val="4D51539C"/>
    <w:rsid w:val="4D6013B1"/>
    <w:rsid w:val="4D64496B"/>
    <w:rsid w:val="4D87313A"/>
    <w:rsid w:val="4DB20C89"/>
    <w:rsid w:val="4E227B54"/>
    <w:rsid w:val="4EC67B64"/>
    <w:rsid w:val="4EE45D87"/>
    <w:rsid w:val="4F1301A8"/>
    <w:rsid w:val="4F176694"/>
    <w:rsid w:val="4F344D9E"/>
    <w:rsid w:val="4F486843"/>
    <w:rsid w:val="4F497455"/>
    <w:rsid w:val="4FF63E99"/>
    <w:rsid w:val="503E1342"/>
    <w:rsid w:val="50A11287"/>
    <w:rsid w:val="50A72E74"/>
    <w:rsid w:val="50A935F2"/>
    <w:rsid w:val="50B43382"/>
    <w:rsid w:val="50F17F12"/>
    <w:rsid w:val="51172B9F"/>
    <w:rsid w:val="51665532"/>
    <w:rsid w:val="516A53D3"/>
    <w:rsid w:val="51987986"/>
    <w:rsid w:val="523207FF"/>
    <w:rsid w:val="523B7D15"/>
    <w:rsid w:val="525320ED"/>
    <w:rsid w:val="52E043A2"/>
    <w:rsid w:val="52EA5D15"/>
    <w:rsid w:val="531F3247"/>
    <w:rsid w:val="537864F7"/>
    <w:rsid w:val="539B7F01"/>
    <w:rsid w:val="53A9264A"/>
    <w:rsid w:val="53C047A6"/>
    <w:rsid w:val="53CF2B3C"/>
    <w:rsid w:val="53F148C6"/>
    <w:rsid w:val="542E5C19"/>
    <w:rsid w:val="5433560F"/>
    <w:rsid w:val="54601BA3"/>
    <w:rsid w:val="548D7197"/>
    <w:rsid w:val="54942CF1"/>
    <w:rsid w:val="54CC45C6"/>
    <w:rsid w:val="54E00762"/>
    <w:rsid w:val="54E84F5D"/>
    <w:rsid w:val="55040D61"/>
    <w:rsid w:val="558D350E"/>
    <w:rsid w:val="55D4117D"/>
    <w:rsid w:val="55FA42DB"/>
    <w:rsid w:val="560866A4"/>
    <w:rsid w:val="563E2DD3"/>
    <w:rsid w:val="56983E70"/>
    <w:rsid w:val="56DB2728"/>
    <w:rsid w:val="56DC5D3E"/>
    <w:rsid w:val="57136ECF"/>
    <w:rsid w:val="574F025A"/>
    <w:rsid w:val="575967BB"/>
    <w:rsid w:val="57EE25AC"/>
    <w:rsid w:val="5815708B"/>
    <w:rsid w:val="587A3E3A"/>
    <w:rsid w:val="58A471C7"/>
    <w:rsid w:val="58B058DE"/>
    <w:rsid w:val="58E31DAB"/>
    <w:rsid w:val="58EC3DCB"/>
    <w:rsid w:val="5913608D"/>
    <w:rsid w:val="59175F8B"/>
    <w:rsid w:val="591A7875"/>
    <w:rsid w:val="59201885"/>
    <w:rsid w:val="592D6096"/>
    <w:rsid w:val="5959754D"/>
    <w:rsid w:val="597D06C2"/>
    <w:rsid w:val="59FE333D"/>
    <w:rsid w:val="5A2153C1"/>
    <w:rsid w:val="5A4E2B41"/>
    <w:rsid w:val="5B1507F7"/>
    <w:rsid w:val="5B2062E0"/>
    <w:rsid w:val="5B5C55EB"/>
    <w:rsid w:val="5B7773BB"/>
    <w:rsid w:val="5B8E0452"/>
    <w:rsid w:val="5BC03B54"/>
    <w:rsid w:val="5BD21F4C"/>
    <w:rsid w:val="5BD622D9"/>
    <w:rsid w:val="5BFD02E5"/>
    <w:rsid w:val="5C89170B"/>
    <w:rsid w:val="5CD90467"/>
    <w:rsid w:val="5CDA2186"/>
    <w:rsid w:val="5CF31376"/>
    <w:rsid w:val="5D087C76"/>
    <w:rsid w:val="5D1165D5"/>
    <w:rsid w:val="5D5F04A2"/>
    <w:rsid w:val="5D731B4F"/>
    <w:rsid w:val="5D857FD3"/>
    <w:rsid w:val="5DC340F4"/>
    <w:rsid w:val="5DC75BC3"/>
    <w:rsid w:val="5DD90E42"/>
    <w:rsid w:val="5DDA2758"/>
    <w:rsid w:val="5DF22FA6"/>
    <w:rsid w:val="5E5D70FE"/>
    <w:rsid w:val="5E662434"/>
    <w:rsid w:val="5E7226AC"/>
    <w:rsid w:val="5E8319A4"/>
    <w:rsid w:val="5EC17FEC"/>
    <w:rsid w:val="5F0B746E"/>
    <w:rsid w:val="5F1972A2"/>
    <w:rsid w:val="5F860D38"/>
    <w:rsid w:val="5F90260E"/>
    <w:rsid w:val="5FA66E31"/>
    <w:rsid w:val="5FCB5D58"/>
    <w:rsid w:val="601A5284"/>
    <w:rsid w:val="60CC30FA"/>
    <w:rsid w:val="60CE13AE"/>
    <w:rsid w:val="613D11BD"/>
    <w:rsid w:val="6145197F"/>
    <w:rsid w:val="617A1238"/>
    <w:rsid w:val="61A20A0B"/>
    <w:rsid w:val="61B75E69"/>
    <w:rsid w:val="61C817E4"/>
    <w:rsid w:val="61EC4CDC"/>
    <w:rsid w:val="61FD4BAE"/>
    <w:rsid w:val="62633FCA"/>
    <w:rsid w:val="62DD1040"/>
    <w:rsid w:val="62E87C54"/>
    <w:rsid w:val="6309428D"/>
    <w:rsid w:val="63C67477"/>
    <w:rsid w:val="63E216E0"/>
    <w:rsid w:val="640315AB"/>
    <w:rsid w:val="641C2879"/>
    <w:rsid w:val="642F0FC9"/>
    <w:rsid w:val="64A335F2"/>
    <w:rsid w:val="64DB3391"/>
    <w:rsid w:val="65084B45"/>
    <w:rsid w:val="658B4299"/>
    <w:rsid w:val="658D2E4F"/>
    <w:rsid w:val="659A37A2"/>
    <w:rsid w:val="659E6CAB"/>
    <w:rsid w:val="65C90799"/>
    <w:rsid w:val="65D83B6B"/>
    <w:rsid w:val="65EC050B"/>
    <w:rsid w:val="66106758"/>
    <w:rsid w:val="66E05C1B"/>
    <w:rsid w:val="672A2414"/>
    <w:rsid w:val="6733789A"/>
    <w:rsid w:val="674D169F"/>
    <w:rsid w:val="676541B1"/>
    <w:rsid w:val="6796228A"/>
    <w:rsid w:val="67D5022E"/>
    <w:rsid w:val="67E52E2D"/>
    <w:rsid w:val="680E2EF0"/>
    <w:rsid w:val="68285C98"/>
    <w:rsid w:val="684F2CC1"/>
    <w:rsid w:val="68AA7996"/>
    <w:rsid w:val="68D66273"/>
    <w:rsid w:val="68EE11E2"/>
    <w:rsid w:val="69521E53"/>
    <w:rsid w:val="695A1B12"/>
    <w:rsid w:val="699F219C"/>
    <w:rsid w:val="69BF7359"/>
    <w:rsid w:val="69D31B7E"/>
    <w:rsid w:val="6A0E481A"/>
    <w:rsid w:val="6A234C79"/>
    <w:rsid w:val="6A2D42AD"/>
    <w:rsid w:val="6A8708B5"/>
    <w:rsid w:val="6AA85D04"/>
    <w:rsid w:val="6AD664D1"/>
    <w:rsid w:val="6B30246D"/>
    <w:rsid w:val="6B3D6031"/>
    <w:rsid w:val="6B78297C"/>
    <w:rsid w:val="6B9A6663"/>
    <w:rsid w:val="6C0B04D6"/>
    <w:rsid w:val="6C9653FD"/>
    <w:rsid w:val="6CB94C31"/>
    <w:rsid w:val="6E2B5DCD"/>
    <w:rsid w:val="6E67101D"/>
    <w:rsid w:val="6E7E1337"/>
    <w:rsid w:val="6ED431FF"/>
    <w:rsid w:val="6ED547A6"/>
    <w:rsid w:val="6EDD0864"/>
    <w:rsid w:val="6EE758AC"/>
    <w:rsid w:val="6F9E28B8"/>
    <w:rsid w:val="6FA54DBA"/>
    <w:rsid w:val="6FBC7732"/>
    <w:rsid w:val="70410379"/>
    <w:rsid w:val="705047FB"/>
    <w:rsid w:val="7073155E"/>
    <w:rsid w:val="708A37B4"/>
    <w:rsid w:val="7090070E"/>
    <w:rsid w:val="70B1348F"/>
    <w:rsid w:val="712651B9"/>
    <w:rsid w:val="716650CE"/>
    <w:rsid w:val="717F48BA"/>
    <w:rsid w:val="71AC0C94"/>
    <w:rsid w:val="720E5A48"/>
    <w:rsid w:val="727A2B2A"/>
    <w:rsid w:val="727C7FCD"/>
    <w:rsid w:val="728456CB"/>
    <w:rsid w:val="729F5FA7"/>
    <w:rsid w:val="72AE3A6D"/>
    <w:rsid w:val="730316EF"/>
    <w:rsid w:val="732110BE"/>
    <w:rsid w:val="73347DFA"/>
    <w:rsid w:val="73423030"/>
    <w:rsid w:val="73723E59"/>
    <w:rsid w:val="73F569FE"/>
    <w:rsid w:val="73FC0BF6"/>
    <w:rsid w:val="74220D8D"/>
    <w:rsid w:val="74504177"/>
    <w:rsid w:val="74A9552E"/>
    <w:rsid w:val="74BD1DB7"/>
    <w:rsid w:val="74BF385F"/>
    <w:rsid w:val="74C853F9"/>
    <w:rsid w:val="74D369E0"/>
    <w:rsid w:val="74F54B4C"/>
    <w:rsid w:val="75396752"/>
    <w:rsid w:val="755807E7"/>
    <w:rsid w:val="76342218"/>
    <w:rsid w:val="76703C5E"/>
    <w:rsid w:val="76B3275A"/>
    <w:rsid w:val="76C36108"/>
    <w:rsid w:val="775938F2"/>
    <w:rsid w:val="777769C8"/>
    <w:rsid w:val="77B627EB"/>
    <w:rsid w:val="77E717BF"/>
    <w:rsid w:val="780A4A59"/>
    <w:rsid w:val="782630BD"/>
    <w:rsid w:val="78272B3E"/>
    <w:rsid w:val="782B1E46"/>
    <w:rsid w:val="788B0104"/>
    <w:rsid w:val="78976216"/>
    <w:rsid w:val="78C23D24"/>
    <w:rsid w:val="78C60D08"/>
    <w:rsid w:val="799C1731"/>
    <w:rsid w:val="79B320F3"/>
    <w:rsid w:val="79F77345"/>
    <w:rsid w:val="7A8811B9"/>
    <w:rsid w:val="7AAB35B5"/>
    <w:rsid w:val="7AF87E34"/>
    <w:rsid w:val="7B2C41F2"/>
    <w:rsid w:val="7BA267B9"/>
    <w:rsid w:val="7BCC1C58"/>
    <w:rsid w:val="7BDE1E51"/>
    <w:rsid w:val="7C535E83"/>
    <w:rsid w:val="7C7007BE"/>
    <w:rsid w:val="7CCA48CD"/>
    <w:rsid w:val="7D0A5F50"/>
    <w:rsid w:val="7D0F1CAC"/>
    <w:rsid w:val="7D5B59A8"/>
    <w:rsid w:val="7D6E17B6"/>
    <w:rsid w:val="7E0F0834"/>
    <w:rsid w:val="7E5209E4"/>
    <w:rsid w:val="7E804FB0"/>
    <w:rsid w:val="7EAE59D6"/>
    <w:rsid w:val="7F40142F"/>
    <w:rsid w:val="7F8A3F9E"/>
    <w:rsid w:val="7F9E60BF"/>
    <w:rsid w:val="7FDC6C24"/>
    <w:rsid w:val="7FE963C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ocked="1"/>
    <w:lsdException w:qFormat="1" w:unhideWhenUsed="0" w:uiPriority="99"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1"/>
      <w:lang w:val="en-US" w:eastAsia="zh-CN" w:bidi="ar-SA"/>
    </w:rPr>
  </w:style>
  <w:style w:type="paragraph" w:styleId="3">
    <w:name w:val="heading 1"/>
    <w:basedOn w:val="1"/>
    <w:next w:val="1"/>
    <w:link w:val="20"/>
    <w:qFormat/>
    <w:locked/>
    <w:uiPriority w:val="99"/>
    <w:pPr>
      <w:spacing w:beforeAutospacing="1" w:afterAutospacing="1"/>
      <w:jc w:val="left"/>
      <w:outlineLvl w:val="0"/>
    </w:pPr>
    <w:rPr>
      <w:rFonts w:ascii="宋体" w:hAnsi="宋体"/>
      <w:b/>
      <w:bCs/>
      <w:kern w:val="44"/>
      <w:sz w:val="48"/>
      <w:szCs w:val="48"/>
    </w:rPr>
  </w:style>
  <w:style w:type="paragraph" w:styleId="4">
    <w:name w:val="heading 2"/>
    <w:basedOn w:val="1"/>
    <w:next w:val="1"/>
    <w:qFormat/>
    <w:locked/>
    <w:uiPriority w:val="0"/>
    <w:pPr>
      <w:keepNext/>
      <w:keepLines/>
      <w:widowControl w:val="0"/>
      <w:adjustRightInd w:val="0"/>
      <w:spacing w:line="360" w:lineRule="auto"/>
      <w:jc w:val="center"/>
      <w:outlineLvl w:val="1"/>
    </w:pPr>
    <w:rPr>
      <w:rFonts w:ascii="Calibri" w:hAnsi="Calibri"/>
      <w:b/>
      <w:color w:val="auto"/>
      <w:sz w:val="24"/>
    </w:rPr>
  </w:style>
  <w:style w:type="character" w:default="1" w:styleId="12">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widowControl w:val="0"/>
      <w:snapToGrid w:val="0"/>
      <w:spacing w:line="360" w:lineRule="auto"/>
    </w:pPr>
    <w:rPr>
      <w:rFonts w:ascii="Arial" w:hAnsi="Arial" w:eastAsia="仿宋_GB2312"/>
      <w:sz w:val="31"/>
    </w:rPr>
  </w:style>
  <w:style w:type="paragraph" w:styleId="5">
    <w:name w:val="Date"/>
    <w:basedOn w:val="1"/>
    <w:next w:val="1"/>
    <w:link w:val="21"/>
    <w:qFormat/>
    <w:uiPriority w:val="99"/>
    <w:rPr>
      <w:rFonts w:ascii="Copperplate Gothic Bold" w:hAnsi="Copperplate Gothic Bold"/>
      <w:sz w:val="32"/>
      <w:szCs w:val="32"/>
    </w:rPr>
  </w:style>
  <w:style w:type="paragraph" w:styleId="6">
    <w:name w:val="footer"/>
    <w:basedOn w:val="1"/>
    <w:link w:val="22"/>
    <w:qFormat/>
    <w:uiPriority w:val="99"/>
    <w:pPr>
      <w:tabs>
        <w:tab w:val="center" w:pos="4153"/>
        <w:tab w:val="right" w:pos="8306"/>
      </w:tabs>
      <w:snapToGrid w:val="0"/>
      <w:jc w:val="left"/>
    </w:pPr>
    <w:rPr>
      <w:sz w:val="18"/>
      <w:szCs w:val="18"/>
    </w:rPr>
  </w:style>
  <w:style w:type="paragraph" w:styleId="7">
    <w:name w:val="header"/>
    <w:basedOn w:val="1"/>
    <w:link w:val="23"/>
    <w:qFormat/>
    <w:uiPriority w:val="99"/>
    <w:pPr>
      <w:pBdr>
        <w:bottom w:val="single" w:color="000000" w:sz="6" w:space="1"/>
      </w:pBdr>
      <w:tabs>
        <w:tab w:val="center" w:pos="4153"/>
        <w:tab w:val="right" w:pos="8306"/>
      </w:tabs>
      <w:snapToGrid w:val="0"/>
      <w:jc w:val="center"/>
    </w:pPr>
    <w:rPr>
      <w:sz w:val="18"/>
      <w:szCs w:val="18"/>
    </w:rPr>
  </w:style>
  <w:style w:type="paragraph" w:styleId="8">
    <w:name w:val="Normal (Web)"/>
    <w:basedOn w:val="1"/>
    <w:semiHidden/>
    <w:qFormat/>
    <w:uiPriority w:val="99"/>
    <w:pPr>
      <w:spacing w:beforeAutospacing="1" w:afterAutospacing="1"/>
      <w:jc w:val="left"/>
    </w:pPr>
    <w:rPr>
      <w:kern w:val="0"/>
      <w:sz w:val="24"/>
    </w:rPr>
  </w:style>
  <w:style w:type="paragraph" w:styleId="9">
    <w:name w:val="Title"/>
    <w:basedOn w:val="1"/>
    <w:next w:val="1"/>
    <w:link w:val="24"/>
    <w:qFormat/>
    <w:locked/>
    <w:uiPriority w:val="99"/>
    <w:pPr>
      <w:numPr>
        <w:ilvl w:val="0"/>
        <w:numId w:val="1"/>
      </w:numPr>
      <w:spacing w:line="480" w:lineRule="auto"/>
      <w:jc w:val="center"/>
    </w:pPr>
    <w:rPr>
      <w:rFonts w:ascii="Cambria" w:hAnsi="Cambria" w:eastAsia="黑体"/>
      <w:b/>
      <w:sz w:val="36"/>
      <w:szCs w:val="36"/>
    </w:rPr>
  </w:style>
  <w:style w:type="table" w:styleId="11">
    <w:name w:val="Table Grid"/>
    <w:basedOn w:val="1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locked/>
    <w:uiPriority w:val="99"/>
    <w:rPr>
      <w:rFonts w:cs="Times New Roman"/>
      <w:b/>
      <w:bCs/>
      <w:szCs w:val="24"/>
    </w:rPr>
  </w:style>
  <w:style w:type="character" w:styleId="14">
    <w:name w:val="FollowedHyperlink"/>
    <w:basedOn w:val="15"/>
    <w:qFormat/>
    <w:uiPriority w:val="99"/>
    <w:rPr>
      <w:rFonts w:ascii="宋体" w:hAnsi="宋体" w:eastAsia="宋体" w:cs="Times New Roman"/>
      <w:color w:val="000000"/>
      <w:sz w:val="18"/>
      <w:szCs w:val="18"/>
    </w:rPr>
  </w:style>
  <w:style w:type="character" w:customStyle="1" w:styleId="15">
    <w:name w:val="NormalCharacter"/>
    <w:link w:val="16"/>
    <w:semiHidden/>
    <w:qFormat/>
    <w:locked/>
    <w:uiPriority w:val="99"/>
    <w:rPr>
      <w:sz w:val="24"/>
    </w:rPr>
  </w:style>
  <w:style w:type="paragraph" w:customStyle="1" w:styleId="16">
    <w:name w:val="UserStyle_85"/>
    <w:basedOn w:val="1"/>
    <w:link w:val="15"/>
    <w:qFormat/>
    <w:uiPriority w:val="99"/>
    <w:pPr>
      <w:spacing w:after="160" w:line="240" w:lineRule="exact"/>
    </w:pPr>
    <w:rPr>
      <w:kern w:val="0"/>
      <w:sz w:val="24"/>
      <w:szCs w:val="20"/>
    </w:rPr>
  </w:style>
  <w:style w:type="character" w:styleId="17">
    <w:name w:val="Emphasis"/>
    <w:basedOn w:val="15"/>
    <w:qFormat/>
    <w:locked/>
    <w:uiPriority w:val="99"/>
    <w:rPr>
      <w:rFonts w:cs="Times New Roman"/>
      <w:szCs w:val="24"/>
    </w:rPr>
  </w:style>
  <w:style w:type="character" w:styleId="18">
    <w:name w:val="Hyperlink"/>
    <w:basedOn w:val="15"/>
    <w:qFormat/>
    <w:uiPriority w:val="99"/>
    <w:rPr>
      <w:rFonts w:cs="Times New Roman"/>
      <w:color w:val="000000"/>
      <w:szCs w:val="24"/>
    </w:rPr>
  </w:style>
  <w:style w:type="paragraph" w:customStyle="1" w:styleId="19">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20">
    <w:name w:val="Heading 1 Char"/>
    <w:basedOn w:val="12"/>
    <w:link w:val="3"/>
    <w:qFormat/>
    <w:uiPriority w:val="9"/>
    <w:rPr>
      <w:b/>
      <w:bCs/>
      <w:kern w:val="44"/>
      <w:sz w:val="44"/>
      <w:szCs w:val="44"/>
    </w:rPr>
  </w:style>
  <w:style w:type="character" w:customStyle="1" w:styleId="21">
    <w:name w:val="Date Char"/>
    <w:basedOn w:val="15"/>
    <w:link w:val="5"/>
    <w:qFormat/>
    <w:locked/>
    <w:uiPriority w:val="99"/>
    <w:rPr>
      <w:rFonts w:ascii="Copperplate Gothic Bold" w:hAnsi="Copperplate Gothic Bold" w:eastAsia="宋体" w:cs="Times New Roman"/>
      <w:sz w:val="20"/>
      <w:szCs w:val="20"/>
    </w:rPr>
  </w:style>
  <w:style w:type="character" w:customStyle="1" w:styleId="22">
    <w:name w:val="Footer Char"/>
    <w:basedOn w:val="15"/>
    <w:link w:val="6"/>
    <w:qFormat/>
    <w:locked/>
    <w:uiPriority w:val="99"/>
    <w:rPr>
      <w:rFonts w:ascii="Times New Roman" w:hAnsi="Times New Roman" w:eastAsia="宋体" w:cs="Times New Roman"/>
      <w:sz w:val="20"/>
      <w:szCs w:val="20"/>
    </w:rPr>
  </w:style>
  <w:style w:type="character" w:customStyle="1" w:styleId="23">
    <w:name w:val="Header Char"/>
    <w:basedOn w:val="15"/>
    <w:link w:val="7"/>
    <w:qFormat/>
    <w:locked/>
    <w:uiPriority w:val="99"/>
    <w:rPr>
      <w:rFonts w:ascii="Times New Roman" w:hAnsi="Times New Roman" w:eastAsia="宋体" w:cs="Times New Roman"/>
      <w:sz w:val="20"/>
      <w:szCs w:val="20"/>
    </w:rPr>
  </w:style>
  <w:style w:type="character" w:customStyle="1" w:styleId="24">
    <w:name w:val="Title Char"/>
    <w:basedOn w:val="12"/>
    <w:link w:val="9"/>
    <w:qFormat/>
    <w:locked/>
    <w:uiPriority w:val="99"/>
    <w:rPr>
      <w:rFonts w:ascii="Cambria" w:hAnsi="Cambria" w:cs="Times New Roman"/>
      <w:b/>
      <w:bCs/>
      <w:sz w:val="32"/>
      <w:szCs w:val="32"/>
    </w:rPr>
  </w:style>
  <w:style w:type="paragraph" w:customStyle="1" w:styleId="25">
    <w:name w:val="Heading1"/>
    <w:basedOn w:val="1"/>
    <w:next w:val="1"/>
    <w:link w:val="84"/>
    <w:qFormat/>
    <w:locked/>
    <w:uiPriority w:val="99"/>
    <w:pPr>
      <w:keepNext/>
      <w:keepLines/>
      <w:spacing w:before="100" w:after="90"/>
      <w:jc w:val="center"/>
    </w:pPr>
    <w:rPr>
      <w:b/>
      <w:kern w:val="44"/>
      <w:sz w:val="44"/>
      <w:szCs w:val="20"/>
    </w:rPr>
  </w:style>
  <w:style w:type="paragraph" w:customStyle="1" w:styleId="26">
    <w:name w:val="Heading2"/>
    <w:basedOn w:val="1"/>
    <w:next w:val="1"/>
    <w:link w:val="56"/>
    <w:qFormat/>
    <w:locked/>
    <w:uiPriority w:val="99"/>
    <w:pPr>
      <w:keepNext/>
      <w:keepLines/>
      <w:spacing w:before="260" w:after="260" w:line="416" w:lineRule="auto"/>
      <w:jc w:val="center"/>
    </w:pPr>
    <w:rPr>
      <w:rFonts w:ascii="Cambria" w:hAnsi="Cambria"/>
      <w:b/>
      <w:kern w:val="0"/>
      <w:sz w:val="32"/>
      <w:szCs w:val="20"/>
    </w:rPr>
  </w:style>
  <w:style w:type="paragraph" w:customStyle="1" w:styleId="27">
    <w:name w:val="Heading3"/>
    <w:basedOn w:val="1"/>
    <w:next w:val="28"/>
    <w:link w:val="90"/>
    <w:qFormat/>
    <w:locked/>
    <w:uiPriority w:val="99"/>
    <w:pPr>
      <w:keepNext/>
      <w:keepLines/>
      <w:spacing w:before="20" w:after="20" w:line="415" w:lineRule="auto"/>
      <w:jc w:val="center"/>
    </w:pPr>
    <w:rPr>
      <w:rFonts w:ascii="Calibri" w:hAnsi="Calibri"/>
      <w:b/>
      <w:kern w:val="0"/>
      <w:sz w:val="32"/>
      <w:szCs w:val="20"/>
    </w:rPr>
  </w:style>
  <w:style w:type="paragraph" w:customStyle="1" w:styleId="28">
    <w:name w:val="NormalIndent"/>
    <w:basedOn w:val="1"/>
    <w:qFormat/>
    <w:uiPriority w:val="99"/>
    <w:pPr>
      <w:ind w:firstLine="420"/>
      <w:jc w:val="left"/>
    </w:pPr>
    <w:rPr>
      <w:kern w:val="0"/>
      <w:sz w:val="20"/>
      <w:szCs w:val="20"/>
    </w:rPr>
  </w:style>
  <w:style w:type="paragraph" w:customStyle="1" w:styleId="29">
    <w:name w:val="Heading4"/>
    <w:basedOn w:val="1"/>
    <w:next w:val="1"/>
    <w:qFormat/>
    <w:locked/>
    <w:uiPriority w:val="99"/>
    <w:pPr>
      <w:keepNext/>
      <w:keepLines/>
      <w:spacing w:before="280" w:after="290" w:line="374" w:lineRule="auto"/>
    </w:pPr>
    <w:rPr>
      <w:rFonts w:ascii="Cambria" w:hAnsi="Cambria" w:cs="黑体"/>
      <w:b/>
      <w:bCs/>
      <w:sz w:val="28"/>
      <w:szCs w:val="28"/>
    </w:rPr>
  </w:style>
  <w:style w:type="paragraph" w:customStyle="1" w:styleId="30">
    <w:name w:val="Heading6"/>
    <w:basedOn w:val="1"/>
    <w:next w:val="1"/>
    <w:qFormat/>
    <w:locked/>
    <w:uiPriority w:val="99"/>
    <w:pPr>
      <w:ind w:left="378"/>
    </w:pPr>
    <w:rPr>
      <w:rFonts w:ascii="宋体" w:hAnsi="宋体"/>
      <w:sz w:val="24"/>
      <w:szCs w:val="24"/>
      <w:lang w:val="zh-CN"/>
    </w:rPr>
  </w:style>
  <w:style w:type="paragraph" w:customStyle="1" w:styleId="31">
    <w:name w:val="Heading8"/>
    <w:basedOn w:val="1"/>
    <w:next w:val="1"/>
    <w:qFormat/>
    <w:locked/>
    <w:uiPriority w:val="99"/>
    <w:pPr>
      <w:ind w:left="798"/>
    </w:pPr>
    <w:rPr>
      <w:rFonts w:ascii="宋体" w:hAnsi="宋体" w:cs="宋体"/>
      <w:b/>
      <w:bCs/>
      <w:lang w:val="zh-CN"/>
    </w:rPr>
  </w:style>
  <w:style w:type="table" w:customStyle="1" w:styleId="32">
    <w:name w:val="TableNormal"/>
    <w:semiHidden/>
    <w:qFormat/>
    <w:uiPriority w:val="99"/>
    <w:rPr>
      <w:kern w:val="0"/>
      <w:sz w:val="20"/>
      <w:szCs w:val="20"/>
    </w:rPr>
    <w:tblPr>
      <w:tblCellMar>
        <w:top w:w="0" w:type="dxa"/>
        <w:left w:w="0" w:type="dxa"/>
        <w:bottom w:w="0" w:type="dxa"/>
        <w:right w:w="0" w:type="dxa"/>
      </w:tblCellMar>
    </w:tblPr>
  </w:style>
  <w:style w:type="character" w:customStyle="1" w:styleId="33">
    <w:name w:val="UserStyle_1"/>
    <w:basedOn w:val="15"/>
    <w:qFormat/>
    <w:uiPriority w:val="99"/>
    <w:rPr>
      <w:rFonts w:cs="Times New Roman"/>
      <w:color w:val="3088FF"/>
      <w:szCs w:val="24"/>
    </w:rPr>
  </w:style>
  <w:style w:type="character" w:customStyle="1" w:styleId="34">
    <w:name w:val="UserStyle_3"/>
    <w:basedOn w:val="15"/>
    <w:qFormat/>
    <w:uiPriority w:val="99"/>
    <w:rPr>
      <w:rFonts w:cs="Times New Roman"/>
      <w:szCs w:val="24"/>
    </w:rPr>
  </w:style>
  <w:style w:type="character" w:customStyle="1" w:styleId="35">
    <w:name w:val="UserStyle_4"/>
    <w:basedOn w:val="15"/>
    <w:qFormat/>
    <w:uiPriority w:val="99"/>
    <w:rPr>
      <w:rFonts w:cs="Times New Roman"/>
      <w:szCs w:val="24"/>
    </w:rPr>
  </w:style>
  <w:style w:type="character" w:customStyle="1" w:styleId="36">
    <w:name w:val="HtmlDfn"/>
    <w:basedOn w:val="15"/>
    <w:qFormat/>
    <w:uiPriority w:val="99"/>
    <w:rPr>
      <w:rFonts w:cs="Times New Roman"/>
      <w:szCs w:val="24"/>
    </w:rPr>
  </w:style>
  <w:style w:type="character" w:customStyle="1" w:styleId="37">
    <w:name w:val="UserStyle_5"/>
    <w:basedOn w:val="15"/>
    <w:qFormat/>
    <w:uiPriority w:val="99"/>
    <w:rPr>
      <w:rFonts w:cs="Times New Roman"/>
      <w:szCs w:val="24"/>
    </w:rPr>
  </w:style>
  <w:style w:type="character" w:customStyle="1" w:styleId="38">
    <w:name w:val="UserStyle_6"/>
    <w:qFormat/>
    <w:uiPriority w:val="99"/>
    <w:rPr>
      <w:kern w:val="2"/>
      <w:sz w:val="21"/>
      <w:lang w:val="en-US" w:eastAsia="zh-CN"/>
    </w:rPr>
  </w:style>
  <w:style w:type="character" w:customStyle="1" w:styleId="39">
    <w:name w:val="UserStyle_7"/>
    <w:basedOn w:val="15"/>
    <w:qFormat/>
    <w:uiPriority w:val="99"/>
    <w:rPr>
      <w:rFonts w:cs="Times New Roman"/>
      <w:szCs w:val="24"/>
    </w:rPr>
  </w:style>
  <w:style w:type="character" w:customStyle="1" w:styleId="40">
    <w:name w:val="UserStyle_8"/>
    <w:basedOn w:val="15"/>
    <w:qFormat/>
    <w:uiPriority w:val="99"/>
    <w:rPr>
      <w:rFonts w:cs="Times New Roman"/>
      <w:color w:val="222222"/>
      <w:szCs w:val="24"/>
    </w:rPr>
  </w:style>
  <w:style w:type="character" w:customStyle="1" w:styleId="41">
    <w:name w:val="UserStyle_9"/>
    <w:basedOn w:val="15"/>
    <w:qFormat/>
    <w:uiPriority w:val="99"/>
    <w:rPr>
      <w:rFonts w:cs="Times New Roman"/>
      <w:color w:val="3C88FF"/>
      <w:szCs w:val="24"/>
    </w:rPr>
  </w:style>
  <w:style w:type="character" w:customStyle="1" w:styleId="42">
    <w:name w:val="PageNumber"/>
    <w:basedOn w:val="15"/>
    <w:qFormat/>
    <w:uiPriority w:val="99"/>
    <w:rPr>
      <w:rFonts w:cs="Times New Roman"/>
      <w:szCs w:val="24"/>
    </w:rPr>
  </w:style>
  <w:style w:type="character" w:customStyle="1" w:styleId="43">
    <w:name w:val="UserStyle_10"/>
    <w:basedOn w:val="15"/>
    <w:qFormat/>
    <w:uiPriority w:val="99"/>
    <w:rPr>
      <w:rFonts w:cs="Times New Roman"/>
      <w:color w:val="999999"/>
      <w:szCs w:val="24"/>
    </w:rPr>
  </w:style>
  <w:style w:type="character" w:customStyle="1" w:styleId="44">
    <w:name w:val="UserStyle_11"/>
    <w:basedOn w:val="15"/>
    <w:qFormat/>
    <w:uiPriority w:val="99"/>
    <w:rPr>
      <w:rFonts w:cs="Times New Roman"/>
      <w:szCs w:val="24"/>
    </w:rPr>
  </w:style>
  <w:style w:type="character" w:customStyle="1" w:styleId="45">
    <w:name w:val="UserStyle_12"/>
    <w:basedOn w:val="15"/>
    <w:qFormat/>
    <w:uiPriority w:val="99"/>
    <w:rPr>
      <w:rFonts w:cs="Times New Roman"/>
      <w:szCs w:val="24"/>
      <w:shd w:val="clear" w:color="auto" w:fill="EEEEEE"/>
    </w:rPr>
  </w:style>
  <w:style w:type="character" w:customStyle="1" w:styleId="46">
    <w:name w:val="UserStyle_13"/>
    <w:basedOn w:val="15"/>
    <w:qFormat/>
    <w:uiPriority w:val="99"/>
    <w:rPr>
      <w:rFonts w:cs="Times New Roman"/>
      <w:color w:val="FFFFFF"/>
      <w:szCs w:val="24"/>
    </w:rPr>
  </w:style>
  <w:style w:type="character" w:customStyle="1" w:styleId="47">
    <w:name w:val="UserStyle_14"/>
    <w:basedOn w:val="15"/>
    <w:qFormat/>
    <w:uiPriority w:val="99"/>
    <w:rPr>
      <w:rFonts w:cs="Times New Roman"/>
      <w:color w:val="666666"/>
      <w:szCs w:val="24"/>
    </w:rPr>
  </w:style>
  <w:style w:type="character" w:customStyle="1" w:styleId="48">
    <w:name w:val="UserStyle_15"/>
    <w:basedOn w:val="15"/>
    <w:qFormat/>
    <w:uiPriority w:val="99"/>
    <w:rPr>
      <w:rFonts w:cs="Times New Roman"/>
      <w:szCs w:val="24"/>
    </w:rPr>
  </w:style>
  <w:style w:type="character" w:customStyle="1" w:styleId="49">
    <w:name w:val="HtmlKbd"/>
    <w:basedOn w:val="15"/>
    <w:qFormat/>
    <w:uiPriority w:val="99"/>
    <w:rPr>
      <w:rFonts w:ascii="Consolas" w:hAnsi="Consolas" w:cs="Times New Roman"/>
      <w:color w:val="FFFFFF"/>
      <w:sz w:val="21"/>
      <w:szCs w:val="21"/>
      <w:shd w:val="clear" w:color="auto" w:fill="333333"/>
    </w:rPr>
  </w:style>
  <w:style w:type="character" w:customStyle="1" w:styleId="50">
    <w:name w:val="UserStyle_16"/>
    <w:basedOn w:val="15"/>
    <w:qFormat/>
    <w:uiPriority w:val="99"/>
    <w:rPr>
      <w:rFonts w:cs="Times New Roman"/>
      <w:color w:val="A1A1A1"/>
      <w:sz w:val="19"/>
      <w:szCs w:val="19"/>
    </w:rPr>
  </w:style>
  <w:style w:type="character" w:customStyle="1" w:styleId="51">
    <w:name w:val="UserStyle_17"/>
    <w:basedOn w:val="15"/>
    <w:qFormat/>
    <w:uiPriority w:val="99"/>
    <w:rPr>
      <w:rFonts w:cs="Times New Roman"/>
      <w:color w:val="FFFFFF"/>
      <w:szCs w:val="24"/>
      <w:shd w:val="clear" w:color="auto" w:fill="3C88FF"/>
    </w:rPr>
  </w:style>
  <w:style w:type="character" w:customStyle="1" w:styleId="52">
    <w:name w:val="UserStyle_18"/>
    <w:basedOn w:val="15"/>
    <w:qFormat/>
    <w:uiPriority w:val="99"/>
    <w:rPr>
      <w:rFonts w:cs="Times New Roman"/>
      <w:szCs w:val="24"/>
    </w:rPr>
  </w:style>
  <w:style w:type="character" w:customStyle="1" w:styleId="53">
    <w:name w:val="UserStyle_19"/>
    <w:basedOn w:val="15"/>
    <w:qFormat/>
    <w:uiPriority w:val="99"/>
    <w:rPr>
      <w:rFonts w:cs="Times New Roman"/>
      <w:color w:val="FFFFFF"/>
      <w:szCs w:val="24"/>
    </w:rPr>
  </w:style>
  <w:style w:type="character" w:customStyle="1" w:styleId="54">
    <w:name w:val="UserStyle_20"/>
    <w:basedOn w:val="15"/>
    <w:qFormat/>
    <w:uiPriority w:val="99"/>
    <w:rPr>
      <w:rFonts w:cs="Times New Roman"/>
      <w:b/>
      <w:bCs/>
      <w:color w:val="000000"/>
      <w:sz w:val="19"/>
      <w:szCs w:val="19"/>
    </w:rPr>
  </w:style>
  <w:style w:type="character" w:customStyle="1" w:styleId="55">
    <w:name w:val="UserStyle_21"/>
    <w:basedOn w:val="15"/>
    <w:qFormat/>
    <w:uiPriority w:val="99"/>
    <w:rPr>
      <w:rFonts w:cs="Times New Roman"/>
      <w:color w:val="FFFFFF"/>
      <w:szCs w:val="24"/>
      <w:shd w:val="clear" w:color="auto" w:fill="3D91FF"/>
    </w:rPr>
  </w:style>
  <w:style w:type="character" w:customStyle="1" w:styleId="56">
    <w:name w:val="UserStyle_22"/>
    <w:link w:val="26"/>
    <w:qFormat/>
    <w:locked/>
    <w:uiPriority w:val="99"/>
    <w:rPr>
      <w:rFonts w:ascii="Cambria" w:hAnsi="Cambria" w:eastAsia="宋体"/>
      <w:b/>
      <w:sz w:val="32"/>
    </w:rPr>
  </w:style>
  <w:style w:type="character" w:customStyle="1" w:styleId="57">
    <w:name w:val="UserStyle_23"/>
    <w:basedOn w:val="15"/>
    <w:qFormat/>
    <w:uiPriority w:val="99"/>
    <w:rPr>
      <w:rFonts w:cs="Times New Roman"/>
      <w:szCs w:val="24"/>
    </w:rPr>
  </w:style>
  <w:style w:type="character" w:customStyle="1" w:styleId="58">
    <w:name w:val="UserStyle_24"/>
    <w:basedOn w:val="15"/>
    <w:qFormat/>
    <w:uiPriority w:val="99"/>
    <w:rPr>
      <w:rFonts w:cs="Times New Roman"/>
      <w:szCs w:val="24"/>
    </w:rPr>
  </w:style>
  <w:style w:type="character" w:customStyle="1" w:styleId="59">
    <w:name w:val="HtmlCode"/>
    <w:basedOn w:val="15"/>
    <w:qFormat/>
    <w:uiPriority w:val="99"/>
    <w:rPr>
      <w:rFonts w:ascii="Consolas" w:hAnsi="Consolas" w:cs="Times New Roman"/>
      <w:color w:val="C7254E"/>
      <w:sz w:val="21"/>
      <w:szCs w:val="21"/>
      <w:shd w:val="clear" w:color="auto" w:fill="F9F2F4"/>
    </w:rPr>
  </w:style>
  <w:style w:type="character" w:customStyle="1" w:styleId="60">
    <w:name w:val="UserStyle_25"/>
    <w:basedOn w:val="15"/>
    <w:qFormat/>
    <w:uiPriority w:val="99"/>
    <w:rPr>
      <w:rFonts w:cs="Times New Roman"/>
      <w:szCs w:val="24"/>
      <w:shd w:val="clear" w:color="auto" w:fill="F6F6F6"/>
    </w:rPr>
  </w:style>
  <w:style w:type="character" w:customStyle="1" w:styleId="61">
    <w:name w:val="UserStyle_26"/>
    <w:basedOn w:val="15"/>
    <w:qFormat/>
    <w:uiPriority w:val="99"/>
    <w:rPr>
      <w:rFonts w:cs="Times New Roman"/>
      <w:color w:val="3D91FF"/>
      <w:szCs w:val="24"/>
    </w:rPr>
  </w:style>
  <w:style w:type="character" w:customStyle="1" w:styleId="62">
    <w:name w:val="UserStyle_27"/>
    <w:link w:val="63"/>
    <w:qFormat/>
    <w:locked/>
    <w:uiPriority w:val="99"/>
    <w:rPr>
      <w:rFonts w:eastAsia="宋体"/>
      <w:spacing w:val="6"/>
      <w:sz w:val="24"/>
      <w:lang w:val="en-US" w:eastAsia="zh-CN"/>
    </w:rPr>
  </w:style>
  <w:style w:type="paragraph" w:customStyle="1" w:styleId="63">
    <w:name w:val="UserStyle_28"/>
    <w:basedOn w:val="1"/>
    <w:link w:val="62"/>
    <w:qFormat/>
    <w:uiPriority w:val="99"/>
    <w:pPr>
      <w:spacing w:line="440" w:lineRule="exact"/>
      <w:ind w:firstLine="200" w:firstLineChars="200"/>
      <w:jc w:val="left"/>
    </w:pPr>
    <w:rPr>
      <w:spacing w:val="6"/>
      <w:kern w:val="0"/>
      <w:sz w:val="24"/>
      <w:szCs w:val="20"/>
    </w:rPr>
  </w:style>
  <w:style w:type="character" w:customStyle="1" w:styleId="64">
    <w:name w:val="UserStyle_29"/>
    <w:basedOn w:val="15"/>
    <w:qFormat/>
    <w:uiPriority w:val="99"/>
    <w:rPr>
      <w:rFonts w:cs="Times New Roman"/>
      <w:szCs w:val="24"/>
      <w:shd w:val="clear" w:color="auto" w:fill="111111"/>
    </w:rPr>
  </w:style>
  <w:style w:type="character" w:customStyle="1" w:styleId="65">
    <w:name w:val="UserStyle_30"/>
    <w:basedOn w:val="15"/>
    <w:qFormat/>
    <w:uiPriority w:val="99"/>
    <w:rPr>
      <w:rFonts w:cs="Times New Roman"/>
      <w:szCs w:val="24"/>
    </w:rPr>
  </w:style>
  <w:style w:type="character" w:customStyle="1" w:styleId="66">
    <w:name w:val="UserStyle_31"/>
    <w:basedOn w:val="15"/>
    <w:qFormat/>
    <w:uiPriority w:val="99"/>
    <w:rPr>
      <w:rFonts w:ascii="宋体" w:hAnsi="宋体" w:eastAsia="宋体" w:cs="Times New Roman"/>
      <w:b/>
      <w:color w:val="000000"/>
      <w:sz w:val="20"/>
      <w:szCs w:val="20"/>
    </w:rPr>
  </w:style>
  <w:style w:type="character" w:customStyle="1" w:styleId="67">
    <w:name w:val="UserStyle_32"/>
    <w:basedOn w:val="15"/>
    <w:link w:val="68"/>
    <w:qFormat/>
    <w:locked/>
    <w:uiPriority w:val="99"/>
    <w:rPr>
      <w:rFonts w:ascii="楷体_GB2312" w:hAnsi="Times New Roman" w:eastAsia="楷体_GB2312" w:cs="Times New Roman"/>
      <w:sz w:val="20"/>
      <w:szCs w:val="20"/>
    </w:rPr>
  </w:style>
  <w:style w:type="paragraph" w:customStyle="1" w:styleId="68">
    <w:name w:val="BodyTextIndent2"/>
    <w:basedOn w:val="1"/>
    <w:link w:val="67"/>
    <w:qFormat/>
    <w:uiPriority w:val="99"/>
    <w:pPr>
      <w:spacing w:line="520" w:lineRule="exact"/>
      <w:ind w:firstLine="624"/>
    </w:pPr>
    <w:rPr>
      <w:rFonts w:ascii="楷体_GB2312" w:eastAsia="楷体_GB2312"/>
      <w:sz w:val="32"/>
      <w:szCs w:val="32"/>
    </w:rPr>
  </w:style>
  <w:style w:type="character" w:customStyle="1" w:styleId="69">
    <w:name w:val="UserStyle_33"/>
    <w:basedOn w:val="15"/>
    <w:qFormat/>
    <w:uiPriority w:val="99"/>
    <w:rPr>
      <w:rFonts w:cs="Times New Roman"/>
      <w:color w:val="222222"/>
      <w:szCs w:val="24"/>
    </w:rPr>
  </w:style>
  <w:style w:type="character" w:customStyle="1" w:styleId="70">
    <w:name w:val="UserStyle_34"/>
    <w:basedOn w:val="15"/>
    <w:qFormat/>
    <w:uiPriority w:val="99"/>
    <w:rPr>
      <w:rFonts w:cs="Times New Roman"/>
      <w:color w:val="3C88FF"/>
      <w:szCs w:val="24"/>
    </w:rPr>
  </w:style>
  <w:style w:type="character" w:customStyle="1" w:styleId="71">
    <w:name w:val="UserStyle_35"/>
    <w:basedOn w:val="15"/>
    <w:qFormat/>
    <w:uiPriority w:val="99"/>
    <w:rPr>
      <w:rFonts w:cs="Times New Roman"/>
      <w:szCs w:val="24"/>
    </w:rPr>
  </w:style>
  <w:style w:type="character" w:customStyle="1" w:styleId="72">
    <w:name w:val="UserStyle_36"/>
    <w:basedOn w:val="15"/>
    <w:qFormat/>
    <w:uiPriority w:val="99"/>
    <w:rPr>
      <w:rFonts w:cs="Times New Roman"/>
      <w:b/>
      <w:bCs/>
      <w:color w:val="2B74FB"/>
      <w:sz w:val="19"/>
      <w:szCs w:val="19"/>
    </w:rPr>
  </w:style>
  <w:style w:type="character" w:customStyle="1" w:styleId="73">
    <w:name w:val="htmlSamp"/>
    <w:basedOn w:val="15"/>
    <w:qFormat/>
    <w:uiPriority w:val="99"/>
    <w:rPr>
      <w:rFonts w:ascii="Consolas" w:hAnsi="Consolas" w:cs="Times New Roman"/>
      <w:sz w:val="21"/>
      <w:szCs w:val="21"/>
    </w:rPr>
  </w:style>
  <w:style w:type="character" w:customStyle="1" w:styleId="74">
    <w:name w:val="UserStyle_37"/>
    <w:basedOn w:val="15"/>
    <w:qFormat/>
    <w:uiPriority w:val="99"/>
    <w:rPr>
      <w:rFonts w:cs="Times New Roman"/>
      <w:szCs w:val="24"/>
      <w:shd w:val="clear" w:color="auto" w:fill="EEEEEE"/>
    </w:rPr>
  </w:style>
  <w:style w:type="character" w:customStyle="1" w:styleId="75">
    <w:name w:val="UserStyle_38"/>
    <w:basedOn w:val="15"/>
    <w:qFormat/>
    <w:uiPriority w:val="99"/>
    <w:rPr>
      <w:rFonts w:ascii="宋体" w:hAnsi="宋体" w:eastAsia="宋体" w:cs="Times New Roman"/>
      <w:b/>
      <w:color w:val="000000"/>
      <w:sz w:val="22"/>
      <w:szCs w:val="22"/>
    </w:rPr>
  </w:style>
  <w:style w:type="character" w:customStyle="1" w:styleId="76">
    <w:name w:val="UserStyle_39"/>
    <w:basedOn w:val="15"/>
    <w:qFormat/>
    <w:uiPriority w:val="99"/>
    <w:rPr>
      <w:rFonts w:cs="Times New Roman"/>
      <w:color w:val="999999"/>
      <w:szCs w:val="24"/>
    </w:rPr>
  </w:style>
  <w:style w:type="character" w:customStyle="1" w:styleId="77">
    <w:name w:val="UserStyle_40"/>
    <w:basedOn w:val="15"/>
    <w:qFormat/>
    <w:uiPriority w:val="99"/>
    <w:rPr>
      <w:rFonts w:cs="Times New Roman"/>
      <w:color w:val="222222"/>
      <w:szCs w:val="24"/>
    </w:rPr>
  </w:style>
  <w:style w:type="character" w:customStyle="1" w:styleId="78">
    <w:name w:val="HtmlVar"/>
    <w:basedOn w:val="15"/>
    <w:qFormat/>
    <w:uiPriority w:val="99"/>
    <w:rPr>
      <w:rFonts w:cs="Times New Roman"/>
      <w:szCs w:val="24"/>
    </w:rPr>
  </w:style>
  <w:style w:type="character" w:customStyle="1" w:styleId="79">
    <w:name w:val="UserStyle_41"/>
    <w:basedOn w:val="15"/>
    <w:qFormat/>
    <w:uiPriority w:val="99"/>
    <w:rPr>
      <w:rFonts w:cs="Times New Roman"/>
      <w:szCs w:val="24"/>
      <w:shd w:val="clear" w:color="auto" w:fill="111111"/>
    </w:rPr>
  </w:style>
  <w:style w:type="character" w:customStyle="1" w:styleId="80">
    <w:name w:val="UserStyle_42"/>
    <w:basedOn w:val="15"/>
    <w:qFormat/>
    <w:uiPriority w:val="99"/>
    <w:rPr>
      <w:rFonts w:ascii="宋体" w:hAnsi="宋体" w:eastAsia="宋体" w:cs="Times New Roman"/>
      <w:color w:val="000000"/>
      <w:sz w:val="20"/>
      <w:szCs w:val="20"/>
    </w:rPr>
  </w:style>
  <w:style w:type="character" w:customStyle="1" w:styleId="81">
    <w:name w:val="UserStyle_43"/>
    <w:basedOn w:val="15"/>
    <w:qFormat/>
    <w:uiPriority w:val="99"/>
    <w:rPr>
      <w:rFonts w:cs="Times New Roman"/>
      <w:color w:val="666666"/>
      <w:szCs w:val="24"/>
    </w:rPr>
  </w:style>
  <w:style w:type="character" w:customStyle="1" w:styleId="82">
    <w:name w:val="UserStyle_44"/>
    <w:basedOn w:val="15"/>
    <w:qFormat/>
    <w:uiPriority w:val="99"/>
    <w:rPr>
      <w:rFonts w:cs="Times New Roman"/>
      <w:szCs w:val="24"/>
    </w:rPr>
  </w:style>
  <w:style w:type="character" w:customStyle="1" w:styleId="83">
    <w:name w:val="UserStyle_45"/>
    <w:basedOn w:val="15"/>
    <w:qFormat/>
    <w:uiPriority w:val="99"/>
    <w:rPr>
      <w:rFonts w:cs="Times New Roman"/>
      <w:color w:val="FFFFFF"/>
      <w:szCs w:val="24"/>
    </w:rPr>
  </w:style>
  <w:style w:type="character" w:customStyle="1" w:styleId="84">
    <w:name w:val="UserStyle_46"/>
    <w:link w:val="25"/>
    <w:qFormat/>
    <w:locked/>
    <w:uiPriority w:val="99"/>
    <w:rPr>
      <w:rFonts w:ascii="Times New Roman" w:hAnsi="Times New Roman" w:eastAsia="宋体"/>
      <w:b/>
      <w:kern w:val="44"/>
      <w:sz w:val="44"/>
    </w:rPr>
  </w:style>
  <w:style w:type="character" w:customStyle="1" w:styleId="85">
    <w:name w:val="UserStyle_47"/>
    <w:basedOn w:val="15"/>
    <w:qFormat/>
    <w:uiPriority w:val="99"/>
    <w:rPr>
      <w:rFonts w:cs="Times New Roman"/>
      <w:szCs w:val="24"/>
    </w:rPr>
  </w:style>
  <w:style w:type="character" w:customStyle="1" w:styleId="86">
    <w:name w:val="UserStyle_48"/>
    <w:basedOn w:val="15"/>
    <w:qFormat/>
    <w:uiPriority w:val="99"/>
    <w:rPr>
      <w:rFonts w:cs="Times New Roman"/>
      <w:szCs w:val="24"/>
      <w:shd w:val="clear" w:color="auto" w:fill="555555"/>
    </w:rPr>
  </w:style>
  <w:style w:type="character" w:customStyle="1" w:styleId="87">
    <w:name w:val="HtmlAcronym"/>
    <w:basedOn w:val="15"/>
    <w:qFormat/>
    <w:uiPriority w:val="99"/>
    <w:rPr>
      <w:rFonts w:cs="Times New Roman"/>
      <w:szCs w:val="24"/>
    </w:rPr>
  </w:style>
  <w:style w:type="character" w:customStyle="1" w:styleId="88">
    <w:name w:val="UserStyle_49"/>
    <w:basedOn w:val="15"/>
    <w:qFormat/>
    <w:uiPriority w:val="99"/>
    <w:rPr>
      <w:rFonts w:cs="Times New Roman"/>
      <w:szCs w:val="24"/>
    </w:rPr>
  </w:style>
  <w:style w:type="character" w:customStyle="1" w:styleId="89">
    <w:name w:val="UserStyle_50"/>
    <w:basedOn w:val="15"/>
    <w:qFormat/>
    <w:uiPriority w:val="99"/>
    <w:rPr>
      <w:rFonts w:cs="Times New Roman"/>
      <w:color w:val="999999"/>
      <w:szCs w:val="24"/>
    </w:rPr>
  </w:style>
  <w:style w:type="character" w:customStyle="1" w:styleId="90">
    <w:name w:val="UserStyle_51"/>
    <w:link w:val="27"/>
    <w:qFormat/>
    <w:locked/>
    <w:uiPriority w:val="99"/>
    <w:rPr>
      <w:rFonts w:ascii="Calibri" w:hAnsi="Calibri" w:eastAsia="宋体"/>
      <w:b/>
      <w:sz w:val="32"/>
    </w:rPr>
  </w:style>
  <w:style w:type="character" w:customStyle="1" w:styleId="91">
    <w:name w:val="UserStyle_52"/>
    <w:basedOn w:val="15"/>
    <w:qFormat/>
    <w:uiPriority w:val="99"/>
    <w:rPr>
      <w:rFonts w:cs="Times New Roman"/>
      <w:color w:val="FFA800"/>
      <w:szCs w:val="24"/>
    </w:rPr>
  </w:style>
  <w:style w:type="character" w:customStyle="1" w:styleId="92">
    <w:name w:val="UserStyle_53"/>
    <w:basedOn w:val="15"/>
    <w:qFormat/>
    <w:uiPriority w:val="99"/>
    <w:rPr>
      <w:rFonts w:cs="Times New Roman"/>
      <w:szCs w:val="24"/>
    </w:rPr>
  </w:style>
  <w:style w:type="character" w:customStyle="1" w:styleId="93">
    <w:name w:val="UserStyle_54"/>
    <w:basedOn w:val="15"/>
    <w:qFormat/>
    <w:uiPriority w:val="99"/>
    <w:rPr>
      <w:rFonts w:cs="Times New Roman"/>
      <w:szCs w:val="24"/>
      <w:shd w:val="clear" w:color="auto" w:fill="F74A4E"/>
    </w:rPr>
  </w:style>
  <w:style w:type="character" w:customStyle="1" w:styleId="94">
    <w:name w:val="HtmlCite"/>
    <w:basedOn w:val="15"/>
    <w:qFormat/>
    <w:uiPriority w:val="99"/>
    <w:rPr>
      <w:rFonts w:cs="Times New Roman"/>
      <w:szCs w:val="24"/>
    </w:rPr>
  </w:style>
  <w:style w:type="character" w:customStyle="1" w:styleId="95">
    <w:name w:val="UserStyle_55"/>
    <w:basedOn w:val="15"/>
    <w:qFormat/>
    <w:uiPriority w:val="99"/>
    <w:rPr>
      <w:rFonts w:cs="Times New Roman"/>
      <w:color w:val="666666"/>
      <w:szCs w:val="24"/>
    </w:rPr>
  </w:style>
  <w:style w:type="character" w:customStyle="1" w:styleId="96">
    <w:name w:val="UserStyle_56"/>
    <w:basedOn w:val="15"/>
    <w:qFormat/>
    <w:uiPriority w:val="99"/>
    <w:rPr>
      <w:rFonts w:cs="Times New Roman"/>
      <w:szCs w:val="24"/>
    </w:rPr>
  </w:style>
  <w:style w:type="character" w:customStyle="1" w:styleId="97">
    <w:name w:val="UserStyle_58"/>
    <w:basedOn w:val="15"/>
    <w:qFormat/>
    <w:uiPriority w:val="99"/>
    <w:rPr>
      <w:rFonts w:ascii="宋体" w:hAnsi="宋体" w:eastAsia="宋体" w:cs="Times New Roman"/>
      <w:b/>
      <w:color w:val="000000"/>
      <w:sz w:val="28"/>
      <w:szCs w:val="28"/>
    </w:rPr>
  </w:style>
  <w:style w:type="character" w:customStyle="1" w:styleId="98">
    <w:name w:val="UserStyle_59"/>
    <w:basedOn w:val="15"/>
    <w:qFormat/>
    <w:uiPriority w:val="99"/>
    <w:rPr>
      <w:rFonts w:cs="Times New Roman"/>
      <w:szCs w:val="24"/>
    </w:rPr>
  </w:style>
  <w:style w:type="character" w:customStyle="1" w:styleId="99">
    <w:name w:val="UserStyle_60"/>
    <w:basedOn w:val="15"/>
    <w:qFormat/>
    <w:uiPriority w:val="99"/>
    <w:rPr>
      <w:rFonts w:cs="Times New Roman"/>
      <w:szCs w:val="24"/>
    </w:rPr>
  </w:style>
  <w:style w:type="character" w:customStyle="1" w:styleId="100">
    <w:name w:val="UserStyle_61"/>
    <w:basedOn w:val="15"/>
    <w:qFormat/>
    <w:uiPriority w:val="99"/>
    <w:rPr>
      <w:rFonts w:cs="Times New Roman"/>
      <w:szCs w:val="24"/>
      <w:shd w:val="clear" w:color="auto" w:fill="EEEEEE"/>
    </w:rPr>
  </w:style>
  <w:style w:type="character" w:customStyle="1" w:styleId="101">
    <w:name w:val="UserStyle_62"/>
    <w:basedOn w:val="15"/>
    <w:qFormat/>
    <w:uiPriority w:val="99"/>
    <w:rPr>
      <w:rFonts w:ascii="Times New Roman" w:hAnsi="Times New Roman" w:cs="Times New Roman"/>
      <w:b/>
      <w:szCs w:val="24"/>
    </w:rPr>
  </w:style>
  <w:style w:type="character" w:customStyle="1" w:styleId="102">
    <w:name w:val="UserStyle_63"/>
    <w:basedOn w:val="15"/>
    <w:qFormat/>
    <w:uiPriority w:val="99"/>
    <w:rPr>
      <w:rFonts w:cs="Times New Roman"/>
      <w:color w:val="1632EF"/>
      <w:szCs w:val="24"/>
    </w:rPr>
  </w:style>
  <w:style w:type="character" w:customStyle="1" w:styleId="103">
    <w:name w:val="UserStyle_64"/>
    <w:basedOn w:val="15"/>
    <w:qFormat/>
    <w:uiPriority w:val="99"/>
    <w:rPr>
      <w:rFonts w:cs="Times New Roman"/>
      <w:szCs w:val="24"/>
    </w:rPr>
  </w:style>
  <w:style w:type="character" w:customStyle="1" w:styleId="104">
    <w:name w:val="UserStyle_65"/>
    <w:basedOn w:val="15"/>
    <w:qFormat/>
    <w:uiPriority w:val="99"/>
    <w:rPr>
      <w:rFonts w:cs="Times New Roman"/>
      <w:color w:val="1632EF"/>
      <w:szCs w:val="24"/>
    </w:rPr>
  </w:style>
  <w:style w:type="character" w:customStyle="1" w:styleId="105">
    <w:name w:val="UserStyle_66"/>
    <w:basedOn w:val="15"/>
    <w:qFormat/>
    <w:uiPriority w:val="99"/>
    <w:rPr>
      <w:rFonts w:cs="Times New Roman"/>
      <w:szCs w:val="24"/>
    </w:rPr>
  </w:style>
  <w:style w:type="character" w:customStyle="1" w:styleId="106">
    <w:name w:val="UserStyle_67"/>
    <w:basedOn w:val="15"/>
    <w:qFormat/>
    <w:uiPriority w:val="99"/>
    <w:rPr>
      <w:rFonts w:cs="Times New Roman"/>
      <w:vanish/>
      <w:szCs w:val="24"/>
    </w:rPr>
  </w:style>
  <w:style w:type="character" w:customStyle="1" w:styleId="107">
    <w:name w:val="UserStyle_68"/>
    <w:basedOn w:val="15"/>
    <w:qFormat/>
    <w:uiPriority w:val="99"/>
    <w:rPr>
      <w:rFonts w:cs="Times New Roman"/>
      <w:szCs w:val="24"/>
    </w:rPr>
  </w:style>
  <w:style w:type="character" w:customStyle="1" w:styleId="108">
    <w:name w:val="UserStyle_69"/>
    <w:basedOn w:val="15"/>
    <w:qFormat/>
    <w:uiPriority w:val="99"/>
    <w:rPr>
      <w:rFonts w:cs="Times New Roman"/>
      <w:color w:val="666666"/>
      <w:szCs w:val="24"/>
    </w:rPr>
  </w:style>
  <w:style w:type="paragraph" w:customStyle="1" w:styleId="109">
    <w:name w:val="UserStyle_70"/>
    <w:basedOn w:val="1"/>
    <w:next w:val="110"/>
    <w:qFormat/>
    <w:uiPriority w:val="99"/>
    <w:pPr>
      <w:ind w:right="-694"/>
    </w:pPr>
    <w:rPr>
      <w:sz w:val="24"/>
    </w:rPr>
  </w:style>
  <w:style w:type="paragraph" w:customStyle="1" w:styleId="110">
    <w:name w:val="BodyText"/>
    <w:basedOn w:val="1"/>
    <w:next w:val="1"/>
    <w:qFormat/>
    <w:uiPriority w:val="99"/>
    <w:pPr>
      <w:spacing w:line="360" w:lineRule="auto"/>
    </w:pPr>
    <w:rPr>
      <w:rFonts w:ascii="宋体" w:hAnsi="宋体"/>
      <w:bCs/>
      <w:sz w:val="24"/>
      <w:szCs w:val="20"/>
    </w:rPr>
  </w:style>
  <w:style w:type="paragraph" w:customStyle="1" w:styleId="111">
    <w:name w:val="UserStyle_71"/>
    <w:basedOn w:val="1"/>
    <w:qFormat/>
    <w:uiPriority w:val="99"/>
    <w:pPr>
      <w:spacing w:line="360" w:lineRule="auto"/>
      <w:ind w:firstLine="480" w:firstLineChars="200"/>
    </w:pPr>
    <w:rPr>
      <w:rFonts w:ascii="宋体" w:eastAsia="仿宋"/>
      <w:kern w:val="0"/>
      <w:sz w:val="28"/>
      <w:szCs w:val="20"/>
    </w:rPr>
  </w:style>
  <w:style w:type="paragraph" w:customStyle="1" w:styleId="112">
    <w:name w:val="BodyText1I"/>
    <w:basedOn w:val="110"/>
    <w:qFormat/>
    <w:uiPriority w:val="99"/>
    <w:pPr>
      <w:spacing w:after="120"/>
      <w:ind w:firstLine="420" w:firstLineChars="100"/>
    </w:pPr>
  </w:style>
  <w:style w:type="paragraph" w:customStyle="1" w:styleId="113">
    <w:name w:val="TOC6"/>
    <w:basedOn w:val="1"/>
    <w:next w:val="1"/>
    <w:qFormat/>
    <w:locked/>
    <w:uiPriority w:val="99"/>
    <w:pPr>
      <w:ind w:left="2100" w:leftChars="1000"/>
    </w:pPr>
  </w:style>
  <w:style w:type="paragraph" w:customStyle="1" w:styleId="114">
    <w:name w:val="TOC3"/>
    <w:basedOn w:val="1"/>
    <w:next w:val="1"/>
    <w:qFormat/>
    <w:locked/>
    <w:uiPriority w:val="99"/>
    <w:pPr>
      <w:ind w:left="840" w:leftChars="400"/>
    </w:pPr>
  </w:style>
  <w:style w:type="paragraph" w:customStyle="1" w:styleId="115">
    <w:name w:val="UserStyle_72"/>
    <w:basedOn w:val="1"/>
    <w:qFormat/>
    <w:uiPriority w:val="99"/>
    <w:pPr>
      <w:jc w:val="center"/>
    </w:pPr>
    <w:rPr>
      <w:rFonts w:ascii="宋体" w:cs="宋体"/>
      <w:b/>
      <w:bCs/>
      <w:sz w:val="36"/>
      <w:szCs w:val="36"/>
    </w:rPr>
  </w:style>
  <w:style w:type="paragraph" w:customStyle="1" w:styleId="116">
    <w:name w:val="UserStyle_73"/>
    <w:basedOn w:val="1"/>
    <w:qFormat/>
    <w:uiPriority w:val="99"/>
    <w:pPr>
      <w:spacing w:before="100" w:beforeAutospacing="1" w:after="100" w:afterAutospacing="1"/>
      <w:jc w:val="left"/>
    </w:pPr>
    <w:rPr>
      <w:rFonts w:ascii="宋体" w:hAnsi="宋体"/>
      <w:kern w:val="0"/>
      <w:sz w:val="24"/>
      <w:szCs w:val="24"/>
    </w:rPr>
  </w:style>
  <w:style w:type="paragraph" w:customStyle="1" w:styleId="117">
    <w:name w:val="TOC2"/>
    <w:basedOn w:val="1"/>
    <w:next w:val="1"/>
    <w:qFormat/>
    <w:locked/>
    <w:uiPriority w:val="99"/>
    <w:pPr>
      <w:ind w:left="420" w:leftChars="200"/>
    </w:pPr>
  </w:style>
  <w:style w:type="paragraph" w:customStyle="1" w:styleId="118">
    <w:name w:val="TOC4"/>
    <w:basedOn w:val="1"/>
    <w:next w:val="1"/>
    <w:qFormat/>
    <w:locked/>
    <w:uiPriority w:val="99"/>
    <w:pPr>
      <w:ind w:left="1260" w:leftChars="600"/>
    </w:pPr>
  </w:style>
  <w:style w:type="paragraph" w:customStyle="1" w:styleId="119">
    <w:name w:val="UserStyle_74"/>
    <w:basedOn w:val="1"/>
    <w:qFormat/>
    <w:uiPriority w:val="99"/>
    <w:rPr>
      <w:rFonts w:ascii="宋体" w:hAnsi="宋体"/>
      <w:lang w:val="zh-CN"/>
    </w:rPr>
  </w:style>
  <w:style w:type="paragraph" w:customStyle="1" w:styleId="120">
    <w:name w:val="UserStyle_75"/>
    <w:basedOn w:val="1"/>
    <w:next w:val="1"/>
    <w:qFormat/>
    <w:uiPriority w:val="99"/>
    <w:pPr>
      <w:numPr>
        <w:ilvl w:val="1"/>
        <w:numId w:val="2"/>
      </w:numPr>
      <w:tabs>
        <w:tab w:val="left" w:pos="851"/>
      </w:tabs>
      <w:spacing w:line="360" w:lineRule="auto"/>
    </w:pPr>
    <w:rPr>
      <w:rFonts w:ascii="仿宋" w:hAnsi="仿宋" w:eastAsia="仿宋"/>
      <w:b/>
      <w:kern w:val="0"/>
      <w:sz w:val="28"/>
    </w:rPr>
  </w:style>
  <w:style w:type="paragraph" w:customStyle="1" w:styleId="121">
    <w:name w:val="UserStyle_76"/>
    <w:qFormat/>
    <w:uiPriority w:val="99"/>
    <w:pPr>
      <w:textAlignment w:val="baseline"/>
    </w:pPr>
    <w:rPr>
      <w:rFonts w:ascii="宋体" w:hAnsi="宋体" w:eastAsia="宋体" w:cs="Times New Roman"/>
      <w:kern w:val="0"/>
      <w:sz w:val="24"/>
      <w:szCs w:val="24"/>
      <w:lang w:val="en-US" w:eastAsia="zh-CN" w:bidi="ar-SA"/>
    </w:rPr>
  </w:style>
  <w:style w:type="paragraph" w:customStyle="1" w:styleId="122">
    <w:name w:val="TOC1"/>
    <w:basedOn w:val="1"/>
    <w:next w:val="1"/>
    <w:qFormat/>
    <w:locked/>
    <w:uiPriority w:val="99"/>
  </w:style>
  <w:style w:type="paragraph" w:customStyle="1" w:styleId="123">
    <w:name w:val="UserStyle_77"/>
    <w:basedOn w:val="1"/>
    <w:qFormat/>
    <w:uiPriority w:val="99"/>
    <w:pPr>
      <w:ind w:firstLine="420" w:firstLineChars="200"/>
    </w:pPr>
  </w:style>
  <w:style w:type="paragraph" w:customStyle="1" w:styleId="124">
    <w:name w:val="UserStyle_78"/>
    <w:basedOn w:val="1"/>
    <w:qFormat/>
    <w:uiPriority w:val="99"/>
    <w:pPr>
      <w:spacing w:before="100" w:beforeAutospacing="1" w:after="100" w:afterAutospacing="1"/>
      <w:jc w:val="left"/>
    </w:pPr>
    <w:rPr>
      <w:rFonts w:ascii="宋体" w:hAnsi="宋体"/>
      <w:kern w:val="0"/>
      <w:sz w:val="24"/>
      <w:szCs w:val="24"/>
    </w:rPr>
  </w:style>
  <w:style w:type="paragraph" w:customStyle="1" w:styleId="125">
    <w:name w:val="UserStyle_79"/>
    <w:basedOn w:val="1"/>
    <w:qFormat/>
    <w:uiPriority w:val="99"/>
    <w:pPr>
      <w:ind w:firstLine="420" w:firstLineChars="200"/>
    </w:pPr>
    <w:rPr>
      <w:rFonts w:ascii="Calibri" w:hAnsi="Calibri"/>
    </w:rPr>
  </w:style>
  <w:style w:type="paragraph" w:customStyle="1" w:styleId="126">
    <w:name w:val="TOC9"/>
    <w:basedOn w:val="1"/>
    <w:next w:val="1"/>
    <w:qFormat/>
    <w:locked/>
    <w:uiPriority w:val="99"/>
    <w:pPr>
      <w:ind w:left="3360" w:leftChars="1600"/>
    </w:pPr>
  </w:style>
  <w:style w:type="paragraph" w:customStyle="1" w:styleId="127">
    <w:name w:val="UserStyle_80"/>
    <w:basedOn w:val="1"/>
    <w:next w:val="1"/>
    <w:qFormat/>
    <w:uiPriority w:val="99"/>
    <w:pPr>
      <w:jc w:val="left"/>
    </w:pPr>
  </w:style>
  <w:style w:type="paragraph" w:customStyle="1" w:styleId="128">
    <w:name w:val="UserStyle_81"/>
    <w:basedOn w:val="1"/>
    <w:next w:val="127"/>
    <w:qFormat/>
    <w:uiPriority w:val="99"/>
    <w:pPr>
      <w:jc w:val="left"/>
    </w:pPr>
    <w:rPr>
      <w:rFonts w:ascii="Calibri" w:hAnsi="Calibri"/>
      <w:b/>
      <w:szCs w:val="24"/>
    </w:rPr>
  </w:style>
  <w:style w:type="paragraph" w:customStyle="1" w:styleId="129">
    <w:name w:val="Acetate"/>
    <w:basedOn w:val="1"/>
    <w:semiHidden/>
    <w:qFormat/>
    <w:uiPriority w:val="99"/>
    <w:rPr>
      <w:sz w:val="18"/>
      <w:szCs w:val="18"/>
    </w:rPr>
  </w:style>
  <w:style w:type="paragraph" w:customStyle="1" w:styleId="130">
    <w:name w:val="UserStyle_82"/>
    <w:basedOn w:val="1"/>
    <w:qFormat/>
    <w:uiPriority w:val="99"/>
    <w:pPr>
      <w:ind w:firstLine="420" w:firstLineChars="200"/>
    </w:pPr>
  </w:style>
  <w:style w:type="paragraph" w:customStyle="1" w:styleId="131">
    <w:name w:val="TOC8"/>
    <w:basedOn w:val="1"/>
    <w:next w:val="1"/>
    <w:qFormat/>
    <w:locked/>
    <w:uiPriority w:val="99"/>
    <w:pPr>
      <w:ind w:left="2940" w:leftChars="1400"/>
    </w:pPr>
  </w:style>
  <w:style w:type="paragraph" w:customStyle="1" w:styleId="132">
    <w:name w:val="TOC5"/>
    <w:basedOn w:val="1"/>
    <w:next w:val="1"/>
    <w:qFormat/>
    <w:locked/>
    <w:uiPriority w:val="99"/>
    <w:pPr>
      <w:ind w:left="1680" w:leftChars="800"/>
    </w:pPr>
  </w:style>
  <w:style w:type="paragraph" w:customStyle="1" w:styleId="133">
    <w:name w:val="TOC7"/>
    <w:basedOn w:val="1"/>
    <w:next w:val="1"/>
    <w:qFormat/>
    <w:locked/>
    <w:uiPriority w:val="99"/>
    <w:pPr>
      <w:ind w:left="2520" w:leftChars="1200"/>
    </w:pPr>
  </w:style>
  <w:style w:type="paragraph" w:customStyle="1" w:styleId="134">
    <w:name w:val="NavPane"/>
    <w:basedOn w:val="1"/>
    <w:semiHidden/>
    <w:qFormat/>
    <w:uiPriority w:val="99"/>
    <w:pPr>
      <w:shd w:val="clear" w:color="auto" w:fill="000080"/>
    </w:pPr>
  </w:style>
  <w:style w:type="paragraph" w:customStyle="1" w:styleId="135">
    <w:name w:val="HtmlNormal"/>
    <w:basedOn w:val="1"/>
    <w:qFormat/>
    <w:uiPriority w:val="99"/>
    <w:pPr>
      <w:spacing w:before="100" w:beforeAutospacing="1" w:after="100" w:afterAutospacing="1"/>
      <w:jc w:val="left"/>
    </w:pPr>
    <w:rPr>
      <w:rFonts w:ascii="宋体" w:hAnsi="宋体"/>
      <w:kern w:val="0"/>
      <w:sz w:val="24"/>
      <w:szCs w:val="24"/>
    </w:rPr>
  </w:style>
  <w:style w:type="paragraph" w:customStyle="1" w:styleId="136">
    <w:name w:val="UserStyle_83"/>
    <w:basedOn w:val="1"/>
    <w:qFormat/>
    <w:uiPriority w:val="99"/>
    <w:pPr>
      <w:spacing w:before="120"/>
      <w:jc w:val="left"/>
    </w:pPr>
    <w:rPr>
      <w:rFonts w:ascii="宋体" w:hAnsi="宋体"/>
      <w:b/>
      <w:kern w:val="0"/>
      <w:sz w:val="18"/>
      <w:szCs w:val="18"/>
    </w:rPr>
  </w:style>
  <w:style w:type="paragraph" w:customStyle="1" w:styleId="137">
    <w:name w:val="PlainText"/>
    <w:basedOn w:val="1"/>
    <w:qFormat/>
    <w:uiPriority w:val="99"/>
    <w:rPr>
      <w:rFonts w:ascii="宋体" w:hAnsi="Courier New"/>
    </w:rPr>
  </w:style>
  <w:style w:type="paragraph" w:customStyle="1" w:styleId="138">
    <w:name w:val="UserStyle_84"/>
    <w:basedOn w:val="1"/>
    <w:next w:val="1"/>
    <w:qFormat/>
    <w:uiPriority w:val="99"/>
    <w:pPr>
      <w:jc w:val="left"/>
    </w:pPr>
  </w:style>
  <w:style w:type="table" w:customStyle="1" w:styleId="139">
    <w:name w:val="TableGrid"/>
    <w:basedOn w:val="32"/>
    <w:qFormat/>
    <w:locked/>
    <w:uiPriority w:val="99"/>
    <w:tblPr>
      <w:tblCellMar>
        <w:top w:w="0" w:type="dxa"/>
        <w:left w:w="0" w:type="dxa"/>
        <w:bottom w:w="0" w:type="dxa"/>
        <w:right w:w="0" w:type="dxa"/>
      </w:tblCellMar>
    </w:tblPr>
  </w:style>
  <w:style w:type="paragraph" w:customStyle="1" w:styleId="140">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141">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character" w:customStyle="1" w:styleId="142">
    <w:name w:val="phone"/>
    <w:basedOn w:val="12"/>
    <w:qFormat/>
    <w:uiPriority w:val="99"/>
    <w:rPr>
      <w:rFonts w:cs="Times New Roman"/>
      <w:color w:val="FF8833"/>
      <w:sz w:val="14"/>
      <w:szCs w:val="14"/>
    </w:rPr>
  </w:style>
  <w:style w:type="character" w:customStyle="1" w:styleId="143">
    <w:name w:val="proollist"/>
    <w:basedOn w:val="12"/>
    <w:qFormat/>
    <w:uiPriority w:val="99"/>
    <w:rPr>
      <w:rFonts w:cs="Times New Roman"/>
    </w:rPr>
  </w:style>
  <w:style w:type="character" w:customStyle="1" w:styleId="144">
    <w:name w:val="beforeinfotext"/>
    <w:basedOn w:val="12"/>
    <w:qFormat/>
    <w:uiPriority w:val="99"/>
    <w:rPr>
      <w:rFonts w:cs="Times New Roman"/>
      <w:color w:val="666666"/>
    </w:rPr>
  </w:style>
  <w:style w:type="character" w:customStyle="1" w:styleId="145">
    <w:name w:val="stclosebtn"/>
    <w:basedOn w:val="12"/>
    <w:qFormat/>
    <w:uiPriority w:val="99"/>
    <w:rPr>
      <w:rFonts w:cs="Times New Roman"/>
    </w:rPr>
  </w:style>
  <w:style w:type="character" w:customStyle="1" w:styleId="146">
    <w:name w:val="number"/>
    <w:basedOn w:val="12"/>
    <w:qFormat/>
    <w:uiPriority w:val="99"/>
    <w:rPr>
      <w:rFonts w:cs="Times New Roman"/>
      <w:color w:val="FF8833"/>
      <w:sz w:val="14"/>
      <w:szCs w:val="14"/>
    </w:rPr>
  </w:style>
  <w:style w:type="paragraph" w:customStyle="1" w:styleId="147">
    <w:name w:val="title11"/>
    <w:basedOn w:val="1"/>
    <w:qFormat/>
    <w:uiPriority w:val="99"/>
    <w:pPr>
      <w:spacing w:before="120"/>
      <w:jc w:val="left"/>
    </w:pPr>
    <w:rPr>
      <w:b/>
      <w:bCs/>
      <w:kern w:val="0"/>
      <w:sz w:val="18"/>
      <w:szCs w:val="18"/>
    </w:rPr>
  </w:style>
  <w:style w:type="paragraph" w:customStyle="1" w:styleId="148">
    <w:name w:val="title13"/>
    <w:basedOn w:val="1"/>
    <w:qFormat/>
    <w:uiPriority w:val="99"/>
    <w:pPr>
      <w:spacing w:before="120"/>
      <w:jc w:val="left"/>
    </w:pPr>
    <w:rPr>
      <w:b/>
      <w:bCs/>
      <w:kern w:val="0"/>
      <w:sz w:val="18"/>
      <w:szCs w:val="18"/>
    </w:rPr>
  </w:style>
  <w:style w:type="paragraph" w:styleId="149">
    <w:name w:val="List Paragraph"/>
    <w:basedOn w:val="1"/>
    <w:qFormat/>
    <w:uiPriority w:val="99"/>
    <w:pPr>
      <w:ind w:firstLine="420" w:firstLineChars="200"/>
    </w:pPr>
  </w:style>
  <w:style w:type="table" w:customStyle="1" w:styleId="15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43</Pages>
  <Words>3720</Words>
  <Characters>21206</Characters>
  <Lines>0</Lines>
  <Paragraphs>0</Paragraphs>
  <TotalTime>80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2021-03-28T06:53:00Z</dcterms:created>
  <dc:creator>Administrator</dc:creator>
  <cp:lastModifiedBy>你跋扈我就嚣张</cp:lastModifiedBy>
  <cp:lastPrinted>2021-09-25T08:00:00Z</cp:lastPrinted>
  <dcterms:modified xsi:type="dcterms:W3CDTF">2021-10-09T09:06:21Z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CE5C9A66626C43498176932D10D29AC5</vt:lpwstr>
  </property>
</Properties>
</file>