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640"/>
        </w:tabs>
        <w:rPr>
          <w:rFonts w:ascii="宋体" w:hAnsi="宋体" w:cs="宋体"/>
          <w:sz w:val="24"/>
        </w:rPr>
      </w:pPr>
      <w:r>
        <w:rPr>
          <w:rFonts w:ascii="宋体" w:hAnsi="宋体" w:cs="宋体"/>
          <w:sz w:val="24"/>
        </w:rPr>
        <w:drawing>
          <wp:inline distT="0" distB="0" distL="0" distR="0">
            <wp:extent cx="1251585" cy="1219200"/>
            <wp:effectExtent l="19050" t="0" r="5715" b="0"/>
            <wp:docPr id="2" name="图片 0" descr="九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九科logo.jpg"/>
                    <pic:cNvPicPr>
                      <a:picLocks noChangeAspect="1" noChangeArrowheads="1"/>
                    </pic:cNvPicPr>
                  </pic:nvPicPr>
                  <pic:blipFill>
                    <a:blip r:embed="rId16"/>
                    <a:srcRect/>
                    <a:stretch>
                      <a:fillRect/>
                    </a:stretch>
                  </pic:blipFill>
                  <pic:spPr>
                    <a:xfrm>
                      <a:off x="0" y="0"/>
                      <a:ext cx="1251585" cy="1219200"/>
                    </a:xfrm>
                    <a:prstGeom prst="rect">
                      <a:avLst/>
                    </a:prstGeom>
                    <a:noFill/>
                    <a:ln w="9525">
                      <a:noFill/>
                      <a:miter lim="800000"/>
                      <a:headEnd/>
                      <a:tailEnd/>
                    </a:ln>
                  </pic:spPr>
                </pic:pic>
              </a:graphicData>
            </a:graphic>
          </wp:inline>
        </w:drawing>
      </w:r>
    </w:p>
    <w:p>
      <w:pPr>
        <w:pStyle w:val="8"/>
      </w:pPr>
    </w:p>
    <w:p>
      <w:pPr>
        <w:spacing w:line="360" w:lineRule="auto"/>
        <w:jc w:val="center"/>
        <w:rPr>
          <w:rFonts w:hint="eastAsia" w:ascii="宋体" w:hAnsi="宋体" w:cs="宋体"/>
          <w:b/>
          <w:sz w:val="48"/>
          <w:szCs w:val="48"/>
        </w:rPr>
      </w:pPr>
      <w:r>
        <w:rPr>
          <w:rFonts w:hint="eastAsia" w:ascii="宋体" w:hAnsi="宋体" w:cs="宋体"/>
          <w:b/>
          <w:sz w:val="48"/>
          <w:szCs w:val="48"/>
        </w:rPr>
        <w:t>铜川市环境大气污染企业治污设施</w:t>
      </w:r>
    </w:p>
    <w:p>
      <w:pPr>
        <w:spacing w:line="360" w:lineRule="auto"/>
        <w:jc w:val="center"/>
        <w:rPr>
          <w:rFonts w:ascii="宋体" w:hAnsi="宋体" w:cs="宋体"/>
          <w:b/>
          <w:sz w:val="48"/>
          <w:szCs w:val="48"/>
        </w:rPr>
      </w:pPr>
      <w:r>
        <w:rPr>
          <w:rFonts w:hint="eastAsia" w:ascii="宋体" w:hAnsi="宋体" w:cs="宋体"/>
          <w:b/>
          <w:sz w:val="48"/>
          <w:szCs w:val="48"/>
        </w:rPr>
        <w:t>用电监管与治污设备管理系统建设项目</w:t>
      </w:r>
    </w:p>
    <w:p>
      <w:pPr>
        <w:pStyle w:val="8"/>
        <w:rPr>
          <w:rFonts w:ascii="宋体" w:hAnsi="宋体"/>
        </w:rPr>
      </w:pPr>
    </w:p>
    <w:p>
      <w:pPr>
        <w:jc w:val="center"/>
        <w:rPr>
          <w:rFonts w:hint="eastAsia" w:ascii="宋体" w:hAnsi="宋体" w:cs="宋体"/>
          <w:b/>
          <w:sz w:val="72"/>
          <w:szCs w:val="72"/>
        </w:rPr>
      </w:pPr>
    </w:p>
    <w:p>
      <w:pPr>
        <w:jc w:val="center"/>
        <w:rPr>
          <w:rFonts w:ascii="宋体" w:hAnsi="宋体" w:cs="宋体"/>
          <w:sz w:val="72"/>
          <w:szCs w:val="72"/>
        </w:rPr>
      </w:pPr>
      <w:r>
        <w:rPr>
          <w:rFonts w:hint="eastAsia" w:ascii="宋体" w:hAnsi="宋体" w:cs="宋体"/>
          <w:b/>
          <w:sz w:val="72"/>
          <w:szCs w:val="72"/>
        </w:rPr>
        <w:t>招标文件</w:t>
      </w:r>
    </w:p>
    <w:p>
      <w:pPr>
        <w:jc w:val="center"/>
        <w:rPr>
          <w:rFonts w:hint="eastAsia" w:ascii="宋体" w:hAnsi="宋体" w:cs="宋体"/>
          <w:b/>
          <w:sz w:val="32"/>
        </w:rPr>
      </w:pPr>
    </w:p>
    <w:p>
      <w:pPr>
        <w:jc w:val="center"/>
        <w:rPr>
          <w:rFonts w:hint="eastAsia" w:ascii="宋体" w:hAnsi="宋体" w:eastAsia="宋体" w:cs="宋体"/>
          <w:b/>
          <w:sz w:val="32"/>
          <w:lang w:eastAsia="zh-CN"/>
        </w:rPr>
      </w:pPr>
      <w:r>
        <w:rPr>
          <w:rFonts w:hint="eastAsia" w:ascii="宋体" w:hAnsi="宋体" w:cs="宋体"/>
          <w:b/>
          <w:sz w:val="32"/>
        </w:rPr>
        <w:t>采购项目编号：CYJK-ZFCG-202</w:t>
      </w:r>
      <w:r>
        <w:rPr>
          <w:rFonts w:hint="eastAsia" w:ascii="宋体" w:hAnsi="宋体" w:cs="宋体"/>
          <w:b/>
          <w:sz w:val="32"/>
          <w:lang w:val="en-US" w:eastAsia="zh-CN"/>
        </w:rPr>
        <w:t>1</w:t>
      </w:r>
      <w:r>
        <w:rPr>
          <w:rFonts w:hint="eastAsia" w:ascii="宋体" w:hAnsi="宋体" w:cs="宋体"/>
          <w:b/>
          <w:sz w:val="32"/>
        </w:rPr>
        <w:t>-01</w:t>
      </w:r>
      <w:r>
        <w:rPr>
          <w:rFonts w:hint="eastAsia" w:ascii="宋体" w:hAnsi="宋体" w:cs="宋体"/>
          <w:b/>
          <w:sz w:val="32"/>
          <w:lang w:val="en-US" w:eastAsia="zh-CN"/>
        </w:rPr>
        <w:t>0</w:t>
      </w:r>
    </w:p>
    <w:p>
      <w:pPr>
        <w:spacing w:line="360" w:lineRule="auto"/>
        <w:rPr>
          <w:rFonts w:ascii="宋体" w:hAnsi="宋体" w:cs="宋体"/>
          <w:sz w:val="32"/>
        </w:rPr>
      </w:pPr>
    </w:p>
    <w:p>
      <w:pPr>
        <w:spacing w:line="360" w:lineRule="auto"/>
        <w:rPr>
          <w:rFonts w:ascii="宋体" w:hAnsi="宋体" w:cs="宋体"/>
          <w:sz w:val="32"/>
        </w:rPr>
      </w:pPr>
    </w:p>
    <w:p>
      <w:pPr>
        <w:spacing w:line="360" w:lineRule="auto"/>
        <w:rPr>
          <w:rFonts w:ascii="宋体" w:hAnsi="宋体" w:cs="宋体"/>
          <w:sz w:val="32"/>
        </w:rPr>
      </w:pPr>
    </w:p>
    <w:p>
      <w:pPr>
        <w:spacing w:line="360" w:lineRule="auto"/>
        <w:rPr>
          <w:rFonts w:ascii="宋体" w:hAnsi="宋体" w:cs="宋体"/>
          <w:sz w:val="32"/>
        </w:rPr>
      </w:pPr>
    </w:p>
    <w:p>
      <w:pPr>
        <w:pStyle w:val="8"/>
      </w:pPr>
    </w:p>
    <w:p>
      <w:pPr>
        <w:spacing w:line="360" w:lineRule="auto"/>
        <w:rPr>
          <w:rFonts w:ascii="宋体" w:hAnsi="宋体" w:cs="宋体"/>
          <w:sz w:val="32"/>
        </w:rPr>
      </w:pPr>
    </w:p>
    <w:p>
      <w:pPr>
        <w:spacing w:line="600" w:lineRule="auto"/>
        <w:jc w:val="center"/>
        <w:rPr>
          <w:rFonts w:ascii="宋体" w:hAnsi="宋体" w:cs="宋体"/>
          <w:b/>
          <w:sz w:val="30"/>
          <w:szCs w:val="30"/>
        </w:rPr>
      </w:pPr>
      <w:r>
        <w:rPr>
          <w:rFonts w:hint="eastAsia" w:ascii="宋体" w:hAnsi="宋体" w:cs="宋体"/>
          <w:b/>
          <w:sz w:val="30"/>
          <w:szCs w:val="30"/>
        </w:rPr>
        <w:t>采   购   人：</w:t>
      </w:r>
      <w:r>
        <w:rPr>
          <w:rFonts w:ascii="宋体" w:hAnsi="宋体" w:cs="宋体"/>
          <w:b/>
          <w:sz w:val="30"/>
          <w:szCs w:val="30"/>
        </w:rPr>
        <w:t>铜川市生态环境局</w:t>
      </w:r>
    </w:p>
    <w:p>
      <w:pPr>
        <w:spacing w:line="600" w:lineRule="auto"/>
        <w:jc w:val="center"/>
        <w:rPr>
          <w:rFonts w:ascii="宋体" w:hAnsi="宋体" w:cs="宋体"/>
          <w:b/>
          <w:sz w:val="30"/>
          <w:szCs w:val="30"/>
        </w:rPr>
      </w:pPr>
      <w:r>
        <w:rPr>
          <w:rFonts w:hint="eastAsia" w:ascii="宋体" w:hAnsi="宋体" w:cs="宋体"/>
          <w:b/>
          <w:sz w:val="30"/>
          <w:szCs w:val="30"/>
        </w:rPr>
        <w:t>采购代理机构:陕西宸逸九科项目咨询管理有限公司</w:t>
      </w:r>
    </w:p>
    <w:p>
      <w:pPr>
        <w:spacing w:line="600" w:lineRule="auto"/>
        <w:jc w:val="center"/>
        <w:rPr>
          <w:rFonts w:ascii="宋体" w:hAnsi="宋体" w:cs="宋体"/>
          <w:b/>
          <w:sz w:val="30"/>
          <w:szCs w:val="30"/>
        </w:rPr>
      </w:pPr>
      <w:r>
        <w:rPr>
          <w:rFonts w:hint="eastAsia" w:ascii="宋体" w:hAnsi="宋体" w:cs="宋体"/>
          <w:b/>
          <w:sz w:val="30"/>
          <w:szCs w:val="30"/>
        </w:rPr>
        <w:t>二零二</w:t>
      </w:r>
      <w:r>
        <w:rPr>
          <w:rFonts w:hint="eastAsia" w:ascii="宋体" w:hAnsi="宋体" w:cs="宋体"/>
          <w:b/>
          <w:sz w:val="30"/>
          <w:szCs w:val="30"/>
          <w:lang w:val="en-US" w:eastAsia="zh-CN"/>
        </w:rPr>
        <w:t>一</w:t>
      </w:r>
      <w:r>
        <w:rPr>
          <w:rFonts w:hint="eastAsia" w:ascii="宋体" w:hAnsi="宋体" w:cs="宋体"/>
          <w:b/>
          <w:sz w:val="30"/>
          <w:szCs w:val="30"/>
        </w:rPr>
        <w:t>年</w:t>
      </w:r>
      <w:r>
        <w:rPr>
          <w:rFonts w:hint="eastAsia" w:ascii="宋体" w:hAnsi="宋体" w:cs="宋体"/>
          <w:b/>
          <w:sz w:val="30"/>
          <w:szCs w:val="30"/>
          <w:lang w:val="en-US" w:eastAsia="zh-CN"/>
        </w:rPr>
        <w:t>八</w:t>
      </w:r>
      <w:r>
        <w:rPr>
          <w:rFonts w:hint="eastAsia" w:ascii="宋体" w:hAnsi="宋体" w:cs="宋体"/>
          <w:b/>
          <w:sz w:val="30"/>
          <w:szCs w:val="30"/>
        </w:rPr>
        <w:t>月</w:t>
      </w:r>
    </w:p>
    <w:p>
      <w:pPr>
        <w:sectPr>
          <w:headerReference r:id="rId4" w:type="first"/>
          <w:headerReference r:id="rId3" w:type="default"/>
          <w:footerReference r:id="rId5" w:type="default"/>
          <w:footerReference r:id="rId6" w:type="even"/>
          <w:footnotePr>
            <w:pos w:val="beneathText"/>
          </w:footnotePr>
          <w:pgSz w:w="11906" w:h="16838"/>
          <w:pgMar w:top="1769" w:right="1701" w:bottom="1219" w:left="1701" w:header="851" w:footer="992" w:gutter="0"/>
          <w:cols w:space="720" w:num="1"/>
          <w:titlePg/>
          <w:docGrid w:linePitch="312" w:charSpace="0"/>
        </w:sectPr>
      </w:pPr>
    </w:p>
    <w:p>
      <w:pPr>
        <w:spacing w:line="360" w:lineRule="auto"/>
        <w:jc w:val="center"/>
        <w:rPr>
          <w:rFonts w:ascii="宋体" w:hAnsi="宋体" w:cs="仿宋_GB2312"/>
          <w:b/>
          <w:sz w:val="36"/>
          <w:szCs w:val="36"/>
        </w:rPr>
      </w:pPr>
      <w:r>
        <w:rPr>
          <w:rFonts w:hint="eastAsia" w:ascii="宋体" w:hAnsi="宋体" w:cs="仿宋_GB2312"/>
          <w:b/>
          <w:sz w:val="36"/>
          <w:szCs w:val="36"/>
        </w:rPr>
        <w:t>目    录</w:t>
      </w:r>
    </w:p>
    <w:p>
      <w:pPr>
        <w:pStyle w:val="15"/>
        <w:tabs>
          <w:tab w:val="right" w:leader="dot" w:pos="9060"/>
        </w:tabs>
      </w:pPr>
      <w:r>
        <w:rPr>
          <w:rFonts w:hint="eastAsia" w:ascii="宋体" w:hAnsi="宋体" w:cs="仿宋"/>
          <w:b w:val="0"/>
          <w:caps w:val="0"/>
          <w:sz w:val="24"/>
          <w:szCs w:val="24"/>
        </w:rPr>
        <w:fldChar w:fldCharType="begin"/>
      </w:r>
      <w:r>
        <w:rPr>
          <w:rFonts w:hint="eastAsia" w:ascii="宋体" w:hAnsi="宋体" w:cs="仿宋"/>
          <w:b w:val="0"/>
          <w:caps w:val="0"/>
          <w:sz w:val="24"/>
          <w:szCs w:val="24"/>
        </w:rPr>
        <w:instrText xml:space="preserve"> TOC \o "1-3" \h \z \u </w:instrText>
      </w:r>
      <w:r>
        <w:rPr>
          <w:rFonts w:hint="eastAsia" w:ascii="宋体" w:hAnsi="宋体" w:cs="仿宋"/>
          <w:b w:val="0"/>
          <w:caps w:val="0"/>
          <w:sz w:val="24"/>
          <w:szCs w:val="24"/>
        </w:rPr>
        <w:fldChar w:fldCharType="separate"/>
      </w:r>
      <w:r>
        <w:rPr>
          <w:rFonts w:hint="eastAsia" w:ascii="宋体" w:hAnsi="宋体" w:cs="仿宋"/>
          <w:caps w:val="0"/>
          <w:szCs w:val="24"/>
        </w:rPr>
        <w:fldChar w:fldCharType="begin"/>
      </w:r>
      <w:r>
        <w:rPr>
          <w:rFonts w:hint="eastAsia" w:ascii="宋体" w:hAnsi="宋体" w:cs="仿宋"/>
          <w:caps w:val="0"/>
          <w:szCs w:val="24"/>
        </w:rPr>
        <w:instrText xml:space="preserve"> HYPERLINK \l _Toc13840 </w:instrText>
      </w:r>
      <w:r>
        <w:rPr>
          <w:rFonts w:hint="eastAsia" w:ascii="宋体" w:hAnsi="宋体" w:cs="仿宋"/>
          <w:caps w:val="0"/>
          <w:szCs w:val="24"/>
        </w:rPr>
        <w:fldChar w:fldCharType="separate"/>
      </w:r>
      <w:r>
        <w:rPr>
          <w:rFonts w:hint="eastAsia" w:ascii="宋体" w:hAnsi="宋体" w:cs="仿宋_GB2312"/>
        </w:rPr>
        <w:t>第一部分  招标公告</w:t>
      </w:r>
      <w:r>
        <w:tab/>
      </w:r>
      <w:r>
        <w:fldChar w:fldCharType="begin"/>
      </w:r>
      <w:r>
        <w:instrText xml:space="preserve"> PAGEREF _Toc13840 \h </w:instrText>
      </w:r>
      <w:r>
        <w:fldChar w:fldCharType="separate"/>
      </w:r>
      <w:r>
        <w:t>4</w:t>
      </w:r>
      <w:r>
        <w:fldChar w:fldCharType="end"/>
      </w:r>
      <w:r>
        <w:rPr>
          <w:rFonts w:hint="eastAsia" w:ascii="宋体" w:hAnsi="宋体" w:cs="仿宋"/>
          <w:caps w:val="0"/>
          <w:szCs w:val="24"/>
        </w:rPr>
        <w:fldChar w:fldCharType="end"/>
      </w:r>
    </w:p>
    <w:p>
      <w:pPr>
        <w:pStyle w:val="15"/>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_Toc26939 </w:instrText>
      </w:r>
      <w:r>
        <w:rPr>
          <w:rFonts w:hint="eastAsia" w:ascii="宋体" w:hAnsi="宋体" w:cs="仿宋"/>
          <w:caps w:val="0"/>
          <w:szCs w:val="24"/>
        </w:rPr>
        <w:fldChar w:fldCharType="separate"/>
      </w:r>
      <w:r>
        <w:rPr>
          <w:rFonts w:hint="eastAsia" w:ascii="宋体" w:hAnsi="宋体" w:cs="仿宋_GB2312"/>
        </w:rPr>
        <w:t>第二部分  供应商须知前附表</w:t>
      </w:r>
      <w:r>
        <w:tab/>
      </w:r>
      <w:r>
        <w:fldChar w:fldCharType="begin"/>
      </w:r>
      <w:r>
        <w:instrText xml:space="preserve"> PAGEREF _Toc26939 \h </w:instrText>
      </w:r>
      <w:r>
        <w:fldChar w:fldCharType="separate"/>
      </w:r>
      <w:r>
        <w:t>7</w:t>
      </w:r>
      <w:r>
        <w:fldChar w:fldCharType="end"/>
      </w:r>
      <w:r>
        <w:rPr>
          <w:rFonts w:hint="eastAsia" w:ascii="宋体" w:hAnsi="宋体" w:cs="仿宋"/>
          <w:caps w:val="0"/>
          <w:szCs w:val="24"/>
        </w:rPr>
        <w:fldChar w:fldCharType="end"/>
      </w:r>
    </w:p>
    <w:p>
      <w:pPr>
        <w:pStyle w:val="15"/>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_Toc6772 </w:instrText>
      </w:r>
      <w:r>
        <w:rPr>
          <w:rFonts w:hint="eastAsia" w:ascii="宋体" w:hAnsi="宋体" w:cs="仿宋"/>
          <w:caps w:val="0"/>
          <w:szCs w:val="24"/>
        </w:rPr>
        <w:fldChar w:fldCharType="separate"/>
      </w:r>
      <w:r>
        <w:rPr>
          <w:rFonts w:hint="eastAsia" w:ascii="宋体" w:hAnsi="宋体" w:cs="仿宋_GB2312"/>
        </w:rPr>
        <w:t>第三部分  供应商须知</w:t>
      </w:r>
      <w:r>
        <w:tab/>
      </w:r>
      <w:r>
        <w:fldChar w:fldCharType="begin"/>
      </w:r>
      <w:r>
        <w:instrText xml:space="preserve"> PAGEREF _Toc6772 \h </w:instrText>
      </w:r>
      <w:r>
        <w:fldChar w:fldCharType="separate"/>
      </w:r>
      <w:r>
        <w:t>13</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_Toc11084 </w:instrText>
      </w:r>
      <w:r>
        <w:rPr>
          <w:rFonts w:hint="eastAsia" w:ascii="宋体" w:hAnsi="宋体" w:cs="仿宋"/>
          <w:caps w:val="0"/>
          <w:szCs w:val="24"/>
        </w:rPr>
        <w:fldChar w:fldCharType="separate"/>
      </w:r>
      <w:r>
        <w:rPr>
          <w:rFonts w:hint="eastAsia" w:ascii="宋体" w:hAnsi="宋体" w:eastAsia="宋体" w:cs="仿宋_GB2312"/>
        </w:rPr>
        <w:t>A 总则</w:t>
      </w:r>
      <w:r>
        <w:tab/>
      </w:r>
      <w:r>
        <w:fldChar w:fldCharType="begin"/>
      </w:r>
      <w:r>
        <w:instrText xml:space="preserve"> PAGEREF _Toc11084 \h </w:instrText>
      </w:r>
      <w:r>
        <w:fldChar w:fldCharType="separate"/>
      </w:r>
      <w:r>
        <w:t>13</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_Toc15658 </w:instrText>
      </w:r>
      <w:r>
        <w:rPr>
          <w:rFonts w:hint="eastAsia" w:ascii="宋体" w:hAnsi="宋体" w:cs="仿宋"/>
          <w:caps w:val="0"/>
          <w:szCs w:val="24"/>
        </w:rPr>
        <w:fldChar w:fldCharType="separate"/>
      </w:r>
      <w:r>
        <w:rPr>
          <w:rFonts w:hint="eastAsia" w:ascii="宋体" w:hAnsi="宋体" w:cs="仿宋_GB2312"/>
        </w:rPr>
        <w:t>1 适用范围</w:t>
      </w:r>
      <w:r>
        <w:tab/>
      </w:r>
      <w:r>
        <w:fldChar w:fldCharType="begin"/>
      </w:r>
      <w:r>
        <w:instrText xml:space="preserve"> PAGEREF _Toc15658 \h </w:instrText>
      </w:r>
      <w:r>
        <w:fldChar w:fldCharType="separate"/>
      </w:r>
      <w:r>
        <w:t>13</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_Toc25744 </w:instrText>
      </w:r>
      <w:r>
        <w:rPr>
          <w:rFonts w:hint="eastAsia" w:ascii="宋体" w:hAnsi="宋体" w:cs="仿宋"/>
          <w:caps w:val="0"/>
          <w:szCs w:val="24"/>
        </w:rPr>
        <w:fldChar w:fldCharType="separate"/>
      </w:r>
      <w:r>
        <w:rPr>
          <w:rFonts w:hint="eastAsia" w:ascii="宋体" w:hAnsi="宋体" w:cs="仿宋_GB2312"/>
        </w:rPr>
        <w:t>2 定义</w:t>
      </w:r>
      <w:r>
        <w:tab/>
      </w:r>
      <w:r>
        <w:fldChar w:fldCharType="begin"/>
      </w:r>
      <w:r>
        <w:instrText xml:space="preserve"> PAGEREF _Toc25744 \h </w:instrText>
      </w:r>
      <w:r>
        <w:fldChar w:fldCharType="separate"/>
      </w:r>
      <w:r>
        <w:t>13</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_Toc6347 </w:instrText>
      </w:r>
      <w:r>
        <w:rPr>
          <w:rFonts w:hint="eastAsia" w:ascii="宋体" w:hAnsi="宋体" w:cs="仿宋"/>
          <w:caps w:val="0"/>
          <w:szCs w:val="24"/>
        </w:rPr>
        <w:fldChar w:fldCharType="separate"/>
      </w:r>
      <w:r>
        <w:rPr>
          <w:rFonts w:hint="eastAsia" w:ascii="宋体" w:hAnsi="宋体" w:cs="仿宋_GB2312"/>
        </w:rPr>
        <w:t>3 合格的供应商</w:t>
      </w:r>
      <w:r>
        <w:tab/>
      </w:r>
      <w:r>
        <w:fldChar w:fldCharType="begin"/>
      </w:r>
      <w:r>
        <w:instrText xml:space="preserve"> PAGEREF _Toc6347 \h </w:instrText>
      </w:r>
      <w:r>
        <w:fldChar w:fldCharType="separate"/>
      </w:r>
      <w:r>
        <w:t>13</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_Toc30856 </w:instrText>
      </w:r>
      <w:r>
        <w:rPr>
          <w:rFonts w:hint="eastAsia" w:ascii="宋体" w:hAnsi="宋体" w:cs="仿宋"/>
          <w:caps w:val="0"/>
          <w:szCs w:val="24"/>
        </w:rPr>
        <w:fldChar w:fldCharType="separate"/>
      </w:r>
      <w:r>
        <w:rPr>
          <w:rFonts w:hint="eastAsia" w:ascii="宋体" w:hAnsi="宋体" w:cs="仿宋_GB2312"/>
        </w:rPr>
        <w:t>4合格的服务</w:t>
      </w:r>
      <w:r>
        <w:tab/>
      </w:r>
      <w:r>
        <w:fldChar w:fldCharType="begin"/>
      </w:r>
      <w:r>
        <w:instrText xml:space="preserve"> PAGEREF _Toc30856 \h </w:instrText>
      </w:r>
      <w:r>
        <w:fldChar w:fldCharType="separate"/>
      </w:r>
      <w:r>
        <w:t>13</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_Toc12532 </w:instrText>
      </w:r>
      <w:r>
        <w:rPr>
          <w:rFonts w:hint="eastAsia" w:ascii="宋体" w:hAnsi="宋体" w:cs="仿宋"/>
          <w:caps w:val="0"/>
          <w:szCs w:val="24"/>
        </w:rPr>
        <w:fldChar w:fldCharType="separate"/>
      </w:r>
      <w:r>
        <w:rPr>
          <w:rFonts w:hint="eastAsia" w:ascii="宋体" w:hAnsi="宋体" w:cs="仿宋_GB2312"/>
        </w:rPr>
        <w:t>5 费用</w:t>
      </w:r>
      <w:r>
        <w:tab/>
      </w:r>
      <w:r>
        <w:fldChar w:fldCharType="begin"/>
      </w:r>
      <w:r>
        <w:instrText xml:space="preserve"> PAGEREF _Toc12532 \h </w:instrText>
      </w:r>
      <w:r>
        <w:fldChar w:fldCharType="separate"/>
      </w:r>
      <w:r>
        <w:t>14</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_Toc23028 </w:instrText>
      </w:r>
      <w:r>
        <w:rPr>
          <w:rFonts w:hint="eastAsia" w:ascii="宋体" w:hAnsi="宋体" w:cs="仿宋"/>
          <w:caps w:val="0"/>
          <w:szCs w:val="24"/>
        </w:rPr>
        <w:fldChar w:fldCharType="separate"/>
      </w:r>
      <w:r>
        <w:rPr>
          <w:rFonts w:hint="eastAsia" w:ascii="宋体" w:hAnsi="宋体" w:eastAsia="宋体" w:cs="仿宋_GB2312"/>
        </w:rPr>
        <w:t>B 招标文件说明</w:t>
      </w:r>
      <w:r>
        <w:tab/>
      </w:r>
      <w:r>
        <w:fldChar w:fldCharType="begin"/>
      </w:r>
      <w:r>
        <w:instrText xml:space="preserve"> PAGEREF _Toc23028 \h </w:instrText>
      </w:r>
      <w:r>
        <w:fldChar w:fldCharType="separate"/>
      </w:r>
      <w:r>
        <w:t>14</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_Toc7326 </w:instrText>
      </w:r>
      <w:r>
        <w:rPr>
          <w:rFonts w:hint="eastAsia" w:ascii="宋体" w:hAnsi="宋体" w:cs="仿宋"/>
          <w:caps w:val="0"/>
          <w:szCs w:val="24"/>
        </w:rPr>
        <w:fldChar w:fldCharType="separate"/>
      </w:r>
      <w:r>
        <w:rPr>
          <w:rFonts w:hint="eastAsia" w:ascii="宋体" w:hAnsi="宋体" w:cs="仿宋_GB2312"/>
        </w:rPr>
        <w:t>6 招标文件的构成</w:t>
      </w:r>
      <w:r>
        <w:tab/>
      </w:r>
      <w:r>
        <w:fldChar w:fldCharType="begin"/>
      </w:r>
      <w:r>
        <w:instrText xml:space="preserve"> PAGEREF _Toc7326 \h </w:instrText>
      </w:r>
      <w:r>
        <w:fldChar w:fldCharType="separate"/>
      </w:r>
      <w:r>
        <w:t>14</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_Toc15957 </w:instrText>
      </w:r>
      <w:r>
        <w:rPr>
          <w:rFonts w:hint="eastAsia" w:ascii="宋体" w:hAnsi="宋体" w:cs="仿宋"/>
          <w:caps w:val="0"/>
          <w:szCs w:val="24"/>
        </w:rPr>
        <w:fldChar w:fldCharType="separate"/>
      </w:r>
      <w:r>
        <w:rPr>
          <w:rFonts w:hint="eastAsia" w:ascii="宋体" w:hAnsi="宋体" w:cs="仿宋_GB2312"/>
        </w:rPr>
        <w:t>7 招标文件的澄清</w:t>
      </w:r>
      <w:r>
        <w:tab/>
      </w:r>
      <w:r>
        <w:fldChar w:fldCharType="begin"/>
      </w:r>
      <w:r>
        <w:instrText xml:space="preserve"> PAGEREF _Toc15957 \h </w:instrText>
      </w:r>
      <w:r>
        <w:fldChar w:fldCharType="separate"/>
      </w:r>
      <w:r>
        <w:t>14</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_Toc29696 </w:instrText>
      </w:r>
      <w:r>
        <w:rPr>
          <w:rFonts w:hint="eastAsia" w:ascii="宋体" w:hAnsi="宋体" w:cs="仿宋"/>
          <w:caps w:val="0"/>
          <w:szCs w:val="24"/>
        </w:rPr>
        <w:fldChar w:fldCharType="separate"/>
      </w:r>
      <w:r>
        <w:rPr>
          <w:rFonts w:hint="eastAsia" w:ascii="宋体" w:hAnsi="宋体" w:cs="仿宋_GB2312"/>
        </w:rPr>
        <w:t>8 招标文件的修改</w:t>
      </w:r>
      <w:r>
        <w:tab/>
      </w:r>
      <w:r>
        <w:fldChar w:fldCharType="begin"/>
      </w:r>
      <w:r>
        <w:instrText xml:space="preserve"> PAGEREF _Toc29696 \h </w:instrText>
      </w:r>
      <w:r>
        <w:fldChar w:fldCharType="separate"/>
      </w:r>
      <w:r>
        <w:t>14</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_Toc15037 </w:instrText>
      </w:r>
      <w:r>
        <w:rPr>
          <w:rFonts w:hint="eastAsia" w:ascii="宋体" w:hAnsi="宋体" w:cs="仿宋"/>
          <w:caps w:val="0"/>
          <w:szCs w:val="24"/>
        </w:rPr>
        <w:fldChar w:fldCharType="separate"/>
      </w:r>
      <w:r>
        <w:rPr>
          <w:rFonts w:hint="eastAsia" w:ascii="宋体" w:hAnsi="宋体" w:eastAsia="宋体" w:cs="仿宋_GB2312"/>
          <w:szCs w:val="44"/>
        </w:rPr>
        <w:t>C 投标文件的编写</w:t>
      </w:r>
      <w:r>
        <w:tab/>
      </w:r>
      <w:r>
        <w:fldChar w:fldCharType="begin"/>
      </w:r>
      <w:r>
        <w:instrText xml:space="preserve"> PAGEREF _Toc15037 \h </w:instrText>
      </w:r>
      <w:r>
        <w:fldChar w:fldCharType="separate"/>
      </w:r>
      <w:r>
        <w:t>15</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_Toc18104 </w:instrText>
      </w:r>
      <w:r>
        <w:rPr>
          <w:rFonts w:hint="eastAsia" w:ascii="宋体" w:hAnsi="宋体" w:cs="仿宋"/>
          <w:caps w:val="0"/>
          <w:szCs w:val="24"/>
        </w:rPr>
        <w:fldChar w:fldCharType="separate"/>
      </w:r>
      <w:r>
        <w:rPr>
          <w:rFonts w:hint="eastAsia" w:ascii="宋体" w:hAnsi="宋体" w:cs="仿宋_GB2312"/>
        </w:rPr>
        <w:t>9 投标文件编制的原则</w:t>
      </w:r>
      <w:r>
        <w:tab/>
      </w:r>
      <w:r>
        <w:fldChar w:fldCharType="begin"/>
      </w:r>
      <w:r>
        <w:instrText xml:space="preserve"> PAGEREF _Toc18104 \h </w:instrText>
      </w:r>
      <w:r>
        <w:fldChar w:fldCharType="separate"/>
      </w:r>
      <w:r>
        <w:t>15</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_Toc31711 </w:instrText>
      </w:r>
      <w:r>
        <w:rPr>
          <w:rFonts w:hint="eastAsia" w:ascii="宋体" w:hAnsi="宋体" w:cs="仿宋"/>
          <w:caps w:val="0"/>
          <w:szCs w:val="24"/>
        </w:rPr>
        <w:fldChar w:fldCharType="separate"/>
      </w:r>
      <w:r>
        <w:rPr>
          <w:rFonts w:hint="eastAsia" w:ascii="宋体" w:hAnsi="宋体" w:cs="仿宋_GB2312"/>
        </w:rPr>
        <w:t>10 投标文件语言</w:t>
      </w:r>
      <w:r>
        <w:tab/>
      </w:r>
      <w:r>
        <w:fldChar w:fldCharType="begin"/>
      </w:r>
      <w:r>
        <w:instrText xml:space="preserve"> PAGEREF _Toc31711 \h </w:instrText>
      </w:r>
      <w:r>
        <w:fldChar w:fldCharType="separate"/>
      </w:r>
      <w:r>
        <w:t>15</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_Toc9235 </w:instrText>
      </w:r>
      <w:r>
        <w:rPr>
          <w:rFonts w:hint="eastAsia" w:ascii="宋体" w:hAnsi="宋体" w:cs="仿宋"/>
          <w:caps w:val="0"/>
          <w:szCs w:val="24"/>
        </w:rPr>
        <w:fldChar w:fldCharType="separate"/>
      </w:r>
      <w:r>
        <w:rPr>
          <w:rFonts w:hint="eastAsia" w:ascii="宋体" w:hAnsi="宋体" w:cs="仿宋_GB2312"/>
        </w:rPr>
        <w:t>11 计量单位</w:t>
      </w:r>
      <w:r>
        <w:tab/>
      </w:r>
      <w:r>
        <w:fldChar w:fldCharType="begin"/>
      </w:r>
      <w:r>
        <w:instrText xml:space="preserve"> PAGEREF _Toc9235 \h </w:instrText>
      </w:r>
      <w:r>
        <w:fldChar w:fldCharType="separate"/>
      </w:r>
      <w:r>
        <w:t>15</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_Toc7088 </w:instrText>
      </w:r>
      <w:r>
        <w:rPr>
          <w:rFonts w:hint="eastAsia" w:ascii="宋体" w:hAnsi="宋体" w:cs="仿宋"/>
          <w:caps w:val="0"/>
          <w:szCs w:val="24"/>
        </w:rPr>
        <w:fldChar w:fldCharType="separate"/>
      </w:r>
      <w:r>
        <w:rPr>
          <w:rFonts w:hint="eastAsia" w:ascii="宋体" w:hAnsi="宋体" w:cs="仿宋_GB2312"/>
        </w:rPr>
        <w:t>12 投标文件的组成</w:t>
      </w:r>
      <w:r>
        <w:tab/>
      </w:r>
      <w:r>
        <w:fldChar w:fldCharType="begin"/>
      </w:r>
      <w:r>
        <w:instrText xml:space="preserve"> PAGEREF _Toc7088 \h </w:instrText>
      </w:r>
      <w:r>
        <w:fldChar w:fldCharType="separate"/>
      </w:r>
      <w:r>
        <w:t>15</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_Toc20129 </w:instrText>
      </w:r>
      <w:r>
        <w:rPr>
          <w:rFonts w:hint="eastAsia" w:ascii="宋体" w:hAnsi="宋体" w:cs="仿宋"/>
          <w:caps w:val="0"/>
          <w:szCs w:val="24"/>
        </w:rPr>
        <w:fldChar w:fldCharType="separate"/>
      </w:r>
      <w:r>
        <w:rPr>
          <w:rFonts w:hint="eastAsia" w:ascii="宋体" w:hAnsi="宋体" w:cs="仿宋_GB2312"/>
        </w:rPr>
        <w:t>13 投标文件格式</w:t>
      </w:r>
      <w:r>
        <w:tab/>
      </w:r>
      <w:r>
        <w:fldChar w:fldCharType="begin"/>
      </w:r>
      <w:r>
        <w:instrText xml:space="preserve"> PAGEREF _Toc20129 \h </w:instrText>
      </w:r>
      <w:r>
        <w:fldChar w:fldCharType="separate"/>
      </w:r>
      <w:r>
        <w:t>15</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_Toc26916 </w:instrText>
      </w:r>
      <w:r>
        <w:rPr>
          <w:rFonts w:hint="eastAsia" w:ascii="宋体" w:hAnsi="宋体" w:cs="仿宋"/>
          <w:caps w:val="0"/>
          <w:szCs w:val="24"/>
        </w:rPr>
        <w:fldChar w:fldCharType="separate"/>
      </w:r>
      <w:r>
        <w:rPr>
          <w:rFonts w:hint="eastAsia" w:ascii="宋体" w:hAnsi="宋体" w:cs="仿宋_GB2312"/>
        </w:rPr>
        <w:t>14 投标报价</w:t>
      </w:r>
      <w:r>
        <w:tab/>
      </w:r>
      <w:r>
        <w:fldChar w:fldCharType="begin"/>
      </w:r>
      <w:r>
        <w:instrText xml:space="preserve"> PAGEREF _Toc26916 \h </w:instrText>
      </w:r>
      <w:r>
        <w:fldChar w:fldCharType="separate"/>
      </w:r>
      <w:r>
        <w:t>16</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_Toc15749 </w:instrText>
      </w:r>
      <w:r>
        <w:rPr>
          <w:rFonts w:hint="eastAsia" w:ascii="宋体" w:hAnsi="宋体" w:cs="仿宋"/>
          <w:caps w:val="0"/>
          <w:szCs w:val="24"/>
        </w:rPr>
        <w:fldChar w:fldCharType="separate"/>
      </w:r>
      <w:r>
        <w:rPr>
          <w:rFonts w:hint="eastAsia" w:ascii="宋体" w:hAnsi="宋体" w:cs="仿宋_GB2312"/>
        </w:rPr>
        <w:t>15 投标货币</w:t>
      </w:r>
      <w:r>
        <w:tab/>
      </w:r>
      <w:r>
        <w:fldChar w:fldCharType="begin"/>
      </w:r>
      <w:r>
        <w:instrText xml:space="preserve"> PAGEREF _Toc15749 \h </w:instrText>
      </w:r>
      <w:r>
        <w:fldChar w:fldCharType="separate"/>
      </w:r>
      <w:r>
        <w:t>16</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_Toc23247 </w:instrText>
      </w:r>
      <w:r>
        <w:rPr>
          <w:rFonts w:hint="eastAsia" w:ascii="宋体" w:hAnsi="宋体" w:cs="仿宋"/>
          <w:caps w:val="0"/>
          <w:szCs w:val="24"/>
        </w:rPr>
        <w:fldChar w:fldCharType="separate"/>
      </w:r>
      <w:r>
        <w:rPr>
          <w:rFonts w:hint="eastAsia" w:ascii="宋体" w:hAnsi="宋体" w:cs="仿宋_GB2312"/>
        </w:rPr>
        <w:t>16 投标保证金</w:t>
      </w:r>
      <w:r>
        <w:rPr>
          <w:rFonts w:hint="eastAsia" w:ascii="宋体" w:hAnsi="宋体" w:eastAsia="宋体" w:cs="仿宋_GB2312"/>
          <w:bCs/>
          <w:kern w:val="2"/>
          <w:szCs w:val="22"/>
          <w:lang w:val="en-US" w:eastAsia="zh-CN" w:bidi="ar-SA"/>
        </w:rPr>
        <w:t>（本项目不提供投标保证金</w:t>
      </w:r>
      <w:r>
        <w:rPr>
          <w:rFonts w:hint="eastAsia" w:ascii="宋体" w:hAnsi="宋体" w:cs="仿宋_GB2312"/>
          <w:bCs/>
          <w:kern w:val="2"/>
          <w:szCs w:val="22"/>
          <w:lang w:val="en-US" w:eastAsia="zh-CN" w:bidi="ar-SA"/>
        </w:rPr>
        <w:t>，采购文件中针对</w:t>
      </w:r>
      <w:r>
        <w:rPr>
          <w:rFonts w:hint="eastAsia" w:ascii="宋体" w:hAnsi="宋体" w:eastAsia="宋体" w:cs="仿宋_GB2312"/>
          <w:bCs/>
          <w:kern w:val="2"/>
          <w:szCs w:val="22"/>
          <w:lang w:val="en-US" w:eastAsia="zh-CN" w:bidi="ar-SA"/>
        </w:rPr>
        <w:t>投标</w:t>
      </w:r>
      <w:r>
        <w:rPr>
          <w:rFonts w:hint="eastAsia" w:ascii="宋体" w:hAnsi="宋体" w:cs="仿宋_GB2312"/>
          <w:bCs/>
          <w:kern w:val="2"/>
          <w:szCs w:val="22"/>
          <w:lang w:val="en-US" w:eastAsia="zh-CN" w:bidi="ar-SA"/>
        </w:rPr>
        <w:t>保证金的条款无效</w:t>
      </w:r>
      <w:r>
        <w:rPr>
          <w:rFonts w:hint="eastAsia" w:ascii="宋体" w:hAnsi="宋体" w:eastAsia="宋体" w:cs="仿宋_GB2312"/>
          <w:bCs/>
          <w:kern w:val="2"/>
          <w:szCs w:val="22"/>
          <w:lang w:val="en-US" w:eastAsia="zh-CN" w:bidi="ar-SA"/>
        </w:rPr>
        <w:t>）</w:t>
      </w:r>
      <w:r>
        <w:tab/>
      </w:r>
      <w:r>
        <w:fldChar w:fldCharType="begin"/>
      </w:r>
      <w:r>
        <w:instrText xml:space="preserve"> PAGEREF _Toc23247 \h </w:instrText>
      </w:r>
      <w:r>
        <w:fldChar w:fldCharType="separate"/>
      </w:r>
      <w:r>
        <w:t>16</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_Toc24861 </w:instrText>
      </w:r>
      <w:r>
        <w:rPr>
          <w:rFonts w:hint="eastAsia" w:ascii="宋体" w:hAnsi="宋体" w:cs="仿宋"/>
          <w:caps w:val="0"/>
          <w:szCs w:val="24"/>
        </w:rPr>
        <w:fldChar w:fldCharType="separate"/>
      </w:r>
      <w:r>
        <w:rPr>
          <w:rFonts w:hint="eastAsia" w:ascii="宋体" w:hAnsi="宋体" w:cs="仿宋_GB2312"/>
        </w:rPr>
        <w:t>17 投标有效期</w:t>
      </w:r>
      <w:r>
        <w:tab/>
      </w:r>
      <w:r>
        <w:fldChar w:fldCharType="begin"/>
      </w:r>
      <w:r>
        <w:instrText xml:space="preserve"> PAGEREF _Toc24861 \h </w:instrText>
      </w:r>
      <w:r>
        <w:fldChar w:fldCharType="separate"/>
      </w:r>
      <w:r>
        <w:t>16</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_Toc27492 </w:instrText>
      </w:r>
      <w:r>
        <w:rPr>
          <w:rFonts w:hint="eastAsia" w:ascii="宋体" w:hAnsi="宋体" w:cs="仿宋"/>
          <w:caps w:val="0"/>
          <w:szCs w:val="24"/>
        </w:rPr>
        <w:fldChar w:fldCharType="separate"/>
      </w:r>
      <w:r>
        <w:rPr>
          <w:rFonts w:hint="eastAsia" w:ascii="宋体" w:hAnsi="宋体" w:cs="仿宋_GB2312"/>
        </w:rPr>
        <w:t>18 投标文件的签署及格式</w:t>
      </w:r>
      <w:r>
        <w:tab/>
      </w:r>
      <w:r>
        <w:fldChar w:fldCharType="begin"/>
      </w:r>
      <w:r>
        <w:instrText xml:space="preserve"> PAGEREF _Toc27492 \h </w:instrText>
      </w:r>
      <w:r>
        <w:fldChar w:fldCharType="separate"/>
      </w:r>
      <w:r>
        <w:t>17</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_Toc3563 </w:instrText>
      </w:r>
      <w:r>
        <w:rPr>
          <w:rFonts w:hint="eastAsia" w:ascii="宋体" w:hAnsi="宋体" w:cs="仿宋"/>
          <w:caps w:val="0"/>
          <w:szCs w:val="24"/>
        </w:rPr>
        <w:fldChar w:fldCharType="separate"/>
      </w:r>
      <w:r>
        <w:rPr>
          <w:rFonts w:hint="eastAsia" w:ascii="宋体" w:hAnsi="宋体" w:eastAsia="宋体" w:cs="仿宋_GB2312"/>
          <w:szCs w:val="44"/>
        </w:rPr>
        <w:t>D 投标文件的递交</w:t>
      </w:r>
      <w:r>
        <w:tab/>
      </w:r>
      <w:r>
        <w:fldChar w:fldCharType="begin"/>
      </w:r>
      <w:r>
        <w:instrText xml:space="preserve"> PAGEREF _Toc3563 \h </w:instrText>
      </w:r>
      <w:r>
        <w:fldChar w:fldCharType="separate"/>
      </w:r>
      <w:r>
        <w:t>17</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_Toc22386 </w:instrText>
      </w:r>
      <w:r>
        <w:rPr>
          <w:rFonts w:hint="eastAsia" w:ascii="宋体" w:hAnsi="宋体" w:cs="仿宋"/>
          <w:caps w:val="0"/>
          <w:szCs w:val="24"/>
        </w:rPr>
        <w:fldChar w:fldCharType="separate"/>
      </w:r>
      <w:r>
        <w:rPr>
          <w:rFonts w:hint="eastAsia" w:ascii="宋体" w:hAnsi="宋体" w:cs="仿宋_GB2312"/>
        </w:rPr>
        <w:t>19 投标文件的数量、包装和标记</w:t>
      </w:r>
      <w:r>
        <w:tab/>
      </w:r>
      <w:r>
        <w:fldChar w:fldCharType="begin"/>
      </w:r>
      <w:r>
        <w:instrText xml:space="preserve"> PAGEREF _Toc22386 \h </w:instrText>
      </w:r>
      <w:r>
        <w:fldChar w:fldCharType="separate"/>
      </w:r>
      <w:r>
        <w:t>17</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_Toc18422 </w:instrText>
      </w:r>
      <w:r>
        <w:rPr>
          <w:rFonts w:hint="eastAsia" w:ascii="宋体" w:hAnsi="宋体" w:cs="仿宋"/>
          <w:caps w:val="0"/>
          <w:szCs w:val="24"/>
        </w:rPr>
        <w:fldChar w:fldCharType="separate"/>
      </w:r>
      <w:r>
        <w:rPr>
          <w:rFonts w:hint="eastAsia" w:ascii="宋体" w:hAnsi="宋体" w:cs="仿宋_GB2312"/>
        </w:rPr>
        <w:t>20 投标截止时间</w:t>
      </w:r>
      <w:r>
        <w:tab/>
      </w:r>
      <w:r>
        <w:fldChar w:fldCharType="begin"/>
      </w:r>
      <w:r>
        <w:instrText xml:space="preserve"> PAGEREF _Toc18422 \h </w:instrText>
      </w:r>
      <w:r>
        <w:fldChar w:fldCharType="separate"/>
      </w:r>
      <w:r>
        <w:t>17</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_Toc11730 </w:instrText>
      </w:r>
      <w:r>
        <w:rPr>
          <w:rFonts w:hint="eastAsia" w:ascii="宋体" w:hAnsi="宋体" w:cs="仿宋"/>
          <w:caps w:val="0"/>
          <w:szCs w:val="24"/>
        </w:rPr>
        <w:fldChar w:fldCharType="separate"/>
      </w:r>
      <w:r>
        <w:rPr>
          <w:rFonts w:hint="eastAsia" w:ascii="宋体" w:hAnsi="宋体" w:cs="仿宋_GB2312"/>
        </w:rPr>
        <w:t>21 投标文件的修改与撤回</w:t>
      </w:r>
      <w:r>
        <w:tab/>
      </w:r>
      <w:r>
        <w:fldChar w:fldCharType="begin"/>
      </w:r>
      <w:r>
        <w:instrText xml:space="preserve"> PAGEREF _Toc11730 \h </w:instrText>
      </w:r>
      <w:r>
        <w:fldChar w:fldCharType="separate"/>
      </w:r>
      <w:r>
        <w:t>17</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_Toc14836 </w:instrText>
      </w:r>
      <w:r>
        <w:rPr>
          <w:rFonts w:hint="eastAsia" w:ascii="宋体" w:hAnsi="宋体" w:cs="仿宋"/>
          <w:caps w:val="0"/>
          <w:szCs w:val="24"/>
        </w:rPr>
        <w:fldChar w:fldCharType="separate"/>
      </w:r>
      <w:r>
        <w:rPr>
          <w:rFonts w:hint="eastAsia" w:ascii="宋体" w:hAnsi="宋体" w:eastAsia="宋体" w:cs="仿宋_GB2312"/>
          <w:szCs w:val="44"/>
        </w:rPr>
        <w:t>E 开标和评标</w:t>
      </w:r>
      <w:r>
        <w:tab/>
      </w:r>
      <w:r>
        <w:fldChar w:fldCharType="begin"/>
      </w:r>
      <w:r>
        <w:instrText xml:space="preserve"> PAGEREF _Toc14836 \h </w:instrText>
      </w:r>
      <w:r>
        <w:fldChar w:fldCharType="separate"/>
      </w:r>
      <w:r>
        <w:t>18</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_Toc28825 </w:instrText>
      </w:r>
      <w:r>
        <w:rPr>
          <w:rFonts w:hint="eastAsia" w:ascii="宋体" w:hAnsi="宋体" w:cs="仿宋"/>
          <w:caps w:val="0"/>
          <w:szCs w:val="24"/>
        </w:rPr>
        <w:fldChar w:fldCharType="separate"/>
      </w:r>
      <w:r>
        <w:rPr>
          <w:rFonts w:hint="eastAsia" w:ascii="宋体" w:hAnsi="宋体" w:cs="仿宋_GB2312"/>
        </w:rPr>
        <w:t>22 开标</w:t>
      </w:r>
      <w:r>
        <w:tab/>
      </w:r>
      <w:r>
        <w:fldChar w:fldCharType="begin"/>
      </w:r>
      <w:r>
        <w:instrText xml:space="preserve"> PAGEREF _Toc28825 \h </w:instrText>
      </w:r>
      <w:r>
        <w:fldChar w:fldCharType="separate"/>
      </w:r>
      <w:r>
        <w:t>18</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_Toc16123 </w:instrText>
      </w:r>
      <w:r>
        <w:rPr>
          <w:rFonts w:hint="eastAsia" w:ascii="宋体" w:hAnsi="宋体" w:cs="仿宋"/>
          <w:caps w:val="0"/>
          <w:szCs w:val="24"/>
        </w:rPr>
        <w:fldChar w:fldCharType="separate"/>
      </w:r>
      <w:r>
        <w:rPr>
          <w:rFonts w:hint="eastAsia" w:ascii="宋体" w:hAnsi="宋体" w:cs="仿宋_GB2312"/>
        </w:rPr>
        <w:t>23 评标委员会</w:t>
      </w:r>
      <w:r>
        <w:tab/>
      </w:r>
      <w:r>
        <w:fldChar w:fldCharType="begin"/>
      </w:r>
      <w:r>
        <w:instrText xml:space="preserve"> PAGEREF _Toc16123 \h </w:instrText>
      </w:r>
      <w:r>
        <w:fldChar w:fldCharType="separate"/>
      </w:r>
      <w:r>
        <w:t>18</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_Toc12944 </w:instrText>
      </w:r>
      <w:r>
        <w:rPr>
          <w:rFonts w:hint="eastAsia" w:ascii="宋体" w:hAnsi="宋体" w:cs="仿宋"/>
          <w:caps w:val="0"/>
          <w:szCs w:val="24"/>
        </w:rPr>
        <w:fldChar w:fldCharType="separate"/>
      </w:r>
      <w:r>
        <w:rPr>
          <w:rFonts w:hint="eastAsia" w:ascii="宋体" w:hAnsi="宋体" w:cs="仿宋_GB2312"/>
        </w:rPr>
        <w:t>24 投标文件的初审</w:t>
      </w:r>
      <w:r>
        <w:tab/>
      </w:r>
      <w:r>
        <w:fldChar w:fldCharType="begin"/>
      </w:r>
      <w:r>
        <w:instrText xml:space="preserve"> PAGEREF _Toc12944 \h </w:instrText>
      </w:r>
      <w:r>
        <w:fldChar w:fldCharType="separate"/>
      </w:r>
      <w:r>
        <w:t>19</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_Toc23185 </w:instrText>
      </w:r>
      <w:r>
        <w:rPr>
          <w:rFonts w:hint="eastAsia" w:ascii="宋体" w:hAnsi="宋体" w:cs="仿宋"/>
          <w:caps w:val="0"/>
          <w:szCs w:val="24"/>
        </w:rPr>
        <w:fldChar w:fldCharType="separate"/>
      </w:r>
      <w:r>
        <w:rPr>
          <w:rFonts w:hint="eastAsia" w:ascii="宋体" w:hAnsi="宋体" w:cs="仿宋_GB2312"/>
        </w:rPr>
        <w:t>25 投标文件的澄清</w:t>
      </w:r>
      <w:r>
        <w:tab/>
      </w:r>
      <w:r>
        <w:fldChar w:fldCharType="begin"/>
      </w:r>
      <w:r>
        <w:instrText xml:space="preserve"> PAGEREF _Toc23185 \h </w:instrText>
      </w:r>
      <w:r>
        <w:fldChar w:fldCharType="separate"/>
      </w:r>
      <w:r>
        <w:t>19</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_Toc15745 </w:instrText>
      </w:r>
      <w:r>
        <w:rPr>
          <w:rFonts w:hint="eastAsia" w:ascii="宋体" w:hAnsi="宋体" w:cs="仿宋"/>
          <w:caps w:val="0"/>
          <w:szCs w:val="24"/>
        </w:rPr>
        <w:fldChar w:fldCharType="separate"/>
      </w:r>
      <w:r>
        <w:rPr>
          <w:rFonts w:hint="eastAsia" w:ascii="宋体" w:hAnsi="宋体" w:cs="仿宋_GB2312"/>
        </w:rPr>
        <w:t>26 投标文件的比较和评价</w:t>
      </w:r>
      <w:r>
        <w:tab/>
      </w:r>
      <w:r>
        <w:fldChar w:fldCharType="begin"/>
      </w:r>
      <w:r>
        <w:instrText xml:space="preserve"> PAGEREF _Toc15745 \h </w:instrText>
      </w:r>
      <w:r>
        <w:fldChar w:fldCharType="separate"/>
      </w:r>
      <w:r>
        <w:t>20</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_Toc6729 </w:instrText>
      </w:r>
      <w:r>
        <w:rPr>
          <w:rFonts w:hint="eastAsia" w:ascii="宋体" w:hAnsi="宋体" w:cs="仿宋"/>
          <w:caps w:val="0"/>
          <w:szCs w:val="24"/>
        </w:rPr>
        <w:fldChar w:fldCharType="separate"/>
      </w:r>
      <w:r>
        <w:rPr>
          <w:rFonts w:hint="eastAsia" w:ascii="宋体" w:hAnsi="宋体" w:cs="仿宋_GB2312"/>
        </w:rPr>
        <w:t>27 评标原则及主要方法</w:t>
      </w:r>
      <w:r>
        <w:tab/>
      </w:r>
      <w:r>
        <w:fldChar w:fldCharType="begin"/>
      </w:r>
      <w:r>
        <w:instrText xml:space="preserve"> PAGEREF _Toc6729 \h </w:instrText>
      </w:r>
      <w:r>
        <w:fldChar w:fldCharType="separate"/>
      </w:r>
      <w:r>
        <w:t>20</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_Toc28634 </w:instrText>
      </w:r>
      <w:r>
        <w:rPr>
          <w:rFonts w:hint="eastAsia" w:ascii="宋体" w:hAnsi="宋体" w:cs="仿宋"/>
          <w:caps w:val="0"/>
          <w:szCs w:val="24"/>
        </w:rPr>
        <w:fldChar w:fldCharType="separate"/>
      </w:r>
      <w:r>
        <w:rPr>
          <w:rFonts w:hint="eastAsia" w:ascii="宋体" w:hAnsi="宋体" w:cs="仿宋_GB2312"/>
        </w:rPr>
        <w:t>28 与采购人、采购代理机构和评标委员会接触</w:t>
      </w:r>
      <w:r>
        <w:tab/>
      </w:r>
      <w:r>
        <w:fldChar w:fldCharType="begin"/>
      </w:r>
      <w:r>
        <w:instrText xml:space="preserve"> PAGEREF _Toc28634 \h </w:instrText>
      </w:r>
      <w:r>
        <w:fldChar w:fldCharType="separate"/>
      </w:r>
      <w:r>
        <w:t>22</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_Toc30041 </w:instrText>
      </w:r>
      <w:r>
        <w:rPr>
          <w:rFonts w:hint="eastAsia" w:ascii="宋体" w:hAnsi="宋体" w:cs="仿宋"/>
          <w:caps w:val="0"/>
          <w:szCs w:val="24"/>
        </w:rPr>
        <w:fldChar w:fldCharType="separate"/>
      </w:r>
      <w:r>
        <w:rPr>
          <w:rFonts w:hint="eastAsia" w:ascii="宋体" w:hAnsi="宋体" w:eastAsia="宋体" w:cs="仿宋_GB2312"/>
          <w:szCs w:val="44"/>
        </w:rPr>
        <w:t>F授予合同</w:t>
      </w:r>
      <w:r>
        <w:tab/>
      </w:r>
      <w:r>
        <w:fldChar w:fldCharType="begin"/>
      </w:r>
      <w:r>
        <w:instrText xml:space="preserve"> PAGEREF _Toc30041 \h </w:instrText>
      </w:r>
      <w:r>
        <w:fldChar w:fldCharType="separate"/>
      </w:r>
      <w:r>
        <w:t>22</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_Toc13429 </w:instrText>
      </w:r>
      <w:r>
        <w:rPr>
          <w:rFonts w:hint="eastAsia" w:ascii="宋体" w:hAnsi="宋体" w:cs="仿宋"/>
          <w:caps w:val="0"/>
          <w:szCs w:val="24"/>
        </w:rPr>
        <w:fldChar w:fldCharType="separate"/>
      </w:r>
      <w:r>
        <w:rPr>
          <w:rFonts w:hint="eastAsia" w:ascii="宋体" w:hAnsi="宋体" w:cs="仿宋_GB2312"/>
        </w:rPr>
        <w:t>29 定标及合同授予</w:t>
      </w:r>
      <w:r>
        <w:tab/>
      </w:r>
      <w:r>
        <w:fldChar w:fldCharType="begin"/>
      </w:r>
      <w:r>
        <w:instrText xml:space="preserve"> PAGEREF _Toc13429 \h </w:instrText>
      </w:r>
      <w:r>
        <w:fldChar w:fldCharType="separate"/>
      </w:r>
      <w:r>
        <w:t>22</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_Toc8649 </w:instrText>
      </w:r>
      <w:r>
        <w:rPr>
          <w:rFonts w:hint="eastAsia" w:ascii="宋体" w:hAnsi="宋体" w:cs="仿宋"/>
          <w:caps w:val="0"/>
          <w:szCs w:val="24"/>
        </w:rPr>
        <w:fldChar w:fldCharType="separate"/>
      </w:r>
      <w:r>
        <w:rPr>
          <w:rFonts w:hint="eastAsia" w:ascii="宋体" w:hAnsi="宋体" w:cs="仿宋_GB2312"/>
        </w:rPr>
        <w:t>30 腐败和欺诈行为</w:t>
      </w:r>
      <w:r>
        <w:tab/>
      </w:r>
      <w:r>
        <w:fldChar w:fldCharType="begin"/>
      </w:r>
      <w:r>
        <w:instrText xml:space="preserve"> PAGEREF _Toc8649 \h </w:instrText>
      </w:r>
      <w:r>
        <w:fldChar w:fldCharType="separate"/>
      </w:r>
      <w:r>
        <w:t>22</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_Toc19842 </w:instrText>
      </w:r>
      <w:r>
        <w:rPr>
          <w:rFonts w:hint="eastAsia" w:ascii="宋体" w:hAnsi="宋体" w:cs="仿宋"/>
          <w:caps w:val="0"/>
          <w:szCs w:val="24"/>
        </w:rPr>
        <w:fldChar w:fldCharType="separate"/>
      </w:r>
      <w:r>
        <w:rPr>
          <w:rFonts w:hint="eastAsia" w:ascii="宋体" w:hAnsi="宋体" w:cs="仿宋_GB2312"/>
          <w:kern w:val="0"/>
          <w:szCs w:val="32"/>
        </w:rPr>
        <w:t>31 招标代理服务费</w:t>
      </w:r>
      <w:r>
        <w:tab/>
      </w:r>
      <w:r>
        <w:fldChar w:fldCharType="begin"/>
      </w:r>
      <w:r>
        <w:instrText xml:space="preserve"> PAGEREF _Toc19842 \h </w:instrText>
      </w:r>
      <w:r>
        <w:fldChar w:fldCharType="separate"/>
      </w:r>
      <w:r>
        <w:t>23</w:t>
      </w:r>
      <w:r>
        <w:fldChar w:fldCharType="end"/>
      </w:r>
      <w:r>
        <w:rPr>
          <w:rFonts w:hint="eastAsia" w:ascii="宋体" w:hAnsi="宋体" w:cs="仿宋"/>
          <w:caps w:val="0"/>
          <w:szCs w:val="24"/>
        </w:rPr>
        <w:fldChar w:fldCharType="end"/>
      </w:r>
    </w:p>
    <w:p>
      <w:pPr>
        <w:pStyle w:val="9"/>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_Toc21547 </w:instrText>
      </w:r>
      <w:r>
        <w:rPr>
          <w:rFonts w:hint="eastAsia" w:ascii="宋体" w:hAnsi="宋体" w:cs="仿宋"/>
          <w:caps w:val="0"/>
          <w:szCs w:val="24"/>
        </w:rPr>
        <w:fldChar w:fldCharType="separate"/>
      </w:r>
      <w:r>
        <w:rPr>
          <w:rFonts w:hint="eastAsia" w:ascii="宋体" w:hAnsi="宋体" w:eastAsia="宋体" w:cs="仿宋_GB2312"/>
          <w:kern w:val="0"/>
          <w:szCs w:val="32"/>
        </w:rPr>
        <w:t>32． 其他</w:t>
      </w:r>
      <w:r>
        <w:tab/>
      </w:r>
      <w:r>
        <w:fldChar w:fldCharType="begin"/>
      </w:r>
      <w:r>
        <w:instrText xml:space="preserve"> PAGEREF _Toc21547 \h </w:instrText>
      </w:r>
      <w:r>
        <w:fldChar w:fldCharType="separate"/>
      </w:r>
      <w:r>
        <w:t>23</w:t>
      </w:r>
      <w:r>
        <w:fldChar w:fldCharType="end"/>
      </w:r>
      <w:r>
        <w:rPr>
          <w:rFonts w:hint="eastAsia" w:ascii="宋体" w:hAnsi="宋体" w:cs="仿宋"/>
          <w:caps w:val="0"/>
          <w:szCs w:val="24"/>
        </w:rPr>
        <w:fldChar w:fldCharType="end"/>
      </w:r>
    </w:p>
    <w:p>
      <w:pPr>
        <w:pStyle w:val="15"/>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_Toc13287 </w:instrText>
      </w:r>
      <w:r>
        <w:rPr>
          <w:rFonts w:hint="eastAsia" w:ascii="宋体" w:hAnsi="宋体" w:cs="仿宋"/>
          <w:caps w:val="0"/>
          <w:szCs w:val="24"/>
        </w:rPr>
        <w:fldChar w:fldCharType="separate"/>
      </w:r>
      <w:r>
        <w:rPr>
          <w:rFonts w:hint="eastAsia" w:ascii="宋体" w:hAnsi="宋体"/>
          <w:szCs w:val="36"/>
        </w:rPr>
        <w:t xml:space="preserve">第四部分 </w:t>
      </w:r>
      <w:r>
        <w:rPr>
          <w:rFonts w:hint="eastAsia" w:ascii="宋体" w:hAnsi="宋体" w:cs="仿宋_GB2312"/>
          <w:szCs w:val="36"/>
        </w:rPr>
        <w:t>合同格式（参考格式）</w:t>
      </w:r>
      <w:r>
        <w:tab/>
      </w:r>
      <w:r>
        <w:fldChar w:fldCharType="begin"/>
      </w:r>
      <w:r>
        <w:instrText xml:space="preserve"> PAGEREF _Toc13287 \h </w:instrText>
      </w:r>
      <w:r>
        <w:fldChar w:fldCharType="separate"/>
      </w:r>
      <w:r>
        <w:t>24</w:t>
      </w:r>
      <w:r>
        <w:fldChar w:fldCharType="end"/>
      </w:r>
      <w:r>
        <w:rPr>
          <w:rFonts w:hint="eastAsia" w:ascii="宋体" w:hAnsi="宋体" w:cs="仿宋"/>
          <w:caps w:val="0"/>
          <w:szCs w:val="24"/>
        </w:rPr>
        <w:fldChar w:fldCharType="end"/>
      </w:r>
    </w:p>
    <w:p>
      <w:pPr>
        <w:pStyle w:val="15"/>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_Toc17914 </w:instrText>
      </w:r>
      <w:r>
        <w:rPr>
          <w:rFonts w:hint="eastAsia" w:ascii="宋体" w:hAnsi="宋体" w:cs="仿宋"/>
          <w:caps w:val="0"/>
          <w:szCs w:val="24"/>
        </w:rPr>
        <w:fldChar w:fldCharType="separate"/>
      </w:r>
      <w:r>
        <w:rPr>
          <w:rFonts w:hint="eastAsia" w:ascii="宋体" w:hAnsi="宋体" w:cs="仿宋_GB2312"/>
          <w:szCs w:val="36"/>
        </w:rPr>
        <w:t xml:space="preserve">第五部分  </w:t>
      </w:r>
      <w:r>
        <w:rPr>
          <w:rFonts w:hint="eastAsia" w:ascii="宋体" w:hAnsi="宋体" w:cs="仿宋_GB2312"/>
        </w:rPr>
        <w:t>采购内容及要求</w:t>
      </w:r>
      <w:r>
        <w:tab/>
      </w:r>
      <w:r>
        <w:fldChar w:fldCharType="begin"/>
      </w:r>
      <w:r>
        <w:instrText xml:space="preserve"> PAGEREF _Toc17914 \h </w:instrText>
      </w:r>
      <w:r>
        <w:fldChar w:fldCharType="separate"/>
      </w:r>
      <w:r>
        <w:t>29</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_Toc5788 </w:instrText>
      </w:r>
      <w:r>
        <w:rPr>
          <w:rFonts w:hint="eastAsia" w:ascii="宋体" w:hAnsi="宋体" w:cs="仿宋"/>
          <w:caps w:val="0"/>
          <w:szCs w:val="24"/>
        </w:rPr>
        <w:fldChar w:fldCharType="separate"/>
      </w:r>
      <w:r>
        <w:rPr>
          <w:rFonts w:hint="eastAsia" w:ascii="宋体" w:hAnsi="宋体" w:cs="宋体"/>
          <w:bCs/>
          <w:szCs w:val="24"/>
          <w:lang w:val="en-US" w:eastAsia="zh-CN"/>
        </w:rPr>
        <w:t>1、</w:t>
      </w:r>
      <w:r>
        <w:rPr>
          <w:rFonts w:hint="eastAsia" w:ascii="宋体" w:hAnsi="宋体" w:eastAsia="宋体" w:cs="宋体"/>
          <w:bCs/>
          <w:szCs w:val="24"/>
          <w:lang w:val="en-US" w:eastAsia="zh-CN"/>
        </w:rPr>
        <w:t>工程概况</w:t>
      </w:r>
      <w:r>
        <w:tab/>
      </w:r>
      <w:r>
        <w:fldChar w:fldCharType="begin"/>
      </w:r>
      <w:r>
        <w:instrText xml:space="preserve"> PAGEREF _Toc5788 \h </w:instrText>
      </w:r>
      <w:r>
        <w:fldChar w:fldCharType="separate"/>
      </w:r>
      <w:r>
        <w:t>29</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_Toc21 </w:instrText>
      </w:r>
      <w:r>
        <w:rPr>
          <w:rFonts w:hint="eastAsia" w:ascii="宋体" w:hAnsi="宋体" w:cs="仿宋"/>
          <w:caps w:val="0"/>
          <w:szCs w:val="24"/>
        </w:rPr>
        <w:fldChar w:fldCharType="separate"/>
      </w:r>
      <w:r>
        <w:rPr>
          <w:rFonts w:hint="eastAsia" w:ascii="宋体" w:hAnsi="宋体" w:cs="宋体"/>
          <w:bCs/>
          <w:szCs w:val="24"/>
          <w:lang w:val="en-US" w:eastAsia="zh-CN"/>
        </w:rPr>
        <w:t>2、</w:t>
      </w:r>
      <w:r>
        <w:rPr>
          <w:rFonts w:hint="eastAsia" w:ascii="宋体" w:hAnsi="宋体" w:eastAsia="宋体" w:cs="宋体"/>
          <w:bCs/>
          <w:szCs w:val="24"/>
          <w:lang w:val="en-US" w:eastAsia="zh-CN"/>
        </w:rPr>
        <w:t>建设内容</w:t>
      </w:r>
      <w:r>
        <w:tab/>
      </w:r>
      <w:r>
        <w:fldChar w:fldCharType="begin"/>
      </w:r>
      <w:r>
        <w:instrText xml:space="preserve"> PAGEREF _Toc21 \h </w:instrText>
      </w:r>
      <w:r>
        <w:fldChar w:fldCharType="separate"/>
      </w:r>
      <w:r>
        <w:t>30</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_Toc8639 </w:instrText>
      </w:r>
      <w:r>
        <w:rPr>
          <w:rFonts w:hint="eastAsia" w:ascii="宋体" w:hAnsi="宋体" w:cs="仿宋"/>
          <w:caps w:val="0"/>
          <w:szCs w:val="24"/>
        </w:rPr>
        <w:fldChar w:fldCharType="separate"/>
      </w:r>
      <w:r>
        <w:rPr>
          <w:rFonts w:hint="eastAsia" w:ascii="宋体" w:hAnsi="宋体" w:cs="宋体"/>
          <w:bCs/>
          <w:szCs w:val="24"/>
          <w:lang w:val="en-US" w:eastAsia="zh-CN"/>
        </w:rPr>
        <w:t>3、采购需求及要求</w:t>
      </w:r>
      <w:r>
        <w:tab/>
      </w:r>
      <w:r>
        <w:fldChar w:fldCharType="begin"/>
      </w:r>
      <w:r>
        <w:instrText xml:space="preserve"> PAGEREF _Toc8639 \h </w:instrText>
      </w:r>
      <w:r>
        <w:fldChar w:fldCharType="separate"/>
      </w:r>
      <w:r>
        <w:t>31</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_Toc4593 </w:instrText>
      </w:r>
      <w:r>
        <w:rPr>
          <w:rFonts w:hint="eastAsia" w:ascii="宋体" w:hAnsi="宋体" w:cs="仿宋"/>
          <w:caps w:val="0"/>
          <w:szCs w:val="24"/>
        </w:rPr>
        <w:fldChar w:fldCharType="separate"/>
      </w:r>
      <w:r>
        <w:rPr>
          <w:rFonts w:hint="eastAsia" w:ascii="宋体" w:hAnsi="宋体" w:cs="宋体"/>
          <w:bCs/>
          <w:szCs w:val="24"/>
          <w:lang w:val="en-US" w:eastAsia="zh-CN"/>
        </w:rPr>
        <w:t>4、实施企业名单</w:t>
      </w:r>
      <w:r>
        <w:tab/>
      </w:r>
      <w:r>
        <w:fldChar w:fldCharType="begin"/>
      </w:r>
      <w:r>
        <w:instrText xml:space="preserve"> PAGEREF _Toc4593 \h </w:instrText>
      </w:r>
      <w:r>
        <w:fldChar w:fldCharType="separate"/>
      </w:r>
      <w:r>
        <w:t>51</w:t>
      </w:r>
      <w:r>
        <w:fldChar w:fldCharType="end"/>
      </w:r>
      <w:r>
        <w:rPr>
          <w:rFonts w:hint="eastAsia" w:ascii="宋体" w:hAnsi="宋体" w:cs="仿宋"/>
          <w:caps w:val="0"/>
          <w:szCs w:val="24"/>
        </w:rPr>
        <w:fldChar w:fldCharType="end"/>
      </w:r>
    </w:p>
    <w:p>
      <w:pPr>
        <w:pStyle w:val="15"/>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_Toc13178 </w:instrText>
      </w:r>
      <w:r>
        <w:rPr>
          <w:rFonts w:hint="eastAsia" w:ascii="宋体" w:hAnsi="宋体" w:cs="仿宋"/>
          <w:caps w:val="0"/>
          <w:szCs w:val="24"/>
        </w:rPr>
        <w:fldChar w:fldCharType="separate"/>
      </w:r>
      <w:r>
        <w:rPr>
          <w:rFonts w:hint="eastAsia" w:ascii="宋体" w:hAnsi="宋体" w:cs="仿宋_GB2312"/>
          <w:szCs w:val="36"/>
        </w:rPr>
        <w:t xml:space="preserve">第六部分  </w:t>
      </w:r>
      <w:r>
        <w:rPr>
          <w:rFonts w:hint="eastAsia" w:ascii="宋体" w:hAnsi="宋体" w:cs="仿宋_GB2312"/>
        </w:rPr>
        <w:t>评分办法</w:t>
      </w:r>
      <w:r>
        <w:tab/>
      </w:r>
      <w:r>
        <w:fldChar w:fldCharType="begin"/>
      </w:r>
      <w:r>
        <w:instrText xml:space="preserve"> PAGEREF _Toc13178 \h </w:instrText>
      </w:r>
      <w:r>
        <w:fldChar w:fldCharType="separate"/>
      </w:r>
      <w:r>
        <w:t>60</w:t>
      </w:r>
      <w:r>
        <w:fldChar w:fldCharType="end"/>
      </w:r>
      <w:r>
        <w:rPr>
          <w:rFonts w:hint="eastAsia" w:ascii="宋体" w:hAnsi="宋体" w:cs="仿宋"/>
          <w:caps w:val="0"/>
          <w:szCs w:val="24"/>
        </w:rPr>
        <w:fldChar w:fldCharType="end"/>
      </w:r>
    </w:p>
    <w:p>
      <w:pPr>
        <w:pStyle w:val="15"/>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_Toc25460 </w:instrText>
      </w:r>
      <w:r>
        <w:rPr>
          <w:rFonts w:hint="eastAsia" w:ascii="宋体" w:hAnsi="宋体" w:cs="仿宋"/>
          <w:caps w:val="0"/>
          <w:szCs w:val="24"/>
        </w:rPr>
        <w:fldChar w:fldCharType="separate"/>
      </w:r>
      <w:r>
        <w:rPr>
          <w:rFonts w:hint="eastAsia" w:ascii="宋体" w:hAnsi="宋体" w:cs="仿宋_GB2312"/>
          <w:szCs w:val="36"/>
        </w:rPr>
        <w:t>第七部分  附件—投标文件格式</w:t>
      </w:r>
      <w:r>
        <w:tab/>
      </w:r>
      <w:r>
        <w:fldChar w:fldCharType="begin"/>
      </w:r>
      <w:r>
        <w:instrText xml:space="preserve"> PAGEREF _Toc25460 \h </w:instrText>
      </w:r>
      <w:r>
        <w:fldChar w:fldCharType="separate"/>
      </w:r>
      <w:r>
        <w:t>66</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_Toc5363 </w:instrText>
      </w:r>
      <w:r>
        <w:rPr>
          <w:rFonts w:hint="eastAsia" w:ascii="宋体" w:hAnsi="宋体" w:cs="仿宋"/>
          <w:caps w:val="0"/>
          <w:szCs w:val="24"/>
        </w:rPr>
        <w:fldChar w:fldCharType="separate"/>
      </w:r>
      <w:r>
        <w:rPr>
          <w:rFonts w:hint="eastAsia" w:ascii="宋体" w:hAnsi="宋体" w:eastAsia="宋体" w:cs="仿宋_GB2312"/>
        </w:rPr>
        <w:t>附件1 投标函</w:t>
      </w:r>
      <w:r>
        <w:tab/>
      </w:r>
      <w:r>
        <w:fldChar w:fldCharType="begin"/>
      </w:r>
      <w:r>
        <w:instrText xml:space="preserve"> PAGEREF _Toc5363 \h </w:instrText>
      </w:r>
      <w:r>
        <w:fldChar w:fldCharType="separate"/>
      </w:r>
      <w:r>
        <w:t>67</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_Toc32414 </w:instrText>
      </w:r>
      <w:r>
        <w:rPr>
          <w:rFonts w:hint="eastAsia" w:ascii="宋体" w:hAnsi="宋体" w:cs="仿宋"/>
          <w:caps w:val="0"/>
          <w:szCs w:val="24"/>
        </w:rPr>
        <w:fldChar w:fldCharType="separate"/>
      </w:r>
      <w:r>
        <w:rPr>
          <w:rFonts w:hint="eastAsia" w:ascii="宋体" w:hAnsi="宋体" w:eastAsia="宋体" w:cs="仿宋_GB2312"/>
        </w:rPr>
        <w:t>附件2 开标一览表</w:t>
      </w:r>
      <w:r>
        <w:tab/>
      </w:r>
      <w:r>
        <w:fldChar w:fldCharType="begin"/>
      </w:r>
      <w:r>
        <w:instrText xml:space="preserve"> PAGEREF _Toc32414 \h </w:instrText>
      </w:r>
      <w:r>
        <w:fldChar w:fldCharType="separate"/>
      </w:r>
      <w:r>
        <w:t>68</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_Toc16347 </w:instrText>
      </w:r>
      <w:r>
        <w:rPr>
          <w:rFonts w:hint="eastAsia" w:ascii="宋体" w:hAnsi="宋体" w:cs="仿宋"/>
          <w:caps w:val="0"/>
          <w:szCs w:val="24"/>
        </w:rPr>
        <w:fldChar w:fldCharType="separate"/>
      </w:r>
      <w:r>
        <w:rPr>
          <w:rFonts w:hint="eastAsia" w:ascii="宋体" w:hAnsi="宋体" w:eastAsia="宋体" w:cs="仿宋_GB2312"/>
          <w:highlight w:val="none"/>
        </w:rPr>
        <w:t>附件3 分项报价表</w:t>
      </w:r>
      <w:r>
        <w:tab/>
      </w:r>
      <w:r>
        <w:fldChar w:fldCharType="begin"/>
      </w:r>
      <w:r>
        <w:instrText xml:space="preserve"> PAGEREF _Toc16347 \h </w:instrText>
      </w:r>
      <w:r>
        <w:fldChar w:fldCharType="separate"/>
      </w:r>
      <w:r>
        <w:t>69</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_Toc22365 </w:instrText>
      </w:r>
      <w:r>
        <w:rPr>
          <w:rFonts w:hint="eastAsia" w:ascii="宋体" w:hAnsi="宋体" w:cs="仿宋"/>
          <w:caps w:val="0"/>
          <w:szCs w:val="24"/>
        </w:rPr>
        <w:fldChar w:fldCharType="separate"/>
      </w:r>
      <w:r>
        <w:rPr>
          <w:rFonts w:hint="eastAsia" w:ascii="宋体" w:hAnsi="宋体" w:eastAsia="宋体" w:cs="仿宋_GB2312"/>
        </w:rPr>
        <w:t>附件</w:t>
      </w:r>
      <w:r>
        <w:rPr>
          <w:rFonts w:hint="eastAsia" w:ascii="宋体" w:hAnsi="宋体" w:eastAsia="宋体" w:cs="仿宋_GB2312"/>
          <w:lang w:val="en-US" w:eastAsia="zh-CN"/>
        </w:rPr>
        <w:t>4</w:t>
      </w:r>
      <w:r>
        <w:rPr>
          <w:rFonts w:hint="eastAsia" w:ascii="宋体" w:hAnsi="宋体" w:eastAsia="宋体" w:cs="仿宋_GB2312"/>
        </w:rPr>
        <w:t xml:space="preserve"> </w:t>
      </w:r>
      <w:r>
        <w:rPr>
          <w:rFonts w:hint="eastAsia" w:ascii="宋体" w:hAnsi="宋体" w:eastAsia="宋体" w:cs="宋体"/>
          <w:highlight w:val="none"/>
        </w:rPr>
        <w:t>授权委托书</w:t>
      </w:r>
      <w:r>
        <w:tab/>
      </w:r>
      <w:r>
        <w:fldChar w:fldCharType="begin"/>
      </w:r>
      <w:r>
        <w:instrText xml:space="preserve"> PAGEREF _Toc22365 \h </w:instrText>
      </w:r>
      <w:r>
        <w:fldChar w:fldCharType="separate"/>
      </w:r>
      <w:r>
        <w:t>70</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_Toc15704 </w:instrText>
      </w:r>
      <w:r>
        <w:rPr>
          <w:rFonts w:hint="eastAsia" w:ascii="宋体" w:hAnsi="宋体" w:cs="仿宋"/>
          <w:caps w:val="0"/>
          <w:szCs w:val="24"/>
        </w:rPr>
        <w:fldChar w:fldCharType="separate"/>
      </w:r>
      <w:r>
        <w:rPr>
          <w:rFonts w:hint="eastAsia" w:ascii="宋体" w:hAnsi="宋体" w:eastAsia="宋体" w:cs="仿宋_GB2312"/>
        </w:rPr>
        <w:t>附件</w:t>
      </w:r>
      <w:r>
        <w:rPr>
          <w:rFonts w:hint="eastAsia" w:ascii="宋体" w:hAnsi="宋体" w:eastAsia="宋体" w:cs="仿宋_GB2312"/>
          <w:lang w:val="en-US" w:eastAsia="zh-CN"/>
        </w:rPr>
        <w:t>5</w:t>
      </w:r>
      <w:r>
        <w:rPr>
          <w:rFonts w:hint="eastAsia" w:ascii="宋体" w:hAnsi="宋体" w:eastAsia="宋体" w:cs="仿宋_GB2312"/>
        </w:rPr>
        <w:t>资格证明文件</w:t>
      </w:r>
      <w:r>
        <w:tab/>
      </w:r>
      <w:r>
        <w:fldChar w:fldCharType="begin"/>
      </w:r>
      <w:r>
        <w:instrText xml:space="preserve"> PAGEREF _Toc15704 \h </w:instrText>
      </w:r>
      <w:r>
        <w:fldChar w:fldCharType="separate"/>
      </w:r>
      <w:r>
        <w:t>72</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_Toc2896 </w:instrText>
      </w:r>
      <w:r>
        <w:rPr>
          <w:rFonts w:hint="eastAsia" w:ascii="宋体" w:hAnsi="宋体" w:cs="仿宋"/>
          <w:caps w:val="0"/>
          <w:szCs w:val="24"/>
        </w:rPr>
        <w:fldChar w:fldCharType="separate"/>
      </w:r>
      <w:r>
        <w:rPr>
          <w:rFonts w:hint="eastAsia" w:ascii="宋体" w:hAnsi="宋体" w:eastAsia="宋体" w:cs="仿宋_GB2312"/>
        </w:rPr>
        <w:t>附件</w:t>
      </w:r>
      <w:r>
        <w:rPr>
          <w:rFonts w:hint="eastAsia" w:ascii="宋体" w:hAnsi="宋体" w:eastAsia="宋体" w:cs="仿宋_GB2312"/>
          <w:lang w:val="en-US" w:eastAsia="zh-CN"/>
        </w:rPr>
        <w:t>6</w:t>
      </w:r>
      <w:r>
        <w:rPr>
          <w:rFonts w:hint="eastAsia" w:ascii="宋体" w:hAnsi="宋体" w:eastAsia="宋体" w:cs="仿宋_GB2312"/>
        </w:rPr>
        <w:t xml:space="preserve"> </w:t>
      </w:r>
      <w:r>
        <w:rPr>
          <w:rFonts w:hint="eastAsia" w:ascii="宋体" w:hAnsi="宋体" w:eastAsia="宋体"/>
        </w:rPr>
        <w:t>无重大违法记录书面声明</w:t>
      </w:r>
      <w:r>
        <w:tab/>
      </w:r>
      <w:r>
        <w:fldChar w:fldCharType="begin"/>
      </w:r>
      <w:r>
        <w:instrText xml:space="preserve"> PAGEREF _Toc2896 \h </w:instrText>
      </w:r>
      <w:r>
        <w:fldChar w:fldCharType="separate"/>
      </w:r>
      <w:r>
        <w:t>73</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_Toc20831 </w:instrText>
      </w:r>
      <w:r>
        <w:rPr>
          <w:rFonts w:hint="eastAsia" w:ascii="宋体" w:hAnsi="宋体" w:cs="仿宋"/>
          <w:caps w:val="0"/>
          <w:szCs w:val="24"/>
        </w:rPr>
        <w:fldChar w:fldCharType="separate"/>
      </w:r>
      <w:r>
        <w:rPr>
          <w:rFonts w:hint="eastAsia" w:ascii="宋体" w:hAnsi="宋体" w:eastAsia="宋体" w:cs="仿宋_GB2312"/>
        </w:rPr>
        <w:t>附件</w:t>
      </w:r>
      <w:r>
        <w:rPr>
          <w:rFonts w:hint="eastAsia" w:ascii="宋体" w:hAnsi="宋体" w:eastAsia="宋体" w:cs="仿宋_GB2312"/>
          <w:lang w:val="en-US" w:eastAsia="zh-CN"/>
        </w:rPr>
        <w:t>7</w:t>
      </w:r>
      <w:r>
        <w:rPr>
          <w:rFonts w:hint="eastAsia" w:ascii="宋体" w:hAnsi="宋体" w:eastAsia="宋体" w:cs="仿宋_GB2312"/>
        </w:rPr>
        <w:t xml:space="preserve"> </w:t>
      </w:r>
      <w:r>
        <w:rPr>
          <w:rFonts w:hint="eastAsia" w:ascii="宋体" w:hAnsi="宋体" w:eastAsia="宋体" w:cs="仿宋_GB2312"/>
          <w:lang w:val="en-US" w:eastAsia="zh-CN"/>
        </w:rPr>
        <w:t>控股管理关系说明</w:t>
      </w:r>
      <w:r>
        <w:tab/>
      </w:r>
      <w:r>
        <w:fldChar w:fldCharType="begin"/>
      </w:r>
      <w:r>
        <w:instrText xml:space="preserve"> PAGEREF _Toc20831 \h </w:instrText>
      </w:r>
      <w:r>
        <w:fldChar w:fldCharType="separate"/>
      </w:r>
      <w:r>
        <w:t>74</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_Toc8252 </w:instrText>
      </w:r>
      <w:r>
        <w:rPr>
          <w:rFonts w:hint="eastAsia" w:ascii="宋体" w:hAnsi="宋体" w:cs="仿宋"/>
          <w:caps w:val="0"/>
          <w:szCs w:val="24"/>
        </w:rPr>
        <w:fldChar w:fldCharType="separate"/>
      </w:r>
      <w:r>
        <w:rPr>
          <w:rFonts w:hint="eastAsia" w:ascii="宋体" w:hAnsi="宋体" w:eastAsia="宋体" w:cs="仿宋_GB2312"/>
        </w:rPr>
        <w:t>附件8 技术偏离表</w:t>
      </w:r>
      <w:r>
        <w:tab/>
      </w:r>
      <w:r>
        <w:fldChar w:fldCharType="begin"/>
      </w:r>
      <w:r>
        <w:instrText xml:space="preserve"> PAGEREF _Toc8252 \h </w:instrText>
      </w:r>
      <w:r>
        <w:fldChar w:fldCharType="separate"/>
      </w:r>
      <w:r>
        <w:t>75</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_Toc32184 </w:instrText>
      </w:r>
      <w:r>
        <w:rPr>
          <w:rFonts w:hint="eastAsia" w:ascii="宋体" w:hAnsi="宋体" w:cs="仿宋"/>
          <w:caps w:val="0"/>
          <w:szCs w:val="24"/>
        </w:rPr>
        <w:fldChar w:fldCharType="separate"/>
      </w:r>
      <w:r>
        <w:rPr>
          <w:rFonts w:hint="eastAsia" w:ascii="宋体" w:hAnsi="宋体" w:eastAsia="宋体" w:cs="仿宋_GB2312"/>
        </w:rPr>
        <w:t>附件</w:t>
      </w:r>
      <w:r>
        <w:rPr>
          <w:rFonts w:hint="eastAsia" w:ascii="宋体" w:hAnsi="宋体" w:eastAsia="宋体" w:cs="仿宋_GB2312"/>
          <w:lang w:val="en-US" w:eastAsia="zh-CN"/>
        </w:rPr>
        <w:t>9</w:t>
      </w:r>
      <w:r>
        <w:rPr>
          <w:rFonts w:hint="eastAsia" w:ascii="宋体" w:hAnsi="宋体" w:eastAsia="宋体" w:cs="仿宋_GB2312"/>
        </w:rPr>
        <w:t xml:space="preserve"> 商务偏离表</w:t>
      </w:r>
      <w:r>
        <w:tab/>
      </w:r>
      <w:r>
        <w:fldChar w:fldCharType="begin"/>
      </w:r>
      <w:r>
        <w:instrText xml:space="preserve"> PAGEREF _Toc32184 \h </w:instrText>
      </w:r>
      <w:r>
        <w:fldChar w:fldCharType="separate"/>
      </w:r>
      <w:r>
        <w:t>76</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_Toc16251 </w:instrText>
      </w:r>
      <w:r>
        <w:rPr>
          <w:rFonts w:hint="eastAsia" w:ascii="宋体" w:hAnsi="宋体" w:cs="仿宋"/>
          <w:caps w:val="0"/>
          <w:szCs w:val="24"/>
        </w:rPr>
        <w:fldChar w:fldCharType="separate"/>
      </w:r>
      <w:r>
        <w:rPr>
          <w:rFonts w:hint="eastAsia" w:ascii="宋体" w:hAnsi="宋体" w:eastAsia="宋体" w:cs="仿宋_GB2312"/>
        </w:rPr>
        <w:t>附件</w:t>
      </w:r>
      <w:r>
        <w:rPr>
          <w:rFonts w:hint="eastAsia" w:ascii="宋体" w:hAnsi="宋体" w:eastAsia="宋体" w:cs="仿宋_GB2312"/>
          <w:lang w:val="en-US" w:eastAsia="zh-CN"/>
        </w:rPr>
        <w:t>10</w:t>
      </w:r>
      <w:r>
        <w:rPr>
          <w:rFonts w:hint="eastAsia" w:ascii="宋体" w:hAnsi="宋体" w:eastAsia="宋体" w:cs="仿宋_GB2312"/>
        </w:rPr>
        <w:t xml:space="preserve"> </w:t>
      </w:r>
      <w:r>
        <w:rPr>
          <w:rFonts w:hint="eastAsia" w:ascii="宋体" w:hAnsi="宋体" w:eastAsia="宋体" w:cs="宋体"/>
        </w:rPr>
        <w:t>供应商拒绝政府采购领域商业贿赂承诺书</w:t>
      </w:r>
      <w:r>
        <w:tab/>
      </w:r>
      <w:r>
        <w:fldChar w:fldCharType="begin"/>
      </w:r>
      <w:r>
        <w:instrText xml:space="preserve"> PAGEREF _Toc16251 \h </w:instrText>
      </w:r>
      <w:r>
        <w:fldChar w:fldCharType="separate"/>
      </w:r>
      <w:r>
        <w:t>77</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_Toc574 </w:instrText>
      </w:r>
      <w:r>
        <w:rPr>
          <w:rFonts w:hint="eastAsia" w:ascii="宋体" w:hAnsi="宋体" w:cs="仿宋"/>
          <w:caps w:val="0"/>
          <w:szCs w:val="24"/>
        </w:rPr>
        <w:fldChar w:fldCharType="separate"/>
      </w:r>
      <w:r>
        <w:rPr>
          <w:rFonts w:hint="eastAsia" w:ascii="宋体" w:hAnsi="宋体" w:eastAsia="宋体" w:cs="仿宋_GB2312"/>
        </w:rPr>
        <w:t>附件1</w:t>
      </w:r>
      <w:r>
        <w:rPr>
          <w:rFonts w:hint="eastAsia" w:ascii="宋体" w:hAnsi="宋体" w:eastAsia="宋体" w:cs="仿宋_GB2312"/>
          <w:lang w:val="en-US" w:eastAsia="zh-CN"/>
        </w:rPr>
        <w:t>1项目技术</w:t>
      </w:r>
      <w:r>
        <w:rPr>
          <w:rFonts w:hint="eastAsia" w:ascii="宋体" w:hAnsi="宋体" w:eastAsia="宋体" w:cs="仿宋_GB2312"/>
        </w:rPr>
        <w:t>方案</w:t>
      </w:r>
      <w:r>
        <w:tab/>
      </w:r>
      <w:r>
        <w:fldChar w:fldCharType="begin"/>
      </w:r>
      <w:r>
        <w:instrText xml:space="preserve"> PAGEREF _Toc574 \h </w:instrText>
      </w:r>
      <w:r>
        <w:fldChar w:fldCharType="separate"/>
      </w:r>
      <w:r>
        <w:t>78</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_Toc7611 </w:instrText>
      </w:r>
      <w:r>
        <w:rPr>
          <w:rFonts w:hint="eastAsia" w:ascii="宋体" w:hAnsi="宋体" w:cs="仿宋"/>
          <w:caps w:val="0"/>
          <w:szCs w:val="24"/>
        </w:rPr>
        <w:fldChar w:fldCharType="separate"/>
      </w:r>
      <w:r>
        <w:rPr>
          <w:rFonts w:hint="eastAsia" w:ascii="宋体" w:hAnsi="宋体" w:eastAsia="宋体" w:cs="仿宋_GB2312"/>
        </w:rPr>
        <w:t>附件1</w:t>
      </w:r>
      <w:r>
        <w:rPr>
          <w:rFonts w:hint="eastAsia" w:ascii="宋体" w:hAnsi="宋体" w:eastAsia="宋体" w:cs="仿宋_GB2312"/>
          <w:lang w:val="en-US" w:eastAsia="zh-CN"/>
        </w:rPr>
        <w:t>2</w:t>
      </w:r>
      <w:r>
        <w:rPr>
          <w:rFonts w:hint="eastAsia" w:ascii="宋体" w:hAnsi="宋体" w:eastAsia="宋体" w:cs="仿宋_GB2312"/>
        </w:rPr>
        <w:t xml:space="preserve"> </w:t>
      </w:r>
      <w:r>
        <w:rPr>
          <w:rFonts w:hint="eastAsia" w:ascii="宋体" w:hAnsi="宋体" w:eastAsia="宋体" w:cs="宋体"/>
        </w:rPr>
        <w:t>拟投入本项目人员汇总表</w:t>
      </w:r>
      <w:r>
        <w:tab/>
      </w:r>
      <w:r>
        <w:fldChar w:fldCharType="begin"/>
      </w:r>
      <w:r>
        <w:instrText xml:space="preserve"> PAGEREF _Toc7611 \h </w:instrText>
      </w:r>
      <w:r>
        <w:fldChar w:fldCharType="separate"/>
      </w:r>
      <w:r>
        <w:t>79</w:t>
      </w:r>
      <w:r>
        <w:fldChar w:fldCharType="end"/>
      </w:r>
      <w:r>
        <w:rPr>
          <w:rFonts w:hint="eastAsia" w:ascii="宋体" w:hAnsi="宋体" w:cs="仿宋"/>
          <w:caps w:val="0"/>
          <w:szCs w:val="24"/>
        </w:rPr>
        <w:fldChar w:fldCharType="end"/>
      </w:r>
    </w:p>
    <w:p>
      <w:pPr>
        <w:pStyle w:val="17"/>
        <w:tabs>
          <w:tab w:val="right" w:leader="dot" w:pos="9060"/>
        </w:tabs>
      </w:pPr>
      <w:r>
        <w:rPr>
          <w:rFonts w:hint="eastAsia" w:ascii="宋体" w:hAnsi="宋体" w:cs="仿宋"/>
          <w:caps w:val="0"/>
          <w:szCs w:val="24"/>
        </w:rPr>
        <w:fldChar w:fldCharType="begin"/>
      </w:r>
      <w:r>
        <w:rPr>
          <w:rFonts w:hint="eastAsia" w:ascii="宋体" w:hAnsi="宋体" w:cs="仿宋"/>
          <w:caps w:val="0"/>
          <w:szCs w:val="24"/>
        </w:rPr>
        <w:instrText xml:space="preserve"> HYPERLINK \l _Toc27684 </w:instrText>
      </w:r>
      <w:r>
        <w:rPr>
          <w:rFonts w:hint="eastAsia" w:ascii="宋体" w:hAnsi="宋体" w:cs="仿宋"/>
          <w:caps w:val="0"/>
          <w:szCs w:val="24"/>
        </w:rPr>
        <w:fldChar w:fldCharType="separate"/>
      </w:r>
      <w:r>
        <w:rPr>
          <w:rFonts w:hint="eastAsia" w:ascii="宋体" w:hAnsi="宋体" w:eastAsia="宋体" w:cs="仿宋_GB2312"/>
        </w:rPr>
        <w:t>附件1</w:t>
      </w:r>
      <w:r>
        <w:rPr>
          <w:rFonts w:hint="eastAsia" w:ascii="宋体" w:hAnsi="宋体" w:eastAsia="宋体" w:cs="仿宋_GB2312"/>
          <w:lang w:val="en-US" w:eastAsia="zh-CN"/>
        </w:rPr>
        <w:t>3</w:t>
      </w:r>
      <w:r>
        <w:rPr>
          <w:rFonts w:hint="eastAsia" w:ascii="宋体" w:hAnsi="宋体" w:eastAsia="宋体" w:cs="仿宋_GB2312"/>
        </w:rPr>
        <w:t>同类项目业绩一览表</w:t>
      </w:r>
      <w:r>
        <w:tab/>
      </w:r>
      <w:r>
        <w:fldChar w:fldCharType="begin"/>
      </w:r>
      <w:r>
        <w:instrText xml:space="preserve"> PAGEREF _Toc27684 \h </w:instrText>
      </w:r>
      <w:r>
        <w:fldChar w:fldCharType="separate"/>
      </w:r>
      <w:r>
        <w:t>80</w:t>
      </w:r>
      <w:r>
        <w:fldChar w:fldCharType="end"/>
      </w:r>
      <w:r>
        <w:rPr>
          <w:rFonts w:hint="eastAsia" w:ascii="宋体" w:hAnsi="宋体" w:cs="仿宋"/>
          <w:caps w:val="0"/>
          <w:szCs w:val="24"/>
        </w:rPr>
        <w:fldChar w:fldCharType="end"/>
      </w:r>
    </w:p>
    <w:p>
      <w:pPr>
        <w:pStyle w:val="15"/>
        <w:tabs>
          <w:tab w:val="right" w:leader="dot" w:pos="8829"/>
        </w:tabs>
        <w:rPr>
          <w:rFonts w:ascii="宋体" w:hAnsi="宋体" w:cs="仿宋_GB2312"/>
          <w:b w:val="0"/>
          <w:caps w:val="0"/>
          <w:sz w:val="24"/>
          <w:szCs w:val="24"/>
        </w:rPr>
        <w:sectPr>
          <w:footerReference r:id="rId9" w:type="first"/>
          <w:headerReference r:id="rId7" w:type="default"/>
          <w:footerReference r:id="rId8" w:type="default"/>
          <w:footnotePr>
            <w:pos w:val="beneathText"/>
          </w:footnotePr>
          <w:pgSz w:w="11906" w:h="16838"/>
          <w:pgMar w:top="1440" w:right="1423" w:bottom="1440" w:left="1423" w:header="851" w:footer="992" w:gutter="0"/>
          <w:cols w:space="720" w:num="1"/>
          <w:docGrid w:linePitch="312" w:charSpace="0"/>
        </w:sectPr>
      </w:pPr>
      <w:r>
        <w:rPr>
          <w:rFonts w:hint="eastAsia" w:ascii="宋体" w:hAnsi="宋体" w:cs="仿宋"/>
          <w:caps w:val="0"/>
          <w:szCs w:val="24"/>
        </w:rPr>
        <w:fldChar w:fldCharType="end"/>
      </w:r>
      <w:bookmarkStart w:id="0" w:name="_Toc193702467"/>
      <w:bookmarkStart w:id="1" w:name="_Toc246928891"/>
    </w:p>
    <w:p>
      <w:pPr>
        <w:pStyle w:val="3"/>
        <w:spacing w:line="360" w:lineRule="auto"/>
        <w:ind w:left="360"/>
        <w:jc w:val="center"/>
        <w:rPr>
          <w:rFonts w:ascii="宋体" w:hAnsi="宋体" w:cs="仿宋_GB2312"/>
          <w:sz w:val="36"/>
        </w:rPr>
      </w:pPr>
      <w:bookmarkStart w:id="2" w:name="_Toc7737"/>
      <w:bookmarkStart w:id="3" w:name="_Toc13840"/>
      <w:bookmarkStart w:id="4" w:name="_Toc22601"/>
      <w:r>
        <w:rPr>
          <w:rFonts w:hint="eastAsia" w:ascii="宋体" w:hAnsi="宋体" w:cs="仿宋_GB2312"/>
          <w:sz w:val="36"/>
        </w:rPr>
        <w:t>第一部分</w:t>
      </w:r>
      <w:bookmarkEnd w:id="0"/>
      <w:r>
        <w:rPr>
          <w:rFonts w:hint="eastAsia" w:ascii="宋体" w:hAnsi="宋体" w:cs="仿宋_GB2312"/>
          <w:sz w:val="36"/>
        </w:rPr>
        <w:t xml:space="preserve">  招标公告</w:t>
      </w:r>
      <w:bookmarkEnd w:id="1"/>
      <w:bookmarkEnd w:id="2"/>
      <w:bookmarkEnd w:id="3"/>
      <w:bookmarkEnd w:id="4"/>
    </w:p>
    <w:p>
      <w:pPr>
        <w:pStyle w:val="47"/>
        <w:shd w:val="clear" w:color="auto" w:fill="FFFFFF"/>
        <w:spacing w:line="408" w:lineRule="auto"/>
        <w:ind w:firstLine="480" w:firstLineChars="200"/>
        <w:jc w:val="both"/>
        <w:rPr>
          <w:rFonts w:ascii="宋体" w:hAnsi="宋体"/>
          <w:b w:val="0"/>
          <w:bCs/>
          <w:color w:val="auto"/>
          <w:sz w:val="24"/>
          <w:szCs w:val="24"/>
        </w:rPr>
      </w:pPr>
      <w:bookmarkStart w:id="5" w:name="_Toc246928893"/>
      <w:bookmarkStart w:id="6" w:name="_Toc23402"/>
      <w:bookmarkStart w:id="7" w:name="_Toc28694"/>
      <w:r>
        <w:rPr>
          <w:rFonts w:hint="eastAsia" w:ascii="宋体" w:hAnsi="宋体"/>
          <w:b w:val="0"/>
          <w:bCs/>
          <w:color w:val="333333"/>
          <w:sz w:val="24"/>
          <w:szCs w:val="24"/>
        </w:rPr>
        <w:t>铜川市环境大气污染企业治污设施用电监管与治污设备管理系统建设项目潜在的投标人可在西安市经济技术开发区凤城七路旭辉中心1栋802室获取招标文件，</w:t>
      </w:r>
      <w:r>
        <w:rPr>
          <w:rFonts w:hint="eastAsia" w:ascii="宋体" w:hAnsi="宋体"/>
          <w:b w:val="0"/>
          <w:bCs/>
          <w:color w:val="auto"/>
          <w:sz w:val="24"/>
          <w:szCs w:val="24"/>
        </w:rPr>
        <w:t>并于</w:t>
      </w:r>
      <w:r>
        <w:rPr>
          <w:rFonts w:hint="eastAsia" w:ascii="宋体" w:hAnsi="宋体"/>
          <w:b w:val="0"/>
          <w:bCs/>
          <w:color w:val="auto"/>
          <w:sz w:val="24"/>
          <w:szCs w:val="24"/>
          <w:highlight w:val="none"/>
        </w:rPr>
        <w:t>202</w:t>
      </w:r>
      <w:r>
        <w:rPr>
          <w:rFonts w:hint="eastAsia" w:ascii="宋体" w:hAnsi="宋体"/>
          <w:b w:val="0"/>
          <w:bCs/>
          <w:color w:val="auto"/>
          <w:sz w:val="24"/>
          <w:szCs w:val="24"/>
          <w:highlight w:val="none"/>
          <w:lang w:val="en-US" w:eastAsia="zh-CN"/>
        </w:rPr>
        <w:t>1</w:t>
      </w:r>
      <w:r>
        <w:rPr>
          <w:rFonts w:hint="eastAsia" w:ascii="宋体" w:hAnsi="宋体"/>
          <w:b w:val="0"/>
          <w:bCs/>
          <w:color w:val="auto"/>
          <w:sz w:val="24"/>
          <w:szCs w:val="24"/>
          <w:highlight w:val="none"/>
        </w:rPr>
        <w:t>-</w:t>
      </w:r>
      <w:r>
        <w:rPr>
          <w:rFonts w:hint="eastAsia" w:ascii="宋体" w:hAnsi="宋体"/>
          <w:b w:val="0"/>
          <w:bCs/>
          <w:color w:val="auto"/>
          <w:sz w:val="24"/>
          <w:szCs w:val="24"/>
          <w:highlight w:val="none"/>
          <w:lang w:val="en-US" w:eastAsia="zh-CN"/>
        </w:rPr>
        <w:t>08</w:t>
      </w:r>
      <w:r>
        <w:rPr>
          <w:rFonts w:hint="eastAsia" w:ascii="宋体" w:hAnsi="宋体"/>
          <w:b w:val="0"/>
          <w:bCs/>
          <w:color w:val="auto"/>
          <w:sz w:val="24"/>
          <w:szCs w:val="24"/>
          <w:highlight w:val="none"/>
        </w:rPr>
        <w:t>-</w:t>
      </w:r>
      <w:r>
        <w:rPr>
          <w:rFonts w:hint="eastAsia" w:ascii="宋体" w:hAnsi="宋体"/>
          <w:b w:val="0"/>
          <w:bCs/>
          <w:color w:val="auto"/>
          <w:sz w:val="24"/>
          <w:szCs w:val="24"/>
          <w:highlight w:val="none"/>
          <w:lang w:val="en-US" w:eastAsia="zh-CN"/>
        </w:rPr>
        <w:t>23</w:t>
      </w:r>
      <w:r>
        <w:rPr>
          <w:rFonts w:hint="eastAsia" w:ascii="宋体" w:hAnsi="宋体"/>
          <w:b w:val="0"/>
          <w:bCs/>
          <w:color w:val="auto"/>
          <w:sz w:val="24"/>
          <w:szCs w:val="24"/>
          <w:highlight w:val="none"/>
        </w:rPr>
        <w:t xml:space="preserve"> </w:t>
      </w:r>
      <w:r>
        <w:rPr>
          <w:rFonts w:hint="eastAsia" w:ascii="宋体" w:hAnsi="宋体"/>
          <w:b w:val="0"/>
          <w:bCs/>
          <w:color w:val="auto"/>
          <w:sz w:val="24"/>
          <w:szCs w:val="24"/>
          <w:highlight w:val="none"/>
          <w:lang w:val="en-US" w:eastAsia="zh-CN"/>
        </w:rPr>
        <w:t>15</w:t>
      </w:r>
      <w:r>
        <w:rPr>
          <w:rFonts w:hint="eastAsia" w:ascii="宋体" w:hAnsi="宋体"/>
          <w:b w:val="0"/>
          <w:bCs/>
          <w:color w:val="auto"/>
          <w:sz w:val="24"/>
          <w:szCs w:val="24"/>
          <w:highlight w:val="none"/>
        </w:rPr>
        <w:t>:</w:t>
      </w:r>
      <w:r>
        <w:rPr>
          <w:rFonts w:hint="eastAsia" w:ascii="宋体" w:hAnsi="宋体"/>
          <w:b w:val="0"/>
          <w:bCs/>
          <w:color w:val="auto"/>
          <w:sz w:val="24"/>
          <w:szCs w:val="24"/>
          <w:highlight w:val="none"/>
          <w:lang w:val="en-US" w:eastAsia="zh-CN"/>
        </w:rPr>
        <w:t>0</w:t>
      </w:r>
      <w:r>
        <w:rPr>
          <w:rFonts w:hint="eastAsia" w:ascii="宋体" w:hAnsi="宋体"/>
          <w:b w:val="0"/>
          <w:bCs/>
          <w:color w:val="auto"/>
          <w:sz w:val="24"/>
          <w:szCs w:val="24"/>
          <w:highlight w:val="none"/>
        </w:rPr>
        <w:t>0:00</w:t>
      </w:r>
      <w:r>
        <w:rPr>
          <w:rFonts w:hint="eastAsia" w:ascii="宋体" w:hAnsi="宋体"/>
          <w:b w:val="0"/>
          <w:bCs/>
          <w:color w:val="auto"/>
          <w:sz w:val="24"/>
          <w:szCs w:val="24"/>
        </w:rPr>
        <w:t>前递交投标文件。</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一、项目基本情况</w:t>
      </w:r>
    </w:p>
    <w:p>
      <w:pPr>
        <w:pStyle w:val="19"/>
        <w:shd w:val="clear" w:color="auto" w:fill="FFFFFF"/>
        <w:spacing w:before="0" w:beforeAutospacing="0" w:after="0" w:afterAutospacing="0" w:line="408" w:lineRule="auto"/>
        <w:ind w:firstLine="480"/>
        <w:jc w:val="both"/>
        <w:rPr>
          <w:rFonts w:hint="eastAsia"/>
          <w:color w:val="333333"/>
          <w:szCs w:val="24"/>
        </w:rPr>
      </w:pPr>
      <w:r>
        <w:rPr>
          <w:rFonts w:hint="eastAsia"/>
          <w:color w:val="333333"/>
          <w:szCs w:val="24"/>
        </w:rPr>
        <w:t>1、项目编号：CYJK-ZFCG-2021-010</w:t>
      </w:r>
    </w:p>
    <w:p>
      <w:pPr>
        <w:pStyle w:val="19"/>
        <w:shd w:val="clear" w:color="auto" w:fill="FFFFFF"/>
        <w:spacing w:before="0" w:beforeAutospacing="0" w:after="0" w:afterAutospacing="0" w:line="408" w:lineRule="auto"/>
        <w:ind w:firstLine="480"/>
        <w:jc w:val="both"/>
        <w:rPr>
          <w:rFonts w:hint="eastAsia"/>
          <w:color w:val="333333"/>
          <w:szCs w:val="24"/>
        </w:rPr>
      </w:pPr>
      <w:r>
        <w:rPr>
          <w:rFonts w:hint="eastAsia"/>
          <w:color w:val="333333"/>
          <w:szCs w:val="24"/>
        </w:rPr>
        <w:t>2、项目名称：铜川市环境大气污染企业治污设施用电监管与治污设备管理系统建设项目</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3、预算金额：</w:t>
      </w:r>
      <w:r>
        <w:rPr>
          <w:rFonts w:hint="eastAsia"/>
          <w:color w:val="333333"/>
          <w:szCs w:val="24"/>
          <w:lang w:val="en-US" w:eastAsia="zh-CN"/>
        </w:rPr>
        <w:t>8</w:t>
      </w:r>
      <w:r>
        <w:rPr>
          <w:rFonts w:hint="eastAsia"/>
          <w:color w:val="333333"/>
          <w:szCs w:val="24"/>
        </w:rPr>
        <w:t>,</w:t>
      </w:r>
      <w:r>
        <w:rPr>
          <w:rFonts w:hint="eastAsia"/>
          <w:color w:val="333333"/>
          <w:szCs w:val="24"/>
          <w:lang w:val="en-US" w:eastAsia="zh-CN"/>
        </w:rPr>
        <w:t>414</w:t>
      </w:r>
      <w:r>
        <w:rPr>
          <w:rFonts w:hint="eastAsia"/>
          <w:color w:val="333333"/>
          <w:szCs w:val="24"/>
        </w:rPr>
        <w:t>,</w:t>
      </w:r>
      <w:r>
        <w:rPr>
          <w:rFonts w:hint="eastAsia"/>
          <w:color w:val="333333"/>
          <w:szCs w:val="24"/>
          <w:lang w:val="en-US" w:eastAsia="zh-CN"/>
        </w:rPr>
        <w:t>64</w:t>
      </w:r>
      <w:r>
        <w:rPr>
          <w:rFonts w:hint="eastAsia"/>
          <w:color w:val="333333"/>
          <w:szCs w:val="24"/>
        </w:rPr>
        <w:t>0.00元</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4、最高限价：无</w:t>
      </w:r>
    </w:p>
    <w:p>
      <w:pPr>
        <w:pStyle w:val="19"/>
        <w:shd w:val="clear" w:color="auto" w:fill="FFFFFF"/>
        <w:spacing w:before="0" w:beforeAutospacing="0" w:after="0" w:afterAutospacing="0" w:line="408" w:lineRule="auto"/>
        <w:ind w:firstLine="480"/>
        <w:jc w:val="both"/>
        <w:rPr>
          <w:rFonts w:hint="eastAsia"/>
          <w:color w:val="333333"/>
          <w:szCs w:val="24"/>
        </w:rPr>
      </w:pPr>
      <w:r>
        <w:rPr>
          <w:rFonts w:hint="eastAsia"/>
          <w:color w:val="333333"/>
          <w:szCs w:val="24"/>
        </w:rPr>
        <w:t>5、采购需求：铜川市环境大气污染企业治污设施用电监管与治污设备管理系统建设项目，1项，采购预算：</w:t>
      </w:r>
      <w:r>
        <w:rPr>
          <w:rFonts w:hint="eastAsia"/>
          <w:color w:val="333333"/>
          <w:szCs w:val="24"/>
          <w:lang w:val="en-US" w:eastAsia="zh-CN"/>
        </w:rPr>
        <w:t>8</w:t>
      </w:r>
      <w:r>
        <w:rPr>
          <w:rFonts w:hint="eastAsia"/>
          <w:color w:val="333333"/>
          <w:szCs w:val="24"/>
        </w:rPr>
        <w:t>,</w:t>
      </w:r>
      <w:r>
        <w:rPr>
          <w:rFonts w:hint="eastAsia"/>
          <w:color w:val="333333"/>
          <w:szCs w:val="24"/>
          <w:lang w:val="en-US" w:eastAsia="zh-CN"/>
        </w:rPr>
        <w:t>414</w:t>
      </w:r>
      <w:r>
        <w:rPr>
          <w:rFonts w:hint="eastAsia"/>
          <w:color w:val="333333"/>
          <w:szCs w:val="24"/>
        </w:rPr>
        <w:t>,</w:t>
      </w:r>
      <w:r>
        <w:rPr>
          <w:rFonts w:hint="eastAsia"/>
          <w:color w:val="333333"/>
          <w:szCs w:val="24"/>
          <w:lang w:val="en-US" w:eastAsia="zh-CN"/>
        </w:rPr>
        <w:t>64</w:t>
      </w:r>
      <w:r>
        <w:rPr>
          <w:rFonts w:hint="eastAsia"/>
          <w:color w:val="333333"/>
          <w:szCs w:val="24"/>
        </w:rPr>
        <w:t>0.00元，项目概况：铜川市环境大气污染企业治污设施用电监管与治污设备管理系统建设项目内容包括:环保用电监测平台、BIM环保设备全周期管理系统、高清云视频在线指挥调度系统、平台配套支撑设备、平台运行维护、工业空气环境监测、重点餐饮油烟在线监测、用电监测，简要技术要求、用途：</w:t>
      </w:r>
      <w:r>
        <w:rPr>
          <w:rFonts w:hint="eastAsia"/>
          <w:color w:val="333333"/>
          <w:szCs w:val="24"/>
          <w:lang w:val="en-US" w:eastAsia="zh-CN"/>
        </w:rPr>
        <w:t>运用大数据分析、云计算、移动互联网、物联网技术，实现对污染源和环保设备用电数据、运行工况进行24小时不间断监测</w:t>
      </w:r>
      <w:r>
        <w:rPr>
          <w:rFonts w:hint="eastAsia"/>
          <w:color w:val="333333"/>
          <w:szCs w:val="24"/>
        </w:rPr>
        <w:t>。</w:t>
      </w:r>
    </w:p>
    <w:p>
      <w:pPr>
        <w:pStyle w:val="19"/>
        <w:shd w:val="clear" w:color="auto" w:fill="FFFFFF"/>
        <w:spacing w:before="0" w:beforeAutospacing="0" w:after="0" w:afterAutospacing="0" w:line="408" w:lineRule="auto"/>
        <w:ind w:firstLine="480"/>
        <w:jc w:val="both"/>
        <w:rPr>
          <w:rFonts w:hint="eastAsia"/>
          <w:color w:val="333333"/>
          <w:szCs w:val="24"/>
        </w:rPr>
      </w:pPr>
      <w:r>
        <w:rPr>
          <w:rFonts w:hint="eastAsia"/>
          <w:color w:val="333333"/>
          <w:szCs w:val="24"/>
        </w:rPr>
        <w:t>6、合同履行期限：202</w:t>
      </w:r>
      <w:r>
        <w:rPr>
          <w:rFonts w:hint="eastAsia"/>
          <w:color w:val="333333"/>
          <w:szCs w:val="24"/>
          <w:lang w:val="en-US" w:eastAsia="zh-CN"/>
        </w:rPr>
        <w:t>1</w:t>
      </w:r>
      <w:r>
        <w:rPr>
          <w:rFonts w:hint="eastAsia"/>
          <w:color w:val="333333"/>
          <w:szCs w:val="24"/>
        </w:rPr>
        <w:t>-</w:t>
      </w:r>
      <w:r>
        <w:rPr>
          <w:rFonts w:hint="eastAsia"/>
          <w:color w:val="333333"/>
          <w:szCs w:val="24"/>
          <w:lang w:val="en-US" w:eastAsia="zh-CN"/>
        </w:rPr>
        <w:t>09</w:t>
      </w:r>
      <w:r>
        <w:rPr>
          <w:rFonts w:hint="eastAsia"/>
          <w:color w:val="333333"/>
          <w:szCs w:val="24"/>
        </w:rPr>
        <w:t>-</w:t>
      </w:r>
      <w:r>
        <w:rPr>
          <w:rFonts w:hint="eastAsia"/>
          <w:color w:val="333333"/>
          <w:szCs w:val="24"/>
          <w:lang w:val="en-US" w:eastAsia="zh-CN"/>
        </w:rPr>
        <w:t>01</w:t>
      </w:r>
      <w:r>
        <w:rPr>
          <w:rFonts w:hint="eastAsia"/>
          <w:color w:val="333333"/>
          <w:szCs w:val="24"/>
        </w:rPr>
        <w:t xml:space="preserve"> 00:00:00 至 2021-</w:t>
      </w:r>
      <w:r>
        <w:rPr>
          <w:rFonts w:hint="eastAsia"/>
          <w:color w:val="333333"/>
          <w:szCs w:val="24"/>
          <w:lang w:val="en-US" w:eastAsia="zh-CN"/>
        </w:rPr>
        <w:t>12</w:t>
      </w:r>
      <w:r>
        <w:rPr>
          <w:rFonts w:hint="eastAsia"/>
          <w:color w:val="333333"/>
          <w:szCs w:val="24"/>
        </w:rPr>
        <w:t>-</w:t>
      </w:r>
      <w:r>
        <w:rPr>
          <w:rFonts w:hint="eastAsia"/>
          <w:color w:val="333333"/>
          <w:szCs w:val="24"/>
          <w:lang w:val="en-US" w:eastAsia="zh-CN"/>
        </w:rPr>
        <w:t>31</w:t>
      </w:r>
      <w:r>
        <w:rPr>
          <w:rFonts w:hint="eastAsia"/>
          <w:color w:val="333333"/>
          <w:szCs w:val="24"/>
        </w:rPr>
        <w:t xml:space="preserve"> 00:00:00（具体服务起止日期可随合同签订时间相应顺延）</w:t>
      </w:r>
    </w:p>
    <w:p>
      <w:pPr>
        <w:pStyle w:val="19"/>
        <w:shd w:val="clear" w:color="auto" w:fill="FFFFFF"/>
        <w:spacing w:before="0" w:beforeAutospacing="0" w:after="0" w:afterAutospacing="0" w:line="408" w:lineRule="auto"/>
        <w:ind w:firstLine="480"/>
        <w:jc w:val="both"/>
        <w:rPr>
          <w:rFonts w:hint="default"/>
          <w:color w:val="333333"/>
          <w:szCs w:val="24"/>
          <w:lang w:val="en-US" w:eastAsia="zh-CN"/>
        </w:rPr>
      </w:pPr>
      <w:r>
        <w:rPr>
          <w:rFonts w:hint="eastAsia"/>
          <w:color w:val="333333"/>
          <w:szCs w:val="24"/>
        </w:rPr>
        <w:t>7、本项目是否接受联合体投标：</w:t>
      </w:r>
      <w:r>
        <w:rPr>
          <w:rFonts w:hint="eastAsia"/>
          <w:color w:val="333333"/>
          <w:szCs w:val="24"/>
          <w:lang w:val="en-US" w:eastAsia="zh-CN"/>
        </w:rPr>
        <w:t>否</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二、 供应商的资格要求</w:t>
      </w:r>
    </w:p>
    <w:p>
      <w:pPr>
        <w:pStyle w:val="19"/>
        <w:shd w:val="clear" w:color="auto" w:fill="FFFFFF"/>
        <w:spacing w:before="0" w:beforeAutospacing="0" w:after="0" w:afterAutospacing="0" w:line="408" w:lineRule="auto"/>
        <w:ind w:firstLine="426"/>
        <w:jc w:val="both"/>
        <w:rPr>
          <w:rFonts w:hint="eastAsia" w:ascii="宋体" w:hAnsi="宋体" w:eastAsia="宋体" w:cs="Times New Roman"/>
          <w:color w:val="333333"/>
          <w:szCs w:val="24"/>
        </w:rPr>
      </w:pPr>
      <w:r>
        <w:rPr>
          <w:rFonts w:hint="eastAsia" w:ascii="宋体" w:hAnsi="宋体" w:eastAsia="宋体" w:cs="Times New Roman"/>
          <w:color w:val="333333"/>
          <w:szCs w:val="24"/>
        </w:rPr>
        <w:t>1、满足《中华人民共和国政府采购法》第二十二条规定</w:t>
      </w:r>
    </w:p>
    <w:p>
      <w:pPr>
        <w:pStyle w:val="19"/>
        <w:shd w:val="clear" w:color="auto" w:fill="FFFFFF"/>
        <w:spacing w:before="0" w:beforeAutospacing="0" w:after="0" w:afterAutospacing="0" w:line="408" w:lineRule="auto"/>
        <w:ind w:firstLine="426"/>
        <w:jc w:val="both"/>
        <w:rPr>
          <w:rFonts w:hint="eastAsia" w:ascii="宋体" w:hAnsi="宋体" w:eastAsia="宋体" w:cs="Times New Roman"/>
          <w:color w:val="333333"/>
          <w:szCs w:val="24"/>
        </w:rPr>
      </w:pPr>
      <w:r>
        <w:rPr>
          <w:rFonts w:hint="eastAsia" w:ascii="宋体" w:hAnsi="宋体" w:eastAsia="宋体" w:cs="Times New Roman"/>
          <w:color w:val="333333"/>
          <w:szCs w:val="24"/>
        </w:rPr>
        <w:t>2、落实政府采购政策需满足的资格要求：（1）《节能产品政府采购实施意见》（财库〔2004〕185号）；（2）《环境标志产品政府采购实施的意见》（财库〔2006〕90号）； （3）《国务院办公厅关于建立政府强制采购节能产品制度的通知》（国办发〔2007〕51号）；（4）《政府采购促进中小企业发展暂行办法》（财库〔2020〕46号）；（5）《财政部司法部关于政府采购支持监狱企业发展有关问题的通知》（财库〔2014〕68号）；（6）《三部门联合发布关于促进残疾人就业政府采购政策的通知》（财库〔2017〕141号）；（7）《财政部 国务院扶贫办关于运用政府采购政策支持脱贫攻坚的通知》（财库〔2019〕27号）。（8）《财政部 发展改革委 生态环境部 市场监管总局关于调整优化节能产品、环境标志产品政府采购执行机制的通知》（财库〔2019〕9号）；（9）《陕西省中小企业政府采购信用融资办法》（陕财办采〔2018〕23号）。如有最新颁布的政府采购政策，按最新的文件执行。</w:t>
      </w:r>
    </w:p>
    <w:p>
      <w:pPr>
        <w:pStyle w:val="19"/>
        <w:shd w:val="clear" w:color="auto" w:fill="FFFFFF"/>
        <w:spacing w:before="0" w:beforeAutospacing="0" w:after="0" w:afterAutospacing="0" w:line="408" w:lineRule="auto"/>
        <w:ind w:firstLine="426"/>
        <w:jc w:val="both"/>
        <w:rPr>
          <w:rFonts w:hint="eastAsia"/>
          <w:color w:val="333333"/>
          <w:szCs w:val="24"/>
          <w:lang w:eastAsia="zh-CN"/>
        </w:rPr>
      </w:pPr>
      <w:r>
        <w:rPr>
          <w:rFonts w:hint="eastAsia"/>
          <w:color w:val="333333"/>
          <w:szCs w:val="24"/>
        </w:rPr>
        <w:t>3、本项目的特定资格要求：（1）具有独立承担民事责任能力的法人、其他组织或自然人，并出具合法有效的营业执照或事业单位法人证书等国家规定的相关证明，自然人参与的提供其身份证明</w:t>
      </w:r>
      <w:r>
        <w:rPr>
          <w:color w:val="333333"/>
          <w:szCs w:val="24"/>
        </w:rPr>
        <w:t>；（</w:t>
      </w:r>
      <w:r>
        <w:rPr>
          <w:rFonts w:hint="eastAsia"/>
          <w:color w:val="333333"/>
          <w:szCs w:val="24"/>
        </w:rPr>
        <w:t>2</w:t>
      </w:r>
      <w:r>
        <w:rPr>
          <w:color w:val="333333"/>
          <w:szCs w:val="24"/>
        </w:rPr>
        <w:t>）法定代表人授权委托书：法定代表人参加投标的，须出示身份证；法定代表人授权他人参加投标的，须提供法定代表人授权委托书（附法定代表人、被授权人身份证复印件）；（</w:t>
      </w:r>
      <w:r>
        <w:rPr>
          <w:rFonts w:hint="eastAsia"/>
          <w:color w:val="333333"/>
          <w:szCs w:val="24"/>
          <w:lang w:val="en-US" w:eastAsia="zh-CN"/>
        </w:rPr>
        <w:t>3</w:t>
      </w:r>
      <w:r>
        <w:rPr>
          <w:color w:val="333333"/>
          <w:szCs w:val="24"/>
        </w:rPr>
        <w:t>）供应商</w:t>
      </w:r>
      <w:r>
        <w:rPr>
          <w:rFonts w:hint="eastAsia"/>
          <w:color w:val="333333"/>
          <w:szCs w:val="24"/>
        </w:rPr>
        <w:t>不得列入“信用中国”网站（www.creditchina.gov.cn）失信被执行人和重大税收违法案件当事人名单；不得为中国政府采购网（www.ccgp.gov.cn）政府采购严重违法失信行为记录名单中被财政部门禁止参加政府采购活动的供应商；（</w:t>
      </w:r>
      <w:r>
        <w:rPr>
          <w:rFonts w:hint="eastAsia"/>
          <w:color w:val="333333"/>
          <w:szCs w:val="24"/>
          <w:lang w:val="en-US" w:eastAsia="zh-CN"/>
        </w:rPr>
        <w:t>4</w:t>
      </w:r>
      <w:r>
        <w:rPr>
          <w:rFonts w:hint="eastAsia"/>
          <w:color w:val="333333"/>
          <w:szCs w:val="24"/>
        </w:rPr>
        <w:t>）具有建设行政主管部门颁发的电子与智能化工程专业承包贰级</w:t>
      </w:r>
      <w:r>
        <w:rPr>
          <w:rFonts w:hint="eastAsia"/>
          <w:color w:val="333333"/>
          <w:szCs w:val="24"/>
          <w:lang w:val="en-US" w:eastAsia="zh-CN"/>
        </w:rPr>
        <w:t>及以上资质，并具备</w:t>
      </w:r>
      <w:r>
        <w:rPr>
          <w:rFonts w:hint="eastAsia"/>
          <w:color w:val="333333"/>
          <w:szCs w:val="24"/>
        </w:rPr>
        <w:t>有效的安全生产许可证</w:t>
      </w:r>
      <w:r>
        <w:rPr>
          <w:rFonts w:hint="eastAsia"/>
          <w:color w:val="333333"/>
          <w:szCs w:val="24"/>
          <w:lang w:eastAsia="zh-CN"/>
        </w:rPr>
        <w:t>；（</w:t>
      </w:r>
      <w:r>
        <w:rPr>
          <w:rFonts w:hint="eastAsia"/>
          <w:color w:val="333333"/>
          <w:szCs w:val="24"/>
          <w:lang w:val="en-US" w:eastAsia="zh-CN"/>
        </w:rPr>
        <w:t>5</w:t>
      </w:r>
      <w:r>
        <w:rPr>
          <w:rFonts w:hint="eastAsia"/>
          <w:color w:val="333333"/>
          <w:szCs w:val="24"/>
          <w:lang w:eastAsia="zh-CN"/>
        </w:rPr>
        <w:t>）</w:t>
      </w:r>
      <w:r>
        <w:rPr>
          <w:rFonts w:hint="eastAsia"/>
          <w:color w:val="333333"/>
          <w:szCs w:val="24"/>
        </w:rPr>
        <w:t>单位负责人为同一人或者存在直接控股、管理关系的不同投标人，不得参加同一合同项下的政府采购活动；（提供书面承诺函，格式自拟加盖投标人公章）</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三、 招标文件的获取方式</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时间</w:t>
      </w:r>
      <w:r>
        <w:rPr>
          <w:rFonts w:hint="eastAsia"/>
          <w:color w:val="333333"/>
          <w:szCs w:val="24"/>
          <w:highlight w:val="none"/>
        </w:rPr>
        <w:t>：即日起至202</w:t>
      </w:r>
      <w:r>
        <w:rPr>
          <w:rFonts w:hint="eastAsia"/>
          <w:color w:val="333333"/>
          <w:szCs w:val="24"/>
          <w:highlight w:val="none"/>
          <w:lang w:val="en-US" w:eastAsia="zh-CN"/>
        </w:rPr>
        <w:t>1</w:t>
      </w:r>
      <w:r>
        <w:rPr>
          <w:rFonts w:hint="eastAsia"/>
          <w:color w:val="333333"/>
          <w:szCs w:val="24"/>
          <w:highlight w:val="none"/>
        </w:rPr>
        <w:t>-</w:t>
      </w:r>
      <w:r>
        <w:rPr>
          <w:rFonts w:hint="eastAsia"/>
          <w:color w:val="333333"/>
          <w:szCs w:val="24"/>
          <w:highlight w:val="none"/>
          <w:lang w:val="en-US" w:eastAsia="zh-CN"/>
        </w:rPr>
        <w:t>08</w:t>
      </w:r>
      <w:r>
        <w:rPr>
          <w:rFonts w:hint="eastAsia"/>
          <w:color w:val="333333"/>
          <w:szCs w:val="24"/>
          <w:highlight w:val="none"/>
        </w:rPr>
        <w:t>-</w:t>
      </w:r>
      <w:r>
        <w:rPr>
          <w:rFonts w:hint="eastAsia"/>
          <w:color w:val="333333"/>
          <w:szCs w:val="24"/>
          <w:highlight w:val="none"/>
          <w:lang w:val="en-US" w:eastAsia="zh-CN"/>
        </w:rPr>
        <w:t>06</w:t>
      </w:r>
      <w:r>
        <w:rPr>
          <w:rFonts w:hint="eastAsia"/>
          <w:color w:val="333333"/>
          <w:szCs w:val="24"/>
          <w:highlight w:val="none"/>
        </w:rPr>
        <w:t xml:space="preserve">  </w:t>
      </w:r>
      <w:r>
        <w:rPr>
          <w:rFonts w:hint="eastAsia"/>
          <w:color w:val="333333"/>
          <w:szCs w:val="24"/>
          <w:highlight w:val="none"/>
          <w:lang w:val="en-US" w:eastAsia="zh-CN"/>
        </w:rPr>
        <w:t>18</w:t>
      </w:r>
      <w:r>
        <w:rPr>
          <w:rFonts w:hint="eastAsia"/>
          <w:color w:val="333333"/>
          <w:szCs w:val="24"/>
          <w:highlight w:val="none"/>
        </w:rPr>
        <w:t>:</w:t>
      </w:r>
      <w:r>
        <w:rPr>
          <w:rFonts w:hint="eastAsia"/>
          <w:color w:val="333333"/>
          <w:szCs w:val="24"/>
          <w:highlight w:val="none"/>
          <w:lang w:val="en-US" w:eastAsia="zh-CN"/>
        </w:rPr>
        <w:t>0</w:t>
      </w:r>
      <w:r>
        <w:rPr>
          <w:rFonts w:hint="eastAsia"/>
          <w:color w:val="333333"/>
          <w:szCs w:val="24"/>
          <w:highlight w:val="none"/>
        </w:rPr>
        <w:t>0:00 止</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地点：西安市经济技术开发区凤城七路旭辉中心1栋802室</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方式：现场购买/邮寄</w:t>
      </w:r>
    </w:p>
    <w:p>
      <w:pPr>
        <w:pStyle w:val="19"/>
        <w:shd w:val="clear" w:color="auto" w:fill="FFFFFF"/>
        <w:spacing w:before="0" w:beforeAutospacing="0" w:after="0" w:afterAutospacing="0" w:line="408" w:lineRule="auto"/>
        <w:ind w:firstLine="480"/>
        <w:jc w:val="both"/>
        <w:rPr>
          <w:rFonts w:hint="eastAsia"/>
          <w:color w:val="333333"/>
          <w:szCs w:val="24"/>
        </w:rPr>
      </w:pPr>
      <w:r>
        <w:rPr>
          <w:rFonts w:hint="eastAsia"/>
          <w:color w:val="333333"/>
          <w:szCs w:val="24"/>
        </w:rPr>
        <w:t>售价：免费赠送</w:t>
      </w:r>
    </w:p>
    <w:p>
      <w:pPr>
        <w:pStyle w:val="19"/>
        <w:shd w:val="clear" w:color="auto" w:fill="FFFFFF"/>
        <w:spacing w:before="0" w:beforeAutospacing="0" w:after="0" w:afterAutospacing="0" w:line="408" w:lineRule="auto"/>
        <w:ind w:firstLine="480"/>
        <w:jc w:val="both"/>
        <w:rPr>
          <w:color w:val="333333"/>
          <w:szCs w:val="24"/>
        </w:rPr>
      </w:pPr>
      <w:r>
        <w:rPr>
          <w:rStyle w:val="25"/>
          <w:rFonts w:hint="eastAsia"/>
          <w:color w:val="333333"/>
          <w:szCs w:val="24"/>
        </w:rPr>
        <w:t>注：获取招标</w:t>
      </w:r>
      <w:r>
        <w:rPr>
          <w:rFonts w:cs="宋体"/>
          <w:b/>
        </w:rPr>
        <w:t>文件请携带单位介绍信原件,经办人身份证原件及加盖供应商公章的身份证复印件。</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四、 投标文件递交</w:t>
      </w:r>
    </w:p>
    <w:p>
      <w:pPr>
        <w:pStyle w:val="19"/>
        <w:shd w:val="clear" w:color="auto" w:fill="FFFFFF"/>
        <w:spacing w:before="0" w:beforeAutospacing="0" w:after="0" w:afterAutospacing="0" w:line="408" w:lineRule="auto"/>
        <w:ind w:firstLine="480"/>
        <w:jc w:val="both"/>
        <w:rPr>
          <w:color w:val="auto"/>
          <w:szCs w:val="24"/>
        </w:rPr>
      </w:pPr>
      <w:r>
        <w:rPr>
          <w:rFonts w:hint="eastAsia"/>
          <w:color w:val="auto"/>
          <w:szCs w:val="24"/>
        </w:rPr>
        <w:t>截止时间</w:t>
      </w:r>
      <w:r>
        <w:rPr>
          <w:rFonts w:hint="eastAsia"/>
          <w:color w:val="auto"/>
          <w:szCs w:val="24"/>
          <w:highlight w:val="none"/>
        </w:rPr>
        <w:t>： 202</w:t>
      </w:r>
      <w:r>
        <w:rPr>
          <w:rFonts w:hint="eastAsia"/>
          <w:color w:val="auto"/>
          <w:szCs w:val="24"/>
          <w:highlight w:val="none"/>
          <w:lang w:val="en-US" w:eastAsia="zh-CN"/>
        </w:rPr>
        <w:t>1</w:t>
      </w:r>
      <w:r>
        <w:rPr>
          <w:rFonts w:hint="eastAsia"/>
          <w:color w:val="auto"/>
          <w:szCs w:val="24"/>
          <w:highlight w:val="none"/>
        </w:rPr>
        <w:t>-</w:t>
      </w:r>
      <w:r>
        <w:rPr>
          <w:rFonts w:hint="eastAsia"/>
          <w:color w:val="auto"/>
          <w:szCs w:val="24"/>
          <w:highlight w:val="none"/>
          <w:lang w:val="en-US" w:eastAsia="zh-CN"/>
        </w:rPr>
        <w:t>08</w:t>
      </w:r>
      <w:r>
        <w:rPr>
          <w:rFonts w:hint="eastAsia"/>
          <w:color w:val="auto"/>
          <w:szCs w:val="24"/>
          <w:highlight w:val="none"/>
        </w:rPr>
        <w:t>-</w:t>
      </w:r>
      <w:r>
        <w:rPr>
          <w:rFonts w:hint="eastAsia"/>
          <w:color w:val="auto"/>
          <w:szCs w:val="24"/>
          <w:highlight w:val="none"/>
          <w:lang w:val="en-US" w:eastAsia="zh-CN"/>
        </w:rPr>
        <w:t>23</w:t>
      </w:r>
      <w:r>
        <w:rPr>
          <w:rFonts w:hint="eastAsia"/>
          <w:color w:val="auto"/>
          <w:szCs w:val="24"/>
          <w:highlight w:val="none"/>
        </w:rPr>
        <w:t xml:space="preserve"> </w:t>
      </w:r>
      <w:r>
        <w:rPr>
          <w:rFonts w:hint="eastAsia"/>
          <w:color w:val="auto"/>
          <w:szCs w:val="24"/>
          <w:highlight w:val="none"/>
          <w:lang w:val="en-US" w:eastAsia="zh-CN"/>
        </w:rPr>
        <w:t>15</w:t>
      </w:r>
      <w:r>
        <w:rPr>
          <w:rFonts w:hint="eastAsia"/>
          <w:color w:val="auto"/>
          <w:szCs w:val="24"/>
          <w:highlight w:val="none"/>
        </w:rPr>
        <w:t>:</w:t>
      </w:r>
      <w:r>
        <w:rPr>
          <w:rFonts w:hint="eastAsia"/>
          <w:color w:val="auto"/>
          <w:szCs w:val="24"/>
          <w:highlight w:val="none"/>
          <w:lang w:val="en-US" w:eastAsia="zh-CN"/>
        </w:rPr>
        <w:t>0</w:t>
      </w:r>
      <w:r>
        <w:rPr>
          <w:rFonts w:hint="eastAsia"/>
          <w:color w:val="auto"/>
          <w:szCs w:val="24"/>
          <w:highlight w:val="none"/>
        </w:rPr>
        <w:t>0:00</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地点：西安市经济技术开发区凤城七路旭辉中心1栋802室</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五、公告期限</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自本公告发布之日起5个工作日。</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六、其他补充事宜</w:t>
      </w:r>
    </w:p>
    <w:p>
      <w:pPr>
        <w:pStyle w:val="47"/>
        <w:shd w:val="clear" w:color="auto" w:fill="FFFFFF"/>
        <w:spacing w:line="408" w:lineRule="auto"/>
        <w:jc w:val="both"/>
        <w:rPr>
          <w:rFonts w:ascii="宋体" w:hAnsi="宋体"/>
          <w:bCs/>
          <w:color w:val="333333"/>
          <w:sz w:val="24"/>
          <w:szCs w:val="24"/>
        </w:rPr>
      </w:pPr>
      <w:r>
        <w:rPr>
          <w:rFonts w:hint="eastAsia" w:ascii="宋体" w:hAnsi="宋体"/>
          <w:bCs/>
          <w:color w:val="333333"/>
          <w:sz w:val="24"/>
          <w:szCs w:val="24"/>
        </w:rPr>
        <w:t>七、对本次招标提出询问，请按以下方式联系</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1、采购人信息：</w:t>
      </w:r>
      <w:r>
        <w:rPr>
          <w:rFonts w:hint="eastAsia"/>
          <w:color w:val="333333"/>
          <w:szCs w:val="24"/>
        </w:rPr>
        <w:t>铜川市生态环境局</w:t>
      </w:r>
    </w:p>
    <w:p>
      <w:pPr>
        <w:pStyle w:val="19"/>
        <w:shd w:val="clear" w:color="auto" w:fill="FFFFFF"/>
        <w:spacing w:before="0" w:beforeAutospacing="0" w:after="0" w:afterAutospacing="0" w:line="408" w:lineRule="auto"/>
        <w:ind w:firstLine="480"/>
        <w:jc w:val="both"/>
        <w:rPr>
          <w:rFonts w:hint="default" w:eastAsia="宋体"/>
          <w:color w:val="333333"/>
          <w:szCs w:val="24"/>
          <w:lang w:val="en-US" w:eastAsia="zh-CN"/>
        </w:rPr>
      </w:pPr>
      <w:r>
        <w:rPr>
          <w:color w:val="333333"/>
          <w:szCs w:val="24"/>
        </w:rPr>
        <w:t>地址：</w:t>
      </w:r>
      <w:r>
        <w:rPr>
          <w:rFonts w:hint="eastAsia"/>
          <w:color w:val="333333"/>
          <w:szCs w:val="24"/>
        </w:rPr>
        <w:t>铜川市新区齐庆</w:t>
      </w:r>
      <w:r>
        <w:rPr>
          <w:rFonts w:hint="eastAsia"/>
          <w:color w:val="333333"/>
          <w:szCs w:val="24"/>
          <w:lang w:val="en-US" w:eastAsia="zh-CN"/>
        </w:rPr>
        <w:t>路4号</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联系人：</w:t>
      </w:r>
      <w:r>
        <w:rPr>
          <w:rFonts w:hint="eastAsia"/>
          <w:color w:val="333333"/>
          <w:szCs w:val="24"/>
        </w:rPr>
        <w:t>铜川市生态环境局经办</w:t>
      </w:r>
    </w:p>
    <w:p>
      <w:pPr>
        <w:pStyle w:val="19"/>
        <w:shd w:val="clear" w:color="auto" w:fill="FFFFFF"/>
        <w:spacing w:before="0" w:beforeAutospacing="0" w:after="0" w:afterAutospacing="0" w:line="408" w:lineRule="auto"/>
        <w:ind w:firstLine="480"/>
        <w:jc w:val="both"/>
        <w:rPr>
          <w:rFonts w:hint="eastAsia"/>
          <w:color w:val="333333"/>
          <w:szCs w:val="24"/>
          <w:lang w:val="en-US" w:eastAsia="zh-CN"/>
        </w:rPr>
      </w:pPr>
      <w:r>
        <w:rPr>
          <w:color w:val="333333"/>
          <w:szCs w:val="24"/>
        </w:rPr>
        <w:t>电话：0919-</w:t>
      </w:r>
      <w:r>
        <w:rPr>
          <w:rFonts w:hint="eastAsia"/>
          <w:color w:val="333333"/>
          <w:szCs w:val="24"/>
          <w:lang w:val="en-US" w:eastAsia="zh-CN"/>
        </w:rPr>
        <w:t>3157262</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2、项目联系方式</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项目联系人：</w:t>
      </w:r>
      <w:r>
        <w:rPr>
          <w:rFonts w:hint="eastAsia"/>
          <w:color w:val="333333"/>
          <w:szCs w:val="24"/>
          <w:lang w:val="en-US" w:eastAsia="zh-CN"/>
        </w:rPr>
        <w:t>李</w:t>
      </w:r>
      <w:r>
        <w:rPr>
          <w:color w:val="333333"/>
          <w:szCs w:val="24"/>
        </w:rPr>
        <w:t>工</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电 话：029-86259655</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传 真：029-86259655</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3、采购代理机构信息</w:t>
      </w:r>
    </w:p>
    <w:p>
      <w:pPr>
        <w:pStyle w:val="19"/>
        <w:shd w:val="clear" w:color="auto" w:fill="FFFFFF"/>
        <w:spacing w:before="0" w:beforeAutospacing="0" w:after="0" w:afterAutospacing="0" w:line="408" w:lineRule="auto"/>
        <w:ind w:firstLine="480"/>
        <w:jc w:val="both"/>
        <w:rPr>
          <w:color w:val="333333"/>
          <w:szCs w:val="24"/>
        </w:rPr>
      </w:pPr>
      <w:r>
        <w:rPr>
          <w:color w:val="333333"/>
          <w:szCs w:val="24"/>
        </w:rPr>
        <w:t>名称：陕西宸逸九科项目咨询管理有限公司</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联系地址：西安市经济技术开发区凤城七路旭辉中心1栋802室</w:t>
      </w:r>
    </w:p>
    <w:p>
      <w:pPr>
        <w:pStyle w:val="19"/>
        <w:shd w:val="clear" w:color="auto" w:fill="FFFFFF"/>
        <w:spacing w:before="0" w:beforeAutospacing="0" w:after="0" w:afterAutospacing="0" w:line="408" w:lineRule="auto"/>
        <w:ind w:firstLine="480"/>
        <w:jc w:val="both"/>
        <w:rPr>
          <w:color w:val="333333"/>
          <w:szCs w:val="24"/>
        </w:rPr>
      </w:pPr>
      <w:r>
        <w:rPr>
          <w:rFonts w:hint="eastAsia"/>
          <w:color w:val="333333"/>
          <w:szCs w:val="24"/>
        </w:rPr>
        <w:t>联系方式：</w:t>
      </w:r>
      <w:r>
        <w:fldChar w:fldCharType="begin"/>
      </w:r>
      <w:r>
        <w:instrText xml:space="preserve"> HYPERLINK "http://www.ccgp.gov.cn/agency/a_agencylist.html" \t "_blank" </w:instrText>
      </w:r>
      <w:r>
        <w:fldChar w:fldCharType="separate"/>
      </w:r>
      <w:r>
        <w:rPr>
          <w:rFonts w:hint="eastAsia"/>
          <w:color w:val="333333"/>
        </w:rPr>
        <w:t>http://www.ccgp.gov.cn/agency/a_agencylist.html</w:t>
      </w:r>
      <w:r>
        <w:rPr>
          <w:rFonts w:hint="eastAsia"/>
          <w:color w:val="333333"/>
        </w:rPr>
        <w:fldChar w:fldCharType="end"/>
      </w:r>
    </w:p>
    <w:p>
      <w:pPr>
        <w:widowControl/>
        <w:jc w:val="left"/>
        <w:rPr>
          <w:rFonts w:ascii="宋体" w:hAnsi="宋体" w:cs="仿宋_GB2312"/>
          <w:b/>
          <w:kern w:val="44"/>
          <w:sz w:val="36"/>
          <w:szCs w:val="20"/>
        </w:rPr>
      </w:pPr>
      <w:r>
        <w:rPr>
          <w:rFonts w:ascii="宋体" w:hAnsi="宋体" w:cs="仿宋_GB2312"/>
          <w:sz w:val="36"/>
        </w:rPr>
        <w:br w:type="page"/>
      </w:r>
    </w:p>
    <w:p>
      <w:pPr>
        <w:pStyle w:val="3"/>
        <w:spacing w:line="360" w:lineRule="auto"/>
        <w:jc w:val="center"/>
        <w:rPr>
          <w:rFonts w:ascii="宋体" w:hAnsi="宋体" w:cs="仿宋_GB2312"/>
          <w:sz w:val="36"/>
        </w:rPr>
      </w:pPr>
      <w:bookmarkStart w:id="8" w:name="_Toc26939"/>
      <w:r>
        <w:rPr>
          <w:rFonts w:hint="eastAsia" w:ascii="宋体" w:hAnsi="宋体" w:cs="仿宋_GB2312"/>
          <w:sz w:val="36"/>
        </w:rPr>
        <w:t>第二部分  供应商须知前附表</w:t>
      </w:r>
      <w:bookmarkEnd w:id="5"/>
      <w:bookmarkEnd w:id="6"/>
      <w:bookmarkEnd w:id="7"/>
      <w:bookmarkEnd w:id="8"/>
      <w:bookmarkStart w:id="9" w:name="_Toc246928894"/>
    </w:p>
    <w:tbl>
      <w:tblPr>
        <w:tblStyle w:val="22"/>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2034"/>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blHeader/>
          <w:jc w:val="center"/>
        </w:trPr>
        <w:tc>
          <w:tcPr>
            <w:tcW w:w="782" w:type="dxa"/>
            <w:vAlign w:val="center"/>
          </w:tcPr>
          <w:p>
            <w:pPr>
              <w:spacing w:line="360" w:lineRule="auto"/>
              <w:jc w:val="center"/>
              <w:rPr>
                <w:rFonts w:ascii="宋体" w:hAnsi="宋体" w:cs="仿宋_GB2312"/>
                <w:b/>
                <w:sz w:val="24"/>
              </w:rPr>
            </w:pPr>
            <w:r>
              <w:rPr>
                <w:rFonts w:hint="eastAsia" w:ascii="宋体" w:hAnsi="宋体" w:cs="仿宋_GB2312"/>
                <w:b/>
                <w:sz w:val="24"/>
              </w:rPr>
              <w:t>序号</w:t>
            </w:r>
          </w:p>
        </w:tc>
        <w:tc>
          <w:tcPr>
            <w:tcW w:w="2034" w:type="dxa"/>
            <w:vAlign w:val="center"/>
          </w:tcPr>
          <w:p>
            <w:pPr>
              <w:spacing w:line="360" w:lineRule="auto"/>
              <w:jc w:val="center"/>
              <w:rPr>
                <w:rFonts w:ascii="宋体" w:hAnsi="宋体" w:cs="仿宋_GB2312"/>
                <w:b/>
                <w:sz w:val="24"/>
              </w:rPr>
            </w:pPr>
            <w:r>
              <w:rPr>
                <w:rFonts w:hint="eastAsia" w:ascii="宋体" w:hAnsi="宋体" w:cs="仿宋_GB2312"/>
                <w:b/>
                <w:sz w:val="24"/>
              </w:rPr>
              <w:t>内容</w:t>
            </w:r>
          </w:p>
        </w:tc>
        <w:tc>
          <w:tcPr>
            <w:tcW w:w="5985" w:type="dxa"/>
            <w:vAlign w:val="center"/>
          </w:tcPr>
          <w:p>
            <w:pPr>
              <w:spacing w:line="360" w:lineRule="auto"/>
              <w:jc w:val="center"/>
              <w:rPr>
                <w:rFonts w:ascii="宋体" w:hAnsi="宋体" w:cs="仿宋_GB2312"/>
                <w:b/>
                <w:sz w:val="24"/>
              </w:rPr>
            </w:pPr>
            <w:r>
              <w:rPr>
                <w:rFonts w:ascii="宋体" w:hAnsi="宋体" w:cs="仿宋_GB2312"/>
                <w:b/>
                <w:sz w:val="24"/>
              </w:rPr>
              <w:t>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宋体"/>
                <w:szCs w:val="21"/>
              </w:rPr>
            </w:pPr>
            <w:r>
              <w:rPr>
                <w:rFonts w:hint="eastAsia" w:ascii="宋体" w:hAnsi="宋体" w:cs="宋体"/>
                <w:szCs w:val="21"/>
              </w:rPr>
              <w:t>项目概况</w:t>
            </w:r>
          </w:p>
        </w:tc>
        <w:tc>
          <w:tcPr>
            <w:tcW w:w="5985" w:type="dxa"/>
            <w:vAlign w:val="center"/>
          </w:tcPr>
          <w:p>
            <w:pPr>
              <w:spacing w:line="360" w:lineRule="auto"/>
              <w:ind w:left="-3" w:leftChars="-9" w:hanging="16" w:hangingChars="8"/>
              <w:rPr>
                <w:rFonts w:ascii="宋体" w:hAnsi="宋体"/>
                <w:szCs w:val="21"/>
              </w:rPr>
            </w:pPr>
            <w:r>
              <w:rPr>
                <w:rFonts w:hint="eastAsia" w:ascii="宋体" w:hAnsi="宋体"/>
                <w:szCs w:val="21"/>
              </w:rPr>
              <w:t>项目名称：铜川市环境大气污染企业治污设施用电监管与治污设备管理系统建设项目</w:t>
            </w:r>
          </w:p>
          <w:p>
            <w:pPr>
              <w:spacing w:line="360" w:lineRule="auto"/>
              <w:ind w:left="-3" w:leftChars="-9" w:hanging="16" w:hangingChars="8"/>
              <w:rPr>
                <w:rFonts w:ascii="宋体" w:hAnsi="宋体"/>
                <w:szCs w:val="21"/>
              </w:rPr>
            </w:pPr>
            <w:r>
              <w:rPr>
                <w:rFonts w:hint="eastAsia" w:ascii="宋体" w:hAnsi="宋体"/>
                <w:szCs w:val="21"/>
              </w:rPr>
              <w:t>项目编号：CYJK-ZFCG-2021-010</w:t>
            </w:r>
          </w:p>
          <w:p>
            <w:pPr>
              <w:spacing w:line="360" w:lineRule="auto"/>
              <w:ind w:left="-3" w:leftChars="-9" w:hanging="16" w:hangingChars="8"/>
              <w:rPr>
                <w:rFonts w:ascii="宋体" w:hAnsi="宋体"/>
                <w:szCs w:val="21"/>
              </w:rPr>
            </w:pPr>
            <w:r>
              <w:rPr>
                <w:rFonts w:hint="eastAsia" w:ascii="宋体" w:hAnsi="宋体"/>
                <w:szCs w:val="21"/>
              </w:rPr>
              <w:t>采购人：铜川市生态环境局</w:t>
            </w:r>
          </w:p>
          <w:p>
            <w:pPr>
              <w:pStyle w:val="8"/>
              <w:rPr>
                <w:rFonts w:ascii="宋体" w:hAnsi="宋体"/>
                <w:sz w:val="21"/>
                <w:szCs w:val="21"/>
              </w:rPr>
            </w:pPr>
            <w:r>
              <w:rPr>
                <w:rFonts w:hint="eastAsia" w:ascii="宋体" w:hAnsi="宋体"/>
                <w:b w:val="0"/>
                <w:sz w:val="21"/>
                <w:szCs w:val="21"/>
              </w:rPr>
              <w:t>代理机构：陕西宸逸九科项目咨询管理有限公司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宋体"/>
                <w:szCs w:val="21"/>
              </w:rPr>
            </w:pPr>
            <w:r>
              <w:rPr>
                <w:rFonts w:hint="eastAsia" w:ascii="宋体" w:hAnsi="宋体" w:cs="宋体"/>
                <w:szCs w:val="21"/>
              </w:rPr>
              <w:t>资金来源</w:t>
            </w:r>
          </w:p>
        </w:tc>
        <w:tc>
          <w:tcPr>
            <w:tcW w:w="5985" w:type="dxa"/>
            <w:vAlign w:val="center"/>
          </w:tcPr>
          <w:p>
            <w:pPr>
              <w:spacing w:line="360" w:lineRule="auto"/>
              <w:ind w:left="-3" w:leftChars="-9" w:hanging="16" w:hangingChars="8"/>
              <w:rPr>
                <w:rFonts w:ascii="宋体" w:hAnsi="宋体" w:cs="宋体"/>
                <w:szCs w:val="21"/>
              </w:rPr>
            </w:pPr>
            <w:r>
              <w:rPr>
                <w:rFonts w:hint="eastAsia" w:ascii="宋体" w:hAnsi="宋体" w:cs="宋体"/>
                <w:szCs w:val="21"/>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采购内容</w:t>
            </w:r>
          </w:p>
          <w:p>
            <w:pPr>
              <w:spacing w:line="360" w:lineRule="auto"/>
              <w:jc w:val="center"/>
              <w:rPr>
                <w:rFonts w:ascii="宋体" w:hAnsi="宋体" w:cs="仿宋_GB2312"/>
                <w:szCs w:val="21"/>
              </w:rPr>
            </w:pPr>
            <w:r>
              <w:rPr>
                <w:rFonts w:hint="eastAsia" w:ascii="宋体" w:hAnsi="宋体" w:cs="仿宋_GB2312"/>
                <w:szCs w:val="21"/>
              </w:rPr>
              <w:t>及预算</w:t>
            </w:r>
          </w:p>
        </w:tc>
        <w:tc>
          <w:tcPr>
            <w:tcW w:w="5985" w:type="dxa"/>
            <w:vAlign w:val="center"/>
          </w:tcPr>
          <w:p>
            <w:pPr>
              <w:spacing w:line="360" w:lineRule="auto"/>
              <w:rPr>
                <w:rFonts w:ascii="宋体" w:hAnsi="宋体" w:cs="仿宋_GB2312"/>
                <w:szCs w:val="21"/>
              </w:rPr>
            </w:pPr>
            <w:r>
              <w:rPr>
                <w:rFonts w:hint="eastAsia" w:ascii="宋体" w:hAnsi="宋体" w:cs="仿宋_GB2312"/>
                <w:szCs w:val="21"/>
              </w:rPr>
              <w:t>（1）本次采购、报价、评审和合同授予均以项目为单位，供应商必须就一个完整的项目进行响应，不完整的响应将被拒绝。</w:t>
            </w:r>
          </w:p>
          <w:p>
            <w:pPr>
              <w:spacing w:line="360" w:lineRule="auto"/>
              <w:rPr>
                <w:rFonts w:ascii="宋体" w:hAnsi="宋体" w:cs="仿宋_GB2312"/>
                <w:szCs w:val="21"/>
              </w:rPr>
            </w:pPr>
            <w:r>
              <w:rPr>
                <w:rFonts w:hint="eastAsia" w:ascii="宋体" w:hAnsi="宋体" w:cs="仿宋_GB2312"/>
                <w:szCs w:val="21"/>
              </w:rPr>
              <w:t>（2）具体采购内容详见招标文件第五部分采购内容及要求。</w:t>
            </w:r>
          </w:p>
          <w:p>
            <w:pPr>
              <w:spacing w:line="360" w:lineRule="auto"/>
              <w:rPr>
                <w:rFonts w:ascii="宋体" w:hAnsi="宋体" w:cs="仿宋_GB2312"/>
                <w:szCs w:val="21"/>
              </w:rPr>
            </w:pPr>
            <w:r>
              <w:rPr>
                <w:rFonts w:hint="eastAsia" w:ascii="宋体" w:hAnsi="宋体" w:cs="仿宋_GB2312"/>
                <w:szCs w:val="21"/>
              </w:rPr>
              <w:t>（3）采购预</w:t>
            </w:r>
            <w:r>
              <w:rPr>
                <w:rFonts w:hint="eastAsia" w:ascii="宋体" w:hAnsi="宋体" w:eastAsia="宋体" w:cs="仿宋_GB2312"/>
                <w:szCs w:val="21"/>
              </w:rPr>
              <w:t>算：</w:t>
            </w:r>
            <w:r>
              <w:rPr>
                <w:rFonts w:hint="eastAsia" w:ascii="宋体" w:hAnsi="宋体" w:eastAsia="宋体" w:cs="仿宋_GB2312"/>
                <w:szCs w:val="21"/>
                <w:lang w:val="en-US" w:eastAsia="zh-CN"/>
              </w:rPr>
              <w:t>8</w:t>
            </w:r>
            <w:r>
              <w:rPr>
                <w:rFonts w:hint="eastAsia" w:ascii="宋体" w:hAnsi="宋体" w:eastAsia="宋体" w:cs="仿宋_GB2312"/>
                <w:szCs w:val="21"/>
              </w:rPr>
              <w:t>,</w:t>
            </w:r>
            <w:r>
              <w:rPr>
                <w:rFonts w:hint="eastAsia" w:ascii="宋体" w:hAnsi="宋体" w:eastAsia="宋体" w:cs="仿宋_GB2312"/>
                <w:szCs w:val="21"/>
                <w:lang w:val="en-US" w:eastAsia="zh-CN"/>
              </w:rPr>
              <w:t>414</w:t>
            </w:r>
            <w:r>
              <w:rPr>
                <w:rFonts w:hint="eastAsia" w:ascii="宋体" w:hAnsi="宋体" w:eastAsia="宋体" w:cs="仿宋_GB2312"/>
                <w:szCs w:val="21"/>
              </w:rPr>
              <w:t>,</w:t>
            </w:r>
            <w:r>
              <w:rPr>
                <w:rFonts w:hint="eastAsia" w:ascii="宋体" w:hAnsi="宋体" w:eastAsia="宋体" w:cs="仿宋_GB2312"/>
                <w:szCs w:val="21"/>
                <w:lang w:val="en-US" w:eastAsia="zh-CN"/>
              </w:rPr>
              <w:t>64</w:t>
            </w:r>
            <w:r>
              <w:rPr>
                <w:rFonts w:hint="eastAsia" w:ascii="宋体" w:hAnsi="宋体" w:eastAsia="宋体" w:cs="仿宋_GB2312"/>
                <w:szCs w:val="21"/>
              </w:rPr>
              <w:t>0.00元</w:t>
            </w:r>
            <w:r>
              <w:rPr>
                <w:rFonts w:hint="eastAsia" w:ascii="宋体" w:hAnsi="宋体" w:cs="仿宋_GB2312"/>
                <w:szCs w:val="21"/>
              </w:rPr>
              <w:t>，超过采购预算的报价，为无效投标报价。</w:t>
            </w:r>
            <w:r>
              <w:rPr>
                <w:rFonts w:hint="eastAsia" w:ascii="宋体" w:hAnsi="宋体" w:cs="仿宋_GB2312"/>
                <w:color w:val="auto"/>
                <w:szCs w:val="21"/>
                <w:lang w:val="en-US" w:eastAsia="zh-CN"/>
              </w:rPr>
              <w:t>投标报价包含完成铜川市环境大气污染企业治污设施用电监管与治污设备管理系统建设及三年运维的全部费用（包括招标文件及合同明示和暗示的所有风险费用）。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hint="eastAsia" w:ascii="宋体" w:hAnsi="宋体" w:eastAsia="宋体" w:cs="仿宋_GB2312"/>
                <w:b w:val="0"/>
                <w:color w:val="auto"/>
                <w:kern w:val="2"/>
                <w:sz w:val="21"/>
                <w:szCs w:val="21"/>
                <w:lang w:val="en-US" w:eastAsia="zh-CN" w:bidi="ar-SA"/>
              </w:rPr>
            </w:pPr>
            <w:r>
              <w:rPr>
                <w:rFonts w:hint="eastAsia" w:ascii="宋体" w:hAnsi="宋体" w:eastAsia="宋体" w:cs="仿宋_GB2312"/>
                <w:b w:val="0"/>
                <w:color w:val="auto"/>
                <w:kern w:val="2"/>
                <w:sz w:val="21"/>
                <w:szCs w:val="21"/>
                <w:lang w:val="en-US" w:eastAsia="zh-CN" w:bidi="ar-SA"/>
              </w:rPr>
              <w:t>工期</w:t>
            </w:r>
          </w:p>
        </w:tc>
        <w:tc>
          <w:tcPr>
            <w:tcW w:w="5985" w:type="dxa"/>
            <w:vAlign w:val="center"/>
          </w:tcPr>
          <w:p>
            <w:pPr>
              <w:pStyle w:val="6"/>
              <w:ind w:left="0" w:leftChars="0" w:firstLine="0" w:firstLineChars="0"/>
              <w:jc w:val="left"/>
              <w:rPr>
                <w:rFonts w:hint="eastAsia" w:eastAsia="宋体"/>
                <w:lang w:val="en-US" w:eastAsia="zh-CN"/>
              </w:rPr>
            </w:pPr>
            <w:r>
              <w:rPr>
                <w:rFonts w:ascii="宋体" w:hAnsi="宋体" w:eastAsia="宋体"/>
                <w:szCs w:val="21"/>
                <w:highlight w:val="none"/>
              </w:rPr>
              <w:t>2021年12月31日前完成安装、调试，并可进行试运行</w:t>
            </w:r>
            <w:r>
              <w:rPr>
                <w:rFonts w:hint="eastAsia" w:ascii="宋体" w:hAnsi="宋体"/>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项目实施地点</w:t>
            </w:r>
          </w:p>
        </w:tc>
        <w:tc>
          <w:tcPr>
            <w:tcW w:w="5985" w:type="dxa"/>
            <w:vAlign w:val="center"/>
          </w:tcPr>
          <w:p>
            <w:pPr>
              <w:spacing w:line="360" w:lineRule="auto"/>
              <w:jc w:val="left"/>
              <w:rPr>
                <w:rFonts w:hint="default" w:ascii="宋体" w:hAnsi="宋体" w:eastAsia="宋体" w:cs="仿宋_GB2312"/>
                <w:szCs w:val="21"/>
                <w:lang w:val="en-US" w:eastAsia="zh-CN"/>
              </w:rPr>
            </w:pPr>
            <w:r>
              <w:rPr>
                <w:rFonts w:hint="eastAsia"/>
                <w:szCs w:val="21"/>
                <w:lang w:val="en-US" w:eastAsia="zh-CN"/>
              </w:rPr>
              <w:t>铜川市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投标有效期</w:t>
            </w:r>
          </w:p>
        </w:tc>
        <w:tc>
          <w:tcPr>
            <w:tcW w:w="5985" w:type="dxa"/>
            <w:vAlign w:val="center"/>
          </w:tcPr>
          <w:p>
            <w:pPr>
              <w:spacing w:line="360" w:lineRule="auto"/>
              <w:jc w:val="left"/>
              <w:rPr>
                <w:rFonts w:ascii="宋体" w:hAnsi="宋体" w:cs="仿宋_GB2312"/>
                <w:szCs w:val="21"/>
              </w:rPr>
            </w:pPr>
            <w:r>
              <w:rPr>
                <w:rFonts w:hint="eastAsia" w:ascii="宋体" w:hAnsi="宋体" w:cs="仿宋_GB2312"/>
                <w:szCs w:val="21"/>
              </w:rPr>
              <w:t>从投标截止之日起90日历天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合同签订时间</w:t>
            </w:r>
          </w:p>
        </w:tc>
        <w:tc>
          <w:tcPr>
            <w:tcW w:w="5985" w:type="dxa"/>
            <w:vAlign w:val="center"/>
          </w:tcPr>
          <w:p>
            <w:pPr>
              <w:spacing w:line="360" w:lineRule="auto"/>
              <w:jc w:val="left"/>
              <w:rPr>
                <w:rFonts w:ascii="宋体" w:hAnsi="宋体" w:cs="仿宋_GB2312"/>
                <w:szCs w:val="21"/>
              </w:rPr>
            </w:pPr>
            <w:r>
              <w:rPr>
                <w:rFonts w:hint="eastAsia" w:ascii="宋体" w:hAnsi="宋体" w:cs="仿宋_GB2312"/>
                <w:szCs w:val="21"/>
              </w:rPr>
              <w:t>中标通知书发出后30日内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highlight w:val="none"/>
              </w:rPr>
            </w:pPr>
            <w:r>
              <w:rPr>
                <w:rFonts w:hint="eastAsia" w:ascii="宋体" w:hAnsi="宋体" w:cs="仿宋_GB2312"/>
                <w:szCs w:val="21"/>
                <w:highlight w:val="none"/>
              </w:rPr>
              <w:t>付款方式</w:t>
            </w:r>
          </w:p>
        </w:tc>
        <w:tc>
          <w:tcPr>
            <w:tcW w:w="5985" w:type="dxa"/>
            <w:vAlign w:val="center"/>
          </w:tcPr>
          <w:p>
            <w:pPr>
              <w:pStyle w:val="39"/>
              <w:spacing w:line="360" w:lineRule="auto"/>
              <w:ind w:firstLine="0" w:firstLineChars="0"/>
              <w:jc w:val="left"/>
              <w:rPr>
                <w:rFonts w:hint="default" w:ascii="宋体" w:hAnsi="宋体" w:eastAsia="宋体" w:cs="仿宋_GB2312"/>
                <w:color w:val="FF0000"/>
                <w:szCs w:val="21"/>
                <w:highlight w:val="none"/>
                <w:lang w:val="en-US" w:eastAsia="zh-CN"/>
              </w:rPr>
            </w:pPr>
            <w:r>
              <w:rPr>
                <w:rFonts w:hint="eastAsia" w:ascii="宋体" w:hAnsi="宋体" w:eastAsia="宋体"/>
                <w:szCs w:val="21"/>
                <w:highlight w:val="none"/>
              </w:rPr>
              <w:t>合同签订</w:t>
            </w:r>
            <w:r>
              <w:rPr>
                <w:rFonts w:hint="eastAsia" w:ascii="宋体" w:hAnsi="宋体" w:eastAsia="宋体"/>
                <w:szCs w:val="21"/>
                <w:highlight w:val="none"/>
                <w:lang w:val="en-US" w:eastAsia="zh-CN"/>
              </w:rPr>
              <w:t>后预付</w:t>
            </w:r>
            <w:r>
              <w:rPr>
                <w:rFonts w:hint="eastAsia" w:ascii="宋体" w:hAnsi="宋体" w:eastAsia="宋体"/>
                <w:szCs w:val="21"/>
                <w:highlight w:val="none"/>
              </w:rPr>
              <w:t>合同总价款的</w:t>
            </w:r>
            <w:r>
              <w:rPr>
                <w:rFonts w:ascii="宋体" w:hAnsi="宋体" w:eastAsia="宋体"/>
                <w:szCs w:val="21"/>
                <w:highlight w:val="none"/>
              </w:rPr>
              <w:t>30%</w:t>
            </w:r>
            <w:r>
              <w:rPr>
                <w:rFonts w:hint="eastAsia" w:ascii="宋体" w:hAnsi="宋体" w:eastAsia="宋体"/>
                <w:szCs w:val="21"/>
                <w:highlight w:val="none"/>
                <w:lang w:eastAsia="zh-CN"/>
              </w:rPr>
              <w:t>，</w:t>
            </w:r>
            <w:r>
              <w:rPr>
                <w:rFonts w:hint="eastAsia" w:ascii="宋体" w:hAnsi="宋体" w:eastAsia="宋体"/>
                <w:szCs w:val="21"/>
                <w:highlight w:val="none"/>
              </w:rPr>
              <w:t>项目</w:t>
            </w:r>
            <w:r>
              <w:rPr>
                <w:rFonts w:hint="eastAsia" w:ascii="宋体" w:hAnsi="宋体"/>
                <w:szCs w:val="21"/>
                <w:highlight w:val="none"/>
                <w:lang w:val="en-US" w:eastAsia="zh-CN"/>
              </w:rPr>
              <w:t>实施完成</w:t>
            </w:r>
            <w:r>
              <w:rPr>
                <w:rFonts w:hint="eastAsia" w:ascii="宋体" w:hAnsi="宋体" w:eastAsia="宋体"/>
                <w:szCs w:val="21"/>
                <w:highlight w:val="none"/>
              </w:rPr>
              <w:t>，初步验收合格后支付合同总价款的</w:t>
            </w:r>
            <w:r>
              <w:rPr>
                <w:rFonts w:hint="eastAsia" w:ascii="宋体" w:hAnsi="宋体"/>
                <w:szCs w:val="21"/>
                <w:highlight w:val="none"/>
                <w:lang w:val="en-US" w:eastAsia="zh-CN"/>
              </w:rPr>
              <w:t>40</w:t>
            </w:r>
            <w:r>
              <w:rPr>
                <w:rFonts w:ascii="宋体" w:hAnsi="宋体" w:eastAsia="宋体"/>
                <w:szCs w:val="21"/>
                <w:highlight w:val="none"/>
              </w:rPr>
              <w:t>%</w:t>
            </w:r>
            <w:r>
              <w:rPr>
                <w:rFonts w:hint="eastAsia" w:ascii="宋体" w:hAnsi="宋体" w:eastAsia="宋体"/>
                <w:szCs w:val="21"/>
                <w:highlight w:val="none"/>
                <w:lang w:eastAsia="zh-CN"/>
              </w:rPr>
              <w:t>，</w:t>
            </w:r>
            <w:r>
              <w:rPr>
                <w:rFonts w:hint="eastAsia" w:ascii="宋体" w:hAnsi="宋体" w:eastAsia="宋体"/>
                <w:szCs w:val="21"/>
                <w:highlight w:val="none"/>
              </w:rPr>
              <w:t>项目全网验收合格后，支付</w:t>
            </w:r>
            <w:r>
              <w:rPr>
                <w:rFonts w:hint="eastAsia" w:ascii="宋体" w:hAnsi="宋体" w:eastAsia="宋体"/>
                <w:szCs w:val="21"/>
                <w:highlight w:val="none"/>
                <w:lang w:val="en-US" w:eastAsia="zh-CN"/>
              </w:rPr>
              <w:t>至</w:t>
            </w:r>
            <w:r>
              <w:rPr>
                <w:rFonts w:hint="eastAsia" w:ascii="宋体" w:hAnsi="宋体" w:eastAsia="宋体"/>
                <w:szCs w:val="21"/>
                <w:highlight w:val="none"/>
              </w:rPr>
              <w:t>合同总价款的</w:t>
            </w:r>
            <w:r>
              <w:rPr>
                <w:rFonts w:hint="eastAsia" w:ascii="宋体" w:hAnsi="宋体" w:eastAsia="宋体"/>
                <w:szCs w:val="21"/>
                <w:highlight w:val="none"/>
                <w:lang w:val="en-US" w:eastAsia="zh-CN"/>
              </w:rPr>
              <w:t>9</w:t>
            </w:r>
            <w:r>
              <w:rPr>
                <w:rFonts w:hint="eastAsia" w:ascii="宋体" w:hAnsi="宋体"/>
                <w:szCs w:val="21"/>
                <w:highlight w:val="none"/>
                <w:lang w:val="en-US" w:eastAsia="zh-CN"/>
              </w:rPr>
              <w:t>5</w:t>
            </w:r>
            <w:r>
              <w:rPr>
                <w:rFonts w:hint="eastAsia" w:ascii="宋体" w:hAnsi="宋体" w:eastAsia="宋体"/>
                <w:szCs w:val="21"/>
                <w:highlight w:val="none"/>
              </w:rPr>
              <w:t>%</w:t>
            </w:r>
            <w:r>
              <w:rPr>
                <w:rFonts w:hint="eastAsia" w:ascii="宋体" w:hAnsi="宋体" w:eastAsia="宋体"/>
                <w:szCs w:val="21"/>
                <w:highlight w:val="none"/>
                <w:lang w:eastAsia="zh-CN"/>
              </w:rPr>
              <w:t>，</w:t>
            </w:r>
            <w:r>
              <w:rPr>
                <w:rFonts w:hint="eastAsia" w:ascii="宋体" w:hAnsi="宋体" w:eastAsia="宋体"/>
                <w:szCs w:val="21"/>
                <w:highlight w:val="none"/>
              </w:rPr>
              <w:t>项目最终验收合格，建设单位进入运营，工程进入质保期，质保期为</w:t>
            </w:r>
            <w:r>
              <w:rPr>
                <w:rFonts w:ascii="宋体" w:hAnsi="宋体" w:eastAsia="宋体"/>
                <w:szCs w:val="21"/>
                <w:highlight w:val="none"/>
              </w:rPr>
              <w:t>3</w:t>
            </w:r>
            <w:r>
              <w:rPr>
                <w:rFonts w:hint="eastAsia" w:ascii="宋体" w:hAnsi="宋体" w:eastAsia="宋体"/>
                <w:szCs w:val="21"/>
                <w:highlight w:val="none"/>
              </w:rPr>
              <w:t>年，预留合同总价款的</w:t>
            </w:r>
            <w:r>
              <w:rPr>
                <w:rFonts w:hint="eastAsia" w:ascii="宋体" w:hAnsi="宋体"/>
                <w:szCs w:val="21"/>
                <w:highlight w:val="none"/>
                <w:lang w:val="en-US" w:eastAsia="zh-CN"/>
              </w:rPr>
              <w:t>5</w:t>
            </w:r>
            <w:r>
              <w:rPr>
                <w:rFonts w:hint="eastAsia" w:ascii="宋体" w:hAnsi="宋体" w:eastAsia="宋体"/>
                <w:szCs w:val="21"/>
                <w:highlight w:val="none"/>
              </w:rPr>
              <w:t>%作为工程质保金</w:t>
            </w:r>
            <w:r>
              <w:rPr>
                <w:rFonts w:hint="eastAsia" w:ascii="宋体" w:hAnsi="宋体"/>
                <w:szCs w:val="21"/>
                <w:highlight w:val="none"/>
                <w:lang w:val="en-US" w:eastAsia="zh-CN"/>
              </w:rPr>
              <w:t>及运维费用</w:t>
            </w:r>
            <w:r>
              <w:rPr>
                <w:rFonts w:hint="eastAsia" w:ascii="宋体" w:hAnsi="宋体" w:eastAsia="宋体"/>
                <w:szCs w:val="21"/>
                <w:highlight w:val="none"/>
              </w:rPr>
              <w:t>，</w:t>
            </w:r>
            <w:r>
              <w:rPr>
                <w:rFonts w:hint="eastAsia" w:ascii="宋体" w:hAnsi="宋体"/>
                <w:szCs w:val="21"/>
                <w:highlight w:val="none"/>
                <w:lang w:val="en-US" w:eastAsia="zh-CN"/>
              </w:rPr>
              <w:t>分3年返还。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82" w:type="dxa"/>
            <w:vAlign w:val="center"/>
          </w:tcPr>
          <w:p>
            <w:pPr>
              <w:numPr>
                <w:ilvl w:val="0"/>
                <w:numId w:val="2"/>
              </w:numPr>
              <w:spacing w:line="360" w:lineRule="auto"/>
              <w:jc w:val="center"/>
              <w:rPr>
                <w:rFonts w:ascii="宋体" w:hAnsi="宋体" w:cs="仿宋_GB2312"/>
                <w:sz w:val="24"/>
              </w:rPr>
            </w:pPr>
          </w:p>
        </w:tc>
        <w:tc>
          <w:tcPr>
            <w:tcW w:w="2034" w:type="dxa"/>
            <w:vAlign w:val="center"/>
          </w:tcPr>
          <w:p>
            <w:pPr>
              <w:spacing w:line="360" w:lineRule="auto"/>
              <w:jc w:val="center"/>
              <w:rPr>
                <w:rFonts w:ascii="宋体" w:hAnsi="宋体" w:cs="仿宋_GB2312"/>
                <w:szCs w:val="21"/>
              </w:rPr>
            </w:pPr>
            <w:r>
              <w:rPr>
                <w:rFonts w:ascii="宋体" w:hAnsi="宋体" w:cs="仿宋_GB2312"/>
                <w:szCs w:val="21"/>
              </w:rPr>
              <w:t>质量标准</w:t>
            </w:r>
          </w:p>
        </w:tc>
        <w:tc>
          <w:tcPr>
            <w:tcW w:w="5985" w:type="dxa"/>
            <w:vAlign w:val="center"/>
          </w:tcPr>
          <w:p>
            <w:pPr>
              <w:pStyle w:val="39"/>
              <w:spacing w:line="360" w:lineRule="auto"/>
              <w:ind w:firstLine="0" w:firstLineChars="0"/>
              <w:rPr>
                <w:rFonts w:ascii="宋体" w:hAnsi="宋体" w:cs="仿宋_GB2312"/>
                <w:szCs w:val="21"/>
              </w:rPr>
            </w:pPr>
            <w:r>
              <w:rPr>
                <w:rFonts w:hint="eastAsia" w:ascii="宋体" w:hAnsi="宋体" w:cs="宋体"/>
                <w:szCs w:val="21"/>
              </w:rPr>
              <w:t>符合国家及行业质量验收合格标准及本项目</w:t>
            </w:r>
            <w:r>
              <w:rPr>
                <w:rFonts w:hint="eastAsia" w:ascii="宋体" w:hAnsi="宋体" w:cs="宋体"/>
                <w:szCs w:val="21"/>
                <w:lang w:val="en-US" w:eastAsia="zh-CN"/>
              </w:rPr>
              <w:t>采购</w:t>
            </w:r>
            <w:r>
              <w:rPr>
                <w:rFonts w:hint="eastAsia" w:ascii="宋体" w:hAnsi="宋体" w:cs="宋体"/>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82" w:type="dxa"/>
            <w:vAlign w:val="center"/>
          </w:tcPr>
          <w:p>
            <w:pPr>
              <w:numPr>
                <w:ilvl w:val="0"/>
                <w:numId w:val="2"/>
              </w:numPr>
              <w:spacing w:line="360" w:lineRule="auto"/>
              <w:jc w:val="center"/>
              <w:rPr>
                <w:rFonts w:ascii="宋体" w:hAnsi="宋体" w:cs="仿宋_GB2312"/>
                <w:sz w:val="24"/>
                <w:highlight w:val="none"/>
              </w:rPr>
            </w:pPr>
          </w:p>
        </w:tc>
        <w:tc>
          <w:tcPr>
            <w:tcW w:w="2034" w:type="dxa"/>
            <w:vAlign w:val="center"/>
          </w:tcPr>
          <w:p>
            <w:pPr>
              <w:spacing w:line="360" w:lineRule="auto"/>
              <w:jc w:val="center"/>
              <w:rPr>
                <w:rFonts w:ascii="宋体" w:hAnsi="宋体" w:cs="仿宋_GB2312"/>
                <w:color w:val="000000"/>
                <w:szCs w:val="21"/>
                <w:highlight w:val="none"/>
              </w:rPr>
            </w:pPr>
            <w:r>
              <w:rPr>
                <w:rFonts w:hint="eastAsia" w:ascii="宋体" w:hAnsi="宋体" w:cs="仿宋_GB2312"/>
                <w:color w:val="000000"/>
                <w:szCs w:val="21"/>
                <w:highlight w:val="none"/>
              </w:rPr>
              <w:t>质保期</w:t>
            </w:r>
          </w:p>
        </w:tc>
        <w:tc>
          <w:tcPr>
            <w:tcW w:w="5985" w:type="dxa"/>
            <w:vAlign w:val="center"/>
          </w:tcPr>
          <w:p>
            <w:pPr>
              <w:pStyle w:val="39"/>
              <w:spacing w:line="360" w:lineRule="auto"/>
              <w:ind w:firstLine="0" w:firstLineChars="0"/>
              <w:rPr>
                <w:rFonts w:hint="default" w:ascii="宋体" w:hAnsi="宋体" w:eastAsia="宋体" w:cs="仿宋_GB2312"/>
                <w:color w:val="000000"/>
                <w:szCs w:val="21"/>
                <w:highlight w:val="none"/>
                <w:lang w:val="en-US" w:eastAsia="zh-CN"/>
              </w:rPr>
            </w:pPr>
            <w:r>
              <w:rPr>
                <w:rFonts w:hint="eastAsia" w:ascii="宋体" w:hAnsi="宋体" w:cs="仿宋_GB2312"/>
                <w:color w:val="000000"/>
                <w:szCs w:val="21"/>
                <w:highlight w:val="none"/>
                <w:lang w:val="en-US"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782" w:type="dxa"/>
            <w:vAlign w:val="center"/>
          </w:tcPr>
          <w:p>
            <w:pPr>
              <w:numPr>
                <w:ilvl w:val="0"/>
                <w:numId w:val="2"/>
              </w:numPr>
              <w:spacing w:line="360" w:lineRule="auto"/>
              <w:jc w:val="center"/>
              <w:rPr>
                <w:rFonts w:ascii="宋体" w:hAnsi="宋体" w:cs="仿宋_GB2312"/>
                <w:sz w:val="24"/>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投标文件份数</w:t>
            </w:r>
          </w:p>
        </w:tc>
        <w:tc>
          <w:tcPr>
            <w:tcW w:w="5985" w:type="dxa"/>
            <w:vAlign w:val="center"/>
          </w:tcPr>
          <w:p>
            <w:pPr>
              <w:spacing w:line="360" w:lineRule="auto"/>
              <w:rPr>
                <w:rFonts w:ascii="宋体" w:hAnsi="宋体" w:cs="仿宋_GB2312"/>
                <w:bCs/>
                <w:szCs w:val="21"/>
              </w:rPr>
            </w:pPr>
            <w:r>
              <w:rPr>
                <w:rFonts w:hint="eastAsia" w:ascii="宋体" w:hAnsi="宋体" w:cs="仿宋_GB2312"/>
                <w:bCs/>
                <w:szCs w:val="21"/>
              </w:rPr>
              <w:t>正本一份、副本二份、电子版一份（</w:t>
            </w:r>
            <w:r>
              <w:rPr>
                <w:rFonts w:hint="eastAsia" w:ascii="宋体" w:hAnsi="宋体" w:cs="宋体"/>
                <w:color w:val="000000"/>
                <w:kern w:val="0"/>
                <w:szCs w:val="21"/>
              </w:rPr>
              <w:t>电子版文件与纸质文件应一致，电子版应为U盘,</w:t>
            </w:r>
            <w:r>
              <w:rPr>
                <w:rFonts w:hint="eastAsia" w:ascii="宋体" w:hAnsi="宋体" w:cs="宋体"/>
                <w:szCs w:val="21"/>
              </w:rPr>
              <w:t xml:space="preserve"> 格式包含PDF盖章版,WORD文档各一份</w:t>
            </w:r>
            <w:r>
              <w:rPr>
                <w:rFonts w:hint="eastAsia" w:ascii="宋体" w:hAnsi="宋体" w:cs="仿宋_GB2312"/>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782" w:type="dxa"/>
            <w:vAlign w:val="center"/>
          </w:tcPr>
          <w:p>
            <w:pPr>
              <w:numPr>
                <w:ilvl w:val="0"/>
                <w:numId w:val="2"/>
              </w:numPr>
              <w:spacing w:line="360" w:lineRule="auto"/>
              <w:jc w:val="center"/>
              <w:rPr>
                <w:rFonts w:ascii="宋体" w:hAnsi="宋体" w:cs="仿宋_GB2312"/>
                <w:sz w:val="24"/>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签字盖章要求</w:t>
            </w:r>
          </w:p>
        </w:tc>
        <w:tc>
          <w:tcPr>
            <w:tcW w:w="5985" w:type="dxa"/>
            <w:vAlign w:val="center"/>
          </w:tcPr>
          <w:p>
            <w:pPr>
              <w:snapToGrid w:val="0"/>
              <w:spacing w:line="360" w:lineRule="auto"/>
              <w:rPr>
                <w:rFonts w:ascii="宋体" w:hAnsi="宋体" w:cs="仿宋_GB2312"/>
                <w:kern w:val="0"/>
                <w:szCs w:val="21"/>
              </w:rPr>
            </w:pPr>
            <w:r>
              <w:rPr>
                <w:rFonts w:hint="eastAsia" w:ascii="宋体" w:hAnsi="宋体" w:cs="宋体"/>
                <w:szCs w:val="21"/>
              </w:rPr>
              <w:t>招标文件中要求加盖公章或法定代表人或其委托代理人签字或盖章的均应加盖或签字。全套投标文件应无涂改或行间插字和增删，如有修改，修改处应由投标人加盖投标人的印章或由申请文件签字人签字或盖章，否则为无效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2" w:type="dxa"/>
            <w:vAlign w:val="center"/>
          </w:tcPr>
          <w:p>
            <w:pPr>
              <w:numPr>
                <w:ilvl w:val="0"/>
                <w:numId w:val="2"/>
              </w:numPr>
              <w:spacing w:line="360" w:lineRule="auto"/>
              <w:jc w:val="center"/>
              <w:rPr>
                <w:rFonts w:ascii="宋体" w:hAnsi="宋体" w:cs="仿宋_GB2312"/>
                <w:sz w:val="24"/>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投标文件密封及装订要求</w:t>
            </w:r>
          </w:p>
        </w:tc>
        <w:tc>
          <w:tcPr>
            <w:tcW w:w="5985" w:type="dxa"/>
            <w:vAlign w:val="center"/>
          </w:tcPr>
          <w:p>
            <w:pPr>
              <w:spacing w:line="360" w:lineRule="auto"/>
              <w:rPr>
                <w:rFonts w:hint="eastAsia" w:ascii="宋体" w:hAnsi="宋体" w:eastAsia="宋体" w:cs="仿宋_GB2312"/>
                <w:szCs w:val="21"/>
              </w:rPr>
            </w:pPr>
            <w:r>
              <w:rPr>
                <w:rFonts w:hint="eastAsia" w:ascii="宋体" w:hAnsi="宋体" w:eastAsia="宋体" w:cs="仿宋_GB2312"/>
                <w:szCs w:val="21"/>
              </w:rPr>
              <w:t>密封及装订要求：投标文件均应密封。正、副本分别装订成册装入标袋密封，不允许活页夹装订，由于装订原因造成投标文件的散落、丢失等，责任自负。</w:t>
            </w:r>
          </w:p>
          <w:p>
            <w:pPr>
              <w:spacing w:line="360" w:lineRule="auto"/>
              <w:rPr>
                <w:rFonts w:hint="eastAsia" w:ascii="宋体" w:hAnsi="宋体" w:eastAsia="宋体" w:cs="仿宋_GB2312"/>
                <w:szCs w:val="21"/>
              </w:rPr>
            </w:pPr>
            <w:r>
              <w:rPr>
                <w:rFonts w:hint="eastAsia" w:ascii="宋体" w:hAnsi="宋体" w:eastAsia="宋体" w:cs="仿宋_GB2312"/>
                <w:szCs w:val="21"/>
              </w:rPr>
              <w:t>封套上写明：</w:t>
            </w:r>
          </w:p>
          <w:p>
            <w:pPr>
              <w:spacing w:line="360" w:lineRule="auto"/>
              <w:rPr>
                <w:rFonts w:hint="eastAsia" w:ascii="宋体" w:hAnsi="宋体" w:eastAsia="宋体" w:cs="仿宋_GB2312"/>
                <w:szCs w:val="21"/>
              </w:rPr>
            </w:pPr>
            <w:r>
              <w:rPr>
                <w:rFonts w:hint="eastAsia" w:ascii="宋体" w:hAnsi="宋体" w:eastAsia="宋体" w:cs="仿宋_GB2312"/>
                <w:szCs w:val="21"/>
              </w:rPr>
              <w:t>项目名称：</w:t>
            </w:r>
          </w:p>
          <w:p>
            <w:pPr>
              <w:spacing w:line="360" w:lineRule="auto"/>
              <w:rPr>
                <w:rFonts w:hint="eastAsia" w:ascii="宋体" w:hAnsi="宋体" w:eastAsia="宋体" w:cs="仿宋_GB2312"/>
                <w:szCs w:val="21"/>
              </w:rPr>
            </w:pPr>
            <w:r>
              <w:rPr>
                <w:rFonts w:hint="eastAsia" w:ascii="宋体" w:hAnsi="宋体" w:eastAsia="宋体" w:cs="仿宋_GB2312"/>
                <w:szCs w:val="21"/>
              </w:rPr>
              <w:t>招标编号：</w:t>
            </w:r>
          </w:p>
          <w:p>
            <w:pPr>
              <w:spacing w:line="360" w:lineRule="auto"/>
              <w:rPr>
                <w:rFonts w:hint="eastAsia" w:ascii="宋体" w:hAnsi="宋体" w:eastAsia="宋体" w:cs="仿宋_GB2312"/>
                <w:szCs w:val="21"/>
              </w:rPr>
            </w:pPr>
            <w:r>
              <w:rPr>
                <w:rFonts w:hint="eastAsia" w:ascii="宋体" w:hAnsi="宋体" w:eastAsia="宋体" w:cs="仿宋_GB2312"/>
                <w:szCs w:val="21"/>
              </w:rPr>
              <w:t>开标</w:t>
            </w:r>
            <w:r>
              <w:rPr>
                <w:rFonts w:hint="eastAsia" w:ascii="宋体" w:hAnsi="宋体" w:eastAsia="宋体" w:cs="仿宋_GB2312"/>
                <w:szCs w:val="21"/>
                <w:lang w:val="en-US" w:eastAsia="zh-CN"/>
              </w:rPr>
              <w:t xml:space="preserve">时间：    </w:t>
            </w:r>
            <w:r>
              <w:rPr>
                <w:rFonts w:hint="eastAsia" w:ascii="宋体" w:hAnsi="宋体" w:eastAsia="宋体" w:cs="仿宋_GB2312"/>
                <w:szCs w:val="21"/>
              </w:rPr>
              <w:t>，此时间以前不得开封；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82" w:type="dxa"/>
            <w:vAlign w:val="center"/>
          </w:tcPr>
          <w:p>
            <w:pPr>
              <w:numPr>
                <w:ilvl w:val="0"/>
                <w:numId w:val="2"/>
              </w:numPr>
              <w:spacing w:line="360" w:lineRule="auto"/>
              <w:jc w:val="center"/>
              <w:rPr>
                <w:rFonts w:ascii="宋体" w:hAnsi="宋体" w:cs="仿宋_GB2312"/>
                <w:sz w:val="24"/>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供应商资质要求</w:t>
            </w:r>
          </w:p>
        </w:tc>
        <w:tc>
          <w:tcPr>
            <w:tcW w:w="5985" w:type="dxa"/>
            <w:vAlign w:val="center"/>
          </w:tcPr>
          <w:p>
            <w:pPr>
              <w:spacing w:line="360" w:lineRule="auto"/>
              <w:rPr>
                <w:rFonts w:hint="eastAsia" w:ascii="宋体" w:hAnsi="宋体" w:eastAsia="宋体" w:cs="仿宋_GB2312"/>
                <w:szCs w:val="21"/>
              </w:rPr>
            </w:pPr>
            <w:r>
              <w:rPr>
                <w:rFonts w:hint="eastAsia" w:ascii="宋体" w:hAnsi="宋体" w:eastAsia="宋体" w:cs="仿宋_GB2312"/>
                <w:szCs w:val="21"/>
              </w:rPr>
              <w:t>1、基本资格条件：符合《中华人民共和国政府采购法》第二十二条的规定；</w:t>
            </w:r>
          </w:p>
          <w:p>
            <w:pPr>
              <w:spacing w:line="360" w:lineRule="auto"/>
              <w:rPr>
                <w:rFonts w:hint="eastAsia" w:ascii="宋体" w:hAnsi="宋体" w:eastAsia="宋体" w:cs="仿宋_GB2312"/>
                <w:szCs w:val="21"/>
              </w:rPr>
            </w:pPr>
            <w:r>
              <w:rPr>
                <w:rFonts w:hint="eastAsia" w:ascii="宋体" w:hAnsi="宋体" w:eastAsia="宋体" w:cs="仿宋_GB2312"/>
                <w:szCs w:val="21"/>
              </w:rPr>
              <w:t>（1）具有独立承担民事责任的能力；</w:t>
            </w:r>
          </w:p>
          <w:p>
            <w:pPr>
              <w:spacing w:line="360" w:lineRule="auto"/>
              <w:rPr>
                <w:rFonts w:hint="eastAsia" w:ascii="宋体" w:hAnsi="宋体" w:eastAsia="宋体" w:cs="仿宋_GB2312"/>
                <w:szCs w:val="21"/>
              </w:rPr>
            </w:pPr>
            <w:r>
              <w:rPr>
                <w:rFonts w:hint="eastAsia" w:ascii="宋体" w:hAnsi="宋体" w:eastAsia="宋体" w:cs="仿宋_GB2312"/>
                <w:szCs w:val="21"/>
              </w:rPr>
              <w:t>（2）具有良好的商业信誉和健全的财务会计制度：提供2019</w:t>
            </w:r>
            <w:r>
              <w:rPr>
                <w:rFonts w:hint="eastAsia" w:ascii="宋体" w:hAnsi="宋体" w:eastAsia="宋体" w:cs="仿宋_GB2312"/>
                <w:szCs w:val="21"/>
                <w:lang w:val="en-US" w:eastAsia="zh-CN"/>
              </w:rPr>
              <w:t>或2020</w:t>
            </w:r>
            <w:r>
              <w:rPr>
                <w:rFonts w:hint="eastAsia" w:ascii="宋体" w:hAnsi="宋体" w:eastAsia="宋体" w:cs="仿宋_GB2312"/>
                <w:szCs w:val="21"/>
              </w:rPr>
              <w:t>年度财务审计报告（至少包括资产负债表和利润表，成立时间至提交响应文件截止时间不足一年的可提供成立后任意时段的资产负债表），或其基本存款账户开户银行近三个月出具的资信证明；</w:t>
            </w:r>
          </w:p>
          <w:p>
            <w:pPr>
              <w:spacing w:line="360" w:lineRule="auto"/>
              <w:rPr>
                <w:rFonts w:hint="eastAsia" w:ascii="宋体" w:hAnsi="宋体" w:eastAsia="宋体" w:cs="仿宋_GB2312"/>
                <w:szCs w:val="21"/>
              </w:rPr>
            </w:pPr>
            <w:r>
              <w:rPr>
                <w:rFonts w:hint="eastAsia" w:ascii="宋体" w:hAnsi="宋体" w:eastAsia="宋体" w:cs="仿宋_GB2312"/>
                <w:szCs w:val="21"/>
              </w:rPr>
              <w:t>（3）具有履行合同所必需的设备和专业技术能力：提供履行合同所必需的设备和专业技术能力的证明材料或承诺函；</w:t>
            </w:r>
          </w:p>
          <w:p>
            <w:pPr>
              <w:spacing w:line="360" w:lineRule="auto"/>
              <w:rPr>
                <w:rFonts w:hint="eastAsia" w:ascii="宋体" w:hAnsi="宋体" w:eastAsia="宋体" w:cs="仿宋_GB2312"/>
                <w:szCs w:val="21"/>
              </w:rPr>
            </w:pPr>
            <w:r>
              <w:rPr>
                <w:rFonts w:hint="eastAsia" w:ascii="宋体" w:hAnsi="宋体" w:eastAsia="宋体" w:cs="仿宋_GB2312"/>
                <w:szCs w:val="21"/>
              </w:rPr>
              <w:t>（4）有依法缴纳税收和社会保障资金的良好记录：提供近6个月内任意月份的缴税证明和养老保险缴纳证明，依法免税或不需要缴纳社会保障资金的单位应提供相关证明材料；</w:t>
            </w:r>
          </w:p>
          <w:p>
            <w:pPr>
              <w:spacing w:line="360" w:lineRule="auto"/>
              <w:rPr>
                <w:rFonts w:hint="eastAsia" w:ascii="宋体" w:hAnsi="宋体" w:eastAsia="宋体" w:cs="仿宋_GB2312"/>
                <w:szCs w:val="21"/>
              </w:rPr>
            </w:pPr>
            <w:r>
              <w:rPr>
                <w:rFonts w:hint="eastAsia" w:ascii="宋体" w:hAnsi="宋体" w:eastAsia="宋体" w:cs="仿宋_GB2312"/>
                <w:szCs w:val="21"/>
              </w:rPr>
              <w:t>（5）参加政府采购活动前三年内，在经营活动中没有重大违法记录；</w:t>
            </w:r>
          </w:p>
          <w:p>
            <w:pPr>
              <w:spacing w:line="360" w:lineRule="auto"/>
              <w:rPr>
                <w:rFonts w:hint="eastAsia" w:ascii="宋体" w:hAnsi="宋体" w:eastAsia="宋体" w:cs="仿宋_GB2312"/>
                <w:szCs w:val="21"/>
              </w:rPr>
            </w:pPr>
            <w:r>
              <w:rPr>
                <w:rFonts w:hint="eastAsia" w:ascii="宋体" w:hAnsi="宋体" w:eastAsia="宋体" w:cs="仿宋_GB2312"/>
                <w:szCs w:val="21"/>
              </w:rPr>
              <w:t>（6）法律、行政法规规定的其他条件。</w:t>
            </w:r>
          </w:p>
          <w:p>
            <w:pPr>
              <w:spacing w:line="360" w:lineRule="auto"/>
              <w:rPr>
                <w:rFonts w:hint="eastAsia" w:ascii="宋体" w:hAnsi="宋体" w:eastAsia="宋体" w:cs="仿宋_GB2312"/>
                <w:szCs w:val="21"/>
              </w:rPr>
            </w:pPr>
            <w:r>
              <w:rPr>
                <w:rFonts w:hint="eastAsia" w:ascii="宋体" w:hAnsi="宋体" w:eastAsia="宋体" w:cs="仿宋_GB2312"/>
                <w:szCs w:val="21"/>
              </w:rPr>
              <w:t>2、特定资格条件：</w:t>
            </w:r>
          </w:p>
          <w:p>
            <w:pPr>
              <w:spacing w:line="360" w:lineRule="auto"/>
              <w:rPr>
                <w:rFonts w:hint="eastAsia" w:ascii="宋体" w:hAnsi="宋体" w:eastAsia="宋体" w:cs="仿宋_GB2312"/>
                <w:szCs w:val="21"/>
              </w:rPr>
            </w:pPr>
            <w:r>
              <w:rPr>
                <w:rFonts w:hint="eastAsia" w:ascii="宋体" w:hAnsi="宋体" w:eastAsia="宋体" w:cs="仿宋_GB2312"/>
                <w:szCs w:val="21"/>
              </w:rPr>
              <w:t>（1）具有独立承担民事责任能力的法人、其他组织或自然人，并出具合法有效的营业执照或事业单位法人证书等国家规定的相关证明，自然人参与的提供其身份证明；</w:t>
            </w:r>
          </w:p>
          <w:p>
            <w:pPr>
              <w:spacing w:line="360" w:lineRule="auto"/>
              <w:rPr>
                <w:rFonts w:hint="eastAsia" w:ascii="宋体" w:hAnsi="宋体" w:eastAsia="宋体" w:cs="仿宋_GB2312"/>
                <w:szCs w:val="21"/>
              </w:rPr>
            </w:pPr>
            <w:r>
              <w:rPr>
                <w:rFonts w:hint="eastAsia" w:ascii="宋体" w:hAnsi="宋体" w:eastAsia="宋体" w:cs="仿宋_GB2312"/>
                <w:szCs w:val="21"/>
              </w:rPr>
              <w:t>（2）法定代表人授权委托书：法定代表人参加投标的，须出示身份证；法定代表人授权他人参加投标的，须提供法定代表人授权委托书（附法定代表人、被授权人身份证复印件）；</w:t>
            </w:r>
          </w:p>
          <w:p>
            <w:pPr>
              <w:pStyle w:val="19"/>
              <w:shd w:val="clear" w:color="auto" w:fill="FFFFFF"/>
              <w:spacing w:before="0" w:beforeAutospacing="0" w:after="0" w:afterAutospacing="0" w:line="408" w:lineRule="auto"/>
              <w:jc w:val="both"/>
              <w:rPr>
                <w:rFonts w:hint="eastAsia" w:ascii="宋体" w:hAnsi="宋体" w:eastAsia="宋体" w:cs="仿宋_GB2312"/>
                <w:kern w:val="2"/>
                <w:sz w:val="21"/>
                <w:szCs w:val="21"/>
                <w:highlight w:val="none"/>
                <w:lang w:val="en-US" w:eastAsia="zh-CN" w:bidi="ar-SA"/>
              </w:rPr>
            </w:pPr>
            <w:r>
              <w:rPr>
                <w:rFonts w:hint="eastAsia" w:ascii="宋体" w:hAnsi="宋体" w:eastAsia="宋体" w:cs="仿宋_GB2312"/>
                <w:kern w:val="2"/>
                <w:sz w:val="21"/>
                <w:szCs w:val="21"/>
                <w:lang w:val="en-US" w:eastAsia="zh-CN" w:bidi="ar-SA"/>
              </w:rPr>
              <w:t>（3）供应商不得列入“信用中国”网站（www.creditchina.gov.cn）失信被执行人和重大税收违法案件当事人名单；不得为中国政府采购网（www.ccgp.gov.cn）政府采购严重违法失信行为记录名单中被财政部门禁止参加政府采</w:t>
            </w:r>
            <w:r>
              <w:rPr>
                <w:rFonts w:hint="eastAsia" w:ascii="宋体" w:hAnsi="宋体" w:eastAsia="宋体" w:cs="仿宋_GB2312"/>
                <w:kern w:val="2"/>
                <w:sz w:val="21"/>
                <w:szCs w:val="21"/>
                <w:highlight w:val="none"/>
                <w:lang w:val="en-US" w:eastAsia="zh-CN" w:bidi="ar-SA"/>
              </w:rPr>
              <w:t>购活动的供应商；</w:t>
            </w:r>
          </w:p>
          <w:p>
            <w:pPr>
              <w:pStyle w:val="19"/>
              <w:shd w:val="clear" w:color="auto" w:fill="FFFFFF"/>
              <w:spacing w:before="0" w:beforeAutospacing="0" w:after="0" w:afterAutospacing="0" w:line="408" w:lineRule="auto"/>
              <w:jc w:val="both"/>
              <w:rPr>
                <w:rFonts w:hint="eastAsia" w:ascii="宋体" w:hAnsi="宋体" w:eastAsia="宋体"/>
                <w:sz w:val="21"/>
                <w:szCs w:val="21"/>
                <w:highlight w:val="none"/>
                <w:lang w:eastAsia="zh-CN"/>
              </w:rPr>
            </w:pPr>
            <w:r>
              <w:rPr>
                <w:rFonts w:hint="eastAsia" w:ascii="宋体" w:hAnsi="宋体" w:eastAsia="宋体" w:cs="仿宋_GB2312"/>
                <w:kern w:val="2"/>
                <w:sz w:val="21"/>
                <w:szCs w:val="21"/>
                <w:highlight w:val="none"/>
                <w:lang w:val="en-US" w:eastAsia="zh-CN" w:bidi="ar-SA"/>
              </w:rPr>
              <w:t>（4）</w:t>
            </w:r>
            <w:r>
              <w:rPr>
                <w:rFonts w:hint="eastAsia" w:ascii="宋体" w:hAnsi="宋体" w:eastAsia="宋体"/>
                <w:sz w:val="21"/>
                <w:szCs w:val="21"/>
                <w:highlight w:val="none"/>
              </w:rPr>
              <w:t>具有建设行政主管部门颁发的电子与智能化工程专业承包贰级</w:t>
            </w:r>
            <w:r>
              <w:rPr>
                <w:rFonts w:hint="eastAsia"/>
                <w:sz w:val="21"/>
                <w:szCs w:val="21"/>
                <w:highlight w:val="none"/>
                <w:lang w:val="en-US" w:eastAsia="zh-CN"/>
              </w:rPr>
              <w:t>及以上资质，并具备</w:t>
            </w:r>
            <w:r>
              <w:rPr>
                <w:rFonts w:hint="eastAsia" w:ascii="宋体" w:hAnsi="宋体" w:eastAsia="宋体"/>
                <w:sz w:val="21"/>
                <w:szCs w:val="21"/>
                <w:highlight w:val="none"/>
              </w:rPr>
              <w:t>有效的安全生产许可证</w:t>
            </w:r>
            <w:r>
              <w:rPr>
                <w:rFonts w:hint="eastAsia" w:ascii="宋体" w:hAnsi="宋体" w:eastAsia="宋体"/>
                <w:sz w:val="21"/>
                <w:szCs w:val="21"/>
                <w:highlight w:val="none"/>
                <w:lang w:eastAsia="zh-CN"/>
              </w:rPr>
              <w:t>；</w:t>
            </w:r>
          </w:p>
          <w:p>
            <w:pPr>
              <w:pStyle w:val="19"/>
              <w:shd w:val="clear" w:color="auto" w:fill="FFFFFF"/>
              <w:spacing w:before="0" w:beforeAutospacing="0" w:after="0" w:afterAutospacing="0" w:line="408" w:lineRule="auto"/>
              <w:jc w:val="both"/>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（5）单位负责人为同一人或者存在直接控股、管理关系的不同投标人，不得参加同一合同项下的政府采购活动；（提供书面承诺函，格式自拟加盖投标人公章）</w:t>
            </w:r>
          </w:p>
          <w:p>
            <w:pPr>
              <w:spacing w:line="360" w:lineRule="auto"/>
              <w:rPr>
                <w:rFonts w:hint="eastAsia" w:ascii="宋体" w:hAnsi="宋体" w:eastAsia="宋体" w:cs="仿宋_GB2312"/>
                <w:szCs w:val="21"/>
              </w:rPr>
            </w:pPr>
            <w:r>
              <w:rPr>
                <w:rFonts w:hint="eastAsia" w:ascii="宋体" w:hAnsi="宋体" w:eastAsia="宋体" w:cs="仿宋_GB2312"/>
                <w:szCs w:val="21"/>
              </w:rPr>
              <w:t>注：以上资格要求均为必备资格，缺少其中任何一项，其投标文件视为无效文件。投标文件正本中的法定代表人授权委托书或法定代表人身份证明必须附原件，其他资格证明文件提供复印件并加盖供应商公章。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现场踏勘</w:t>
            </w:r>
          </w:p>
        </w:tc>
        <w:tc>
          <w:tcPr>
            <w:tcW w:w="5985" w:type="dxa"/>
            <w:vAlign w:val="center"/>
          </w:tcPr>
          <w:p>
            <w:pPr>
              <w:pStyle w:val="19"/>
              <w:shd w:val="clear" w:color="auto" w:fill="FFFFFF"/>
              <w:spacing w:before="0" w:beforeAutospacing="0" w:after="0" w:afterAutospacing="0" w:line="360" w:lineRule="auto"/>
              <w:rPr>
                <w:rFonts w:cs="仿宋_GB2312"/>
                <w:kern w:val="2"/>
                <w:sz w:val="21"/>
                <w:szCs w:val="21"/>
              </w:rPr>
            </w:pPr>
            <w:r>
              <w:rPr>
                <w:rFonts w:hint="eastAsia" w:ascii="宋体" w:hAnsi="宋体" w:eastAsia="宋体" w:cs="仿宋_GB2312"/>
                <w:kern w:val="2"/>
                <w:sz w:val="21"/>
                <w:szCs w:val="21"/>
                <w:lang w:val="en-US" w:eastAsia="zh-CN" w:bidi="ar-SA"/>
              </w:rPr>
              <w:t>本项目不组织统一踏勘、各供应商可在工作时间内自行前往项目现场实地踏勘（联系人：铜川市生态环境局经办，联系电话：0919-3157262）。相关费用及安全由供应商自行承担。凡因对项目现场、维护环境、市场行情等了解不清而造成的后果和风险，由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contextualSpacing/>
              <w:jc w:val="center"/>
              <w:rPr>
                <w:rFonts w:ascii="宋体" w:hAnsi="宋体" w:cs="宋体"/>
                <w:szCs w:val="21"/>
              </w:rPr>
            </w:pPr>
            <w:r>
              <w:rPr>
                <w:rFonts w:hint="eastAsia" w:ascii="宋体" w:hAnsi="宋体" w:cs="宋体"/>
                <w:szCs w:val="21"/>
              </w:rPr>
              <w:t>开标时间和地点</w:t>
            </w:r>
          </w:p>
        </w:tc>
        <w:tc>
          <w:tcPr>
            <w:tcW w:w="5985" w:type="dxa"/>
            <w:vAlign w:val="center"/>
          </w:tcPr>
          <w:p>
            <w:pPr>
              <w:spacing w:line="360" w:lineRule="auto"/>
              <w:contextualSpacing/>
              <w:rPr>
                <w:rFonts w:ascii="宋体" w:hAnsi="宋体" w:cs="宋体"/>
                <w:b/>
                <w:color w:val="000000"/>
                <w:szCs w:val="21"/>
                <w:highlight w:val="none"/>
                <w:u w:val="single"/>
              </w:rPr>
            </w:pPr>
            <w:r>
              <w:rPr>
                <w:rFonts w:hint="eastAsia" w:ascii="宋体" w:hAnsi="宋体" w:cs="宋体"/>
                <w:szCs w:val="21"/>
                <w:highlight w:val="none"/>
              </w:rPr>
              <w:t>开标时间：</w:t>
            </w:r>
            <w:r>
              <w:rPr>
                <w:rFonts w:hint="eastAsia" w:ascii="宋体" w:hAnsi="宋体" w:cs="宋体"/>
                <w:b/>
                <w:szCs w:val="21"/>
                <w:highlight w:val="none"/>
                <w:u w:val="single"/>
              </w:rPr>
              <w:t>2</w:t>
            </w:r>
            <w:r>
              <w:rPr>
                <w:rFonts w:hint="eastAsia" w:ascii="宋体" w:hAnsi="宋体" w:cs="宋体"/>
                <w:b/>
                <w:color w:val="000000"/>
                <w:szCs w:val="21"/>
                <w:highlight w:val="none"/>
                <w:u w:val="single"/>
              </w:rPr>
              <w:t>02</w:t>
            </w:r>
            <w:r>
              <w:rPr>
                <w:rFonts w:hint="eastAsia" w:ascii="宋体" w:hAnsi="宋体" w:cs="宋体"/>
                <w:b/>
                <w:color w:val="000000"/>
                <w:szCs w:val="21"/>
                <w:highlight w:val="none"/>
                <w:u w:val="single"/>
                <w:lang w:val="en-US" w:eastAsia="zh-CN"/>
              </w:rPr>
              <w:t>1</w:t>
            </w:r>
            <w:r>
              <w:rPr>
                <w:rFonts w:hint="eastAsia" w:ascii="宋体" w:hAnsi="宋体" w:cs="宋体"/>
                <w:b/>
                <w:color w:val="000000"/>
                <w:szCs w:val="21"/>
                <w:highlight w:val="none"/>
                <w:u w:val="single"/>
              </w:rPr>
              <w:t>年</w:t>
            </w:r>
            <w:r>
              <w:rPr>
                <w:rFonts w:hint="eastAsia" w:ascii="宋体" w:hAnsi="宋体" w:cs="宋体"/>
                <w:b/>
                <w:color w:val="000000"/>
                <w:szCs w:val="21"/>
                <w:highlight w:val="none"/>
                <w:u w:val="single"/>
                <w:lang w:val="en-US" w:eastAsia="zh-CN"/>
              </w:rPr>
              <w:t>08</w:t>
            </w:r>
            <w:r>
              <w:rPr>
                <w:rFonts w:hint="eastAsia" w:ascii="宋体" w:hAnsi="宋体" w:cs="宋体"/>
                <w:b/>
                <w:color w:val="000000"/>
                <w:szCs w:val="21"/>
                <w:highlight w:val="none"/>
                <w:u w:val="single"/>
              </w:rPr>
              <w:t xml:space="preserve">月 </w:t>
            </w:r>
            <w:r>
              <w:rPr>
                <w:rFonts w:hint="eastAsia" w:ascii="宋体" w:hAnsi="宋体" w:cs="宋体"/>
                <w:b/>
                <w:color w:val="000000"/>
                <w:szCs w:val="21"/>
                <w:highlight w:val="none"/>
                <w:u w:val="single"/>
                <w:lang w:val="en-US" w:eastAsia="zh-CN"/>
              </w:rPr>
              <w:t>23</w:t>
            </w:r>
            <w:r>
              <w:rPr>
                <w:rFonts w:hint="eastAsia" w:ascii="宋体" w:hAnsi="宋体" w:cs="宋体"/>
                <w:b/>
                <w:color w:val="000000"/>
                <w:szCs w:val="21"/>
                <w:highlight w:val="none"/>
                <w:u w:val="single"/>
              </w:rPr>
              <w:t>日</w:t>
            </w:r>
            <w:r>
              <w:rPr>
                <w:rFonts w:hint="eastAsia" w:ascii="宋体" w:hAnsi="宋体" w:cs="宋体"/>
                <w:b/>
                <w:color w:val="000000"/>
                <w:szCs w:val="21"/>
                <w:highlight w:val="none"/>
                <w:u w:val="single"/>
                <w:lang w:val="en-US" w:eastAsia="zh-CN"/>
              </w:rPr>
              <w:t>15:00:00。</w:t>
            </w:r>
          </w:p>
          <w:p>
            <w:pPr>
              <w:spacing w:line="360" w:lineRule="auto"/>
              <w:contextualSpacing/>
              <w:rPr>
                <w:rFonts w:ascii="宋体" w:hAnsi="宋体"/>
                <w:szCs w:val="21"/>
              </w:rPr>
            </w:pPr>
            <w:r>
              <w:rPr>
                <w:rFonts w:hint="eastAsia" w:ascii="宋体" w:hAnsi="宋体" w:cs="宋体"/>
                <w:szCs w:val="21"/>
              </w:rPr>
              <w:t>开标地点：西安市经济技术开发区凤城七路旭辉中心1栋802室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contextualSpacing/>
              <w:jc w:val="center"/>
              <w:rPr>
                <w:rFonts w:ascii="宋体" w:hAnsi="宋体" w:cs="宋体"/>
                <w:szCs w:val="21"/>
              </w:rPr>
            </w:pPr>
            <w:r>
              <w:rPr>
                <w:rFonts w:hint="eastAsia" w:ascii="宋体" w:hAnsi="宋体" w:cs="宋体"/>
                <w:szCs w:val="21"/>
              </w:rPr>
              <w:t>投标文件递交截止时间及地点</w:t>
            </w:r>
          </w:p>
        </w:tc>
        <w:tc>
          <w:tcPr>
            <w:tcW w:w="5985" w:type="dxa"/>
            <w:vAlign w:val="center"/>
          </w:tcPr>
          <w:p>
            <w:pPr>
              <w:spacing w:line="360" w:lineRule="auto"/>
              <w:contextualSpacing/>
              <w:rPr>
                <w:rFonts w:ascii="宋体" w:hAnsi="宋体" w:cs="宋体"/>
                <w:szCs w:val="21"/>
              </w:rPr>
            </w:pPr>
            <w:r>
              <w:rPr>
                <w:rFonts w:hint="eastAsia" w:ascii="宋体" w:hAnsi="宋体" w:cs="宋体"/>
                <w:szCs w:val="21"/>
              </w:rPr>
              <w:t>同开标时间及开标地点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质疑</w:t>
            </w:r>
          </w:p>
        </w:tc>
        <w:tc>
          <w:tcPr>
            <w:tcW w:w="5985" w:type="dxa"/>
            <w:vAlign w:val="center"/>
          </w:tcPr>
          <w:p>
            <w:pPr>
              <w:spacing w:line="360" w:lineRule="auto"/>
              <w:rPr>
                <w:rFonts w:ascii="宋体" w:hAnsi="宋体" w:cs="仿宋_GB2312"/>
                <w:szCs w:val="21"/>
              </w:rPr>
            </w:pPr>
            <w:r>
              <w:rPr>
                <w:rFonts w:hint="eastAsia" w:ascii="宋体" w:hAnsi="宋体" w:cs="仿宋_GB2312"/>
                <w:szCs w:val="21"/>
              </w:rPr>
              <w:t>供应商提出质疑应符合中华人民共和国财政部令第94号《政府采购质疑和投诉办法》的规定：</w:t>
            </w:r>
          </w:p>
          <w:p>
            <w:pPr>
              <w:spacing w:line="360" w:lineRule="auto"/>
              <w:rPr>
                <w:rFonts w:ascii="宋体" w:hAnsi="宋体" w:cs="仿宋_GB2312"/>
                <w:szCs w:val="21"/>
              </w:rPr>
            </w:pPr>
            <w:r>
              <w:rPr>
                <w:rFonts w:hint="eastAsia" w:ascii="宋体" w:hAnsi="宋体" w:cs="仿宋_GB2312"/>
                <w:szCs w:val="21"/>
              </w:rPr>
              <w:t>1、提出质疑的供应商应当是参与所质疑项目采购活动的供应商。</w:t>
            </w:r>
          </w:p>
          <w:p>
            <w:pPr>
              <w:spacing w:line="360" w:lineRule="auto"/>
              <w:rPr>
                <w:rFonts w:ascii="宋体" w:hAnsi="宋体" w:cs="仿宋_GB2312"/>
                <w:szCs w:val="21"/>
              </w:rPr>
            </w:pPr>
            <w:r>
              <w:rPr>
                <w:rFonts w:hint="eastAsia" w:ascii="宋体" w:hAnsi="宋体" w:cs="仿宋_GB2312"/>
                <w:szCs w:val="21"/>
              </w:rPr>
              <w:t>2、供应商认为采购文件、采购过程、中标或者成交结果使自己的权益受到损害的，可以在知道或者应知其权益受到损害之日起7个工作日内，以书面形式向采购人、采购代理机构提出质疑，供应商应在法定质疑期内一次性提出针对同一采购程序环节的质疑。</w:t>
            </w:r>
          </w:p>
          <w:p>
            <w:pPr>
              <w:spacing w:line="360" w:lineRule="auto"/>
              <w:rPr>
                <w:rFonts w:ascii="宋体" w:hAnsi="宋体" w:cs="仿宋_GB2312"/>
                <w:szCs w:val="21"/>
              </w:rPr>
            </w:pPr>
            <w:r>
              <w:rPr>
                <w:rFonts w:hint="eastAsia" w:ascii="宋体" w:hAnsi="宋体" w:cs="仿宋_GB2312"/>
                <w:szCs w:val="21"/>
              </w:rPr>
              <w:t>供应商应知其权益受到损害之日，是指：</w:t>
            </w:r>
          </w:p>
          <w:p>
            <w:pPr>
              <w:spacing w:line="360" w:lineRule="auto"/>
              <w:rPr>
                <w:rFonts w:ascii="宋体" w:hAnsi="宋体" w:cs="仿宋_GB2312"/>
                <w:szCs w:val="21"/>
              </w:rPr>
            </w:pPr>
            <w:r>
              <w:rPr>
                <w:rFonts w:hint="eastAsia" w:ascii="宋体" w:hAnsi="宋体" w:cs="仿宋_GB2312"/>
                <w:szCs w:val="21"/>
              </w:rPr>
              <w:t>（1）对可以质疑的采购文件提出质疑的，为收到采购文件之日或者采购文件公告期限届满之日；</w:t>
            </w:r>
          </w:p>
          <w:p>
            <w:pPr>
              <w:spacing w:line="360" w:lineRule="auto"/>
              <w:rPr>
                <w:rFonts w:ascii="宋体" w:hAnsi="宋体" w:cs="仿宋_GB2312"/>
                <w:szCs w:val="21"/>
              </w:rPr>
            </w:pPr>
            <w:r>
              <w:rPr>
                <w:rFonts w:hint="eastAsia" w:ascii="宋体" w:hAnsi="宋体" w:cs="仿宋_GB2312"/>
                <w:szCs w:val="21"/>
              </w:rPr>
              <w:t>（2）对采购过程提出质疑的，为各采购程序环节结束之日；</w:t>
            </w:r>
          </w:p>
          <w:p>
            <w:pPr>
              <w:spacing w:line="360" w:lineRule="auto"/>
              <w:rPr>
                <w:rFonts w:ascii="宋体" w:hAnsi="宋体" w:cs="仿宋_GB2312"/>
                <w:szCs w:val="21"/>
              </w:rPr>
            </w:pPr>
            <w:r>
              <w:rPr>
                <w:rFonts w:hint="eastAsia" w:ascii="宋体" w:hAnsi="宋体" w:cs="仿宋_GB2312"/>
                <w:szCs w:val="21"/>
              </w:rPr>
              <w:t>（3）对中标或者成交结果提出质疑的，为中标或者成交结果公告期限届满之日。</w:t>
            </w:r>
          </w:p>
          <w:p>
            <w:pPr>
              <w:spacing w:line="360" w:lineRule="auto"/>
              <w:rPr>
                <w:rFonts w:ascii="宋体" w:hAnsi="宋体" w:cs="仿宋_GB2312"/>
                <w:szCs w:val="21"/>
              </w:rPr>
            </w:pPr>
            <w:r>
              <w:rPr>
                <w:rFonts w:hint="eastAsia" w:ascii="宋体" w:hAnsi="宋体" w:cs="仿宋_GB2312"/>
                <w:szCs w:val="21"/>
              </w:rPr>
              <w:t>3、供应商提出质疑应当提交质疑函和必要的证明材料。质疑函应当包括：</w:t>
            </w:r>
          </w:p>
          <w:p>
            <w:pPr>
              <w:spacing w:line="360" w:lineRule="auto"/>
              <w:rPr>
                <w:rFonts w:ascii="宋体" w:hAnsi="宋体" w:cs="仿宋_GB2312"/>
                <w:szCs w:val="21"/>
              </w:rPr>
            </w:pPr>
            <w:r>
              <w:rPr>
                <w:rFonts w:hint="eastAsia" w:ascii="宋体" w:hAnsi="宋体" w:cs="仿宋_GB2312"/>
                <w:szCs w:val="21"/>
              </w:rPr>
              <w:t>3.1供应商的姓名或者名称、地址、邮编、联系人及联系电话；</w:t>
            </w:r>
          </w:p>
          <w:p>
            <w:pPr>
              <w:spacing w:line="360" w:lineRule="auto"/>
              <w:rPr>
                <w:rFonts w:ascii="宋体" w:hAnsi="宋体" w:cs="仿宋_GB2312"/>
                <w:szCs w:val="21"/>
              </w:rPr>
            </w:pPr>
            <w:r>
              <w:rPr>
                <w:rFonts w:hint="eastAsia" w:ascii="宋体" w:hAnsi="宋体" w:cs="仿宋_GB2312"/>
                <w:szCs w:val="21"/>
              </w:rPr>
              <w:t>3.2质疑项目的名称、编号；</w:t>
            </w:r>
          </w:p>
          <w:p>
            <w:pPr>
              <w:spacing w:line="360" w:lineRule="auto"/>
              <w:rPr>
                <w:rFonts w:ascii="宋体" w:hAnsi="宋体" w:cs="仿宋_GB2312"/>
                <w:szCs w:val="21"/>
              </w:rPr>
            </w:pPr>
            <w:r>
              <w:rPr>
                <w:rFonts w:hint="eastAsia" w:ascii="宋体" w:hAnsi="宋体" w:cs="仿宋_GB2312"/>
                <w:szCs w:val="21"/>
              </w:rPr>
              <w:t>3.3具体、明确的质疑事项和与质疑事项相关的请求；</w:t>
            </w:r>
          </w:p>
          <w:p>
            <w:pPr>
              <w:spacing w:line="360" w:lineRule="auto"/>
              <w:rPr>
                <w:rFonts w:ascii="宋体" w:hAnsi="宋体" w:cs="仿宋_GB2312"/>
                <w:szCs w:val="21"/>
              </w:rPr>
            </w:pPr>
            <w:r>
              <w:rPr>
                <w:rFonts w:hint="eastAsia" w:ascii="宋体" w:hAnsi="宋体" w:cs="仿宋_GB2312"/>
                <w:szCs w:val="21"/>
              </w:rPr>
              <w:t>3.4事实依据；</w:t>
            </w:r>
          </w:p>
          <w:p>
            <w:pPr>
              <w:spacing w:line="360" w:lineRule="auto"/>
              <w:rPr>
                <w:rFonts w:ascii="宋体" w:hAnsi="宋体" w:cs="仿宋_GB2312"/>
                <w:szCs w:val="21"/>
              </w:rPr>
            </w:pPr>
            <w:r>
              <w:rPr>
                <w:rFonts w:hint="eastAsia" w:ascii="宋体" w:hAnsi="宋体" w:cs="仿宋_GB2312"/>
                <w:szCs w:val="21"/>
              </w:rPr>
              <w:t>3.5必要的法律依据；</w:t>
            </w:r>
          </w:p>
          <w:p>
            <w:pPr>
              <w:spacing w:line="360" w:lineRule="auto"/>
              <w:rPr>
                <w:rFonts w:ascii="宋体" w:hAnsi="宋体" w:cs="仿宋_GB2312"/>
                <w:szCs w:val="21"/>
              </w:rPr>
            </w:pPr>
            <w:r>
              <w:rPr>
                <w:rFonts w:hint="eastAsia" w:ascii="宋体" w:hAnsi="宋体" w:cs="仿宋_GB2312"/>
                <w:szCs w:val="21"/>
              </w:rPr>
              <w:t>3.6提出质疑的日期。</w:t>
            </w:r>
          </w:p>
          <w:p>
            <w:pPr>
              <w:spacing w:line="360" w:lineRule="auto"/>
              <w:rPr>
                <w:rFonts w:ascii="宋体" w:hAnsi="宋体" w:cs="仿宋_GB2312"/>
                <w:szCs w:val="21"/>
              </w:rPr>
            </w:pPr>
            <w:r>
              <w:rPr>
                <w:rFonts w:hint="eastAsia" w:ascii="宋体" w:hAnsi="宋体" w:cs="仿宋_GB2312"/>
                <w:szCs w:val="21"/>
              </w:rPr>
              <w:t>质疑函应采用财政部颁布的《政府采购供应商质疑函范本》。</w:t>
            </w:r>
          </w:p>
          <w:p>
            <w:pPr>
              <w:spacing w:line="360" w:lineRule="auto"/>
              <w:rPr>
                <w:rFonts w:ascii="宋体" w:hAnsi="宋体" w:cs="仿宋_GB2312"/>
                <w:szCs w:val="21"/>
              </w:rPr>
            </w:pPr>
            <w:r>
              <w:rPr>
                <w:rFonts w:hint="eastAsia" w:ascii="宋体" w:hAnsi="宋体" w:cs="仿宋_GB2312"/>
                <w:szCs w:val="21"/>
              </w:rPr>
              <w:t>供应商为法人或者其他组织的，应当由法定代表人、主要负责人，或者其授权代表签字或者盖章，并加盖公章。</w:t>
            </w:r>
          </w:p>
          <w:p>
            <w:pPr>
              <w:spacing w:line="360" w:lineRule="auto"/>
              <w:rPr>
                <w:rFonts w:ascii="宋体" w:hAnsi="宋体" w:cs="仿宋_GB2312"/>
                <w:szCs w:val="21"/>
              </w:rPr>
            </w:pPr>
            <w:r>
              <w:rPr>
                <w:rFonts w:hint="eastAsia" w:ascii="宋体" w:hAnsi="宋体" w:cs="仿宋_GB2312"/>
                <w:szCs w:val="21"/>
              </w:rPr>
              <w:t>4、供应商可以委托代理人进行质疑。其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360" w:lineRule="auto"/>
              <w:rPr>
                <w:rFonts w:ascii="宋体" w:hAnsi="宋体" w:cs="仿宋_GB2312"/>
                <w:szCs w:val="21"/>
              </w:rPr>
            </w:pPr>
            <w:r>
              <w:rPr>
                <w:rFonts w:hint="eastAsia" w:ascii="宋体" w:hAnsi="宋体" w:cs="仿宋_GB2312"/>
                <w:szCs w:val="21"/>
              </w:rPr>
              <w:t>5、有下列情形之一的，属于无效质疑，采购代理机构和采购人不予受理：</w:t>
            </w:r>
          </w:p>
          <w:p>
            <w:pPr>
              <w:spacing w:line="360" w:lineRule="auto"/>
              <w:rPr>
                <w:rFonts w:ascii="宋体" w:hAnsi="宋体" w:cs="仿宋_GB2312"/>
                <w:szCs w:val="21"/>
              </w:rPr>
            </w:pPr>
            <w:r>
              <w:rPr>
                <w:rFonts w:hint="eastAsia" w:ascii="宋体" w:hAnsi="宋体" w:cs="仿宋_GB2312"/>
                <w:szCs w:val="21"/>
              </w:rPr>
              <w:t>5.1质疑供应商不是参与所质疑项目采购活动的供应商；</w:t>
            </w:r>
          </w:p>
          <w:p>
            <w:pPr>
              <w:spacing w:line="360" w:lineRule="auto"/>
              <w:rPr>
                <w:rFonts w:ascii="宋体" w:hAnsi="宋体" w:cs="仿宋_GB2312"/>
                <w:szCs w:val="21"/>
              </w:rPr>
            </w:pPr>
            <w:r>
              <w:rPr>
                <w:rFonts w:hint="eastAsia" w:ascii="宋体" w:hAnsi="宋体" w:cs="仿宋_GB2312"/>
                <w:szCs w:val="21"/>
              </w:rPr>
              <w:t>5.2未在法定质疑期内发出质疑的；</w:t>
            </w:r>
          </w:p>
          <w:p>
            <w:pPr>
              <w:spacing w:line="360" w:lineRule="auto"/>
              <w:rPr>
                <w:rFonts w:ascii="宋体" w:hAnsi="宋体" w:cs="仿宋_GB2312"/>
                <w:szCs w:val="21"/>
              </w:rPr>
            </w:pPr>
            <w:r>
              <w:rPr>
                <w:rFonts w:hint="eastAsia" w:ascii="宋体" w:hAnsi="宋体" w:cs="仿宋_GB2312"/>
                <w:szCs w:val="21"/>
              </w:rPr>
              <w:t>5.3质疑未以书面形式提出；</w:t>
            </w:r>
          </w:p>
          <w:p>
            <w:pPr>
              <w:spacing w:line="360" w:lineRule="auto"/>
              <w:rPr>
                <w:rFonts w:ascii="宋体" w:hAnsi="宋体" w:cs="仿宋_GB2312"/>
                <w:szCs w:val="21"/>
              </w:rPr>
            </w:pPr>
            <w:r>
              <w:rPr>
                <w:rFonts w:hint="eastAsia" w:ascii="宋体" w:hAnsi="宋体" w:cs="仿宋_GB2312"/>
                <w:szCs w:val="21"/>
              </w:rPr>
              <w:t>5.4质疑函没有合法有效的签字、盖章或授权的；</w:t>
            </w:r>
          </w:p>
          <w:p>
            <w:pPr>
              <w:spacing w:line="360" w:lineRule="auto"/>
              <w:rPr>
                <w:rFonts w:ascii="宋体" w:hAnsi="宋体" w:cs="仿宋_GB2312"/>
                <w:szCs w:val="21"/>
              </w:rPr>
            </w:pPr>
            <w:r>
              <w:rPr>
                <w:rFonts w:hint="eastAsia" w:ascii="宋体" w:hAnsi="宋体" w:cs="仿宋_GB2312"/>
                <w:szCs w:val="21"/>
              </w:rPr>
              <w:t>5.5以非法手段取得证据、材料的；</w:t>
            </w:r>
          </w:p>
          <w:p>
            <w:pPr>
              <w:spacing w:line="360" w:lineRule="auto"/>
              <w:rPr>
                <w:rFonts w:ascii="宋体" w:hAnsi="宋体" w:cs="仿宋_GB2312"/>
                <w:szCs w:val="21"/>
              </w:rPr>
            </w:pPr>
            <w:r>
              <w:rPr>
                <w:rFonts w:hint="eastAsia" w:ascii="宋体" w:hAnsi="宋体" w:cs="仿宋_GB2312"/>
                <w:szCs w:val="21"/>
              </w:rPr>
              <w:t>5.6质疑答复后，同一质疑人就同一事项再次提出质疑的；</w:t>
            </w:r>
          </w:p>
          <w:p>
            <w:pPr>
              <w:spacing w:line="360" w:lineRule="auto"/>
              <w:rPr>
                <w:rFonts w:ascii="宋体" w:hAnsi="宋体" w:cs="仿宋_GB2312"/>
                <w:szCs w:val="21"/>
              </w:rPr>
            </w:pPr>
            <w:r>
              <w:rPr>
                <w:rFonts w:hint="eastAsia" w:ascii="宋体" w:hAnsi="宋体" w:cs="仿宋_GB2312"/>
                <w:szCs w:val="21"/>
              </w:rPr>
              <w:t>5.7不符合法律、法规、规章和政府采购监管机构规定的其他条件的。</w:t>
            </w:r>
          </w:p>
          <w:p>
            <w:pPr>
              <w:spacing w:line="360" w:lineRule="auto"/>
              <w:rPr>
                <w:rFonts w:ascii="宋体" w:hAnsi="宋体" w:cs="仿宋_GB2312"/>
                <w:szCs w:val="21"/>
              </w:rPr>
            </w:pPr>
            <w:r>
              <w:rPr>
                <w:rFonts w:hint="eastAsia" w:ascii="宋体" w:hAnsi="宋体" w:cs="仿宋_GB2312"/>
                <w:szCs w:val="21"/>
              </w:rPr>
              <w:t>6、质疑答复</w:t>
            </w:r>
          </w:p>
          <w:p>
            <w:pPr>
              <w:spacing w:line="360" w:lineRule="auto"/>
              <w:rPr>
                <w:rFonts w:ascii="宋体" w:hAnsi="宋体" w:cs="仿宋_GB2312"/>
                <w:szCs w:val="21"/>
              </w:rPr>
            </w:pPr>
            <w:r>
              <w:rPr>
                <w:rFonts w:hint="eastAsia" w:ascii="宋体" w:hAnsi="宋体" w:cs="仿宋_GB2312"/>
                <w:szCs w:val="21"/>
              </w:rPr>
              <w:t>采购人、采购代理机构在收到质疑函后七个工作日内做出答复。</w:t>
            </w:r>
          </w:p>
          <w:p>
            <w:pPr>
              <w:spacing w:line="360" w:lineRule="auto"/>
              <w:rPr>
                <w:rFonts w:ascii="宋体" w:hAnsi="宋体" w:cs="仿宋_GB2312"/>
                <w:szCs w:val="21"/>
              </w:rPr>
            </w:pPr>
            <w:r>
              <w:rPr>
                <w:rFonts w:hint="eastAsia" w:ascii="宋体" w:hAnsi="宋体" w:cs="仿宋_GB2312"/>
                <w:szCs w:val="21"/>
              </w:rPr>
              <w:t>7、质疑接收方式：供应商以书面形式将质疑函原件和必要的证明材料送至接收部门，法定代表人、主要负责人、自然人提交质疑函须提交其身份证复印件，代理人提交质疑函须提交授权委托书及授权人和被授权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82" w:type="dxa"/>
            <w:vAlign w:val="center"/>
          </w:tcPr>
          <w:p>
            <w:pPr>
              <w:numPr>
                <w:ilvl w:val="0"/>
                <w:numId w:val="2"/>
              </w:numPr>
              <w:spacing w:line="360" w:lineRule="auto"/>
              <w:jc w:val="center"/>
              <w:rPr>
                <w:rFonts w:ascii="宋体" w:hAnsi="宋体" w:cs="仿宋_GB2312"/>
                <w:szCs w:val="21"/>
              </w:rPr>
            </w:pPr>
          </w:p>
        </w:tc>
        <w:tc>
          <w:tcPr>
            <w:tcW w:w="2034" w:type="dxa"/>
            <w:vAlign w:val="center"/>
          </w:tcPr>
          <w:p>
            <w:pPr>
              <w:spacing w:line="360" w:lineRule="auto"/>
              <w:jc w:val="center"/>
              <w:rPr>
                <w:rFonts w:ascii="宋体" w:hAnsi="宋体" w:cs="仿宋_GB2312"/>
                <w:szCs w:val="21"/>
              </w:rPr>
            </w:pPr>
            <w:r>
              <w:rPr>
                <w:rFonts w:hint="eastAsia" w:ascii="宋体" w:hAnsi="宋体" w:cs="仿宋_GB2312"/>
                <w:szCs w:val="21"/>
              </w:rPr>
              <w:t>供应商信用信息查询</w:t>
            </w:r>
          </w:p>
        </w:tc>
        <w:tc>
          <w:tcPr>
            <w:tcW w:w="5985" w:type="dxa"/>
            <w:vAlign w:val="center"/>
          </w:tcPr>
          <w:p>
            <w:pPr>
              <w:spacing w:line="360" w:lineRule="auto"/>
              <w:rPr>
                <w:rFonts w:ascii="宋体" w:hAnsi="宋体" w:cs="仿宋_GB2312"/>
                <w:szCs w:val="21"/>
              </w:rPr>
            </w:pPr>
            <w:r>
              <w:rPr>
                <w:rFonts w:hint="eastAsia" w:ascii="宋体" w:hAnsi="宋体" w:cs="仿宋_GB2312"/>
                <w:szCs w:val="21"/>
              </w:rPr>
              <w:t>依据财库〔2016〕125号《关于在政府采购活动中查询及使用信用记录有关问题的通知》的规定，供应商信用信息查询具体规定如下：</w:t>
            </w:r>
          </w:p>
          <w:p>
            <w:pPr>
              <w:spacing w:line="360" w:lineRule="auto"/>
              <w:rPr>
                <w:rFonts w:ascii="宋体" w:hAnsi="宋体" w:cs="仿宋_GB2312"/>
                <w:szCs w:val="21"/>
              </w:rPr>
            </w:pPr>
            <w:r>
              <w:rPr>
                <w:rFonts w:hint="eastAsia" w:ascii="宋体" w:hAnsi="宋体" w:cs="仿宋_GB2312"/>
                <w:szCs w:val="21"/>
              </w:rPr>
              <w:t>企业信用：供应商通过“信用中国”网站(www.creditchina.gov.cn)和中国政府采购网(www.ccgp.gov.cn) 查询相关主体信用记录，查询节点应在采购文件发售期至投标截止时间之间。</w:t>
            </w:r>
          </w:p>
          <w:p>
            <w:pPr>
              <w:spacing w:line="360" w:lineRule="auto"/>
              <w:rPr>
                <w:rFonts w:ascii="宋体" w:hAnsi="宋体" w:cs="仿宋_GB2312"/>
                <w:szCs w:val="21"/>
              </w:rPr>
            </w:pPr>
            <w:r>
              <w:rPr>
                <w:rFonts w:hint="eastAsia" w:ascii="宋体" w:hAnsi="宋体" w:cs="仿宋_GB2312"/>
                <w:color w:val="000000"/>
                <w:szCs w:val="21"/>
              </w:rPr>
              <w:t>（采购人、采购代理机</w:t>
            </w:r>
            <w:r>
              <w:rPr>
                <w:rFonts w:hint="eastAsia" w:ascii="宋体" w:hAnsi="宋体" w:cs="仿宋_GB2312"/>
                <w:szCs w:val="21"/>
              </w:rPr>
              <w:t>构有权对各供应商信用记录情况进行甄别查询，并对查询结果予以截图留存。对被列入失信被执行人、政府采购严重违法失信行为记录名单及其他不符合《中华人民共和国政府采购法》第二十二条规定条件的供应商，采购代理机构将拒绝其参与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jc w:val="center"/>
        </w:trPr>
        <w:tc>
          <w:tcPr>
            <w:tcW w:w="782" w:type="dxa"/>
            <w:vAlign w:val="center"/>
          </w:tcPr>
          <w:p>
            <w:pPr>
              <w:numPr>
                <w:ilvl w:val="0"/>
                <w:numId w:val="2"/>
              </w:numPr>
              <w:spacing w:line="360" w:lineRule="auto"/>
              <w:rPr>
                <w:rFonts w:ascii="宋体" w:hAnsi="宋体" w:cs="仿宋_GB2312"/>
                <w:szCs w:val="21"/>
              </w:rPr>
            </w:pPr>
          </w:p>
        </w:tc>
        <w:tc>
          <w:tcPr>
            <w:tcW w:w="2034" w:type="dxa"/>
            <w:vAlign w:val="center"/>
          </w:tcPr>
          <w:p>
            <w:pPr>
              <w:spacing w:line="360" w:lineRule="auto"/>
              <w:contextualSpacing/>
              <w:jc w:val="center"/>
              <w:rPr>
                <w:rFonts w:ascii="宋体" w:hAnsi="宋体" w:cs="宋体"/>
                <w:szCs w:val="21"/>
              </w:rPr>
            </w:pPr>
            <w:r>
              <w:rPr>
                <w:rFonts w:hint="eastAsia" w:ascii="宋体" w:hAnsi="宋体" w:cs="宋体"/>
                <w:szCs w:val="21"/>
              </w:rPr>
              <w:t>招标代理服务费</w:t>
            </w:r>
          </w:p>
        </w:tc>
        <w:tc>
          <w:tcPr>
            <w:tcW w:w="5985" w:type="dxa"/>
            <w:vAlign w:val="center"/>
          </w:tcPr>
          <w:p>
            <w:pPr>
              <w:spacing w:line="360" w:lineRule="auto"/>
              <w:contextualSpacing/>
              <w:rPr>
                <w:rFonts w:ascii="宋体" w:hAnsi="宋体" w:cs="宋体"/>
                <w:szCs w:val="21"/>
              </w:rPr>
            </w:pPr>
            <w:r>
              <w:rPr>
                <w:rFonts w:hint="eastAsia" w:ascii="宋体" w:hAnsi="宋体" w:cs="宋体"/>
                <w:szCs w:val="21"/>
              </w:rPr>
              <w:t>中标单位应向代理机构缴纳招标代理服务费。招标代理服务费的收取参见国家计委颁布的《招标代理服务收费管理暂行办法》（计价格[2002]1980号）和（发改办价格[2003]857号）收费标准收取，在领取中标通知书时向代理机构一次性以转账的方式缴纳。</w:t>
            </w:r>
          </w:p>
          <w:p>
            <w:pPr>
              <w:pStyle w:val="64"/>
              <w:spacing w:line="360" w:lineRule="auto"/>
              <w:ind w:firstLine="0" w:firstLineChars="0"/>
              <w:rPr>
                <w:rFonts w:ascii="宋体" w:hAnsi="宋体" w:cs="宋体"/>
                <w:szCs w:val="21"/>
              </w:rPr>
            </w:pPr>
            <w:r>
              <w:rPr>
                <w:rFonts w:hint="eastAsia" w:ascii="宋体" w:hAnsi="宋体" w:cs="宋体"/>
                <w:szCs w:val="21"/>
              </w:rPr>
              <w:t>单位名称</w:t>
            </w:r>
            <w:r>
              <w:rPr>
                <w:rFonts w:ascii="宋体" w:hAnsi="宋体" w:cs="宋体"/>
                <w:szCs w:val="21"/>
              </w:rPr>
              <w:t>：</w:t>
            </w:r>
            <w:r>
              <w:rPr>
                <w:rFonts w:hint="eastAsia" w:ascii="宋体" w:hAnsi="宋体" w:cs="宋体"/>
                <w:szCs w:val="21"/>
              </w:rPr>
              <w:t>陕西宸逸九科项目咨询管理有限公司</w:t>
            </w:r>
          </w:p>
          <w:p>
            <w:pPr>
              <w:pStyle w:val="47"/>
              <w:spacing w:before="0" w:line="360" w:lineRule="auto"/>
              <w:rPr>
                <w:rFonts w:ascii="宋体" w:hAnsi="宋体" w:cs="宋体"/>
                <w:b w:val="0"/>
                <w:kern w:val="2"/>
                <w:sz w:val="21"/>
                <w:szCs w:val="21"/>
              </w:rPr>
            </w:pPr>
            <w:r>
              <w:rPr>
                <w:rFonts w:ascii="宋体" w:hAnsi="宋体" w:cs="宋体"/>
                <w:b w:val="0"/>
                <w:kern w:val="2"/>
                <w:sz w:val="21"/>
                <w:szCs w:val="21"/>
              </w:rPr>
              <w:t>开户银行：</w:t>
            </w:r>
            <w:r>
              <w:rPr>
                <w:rFonts w:hint="eastAsia" w:ascii="宋体" w:hAnsi="宋体" w:cs="宋体"/>
                <w:b w:val="0"/>
                <w:kern w:val="2"/>
                <w:sz w:val="21"/>
                <w:szCs w:val="21"/>
              </w:rPr>
              <w:t>中信银行股份有限公司西安太白北路支行</w:t>
            </w:r>
          </w:p>
          <w:p>
            <w:pPr>
              <w:pStyle w:val="47"/>
              <w:spacing w:before="0" w:line="360" w:lineRule="auto"/>
              <w:rPr>
                <w:rFonts w:ascii="宋体" w:hAnsi="宋体" w:cs="宋体"/>
                <w:b w:val="0"/>
                <w:sz w:val="21"/>
                <w:szCs w:val="21"/>
              </w:rPr>
            </w:pPr>
            <w:r>
              <w:rPr>
                <w:rFonts w:ascii="宋体" w:hAnsi="宋体" w:cs="宋体"/>
                <w:b w:val="0"/>
                <w:kern w:val="2"/>
                <w:sz w:val="21"/>
                <w:szCs w:val="21"/>
              </w:rPr>
              <w:t>账号：</w:t>
            </w:r>
            <w:r>
              <w:rPr>
                <w:rFonts w:hint="eastAsia" w:ascii="宋体" w:hAnsi="宋体" w:cs="宋体"/>
                <w:b w:val="0"/>
                <w:kern w:val="2"/>
                <w:sz w:val="21"/>
                <w:szCs w:val="21"/>
              </w:rPr>
              <w:t>8111701013700563310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jc w:val="center"/>
        </w:trPr>
        <w:tc>
          <w:tcPr>
            <w:tcW w:w="782" w:type="dxa"/>
            <w:vAlign w:val="center"/>
          </w:tcPr>
          <w:p>
            <w:pPr>
              <w:numPr>
                <w:ilvl w:val="0"/>
                <w:numId w:val="2"/>
              </w:numPr>
              <w:spacing w:line="360" w:lineRule="auto"/>
              <w:rPr>
                <w:rFonts w:ascii="宋体" w:hAnsi="宋体" w:cs="仿宋_GB2312"/>
                <w:szCs w:val="21"/>
              </w:rPr>
            </w:pPr>
          </w:p>
        </w:tc>
        <w:tc>
          <w:tcPr>
            <w:tcW w:w="2034" w:type="dxa"/>
            <w:vAlign w:val="center"/>
          </w:tcPr>
          <w:p>
            <w:pPr>
              <w:spacing w:line="360" w:lineRule="auto"/>
              <w:jc w:val="center"/>
              <w:rPr>
                <w:rFonts w:ascii="宋体" w:hAnsi="宋体" w:cs="宋体"/>
                <w:szCs w:val="21"/>
              </w:rPr>
            </w:pPr>
            <w:r>
              <w:rPr>
                <w:rFonts w:hint="eastAsia" w:ascii="宋体" w:hAnsi="宋体" w:cs="宋体"/>
                <w:szCs w:val="21"/>
              </w:rPr>
              <w:t>知识产权</w:t>
            </w:r>
          </w:p>
        </w:tc>
        <w:tc>
          <w:tcPr>
            <w:tcW w:w="5985" w:type="dxa"/>
            <w:vAlign w:val="center"/>
          </w:tcPr>
          <w:p>
            <w:pPr>
              <w:spacing w:line="360" w:lineRule="auto"/>
              <w:jc w:val="left"/>
              <w:rPr>
                <w:rFonts w:ascii="宋体" w:hAnsi="宋体" w:cs="宋体"/>
                <w:szCs w:val="21"/>
              </w:rPr>
            </w:pPr>
            <w:r>
              <w:rPr>
                <w:rFonts w:hint="eastAsia" w:ascii="宋体" w:hAnsi="宋体" w:cs="宋体"/>
                <w:szCs w:val="21"/>
              </w:rPr>
              <w:t>构成本采购文件各个组成部分的文件，未经采购人书面同意，供应商不得擅自复印和用于非本采购项目所需的其他目的。采购人全部或者部分使用未成交供应商投标文件中的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82" w:type="dxa"/>
            <w:vAlign w:val="center"/>
          </w:tcPr>
          <w:p>
            <w:pPr>
              <w:numPr>
                <w:ilvl w:val="0"/>
                <w:numId w:val="2"/>
              </w:numPr>
              <w:spacing w:line="360" w:lineRule="auto"/>
              <w:rPr>
                <w:rFonts w:ascii="宋体" w:hAnsi="宋体" w:cs="仿宋_GB2312"/>
                <w:szCs w:val="21"/>
              </w:rPr>
            </w:pPr>
          </w:p>
        </w:tc>
        <w:tc>
          <w:tcPr>
            <w:tcW w:w="2034" w:type="dxa"/>
            <w:vAlign w:val="center"/>
          </w:tcPr>
          <w:p>
            <w:pPr>
              <w:spacing w:line="360" w:lineRule="auto"/>
              <w:jc w:val="center"/>
              <w:rPr>
                <w:rFonts w:hint="eastAsia" w:ascii="宋体" w:hAnsi="宋体" w:eastAsia="宋体" w:cs="宋体"/>
                <w:b/>
                <w:color w:val="000000" w:themeColor="text1"/>
                <w:kern w:val="2"/>
                <w:sz w:val="21"/>
                <w:szCs w:val="21"/>
                <w:highlight w:val="none"/>
                <w:lang w:val="en-US" w:eastAsia="zh-CN" w:bidi="ar-SA"/>
              </w:rPr>
            </w:pPr>
            <w:r>
              <w:rPr>
                <w:rFonts w:hint="eastAsia" w:ascii="宋体" w:hAnsi="宋体" w:cs="宋体"/>
                <w:bCs/>
                <w:color w:val="000000"/>
                <w:szCs w:val="21"/>
              </w:rPr>
              <w:t>信用融资</w:t>
            </w:r>
          </w:p>
        </w:tc>
        <w:tc>
          <w:tcPr>
            <w:tcW w:w="5985" w:type="dxa"/>
            <w:vAlign w:val="center"/>
          </w:tcPr>
          <w:p>
            <w:pPr>
              <w:spacing w:line="360" w:lineRule="auto"/>
              <w:rPr>
                <w:rFonts w:ascii="宋体" w:hAnsi="宋体" w:cs="宋体"/>
                <w:color w:val="000000"/>
                <w:szCs w:val="21"/>
              </w:rPr>
            </w:pPr>
            <w:r>
              <w:rPr>
                <w:rFonts w:hint="eastAsia" w:ascii="宋体" w:hAnsi="宋体" w:cs="宋体"/>
                <w:color w:val="000000"/>
                <w:szCs w:val="21"/>
              </w:rPr>
              <w:t>陕西省政府采购信用融资政策：</w:t>
            </w:r>
          </w:p>
          <w:p>
            <w:pPr>
              <w:spacing w:line="360" w:lineRule="auto"/>
              <w:ind w:firstLine="420" w:firstLineChars="200"/>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szCs w:val="21"/>
              </w:rPr>
              <w:t>根据陕西省财政厅关于印发《陕西省中小企业政府采购信用融资办法》（陕财办采〔2018〕23号）和《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82" w:type="dxa"/>
            <w:vAlign w:val="center"/>
          </w:tcPr>
          <w:p>
            <w:pPr>
              <w:numPr>
                <w:ilvl w:val="0"/>
                <w:numId w:val="2"/>
              </w:numPr>
              <w:spacing w:line="360" w:lineRule="auto"/>
              <w:rPr>
                <w:rFonts w:ascii="宋体" w:hAnsi="宋体" w:cs="仿宋_GB2312"/>
                <w:szCs w:val="21"/>
              </w:rPr>
            </w:pPr>
          </w:p>
        </w:tc>
        <w:tc>
          <w:tcPr>
            <w:tcW w:w="2034" w:type="dxa"/>
            <w:vAlign w:val="center"/>
          </w:tcPr>
          <w:p>
            <w:pPr>
              <w:bidi w:val="0"/>
              <w:jc w:val="center"/>
              <w:rPr>
                <w:b/>
                <w:bCs/>
              </w:rPr>
            </w:pPr>
            <w:r>
              <w:rPr>
                <w:rFonts w:hint="eastAsia"/>
                <w:b/>
                <w:bCs/>
                <w:lang w:val="en-US" w:eastAsia="zh-CN"/>
              </w:rPr>
              <w:t>特别提示</w:t>
            </w:r>
          </w:p>
        </w:tc>
        <w:tc>
          <w:tcPr>
            <w:tcW w:w="5985" w:type="dxa"/>
            <w:vAlign w:val="center"/>
          </w:tcPr>
          <w:p>
            <w:pPr>
              <w:numPr>
                <w:ilvl w:val="0"/>
                <w:numId w:val="0"/>
              </w:numPr>
              <w:bidi w:val="0"/>
              <w:spacing w:line="360" w:lineRule="auto"/>
              <w:ind w:firstLine="422" w:firstLineChars="200"/>
              <w:rPr>
                <w:rFonts w:hint="eastAsia"/>
                <w:b/>
                <w:bCs/>
              </w:rPr>
            </w:pPr>
            <w:r>
              <w:rPr>
                <w:rFonts w:hint="eastAsia"/>
                <w:b/>
                <w:bCs/>
                <w:lang w:val="en-US" w:eastAsia="zh-CN"/>
              </w:rPr>
              <w:t>1、</w:t>
            </w:r>
            <w:r>
              <w:rPr>
                <w:rFonts w:hint="eastAsia"/>
                <w:b/>
                <w:bCs/>
              </w:rPr>
              <w:t>符合《政府采购法》第二十二条规定的合格供应商通过陕西省政府采购网（</w:t>
            </w:r>
            <w:r>
              <w:rPr>
                <w:rFonts w:hint="eastAsia"/>
                <w:b/>
                <w:bCs/>
              </w:rPr>
              <w:fldChar w:fldCharType="begin"/>
            </w:r>
            <w:r>
              <w:rPr>
                <w:rFonts w:hint="eastAsia"/>
                <w:b/>
                <w:bCs/>
              </w:rPr>
              <w:instrText xml:space="preserve">INCLUDEPICTURE \d "C:\\Users\\ADMINI~1\\AppData\\Local\\Temp\\%W@GJ$ACOF(TYDYECOKVDYB.png" \* MERGEFORMATINET </w:instrText>
            </w:r>
            <w:r>
              <w:rPr>
                <w:rFonts w:hint="eastAsia"/>
                <w:b/>
                <w:bCs/>
              </w:rPr>
              <w:fldChar w:fldCharType="separate"/>
            </w:r>
            <w:r>
              <w:rPr>
                <w:rFonts w:hint="eastAsia"/>
                <w:b/>
                <w:bCs/>
              </w:rPr>
              <w:drawing>
                <wp:inline distT="0" distB="0" distL="0" distR="0">
                  <wp:extent cx="190500" cy="142875"/>
                  <wp:effectExtent l="0" t="0" r="0" b="9525"/>
                  <wp:docPr id="1027" name="图片 1" descr="IMG_256"/>
                  <wp:cNvGraphicFramePr/>
                  <a:graphic xmlns:a="http://schemas.openxmlformats.org/drawingml/2006/main">
                    <a:graphicData uri="http://schemas.openxmlformats.org/drawingml/2006/picture">
                      <pic:pic xmlns:pic="http://schemas.openxmlformats.org/drawingml/2006/picture">
                        <pic:nvPicPr>
                          <pic:cNvPr id="1027" name="图片 1" descr="IMG_256"/>
                          <pic:cNvPicPr/>
                        </pic:nvPicPr>
                        <pic:blipFill>
                          <a:blip r:embed="rId17" cstate="print"/>
                          <a:srcRect/>
                          <a:stretch>
                            <a:fillRect/>
                          </a:stretch>
                        </pic:blipFill>
                        <pic:spPr>
                          <a:xfrm>
                            <a:off x="0" y="0"/>
                            <a:ext cx="190500" cy="142875"/>
                          </a:xfrm>
                          <a:prstGeom prst="rect">
                            <a:avLst/>
                          </a:prstGeom>
                          <a:ln>
                            <a:noFill/>
                          </a:ln>
                        </pic:spPr>
                      </pic:pic>
                    </a:graphicData>
                  </a:graphic>
                </wp:inline>
              </w:drawing>
            </w:r>
            <w:r>
              <w:rPr>
                <w:rFonts w:hint="eastAsia"/>
                <w:b/>
                <w:bCs/>
              </w:rPr>
              <w:fldChar w:fldCharType="end"/>
            </w:r>
            <w:r>
              <w:rPr>
                <w:rFonts w:hint="eastAsia"/>
                <w:b/>
                <w:bCs/>
              </w:rPr>
              <w:t>Fttp://www.ccgp-sFaanxi.gov.cn/）注册登记加入陕西省政府采购供应商库。未入库的供应商在后期采购过程中出现问题我公司概不负责。</w:t>
            </w:r>
          </w:p>
          <w:p>
            <w:pPr>
              <w:numPr>
                <w:ilvl w:val="0"/>
                <w:numId w:val="0"/>
              </w:numPr>
              <w:bidi w:val="0"/>
              <w:spacing w:line="360" w:lineRule="auto"/>
              <w:ind w:firstLine="422" w:firstLineChars="200"/>
              <w:rPr>
                <w:rFonts w:hint="eastAsia"/>
                <w:b/>
                <w:bCs/>
                <w:lang w:val="en-US" w:eastAsia="zh-CN"/>
              </w:rPr>
            </w:pPr>
            <w:r>
              <w:rPr>
                <w:rFonts w:hint="eastAsia"/>
                <w:b/>
                <w:bCs/>
                <w:lang w:val="en-US" w:eastAsia="zh-CN"/>
              </w:rPr>
              <w:t>2、对领取采购文件而不参与项目投标也未在规定期限内以书面形式告知集中采购（代理）机构以及不按照中标合同约定履约的供应商，财政部门将及时进行备案登记，年度内出现三次违约行为，将被列入失信供应商名单，按照《政府采购领域供应商违法失信“黑名单”信息共享和联合惩戒实施办法》进行处理。</w:t>
            </w:r>
          </w:p>
          <w:p>
            <w:pPr>
              <w:numPr>
                <w:ilvl w:val="0"/>
                <w:numId w:val="0"/>
              </w:numPr>
              <w:spacing w:line="360" w:lineRule="auto"/>
              <w:ind w:firstLine="422" w:firstLineChars="200"/>
            </w:pPr>
            <w:r>
              <w:rPr>
                <w:rFonts w:hint="eastAsia"/>
                <w:b/>
                <w:bCs/>
                <w:lang w:val="en-US" w:eastAsia="zh-CN"/>
              </w:rPr>
              <w:t>3、供应商及投标文件</w:t>
            </w:r>
            <w:r>
              <w:rPr>
                <w:rFonts w:hint="eastAsia"/>
                <w:b/>
                <w:bCs/>
              </w:rPr>
              <w:t>提供虚假证明、资料，开具虚假资质，出现虚假应答的</w:t>
            </w:r>
            <w:r>
              <w:rPr>
                <w:rFonts w:hint="eastAsia"/>
                <w:b/>
                <w:bCs/>
                <w:lang w:eastAsia="zh-CN"/>
              </w:rPr>
              <w:t>，</w:t>
            </w:r>
            <w:r>
              <w:rPr>
                <w:rFonts w:hint="eastAsia"/>
                <w:b/>
                <w:bCs/>
                <w:lang w:val="en-US" w:eastAsia="zh-CN"/>
              </w:rPr>
              <w:t>视为无效投标并移交相关部门处理。</w:t>
            </w:r>
          </w:p>
        </w:tc>
      </w:tr>
    </w:tbl>
    <w:p>
      <w:pPr>
        <w:spacing w:line="360" w:lineRule="auto"/>
        <w:rPr>
          <w:rFonts w:ascii="宋体" w:hAnsi="宋体" w:cs="仿宋_GB2312"/>
        </w:rPr>
        <w:sectPr>
          <w:footerReference r:id="rId11" w:type="first"/>
          <w:footerReference r:id="rId10" w:type="default"/>
          <w:footnotePr>
            <w:pos w:val="beneathText"/>
          </w:footnotePr>
          <w:pgSz w:w="11906" w:h="16838"/>
          <w:pgMar w:top="1440" w:right="1423" w:bottom="1219" w:left="1644" w:header="851" w:footer="992" w:gutter="0"/>
          <w:cols w:space="720" w:num="1"/>
          <w:titlePg/>
          <w:docGrid w:linePitch="312" w:charSpace="0"/>
        </w:sectPr>
      </w:pPr>
    </w:p>
    <w:p>
      <w:pPr>
        <w:pStyle w:val="3"/>
        <w:spacing w:line="360" w:lineRule="auto"/>
        <w:jc w:val="center"/>
        <w:rPr>
          <w:rFonts w:ascii="宋体" w:hAnsi="宋体" w:cs="仿宋_GB2312"/>
          <w:sz w:val="36"/>
        </w:rPr>
      </w:pPr>
      <w:bookmarkStart w:id="10" w:name="_Toc6772"/>
      <w:bookmarkStart w:id="11" w:name="_Toc3545"/>
      <w:bookmarkStart w:id="12" w:name="_Toc21828"/>
      <w:r>
        <w:rPr>
          <w:rFonts w:hint="eastAsia" w:ascii="宋体" w:hAnsi="宋体" w:cs="仿宋_GB2312"/>
          <w:sz w:val="36"/>
        </w:rPr>
        <w:t>第三部分  供应商须知</w:t>
      </w:r>
      <w:bookmarkEnd w:id="9"/>
      <w:bookmarkEnd w:id="10"/>
      <w:bookmarkEnd w:id="11"/>
      <w:bookmarkEnd w:id="12"/>
    </w:p>
    <w:p>
      <w:pPr>
        <w:pStyle w:val="4"/>
        <w:spacing w:before="0" w:after="0" w:line="360" w:lineRule="auto"/>
        <w:jc w:val="center"/>
        <w:rPr>
          <w:rFonts w:ascii="宋体" w:hAnsi="宋体" w:eastAsia="宋体" w:cs="仿宋_GB2312"/>
          <w:sz w:val="36"/>
        </w:rPr>
      </w:pPr>
      <w:bookmarkStart w:id="13" w:name="_Toc11084"/>
      <w:bookmarkStart w:id="14" w:name="_Toc21877"/>
      <w:bookmarkStart w:id="15" w:name="_Toc246928895"/>
      <w:bookmarkStart w:id="16" w:name="_Toc1260"/>
      <w:r>
        <w:rPr>
          <w:rFonts w:hint="eastAsia" w:ascii="宋体" w:hAnsi="宋体" w:eastAsia="宋体" w:cs="仿宋_GB2312"/>
          <w:sz w:val="36"/>
        </w:rPr>
        <w:t>A 总则</w:t>
      </w:r>
      <w:bookmarkEnd w:id="13"/>
      <w:bookmarkEnd w:id="14"/>
      <w:bookmarkEnd w:id="15"/>
      <w:bookmarkEnd w:id="16"/>
    </w:p>
    <w:p>
      <w:pPr>
        <w:pStyle w:val="5"/>
        <w:spacing w:beforeLines="50" w:afterLines="50" w:line="360" w:lineRule="auto"/>
        <w:rPr>
          <w:rFonts w:ascii="宋体" w:hAnsi="宋体" w:cs="仿宋_GB2312"/>
          <w:b w:val="0"/>
        </w:rPr>
      </w:pPr>
      <w:bookmarkStart w:id="17" w:name="_Toc27020"/>
      <w:bookmarkStart w:id="18" w:name="_Toc246928896"/>
      <w:bookmarkStart w:id="19" w:name="_Toc19222"/>
      <w:bookmarkStart w:id="20" w:name="_Toc15658"/>
      <w:r>
        <w:rPr>
          <w:rFonts w:hint="eastAsia" w:ascii="宋体" w:hAnsi="宋体" w:cs="仿宋_GB2312"/>
          <w:b w:val="0"/>
        </w:rPr>
        <w:t>1 适用范围</w:t>
      </w:r>
      <w:bookmarkEnd w:id="17"/>
      <w:bookmarkEnd w:id="18"/>
      <w:bookmarkEnd w:id="19"/>
      <w:bookmarkEnd w:id="20"/>
    </w:p>
    <w:p>
      <w:pPr>
        <w:spacing w:line="360" w:lineRule="auto"/>
        <w:rPr>
          <w:rFonts w:ascii="宋体" w:hAnsi="宋体" w:cs="仿宋_GB2312"/>
          <w:sz w:val="24"/>
        </w:rPr>
      </w:pPr>
      <w:r>
        <w:rPr>
          <w:rFonts w:hint="eastAsia" w:ascii="宋体" w:hAnsi="宋体" w:cs="仿宋_GB2312"/>
          <w:sz w:val="24"/>
        </w:rPr>
        <w:t>1.1本招标文件仅适用于本招标公告中所叙述项目的货物及</w:t>
      </w:r>
      <w:r>
        <w:rPr>
          <w:rFonts w:hint="eastAsia" w:ascii="宋体" w:hAnsi="宋体" w:cs="仿宋_GB2312"/>
          <w:sz w:val="24"/>
          <w:lang w:val="en-US" w:eastAsia="zh-CN"/>
        </w:rPr>
        <w:t>服务采购</w:t>
      </w:r>
      <w:r>
        <w:rPr>
          <w:rFonts w:hint="eastAsia" w:ascii="宋体" w:hAnsi="宋体" w:cs="仿宋_GB2312"/>
          <w:sz w:val="24"/>
        </w:rPr>
        <w:t>。</w:t>
      </w:r>
    </w:p>
    <w:p>
      <w:pPr>
        <w:spacing w:line="360" w:lineRule="auto"/>
        <w:rPr>
          <w:rFonts w:ascii="宋体" w:hAnsi="宋体" w:cs="仿宋_GB2312"/>
          <w:sz w:val="24"/>
        </w:rPr>
      </w:pPr>
      <w:r>
        <w:rPr>
          <w:rFonts w:hint="eastAsia" w:ascii="宋体" w:hAnsi="宋体" w:cs="仿宋_GB2312"/>
          <w:sz w:val="24"/>
        </w:rPr>
        <w:t>1.2本次采购属货物类政府采购，采购人，采购代理机构、供应商、评标委员会的相关行为均受《中华人民共和国政府采购法》、财政部规章及政府采购项目所在地有关法规、规章的约束，其权利受到上述法律法规的保护。</w:t>
      </w:r>
    </w:p>
    <w:p>
      <w:pPr>
        <w:pStyle w:val="5"/>
        <w:spacing w:beforeLines="50" w:afterLines="50" w:line="360" w:lineRule="auto"/>
        <w:rPr>
          <w:rFonts w:ascii="宋体" w:hAnsi="宋体" w:cs="仿宋_GB2312"/>
          <w:b w:val="0"/>
        </w:rPr>
      </w:pPr>
      <w:bookmarkStart w:id="21" w:name="_Toc25744"/>
      <w:bookmarkStart w:id="22" w:name="_Toc246928897"/>
      <w:bookmarkStart w:id="23" w:name="_Toc27986"/>
      <w:bookmarkStart w:id="24" w:name="_Toc2369"/>
      <w:r>
        <w:rPr>
          <w:rFonts w:hint="eastAsia" w:ascii="宋体" w:hAnsi="宋体" w:cs="仿宋_GB2312"/>
          <w:b w:val="0"/>
        </w:rPr>
        <w:t>2 定义</w:t>
      </w:r>
      <w:bookmarkEnd w:id="21"/>
      <w:bookmarkEnd w:id="22"/>
      <w:bookmarkEnd w:id="23"/>
      <w:bookmarkEnd w:id="24"/>
    </w:p>
    <w:p>
      <w:pPr>
        <w:spacing w:line="360" w:lineRule="auto"/>
        <w:rPr>
          <w:rFonts w:ascii="宋体" w:hAnsi="宋体" w:cs="仿宋_GB2312"/>
          <w:sz w:val="24"/>
        </w:rPr>
      </w:pPr>
      <w:r>
        <w:rPr>
          <w:rFonts w:hint="eastAsia" w:ascii="宋体" w:hAnsi="宋体" w:cs="仿宋_GB2312"/>
          <w:sz w:val="24"/>
        </w:rPr>
        <w:t>2.1 “采购人”系指铜川市生态环境局；</w:t>
      </w:r>
    </w:p>
    <w:p>
      <w:pPr>
        <w:spacing w:line="360" w:lineRule="auto"/>
        <w:ind w:firstLine="480" w:firstLineChars="200"/>
        <w:rPr>
          <w:rFonts w:ascii="宋体" w:hAnsi="宋体" w:cs="仿宋_GB2312"/>
          <w:sz w:val="24"/>
        </w:rPr>
      </w:pPr>
      <w:r>
        <w:rPr>
          <w:rFonts w:hint="eastAsia" w:ascii="宋体" w:hAnsi="宋体" w:cs="仿宋_GB2312"/>
          <w:sz w:val="24"/>
        </w:rPr>
        <w:t>“采购代理机构”系指陕西宸逸九科项目咨询管理有限公司。</w:t>
      </w:r>
    </w:p>
    <w:p>
      <w:pPr>
        <w:spacing w:line="360" w:lineRule="auto"/>
        <w:rPr>
          <w:rFonts w:ascii="宋体" w:hAnsi="宋体" w:cs="仿宋_GB2312"/>
          <w:sz w:val="24"/>
        </w:rPr>
      </w:pPr>
      <w:bookmarkStart w:id="25" w:name="_Toc26557"/>
      <w:bookmarkStart w:id="26" w:name="_Toc9289"/>
      <w:bookmarkStart w:id="27" w:name="_Toc246928898"/>
      <w:r>
        <w:rPr>
          <w:rFonts w:hint="eastAsia" w:ascii="宋体" w:hAnsi="宋体" w:cs="仿宋_GB2312"/>
          <w:sz w:val="24"/>
        </w:rPr>
        <w:t>2.2 “供应商”系指响应采购人要求提交投标文件的供应商。</w:t>
      </w:r>
    </w:p>
    <w:p>
      <w:pPr>
        <w:spacing w:line="360" w:lineRule="auto"/>
        <w:rPr>
          <w:rFonts w:ascii="宋体" w:hAnsi="宋体" w:cs="仿宋_GB2312"/>
          <w:sz w:val="24"/>
        </w:rPr>
      </w:pPr>
      <w:r>
        <w:rPr>
          <w:rFonts w:hint="eastAsia" w:ascii="宋体" w:hAnsi="宋体" w:cs="仿宋_GB2312"/>
          <w:sz w:val="24"/>
        </w:rPr>
        <w:t>2.3 “货物”系指招标文件规定供应商须承担的供货及服务以及其他类似的义务。</w:t>
      </w:r>
    </w:p>
    <w:p>
      <w:pPr>
        <w:spacing w:line="360" w:lineRule="auto"/>
        <w:rPr>
          <w:rFonts w:ascii="宋体" w:hAnsi="宋体"/>
          <w:sz w:val="24"/>
        </w:rPr>
      </w:pPr>
      <w:r>
        <w:rPr>
          <w:rFonts w:hint="eastAsia" w:ascii="宋体" w:hAnsi="宋体" w:cs="仿宋_GB2312"/>
          <w:sz w:val="24"/>
        </w:rPr>
        <w:t>2.4 “</w:t>
      </w:r>
      <w:r>
        <w:rPr>
          <w:rFonts w:hint="eastAsia" w:ascii="宋体" w:hAnsi="宋体"/>
          <w:sz w:val="24"/>
        </w:rPr>
        <w:t>服务”系指</w:t>
      </w:r>
      <w:r>
        <w:rPr>
          <w:rFonts w:hint="eastAsia" w:ascii="宋体" w:hAnsi="宋体" w:cs="仿宋_GB2312"/>
          <w:sz w:val="24"/>
        </w:rPr>
        <w:t>招标</w:t>
      </w:r>
      <w:r>
        <w:rPr>
          <w:rFonts w:hint="eastAsia" w:ascii="宋体" w:hAnsi="宋体"/>
          <w:sz w:val="24"/>
        </w:rPr>
        <w:t>文件规定供应商须承担的安装、测试、检验、技术支持、售后服务以及其他类似的义务。</w:t>
      </w:r>
    </w:p>
    <w:p>
      <w:pPr>
        <w:pStyle w:val="5"/>
        <w:spacing w:beforeLines="50" w:afterLines="50" w:line="360" w:lineRule="auto"/>
        <w:rPr>
          <w:rFonts w:ascii="宋体" w:hAnsi="宋体" w:cs="仿宋_GB2312"/>
          <w:b w:val="0"/>
        </w:rPr>
      </w:pPr>
      <w:bookmarkStart w:id="28" w:name="_Toc6347"/>
      <w:r>
        <w:rPr>
          <w:rFonts w:hint="eastAsia" w:ascii="宋体" w:hAnsi="宋体" w:cs="仿宋_GB2312"/>
          <w:b w:val="0"/>
        </w:rPr>
        <w:t>3 合格的供应商</w:t>
      </w:r>
      <w:bookmarkEnd w:id="25"/>
      <w:bookmarkEnd w:id="26"/>
      <w:bookmarkEnd w:id="27"/>
      <w:bookmarkEnd w:id="28"/>
    </w:p>
    <w:p>
      <w:pPr>
        <w:overflowPunct w:val="0"/>
        <w:adjustRightInd w:val="0"/>
        <w:snapToGrid w:val="0"/>
        <w:spacing w:line="360" w:lineRule="auto"/>
        <w:rPr>
          <w:rFonts w:ascii="宋体" w:hAnsi="宋体" w:cs="仿宋_GB2312"/>
          <w:sz w:val="24"/>
        </w:rPr>
      </w:pPr>
      <w:r>
        <w:rPr>
          <w:rFonts w:hint="eastAsia" w:ascii="宋体" w:hAnsi="宋体" w:cs="仿宋_GB2312"/>
          <w:sz w:val="24"/>
        </w:rPr>
        <w:t>3.1 凡符合供应商资格要求且有能力提供本项目采购内容的供应商均可参加采购活动。</w:t>
      </w:r>
    </w:p>
    <w:p>
      <w:pPr>
        <w:overflowPunct w:val="0"/>
        <w:adjustRightInd w:val="0"/>
        <w:snapToGrid w:val="0"/>
        <w:spacing w:line="360" w:lineRule="auto"/>
        <w:rPr>
          <w:rFonts w:ascii="宋体" w:hAnsi="宋体" w:cs="仿宋_GB2312"/>
          <w:sz w:val="24"/>
        </w:rPr>
      </w:pPr>
      <w:r>
        <w:rPr>
          <w:rFonts w:hint="eastAsia" w:ascii="宋体" w:hAnsi="宋体" w:cs="仿宋_GB2312"/>
          <w:sz w:val="24"/>
        </w:rPr>
        <w:t>3.2 供应商必须在招标公告载明的地点购买招标文件并登记备案，未经购买招标文件并登记备案的潜在供应商均无资格参加本次投标。</w:t>
      </w:r>
    </w:p>
    <w:p>
      <w:pPr>
        <w:overflowPunct w:val="0"/>
        <w:adjustRightInd w:val="0"/>
        <w:snapToGrid w:val="0"/>
        <w:spacing w:line="360" w:lineRule="auto"/>
        <w:rPr>
          <w:rFonts w:ascii="宋体" w:hAnsi="宋体" w:cs="仿宋_GB2312"/>
          <w:sz w:val="24"/>
        </w:rPr>
      </w:pPr>
      <w:r>
        <w:rPr>
          <w:rFonts w:hint="eastAsia" w:ascii="宋体" w:hAnsi="宋体" w:cs="仿宋_GB2312"/>
          <w:sz w:val="24"/>
        </w:rPr>
        <w:t>3.3 供应商应参照《中华人民共和国政府采购法》及其它有关的中国法律和法规。</w:t>
      </w:r>
    </w:p>
    <w:p>
      <w:pPr>
        <w:overflowPunct w:val="0"/>
        <w:adjustRightInd w:val="0"/>
        <w:snapToGrid w:val="0"/>
        <w:spacing w:line="360" w:lineRule="auto"/>
        <w:rPr>
          <w:rFonts w:ascii="宋体" w:hAnsi="宋体" w:cs="仿宋_GB2312"/>
          <w:sz w:val="24"/>
        </w:rPr>
      </w:pPr>
      <w:r>
        <w:rPr>
          <w:rFonts w:hint="eastAsia" w:ascii="宋体" w:hAnsi="宋体" w:cs="仿宋_GB2312"/>
          <w:sz w:val="24"/>
        </w:rPr>
        <w:t>3.4 只有在法律上和财务上独立，合法运作，并独立于采购代理机构和采购人的供应商才能参加本次投标。</w:t>
      </w:r>
    </w:p>
    <w:p>
      <w:pPr>
        <w:pStyle w:val="5"/>
        <w:spacing w:before="0" w:after="0" w:line="360" w:lineRule="auto"/>
        <w:rPr>
          <w:rFonts w:ascii="宋体" w:hAnsi="宋体" w:cs="仿宋_GB2312"/>
          <w:b w:val="0"/>
        </w:rPr>
      </w:pPr>
      <w:bookmarkStart w:id="29" w:name="_Toc23736"/>
      <w:bookmarkStart w:id="30" w:name="_Toc30856"/>
      <w:bookmarkStart w:id="31" w:name="_Toc18950"/>
      <w:bookmarkStart w:id="32" w:name="_Toc9093"/>
      <w:bookmarkStart w:id="33" w:name="_Toc392236616"/>
      <w:bookmarkStart w:id="34" w:name="_Toc386965827"/>
      <w:r>
        <w:rPr>
          <w:rFonts w:hint="eastAsia" w:ascii="宋体" w:hAnsi="宋体" w:cs="仿宋_GB2312"/>
          <w:b w:val="0"/>
        </w:rPr>
        <w:t>4</w:t>
      </w:r>
      <w:bookmarkStart w:id="35" w:name="_Toc311415574"/>
      <w:r>
        <w:rPr>
          <w:rFonts w:hint="eastAsia" w:ascii="宋体" w:hAnsi="宋体" w:cs="仿宋_GB2312"/>
          <w:b w:val="0"/>
        </w:rPr>
        <w:t>合格的服务</w:t>
      </w:r>
      <w:bookmarkEnd w:id="29"/>
      <w:bookmarkEnd w:id="30"/>
      <w:bookmarkEnd w:id="31"/>
      <w:bookmarkEnd w:id="32"/>
      <w:bookmarkEnd w:id="33"/>
      <w:bookmarkEnd w:id="34"/>
      <w:bookmarkEnd w:id="35"/>
    </w:p>
    <w:p>
      <w:pPr>
        <w:spacing w:line="360" w:lineRule="auto"/>
        <w:rPr>
          <w:rFonts w:ascii="宋体" w:hAnsi="宋体" w:cs="仿宋_GB2312"/>
        </w:rPr>
      </w:pPr>
      <w:bookmarkStart w:id="36" w:name="_Toc386965828"/>
      <w:bookmarkStart w:id="37" w:name="_Toc233435921"/>
      <w:r>
        <w:rPr>
          <w:rFonts w:hint="eastAsia" w:ascii="宋体" w:hAnsi="宋体" w:cs="仿宋_GB2312"/>
          <w:sz w:val="24"/>
        </w:rPr>
        <w:t>满足采购人需求并符合相关法律法规的规定。</w:t>
      </w:r>
      <w:r>
        <w:rPr>
          <w:rFonts w:hint="eastAsia" w:ascii="宋体" w:hAnsi="宋体" w:cs="宋体"/>
          <w:sz w:val="24"/>
        </w:rPr>
        <w:t>合同中提供的所有有关的服务，均应来自国家有关政府采购规定的服务的合格来源，本合同的支付也仅限于这些服务。</w:t>
      </w:r>
    </w:p>
    <w:p>
      <w:pPr>
        <w:pStyle w:val="5"/>
        <w:spacing w:before="0" w:after="0" w:line="360" w:lineRule="auto"/>
        <w:rPr>
          <w:rFonts w:ascii="宋体" w:hAnsi="宋体" w:cs="仿宋_GB2312"/>
          <w:b w:val="0"/>
        </w:rPr>
      </w:pPr>
      <w:bookmarkStart w:id="38" w:name="_Toc7025"/>
      <w:bookmarkStart w:id="39" w:name="_Toc12532"/>
      <w:bookmarkStart w:id="40" w:name="_Toc16334"/>
      <w:bookmarkStart w:id="41" w:name="_Toc19545"/>
      <w:bookmarkStart w:id="42" w:name="_Toc392236617"/>
      <w:r>
        <w:rPr>
          <w:rFonts w:hint="eastAsia" w:ascii="宋体" w:hAnsi="宋体" w:cs="仿宋_GB2312"/>
          <w:b w:val="0"/>
        </w:rPr>
        <w:t>5 费用</w:t>
      </w:r>
      <w:bookmarkEnd w:id="36"/>
      <w:bookmarkEnd w:id="37"/>
      <w:bookmarkEnd w:id="38"/>
      <w:bookmarkEnd w:id="39"/>
      <w:bookmarkEnd w:id="40"/>
      <w:bookmarkEnd w:id="41"/>
      <w:bookmarkEnd w:id="42"/>
    </w:p>
    <w:p>
      <w:pPr>
        <w:spacing w:line="360" w:lineRule="auto"/>
        <w:rPr>
          <w:rFonts w:ascii="宋体" w:hAnsi="宋体" w:cs="仿宋_GB2312"/>
          <w:sz w:val="24"/>
        </w:rPr>
      </w:pPr>
      <w:r>
        <w:rPr>
          <w:rFonts w:hint="eastAsia" w:ascii="宋体" w:hAnsi="宋体" w:cs="仿宋_GB2312"/>
          <w:sz w:val="24"/>
        </w:rPr>
        <w:t>供应商应承担所有与编写和提交投标文件有关的费用，无论投标过程中的做法和结果如何，采购人及采购代理机构在任何情况下均无义务和责任承担这些费用。</w:t>
      </w:r>
    </w:p>
    <w:p>
      <w:pPr>
        <w:pStyle w:val="4"/>
        <w:tabs>
          <w:tab w:val="left" w:pos="576"/>
        </w:tabs>
        <w:spacing w:before="0" w:after="0" w:line="360" w:lineRule="auto"/>
        <w:jc w:val="center"/>
        <w:rPr>
          <w:rFonts w:ascii="宋体" w:hAnsi="宋体" w:eastAsia="宋体" w:cs="仿宋_GB2312"/>
          <w:sz w:val="44"/>
        </w:rPr>
      </w:pPr>
      <w:bookmarkStart w:id="43" w:name="_Toc392236618"/>
      <w:bookmarkStart w:id="44" w:name="_Toc30310"/>
      <w:bookmarkStart w:id="45" w:name="_Toc23028"/>
      <w:bookmarkStart w:id="46" w:name="_Toc31883"/>
      <w:bookmarkStart w:id="47" w:name="_Toc233435922"/>
      <w:bookmarkStart w:id="48" w:name="_Toc386965829"/>
      <w:bookmarkStart w:id="49" w:name="_Toc11660"/>
      <w:r>
        <w:rPr>
          <w:rFonts w:hint="eastAsia" w:ascii="宋体" w:hAnsi="宋体" w:eastAsia="宋体" w:cs="仿宋_GB2312"/>
          <w:sz w:val="44"/>
        </w:rPr>
        <w:t>B 招标文件说明</w:t>
      </w:r>
      <w:bookmarkEnd w:id="43"/>
      <w:bookmarkEnd w:id="44"/>
      <w:bookmarkEnd w:id="45"/>
      <w:bookmarkEnd w:id="46"/>
      <w:bookmarkEnd w:id="47"/>
      <w:bookmarkEnd w:id="48"/>
      <w:bookmarkEnd w:id="49"/>
    </w:p>
    <w:p>
      <w:pPr>
        <w:pStyle w:val="5"/>
        <w:spacing w:before="0" w:after="0" w:line="360" w:lineRule="auto"/>
        <w:rPr>
          <w:rFonts w:ascii="宋体" w:hAnsi="宋体" w:cs="仿宋_GB2312"/>
          <w:b w:val="0"/>
        </w:rPr>
      </w:pPr>
      <w:bookmarkStart w:id="50" w:name="_Toc26978"/>
      <w:bookmarkStart w:id="51" w:name="_Toc233435923"/>
      <w:bookmarkStart w:id="52" w:name="_Toc22734"/>
      <w:bookmarkStart w:id="53" w:name="_Toc386965830"/>
      <w:bookmarkStart w:id="54" w:name="_Toc2632"/>
      <w:bookmarkStart w:id="55" w:name="_Toc7326"/>
      <w:bookmarkStart w:id="56" w:name="_Toc392236619"/>
      <w:r>
        <w:rPr>
          <w:rFonts w:hint="eastAsia" w:ascii="宋体" w:hAnsi="宋体" w:cs="仿宋_GB2312"/>
          <w:b w:val="0"/>
        </w:rPr>
        <w:t>6 招标文件的构成</w:t>
      </w:r>
      <w:bookmarkEnd w:id="50"/>
      <w:bookmarkEnd w:id="51"/>
      <w:bookmarkEnd w:id="52"/>
      <w:bookmarkEnd w:id="53"/>
      <w:bookmarkEnd w:id="54"/>
      <w:bookmarkEnd w:id="55"/>
      <w:bookmarkEnd w:id="56"/>
    </w:p>
    <w:p>
      <w:pPr>
        <w:spacing w:line="360" w:lineRule="auto"/>
        <w:rPr>
          <w:rFonts w:ascii="宋体" w:hAnsi="宋体" w:cs="仿宋_GB2312"/>
          <w:sz w:val="24"/>
        </w:rPr>
      </w:pPr>
      <w:r>
        <w:rPr>
          <w:rFonts w:hint="eastAsia" w:ascii="宋体" w:hAnsi="宋体" w:cs="仿宋_GB2312"/>
          <w:sz w:val="24"/>
        </w:rPr>
        <w:t>6.1  招标文件用以阐明所需提供的货物、招标、投标程序和合同条件。</w:t>
      </w:r>
      <w:r>
        <w:rPr>
          <w:rFonts w:hint="eastAsia" w:ascii="宋体" w:hAnsi="宋体"/>
          <w:sz w:val="24"/>
        </w:rPr>
        <w:t>招标文件由招标文件总目录所列内容组成。</w:t>
      </w:r>
    </w:p>
    <w:p>
      <w:pPr>
        <w:spacing w:line="360" w:lineRule="auto"/>
        <w:rPr>
          <w:rFonts w:ascii="宋体" w:hAnsi="宋体" w:cs="仿宋_GB2312"/>
          <w:sz w:val="24"/>
        </w:rPr>
      </w:pPr>
      <w:r>
        <w:rPr>
          <w:rFonts w:hint="eastAsia" w:ascii="宋体" w:hAnsi="宋体" w:cs="仿宋_GB2312"/>
          <w:sz w:val="24"/>
        </w:rPr>
        <w:t>6.2  供应商应认真阅读招标文件中所有的事项、格式条款和规范要求等。供应商没有对招标文件全面做出实质性响应是供应商的风险。评标委员会有权拒绝没有对招标文件要求做出实质性响应的投标。</w:t>
      </w:r>
    </w:p>
    <w:p>
      <w:pPr>
        <w:pStyle w:val="5"/>
        <w:spacing w:before="0" w:after="0" w:line="360" w:lineRule="auto"/>
        <w:rPr>
          <w:rFonts w:ascii="宋体" w:hAnsi="宋体" w:cs="仿宋_GB2312"/>
          <w:b w:val="0"/>
        </w:rPr>
      </w:pPr>
      <w:bookmarkStart w:id="57" w:name="_Toc386965831"/>
      <w:bookmarkStart w:id="58" w:name="_Toc25965"/>
      <w:bookmarkStart w:id="59" w:name="_Toc455"/>
      <w:bookmarkStart w:id="60" w:name="_Toc392236620"/>
      <w:bookmarkStart w:id="61" w:name="_Toc233435924"/>
      <w:bookmarkStart w:id="62" w:name="_Toc13977"/>
      <w:bookmarkStart w:id="63" w:name="_Toc15957"/>
      <w:bookmarkStart w:id="64" w:name="_Toc22085"/>
      <w:bookmarkStart w:id="65" w:name="_Toc16399"/>
      <w:bookmarkStart w:id="66" w:name="_Toc392236621"/>
      <w:bookmarkStart w:id="67" w:name="_Toc386965832"/>
      <w:bookmarkStart w:id="68" w:name="_Toc15094"/>
      <w:bookmarkStart w:id="69" w:name="_Toc233435925"/>
      <w:r>
        <w:rPr>
          <w:rFonts w:hint="eastAsia" w:ascii="宋体" w:hAnsi="宋体" w:cs="仿宋_GB2312"/>
          <w:b w:val="0"/>
        </w:rPr>
        <w:t>7 招标文件的澄清</w:t>
      </w:r>
      <w:bookmarkEnd w:id="57"/>
      <w:bookmarkEnd w:id="58"/>
      <w:bookmarkEnd w:id="59"/>
      <w:bookmarkEnd w:id="60"/>
      <w:bookmarkEnd w:id="61"/>
      <w:bookmarkEnd w:id="62"/>
      <w:bookmarkEnd w:id="63"/>
    </w:p>
    <w:p>
      <w:pPr>
        <w:spacing w:line="360" w:lineRule="auto"/>
        <w:rPr>
          <w:rFonts w:ascii="宋体" w:hAnsi="宋体" w:cs="仿宋_GB2312"/>
          <w:sz w:val="24"/>
        </w:rPr>
      </w:pPr>
      <w:r>
        <w:rPr>
          <w:rFonts w:hint="eastAsia" w:ascii="宋体" w:hAnsi="宋体" w:cs="仿宋_GB2312"/>
          <w:color w:val="000000" w:themeColor="text1"/>
          <w:sz w:val="24"/>
        </w:rPr>
        <w:t>任何要求对招标文件澄清的供应商，均应在投标文件截止时间十日前以书面形式通知采购代理机构。采购代理机构将自收到</w:t>
      </w:r>
      <w:r>
        <w:rPr>
          <w:rFonts w:hint="eastAsia" w:ascii="宋体" w:hAnsi="宋体" w:cs="仿宋_GB2312"/>
          <w:color w:val="000000" w:themeColor="text1"/>
          <w:sz w:val="24"/>
          <w:lang w:val="en-US" w:eastAsia="zh-CN"/>
        </w:rPr>
        <w:t>澄清</w:t>
      </w:r>
      <w:r>
        <w:rPr>
          <w:rFonts w:hint="eastAsia" w:ascii="宋体" w:hAnsi="宋体" w:cs="仿宋_GB2312"/>
          <w:color w:val="000000" w:themeColor="text1"/>
          <w:sz w:val="24"/>
        </w:rPr>
        <w:t>之日起</w:t>
      </w:r>
      <w:r>
        <w:rPr>
          <w:rFonts w:hint="eastAsia" w:ascii="宋体" w:hAnsi="宋体" w:cs="仿宋_GB2312"/>
          <w:color w:val="000000" w:themeColor="text1"/>
          <w:sz w:val="24"/>
          <w:lang w:val="en-US" w:eastAsia="zh-CN"/>
        </w:rPr>
        <w:t>三</w:t>
      </w:r>
      <w:r>
        <w:rPr>
          <w:rFonts w:hint="eastAsia" w:ascii="宋体" w:hAnsi="宋体" w:cs="仿宋_GB2312"/>
          <w:color w:val="000000" w:themeColor="text1"/>
          <w:sz w:val="24"/>
        </w:rPr>
        <w:t>日内作出答复，</w:t>
      </w:r>
      <w:r>
        <w:rPr>
          <w:rFonts w:hint="eastAsia" w:ascii="宋体" w:hAnsi="宋体" w:cs="仿宋_GB2312"/>
          <w:sz w:val="24"/>
        </w:rPr>
        <w:t>涉及变更或修正内容在政府采购发布媒体上发布更正公告，并以书面形式通知所有招标文件收受人，且作为招标文件的组成部分。</w:t>
      </w:r>
    </w:p>
    <w:p>
      <w:pPr>
        <w:pStyle w:val="5"/>
        <w:spacing w:before="0" w:after="0" w:line="360" w:lineRule="auto"/>
        <w:rPr>
          <w:rFonts w:ascii="宋体" w:hAnsi="宋体" w:cs="仿宋_GB2312"/>
          <w:b w:val="0"/>
        </w:rPr>
      </w:pPr>
      <w:bookmarkStart w:id="70" w:name="_Toc29696"/>
      <w:r>
        <w:rPr>
          <w:rFonts w:hint="eastAsia" w:ascii="宋体" w:hAnsi="宋体" w:cs="仿宋_GB2312"/>
          <w:b w:val="0"/>
        </w:rPr>
        <w:t>8 招标文件的修改</w:t>
      </w:r>
      <w:bookmarkEnd w:id="64"/>
      <w:bookmarkEnd w:id="65"/>
      <w:bookmarkEnd w:id="66"/>
      <w:bookmarkEnd w:id="67"/>
      <w:bookmarkEnd w:id="68"/>
      <w:bookmarkEnd w:id="69"/>
      <w:bookmarkEnd w:id="70"/>
    </w:p>
    <w:p>
      <w:pPr>
        <w:spacing w:line="360" w:lineRule="auto"/>
        <w:rPr>
          <w:rFonts w:ascii="宋体" w:hAnsi="宋体" w:cs="仿宋_GB2312"/>
          <w:color w:val="000000" w:themeColor="text1"/>
          <w:sz w:val="24"/>
        </w:rPr>
      </w:pPr>
      <w:r>
        <w:rPr>
          <w:rFonts w:hint="eastAsia" w:ascii="宋体" w:hAnsi="宋体" w:cs="仿宋_GB2312"/>
          <w:sz w:val="24"/>
        </w:rPr>
        <w:t>8.</w:t>
      </w:r>
      <w:r>
        <w:rPr>
          <w:rFonts w:hint="eastAsia" w:ascii="宋体" w:hAnsi="宋体" w:cs="仿宋_GB2312"/>
          <w:color w:val="000000" w:themeColor="text1"/>
          <w:sz w:val="24"/>
        </w:rPr>
        <w:t>1  在招标文件要求提交投标文件截止时间十五日前，不足十五日应延长至十五日，无论出于何种原因，采购人可主动地对已发出的招标文件进行必要的澄清或者修改。</w:t>
      </w:r>
    </w:p>
    <w:p>
      <w:pPr>
        <w:spacing w:line="360" w:lineRule="auto"/>
        <w:rPr>
          <w:rFonts w:ascii="宋体" w:hAnsi="宋体" w:cs="仿宋_GB2312"/>
          <w:sz w:val="24"/>
        </w:rPr>
      </w:pPr>
      <w:r>
        <w:rPr>
          <w:rFonts w:hint="eastAsia" w:ascii="宋体" w:hAnsi="宋体" w:cs="仿宋_GB2312"/>
          <w:sz w:val="24"/>
        </w:rPr>
        <w:t>8.2  招标文件的修改将以书面形式通知所有招标文件的收受人，供应商在收到该通知后应立即以传真的形式予以确认。</w:t>
      </w:r>
    </w:p>
    <w:p>
      <w:pPr>
        <w:spacing w:line="360" w:lineRule="auto"/>
        <w:rPr>
          <w:rFonts w:ascii="宋体" w:hAnsi="宋体" w:cs="仿宋_GB2312"/>
          <w:sz w:val="24"/>
        </w:rPr>
      </w:pPr>
      <w:r>
        <w:rPr>
          <w:rFonts w:hint="eastAsia" w:ascii="宋体" w:hAnsi="宋体" w:cs="仿宋_GB2312"/>
          <w:sz w:val="24"/>
        </w:rPr>
        <w:t>8.3  为使供应商在准备投标文件时，有充分的时间对招标文件的修改进行研究考虑，采购人可自行决定，酌情推迟投标截止日期，并以书面形式通知所有已购买招标文件的供应商。</w:t>
      </w:r>
    </w:p>
    <w:p>
      <w:pPr>
        <w:spacing w:line="360" w:lineRule="auto"/>
        <w:rPr>
          <w:rFonts w:ascii="宋体" w:hAnsi="宋体" w:cs="仿宋_GB2312"/>
          <w:sz w:val="24"/>
        </w:rPr>
      </w:pPr>
      <w:r>
        <w:rPr>
          <w:rFonts w:hint="eastAsia" w:ascii="宋体" w:hAnsi="宋体" w:cs="仿宋_GB2312"/>
          <w:sz w:val="24"/>
        </w:rPr>
        <w:t>8.4  招标文件的修改书将构成招标文件的一部分，对采购人和供应商都具有约束力。</w:t>
      </w:r>
    </w:p>
    <w:p>
      <w:pPr>
        <w:pStyle w:val="4"/>
        <w:tabs>
          <w:tab w:val="left" w:pos="576"/>
        </w:tabs>
        <w:spacing w:before="0" w:after="0" w:line="360" w:lineRule="auto"/>
        <w:jc w:val="center"/>
        <w:rPr>
          <w:rFonts w:ascii="宋体" w:hAnsi="宋体" w:eastAsia="宋体" w:cs="仿宋_GB2312"/>
          <w:sz w:val="44"/>
          <w:szCs w:val="44"/>
        </w:rPr>
      </w:pPr>
      <w:bookmarkStart w:id="71" w:name="_Toc233435926"/>
      <w:bookmarkStart w:id="72" w:name="_Toc32329"/>
      <w:bookmarkStart w:id="73" w:name="_Toc392236622"/>
      <w:bookmarkStart w:id="74" w:name="_Toc4214"/>
      <w:bookmarkStart w:id="75" w:name="_Toc15037"/>
      <w:bookmarkStart w:id="76" w:name="_Toc386965833"/>
      <w:bookmarkStart w:id="77" w:name="_Toc17244"/>
      <w:r>
        <w:rPr>
          <w:rFonts w:hint="eastAsia" w:ascii="宋体" w:hAnsi="宋体" w:eastAsia="宋体" w:cs="仿宋_GB2312"/>
          <w:sz w:val="44"/>
          <w:szCs w:val="44"/>
        </w:rPr>
        <w:t>C 投标文件的编写</w:t>
      </w:r>
      <w:bookmarkEnd w:id="71"/>
      <w:bookmarkEnd w:id="72"/>
      <w:bookmarkEnd w:id="73"/>
      <w:bookmarkEnd w:id="74"/>
      <w:bookmarkEnd w:id="75"/>
      <w:bookmarkEnd w:id="76"/>
      <w:bookmarkEnd w:id="77"/>
    </w:p>
    <w:p>
      <w:pPr>
        <w:pStyle w:val="5"/>
        <w:spacing w:before="0" w:after="0" w:line="360" w:lineRule="auto"/>
        <w:rPr>
          <w:rFonts w:ascii="宋体" w:hAnsi="宋体" w:cs="仿宋_GB2312"/>
          <w:b w:val="0"/>
        </w:rPr>
      </w:pPr>
      <w:bookmarkStart w:id="78" w:name="_Toc392236623"/>
      <w:bookmarkStart w:id="79" w:name="_Toc23961"/>
      <w:bookmarkStart w:id="80" w:name="_Toc18104"/>
      <w:bookmarkStart w:id="81" w:name="_Toc386965834"/>
      <w:bookmarkStart w:id="82" w:name="_Toc29182"/>
      <w:bookmarkStart w:id="83" w:name="_Toc18644"/>
      <w:bookmarkStart w:id="84" w:name="_Toc233435927"/>
      <w:r>
        <w:rPr>
          <w:rFonts w:hint="eastAsia" w:ascii="宋体" w:hAnsi="宋体" w:cs="仿宋_GB2312"/>
          <w:b w:val="0"/>
        </w:rPr>
        <w:t>9 投标文件编制的原则</w:t>
      </w:r>
      <w:bookmarkEnd w:id="78"/>
      <w:bookmarkEnd w:id="79"/>
      <w:bookmarkEnd w:id="80"/>
      <w:bookmarkEnd w:id="81"/>
      <w:bookmarkEnd w:id="82"/>
      <w:bookmarkEnd w:id="83"/>
    </w:p>
    <w:p>
      <w:pPr>
        <w:overflowPunct w:val="0"/>
        <w:adjustRightInd w:val="0"/>
        <w:snapToGrid w:val="0"/>
        <w:spacing w:line="360" w:lineRule="auto"/>
        <w:rPr>
          <w:rFonts w:ascii="宋体" w:hAnsi="宋体" w:cs="仿宋_GB2312"/>
          <w:sz w:val="24"/>
        </w:rPr>
      </w:pPr>
      <w:r>
        <w:rPr>
          <w:rFonts w:hint="eastAsia" w:ascii="宋体" w:hAnsi="宋体" w:cs="仿宋_GB2312"/>
          <w:sz w:val="24"/>
        </w:rPr>
        <w:t>9.1 供应商应在认真阅读招标文件所有内容的基础上，按照招标文件的要求编制完整的投标文件。招标文件中对投标文件格式有要求的，应按格式逐项填写内容，不准有空项；无相应内容可填的项应填写“无”、“没有相应指标”等明确的回答文字。投标文件中留有空项的，将被视为不完整响应的投标文件，其投标将有可能被拒绝。</w:t>
      </w:r>
    </w:p>
    <w:p>
      <w:pPr>
        <w:overflowPunct w:val="0"/>
        <w:adjustRightInd w:val="0"/>
        <w:snapToGrid w:val="0"/>
        <w:spacing w:line="360" w:lineRule="auto"/>
        <w:rPr>
          <w:rFonts w:ascii="宋体" w:hAnsi="宋体" w:cs="仿宋_GB2312"/>
          <w:sz w:val="24"/>
        </w:rPr>
      </w:pPr>
      <w:r>
        <w:rPr>
          <w:rFonts w:hint="eastAsia" w:ascii="宋体" w:hAnsi="宋体" w:cs="仿宋_GB2312"/>
          <w:sz w:val="24"/>
        </w:rPr>
        <w:t>9.2 供应商必须保证投标文件所提供的全部资料真实可靠，并接受对其中任何资料进一步审查的要求。</w:t>
      </w:r>
    </w:p>
    <w:p>
      <w:pPr>
        <w:spacing w:line="360" w:lineRule="auto"/>
        <w:rPr>
          <w:rFonts w:ascii="宋体" w:hAnsi="宋体" w:cs="仿宋_GB2312"/>
          <w:sz w:val="24"/>
        </w:rPr>
      </w:pPr>
      <w:r>
        <w:rPr>
          <w:rFonts w:hint="eastAsia" w:ascii="宋体" w:hAnsi="宋体" w:cs="仿宋_GB2312"/>
          <w:sz w:val="24"/>
        </w:rPr>
        <w:t>9.3 投标文件须对招标文件中的内容做出实质性和完整的响应，否则其投标将被拒绝。</w:t>
      </w:r>
    </w:p>
    <w:p>
      <w:pPr>
        <w:pStyle w:val="5"/>
        <w:spacing w:before="0" w:after="0" w:line="360" w:lineRule="auto"/>
        <w:rPr>
          <w:rFonts w:ascii="宋体" w:hAnsi="宋体" w:cs="仿宋_GB2312"/>
          <w:b w:val="0"/>
        </w:rPr>
      </w:pPr>
      <w:bookmarkStart w:id="85" w:name="_Toc4389"/>
      <w:bookmarkStart w:id="86" w:name="_Toc392236624"/>
      <w:bookmarkStart w:id="87" w:name="_Toc386965835"/>
      <w:bookmarkStart w:id="88" w:name="_Toc18760"/>
      <w:bookmarkStart w:id="89" w:name="_Toc31711"/>
      <w:bookmarkStart w:id="90" w:name="_Toc282"/>
      <w:r>
        <w:rPr>
          <w:rFonts w:hint="eastAsia" w:ascii="宋体" w:hAnsi="宋体" w:cs="仿宋_GB2312"/>
          <w:b w:val="0"/>
        </w:rPr>
        <w:t>10 投标文件语言</w:t>
      </w:r>
      <w:bookmarkEnd w:id="84"/>
      <w:bookmarkEnd w:id="85"/>
      <w:bookmarkEnd w:id="86"/>
      <w:bookmarkEnd w:id="87"/>
      <w:bookmarkEnd w:id="88"/>
      <w:bookmarkEnd w:id="89"/>
      <w:bookmarkEnd w:id="90"/>
    </w:p>
    <w:p>
      <w:pPr>
        <w:spacing w:line="360" w:lineRule="auto"/>
        <w:rPr>
          <w:rFonts w:ascii="宋体" w:hAnsi="宋体" w:cs="仿宋_GB2312"/>
          <w:sz w:val="24"/>
        </w:rPr>
      </w:pPr>
      <w:r>
        <w:rPr>
          <w:rFonts w:hint="eastAsia" w:ascii="宋体" w:hAnsi="宋体" w:cs="仿宋_GB2312"/>
          <w:sz w:val="24"/>
        </w:rPr>
        <w:t>由供应商编写的投标文件和往来信件应以中文书写。</w:t>
      </w:r>
    </w:p>
    <w:p>
      <w:pPr>
        <w:pStyle w:val="5"/>
        <w:spacing w:before="0" w:after="0" w:line="360" w:lineRule="auto"/>
        <w:rPr>
          <w:rFonts w:ascii="宋体" w:hAnsi="宋体" w:cs="仿宋_GB2312"/>
          <w:b w:val="0"/>
        </w:rPr>
      </w:pPr>
      <w:bookmarkStart w:id="91" w:name="_Toc6388"/>
      <w:bookmarkStart w:id="92" w:name="_Toc29832"/>
      <w:bookmarkStart w:id="93" w:name="_Toc9235"/>
      <w:bookmarkStart w:id="94" w:name="_Toc392236625"/>
      <w:bookmarkStart w:id="95" w:name="_Toc12695"/>
      <w:bookmarkStart w:id="96" w:name="_Toc233435928"/>
      <w:bookmarkStart w:id="97" w:name="_Toc386965836"/>
      <w:r>
        <w:rPr>
          <w:rFonts w:hint="eastAsia" w:ascii="宋体" w:hAnsi="宋体" w:cs="仿宋_GB2312"/>
          <w:b w:val="0"/>
        </w:rPr>
        <w:t>11 计量单位</w:t>
      </w:r>
      <w:bookmarkEnd w:id="91"/>
      <w:bookmarkEnd w:id="92"/>
      <w:bookmarkEnd w:id="93"/>
      <w:bookmarkEnd w:id="94"/>
      <w:bookmarkEnd w:id="95"/>
      <w:bookmarkEnd w:id="96"/>
      <w:bookmarkEnd w:id="97"/>
    </w:p>
    <w:p>
      <w:pPr>
        <w:spacing w:line="360" w:lineRule="auto"/>
        <w:rPr>
          <w:rFonts w:ascii="宋体" w:hAnsi="宋体" w:cs="仿宋_GB2312"/>
          <w:sz w:val="24"/>
        </w:rPr>
      </w:pPr>
      <w:r>
        <w:rPr>
          <w:rFonts w:hint="eastAsia" w:ascii="宋体" w:hAnsi="宋体" w:cs="仿宋_GB2312"/>
          <w:sz w:val="24"/>
        </w:rPr>
        <w:t>除在招标文件的技术规格中另有规定外，计量单位应使用中华人民共和国法定计量单位。</w:t>
      </w:r>
    </w:p>
    <w:p>
      <w:pPr>
        <w:pStyle w:val="5"/>
        <w:spacing w:before="0" w:after="0" w:line="360" w:lineRule="auto"/>
        <w:rPr>
          <w:rFonts w:ascii="宋体" w:hAnsi="宋体" w:cs="仿宋_GB2312"/>
          <w:b w:val="0"/>
        </w:rPr>
      </w:pPr>
      <w:bookmarkStart w:id="98" w:name="_Toc7088"/>
      <w:bookmarkStart w:id="99" w:name="_Toc386965837"/>
      <w:bookmarkStart w:id="100" w:name="_Toc27637"/>
      <w:bookmarkStart w:id="101" w:name="_Toc14538"/>
      <w:bookmarkStart w:id="102" w:name="_Toc23526"/>
      <w:bookmarkStart w:id="103" w:name="_Toc233435929"/>
      <w:bookmarkStart w:id="104" w:name="_Toc392236626"/>
      <w:r>
        <w:rPr>
          <w:rFonts w:hint="eastAsia" w:ascii="宋体" w:hAnsi="宋体" w:cs="仿宋_GB2312"/>
          <w:b w:val="0"/>
        </w:rPr>
        <w:t>12 投标文件的组成</w:t>
      </w:r>
      <w:bookmarkEnd w:id="98"/>
      <w:bookmarkEnd w:id="99"/>
      <w:bookmarkEnd w:id="100"/>
      <w:bookmarkEnd w:id="101"/>
      <w:bookmarkEnd w:id="102"/>
      <w:bookmarkEnd w:id="103"/>
      <w:bookmarkEnd w:id="104"/>
    </w:p>
    <w:p>
      <w:pPr>
        <w:overflowPunct w:val="0"/>
        <w:adjustRightInd w:val="0"/>
        <w:snapToGrid w:val="0"/>
        <w:spacing w:line="360" w:lineRule="auto"/>
        <w:rPr>
          <w:rFonts w:ascii="宋体" w:hAnsi="宋体" w:cs="仿宋_GB2312"/>
          <w:sz w:val="24"/>
        </w:rPr>
      </w:pPr>
      <w:r>
        <w:rPr>
          <w:rFonts w:hint="eastAsia" w:ascii="宋体" w:hAnsi="宋体" w:cs="仿宋_GB2312"/>
          <w:sz w:val="24"/>
        </w:rPr>
        <w:t>12.1</w:t>
      </w:r>
      <w:r>
        <w:rPr>
          <w:rFonts w:hint="eastAsia" w:ascii="宋体" w:hAnsi="宋体" w:cs="宋体"/>
          <w:sz w:val="24"/>
        </w:rPr>
        <w:t>采购人只接受供应商提供的唯一投标方案，不接受任何有选择的方案和报价（包括有条件的折扣）。供应商未按要求响应，提供了选择方案和（或）报价的，其投标将被拒绝。</w:t>
      </w:r>
    </w:p>
    <w:p>
      <w:pPr>
        <w:spacing w:line="360" w:lineRule="auto"/>
        <w:rPr>
          <w:rFonts w:ascii="宋体" w:hAnsi="宋体" w:cs="仿宋_GB2312"/>
          <w:sz w:val="24"/>
        </w:rPr>
      </w:pPr>
      <w:r>
        <w:rPr>
          <w:rFonts w:hint="eastAsia" w:ascii="宋体" w:hAnsi="宋体" w:cs="仿宋_GB2312"/>
          <w:sz w:val="24"/>
        </w:rPr>
        <w:t>12.2 供应商编写的投标文件应包括下列部分：</w:t>
      </w:r>
    </w:p>
    <w:p>
      <w:pPr>
        <w:spacing w:line="360" w:lineRule="auto"/>
        <w:rPr>
          <w:rFonts w:ascii="宋体" w:hAnsi="宋体" w:cs="仿宋_GB2312"/>
          <w:sz w:val="24"/>
        </w:rPr>
      </w:pPr>
      <w:r>
        <w:rPr>
          <w:rFonts w:hint="eastAsia" w:ascii="宋体" w:hAnsi="宋体" w:cs="仿宋_GB2312"/>
          <w:sz w:val="24"/>
        </w:rPr>
        <w:t>12.2.1投标函、开标一览表以及所有附件内容。</w:t>
      </w:r>
    </w:p>
    <w:p>
      <w:pPr>
        <w:spacing w:line="360" w:lineRule="auto"/>
        <w:rPr>
          <w:rFonts w:ascii="宋体" w:hAnsi="宋体" w:cs="仿宋_GB2312"/>
          <w:sz w:val="24"/>
        </w:rPr>
      </w:pPr>
      <w:r>
        <w:rPr>
          <w:rFonts w:hint="eastAsia" w:ascii="宋体" w:hAnsi="宋体" w:cs="仿宋_GB2312"/>
          <w:sz w:val="24"/>
        </w:rPr>
        <w:t>12.2.2按照供应商须知要求出具的供应商资格证明文件。</w:t>
      </w:r>
    </w:p>
    <w:p>
      <w:pPr>
        <w:spacing w:line="360" w:lineRule="auto"/>
        <w:rPr>
          <w:rFonts w:ascii="宋体" w:hAnsi="宋体" w:cs="仿宋_GB2312"/>
          <w:sz w:val="24"/>
        </w:rPr>
      </w:pPr>
      <w:r>
        <w:rPr>
          <w:rFonts w:hint="eastAsia" w:ascii="宋体" w:hAnsi="宋体" w:cs="仿宋_GB2312"/>
          <w:sz w:val="24"/>
        </w:rPr>
        <w:t>12.2.3按照供应商须知要求，供应商出具的证明材料符合招标文件规定的证明文件及其认为需加以说明的其他内容。</w:t>
      </w:r>
    </w:p>
    <w:p>
      <w:pPr>
        <w:spacing w:line="360" w:lineRule="auto"/>
        <w:rPr>
          <w:rFonts w:ascii="宋体" w:hAnsi="宋体" w:cs="仿宋_GB2312"/>
          <w:sz w:val="24"/>
        </w:rPr>
      </w:pPr>
      <w:r>
        <w:rPr>
          <w:rFonts w:hint="eastAsia" w:ascii="宋体" w:hAnsi="宋体" w:cs="仿宋_GB2312"/>
          <w:sz w:val="24"/>
        </w:rPr>
        <w:t>12.2.4招标文件要求供应商提供的其他内容。</w:t>
      </w:r>
    </w:p>
    <w:p>
      <w:pPr>
        <w:pStyle w:val="5"/>
        <w:spacing w:before="0" w:after="0" w:line="360" w:lineRule="auto"/>
        <w:rPr>
          <w:rFonts w:ascii="宋体" w:hAnsi="宋体" w:cs="仿宋_GB2312"/>
          <w:b w:val="0"/>
        </w:rPr>
      </w:pPr>
      <w:bookmarkStart w:id="105" w:name="_Toc392236627"/>
      <w:bookmarkStart w:id="106" w:name="_Toc20129"/>
      <w:bookmarkStart w:id="107" w:name="_Toc233435930"/>
      <w:bookmarkStart w:id="108" w:name="_Toc32337"/>
      <w:bookmarkStart w:id="109" w:name="_Toc19960"/>
      <w:bookmarkStart w:id="110" w:name="_Toc386965838"/>
      <w:bookmarkStart w:id="111" w:name="_Toc4760"/>
      <w:r>
        <w:rPr>
          <w:rFonts w:hint="eastAsia" w:ascii="宋体" w:hAnsi="宋体" w:cs="仿宋_GB2312"/>
          <w:b w:val="0"/>
        </w:rPr>
        <w:t>13 投标文件格式</w:t>
      </w:r>
      <w:bookmarkEnd w:id="105"/>
      <w:bookmarkEnd w:id="106"/>
      <w:bookmarkEnd w:id="107"/>
      <w:bookmarkEnd w:id="108"/>
      <w:bookmarkEnd w:id="109"/>
      <w:bookmarkEnd w:id="110"/>
      <w:bookmarkEnd w:id="111"/>
    </w:p>
    <w:p>
      <w:pPr>
        <w:spacing w:line="360" w:lineRule="auto"/>
        <w:rPr>
          <w:rFonts w:ascii="宋体" w:hAnsi="宋体" w:cs="仿宋_GB2312"/>
          <w:sz w:val="24"/>
        </w:rPr>
      </w:pPr>
      <w:r>
        <w:rPr>
          <w:rFonts w:hint="eastAsia" w:ascii="宋体" w:hAnsi="宋体" w:cs="仿宋_GB2312"/>
          <w:sz w:val="24"/>
        </w:rPr>
        <w:t>供应商应按招标文件中提供的投标文件格式填写“投标函”、“开标一览表”以及其他相关格式。</w:t>
      </w:r>
    </w:p>
    <w:p>
      <w:pPr>
        <w:pStyle w:val="5"/>
        <w:spacing w:before="0" w:after="0" w:line="360" w:lineRule="auto"/>
        <w:rPr>
          <w:rFonts w:ascii="宋体" w:hAnsi="宋体" w:cs="仿宋_GB2312"/>
          <w:b w:val="0"/>
        </w:rPr>
      </w:pPr>
      <w:bookmarkStart w:id="112" w:name="_Toc233435931"/>
      <w:bookmarkStart w:id="113" w:name="_Toc392236628"/>
      <w:bookmarkStart w:id="114" w:name="_Toc21201"/>
      <w:bookmarkStart w:id="115" w:name="_Toc26916"/>
      <w:bookmarkStart w:id="116" w:name="_Toc8452"/>
      <w:bookmarkStart w:id="117" w:name="_Toc28880"/>
      <w:bookmarkStart w:id="118" w:name="_Toc386965839"/>
      <w:r>
        <w:rPr>
          <w:rFonts w:hint="eastAsia" w:ascii="宋体" w:hAnsi="宋体" w:cs="仿宋_GB2312"/>
          <w:b w:val="0"/>
        </w:rPr>
        <w:t>14 投标</w:t>
      </w:r>
      <w:bookmarkEnd w:id="112"/>
      <w:r>
        <w:rPr>
          <w:rFonts w:hint="eastAsia" w:ascii="宋体" w:hAnsi="宋体" w:cs="仿宋_GB2312"/>
          <w:b w:val="0"/>
        </w:rPr>
        <w:t>报价</w:t>
      </w:r>
      <w:bookmarkEnd w:id="113"/>
      <w:bookmarkEnd w:id="114"/>
      <w:bookmarkEnd w:id="115"/>
      <w:bookmarkEnd w:id="116"/>
      <w:bookmarkEnd w:id="117"/>
      <w:bookmarkEnd w:id="118"/>
    </w:p>
    <w:p>
      <w:pPr>
        <w:snapToGrid w:val="0"/>
        <w:spacing w:line="360" w:lineRule="auto"/>
        <w:ind w:left="1"/>
        <w:rPr>
          <w:rFonts w:ascii="宋体" w:hAnsi="宋体" w:cs="宋体"/>
          <w:sz w:val="24"/>
        </w:rPr>
      </w:pPr>
      <w:bookmarkStart w:id="119" w:name="_Toc386965840"/>
      <w:bookmarkStart w:id="120" w:name="_Toc233435932"/>
      <w:r>
        <w:rPr>
          <w:rFonts w:hint="eastAsia" w:ascii="宋体" w:hAnsi="宋体" w:cs="仿宋_GB2312"/>
          <w:sz w:val="24"/>
        </w:rPr>
        <w:t>14.1</w:t>
      </w:r>
      <w:r>
        <w:rPr>
          <w:rFonts w:hint="eastAsia" w:ascii="宋体" w:hAnsi="宋体" w:cs="宋体"/>
          <w:sz w:val="24"/>
        </w:rPr>
        <w:t>供应商应对采购内容的所有要求按项目进行响应，不得将采购内容拆开。</w:t>
      </w:r>
    </w:p>
    <w:p>
      <w:pPr>
        <w:snapToGrid w:val="0"/>
        <w:spacing w:line="360" w:lineRule="auto"/>
        <w:ind w:left="1"/>
        <w:rPr>
          <w:rFonts w:hint="eastAsia" w:ascii="宋体" w:hAnsi="宋体" w:cs="宋体"/>
          <w:sz w:val="24"/>
          <w:lang w:val="en-US" w:eastAsia="zh-CN"/>
        </w:rPr>
      </w:pPr>
      <w:r>
        <w:rPr>
          <w:rFonts w:hint="eastAsia" w:ascii="宋体" w:hAnsi="宋体" w:cs="仿宋_GB2312"/>
          <w:sz w:val="24"/>
        </w:rPr>
        <w:t>14.2</w:t>
      </w:r>
      <w:r>
        <w:rPr>
          <w:rFonts w:hint="eastAsia" w:ascii="宋体" w:hAnsi="宋体" w:cs="宋体"/>
          <w:color w:val="auto"/>
          <w:sz w:val="24"/>
          <w:lang w:val="en-US" w:eastAsia="zh-CN"/>
        </w:rPr>
        <w:t>投标报价包含完成铜川市环境大气污染企业治污设施用电监管与治污设备管理系统建设项目的全部费</w:t>
      </w:r>
      <w:r>
        <w:rPr>
          <w:rFonts w:hint="eastAsia" w:ascii="宋体" w:hAnsi="宋体" w:cs="宋体"/>
          <w:sz w:val="24"/>
          <w:lang w:val="en-US" w:eastAsia="zh-CN"/>
        </w:rPr>
        <w:t>用（包括招标文件及合同明示和暗示的所有风险费用）。</w:t>
      </w:r>
    </w:p>
    <w:p>
      <w:pPr>
        <w:snapToGrid w:val="0"/>
        <w:spacing w:line="360" w:lineRule="auto"/>
        <w:ind w:left="1"/>
        <w:rPr>
          <w:rFonts w:ascii="宋体" w:hAnsi="宋体" w:cs="仿宋_GB2312"/>
          <w:sz w:val="24"/>
        </w:rPr>
      </w:pPr>
      <w:r>
        <w:rPr>
          <w:rFonts w:hint="eastAsia" w:ascii="宋体" w:hAnsi="宋体" w:cs="仿宋_GB2312"/>
          <w:sz w:val="24"/>
        </w:rPr>
        <w:t>14.3凡因供应商对招标文件阅读不深、理解不透、误解、疏漏，或因市场行情了解不清，造成的后果和风险由供应商自负。</w:t>
      </w:r>
    </w:p>
    <w:p>
      <w:pPr>
        <w:snapToGrid w:val="0"/>
        <w:spacing w:line="360" w:lineRule="auto"/>
        <w:ind w:left="1"/>
        <w:rPr>
          <w:rFonts w:ascii="宋体" w:hAnsi="宋体" w:cs="仿宋_GB2312"/>
          <w:sz w:val="24"/>
        </w:rPr>
      </w:pPr>
      <w:r>
        <w:rPr>
          <w:rFonts w:hint="eastAsia" w:ascii="宋体" w:hAnsi="宋体" w:cs="仿宋_GB2312"/>
          <w:sz w:val="24"/>
        </w:rPr>
        <w:t>14.4采购人只接受供应商提供的唯一报价。</w:t>
      </w:r>
    </w:p>
    <w:p>
      <w:pPr>
        <w:pStyle w:val="5"/>
        <w:spacing w:before="0" w:after="0" w:line="360" w:lineRule="auto"/>
        <w:rPr>
          <w:rFonts w:ascii="宋体" w:hAnsi="宋体" w:cs="仿宋_GB2312"/>
          <w:b w:val="0"/>
        </w:rPr>
      </w:pPr>
      <w:bookmarkStart w:id="121" w:name="_Toc1742"/>
      <w:bookmarkStart w:id="122" w:name="_Toc15749"/>
      <w:bookmarkStart w:id="123" w:name="_Toc31116"/>
      <w:bookmarkStart w:id="124" w:name="_Toc5538"/>
      <w:bookmarkStart w:id="125" w:name="_Toc392236629"/>
      <w:r>
        <w:rPr>
          <w:rFonts w:hint="eastAsia" w:ascii="宋体" w:hAnsi="宋体" w:cs="仿宋_GB2312"/>
          <w:b w:val="0"/>
        </w:rPr>
        <w:t>15 投标货币</w:t>
      </w:r>
      <w:bookmarkEnd w:id="119"/>
      <w:bookmarkEnd w:id="120"/>
      <w:bookmarkEnd w:id="121"/>
      <w:bookmarkEnd w:id="122"/>
      <w:bookmarkEnd w:id="123"/>
      <w:bookmarkEnd w:id="124"/>
      <w:bookmarkEnd w:id="125"/>
    </w:p>
    <w:p>
      <w:pPr>
        <w:spacing w:line="360" w:lineRule="auto"/>
        <w:rPr>
          <w:rFonts w:ascii="宋体" w:hAnsi="宋体" w:cs="仿宋_GB2312"/>
          <w:sz w:val="24"/>
        </w:rPr>
      </w:pPr>
      <w:r>
        <w:rPr>
          <w:rFonts w:hint="eastAsia" w:ascii="宋体" w:hAnsi="宋体" w:cs="仿宋_GB2312"/>
          <w:sz w:val="24"/>
        </w:rPr>
        <w:t>采购人只接受人民币作为唯一投标报价货币。</w:t>
      </w:r>
    </w:p>
    <w:p>
      <w:pPr>
        <w:pStyle w:val="5"/>
        <w:spacing w:before="0" w:after="0" w:line="360" w:lineRule="auto"/>
        <w:rPr>
          <w:rFonts w:hint="eastAsia" w:ascii="宋体" w:hAnsi="宋体" w:eastAsia="宋体" w:cs="仿宋_GB2312"/>
          <w:b/>
          <w:bCs/>
          <w:kern w:val="2"/>
          <w:sz w:val="24"/>
          <w:szCs w:val="22"/>
          <w:lang w:val="en-US" w:eastAsia="zh-CN" w:bidi="ar-SA"/>
        </w:rPr>
      </w:pPr>
      <w:bookmarkStart w:id="126" w:name="_Toc26590"/>
      <w:bookmarkStart w:id="127" w:name="_Toc13461"/>
      <w:bookmarkStart w:id="128" w:name="_Toc392236630"/>
      <w:bookmarkStart w:id="129" w:name="_Toc233435935"/>
      <w:bookmarkStart w:id="130" w:name="_Toc29036"/>
      <w:bookmarkStart w:id="131" w:name="_Toc386965843"/>
      <w:bookmarkStart w:id="132" w:name="_Toc23247"/>
      <w:r>
        <w:rPr>
          <w:rFonts w:hint="eastAsia" w:ascii="宋体" w:hAnsi="宋体" w:cs="仿宋_GB2312"/>
          <w:b w:val="0"/>
        </w:rPr>
        <w:t>16 投标保证金</w:t>
      </w:r>
      <w:bookmarkEnd w:id="126"/>
      <w:bookmarkEnd w:id="127"/>
      <w:bookmarkEnd w:id="128"/>
      <w:bookmarkEnd w:id="129"/>
      <w:bookmarkEnd w:id="130"/>
      <w:bookmarkEnd w:id="131"/>
      <w:r>
        <w:rPr>
          <w:rFonts w:hint="eastAsia" w:ascii="宋体" w:hAnsi="宋体" w:eastAsia="宋体" w:cs="仿宋_GB2312"/>
          <w:b/>
          <w:bCs/>
          <w:kern w:val="2"/>
          <w:sz w:val="24"/>
          <w:szCs w:val="22"/>
          <w:lang w:val="en-US" w:eastAsia="zh-CN" w:bidi="ar-SA"/>
        </w:rPr>
        <w:t>（本项目不提供投标保证金</w:t>
      </w:r>
      <w:r>
        <w:rPr>
          <w:rFonts w:hint="eastAsia" w:ascii="宋体" w:hAnsi="宋体" w:cs="仿宋_GB2312"/>
          <w:b/>
          <w:bCs/>
          <w:kern w:val="2"/>
          <w:sz w:val="24"/>
          <w:szCs w:val="22"/>
          <w:lang w:val="en-US" w:eastAsia="zh-CN" w:bidi="ar-SA"/>
        </w:rPr>
        <w:t>，采购文件中针对</w:t>
      </w:r>
      <w:r>
        <w:rPr>
          <w:rFonts w:hint="eastAsia" w:ascii="宋体" w:hAnsi="宋体" w:eastAsia="宋体" w:cs="仿宋_GB2312"/>
          <w:b/>
          <w:bCs/>
          <w:kern w:val="2"/>
          <w:sz w:val="24"/>
          <w:szCs w:val="22"/>
          <w:lang w:val="en-US" w:eastAsia="zh-CN" w:bidi="ar-SA"/>
        </w:rPr>
        <w:t>投标</w:t>
      </w:r>
      <w:r>
        <w:rPr>
          <w:rFonts w:hint="eastAsia" w:ascii="宋体" w:hAnsi="宋体" w:cs="仿宋_GB2312"/>
          <w:b/>
          <w:bCs/>
          <w:kern w:val="2"/>
          <w:sz w:val="24"/>
          <w:szCs w:val="22"/>
          <w:lang w:val="en-US" w:eastAsia="zh-CN" w:bidi="ar-SA"/>
        </w:rPr>
        <w:t>保证金的条款无效</w:t>
      </w:r>
      <w:r>
        <w:rPr>
          <w:rFonts w:hint="eastAsia" w:ascii="宋体" w:hAnsi="宋体" w:eastAsia="宋体" w:cs="仿宋_GB2312"/>
          <w:b/>
          <w:bCs/>
          <w:kern w:val="2"/>
          <w:sz w:val="24"/>
          <w:szCs w:val="22"/>
          <w:lang w:val="en-US" w:eastAsia="zh-CN" w:bidi="ar-SA"/>
        </w:rPr>
        <w:t>）</w:t>
      </w:r>
      <w:bookmarkEnd w:id="132"/>
    </w:p>
    <w:p>
      <w:pPr>
        <w:spacing w:line="360" w:lineRule="auto"/>
        <w:rPr>
          <w:rFonts w:hint="eastAsia" w:ascii="宋体" w:hAnsi="宋体" w:eastAsia="宋体" w:cs="仿宋_GB2312"/>
          <w:sz w:val="24"/>
          <w:lang w:eastAsia="zh-CN"/>
        </w:rPr>
      </w:pPr>
      <w:r>
        <w:rPr>
          <w:rFonts w:hint="eastAsia" w:ascii="宋体" w:hAnsi="宋体" w:cs="仿宋_GB2312"/>
          <w:sz w:val="24"/>
        </w:rPr>
        <w:t>16.1投标保证金按照供应商须知前附表的要求提交。</w:t>
      </w:r>
    </w:p>
    <w:p>
      <w:pPr>
        <w:spacing w:line="360" w:lineRule="auto"/>
        <w:rPr>
          <w:rFonts w:ascii="宋体" w:hAnsi="宋体" w:cs="仿宋_GB2312"/>
          <w:sz w:val="24"/>
        </w:rPr>
      </w:pPr>
      <w:r>
        <w:rPr>
          <w:rFonts w:hint="eastAsia" w:ascii="宋体" w:hAnsi="宋体" w:cs="仿宋_GB2312"/>
          <w:sz w:val="24"/>
        </w:rPr>
        <w:t>16.2 对于未能按要求提交投标保证金的供应商，将视为不响应招标文件而予以拒绝。</w:t>
      </w:r>
    </w:p>
    <w:p>
      <w:pPr>
        <w:spacing w:line="360" w:lineRule="auto"/>
        <w:rPr>
          <w:rFonts w:ascii="宋体" w:hAnsi="宋体" w:cs="仿宋_GB2312"/>
          <w:sz w:val="24"/>
        </w:rPr>
      </w:pPr>
      <w:r>
        <w:rPr>
          <w:rFonts w:hint="eastAsia" w:ascii="宋体" w:hAnsi="宋体" w:cs="仿宋_GB2312"/>
          <w:sz w:val="24"/>
        </w:rPr>
        <w:t>16.3投标保证金的退还：</w:t>
      </w:r>
    </w:p>
    <w:p>
      <w:pPr>
        <w:spacing w:line="360" w:lineRule="auto"/>
        <w:rPr>
          <w:rFonts w:ascii="宋体" w:hAnsi="宋体" w:cs="仿宋_GB2312"/>
          <w:sz w:val="24"/>
        </w:rPr>
      </w:pPr>
      <w:r>
        <w:rPr>
          <w:rFonts w:hint="eastAsia" w:ascii="宋体" w:hAnsi="宋体" w:cs="仿宋_GB2312"/>
          <w:sz w:val="24"/>
        </w:rPr>
        <w:t>16.3.1未中标的供应商的投标保证金将于中标通知书发出后5个工作日内无息退还。</w:t>
      </w:r>
    </w:p>
    <w:p>
      <w:pPr>
        <w:spacing w:line="360" w:lineRule="auto"/>
        <w:rPr>
          <w:rFonts w:ascii="宋体" w:hAnsi="宋体" w:cs="仿宋_GB2312"/>
          <w:sz w:val="24"/>
        </w:rPr>
      </w:pPr>
      <w:r>
        <w:rPr>
          <w:rFonts w:hint="eastAsia" w:ascii="宋体" w:hAnsi="宋体" w:cs="仿宋_GB2312"/>
          <w:sz w:val="24"/>
        </w:rPr>
        <w:t>16.3.2 中标单位的投标保证金，在中标单位与采购人签订合同后5个工作日内无息退还。</w:t>
      </w:r>
    </w:p>
    <w:p>
      <w:pPr>
        <w:spacing w:line="360" w:lineRule="auto"/>
        <w:rPr>
          <w:rFonts w:ascii="宋体" w:hAnsi="宋体" w:cs="仿宋_GB2312"/>
          <w:sz w:val="24"/>
        </w:rPr>
      </w:pPr>
      <w:r>
        <w:rPr>
          <w:rFonts w:hint="eastAsia" w:ascii="宋体" w:hAnsi="宋体" w:cs="仿宋_GB2312"/>
          <w:sz w:val="24"/>
        </w:rPr>
        <w:t>16.4 如发生下列情况之一时，投标保证金将被没收：</w:t>
      </w:r>
    </w:p>
    <w:p>
      <w:pPr>
        <w:spacing w:line="360" w:lineRule="auto"/>
        <w:rPr>
          <w:rFonts w:ascii="宋体" w:hAnsi="宋体" w:cs="仿宋_GB2312"/>
          <w:sz w:val="24"/>
        </w:rPr>
      </w:pPr>
      <w:r>
        <w:rPr>
          <w:rFonts w:hint="eastAsia" w:ascii="宋体" w:hAnsi="宋体" w:cs="仿宋_GB2312"/>
          <w:sz w:val="24"/>
        </w:rPr>
        <w:t>16.4.1</w:t>
      </w:r>
      <w:r>
        <w:rPr>
          <w:rFonts w:hint="eastAsia" w:ascii="宋体" w:hAnsi="宋体" w:cs="宋体"/>
          <w:sz w:val="24"/>
          <w:szCs w:val="24"/>
        </w:rPr>
        <w:t>供应商有违法违规行为给采购人造成损失的；</w:t>
      </w:r>
    </w:p>
    <w:p>
      <w:pPr>
        <w:spacing w:line="360" w:lineRule="auto"/>
        <w:rPr>
          <w:rFonts w:ascii="宋体" w:hAnsi="宋体" w:cs="仿宋_GB2312"/>
          <w:sz w:val="24"/>
        </w:rPr>
      </w:pPr>
      <w:r>
        <w:rPr>
          <w:rFonts w:hint="eastAsia" w:ascii="宋体" w:hAnsi="宋体" w:cs="仿宋_GB2312"/>
          <w:sz w:val="24"/>
        </w:rPr>
        <w:t>16.4.2</w:t>
      </w:r>
      <w:r>
        <w:rPr>
          <w:rFonts w:hint="eastAsia" w:ascii="宋体" w:hAnsi="宋体" w:cs="宋体"/>
          <w:sz w:val="24"/>
          <w:szCs w:val="24"/>
        </w:rPr>
        <w:t>供应商在响应文件中提供虚假材料的；</w:t>
      </w:r>
    </w:p>
    <w:p>
      <w:pPr>
        <w:spacing w:line="360" w:lineRule="auto"/>
        <w:rPr>
          <w:rFonts w:ascii="宋体" w:hAnsi="宋体" w:cs="仿宋_GB2312"/>
          <w:sz w:val="24"/>
        </w:rPr>
      </w:pPr>
      <w:r>
        <w:rPr>
          <w:rFonts w:hint="eastAsia" w:ascii="宋体" w:hAnsi="宋体" w:cs="仿宋_GB2312"/>
          <w:sz w:val="24"/>
        </w:rPr>
        <w:t>16.4.3</w:t>
      </w:r>
      <w:r>
        <w:rPr>
          <w:rFonts w:hint="eastAsia" w:ascii="宋体" w:hAnsi="宋体" w:cs="宋体"/>
          <w:sz w:val="24"/>
          <w:szCs w:val="24"/>
        </w:rPr>
        <w:t>供应商与采购人、其他供应商或者采购代理机构恶意串通的；</w:t>
      </w:r>
    </w:p>
    <w:p>
      <w:pPr>
        <w:spacing w:line="360" w:lineRule="auto"/>
        <w:rPr>
          <w:rFonts w:ascii="宋体" w:hAnsi="宋体" w:cs="宋体"/>
          <w:sz w:val="24"/>
          <w:szCs w:val="24"/>
        </w:rPr>
      </w:pPr>
      <w:r>
        <w:rPr>
          <w:rFonts w:hint="eastAsia" w:ascii="宋体" w:hAnsi="宋体" w:cs="仿宋_GB2312"/>
          <w:sz w:val="24"/>
        </w:rPr>
        <w:t>16.4.5</w:t>
      </w:r>
      <w:r>
        <w:rPr>
          <w:rFonts w:hint="eastAsia" w:ascii="宋体" w:hAnsi="宋体" w:cs="宋体"/>
          <w:sz w:val="24"/>
          <w:szCs w:val="24"/>
        </w:rPr>
        <w:t>除因不可抗力或磋商文件认可的情形以外，中标单位不与采购人签订合同的；</w:t>
      </w:r>
    </w:p>
    <w:p>
      <w:pPr>
        <w:spacing w:line="360" w:lineRule="auto"/>
        <w:rPr>
          <w:rFonts w:ascii="宋体" w:hAnsi="宋体" w:cs="仿宋_GB2312"/>
          <w:sz w:val="24"/>
        </w:rPr>
      </w:pPr>
      <w:r>
        <w:rPr>
          <w:rFonts w:hint="eastAsia" w:ascii="宋体" w:hAnsi="宋体" w:cs="仿宋_GB2312"/>
          <w:sz w:val="24"/>
        </w:rPr>
        <w:t>16.5 投标保证金用于保护采购人免受因供应商行为而蒙受的损失。</w:t>
      </w:r>
    </w:p>
    <w:p>
      <w:pPr>
        <w:pStyle w:val="5"/>
        <w:spacing w:before="0" w:after="0" w:line="360" w:lineRule="auto"/>
        <w:rPr>
          <w:rFonts w:ascii="宋体" w:hAnsi="宋体" w:cs="仿宋_GB2312"/>
          <w:b w:val="0"/>
        </w:rPr>
      </w:pPr>
      <w:bookmarkStart w:id="133" w:name="_Toc386965844"/>
      <w:bookmarkStart w:id="134" w:name="_Toc18375"/>
      <w:bookmarkStart w:id="135" w:name="_Toc392236631"/>
      <w:bookmarkStart w:id="136" w:name="_Toc9548"/>
      <w:bookmarkStart w:id="137" w:name="_Toc23040"/>
      <w:bookmarkStart w:id="138" w:name="_Toc233435936"/>
      <w:bookmarkStart w:id="139" w:name="_Toc24861"/>
      <w:r>
        <w:rPr>
          <w:rFonts w:hint="eastAsia" w:ascii="宋体" w:hAnsi="宋体" w:cs="仿宋_GB2312"/>
          <w:b w:val="0"/>
        </w:rPr>
        <w:t>17 投标有效期</w:t>
      </w:r>
      <w:bookmarkEnd w:id="133"/>
      <w:bookmarkEnd w:id="134"/>
      <w:bookmarkEnd w:id="135"/>
      <w:bookmarkEnd w:id="136"/>
      <w:bookmarkEnd w:id="137"/>
      <w:bookmarkEnd w:id="138"/>
      <w:bookmarkEnd w:id="139"/>
    </w:p>
    <w:p>
      <w:pPr>
        <w:spacing w:line="360" w:lineRule="auto"/>
        <w:rPr>
          <w:rFonts w:ascii="宋体" w:hAnsi="宋体" w:cs="仿宋_GB2312"/>
          <w:sz w:val="24"/>
          <w:u w:val="single"/>
        </w:rPr>
      </w:pPr>
      <w:r>
        <w:rPr>
          <w:rFonts w:hint="eastAsia" w:ascii="宋体" w:hAnsi="宋体" w:cs="仿宋_GB2312"/>
          <w:sz w:val="24"/>
        </w:rPr>
        <w:t>17.1  投标文件自开标之日起，投标有效期为90日历天。投标文件的有效期比本须知规定的有效期短的，将被视为非响应投标，采购人有权拒绝。</w:t>
      </w:r>
    </w:p>
    <w:p>
      <w:pPr>
        <w:spacing w:line="360" w:lineRule="auto"/>
        <w:rPr>
          <w:rFonts w:ascii="宋体" w:hAnsi="宋体" w:cs="仿宋_GB2312"/>
          <w:sz w:val="24"/>
        </w:rPr>
      </w:pPr>
      <w:r>
        <w:rPr>
          <w:rFonts w:hint="eastAsia" w:ascii="宋体" w:hAnsi="宋体" w:cs="仿宋_GB2312"/>
          <w:sz w:val="24"/>
        </w:rPr>
        <w:t>17.2  特殊情况下，采购人可于投标有效期满之前要求供应商延长有效期，要求与答复均应为书面形式。对于同意该要求的供应商，不要求也不允许其修改投标文件。</w:t>
      </w:r>
    </w:p>
    <w:p>
      <w:pPr>
        <w:pStyle w:val="5"/>
        <w:spacing w:before="0" w:after="0" w:line="360" w:lineRule="auto"/>
        <w:rPr>
          <w:rFonts w:ascii="宋体" w:hAnsi="宋体" w:cs="仿宋_GB2312"/>
          <w:b w:val="0"/>
        </w:rPr>
      </w:pPr>
      <w:bookmarkStart w:id="140" w:name="_Toc233435937"/>
      <w:bookmarkStart w:id="141" w:name="_Toc14575"/>
      <w:bookmarkStart w:id="142" w:name="_Toc386965845"/>
      <w:bookmarkStart w:id="143" w:name="_Toc6693"/>
      <w:bookmarkStart w:id="144" w:name="_Toc22570"/>
      <w:bookmarkStart w:id="145" w:name="_Toc392236632"/>
      <w:bookmarkStart w:id="146" w:name="_Toc27492"/>
      <w:r>
        <w:rPr>
          <w:rFonts w:hint="eastAsia" w:ascii="宋体" w:hAnsi="宋体" w:cs="仿宋_GB2312"/>
          <w:b w:val="0"/>
        </w:rPr>
        <w:t>18 投标文件的签署及格式</w:t>
      </w:r>
      <w:bookmarkEnd w:id="140"/>
      <w:bookmarkEnd w:id="141"/>
      <w:bookmarkEnd w:id="142"/>
      <w:bookmarkEnd w:id="143"/>
      <w:bookmarkEnd w:id="144"/>
      <w:bookmarkEnd w:id="145"/>
      <w:bookmarkEnd w:id="146"/>
    </w:p>
    <w:p>
      <w:pPr>
        <w:spacing w:line="360" w:lineRule="auto"/>
        <w:rPr>
          <w:rFonts w:ascii="宋体" w:hAnsi="宋体" w:cs="仿宋_GB2312"/>
          <w:sz w:val="24"/>
        </w:rPr>
      </w:pPr>
      <w:r>
        <w:rPr>
          <w:rFonts w:hint="eastAsia" w:ascii="宋体" w:hAnsi="宋体" w:cs="仿宋_GB2312"/>
          <w:sz w:val="24"/>
        </w:rPr>
        <w:t>18.1投标</w:t>
      </w:r>
      <w:r>
        <w:rPr>
          <w:rFonts w:hint="eastAsia" w:ascii="宋体" w:hAnsi="宋体" w:cs="宋体"/>
          <w:sz w:val="24"/>
        </w:rPr>
        <w:t>文件应打印或用不褪色的墨水书写，并由供应商的法定代表人或其委托代理人签字</w:t>
      </w:r>
      <w:r>
        <w:rPr>
          <w:rFonts w:hint="eastAsia" w:ascii="宋体" w:hAnsi="宋体" w:cs="宋体"/>
          <w:sz w:val="24"/>
          <w:lang w:val="en-US" w:eastAsia="zh-CN"/>
        </w:rPr>
        <w:t>并</w:t>
      </w:r>
      <w:r>
        <w:rPr>
          <w:rFonts w:hint="eastAsia" w:ascii="宋体" w:hAnsi="宋体" w:cs="宋体"/>
          <w:sz w:val="24"/>
        </w:rPr>
        <w:t>加盖单位公章。委托代理人签字的，</w:t>
      </w:r>
      <w:r>
        <w:rPr>
          <w:rFonts w:hint="eastAsia" w:ascii="宋体" w:hAnsi="宋体" w:cs="仿宋_GB2312"/>
          <w:sz w:val="24"/>
        </w:rPr>
        <w:t>投标</w:t>
      </w:r>
      <w:r>
        <w:rPr>
          <w:rFonts w:hint="eastAsia" w:ascii="宋体" w:hAnsi="宋体" w:cs="宋体"/>
          <w:sz w:val="24"/>
        </w:rPr>
        <w:t>文件应附法定代表人签署的授权委托书。</w:t>
      </w:r>
      <w:r>
        <w:rPr>
          <w:rFonts w:hint="eastAsia" w:ascii="宋体" w:hAnsi="宋体" w:cs="仿宋_GB2312"/>
          <w:sz w:val="24"/>
        </w:rPr>
        <w:t>投标</w:t>
      </w:r>
      <w:r>
        <w:rPr>
          <w:rFonts w:hint="eastAsia" w:ascii="宋体" w:hAnsi="宋体" w:cs="宋体"/>
          <w:sz w:val="24"/>
        </w:rPr>
        <w:t>文件应尽量避免涂改、行间插字或删除。如果出现上述情况，改动之处应加盖单位公章或由供应商的法定代表人或其授权的代理人签字确认。字迹潦草、表达不清、未按要求填写而导致非唯一理解，造成非实质性响应招标文件的</w:t>
      </w:r>
      <w:r>
        <w:rPr>
          <w:rFonts w:hint="eastAsia" w:ascii="宋体" w:hAnsi="宋体" w:cs="仿宋_GB2312"/>
          <w:sz w:val="24"/>
        </w:rPr>
        <w:t>投标</w:t>
      </w:r>
      <w:r>
        <w:rPr>
          <w:rFonts w:hint="eastAsia" w:ascii="宋体" w:hAnsi="宋体" w:cs="宋体"/>
          <w:sz w:val="24"/>
        </w:rPr>
        <w:t>文件将会被认定为无效投标。正本与副本不一致时以正本为准。</w:t>
      </w:r>
    </w:p>
    <w:p>
      <w:pPr>
        <w:spacing w:line="360" w:lineRule="auto"/>
        <w:rPr>
          <w:rFonts w:ascii="宋体" w:hAnsi="宋体" w:cs="仿宋_GB2312"/>
          <w:sz w:val="24"/>
        </w:rPr>
      </w:pPr>
      <w:r>
        <w:rPr>
          <w:rFonts w:hint="eastAsia" w:ascii="宋体" w:hAnsi="宋体" w:cs="仿宋_GB2312"/>
          <w:sz w:val="24"/>
        </w:rPr>
        <w:t>18.2除供应商对错处作必要修改外，投标文件中不许有加行、涂抹或改写。若有修改须由签署投标文件的</w:t>
      </w:r>
      <w:r>
        <w:rPr>
          <w:rFonts w:hint="eastAsia" w:ascii="宋体" w:hAnsi="宋体" w:cs="宋体"/>
          <w:sz w:val="24"/>
        </w:rPr>
        <w:t>授权代表</w:t>
      </w:r>
      <w:r>
        <w:rPr>
          <w:rFonts w:hint="eastAsia" w:ascii="宋体" w:hAnsi="宋体" w:cs="仿宋_GB2312"/>
          <w:sz w:val="24"/>
        </w:rPr>
        <w:t>在旁边签字才有效。</w:t>
      </w:r>
    </w:p>
    <w:p>
      <w:pPr>
        <w:pStyle w:val="4"/>
        <w:tabs>
          <w:tab w:val="left" w:pos="576"/>
        </w:tabs>
        <w:spacing w:before="0" w:after="0" w:line="360" w:lineRule="auto"/>
        <w:jc w:val="center"/>
        <w:rPr>
          <w:rFonts w:ascii="宋体" w:hAnsi="宋体" w:eastAsia="宋体" w:cs="仿宋_GB2312"/>
          <w:sz w:val="44"/>
          <w:szCs w:val="44"/>
        </w:rPr>
      </w:pPr>
      <w:bookmarkStart w:id="147" w:name="_Toc13486"/>
      <w:bookmarkStart w:id="148" w:name="_Toc3563"/>
      <w:bookmarkStart w:id="149" w:name="_Toc10117"/>
      <w:bookmarkStart w:id="150" w:name="_Toc233435938"/>
      <w:bookmarkStart w:id="151" w:name="_Toc23618"/>
      <w:bookmarkStart w:id="152" w:name="_Toc386965846"/>
      <w:bookmarkStart w:id="153" w:name="_Toc392236633"/>
      <w:r>
        <w:rPr>
          <w:rFonts w:hint="eastAsia" w:ascii="宋体" w:hAnsi="宋体" w:eastAsia="宋体" w:cs="仿宋_GB2312"/>
          <w:sz w:val="44"/>
          <w:szCs w:val="44"/>
        </w:rPr>
        <w:t>D 投标文件的递交</w:t>
      </w:r>
      <w:bookmarkEnd w:id="147"/>
      <w:bookmarkEnd w:id="148"/>
      <w:bookmarkEnd w:id="149"/>
      <w:bookmarkEnd w:id="150"/>
      <w:bookmarkEnd w:id="151"/>
      <w:bookmarkEnd w:id="152"/>
      <w:bookmarkEnd w:id="153"/>
    </w:p>
    <w:p>
      <w:pPr>
        <w:pStyle w:val="5"/>
        <w:spacing w:before="0" w:after="0" w:line="360" w:lineRule="auto"/>
        <w:rPr>
          <w:rFonts w:ascii="宋体" w:hAnsi="宋体" w:cs="仿宋_GB2312"/>
          <w:b w:val="0"/>
        </w:rPr>
      </w:pPr>
      <w:bookmarkStart w:id="154" w:name="_Toc392236634"/>
      <w:bookmarkStart w:id="155" w:name="_Toc14424"/>
      <w:bookmarkStart w:id="156" w:name="_Toc18243"/>
      <w:bookmarkStart w:id="157" w:name="_Toc386965847"/>
      <w:bookmarkStart w:id="158" w:name="_Toc26837"/>
      <w:bookmarkStart w:id="159" w:name="_Toc233435939"/>
      <w:bookmarkStart w:id="160" w:name="_Toc22386"/>
      <w:r>
        <w:rPr>
          <w:rFonts w:hint="eastAsia" w:ascii="宋体" w:hAnsi="宋体" w:cs="仿宋_GB2312"/>
          <w:b w:val="0"/>
        </w:rPr>
        <w:t>19 投标文件的数量、包装和标记</w:t>
      </w:r>
      <w:bookmarkEnd w:id="154"/>
      <w:bookmarkEnd w:id="155"/>
      <w:bookmarkEnd w:id="156"/>
      <w:bookmarkEnd w:id="157"/>
      <w:bookmarkEnd w:id="158"/>
      <w:bookmarkEnd w:id="159"/>
      <w:bookmarkEnd w:id="160"/>
    </w:p>
    <w:p>
      <w:pPr>
        <w:spacing w:line="360" w:lineRule="auto"/>
        <w:rPr>
          <w:rFonts w:ascii="宋体" w:hAnsi="宋体" w:cs="仿宋_GB2312"/>
          <w:sz w:val="24"/>
        </w:rPr>
      </w:pPr>
      <w:r>
        <w:rPr>
          <w:rFonts w:hint="eastAsia" w:ascii="宋体" w:hAnsi="宋体" w:cs="仿宋_GB2312"/>
          <w:sz w:val="24"/>
        </w:rPr>
        <w:t xml:space="preserve">19.1投标文件数量详见供应商须知前附表。    </w:t>
      </w:r>
    </w:p>
    <w:p>
      <w:pPr>
        <w:spacing w:line="360" w:lineRule="auto"/>
        <w:rPr>
          <w:rFonts w:ascii="宋体" w:hAnsi="宋体" w:cs="仿宋_GB2312"/>
          <w:sz w:val="24"/>
        </w:rPr>
      </w:pPr>
      <w:r>
        <w:rPr>
          <w:rFonts w:hint="eastAsia" w:ascii="宋体" w:hAnsi="宋体" w:cs="仿宋_GB2312"/>
          <w:sz w:val="24"/>
        </w:rPr>
        <w:t>19.2供应商应在投标文件密封文件袋封面加盖供应商公章以保证文件密封性完整。</w:t>
      </w:r>
    </w:p>
    <w:p>
      <w:pPr>
        <w:spacing w:line="360" w:lineRule="auto"/>
        <w:rPr>
          <w:rFonts w:ascii="宋体" w:hAnsi="宋体" w:cs="仿宋_GB2312"/>
          <w:sz w:val="24"/>
        </w:rPr>
      </w:pPr>
      <w:r>
        <w:rPr>
          <w:rFonts w:hint="eastAsia" w:ascii="宋体" w:hAnsi="宋体" w:cs="仿宋_GB2312"/>
          <w:sz w:val="24"/>
        </w:rPr>
        <w:t>19.3投标文件必须密封递交。对封装材料及样式不作特别规定，但供应商应当保证其封装的可靠性，不致因搬运、堆放等原因散开。</w:t>
      </w:r>
      <w:r>
        <w:rPr>
          <w:rFonts w:hint="eastAsia" w:ascii="宋体" w:hAnsi="宋体" w:cs="宋体"/>
          <w:sz w:val="24"/>
        </w:rPr>
        <w:t>供应商应当将投标文件正本以密封袋/箱单独密封，所有的副本以密封袋/箱单独密封，或者正、副本密封袋/箱放入一个密封包装箱里。</w:t>
      </w:r>
      <w:r>
        <w:rPr>
          <w:rFonts w:hint="eastAsia" w:ascii="宋体" w:hAnsi="宋体" w:cs="仿宋_GB2312"/>
          <w:sz w:val="24"/>
        </w:rPr>
        <w:t>所有密封袋/箱和投标文件封面须标明项目名称、项目编号、供应商名称及“正本”、“副本”等字样。</w:t>
      </w:r>
    </w:p>
    <w:p>
      <w:pPr>
        <w:spacing w:line="360" w:lineRule="auto"/>
        <w:rPr>
          <w:rFonts w:ascii="宋体" w:hAnsi="宋体" w:cs="仿宋_GB2312"/>
          <w:sz w:val="24"/>
        </w:rPr>
      </w:pPr>
      <w:r>
        <w:rPr>
          <w:rFonts w:hint="eastAsia" w:ascii="宋体" w:hAnsi="宋体" w:cs="仿宋_GB2312"/>
          <w:sz w:val="24"/>
        </w:rPr>
        <w:t>19.4如果未按上述规定进行密封和标记，采购人有权拒绝供应商的投标文件。</w:t>
      </w:r>
    </w:p>
    <w:p>
      <w:pPr>
        <w:pStyle w:val="5"/>
        <w:spacing w:before="0" w:after="0" w:line="360" w:lineRule="auto"/>
        <w:rPr>
          <w:rFonts w:ascii="宋体" w:hAnsi="宋体" w:cs="仿宋_GB2312"/>
          <w:b w:val="0"/>
        </w:rPr>
      </w:pPr>
      <w:bookmarkStart w:id="161" w:name="_Toc11659"/>
      <w:bookmarkStart w:id="162" w:name="_Toc233435940"/>
      <w:bookmarkStart w:id="163" w:name="_Toc18422"/>
      <w:bookmarkStart w:id="164" w:name="_Toc31397"/>
      <w:bookmarkStart w:id="165" w:name="_Toc392236635"/>
      <w:bookmarkStart w:id="166" w:name="_Toc23296"/>
      <w:bookmarkStart w:id="167" w:name="_Toc386965848"/>
      <w:r>
        <w:rPr>
          <w:rFonts w:hint="eastAsia" w:ascii="宋体" w:hAnsi="宋体" w:cs="仿宋_GB2312"/>
          <w:b w:val="0"/>
        </w:rPr>
        <w:t>20 投标截止时间</w:t>
      </w:r>
      <w:bookmarkEnd w:id="161"/>
      <w:bookmarkEnd w:id="162"/>
      <w:bookmarkEnd w:id="163"/>
      <w:bookmarkEnd w:id="164"/>
      <w:bookmarkEnd w:id="165"/>
      <w:bookmarkEnd w:id="166"/>
      <w:bookmarkEnd w:id="167"/>
    </w:p>
    <w:p>
      <w:pPr>
        <w:spacing w:line="360" w:lineRule="auto"/>
        <w:rPr>
          <w:rFonts w:ascii="宋体" w:hAnsi="宋体" w:cs="仿宋_GB2312"/>
          <w:sz w:val="24"/>
        </w:rPr>
      </w:pPr>
      <w:r>
        <w:rPr>
          <w:rFonts w:hint="eastAsia" w:ascii="宋体" w:hAnsi="宋体" w:cs="仿宋_GB2312"/>
          <w:sz w:val="24"/>
        </w:rPr>
        <w:t>20.1 所有投标文件都必须按文件中规定的投标文件递交截止时间前送达。</w:t>
      </w:r>
    </w:p>
    <w:p>
      <w:pPr>
        <w:spacing w:line="360" w:lineRule="auto"/>
        <w:rPr>
          <w:rFonts w:ascii="宋体" w:hAnsi="宋体" w:cs="仿宋_GB2312"/>
          <w:sz w:val="24"/>
        </w:rPr>
      </w:pPr>
      <w:r>
        <w:rPr>
          <w:rFonts w:hint="eastAsia" w:ascii="宋体" w:hAnsi="宋体" w:cs="仿宋_GB2312"/>
          <w:sz w:val="24"/>
        </w:rPr>
        <w:t>20.2 出现因招标文件的修改推迟投标截止日期时，则按修改通知规定的时间递交。</w:t>
      </w:r>
    </w:p>
    <w:p>
      <w:pPr>
        <w:spacing w:line="360" w:lineRule="auto"/>
        <w:rPr>
          <w:rFonts w:ascii="宋体" w:hAnsi="宋体" w:cs="仿宋_GB2312"/>
          <w:sz w:val="24"/>
        </w:rPr>
      </w:pPr>
      <w:r>
        <w:rPr>
          <w:rFonts w:hint="eastAsia" w:ascii="宋体" w:hAnsi="宋体" w:cs="仿宋_GB2312"/>
          <w:sz w:val="24"/>
        </w:rPr>
        <w:t>20.3 在投标文件递交截止时间之后递交的投标文件将被拒绝接收。</w:t>
      </w:r>
    </w:p>
    <w:p>
      <w:pPr>
        <w:spacing w:line="360" w:lineRule="auto"/>
        <w:rPr>
          <w:rFonts w:ascii="宋体" w:hAnsi="宋体" w:cs="仿宋_GB2312"/>
          <w:sz w:val="24"/>
        </w:rPr>
      </w:pPr>
      <w:r>
        <w:rPr>
          <w:rFonts w:hint="eastAsia" w:ascii="宋体" w:hAnsi="宋体" w:cs="仿宋_GB2312"/>
          <w:sz w:val="24"/>
        </w:rPr>
        <w:t>20.4 拒绝接受以电报、电话、传真、电子邮件形式的投标。</w:t>
      </w:r>
    </w:p>
    <w:p>
      <w:pPr>
        <w:pStyle w:val="5"/>
        <w:spacing w:before="0" w:after="0" w:line="360" w:lineRule="auto"/>
        <w:rPr>
          <w:rFonts w:ascii="宋体" w:hAnsi="宋体" w:cs="仿宋_GB2312"/>
          <w:b w:val="0"/>
        </w:rPr>
      </w:pPr>
      <w:bookmarkStart w:id="168" w:name="_Toc13250"/>
      <w:bookmarkStart w:id="169" w:name="_Toc386965849"/>
      <w:bookmarkStart w:id="170" w:name="_Toc11730"/>
      <w:bookmarkStart w:id="171" w:name="_Toc392236636"/>
      <w:bookmarkStart w:id="172" w:name="_Toc3340"/>
      <w:bookmarkStart w:id="173" w:name="_Toc7515"/>
      <w:r>
        <w:rPr>
          <w:rFonts w:hint="eastAsia" w:ascii="宋体" w:hAnsi="宋体" w:cs="仿宋_GB2312"/>
          <w:b w:val="0"/>
        </w:rPr>
        <w:t>21 投标文件的修改与撤回</w:t>
      </w:r>
      <w:bookmarkEnd w:id="168"/>
      <w:bookmarkEnd w:id="169"/>
      <w:bookmarkEnd w:id="170"/>
      <w:bookmarkEnd w:id="171"/>
      <w:bookmarkEnd w:id="172"/>
      <w:bookmarkEnd w:id="173"/>
    </w:p>
    <w:p>
      <w:pPr>
        <w:overflowPunct w:val="0"/>
        <w:adjustRightInd w:val="0"/>
        <w:snapToGrid w:val="0"/>
        <w:spacing w:line="360" w:lineRule="auto"/>
        <w:rPr>
          <w:rFonts w:ascii="宋体" w:hAnsi="宋体" w:cs="仿宋_GB2312"/>
          <w:sz w:val="24"/>
        </w:rPr>
      </w:pPr>
      <w:r>
        <w:rPr>
          <w:rFonts w:hint="eastAsia" w:ascii="宋体" w:hAnsi="宋体" w:cs="仿宋_GB2312"/>
          <w:sz w:val="24"/>
        </w:rPr>
        <w:t>21.1 供应商在递交投标文件后，在投标截止时间前，可以修改或撤回其投标，并以书面形式通知代理机构。</w:t>
      </w:r>
    </w:p>
    <w:p>
      <w:pPr>
        <w:overflowPunct w:val="0"/>
        <w:adjustRightInd w:val="0"/>
        <w:snapToGrid w:val="0"/>
        <w:spacing w:line="360" w:lineRule="auto"/>
        <w:rPr>
          <w:rFonts w:ascii="宋体" w:hAnsi="宋体" w:cs="仿宋_GB2312"/>
          <w:sz w:val="24"/>
        </w:rPr>
      </w:pPr>
      <w:r>
        <w:rPr>
          <w:rFonts w:hint="eastAsia" w:ascii="宋体" w:hAnsi="宋体" w:cs="仿宋_GB2312"/>
          <w:sz w:val="24"/>
        </w:rPr>
        <w:t>21.2 供应商的修改或撤回通知应按规定密封、标记和递交。其送达时间不得迟于投标截止时间。</w:t>
      </w:r>
    </w:p>
    <w:p>
      <w:pPr>
        <w:overflowPunct w:val="0"/>
        <w:adjustRightInd w:val="0"/>
        <w:snapToGrid w:val="0"/>
        <w:spacing w:line="360" w:lineRule="auto"/>
        <w:rPr>
          <w:rFonts w:ascii="宋体" w:hAnsi="宋体" w:cs="仿宋_GB2312"/>
          <w:sz w:val="24"/>
        </w:rPr>
      </w:pPr>
      <w:r>
        <w:rPr>
          <w:rFonts w:hint="eastAsia" w:ascii="宋体" w:hAnsi="宋体" w:cs="仿宋_GB2312"/>
          <w:sz w:val="24"/>
        </w:rPr>
        <w:t>21.3 在投标截止时间之后，供应商不得对其投标做任何修改。</w:t>
      </w:r>
    </w:p>
    <w:p>
      <w:pPr>
        <w:pStyle w:val="4"/>
        <w:tabs>
          <w:tab w:val="left" w:pos="576"/>
        </w:tabs>
        <w:spacing w:before="0" w:after="0" w:line="360" w:lineRule="auto"/>
        <w:jc w:val="center"/>
        <w:rPr>
          <w:rFonts w:ascii="宋体" w:hAnsi="宋体" w:eastAsia="宋体" w:cs="仿宋_GB2312"/>
          <w:sz w:val="44"/>
          <w:szCs w:val="44"/>
        </w:rPr>
      </w:pPr>
      <w:bookmarkStart w:id="174" w:name="_Toc233435941"/>
      <w:bookmarkStart w:id="175" w:name="_Toc14836"/>
      <w:bookmarkStart w:id="176" w:name="_Toc19000"/>
      <w:bookmarkStart w:id="177" w:name="_Toc29445"/>
      <w:bookmarkStart w:id="178" w:name="_Toc19557"/>
      <w:bookmarkStart w:id="179" w:name="_Toc386965850"/>
      <w:bookmarkStart w:id="180" w:name="_Toc392236637"/>
      <w:r>
        <w:rPr>
          <w:rFonts w:hint="eastAsia" w:ascii="宋体" w:hAnsi="宋体" w:eastAsia="宋体" w:cs="仿宋_GB2312"/>
          <w:sz w:val="44"/>
          <w:szCs w:val="44"/>
        </w:rPr>
        <w:t>E 开标和</w:t>
      </w:r>
      <w:bookmarkEnd w:id="174"/>
      <w:r>
        <w:rPr>
          <w:rFonts w:hint="eastAsia" w:ascii="宋体" w:hAnsi="宋体" w:eastAsia="宋体" w:cs="仿宋_GB2312"/>
          <w:sz w:val="44"/>
          <w:szCs w:val="44"/>
        </w:rPr>
        <w:t>评标</w:t>
      </w:r>
      <w:bookmarkEnd w:id="175"/>
      <w:bookmarkEnd w:id="176"/>
      <w:bookmarkEnd w:id="177"/>
      <w:bookmarkEnd w:id="178"/>
      <w:bookmarkEnd w:id="179"/>
      <w:bookmarkEnd w:id="180"/>
    </w:p>
    <w:p>
      <w:pPr>
        <w:pStyle w:val="5"/>
        <w:spacing w:before="0" w:after="0" w:line="360" w:lineRule="auto"/>
        <w:rPr>
          <w:rFonts w:ascii="宋体" w:hAnsi="宋体" w:cs="仿宋_GB2312"/>
          <w:b w:val="0"/>
        </w:rPr>
      </w:pPr>
      <w:bookmarkStart w:id="181" w:name="_Toc15314"/>
      <w:bookmarkStart w:id="182" w:name="_Toc386965851"/>
      <w:bookmarkStart w:id="183" w:name="_Toc392236638"/>
      <w:bookmarkStart w:id="184" w:name="_Toc28825"/>
      <w:bookmarkStart w:id="185" w:name="_Toc20614"/>
      <w:bookmarkStart w:id="186" w:name="_Toc19324"/>
      <w:bookmarkStart w:id="187" w:name="_Toc233435942"/>
      <w:r>
        <w:rPr>
          <w:rFonts w:hint="eastAsia" w:ascii="宋体" w:hAnsi="宋体" w:cs="仿宋_GB2312"/>
          <w:b w:val="0"/>
        </w:rPr>
        <w:t>22 开标</w:t>
      </w:r>
      <w:bookmarkEnd w:id="181"/>
      <w:bookmarkEnd w:id="182"/>
      <w:bookmarkEnd w:id="183"/>
      <w:bookmarkEnd w:id="184"/>
      <w:bookmarkEnd w:id="185"/>
      <w:bookmarkEnd w:id="186"/>
      <w:bookmarkEnd w:id="187"/>
    </w:p>
    <w:p>
      <w:pPr>
        <w:overflowPunct w:val="0"/>
        <w:adjustRightInd w:val="0"/>
        <w:snapToGrid w:val="0"/>
        <w:spacing w:line="360" w:lineRule="auto"/>
        <w:rPr>
          <w:rFonts w:ascii="宋体" w:hAnsi="宋体" w:cs="仿宋_GB2312"/>
          <w:sz w:val="24"/>
        </w:rPr>
      </w:pPr>
      <w:r>
        <w:rPr>
          <w:rFonts w:hint="eastAsia" w:ascii="宋体" w:hAnsi="宋体" w:cs="仿宋_GB2312"/>
          <w:sz w:val="24"/>
        </w:rPr>
        <w:t>22.1 采购代理机构按招标公告中规定的时间和地点接受供应商递交的投标文件。供应商根据文件要求派代表签到，并参加开标。如果未按前述规定签到、参加开标会议，视为对会议内容无异议。</w:t>
      </w:r>
    </w:p>
    <w:p>
      <w:pPr>
        <w:overflowPunct w:val="0"/>
        <w:adjustRightInd w:val="0"/>
        <w:snapToGrid w:val="0"/>
        <w:spacing w:line="360" w:lineRule="auto"/>
        <w:rPr>
          <w:rFonts w:ascii="宋体" w:hAnsi="宋体" w:cs="仿宋_GB2312"/>
          <w:sz w:val="24"/>
        </w:rPr>
      </w:pPr>
      <w:r>
        <w:rPr>
          <w:rFonts w:hint="eastAsia" w:ascii="宋体" w:hAnsi="宋体" w:cs="仿宋_GB2312"/>
          <w:sz w:val="24"/>
        </w:rPr>
        <w:t>22.2 开标现场由供应商和监标人共同查验各供应商投标文件密封情况并签字认可。</w:t>
      </w:r>
    </w:p>
    <w:p>
      <w:pPr>
        <w:overflowPunct w:val="0"/>
        <w:adjustRightInd w:val="0"/>
        <w:snapToGrid w:val="0"/>
        <w:spacing w:line="360" w:lineRule="auto"/>
        <w:rPr>
          <w:rFonts w:ascii="宋体" w:hAnsi="宋体" w:cs="仿宋_GB2312"/>
          <w:sz w:val="24"/>
        </w:rPr>
      </w:pPr>
      <w:r>
        <w:rPr>
          <w:rFonts w:hint="eastAsia" w:ascii="宋体" w:hAnsi="宋体" w:cs="仿宋_GB2312"/>
          <w:sz w:val="24"/>
        </w:rPr>
        <w:t>22.3采购代理机构当众拆封，宣读开标一览表的内容。</w:t>
      </w:r>
    </w:p>
    <w:p>
      <w:pPr>
        <w:overflowPunct w:val="0"/>
        <w:adjustRightInd w:val="0"/>
        <w:snapToGrid w:val="0"/>
        <w:spacing w:line="360" w:lineRule="auto"/>
        <w:rPr>
          <w:rFonts w:ascii="宋体" w:hAnsi="宋体" w:cs="仿宋_GB2312"/>
          <w:sz w:val="24"/>
        </w:rPr>
      </w:pPr>
      <w:r>
        <w:rPr>
          <w:rFonts w:hint="eastAsia" w:ascii="宋体" w:hAnsi="宋体" w:cs="仿宋_GB2312"/>
          <w:sz w:val="24"/>
        </w:rPr>
        <w:t>22.4在开标时没有启封的投标文件（包括按照供应商须知递交的修改书），在评标时将不予考虑。提交了可接受的“撤回”的投标文件将不予开封并退回给供应商。</w:t>
      </w:r>
    </w:p>
    <w:p>
      <w:pPr>
        <w:overflowPunct w:val="0"/>
        <w:adjustRightInd w:val="0"/>
        <w:snapToGrid w:val="0"/>
        <w:spacing w:line="360" w:lineRule="auto"/>
        <w:rPr>
          <w:rFonts w:ascii="宋体" w:hAnsi="宋体" w:cs="宋体"/>
          <w:sz w:val="24"/>
        </w:rPr>
      </w:pPr>
      <w:r>
        <w:rPr>
          <w:rFonts w:hint="eastAsia" w:ascii="宋体" w:hAnsi="宋体" w:cs="宋体"/>
          <w:sz w:val="24"/>
        </w:rPr>
        <w:t>22.5采购代理机构将做开标记录，参会供应商法定代表人或其授权的代表应在开标记录上签字确认。</w:t>
      </w:r>
    </w:p>
    <w:p>
      <w:pPr>
        <w:overflowPunct w:val="0"/>
        <w:adjustRightInd w:val="0"/>
        <w:snapToGrid w:val="0"/>
        <w:spacing w:line="360" w:lineRule="auto"/>
        <w:rPr>
          <w:rFonts w:ascii="宋体" w:hAnsi="宋体" w:cs="宋体"/>
          <w:sz w:val="24"/>
        </w:rPr>
      </w:pPr>
      <w:r>
        <w:rPr>
          <w:rFonts w:hint="eastAsia" w:ascii="宋体" w:hAnsi="宋体" w:cs="宋体"/>
          <w:sz w:val="24"/>
        </w:rPr>
        <w:t>22.6开标程序</w:t>
      </w:r>
    </w:p>
    <w:p>
      <w:pPr>
        <w:overflowPunct w:val="0"/>
        <w:adjustRightInd w:val="0"/>
        <w:snapToGrid w:val="0"/>
        <w:spacing w:line="360" w:lineRule="auto"/>
        <w:rPr>
          <w:rFonts w:ascii="宋体" w:hAnsi="宋体" w:cs="宋体"/>
          <w:sz w:val="24"/>
        </w:rPr>
      </w:pPr>
      <w:r>
        <w:rPr>
          <w:rFonts w:hint="eastAsia" w:ascii="宋体" w:hAnsi="宋体" w:cs="宋体"/>
          <w:sz w:val="24"/>
        </w:rPr>
        <w:t>22.6.1介绍与会各方人员；</w:t>
      </w:r>
    </w:p>
    <w:p>
      <w:pPr>
        <w:overflowPunct w:val="0"/>
        <w:adjustRightInd w:val="0"/>
        <w:snapToGrid w:val="0"/>
        <w:spacing w:line="360" w:lineRule="auto"/>
        <w:rPr>
          <w:rFonts w:ascii="宋体" w:hAnsi="宋体" w:cs="宋体"/>
          <w:sz w:val="24"/>
        </w:rPr>
      </w:pPr>
      <w:r>
        <w:rPr>
          <w:rFonts w:hint="eastAsia" w:ascii="宋体" w:hAnsi="宋体" w:cs="宋体"/>
          <w:sz w:val="24"/>
        </w:rPr>
        <w:t>22.6.2介绍供应商；</w:t>
      </w:r>
    </w:p>
    <w:p>
      <w:pPr>
        <w:overflowPunct w:val="0"/>
        <w:adjustRightInd w:val="0"/>
        <w:snapToGrid w:val="0"/>
        <w:spacing w:line="360" w:lineRule="auto"/>
        <w:rPr>
          <w:rFonts w:ascii="宋体" w:hAnsi="宋体" w:cs="宋体"/>
          <w:sz w:val="24"/>
        </w:rPr>
      </w:pPr>
      <w:r>
        <w:rPr>
          <w:rFonts w:hint="eastAsia" w:ascii="宋体" w:hAnsi="宋体" w:cs="宋体"/>
          <w:sz w:val="24"/>
        </w:rPr>
        <w:t>22.6.3宣布开标会议纪律；</w:t>
      </w:r>
    </w:p>
    <w:p>
      <w:pPr>
        <w:overflowPunct w:val="0"/>
        <w:adjustRightInd w:val="0"/>
        <w:snapToGrid w:val="0"/>
        <w:spacing w:line="360" w:lineRule="auto"/>
        <w:rPr>
          <w:rFonts w:ascii="宋体" w:hAnsi="宋体" w:cs="宋体"/>
          <w:sz w:val="24"/>
        </w:rPr>
      </w:pPr>
      <w:r>
        <w:rPr>
          <w:rFonts w:hint="eastAsia" w:ascii="宋体" w:hAnsi="宋体" w:cs="宋体"/>
          <w:sz w:val="24"/>
        </w:rPr>
        <w:t>22.6.4签署拒绝商业贿赂承诺书；</w:t>
      </w:r>
    </w:p>
    <w:p>
      <w:pPr>
        <w:overflowPunct w:val="0"/>
        <w:adjustRightInd w:val="0"/>
        <w:snapToGrid w:val="0"/>
        <w:spacing w:line="360" w:lineRule="auto"/>
        <w:rPr>
          <w:rFonts w:ascii="宋体" w:hAnsi="宋体" w:cs="宋体"/>
          <w:sz w:val="24"/>
        </w:rPr>
      </w:pPr>
      <w:r>
        <w:rPr>
          <w:rFonts w:hint="eastAsia" w:ascii="宋体" w:hAnsi="宋体" w:cs="宋体"/>
          <w:sz w:val="24"/>
        </w:rPr>
        <w:t>22.6.5由供应商法定代表人或其授权的代表、监标人检查投标文件的密封情况，并对密封情况确认；</w:t>
      </w:r>
    </w:p>
    <w:p>
      <w:pPr>
        <w:overflowPunct w:val="0"/>
        <w:adjustRightInd w:val="0"/>
        <w:snapToGrid w:val="0"/>
        <w:spacing w:line="360" w:lineRule="auto"/>
        <w:rPr>
          <w:rFonts w:ascii="宋体" w:hAnsi="宋体" w:cs="宋体"/>
          <w:sz w:val="24"/>
        </w:rPr>
      </w:pPr>
      <w:r>
        <w:rPr>
          <w:rFonts w:hint="eastAsia" w:ascii="宋体" w:hAnsi="宋体" w:cs="宋体"/>
          <w:sz w:val="24"/>
        </w:rPr>
        <w:t>22.6.6开启投标文件并宣读报价一览表；</w:t>
      </w:r>
    </w:p>
    <w:p>
      <w:pPr>
        <w:overflowPunct w:val="0"/>
        <w:adjustRightInd w:val="0"/>
        <w:snapToGrid w:val="0"/>
        <w:spacing w:line="360" w:lineRule="auto"/>
        <w:rPr>
          <w:rFonts w:ascii="宋体" w:hAnsi="宋体" w:cs="宋体"/>
          <w:sz w:val="24"/>
        </w:rPr>
      </w:pPr>
      <w:r>
        <w:rPr>
          <w:rFonts w:hint="eastAsia" w:ascii="宋体" w:hAnsi="宋体" w:cs="宋体"/>
          <w:sz w:val="24"/>
        </w:rPr>
        <w:t>22.6.7评审；</w:t>
      </w:r>
    </w:p>
    <w:p>
      <w:pPr>
        <w:overflowPunct w:val="0"/>
        <w:adjustRightInd w:val="0"/>
        <w:snapToGrid w:val="0"/>
        <w:spacing w:line="360" w:lineRule="auto"/>
        <w:rPr>
          <w:rFonts w:ascii="宋体" w:hAnsi="宋体" w:cs="宋体"/>
          <w:sz w:val="24"/>
        </w:rPr>
      </w:pPr>
      <w:r>
        <w:rPr>
          <w:rFonts w:hint="eastAsia" w:ascii="宋体" w:hAnsi="宋体" w:cs="宋体"/>
          <w:sz w:val="24"/>
        </w:rPr>
        <w:t>22.6.8会议结束。</w:t>
      </w:r>
    </w:p>
    <w:p>
      <w:pPr>
        <w:pStyle w:val="5"/>
        <w:spacing w:before="0" w:after="0" w:line="360" w:lineRule="auto"/>
        <w:rPr>
          <w:rFonts w:ascii="宋体" w:hAnsi="宋体" w:cs="仿宋_GB2312"/>
          <w:b w:val="0"/>
        </w:rPr>
      </w:pPr>
      <w:bookmarkStart w:id="188" w:name="_Toc233435943"/>
      <w:bookmarkStart w:id="189" w:name="_Toc15653"/>
      <w:bookmarkStart w:id="190" w:name="_Toc16123"/>
      <w:bookmarkStart w:id="191" w:name="_Toc386965852"/>
      <w:bookmarkStart w:id="192" w:name="_Toc17025"/>
      <w:bookmarkStart w:id="193" w:name="_Toc10840"/>
      <w:bookmarkStart w:id="194" w:name="_Toc392236639"/>
      <w:r>
        <w:rPr>
          <w:rFonts w:hint="eastAsia" w:ascii="宋体" w:hAnsi="宋体" w:cs="仿宋_GB2312"/>
          <w:b w:val="0"/>
        </w:rPr>
        <w:t xml:space="preserve">23 </w:t>
      </w:r>
      <w:bookmarkEnd w:id="188"/>
      <w:r>
        <w:rPr>
          <w:rFonts w:hint="eastAsia" w:ascii="宋体" w:hAnsi="宋体" w:cs="仿宋_GB2312"/>
          <w:b w:val="0"/>
        </w:rPr>
        <w:t>评标委员会</w:t>
      </w:r>
      <w:bookmarkEnd w:id="189"/>
      <w:bookmarkEnd w:id="190"/>
      <w:bookmarkEnd w:id="191"/>
      <w:bookmarkEnd w:id="192"/>
      <w:bookmarkEnd w:id="193"/>
      <w:bookmarkEnd w:id="194"/>
    </w:p>
    <w:p>
      <w:pPr>
        <w:overflowPunct w:val="0"/>
        <w:adjustRightInd w:val="0"/>
        <w:snapToGrid w:val="0"/>
        <w:spacing w:line="360" w:lineRule="auto"/>
        <w:rPr>
          <w:rFonts w:ascii="宋体" w:hAnsi="宋体" w:cs="仿宋_GB2312"/>
          <w:sz w:val="24"/>
        </w:rPr>
      </w:pPr>
      <w:bookmarkStart w:id="195" w:name="_Toc392236640"/>
      <w:bookmarkStart w:id="196" w:name="_Toc27824"/>
      <w:bookmarkStart w:id="197" w:name="_Toc233435944"/>
      <w:bookmarkStart w:id="198" w:name="_Toc386965853"/>
      <w:r>
        <w:rPr>
          <w:rFonts w:hint="eastAsia" w:ascii="宋体" w:hAnsi="宋体" w:cs="仿宋_GB2312"/>
          <w:sz w:val="24"/>
        </w:rPr>
        <w:t>23.1采购人将根据本次招标项目的特点，参照《中华人民共和国政府采购法》等有关规定组建评标委员会。</w:t>
      </w:r>
    </w:p>
    <w:p>
      <w:pPr>
        <w:overflowPunct w:val="0"/>
        <w:adjustRightInd w:val="0"/>
        <w:snapToGrid w:val="0"/>
        <w:spacing w:line="360" w:lineRule="auto"/>
        <w:rPr>
          <w:rFonts w:ascii="宋体" w:hAnsi="宋体" w:cs="仿宋_GB2312"/>
          <w:sz w:val="24"/>
        </w:rPr>
      </w:pPr>
      <w:r>
        <w:rPr>
          <w:rFonts w:hint="eastAsia" w:ascii="宋体" w:hAnsi="宋体" w:cs="仿宋_GB2312"/>
          <w:sz w:val="24"/>
        </w:rPr>
        <w:t>23.2评标委员会成员由采购人及有关技术、经济等方面的专家组成，</w:t>
      </w:r>
      <w:r>
        <w:rPr>
          <w:rFonts w:hint="eastAsia" w:ascii="宋体" w:hAnsi="宋体" w:cs="宋体"/>
          <w:sz w:val="24"/>
        </w:rPr>
        <w:t>其中技术、经济类专家人数不少于总人数的2/3。</w:t>
      </w:r>
    </w:p>
    <w:p>
      <w:pPr>
        <w:overflowPunct w:val="0"/>
        <w:adjustRightInd w:val="0"/>
        <w:snapToGrid w:val="0"/>
        <w:spacing w:line="360" w:lineRule="auto"/>
        <w:rPr>
          <w:rFonts w:ascii="宋体" w:hAnsi="宋体" w:cs="仿宋_GB2312"/>
          <w:sz w:val="24"/>
        </w:rPr>
      </w:pPr>
      <w:r>
        <w:rPr>
          <w:rFonts w:hint="eastAsia" w:ascii="宋体" w:hAnsi="宋体" w:cs="仿宋_GB2312"/>
          <w:sz w:val="24"/>
        </w:rPr>
        <w:t>23.3 评标委员会成员对各供应商投标文件进行审查、质疑、评估和比较，并推荐出中标候选人。</w:t>
      </w:r>
    </w:p>
    <w:p>
      <w:pPr>
        <w:pStyle w:val="5"/>
        <w:spacing w:before="0" w:after="0" w:line="360" w:lineRule="auto"/>
        <w:rPr>
          <w:rFonts w:ascii="宋体" w:hAnsi="宋体" w:cs="仿宋_GB2312"/>
          <w:b w:val="0"/>
        </w:rPr>
      </w:pPr>
      <w:bookmarkStart w:id="199" w:name="_Toc26737"/>
      <w:bookmarkStart w:id="200" w:name="_Toc12944"/>
      <w:bookmarkStart w:id="201" w:name="_Toc23662"/>
      <w:r>
        <w:rPr>
          <w:rFonts w:hint="eastAsia" w:ascii="宋体" w:hAnsi="宋体" w:cs="仿宋_GB2312"/>
          <w:b w:val="0"/>
        </w:rPr>
        <w:t>24 投标文件的初审</w:t>
      </w:r>
      <w:bookmarkEnd w:id="195"/>
      <w:bookmarkEnd w:id="196"/>
      <w:bookmarkEnd w:id="197"/>
      <w:bookmarkEnd w:id="198"/>
      <w:bookmarkEnd w:id="199"/>
      <w:bookmarkEnd w:id="200"/>
      <w:bookmarkEnd w:id="201"/>
    </w:p>
    <w:p>
      <w:pPr>
        <w:overflowPunct w:val="0"/>
        <w:adjustRightInd w:val="0"/>
        <w:snapToGrid w:val="0"/>
        <w:spacing w:line="360" w:lineRule="auto"/>
        <w:rPr>
          <w:rFonts w:ascii="宋体" w:hAnsi="宋体" w:cs="仿宋_GB2312"/>
          <w:sz w:val="24"/>
        </w:rPr>
      </w:pPr>
      <w:r>
        <w:rPr>
          <w:rFonts w:hint="eastAsia" w:ascii="宋体" w:hAnsi="宋体" w:cs="仿宋_GB2312"/>
          <w:sz w:val="24"/>
        </w:rPr>
        <w:t>24.1投标文件资格性审查：公开招标采购项目开标结束后，采购人或采购代理机构依据招标文件的规定对供应商的资格进行审查。合格供应商不足3家的，不得评标。</w:t>
      </w:r>
    </w:p>
    <w:p>
      <w:pPr>
        <w:overflowPunct w:val="0"/>
        <w:adjustRightInd w:val="0"/>
        <w:snapToGrid w:val="0"/>
        <w:spacing w:line="360" w:lineRule="auto"/>
        <w:rPr>
          <w:rFonts w:ascii="宋体" w:hAnsi="宋体" w:cs="仿宋_GB2312"/>
          <w:sz w:val="24"/>
        </w:rPr>
      </w:pPr>
      <w:r>
        <w:rPr>
          <w:rFonts w:hint="eastAsia" w:ascii="宋体" w:hAnsi="宋体" w:cs="仿宋_GB2312"/>
          <w:sz w:val="24"/>
        </w:rPr>
        <w:t>24.2投标文件符合性审查：评标委员会依据招标文件的规定</w:t>
      </w:r>
      <w:r>
        <w:rPr>
          <w:rFonts w:hint="eastAsia" w:ascii="宋体" w:hAnsi="宋体" w:cs="仿宋_GB2312"/>
          <w:color w:val="000000" w:themeColor="text1"/>
          <w:sz w:val="24"/>
        </w:rPr>
        <w:t>，从投标文件的有效性、完整性和对招标文件的响应程度进行审查，以确定是否响应招标文件的实质性内容。</w:t>
      </w:r>
    </w:p>
    <w:p>
      <w:pPr>
        <w:overflowPunct w:val="0"/>
        <w:adjustRightInd w:val="0"/>
        <w:snapToGrid w:val="0"/>
        <w:spacing w:line="360" w:lineRule="auto"/>
        <w:rPr>
          <w:rFonts w:ascii="宋体" w:hAnsi="宋体" w:cs="仿宋_GB2312"/>
          <w:bCs/>
          <w:sz w:val="24"/>
        </w:rPr>
      </w:pPr>
      <w:r>
        <w:rPr>
          <w:rFonts w:hint="eastAsia" w:ascii="宋体" w:hAnsi="宋体" w:cs="仿宋_GB2312"/>
          <w:bCs/>
          <w:sz w:val="24"/>
        </w:rPr>
        <w:t>24.3经过对供应商及投标文件的资格性和符合性审查，出现下列情况者（但不限于），按无效投标处理。</w:t>
      </w:r>
    </w:p>
    <w:p>
      <w:pPr>
        <w:overflowPunct w:val="0"/>
        <w:adjustRightInd w:val="0"/>
        <w:snapToGrid w:val="0"/>
        <w:spacing w:line="360" w:lineRule="auto"/>
        <w:rPr>
          <w:rFonts w:ascii="宋体" w:hAnsi="宋体" w:cs="宋体"/>
          <w:sz w:val="24"/>
        </w:rPr>
      </w:pPr>
      <w:bookmarkStart w:id="202" w:name="_Toc233435945"/>
      <w:bookmarkStart w:id="203" w:name="_Toc386965854"/>
      <w:bookmarkStart w:id="204" w:name="_Toc28921"/>
      <w:bookmarkStart w:id="205" w:name="_Toc392236641"/>
      <w:bookmarkStart w:id="206" w:name="_Toc354"/>
      <w:bookmarkStart w:id="207" w:name="_Toc20840"/>
      <w:r>
        <w:rPr>
          <w:rFonts w:hint="eastAsia" w:ascii="宋体" w:hAnsi="宋体" w:cs="宋体"/>
          <w:sz w:val="24"/>
        </w:rPr>
        <w:t>24.3.1供应商没有经过正常渠道购买标书或供应商的名称与登记领取投标文件单位的名称不符；</w:t>
      </w:r>
    </w:p>
    <w:p>
      <w:pPr>
        <w:overflowPunct w:val="0"/>
        <w:adjustRightInd w:val="0"/>
        <w:snapToGrid w:val="0"/>
        <w:spacing w:line="360" w:lineRule="auto"/>
        <w:rPr>
          <w:rFonts w:ascii="宋体" w:hAnsi="宋体" w:cs="宋体"/>
          <w:sz w:val="24"/>
        </w:rPr>
      </w:pPr>
      <w:r>
        <w:rPr>
          <w:rFonts w:hint="eastAsia" w:ascii="宋体" w:hAnsi="宋体" w:cs="宋体"/>
          <w:sz w:val="24"/>
        </w:rPr>
        <w:t>24.3.2投标文件没有法定代表人授权书（法人直接参加除外）或授权书的合法性或有效性不符合投标文件规定；</w:t>
      </w:r>
    </w:p>
    <w:p>
      <w:pPr>
        <w:overflowPunct w:val="0"/>
        <w:adjustRightInd w:val="0"/>
        <w:snapToGrid w:val="0"/>
        <w:spacing w:line="360" w:lineRule="auto"/>
        <w:rPr>
          <w:rFonts w:ascii="宋体" w:hAnsi="宋体" w:cs="宋体"/>
          <w:sz w:val="24"/>
        </w:rPr>
      </w:pPr>
      <w:r>
        <w:rPr>
          <w:rFonts w:hint="eastAsia" w:ascii="宋体" w:hAnsi="宋体" w:cs="宋体"/>
          <w:sz w:val="24"/>
        </w:rPr>
        <w:t>24.3.3供应商资质的有效性或符合性不符合要求的；</w:t>
      </w:r>
    </w:p>
    <w:p>
      <w:pPr>
        <w:overflowPunct w:val="0"/>
        <w:adjustRightInd w:val="0"/>
        <w:snapToGrid w:val="0"/>
        <w:spacing w:line="360" w:lineRule="auto"/>
        <w:rPr>
          <w:rFonts w:ascii="宋体" w:hAnsi="宋体" w:cs="宋体"/>
          <w:sz w:val="24"/>
        </w:rPr>
      </w:pPr>
      <w:r>
        <w:rPr>
          <w:rFonts w:hint="eastAsia" w:ascii="宋体" w:hAnsi="宋体" w:cs="宋体"/>
          <w:sz w:val="24"/>
        </w:rPr>
        <w:t>24.3.</w:t>
      </w:r>
      <w:r>
        <w:rPr>
          <w:rFonts w:hint="eastAsia" w:ascii="宋体" w:hAnsi="宋体" w:cs="宋体"/>
          <w:sz w:val="24"/>
          <w:lang w:val="en-US" w:eastAsia="zh-CN"/>
        </w:rPr>
        <w:t>4</w:t>
      </w:r>
      <w:r>
        <w:rPr>
          <w:rFonts w:hint="eastAsia" w:ascii="宋体" w:hAnsi="宋体" w:cs="宋体"/>
          <w:sz w:val="24"/>
        </w:rPr>
        <w:t>投标有效期不足的；</w:t>
      </w:r>
    </w:p>
    <w:p>
      <w:pPr>
        <w:overflowPunct w:val="0"/>
        <w:adjustRightInd w:val="0"/>
        <w:snapToGrid w:val="0"/>
        <w:spacing w:line="360" w:lineRule="auto"/>
        <w:rPr>
          <w:rFonts w:ascii="宋体" w:hAnsi="宋体" w:cs="宋体"/>
          <w:sz w:val="24"/>
        </w:rPr>
      </w:pPr>
      <w:r>
        <w:rPr>
          <w:rFonts w:hint="eastAsia" w:ascii="宋体" w:hAnsi="宋体" w:cs="宋体"/>
          <w:sz w:val="24"/>
        </w:rPr>
        <w:t>24.3.</w:t>
      </w:r>
      <w:r>
        <w:rPr>
          <w:rFonts w:hint="eastAsia" w:ascii="宋体" w:hAnsi="宋体" w:cs="宋体"/>
          <w:sz w:val="24"/>
          <w:lang w:val="en-US" w:eastAsia="zh-CN"/>
        </w:rPr>
        <w:t>5</w:t>
      </w:r>
      <w:r>
        <w:rPr>
          <w:rFonts w:hint="eastAsia" w:ascii="宋体" w:hAnsi="宋体" w:cs="宋体"/>
          <w:sz w:val="24"/>
        </w:rPr>
        <w:t>响应内容出现漏项或数量与要求不符，技术参数出现重大负偏差；</w:t>
      </w:r>
    </w:p>
    <w:p>
      <w:pPr>
        <w:overflowPunct w:val="0"/>
        <w:adjustRightInd w:val="0"/>
        <w:snapToGrid w:val="0"/>
        <w:spacing w:line="360" w:lineRule="auto"/>
        <w:rPr>
          <w:rFonts w:ascii="宋体" w:hAnsi="宋体" w:cs="宋体"/>
          <w:sz w:val="24"/>
        </w:rPr>
      </w:pPr>
      <w:r>
        <w:rPr>
          <w:rFonts w:hint="eastAsia" w:ascii="宋体" w:hAnsi="宋体" w:cs="宋体"/>
          <w:sz w:val="24"/>
        </w:rPr>
        <w:t>24.3.</w:t>
      </w:r>
      <w:r>
        <w:rPr>
          <w:rFonts w:hint="eastAsia" w:ascii="宋体" w:hAnsi="宋体" w:cs="宋体"/>
          <w:sz w:val="24"/>
          <w:lang w:val="en-US" w:eastAsia="zh-CN"/>
        </w:rPr>
        <w:t>6</w:t>
      </w:r>
      <w:r>
        <w:rPr>
          <w:rFonts w:hint="eastAsia" w:ascii="宋体" w:hAnsi="宋体" w:cs="宋体"/>
          <w:sz w:val="24"/>
        </w:rPr>
        <w:t>响应文件的主要条款响应与招标文件要求不一致，附加了采购人难以接受的条件；</w:t>
      </w:r>
    </w:p>
    <w:p>
      <w:pPr>
        <w:overflowPunct w:val="0"/>
        <w:adjustRightInd w:val="0"/>
        <w:snapToGrid w:val="0"/>
        <w:spacing w:line="360" w:lineRule="auto"/>
        <w:rPr>
          <w:rFonts w:ascii="宋体" w:hAnsi="宋体" w:cs="宋体"/>
          <w:sz w:val="24"/>
        </w:rPr>
      </w:pPr>
      <w:r>
        <w:rPr>
          <w:rFonts w:hint="eastAsia" w:ascii="宋体" w:hAnsi="宋体" w:cs="宋体"/>
          <w:sz w:val="24"/>
        </w:rPr>
        <w:t>24.3.</w:t>
      </w:r>
      <w:r>
        <w:rPr>
          <w:rFonts w:hint="eastAsia" w:ascii="宋体" w:hAnsi="宋体" w:cs="宋体"/>
          <w:sz w:val="24"/>
          <w:lang w:val="en-US" w:eastAsia="zh-CN"/>
        </w:rPr>
        <w:t>7</w:t>
      </w:r>
      <w:r>
        <w:rPr>
          <w:rFonts w:hint="eastAsia" w:ascii="宋体" w:hAnsi="宋体" w:cs="宋体"/>
          <w:sz w:val="24"/>
        </w:rPr>
        <w:t>规定不接受选择方案和选择报价（包括交叉折扣）的，供应商提供了选择方案和/或选择报价（包括交叉折扣）；</w:t>
      </w:r>
    </w:p>
    <w:p>
      <w:pPr>
        <w:overflowPunct w:val="0"/>
        <w:adjustRightInd w:val="0"/>
        <w:snapToGrid w:val="0"/>
        <w:spacing w:line="360" w:lineRule="auto"/>
        <w:rPr>
          <w:rFonts w:ascii="宋体" w:hAnsi="宋体" w:cs="宋体"/>
          <w:sz w:val="24"/>
        </w:rPr>
      </w:pPr>
      <w:r>
        <w:rPr>
          <w:rFonts w:hint="eastAsia" w:ascii="宋体" w:hAnsi="宋体" w:cs="宋体"/>
          <w:sz w:val="24"/>
        </w:rPr>
        <w:t>24.3.</w:t>
      </w:r>
      <w:r>
        <w:rPr>
          <w:rFonts w:hint="eastAsia" w:ascii="宋体" w:hAnsi="宋体" w:cs="宋体"/>
          <w:sz w:val="24"/>
          <w:lang w:val="en-US" w:eastAsia="zh-CN"/>
        </w:rPr>
        <w:t>8</w:t>
      </w:r>
      <w:r>
        <w:rPr>
          <w:rFonts w:hint="eastAsia" w:ascii="宋体" w:hAnsi="宋体" w:cs="宋体"/>
          <w:sz w:val="24"/>
        </w:rPr>
        <w:t>投标报价超出采购预算的；</w:t>
      </w:r>
    </w:p>
    <w:p>
      <w:pPr>
        <w:overflowPunct w:val="0"/>
        <w:adjustRightInd w:val="0"/>
        <w:snapToGrid w:val="0"/>
        <w:spacing w:line="360" w:lineRule="auto"/>
        <w:rPr>
          <w:rFonts w:ascii="宋体" w:hAnsi="宋体" w:cs="宋体"/>
          <w:sz w:val="24"/>
        </w:rPr>
      </w:pPr>
      <w:r>
        <w:rPr>
          <w:rFonts w:hint="eastAsia" w:ascii="宋体" w:hAnsi="宋体" w:cs="宋体"/>
          <w:sz w:val="24"/>
        </w:rPr>
        <w:t>24.3.</w:t>
      </w:r>
      <w:r>
        <w:rPr>
          <w:rFonts w:hint="eastAsia" w:ascii="宋体" w:hAnsi="宋体" w:cs="宋体"/>
          <w:sz w:val="24"/>
          <w:lang w:val="en-US" w:eastAsia="zh-CN"/>
        </w:rPr>
        <w:t>9</w:t>
      </w:r>
      <w:r>
        <w:rPr>
          <w:rFonts w:hint="eastAsia" w:ascii="宋体" w:hAnsi="宋体" w:cs="宋体"/>
          <w:sz w:val="24"/>
        </w:rPr>
        <w:t>提供虚假证明、资料，开具虚假资质，出现虚假应答的；</w:t>
      </w:r>
    </w:p>
    <w:p>
      <w:pPr>
        <w:overflowPunct w:val="0"/>
        <w:adjustRightInd w:val="0"/>
        <w:snapToGrid w:val="0"/>
        <w:spacing w:line="360" w:lineRule="auto"/>
        <w:rPr>
          <w:rFonts w:ascii="宋体" w:hAnsi="宋体" w:cs="宋体"/>
          <w:sz w:val="24"/>
        </w:rPr>
      </w:pPr>
      <w:r>
        <w:rPr>
          <w:rFonts w:hint="eastAsia" w:ascii="宋体" w:hAnsi="宋体" w:cs="宋体"/>
          <w:sz w:val="24"/>
        </w:rPr>
        <w:t>24.3.1</w:t>
      </w:r>
      <w:r>
        <w:rPr>
          <w:rFonts w:hint="eastAsia" w:ascii="宋体" w:hAnsi="宋体" w:cs="宋体"/>
          <w:sz w:val="24"/>
          <w:lang w:val="en-US" w:eastAsia="zh-CN"/>
        </w:rPr>
        <w:t>0</w:t>
      </w:r>
      <w:r>
        <w:rPr>
          <w:rFonts w:hint="eastAsia" w:ascii="宋体" w:hAnsi="宋体" w:cs="宋体"/>
          <w:sz w:val="24"/>
        </w:rPr>
        <w:t>供应商有违法违规行为的；</w:t>
      </w:r>
    </w:p>
    <w:p>
      <w:pPr>
        <w:overflowPunct w:val="0"/>
        <w:adjustRightInd w:val="0"/>
        <w:snapToGrid w:val="0"/>
        <w:spacing w:line="360" w:lineRule="auto"/>
        <w:rPr>
          <w:rFonts w:ascii="宋体" w:hAnsi="宋体" w:cs="宋体"/>
          <w:sz w:val="24"/>
        </w:rPr>
      </w:pPr>
      <w:r>
        <w:rPr>
          <w:rFonts w:hint="eastAsia" w:ascii="宋体" w:hAnsi="宋体" w:cs="宋体"/>
          <w:sz w:val="24"/>
        </w:rPr>
        <w:t>24.3.1</w:t>
      </w:r>
      <w:r>
        <w:rPr>
          <w:rFonts w:hint="eastAsia" w:ascii="宋体" w:hAnsi="宋体" w:cs="宋体"/>
          <w:sz w:val="24"/>
          <w:lang w:val="en-US" w:eastAsia="zh-CN"/>
        </w:rPr>
        <w:t>1</w:t>
      </w:r>
      <w:r>
        <w:rPr>
          <w:rFonts w:hint="eastAsia" w:ascii="宋体" w:hAnsi="宋体" w:cs="宋体"/>
          <w:sz w:val="24"/>
        </w:rPr>
        <w:t>其他法律法规规定的废标情况。</w:t>
      </w:r>
    </w:p>
    <w:p>
      <w:pPr>
        <w:pStyle w:val="5"/>
        <w:spacing w:before="0" w:after="0" w:line="360" w:lineRule="auto"/>
        <w:rPr>
          <w:rFonts w:ascii="宋体" w:hAnsi="宋体" w:cs="仿宋_GB2312"/>
          <w:b w:val="0"/>
        </w:rPr>
      </w:pPr>
      <w:bookmarkStart w:id="208" w:name="_Toc23185"/>
      <w:r>
        <w:rPr>
          <w:rFonts w:hint="eastAsia" w:ascii="宋体" w:hAnsi="宋体" w:cs="仿宋_GB2312"/>
          <w:b w:val="0"/>
        </w:rPr>
        <w:t>25 投标文件的澄清</w:t>
      </w:r>
      <w:bookmarkEnd w:id="202"/>
      <w:bookmarkEnd w:id="203"/>
      <w:bookmarkEnd w:id="204"/>
      <w:bookmarkEnd w:id="205"/>
      <w:bookmarkEnd w:id="206"/>
      <w:bookmarkEnd w:id="207"/>
      <w:bookmarkEnd w:id="208"/>
    </w:p>
    <w:p>
      <w:pPr>
        <w:overflowPunct w:val="0"/>
        <w:adjustRightInd w:val="0"/>
        <w:snapToGrid w:val="0"/>
        <w:spacing w:line="360" w:lineRule="auto"/>
        <w:rPr>
          <w:rFonts w:ascii="宋体" w:hAnsi="宋体"/>
          <w:sz w:val="24"/>
        </w:rPr>
      </w:pPr>
      <w:bookmarkStart w:id="209" w:name="_Toc233435946"/>
      <w:bookmarkStart w:id="210" w:name="_Toc24509"/>
      <w:bookmarkStart w:id="211" w:name="_Toc386965855"/>
      <w:bookmarkStart w:id="212" w:name="_Toc392236642"/>
      <w:bookmarkStart w:id="213" w:name="_Toc21218"/>
      <w:bookmarkStart w:id="214" w:name="_Toc13985"/>
      <w:r>
        <w:rPr>
          <w:rFonts w:hint="eastAsia" w:ascii="宋体" w:hAnsi="宋体" w:cs="仿宋_GB2312"/>
        </w:rPr>
        <w:t>25</w:t>
      </w:r>
      <w:r>
        <w:rPr>
          <w:rFonts w:hint="eastAsia" w:ascii="宋体" w:hAnsi="宋体"/>
          <w:sz w:val="24"/>
        </w:rPr>
        <w:t>.1 对于投标文件中含义不明确、同类问题表述不一致或者有明显文字和计算错误的内容，评标委员会应当以书面形式要求供应商作出必要的澄清、说明或者补正。</w:t>
      </w:r>
    </w:p>
    <w:p>
      <w:pPr>
        <w:overflowPunct w:val="0"/>
        <w:adjustRightInd w:val="0"/>
        <w:snapToGrid w:val="0"/>
        <w:spacing w:line="360" w:lineRule="auto"/>
        <w:rPr>
          <w:rFonts w:ascii="宋体" w:hAnsi="宋体"/>
          <w:sz w:val="24"/>
        </w:rPr>
      </w:pPr>
      <w:r>
        <w:rPr>
          <w:rFonts w:hint="eastAsia" w:ascii="宋体" w:hAnsi="宋体" w:cs="仿宋_GB2312"/>
        </w:rPr>
        <w:t>25</w:t>
      </w:r>
      <w:r>
        <w:rPr>
          <w:rFonts w:hint="eastAsia" w:ascii="宋体" w:hAnsi="宋体"/>
          <w:sz w:val="24"/>
        </w:rPr>
        <w:t>.2 供应商的澄清、说明或者补正应当采用书面形式，由法定代表人或其授权的代表签字。供应商的澄清、说明或者补正不得超出投标文件的范围或者改变投标文件的实质性内容。</w:t>
      </w:r>
    </w:p>
    <w:p>
      <w:pPr>
        <w:pStyle w:val="5"/>
        <w:spacing w:before="0" w:after="0" w:line="360" w:lineRule="auto"/>
        <w:rPr>
          <w:rFonts w:ascii="宋体" w:hAnsi="宋体" w:cs="仿宋_GB2312"/>
          <w:b w:val="0"/>
        </w:rPr>
      </w:pPr>
      <w:bookmarkStart w:id="215" w:name="_Toc15745"/>
      <w:r>
        <w:rPr>
          <w:rFonts w:hint="eastAsia" w:ascii="宋体" w:hAnsi="宋体" w:cs="仿宋_GB2312"/>
          <w:b w:val="0"/>
        </w:rPr>
        <w:t>26 投标文件的比较和评价</w:t>
      </w:r>
      <w:bookmarkEnd w:id="209"/>
      <w:bookmarkEnd w:id="210"/>
      <w:bookmarkEnd w:id="211"/>
      <w:bookmarkEnd w:id="212"/>
      <w:bookmarkEnd w:id="213"/>
      <w:bookmarkEnd w:id="214"/>
      <w:bookmarkEnd w:id="215"/>
    </w:p>
    <w:p>
      <w:pPr>
        <w:spacing w:line="360" w:lineRule="auto"/>
        <w:rPr>
          <w:rFonts w:ascii="宋体" w:hAnsi="宋体" w:cs="仿宋_GB2312"/>
          <w:sz w:val="24"/>
        </w:rPr>
      </w:pPr>
      <w:r>
        <w:rPr>
          <w:rFonts w:hint="eastAsia" w:ascii="宋体" w:hAnsi="宋体" w:cs="仿宋_GB2312"/>
          <w:sz w:val="24"/>
        </w:rPr>
        <w:t>26.1评标委员会在评标过程中，发现投标文件出现下列情况之一者，按以下原则修正：</w:t>
      </w:r>
    </w:p>
    <w:p>
      <w:pPr>
        <w:snapToGrid w:val="0"/>
        <w:spacing w:line="360" w:lineRule="auto"/>
        <w:rPr>
          <w:rFonts w:ascii="宋体" w:hAnsi="宋体" w:cs="仿宋_GB2312"/>
          <w:sz w:val="24"/>
        </w:rPr>
      </w:pPr>
      <w:r>
        <w:rPr>
          <w:rFonts w:hint="eastAsia" w:ascii="宋体" w:hAnsi="宋体" w:cs="仿宋_GB2312"/>
          <w:sz w:val="24"/>
        </w:rPr>
        <w:t>26.1.1对所有实质性响应招标文件要求的投标文件，评标委员会将遵循公平、公正、科学和择优的原则，采用综合评审的方法推荐中标候选人。</w:t>
      </w:r>
    </w:p>
    <w:p>
      <w:pPr>
        <w:overflowPunct w:val="0"/>
        <w:adjustRightInd w:val="0"/>
        <w:snapToGrid w:val="0"/>
        <w:spacing w:line="360" w:lineRule="auto"/>
        <w:rPr>
          <w:rFonts w:ascii="宋体" w:hAnsi="宋体" w:cs="仿宋_GB2312"/>
          <w:sz w:val="24"/>
        </w:rPr>
      </w:pPr>
      <w:r>
        <w:rPr>
          <w:rFonts w:hint="eastAsia" w:ascii="宋体" w:hAnsi="宋体" w:cs="仿宋_GB2312"/>
          <w:sz w:val="24"/>
        </w:rPr>
        <w:t>26.1.2如果用文字表示的数值与用数字表示的数值不一致，以文字表示的值为准；</w:t>
      </w:r>
      <w:r>
        <w:rPr>
          <w:rFonts w:hint="eastAsia" w:ascii="宋体" w:hAnsi="宋体" w:cs="宋体"/>
          <w:sz w:val="24"/>
        </w:rPr>
        <w:t>大写金额和小写金额不一致的，以大写金额为准；如果以单价计算的结果与总价不一致，则以单价为准修改总价；单价金额小数点有明显错位的，应以总价为准，并修改单价；</w:t>
      </w:r>
    </w:p>
    <w:p>
      <w:pPr>
        <w:overflowPunct w:val="0"/>
        <w:adjustRightInd w:val="0"/>
        <w:snapToGrid w:val="0"/>
        <w:spacing w:line="360" w:lineRule="auto"/>
        <w:rPr>
          <w:rFonts w:ascii="宋体" w:hAnsi="宋体" w:cs="仿宋_GB2312"/>
          <w:sz w:val="24"/>
        </w:rPr>
      </w:pPr>
      <w:r>
        <w:rPr>
          <w:rFonts w:hint="eastAsia" w:ascii="宋体" w:hAnsi="宋体" w:cs="仿宋_GB2312"/>
          <w:sz w:val="24"/>
        </w:rPr>
        <w:t>26.1.3对不同文字文本投标文件的解释发生异议的，以中文文本为准；</w:t>
      </w:r>
    </w:p>
    <w:p>
      <w:pPr>
        <w:overflowPunct w:val="0"/>
        <w:adjustRightInd w:val="0"/>
        <w:snapToGrid w:val="0"/>
        <w:spacing w:line="360" w:lineRule="auto"/>
        <w:rPr>
          <w:rFonts w:ascii="宋体" w:hAnsi="宋体" w:cs="仿宋_GB2312"/>
          <w:sz w:val="24"/>
        </w:rPr>
      </w:pPr>
      <w:r>
        <w:rPr>
          <w:rFonts w:hint="eastAsia" w:ascii="宋体" w:hAnsi="宋体" w:cs="仿宋_GB2312"/>
          <w:sz w:val="24"/>
        </w:rPr>
        <w:t>26.1.4正本与副本不一致的，以正本为准；</w:t>
      </w:r>
    </w:p>
    <w:p>
      <w:pPr>
        <w:overflowPunct w:val="0"/>
        <w:adjustRightInd w:val="0"/>
        <w:snapToGrid w:val="0"/>
        <w:spacing w:line="360" w:lineRule="auto"/>
        <w:rPr>
          <w:rFonts w:ascii="宋体" w:hAnsi="宋体" w:cs="仿宋_GB2312"/>
          <w:sz w:val="24"/>
        </w:rPr>
      </w:pPr>
      <w:r>
        <w:rPr>
          <w:rFonts w:hint="eastAsia" w:ascii="宋体" w:hAnsi="宋体" w:cs="仿宋_GB2312"/>
          <w:sz w:val="24"/>
        </w:rPr>
        <w:t>26.2 对于投标文件中不构成实质性偏差的小的不正规、不一致或不规则，采购人可以接受，但这种接受不能损害或影响任何供应商的相对排序。</w:t>
      </w:r>
    </w:p>
    <w:p>
      <w:pPr>
        <w:overflowPunct w:val="0"/>
        <w:adjustRightInd w:val="0"/>
        <w:snapToGrid w:val="0"/>
        <w:spacing w:line="360" w:lineRule="auto"/>
        <w:rPr>
          <w:rFonts w:ascii="宋体" w:hAnsi="宋体" w:cs="仿宋_GB2312"/>
          <w:sz w:val="24"/>
        </w:rPr>
      </w:pPr>
      <w:r>
        <w:rPr>
          <w:rFonts w:hint="eastAsia" w:ascii="宋体" w:hAnsi="宋体" w:cs="仿宋_GB2312"/>
          <w:sz w:val="24"/>
        </w:rPr>
        <w:t>26.3按照招标文件规定的评标方法和标准，对资格性审查和符合性审查合格的文件进行详细评审，综合比较和评价。最低报价不做为中标的唯一条件。</w:t>
      </w:r>
    </w:p>
    <w:p>
      <w:pPr>
        <w:overflowPunct w:val="0"/>
        <w:adjustRightInd w:val="0"/>
        <w:snapToGrid w:val="0"/>
        <w:spacing w:line="360" w:lineRule="auto"/>
        <w:rPr>
          <w:rFonts w:ascii="宋体" w:hAnsi="宋体" w:cs="仿宋_GB2312"/>
          <w:sz w:val="24"/>
        </w:rPr>
      </w:pPr>
      <w:r>
        <w:rPr>
          <w:rFonts w:hint="eastAsia" w:ascii="宋体" w:hAnsi="宋体" w:cs="仿宋_GB2312"/>
          <w:sz w:val="24"/>
        </w:rPr>
        <w:t>26.4 如果投标文件实质上没有响应招标文件的要求，其投标将被拒绝，供应商不得通过修正或撤消不合要求的偏离或保留从而使其投标成为实质上响应的投标。</w:t>
      </w:r>
    </w:p>
    <w:p>
      <w:pPr>
        <w:spacing w:line="360" w:lineRule="auto"/>
        <w:rPr>
          <w:rFonts w:ascii="宋体" w:hAnsi="宋体" w:cs="仿宋_GB2312"/>
          <w:sz w:val="24"/>
        </w:rPr>
      </w:pPr>
      <w:r>
        <w:rPr>
          <w:rFonts w:hint="eastAsia" w:ascii="宋体" w:hAnsi="宋体" w:cs="仿宋_GB2312"/>
          <w:sz w:val="24"/>
        </w:rPr>
        <w:t>26.5评标程序：采取逐项分步评审方式，每一步评审不符合者，不进入下一步评审，初步评审合格的供应商进行最后的综合评审和打分，按最后得分由高向低排序，推荐中标候选人。</w:t>
      </w:r>
    </w:p>
    <w:p>
      <w:pPr>
        <w:pStyle w:val="5"/>
        <w:spacing w:before="0" w:after="0" w:line="360" w:lineRule="auto"/>
        <w:rPr>
          <w:rFonts w:ascii="宋体" w:hAnsi="宋体" w:cs="仿宋_GB2312"/>
          <w:b w:val="0"/>
        </w:rPr>
      </w:pPr>
      <w:bookmarkStart w:id="216" w:name="_Toc25219"/>
      <w:bookmarkStart w:id="217" w:name="_Toc6729"/>
      <w:bookmarkStart w:id="218" w:name="_Toc311415604"/>
      <w:bookmarkStart w:id="219" w:name="_Toc4288"/>
      <w:bookmarkStart w:id="220" w:name="_Toc392236643"/>
      <w:bookmarkStart w:id="221" w:name="_Toc11465"/>
      <w:bookmarkStart w:id="222" w:name="_Toc386965856"/>
      <w:r>
        <w:rPr>
          <w:rFonts w:hint="eastAsia" w:ascii="宋体" w:hAnsi="宋体" w:cs="仿宋_GB2312"/>
          <w:b w:val="0"/>
        </w:rPr>
        <w:t>27 评标原则及主要方法</w:t>
      </w:r>
      <w:bookmarkEnd w:id="216"/>
      <w:bookmarkEnd w:id="217"/>
      <w:bookmarkEnd w:id="218"/>
      <w:bookmarkEnd w:id="219"/>
      <w:bookmarkEnd w:id="220"/>
      <w:bookmarkEnd w:id="221"/>
      <w:bookmarkEnd w:id="222"/>
    </w:p>
    <w:p>
      <w:pPr>
        <w:overflowPunct w:val="0"/>
        <w:adjustRightInd w:val="0"/>
        <w:snapToGrid w:val="0"/>
        <w:spacing w:line="360" w:lineRule="auto"/>
        <w:rPr>
          <w:rFonts w:ascii="宋体" w:hAnsi="宋体" w:cs="仿宋_GB2312"/>
          <w:sz w:val="24"/>
        </w:rPr>
      </w:pPr>
      <w:r>
        <w:rPr>
          <w:rFonts w:hint="eastAsia" w:ascii="宋体" w:hAnsi="宋体" w:cs="仿宋_GB2312"/>
          <w:sz w:val="24"/>
        </w:rPr>
        <w:t>27.1 评标委员会将遵循公开、公平、公正和择优的原则，对所有供应商的投标文件评审，都采用相同的程序和标准。</w:t>
      </w:r>
    </w:p>
    <w:p>
      <w:pPr>
        <w:overflowPunct w:val="0"/>
        <w:adjustRightInd w:val="0"/>
        <w:snapToGrid w:val="0"/>
        <w:spacing w:line="360" w:lineRule="auto"/>
        <w:rPr>
          <w:rFonts w:ascii="宋体" w:hAnsi="宋体" w:cs="仿宋_GB2312"/>
          <w:sz w:val="24"/>
        </w:rPr>
      </w:pPr>
      <w:r>
        <w:rPr>
          <w:rFonts w:hint="eastAsia" w:ascii="宋体" w:hAnsi="宋体" w:cs="仿宋_GB2312"/>
          <w:sz w:val="24"/>
        </w:rPr>
        <w:t>27.2 评审过程的保密：在投标文件的评审、比较、中标候选单位推荐以及授予合同的过程中，供应商向采购人和评标委员会施加影响的任何行为，都将会导致其报价被拒绝。</w:t>
      </w:r>
    </w:p>
    <w:p>
      <w:pPr>
        <w:overflowPunct w:val="0"/>
        <w:adjustRightInd w:val="0"/>
        <w:snapToGrid w:val="0"/>
        <w:spacing w:line="360" w:lineRule="auto"/>
        <w:rPr>
          <w:rFonts w:ascii="宋体" w:hAnsi="宋体" w:cs="仿宋_GB2312"/>
          <w:sz w:val="24"/>
        </w:rPr>
      </w:pPr>
      <w:r>
        <w:rPr>
          <w:rFonts w:hint="eastAsia" w:ascii="宋体" w:hAnsi="宋体" w:cs="仿宋_GB2312"/>
          <w:sz w:val="24"/>
        </w:rPr>
        <w:t>27.3评标办法：综合评分法：即在满足招标文件实质性要求前提下，按照招标文件中规定的各项因素进行综合评审后，以评审总得分顺序推荐中标候选单位。具体评分办法见招标文件第六部分评标办法。</w:t>
      </w:r>
    </w:p>
    <w:p>
      <w:pPr>
        <w:spacing w:line="360" w:lineRule="auto"/>
        <w:rPr>
          <w:rFonts w:ascii="宋体" w:hAnsi="宋体"/>
          <w:sz w:val="24"/>
        </w:rPr>
      </w:pPr>
      <w:bookmarkStart w:id="223" w:name="_Toc5369"/>
      <w:bookmarkStart w:id="224" w:name="_Toc23524"/>
      <w:bookmarkStart w:id="225" w:name="_Toc392236644"/>
      <w:bookmarkStart w:id="226" w:name="_Toc8783"/>
      <w:bookmarkStart w:id="227" w:name="_Toc386965857"/>
      <w:bookmarkStart w:id="228" w:name="_Toc311415605"/>
      <w:r>
        <w:rPr>
          <w:rFonts w:ascii="宋体" w:hAnsi="宋体"/>
          <w:sz w:val="24"/>
        </w:rPr>
        <w:t>2</w:t>
      </w:r>
      <w:r>
        <w:rPr>
          <w:rFonts w:hint="eastAsia" w:ascii="宋体" w:hAnsi="宋体"/>
          <w:sz w:val="24"/>
        </w:rPr>
        <w:t>7.</w:t>
      </w:r>
      <w:r>
        <w:rPr>
          <w:rFonts w:ascii="宋体" w:hAnsi="宋体"/>
          <w:sz w:val="24"/>
        </w:rPr>
        <w:t>4</w:t>
      </w:r>
      <w:r>
        <w:rPr>
          <w:rFonts w:hint="eastAsia" w:ascii="宋体" w:hAnsi="宋体"/>
          <w:sz w:val="24"/>
        </w:rPr>
        <w:t xml:space="preserve"> 投标企业政府采购政策</w:t>
      </w:r>
    </w:p>
    <w:p>
      <w:pPr>
        <w:spacing w:line="360" w:lineRule="auto"/>
        <w:rPr>
          <w:rFonts w:ascii="宋体" w:hAnsi="宋体"/>
          <w:sz w:val="24"/>
        </w:rPr>
      </w:pPr>
      <w:r>
        <w:rPr>
          <w:rFonts w:ascii="宋体" w:hAnsi="宋体"/>
          <w:sz w:val="24"/>
        </w:rPr>
        <w:t>2</w:t>
      </w:r>
      <w:r>
        <w:rPr>
          <w:rFonts w:hint="eastAsia" w:ascii="宋体" w:hAnsi="宋体"/>
          <w:sz w:val="24"/>
        </w:rPr>
        <w:t>7.</w:t>
      </w:r>
      <w:r>
        <w:rPr>
          <w:rFonts w:ascii="宋体" w:hAnsi="宋体"/>
          <w:sz w:val="24"/>
        </w:rPr>
        <w:t>4</w:t>
      </w:r>
      <w:r>
        <w:rPr>
          <w:rFonts w:hint="eastAsia" w:ascii="宋体" w:hAnsi="宋体"/>
          <w:sz w:val="24"/>
        </w:rPr>
        <w:t>.1中小企业落实政府采购政策</w:t>
      </w:r>
    </w:p>
    <w:p>
      <w:pPr>
        <w:spacing w:line="360" w:lineRule="auto"/>
        <w:rPr>
          <w:rFonts w:ascii="宋体" w:hAnsi="宋体" w:cs="仿宋_GB2312"/>
          <w:sz w:val="24"/>
        </w:rPr>
      </w:pPr>
      <w:r>
        <w:rPr>
          <w:rFonts w:hint="eastAsia" w:ascii="宋体" w:hAnsi="宋体" w:cs="仿宋_GB2312"/>
          <w:sz w:val="24"/>
        </w:rPr>
        <w:t>1）</w:t>
      </w:r>
      <w:r>
        <w:rPr>
          <w:rFonts w:hint="eastAsia" w:ascii="宋体" w:hAnsi="宋体" w:cs="宋体"/>
          <w:sz w:val="24"/>
        </w:rPr>
        <w:t>中小企业应符合工信部联企业[2011]300号文件规定，采购活动执行《政府采购促进中小企业发展暂行办法》的规定。</w:t>
      </w:r>
    </w:p>
    <w:p>
      <w:pPr>
        <w:spacing w:line="360" w:lineRule="auto"/>
        <w:rPr>
          <w:rFonts w:ascii="宋体" w:hAnsi="宋体" w:cs="宋体"/>
          <w:sz w:val="24"/>
        </w:rPr>
      </w:pPr>
      <w:r>
        <w:rPr>
          <w:rFonts w:hint="eastAsia" w:ascii="宋体" w:hAnsi="宋体" w:cs="仿宋_GB2312"/>
          <w:sz w:val="24"/>
        </w:rPr>
        <w:t>2）</w:t>
      </w:r>
      <w:r>
        <w:rPr>
          <w:rFonts w:hint="eastAsia" w:ascii="宋体" w:hAnsi="宋体" w:cs="宋体"/>
          <w:sz w:val="24"/>
        </w:rPr>
        <w:t>供应商须提供中小企业管理部门开具的中小企业证明函，以此为依据享受政府采购政策。</w:t>
      </w:r>
    </w:p>
    <w:p>
      <w:pPr>
        <w:spacing w:line="360" w:lineRule="auto"/>
        <w:rPr>
          <w:rFonts w:ascii="宋体" w:hAnsi="宋体"/>
          <w:sz w:val="24"/>
        </w:rPr>
      </w:pPr>
      <w:r>
        <w:rPr>
          <w:rFonts w:ascii="宋体" w:hAnsi="宋体"/>
          <w:sz w:val="24"/>
        </w:rPr>
        <w:t>2</w:t>
      </w:r>
      <w:r>
        <w:rPr>
          <w:rFonts w:hint="eastAsia" w:ascii="宋体" w:hAnsi="宋体"/>
          <w:sz w:val="24"/>
        </w:rPr>
        <w:t>7.</w:t>
      </w:r>
      <w:r>
        <w:rPr>
          <w:rFonts w:ascii="宋体" w:hAnsi="宋体"/>
          <w:sz w:val="24"/>
        </w:rPr>
        <w:t>4</w:t>
      </w:r>
      <w:r>
        <w:rPr>
          <w:rFonts w:hint="eastAsia" w:ascii="宋体" w:hAnsi="宋体"/>
          <w:sz w:val="24"/>
        </w:rPr>
        <w:t>.2监狱和戒毒企业应符合《财政部 司法部关于政府采购支持监狱企业发展有关问题的通知》--财库〔2014〕68号，并提供由省级以上监狱管理局、戒毒管理局(含新疆生产建设兵团)出具的属于监狱企业的证明和《监狱和戒毒企业声明函》。</w:t>
      </w:r>
      <w:r>
        <w:rPr>
          <w:rFonts w:hint="eastAsia" w:ascii="宋体" w:hAnsi="宋体" w:cs="宋体"/>
          <w:sz w:val="24"/>
        </w:rPr>
        <w:t>监狱和戒毒企业属于小型、微型企业的，不重复享受政策。</w:t>
      </w:r>
    </w:p>
    <w:p>
      <w:pPr>
        <w:overflowPunct w:val="0"/>
        <w:adjustRightInd w:val="0"/>
        <w:snapToGrid w:val="0"/>
        <w:spacing w:line="360" w:lineRule="auto"/>
        <w:rPr>
          <w:rFonts w:hint="eastAsia" w:ascii="宋体" w:hAnsi="宋体" w:cs="宋体"/>
          <w:sz w:val="24"/>
        </w:rPr>
      </w:pPr>
      <w:r>
        <w:rPr>
          <w:rFonts w:ascii="宋体" w:hAnsi="宋体"/>
          <w:sz w:val="24"/>
        </w:rPr>
        <w:t>2</w:t>
      </w:r>
      <w:r>
        <w:rPr>
          <w:rFonts w:hint="eastAsia" w:ascii="宋体" w:hAnsi="宋体"/>
          <w:sz w:val="24"/>
        </w:rPr>
        <w:t>7.</w:t>
      </w:r>
      <w:r>
        <w:rPr>
          <w:rFonts w:ascii="宋体" w:hAnsi="宋体"/>
          <w:sz w:val="24"/>
        </w:rPr>
        <w:t>4</w:t>
      </w:r>
      <w:r>
        <w:rPr>
          <w:rFonts w:hint="eastAsia" w:ascii="宋体" w:hAnsi="宋体" w:cs="宋体"/>
          <w:kern w:val="0"/>
          <w:sz w:val="24"/>
        </w:rPr>
        <w:t>.3</w:t>
      </w:r>
      <w:r>
        <w:rPr>
          <w:rFonts w:hint="eastAsia" w:ascii="宋体" w:hAnsi="宋体" w:cs="宋体"/>
          <w:sz w:val="24"/>
        </w:rPr>
        <w:t>符合《三部门联合发布关于促进残疾人就业政府采购政策的通知》的残疾人福利性单位在参加政府采购活动时，应当按通知要求提供《残疾人福利性单位声明函》，并对声明的真实性负责。在政府采购活动中，残疾人福利性单位视同小型、微型企业，享受预留份额、评审中价格扣除等促进中小企业发展的政府采购政策。残疾人福利性单位属于小型、微型企业的，不重复享受政策。</w:t>
      </w:r>
    </w:p>
    <w:p>
      <w:pPr>
        <w:overflowPunct w:val="0"/>
        <w:adjustRightInd w:val="0"/>
        <w:snapToGrid w:val="0"/>
        <w:spacing w:line="360" w:lineRule="auto"/>
        <w:rPr>
          <w:rFonts w:ascii="宋体" w:hAnsi="宋体" w:cs="宋体"/>
          <w:kern w:val="0"/>
          <w:sz w:val="24"/>
        </w:rPr>
      </w:pPr>
      <w:r>
        <w:rPr>
          <w:rFonts w:ascii="宋体" w:hAnsi="宋体"/>
          <w:sz w:val="24"/>
        </w:rPr>
        <w:t>2</w:t>
      </w:r>
      <w:r>
        <w:rPr>
          <w:rFonts w:hint="eastAsia" w:ascii="宋体" w:hAnsi="宋体"/>
          <w:sz w:val="24"/>
        </w:rPr>
        <w:t>7.</w:t>
      </w:r>
      <w:r>
        <w:rPr>
          <w:rFonts w:ascii="宋体" w:hAnsi="宋体"/>
          <w:sz w:val="24"/>
        </w:rPr>
        <w:t>4</w:t>
      </w:r>
      <w:r>
        <w:rPr>
          <w:rFonts w:hint="eastAsia" w:ascii="宋体" w:hAnsi="宋体"/>
          <w:sz w:val="24"/>
        </w:rPr>
        <w:t>.4供</w:t>
      </w:r>
      <w:r>
        <w:rPr>
          <w:rFonts w:hint="eastAsia" w:ascii="宋体" w:hAnsi="宋体"/>
          <w:bCs/>
          <w:sz w:val="24"/>
        </w:rPr>
        <w:t>应商应如实提供以上证明文件，如存在虚假应标，将取消其投标资格。</w:t>
      </w:r>
    </w:p>
    <w:p>
      <w:pPr>
        <w:spacing w:line="360" w:lineRule="auto"/>
        <w:rPr>
          <w:rFonts w:ascii="宋体" w:hAnsi="宋体"/>
          <w:sz w:val="24"/>
        </w:rPr>
      </w:pPr>
      <w:r>
        <w:rPr>
          <w:rFonts w:hint="eastAsia" w:ascii="宋体" w:hAnsi="宋体" w:cs="仿宋_GB2312"/>
          <w:sz w:val="24"/>
        </w:rPr>
        <w:t>满足以上三条中任意一条，其报价给予6%的扣除，用扣除后价格参与评审。（提供要求的相关资料）</w:t>
      </w:r>
    </w:p>
    <w:p>
      <w:pPr>
        <w:spacing w:line="360" w:lineRule="auto"/>
        <w:rPr>
          <w:rFonts w:ascii="宋体" w:hAnsi="宋体"/>
          <w:sz w:val="24"/>
        </w:rPr>
      </w:pP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投标产品政府采购政策</w:t>
      </w:r>
    </w:p>
    <w:p>
      <w:pPr>
        <w:spacing w:line="360" w:lineRule="auto"/>
        <w:rPr>
          <w:rFonts w:ascii="宋体" w:hAnsi="宋体"/>
          <w:sz w:val="24"/>
        </w:rPr>
      </w:pP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.1节能产品根据《国务院办公厅关于建立政府强制采购节能产品制度的通知》（国办发〔2007〕51号）的规定，以财库〔2019〕9号为准。</w:t>
      </w:r>
      <w:r>
        <w:rPr>
          <w:rFonts w:hint="eastAsia" w:ascii="宋体" w:hAnsi="宋体"/>
          <w:sz w:val="24"/>
        </w:rPr>
        <w:br w:type="textWrapping"/>
      </w: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.2环境标志产品根据《环境标志产品政府采购实施的意见》（财库[2006]90号）的规定，以财库〔2019〕9号为准。</w:t>
      </w:r>
      <w:r>
        <w:rPr>
          <w:rFonts w:hint="eastAsia" w:ascii="宋体" w:hAnsi="宋体"/>
          <w:sz w:val="24"/>
        </w:rPr>
        <w:br w:type="textWrapping"/>
      </w: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3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r>
        <w:rPr>
          <w:rFonts w:hint="eastAsia" w:ascii="宋体" w:hAnsi="宋体"/>
          <w:sz w:val="24"/>
        </w:rPr>
        <w:br w:type="textWrapping"/>
      </w: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.4 节能产品、环境标志产品认证机构应当建立健全数据共享机制，及时向认证结果信息发布平台提供相关信息。中国政府采购网（</w:t>
      </w:r>
      <w:r>
        <w:rPr>
          <w:rFonts w:ascii="宋体" w:hAnsi="宋体"/>
          <w:sz w:val="24"/>
        </w:rPr>
        <w:drawing>
          <wp:inline distT="0" distB="0" distL="0" distR="0">
            <wp:extent cx="191135" cy="138430"/>
            <wp:effectExtent l="0" t="0" r="0" b="0"/>
            <wp:docPr id="1028" name="图片 1" descr="E:\九院\"/>
            <wp:cNvGraphicFramePr/>
            <a:graphic xmlns:a="http://schemas.openxmlformats.org/drawingml/2006/main">
              <a:graphicData uri="http://schemas.openxmlformats.org/drawingml/2006/picture">
                <pic:pic xmlns:pic="http://schemas.openxmlformats.org/drawingml/2006/picture">
                  <pic:nvPicPr>
                    <pic:cNvPr id="1028" name="图片 1" descr="E:\九院\"/>
                    <pic:cNvPicPr/>
                  </pic:nvPicPr>
                  <pic:blipFill>
                    <a:blip r:embed="rId17" cstate="print"/>
                    <a:srcRect/>
                    <a:stretch>
                      <a:fillRect/>
                    </a:stretch>
                  </pic:blipFill>
                  <pic:spPr>
                    <a:xfrm>
                      <a:off x="0" y="0"/>
                      <a:ext cx="191135" cy="138430"/>
                    </a:xfrm>
                    <a:prstGeom prst="rect">
                      <a:avLst/>
                    </a:prstGeom>
                    <a:ln>
                      <a:noFill/>
                    </a:ln>
                  </pic:spPr>
                </pic:pic>
              </a:graphicData>
            </a:graphic>
          </wp:inline>
        </w:drawing>
      </w:r>
      <w:r>
        <w:rPr>
          <w:rFonts w:hint="eastAsia" w:ascii="宋体" w:hAnsi="宋体"/>
          <w:sz w:val="24"/>
        </w:rPr>
        <w:t>www.ccgp.gov.cn）建立与认证结果信息发布平台的链接，方便采购人和采购代理机构查询、了解认证机构和获证产品相关情况。</w:t>
      </w:r>
      <w:r>
        <w:rPr>
          <w:rFonts w:hint="eastAsia" w:ascii="宋体" w:hAnsi="宋体"/>
          <w:sz w:val="24"/>
        </w:rPr>
        <w:br w:type="textWrapping"/>
      </w: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.5 对于已列入品目清单的产品类别，采购人可在采购需求中提出更高的节约资源和保护环境要求，对符合条件的获证产品给予优先待遇。</w:t>
      </w:r>
    </w:p>
    <w:p>
      <w:pPr>
        <w:spacing w:line="360" w:lineRule="auto"/>
        <w:rPr>
          <w:rFonts w:ascii="宋体" w:hAnsi="宋体"/>
          <w:sz w:val="24"/>
        </w:rPr>
      </w:pPr>
      <w:r>
        <w:rPr>
          <w:rFonts w:ascii="宋体" w:hAnsi="宋体"/>
          <w:sz w:val="24"/>
        </w:rPr>
        <w:t>2</w:t>
      </w:r>
      <w:r>
        <w:rPr>
          <w:rFonts w:hint="eastAsia" w:ascii="宋体" w:hAnsi="宋体"/>
          <w:sz w:val="24"/>
        </w:rPr>
        <w:t>7.</w:t>
      </w:r>
      <w:r>
        <w:rPr>
          <w:rFonts w:ascii="宋体" w:hAnsi="宋体"/>
          <w:sz w:val="24"/>
        </w:rPr>
        <w:t>5</w:t>
      </w:r>
      <w:r>
        <w:rPr>
          <w:rFonts w:hint="eastAsia" w:ascii="宋体" w:hAnsi="宋体"/>
          <w:sz w:val="24"/>
        </w:rPr>
        <w:t>.6获得上述认证的产品在投标时应提供有效证明材料。</w:t>
      </w:r>
    </w:p>
    <w:p>
      <w:pPr>
        <w:pStyle w:val="5"/>
        <w:spacing w:before="0" w:after="0" w:line="360" w:lineRule="auto"/>
        <w:rPr>
          <w:rFonts w:ascii="宋体" w:hAnsi="宋体" w:cs="仿宋_GB2312"/>
          <w:b w:val="0"/>
        </w:rPr>
      </w:pPr>
      <w:bookmarkStart w:id="229" w:name="_Toc28634"/>
      <w:r>
        <w:rPr>
          <w:rFonts w:hint="eastAsia" w:ascii="宋体" w:hAnsi="宋体" w:cs="仿宋_GB2312"/>
          <w:b w:val="0"/>
        </w:rPr>
        <w:t>28 与采购人、采购代理机构和评标委员会接触</w:t>
      </w:r>
      <w:bookmarkEnd w:id="223"/>
      <w:bookmarkEnd w:id="224"/>
      <w:bookmarkEnd w:id="225"/>
      <w:bookmarkEnd w:id="226"/>
      <w:bookmarkEnd w:id="227"/>
      <w:bookmarkEnd w:id="228"/>
      <w:bookmarkEnd w:id="229"/>
    </w:p>
    <w:p>
      <w:pPr>
        <w:spacing w:line="360" w:lineRule="auto"/>
        <w:jc w:val="left"/>
        <w:rPr>
          <w:rFonts w:ascii="宋体" w:hAnsi="宋体" w:cs="仿宋_GB2312"/>
          <w:sz w:val="24"/>
        </w:rPr>
      </w:pPr>
      <w:r>
        <w:rPr>
          <w:rFonts w:hint="eastAsia" w:ascii="宋体" w:hAnsi="宋体" w:cs="仿宋_GB2312"/>
          <w:sz w:val="24"/>
        </w:rPr>
        <w:t>供应商试图对采购人、采购代理机构和评标委员会的评标、比较或授予合同的决定进行影响，都可能导致其投标被拒绝。</w:t>
      </w:r>
    </w:p>
    <w:p>
      <w:pPr>
        <w:pStyle w:val="4"/>
        <w:tabs>
          <w:tab w:val="left" w:pos="576"/>
        </w:tabs>
        <w:spacing w:before="0" w:after="0" w:line="360" w:lineRule="auto"/>
        <w:jc w:val="center"/>
        <w:rPr>
          <w:rFonts w:ascii="宋体" w:hAnsi="宋体" w:eastAsia="宋体" w:cs="仿宋_GB2312"/>
          <w:sz w:val="44"/>
          <w:szCs w:val="44"/>
        </w:rPr>
      </w:pPr>
      <w:bookmarkStart w:id="230" w:name="_Toc2468"/>
      <w:bookmarkStart w:id="231" w:name="_Toc27212"/>
      <w:bookmarkStart w:id="232" w:name="_Toc5977"/>
      <w:bookmarkStart w:id="233" w:name="_Toc386965858"/>
      <w:bookmarkStart w:id="234" w:name="_Toc30041"/>
      <w:bookmarkStart w:id="235" w:name="_Toc233435947"/>
      <w:bookmarkStart w:id="236" w:name="_Toc392236645"/>
      <w:r>
        <w:rPr>
          <w:rFonts w:hint="eastAsia" w:ascii="宋体" w:hAnsi="宋体" w:eastAsia="宋体" w:cs="仿宋_GB2312"/>
          <w:sz w:val="44"/>
          <w:szCs w:val="44"/>
        </w:rPr>
        <w:t>F</w:t>
      </w:r>
      <w:bookmarkStart w:id="237" w:name="_Hlt497547134"/>
      <w:bookmarkEnd w:id="237"/>
      <w:bookmarkStart w:id="238" w:name="_Hlt491765714"/>
      <w:bookmarkEnd w:id="238"/>
      <w:r>
        <w:rPr>
          <w:rFonts w:hint="eastAsia" w:ascii="宋体" w:hAnsi="宋体" w:eastAsia="宋体" w:cs="仿宋_GB2312"/>
          <w:sz w:val="44"/>
          <w:szCs w:val="44"/>
        </w:rPr>
        <w:t>授予合同</w:t>
      </w:r>
      <w:bookmarkEnd w:id="230"/>
      <w:bookmarkEnd w:id="231"/>
      <w:bookmarkEnd w:id="232"/>
      <w:bookmarkEnd w:id="233"/>
      <w:bookmarkEnd w:id="234"/>
      <w:bookmarkEnd w:id="235"/>
      <w:bookmarkEnd w:id="236"/>
    </w:p>
    <w:p>
      <w:pPr>
        <w:pStyle w:val="5"/>
        <w:spacing w:before="0" w:after="0" w:line="360" w:lineRule="auto"/>
        <w:rPr>
          <w:rFonts w:ascii="宋体" w:hAnsi="宋体" w:cs="仿宋_GB2312"/>
          <w:b w:val="0"/>
        </w:rPr>
      </w:pPr>
      <w:bookmarkStart w:id="239" w:name="_Toc389620200"/>
      <w:bookmarkStart w:id="240" w:name="_Toc385992361"/>
      <w:bookmarkStart w:id="241" w:name="_Toc233435948"/>
      <w:bookmarkStart w:id="242" w:name="_Toc9372"/>
      <w:bookmarkStart w:id="243" w:name="_Toc386965859"/>
      <w:bookmarkStart w:id="244" w:name="_Toc13429"/>
      <w:bookmarkStart w:id="245" w:name="_Toc18182"/>
      <w:bookmarkStart w:id="246" w:name="_Toc15022"/>
      <w:bookmarkStart w:id="247" w:name="_Toc392236646"/>
      <w:r>
        <w:rPr>
          <w:rFonts w:hint="eastAsia" w:ascii="宋体" w:hAnsi="宋体" w:cs="仿宋_GB2312"/>
          <w:b w:val="0"/>
        </w:rPr>
        <w:t xml:space="preserve">29 </w:t>
      </w:r>
      <w:bookmarkEnd w:id="239"/>
      <w:bookmarkEnd w:id="240"/>
      <w:bookmarkEnd w:id="241"/>
      <w:r>
        <w:rPr>
          <w:rFonts w:hint="eastAsia" w:ascii="宋体" w:hAnsi="宋体" w:cs="仿宋_GB2312"/>
          <w:b w:val="0"/>
        </w:rPr>
        <w:t>定标及合同授予</w:t>
      </w:r>
      <w:bookmarkEnd w:id="242"/>
      <w:bookmarkEnd w:id="243"/>
      <w:bookmarkEnd w:id="244"/>
      <w:bookmarkEnd w:id="245"/>
      <w:bookmarkEnd w:id="246"/>
      <w:bookmarkEnd w:id="247"/>
    </w:p>
    <w:p>
      <w:pPr>
        <w:adjustRightInd w:val="0"/>
        <w:snapToGrid w:val="0"/>
        <w:spacing w:line="360" w:lineRule="auto"/>
        <w:rPr>
          <w:rFonts w:ascii="宋体" w:hAnsi="宋体" w:cs="仿宋_GB2312"/>
          <w:sz w:val="24"/>
        </w:rPr>
      </w:pPr>
      <w:bookmarkStart w:id="248" w:name="_Toc385992364"/>
      <w:bookmarkStart w:id="249" w:name="_Toc389620203"/>
      <w:r>
        <w:rPr>
          <w:rFonts w:hint="eastAsia" w:ascii="宋体" w:hAnsi="宋体" w:cs="仿宋_GB2312"/>
          <w:sz w:val="24"/>
        </w:rPr>
        <w:t>29.1采购代理机构应在评标结束后2个工作日内，将评标报告送采购人确认。</w:t>
      </w:r>
    </w:p>
    <w:p>
      <w:pPr>
        <w:adjustRightInd w:val="0"/>
        <w:snapToGrid w:val="0"/>
        <w:spacing w:line="360" w:lineRule="auto"/>
        <w:rPr>
          <w:rFonts w:ascii="宋体" w:hAnsi="宋体" w:cs="仿宋_GB2312"/>
          <w:sz w:val="24"/>
        </w:rPr>
      </w:pPr>
      <w:r>
        <w:rPr>
          <w:rFonts w:hint="eastAsia" w:ascii="宋体" w:hAnsi="宋体" w:cs="仿宋_GB2312"/>
          <w:sz w:val="24"/>
        </w:rPr>
        <w:t>29.2采购人在收到评标报告后5个工作日内，根据评标报告对评标过程及结果进行严格审核后确定中标单位，复函采购代理机构。</w:t>
      </w:r>
    </w:p>
    <w:p>
      <w:pPr>
        <w:adjustRightInd w:val="0"/>
        <w:snapToGrid w:val="0"/>
        <w:spacing w:line="360" w:lineRule="auto"/>
        <w:rPr>
          <w:rFonts w:ascii="宋体" w:hAnsi="宋体" w:cs="仿宋_GB2312"/>
          <w:sz w:val="24"/>
        </w:rPr>
      </w:pPr>
      <w:r>
        <w:rPr>
          <w:rFonts w:hint="eastAsia" w:ascii="宋体" w:hAnsi="宋体" w:cs="仿宋_GB2312"/>
          <w:sz w:val="24"/>
        </w:rPr>
        <w:t>29.3采购代理机构在接到采购人的定标复函后，在财政部门指定的政府采购信息发布媒体上公告，并向中标单位发《中标通知书》。</w:t>
      </w:r>
    </w:p>
    <w:p>
      <w:pPr>
        <w:adjustRightInd w:val="0"/>
        <w:snapToGrid w:val="0"/>
        <w:spacing w:line="360" w:lineRule="auto"/>
        <w:rPr>
          <w:rFonts w:ascii="宋体" w:hAnsi="宋体" w:cs="仿宋_GB2312"/>
          <w:sz w:val="24"/>
        </w:rPr>
      </w:pPr>
      <w:r>
        <w:rPr>
          <w:rFonts w:hint="eastAsia" w:ascii="宋体" w:hAnsi="宋体" w:cs="仿宋_GB2312"/>
          <w:sz w:val="24"/>
        </w:rPr>
        <w:t>29.</w:t>
      </w:r>
      <w:r>
        <w:rPr>
          <w:rFonts w:hint="eastAsia" w:ascii="宋体" w:hAnsi="宋体" w:cs="仿宋_GB2312"/>
          <w:sz w:val="24"/>
          <w:lang w:val="en-US" w:eastAsia="zh-CN"/>
        </w:rPr>
        <w:t>4</w:t>
      </w:r>
      <w:r>
        <w:rPr>
          <w:rFonts w:hint="eastAsia" w:ascii="宋体" w:hAnsi="宋体" w:cs="仿宋_GB2312"/>
          <w:sz w:val="24"/>
        </w:rPr>
        <w:t>《中标通知书》将作为签订合同的依据，招标文件、中标单位的投标文件和补充文件（如澄清、承诺等）等，均为有法律约束力的经济合同组成的一部分。</w:t>
      </w:r>
    </w:p>
    <w:p>
      <w:pPr>
        <w:adjustRightInd w:val="0"/>
        <w:snapToGrid w:val="0"/>
        <w:spacing w:line="360" w:lineRule="auto"/>
        <w:rPr>
          <w:rFonts w:ascii="宋体" w:hAnsi="宋体" w:cs="仿宋_GB2312"/>
          <w:sz w:val="24"/>
        </w:rPr>
      </w:pPr>
      <w:r>
        <w:rPr>
          <w:rFonts w:hint="eastAsia" w:ascii="宋体" w:hAnsi="宋体" w:cs="仿宋_GB2312"/>
          <w:sz w:val="24"/>
        </w:rPr>
        <w:t>29.</w:t>
      </w:r>
      <w:r>
        <w:rPr>
          <w:rFonts w:hint="eastAsia" w:ascii="宋体" w:hAnsi="宋体" w:cs="仿宋_GB2312"/>
          <w:sz w:val="24"/>
          <w:lang w:val="en-US" w:eastAsia="zh-CN"/>
        </w:rPr>
        <w:t>5</w:t>
      </w:r>
      <w:r>
        <w:rPr>
          <w:rFonts w:hint="eastAsia" w:ascii="宋体" w:hAnsi="宋体" w:cs="仿宋_GB2312"/>
          <w:sz w:val="24"/>
        </w:rPr>
        <w:t>《中标通知书》发出30天内，如果已中标的供应商不能按投标文件，包括补充文件（如澄清、承诺等）中承诺的条件履行签约行为，采购人有权取消其中标资格。</w:t>
      </w:r>
      <w:bookmarkEnd w:id="248"/>
      <w:bookmarkEnd w:id="249"/>
      <w:bookmarkStart w:id="250" w:name="_Toc12320"/>
      <w:bookmarkStart w:id="251" w:name="_Toc386965860"/>
      <w:bookmarkStart w:id="252" w:name="_Toc311415613"/>
      <w:bookmarkStart w:id="253" w:name="_Toc392236647"/>
    </w:p>
    <w:p>
      <w:pPr>
        <w:adjustRightInd w:val="0"/>
        <w:snapToGrid w:val="0"/>
        <w:spacing w:line="360" w:lineRule="auto"/>
        <w:rPr>
          <w:rFonts w:ascii="宋体" w:hAnsi="宋体" w:cs="仿宋_GB2312"/>
          <w:sz w:val="24"/>
        </w:rPr>
      </w:pPr>
      <w:r>
        <w:rPr>
          <w:rFonts w:hint="eastAsia" w:ascii="宋体" w:hAnsi="宋体" w:cs="仿宋_GB2312"/>
          <w:sz w:val="24"/>
        </w:rPr>
        <w:t>29.</w:t>
      </w:r>
      <w:r>
        <w:rPr>
          <w:rFonts w:hint="eastAsia" w:ascii="宋体" w:hAnsi="宋体" w:cs="仿宋_GB2312"/>
          <w:sz w:val="24"/>
          <w:lang w:val="en-US" w:eastAsia="zh-CN"/>
        </w:rPr>
        <w:t>6</w:t>
      </w:r>
      <w:r>
        <w:rPr>
          <w:rFonts w:hint="eastAsia" w:ascii="宋体" w:hAnsi="宋体" w:cs="仿宋_GB2312"/>
          <w:sz w:val="24"/>
        </w:rPr>
        <w:t>中标单位如果因不可抗力或自身原因不能履行采购合同，采购人可与排位在成交供应商之后第一位的成交候选供应商签订采购合同。</w:t>
      </w:r>
    </w:p>
    <w:p>
      <w:pPr>
        <w:pStyle w:val="5"/>
        <w:spacing w:before="0" w:after="0" w:line="360" w:lineRule="auto"/>
        <w:rPr>
          <w:rFonts w:ascii="宋体" w:hAnsi="宋体" w:cs="仿宋_GB2312"/>
          <w:b w:val="0"/>
        </w:rPr>
      </w:pPr>
      <w:bookmarkStart w:id="254" w:name="_Toc8411"/>
      <w:bookmarkStart w:id="255" w:name="_Toc21179"/>
      <w:bookmarkStart w:id="256" w:name="_Toc8649"/>
      <w:r>
        <w:rPr>
          <w:rFonts w:hint="eastAsia" w:ascii="宋体" w:hAnsi="宋体" w:cs="仿宋_GB2312"/>
          <w:b w:val="0"/>
        </w:rPr>
        <w:t>30 腐败和欺诈行为</w:t>
      </w:r>
      <w:bookmarkEnd w:id="250"/>
      <w:bookmarkEnd w:id="251"/>
      <w:bookmarkEnd w:id="252"/>
      <w:bookmarkEnd w:id="253"/>
      <w:bookmarkEnd w:id="254"/>
      <w:bookmarkEnd w:id="255"/>
      <w:bookmarkEnd w:id="256"/>
    </w:p>
    <w:p>
      <w:pPr>
        <w:adjustRightInd w:val="0"/>
        <w:snapToGrid w:val="0"/>
        <w:spacing w:line="360" w:lineRule="auto"/>
        <w:rPr>
          <w:rFonts w:ascii="宋体" w:hAnsi="宋体" w:cs="仿宋_GB2312"/>
          <w:sz w:val="24"/>
        </w:rPr>
      </w:pPr>
      <w:r>
        <w:rPr>
          <w:rFonts w:hint="eastAsia" w:ascii="宋体" w:hAnsi="宋体" w:cs="仿宋_GB2312"/>
          <w:sz w:val="24"/>
        </w:rPr>
        <w:t>30.1 定义</w:t>
      </w:r>
    </w:p>
    <w:p>
      <w:pPr>
        <w:adjustRightInd w:val="0"/>
        <w:snapToGrid w:val="0"/>
        <w:spacing w:line="360" w:lineRule="auto"/>
        <w:rPr>
          <w:rFonts w:ascii="宋体" w:hAnsi="宋体" w:cs="仿宋_GB2312"/>
          <w:sz w:val="24"/>
        </w:rPr>
      </w:pPr>
      <w:r>
        <w:rPr>
          <w:rFonts w:hint="eastAsia" w:ascii="宋体" w:hAnsi="宋体" w:cs="仿宋_GB2312"/>
          <w:sz w:val="24"/>
        </w:rPr>
        <w:t>30.1.1“腐败行为”是指提供给予接受或索取任何有价值的东西来影响采购代理机构和/或采购人在采购过程或合同实施过程中的行为。</w:t>
      </w:r>
    </w:p>
    <w:p>
      <w:pPr>
        <w:adjustRightInd w:val="0"/>
        <w:snapToGrid w:val="0"/>
        <w:spacing w:line="360" w:lineRule="auto"/>
        <w:rPr>
          <w:rFonts w:ascii="宋体" w:hAnsi="宋体" w:cs="仿宋_GB2312"/>
          <w:sz w:val="24"/>
        </w:rPr>
      </w:pPr>
      <w:r>
        <w:rPr>
          <w:rFonts w:hint="eastAsia" w:ascii="宋体" w:hAnsi="宋体" w:cs="仿宋_GB2312"/>
          <w:sz w:val="24"/>
        </w:rPr>
        <w:t>30.1.2“欺诈行为”是指为了影响采购过程或合同实施过程而谎报事实，损害采购代理机构和/或采购人的利益，包括供应商之间串通投标（递交投标文件之前和之后），人为地使投标丧失竞争性，剥夺采购人从自由公开竞争所能获得的权益。</w:t>
      </w:r>
    </w:p>
    <w:p>
      <w:pPr>
        <w:adjustRightInd w:val="0"/>
        <w:snapToGrid w:val="0"/>
        <w:spacing w:line="360" w:lineRule="auto"/>
        <w:rPr>
          <w:rFonts w:ascii="宋体" w:hAnsi="宋体" w:cs="仿宋_GB2312"/>
          <w:sz w:val="24"/>
        </w:rPr>
      </w:pPr>
      <w:r>
        <w:rPr>
          <w:rFonts w:hint="eastAsia" w:ascii="宋体" w:hAnsi="宋体" w:cs="仿宋_GB2312"/>
          <w:sz w:val="24"/>
        </w:rPr>
        <w:t>30.2如果采购代理机构和采购人认为供应商在本项目的竞争中有腐败或欺诈行为，其投标将被拒绝。</w:t>
      </w:r>
    </w:p>
    <w:p>
      <w:pPr>
        <w:widowControl/>
        <w:spacing w:before="100" w:after="100" w:line="360" w:lineRule="auto"/>
        <w:outlineLvl w:val="2"/>
        <w:rPr>
          <w:rFonts w:ascii="宋体" w:hAnsi="宋体" w:cs="仿宋_GB2312"/>
          <w:kern w:val="0"/>
          <w:sz w:val="32"/>
          <w:szCs w:val="32"/>
        </w:rPr>
      </w:pPr>
      <w:bookmarkStart w:id="257" w:name="_Toc380336757"/>
      <w:bookmarkStart w:id="258" w:name="_Toc19842"/>
      <w:bookmarkStart w:id="259" w:name="_Toc9305"/>
      <w:bookmarkStart w:id="260" w:name="_Toc358364351"/>
      <w:r>
        <w:rPr>
          <w:rFonts w:hint="eastAsia" w:ascii="宋体" w:hAnsi="宋体" w:cs="仿宋_GB2312"/>
          <w:kern w:val="0"/>
          <w:sz w:val="32"/>
          <w:szCs w:val="32"/>
        </w:rPr>
        <w:t>31 招标代理服务费</w:t>
      </w:r>
      <w:bookmarkEnd w:id="257"/>
      <w:bookmarkEnd w:id="258"/>
      <w:bookmarkEnd w:id="259"/>
      <w:bookmarkEnd w:id="260"/>
    </w:p>
    <w:p>
      <w:pPr>
        <w:spacing w:line="360" w:lineRule="auto"/>
        <w:rPr>
          <w:rFonts w:ascii="宋体" w:hAnsi="宋体" w:cs="仿宋_GB2312"/>
          <w:sz w:val="24"/>
        </w:rPr>
      </w:pPr>
      <w:r>
        <w:rPr>
          <w:rFonts w:hint="eastAsia" w:ascii="宋体" w:hAnsi="宋体" w:cs="仿宋_GB2312"/>
          <w:sz w:val="24"/>
        </w:rPr>
        <w:t>31.1中标单位</w:t>
      </w:r>
      <w:r>
        <w:rPr>
          <w:rFonts w:hint="eastAsia" w:ascii="宋体" w:hAnsi="宋体"/>
          <w:sz w:val="24"/>
          <w:szCs w:val="24"/>
        </w:rPr>
        <w:t>在领取中标通知书前，须向采购代理机构支付招标代理服务费。</w:t>
      </w:r>
    </w:p>
    <w:p>
      <w:pPr>
        <w:spacing w:line="360" w:lineRule="auto"/>
        <w:rPr>
          <w:rFonts w:ascii="宋体" w:hAnsi="宋体" w:cs="仿宋_GB2312"/>
          <w:color w:val="auto"/>
          <w:sz w:val="24"/>
        </w:rPr>
      </w:pPr>
      <w:r>
        <w:rPr>
          <w:rFonts w:hint="eastAsia" w:ascii="宋体" w:hAnsi="宋体" w:cs="仿宋_GB2312"/>
          <w:sz w:val="24"/>
        </w:rPr>
        <w:t>31.2招标代理服务费参照</w:t>
      </w:r>
      <w:r>
        <w:rPr>
          <w:rFonts w:hint="eastAsia" w:ascii="宋体" w:hAnsi="宋体"/>
          <w:sz w:val="24"/>
          <w:szCs w:val="24"/>
        </w:rPr>
        <w:t>《国家计委关于印发&lt;招标代理服务收费管理暂行办法&gt;的通知》（计价格[2002]1980号）和国家发展改革委员会办公厅颁发的《关于招标代理服务收费有关问题的通知》（发改办价格[2003]857号）</w:t>
      </w:r>
      <w:r>
        <w:rPr>
          <w:rFonts w:hint="eastAsia" w:ascii="宋体" w:hAnsi="宋体"/>
          <w:color w:val="auto"/>
          <w:sz w:val="24"/>
          <w:szCs w:val="24"/>
        </w:rPr>
        <w:t>规定收费标准</w:t>
      </w:r>
      <w:r>
        <w:rPr>
          <w:rFonts w:hint="eastAsia" w:ascii="宋体" w:hAnsi="宋体" w:cs="仿宋_GB2312"/>
          <w:color w:val="auto"/>
          <w:sz w:val="24"/>
        </w:rPr>
        <w:t>收取。</w:t>
      </w:r>
    </w:p>
    <w:p>
      <w:pPr>
        <w:spacing w:line="360" w:lineRule="auto"/>
      </w:pPr>
      <w:r>
        <w:rPr>
          <w:rFonts w:hint="eastAsia" w:ascii="宋体" w:hAnsi="宋体" w:cs="仿宋_GB2312"/>
          <w:sz w:val="24"/>
        </w:rPr>
        <w:t>31.3</w:t>
      </w:r>
      <w:r>
        <w:rPr>
          <w:rFonts w:hint="eastAsia" w:ascii="宋体" w:hAnsi="宋体" w:cs="宋体"/>
          <w:color w:val="000000"/>
          <w:sz w:val="24"/>
        </w:rPr>
        <w:t>招标代理服务费应计入响应报价中，但不需要单独开列。</w:t>
      </w:r>
      <w:bookmarkStart w:id="261" w:name="_Toc246928931"/>
      <w:bookmarkEnd w:id="261"/>
      <w:bookmarkStart w:id="262" w:name="_Toc21438"/>
    </w:p>
    <w:p>
      <w:pPr>
        <w:widowControl/>
        <w:numPr>
          <w:ilvl w:val="0"/>
          <w:numId w:val="3"/>
        </w:numPr>
        <w:spacing w:before="100" w:after="100" w:line="360" w:lineRule="auto"/>
        <w:outlineLvl w:val="2"/>
        <w:rPr>
          <w:rFonts w:hint="eastAsia" w:ascii="宋体" w:hAnsi="宋体" w:eastAsia="宋体" w:cs="仿宋_GB2312"/>
          <w:kern w:val="0"/>
          <w:sz w:val="32"/>
          <w:szCs w:val="32"/>
        </w:rPr>
      </w:pPr>
      <w:bookmarkStart w:id="263" w:name="_Toc1528"/>
      <w:bookmarkStart w:id="264" w:name="_Toc16790"/>
      <w:bookmarkStart w:id="265" w:name="_Toc21547"/>
      <w:r>
        <w:rPr>
          <w:rFonts w:hint="eastAsia" w:ascii="宋体" w:hAnsi="宋体" w:eastAsia="宋体" w:cs="仿宋_GB2312"/>
          <w:kern w:val="0"/>
          <w:sz w:val="32"/>
          <w:szCs w:val="32"/>
        </w:rPr>
        <w:t>其他</w:t>
      </w:r>
      <w:bookmarkEnd w:id="263"/>
      <w:bookmarkEnd w:id="264"/>
      <w:bookmarkEnd w:id="265"/>
    </w:p>
    <w:p>
      <w:pPr>
        <w:spacing w:line="360" w:lineRule="auto"/>
        <w:rPr>
          <w:rFonts w:hint="eastAsia" w:ascii="宋体" w:hAnsi="宋体" w:cs="仿宋_GB2312"/>
          <w:sz w:val="24"/>
        </w:rPr>
      </w:pPr>
      <w:r>
        <w:rPr>
          <w:rFonts w:hint="eastAsia" w:ascii="宋体" w:hAnsi="宋体" w:cs="仿宋_GB2312"/>
          <w:sz w:val="24"/>
          <w:lang w:val="en-US" w:eastAsia="zh-CN"/>
        </w:rPr>
        <w:t>32.1</w:t>
      </w:r>
      <w:r>
        <w:rPr>
          <w:rFonts w:hint="eastAsia" w:ascii="宋体" w:hAnsi="宋体" w:cs="仿宋_GB2312"/>
          <w:sz w:val="24"/>
        </w:rPr>
        <w:t>信用融资</w:t>
      </w:r>
    </w:p>
    <w:p>
      <w:pPr>
        <w:spacing w:line="360" w:lineRule="auto"/>
        <w:rPr>
          <w:rFonts w:hint="eastAsia" w:ascii="宋体" w:hAnsi="宋体" w:cs="仿宋_GB2312"/>
          <w:sz w:val="24"/>
        </w:rPr>
      </w:pPr>
      <w:r>
        <w:rPr>
          <w:rFonts w:hint="eastAsia" w:ascii="宋体" w:hAnsi="宋体" w:cs="仿宋_GB2312"/>
          <w:sz w:val="24"/>
        </w:rPr>
        <w:t>陕西省政府采购信用融资政策：</w:t>
      </w:r>
    </w:p>
    <w:p>
      <w:pPr>
        <w:spacing w:line="360" w:lineRule="auto"/>
        <w:rPr>
          <w:rFonts w:hint="eastAsia" w:ascii="宋体" w:hAnsi="宋体" w:cs="仿宋_GB2312"/>
          <w:sz w:val="24"/>
        </w:rPr>
      </w:pPr>
      <w:r>
        <w:rPr>
          <w:rFonts w:hint="eastAsia" w:ascii="宋体" w:hAnsi="宋体" w:cs="仿宋_GB2312"/>
          <w:sz w:val="24"/>
        </w:rPr>
        <w:t>根据陕西省财政厅关于印发《陕西省中小企业政府采购信用融资办法》（陕财办采〔2018〕23号）和《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w:t>
      </w:r>
    </w:p>
    <w:p>
      <w:pPr>
        <w:rPr>
          <w:rStyle w:val="42"/>
          <w:rFonts w:hint="eastAsia" w:ascii="宋体" w:hAnsi="宋体"/>
          <w:b/>
          <w:sz w:val="36"/>
          <w:szCs w:val="36"/>
        </w:rPr>
      </w:pPr>
      <w:bookmarkStart w:id="266" w:name="_Toc18980"/>
      <w:bookmarkStart w:id="267" w:name="_Toc18916"/>
      <w:r>
        <w:rPr>
          <w:rStyle w:val="42"/>
          <w:rFonts w:hint="eastAsia" w:ascii="宋体" w:hAnsi="宋体"/>
          <w:b/>
          <w:sz w:val="36"/>
          <w:szCs w:val="36"/>
        </w:rPr>
        <w:br w:type="page"/>
      </w:r>
    </w:p>
    <w:p>
      <w:pPr>
        <w:pStyle w:val="3"/>
        <w:spacing w:line="240" w:lineRule="auto"/>
        <w:jc w:val="center"/>
        <w:rPr>
          <w:rStyle w:val="42"/>
          <w:rFonts w:ascii="宋体" w:hAnsi="宋体" w:cs="仿宋_GB2312"/>
          <w:b/>
          <w:sz w:val="36"/>
          <w:szCs w:val="36"/>
        </w:rPr>
      </w:pPr>
      <w:bookmarkStart w:id="268" w:name="_Toc13287"/>
      <w:r>
        <w:rPr>
          <w:rStyle w:val="42"/>
          <w:rFonts w:hint="eastAsia" w:ascii="宋体" w:hAnsi="宋体"/>
          <w:b/>
          <w:sz w:val="36"/>
          <w:szCs w:val="36"/>
        </w:rPr>
        <w:t xml:space="preserve">第四部分 </w:t>
      </w:r>
      <w:r>
        <w:rPr>
          <w:rStyle w:val="42"/>
          <w:rFonts w:hint="eastAsia" w:ascii="宋体" w:hAnsi="宋体" w:cs="仿宋_GB2312"/>
          <w:b/>
          <w:sz w:val="36"/>
          <w:szCs w:val="36"/>
        </w:rPr>
        <w:t>合同格式</w:t>
      </w:r>
      <w:bookmarkEnd w:id="266"/>
      <w:bookmarkEnd w:id="267"/>
      <w:r>
        <w:rPr>
          <w:rStyle w:val="42"/>
          <w:rFonts w:hint="eastAsia" w:ascii="宋体" w:hAnsi="宋体" w:cs="仿宋_GB2312"/>
          <w:b/>
          <w:sz w:val="36"/>
          <w:szCs w:val="36"/>
        </w:rPr>
        <w:t>（参考格式）</w:t>
      </w:r>
      <w:bookmarkEnd w:id="268"/>
    </w:p>
    <w:p>
      <w:pPr>
        <w:pStyle w:val="8"/>
      </w:pPr>
    </w:p>
    <w:p/>
    <w:p>
      <w:pPr>
        <w:pStyle w:val="8"/>
      </w:pPr>
    </w:p>
    <w:p/>
    <w:p>
      <w:pPr>
        <w:jc w:val="center"/>
        <w:rPr>
          <w:rFonts w:hint="eastAsia"/>
          <w:b/>
          <w:sz w:val="32"/>
          <w:szCs w:val="32"/>
        </w:rPr>
      </w:pPr>
      <w:r>
        <w:rPr>
          <w:rFonts w:hint="eastAsia"/>
          <w:b/>
          <w:sz w:val="32"/>
          <w:szCs w:val="32"/>
        </w:rPr>
        <w:t>铜川市环境大气污染企业治污设施</w:t>
      </w:r>
    </w:p>
    <w:p>
      <w:pPr>
        <w:jc w:val="center"/>
      </w:pPr>
      <w:r>
        <w:rPr>
          <w:rFonts w:hint="eastAsia"/>
          <w:b/>
          <w:sz w:val="32"/>
          <w:szCs w:val="32"/>
        </w:rPr>
        <w:t>用电监管与治污设备管理系统建设项目</w:t>
      </w:r>
    </w:p>
    <w:p/>
    <w:p>
      <w:pPr>
        <w:rPr>
          <w:rFonts w:ascii="宋体" w:hAnsi="宋体" w:cs="宋体"/>
          <w:sz w:val="28"/>
        </w:rPr>
      </w:pPr>
    </w:p>
    <w:p>
      <w:pPr>
        <w:rPr>
          <w:rFonts w:ascii="宋体" w:hAnsi="宋体" w:cs="宋体"/>
          <w:sz w:val="28"/>
        </w:rPr>
      </w:pPr>
    </w:p>
    <w:p>
      <w:pPr>
        <w:jc w:val="center"/>
        <w:rPr>
          <w:rFonts w:ascii="宋体" w:hAnsi="宋体" w:cs="宋体"/>
          <w:sz w:val="32"/>
          <w:szCs w:val="32"/>
        </w:rPr>
      </w:pPr>
    </w:p>
    <w:p>
      <w:pPr>
        <w:jc w:val="center"/>
        <w:rPr>
          <w:rFonts w:ascii="宋体" w:hAnsi="宋体" w:cs="宋体"/>
          <w:b/>
          <w:sz w:val="32"/>
          <w:szCs w:val="32"/>
        </w:rPr>
      </w:pPr>
      <w:r>
        <w:rPr>
          <w:rFonts w:hint="eastAsia" w:ascii="宋体" w:hAnsi="宋体" w:cs="宋体"/>
          <w:b/>
          <w:sz w:val="32"/>
          <w:szCs w:val="32"/>
        </w:rPr>
        <w:t>采</w:t>
      </w: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购</w:t>
      </w: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合</w:t>
      </w: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同</w:t>
      </w:r>
    </w:p>
    <w:p>
      <w:pPr>
        <w:jc w:val="center"/>
        <w:rPr>
          <w:rFonts w:ascii="宋体" w:hAnsi="宋体" w:cs="宋体"/>
          <w:b/>
          <w:sz w:val="30"/>
          <w:szCs w:val="30"/>
        </w:rPr>
      </w:pPr>
    </w:p>
    <w:p>
      <w:pPr>
        <w:jc w:val="center"/>
        <w:rPr>
          <w:rFonts w:ascii="宋体" w:hAnsi="宋体" w:cs="宋体"/>
          <w:sz w:val="28"/>
        </w:rPr>
      </w:pPr>
    </w:p>
    <w:p>
      <w:pPr>
        <w:pStyle w:val="8"/>
      </w:pPr>
    </w:p>
    <w:p/>
    <w:p>
      <w:pPr>
        <w:pStyle w:val="8"/>
      </w:pPr>
    </w:p>
    <w:p/>
    <w:p>
      <w:pPr>
        <w:pStyle w:val="8"/>
      </w:pPr>
    </w:p>
    <w:p/>
    <w:p>
      <w:pPr>
        <w:pStyle w:val="8"/>
      </w:pPr>
    </w:p>
    <w:p/>
    <w:p>
      <w:pPr>
        <w:spacing w:line="480" w:lineRule="auto"/>
        <w:ind w:firstLine="598" w:firstLineChars="248"/>
        <w:rPr>
          <w:rFonts w:ascii="宋体" w:hAnsi="宋体" w:cs="宋体"/>
          <w:b/>
          <w:bCs/>
          <w:sz w:val="24"/>
          <w:szCs w:val="24"/>
          <w:u w:val="single"/>
        </w:rPr>
      </w:pPr>
      <w:r>
        <w:rPr>
          <w:rFonts w:hint="eastAsia" w:ascii="宋体" w:hAnsi="宋体" w:cs="宋体"/>
          <w:b/>
          <w:bCs/>
          <w:sz w:val="24"/>
          <w:szCs w:val="24"/>
        </w:rPr>
        <w:t>甲 方：</w:t>
      </w:r>
    </w:p>
    <w:p>
      <w:pPr>
        <w:spacing w:line="480" w:lineRule="auto"/>
        <w:ind w:firstLine="598" w:firstLineChars="248"/>
        <w:rPr>
          <w:rFonts w:ascii="宋体" w:hAnsi="宋体" w:cs="宋体"/>
          <w:sz w:val="24"/>
          <w:szCs w:val="24"/>
          <w:u w:val="single"/>
        </w:rPr>
      </w:pPr>
      <w:r>
        <w:rPr>
          <w:rFonts w:hint="eastAsia" w:ascii="宋体" w:hAnsi="宋体" w:cs="宋体"/>
          <w:b/>
          <w:bCs/>
          <w:sz w:val="24"/>
          <w:szCs w:val="24"/>
        </w:rPr>
        <w:t>乙 方：</w:t>
      </w:r>
    </w:p>
    <w:p>
      <w:pPr>
        <w:widowControl/>
        <w:spacing w:line="480" w:lineRule="auto"/>
        <w:ind w:firstLine="598" w:firstLineChars="248"/>
        <w:rPr>
          <w:rFonts w:ascii="宋体"/>
          <w:b/>
          <w:sz w:val="24"/>
          <w:szCs w:val="24"/>
        </w:rPr>
      </w:pPr>
      <w:r>
        <w:rPr>
          <w:rFonts w:hint="eastAsia" w:ascii="宋体" w:hAnsi="宋体" w:cs="宋体"/>
          <w:b/>
          <w:bCs/>
          <w:sz w:val="24"/>
          <w:szCs w:val="24"/>
        </w:rPr>
        <w:t>签订时间：</w:t>
      </w:r>
      <w:r>
        <w:rPr>
          <w:rFonts w:hint="eastAsia" w:ascii="宋体" w:hAnsi="宋体" w:cs="宋体"/>
          <w:sz w:val="24"/>
          <w:szCs w:val="24"/>
        </w:rPr>
        <w:br w:type="page"/>
      </w:r>
      <w:r>
        <w:rPr>
          <w:rFonts w:hint="eastAsia" w:ascii="宋体" w:hAnsi="宋体"/>
          <w:b/>
          <w:sz w:val="24"/>
          <w:szCs w:val="24"/>
        </w:rPr>
        <w:t>甲方（采购人）：（以下简称甲方）</w:t>
      </w:r>
    </w:p>
    <w:p>
      <w:pPr>
        <w:spacing w:line="360" w:lineRule="auto"/>
        <w:rPr>
          <w:rFonts w:ascii="宋体"/>
          <w:b/>
          <w:sz w:val="24"/>
          <w:szCs w:val="24"/>
        </w:rPr>
      </w:pPr>
      <w:r>
        <w:rPr>
          <w:rFonts w:hint="eastAsia" w:ascii="宋体" w:hAnsi="宋体"/>
          <w:b/>
          <w:sz w:val="24"/>
          <w:szCs w:val="24"/>
        </w:rPr>
        <w:t>乙方（供应商）： （以下简称乙方）</w:t>
      </w:r>
    </w:p>
    <w:p>
      <w:pPr>
        <w:spacing w:line="360" w:lineRule="auto"/>
        <w:ind w:firstLine="480" w:firstLineChars="200"/>
        <w:rPr>
          <w:rFonts w:ascii="宋体" w:hAnsi="宋体"/>
          <w:sz w:val="24"/>
          <w:szCs w:val="24"/>
        </w:rPr>
      </w:pPr>
      <w:r>
        <w:rPr>
          <w:rFonts w:hint="eastAsia" w:ascii="宋体" w:hAnsi="宋体"/>
          <w:sz w:val="24"/>
          <w:szCs w:val="24"/>
        </w:rPr>
        <w:t>依照《中华人民共和国合同法》及其他有关法律、行政法规，遵循平等、自愿、公平和诚实信用的原则，双方就铜川市环境大气污染企业治污设施用电监管与治污设备管理系统建设项目技术要求、质量保证及付款条件、违约责任等相关条款达成如下协议：</w:t>
      </w:r>
    </w:p>
    <w:p>
      <w:pPr>
        <w:spacing w:line="360" w:lineRule="auto"/>
        <w:rPr>
          <w:rFonts w:ascii="宋体" w:hAnsi="宋体"/>
          <w:b/>
          <w:sz w:val="24"/>
          <w:szCs w:val="24"/>
        </w:rPr>
      </w:pPr>
      <w:r>
        <w:rPr>
          <w:rFonts w:hint="eastAsia" w:ascii="宋体" w:hAnsi="宋体"/>
          <w:b/>
          <w:sz w:val="24"/>
          <w:szCs w:val="24"/>
        </w:rPr>
        <w:t>第一条项目名称及地点</w:t>
      </w:r>
    </w:p>
    <w:p>
      <w:pPr>
        <w:numPr>
          <w:ilvl w:val="0"/>
          <w:numId w:val="4"/>
        </w:numPr>
        <w:spacing w:line="360" w:lineRule="auto"/>
        <w:ind w:firstLine="480" w:firstLineChars="200"/>
        <w:rPr>
          <w:rFonts w:hint="eastAsia" w:ascii="宋体" w:hAnsi="宋体"/>
          <w:sz w:val="24"/>
          <w:szCs w:val="24"/>
        </w:rPr>
      </w:pPr>
      <w:r>
        <w:rPr>
          <w:rFonts w:hint="eastAsia" w:ascii="宋体" w:hAnsi="宋体"/>
          <w:sz w:val="24"/>
          <w:szCs w:val="24"/>
        </w:rPr>
        <w:t>项目名称：铜川市环境大气污染企业治污设施用电监管与治污设备管理系统建设项目</w:t>
      </w:r>
    </w:p>
    <w:p>
      <w:pPr>
        <w:numPr>
          <w:ilvl w:val="0"/>
          <w:numId w:val="4"/>
        </w:numPr>
        <w:spacing w:line="360" w:lineRule="auto"/>
        <w:ind w:firstLine="480" w:firstLineChars="200"/>
        <w:rPr>
          <w:rFonts w:hint="default" w:ascii="宋体" w:hAnsi="宋体"/>
          <w:bCs/>
          <w:sz w:val="24"/>
          <w:szCs w:val="24"/>
          <w:lang w:val="en-US"/>
        </w:rPr>
      </w:pPr>
      <w:r>
        <w:rPr>
          <w:rFonts w:hint="eastAsia" w:ascii="宋体" w:hAnsi="宋体"/>
          <w:sz w:val="24"/>
          <w:szCs w:val="24"/>
          <w:lang w:val="en-US" w:eastAsia="zh-CN"/>
        </w:rPr>
        <w:t>项目</w:t>
      </w:r>
      <w:r>
        <w:rPr>
          <w:rFonts w:hint="eastAsia" w:ascii="宋体" w:hAnsi="宋体"/>
          <w:sz w:val="24"/>
          <w:szCs w:val="24"/>
        </w:rPr>
        <w:t>地点</w:t>
      </w:r>
      <w:r>
        <w:rPr>
          <w:rFonts w:hint="eastAsia" w:ascii="宋体" w:hAnsi="宋体" w:eastAsia="宋体" w:cs="Times New Roman"/>
          <w:sz w:val="24"/>
          <w:szCs w:val="24"/>
        </w:rPr>
        <w:t>：</w:t>
      </w:r>
      <w:r>
        <w:rPr>
          <w:rFonts w:hint="eastAsia" w:ascii="宋体" w:hAnsi="宋体" w:cs="Times New Roman"/>
          <w:sz w:val="24"/>
          <w:szCs w:val="24"/>
          <w:lang w:val="en-US" w:eastAsia="zh-CN"/>
        </w:rPr>
        <w:t>铜川市</w:t>
      </w:r>
    </w:p>
    <w:p>
      <w:pPr>
        <w:spacing w:line="360" w:lineRule="auto"/>
        <w:rPr>
          <w:rFonts w:hint="eastAsia" w:ascii="宋体" w:hAnsi="宋体"/>
          <w:b/>
          <w:sz w:val="24"/>
          <w:szCs w:val="24"/>
        </w:rPr>
      </w:pPr>
      <w:r>
        <w:rPr>
          <w:rFonts w:hint="eastAsia" w:ascii="宋体" w:hAnsi="宋体"/>
          <w:b/>
          <w:sz w:val="24"/>
          <w:szCs w:val="24"/>
        </w:rPr>
        <w:t>第二条采购范围及内容</w:t>
      </w:r>
    </w:p>
    <w:p>
      <w:pPr>
        <w:spacing w:line="360" w:lineRule="auto"/>
        <w:ind w:firstLine="480" w:firstLineChars="200"/>
        <w:rPr>
          <w:rFonts w:hint="eastAsia" w:ascii="宋体" w:hAnsi="宋体" w:eastAsia="宋体" w:cs="Times New Roman"/>
          <w:sz w:val="24"/>
          <w:szCs w:val="24"/>
          <w:lang w:eastAsia="zh-CN"/>
        </w:rPr>
      </w:pPr>
      <w:r>
        <w:rPr>
          <w:rFonts w:hint="eastAsia" w:ascii="宋体" w:hAnsi="宋体" w:eastAsia="宋体" w:cs="Times New Roman"/>
          <w:sz w:val="24"/>
          <w:szCs w:val="24"/>
        </w:rPr>
        <w:t>一是环保用电监测平台，含</w:t>
      </w:r>
      <w:r>
        <w:rPr>
          <w:rFonts w:hint="eastAsia" w:ascii="宋体" w:hAnsi="宋体" w:eastAsia="宋体" w:cs="Times New Roman"/>
          <w:sz w:val="24"/>
          <w:szCs w:val="24"/>
          <w:highlight w:val="yellow"/>
        </w:rPr>
        <w:t>平台</w:t>
      </w:r>
      <w:r>
        <w:rPr>
          <w:rFonts w:hint="eastAsia" w:ascii="宋体" w:hAnsi="宋体" w:cs="Times New Roman"/>
          <w:sz w:val="24"/>
          <w:szCs w:val="24"/>
          <w:highlight w:val="yellow"/>
          <w:lang w:val="en-US" w:eastAsia="zh-CN"/>
        </w:rPr>
        <w:t>系统登录</w:t>
      </w:r>
      <w:r>
        <w:rPr>
          <w:rFonts w:hint="eastAsia" w:ascii="宋体" w:hAnsi="宋体" w:eastAsia="宋体" w:cs="Times New Roman"/>
          <w:sz w:val="24"/>
          <w:szCs w:val="24"/>
        </w:rPr>
        <w:t>、决策中心模块、值守中心模块、监管中心模块、执法调度模块、企业综评模块、执行准则公示模块、系统运维模块及移动端，能够实现对企业生产用电总用电监控分析、企业用电情况统计、实时数据监测、异常情况处理、执法调度处理、对企业进行综合评价等功能</w:t>
      </w:r>
      <w:r>
        <w:rPr>
          <w:rFonts w:hint="eastAsia" w:ascii="宋体" w:hAnsi="宋体" w:eastAsia="宋体" w:cs="Times New Roman"/>
          <w:sz w:val="24"/>
          <w:szCs w:val="24"/>
          <w:lang w:eastAsia="zh-CN"/>
        </w:rPr>
        <w:t>；</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二是BIM环保设备全周期管理系统，含环保设备BIM工艺管理、设备报修维修、设备质控、维修配件管理、能够实现双向数据联动、统一</w:t>
      </w:r>
      <w:r>
        <w:rPr>
          <w:rFonts w:hint="eastAsia" w:ascii="宋体" w:hAnsi="宋体" w:cs="Times New Roman"/>
          <w:sz w:val="24"/>
          <w:szCs w:val="24"/>
          <w:highlight w:val="yellow"/>
          <w:lang w:val="en-US" w:eastAsia="zh-CN"/>
        </w:rPr>
        <w:t>指挥</w:t>
      </w:r>
      <w:r>
        <w:rPr>
          <w:rFonts w:hint="eastAsia" w:ascii="宋体" w:hAnsi="宋体" w:eastAsia="宋体" w:cs="Times New Roman"/>
          <w:sz w:val="24"/>
          <w:szCs w:val="24"/>
          <w:lang w:val="en-US" w:eastAsia="zh-CN"/>
        </w:rPr>
        <w:t>调度、自动识别设备故障、维修进程查询以及配件使用情况记录等功能；</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是高清云视频在线指挥调度系统，基于云视频监管调度平台提供的后台支撑能力，在铜川市生态环境局和各区县生态环境局会场部署高清云视频终端，同时在局长办公室部署桌面级高清云视频终端，通过加密互联网可以进行市局至各区县局及分散在各地网格员之间的视频会议，可以实现音频、视频、数据、内容、即时通讯全面覆盖；</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四是平台配套支撑设备，含流媒体服务器、视频服务器、应用服务器、数据库服务器、云网络服务器、工作站、核心交换机、服务器机柜等设备；</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五是平台运行维护，即平台3年运行维护服务费；</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六是工业空气环境监测，安装工业级环境监测设备，4G物联网卡及设备的运行维护，具有及时反映空气质量变化等功能；</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七是重点餐饮油烟在线监测，安装油烟在线监测终端，排风机用电监测终端、4G物联网卡及设备的运行维护，可以实现在线监测餐饮业净化实施前污染物浓度等功能；</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八是用电监测，安装智能用电监测终端、智能数据运算采集终端、视频监控及其他配套设施，及技术服务及施工维护费用，能够监测企业用电情况并进行数据采集、分析。</w:t>
      </w:r>
    </w:p>
    <w:p>
      <w:pPr>
        <w:spacing w:line="360" w:lineRule="auto"/>
        <w:ind w:firstLine="482" w:firstLineChars="200"/>
        <w:rPr>
          <w:rFonts w:hint="eastAsia" w:ascii="宋体" w:hAnsi="宋体" w:eastAsia="宋体" w:cs="Times New Roman"/>
          <w:b/>
          <w:bCs/>
          <w:color w:val="000000" w:themeColor="text1"/>
          <w:sz w:val="24"/>
          <w:szCs w:val="24"/>
          <w:lang w:val="en-US" w:eastAsia="zh-CN"/>
        </w:rPr>
      </w:pPr>
      <w:r>
        <w:rPr>
          <w:rFonts w:hint="eastAsia" w:ascii="宋体" w:hAnsi="宋体" w:cs="Times New Roman"/>
          <w:b/>
          <w:bCs/>
          <w:color w:val="000000" w:themeColor="text1"/>
          <w:sz w:val="24"/>
          <w:szCs w:val="24"/>
          <w:lang w:val="en-US" w:eastAsia="zh-CN"/>
        </w:rPr>
        <w:t>特别提示：</w:t>
      </w:r>
      <w:r>
        <w:rPr>
          <w:rFonts w:hint="eastAsia" w:ascii="宋体" w:hAnsi="宋体" w:eastAsia="宋体" w:cs="Times New Roman"/>
          <w:b/>
          <w:bCs/>
          <w:color w:val="000000" w:themeColor="text1"/>
          <w:sz w:val="24"/>
          <w:szCs w:val="24"/>
          <w:lang w:val="en-US" w:eastAsia="zh-CN"/>
        </w:rPr>
        <w:t>采购范围内涉及强电施工部分必须委托具有</w:t>
      </w:r>
      <w:r>
        <w:rPr>
          <w:rFonts w:hint="eastAsia" w:ascii="宋体" w:hAnsi="宋体" w:cs="Times New Roman"/>
          <w:b/>
          <w:bCs/>
          <w:color w:val="000000" w:themeColor="text1"/>
          <w:sz w:val="24"/>
          <w:szCs w:val="24"/>
          <w:lang w:val="en-US" w:eastAsia="zh-CN"/>
        </w:rPr>
        <w:t>相应</w:t>
      </w:r>
      <w:r>
        <w:rPr>
          <w:rFonts w:hint="eastAsia" w:ascii="宋体" w:hAnsi="宋体" w:eastAsia="宋体" w:cs="Times New Roman"/>
          <w:b/>
          <w:bCs/>
          <w:color w:val="000000" w:themeColor="text1"/>
          <w:sz w:val="24"/>
          <w:szCs w:val="24"/>
          <w:lang w:val="en-US" w:eastAsia="zh-CN"/>
        </w:rPr>
        <w:t>资质的施工队伍进行施工，操作人员必须具备</w:t>
      </w:r>
      <w:r>
        <w:rPr>
          <w:rFonts w:hint="eastAsia" w:ascii="宋体" w:hAnsi="宋体" w:cs="Times New Roman"/>
          <w:b/>
          <w:bCs/>
          <w:color w:val="000000" w:themeColor="text1"/>
          <w:sz w:val="24"/>
          <w:szCs w:val="24"/>
          <w:lang w:val="en-US" w:eastAsia="zh-CN"/>
        </w:rPr>
        <w:t>相应专业</w:t>
      </w:r>
      <w:r>
        <w:rPr>
          <w:rFonts w:hint="eastAsia" w:ascii="宋体" w:hAnsi="宋体" w:eastAsia="宋体" w:cs="Times New Roman"/>
          <w:b/>
          <w:bCs/>
          <w:color w:val="000000" w:themeColor="text1"/>
          <w:sz w:val="24"/>
          <w:szCs w:val="24"/>
          <w:lang w:val="en-US" w:eastAsia="zh-CN"/>
        </w:rPr>
        <w:t>上岗证。否则由此产生的一切责任全部由供应商承担。</w:t>
      </w:r>
    </w:p>
    <w:p>
      <w:pPr>
        <w:spacing w:line="360" w:lineRule="auto"/>
        <w:rPr>
          <w:rFonts w:hint="eastAsia" w:ascii="宋体" w:hAnsi="宋体" w:eastAsia="宋体" w:cs="仿宋_GB2312"/>
          <w:b w:val="0"/>
          <w:color w:val="auto"/>
          <w:kern w:val="2"/>
          <w:sz w:val="24"/>
          <w:szCs w:val="24"/>
          <w:highlight w:val="yellow"/>
          <w:lang w:val="en-US" w:eastAsia="zh-CN" w:bidi="ar-SA"/>
        </w:rPr>
      </w:pPr>
      <w:r>
        <w:rPr>
          <w:rFonts w:hint="eastAsia" w:ascii="宋体" w:hAnsi="宋体"/>
          <w:b/>
          <w:sz w:val="24"/>
          <w:szCs w:val="24"/>
        </w:rPr>
        <w:t>第三条工期要求</w:t>
      </w:r>
    </w:p>
    <w:p>
      <w:pPr>
        <w:spacing w:line="360" w:lineRule="auto"/>
        <w:ind w:firstLine="480" w:firstLineChars="200"/>
        <w:rPr>
          <w:rFonts w:hint="eastAsia" w:ascii="宋体" w:hAnsi="宋体" w:eastAsia="宋体" w:cs="仿宋_GB2312"/>
          <w:b w:val="0"/>
          <w:color w:val="auto"/>
          <w:kern w:val="2"/>
          <w:sz w:val="24"/>
          <w:szCs w:val="24"/>
          <w:highlight w:val="none"/>
          <w:lang w:val="en-US" w:eastAsia="zh-CN" w:bidi="ar-SA"/>
        </w:rPr>
      </w:pPr>
      <w:r>
        <w:rPr>
          <w:rFonts w:hint="eastAsia" w:ascii="宋体" w:hAnsi="宋体" w:eastAsia="宋体" w:cs="仿宋_GB2312"/>
          <w:b w:val="0"/>
          <w:color w:val="auto"/>
          <w:kern w:val="2"/>
          <w:sz w:val="24"/>
          <w:szCs w:val="24"/>
          <w:highlight w:val="none"/>
          <w:lang w:val="en-US" w:eastAsia="zh-CN" w:bidi="ar-SA"/>
        </w:rPr>
        <w:t>2021年12月31日前完成安装、调试，并可进行试运行</w:t>
      </w:r>
      <w:r>
        <w:rPr>
          <w:rFonts w:hint="eastAsia" w:ascii="宋体" w:hAnsi="宋体" w:cs="仿宋_GB2312"/>
          <w:b w:val="0"/>
          <w:color w:val="auto"/>
          <w:kern w:val="2"/>
          <w:sz w:val="24"/>
          <w:szCs w:val="24"/>
          <w:highlight w:val="none"/>
          <w:lang w:val="en-US" w:eastAsia="zh-CN" w:bidi="ar-SA"/>
        </w:rPr>
        <w:t>。</w:t>
      </w:r>
    </w:p>
    <w:p>
      <w:pPr>
        <w:spacing w:line="360" w:lineRule="auto"/>
        <w:ind w:firstLine="480" w:firstLineChars="200"/>
        <w:rPr>
          <w:rFonts w:hint="eastAsia" w:ascii="宋体" w:hAnsi="宋体"/>
          <w:b/>
          <w:sz w:val="24"/>
          <w:szCs w:val="24"/>
        </w:rPr>
      </w:pPr>
      <w:r>
        <w:rPr>
          <w:rFonts w:hint="eastAsia" w:ascii="宋体" w:hAnsi="宋体" w:eastAsia="宋体" w:cs="仿宋_GB2312"/>
          <w:b w:val="0"/>
          <w:color w:val="auto"/>
          <w:kern w:val="2"/>
          <w:sz w:val="24"/>
          <w:szCs w:val="24"/>
          <w:highlight w:val="none"/>
          <w:lang w:val="en-US" w:eastAsia="zh-CN" w:bidi="ar-SA"/>
        </w:rPr>
        <w:t>运维及服务阶段3年</w:t>
      </w:r>
      <w:r>
        <w:rPr>
          <w:rFonts w:hint="eastAsia" w:ascii="宋体" w:hAnsi="宋体" w:cs="仿宋_GB2312"/>
          <w:b w:val="0"/>
          <w:color w:val="auto"/>
          <w:kern w:val="2"/>
          <w:sz w:val="24"/>
          <w:szCs w:val="24"/>
          <w:highlight w:val="none"/>
          <w:lang w:val="en-US" w:eastAsia="zh-CN" w:bidi="ar-SA"/>
        </w:rPr>
        <w:t>。</w:t>
      </w:r>
    </w:p>
    <w:p>
      <w:pPr>
        <w:spacing w:line="360" w:lineRule="auto"/>
        <w:rPr>
          <w:rFonts w:ascii="宋体" w:hAnsi="宋体"/>
          <w:b/>
          <w:sz w:val="24"/>
          <w:szCs w:val="24"/>
        </w:rPr>
      </w:pPr>
      <w:r>
        <w:rPr>
          <w:rFonts w:hint="eastAsia" w:ascii="宋体" w:hAnsi="宋体"/>
          <w:b/>
          <w:sz w:val="24"/>
          <w:szCs w:val="24"/>
        </w:rPr>
        <w:t>第</w:t>
      </w:r>
      <w:r>
        <w:rPr>
          <w:rFonts w:hint="eastAsia" w:ascii="宋体" w:hAnsi="宋体"/>
          <w:b/>
          <w:sz w:val="24"/>
          <w:szCs w:val="24"/>
          <w:lang w:val="en-US" w:eastAsia="zh-CN"/>
        </w:rPr>
        <w:t>四</w:t>
      </w:r>
      <w:r>
        <w:rPr>
          <w:rFonts w:hint="eastAsia" w:ascii="宋体" w:hAnsi="宋体"/>
          <w:b/>
          <w:sz w:val="24"/>
          <w:szCs w:val="24"/>
        </w:rPr>
        <w:t>条合同价款、结算方式及付款方式</w:t>
      </w:r>
    </w:p>
    <w:p>
      <w:pPr>
        <w:snapToGrid w:val="0"/>
        <w:spacing w:line="360" w:lineRule="auto"/>
        <w:ind w:left="1" w:firstLine="480" w:firstLineChars="200"/>
        <w:rPr>
          <w:rFonts w:hint="default" w:ascii="宋体" w:hAnsi="宋体" w:eastAsia="宋体" w:cs="仿宋_GB2312"/>
          <w:color w:val="00B050"/>
          <w:sz w:val="24"/>
          <w:lang w:val="en-US" w:eastAsia="zh-CN"/>
        </w:rPr>
      </w:pPr>
      <w:r>
        <w:rPr>
          <w:rFonts w:hint="eastAsia" w:ascii="宋体" w:hAnsi="宋体"/>
          <w:color w:val="auto"/>
          <w:sz w:val="24"/>
          <w:szCs w:val="24"/>
          <w:lang w:val="en-US" w:eastAsia="zh-CN"/>
        </w:rPr>
        <w:t>1</w:t>
      </w:r>
      <w:r>
        <w:rPr>
          <w:rFonts w:hint="eastAsia" w:ascii="宋体" w:hAnsi="宋体"/>
          <w:color w:val="auto"/>
          <w:sz w:val="24"/>
          <w:szCs w:val="24"/>
        </w:rPr>
        <w:t>、</w:t>
      </w:r>
      <w:r>
        <w:rPr>
          <w:rFonts w:hint="eastAsia" w:ascii="宋体" w:hAnsi="宋体"/>
          <w:color w:val="000000" w:themeColor="text1"/>
          <w:sz w:val="24"/>
          <w:szCs w:val="24"/>
        </w:rPr>
        <w:t>合同金额：</w:t>
      </w:r>
      <w:r>
        <w:rPr>
          <w:rFonts w:hint="eastAsia" w:ascii="宋体" w:hAnsi="宋体"/>
          <w:color w:val="000000" w:themeColor="text1"/>
          <w:sz w:val="24"/>
          <w:szCs w:val="24"/>
          <w:lang w:val="en-US" w:eastAsia="zh-CN"/>
        </w:rPr>
        <w:t xml:space="preserve">               </w:t>
      </w:r>
      <w:r>
        <w:rPr>
          <w:rFonts w:hint="eastAsia" w:ascii="宋体" w:hAnsi="宋体"/>
          <w:color w:val="000000" w:themeColor="text1"/>
          <w:sz w:val="24"/>
          <w:szCs w:val="24"/>
        </w:rPr>
        <w:t>元（大写：</w:t>
      </w:r>
      <w:r>
        <w:rPr>
          <w:rFonts w:hint="eastAsia" w:ascii="宋体" w:hAnsi="宋体"/>
          <w:color w:val="000000" w:themeColor="text1"/>
          <w:sz w:val="24"/>
          <w:szCs w:val="24"/>
          <w:lang w:val="en-US" w:eastAsia="zh-CN"/>
        </w:rPr>
        <w:t xml:space="preserve">                 </w:t>
      </w:r>
      <w:r>
        <w:rPr>
          <w:rFonts w:hint="eastAsia" w:ascii="宋体" w:hAnsi="宋体"/>
          <w:color w:val="000000" w:themeColor="text1"/>
          <w:sz w:val="24"/>
          <w:szCs w:val="24"/>
        </w:rPr>
        <w:t>）；</w:t>
      </w:r>
      <w:r>
        <w:rPr>
          <w:rFonts w:hint="eastAsia" w:ascii="宋体" w:hAnsi="宋体" w:cs="仿宋_GB2312"/>
          <w:color w:val="000000" w:themeColor="text1"/>
          <w:sz w:val="24"/>
          <w:szCs w:val="24"/>
          <w:lang w:val="en-US" w:eastAsia="zh-CN"/>
        </w:rPr>
        <w:t>包含完成铜川市环境大气污染企业治污设施用电监管与治污设备管理系统建设及三年运维的全部费用（包括招标文件及合同明示和暗示的所有风险费用）</w:t>
      </w:r>
      <w:r>
        <w:rPr>
          <w:rFonts w:hint="eastAsia" w:ascii="宋体" w:hAnsi="宋体" w:cs="仿宋_GB2312"/>
          <w:color w:val="000000" w:themeColor="text1"/>
          <w:sz w:val="24"/>
          <w:szCs w:val="24"/>
          <w:lang w:eastAsia="zh-CN"/>
        </w:rPr>
        <w:t>，</w:t>
      </w:r>
      <w:r>
        <w:rPr>
          <w:rFonts w:hint="eastAsia" w:ascii="宋体" w:hAnsi="宋体" w:cs="仿宋_GB2312"/>
          <w:color w:val="000000" w:themeColor="text1"/>
          <w:sz w:val="24"/>
          <w:szCs w:val="24"/>
          <w:lang w:val="en-US" w:eastAsia="zh-CN"/>
        </w:rPr>
        <w:t>不</w:t>
      </w:r>
      <w:r>
        <w:rPr>
          <w:rFonts w:hint="eastAsia" w:ascii="宋体" w:hAnsi="宋体" w:cs="仿宋_GB2312"/>
          <w:color w:val="000000" w:themeColor="text1"/>
          <w:sz w:val="24"/>
          <w:szCs w:val="24"/>
        </w:rPr>
        <w:t>会因国家政策调整及市场变化因素而得到调整。</w:t>
      </w:r>
      <w:r>
        <w:rPr>
          <w:rFonts w:hint="eastAsia" w:ascii="宋体" w:hAnsi="宋体" w:cs="仿宋_GB2312"/>
          <w:color w:val="000000" w:themeColor="text1"/>
          <w:sz w:val="24"/>
          <w:szCs w:val="24"/>
          <w:lang w:val="en-US" w:eastAsia="zh-CN"/>
        </w:rPr>
        <w:t xml:space="preserve">     </w:t>
      </w:r>
      <w:r>
        <w:rPr>
          <w:rFonts w:hint="eastAsia" w:ascii="宋体" w:hAnsi="宋体" w:cs="仿宋_GB2312"/>
          <w:color w:val="00B050"/>
          <w:sz w:val="24"/>
          <w:lang w:val="en-US" w:eastAsia="zh-CN"/>
        </w:rPr>
        <w:t xml:space="preserve">                         </w:t>
      </w:r>
    </w:p>
    <w:p>
      <w:pPr>
        <w:spacing w:line="360" w:lineRule="auto"/>
        <w:ind w:firstLine="480" w:firstLineChars="200"/>
        <w:rPr>
          <w:rFonts w:hint="eastAsia" w:ascii="宋体" w:hAnsi="宋体" w:cs="仿宋_GB2312"/>
          <w:color w:val="000000" w:themeColor="text1"/>
          <w:sz w:val="24"/>
          <w:szCs w:val="24"/>
          <w:lang w:val="en-US" w:eastAsia="zh-CN"/>
        </w:rPr>
      </w:pPr>
      <w:r>
        <w:rPr>
          <w:rFonts w:hint="eastAsia" w:ascii="宋体" w:hAnsi="宋体"/>
          <w:sz w:val="24"/>
          <w:szCs w:val="24"/>
          <w:lang w:val="en-US" w:eastAsia="zh-CN"/>
        </w:rPr>
        <w:t>3、付款比例：</w:t>
      </w:r>
      <w:r>
        <w:rPr>
          <w:rFonts w:hint="eastAsia" w:ascii="宋体" w:hAnsi="宋体" w:cs="仿宋_GB2312"/>
          <w:color w:val="000000" w:themeColor="text1"/>
          <w:sz w:val="24"/>
          <w:szCs w:val="24"/>
          <w:lang w:val="en-US" w:eastAsia="zh-CN"/>
        </w:rPr>
        <w:t>合同签订后预付合同总价款的30%，项目实施完成，初步验收合格后支付合同总价款的40%，项目全网验收合格后，支付至合同总价款的95%，项目最终验收合格，建设单位进入运营，工程进入质保期，质保期为3年，预留合同总价款的5%作为工程质保金及运维费用，分3年返还。</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lang w:val="en-US" w:eastAsia="zh-CN"/>
        </w:rPr>
        <w:t>4、付款方式：银行转账，乙方须按甲方要求配合提供付款所需的相关资料。</w:t>
      </w:r>
    </w:p>
    <w:p>
      <w:pPr>
        <w:spacing w:line="360" w:lineRule="auto"/>
        <w:ind w:firstLine="480" w:firstLineChars="200"/>
        <w:rPr>
          <w:rFonts w:ascii="宋体" w:hAnsi="宋体"/>
          <w:sz w:val="24"/>
          <w:szCs w:val="24"/>
        </w:rPr>
      </w:pPr>
      <w:r>
        <w:rPr>
          <w:rFonts w:hint="eastAsia" w:ascii="宋体" w:hAnsi="宋体"/>
          <w:sz w:val="24"/>
          <w:szCs w:val="24"/>
        </w:rPr>
        <w:t>付款前，乙方应按照甲方要求，及时向甲方开</w:t>
      </w:r>
      <w:r>
        <w:rPr>
          <w:rFonts w:hint="eastAsia" w:ascii="宋体" w:hAnsi="宋体"/>
          <w:sz w:val="24"/>
          <w:szCs w:val="24"/>
          <w:highlight w:val="none"/>
        </w:rPr>
        <w:t>具发票</w:t>
      </w:r>
      <w:r>
        <w:rPr>
          <w:rFonts w:hint="eastAsia" w:ascii="宋体" w:hAnsi="宋体"/>
          <w:sz w:val="24"/>
          <w:szCs w:val="24"/>
        </w:rPr>
        <w:t>。乙方向甲方开具的</w:t>
      </w:r>
      <w:r>
        <w:rPr>
          <w:rFonts w:hint="eastAsia" w:ascii="宋体" w:hAnsi="宋体"/>
          <w:sz w:val="24"/>
          <w:szCs w:val="24"/>
          <w:lang w:val="en-US" w:eastAsia="zh-CN"/>
        </w:rPr>
        <w:t>发票</w:t>
      </w:r>
      <w:r>
        <w:rPr>
          <w:rFonts w:hint="eastAsia" w:ascii="宋体" w:hAnsi="宋体"/>
          <w:sz w:val="24"/>
          <w:szCs w:val="24"/>
        </w:rPr>
        <w:t>，必须确保发票票面信息全部真实，相关材料品目、价款等内容与本合同一致。因发票票面信息有误导致</w:t>
      </w:r>
      <w:r>
        <w:rPr>
          <w:rFonts w:hint="eastAsia" w:ascii="宋体" w:hAnsi="宋体"/>
          <w:sz w:val="24"/>
          <w:szCs w:val="24"/>
          <w:lang w:val="en-US" w:eastAsia="zh-CN"/>
        </w:rPr>
        <w:t>相关后果</w:t>
      </w:r>
      <w:r>
        <w:rPr>
          <w:rFonts w:hint="eastAsia" w:ascii="宋体" w:hAnsi="宋体"/>
          <w:sz w:val="24"/>
          <w:szCs w:val="24"/>
        </w:rPr>
        <w:t>，乙方需向甲方承担赔偿责任，包括但不限于税款、滞纳金、罚款及相关损失等。</w:t>
      </w:r>
    </w:p>
    <w:p>
      <w:pPr>
        <w:spacing w:line="360" w:lineRule="auto"/>
        <w:rPr>
          <w:rFonts w:ascii="宋体" w:hAnsi="宋体"/>
          <w:b/>
          <w:sz w:val="24"/>
          <w:szCs w:val="24"/>
        </w:rPr>
      </w:pPr>
      <w:r>
        <w:rPr>
          <w:rFonts w:hint="eastAsia" w:ascii="宋体" w:hAnsi="宋体"/>
          <w:b/>
          <w:sz w:val="24"/>
          <w:szCs w:val="24"/>
        </w:rPr>
        <w:t>第</w:t>
      </w:r>
      <w:r>
        <w:rPr>
          <w:rFonts w:hint="eastAsia" w:ascii="宋体" w:hAnsi="宋体"/>
          <w:b/>
          <w:sz w:val="24"/>
          <w:szCs w:val="24"/>
          <w:lang w:val="en-US" w:eastAsia="zh-CN"/>
        </w:rPr>
        <w:t>五</w:t>
      </w:r>
      <w:r>
        <w:rPr>
          <w:rFonts w:hint="eastAsia" w:ascii="宋体" w:hAnsi="宋体"/>
          <w:b/>
          <w:sz w:val="24"/>
          <w:szCs w:val="24"/>
        </w:rPr>
        <w:t>条双方权利和义务</w:t>
      </w:r>
    </w:p>
    <w:p>
      <w:pPr>
        <w:spacing w:line="360" w:lineRule="auto"/>
        <w:ind w:firstLine="482" w:firstLineChars="200"/>
        <w:rPr>
          <w:rFonts w:ascii="宋体" w:hAnsi="宋体"/>
          <w:b/>
          <w:bCs/>
          <w:sz w:val="24"/>
          <w:szCs w:val="24"/>
        </w:rPr>
      </w:pPr>
      <w:r>
        <w:rPr>
          <w:rFonts w:hint="eastAsia" w:ascii="宋体" w:hAnsi="宋体"/>
          <w:b/>
          <w:bCs/>
          <w:sz w:val="24"/>
          <w:szCs w:val="24"/>
        </w:rPr>
        <w:t>甲方权利义务：</w:t>
      </w:r>
    </w:p>
    <w:p>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、工期上不能满足要求时，甲方有权要求乙方增派施工人员。</w:t>
      </w:r>
    </w:p>
    <w:p>
      <w:pPr>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、甲方应按合同约定及时给乙方支付款</w:t>
      </w:r>
      <w:r>
        <w:rPr>
          <w:rFonts w:hint="eastAsia" w:ascii="宋体" w:hAnsi="宋体"/>
          <w:sz w:val="24"/>
          <w:szCs w:val="24"/>
          <w:lang w:val="en-US" w:eastAsia="zh-CN"/>
        </w:rPr>
        <w:t>项</w:t>
      </w:r>
      <w:r>
        <w:rPr>
          <w:rFonts w:hint="eastAsia" w:ascii="宋体" w:hAnsi="宋体"/>
          <w:sz w:val="24"/>
          <w:szCs w:val="24"/>
        </w:rPr>
        <w:t>。</w:t>
      </w:r>
    </w:p>
    <w:p>
      <w:pPr>
        <w:spacing w:line="360" w:lineRule="auto"/>
        <w:ind w:firstLine="482" w:firstLineChars="200"/>
        <w:rPr>
          <w:rFonts w:ascii="宋体" w:hAnsi="宋体"/>
          <w:b/>
          <w:bCs/>
          <w:sz w:val="24"/>
          <w:szCs w:val="24"/>
        </w:rPr>
      </w:pPr>
      <w:r>
        <w:rPr>
          <w:rFonts w:hint="eastAsia" w:ascii="宋体" w:hAnsi="宋体"/>
          <w:b/>
          <w:bCs/>
          <w:sz w:val="24"/>
          <w:szCs w:val="24"/>
        </w:rPr>
        <w:t>乙方权利义务：</w:t>
      </w:r>
    </w:p>
    <w:p>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、按甲方要求保质、保量并按时完成</w:t>
      </w:r>
      <w:r>
        <w:rPr>
          <w:rFonts w:hint="eastAsia" w:ascii="宋体" w:hAnsi="宋体"/>
          <w:sz w:val="24"/>
          <w:szCs w:val="24"/>
          <w:lang w:val="en-US" w:eastAsia="zh-CN"/>
        </w:rPr>
        <w:t>本项目</w:t>
      </w:r>
      <w:r>
        <w:rPr>
          <w:rFonts w:hint="eastAsia" w:ascii="宋体" w:hAnsi="宋体"/>
          <w:sz w:val="24"/>
          <w:szCs w:val="24"/>
        </w:rPr>
        <w:t>。</w:t>
      </w:r>
    </w:p>
    <w:p>
      <w:pPr>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w:t>
      </w:r>
      <w:r>
        <w:rPr>
          <w:rFonts w:hint="eastAsia" w:ascii="宋体" w:hAnsi="宋体" w:cs="宋体"/>
          <w:sz w:val="24"/>
          <w:szCs w:val="24"/>
        </w:rPr>
        <w:t>乙方负责</w:t>
      </w:r>
      <w:r>
        <w:rPr>
          <w:rFonts w:hint="eastAsia" w:ascii="宋体" w:hAnsi="宋体" w:cs="宋体"/>
          <w:sz w:val="24"/>
          <w:szCs w:val="24"/>
          <w:lang w:val="en-US" w:eastAsia="zh-CN"/>
        </w:rPr>
        <w:t>本项目相关平台建设以及</w:t>
      </w:r>
      <w:r>
        <w:rPr>
          <w:rFonts w:hint="eastAsia" w:ascii="宋体" w:hAnsi="宋体" w:cs="宋体"/>
          <w:sz w:val="24"/>
          <w:szCs w:val="24"/>
        </w:rPr>
        <w:t>所有</w:t>
      </w:r>
      <w:r>
        <w:rPr>
          <w:rFonts w:hint="eastAsia" w:ascii="宋体" w:hAnsi="宋体" w:cs="宋体"/>
          <w:sz w:val="24"/>
          <w:szCs w:val="24"/>
          <w:lang w:val="en-US" w:eastAsia="zh-CN"/>
        </w:rPr>
        <w:t>货物</w:t>
      </w:r>
      <w:r>
        <w:rPr>
          <w:rFonts w:hint="eastAsia" w:ascii="宋体" w:hAnsi="宋体" w:cs="宋体"/>
          <w:sz w:val="24"/>
          <w:szCs w:val="24"/>
        </w:rPr>
        <w:t>的运输</w:t>
      </w:r>
      <w:r>
        <w:rPr>
          <w:rFonts w:hint="eastAsia" w:ascii="宋体" w:hAnsi="宋体" w:cs="宋体"/>
          <w:sz w:val="24"/>
          <w:szCs w:val="24"/>
          <w:lang w:eastAsia="zh-CN"/>
        </w:rPr>
        <w:t>、</w:t>
      </w:r>
      <w:r>
        <w:rPr>
          <w:rFonts w:hint="eastAsia" w:ascii="宋体" w:hAnsi="宋体" w:cs="宋体"/>
          <w:sz w:val="24"/>
          <w:szCs w:val="24"/>
          <w:lang w:val="en-US" w:eastAsia="zh-CN"/>
        </w:rPr>
        <w:t>安装、调试等</w:t>
      </w:r>
      <w:r>
        <w:rPr>
          <w:rFonts w:hint="eastAsia" w:ascii="宋体" w:hAnsi="宋体" w:cs="宋体"/>
          <w:sz w:val="24"/>
          <w:szCs w:val="24"/>
        </w:rPr>
        <w:t>。确保</w:t>
      </w:r>
      <w:r>
        <w:rPr>
          <w:rFonts w:hint="eastAsia" w:ascii="宋体" w:hAnsi="宋体" w:cs="宋体"/>
          <w:sz w:val="24"/>
          <w:szCs w:val="24"/>
          <w:lang w:val="en-US" w:eastAsia="zh-CN"/>
        </w:rPr>
        <w:t>货物</w:t>
      </w:r>
      <w:r>
        <w:rPr>
          <w:rFonts w:hint="eastAsia" w:ascii="宋体" w:hAnsi="宋体" w:cs="宋体"/>
          <w:sz w:val="24"/>
          <w:szCs w:val="24"/>
        </w:rPr>
        <w:t>安全、完整到达使用地点，运杂费用包含在总价内，包括</w:t>
      </w:r>
      <w:r>
        <w:rPr>
          <w:rFonts w:hint="eastAsia" w:ascii="宋体" w:hAnsi="宋体" w:cs="宋体"/>
          <w:sz w:val="24"/>
          <w:szCs w:val="24"/>
          <w:lang w:val="en-US" w:eastAsia="zh-CN"/>
        </w:rPr>
        <w:t>货物</w:t>
      </w:r>
      <w:r>
        <w:rPr>
          <w:rFonts w:hint="eastAsia" w:ascii="宋体" w:hAnsi="宋体" w:cs="宋体"/>
          <w:sz w:val="24"/>
          <w:szCs w:val="24"/>
        </w:rPr>
        <w:t>从供货地点到使用地点的运输费、保险费、搬运费等。</w:t>
      </w:r>
    </w:p>
    <w:p>
      <w:pPr>
        <w:spacing w:line="360" w:lineRule="auto"/>
        <w:rPr>
          <w:rFonts w:ascii="宋体" w:hAnsi="宋体"/>
          <w:b/>
          <w:sz w:val="24"/>
          <w:szCs w:val="24"/>
        </w:rPr>
      </w:pPr>
      <w:r>
        <w:rPr>
          <w:rFonts w:hint="eastAsia" w:ascii="宋体" w:hAnsi="宋体"/>
          <w:b/>
          <w:sz w:val="24"/>
          <w:szCs w:val="24"/>
        </w:rPr>
        <w:t>第</w:t>
      </w:r>
      <w:r>
        <w:rPr>
          <w:rFonts w:hint="eastAsia" w:ascii="宋体" w:hAnsi="宋体"/>
          <w:b/>
          <w:sz w:val="24"/>
          <w:szCs w:val="24"/>
          <w:lang w:val="en-US" w:eastAsia="zh-CN"/>
        </w:rPr>
        <w:t>六</w:t>
      </w:r>
      <w:r>
        <w:rPr>
          <w:rFonts w:hint="eastAsia" w:ascii="宋体" w:hAnsi="宋体"/>
          <w:b/>
          <w:sz w:val="24"/>
          <w:szCs w:val="24"/>
        </w:rPr>
        <w:t>条工程验收</w:t>
      </w:r>
    </w:p>
    <w:p>
      <w:pPr>
        <w:spacing w:line="360" w:lineRule="auto"/>
        <w:ind w:firstLine="480" w:firstLineChars="200"/>
        <w:rPr>
          <w:rFonts w:ascii="宋体" w:hAnsi="宋体"/>
          <w:sz w:val="24"/>
          <w:szCs w:val="24"/>
        </w:rPr>
      </w:pPr>
      <w:r>
        <w:rPr>
          <w:rFonts w:hint="eastAsia" w:ascii="宋体" w:hAnsi="宋体"/>
          <w:sz w:val="24"/>
          <w:szCs w:val="24"/>
        </w:rPr>
        <w:t>1、乙方</w:t>
      </w:r>
      <w:r>
        <w:rPr>
          <w:rFonts w:hint="eastAsia" w:ascii="宋体" w:hAnsi="宋体"/>
          <w:sz w:val="24"/>
          <w:szCs w:val="24"/>
          <w:lang w:val="en-US" w:eastAsia="zh-CN"/>
        </w:rPr>
        <w:t>完成本项目后</w:t>
      </w:r>
      <w:r>
        <w:rPr>
          <w:rFonts w:hint="eastAsia" w:ascii="宋体" w:hAnsi="宋体"/>
          <w:sz w:val="24"/>
          <w:szCs w:val="24"/>
        </w:rPr>
        <w:t>先自验，自验合格后书面提请甲方组织相关部门对该</w:t>
      </w:r>
      <w:r>
        <w:rPr>
          <w:rFonts w:hint="eastAsia" w:ascii="宋体" w:hAnsi="宋体"/>
          <w:sz w:val="24"/>
          <w:szCs w:val="24"/>
          <w:lang w:val="en-US" w:eastAsia="zh-CN"/>
        </w:rPr>
        <w:t>项目</w:t>
      </w:r>
      <w:r>
        <w:rPr>
          <w:rFonts w:hint="eastAsia" w:ascii="宋体" w:hAnsi="宋体"/>
          <w:sz w:val="24"/>
          <w:szCs w:val="24"/>
        </w:rPr>
        <w:t>进行验收。</w:t>
      </w:r>
    </w:p>
    <w:p>
      <w:pPr>
        <w:spacing w:line="360" w:lineRule="auto"/>
        <w:ind w:firstLine="480" w:firstLineChars="200"/>
        <w:rPr>
          <w:rFonts w:ascii="宋体" w:hAnsi="宋体"/>
          <w:sz w:val="24"/>
          <w:szCs w:val="24"/>
        </w:rPr>
      </w:pPr>
      <w:r>
        <w:rPr>
          <w:rFonts w:hint="eastAsia" w:ascii="宋体" w:hAnsi="宋体"/>
          <w:sz w:val="24"/>
          <w:szCs w:val="24"/>
        </w:rPr>
        <w:t>2、乙方以合同约定或国家标准验收条件为依据，安装</w:t>
      </w:r>
      <w:r>
        <w:rPr>
          <w:rFonts w:hint="eastAsia" w:ascii="宋体" w:hAnsi="宋体"/>
          <w:sz w:val="24"/>
          <w:szCs w:val="24"/>
          <w:lang w:val="en-US" w:eastAsia="zh-CN"/>
        </w:rPr>
        <w:t>调试</w:t>
      </w:r>
      <w:r>
        <w:rPr>
          <w:rFonts w:hint="eastAsia" w:ascii="宋体" w:hAnsi="宋体"/>
          <w:sz w:val="24"/>
          <w:szCs w:val="24"/>
        </w:rPr>
        <w:t>完毕，书面提请甲方组织相关人员验收，甲方验收完毕后，签署验收单，办理移交手续。</w:t>
      </w:r>
    </w:p>
    <w:p>
      <w:pPr>
        <w:spacing w:line="360" w:lineRule="auto"/>
        <w:rPr>
          <w:rFonts w:ascii="宋体" w:hAnsi="宋体"/>
          <w:b/>
          <w:sz w:val="24"/>
          <w:szCs w:val="24"/>
        </w:rPr>
      </w:pPr>
      <w:r>
        <w:rPr>
          <w:rFonts w:hint="eastAsia" w:ascii="宋体" w:hAnsi="宋体"/>
          <w:b/>
          <w:sz w:val="24"/>
          <w:szCs w:val="24"/>
        </w:rPr>
        <w:t>第</w:t>
      </w:r>
      <w:r>
        <w:rPr>
          <w:rFonts w:hint="eastAsia" w:ascii="宋体" w:hAnsi="宋体"/>
          <w:b/>
          <w:sz w:val="24"/>
          <w:szCs w:val="24"/>
          <w:lang w:val="en-US" w:eastAsia="zh-CN"/>
        </w:rPr>
        <w:t>七</w:t>
      </w:r>
      <w:r>
        <w:rPr>
          <w:rFonts w:hint="eastAsia" w:ascii="宋体" w:hAnsi="宋体"/>
          <w:b/>
          <w:sz w:val="24"/>
          <w:szCs w:val="24"/>
        </w:rPr>
        <w:t>条违约责任</w:t>
      </w:r>
    </w:p>
    <w:p>
      <w:pPr>
        <w:spacing w:line="360" w:lineRule="auto"/>
        <w:ind w:firstLine="480" w:firstLineChars="200"/>
        <w:rPr>
          <w:rFonts w:ascii="宋体" w:hAnsi="宋体"/>
          <w:sz w:val="24"/>
          <w:szCs w:val="24"/>
        </w:rPr>
      </w:pPr>
      <w:r>
        <w:rPr>
          <w:rFonts w:hint="eastAsia" w:ascii="宋体" w:hAnsi="宋体"/>
          <w:sz w:val="24"/>
          <w:szCs w:val="24"/>
          <w:lang w:val="en-US" w:eastAsia="zh-CN"/>
        </w:rPr>
        <w:t>1</w:t>
      </w:r>
      <w:r>
        <w:rPr>
          <w:rFonts w:hint="eastAsia" w:ascii="宋体" w:hAnsi="宋体"/>
          <w:sz w:val="24"/>
          <w:szCs w:val="24"/>
        </w:rPr>
        <w:t>、乙方提交的规格、数量、质量不符合合同规定时，乙方负责包换或包修，更换或修理直至符合合同规定，由此造成工期延误的，承担相应的责任。</w:t>
      </w:r>
    </w:p>
    <w:p>
      <w:pPr>
        <w:spacing w:line="360" w:lineRule="auto"/>
        <w:ind w:firstLine="480" w:firstLineChars="200"/>
        <w:rPr>
          <w:rFonts w:ascii="宋体" w:hAnsi="宋体"/>
          <w:sz w:val="24"/>
          <w:szCs w:val="24"/>
        </w:rPr>
      </w:pPr>
      <w:r>
        <w:rPr>
          <w:rFonts w:hint="eastAsia" w:ascii="宋体" w:hAnsi="宋体"/>
          <w:sz w:val="24"/>
          <w:szCs w:val="24"/>
          <w:lang w:val="en-US" w:eastAsia="zh-CN"/>
        </w:rPr>
        <w:t>2</w:t>
      </w:r>
      <w:r>
        <w:rPr>
          <w:rFonts w:hint="eastAsia" w:ascii="宋体" w:hAnsi="宋体"/>
          <w:sz w:val="24"/>
          <w:szCs w:val="24"/>
        </w:rPr>
        <w:t>、</w:t>
      </w:r>
      <w:r>
        <w:rPr>
          <w:rFonts w:hint="eastAsia" w:ascii="宋体" w:hAnsi="宋体" w:cs="宋体"/>
          <w:sz w:val="24"/>
          <w:szCs w:val="24"/>
        </w:rPr>
        <w:t>在履行合同过程中，如果乙方遇到可能妨碍工期的情况，应及时以书面形式将拖延的事实，可能拖延的期限和理由通知甲方。甲方在收到乙方通知后，应尽快对情况进行评价，并确定是否通过修改合同，酌情延长工期。</w:t>
      </w:r>
    </w:p>
    <w:p>
      <w:pPr>
        <w:spacing w:line="360" w:lineRule="auto"/>
        <w:ind w:firstLine="480" w:firstLineChars="200"/>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w:t>
      </w:r>
      <w:r>
        <w:rPr>
          <w:rFonts w:hint="eastAsia" w:ascii="宋体" w:hAnsi="宋体" w:cs="宋体"/>
          <w:sz w:val="24"/>
          <w:szCs w:val="24"/>
        </w:rPr>
        <w:t>违约终止合同：乙方未按合同要求完成本项目产品供应及安装工程，或提供的产品完成的工程不能满足技术要求，甲方会同监督机构有权终止合同，对乙方违约行为进行追究，同时按政府采购法的有关规定进行相应的处罚。</w:t>
      </w:r>
    </w:p>
    <w:p>
      <w:pPr>
        <w:spacing w:line="360" w:lineRule="auto"/>
        <w:ind w:firstLine="480" w:firstLineChars="200"/>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、甲方免责条款：</w:t>
      </w:r>
    </w:p>
    <w:p>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）乙方提交的规格、数量、质量、时间不符合合同规定；</w:t>
      </w:r>
    </w:p>
    <w:p>
      <w:pPr>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）涉及到以上条款的均不在甲方约定赔偿范围内。</w:t>
      </w:r>
    </w:p>
    <w:p>
      <w:pPr>
        <w:spacing w:line="360" w:lineRule="auto"/>
        <w:rPr>
          <w:rFonts w:ascii="宋体" w:hAnsi="宋体"/>
          <w:b/>
          <w:sz w:val="24"/>
          <w:szCs w:val="24"/>
        </w:rPr>
      </w:pPr>
      <w:r>
        <w:rPr>
          <w:rFonts w:hint="eastAsia" w:ascii="宋体" w:hAnsi="宋体"/>
          <w:b/>
          <w:sz w:val="24"/>
          <w:szCs w:val="24"/>
        </w:rPr>
        <w:t>第十条合同争议的解决方式</w:t>
      </w:r>
    </w:p>
    <w:p>
      <w:pPr>
        <w:spacing w:line="360" w:lineRule="auto"/>
        <w:ind w:firstLine="480" w:firstLineChars="200"/>
        <w:rPr>
          <w:rFonts w:ascii="宋体" w:hAnsi="宋体"/>
          <w:sz w:val="24"/>
          <w:szCs w:val="24"/>
        </w:rPr>
      </w:pPr>
      <w:r>
        <w:rPr>
          <w:rFonts w:hint="eastAsia" w:ascii="宋体" w:hAnsi="宋体"/>
          <w:sz w:val="24"/>
          <w:szCs w:val="24"/>
        </w:rPr>
        <w:t>本合同未尽事宜由甲乙双方协商解决，协商不成的可向甲方所在地有管辖权的人民法院起诉。</w:t>
      </w:r>
    </w:p>
    <w:p>
      <w:pPr>
        <w:spacing w:line="360" w:lineRule="auto"/>
        <w:rPr>
          <w:rFonts w:ascii="宋体" w:hAnsi="宋体"/>
          <w:b/>
          <w:sz w:val="24"/>
          <w:szCs w:val="24"/>
        </w:rPr>
      </w:pPr>
      <w:r>
        <w:rPr>
          <w:rFonts w:hint="eastAsia" w:ascii="宋体" w:hAnsi="宋体"/>
          <w:b/>
          <w:sz w:val="24"/>
          <w:szCs w:val="24"/>
        </w:rPr>
        <w:t>第十一条其他</w:t>
      </w:r>
    </w:p>
    <w:p>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、本合同自双方签字盖章之日起生效。</w:t>
      </w:r>
    </w:p>
    <w:p>
      <w:pPr>
        <w:spacing w:line="360" w:lineRule="auto"/>
        <w:ind w:firstLine="480" w:firstLineChars="200"/>
        <w:rPr>
          <w:rFonts w:ascii="宋体" w:hAnsi="宋体"/>
          <w:sz w:val="24"/>
          <w:szCs w:val="24"/>
        </w:rPr>
      </w:pPr>
      <w:r>
        <w:rPr>
          <w:rFonts w:hint="eastAsia" w:ascii="宋体" w:hAnsi="宋体"/>
          <w:sz w:val="24"/>
          <w:szCs w:val="24"/>
        </w:rPr>
        <w:t>2、本合同一式   份，甲方  份，乙方  份，具有同等法律效力。</w:t>
      </w:r>
    </w:p>
    <w:p>
      <w:pPr>
        <w:spacing w:line="360" w:lineRule="auto"/>
        <w:rPr>
          <w:rFonts w:ascii="宋体" w:hAnsi="宋体"/>
          <w:b/>
          <w:sz w:val="24"/>
          <w:szCs w:val="24"/>
        </w:rPr>
      </w:pPr>
      <w:r>
        <w:rPr>
          <w:rFonts w:hint="eastAsia" w:ascii="宋体" w:hAnsi="宋体"/>
          <w:b/>
          <w:sz w:val="24"/>
          <w:szCs w:val="24"/>
        </w:rPr>
        <w:t>第十二条附件</w:t>
      </w:r>
    </w:p>
    <w:p>
      <w:pPr>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、本合同附件：</w:t>
      </w:r>
    </w:p>
    <w:p>
      <w:pPr>
        <w:spacing w:line="360" w:lineRule="auto"/>
        <w:ind w:firstLine="480" w:firstLineChars="200"/>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预算</w:t>
      </w:r>
      <w:r>
        <w:rPr>
          <w:rFonts w:hint="eastAsia" w:ascii="宋体" w:hAnsi="宋体"/>
          <w:sz w:val="24"/>
          <w:szCs w:val="24"/>
        </w:rPr>
        <w:t>清单</w:t>
      </w:r>
    </w:p>
    <w:p>
      <w:pPr>
        <w:spacing w:line="480" w:lineRule="exact"/>
        <w:ind w:firstLine="480" w:firstLineChars="200"/>
        <w:rPr>
          <w:rFonts w:ascii="宋体" w:hAnsi="宋体"/>
          <w:sz w:val="24"/>
          <w:szCs w:val="24"/>
        </w:rPr>
      </w:pPr>
      <w:r>
        <w:rPr>
          <w:rFonts w:hint="eastAsia" w:ascii="宋体" w:hAnsi="宋体"/>
          <w:sz w:val="24"/>
          <w:szCs w:val="24"/>
        </w:rPr>
        <w:t>甲方:                                 乙方:</w:t>
      </w:r>
    </w:p>
    <w:p>
      <w:pPr>
        <w:spacing w:line="480" w:lineRule="exact"/>
        <w:ind w:firstLine="480" w:firstLineChars="200"/>
        <w:rPr>
          <w:rFonts w:ascii="宋体" w:hAnsi="宋体"/>
          <w:sz w:val="24"/>
          <w:szCs w:val="24"/>
        </w:rPr>
      </w:pPr>
      <w:r>
        <w:rPr>
          <w:rFonts w:hint="eastAsia" w:ascii="宋体" w:hAnsi="宋体"/>
          <w:sz w:val="24"/>
          <w:szCs w:val="24"/>
        </w:rPr>
        <w:t>地址：                                地址：</w:t>
      </w:r>
    </w:p>
    <w:p>
      <w:pPr>
        <w:spacing w:line="480" w:lineRule="exact"/>
        <w:ind w:firstLine="480" w:firstLineChars="200"/>
        <w:rPr>
          <w:rFonts w:ascii="宋体" w:hAnsi="宋体"/>
          <w:sz w:val="24"/>
          <w:szCs w:val="24"/>
        </w:rPr>
      </w:pPr>
      <w:r>
        <w:rPr>
          <w:rFonts w:hint="eastAsia" w:ascii="宋体" w:hAnsi="宋体"/>
          <w:sz w:val="24"/>
          <w:szCs w:val="24"/>
        </w:rPr>
        <w:t>法定代表人：                          法定代表人：</w:t>
      </w:r>
    </w:p>
    <w:p>
      <w:pPr>
        <w:spacing w:line="480" w:lineRule="exact"/>
        <w:ind w:firstLine="480" w:firstLineChars="200"/>
        <w:rPr>
          <w:rFonts w:ascii="宋体" w:hAnsi="宋体"/>
          <w:sz w:val="24"/>
          <w:szCs w:val="24"/>
        </w:rPr>
      </w:pPr>
      <w:r>
        <w:rPr>
          <w:rFonts w:hint="eastAsia" w:ascii="宋体" w:hAnsi="宋体"/>
          <w:sz w:val="24"/>
          <w:szCs w:val="24"/>
        </w:rPr>
        <w:t>电话：                                 电话：</w:t>
      </w:r>
    </w:p>
    <w:p>
      <w:pPr>
        <w:spacing w:line="480" w:lineRule="exact"/>
        <w:ind w:firstLine="480" w:firstLineChars="200"/>
        <w:rPr>
          <w:rFonts w:ascii="宋体" w:hAnsi="宋体"/>
          <w:sz w:val="24"/>
          <w:szCs w:val="24"/>
        </w:rPr>
      </w:pPr>
      <w:r>
        <w:rPr>
          <w:rFonts w:hint="eastAsia" w:ascii="宋体" w:hAnsi="宋体"/>
          <w:sz w:val="24"/>
          <w:szCs w:val="24"/>
        </w:rPr>
        <w:t>开户银行：                            开户银行：</w:t>
      </w:r>
    </w:p>
    <w:p>
      <w:pPr>
        <w:spacing w:line="480" w:lineRule="exact"/>
        <w:ind w:firstLine="480" w:firstLineChars="200"/>
      </w:pPr>
      <w:r>
        <w:rPr>
          <w:rFonts w:hint="eastAsia" w:ascii="宋体" w:hAnsi="宋体"/>
          <w:sz w:val="24"/>
          <w:szCs w:val="24"/>
        </w:rPr>
        <w:t>帐号：                                 帐号：</w:t>
      </w:r>
    </w:p>
    <w:p>
      <w:pPr>
        <w:spacing w:line="480" w:lineRule="exact"/>
        <w:ind w:firstLine="480" w:firstLineChars="200"/>
      </w:pPr>
      <w:r>
        <w:rPr>
          <w:rFonts w:hint="eastAsia" w:ascii="宋体" w:hAnsi="宋体"/>
          <w:sz w:val="24"/>
          <w:szCs w:val="24"/>
        </w:rPr>
        <w:t xml:space="preserve">签订日期：                         </w:t>
      </w:r>
      <w:r>
        <w:rPr>
          <w:rFonts w:hint="eastAsia" w:ascii="宋体" w:hAnsi="宋体"/>
          <w:sz w:val="24"/>
          <w:szCs w:val="24"/>
          <w:lang w:val="en-US" w:eastAsia="zh-CN"/>
        </w:rPr>
        <w:t xml:space="preserve">   </w:t>
      </w:r>
      <w:r>
        <w:rPr>
          <w:rFonts w:hint="eastAsia" w:ascii="宋体" w:hAnsi="宋体"/>
          <w:sz w:val="24"/>
          <w:szCs w:val="24"/>
        </w:rPr>
        <w:t xml:space="preserve">签订日期： </w:t>
      </w:r>
    </w:p>
    <w:p>
      <w:pPr>
        <w:rPr>
          <w:rFonts w:hint="eastAsia" w:ascii="宋体" w:hAnsi="宋体" w:cs="仿宋_GB2312"/>
          <w:sz w:val="36"/>
          <w:szCs w:val="36"/>
        </w:rPr>
      </w:pPr>
      <w:r>
        <w:rPr>
          <w:rFonts w:hint="eastAsia" w:ascii="宋体" w:hAnsi="宋体" w:cs="仿宋_GB2312"/>
          <w:sz w:val="36"/>
          <w:szCs w:val="36"/>
        </w:rPr>
        <w:br w:type="page"/>
      </w:r>
    </w:p>
    <w:p>
      <w:pPr>
        <w:pStyle w:val="3"/>
        <w:spacing w:line="360" w:lineRule="auto"/>
        <w:jc w:val="center"/>
        <w:rPr>
          <w:rFonts w:ascii="宋体" w:hAnsi="宋体" w:cs="仿宋"/>
          <w:sz w:val="24"/>
          <w:szCs w:val="24"/>
        </w:rPr>
      </w:pPr>
      <w:bookmarkStart w:id="269" w:name="_Toc17914"/>
      <w:r>
        <w:rPr>
          <w:rFonts w:hint="eastAsia" w:ascii="宋体" w:hAnsi="宋体" w:cs="仿宋_GB2312"/>
          <w:sz w:val="36"/>
          <w:szCs w:val="36"/>
        </w:rPr>
        <w:t xml:space="preserve">第五部分  </w:t>
      </w:r>
      <w:bookmarkEnd w:id="262"/>
      <w:r>
        <w:rPr>
          <w:rFonts w:hint="eastAsia" w:ascii="宋体" w:hAnsi="宋体" w:cs="仿宋_GB2312"/>
          <w:sz w:val="36"/>
        </w:rPr>
        <w:t>采购内容及要求</w:t>
      </w:r>
      <w:bookmarkEnd w:id="269"/>
    </w:p>
    <w:p>
      <w:pPr>
        <w:pStyle w:val="56"/>
        <w:numPr>
          <w:ilvl w:val="0"/>
          <w:numId w:val="0"/>
        </w:numPr>
        <w:spacing w:line="360" w:lineRule="auto"/>
        <w:ind w:leftChars="0"/>
        <w:outlineLvl w:val="1"/>
        <w:rPr>
          <w:rFonts w:hint="eastAsia" w:ascii="宋体" w:hAnsi="宋体" w:eastAsia="宋体" w:cs="宋体"/>
          <w:b/>
          <w:bCs/>
          <w:sz w:val="24"/>
          <w:szCs w:val="24"/>
          <w:lang w:val="en-US" w:eastAsia="zh-CN"/>
        </w:rPr>
      </w:pPr>
      <w:bookmarkStart w:id="270" w:name="_Toc5788"/>
      <w:bookmarkStart w:id="271" w:name="_Toc29928"/>
      <w:bookmarkStart w:id="272" w:name="_Toc2149"/>
      <w:r>
        <w:rPr>
          <w:rFonts w:hint="eastAsia" w:ascii="宋体" w:hAnsi="宋体" w:cs="宋体"/>
          <w:b/>
          <w:bCs/>
          <w:sz w:val="24"/>
          <w:szCs w:val="24"/>
          <w:lang w:val="en-US" w:eastAsia="zh-CN"/>
        </w:rPr>
        <w:t>1、</w:t>
      </w:r>
      <w:r>
        <w:rPr>
          <w:rFonts w:hint="eastAsia" w:ascii="宋体" w:hAnsi="宋体" w:eastAsia="宋体" w:cs="宋体"/>
          <w:b/>
          <w:bCs/>
          <w:sz w:val="24"/>
          <w:szCs w:val="24"/>
          <w:lang w:val="en-US" w:eastAsia="zh-CN"/>
        </w:rPr>
        <w:t>工程概况</w:t>
      </w:r>
      <w:bookmarkEnd w:id="270"/>
    </w:p>
    <w:p>
      <w:pPr>
        <w:spacing w:line="360" w:lineRule="auto"/>
        <w:ind w:firstLine="480" w:firstLineChars="200"/>
        <w:rPr>
          <w:rFonts w:ascii="宋体" w:hAnsi="宋体" w:eastAsia="宋体"/>
          <w:sz w:val="24"/>
          <w:szCs w:val="24"/>
        </w:rPr>
      </w:pPr>
      <w:r>
        <w:rPr>
          <w:rFonts w:hint="eastAsia" w:ascii="宋体" w:hAnsi="宋体" w:eastAsia="宋体"/>
          <w:sz w:val="24"/>
          <w:szCs w:val="24"/>
        </w:rPr>
        <w:t>为响应智慧环保的政策要求，建设铜川市工业企业环保设施用电监控系统（含重点企业环境在线监测及餐饮油烟在线监测）和</w:t>
      </w:r>
      <w:bookmarkStart w:id="273" w:name="_Hlk78152839"/>
      <w:r>
        <w:rPr>
          <w:rFonts w:hint="eastAsia" w:ascii="宋体" w:hAnsi="宋体" w:eastAsia="宋体"/>
          <w:sz w:val="24"/>
          <w:szCs w:val="24"/>
        </w:rPr>
        <w:t>高清云视频在线指挥调度系统</w:t>
      </w:r>
      <w:bookmarkEnd w:id="273"/>
      <w:r>
        <w:rPr>
          <w:rFonts w:hint="eastAsia" w:ascii="宋体" w:hAnsi="宋体" w:eastAsia="宋体"/>
          <w:sz w:val="24"/>
          <w:szCs w:val="24"/>
        </w:rPr>
        <w:t>，实现工业企业治污设备运行状态的实时监控及执法监管的调度协同，形成铜川市智慧生态环境大数据分析及智慧执法监管调度平台。为铜川市下一步开展更多的环境监管措施提供了强力的支持，为进一步提升铜川市的环境监管水平、促进环境质量改善打下坚实的基础。</w:t>
      </w:r>
    </w:p>
    <w:p>
      <w:pPr>
        <w:pStyle w:val="69"/>
        <w:spacing w:line="360" w:lineRule="auto"/>
        <w:ind w:firstLine="480"/>
        <w:jc w:val="both"/>
        <w:rPr>
          <w:rFonts w:ascii="宋体" w:hAnsi="宋体"/>
          <w:sz w:val="24"/>
          <w:szCs w:val="24"/>
        </w:rPr>
      </w:pPr>
      <w:r>
        <w:rPr>
          <w:rFonts w:hint="eastAsia" w:ascii="宋体" w:hAnsi="宋体"/>
          <w:sz w:val="24"/>
          <w:szCs w:val="24"/>
        </w:rPr>
        <w:t>通过本项目的建设</w:t>
      </w:r>
      <w:r>
        <w:rPr>
          <w:rFonts w:ascii="宋体" w:hAnsi="宋体"/>
          <w:sz w:val="24"/>
          <w:szCs w:val="24"/>
        </w:rPr>
        <w:t>,进一步完善环保数据化智能监测网络，涵盖</w:t>
      </w:r>
      <w:r>
        <w:rPr>
          <w:rFonts w:hint="eastAsia" w:ascii="宋体" w:hAnsi="宋体"/>
          <w:sz w:val="24"/>
          <w:szCs w:val="24"/>
        </w:rPr>
        <w:t>全市</w:t>
      </w:r>
      <w:r>
        <w:rPr>
          <w:rFonts w:ascii="宋体" w:hAnsi="宋体"/>
          <w:sz w:val="24"/>
          <w:szCs w:val="24"/>
        </w:rPr>
        <w:t>企业产污设施、治污设施，实时检测治污设备的运行状态和停产限产的异常状态等信息。对影响污染物排放的污染源生产设施、污染物治理设施运行的关键电气参数进行监测，根据生产、治理工艺抽取出代表设施运行的工况模型，精确描述设施的运行状态。通过关联分析等多种方法，得出企业治理设施未同步开启、停限产未执行到位的分析结果。</w:t>
      </w:r>
      <w:r>
        <w:rPr>
          <w:rFonts w:hint="eastAsia" w:ascii="宋体" w:hAnsi="宋体"/>
          <w:sz w:val="24"/>
          <w:szCs w:val="24"/>
        </w:rPr>
        <w:t>同时可依托云视频监管调度平台提供强大的后台支撑能力，完成市局与下属县区职能机构及分散在各地的网格员的日常交流与一线情况汇报，发生应急生态环境事件时能够在第一时间组建起应急指挥调度小组，实现环境应急事件处置的远程调度及协同指挥。具体建设目标如下：</w:t>
      </w:r>
    </w:p>
    <w:p>
      <w:pPr>
        <w:pStyle w:val="56"/>
        <w:numPr>
          <w:ilvl w:val="0"/>
          <w:numId w:val="5"/>
        </w:numPr>
        <w:spacing w:line="360" w:lineRule="auto"/>
        <w:ind w:firstLineChars="0"/>
        <w:rPr>
          <w:rFonts w:ascii="宋体" w:hAnsi="宋体" w:eastAsia="宋体"/>
          <w:sz w:val="24"/>
          <w:szCs w:val="24"/>
        </w:rPr>
      </w:pPr>
      <w:r>
        <w:rPr>
          <w:rFonts w:hint="eastAsia" w:ascii="宋体" w:hAnsi="宋体" w:eastAsia="宋体"/>
          <w:sz w:val="24"/>
          <w:szCs w:val="24"/>
        </w:rPr>
        <w:t>依据铜川市二污普相关调查，按照先重点企业、后一般企业顺序实施铜川市环保用电监管平台的建设。项目实施完成后可以实现对占全市污染物排放负荷</w:t>
      </w:r>
      <w:r>
        <w:rPr>
          <w:rFonts w:ascii="宋体" w:hAnsi="宋体" w:eastAsia="宋体"/>
          <w:sz w:val="24"/>
          <w:szCs w:val="24"/>
        </w:rPr>
        <w:t>80%以上的262家企业实施用电监控</w:t>
      </w:r>
      <w:r>
        <w:rPr>
          <w:rFonts w:hint="eastAsia" w:ascii="宋体" w:hAnsi="宋体" w:eastAsia="宋体"/>
          <w:sz w:val="24"/>
          <w:szCs w:val="24"/>
        </w:rPr>
        <w:t>，通过大范围部署监测点，运用大数据分析、云计算、移动互联网、物联网技术，实现对企业治污产污设备的实时监测，同时对涉气的重点企业生产环境进行在线空气质量监测。</w:t>
      </w:r>
    </w:p>
    <w:p>
      <w:pPr>
        <w:pStyle w:val="56"/>
        <w:numPr>
          <w:ilvl w:val="0"/>
          <w:numId w:val="5"/>
        </w:numPr>
        <w:spacing w:line="360" w:lineRule="auto"/>
        <w:ind w:firstLineChars="0"/>
        <w:rPr>
          <w:rFonts w:ascii="宋体" w:hAnsi="宋体" w:eastAsia="宋体"/>
          <w:sz w:val="24"/>
          <w:szCs w:val="24"/>
        </w:rPr>
      </w:pPr>
      <w:r>
        <w:rPr>
          <w:rFonts w:hint="eastAsia" w:ascii="宋体" w:hAnsi="宋体" w:eastAsia="宋体"/>
          <w:sz w:val="24"/>
          <w:szCs w:val="24"/>
        </w:rPr>
        <w:t>对全市4</w:t>
      </w:r>
      <w:r>
        <w:rPr>
          <w:rFonts w:ascii="宋体" w:hAnsi="宋体" w:eastAsia="宋体"/>
          <w:sz w:val="24"/>
          <w:szCs w:val="24"/>
        </w:rPr>
        <w:t>2</w:t>
      </w:r>
      <w:r>
        <w:rPr>
          <w:rFonts w:hint="eastAsia" w:ascii="宋体" w:hAnsi="宋体" w:eastAsia="宋体"/>
          <w:sz w:val="24"/>
          <w:szCs w:val="24"/>
        </w:rPr>
        <w:t>家5</w:t>
      </w:r>
      <w:r>
        <w:rPr>
          <w:rFonts w:ascii="宋体" w:hAnsi="宋体" w:eastAsia="宋体"/>
          <w:sz w:val="24"/>
          <w:szCs w:val="24"/>
        </w:rPr>
        <w:t>00</w:t>
      </w:r>
      <w:r>
        <w:rPr>
          <w:rFonts w:hint="eastAsia" w:ascii="宋体" w:hAnsi="宋体" w:eastAsia="宋体"/>
          <w:sz w:val="24"/>
          <w:szCs w:val="24"/>
        </w:rPr>
        <w:t>平米以上的重点餐饮企业实施油烟在线监控和排风机用电监测。</w:t>
      </w:r>
    </w:p>
    <w:p>
      <w:pPr>
        <w:pStyle w:val="56"/>
        <w:numPr>
          <w:ilvl w:val="0"/>
          <w:numId w:val="5"/>
        </w:numPr>
        <w:spacing w:line="360" w:lineRule="auto"/>
        <w:ind w:firstLineChars="0"/>
        <w:rPr>
          <w:rFonts w:ascii="宋体" w:hAnsi="宋体" w:eastAsia="宋体"/>
          <w:sz w:val="24"/>
          <w:szCs w:val="24"/>
        </w:rPr>
      </w:pPr>
      <w:r>
        <w:rPr>
          <w:rFonts w:hint="eastAsia" w:ascii="宋体" w:hAnsi="宋体" w:eastAsia="宋体"/>
          <w:sz w:val="24"/>
          <w:szCs w:val="24"/>
        </w:rPr>
        <w:t>建设基于加密互联网的云视频监管调度平台，具备跨单位、跨地域、跨系统、跨部门的沟通服务能力。实现音频、视频、数据、内容、即时通讯全面覆盖，实现市、区县、网格员之间统一调度、统一管理、统一运维。</w:t>
      </w:r>
    </w:p>
    <w:p>
      <w:pPr>
        <w:pStyle w:val="56"/>
        <w:numPr>
          <w:ilvl w:val="0"/>
          <w:numId w:val="0"/>
        </w:numPr>
        <w:spacing w:line="360" w:lineRule="auto"/>
        <w:ind w:left="420" w:leftChars="0" w:firstLine="240" w:firstLineChars="100"/>
        <w:rPr>
          <w:rFonts w:hint="default" w:ascii="宋体" w:hAnsi="宋体" w:eastAsia="宋体"/>
          <w:sz w:val="24"/>
          <w:szCs w:val="24"/>
          <w:lang w:val="en-US" w:eastAsia="zh-CN"/>
        </w:rPr>
      </w:pPr>
      <w:r>
        <w:rPr>
          <w:rFonts w:hint="eastAsia" w:ascii="宋体" w:hAnsi="宋体" w:eastAsia="宋体"/>
          <w:sz w:val="24"/>
          <w:szCs w:val="24"/>
          <w:lang w:val="en-US" w:eastAsia="zh-CN"/>
        </w:rPr>
        <w:t>项目总投资：</w:t>
      </w:r>
      <w:r>
        <w:rPr>
          <w:rFonts w:hint="eastAsia" w:ascii="宋体" w:hAnsi="宋体" w:eastAsia="宋体" w:cs="宋体"/>
          <w:color w:val="000000"/>
          <w:kern w:val="2"/>
          <w:sz w:val="24"/>
          <w:szCs w:val="24"/>
          <w:lang w:val="en-US" w:eastAsia="zh-CN" w:bidi="ar-SA"/>
        </w:rPr>
        <w:t>841.4640万元。</w:t>
      </w:r>
    </w:p>
    <w:p>
      <w:pPr>
        <w:pStyle w:val="56"/>
        <w:numPr>
          <w:ilvl w:val="0"/>
          <w:numId w:val="0"/>
        </w:numPr>
        <w:spacing w:line="360" w:lineRule="auto"/>
        <w:ind w:leftChars="0"/>
        <w:outlineLvl w:val="1"/>
        <w:rPr>
          <w:rFonts w:hint="eastAsia" w:ascii="宋体" w:hAnsi="宋体" w:eastAsia="宋体" w:cs="宋体"/>
          <w:b/>
          <w:bCs/>
          <w:color w:val="000000"/>
          <w:sz w:val="24"/>
          <w:szCs w:val="24"/>
          <w:highlight w:val="none"/>
        </w:rPr>
      </w:pPr>
      <w:bookmarkStart w:id="274" w:name="_Toc21"/>
      <w:r>
        <w:rPr>
          <w:rFonts w:hint="eastAsia" w:ascii="宋体" w:hAnsi="宋体" w:cs="宋体"/>
          <w:b/>
          <w:bCs/>
          <w:color w:val="000000"/>
          <w:sz w:val="24"/>
          <w:szCs w:val="24"/>
          <w:lang w:val="en-US" w:eastAsia="zh-CN"/>
        </w:rPr>
        <w:t>2、</w:t>
      </w:r>
      <w:r>
        <w:rPr>
          <w:rFonts w:hint="eastAsia" w:ascii="宋体" w:hAnsi="宋体" w:eastAsia="宋体" w:cs="宋体"/>
          <w:b/>
          <w:bCs/>
          <w:color w:val="000000"/>
          <w:sz w:val="24"/>
          <w:szCs w:val="24"/>
          <w:lang w:val="en-US" w:eastAsia="zh-CN"/>
        </w:rPr>
        <w:t>建设内容</w:t>
      </w:r>
      <w:bookmarkEnd w:id="274"/>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一是环保用电监测平台，含平台</w:t>
      </w:r>
      <w:r>
        <w:rPr>
          <w:rFonts w:hint="eastAsia" w:ascii="宋体" w:hAnsi="宋体" w:cs="宋体"/>
          <w:sz w:val="24"/>
          <w:szCs w:val="24"/>
          <w:highlight w:val="none"/>
          <w:lang w:val="en-US" w:eastAsia="zh-CN"/>
        </w:rPr>
        <w:t>系统登录</w:t>
      </w:r>
      <w:r>
        <w:rPr>
          <w:rFonts w:hint="eastAsia" w:ascii="宋体" w:hAnsi="宋体" w:eastAsia="宋体" w:cs="宋体"/>
          <w:sz w:val="24"/>
          <w:szCs w:val="24"/>
          <w:highlight w:val="none"/>
        </w:rPr>
        <w:t>、决策中心模块、值守中心模块、监管中心模块、执法调度模块、企业综评模块、执行准则公示模块、系统运维模块及移动端，能够实现对企业生产用电总用电监控分析、企业用电情况统计、实时数据监测、异常情况处理、执法调度处理、对企业进行综合评价等功能</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二是BIM环保设备全周期管理系统，含环保设备BIM工艺管理、设备报修维修、设备质控、维修配件管理、能够实现双向数据联动、统一</w:t>
      </w:r>
      <w:r>
        <w:rPr>
          <w:rFonts w:hint="eastAsia" w:ascii="宋体" w:hAnsi="宋体" w:cs="宋体"/>
          <w:color w:val="000000"/>
          <w:kern w:val="2"/>
          <w:sz w:val="24"/>
          <w:szCs w:val="24"/>
          <w:highlight w:val="none"/>
          <w:lang w:val="en-US" w:eastAsia="zh-CN" w:bidi="ar-SA"/>
        </w:rPr>
        <w:t>指挥</w:t>
      </w:r>
      <w:r>
        <w:rPr>
          <w:rFonts w:hint="eastAsia" w:ascii="宋体" w:hAnsi="宋体" w:eastAsia="宋体" w:cs="宋体"/>
          <w:color w:val="000000"/>
          <w:kern w:val="2"/>
          <w:sz w:val="24"/>
          <w:szCs w:val="24"/>
          <w:highlight w:val="none"/>
          <w:lang w:val="en-US" w:eastAsia="zh-CN" w:bidi="ar-SA"/>
        </w:rPr>
        <w:t>调度、自动识别设备故障、维修进程查询以及配件使用情况记录等功能；</w:t>
      </w:r>
    </w:p>
    <w:p>
      <w:pPr>
        <w:spacing w:line="360" w:lineRule="auto"/>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三是高清云视频在线指挥调度系统，基于云视频监管调度平台提供的后台支撑能力，在铜川市生态环境局和各区县生态环境局会场部署高清云视频终端，同时在局长办公室部署桌面级高清云视频终端，通过加密互联网可以进行市局至各区县局及分散在各地网格员之间的视频会议，可以实现音频、视频、数据、内容、即时通讯全面覆盖；</w:t>
      </w:r>
    </w:p>
    <w:p>
      <w:pPr>
        <w:spacing w:line="360" w:lineRule="auto"/>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四是平台配套支撑设备，含流媒体服务器、视频服务器、应用服务器、数据库服务器、云网络服务器、工作站、核心交换机、服务器机柜等设备；</w:t>
      </w:r>
    </w:p>
    <w:p>
      <w:pPr>
        <w:spacing w:line="360" w:lineRule="auto"/>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五是平台运行维护，即平台3年运行维护服务费；</w:t>
      </w:r>
    </w:p>
    <w:p>
      <w:pPr>
        <w:spacing w:line="360" w:lineRule="auto"/>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六是工业空气环境监测，安装工业级环境监测设备，4G物联网卡及设备的运行维护，具有及时反映空气质量变化等功能；</w:t>
      </w:r>
    </w:p>
    <w:p>
      <w:pPr>
        <w:spacing w:line="360" w:lineRule="auto"/>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七是重点餐饮油烟在线监测，安装油烟在线监测终端，排风机用电监测终端、4G物联网卡及设备的运行维护，可以实现在线监测餐饮业净化实施前污染物浓度等功能；</w:t>
      </w:r>
    </w:p>
    <w:p>
      <w:pPr>
        <w:spacing w:line="360" w:lineRule="auto"/>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八是用电监测，安装智能用电监测终端、智能数据运算采集终端、视频监控及其他配套设施，及技术服务及施工维护费用，能够监测企业用电情况并进行数据采集、分析。</w:t>
      </w:r>
    </w:p>
    <w:p>
      <w:pPr>
        <w:spacing w:line="360" w:lineRule="auto"/>
        <w:ind w:firstLine="482" w:firstLineChars="200"/>
        <w:rPr>
          <w:rFonts w:hint="eastAsia" w:ascii="宋体" w:hAnsi="宋体" w:eastAsia="宋体" w:cs="Times New Roman"/>
          <w:b/>
          <w:bCs/>
          <w:sz w:val="24"/>
          <w:szCs w:val="24"/>
          <w:lang w:val="en-US" w:eastAsia="zh-CN"/>
        </w:rPr>
      </w:pPr>
      <w:r>
        <w:rPr>
          <w:rFonts w:hint="eastAsia" w:ascii="宋体" w:hAnsi="宋体" w:cs="Times New Roman"/>
          <w:b/>
          <w:bCs/>
          <w:sz w:val="24"/>
          <w:szCs w:val="24"/>
          <w:lang w:val="en-US" w:eastAsia="zh-CN"/>
        </w:rPr>
        <w:t>特别提示：</w:t>
      </w:r>
      <w:r>
        <w:rPr>
          <w:rFonts w:hint="eastAsia" w:ascii="宋体" w:hAnsi="宋体" w:eastAsia="宋体" w:cs="Times New Roman"/>
          <w:b/>
          <w:bCs/>
          <w:sz w:val="24"/>
          <w:szCs w:val="24"/>
          <w:lang w:val="en-US" w:eastAsia="zh-CN"/>
        </w:rPr>
        <w:t>采购范围内涉及强电施工部分必须委托具有</w:t>
      </w:r>
      <w:r>
        <w:rPr>
          <w:rFonts w:hint="eastAsia" w:ascii="宋体" w:hAnsi="宋体" w:cs="Times New Roman"/>
          <w:b/>
          <w:bCs/>
          <w:sz w:val="24"/>
          <w:szCs w:val="24"/>
          <w:lang w:val="en-US" w:eastAsia="zh-CN"/>
        </w:rPr>
        <w:t>相应</w:t>
      </w:r>
      <w:r>
        <w:rPr>
          <w:rFonts w:hint="eastAsia" w:ascii="宋体" w:hAnsi="宋体" w:eastAsia="宋体" w:cs="Times New Roman"/>
          <w:b/>
          <w:bCs/>
          <w:sz w:val="24"/>
          <w:szCs w:val="24"/>
          <w:lang w:val="en-US" w:eastAsia="zh-CN"/>
        </w:rPr>
        <w:t>资质的施工队伍进行施工，操作人员必须具备</w:t>
      </w:r>
      <w:r>
        <w:rPr>
          <w:rFonts w:hint="eastAsia" w:ascii="宋体" w:hAnsi="宋体" w:cs="Times New Roman"/>
          <w:b/>
          <w:bCs/>
          <w:sz w:val="24"/>
          <w:szCs w:val="24"/>
          <w:lang w:val="en-US" w:eastAsia="zh-CN"/>
        </w:rPr>
        <w:t>相应专业</w:t>
      </w:r>
      <w:r>
        <w:rPr>
          <w:rFonts w:hint="eastAsia" w:ascii="宋体" w:hAnsi="宋体" w:eastAsia="宋体" w:cs="Times New Roman"/>
          <w:b/>
          <w:bCs/>
          <w:sz w:val="24"/>
          <w:szCs w:val="24"/>
          <w:lang w:val="en-US" w:eastAsia="zh-CN"/>
        </w:rPr>
        <w:t>上岗证。否则由此产生的一切责任全部由供应商承担。</w:t>
      </w:r>
    </w:p>
    <w:p>
      <w:pPr>
        <w:rPr>
          <w:rFonts w:ascii="仿宋" w:hAnsi="仿宋" w:eastAsia="仿宋"/>
          <w:sz w:val="28"/>
          <w:szCs w:val="32"/>
        </w:rPr>
      </w:pPr>
      <w:r>
        <w:rPr>
          <w:rFonts w:ascii="仿宋" w:hAnsi="仿宋" w:eastAsia="仿宋"/>
          <w:sz w:val="28"/>
          <w:szCs w:val="32"/>
        </w:rPr>
        <w:br w:type="page"/>
      </w:r>
    </w:p>
    <w:p>
      <w:pPr>
        <w:pStyle w:val="56"/>
        <w:numPr>
          <w:ilvl w:val="0"/>
          <w:numId w:val="0"/>
        </w:numPr>
        <w:spacing w:line="360" w:lineRule="auto"/>
        <w:ind w:leftChars="0"/>
        <w:outlineLvl w:val="1"/>
        <w:rPr>
          <w:rFonts w:hint="eastAsia" w:ascii="宋体" w:hAnsi="宋体" w:cs="宋体"/>
          <w:b/>
          <w:bCs/>
          <w:color w:val="000000"/>
          <w:sz w:val="24"/>
          <w:szCs w:val="24"/>
          <w:lang w:val="en-US" w:eastAsia="zh-CN"/>
        </w:rPr>
      </w:pPr>
      <w:bookmarkStart w:id="275" w:name="_Toc8639"/>
      <w:r>
        <w:rPr>
          <w:rFonts w:hint="eastAsia" w:ascii="宋体" w:hAnsi="宋体" w:cs="宋体"/>
          <w:b/>
          <w:bCs/>
          <w:color w:val="000000"/>
          <w:sz w:val="24"/>
          <w:szCs w:val="24"/>
          <w:lang w:val="en-US" w:eastAsia="zh-CN"/>
        </w:rPr>
        <w:t>3、采购需求及要求</w:t>
      </w:r>
      <w:bookmarkEnd w:id="275"/>
    </w:p>
    <w:p>
      <w:pPr>
        <w:widowControl/>
        <w:jc w:val="left"/>
        <w:rPr>
          <w:rFonts w:ascii="宋体" w:hAnsi="宋体" w:eastAsia="宋体"/>
          <w:szCs w:val="21"/>
        </w:rPr>
      </w:pPr>
      <w:r>
        <w:rPr>
          <w:rFonts w:hint="eastAsia" w:ascii="宋体" w:hAnsi="宋体" w:eastAsia="宋体"/>
          <w:szCs w:val="21"/>
        </w:rPr>
        <w:t>3</w:t>
      </w:r>
      <w:r>
        <w:rPr>
          <w:rFonts w:ascii="宋体" w:hAnsi="宋体" w:eastAsia="宋体"/>
          <w:szCs w:val="21"/>
        </w:rPr>
        <w:t>.</w:t>
      </w:r>
      <w:r>
        <w:rPr>
          <w:rFonts w:hint="eastAsia" w:ascii="宋体" w:hAnsi="宋体" w:eastAsia="宋体"/>
          <w:szCs w:val="21"/>
          <w:lang w:val="en-US" w:eastAsia="zh-CN"/>
        </w:rPr>
        <w:t>1</w:t>
      </w:r>
      <w:r>
        <w:rPr>
          <w:rFonts w:ascii="宋体" w:hAnsi="宋体" w:eastAsia="宋体"/>
          <w:szCs w:val="21"/>
        </w:rPr>
        <w:t xml:space="preserve">.1 </w:t>
      </w:r>
      <w:r>
        <w:rPr>
          <w:rFonts w:hint="eastAsia" w:ascii="宋体" w:hAnsi="宋体" w:eastAsia="宋体"/>
          <w:szCs w:val="21"/>
        </w:rPr>
        <w:t>用电监测平台（含</w:t>
      </w:r>
      <w:r>
        <w:rPr>
          <w:rFonts w:ascii="宋体" w:hAnsi="宋体" w:eastAsia="宋体"/>
          <w:szCs w:val="21"/>
        </w:rPr>
        <w:t>BIM环保设备全周期管理系统</w:t>
      </w:r>
      <w:r>
        <w:rPr>
          <w:rFonts w:hint="eastAsia" w:ascii="宋体" w:hAnsi="宋体" w:eastAsia="宋体"/>
          <w:szCs w:val="21"/>
        </w:rPr>
        <w:t>）</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04"/>
        <w:gridCol w:w="411"/>
        <w:gridCol w:w="380"/>
        <w:gridCol w:w="753"/>
        <w:gridCol w:w="1186"/>
        <w:gridCol w:w="5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000" w:type="pct"/>
            <w:gridSpan w:val="7"/>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1.环保用电监测平台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395"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模块名称</w:t>
            </w: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一级功能名称</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二级功能名称</w:t>
            </w:r>
          </w:p>
        </w:tc>
        <w:tc>
          <w:tcPr>
            <w:tcW w:w="2953"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系统登录</w:t>
            </w: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登录</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2953" w:type="pct"/>
            <w:vMerge w:val="restar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身份验证，支持多种登录方式，如手机号、邮箱、账号等，如果忘记密码可以通过手机验证进行密码找回，同时也可以通过管理员进行密码初始化后进行登录，如果用户五次密码登录失败，将对此用户进行账户自动锁定，锁定账户可以通过管理账户进入进行解锁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忘记密码</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决策中心</w:t>
            </w: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CIS驾驶舱</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生产用电分析</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可查询该企业不同时段段内不同工艺的生产设备/治污设备用电曲线。</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具备从多个时间维度统计主要设施用电趋势、从区域/行业维度企业分布情况以及多个时间维度统计的报警排名等。</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以动态关联图的形式直观显示集中器连接的现场端所有采集模块的运行情况，如遇通讯中断，则突出显示。该功能可以快速定位现场端的问题模块并及时运维，同时也可直观判读集中期与平台的连接情况。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企业统计</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通过GIS地图宏观展现监管企业分布情况、运行情况、报警企业情况；系统能以不同的颜色显示企业正常/报警状态，点击图标可查看企业基本信息。支持二三维切换展示。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企业错峰生产Top榜单</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提供24小时、一周、一个月内企业报警次数排名，可根据分析对报警次数高的企业进行重点监管，加强督查。</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可按照月或者任意时间段统计该时间段内区域的总用电量情况，可直观看到在重污染天气启动的应急管控下，区域总用电量的情况变化情况，应急期间总用量有明显的下降趋势，说明区域整体应急执行的比较到位，为应急执行情况提供依据。同时也可以查看应急期间，空气质量的变化情况，可以相互作为印证取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分布地图</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以工艺流程图的形式动态直观呈现企业生产工艺、生产设备和治污设备的运行情况。</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支持监管企业数、限产企业数、报警企业数等关键KPI指标动态显示。</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提供监管企业按行业/地区的分析占比饼图，为精细化监管提供基础支撑。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排污治污设备</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提供以列表的形式显示系统监管企业运行实时状况，显示信息包括企业所属地区、企业名称、行业、排放情况、治污情况、限停情况。排放情况、治污情况、限停情况需以图标颜色信息直观显示当前是否存在异常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生产设备</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以动态关联图的形式直观显示集中器连接的现场端所有采集模块的运行情况，如遇通讯中断，则突出显示。该功能可以快速定位现场端的问题模块并及时运维，同时也可直观判读集中期与平台的连接情况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隐患故障统计</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通过报警引擎实时监控企业生产、治污设施用电情况，实现生产治污设施运行异常、企业减排不利、限产不达标等情况的实时报警。系统直接将分析后的报警结果推送给用户，用户无需自行对数据进行分析判断。报警类型包括超标报警、停运报警、限产报警等，并可查看报警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应急预案状态分析</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可以根据重污染应急期间的应急情况，根据企业的工艺、生产线/工艺、主要生产设备等情况，进行限产指标设置，便于应急的灵活管理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continue"/>
            <w:vAlign w:val="center"/>
          </w:tcPr>
          <w:p>
            <w:pPr>
              <w:widowControl/>
              <w:jc w:val="left"/>
              <w:rPr>
                <w:rFonts w:ascii="宋体" w:hAnsi="宋体" w:eastAsia="宋体" w:cs="宋体"/>
                <w:color w:val="000000"/>
                <w:kern w:val="0"/>
                <w:sz w:val="20"/>
                <w:szCs w:val="20"/>
              </w:rPr>
            </w:pP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continue"/>
            <w:vAlign w:val="center"/>
          </w:tcPr>
          <w:p>
            <w:pPr>
              <w:widowControl/>
              <w:jc w:val="left"/>
              <w:rPr>
                <w:rFonts w:ascii="宋体" w:hAnsi="宋体" w:eastAsia="宋体" w:cs="宋体"/>
                <w:color w:val="000000"/>
                <w:kern w:val="0"/>
                <w:sz w:val="20"/>
                <w:szCs w:val="20"/>
              </w:rPr>
            </w:pP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在重污染天气应急期间，可根据电量数据，分析应急预案的执行情况，对于没有按预案执行的企业进行报警。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值守中心</w:t>
            </w: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实时数据监测</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实时监控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将接收到的现场采集端上报的电量信息报文，进行校验、解析、并重新组织为遵循数据处理规范的报文；再由数据处理层对所有数据进行分类、并做统一的预处理及判断，将原始数据及初步的判断结果写入数据库。采集频率默认15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VOCs监控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对接入的VOCs监测设备进行实时监控，通过有机挥发气体浓度监测，超出预警浓度则报警，短信告知相关执勤负责人，进行现场管制处理。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烟尘监控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对接入的烟尘监测设备进行实时监控，通过PM2.5、PM10、环境温度、湿度、噪声等监测，超出预警范围则报警。短信告知相关执勤负责人，进行现场管制处理。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餐饮油烟监控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themeColor="text1"/>
                <w:kern w:val="0"/>
                <w:sz w:val="20"/>
                <w:szCs w:val="20"/>
              </w:rPr>
              <w:t>对接入的油烟监测设备进行实时监控，超出预警范围则报警。短信告知相关执勤负责人，进行现场管制处理。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门禁监控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识别进出车辆，并形成报表以供查询，通过门禁监控可以分析运输用料的调度情况。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视频监控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针对重点企业无法通过用电指标进行监控的场景，平台通过接入的视频设备进行实时监控界面查看，支持7天的历史视频回放功能，可视化视频监测生产运行情况，如货物装卸等。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企业设施运行数据</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以列表的形式显示监管企业运行实时状况，显示信息包括企业所属区县、企业名称、行业、治污情况、限停情况、排放情况、通讯情况等，默认只显示一种异常类型。治污情况、排放情况、限停情况需以图标颜色信息直观显示当前是否存在异常，所在位置和当前企业的负责网格员及网格员电话，同时显示站点数量，摄像头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企业电力负荷明细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负荷曲线可支持近一天/一个月/供暖期等不同时间段内企业实际生产负荷和目标生产负荷的曲线图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19</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监管中心</w:t>
            </w: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企业异常</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异常处理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通过报警引擎实时监控企业生产、治污设施用电情况，实现生产治污设施运行异常、企业减排不利、限产不达标等情况的实时报警。系统直接将分析后的报警结果推送给用户，用户无需自行对数据进行分析判断。报警类型包括超标报警、停运报警、限产报警等，并可查看报警历史。</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对产生的实时报警可进行报警处置，对报警内容进行分析，分析结果以短信或发APP消息的形式推送给相关责任人，相关责任人员从手机APP上进行填写反馈处理意见。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异常申报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为企业提供设备故障、异常、检修等情况进行异常申报，申报内容包括申报原因、采取的措施、具体情况说明、现场图片等资料。让监管部门掌握各企业的当前真实情况，同时当发现异常时，监管人员有依据可查，提供有利的执法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异常审核</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为管理部门对企业异常申报进行审核批复提供支持，满足在线审 核需要，并给出审核意。监管部门可对各监管企业提报主要设备异常故障和终端监测设备异常，监管部门对提报进行在线批复，对于监测设备进行安排维修人员进行现场修复。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异常查询</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支持报警信息筛选功能。可按报警显示条数、报警等级、报警类型、行业、地区对实时报警信息进行筛选设置。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异常统计</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统计24小时、一周、一个月内一级、二级、三级报警次数占比饼图。统计24小时、一周、一个月内未处理、已通知、已处理的报警占比饼图，由此可掌握各区域的企业报警情况，以及对报警的处理情况，为考核做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企业综合统计</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设备状态列表</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可按照地区、企业名称、时间统计企业数据传输情况，内容可包括：企业名称、设备总量、数据总量、断电时长、应上传数据、数据传输有效率等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点位运行情况对比</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按地区、行业、企业名称、时间段统计企业设备的用电情况及运行情况，内容包括：企业名称、工艺、设备类型、设备名称、时间、用电量。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企业用电数据对比</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可按区县、企业为基准统计用电情况，可按应急期间、启动前七日用电，时间等条件统计，内容包括：区县/企业名称、启动前7日均值、查询时间前一天均值、前一日增幅的生产设备用电和治污设备用电情况。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企业运行状态统计</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按报警时间、地区、企业名称、报警内容、报警等级、处理人、处理时间、处理结果对报警情况进行统计。支持按地区、行业、报警等级、报警状态、时间段等条件进行查询，支持统计结果导出。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企业用电分析</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用电分析</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按地区、行业和时间段对区域总用电情况进行统计分析。可以按照曲线图或者报表方式展示。支持统计结果导出。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设备用电量统计</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按报警时间、地区、企业名称、报警内容、报警等级、处理人、处理时间、处理结果对报警情况进行统计。支持按地区、行业、报警等级、报警状态、时间段等条件进行查询，支持统计结果导出。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企业用电数据汇总</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可按区县、企业为基准统计用电情况，可按应急期间，时间等条件统计，内容包括：区县/企业名称、查询时间前一天均值、前一日增幅的生产设备用电和治污设备用电情况。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应急减排管理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减排方案录入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根据2019年国家限停要求，每次应急启动根据企业的等级以及限停次数，进行轮询限停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减排企业录入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针对不同年份，不同预警级别，每家企业的不同等级，可设置每家监管企业的应急预案，是否参与应急、限停哪条生产线、限停方式（以生产线限停或者以设备限停）、限停百分比等内容。提供相应的指标查询功能。根据实际工作需要，在系统中启动不同的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减排生产执行报告</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预警级别、应急启动开始和结束时间的设置；应急任务启动后，系统按预设的应急指标进行动态实时监控。针对每一次应急任务，系统提供评估报告自动生成的功能，并能够动态监控每家企业应急管控的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异常预警</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预警通知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系统内置智能分析模型，它作为核心建设内容之一，从“用电分析”的角度摸清各污染源企业的生产、治污设施的关联关系；通过实时监测及分析，实现电能消耗过程、设备运行状态、生产作业行为的“可视化、数字化、精细化”管理；通过对各种用电情况进行提前预警，减少及杜绝用电异常及设备异常；同时对污染防治设施的全天候监测，防止企业在污染物监管过程中的偷排、漏排等情况，使企业严格执行排放标准，最终实现100%达标排放。</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通过智能分析模型，主动精准识别超标排污、治污不利、限产不达标企业，使执法人员可快速出击、精准打击，改变现场执法核查难度大，取证难的局面。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35</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执法调度</w:t>
            </w: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企业违规生产</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违规等级</w:t>
            </w:r>
          </w:p>
        </w:tc>
        <w:tc>
          <w:tcPr>
            <w:tcW w:w="2953" w:type="pct"/>
            <w:vMerge w:val="restar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根据在线监测和生产阈值或预案规则，监控企业违规生产记录，通过大屏监控展示，调度执法网格员进行一键执法调度，可以一键打印并给出整改通知单，或网格员给企业手动发起整改通知单，下发至相关企业。企业终端可以通过手机微信公众号查看整改通知单，并进行执行，网格员可以进行线上监管整改结果，网格员要求企业针对整改通知上传整改结果照片或录制视频。对整改通知单进行闭环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违规整改单</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违规条例</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网格员监管</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违规等级</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监管部门跟进网格员的整改结果及执勤巡查记录的考核。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违规整改结果</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网格员通过微信公众号上传每日巡查反馈问题，形成案件后并跟踪处理过程和处理结果。督促现场问题的处理工作。平台可以进行对网格员的日常工作记录并考核。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违规条例</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违规条例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任务管理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任务派遣</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平台对网格员负责片区企业进行划分，通过在线监测平台监测违规企业，在智慧调动中心可一键企业负责的网格员，支持按照事件信息对网格员工作进行执法任务派遣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任务处理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网格员接收的执法任务后，对企业进行执法过程管理，包含现场核实、取证、上报，企业上次整改结果核实确认签字，平台监管人员对结果进行闭环审批，评价等。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核实结案</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网格员核查企业整改情况，督促企业完成整改内容，达到整改要求后对整改结果进行签字确认。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处理反馈</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对任务整改处理结果进行评价，支持对网格员执法过程的评价与反馈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电子归档</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支持对历史任务整改过程的电子化记录，可以按照网格员，日期，企业进行不同维度的归档查询。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多终端执法管理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12369</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平台对接12369举报热线，将举报信息对接平台，第一时间消息弹屏展示，支持对企业举报记录登记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移动执法车</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支持对移动执法车进行执法调度，执勤事件的全过程管理及紧急事件的调度。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巡查监督人员</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支持对网格巡查监督人员执勤事件的全过程管理，执勤结果通过微信公众号上传数据到平台。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小程序</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通过微信小程序对事件的全流程管理，执法人员通过微信小程序就可以上报执法过程中发现的案件，由平台进行统一登记记录，并可以通过微信小程序直接查询执法相关的政策、法规信息，并将违法人员的处罚情况进行记录，实现执法过程等信息的协同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通知公告</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通知管理</w:t>
            </w:r>
          </w:p>
        </w:tc>
        <w:tc>
          <w:tcPr>
            <w:tcW w:w="2953" w:type="pct"/>
            <w:vMerge w:val="restar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监管部门根据近期国家政策，和环境污染情况定期进行发布新闻通知等消息，企业客户端自动显示当前最新报道信息，并及时响应监管部门的通知公告。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公告管理</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网格调度</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市级调度</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支持市级机构对辖区内执法人员的一键调派，当发现异常违规生产或排污指标预警，可根据当前网格员管辖范围，进行一键式指派任务调度。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区县调度</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支持区县机构对辖区内执法人员的一键调派，当发现异常违规生产或排污指标预警，可根据当前网格员管辖范围，进行一键式指派任务调度。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54</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企业综评</w:t>
            </w: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过程数据</w:t>
            </w:r>
          </w:p>
        </w:tc>
        <w:tc>
          <w:tcPr>
            <w:tcW w:w="655"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排污许可证</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支持对监管企业生成过程数据的记录分析，包含一下内容：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continue"/>
            <w:vAlign w:val="center"/>
          </w:tcPr>
          <w:p>
            <w:pPr>
              <w:widowControl/>
              <w:jc w:val="left"/>
              <w:rPr>
                <w:rFonts w:ascii="宋体" w:hAnsi="宋体" w:eastAsia="宋体" w:cs="宋体"/>
                <w:color w:val="000000"/>
                <w:kern w:val="0"/>
                <w:sz w:val="20"/>
                <w:szCs w:val="20"/>
              </w:rPr>
            </w:pP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排污许可证关键因素的在线建档，主要污染物类别，大气主要污染物种类，大气污染物排放规律，废水主要污染物种类，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continue"/>
            <w:vAlign w:val="center"/>
          </w:tcPr>
          <w:p>
            <w:pPr>
              <w:widowControl/>
              <w:jc w:val="left"/>
              <w:rPr>
                <w:rFonts w:ascii="宋体" w:hAnsi="宋体" w:eastAsia="宋体" w:cs="宋体"/>
                <w:color w:val="000000"/>
                <w:kern w:val="0"/>
                <w:sz w:val="20"/>
                <w:szCs w:val="20"/>
              </w:rPr>
            </w:pP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continue"/>
            <w:vAlign w:val="center"/>
          </w:tcPr>
          <w:p>
            <w:pPr>
              <w:widowControl/>
              <w:jc w:val="left"/>
              <w:rPr>
                <w:rFonts w:ascii="宋体" w:hAnsi="宋体" w:eastAsia="宋体" w:cs="宋体"/>
                <w:color w:val="000000"/>
                <w:kern w:val="0"/>
                <w:sz w:val="20"/>
                <w:szCs w:val="20"/>
              </w:rPr>
            </w:pP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废水污染物排放规律，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continue"/>
            <w:vAlign w:val="center"/>
          </w:tcPr>
          <w:p>
            <w:pPr>
              <w:widowControl/>
              <w:jc w:val="left"/>
              <w:rPr>
                <w:rFonts w:ascii="宋体" w:hAnsi="宋体" w:eastAsia="宋体" w:cs="宋体"/>
                <w:color w:val="000000"/>
                <w:kern w:val="0"/>
                <w:sz w:val="20"/>
                <w:szCs w:val="20"/>
              </w:rPr>
            </w:pP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continue"/>
            <w:vAlign w:val="center"/>
          </w:tcPr>
          <w:p>
            <w:pPr>
              <w:widowControl/>
              <w:jc w:val="left"/>
              <w:rPr>
                <w:rFonts w:ascii="宋体" w:hAnsi="宋体" w:eastAsia="宋体" w:cs="宋体"/>
                <w:color w:val="000000"/>
                <w:kern w:val="0"/>
                <w:sz w:val="20"/>
                <w:szCs w:val="20"/>
              </w:rPr>
            </w:pP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废水污染物排放执行标准，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continue"/>
            <w:vAlign w:val="center"/>
          </w:tcPr>
          <w:p>
            <w:pPr>
              <w:widowControl/>
              <w:jc w:val="left"/>
              <w:rPr>
                <w:rFonts w:ascii="宋体" w:hAnsi="宋体" w:eastAsia="宋体" w:cs="宋体"/>
                <w:color w:val="000000"/>
                <w:kern w:val="0"/>
                <w:sz w:val="20"/>
                <w:szCs w:val="20"/>
              </w:rPr>
            </w:pP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continue"/>
            <w:vAlign w:val="center"/>
          </w:tcPr>
          <w:p>
            <w:pPr>
              <w:widowControl/>
              <w:jc w:val="left"/>
              <w:rPr>
                <w:rFonts w:ascii="宋体" w:hAnsi="宋体" w:eastAsia="宋体" w:cs="宋体"/>
                <w:color w:val="000000"/>
                <w:kern w:val="0"/>
                <w:sz w:val="20"/>
                <w:szCs w:val="20"/>
              </w:rPr>
            </w:pP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排污权使用和交易信息，排污许可证部分电子扫描件上传维护，建立企业档案。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规章制度</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监管企业对排污治理的相关规章制度的公示维护。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平面图</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各企业上传生产车间的平面图和所在地图位置，可以进行精确定位。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危化品</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上报企业生产，或原材料的危险种类物品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危险工艺</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危险工艺：够导致火灾、爆炸、中毒等工艺在线建档上报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危害因素</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危害因素：在生产、劳动过程中，存在对职工的健康和劳动能力产生有害作用，并导致疾病的因素等在线建档上报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疑似病人</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疑似病人：在生产、劳动过程中有可能患病的职工疑似上报。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建设项目</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建设项目：维护企业或工厂的建筑基本信息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事故</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事故：企业在历史生产中存在的重大事故进行报备上报。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vMerge w:val="continue"/>
            <w:vAlign w:val="center"/>
          </w:tcPr>
          <w:p>
            <w:pPr>
              <w:widowControl/>
              <w:jc w:val="left"/>
              <w:rPr>
                <w:rFonts w:ascii="宋体" w:hAnsi="宋体" w:eastAsia="宋体" w:cs="宋体"/>
                <w:color w:val="000000"/>
                <w:kern w:val="0"/>
                <w:sz w:val="20"/>
                <w:szCs w:val="20"/>
              </w:rPr>
            </w:pP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vMerge w:val="continue"/>
            <w:vAlign w:val="center"/>
          </w:tcPr>
          <w:p>
            <w:pPr>
              <w:widowControl/>
              <w:jc w:val="left"/>
              <w:rPr>
                <w:rFonts w:ascii="宋体" w:hAnsi="宋体" w:eastAsia="宋体" w:cs="宋体"/>
                <w:color w:val="000000"/>
                <w:kern w:val="0"/>
                <w:sz w:val="20"/>
                <w:szCs w:val="20"/>
              </w:rPr>
            </w:pP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后期在分析企业治污等级评定占一定的权重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被投诉举报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被投诉举报：客户通过12369或其他方式对企业进行投诉的记录。后期在分析企业治污等级评定占一定的权重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企业自查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企业自查:记录企业最新一次自查的日志台账。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政府检查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政府检查：根据正要或监管部门制度定期对所属企业检查记录的登记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第三方检查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第三方检查：第三方相关单位对企业的运用进行监管检查记录登记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隐患</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隐患：针对企业的检查，评定企业在生产中目前存在那些隐患，在案登记上报。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违法行为</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违法行为：在监管部门发布的规章制度中，企业历史违规累计记录。后期在分析企业治污等级评定占一定的权重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应急预案</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应急预案：针对当前企业指定的相关应急预案计划，当发生应急响应时，企业按照预先指定制度进行停产、限产。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应急专家</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应急专家：发生应急事件响应的响应专家负责人在案登记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应急队伍</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应急队伍：响应应急执行队伍人员的在案登记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物资装备</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物资装备：安全生产必备的必要物资登记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违法案件</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违法案件：在监管部门发布的规章制度中，企业历史违法累计记录。后期在分析企业治污等级评定占一定的权重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企业评价等级</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通过大数据决策分析，根据预案限产规则，和历史生产运行大数据分析，评估企业排污治理等级。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企业综合概要</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运行监管情况</w:t>
            </w:r>
          </w:p>
        </w:tc>
        <w:tc>
          <w:tcPr>
            <w:tcW w:w="2953" w:type="pct"/>
            <w:vMerge w:val="restar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展示企业产治污实时监控情况，通过大数据分析对同行业企业等级自动排名。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违规记录</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企业等级排名</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79</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执行准则公示</w:t>
            </w: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准则标准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2953" w:type="pct"/>
            <w:vMerge w:val="restar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国家及地方政策及相关监管部门信息公示，执行准则，执行标准等信息公示。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准则类型</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执行标准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82</w:t>
            </w:r>
          </w:p>
        </w:tc>
        <w:tc>
          <w:tcPr>
            <w:tcW w:w="395"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系统运维</w:t>
            </w: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基础数据管理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区域管理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对区域信息进行增加，编辑，删除，查询。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行业管理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对行业信息进行增加，编辑，删除，查询。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机构管理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对机构信息进行增加，编辑，删除，查询。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用户管理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对用户信息进行增加，编辑，删除，查询，并将用户和企业进行挂钩。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对企业信息进行增加，编辑，删除，查询。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监测点管理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对监测点信息进行增加，编辑，删除，查询。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监测点设备分组</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对企业的产污设施和治污设施同监测点设备进行关联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企业通讯录</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对企业联系人进行增加，编辑，删除，查询。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异常订阅管理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对异常的报警方式进行增加，编辑，删除，查询。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设备异常设置</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对设备异常状态的条件进行增加，编辑，删除，查询。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角色管理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菜单管理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对系统菜单进行增加，编辑，删除，查询。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角色管理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对用户角色进行增加，编辑，删除，查询。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角色授权</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对系统权限进行增加，编辑，删除，查询。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帮助管理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对系统帮助信息进行维护。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字典管理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增删改查列表</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提供强大的数据字典管理和维护的功能，方便管理员进行自定义数据字典的维护管理，以便扩展自己需要新的数据字典。对系统常量参数进行增加，编辑，删除，查询。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设备维护</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设备类型增删改查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对企业大型设备类型进行增加，编辑，删除，查询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设备分组增删改查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对企业大型设备分组进行增加，编辑，删除，查询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设备增删改查</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对企业大型设备进行注册报备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设备更换</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对企业大型设备进行增加，编辑，删除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综合查询</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按行业对企业大型设备状态进行查询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企业设备报废申请</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支持监管部门对企业报废设备的管理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设备信息</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对企业大型设备的维护，如投产时间、规格型号、用电功率、当前状态等。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设备生命历程</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支持设备的全生命周期管理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异常订阅</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异常订阅管理</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对异常的报警方式（事件类型、发送对象）进行增加，编辑，删除，查询，支持钉钉、微信、短信、邮件等多种推送方式。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106</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审批流程管理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违规申诉审批</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支持违规企业自定义流程申诉审批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107</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设备报废审批</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支持企业设备报废自定义流程审批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108</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设备参数规则设置</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增删改查列表参数类型</w:t>
            </w:r>
          </w:p>
        </w:tc>
        <w:tc>
          <w:tcPr>
            <w:tcW w:w="2953" w:type="pct"/>
            <w:vMerge w:val="restar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通过对企业性质进行分类，对企业不同的排污设备情况进行指标预警阈值的动态参数化设置，支持对企业生产设备预警阀值进行自定义设置。结合企业的综合评定登记，和执行制度的遵守情况进行灵活动态的调整，达到违者重点监测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109</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增删改查列表参数规则</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110</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增删改查列表异常类型</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111</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增删改查列表异常规则</w:t>
            </w:r>
          </w:p>
        </w:tc>
        <w:tc>
          <w:tcPr>
            <w:tcW w:w="2953"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112</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日志管理</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登录日志</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展示系统的登录记录，并可对记录按关键词进行查询。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113</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访问日志</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展示系统的操作记录，并可对记录按关键词进行查询。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114</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图标统计</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以图表形式展示系统最近七天的访问量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71"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115</w:t>
            </w:r>
          </w:p>
        </w:tc>
        <w:tc>
          <w:tcPr>
            <w:tcW w:w="395" w:type="pct"/>
            <w:gridSpan w:val="2"/>
            <w:vMerge w:val="continue"/>
            <w:vAlign w:val="center"/>
          </w:tcPr>
          <w:p>
            <w:pPr>
              <w:widowControl/>
              <w:jc w:val="left"/>
              <w:rPr>
                <w:rFonts w:ascii="宋体" w:hAnsi="宋体" w:eastAsia="宋体" w:cs="宋体"/>
                <w:color w:val="000000"/>
                <w:kern w:val="0"/>
                <w:sz w:val="20"/>
                <w:szCs w:val="20"/>
              </w:rPr>
            </w:pPr>
          </w:p>
        </w:tc>
        <w:tc>
          <w:tcPr>
            <w:tcW w:w="626"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数据备份</w:t>
            </w:r>
          </w:p>
        </w:tc>
        <w:tc>
          <w:tcPr>
            <w:tcW w:w="655"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自动备份</w:t>
            </w:r>
          </w:p>
        </w:tc>
        <w:tc>
          <w:tcPr>
            <w:tcW w:w="2953"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对生产数据进行安全自动备份，保证资产数据在安全环境下正常运行，当发生突发事件导致服务器崩溃，可以在最短时间内恢复。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000" w:type="pct"/>
            <w:gridSpan w:val="7"/>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2.移动端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437"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437"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首页</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首页展示区域内总的电量监控企业数量、限产企业数量、问题企业数量等，近期报警情况、不同时间维度的用电量的环比分析、按区域/行业的企业分布情况、不同时间维度下各区域的报警排名等，首页展示宏观层面的重要信息，给工作人员直观了解区域内企业的整体监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437"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产污监控</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用户可查看辖区内的所有监控企业情况，也可根据地区、行业等条件查询需要的企业，可直观展示各企业的治污情况是正常还是有报警情况。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另外可关联查看每个企业的具体情况，包括该企业的基础信息、生产设备与治污设备的用电信息、报警信息、负荷曲线、工艺流程以及通讯信息等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437"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异常报警</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默认以列表形式显示所有的报警信息，包括未处理、已处理、待确认等不同状态的报警。支持按照报警等级、报警类型、时间等条件筛选需要的报警。并对未处理的报警，工作人与可以查看报警的具体情况，进行直接处理并填写处理意见。报警处理意见的内容可以在手机端均可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报警状态分为未处理、已处理未申报、已处理不需申报、已申报未审核、已申报通过审核等，在不同报警状态下报警界面右下角显示不同的处理类型按钮：异常处理、异常申报、异常审核、查看详情。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具体操作：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1.异常处理：用户可填写异常原因、备注、图片说明，上传图片后进行保存，保存成功后该条异常状态变为已处理未申报或已处理不需申报。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2.异常申报：根据异常处理生成，此时用户可修改申报备注后进行异常申报，申报成功后该条异常状态变为已申报未审核。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3.异常审核：根据异常申报生成，用户可在审核后选择通过或不通过，通过后该条异常状态变为已申报通过审核，不通过则该条异常状态退回已处理未申报。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4.查看详情：异常处理完成，可查看处理详情和异常处理时间节点。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437"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错峰生产</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用户可查看辖区内的所有监控企业情况，也可根据地区、行业等条件查询需要的企业，可直观展示各企业的治污情况是正常还是有报警情况。</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另外可关联查看每个企业的具体情况，包括该企业的基础信息、生产设备与治污设备的用电信息、报警信息、负荷曲线、工艺流程以及通讯信息等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用户可查看辖区内的所有监控企业情况，也可根据地区、行业等条件查询需要的企业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vMerge w:val="continue"/>
            <w:vAlign w:val="center"/>
          </w:tcPr>
          <w:p>
            <w:pPr>
              <w:widowControl/>
              <w:jc w:val="left"/>
              <w:rPr>
                <w:rFonts w:ascii="宋体" w:hAnsi="宋体" w:eastAsia="宋体" w:cs="宋体"/>
                <w:color w:val="000000"/>
                <w:kern w:val="0"/>
                <w:sz w:val="20"/>
                <w:szCs w:val="20"/>
              </w:rPr>
            </w:pP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系统提供丰富的分析功能，即可统揽报警趋势分析、企业报警排名分析、区域报警排名分析、企业按行业/地区占比分析、报警类型统计和处理情况分析、重污染天气用电监管情况分析等功能，又可查看单个的分析详情，可进行查询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437"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个人中心</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实现对用户、角色等信息的管理，以及对用户名、密码等的维护管理。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000" w:type="pct"/>
            <w:gridSpan w:val="7"/>
            <w:shd w:val="clear" w:color="000000" w:fill="FFFFFF"/>
            <w:noWrap/>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3.BIM环保设备全周期管理系统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437"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4024" w:type="pct"/>
            <w:gridSpan w:val="3"/>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437" w:type="pct"/>
            <w:gridSpan w:val="2"/>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BIM环保设备全周期管理</w:t>
            </w:r>
          </w:p>
        </w:tc>
        <w:tc>
          <w:tcPr>
            <w:tcW w:w="416"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环保设备BIM工艺管理</w:t>
            </w: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三维可视化工艺管理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三维可视化工艺数字孪生，通过三维可视化引擎将不同企业在以GIS三维为基础的背景下，可视化的动态仿真展示当前企业的生产情况，实现了真实的时间空间的同步，实现了双向数据联动，为监管部门统一智慧调度提供有利的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设备报修维修</w:t>
            </w: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维修工单管理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通过平台监测终端设备的通讯情况，自动识别设备故障，自动发起工单，支持工单自动分配，无需手动人工分配工单。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维修单综合管理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支持数据分析统计，统计完成数量，待完成数量，未处理工单。以设备为单位查询设备的全生命周期管理。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监测设备台帐管理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对自动生成的故障工单进行人员、备件、工具、工作步骤、工作进度等的审批、执行、检查、完工报告，跟踪工单状态。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企业验收</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支持企业对监测设备维修后运行状态的验收确认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维修进程查询</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支持对监测设备维修工单进程查询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故障问题维护</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支持对故障问题进行分类维护，按照设备种类进行分线不同种类的设备当前运行情况。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设备质控</w:t>
            </w: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保养管理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采集设备、现场传感器及网络传输设备的定期保养计划编排，当设备到保养计划提醒，保养计划实施进度跟踪，保养完成验收情况。大大提升设备的使用年限和寿命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巡检管理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采集设备、现场传感器及网络传输设备的自动巡检设置，巡检记录管理，巡检计划提醒，巡检计划实施进度跟踪，巡检报表统计分析。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维修配件管理</w:t>
            </w: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配件字典</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配件信息、规格、供应商等数据管理与维护。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配件出、入库</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配件使用情况记录，出入库管理流程审批管理，库存情况显示，余量提醒，历史用料追溯，库存存量预警提醒。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noWrap/>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437" w:type="pct"/>
            <w:gridSpan w:val="2"/>
            <w:vMerge w:val="continue"/>
            <w:vAlign w:val="center"/>
          </w:tcPr>
          <w:p>
            <w:pPr>
              <w:widowControl/>
              <w:jc w:val="left"/>
              <w:rPr>
                <w:rFonts w:ascii="宋体" w:hAnsi="宋体" w:eastAsia="宋体" w:cs="宋体"/>
                <w:color w:val="000000"/>
                <w:kern w:val="0"/>
                <w:sz w:val="20"/>
                <w:szCs w:val="20"/>
              </w:rPr>
            </w:pPr>
          </w:p>
        </w:tc>
        <w:tc>
          <w:tcPr>
            <w:tcW w:w="416" w:type="pct"/>
            <w:vMerge w:val="continue"/>
            <w:vAlign w:val="center"/>
          </w:tcPr>
          <w:p>
            <w:pPr>
              <w:widowControl/>
              <w:jc w:val="left"/>
              <w:rPr>
                <w:rFonts w:ascii="宋体" w:hAnsi="宋体" w:eastAsia="宋体" w:cs="宋体"/>
                <w:color w:val="000000"/>
                <w:kern w:val="0"/>
                <w:sz w:val="20"/>
                <w:szCs w:val="20"/>
              </w:rPr>
            </w:pPr>
          </w:p>
        </w:tc>
        <w:tc>
          <w:tcPr>
            <w:tcW w:w="655" w:type="pct"/>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配件综合管理</w:t>
            </w:r>
          </w:p>
        </w:tc>
        <w:tc>
          <w:tcPr>
            <w:tcW w:w="2953" w:type="pct"/>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配件使用率分析，配件平均寿命分析，使用点分布占比分析。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000" w:type="pct"/>
            <w:gridSpan w:val="7"/>
            <w:shd w:val="clear" w:color="000000" w:fill="FFFFFF"/>
            <w:vAlign w:val="bottom"/>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4.高清云视频在线指挥调度系统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853" w:type="pct"/>
            <w:gridSpan w:val="3"/>
            <w:shd w:val="clear" w:color="000000" w:fill="FFFFFF"/>
            <w:vAlign w:val="bottom"/>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3608" w:type="pct"/>
            <w:gridSpan w:val="2"/>
            <w:shd w:val="clear" w:color="000000" w:fill="FFFFFF"/>
            <w:vAlign w:val="bottom"/>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39" w:type="pct"/>
            <w:gridSpan w:val="2"/>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853" w:type="pct"/>
            <w:gridSpan w:val="3"/>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高清云视频在线指挥调度系统</w:t>
            </w:r>
          </w:p>
        </w:tc>
        <w:tc>
          <w:tcPr>
            <w:tcW w:w="3608" w:type="pct"/>
            <w:gridSpan w:val="2"/>
            <w:shd w:val="clear" w:color="000000" w:fill="FFFFFF"/>
            <w:vAlign w:val="center"/>
          </w:tcPr>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1、为保证系统整体运行的技术领先、灵活扩容。要求云视频服务由全球领先云计算平台承载，采用全虚拟化部署方式，实现分布式集群式媒体资源池架构，支持异地多活，支持大规模接入、无限弹性扩展。</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2、支持H.264 SVC，H.265 SVC编解码协议，能够适应不同线路带宽、不同设备能力、不同网络环境的组网需求（具有权威机构检测报告复印件）</w:t>
            </w:r>
            <w:r>
              <w:rPr>
                <w:rFonts w:hint="eastAsia" w:ascii="宋体" w:hAnsi="宋体" w:eastAsia="宋体" w:cs="宋体"/>
                <w:color w:val="222222"/>
                <w:kern w:val="0"/>
                <w:sz w:val="20"/>
                <w:szCs w:val="20"/>
                <w:shd w:val="clear" w:color="auto" w:fill="FFFFFF"/>
              </w:rPr>
              <w:t>；</w:t>
            </w:r>
            <w:r>
              <w:rPr>
                <w:rFonts w:ascii="宋体" w:hAnsi="宋体" w:eastAsia="宋体" w:cs="宋体"/>
                <w:color w:val="222222"/>
                <w:kern w:val="0"/>
                <w:sz w:val="20"/>
                <w:szCs w:val="20"/>
                <w:shd w:val="clear" w:color="auto" w:fill="FFFFFF"/>
              </w:rPr>
              <w:t>视频分辨率支持180p、360p、720p、1080p、4K等分辨率。支持OPUS、G.711、G.722编解码协议；支持48K采样率全带音频。</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3、支持电子白板功能，实现多方白板互动（提供权威机构检测报告复印件）。</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4、支持会议管理功能，如预约会议、群组会议、当前会议状态监测、会议记录查询、会议数据统计汇总等。</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5、具备终端管理、用户管理、单位通讯录管理、群组管理、组织架构管理等功能。</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6、具备多种会议控制功能，如锁定会议、会场轮询、会场点名、多画面设置、静音闭音操作、添加删除终端等。支持终端限制主叫功能，包括主叫呼叫关闭、允许主动呼叫所有用户、允许主动呼叫通讯录用户。提供统计报表：报表内容包含Log日志，会议信息统计、设备状态统计。</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7、支持发起对与会终端进行的巡检，探测终端在会议准备中网络链接、摄像头、麦克风、扬声器的状态（提供功能应用照片）。</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8、</w:t>
            </w:r>
            <w:r>
              <w:rPr>
                <w:rFonts w:hint="eastAsia" w:ascii="宋体" w:hAnsi="宋体" w:eastAsia="宋体" w:cs="宋体"/>
                <w:color w:val="222222"/>
                <w:kern w:val="0"/>
                <w:sz w:val="20"/>
                <w:szCs w:val="20"/>
              </w:rPr>
              <w:t>★</w:t>
            </w:r>
            <w:r>
              <w:rPr>
                <w:rFonts w:ascii="宋体" w:hAnsi="宋体" w:eastAsia="宋体" w:cs="宋体"/>
                <w:color w:val="222222"/>
                <w:kern w:val="0"/>
                <w:sz w:val="20"/>
                <w:szCs w:val="20"/>
                <w:shd w:val="clear" w:color="auto" w:fill="FFFFFF"/>
              </w:rPr>
              <w:t>支持IM即时通信功能，会议中，PC客户端入会成员之间可以进行文字实时互动功能（提供功能应用截图）。</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9、支持媒体录制服务，支持会议录制、内容分享录制，云端存储，支持录制权限管理。</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10、在会议中支持发起答题，参会人员扫描二维码进行答题，会议管理平台可以统计公布答题结果（提供权威机构的检测报告复印件）。</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11、支持视频座席服务，支持一键直达视座坐席，提供原厂咨询服务。</w:t>
            </w:r>
          </w:p>
          <w:p>
            <w:pPr>
              <w:rPr>
                <w:rFonts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12、支持前向纠错算法，网络丢包率30%的情况下能保证视频流畅传输，帧率不低于25帧/秒，在网络丢包率50%的情况下，声音清楚连贯；丢包率80%时，语义依然可理解（提供权威机构检测报告复印件）。</w:t>
            </w:r>
          </w:p>
          <w:p>
            <w:pPr>
              <w:rPr>
                <w:rFonts w:ascii="宋体" w:hAnsi="宋体" w:eastAsia="宋体" w:cs="宋体"/>
                <w:color w:val="222222"/>
                <w:kern w:val="0"/>
                <w:sz w:val="20"/>
                <w:szCs w:val="20"/>
                <w:shd w:val="clear" w:color="auto" w:fill="FFFFFF"/>
              </w:rPr>
            </w:pPr>
            <w:r>
              <w:rPr>
                <w:rFonts w:hint="eastAsia" w:ascii="宋体" w:hAnsi="宋体" w:eastAsia="宋体" w:cs="宋体"/>
                <w:color w:val="222222"/>
                <w:kern w:val="0"/>
                <w:sz w:val="20"/>
                <w:szCs w:val="20"/>
                <w:shd w:val="clear" w:color="auto" w:fill="FFFFFF"/>
              </w:rPr>
              <w:t>1</w:t>
            </w:r>
            <w:r>
              <w:rPr>
                <w:rFonts w:ascii="宋体" w:hAnsi="宋体" w:eastAsia="宋体" w:cs="宋体"/>
                <w:color w:val="222222"/>
                <w:kern w:val="0"/>
                <w:sz w:val="20"/>
                <w:szCs w:val="20"/>
                <w:shd w:val="clear" w:color="auto" w:fill="FFFFFF"/>
              </w:rPr>
              <w:t>3</w:t>
            </w:r>
            <w:r>
              <w:rPr>
                <w:rFonts w:hint="eastAsia" w:ascii="宋体" w:hAnsi="宋体" w:eastAsia="宋体" w:cs="宋体"/>
                <w:color w:val="222222"/>
                <w:kern w:val="0"/>
                <w:sz w:val="20"/>
                <w:szCs w:val="20"/>
                <w:shd w:val="clear" w:color="auto" w:fill="FFFFFF"/>
              </w:rPr>
              <w:t>、</w:t>
            </w:r>
            <w:r>
              <w:rPr>
                <w:rFonts w:hint="eastAsia" w:ascii="宋体" w:hAnsi="宋体" w:eastAsia="宋体" w:cs="宋体"/>
                <w:color w:val="222222"/>
                <w:kern w:val="0"/>
                <w:sz w:val="20"/>
                <w:szCs w:val="20"/>
              </w:rPr>
              <w:t>★</w:t>
            </w:r>
            <w:r>
              <w:rPr>
                <w:rFonts w:ascii="宋体" w:hAnsi="宋体" w:eastAsia="宋体" w:cs="宋体"/>
                <w:color w:val="222222"/>
                <w:kern w:val="0"/>
                <w:sz w:val="20"/>
                <w:szCs w:val="20"/>
                <w:shd w:val="clear" w:color="auto" w:fill="FFFFFF"/>
              </w:rPr>
              <w:t>平台支持不少于</w:t>
            </w:r>
            <w:r>
              <w:rPr>
                <w:rFonts w:hint="eastAsia" w:ascii="宋体" w:hAnsi="宋体" w:eastAsia="宋体" w:cs="宋体"/>
                <w:color w:val="222222"/>
                <w:kern w:val="0"/>
                <w:sz w:val="20"/>
                <w:szCs w:val="20"/>
                <w:shd w:val="clear" w:color="auto" w:fill="FFFFFF"/>
              </w:rPr>
              <w:t>1</w:t>
            </w:r>
            <w:r>
              <w:rPr>
                <w:rFonts w:ascii="宋体" w:hAnsi="宋体" w:eastAsia="宋体" w:cs="宋体"/>
                <w:color w:val="222222"/>
                <w:kern w:val="0"/>
                <w:sz w:val="20"/>
                <w:szCs w:val="20"/>
                <w:shd w:val="clear" w:color="auto" w:fill="FFFFFF"/>
              </w:rPr>
              <w:t>0000路并发注册用户数，满足</w:t>
            </w:r>
            <w:r>
              <w:rPr>
                <w:rFonts w:hint="eastAsia" w:ascii="宋体" w:hAnsi="宋体" w:eastAsia="宋体" w:cs="宋体"/>
                <w:color w:val="222222"/>
                <w:kern w:val="0"/>
                <w:sz w:val="20"/>
                <w:szCs w:val="20"/>
                <w:shd w:val="clear" w:color="auto" w:fill="FFFFFF"/>
              </w:rPr>
              <w:t>1</w:t>
            </w:r>
            <w:r>
              <w:rPr>
                <w:rFonts w:ascii="宋体" w:hAnsi="宋体" w:eastAsia="宋体" w:cs="宋体"/>
                <w:color w:val="222222"/>
                <w:kern w:val="0"/>
                <w:sz w:val="20"/>
                <w:szCs w:val="20"/>
                <w:shd w:val="clear" w:color="auto" w:fill="FFFFFF"/>
              </w:rPr>
              <w:t>0000</w:t>
            </w:r>
            <w:r>
              <w:rPr>
                <w:rFonts w:hint="eastAsia" w:ascii="宋体" w:hAnsi="宋体" w:eastAsia="宋体" w:cs="宋体"/>
                <w:color w:val="222222"/>
                <w:kern w:val="0"/>
                <w:sz w:val="20"/>
                <w:szCs w:val="20"/>
                <w:shd w:val="clear" w:color="auto" w:fill="FFFFFF"/>
              </w:rPr>
              <w:t>用户</w:t>
            </w:r>
            <w:r>
              <w:rPr>
                <w:rFonts w:ascii="宋体" w:hAnsi="宋体" w:eastAsia="宋体" w:cs="宋体"/>
                <w:color w:val="222222"/>
                <w:kern w:val="0"/>
                <w:sz w:val="20"/>
                <w:szCs w:val="20"/>
                <w:shd w:val="clear" w:color="auto" w:fill="FFFFFF"/>
              </w:rPr>
              <w:t>具备独立账号</w:t>
            </w:r>
            <w:r>
              <w:rPr>
                <w:rFonts w:hint="eastAsia" w:ascii="宋体" w:hAnsi="宋体" w:eastAsia="宋体" w:cs="宋体"/>
                <w:color w:val="222222"/>
                <w:kern w:val="0"/>
                <w:sz w:val="20"/>
                <w:szCs w:val="20"/>
                <w:shd w:val="clear" w:color="auto" w:fill="FFFFFF"/>
              </w:rPr>
              <w:t>，本次配备6</w:t>
            </w:r>
            <w:r>
              <w:rPr>
                <w:rFonts w:ascii="宋体" w:hAnsi="宋体" w:eastAsia="宋体" w:cs="宋体"/>
                <w:color w:val="222222"/>
                <w:kern w:val="0"/>
                <w:sz w:val="20"/>
                <w:szCs w:val="20"/>
                <w:shd w:val="clear" w:color="auto" w:fill="FFFFFF"/>
              </w:rPr>
              <w:t>0</w:t>
            </w:r>
            <w:r>
              <w:rPr>
                <w:rFonts w:hint="eastAsia" w:ascii="宋体" w:hAnsi="宋体" w:eastAsia="宋体" w:cs="宋体"/>
                <w:color w:val="222222"/>
                <w:kern w:val="0"/>
                <w:sz w:val="20"/>
                <w:szCs w:val="20"/>
                <w:shd w:val="clear" w:color="auto" w:fill="FFFFFF"/>
              </w:rPr>
              <w:t>路并发授权。</w:t>
            </w:r>
          </w:p>
          <w:p>
            <w:pPr>
              <w:rPr>
                <w:rFonts w:hint="eastAsia" w:ascii="宋体" w:hAnsi="宋体" w:eastAsia="宋体" w:cs="宋体"/>
                <w:color w:val="222222"/>
                <w:kern w:val="0"/>
                <w:sz w:val="20"/>
                <w:szCs w:val="20"/>
                <w:shd w:val="clear" w:color="auto" w:fill="FFFFFF"/>
              </w:rPr>
            </w:pPr>
            <w:r>
              <w:rPr>
                <w:rFonts w:ascii="宋体" w:hAnsi="宋体" w:eastAsia="宋体" w:cs="宋体"/>
                <w:color w:val="222222"/>
                <w:kern w:val="0"/>
                <w:sz w:val="20"/>
                <w:szCs w:val="20"/>
                <w:shd w:val="clear" w:color="auto" w:fill="FFFFFF"/>
              </w:rPr>
              <w:t>14</w:t>
            </w:r>
            <w:r>
              <w:rPr>
                <w:rFonts w:hint="eastAsia" w:ascii="宋体" w:hAnsi="宋体" w:eastAsia="宋体" w:cs="宋体"/>
                <w:color w:val="222222"/>
                <w:kern w:val="0"/>
                <w:sz w:val="20"/>
                <w:szCs w:val="20"/>
                <w:shd w:val="clear" w:color="auto" w:fill="FFFFFF"/>
              </w:rPr>
              <w:t>、</w:t>
            </w:r>
            <w:r>
              <w:rPr>
                <w:rFonts w:ascii="宋体" w:hAnsi="宋体" w:eastAsia="宋体" w:cs="宋体"/>
                <w:color w:val="222222"/>
                <w:kern w:val="0"/>
                <w:sz w:val="20"/>
                <w:szCs w:val="20"/>
                <w:shd w:val="clear" w:color="auto" w:fill="FFFFFF"/>
              </w:rPr>
              <w:t>支持预约定时录制，支持对录像文件在线剪辑。（提供功能界面清晰照片）</w:t>
            </w:r>
          </w:p>
        </w:tc>
      </w:tr>
    </w:tbl>
    <w:p>
      <w:pPr>
        <w:widowControl/>
        <w:jc w:val="left"/>
        <w:rPr>
          <w:rFonts w:ascii="宋体" w:hAnsi="宋体" w:eastAsia="宋体"/>
          <w:szCs w:val="21"/>
        </w:rPr>
      </w:pPr>
      <w:r>
        <w:rPr>
          <w:rFonts w:hint="eastAsia" w:ascii="宋体" w:hAnsi="宋体" w:eastAsia="宋体"/>
          <w:szCs w:val="21"/>
        </w:rPr>
        <w:t>3</w:t>
      </w:r>
      <w:r>
        <w:rPr>
          <w:rFonts w:ascii="宋体" w:hAnsi="宋体" w:eastAsia="宋体"/>
          <w:szCs w:val="21"/>
        </w:rPr>
        <w:t>.</w:t>
      </w:r>
      <w:r>
        <w:rPr>
          <w:rFonts w:hint="eastAsia" w:ascii="宋体" w:hAnsi="宋体" w:eastAsia="宋体"/>
          <w:szCs w:val="21"/>
          <w:lang w:val="en-US" w:eastAsia="zh-CN"/>
        </w:rPr>
        <w:t>1</w:t>
      </w:r>
      <w:r>
        <w:rPr>
          <w:rFonts w:ascii="宋体" w:hAnsi="宋体" w:eastAsia="宋体"/>
          <w:szCs w:val="21"/>
        </w:rPr>
        <w:t>.2</w:t>
      </w:r>
      <w:r>
        <w:rPr>
          <w:rFonts w:hint="eastAsia" w:ascii="宋体" w:hAnsi="宋体" w:eastAsia="宋体"/>
          <w:szCs w:val="21"/>
        </w:rPr>
        <w:t>高清云视频在线指挥调度系统</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gridCol w:w="527"/>
        <w:gridCol w:w="6949"/>
        <w:gridCol w:w="527"/>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序号</w:t>
            </w:r>
          </w:p>
        </w:tc>
        <w:tc>
          <w:tcPr>
            <w:tcW w:w="291"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名称</w:t>
            </w:r>
          </w:p>
        </w:tc>
        <w:tc>
          <w:tcPr>
            <w:tcW w:w="3837"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技术要求</w:t>
            </w:r>
          </w:p>
        </w:tc>
        <w:tc>
          <w:tcPr>
            <w:tcW w:w="291"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单位</w:t>
            </w:r>
          </w:p>
        </w:tc>
        <w:tc>
          <w:tcPr>
            <w:tcW w:w="290"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1</w:t>
            </w:r>
          </w:p>
        </w:tc>
        <w:tc>
          <w:tcPr>
            <w:tcW w:w="291"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高清云视频在线指挥调度系统</w:t>
            </w: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详见软件部分技术要求</w:t>
            </w:r>
          </w:p>
        </w:tc>
        <w:tc>
          <w:tcPr>
            <w:tcW w:w="291"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290"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1" w:type="pct"/>
            <w:vMerge w:val="restar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2</w:t>
            </w:r>
          </w:p>
        </w:tc>
        <w:tc>
          <w:tcPr>
            <w:tcW w:w="291" w:type="pct"/>
            <w:vMerge w:val="restar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市/区县云视频终端</w:t>
            </w: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1、与云视频平台为同一品牌，分体式终端，采用嵌入式操作系统、非PC架构，产品稳定可靠，支持7×24小时开机运行。</w:t>
            </w:r>
          </w:p>
        </w:tc>
        <w:tc>
          <w:tcPr>
            <w:tcW w:w="291"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29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2、配置具备4路高清视频输入和2个高清视频输出，支持POE供电IP Cammera和HDMI高清接口，简化布线的同时方便与会议室其他视频系统集成，配置具备2个XLR平衡输入接口，2个大三芯平衡输入接口，1个RCA输入接口和一个RJ45的POE供电数字麦克风接口；1对RCA输出接口，2个HDMI输出接口，（提供清晰的背板照片、加盖原厂公章）</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3、视频编码：支持H.264 SVC、H.265SVC编码技术，能够适应不同线路带宽、不同设备能力、不同网络环境的组网需求；支持宽频高保真语音技术，支持OPUS、G.711、G.722音频编解码协议。</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4、支持1080P60fps、1080P30fps、720P60fps、720P30fps、360P30fps、180P30fps、4K30fps分辨率。</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5、支持IPV4、IPV6，IPV4+IPV6双栈。支持在有线和无线网络互相切换时，视频业务自动恢复时间不超过30秒；</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6、支持电子白板功能，可多方同时标注协作。支持使用视频线缆连接终端的方式实现内容共享。支持PC软件客户端通过网络传输的方式实现桌面、文件等内容的共享，同时抓取并分享内容播放的声音。</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7、终端具备能够自主建立可加密的直播功能，直播建立者可通过个人移动智能终端进行简易快捷的分享，并且对观众可设置收看及文字互动的权限，实现直播的安全可控。</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8、配备高清PTZ云台高清摄像头且与终端同一品牌。</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9、采用高品质HDCMOS传感器，至少800万有效像素。支持4K/1080p/60, 1080p/30, 720p/60, 720p/30活动图像采集和输出；支持至少12倍光学变焦，水平视角不小于72°；水平转动范围±170°，垂直转动范围±30°；支持倒装。</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1</w:t>
            </w:r>
            <w:r>
              <w:rPr>
                <w:rFonts w:ascii="宋体" w:hAnsi="宋体" w:eastAsia="宋体" w:cs="宋体"/>
                <w:color w:val="222222"/>
                <w:kern w:val="0"/>
                <w:sz w:val="20"/>
                <w:szCs w:val="20"/>
              </w:rPr>
              <w:t>0</w:t>
            </w:r>
            <w:r>
              <w:rPr>
                <w:rFonts w:hint="eastAsia" w:ascii="宋体" w:hAnsi="宋体" w:eastAsia="宋体" w:cs="宋体"/>
                <w:color w:val="222222"/>
                <w:kern w:val="0"/>
                <w:sz w:val="20"/>
                <w:szCs w:val="20"/>
              </w:rPr>
              <w:t>、★接口：1路, RJ45,；1路HDMI、1路SDI: 10M/100M/1000M 自适应以太网；支持PoE（隔离）；分辨率：4k/30,4k/25,1080p/60, 1080p/50, 1080i/60, 1080i/50, 1080p/30, 1080p/25, 720p/60, 720p/50, 720p/30, 720p/25。</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1</w:t>
            </w:r>
            <w:r>
              <w:rPr>
                <w:rFonts w:ascii="宋体" w:hAnsi="宋体" w:eastAsia="宋体" w:cs="宋体"/>
                <w:color w:val="222222"/>
                <w:kern w:val="0"/>
                <w:sz w:val="20"/>
                <w:szCs w:val="20"/>
              </w:rPr>
              <w:t>1</w:t>
            </w:r>
            <w:r>
              <w:rPr>
                <w:rFonts w:hint="eastAsia" w:ascii="宋体" w:hAnsi="宋体" w:eastAsia="宋体" w:cs="宋体"/>
                <w:color w:val="222222"/>
                <w:kern w:val="0"/>
                <w:sz w:val="20"/>
                <w:szCs w:val="20"/>
              </w:rPr>
              <w:t>、全向麦克风支持360°全向拾音，高保真智能降噪，8米有效拾音距离。</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1</w:t>
            </w:r>
            <w:r>
              <w:rPr>
                <w:rFonts w:ascii="宋体" w:hAnsi="宋体" w:eastAsia="宋体" w:cs="宋体"/>
                <w:color w:val="222222"/>
                <w:kern w:val="0"/>
                <w:sz w:val="20"/>
                <w:szCs w:val="20"/>
              </w:rPr>
              <w:t>2</w:t>
            </w:r>
            <w:r>
              <w:rPr>
                <w:rFonts w:hint="eastAsia" w:ascii="宋体" w:hAnsi="宋体" w:eastAsia="宋体" w:cs="宋体"/>
                <w:color w:val="222222"/>
                <w:kern w:val="0"/>
                <w:sz w:val="20"/>
                <w:szCs w:val="20"/>
              </w:rPr>
              <w:t>、公有云使用，含3年服务费。</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restar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4</w:t>
            </w:r>
          </w:p>
        </w:tc>
        <w:tc>
          <w:tcPr>
            <w:tcW w:w="291" w:type="pct"/>
            <w:vMerge w:val="restar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办公桌面终端</w:t>
            </w: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1、与云视频平台为同一品牌。采用嵌入式操作系统，产品稳定可靠，支持7×24小时开机运行。一体化智能终端，摄像机、触控显示屏（不低于11寸）、麦克风和扬声器高度集成。（提供产品样机外观图片）</w:t>
            </w:r>
          </w:p>
        </w:tc>
        <w:tc>
          <w:tcPr>
            <w:tcW w:w="291"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9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2、视频编码：支持H.264  SVC编码技术，能够适应不同线路带宽、不同设备能力、不同网络环境的组网需求。为保证音频效果，系统应支持宽频高保真语音技术，支持OPUS、G.711、G.722音频编解码协议。</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3、★配置具备2个高清视频输入和1个高清视频输出接口，支持POE供电IP摄像机高清输入接口，通过网线实现视频、电源、控制信号共线传输，简化布线。上述接口需终端集成，不接受转接方式实现。（提供清晰的背板照片并加盖原厂公章）。</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4、★具备1个3.5mm音频输入接口，具备1个3.5mm音频输出接口。配置具备2个POE供电IP麦克风接口，通过网线实现音频、电源、控制信号共线传输。上述接口需终端集成，不接受转接方式实现。（提供清晰的背板照片并加盖原厂公章）。</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5、具备一个USB2.0接口，可连接USB耳麦。具备RJ-45网络接口，支持2.4G\5G WiFi无线接入。</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6、支持1080P30fps、720P60fps、720P30fps、360P30fps、180P30fps分辨率。支持双流内容分享，支持1080P高清双流，并可向下兼容共享PC的主要分辨率，如1440*900、1280*800、1024*768等。</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7、全触屏操控，人性化UI，使用简单、会中可点击屏幕自主启动录制。支持触屏操作主持会议，邀请与会者、静音其他会场等。</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8、★支持HDMI接口输出音频/4K视频，支持4K解码能力,可以选择扩展模式，内置触控屏用于会控，扩展屏用于显示会议视频内容。可以选择复制模式：扩展屏与内置触控屏显示内容相同。可以扩展外接PTZ摄像机，终端与摄像机间支持供电、视频传输、控制三合一共线传输。可以扩展全向数字麦克风，终端与麦克风间支持供电、音频传输、麦克风控制三合一共线传输。（提供权威机构检测报告复印件）</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9、支持通过手机扫描终端二维码快速入会。（提供应用界面截图）</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10、支持通过物理开关关闭视频，视频关闭后其他与会者不能看到本地视频，本地终端正常接受远端主流和辅流视频。（提供权威机构检测报告复印件）</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rPr>
                <w:rFonts w:ascii="宋体" w:hAnsi="宋体" w:eastAsia="宋体" w:cs="宋体"/>
                <w:color w:val="222222"/>
                <w:kern w:val="0"/>
                <w:sz w:val="20"/>
                <w:szCs w:val="20"/>
              </w:rPr>
            </w:pPr>
            <w:r>
              <w:rPr>
                <w:rFonts w:hint="eastAsia" w:ascii="宋体" w:hAnsi="宋体" w:eastAsia="宋体" w:cs="宋体"/>
                <w:color w:val="222222"/>
                <w:kern w:val="0"/>
                <w:sz w:val="20"/>
                <w:szCs w:val="20"/>
              </w:rPr>
              <w:t xml:space="preserve">11、支持接收后台统一通讯录，能够由平台统一推送至所有终端，自动更新，终端通讯录界面可查看通讯录中终端的在线、呼叫、离线状态。( 提供第三方检测机 构出具的检测报告复印件证明 )  </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91" w:type="pct"/>
            <w:vMerge w:val="continue"/>
            <w:vAlign w:val="center"/>
          </w:tcPr>
          <w:p>
            <w:pPr>
              <w:widowControl/>
              <w:jc w:val="left"/>
              <w:rPr>
                <w:rFonts w:ascii="宋体" w:hAnsi="宋体" w:eastAsia="宋体" w:cs="宋体"/>
                <w:color w:val="222222"/>
                <w:kern w:val="0"/>
                <w:sz w:val="20"/>
                <w:szCs w:val="20"/>
              </w:rPr>
            </w:pPr>
          </w:p>
        </w:tc>
        <w:tc>
          <w:tcPr>
            <w:tcW w:w="291" w:type="pct"/>
            <w:vMerge w:val="continue"/>
            <w:vAlign w:val="center"/>
          </w:tcPr>
          <w:p>
            <w:pPr>
              <w:widowControl/>
              <w:jc w:val="left"/>
              <w:rPr>
                <w:rFonts w:ascii="宋体" w:hAnsi="宋体" w:eastAsia="宋体" w:cs="宋体"/>
                <w:color w:val="222222"/>
                <w:kern w:val="0"/>
                <w:sz w:val="20"/>
                <w:szCs w:val="20"/>
              </w:rPr>
            </w:pPr>
          </w:p>
        </w:tc>
        <w:tc>
          <w:tcPr>
            <w:tcW w:w="3837" w:type="pct"/>
            <w:shd w:val="clear" w:color="auto" w:fill="auto"/>
            <w:vAlign w:val="center"/>
          </w:tcPr>
          <w:p>
            <w:pPr>
              <w:widowControl/>
              <w:jc w:val="left"/>
              <w:rPr>
                <w:rFonts w:ascii="宋体" w:hAnsi="宋体" w:eastAsia="宋体" w:cs="宋体"/>
                <w:color w:val="222222"/>
                <w:kern w:val="0"/>
                <w:sz w:val="20"/>
                <w:szCs w:val="20"/>
              </w:rPr>
            </w:pPr>
            <w:r>
              <w:rPr>
                <w:rFonts w:hint="eastAsia" w:ascii="宋体" w:hAnsi="宋体" w:eastAsia="宋体" w:cs="宋体"/>
                <w:color w:val="222222"/>
                <w:kern w:val="0"/>
                <w:sz w:val="20"/>
                <w:szCs w:val="20"/>
              </w:rPr>
              <w:t>1</w:t>
            </w:r>
            <w:r>
              <w:rPr>
                <w:rFonts w:ascii="宋体" w:hAnsi="宋体" w:eastAsia="宋体" w:cs="宋体"/>
                <w:color w:val="222222"/>
                <w:kern w:val="0"/>
                <w:sz w:val="20"/>
                <w:szCs w:val="20"/>
              </w:rPr>
              <w:t>2</w:t>
            </w:r>
            <w:r>
              <w:rPr>
                <w:rFonts w:hint="eastAsia" w:ascii="宋体" w:hAnsi="宋体" w:eastAsia="宋体" w:cs="宋体"/>
                <w:color w:val="222222"/>
                <w:kern w:val="0"/>
                <w:sz w:val="20"/>
                <w:szCs w:val="20"/>
              </w:rPr>
              <w:t>、公有云使用，含3年服务费。</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291"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网格员软件端</w:t>
            </w: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1、支持Windows、MAC OS、安卓、IOS操作系统。</w:t>
            </w:r>
          </w:p>
        </w:tc>
        <w:tc>
          <w:tcPr>
            <w:tcW w:w="291"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点</w:t>
            </w:r>
          </w:p>
        </w:tc>
        <w:tc>
          <w:tcPr>
            <w:tcW w:w="29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2、视频支持H.264 SVC编码技术，能够适应不同线路带宽、不同设备能力、不同网络环境的组网需求。</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3、支持点对点呼叫、加入多方会议；支持预约会议；支持发起会议功能，通过微信、邮件、短信、链接分享方式发起会议邀请；支持会议主持功能。既可以主持主动发起的会议也支持主持其他的会议。</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4、支持在PC、手机客户端入会情况下，调用通讯录邀请其他人加入会议。</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5、内置电子白板功能，支持与其他桌面会商终端的多方同时标注，实现多方白板互动。</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6、持同一账号同时在PC客户端和手机APP上登陆，在接收呼叫时两个客户端同时振铃，接听其中一个客户端，另一个即停止振铃。</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7、手机移动端、PC客户端使用。</w:t>
            </w:r>
          </w:p>
        </w:tc>
        <w:tc>
          <w:tcPr>
            <w:tcW w:w="291" w:type="pct"/>
            <w:vMerge w:val="continue"/>
            <w:vAlign w:val="center"/>
          </w:tcPr>
          <w:p>
            <w:pPr>
              <w:widowControl/>
              <w:jc w:val="left"/>
              <w:rPr>
                <w:rFonts w:ascii="宋体" w:hAnsi="宋体" w:eastAsia="宋体" w:cs="宋体"/>
                <w:color w:val="000000"/>
                <w:kern w:val="0"/>
                <w:sz w:val="20"/>
                <w:szCs w:val="20"/>
              </w:rPr>
            </w:pPr>
          </w:p>
        </w:tc>
        <w:tc>
          <w:tcPr>
            <w:tcW w:w="290"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91" w:type="pct"/>
            <w:vMerge w:val="continue"/>
            <w:vAlign w:val="center"/>
          </w:tcPr>
          <w:p>
            <w:pPr>
              <w:widowControl/>
              <w:jc w:val="left"/>
              <w:rPr>
                <w:rFonts w:ascii="宋体" w:hAnsi="宋体" w:eastAsia="宋体" w:cs="宋体"/>
                <w:color w:val="000000"/>
                <w:kern w:val="0"/>
                <w:sz w:val="20"/>
                <w:szCs w:val="20"/>
              </w:rPr>
            </w:pPr>
          </w:p>
        </w:tc>
        <w:tc>
          <w:tcPr>
            <w:tcW w:w="291" w:type="pct"/>
            <w:vMerge w:val="continue"/>
            <w:vAlign w:val="center"/>
          </w:tcPr>
          <w:p>
            <w:pPr>
              <w:widowControl/>
              <w:jc w:val="left"/>
              <w:rPr>
                <w:rFonts w:ascii="宋体" w:hAnsi="宋体" w:eastAsia="宋体" w:cs="宋体"/>
                <w:color w:val="000000"/>
                <w:kern w:val="0"/>
                <w:sz w:val="20"/>
                <w:szCs w:val="20"/>
              </w:rPr>
            </w:pPr>
          </w:p>
        </w:tc>
        <w:tc>
          <w:tcPr>
            <w:tcW w:w="3837"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r>
              <w:rPr>
                <w:rFonts w:hint="eastAsia" w:ascii="宋体" w:hAnsi="宋体" w:eastAsia="宋体" w:cs="宋体"/>
                <w:color w:val="222222"/>
                <w:kern w:val="0"/>
                <w:sz w:val="20"/>
                <w:szCs w:val="20"/>
              </w:rPr>
              <w:t>公有云使用，含3年服务费。</w:t>
            </w:r>
          </w:p>
        </w:tc>
        <w:tc>
          <w:tcPr>
            <w:tcW w:w="291" w:type="pct"/>
            <w:vAlign w:val="center"/>
          </w:tcPr>
          <w:p>
            <w:pPr>
              <w:widowControl/>
              <w:jc w:val="left"/>
              <w:rPr>
                <w:rFonts w:ascii="宋体" w:hAnsi="宋体" w:eastAsia="宋体" w:cs="宋体"/>
                <w:color w:val="000000"/>
                <w:kern w:val="0"/>
                <w:sz w:val="20"/>
                <w:szCs w:val="20"/>
              </w:rPr>
            </w:pPr>
          </w:p>
        </w:tc>
        <w:tc>
          <w:tcPr>
            <w:tcW w:w="290" w:type="pct"/>
            <w:vAlign w:val="center"/>
          </w:tcPr>
          <w:p>
            <w:pPr>
              <w:widowControl/>
              <w:jc w:val="left"/>
              <w:rPr>
                <w:rFonts w:ascii="宋体" w:hAnsi="宋体" w:eastAsia="宋体" w:cs="宋体"/>
                <w:color w:val="000000"/>
                <w:kern w:val="0"/>
                <w:sz w:val="20"/>
                <w:szCs w:val="20"/>
              </w:rPr>
            </w:pPr>
          </w:p>
        </w:tc>
      </w:tr>
    </w:tbl>
    <w:p>
      <w:pPr>
        <w:spacing w:line="360" w:lineRule="auto"/>
        <w:rPr>
          <w:rFonts w:ascii="宋体" w:hAnsi="宋体" w:eastAsia="宋体"/>
          <w:szCs w:val="21"/>
        </w:rPr>
      </w:pPr>
    </w:p>
    <w:p>
      <w:pPr>
        <w:widowControl/>
        <w:jc w:val="left"/>
        <w:rPr>
          <w:rFonts w:ascii="宋体" w:hAnsi="宋体" w:eastAsia="宋体"/>
          <w:szCs w:val="21"/>
        </w:rPr>
      </w:pPr>
      <w:r>
        <w:rPr>
          <w:rFonts w:ascii="宋体" w:hAnsi="宋体" w:eastAsia="宋体"/>
          <w:szCs w:val="21"/>
        </w:rPr>
        <w:br w:type="page"/>
      </w:r>
    </w:p>
    <w:p>
      <w:pPr>
        <w:spacing w:line="360" w:lineRule="auto"/>
        <w:rPr>
          <w:rFonts w:ascii="宋体" w:hAnsi="宋体" w:eastAsia="宋体"/>
          <w:szCs w:val="21"/>
        </w:rPr>
      </w:pPr>
      <w:r>
        <w:rPr>
          <w:rFonts w:hint="eastAsia" w:ascii="宋体" w:hAnsi="宋体" w:eastAsia="宋体"/>
          <w:szCs w:val="21"/>
        </w:rPr>
        <w:t>3</w:t>
      </w:r>
      <w:r>
        <w:rPr>
          <w:rFonts w:ascii="宋体" w:hAnsi="宋体" w:eastAsia="宋体"/>
          <w:szCs w:val="21"/>
        </w:rPr>
        <w:t>.</w:t>
      </w:r>
      <w:r>
        <w:rPr>
          <w:rFonts w:hint="eastAsia" w:ascii="宋体" w:hAnsi="宋体" w:eastAsia="宋体"/>
          <w:szCs w:val="21"/>
          <w:lang w:val="en-US" w:eastAsia="zh-CN"/>
        </w:rPr>
        <w:t>1</w:t>
      </w:r>
      <w:r>
        <w:rPr>
          <w:rFonts w:ascii="宋体" w:hAnsi="宋体" w:eastAsia="宋体"/>
          <w:szCs w:val="21"/>
        </w:rPr>
        <w:t>.3</w:t>
      </w:r>
      <w:r>
        <w:rPr>
          <w:rFonts w:hint="eastAsia" w:ascii="宋体" w:hAnsi="宋体" w:eastAsia="宋体"/>
          <w:szCs w:val="21"/>
        </w:rPr>
        <w:t>平台配套支撑设备</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6806"/>
        <w:gridCol w:w="563"/>
        <w:gridCol w:w="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规格参数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流媒体服务器</w:t>
            </w:r>
          </w:p>
        </w:tc>
        <w:tc>
          <w:tcPr>
            <w:tcW w:w="3758" w:type="pct"/>
            <w:shd w:val="clear" w:color="auto" w:fill="auto"/>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规格：2U2路机架服务器，国产知名品牌，非OEM产品；处理器：配置2颗英特尔至强银牌4214处理器，每颗处理器≥12c，主频≥2.2Ghz。内存：共配置内存≥64GB，支持内存插槽数≥24，内存DIMM保护，内存地址奇偶检测保护，内存Rank冗余热备，内存锁步（Lockstep），内存镜像，数据加扰。硬盘：配置≥4*1.2T 10K SAS硬盘，本次配置8盘位2.5寸插槽。支持M.2 SSD，支持硬RAID 1。RAID卡：配置RAID卡支持RAID0,1,5,6,50,60,10等，缓存 ≥2G，配置超级电容（掉电保护）。网络接口：提供≥4万兆（含模块）。HBA卡：配置≥1块双端口16Gb HBA卡。I/O扩展 最大支持≥10个PCIe插槽。风扇：满配冗余风扇，N+1冗余。电源：满配冗余热插拔电源，N+1冗余。</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视频服务器</w:t>
            </w:r>
          </w:p>
        </w:tc>
        <w:tc>
          <w:tcPr>
            <w:tcW w:w="3758" w:type="pct"/>
            <w:shd w:val="clear" w:color="auto" w:fill="auto"/>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规格：2U2路机架服务器，国产知名品牌，非OEM产品；处理器：配置2颗英特尔至强银牌4214处理器，每颗处理器≥12c，主频≥2.2Ghz。内存：共配置内存≥64GB，支持内存插槽数≥24，内存DIMM保护，内存地址奇偶检测保护，内存Rank冗余热备，内存锁步（Lockstep），内存镜像，数据加扰。硬盘：配置≥4*1.2T 10K SAS硬盘，本次配置8盘位2.5寸插槽。支持M.2 SSD，支持硬RAID 1。RAID卡：配置RAID卡支持RAID0,1,5,6,50,60,10等，缓存 ≥2G，配置超级电容（掉电保护）。网络接口：提供≥4万兆（含模块）。HBA卡：配置≥1块双端口16Gb HBA卡。I/O扩展 最大支持≥10个PCIe插槽。风扇：满配冗余风扇，N+1冗余。电源：满配冗余热插拔电源，N+1冗余。</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应用服务器</w:t>
            </w:r>
          </w:p>
        </w:tc>
        <w:tc>
          <w:tcPr>
            <w:tcW w:w="3758" w:type="pct"/>
            <w:shd w:val="clear" w:color="auto" w:fill="auto"/>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规格：8核CPU/32G内存/1T存储/20M出口带宽/操作系统CentOS 7.6 64位。</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数据库服务器</w:t>
            </w:r>
          </w:p>
        </w:tc>
        <w:tc>
          <w:tcPr>
            <w:tcW w:w="3758" w:type="pct"/>
            <w:shd w:val="clear" w:color="auto" w:fill="auto"/>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规格：8核CPU/64G内存/2T存储/20M出口带宽/操作系统CentOS 7.6 64位。</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云网络资源</w:t>
            </w:r>
          </w:p>
        </w:tc>
        <w:tc>
          <w:tcPr>
            <w:tcW w:w="3758" w:type="pct"/>
            <w:shd w:val="clear" w:color="auto" w:fill="auto"/>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NET网关</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网络安全</w:t>
            </w: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企业版：云平台安全监测、系统漏洞检测、系统漏洞修复、应用漏洞扫描、安全基线检查、入侵检测、云产品异常调用、攻击分析、漏洞监控、攻击自动化溯源。（服务期3年）</w:t>
            </w:r>
          </w:p>
        </w:tc>
        <w:tc>
          <w:tcPr>
            <w:tcW w:w="311" w:type="pct"/>
            <w:vMerge w:val="restar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311" w:type="pct"/>
            <w:vMerge w:val="restar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免费赠送5G DDOS防护。</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云平台提供等保三级评测。</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工作站</w:t>
            </w:r>
          </w:p>
        </w:tc>
        <w:tc>
          <w:tcPr>
            <w:tcW w:w="3758" w:type="pct"/>
            <w:shd w:val="clear" w:color="auto" w:fill="auto"/>
            <w:vAlign w:val="center"/>
          </w:tcPr>
          <w:p>
            <w:pPr>
              <w:widowControl/>
              <w:rPr>
                <w:rFonts w:ascii="宋体" w:hAnsi="宋体" w:eastAsia="宋体" w:cs="宋体"/>
                <w:kern w:val="0"/>
                <w:sz w:val="20"/>
                <w:szCs w:val="20"/>
              </w:rPr>
            </w:pPr>
            <w:r>
              <w:rPr>
                <w:rFonts w:hint="eastAsia" w:ascii="宋体" w:hAnsi="宋体" w:eastAsia="宋体" w:cs="宋体"/>
                <w:kern w:val="0"/>
                <w:sz w:val="20"/>
                <w:szCs w:val="20"/>
              </w:rPr>
              <w:t>工作站 (至强W-2123/16GB/128+1TB/P2000/键鼠/预装正版Windows10®专业版操作系统64位）23英寸，指挥中心操作终端。</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防火墙</w:t>
            </w: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1、基本要求：采用非X86多核架构，前后通风设计，具备可插拔冗余电源模块，可插拔冗余风扇模块。</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2、性能要求：吞吐量≥10Gbps，最大并发连接数≥1000万，每秒新建连接数≥15万。</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3、部署模式：提供路由模式、透明（网桥）模式、混合模式部署。整机同时具备防火墙、链路负载均衡、入侵防御、防病毒、带宽控制、应用识别和web应用防护等功能。</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4、接口要求：本次配置千兆电口≥16，千兆光口≥8，万兆光口≥2；支持接口扩展，接口扩展插槽≥2个，扩展类型包千兆电、千兆光以及万兆光接口。</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WEB安全防护:可针对HTTP/HTTPS的安全策略来专门为Web应用提供保护。对来自Web应用程序客户端的各类请求进行内容检测和验证，确保其安全性与合法性，对非法的请求予以实时阻断，从而对各类网站进行有效防护。支持sql注入、跨站脚本、远程代码执行、字符编码等攻击的防护，支持对网络设备、网页服务器、数据库等设备的专属特征分类，支持CC攻击防护，可基于检测请求报文头的X-forward-for字段，以获取真正的源IP地址。</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6、数据安全:支持数据防泄露，对传输的文件和内容进行识别过滤，对内容与身份证、信用卡、银行卡、社会安全卡号等类型进行匹配。</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7、终端识别:当终端流量流经设备时，设备可以分析并提取出终端信息，例如终端的厂商、型号等，并支持在终端信息发生变更时向用户发送日志，提示用户。</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加密流量监测:支持HTTPS加密流量的安全检测，支持TCP代理和SSL代理，且代理策略中可同时配置多类过滤条件，具体包括：源安全域、目的安全域、源地址、目的地址、用户和服务。一类过滤条件可以配置多个匹配项。</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9、DDoS防护:能够防范DOS/DDOS攻击： Land、Smurf、SYN Flood、ICMP Flood、等；支持流量自学习功能，可设置自学习时间，并自动生成DDoS防范策略。</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10、虚拟化能力:支持虚拟防火墙功能：支持虚拟防火墙的创建、启动、关闭、删除功能；可独立分配CPU/内存等计算资源；虚拟防火墙可独立管理，独立保存配置。</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设备管理:支持SNMPv1、SNMPv2、SNMPv3、RMON等网络管理协议，并且支持通过网管软件远程进行设备软件升级、配置等。支持U盘零配置开局。支持报文示踪功能，支持真实流量、导入报文、构造报文等方式，用于分析和追踪设备中各个安全业务模块（如：攻击防范、uRPF、会话管理和连接数限制等）对报文的处理过程，通过查看报文示踪记录的详细信息，有利于管理员对网络故障的快速排查和定位。</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12、具体配置：本次配置≥3年IPS 特征库升级服务授权，配置双电源。</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78" w:hRule="atLeast"/>
        </w:trPr>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核心交换机</w:t>
            </w: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1、品牌：要求国产知名品牌。</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2、交换容量：≥19Tbps，转发性能：≥2800Mpps。</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物理槽位数≥3，支持主控冗余，主控引擎支持固化万兆光业务口≥24个（24万兆+2端口40G），主控引擎支持固化千兆光业务口≥24个（24光+4万兆主控），主控引擎支持固化千兆电业务口≥24个（24电+4万兆主控）。</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4、要求支持电源模块冗余，主控引擎、电源、接口模块、风扇等关键部件可热插拔。</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5、支持多虚一（N:1）技术，支持一虚多（1：N）技术，支持多虚一技术和一虚多技术的配合使用。</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6、支持安全业务插卡FW、IPS、流量分析、应用控制、LB、SSL VPN。</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7、支持Telemetry流量可视化功能。</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8、支持BFD，BFD for VRRP/BGP/IS-IS/OSPF/RSVP/LDP/RIP/静态路由。BFD收敛时间&lt;50ms。</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9、支持远程端口扩展，作为控制设备（Controlling Bridge,CB）实现对端口扩展模块（Port Extender,PE）的集中控制。</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10、支持主流的MAC in IP技术，如EVI/EVN/OTV等，实现跨三层网络的二层互联。</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11、支持FCoE接口，支持OLT接口；MPLS特性支持L3 VPN、支持VLL、支持VLPS、支持MCE。</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12、支持OPENFLOW 1.3，支持普通模式和Openflow 模式切换，支持VxLAN 网关。</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13、支持ARP防攻击、支持广播风暴抑制、支持IP+MAC+VLAN+PORT的绑定。</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14、支持IEEE 802.1ae介质访问控制安全技术。</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15、内置智能管理功能，支持通过图形化界面设备配置及命令一键下发和版本智能升级。</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16、支持SNMP V1/V2/V3；SSHv2；支持WEB网管，支持风扇、电源管理。</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17、单台实配双主控、双电源，千兆电口≥24，千兆光口≥24，万兆光口≥8。</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　网络机柜</w:t>
            </w: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1、产品尺寸：≥42U。</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11" w:type="pct"/>
            <w:vMerge w:val="restar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2、材料为优质SPCC冷轧钢板，其中角规厚度≥2.0㎜，框架厚度≥1.2㎜，其它主要部件厚度≥1.2㎜。</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3、机柜采用拼装结构，专利框架，结构稳固，走线美观。</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4、顶底框同框架连接螺钉呈八字形分布，机柜稳定性好。</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5、预留各种走线通道，根据需要可关闭和打开，前后框架侧壁带有走线孔，方便布线，可将多余线缆隐藏起来。</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6、前门为单开网孔门，后门为单开网孔门，通风率：80%，开启角度：＞180度，前后门配长柄锁。</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7、两块侧板可拆卸，配舒适型塑料拉手。</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8、角规深度方向可前后调整，角规内空加宽、服务器导轨安装宽度达到485mm、满足所有品牌服务器的机架式安装。</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9、静态负载：≥1000KG（带支脚）。</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10、防护等级：≥IP20。</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11、风扇单元从顶部安装，使用过程中拆卸维护方便。</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12、机柜主要部件预留接地柱，满足使用需求。</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13、安装螺丝为梅花槽防盗螺丝，受力性能好，螺钉头不打滑，安装方便可靠。</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14、下框架预留对地安装孔，可通过膨胀螺栓直接与地面固定，满足现场使用需求。</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15、机柜和19英寸角规表面脱脂、磷化、静电喷塑处理，颜色：黑色或白色。</w:t>
            </w:r>
          </w:p>
        </w:tc>
        <w:tc>
          <w:tcPr>
            <w:tcW w:w="311" w:type="pct"/>
            <w:vMerge w:val="continue"/>
            <w:vAlign w:val="center"/>
          </w:tcPr>
          <w:p>
            <w:pPr>
              <w:widowControl/>
              <w:rPr>
                <w:rFonts w:ascii="宋体" w:hAnsi="宋体" w:eastAsia="宋体" w:cs="宋体"/>
                <w:color w:val="000000"/>
                <w:kern w:val="0"/>
                <w:sz w:val="20"/>
                <w:szCs w:val="20"/>
              </w:rPr>
            </w:pPr>
          </w:p>
        </w:tc>
        <w:tc>
          <w:tcPr>
            <w:tcW w:w="311" w:type="pct"/>
            <w:vMerge w:val="continue"/>
            <w:vAlign w:val="center"/>
          </w:tcPr>
          <w:p>
            <w:pPr>
              <w:widowControl/>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专线接入服务</w:t>
            </w:r>
          </w:p>
        </w:tc>
        <w:tc>
          <w:tcPr>
            <w:tcW w:w="3758"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100M光纤专线接入，要求接入当地运营商城域网核心机房，含3年接入服务费。</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w:t>
            </w:r>
          </w:p>
        </w:tc>
        <w:tc>
          <w:tcPr>
            <w:tcW w:w="311"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r>
    </w:tbl>
    <w:p>
      <w:pPr>
        <w:spacing w:line="360" w:lineRule="auto"/>
        <w:rPr>
          <w:rFonts w:ascii="宋体" w:hAnsi="宋体" w:eastAsia="宋体"/>
          <w:szCs w:val="21"/>
        </w:rPr>
      </w:pPr>
    </w:p>
    <w:p>
      <w:pPr>
        <w:widowControl/>
        <w:jc w:val="left"/>
        <w:rPr>
          <w:rFonts w:ascii="宋体" w:hAnsi="宋体" w:eastAsia="宋体"/>
          <w:szCs w:val="21"/>
        </w:rPr>
      </w:pPr>
      <w:r>
        <w:rPr>
          <w:rFonts w:ascii="宋体" w:hAnsi="宋体" w:eastAsia="宋体"/>
          <w:szCs w:val="21"/>
        </w:rPr>
        <w:br w:type="page"/>
      </w:r>
    </w:p>
    <w:p>
      <w:pPr>
        <w:spacing w:line="360" w:lineRule="auto"/>
        <w:rPr>
          <w:rFonts w:ascii="宋体" w:hAnsi="宋体" w:eastAsia="宋体"/>
          <w:szCs w:val="21"/>
        </w:rPr>
      </w:pPr>
      <w:r>
        <w:rPr>
          <w:rFonts w:hint="eastAsia" w:ascii="宋体" w:hAnsi="宋体" w:eastAsia="宋体"/>
          <w:szCs w:val="21"/>
        </w:rPr>
        <w:t>3</w:t>
      </w:r>
      <w:r>
        <w:rPr>
          <w:rFonts w:ascii="宋体" w:hAnsi="宋体" w:eastAsia="宋体"/>
          <w:szCs w:val="21"/>
        </w:rPr>
        <w:t>.</w:t>
      </w:r>
      <w:r>
        <w:rPr>
          <w:rFonts w:hint="eastAsia" w:ascii="宋体" w:hAnsi="宋体" w:eastAsia="宋体"/>
          <w:szCs w:val="21"/>
          <w:lang w:val="en-US" w:eastAsia="zh-CN"/>
        </w:rPr>
        <w:t>1</w:t>
      </w:r>
      <w:r>
        <w:rPr>
          <w:rFonts w:ascii="宋体" w:hAnsi="宋体" w:eastAsia="宋体"/>
          <w:szCs w:val="21"/>
        </w:rPr>
        <w:t>.4</w:t>
      </w:r>
      <w:r>
        <w:rPr>
          <w:rFonts w:hint="eastAsia" w:ascii="宋体" w:hAnsi="宋体" w:eastAsia="宋体"/>
          <w:szCs w:val="21"/>
        </w:rPr>
        <w:t>前端设备参数（2</w:t>
      </w:r>
      <w:r>
        <w:rPr>
          <w:rFonts w:ascii="宋体" w:hAnsi="宋体" w:eastAsia="宋体"/>
          <w:szCs w:val="21"/>
        </w:rPr>
        <w:t>62</w:t>
      </w:r>
      <w:r>
        <w:rPr>
          <w:rFonts w:hint="eastAsia" w:ascii="宋体" w:hAnsi="宋体" w:eastAsia="宋体"/>
          <w:szCs w:val="21"/>
        </w:rPr>
        <w:t>家企业）</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
        <w:gridCol w:w="471"/>
        <w:gridCol w:w="7100"/>
        <w:gridCol w:w="424"/>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序号</w:t>
            </w:r>
          </w:p>
        </w:tc>
        <w:tc>
          <w:tcPr>
            <w:tcW w:w="260"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名称</w:t>
            </w:r>
          </w:p>
        </w:tc>
        <w:tc>
          <w:tcPr>
            <w:tcW w:w="3921"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技术要求</w:t>
            </w:r>
          </w:p>
        </w:tc>
        <w:tc>
          <w:tcPr>
            <w:tcW w:w="234"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单位</w:t>
            </w:r>
          </w:p>
        </w:tc>
        <w:tc>
          <w:tcPr>
            <w:tcW w:w="389" w:type="pct"/>
            <w:shd w:val="clear" w:color="auto" w:fill="auto"/>
            <w:vAlign w:val="center"/>
          </w:tcPr>
          <w:p>
            <w:pPr>
              <w:widowControl/>
              <w:jc w:val="center"/>
              <w:rPr>
                <w:rFonts w:ascii="宋体" w:hAnsi="宋体" w:eastAsia="宋体" w:cs="宋体"/>
                <w:color w:val="222222"/>
                <w:kern w:val="0"/>
                <w:sz w:val="20"/>
                <w:szCs w:val="20"/>
              </w:rPr>
            </w:pPr>
            <w:r>
              <w:rPr>
                <w:rFonts w:hint="eastAsia" w:ascii="宋体" w:hAnsi="宋体" w:eastAsia="宋体" w:cs="宋体"/>
                <w:color w:val="222222"/>
                <w:kern w:val="0"/>
                <w:sz w:val="20"/>
                <w:szCs w:val="2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1 </w:t>
            </w:r>
          </w:p>
        </w:tc>
        <w:tc>
          <w:tcPr>
            <w:tcW w:w="26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用电监测设备</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1、参考标准：</w:t>
            </w:r>
          </w:p>
        </w:tc>
        <w:tc>
          <w:tcPr>
            <w:tcW w:w="234"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点</w:t>
            </w:r>
          </w:p>
        </w:tc>
        <w:tc>
          <w:tcPr>
            <w:tcW w:w="389"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1）GB/T 17215.321-2008 交流电测量设备 特殊要求 第21部分：静止式有功电能表（1级和2级）；</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2）GB/T 17215.323-2008 交流电测量设备 特殊要求 第23部分：静止式无功电能表（2级和3级）；</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3）GB/T 17215.211-2006 交流电测量设备 通用要求、试验和试验条件 第11部分：测量设备；</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4）GB/T 17215.301-2007 多功能电能表 特殊要求。</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2、技术指标：</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1）有功电能精度：1级，无功电能精度：2级，电压、电流精度：0.5级；</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2）电压规格：3×57.7/100V、3×100V、3×380V、3×220/380V；</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3）电流规格：3×1.5(6)A，3×20(100)A，3×80(400)A，3×120(600)A；</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4）工作温度：-25℃~+55℃；</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5）相对湿度：≤95℅（无凝露）；</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6）支持470Mhz Lora无线通讯、红外通讯、RS485通讯；</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7）LED指示：(UA、UB、UC)电压输入指示、(DI1、DI2、DI3、DI4)开关量输入指示、(COM)RS485/LORA通讯指示；</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8）支持全电力参数测量（U、I、P、Q、S、PF、F），电压及电流不平衡度，电压电流相位角、电压、电流2-31次分次谐波测量及总谐波含量；</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9）支持正反向有功、无功电能、四象限无功计量；支持4种最大需量及发生时间统计；支持上12月历史电能（包含各费率电能）；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10）支持上三月极值及发生时间（包括三相电压、电流、功率、合相功率的极大值和极小值）；</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11）支持4000条电参量（电压、电流、功率、功率因数等）冻结，冻结时间1-15分钟可设；</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12）支持标准DIN35导轨安装；</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13）采集设备电路板应满足“三防”要求，产品组装坚固、零部件无松动；</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14）采集设备外壳应耐腐蚀、密封性能良好、表面无裂纹、变形、污浊、毛刺等现象，表面涂层均匀、无腐蚀、生锈、脱落及磨损现象；</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15）支持穿刺夹取电、磁钢取电等，满足必要情况下不断电施工的要求。</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3、含3年运维。</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2 </w:t>
            </w:r>
          </w:p>
        </w:tc>
        <w:tc>
          <w:tcPr>
            <w:tcW w:w="26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智能数据采集运算终端</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1、功能要求：</w:t>
            </w:r>
          </w:p>
        </w:tc>
        <w:tc>
          <w:tcPr>
            <w:tcW w:w="234"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89"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1）支持LORA无线组网，通过将通讯数据在无线信号之间互转，LORA监测支持中继器模式，满足用于增强主、从站之间的LORA信号强度；</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2）应支持不低于100台监测设备的数据采集；</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3）支持固定IP和动态域名解析方式连接数据中心；</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4）支持HJ212-2017污染源在线自动监控（监测）系统数据传输标准；</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5）★支持一址多发，数据可同时上传到3个以上不同的平台；</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6）宽范围直流电源输入，工业级设计；</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7）数据采集器支持服务器远程升级，版本更新时无需到现场升级；</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8）边缘计算：对采集的数据进行实时分析、处理和运算，分担主站数据处理压力，节省网络带宽；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9）设备具备就地显示屏，可查看实时数据，历史数据，并且具备一定的人机交互能力，可直接修改一些参数；</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10）设备具备数据存储功能，存储时间不低于6个月；</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11）设备具备断电事件上报，断电后可以将网关的断电信息上报到后台；</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12）设备具备断点续传（无法联网的情况下将数据先保存起来，等网络恢复后再上传）。</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13）★支持远程修改配置、远程查看实时数据和历史数据，历史数据主动补传。</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2、技术指标：</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1）支持460Mhz~510Mhz Lora无线通讯，频道和扩频因数可设置；</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2）工作频段：TD-LTE/ FDD-LTE/ WCDMA/ TD-SCDMA/ GSM/ EVDO/CDMA2000，包含 有联通 4G/3G/2G，移动 4G/3G/2G 以及电信 4G/3G 网络 ；</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3）传输速率：4G 网速：上行 2Mbps 下行 68Mbps ；</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4）工作温度：-40度~85度 ；</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5）湿度范围：0~95% 无凝露结霜。</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3、含3年运维。</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26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智能球型摄像机</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1、视频输出支持1920×1080@25fps，分辨力不小于1100TVL，红外距离可达240米。</w:t>
            </w:r>
          </w:p>
        </w:tc>
        <w:tc>
          <w:tcPr>
            <w:tcW w:w="234"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89"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2、支持23倍光学变焦。</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3、支持最低照度可达彩色0.001Lux，黑白0.0005Lux。</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4、支持水平手控速度不小于200°/S，垂直手控速度不小于100°/S，云台定位精度为小于等于0.1°。</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5、水平旋转范围为360°连续旋转，垂直旋转范围为-5°~90°。</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6、支持300个预置位，可按照所设置的预置位完成不小于8条巡航路径，支持不小于4条模式路径设置，支持预置位冻结功能；可实现RS485接口优先或RJ45网络接口优先控制功能。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7、信噪比≥61dB，网络延时不大于100ms。</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8、动态范围不小于106dB，照度适应范围不小于135dB，宽动态能力综合得分不小于135。</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9、样机与客户端之间用150m五类非屏蔽网线直接连接，网络传输能力满足发送1500个数据包，重复测试3次，每次丢包数不大于1个。</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10、具备较强的网络自适应能力，在丢包率为20%的网络环境下，仍可正常显示监视画面。</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11、支持智能红外、透雾、强光抑制、电子防抖、数字降噪、防红外过曝功能。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12、支持区域遮盖功能，支持设置不少于24个不规则四边形区域，可设置不同颜色；支持自动定位、断电记忆功能；支持定时抓图或报警联动抓图上传ftp功能。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13、球机应具备本机存储功能，支持SD卡热插拔，最大支持256GB。</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14、支持采用H.265、H.264视频编码标准，H.264编码支持Baseline/Main/HighProfile，音频编码支持G.711ulaw/G.711alaw/G.726/G.722.1。</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15、支持三码流同时输出，主码流、第三码流同时支持1920×1080@30fps，1280×960@30fps。</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16、支持GB28181协议，支持标准Onvif协议。</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17、支持区域入侵、越界入侵、徘徊、物品移除、物品遗留、人员聚集、停车，并联动报警。</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18、具备较好的防护性能环境适应性，支持IP67，6kV防浪涌，工作温度范围可达-40℃-70℃。</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19、具备较好的电源适应性，电压在DC12V±20%范围内变化时，设备可正常工作。</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20、含3年运维。</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26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硬盘录像机（含4T硬盘）</w:t>
            </w: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1、电信：4G（ FDD- LTE  B1/B3 , TD-LTE B41 ）、3G（ CDMA 1x&amp;EVDO 800 ）。</w:t>
            </w:r>
          </w:p>
        </w:tc>
        <w:tc>
          <w:tcPr>
            <w:tcW w:w="234"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389"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r>
      <w:tr>
        <w:tblPrEx>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2、联通：4G（ FDD-LTE B1/B3  , TD-LTE B41 ）、3G（ WCDMA 850/900/1900/2100 ）。</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3、移动：4G（ TD-LTE B38/B39/B40/B41 ）、3G（ TD-SCDMA B34/B39。</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4、小机箱/默认3米天线。</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5、接口：≥1个HDMI，≥1个VGA，HDMI+VGA组内同源，≥1个千兆网口，≥2个USB2.0接口。</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6、满配4T硬盘。</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7、报警IO：4进1出。</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8、带宽：40M接入/80M转发。</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9、4路H.265、H.264混合接入解码。</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10、最大支持4×1080P解码。</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11、支持Smart 2.0/整机热备/ANR/智能检索/智能回放/车牌检索/人脸检索/热度图/客流量统计/分时段回放/超高倍速回放/双系统备份。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12、含3年运维。</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260"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物联网卡</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4G物联网卡，每月500M流量，含3年通信费。</w:t>
            </w:r>
          </w:p>
        </w:tc>
        <w:tc>
          <w:tcPr>
            <w:tcW w:w="234"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389"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260"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物联网卡</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4G物联网卡，每月80G流量，含3年通信费。</w:t>
            </w:r>
          </w:p>
        </w:tc>
        <w:tc>
          <w:tcPr>
            <w:tcW w:w="234"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389"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260"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网络机柜</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定制机柜</w:t>
            </w:r>
          </w:p>
        </w:tc>
        <w:tc>
          <w:tcPr>
            <w:tcW w:w="234"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389"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260"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安装辅材</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超五类室外网线（视频监控）、水晶头等。</w:t>
            </w:r>
          </w:p>
        </w:tc>
        <w:tc>
          <w:tcPr>
            <w:tcW w:w="234"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点</w:t>
            </w:r>
          </w:p>
        </w:tc>
        <w:tc>
          <w:tcPr>
            <w:tcW w:w="389"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260"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安装辅材</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电源线、安装配件等。</w:t>
            </w:r>
          </w:p>
        </w:tc>
        <w:tc>
          <w:tcPr>
            <w:tcW w:w="234"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点</w:t>
            </w:r>
          </w:p>
        </w:tc>
        <w:tc>
          <w:tcPr>
            <w:tcW w:w="389" w:type="pc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6"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260"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工业级环境监测设备</w:t>
            </w: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1、★监测指标参数: PM2.5、 PM1O、 噪音，要求后期可扩展S02、 CO、O3、NO2、温湿度、大气压、总尘、硫化氢、氨气、VOCS、非甲烷总烃、等指标，可根据具体环境定制选配。</w:t>
            </w:r>
          </w:p>
        </w:tc>
        <w:tc>
          <w:tcPr>
            <w:tcW w:w="234"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389"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2、★供电方式:DC12V供电，要求可扩展太阳能、锂电池供电。</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3、具有云端自动校准功能、具有校零校跨功能。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4、气体传感器具有交叉干扰补偿功能。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5、★采用泵吸式采样或扩散式技术，可及时反映空气质量变化。</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6、具有本地数据读取、设备系统设置及数据校准，24小时不间断在线监测。</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7、★数据传输要求：有线RJ45/RS485，无线GPRS/NBIOT/LORA/eLTE/WIFI/4G/5G/单传感时支持4~20mA输出。</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8、数据接口：具有RS485接口、RS232接口、网口，后续可扩展其他指标检测，户外LED显示屏等。</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9、★主机箱体自带7寸全彩液晶显示屏，集监测展示为一体，监测主机功率：≤15W。</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10、采样周期最快可达1S，可自定义设置采样周期。</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11、★主机屏幕可根据监测数据配置匹配数据展示界面。</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12、★主机箱体要求工业级专用材质，尺寸不小于290*232*98mm，可壁挂或立柱安装。</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13、★满足上电通网自启动，满足断网后数据自动保存，恢复后自行启动，并上传数据。</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14、储存环境温度要求: -30 ℃-50℃。</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15、储存环境程度要求: &lt; 90%RH。</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16、工作环境温度要求: -30℃- 60℃。</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17、工作环境湿度要求: 0~95%RH。</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18、要求设备安装拆卸及接线简便，方便点位迁移、设备维护和设备质控。</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19、要求设备集成度高、超低功耗设计。</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20、要求设备适用于各种气象条件，保证空气流通无死角，内外无温差。</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21、★各参数监测技术指标要求:</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1）PM2.5技术指标:</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测量原理：光散射；</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测最范围: 0~1000μg/m3，分辨率：0.1μg/m3。</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2）PM10技术指标:</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测量原理：光散射；</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测量范围: 0~2000μg/m3，分辨率：0.1μg/m3。</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3）噪音技术指标:</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测量原理：电容式</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测量范围: 30~120dB(A)， 分辨率0. 1dB</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22、维护性：为了使网格监测系统能够自主地处理自身的故障、应对复杂多变的网格环境，基于自主组织、管理机制和自主计算技术中的自修复、自愈等思想，要求投标方能实现网格监测系统故障诊断与恢复，使得监测系统能够无需管理人员的参与、自主地处理一些常见的故障，降低了系统维护的复杂性和成本，增加了系统的易用性和可靠性。设备开机自检，自检数据上报到云服务平台，在系统开机及正常运行时，如遇到故障，可自行复位重启，同时具备远程断电复位重启功能。</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23、含500M/月物联网卡。</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24、含3年运行维护费。</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6" w:type="pct"/>
            <w:vMerge w:val="continue"/>
            <w:vAlign w:val="center"/>
          </w:tcPr>
          <w:p>
            <w:pPr>
              <w:widowControl/>
              <w:jc w:val="left"/>
              <w:rPr>
                <w:rFonts w:ascii="宋体" w:hAnsi="宋体" w:eastAsia="宋体" w:cs="宋体"/>
                <w:color w:val="000000"/>
                <w:kern w:val="0"/>
                <w:sz w:val="20"/>
                <w:szCs w:val="20"/>
              </w:rPr>
            </w:pPr>
          </w:p>
        </w:tc>
        <w:tc>
          <w:tcPr>
            <w:tcW w:w="260" w:type="pct"/>
            <w:vMerge w:val="continue"/>
            <w:vAlign w:val="center"/>
          </w:tcPr>
          <w:p>
            <w:pPr>
              <w:widowControl/>
              <w:jc w:val="left"/>
              <w:rPr>
                <w:rFonts w:ascii="宋体" w:hAnsi="宋体" w:eastAsia="宋体" w:cs="宋体"/>
                <w:color w:val="000000"/>
                <w:kern w:val="0"/>
                <w:sz w:val="20"/>
                <w:szCs w:val="20"/>
              </w:rPr>
            </w:pPr>
          </w:p>
        </w:tc>
        <w:tc>
          <w:tcPr>
            <w:tcW w:w="3921"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25、包含现场端勘察、安装辅材、设备安装、接口开发、单体调测、系统联调、交通费、人工费等内容。</w:t>
            </w:r>
          </w:p>
        </w:tc>
        <w:tc>
          <w:tcPr>
            <w:tcW w:w="234" w:type="pct"/>
            <w:vMerge w:val="continue"/>
            <w:vAlign w:val="center"/>
          </w:tcPr>
          <w:p>
            <w:pPr>
              <w:widowControl/>
              <w:jc w:val="left"/>
              <w:rPr>
                <w:rFonts w:ascii="宋体" w:hAnsi="宋体" w:eastAsia="宋体" w:cs="宋体"/>
                <w:color w:val="000000"/>
                <w:kern w:val="0"/>
                <w:sz w:val="20"/>
                <w:szCs w:val="20"/>
              </w:rPr>
            </w:pPr>
          </w:p>
        </w:tc>
        <w:tc>
          <w:tcPr>
            <w:tcW w:w="389" w:type="pct"/>
            <w:vMerge w:val="continue"/>
            <w:vAlign w:val="center"/>
          </w:tcPr>
          <w:p>
            <w:pPr>
              <w:widowControl/>
              <w:jc w:val="left"/>
              <w:rPr>
                <w:rFonts w:ascii="宋体" w:hAnsi="宋体" w:eastAsia="宋体" w:cs="宋体"/>
                <w:color w:val="000000"/>
                <w:kern w:val="0"/>
                <w:sz w:val="20"/>
                <w:szCs w:val="20"/>
              </w:rPr>
            </w:pPr>
          </w:p>
        </w:tc>
      </w:tr>
    </w:tbl>
    <w:p>
      <w:pPr>
        <w:spacing w:line="360" w:lineRule="auto"/>
        <w:rPr>
          <w:rFonts w:ascii="宋体" w:hAnsi="宋体" w:eastAsia="宋体"/>
          <w:szCs w:val="21"/>
        </w:rPr>
      </w:pPr>
    </w:p>
    <w:p>
      <w:pPr>
        <w:widowControl/>
        <w:jc w:val="left"/>
        <w:rPr>
          <w:rFonts w:ascii="宋体" w:hAnsi="宋体" w:eastAsia="宋体"/>
          <w:szCs w:val="21"/>
        </w:rPr>
      </w:pPr>
      <w:r>
        <w:rPr>
          <w:rFonts w:ascii="宋体" w:hAnsi="宋体" w:eastAsia="宋体"/>
          <w:szCs w:val="21"/>
        </w:rPr>
        <w:br w:type="page"/>
      </w:r>
    </w:p>
    <w:p>
      <w:pPr>
        <w:spacing w:line="360" w:lineRule="auto"/>
        <w:rPr>
          <w:rFonts w:ascii="宋体" w:hAnsi="宋体" w:eastAsia="宋体"/>
          <w:szCs w:val="21"/>
        </w:rPr>
      </w:pPr>
      <w:r>
        <w:rPr>
          <w:rFonts w:hint="eastAsia" w:ascii="宋体" w:hAnsi="宋体" w:eastAsia="宋体"/>
          <w:szCs w:val="21"/>
        </w:rPr>
        <w:t>3</w:t>
      </w:r>
      <w:r>
        <w:rPr>
          <w:rFonts w:ascii="宋体" w:hAnsi="宋体" w:eastAsia="宋体"/>
          <w:szCs w:val="21"/>
        </w:rPr>
        <w:t>.</w:t>
      </w:r>
      <w:r>
        <w:rPr>
          <w:rFonts w:hint="eastAsia" w:ascii="宋体" w:hAnsi="宋体" w:eastAsia="宋体"/>
          <w:szCs w:val="21"/>
          <w:lang w:val="en-US" w:eastAsia="zh-CN"/>
        </w:rPr>
        <w:t>1</w:t>
      </w:r>
      <w:r>
        <w:rPr>
          <w:rFonts w:ascii="宋体" w:hAnsi="宋体" w:eastAsia="宋体"/>
          <w:szCs w:val="21"/>
        </w:rPr>
        <w:t>.5</w:t>
      </w:r>
      <w:r>
        <w:rPr>
          <w:rFonts w:hint="eastAsia" w:ascii="宋体" w:hAnsi="宋体" w:eastAsia="宋体"/>
          <w:szCs w:val="21"/>
        </w:rPr>
        <w:t>油烟在线监测及排风机用电监测（4</w:t>
      </w:r>
      <w:r>
        <w:rPr>
          <w:rFonts w:ascii="宋体" w:hAnsi="宋体" w:eastAsia="宋体"/>
          <w:szCs w:val="21"/>
        </w:rPr>
        <w:t>2</w:t>
      </w:r>
      <w:r>
        <w:rPr>
          <w:rFonts w:hint="eastAsia" w:ascii="宋体" w:hAnsi="宋体" w:eastAsia="宋体"/>
          <w:szCs w:val="21"/>
        </w:rPr>
        <w:t>家重点餐饮企业）</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
        <w:gridCol w:w="365"/>
        <w:gridCol w:w="7595"/>
        <w:gridCol w:w="365"/>
        <w:gridCol w:w="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212"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名称</w:t>
            </w:r>
          </w:p>
        </w:tc>
        <w:tc>
          <w:tcPr>
            <w:tcW w:w="4154"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规格参数 </w:t>
            </w:r>
          </w:p>
        </w:tc>
        <w:tc>
          <w:tcPr>
            <w:tcW w:w="212"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212" w:type="pc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212"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油烟在线监测终端</w:t>
            </w:r>
          </w:p>
        </w:tc>
        <w:tc>
          <w:tcPr>
            <w:tcW w:w="4154"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1、★设备需带视窗，在不打开设备箱体的情况下，可在现场查看实时数值，数剧采集控制器具备开门报警功能。</w:t>
            </w:r>
          </w:p>
        </w:tc>
        <w:tc>
          <w:tcPr>
            <w:tcW w:w="212"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212" w:type="pct"/>
            <w:vMerge w:val="restart"/>
            <w:shd w:val="clear" w:color="000000" w:fill="FFFFFF"/>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2、★可监测油烟值、颗粒物、非甲烷总烃、风机净化器状态和电流（或电压，可选）。</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3、测量原理需采用光散射的非接触测量原理。</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4、★设备必须为泵吸式，要有可自定义设置泵工作时间的功能。</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5、实时在线监测餐饮业净化设施前的污染物浓度C前（mg/m3）与净化设施后的污染物浓度C后（mg/m3）。</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6、实时在线监测餐饮业净化设施前的排风量Q前（m3/h）与净化设施后的排风量Q后（m3/h）。</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7、★设备要有校准探头的功能。</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8、★设备要有设置工作时间段的功能，设备报警与历史数据记录只在设置的工作时间段内有效。</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采用无线通讯技术,设备采用GPRS或4G或NB等通信模块，实时在线数据主动上报。具有连续、及时、可靠地进行数据传输能力，能即时数据发送、批量数据发送、状态信息发送，具备全天24小时实时在线连续监测能力，支持远程配置参数，支持采集时间和发送间隔时间1分钟/次-30分钟/次可调。</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10、设备监测数据本地存储，内置高容量存储器，支持 USB 接口数据导出。</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11、断电后电池供电，监测数据不丢失，并实时上传监测数据至监测平台，供电至少不小于 30 分钟，支持断电续传。</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12、数剧采集控制器串口：至少支持 6 路模拟量输入，2 路开关量输入，1 路 RS485 串口，支持 Modbus 协议。</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13、接线单元：采用工业级连接器，接线牢靠、方便、使于拆卸，能防止接线头腐蚀、生锈和接触不良。</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14、油烟浓度传感器测量范围：0～10mg/m3，测量误差：±5%，测量时间：0.5s，零点漂移：0.2mg/m3，防护等级：≥IP64。</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15、油烟浓度传感器应采用烟道单侧安装，便于调试维护。</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16、时间误差:＜10S，监控中心可进行远程校准时间。</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17、工作环境:温度:-20℃至 70℃，相对湿度:l0%RH至90%RH。</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18、工作电压:220V±l0%。</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19、产品必须为环保产品，且设备精度线性误差低于5%。</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20、含500M/月物联网卡。</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21、包含现场端勘察、安装辅材、设备安装、单体调测、系统联调、交通费、人工费等内容。</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000000" w:fill="FFFFFF"/>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22、含3年运行维护费。</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2 </w:t>
            </w:r>
          </w:p>
        </w:tc>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排风机用电监测设备</w:t>
            </w: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1、参考标准：</w:t>
            </w:r>
          </w:p>
        </w:tc>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点</w:t>
            </w:r>
          </w:p>
        </w:tc>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1）GB/T 17215.321-2008 交流电测量设备 特殊要求 第21部分：静止式有功电能表（1级和2级）；</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2）GB/T 17215.323-2008 交流电测量设备 特殊要求 第23部分：静止式无功电能表（2级和3级）；</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3）GB/T 17215.211-2006 交流电测量设备 通用要求、试验和试验条件第11部分：测量设备；</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4）GB/T 17215.301-2007 多功能电能表 特殊要求。</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2、技术指标：</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1）有功电能精度：1级，无功电能精度：2级，电压、电流精度：0.5级；</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2）电压规格：3×57.7/100V、3×100V、3×380V、3×220/380V；</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3）电流规格：3×1.5(6)A，3×20(100)A，3×80(400)A，3×120(600)A；</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4）工作温度：-25℃~+55℃；</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5）相对湿度：≤95℅（无凝露）；</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6）支持470Mhz Lora无线通讯、红外通讯、RS485通讯；</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7）LED指示：(UA、UB、UC)电压输入指示、(DI1、DI2、DI3、DI4)开关量输入指示、(COM)RS485/LORA通讯指示；</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8）支持全电力参数测量（U、I、P、Q、S、PF、F），电压及电流不平衡度，电压电流相位角、电压、电流2-31次分次谐波测量及总谐波含量；</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9）支持正反向有功、无功电能、四象限无功计量；支持4种最大需量及发生时间统计；支持上12月历史电能（包含各费率电能）；</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10）支持上三月极值及发生时间（包括三相电压、电流、功率、合相功率的极大值和极小值）；</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11）支持4000条电参量（电压、电流、功率、功率因数等）冻结，冻结时间1-15分钟可设；</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12）支持标准DIN35导轨安装；</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13）采集设备电路板应满足“三防”要求，产品组装坚固、零部件无松动；</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14）采集设备外壳应耐腐蚀、密封性能良好、表面无裂纹、变形、污浊、毛刺等现象，表面涂层均匀、无腐蚀、生锈、脱落及磨损现象；</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15）支持穿刺夹取电、磁钢取电等，满足必要情况下不断电施工的要求。</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3、含3年运维。</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3 </w:t>
            </w:r>
          </w:p>
        </w:tc>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智能数据采集运算终端</w:t>
            </w: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1、功能要求：</w:t>
            </w:r>
          </w:p>
        </w:tc>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212"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1）支持LORA无线组网，通过将通讯数据在无线信号之间互转，LORA监测支持中继器模式，满足用于增强主、从站之间的LORA信号强度；</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2）应支持不低于100台监测设备的数据采集；</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3）支持固定IP和动态域名解析方式连接数据中心；</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4）支持HJ212-2017污染源在线自动监控（监测）系统数据传输标准；</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5）★支持一址多发，数据可同时上传到3个以上不同的平台；</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6）宽范围直流电源输入，工业级设计；</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7）数据采集器支持服务器远程升级，版本更新时无需到现场升级；</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8）边缘计算：对采集的数据进行实时分析、处理和运算，分担主站数据处理压力，节省网络带宽；</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9）设备具备就地显示屏，可查看实时数据，历史数据，并且具备一定的人机交互能力，可直接修改一些参数；</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10）设备具备数据存储功能，存储时间不低于6个月；</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11）设备具备断电事件上报，断电后可以将网关的断电信息上报到后台；</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12）设备具备断点续传（无法联网的情况下将数据先保存起来，等网络恢复后再上传）。</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13）★支持远程修改配置、远程查看实时数据和历史数据，历史数据主动补传。</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2、技术指标：</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1）支持460Mhz~510Mhz Lora无线通讯，频道和扩频因数可设置；</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2）工作频段：TD-LTE/ FDD-LTE/ WCDMA/ TD-SCDMA/ GSM/ EVDO/CDMA2000，包含 有联通 4G/3G/2G，移动 4G/3G/2G 以及电信 4G/3G 网络 ；</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3）传输速率：4G 网速：上行 2Mbps 下行 68Mbps ；</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4）工作温度：-40度~85度 ；</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5）湿度范围：0~95% 无凝露结霜。</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c>
          <w:tcPr>
            <w:tcW w:w="4154" w:type="pct"/>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3、含3年运维。</w:t>
            </w:r>
          </w:p>
        </w:tc>
        <w:tc>
          <w:tcPr>
            <w:tcW w:w="212" w:type="pct"/>
            <w:vMerge w:val="continue"/>
            <w:vAlign w:val="center"/>
          </w:tcPr>
          <w:p>
            <w:pPr>
              <w:widowControl/>
              <w:jc w:val="left"/>
              <w:rPr>
                <w:rFonts w:ascii="宋体" w:hAnsi="宋体" w:eastAsia="宋体" w:cs="宋体"/>
                <w:color w:val="000000"/>
                <w:kern w:val="0"/>
                <w:sz w:val="20"/>
                <w:szCs w:val="20"/>
              </w:rPr>
            </w:pPr>
          </w:p>
        </w:tc>
        <w:tc>
          <w:tcPr>
            <w:tcW w:w="212" w:type="pct"/>
            <w:vMerge w:val="continue"/>
            <w:vAlign w:val="center"/>
          </w:tcPr>
          <w:p>
            <w:pPr>
              <w:widowControl/>
              <w:jc w:val="left"/>
              <w:rPr>
                <w:rFonts w:ascii="宋体" w:hAnsi="宋体" w:eastAsia="宋体" w:cs="宋体"/>
                <w:color w:val="000000"/>
                <w:kern w:val="0"/>
                <w:sz w:val="20"/>
                <w:szCs w:val="20"/>
              </w:rPr>
            </w:pPr>
          </w:p>
        </w:tc>
      </w:tr>
    </w:tbl>
    <w:p>
      <w:pPr>
        <w:spacing w:line="360" w:lineRule="auto"/>
        <w:rPr>
          <w:rFonts w:ascii="宋体" w:hAnsi="宋体" w:eastAsia="宋体"/>
          <w:szCs w:val="21"/>
        </w:rPr>
      </w:pPr>
    </w:p>
    <w:p>
      <w:pPr>
        <w:widowControl/>
        <w:jc w:val="left"/>
        <w:rPr>
          <w:rFonts w:ascii="宋体" w:hAnsi="宋体" w:eastAsia="宋体"/>
          <w:szCs w:val="21"/>
        </w:rPr>
      </w:pPr>
      <w:r>
        <w:rPr>
          <w:rFonts w:ascii="宋体" w:hAnsi="宋体" w:eastAsia="宋体"/>
          <w:szCs w:val="21"/>
        </w:rPr>
        <w:br w:type="page"/>
      </w:r>
    </w:p>
    <w:p>
      <w:pPr>
        <w:spacing w:line="360" w:lineRule="auto"/>
        <w:rPr>
          <w:rFonts w:ascii="宋体" w:hAnsi="宋体" w:eastAsia="宋体"/>
          <w:szCs w:val="21"/>
        </w:rPr>
      </w:pPr>
      <w:r>
        <w:rPr>
          <w:rFonts w:hint="eastAsia" w:ascii="宋体" w:hAnsi="宋体" w:eastAsia="宋体"/>
          <w:szCs w:val="21"/>
        </w:rPr>
        <w:t>3</w:t>
      </w:r>
      <w:r>
        <w:rPr>
          <w:rFonts w:ascii="宋体" w:hAnsi="宋体" w:eastAsia="宋体"/>
          <w:szCs w:val="21"/>
        </w:rPr>
        <w:t>.</w:t>
      </w:r>
      <w:r>
        <w:rPr>
          <w:rFonts w:hint="eastAsia" w:ascii="宋体" w:hAnsi="宋体" w:eastAsia="宋体"/>
          <w:szCs w:val="21"/>
          <w:lang w:val="en-US" w:eastAsia="zh-CN"/>
        </w:rPr>
        <w:t>2</w:t>
      </w:r>
      <w:r>
        <w:rPr>
          <w:rFonts w:hint="eastAsia" w:ascii="宋体" w:hAnsi="宋体" w:eastAsia="宋体"/>
          <w:szCs w:val="21"/>
        </w:rPr>
        <w:t>三年运行维护服务内容</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838"/>
        <w:gridCol w:w="7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463" w:type="pct"/>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463" w:type="pct"/>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名称</w:t>
            </w:r>
          </w:p>
        </w:tc>
        <w:tc>
          <w:tcPr>
            <w:tcW w:w="4074" w:type="pct"/>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restart"/>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463"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日常维护内容</w:t>
            </w: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1、配备相应的人力、物力资源（常用工具、通讯设备、交通工具等），专人负责日常维护环保设备和监控设备。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2、日常维护主要针对以下几方面：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（1）检查维护设备及附件；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（2）设备经长期使用，元件自然老化导致的设备损坏故障维护；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（3）在运行过程中，由于电压、电流的不稳定，导致的设备损坏故障；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（4）由于线路受损导致的信号传输故障；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（5）由于施工质量或未采取防雷措施等造成的施工质量故障等；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（6）对系统前端运行情况进行监督管理，保持系统稳定。发现异常及时上报，并与维护人员共同分析处理，最短时间内恢复系统正常运行；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（7）根据需要，对平台、企业系统设备进行升级，制定升级方案，保证升级后系统稳定运行；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（8）定期巡检所安装的设备，记录设备巡检表单，排查设备隐患；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（9）定期校对设备性能，确保电表采集数据精准，网关上报通畅。电表数据校对每半年至少一次，网关性能校对每半年至少一次。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2、日常维护要求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（1）服务期内：中标单位应对本项目目录体系的运行、更新、维护等提供 7×24 小时用户现场售后服务；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（2）响应时间：中标单位在投标文件中应明确承诺项目建设期间及质保期内的售后服务响应时间，并不得低于以下标准：提供 7×24 小时电话或电子邮件服务；接到用户报修通知20分钟内做出明确响应和安排，30分钟内做出故障诊断报告。如需现场服务的，具有解决故障能力的工程师应在60分钟内到达现场。对由于设备硬件引起的故障，由中标单位负责免费修复或更换故障设备，保证系统的正常运行。设备若需修理或更换，中标单位需提供的备用设备，及时安排修理或更换，其器材由中标单位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（3）咨询服务：在服务期内提供免费的技术咨询服务。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restart"/>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463" w:type="pct"/>
            <w:vMerge w:val="restart"/>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项目培训服务</w:t>
            </w: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为了使系统的相关使用者对本系统能完全理解，同时也为了更有效地把系统的操作、应用、部署等知识传递给对应用户，在方案确认后制定更为详细的、可操作的培训方案，在系统部署开始试运行后立即组织开展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1、硬件的调试方法；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2、系统的业务逻辑；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3、系统的部署配置；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4、软件各功能模块的使用方法；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5、日常运维中常见问题及处理方法；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3" w:type="pct"/>
            <w:vMerge w:val="continue"/>
            <w:vAlign w:val="center"/>
          </w:tcPr>
          <w:p>
            <w:pPr>
              <w:widowControl/>
              <w:jc w:val="left"/>
              <w:rPr>
                <w:rFonts w:ascii="宋体" w:hAnsi="宋体" w:eastAsia="宋体" w:cs="宋体"/>
                <w:color w:val="000000"/>
                <w:kern w:val="0"/>
                <w:sz w:val="22"/>
              </w:rPr>
            </w:pPr>
          </w:p>
        </w:tc>
        <w:tc>
          <w:tcPr>
            <w:tcW w:w="463" w:type="pct"/>
            <w:vMerge w:val="continue"/>
            <w:vAlign w:val="center"/>
          </w:tcPr>
          <w:p>
            <w:pPr>
              <w:widowControl/>
              <w:jc w:val="left"/>
              <w:rPr>
                <w:rFonts w:ascii="宋体" w:hAnsi="宋体" w:eastAsia="宋体" w:cs="宋体"/>
                <w:color w:val="000000"/>
                <w:kern w:val="0"/>
                <w:sz w:val="20"/>
                <w:szCs w:val="20"/>
              </w:rPr>
            </w:pPr>
          </w:p>
        </w:tc>
        <w:tc>
          <w:tcPr>
            <w:tcW w:w="4074" w:type="pct"/>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6、其他与系统相关的知识。</w:t>
            </w:r>
          </w:p>
        </w:tc>
      </w:tr>
    </w:tbl>
    <w:p/>
    <w:p/>
    <w:p>
      <w:pPr>
        <w:pStyle w:val="56"/>
        <w:numPr>
          <w:ilvl w:val="0"/>
          <w:numId w:val="0"/>
        </w:numPr>
        <w:spacing w:line="360" w:lineRule="auto"/>
        <w:ind w:leftChars="0"/>
        <w:outlineLvl w:val="1"/>
        <w:rPr>
          <w:rFonts w:hint="default" w:ascii="宋体" w:hAnsi="宋体" w:cs="宋体"/>
          <w:b/>
          <w:bCs/>
          <w:color w:val="000000"/>
          <w:sz w:val="24"/>
          <w:szCs w:val="24"/>
          <w:lang w:val="en-US" w:eastAsia="zh-CN"/>
        </w:rPr>
      </w:pPr>
      <w:bookmarkStart w:id="276" w:name="_Toc4593"/>
      <w:r>
        <w:rPr>
          <w:rFonts w:hint="eastAsia" w:ascii="宋体" w:hAnsi="宋体" w:cs="宋体"/>
          <w:b/>
          <w:bCs/>
          <w:color w:val="000000"/>
          <w:sz w:val="24"/>
          <w:szCs w:val="24"/>
          <w:lang w:val="en-US" w:eastAsia="zh-CN"/>
        </w:rPr>
        <w:t>4、实施企业名单</w:t>
      </w:r>
      <w:bookmarkEnd w:id="276"/>
    </w:p>
    <w:p>
      <w:pPr>
        <w:spacing w:line="360" w:lineRule="auto"/>
        <w:jc w:val="center"/>
        <w:rPr>
          <w:rFonts w:hint="eastAsia" w:ascii="宋体" w:hAnsi="宋体" w:eastAsia="宋体"/>
          <w:szCs w:val="21"/>
        </w:rPr>
      </w:pPr>
      <w:r>
        <w:rPr>
          <w:rFonts w:hint="eastAsia" w:ascii="宋体" w:hAnsi="宋体" w:eastAsia="宋体"/>
          <w:szCs w:val="21"/>
        </w:rPr>
        <w:t>企业名单</w:t>
      </w:r>
    </w:p>
    <w:tbl>
      <w:tblPr>
        <w:tblStyle w:val="22"/>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707"/>
        <w:gridCol w:w="1330"/>
        <w:gridCol w:w="2067"/>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企业名称</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区域</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行业类型</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管理类型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陕西新丰禾制药有限公司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化学药品制剂制造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陕西大秦铝业有限责任公司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有色金属合金制造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陕西铜川凤凰建材有限公司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陕西满意水泥有限责任公司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冀东水泥铜川有限公司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铜川药王山生态水泥有限公司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铜川市耀州区党家河村砖厂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陕西美鑫产业投资有限公司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铝冶炼</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铜川市晓和实业有限公司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化学试剂和助剂制造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铜川市远翔实业有限公司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铜川市耀州区鼎盛建材厂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陕西太兴新能源建材有限公司铜川分公司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铜川市耀州区寺沟镇杨庄砖厂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华能铜川照金煤电有限公司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火力发电</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铜川市耀州区润东实业有限公司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原油加工及石油制品制造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铜川引航再生能源科技有限公司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原油加工及石油制品制造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陕西铜川声威特种水泥有限公司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铜川声威建材有限责任公司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陕西方舟制药有限公司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化学药品原料药制造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陕西屹泰能源开发有限公司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其他原油制造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宜君县强宏建材有限公司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铜川市印台区砖一建材有限公司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铜川市印台区东源砖厂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陕西颐生堂药业有限公司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化学药品制剂制造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铜川市恒源乙炔气厂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有机化学原料制造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陕西陕煤铜川矿业有限公司玉华煤矿</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烟煤和无烟煤开采洗选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重点管理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陕西华远尚润新型建材有限公司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隔热和隔音材料制造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陕西千禾易道科技有限公司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中成药生产</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铜川市蓝天包装有限责任公司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纸制品制造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陕西建工建材科技有限公司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陕西东铭车辆系统股份有限公司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汽车零部件及配件制造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陕西铸宇设备制造有限公司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有色金属铸造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铜川中星材料有限责任公司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黑色金属铸造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陕西欣塑建材有限公司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塑料板、管、型材制造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陕西宇皇建材有限公司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铜川华原新绿实业有限责任公司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陕西天成新型保温材料有限公司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隔热和隔音材料制造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陕西兴盛德药业有限责任公司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中药饮片加工</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39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铜川合众创新材料有限公司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其他非金属矿物制品制造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西安重装铜川煤矿机械有限公司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矿山机械制造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陕西中环机械有限责任公司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矿山机械制造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铜川市新区万宁环保地砖有限责任公司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陕西昊维工贸有限公司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纸制品制造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陕西达美轮毂有限公司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汽车零部件及配件制造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铜川市耀州区东立鑫建材有限公司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陕西省铜川市文达汽车配件有限公司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汽车零部件及配件制造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铜川市孙塬水泥有限公司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铜川市耀州区东立水泥厂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49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铜川市兴程保温材料有限公司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隔热和隔音材料制造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铭帝集团有限公司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铝压延加工</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铜川市耀州区鑫辕建材有限公司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铜川市路桥工程公司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非金属矿物制品业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陕西东君添泓工贸有限公司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铜川市耀州区磬玉石实业有限公司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建筑装饰用石开采</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陕西华腾纳米科技有限公司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铜川鼎新环保建材有限公司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铜川市耀州区下石节矿山材料铸造厂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黑色金属铸造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铜川鑫天源农化科技有限公司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有机肥料及微生物肥料制造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59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铜川市耀州区鑫埝建材厂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涂料制造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铜川市绿沃有机肥有限公司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有机肥料及微生物肥料制造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铜川特必克汽车零部件有限公司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汽车零部件及配件制造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铜川鸿阔环保建材有限公司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砖瓦、石材等建筑材料制造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铜川轩宇桐环保建材有限公司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铜川市盛广建材有限公司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铜川紫云环保材料有限公司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铜川市金梧桐矿业有限责任公司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铜川市耀州区寺沟村砖厂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铜川旭鑫工程有限公司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其他非金属矿物制品制造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69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铜川市恒益建材有限公司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铜川市文华实业有限公司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铜川御源建材有限公司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陕西宝莱家人造板有限公司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刨花板制造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铜川市篷翔建材有限公司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陕西国伟药王生态环保有限公司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铜川市耀州区恒瑞机械耐磨有限公司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黑色金属铸造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铜川市耀州区轩辕水泥厂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铜川中秦科技发展有限公司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防水建筑材料制造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铜川市耀州区东惠新型建材厂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79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铜川铝业世茂铸铝有限公司..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铝压延加工</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铜川鑫泰实业有限公司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铜川市骊山建材有限责任公司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铜川市矿山水泥有限公司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铜川市王益区华山料石厂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陕西赛骏专用车制造有限公司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汽车车身、挂车制造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铜川明鑫耐磨材料有限公司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黑色金属铸造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铜川润发现代农业有限公司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有机肥料及微生物肥料制造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陕西长盛祥再生资源利用有限公司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非金属废料和碎屑加工处理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铜川建睿实业有限公司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89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铜川铜邦矿业有限责任公司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非金属废料和碎屑加工处理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铜川市奥达建材有限公司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铜川市瑞奥科技环保有限公司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陕西天兴砼科技环保建材有限公司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铜川欣盛煤机制造有限公司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金属结构制造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铜川航霄钢结构工程有限公司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金属结构制造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陕西聚新节能科技有限公司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隔热和隔音材料制造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铜川华创源再生资源利用有限公司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铜川市佳乐石料有限公司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铜川天米生物科技发展有限公司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专项化学用品制造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99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铜川市第一建筑工程有限责任公司商品砼搅拌站</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其他非金属矿物制品制造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铜川市隆森建材有限责任公司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铜川市王益区铜耀粉灰厂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铜川市弘鑫钙业有限公司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铜川市耀州窑陶瓷发展有限公司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陶瓷制品制造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陕西高速机械化工程有限公司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非金属矿物制品业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宜君县偏桥建设砖厂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宜君县五里镇北塬建材厂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宜君县福云建材厂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陕西绿地丰园农业技术开发有限公司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有机肥料及微生物肥料制造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109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陕西军杰众鑫机械制造有限公司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黑色金属铸造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铜川市印台区同鼎祥塑业有限公司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塑料零件及其他塑料制品制造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陕西成合信科技有限公司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砖瓦、石材等建筑材料制造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铜川市铜远工贸有限公司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其他未列明非金属矿采选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陕西卓石新能源投资开发有限公司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非金属废料和碎屑加工处理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铜川乔子梁煤业有限公司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烟煤和无烟煤开采洗选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铜川市柏燊建材有限责任公司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铜川市秦鼎特种耐火材料有限责任公司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耐火陶瓷制品及其他耐火材料制造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铜川市印台区新晟工贸有限责任公司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非金属废料和碎屑加工处理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铜川市环新建材有限公司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119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上海禾绿生物有机肥有限公司陕西分公司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有机肥料及微生物肥料制造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铜川市通宇公路机械化养护中心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其他非金属矿物制品制造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铜川市印台区阿庄镇下庄一组料石厂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建筑装饰用石开采</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铜川市印台区广阳镇西路家料石厂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建筑装饰用石开采</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铜川市雨顺农业开发有限公司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其他纸制品制造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铜川市意天兴陶业有限责任公司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铜川市龙氏工贸有限责任公司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粘土砖瓦及建筑砌块制造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铜川市印台区玉华料石有限公司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陕西飞博陶瓷有限公司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建筑陶瓷制品制造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铜川宜兴古典陶瓷有限公司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建筑陶瓷制品制造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简化管理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129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陕西龙康鑫医疗器械有限公司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制造业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陕西铜川三立实业有限公司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陕西运耀实业有限责任公司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陕西美智桐商贸有限公司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电缆盘加工</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陕西百年寿药业有限公司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中药饮片加工制造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陕西安川机电有限公司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工业自动控制系统装置制造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陕西天马电缆有限公司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电线电缆制造业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陕西大唐合力电缆有限公司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电线电缆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陕西同盛实业有限公司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陕西亿缆电力电缆有限公司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有限责任公司</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139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陕西万达交联电缆有限公司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电线电缆制造业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铜川长通电缆有限公司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电线电缆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铜川科达化工设备有限公司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制造业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铜川瑞麦食品有限公司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工贸（食品制造）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铜川瑞城实业有限公司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铜川新区恒鑫建材有限公司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铜川市渭北商品混凝土有限公司新区分公司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铜川市宏悦工贸有限责任公司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铜川优佳新能源科技有限公司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电缆辅料制造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铜川市锦阳绿能建筑垃圾能源回收有限责任公司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废弃资源综合利用业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149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铜川恒晟科技材料有限公司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陶瓷行业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铜川市耀州区秦翔铸造材料有限公司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铜川市神火商贸有限责任公司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烟煤和无烟煤的开采洗选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铜川市耀州区盈新建材厂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铜川市兆辉洁净能源有限责任公司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煤炭洗选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铜川市耀州区石柱东沟煤矿</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煤炭开采与洗选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西安三鑫众工钢结构工程有限公司铜川分公司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钢结构加工</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铜川市耀州区辰兴商贸有限公司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陕西鸥克建材科技有限公司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新型建材制造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陕西铜川长兴支撑剂有限责任公司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特种陶瓷制造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159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陕西美思亚科技有限公司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钢结构制造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陕西御兴红木家具有限公司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制造业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铜川柏乐凯家居制造有限公司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制造业</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铜川快运来商品混凝土有限责任公司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建材</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铜川市秦通建材有限责任公司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非金属矿物制造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铜川市宏兴煤炭经销有限责任公司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煤炭制品批发</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中国葛洲坝集团第一工程有限公司铜川砂石骨料分公司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王益区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砂石骨料生产</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陕西鼎兴能源有限公司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烟煤和无烟煤开采洗选、非金属碎料和碎屑加工、煤制品制造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陕西万恒实业有限公司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商品混凝土</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铜川市众鑫商品混凝土有限公司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169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宜君县鸿运祥工贸有限公司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宜君县昊宏矿工贸有限公司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飞鹏水泥制品厂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陕西东融业资源回收有限公司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铜川青云丰实煤业有限公司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非金属破碎加工处理</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铜川枫桦工贸有限公司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其他未列明金属制品制造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铜川市隆鑫意达工贸有限责任公司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水泥制品</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铜川鑫玉工贸有限公司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煤炭洗选</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铜川市立泽化工有限公司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石灰和石膏制造</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铜川市福运商贸有限公司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179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铜川市百捷汽车贸易有限公司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铜川市印台区城关明瑞汽车修理厂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铜川旭日鑫源商贸有限公司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煤炭的加工洗选销售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铜川市建鑫工贸有限公司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铜川市印台区红土镇小王钣金喷漆</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铜川和泰汽车服务有限公司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铜川市印台区华旭商贸有限责任公司华旭煤场</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铜川市印台区万森源有限公司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印台区</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煤炭洗选加工销售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鑫长城汽车工贸公司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新区驿达汽车修理中心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189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嘉诚汽车服务中心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铜川鼎盛伟业汽车修理</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东轩汽修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鸿远汽修服务中心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韩韩汽车维修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恒安汽车维修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小石汽车维修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博锐汽车快修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车之星汽车维修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风驰汽车维修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199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铜川新区小胖修理厂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新区富瑞汽车修理厂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新区儒兴修理厂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新区海平汽修厂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新区新嘉汽车服务有限公司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铜川市驰骋汽车贸易有限责任公司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陕西五菱汽车销售服务有限公司铜川分公司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新区国伟汽车销售有限公司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铜川弘泰汽车销售服务有限公司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延安蓝天福海汽车销售服务有限公司铜川分公司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209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陕西铭车钰站汽贸有限公司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铜川昊羽汽车服务有限责任公司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新区圣达汽车销售服务有限公司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新区阳光汽车修理厂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陕西金德宝汽车服务有限责任公司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新区赛驰汽车服务中心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哈曼汽车服务公司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易达实业有限公司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众利德汽车维修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星源汽车销售服务公司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219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风锐汽车维修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黄泰汽车服务公司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铜川新区李锋汽修厂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铜川鑫车尚汽车服务有限公司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铜川市国伟销售公司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车之梦汽车维修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宏达汽配商行</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兴旺汽车修理厂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唐君汽车修理厂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利明快易佳汽车服务部</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229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耀州区精英汽车服务部</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耀州区佳驰汽修</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耀县水泥厂汽车修理厂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胜利钣金喷漆</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路迈汽车修理厂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亚虎汽车维修中心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小樊钣金喷漆</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鑫广盛汽车服务有限公司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鑫瑞达汽修厂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铜川市西京小汽车维修中心</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239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铜川市一客运汽车贸易有限公司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铜川市瑞凯达商贸有限公司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铜川市诚安汽车服务有限责任公司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铜川市印台区辰弘汽车修理厂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铜川市印台区三里洞飞思阔汽车修理厂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铜川市挂车厂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铜川和泰汽车服务有限公司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铜川市印台区印台街道恒信汽修厂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铜川市印台区城关龙腾轿车修理厂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铜川市印台区城关明瑞汽车修理厂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249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铜川市百捷汽车贸易有限公司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铜川市和顺祥汽车服务有限公司</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铜川市印台区顺河修理厂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铜川市印台区三里洞东东汽修店</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253</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铜川市印台区广安汽车修理厂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254</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铜川市印台区安驰汽修厂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255</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铜川市印台区印台街道林伟伟汽车修理厂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256</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铜川市印台区红土镇小王钣金喷漆</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257</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宜君县尹群综合修理厂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258</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宜君县志福汽车修理厂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259</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宜君县阳光汽修厂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260</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宜君县小白修理厂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261</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宜君顺风汽修厂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721"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262</w:t>
            </w:r>
          </w:p>
        </w:tc>
        <w:tc>
          <w:tcPr>
            <w:tcW w:w="270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宜君源通汽修厂</w:t>
            </w:r>
          </w:p>
        </w:tc>
        <w:tc>
          <w:tcPr>
            <w:tcW w:w="1330"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67"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汽修</w:t>
            </w:r>
          </w:p>
        </w:tc>
        <w:tc>
          <w:tcPr>
            <w:tcW w:w="1683" w:type="dxa"/>
            <w:shd w:val="clear" w:color="000000" w:fill="FFFFFF"/>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tc>
      </w:tr>
    </w:tbl>
    <w:p>
      <w:pPr>
        <w:pStyle w:val="67"/>
        <w:ind w:left="0" w:firstLine="0"/>
        <w:rPr>
          <w:rFonts w:hint="eastAsia"/>
          <w:sz w:val="24"/>
          <w:szCs w:val="24"/>
        </w:rPr>
      </w:pPr>
      <w:r>
        <w:rPr>
          <w:rFonts w:hint="eastAsia"/>
          <w:sz w:val="24"/>
          <w:szCs w:val="24"/>
        </w:rPr>
        <w:t>备注：4</w:t>
      </w:r>
      <w:r>
        <w:rPr>
          <w:sz w:val="24"/>
          <w:szCs w:val="24"/>
        </w:rPr>
        <w:t>2</w:t>
      </w:r>
      <w:r>
        <w:rPr>
          <w:rFonts w:hint="eastAsia"/>
          <w:sz w:val="24"/>
          <w:szCs w:val="24"/>
        </w:rPr>
        <w:t>家餐饮企业为5</w:t>
      </w:r>
      <w:r>
        <w:rPr>
          <w:sz w:val="24"/>
          <w:szCs w:val="24"/>
        </w:rPr>
        <w:t>00</w:t>
      </w:r>
      <w:r>
        <w:rPr>
          <w:rFonts w:hint="eastAsia"/>
          <w:sz w:val="24"/>
          <w:szCs w:val="24"/>
        </w:rPr>
        <w:t>平方以上重点餐饮企业，具体根据实际情况进行监测。</w:t>
      </w:r>
    </w:p>
    <w:p>
      <w:pPr>
        <w:rPr>
          <w:rFonts w:hint="eastAsia" w:ascii="宋体" w:hAnsi="宋体" w:cs="仿宋_GB2312"/>
          <w:sz w:val="36"/>
          <w:szCs w:val="36"/>
        </w:rPr>
      </w:pPr>
    </w:p>
    <w:p>
      <w:pPr>
        <w:pStyle w:val="3"/>
        <w:spacing w:line="360" w:lineRule="auto"/>
        <w:jc w:val="center"/>
        <w:rPr>
          <w:rFonts w:ascii="宋体" w:hAnsi="宋体" w:cs="仿宋_GB2312"/>
          <w:sz w:val="36"/>
        </w:rPr>
      </w:pPr>
      <w:bookmarkStart w:id="277" w:name="_Toc13178"/>
      <w:r>
        <w:rPr>
          <w:rFonts w:hint="eastAsia" w:ascii="宋体" w:hAnsi="宋体" w:cs="仿宋_GB2312"/>
          <w:sz w:val="36"/>
          <w:szCs w:val="36"/>
        </w:rPr>
        <w:t xml:space="preserve">第六部分  </w:t>
      </w:r>
      <w:r>
        <w:rPr>
          <w:rFonts w:hint="eastAsia" w:ascii="宋体" w:hAnsi="宋体" w:cs="仿宋_GB2312"/>
          <w:sz w:val="36"/>
        </w:rPr>
        <w:t>评分办法</w:t>
      </w:r>
      <w:bookmarkEnd w:id="271"/>
      <w:bookmarkEnd w:id="272"/>
      <w:bookmarkEnd w:id="277"/>
    </w:p>
    <w:p>
      <w:pPr>
        <w:spacing w:line="360" w:lineRule="auto"/>
        <w:rPr>
          <w:rFonts w:ascii="宋体" w:hAnsi="宋体" w:cs="仿宋_GB2312"/>
          <w:sz w:val="24"/>
        </w:rPr>
      </w:pPr>
      <w:r>
        <w:rPr>
          <w:rFonts w:hint="eastAsia" w:ascii="宋体" w:hAnsi="宋体" w:cs="仿宋_GB2312"/>
          <w:sz w:val="24"/>
        </w:rPr>
        <w:t>1、评标办法</w:t>
      </w:r>
    </w:p>
    <w:p>
      <w:pPr>
        <w:spacing w:line="360" w:lineRule="auto"/>
        <w:ind w:firstLine="480" w:firstLineChars="200"/>
        <w:jc w:val="left"/>
        <w:rPr>
          <w:rFonts w:ascii="宋体" w:hAnsi="宋体" w:cs="仿宋_GB2312"/>
          <w:sz w:val="24"/>
        </w:rPr>
      </w:pPr>
      <w:r>
        <w:rPr>
          <w:rFonts w:hint="eastAsia" w:ascii="宋体" w:hAnsi="宋体" w:cs="仿宋_GB2312"/>
          <w:sz w:val="24"/>
        </w:rPr>
        <w:t>本项目采用综合评分法，即在满足招标文件实质性要求前提下，按照招标文件中规定的各项因素进行综合评审后，以评审总得分顺序推荐中标候选人。</w:t>
      </w:r>
    </w:p>
    <w:p>
      <w:pPr>
        <w:spacing w:line="360" w:lineRule="auto"/>
        <w:rPr>
          <w:rFonts w:ascii="宋体" w:hAnsi="宋体" w:cs="仿宋_GB2312"/>
          <w:sz w:val="24"/>
        </w:rPr>
      </w:pPr>
      <w:r>
        <w:rPr>
          <w:rFonts w:hint="eastAsia" w:ascii="宋体" w:hAnsi="宋体" w:cs="仿宋_GB2312"/>
          <w:sz w:val="24"/>
        </w:rPr>
        <w:t>2、评审程序</w:t>
      </w:r>
    </w:p>
    <w:p>
      <w:pPr>
        <w:spacing w:line="360" w:lineRule="auto"/>
        <w:contextualSpacing/>
        <w:rPr>
          <w:rFonts w:ascii="宋体" w:hAnsi="宋体"/>
          <w:sz w:val="24"/>
        </w:rPr>
      </w:pPr>
      <w:r>
        <w:rPr>
          <w:rFonts w:hint="eastAsia" w:ascii="宋体" w:hAnsi="宋体"/>
          <w:sz w:val="24"/>
        </w:rPr>
        <w:t>2.1初步评审</w:t>
      </w:r>
    </w:p>
    <w:p>
      <w:pPr>
        <w:spacing w:line="360" w:lineRule="auto"/>
        <w:ind w:firstLine="480" w:firstLineChars="200"/>
        <w:contextualSpacing/>
        <w:rPr>
          <w:rFonts w:ascii="宋体" w:hAnsi="宋体"/>
          <w:sz w:val="24"/>
        </w:rPr>
      </w:pPr>
      <w:r>
        <w:rPr>
          <w:rFonts w:hint="eastAsia" w:ascii="宋体" w:hAnsi="宋体"/>
          <w:sz w:val="24"/>
        </w:rPr>
        <w:t>初步评审分为资格评审和符合性评审。由</w:t>
      </w:r>
      <w:r>
        <w:rPr>
          <w:rFonts w:hint="eastAsia" w:ascii="宋体" w:hAnsi="宋体" w:cs="仿宋_GB2312"/>
          <w:sz w:val="24"/>
        </w:rPr>
        <w:t>采购人或采购代理机构</w:t>
      </w:r>
      <w:r>
        <w:rPr>
          <w:rFonts w:hint="eastAsia" w:ascii="宋体" w:hAnsi="宋体"/>
          <w:sz w:val="24"/>
        </w:rPr>
        <w:t>依据本章规定的评审标准对投标文件进行资格性评审，由评标委员会依据本章规定的评审标准对投标文件进行符合性评审。有一项不符合评审标准的，不得进入</w:t>
      </w:r>
      <w:r>
        <w:rPr>
          <w:rFonts w:hint="eastAsia" w:ascii="宋体" w:hAnsi="宋体" w:cs="宋体"/>
          <w:color w:val="000000"/>
          <w:sz w:val="24"/>
        </w:rPr>
        <w:t>下一步的</w:t>
      </w:r>
      <w:r>
        <w:rPr>
          <w:rFonts w:hint="eastAsia" w:ascii="宋体" w:hAnsi="宋体"/>
          <w:sz w:val="24"/>
        </w:rPr>
        <w:t>评审。</w:t>
      </w:r>
    </w:p>
    <w:p>
      <w:pPr>
        <w:spacing w:line="360" w:lineRule="auto"/>
        <w:contextualSpacing/>
        <w:rPr>
          <w:rFonts w:ascii="宋体" w:hAnsi="宋体"/>
          <w:sz w:val="24"/>
        </w:rPr>
      </w:pPr>
      <w:r>
        <w:rPr>
          <w:rFonts w:hint="eastAsia" w:ascii="宋体" w:hAnsi="宋体"/>
          <w:sz w:val="24"/>
        </w:rPr>
        <w:t>2.1.1资格性评审</w:t>
      </w:r>
    </w:p>
    <w:tbl>
      <w:tblPr>
        <w:tblStyle w:val="23"/>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8"/>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3828" w:type="dxa"/>
            <w:vAlign w:val="center"/>
          </w:tcPr>
          <w:p>
            <w:pPr>
              <w:pStyle w:val="8"/>
              <w:jc w:val="center"/>
              <w:rPr>
                <w:rFonts w:ascii="宋体" w:hAnsi="宋体"/>
                <w:b w:val="0"/>
                <w:sz w:val="24"/>
                <w:szCs w:val="24"/>
              </w:rPr>
            </w:pPr>
            <w:r>
              <w:rPr>
                <w:rFonts w:hint="eastAsia" w:ascii="宋体" w:hAnsi="宋体"/>
                <w:sz w:val="24"/>
                <w:szCs w:val="24"/>
              </w:rPr>
              <w:t>评审内容</w:t>
            </w:r>
          </w:p>
        </w:tc>
        <w:tc>
          <w:tcPr>
            <w:tcW w:w="4677" w:type="dxa"/>
            <w:vAlign w:val="center"/>
          </w:tcPr>
          <w:p>
            <w:pPr>
              <w:pStyle w:val="8"/>
              <w:jc w:val="center"/>
              <w:rPr>
                <w:rFonts w:ascii="宋体" w:hAnsi="宋体"/>
                <w:b w:val="0"/>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3828" w:type="dxa"/>
            <w:vAlign w:val="center"/>
          </w:tcPr>
          <w:p>
            <w:pPr>
              <w:pStyle w:val="8"/>
              <w:jc w:val="left"/>
              <w:rPr>
                <w:rFonts w:ascii="宋体" w:hAnsi="宋体"/>
                <w:b w:val="0"/>
                <w:sz w:val="21"/>
                <w:szCs w:val="21"/>
              </w:rPr>
            </w:pPr>
            <w:r>
              <w:rPr>
                <w:rFonts w:hint="eastAsia" w:ascii="宋体" w:hAnsi="宋体" w:cs="仿宋_GB2312"/>
                <w:b w:val="0"/>
                <w:sz w:val="21"/>
                <w:szCs w:val="21"/>
              </w:rPr>
              <w:t>具有良好的商业信誉和健全的财务会计制度</w:t>
            </w:r>
          </w:p>
        </w:tc>
        <w:tc>
          <w:tcPr>
            <w:tcW w:w="4677" w:type="dxa"/>
            <w:vAlign w:val="center"/>
          </w:tcPr>
          <w:p>
            <w:pPr>
              <w:spacing w:line="360" w:lineRule="auto"/>
              <w:rPr>
                <w:rFonts w:ascii="宋体" w:hAnsi="宋体"/>
                <w:b w:val="0"/>
                <w:sz w:val="21"/>
                <w:szCs w:val="21"/>
              </w:rPr>
            </w:pPr>
            <w:r>
              <w:rPr>
                <w:rFonts w:hint="eastAsia" w:ascii="宋体" w:hAnsi="宋体" w:eastAsia="宋体" w:cs="仿宋_GB2312"/>
                <w:szCs w:val="21"/>
              </w:rPr>
              <w:t>提供2019</w:t>
            </w:r>
            <w:r>
              <w:rPr>
                <w:rFonts w:hint="eastAsia" w:ascii="宋体" w:hAnsi="宋体" w:eastAsia="宋体" w:cs="仿宋_GB2312"/>
                <w:szCs w:val="21"/>
                <w:lang w:val="en-US" w:eastAsia="zh-CN"/>
              </w:rPr>
              <w:t>或2020</w:t>
            </w:r>
            <w:r>
              <w:rPr>
                <w:rFonts w:hint="eastAsia" w:ascii="宋体" w:hAnsi="宋体" w:eastAsia="宋体" w:cs="仿宋_GB2312"/>
                <w:szCs w:val="21"/>
              </w:rPr>
              <w:t>年度财务审计报告（至少包括资产负债表和利润表，成立时间至提交响应文件截止时间不足一年的可提供成立后任意时段的资产负债表），或其基本存款账户开户银行近三个月出具的资信证明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3828" w:type="dxa"/>
            <w:vAlign w:val="center"/>
          </w:tcPr>
          <w:p>
            <w:pPr>
              <w:pStyle w:val="8"/>
              <w:jc w:val="left"/>
              <w:rPr>
                <w:rFonts w:ascii="宋体" w:hAnsi="宋体" w:cs="宋体"/>
                <w:b w:val="0"/>
                <w:sz w:val="21"/>
                <w:szCs w:val="21"/>
              </w:rPr>
            </w:pPr>
            <w:r>
              <w:rPr>
                <w:rFonts w:hint="eastAsia" w:ascii="宋体" w:hAnsi="宋体" w:cs="宋体"/>
                <w:b w:val="0"/>
                <w:sz w:val="21"/>
                <w:szCs w:val="21"/>
              </w:rPr>
              <w:t>具有履行合同所必需的设备和专业技术能力</w:t>
            </w:r>
          </w:p>
        </w:tc>
        <w:tc>
          <w:tcPr>
            <w:tcW w:w="4677" w:type="dxa"/>
            <w:vAlign w:val="center"/>
          </w:tcPr>
          <w:p>
            <w:pPr>
              <w:pStyle w:val="8"/>
              <w:rPr>
                <w:rFonts w:ascii="宋体" w:hAnsi="宋体" w:cs="宋体"/>
                <w:b w:val="0"/>
                <w:sz w:val="21"/>
                <w:szCs w:val="21"/>
              </w:rPr>
            </w:pPr>
            <w:r>
              <w:rPr>
                <w:rFonts w:hint="eastAsia" w:ascii="宋体" w:hAnsi="宋体" w:cs="宋体"/>
                <w:b w:val="0"/>
                <w:sz w:val="21"/>
                <w:szCs w:val="21"/>
              </w:rPr>
              <w:t>提供履行合同所必需的设备和专业技术能力的证明材料或承诺函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3828" w:type="dxa"/>
            <w:vAlign w:val="center"/>
          </w:tcPr>
          <w:p>
            <w:pPr>
              <w:pStyle w:val="8"/>
              <w:jc w:val="left"/>
              <w:rPr>
                <w:rFonts w:ascii="宋体" w:hAnsi="宋体" w:cs="宋体"/>
                <w:b w:val="0"/>
                <w:sz w:val="21"/>
                <w:szCs w:val="21"/>
              </w:rPr>
            </w:pPr>
            <w:r>
              <w:rPr>
                <w:rFonts w:hint="eastAsia" w:ascii="宋体" w:hAnsi="宋体" w:cs="宋体"/>
                <w:b w:val="0"/>
                <w:sz w:val="21"/>
                <w:szCs w:val="21"/>
              </w:rPr>
              <w:t>有依法缴纳税收和社会保障资金的良好记录</w:t>
            </w:r>
          </w:p>
        </w:tc>
        <w:tc>
          <w:tcPr>
            <w:tcW w:w="4677" w:type="dxa"/>
            <w:vAlign w:val="center"/>
          </w:tcPr>
          <w:p>
            <w:pPr>
              <w:pStyle w:val="8"/>
              <w:rPr>
                <w:rFonts w:ascii="宋体" w:hAnsi="宋体" w:cs="宋体"/>
                <w:b w:val="0"/>
                <w:sz w:val="21"/>
                <w:szCs w:val="21"/>
              </w:rPr>
            </w:pPr>
            <w:r>
              <w:rPr>
                <w:rFonts w:hint="eastAsia" w:ascii="宋体" w:hAnsi="宋体" w:cs="宋体"/>
                <w:b w:val="0"/>
                <w:sz w:val="21"/>
                <w:szCs w:val="21"/>
              </w:rPr>
              <w:t>提供近6个月内任意月份的缴税证明和养老保险缴纳证明，依法免税或不需要缴纳社会保障资金的单位应提供相关证明材料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3828" w:type="dxa"/>
            <w:vAlign w:val="center"/>
          </w:tcPr>
          <w:p>
            <w:pPr>
              <w:pStyle w:val="8"/>
              <w:rPr>
                <w:rFonts w:ascii="宋体" w:hAnsi="宋体" w:cs="宋体"/>
                <w:b w:val="0"/>
                <w:sz w:val="21"/>
                <w:szCs w:val="21"/>
              </w:rPr>
            </w:pPr>
            <w:r>
              <w:rPr>
                <w:rFonts w:hint="eastAsia" w:ascii="宋体" w:hAnsi="宋体" w:cs="宋体"/>
                <w:b w:val="0"/>
                <w:sz w:val="21"/>
                <w:szCs w:val="21"/>
              </w:rPr>
              <w:t>参加政府采购活动前三年内，在经营活动中没有重大违法记录</w:t>
            </w:r>
          </w:p>
        </w:tc>
        <w:tc>
          <w:tcPr>
            <w:tcW w:w="4677" w:type="dxa"/>
            <w:vAlign w:val="center"/>
          </w:tcPr>
          <w:p>
            <w:pPr>
              <w:pStyle w:val="8"/>
              <w:rPr>
                <w:rFonts w:ascii="宋体" w:hAnsi="宋体" w:cs="宋体"/>
                <w:b w:val="0"/>
                <w:sz w:val="21"/>
                <w:szCs w:val="21"/>
              </w:rPr>
            </w:pPr>
            <w:r>
              <w:rPr>
                <w:rFonts w:ascii="宋体" w:hAnsi="宋体" w:cs="宋体"/>
                <w:b w:val="0"/>
                <w:sz w:val="21"/>
                <w:szCs w:val="21"/>
              </w:rPr>
              <w:t>提供书面声明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3828" w:type="dxa"/>
            <w:vAlign w:val="center"/>
          </w:tcPr>
          <w:p>
            <w:pPr>
              <w:pStyle w:val="8"/>
              <w:rPr>
                <w:rFonts w:ascii="宋体" w:hAnsi="宋体" w:cs="宋体"/>
                <w:b w:val="0"/>
                <w:sz w:val="21"/>
                <w:szCs w:val="21"/>
              </w:rPr>
            </w:pPr>
            <w:r>
              <w:rPr>
                <w:rFonts w:ascii="宋体" w:hAnsi="宋体" w:cs="宋体"/>
                <w:b w:val="0"/>
                <w:sz w:val="21"/>
                <w:szCs w:val="21"/>
              </w:rPr>
              <w:t>供应商为</w:t>
            </w:r>
            <w:r>
              <w:rPr>
                <w:rFonts w:hint="eastAsia" w:ascii="宋体" w:hAnsi="宋体" w:cs="宋体"/>
                <w:b w:val="0"/>
                <w:sz w:val="21"/>
                <w:szCs w:val="21"/>
              </w:rPr>
              <w:t>具有独立承担民事责任能力的法人、其他组织或自然人</w:t>
            </w:r>
          </w:p>
        </w:tc>
        <w:tc>
          <w:tcPr>
            <w:tcW w:w="4677" w:type="dxa"/>
            <w:vAlign w:val="center"/>
          </w:tcPr>
          <w:p>
            <w:pPr>
              <w:pStyle w:val="8"/>
              <w:rPr>
                <w:rFonts w:ascii="宋体" w:hAnsi="宋体" w:cs="宋体"/>
                <w:b w:val="0"/>
                <w:sz w:val="21"/>
                <w:szCs w:val="21"/>
              </w:rPr>
            </w:pPr>
            <w:r>
              <w:rPr>
                <w:rFonts w:hint="eastAsia" w:ascii="宋体" w:hAnsi="宋体" w:cs="宋体"/>
                <w:b w:val="0"/>
                <w:sz w:val="21"/>
                <w:szCs w:val="21"/>
              </w:rPr>
              <w:t>出具合法有效的营业执照或事业单位法人证书等国家规定的相关证明，自然人参与的提供其身份证明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3828" w:type="dxa"/>
            <w:vAlign w:val="center"/>
          </w:tcPr>
          <w:p>
            <w:pPr>
              <w:pStyle w:val="8"/>
              <w:rPr>
                <w:rFonts w:ascii="宋体" w:hAnsi="宋体" w:cs="宋体"/>
                <w:b w:val="0"/>
                <w:sz w:val="21"/>
                <w:szCs w:val="21"/>
              </w:rPr>
            </w:pPr>
            <w:r>
              <w:rPr>
                <w:rFonts w:hint="eastAsia" w:ascii="宋体" w:hAnsi="宋体" w:cs="宋体"/>
                <w:b w:val="0"/>
                <w:sz w:val="21"/>
                <w:szCs w:val="21"/>
              </w:rPr>
              <w:t>法定代表人授权书/法定代表人身份证明</w:t>
            </w:r>
          </w:p>
        </w:tc>
        <w:tc>
          <w:tcPr>
            <w:tcW w:w="4677" w:type="dxa"/>
            <w:vAlign w:val="center"/>
          </w:tcPr>
          <w:p>
            <w:pPr>
              <w:pStyle w:val="8"/>
              <w:rPr>
                <w:rFonts w:ascii="宋体" w:hAnsi="宋体" w:cs="宋体"/>
                <w:b w:val="0"/>
                <w:sz w:val="21"/>
                <w:szCs w:val="21"/>
              </w:rPr>
            </w:pPr>
            <w:r>
              <w:rPr>
                <w:rFonts w:ascii="宋体" w:hAnsi="宋体" w:cs="宋体"/>
                <w:b w:val="0"/>
                <w:sz w:val="21"/>
                <w:szCs w:val="21"/>
              </w:rPr>
              <w:t>法定代表人参加投标的，须出示身份证；法定代表人授权他人参加投标的，须提供法定代表人授权委托书（附法定代表人、被授权人身份证复印件）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trPr>
        <w:tc>
          <w:tcPr>
            <w:tcW w:w="3828" w:type="dxa"/>
            <w:vAlign w:val="center"/>
          </w:tcPr>
          <w:p>
            <w:pPr>
              <w:pStyle w:val="8"/>
              <w:rPr>
                <w:rFonts w:ascii="宋体" w:hAnsi="宋体" w:cs="宋体"/>
                <w:b w:val="0"/>
                <w:sz w:val="21"/>
                <w:szCs w:val="21"/>
              </w:rPr>
            </w:pPr>
            <w:r>
              <w:rPr>
                <w:rFonts w:ascii="宋体" w:hAnsi="宋体" w:cs="宋体"/>
                <w:b w:val="0"/>
                <w:sz w:val="21"/>
                <w:szCs w:val="21"/>
              </w:rPr>
              <w:t>供应商</w:t>
            </w:r>
            <w:r>
              <w:rPr>
                <w:rFonts w:hint="eastAsia" w:ascii="宋体" w:hAnsi="宋体" w:cs="宋体"/>
                <w:b w:val="0"/>
                <w:sz w:val="21"/>
                <w:szCs w:val="21"/>
              </w:rPr>
              <w:t>不得列入“信用中国”网站（www.creditchina.gov.cn）失信被执行人和重大税收违法案件当事人名单；不得为中国政府采购网（www.ccgp.gov.cn）政府采购严重违法失信行为记录名单中被财政部门禁止参加政府采购活动的供应商</w:t>
            </w:r>
          </w:p>
        </w:tc>
        <w:tc>
          <w:tcPr>
            <w:tcW w:w="4677" w:type="dxa"/>
            <w:vAlign w:val="center"/>
          </w:tcPr>
          <w:p>
            <w:pPr>
              <w:pStyle w:val="8"/>
              <w:rPr>
                <w:rFonts w:ascii="宋体" w:hAnsi="宋体" w:cs="宋体"/>
                <w:b w:val="0"/>
                <w:sz w:val="21"/>
                <w:szCs w:val="21"/>
              </w:rPr>
            </w:pPr>
            <w:r>
              <w:rPr>
                <w:rFonts w:hint="eastAsia" w:ascii="宋体" w:hAnsi="宋体" w:cs="宋体"/>
                <w:b w:val="0"/>
                <w:sz w:val="21"/>
                <w:szCs w:val="21"/>
              </w:rPr>
              <w:t>由采购代理机构查询复核。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828" w:type="dxa"/>
            <w:vAlign w:val="center"/>
          </w:tcPr>
          <w:p>
            <w:pPr>
              <w:pStyle w:val="8"/>
              <w:rPr>
                <w:rFonts w:hint="eastAsia" w:ascii="宋体" w:hAnsi="宋体" w:eastAsia="宋体" w:cs="宋体"/>
                <w:b w:val="0"/>
                <w:sz w:val="21"/>
                <w:szCs w:val="21"/>
                <w:highlight w:val="none"/>
                <w:lang w:val="en-US" w:eastAsia="zh-CN"/>
              </w:rPr>
            </w:pPr>
            <w:r>
              <w:rPr>
                <w:rFonts w:hint="eastAsia" w:ascii="宋体" w:hAnsi="宋体" w:cs="宋体"/>
                <w:b w:val="0"/>
                <w:sz w:val="21"/>
                <w:szCs w:val="21"/>
                <w:highlight w:val="none"/>
                <w:lang w:val="en-US" w:eastAsia="zh-CN"/>
              </w:rPr>
              <w:t>资质要求</w:t>
            </w:r>
          </w:p>
        </w:tc>
        <w:tc>
          <w:tcPr>
            <w:tcW w:w="4677" w:type="dxa"/>
            <w:vAlign w:val="center"/>
          </w:tcPr>
          <w:p>
            <w:pPr>
              <w:pStyle w:val="8"/>
              <w:rPr>
                <w:rFonts w:hint="eastAsia" w:ascii="宋体" w:hAnsi="宋体" w:cs="宋体"/>
                <w:b w:val="0"/>
                <w:sz w:val="21"/>
                <w:szCs w:val="21"/>
                <w:highlight w:val="none"/>
              </w:rPr>
            </w:pPr>
            <w:r>
              <w:rPr>
                <w:rFonts w:hint="eastAsia" w:ascii="宋体" w:hAnsi="宋体" w:eastAsia="宋体"/>
                <w:b w:val="0"/>
                <w:bCs/>
                <w:sz w:val="21"/>
                <w:szCs w:val="21"/>
                <w:highlight w:val="none"/>
              </w:rPr>
              <w:t>具有建设行政主管部门颁发的电子与智能化工程专业承包贰级</w:t>
            </w:r>
            <w:r>
              <w:rPr>
                <w:rFonts w:hint="eastAsia"/>
                <w:b w:val="0"/>
                <w:bCs/>
                <w:sz w:val="21"/>
                <w:szCs w:val="21"/>
                <w:highlight w:val="none"/>
                <w:lang w:val="en-US" w:eastAsia="zh-CN"/>
              </w:rPr>
              <w:t>及以上资质，并具备</w:t>
            </w:r>
            <w:r>
              <w:rPr>
                <w:rFonts w:hint="eastAsia" w:ascii="宋体" w:hAnsi="宋体" w:eastAsia="宋体"/>
                <w:b w:val="0"/>
                <w:bCs/>
                <w:sz w:val="21"/>
                <w:szCs w:val="21"/>
                <w:highlight w:val="none"/>
              </w:rPr>
              <w:t>有效的安全生产许可证</w:t>
            </w:r>
            <w:r>
              <w:rPr>
                <w:rFonts w:hint="eastAsia" w:ascii="宋体" w:hAnsi="宋体" w:eastAsia="宋体"/>
                <w:b w:val="0"/>
                <w:bCs/>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3828" w:type="dxa"/>
            <w:vAlign w:val="center"/>
          </w:tcPr>
          <w:p>
            <w:pPr>
              <w:bidi w:val="0"/>
            </w:pPr>
            <w:r>
              <w:rPr>
                <w:rFonts w:hint="eastAsia"/>
                <w:lang w:val="en-US" w:eastAsia="zh-CN"/>
              </w:rPr>
              <w:t>控股、管理关系</w:t>
            </w:r>
          </w:p>
        </w:tc>
        <w:tc>
          <w:tcPr>
            <w:tcW w:w="4677" w:type="dxa"/>
            <w:vAlign w:val="center"/>
          </w:tcPr>
          <w:p>
            <w:pPr>
              <w:bidi w:val="0"/>
              <w:rPr>
                <w:rFonts w:hint="eastAsia"/>
              </w:rPr>
            </w:pPr>
            <w:r>
              <w:rPr>
                <w:rFonts w:hint="eastAsia"/>
                <w:lang w:val="en-US" w:eastAsia="zh-CN"/>
              </w:rPr>
              <w:t>单位负责人为同一人或者存在直接控股、管理关系的不同投标人，不得参加同一合同项下的政府采购活动</w:t>
            </w:r>
          </w:p>
        </w:tc>
      </w:tr>
    </w:tbl>
    <w:p>
      <w:pPr>
        <w:spacing w:line="360" w:lineRule="auto"/>
        <w:contextualSpacing/>
        <w:rPr>
          <w:rFonts w:ascii="宋体" w:hAnsi="宋体"/>
          <w:sz w:val="24"/>
        </w:rPr>
      </w:pPr>
      <w:r>
        <w:rPr>
          <w:rFonts w:hint="eastAsia" w:ascii="宋体" w:hAnsi="宋体"/>
          <w:sz w:val="24"/>
        </w:rPr>
        <w:t>2.1.2符合性评审</w:t>
      </w:r>
    </w:p>
    <w:tbl>
      <w:tblPr>
        <w:tblStyle w:val="23"/>
        <w:tblW w:w="864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409"/>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3827" w:type="dxa"/>
            <w:gridSpan w:val="2"/>
            <w:vAlign w:val="center"/>
          </w:tcPr>
          <w:p>
            <w:pPr>
              <w:pStyle w:val="8"/>
              <w:jc w:val="center"/>
              <w:rPr>
                <w:rFonts w:ascii="宋体" w:hAnsi="宋体"/>
                <w:b w:val="0"/>
                <w:sz w:val="24"/>
                <w:szCs w:val="24"/>
              </w:rPr>
            </w:pPr>
            <w:r>
              <w:rPr>
                <w:rFonts w:hint="eastAsia" w:ascii="宋体" w:hAnsi="宋体"/>
                <w:sz w:val="24"/>
                <w:szCs w:val="24"/>
              </w:rPr>
              <w:t>评审内容</w:t>
            </w:r>
          </w:p>
        </w:tc>
        <w:tc>
          <w:tcPr>
            <w:tcW w:w="4820" w:type="dxa"/>
            <w:vAlign w:val="center"/>
          </w:tcPr>
          <w:p>
            <w:pPr>
              <w:pStyle w:val="8"/>
              <w:jc w:val="center"/>
              <w:rPr>
                <w:rFonts w:ascii="宋体" w:hAnsi="宋体"/>
                <w:b w:val="0"/>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418" w:type="dxa"/>
            <w:vMerge w:val="restart"/>
            <w:vAlign w:val="center"/>
          </w:tcPr>
          <w:p>
            <w:pPr>
              <w:spacing w:line="360" w:lineRule="auto"/>
              <w:jc w:val="center"/>
              <w:rPr>
                <w:rFonts w:ascii="宋体" w:hAnsi="宋体" w:cs="仿宋_GB2312"/>
                <w:szCs w:val="21"/>
              </w:rPr>
            </w:pPr>
            <w:r>
              <w:rPr>
                <w:rFonts w:hint="eastAsia" w:ascii="宋体" w:hAnsi="宋体" w:cs="仿宋_GB2312"/>
                <w:szCs w:val="21"/>
              </w:rPr>
              <w:t>有效性审查</w:t>
            </w: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签字盖章</w:t>
            </w:r>
          </w:p>
        </w:tc>
        <w:tc>
          <w:tcPr>
            <w:tcW w:w="4820" w:type="dxa"/>
            <w:vAlign w:val="center"/>
          </w:tcPr>
          <w:p>
            <w:pPr>
              <w:spacing w:line="360" w:lineRule="auto"/>
              <w:jc w:val="left"/>
              <w:rPr>
                <w:rFonts w:ascii="宋体" w:hAnsi="宋体" w:cs="仿宋_GB2312"/>
                <w:szCs w:val="21"/>
              </w:rPr>
            </w:pPr>
            <w:r>
              <w:rPr>
                <w:rFonts w:hint="eastAsia" w:ascii="宋体" w:hAnsi="宋体" w:cs="仿宋_GB2312"/>
                <w:szCs w:val="21"/>
              </w:rPr>
              <w:t>投标文件正、副本内签字盖章符合招标文件要求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供应商名称</w:t>
            </w:r>
          </w:p>
        </w:tc>
        <w:tc>
          <w:tcPr>
            <w:tcW w:w="4820" w:type="dxa"/>
            <w:vAlign w:val="center"/>
          </w:tcPr>
          <w:p>
            <w:pPr>
              <w:spacing w:line="360" w:lineRule="auto"/>
              <w:jc w:val="left"/>
              <w:rPr>
                <w:rFonts w:ascii="宋体" w:hAnsi="宋体" w:cs="仿宋_GB2312"/>
                <w:szCs w:val="21"/>
              </w:rPr>
            </w:pPr>
            <w:r>
              <w:rPr>
                <w:rFonts w:hint="eastAsia" w:ascii="宋体" w:hAnsi="宋体" w:cs="仿宋_GB2312"/>
                <w:szCs w:val="21"/>
              </w:rPr>
              <w:t>所有提交的证件、资质、文件与印章一致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文件格式</w:t>
            </w:r>
          </w:p>
        </w:tc>
        <w:tc>
          <w:tcPr>
            <w:tcW w:w="4820" w:type="dxa"/>
            <w:vAlign w:val="center"/>
          </w:tcPr>
          <w:p>
            <w:pPr>
              <w:spacing w:line="360" w:lineRule="auto"/>
              <w:jc w:val="left"/>
              <w:rPr>
                <w:rFonts w:ascii="宋体" w:hAnsi="宋体" w:cs="仿宋_GB2312"/>
                <w:szCs w:val="21"/>
              </w:rPr>
            </w:pPr>
            <w:r>
              <w:rPr>
                <w:rFonts w:hint="eastAsia" w:ascii="宋体" w:hAnsi="宋体" w:cs="仿宋_GB2312"/>
                <w:szCs w:val="21"/>
              </w:rPr>
              <w:t>投标文件格式应符合“投标文件格式”要求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报价唯一</w:t>
            </w:r>
          </w:p>
        </w:tc>
        <w:tc>
          <w:tcPr>
            <w:tcW w:w="4820" w:type="dxa"/>
            <w:vAlign w:val="center"/>
          </w:tcPr>
          <w:p>
            <w:pPr>
              <w:spacing w:line="360" w:lineRule="auto"/>
              <w:contextualSpacing/>
              <w:jc w:val="left"/>
              <w:rPr>
                <w:rFonts w:ascii="宋体" w:hAnsi="宋体" w:cs="仿宋_GB2312"/>
                <w:szCs w:val="21"/>
              </w:rPr>
            </w:pPr>
            <w:r>
              <w:rPr>
                <w:rFonts w:hint="eastAsia" w:ascii="宋体" w:hAnsi="宋体" w:cs="仿宋_GB2312"/>
                <w:szCs w:val="21"/>
              </w:rPr>
              <w:t>只能有一个有效报价，且不得高于采购预算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18" w:type="dxa"/>
            <w:vMerge w:val="restart"/>
            <w:vAlign w:val="center"/>
          </w:tcPr>
          <w:p>
            <w:pPr>
              <w:spacing w:line="360" w:lineRule="auto"/>
              <w:jc w:val="center"/>
              <w:rPr>
                <w:rFonts w:ascii="宋体" w:hAnsi="宋体" w:cs="仿宋_GB2312"/>
                <w:szCs w:val="21"/>
              </w:rPr>
            </w:pPr>
            <w:r>
              <w:rPr>
                <w:rFonts w:hint="eastAsia" w:ascii="宋体" w:hAnsi="宋体" w:cs="仿宋_GB2312"/>
                <w:szCs w:val="21"/>
              </w:rPr>
              <w:t>完整性审查</w:t>
            </w: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投标文件份数</w:t>
            </w:r>
          </w:p>
        </w:tc>
        <w:tc>
          <w:tcPr>
            <w:tcW w:w="4820" w:type="dxa"/>
            <w:vAlign w:val="center"/>
          </w:tcPr>
          <w:p>
            <w:pPr>
              <w:spacing w:line="360" w:lineRule="auto"/>
              <w:contextualSpacing/>
              <w:jc w:val="left"/>
              <w:rPr>
                <w:rFonts w:ascii="宋体" w:hAnsi="宋体" w:cs="仿宋_GB2312"/>
                <w:szCs w:val="21"/>
              </w:rPr>
            </w:pPr>
            <w:r>
              <w:rPr>
                <w:rFonts w:hint="eastAsia" w:ascii="宋体" w:hAnsi="宋体" w:cs="仿宋_GB2312"/>
                <w:szCs w:val="21"/>
              </w:rPr>
              <w:t>正本一份、副本二份、电子版U盘一份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投标文件的内容</w:t>
            </w:r>
          </w:p>
        </w:tc>
        <w:tc>
          <w:tcPr>
            <w:tcW w:w="4820" w:type="dxa"/>
            <w:vAlign w:val="center"/>
          </w:tcPr>
          <w:p>
            <w:pPr>
              <w:spacing w:line="360" w:lineRule="auto"/>
              <w:jc w:val="center"/>
              <w:rPr>
                <w:rFonts w:ascii="宋体" w:hAnsi="宋体" w:cs="仿宋_GB2312"/>
                <w:szCs w:val="21"/>
              </w:rPr>
            </w:pPr>
            <w:r>
              <w:rPr>
                <w:rFonts w:hint="eastAsia" w:ascii="宋体" w:hAnsi="宋体" w:cs="仿宋_GB2312"/>
                <w:szCs w:val="21"/>
              </w:rPr>
              <w:t>字迹清晰，易于辨认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投标文件装订</w:t>
            </w:r>
          </w:p>
        </w:tc>
        <w:tc>
          <w:tcPr>
            <w:tcW w:w="4820" w:type="dxa"/>
            <w:vAlign w:val="center"/>
          </w:tcPr>
          <w:p>
            <w:pPr>
              <w:spacing w:line="360" w:lineRule="auto"/>
              <w:jc w:val="center"/>
              <w:rPr>
                <w:rFonts w:ascii="宋体" w:hAnsi="宋体" w:cs="仿宋_GB2312"/>
                <w:szCs w:val="21"/>
              </w:rPr>
            </w:pPr>
            <w:r>
              <w:rPr>
                <w:rFonts w:hint="eastAsia" w:ascii="宋体" w:hAnsi="宋体" w:cs="仿宋_GB2312"/>
                <w:szCs w:val="21"/>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418" w:type="dxa"/>
            <w:vMerge w:val="restart"/>
            <w:vAlign w:val="center"/>
          </w:tcPr>
          <w:p>
            <w:pPr>
              <w:spacing w:line="360" w:lineRule="auto"/>
              <w:jc w:val="center"/>
              <w:rPr>
                <w:rFonts w:ascii="宋体" w:hAnsi="宋体" w:cs="仿宋_GB2312"/>
                <w:szCs w:val="21"/>
              </w:rPr>
            </w:pPr>
            <w:r>
              <w:rPr>
                <w:rFonts w:hint="eastAsia" w:ascii="宋体" w:hAnsi="宋体" w:cs="仿宋_GB2312"/>
                <w:szCs w:val="21"/>
              </w:rPr>
              <w:t>响应性审查</w:t>
            </w: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采购内容及要求</w:t>
            </w:r>
          </w:p>
        </w:tc>
        <w:tc>
          <w:tcPr>
            <w:tcW w:w="4820" w:type="dxa"/>
            <w:vAlign w:val="center"/>
          </w:tcPr>
          <w:p>
            <w:pPr>
              <w:spacing w:line="360" w:lineRule="auto"/>
              <w:contextualSpacing/>
              <w:jc w:val="center"/>
              <w:rPr>
                <w:rFonts w:ascii="宋体" w:hAnsi="宋体" w:cs="仿宋_GB2312"/>
                <w:szCs w:val="21"/>
              </w:rPr>
            </w:pPr>
            <w:r>
              <w:rPr>
                <w:rFonts w:hint="eastAsia" w:ascii="宋体" w:hAnsi="宋体" w:cs="仿宋_GB2312"/>
                <w:szCs w:val="21"/>
              </w:rPr>
              <w:t>符合招标文件要求，不能有任何采购人不能接受的附加条件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投标有效期</w:t>
            </w:r>
          </w:p>
        </w:tc>
        <w:tc>
          <w:tcPr>
            <w:tcW w:w="4820" w:type="dxa"/>
            <w:vAlign w:val="center"/>
          </w:tcPr>
          <w:p>
            <w:pPr>
              <w:spacing w:line="360" w:lineRule="auto"/>
              <w:jc w:val="center"/>
              <w:rPr>
                <w:rFonts w:ascii="宋体" w:hAnsi="宋体" w:cs="仿宋_GB2312"/>
                <w:szCs w:val="21"/>
              </w:rPr>
            </w:pPr>
            <w:r>
              <w:rPr>
                <w:rFonts w:hint="eastAsia" w:ascii="宋体" w:hAnsi="宋体" w:cs="仿宋_GB2312"/>
                <w:szCs w:val="21"/>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工期</w:t>
            </w:r>
          </w:p>
        </w:tc>
        <w:tc>
          <w:tcPr>
            <w:tcW w:w="4820" w:type="dxa"/>
            <w:vAlign w:val="center"/>
          </w:tcPr>
          <w:p>
            <w:pPr>
              <w:spacing w:line="360" w:lineRule="auto"/>
              <w:jc w:val="center"/>
              <w:rPr>
                <w:rFonts w:ascii="宋体" w:hAnsi="宋体" w:cs="仿宋_GB2312"/>
                <w:szCs w:val="21"/>
              </w:rPr>
            </w:pPr>
            <w:r>
              <w:rPr>
                <w:rFonts w:hint="eastAsia" w:ascii="宋体" w:hAnsi="宋体" w:cs="仿宋_GB2312"/>
                <w:szCs w:val="21"/>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418" w:type="dxa"/>
            <w:vMerge w:val="continue"/>
            <w:vAlign w:val="center"/>
          </w:tcPr>
          <w:p>
            <w:pPr>
              <w:spacing w:line="360" w:lineRule="auto"/>
              <w:jc w:val="center"/>
              <w:rPr>
                <w:rFonts w:ascii="宋体" w:hAnsi="宋体" w:cs="仿宋_GB2312"/>
                <w:szCs w:val="21"/>
              </w:rPr>
            </w:pPr>
          </w:p>
        </w:tc>
        <w:tc>
          <w:tcPr>
            <w:tcW w:w="2409" w:type="dxa"/>
            <w:vAlign w:val="center"/>
          </w:tcPr>
          <w:p>
            <w:pPr>
              <w:spacing w:line="360" w:lineRule="auto"/>
              <w:jc w:val="center"/>
              <w:rPr>
                <w:rFonts w:ascii="宋体" w:hAnsi="宋体" w:cs="仿宋_GB2312"/>
                <w:szCs w:val="21"/>
              </w:rPr>
            </w:pPr>
            <w:r>
              <w:rPr>
                <w:rFonts w:hint="eastAsia" w:ascii="宋体" w:hAnsi="宋体" w:cs="仿宋_GB2312"/>
                <w:szCs w:val="21"/>
              </w:rPr>
              <w:t>付款方式</w:t>
            </w:r>
          </w:p>
        </w:tc>
        <w:tc>
          <w:tcPr>
            <w:tcW w:w="4820" w:type="dxa"/>
            <w:vAlign w:val="center"/>
          </w:tcPr>
          <w:p>
            <w:pPr>
              <w:spacing w:line="360" w:lineRule="auto"/>
              <w:jc w:val="center"/>
              <w:rPr>
                <w:rFonts w:ascii="宋体" w:hAnsi="宋体" w:cs="仿宋_GB2312"/>
                <w:szCs w:val="21"/>
              </w:rPr>
            </w:pPr>
            <w:r>
              <w:rPr>
                <w:rFonts w:hint="eastAsia" w:ascii="宋体" w:hAnsi="宋体" w:cs="仿宋_GB2312"/>
                <w:szCs w:val="21"/>
              </w:rPr>
              <w:t>符合招标文件要求</w:t>
            </w:r>
          </w:p>
        </w:tc>
      </w:tr>
    </w:tbl>
    <w:p>
      <w:pPr>
        <w:spacing w:line="360" w:lineRule="auto"/>
        <w:rPr>
          <w:rFonts w:ascii="宋体" w:hAnsi="宋体" w:cs="仿宋_GB2312"/>
          <w:sz w:val="24"/>
        </w:rPr>
      </w:pPr>
    </w:p>
    <w:p>
      <w:pPr>
        <w:spacing w:line="360" w:lineRule="auto"/>
        <w:contextualSpacing/>
        <w:rPr>
          <w:rFonts w:ascii="宋体" w:hAnsi="宋体"/>
          <w:sz w:val="24"/>
        </w:rPr>
      </w:pPr>
      <w:r>
        <w:rPr>
          <w:rFonts w:hint="eastAsia" w:ascii="宋体" w:hAnsi="宋体"/>
          <w:sz w:val="24"/>
        </w:rPr>
        <w:t>2.2综合评审</w:t>
      </w:r>
    </w:p>
    <w:p>
      <w:pPr>
        <w:pStyle w:val="8"/>
        <w:spacing w:line="360" w:lineRule="auto"/>
        <w:ind w:firstLine="480" w:firstLineChars="200"/>
        <w:rPr>
          <w:rFonts w:ascii="宋体" w:hAnsi="宋体"/>
          <w:b w:val="0"/>
          <w:color w:val="000000"/>
          <w:sz w:val="24"/>
        </w:rPr>
      </w:pPr>
      <w:r>
        <w:rPr>
          <w:rFonts w:hint="eastAsia" w:ascii="宋体" w:hAnsi="宋体"/>
          <w:b w:val="0"/>
          <w:color w:val="000000"/>
          <w:sz w:val="24"/>
        </w:rPr>
        <w:t>评标委员会对通过初步</w:t>
      </w:r>
      <w:r>
        <w:rPr>
          <w:rFonts w:ascii="宋体" w:hAnsi="宋体"/>
          <w:b w:val="0"/>
          <w:color w:val="000000"/>
          <w:sz w:val="24"/>
        </w:rPr>
        <w:t>审查的所有投标，</w:t>
      </w:r>
      <w:r>
        <w:rPr>
          <w:rFonts w:hint="eastAsia" w:ascii="宋体" w:hAnsi="宋体"/>
          <w:b w:val="0"/>
          <w:color w:val="000000"/>
          <w:sz w:val="24"/>
        </w:rPr>
        <w:t>依据下列规定的详细评审标准</w:t>
      </w:r>
      <w:r>
        <w:rPr>
          <w:rFonts w:ascii="宋体" w:hAnsi="宋体"/>
          <w:b w:val="0"/>
          <w:color w:val="000000"/>
          <w:sz w:val="24"/>
        </w:rPr>
        <w:t>独立进行综合评价、比较打分</w:t>
      </w:r>
      <w:r>
        <w:rPr>
          <w:rFonts w:hint="eastAsia" w:ascii="宋体" w:hAnsi="宋体"/>
          <w:b w:val="0"/>
          <w:color w:val="000000"/>
          <w:sz w:val="24"/>
        </w:rPr>
        <w:t>。以评审总得分顺序推荐中标候选人。</w:t>
      </w:r>
    </w:p>
    <w:tbl>
      <w:tblPr>
        <w:tblStyle w:val="22"/>
        <w:tblpPr w:leftFromText="180" w:rightFromText="180" w:vertAnchor="text" w:horzAnchor="page" w:tblpX="1755" w:tblpY="456"/>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134"/>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951" w:type="dxa"/>
            <w:vAlign w:val="center"/>
          </w:tcPr>
          <w:p>
            <w:pPr>
              <w:spacing w:line="360" w:lineRule="auto"/>
              <w:jc w:val="center"/>
              <w:rPr>
                <w:rFonts w:ascii="宋体" w:hAnsi="宋体" w:cs="仿宋_GB2312"/>
                <w:b/>
                <w:color w:val="000000"/>
                <w:sz w:val="24"/>
                <w:szCs w:val="24"/>
                <w:highlight w:val="none"/>
              </w:rPr>
            </w:pPr>
            <w:r>
              <w:rPr>
                <w:rFonts w:hint="eastAsia" w:ascii="宋体" w:hAnsi="宋体" w:cs="仿宋_GB2312"/>
                <w:b/>
                <w:color w:val="000000"/>
                <w:sz w:val="24"/>
                <w:szCs w:val="24"/>
                <w:highlight w:val="none"/>
              </w:rPr>
              <w:t>评审内容</w:t>
            </w:r>
          </w:p>
        </w:tc>
        <w:tc>
          <w:tcPr>
            <w:tcW w:w="1134" w:type="dxa"/>
            <w:vAlign w:val="center"/>
          </w:tcPr>
          <w:p>
            <w:pPr>
              <w:spacing w:line="360" w:lineRule="auto"/>
              <w:jc w:val="center"/>
              <w:rPr>
                <w:rFonts w:ascii="宋体" w:hAnsi="宋体" w:cs="仿宋_GB2312"/>
                <w:b/>
                <w:color w:val="000000"/>
                <w:sz w:val="24"/>
                <w:szCs w:val="24"/>
                <w:highlight w:val="none"/>
              </w:rPr>
            </w:pPr>
            <w:r>
              <w:rPr>
                <w:rFonts w:hint="eastAsia" w:ascii="宋体" w:hAnsi="宋体" w:cs="仿宋_GB2312"/>
                <w:b/>
                <w:color w:val="000000"/>
                <w:sz w:val="24"/>
                <w:szCs w:val="24"/>
                <w:highlight w:val="none"/>
              </w:rPr>
              <w:t>分值</w:t>
            </w:r>
          </w:p>
        </w:tc>
        <w:tc>
          <w:tcPr>
            <w:tcW w:w="5670" w:type="dxa"/>
            <w:vAlign w:val="center"/>
          </w:tcPr>
          <w:p>
            <w:pPr>
              <w:spacing w:line="360" w:lineRule="auto"/>
              <w:jc w:val="center"/>
              <w:rPr>
                <w:rFonts w:ascii="宋体" w:hAnsi="宋体" w:cs="仿宋_GB2312"/>
                <w:b/>
                <w:color w:val="000000"/>
                <w:sz w:val="24"/>
                <w:szCs w:val="24"/>
                <w:highlight w:val="none"/>
              </w:rPr>
            </w:pPr>
            <w:r>
              <w:rPr>
                <w:rFonts w:hint="eastAsia" w:ascii="宋体" w:hAnsi="宋体" w:cs="仿宋_GB2312"/>
                <w:b/>
                <w:color w:val="000000"/>
                <w:sz w:val="24"/>
                <w:szCs w:val="24"/>
                <w:highlight w:val="none"/>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951" w:type="dxa"/>
            <w:vAlign w:val="center"/>
          </w:tcPr>
          <w:p>
            <w:pPr>
              <w:spacing w:line="360" w:lineRule="auto"/>
              <w:jc w:val="center"/>
              <w:rPr>
                <w:rFonts w:hint="eastAsia" w:ascii="宋体" w:hAnsi="宋体" w:cs="仿宋_GB2312"/>
                <w:szCs w:val="21"/>
              </w:rPr>
            </w:pPr>
            <w:r>
              <w:rPr>
                <w:rFonts w:hint="eastAsia" w:ascii="宋体" w:hAnsi="宋体" w:cs="仿宋_GB2312"/>
                <w:szCs w:val="21"/>
              </w:rPr>
              <w:t>报 价</w:t>
            </w:r>
          </w:p>
          <w:p>
            <w:pPr>
              <w:spacing w:line="360" w:lineRule="auto"/>
              <w:jc w:val="center"/>
              <w:rPr>
                <w:rFonts w:hint="eastAsia" w:ascii="宋体" w:hAnsi="宋体" w:eastAsia="宋体" w:cs="仿宋_GB2312"/>
                <w:szCs w:val="21"/>
                <w:lang w:eastAsia="zh-CN"/>
              </w:rPr>
            </w:pPr>
            <w:r>
              <w:rPr>
                <w:rFonts w:hint="eastAsia" w:ascii="宋体" w:hAnsi="宋体" w:cs="仿宋_GB2312"/>
                <w:szCs w:val="21"/>
                <w:lang w:eastAsia="zh-CN"/>
              </w:rPr>
              <w:t>（</w:t>
            </w:r>
            <w:r>
              <w:rPr>
                <w:rFonts w:hint="eastAsia" w:ascii="宋体" w:hAnsi="宋体" w:cs="仿宋_GB2312"/>
                <w:szCs w:val="21"/>
                <w:lang w:val="en-US" w:eastAsia="zh-CN"/>
              </w:rPr>
              <w:t>30分</w:t>
            </w:r>
            <w:r>
              <w:rPr>
                <w:rFonts w:hint="eastAsia" w:ascii="宋体" w:hAnsi="宋体" w:cs="仿宋_GB2312"/>
                <w:szCs w:val="21"/>
                <w:lang w:eastAsia="zh-CN"/>
              </w:rPr>
              <w:t>）</w:t>
            </w:r>
          </w:p>
        </w:tc>
        <w:tc>
          <w:tcPr>
            <w:tcW w:w="1134" w:type="dxa"/>
            <w:vAlign w:val="center"/>
          </w:tcPr>
          <w:p>
            <w:pPr>
              <w:spacing w:line="360" w:lineRule="auto"/>
              <w:jc w:val="center"/>
              <w:rPr>
                <w:rFonts w:ascii="宋体" w:hAnsi="宋体" w:cs="仿宋_GB2312"/>
                <w:szCs w:val="21"/>
              </w:rPr>
            </w:pPr>
            <w:r>
              <w:rPr>
                <w:rFonts w:hint="eastAsia" w:ascii="宋体" w:hAnsi="宋体" w:cs="仿宋_GB2312"/>
                <w:szCs w:val="21"/>
                <w:lang w:val="en-US" w:eastAsia="zh-CN"/>
              </w:rPr>
              <w:t>3</w:t>
            </w:r>
            <w:r>
              <w:rPr>
                <w:rFonts w:hint="eastAsia" w:ascii="宋体" w:hAnsi="宋体" w:cs="仿宋_GB2312"/>
                <w:szCs w:val="21"/>
              </w:rPr>
              <w:t>0分</w:t>
            </w:r>
          </w:p>
        </w:tc>
        <w:tc>
          <w:tcPr>
            <w:tcW w:w="5670" w:type="dxa"/>
            <w:vAlign w:val="center"/>
          </w:tcPr>
          <w:p>
            <w:pPr>
              <w:spacing w:line="360" w:lineRule="auto"/>
              <w:rPr>
                <w:rFonts w:ascii="宋体" w:hAnsi="宋体" w:cs="仿宋_GB2312"/>
                <w:szCs w:val="21"/>
              </w:rPr>
            </w:pPr>
            <w:r>
              <w:rPr>
                <w:rFonts w:hint="eastAsia" w:ascii="宋体" w:hAnsi="宋体" w:cs="仿宋_GB2312"/>
                <w:szCs w:val="21"/>
              </w:rPr>
              <w:t>满足招标文件要求且报价最低的投标报价为评标基准价，其价格分为满分</w:t>
            </w:r>
            <w:r>
              <w:rPr>
                <w:rFonts w:hint="eastAsia" w:ascii="宋体" w:hAnsi="宋体" w:cs="仿宋_GB2312"/>
                <w:b w:val="0"/>
                <w:bCs w:val="0"/>
                <w:szCs w:val="21"/>
                <w:lang w:val="en-US" w:eastAsia="zh-CN"/>
              </w:rPr>
              <w:t>3</w:t>
            </w:r>
            <w:r>
              <w:rPr>
                <w:rFonts w:hint="eastAsia" w:ascii="宋体" w:hAnsi="宋体" w:cs="仿宋_GB2312"/>
                <w:b w:val="0"/>
                <w:bCs w:val="0"/>
                <w:szCs w:val="21"/>
              </w:rPr>
              <w:t>0分</w:t>
            </w:r>
            <w:r>
              <w:rPr>
                <w:rFonts w:hint="eastAsia" w:ascii="宋体" w:hAnsi="宋体" w:cs="仿宋_GB2312"/>
                <w:szCs w:val="21"/>
              </w:rPr>
              <w:t>。</w:t>
            </w:r>
          </w:p>
          <w:p>
            <w:pPr>
              <w:spacing w:line="360" w:lineRule="auto"/>
              <w:rPr>
                <w:rFonts w:ascii="宋体" w:hAnsi="宋体" w:cs="仿宋_GB2312"/>
                <w:szCs w:val="21"/>
              </w:rPr>
            </w:pPr>
            <w:r>
              <w:rPr>
                <w:rFonts w:hint="eastAsia" w:ascii="宋体" w:hAnsi="宋体" w:cs="仿宋_GB2312"/>
                <w:szCs w:val="21"/>
              </w:rPr>
              <w:t>报价得分=（评标基准价/投标报价）*价格分（</w:t>
            </w:r>
            <w:r>
              <w:rPr>
                <w:rFonts w:hint="eastAsia" w:ascii="宋体" w:hAnsi="宋体" w:cs="仿宋_GB2312"/>
                <w:szCs w:val="21"/>
                <w:lang w:val="en-US" w:eastAsia="zh-CN"/>
              </w:rPr>
              <w:t>3</w:t>
            </w:r>
            <w:r>
              <w:rPr>
                <w:rFonts w:hint="eastAsia" w:ascii="宋体" w:hAnsi="宋体" w:cs="仿宋_GB2312"/>
                <w:szCs w:val="21"/>
              </w:rPr>
              <w:t>0）</w:t>
            </w:r>
          </w:p>
          <w:p>
            <w:pPr>
              <w:spacing w:line="360" w:lineRule="auto"/>
              <w:rPr>
                <w:rFonts w:ascii="宋体" w:hAnsi="宋体" w:cs="仿宋_GB2312"/>
                <w:szCs w:val="21"/>
              </w:rPr>
            </w:pPr>
            <w:r>
              <w:rPr>
                <w:rFonts w:hint="eastAsia" w:ascii="宋体" w:hAnsi="宋体" w:cs="仿宋_GB2312"/>
                <w:szCs w:val="21"/>
              </w:rPr>
              <w:t>根据《政府采购促进中小企业发展暂行办法》、《财政部 司法部关于政府采购支持监狱企业发展有关问题的通知》及《三部门联合发布关于促进残疾人就业政府采购政策的通知》的相关规定，对小型、微型企业、监狱企业及残疾人福利性单位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trPr>
        <w:tc>
          <w:tcPr>
            <w:tcW w:w="1951" w:type="dxa"/>
            <w:vMerge w:val="restart"/>
            <w:vAlign w:val="center"/>
          </w:tcPr>
          <w:p>
            <w:pPr>
              <w:spacing w:line="360" w:lineRule="auto"/>
              <w:jc w:val="center"/>
              <w:rPr>
                <w:rFonts w:hint="eastAsia" w:ascii="宋体" w:hAnsi="宋体" w:cs="仿宋_GB2312"/>
                <w:szCs w:val="21"/>
              </w:rPr>
            </w:pPr>
            <w:r>
              <w:rPr>
                <w:rFonts w:hint="eastAsia" w:ascii="宋体" w:hAnsi="宋体" w:cs="仿宋_GB2312"/>
                <w:szCs w:val="21"/>
                <w:lang w:val="en-US" w:eastAsia="zh-CN"/>
              </w:rPr>
              <w:t>项目技术</w:t>
            </w:r>
            <w:r>
              <w:rPr>
                <w:rFonts w:hint="eastAsia" w:ascii="宋体" w:hAnsi="宋体" w:cs="仿宋_GB2312"/>
                <w:szCs w:val="21"/>
              </w:rPr>
              <w:t>方案</w:t>
            </w:r>
          </w:p>
          <w:p>
            <w:pPr>
              <w:spacing w:line="360" w:lineRule="auto"/>
              <w:jc w:val="center"/>
              <w:rPr>
                <w:rFonts w:hint="eastAsia" w:ascii="宋体" w:hAnsi="宋体" w:eastAsia="宋体" w:cs="仿宋_GB2312"/>
                <w:szCs w:val="21"/>
                <w:lang w:eastAsia="zh-CN"/>
              </w:rPr>
            </w:pPr>
            <w:r>
              <w:rPr>
                <w:rFonts w:hint="eastAsia" w:ascii="宋体" w:hAnsi="宋体" w:cs="仿宋_GB2312"/>
                <w:szCs w:val="21"/>
                <w:lang w:eastAsia="zh-CN"/>
              </w:rPr>
              <w:t>（</w:t>
            </w:r>
            <w:r>
              <w:rPr>
                <w:rFonts w:hint="eastAsia" w:ascii="宋体" w:hAnsi="宋体" w:cs="仿宋_GB2312"/>
                <w:szCs w:val="21"/>
                <w:lang w:val="en-US" w:eastAsia="zh-CN"/>
              </w:rPr>
              <w:t>60分</w:t>
            </w:r>
            <w:r>
              <w:rPr>
                <w:rFonts w:hint="eastAsia" w:ascii="宋体" w:hAnsi="宋体" w:cs="仿宋_GB2312"/>
                <w:szCs w:val="21"/>
                <w:lang w:eastAsia="zh-CN"/>
              </w:rPr>
              <w:t>）</w:t>
            </w:r>
          </w:p>
        </w:tc>
        <w:tc>
          <w:tcPr>
            <w:tcW w:w="1134" w:type="dxa"/>
            <w:vAlign w:val="center"/>
          </w:tcPr>
          <w:p>
            <w:pPr>
              <w:spacing w:line="360" w:lineRule="auto"/>
              <w:jc w:val="center"/>
              <w:rPr>
                <w:rFonts w:hint="default" w:ascii="宋体" w:hAnsi="宋体" w:eastAsia="宋体" w:cs="仿宋_GB2312"/>
                <w:szCs w:val="21"/>
                <w:lang w:val="en-US" w:eastAsia="zh-CN"/>
              </w:rPr>
            </w:pPr>
            <w:r>
              <w:rPr>
                <w:rFonts w:hint="eastAsia" w:ascii="宋体" w:hAnsi="宋体" w:cs="仿宋_GB2312"/>
                <w:szCs w:val="21"/>
                <w:lang w:val="en-US" w:eastAsia="zh-CN"/>
              </w:rPr>
              <w:t>20分</w:t>
            </w:r>
          </w:p>
        </w:tc>
        <w:tc>
          <w:tcPr>
            <w:tcW w:w="5670" w:type="dxa"/>
            <w:vAlign w:val="center"/>
          </w:tcPr>
          <w:p>
            <w:pPr>
              <w:bidi w:val="0"/>
              <w:spacing w:line="360" w:lineRule="auto"/>
              <w:rPr>
                <w:rFonts w:hint="eastAsia"/>
                <w:highlight w:val="none"/>
                <w:lang w:val="en-US" w:eastAsia="zh-CN"/>
              </w:rPr>
            </w:pPr>
            <w:r>
              <w:rPr>
                <w:rFonts w:hint="eastAsia"/>
                <w:b/>
                <w:bCs/>
                <w:lang w:val="en-US" w:eastAsia="zh-CN"/>
              </w:rPr>
              <w:t>实施方案：</w:t>
            </w:r>
            <w:r>
              <w:rPr>
                <w:rFonts w:hint="eastAsia"/>
                <w:highlight w:val="none"/>
                <w:lang w:val="en-US" w:eastAsia="zh-CN"/>
              </w:rPr>
              <w:t>根据项目实施方案可行性、完善性计分。</w:t>
            </w:r>
          </w:p>
          <w:p>
            <w:pPr>
              <w:bidi w:val="0"/>
              <w:spacing w:line="360" w:lineRule="auto"/>
              <w:rPr>
                <w:rFonts w:hint="eastAsia" w:eastAsia="宋体"/>
                <w:lang w:eastAsia="zh-CN"/>
              </w:rPr>
            </w:pPr>
            <w:r>
              <w:rPr>
                <w:rFonts w:hint="eastAsia" w:ascii="宋体" w:hAnsi="宋体" w:eastAsia="宋体" w:cs="宋体"/>
                <w:color w:val="000000"/>
                <w:kern w:val="0"/>
                <w:szCs w:val="21"/>
                <w:lang w:val="en-US" w:eastAsia="zh-CN"/>
              </w:rPr>
              <w:t>1、</w:t>
            </w:r>
            <w:r>
              <w:rPr>
                <w:rFonts w:hint="eastAsia" w:ascii="宋体" w:hAnsi="宋体" w:cs="宋体"/>
                <w:color w:val="000000"/>
                <w:kern w:val="0"/>
                <w:szCs w:val="21"/>
                <w:lang w:val="en-US" w:eastAsia="zh-CN"/>
              </w:rPr>
              <w:t>实施方案及步骤 （0-6分）2、</w:t>
            </w:r>
            <w:r>
              <w:rPr>
                <w:rFonts w:hint="eastAsia" w:ascii="宋体" w:hAnsi="宋体" w:eastAsia="宋体" w:cs="宋体"/>
                <w:color w:val="000000"/>
                <w:kern w:val="0"/>
                <w:szCs w:val="21"/>
                <w:lang w:val="en-US" w:eastAsia="zh-CN"/>
              </w:rPr>
              <w:t>质量保证措施（0-</w:t>
            </w:r>
            <w:r>
              <w:rPr>
                <w:rFonts w:hint="eastAsia" w:ascii="宋体" w:hAnsi="宋体" w:cs="宋体"/>
                <w:color w:val="000000"/>
                <w:kern w:val="0"/>
                <w:szCs w:val="21"/>
                <w:lang w:val="en-US" w:eastAsia="zh-CN"/>
              </w:rPr>
              <w:t>3</w:t>
            </w:r>
            <w:r>
              <w:rPr>
                <w:rFonts w:hint="eastAsia" w:ascii="宋体" w:hAnsi="宋体" w:eastAsia="宋体" w:cs="宋体"/>
                <w:color w:val="000000"/>
                <w:kern w:val="0"/>
                <w:szCs w:val="21"/>
                <w:lang w:val="en-US" w:eastAsia="zh-CN"/>
              </w:rPr>
              <w:t>分）</w:t>
            </w:r>
            <w:r>
              <w:rPr>
                <w:rFonts w:hint="eastAsia" w:ascii="宋体" w:hAnsi="宋体" w:cs="宋体"/>
                <w:color w:val="000000"/>
                <w:kern w:val="0"/>
                <w:szCs w:val="21"/>
                <w:lang w:val="en-US" w:eastAsia="zh-CN"/>
              </w:rPr>
              <w:t>3</w:t>
            </w:r>
            <w:r>
              <w:rPr>
                <w:rFonts w:hint="eastAsia" w:ascii="宋体" w:hAnsi="宋体" w:eastAsia="宋体" w:cs="宋体"/>
                <w:color w:val="000000"/>
                <w:kern w:val="0"/>
                <w:szCs w:val="21"/>
                <w:lang w:val="en-US" w:eastAsia="zh-CN"/>
              </w:rPr>
              <w:t>、工期保证措施（0-</w:t>
            </w:r>
            <w:r>
              <w:rPr>
                <w:rFonts w:hint="eastAsia" w:ascii="宋体" w:hAnsi="宋体" w:cs="宋体"/>
                <w:color w:val="000000"/>
                <w:kern w:val="0"/>
                <w:szCs w:val="21"/>
                <w:lang w:val="en-US" w:eastAsia="zh-CN"/>
              </w:rPr>
              <w:t>2</w:t>
            </w:r>
            <w:r>
              <w:rPr>
                <w:rFonts w:hint="eastAsia" w:ascii="宋体" w:hAnsi="宋体" w:eastAsia="宋体" w:cs="宋体"/>
                <w:color w:val="000000"/>
                <w:kern w:val="0"/>
                <w:szCs w:val="21"/>
                <w:lang w:val="en-US" w:eastAsia="zh-CN"/>
              </w:rPr>
              <w:t>分）</w:t>
            </w:r>
            <w:r>
              <w:rPr>
                <w:rFonts w:hint="eastAsia" w:ascii="宋体" w:hAnsi="宋体" w:cs="宋体"/>
                <w:color w:val="000000"/>
                <w:kern w:val="0"/>
                <w:szCs w:val="21"/>
                <w:lang w:val="en-US" w:eastAsia="zh-CN"/>
              </w:rPr>
              <w:t>4</w:t>
            </w:r>
            <w:r>
              <w:rPr>
                <w:rFonts w:hint="eastAsia" w:ascii="宋体" w:hAnsi="宋体" w:eastAsia="宋体" w:cs="宋体"/>
                <w:color w:val="000000"/>
                <w:kern w:val="0"/>
                <w:szCs w:val="21"/>
                <w:lang w:val="en-US" w:eastAsia="zh-CN"/>
              </w:rPr>
              <w:t>、安全保证措施（0-</w:t>
            </w:r>
            <w:r>
              <w:rPr>
                <w:rFonts w:hint="eastAsia" w:ascii="宋体" w:hAnsi="宋体" w:cs="宋体"/>
                <w:color w:val="000000"/>
                <w:kern w:val="0"/>
                <w:szCs w:val="21"/>
                <w:lang w:val="en-US" w:eastAsia="zh-CN"/>
              </w:rPr>
              <w:t>2</w:t>
            </w:r>
            <w:r>
              <w:rPr>
                <w:rFonts w:hint="eastAsia" w:ascii="宋体" w:hAnsi="宋体" w:eastAsia="宋体" w:cs="宋体"/>
                <w:color w:val="000000"/>
                <w:kern w:val="0"/>
                <w:szCs w:val="21"/>
                <w:lang w:val="en-US" w:eastAsia="zh-CN"/>
              </w:rPr>
              <w:t>分）、</w:t>
            </w:r>
            <w:r>
              <w:rPr>
                <w:rFonts w:hint="eastAsia" w:ascii="宋体" w:hAnsi="宋体" w:cs="宋体"/>
                <w:color w:val="000000"/>
                <w:kern w:val="0"/>
                <w:szCs w:val="21"/>
                <w:lang w:val="en-US" w:eastAsia="zh-CN"/>
              </w:rPr>
              <w:t>5、</w:t>
            </w:r>
            <w:r>
              <w:rPr>
                <w:rFonts w:hint="eastAsia" w:ascii="宋体" w:hAnsi="宋体" w:eastAsia="宋体" w:cs="宋体"/>
                <w:color w:val="000000"/>
                <w:kern w:val="0"/>
                <w:szCs w:val="21"/>
                <w:lang w:val="en-US" w:eastAsia="zh-CN"/>
              </w:rPr>
              <w:t>项目管理团队、人员配置保证措施（0-</w:t>
            </w:r>
            <w:r>
              <w:rPr>
                <w:rFonts w:hint="eastAsia" w:ascii="宋体" w:hAnsi="宋体" w:cs="宋体"/>
                <w:color w:val="000000"/>
                <w:kern w:val="0"/>
                <w:szCs w:val="21"/>
                <w:lang w:val="en-US" w:eastAsia="zh-CN"/>
              </w:rPr>
              <w:t>2</w:t>
            </w:r>
            <w:r>
              <w:rPr>
                <w:rFonts w:hint="eastAsia" w:ascii="宋体" w:hAnsi="宋体" w:eastAsia="宋体" w:cs="宋体"/>
                <w:color w:val="000000"/>
                <w:kern w:val="0"/>
                <w:szCs w:val="21"/>
                <w:lang w:val="en-US" w:eastAsia="zh-CN"/>
              </w:rPr>
              <w:t>分）</w:t>
            </w:r>
            <w:r>
              <w:rPr>
                <w:rFonts w:hint="eastAsia" w:ascii="宋体" w:hAnsi="宋体" w:cs="宋体"/>
                <w:color w:val="000000"/>
                <w:kern w:val="0"/>
                <w:szCs w:val="21"/>
                <w:lang w:val="en-US" w:eastAsia="zh-CN"/>
              </w:rPr>
              <w:t>6</w:t>
            </w:r>
            <w:r>
              <w:rPr>
                <w:rFonts w:hint="eastAsia" w:ascii="宋体" w:hAnsi="宋体" w:eastAsia="宋体" w:cs="宋体"/>
                <w:color w:val="000000"/>
                <w:kern w:val="0"/>
                <w:szCs w:val="21"/>
                <w:lang w:val="en-US" w:eastAsia="zh-CN"/>
              </w:rPr>
              <w:t>、安装调试方案及措施（0-</w:t>
            </w:r>
            <w:r>
              <w:rPr>
                <w:rFonts w:hint="eastAsia" w:ascii="宋体" w:hAnsi="宋体" w:cs="宋体"/>
                <w:color w:val="000000"/>
                <w:kern w:val="0"/>
                <w:szCs w:val="21"/>
                <w:lang w:val="en-US" w:eastAsia="zh-CN"/>
              </w:rPr>
              <w:t>3分</w:t>
            </w:r>
            <w:r>
              <w:rPr>
                <w:rFonts w:hint="eastAsia" w:ascii="宋体" w:hAnsi="宋体" w:eastAsia="宋体" w:cs="宋体"/>
                <w:color w:val="000000"/>
                <w:kern w:val="0"/>
                <w:szCs w:val="21"/>
                <w:lang w:val="en-US" w:eastAsia="zh-CN"/>
              </w:rPr>
              <w:t>）</w:t>
            </w:r>
            <w:r>
              <w:rPr>
                <w:rFonts w:hint="eastAsia" w:ascii="宋体" w:hAnsi="宋体" w:cs="宋体"/>
                <w:color w:val="000000"/>
                <w:kern w:val="0"/>
                <w:szCs w:val="21"/>
                <w:lang w:val="en-US" w:eastAsia="zh-CN"/>
              </w:rPr>
              <w:t>7</w:t>
            </w:r>
            <w:r>
              <w:rPr>
                <w:rFonts w:hint="eastAsia" w:ascii="宋体" w:hAnsi="宋体" w:eastAsia="宋体" w:cs="宋体"/>
                <w:color w:val="000000"/>
                <w:kern w:val="0"/>
                <w:szCs w:val="21"/>
                <w:lang w:val="en-US" w:eastAsia="zh-CN"/>
              </w:rPr>
              <w:t>、不可预见因素的预测和解决方案（0-</w:t>
            </w:r>
            <w:r>
              <w:rPr>
                <w:rFonts w:hint="eastAsia" w:ascii="宋体" w:hAnsi="宋体" w:cs="宋体"/>
                <w:color w:val="000000"/>
                <w:kern w:val="0"/>
                <w:szCs w:val="21"/>
                <w:lang w:val="en-US" w:eastAsia="zh-CN"/>
              </w:rPr>
              <w:t>2</w:t>
            </w:r>
            <w:r>
              <w:rPr>
                <w:rFonts w:hint="eastAsia" w:ascii="宋体" w:hAnsi="宋体" w:eastAsia="宋体" w:cs="宋体"/>
                <w:color w:val="000000"/>
                <w:kern w:val="0"/>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951" w:type="dxa"/>
            <w:vMerge w:val="continue"/>
            <w:vAlign w:val="center"/>
          </w:tcPr>
          <w:p>
            <w:pPr>
              <w:spacing w:line="360" w:lineRule="auto"/>
              <w:jc w:val="center"/>
              <w:rPr>
                <w:rFonts w:hint="eastAsia" w:ascii="宋体" w:hAnsi="宋体" w:cs="仿宋_GB2312"/>
                <w:szCs w:val="21"/>
              </w:rPr>
            </w:pPr>
          </w:p>
        </w:tc>
        <w:tc>
          <w:tcPr>
            <w:tcW w:w="1134" w:type="dxa"/>
            <w:vAlign w:val="center"/>
          </w:tcPr>
          <w:p>
            <w:pPr>
              <w:spacing w:line="360" w:lineRule="auto"/>
              <w:jc w:val="center"/>
              <w:rPr>
                <w:rFonts w:hint="default" w:ascii="宋体" w:hAnsi="宋体" w:cs="仿宋_GB2312"/>
                <w:szCs w:val="21"/>
                <w:lang w:val="en-US" w:eastAsia="zh-CN"/>
              </w:rPr>
            </w:pPr>
            <w:r>
              <w:rPr>
                <w:rFonts w:hint="eastAsia" w:ascii="宋体" w:hAnsi="宋体" w:cs="仿宋_GB2312"/>
                <w:szCs w:val="21"/>
                <w:lang w:val="en-US" w:eastAsia="zh-CN"/>
              </w:rPr>
              <w:t>15分</w:t>
            </w:r>
          </w:p>
        </w:tc>
        <w:tc>
          <w:tcPr>
            <w:tcW w:w="5670" w:type="dxa"/>
            <w:vAlign w:val="center"/>
          </w:tcPr>
          <w:p>
            <w:pPr>
              <w:bidi w:val="0"/>
              <w:spacing w:line="360" w:lineRule="auto"/>
              <w:rPr>
                <w:rFonts w:hint="eastAsia" w:ascii="宋体" w:hAnsi="宋体" w:eastAsia="宋体" w:cs="宋体"/>
                <w:szCs w:val="21"/>
              </w:rPr>
            </w:pPr>
            <w:r>
              <w:rPr>
                <w:rFonts w:hint="eastAsia" w:ascii="宋体" w:hAnsi="宋体" w:eastAsia="宋体" w:cs="宋体"/>
                <w:b/>
                <w:bCs/>
                <w:color w:val="000000"/>
                <w:kern w:val="0"/>
                <w:szCs w:val="21"/>
                <w:highlight w:val="none"/>
              </w:rPr>
              <w:t>软件功能响应</w:t>
            </w:r>
            <w:r>
              <w:rPr>
                <w:rFonts w:hint="eastAsia" w:ascii="宋体" w:hAnsi="宋体" w:eastAsia="宋体" w:cs="宋体"/>
                <w:b/>
                <w:bCs/>
                <w:color w:val="000000"/>
                <w:kern w:val="0"/>
                <w:szCs w:val="21"/>
                <w:highlight w:val="none"/>
                <w:lang w:eastAsia="zh-CN"/>
              </w:rPr>
              <w:t>：</w:t>
            </w:r>
            <w:r>
              <w:rPr>
                <w:rFonts w:hint="eastAsia" w:ascii="宋体" w:hAnsi="宋体" w:eastAsia="宋体" w:cs="宋体"/>
                <w:color w:val="000000"/>
                <w:kern w:val="0"/>
                <w:szCs w:val="21"/>
              </w:rPr>
              <w:t>根据采购人需求，对投标人提供的系统解决方案进行综合评审。投标方案中软件平台有详细的使用说明介绍，技术指标满足招标文件要求及用户实际使用需求且技术资料齐全，并能提供</w:t>
            </w:r>
            <w:r>
              <w:rPr>
                <w:rFonts w:hint="eastAsia" w:ascii="宋体" w:hAnsi="宋体" w:eastAsia="宋体" w:cs="宋体"/>
                <w:color w:val="000000"/>
                <w:kern w:val="0"/>
                <w:szCs w:val="21"/>
                <w:highlight w:val="none"/>
              </w:rPr>
              <w:t>生产厂家出</w:t>
            </w:r>
            <w:r>
              <w:rPr>
                <w:rFonts w:hint="eastAsia" w:ascii="宋体" w:hAnsi="宋体" w:eastAsia="宋体" w:cs="宋体"/>
                <w:color w:val="000000"/>
                <w:kern w:val="0"/>
                <w:szCs w:val="21"/>
              </w:rPr>
              <w:t>具的、响应的功能证明材料（包括但不限于软件著作权、官网和功能截图、彩页、说明书等相关资料）</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highlight w:val="none"/>
              </w:rPr>
              <w:t>根据响应程度</w:t>
            </w:r>
            <w:r>
              <w:rPr>
                <w:rFonts w:hint="eastAsia" w:ascii="宋体" w:hAnsi="宋体" w:cs="宋体"/>
                <w:color w:val="000000"/>
                <w:kern w:val="0"/>
                <w:szCs w:val="21"/>
                <w:highlight w:val="none"/>
                <w:lang w:val="en-US" w:eastAsia="zh-CN"/>
              </w:rPr>
              <w:t>横向比较，</w:t>
            </w:r>
            <w:r>
              <w:rPr>
                <w:rFonts w:hint="eastAsia" w:ascii="宋体" w:hAnsi="宋体" w:eastAsia="宋体" w:cs="宋体"/>
                <w:color w:val="000000"/>
                <w:kern w:val="0"/>
                <w:szCs w:val="21"/>
                <w:highlight w:val="none"/>
                <w:lang w:val="en-US" w:eastAsia="zh-CN"/>
              </w:rPr>
              <w:t>一般计0-5分，良计6-10分，优计11-15分。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951" w:type="dxa"/>
            <w:vMerge w:val="continue"/>
            <w:vAlign w:val="center"/>
          </w:tcPr>
          <w:p>
            <w:pPr>
              <w:spacing w:line="360" w:lineRule="auto"/>
              <w:jc w:val="center"/>
              <w:rPr>
                <w:rFonts w:hint="eastAsia" w:ascii="宋体" w:hAnsi="宋体" w:cs="仿宋_GB2312"/>
                <w:szCs w:val="21"/>
              </w:rPr>
            </w:pPr>
          </w:p>
        </w:tc>
        <w:tc>
          <w:tcPr>
            <w:tcW w:w="1134" w:type="dxa"/>
            <w:vAlign w:val="center"/>
          </w:tcPr>
          <w:p>
            <w:pPr>
              <w:spacing w:line="360" w:lineRule="auto"/>
              <w:jc w:val="center"/>
              <w:rPr>
                <w:rFonts w:hint="default" w:ascii="宋体" w:hAnsi="宋体" w:cs="仿宋_GB2312"/>
                <w:szCs w:val="21"/>
                <w:lang w:val="en-US" w:eastAsia="zh-CN"/>
              </w:rPr>
            </w:pPr>
            <w:r>
              <w:rPr>
                <w:rFonts w:hint="eastAsia" w:ascii="宋体" w:hAnsi="宋体" w:cs="仿宋_GB2312"/>
                <w:szCs w:val="21"/>
                <w:lang w:val="en-US" w:eastAsia="zh-CN"/>
              </w:rPr>
              <w:t>15分</w:t>
            </w:r>
          </w:p>
        </w:tc>
        <w:tc>
          <w:tcPr>
            <w:tcW w:w="5670" w:type="dxa"/>
            <w:vAlign w:val="center"/>
          </w:tcPr>
          <w:p>
            <w:pPr>
              <w:bidi w:val="0"/>
              <w:spacing w:line="360" w:lineRule="auto"/>
              <w:rPr>
                <w:rFonts w:hint="eastAsia" w:ascii="宋体" w:hAnsi="宋体" w:eastAsia="宋体" w:cs="宋体"/>
                <w:color w:val="000000" w:themeColor="text1"/>
                <w:kern w:val="0"/>
                <w:szCs w:val="21"/>
                <w:highlight w:val="none"/>
              </w:rPr>
            </w:pPr>
            <w:r>
              <w:rPr>
                <w:rFonts w:hint="eastAsia" w:ascii="宋体" w:hAnsi="宋体" w:eastAsia="宋体" w:cs="宋体"/>
                <w:b/>
                <w:bCs/>
                <w:color w:val="000000" w:themeColor="text1"/>
                <w:sz w:val="21"/>
                <w:szCs w:val="21"/>
                <w:highlight w:val="none"/>
              </w:rPr>
              <w:t>硬件设备响应</w:t>
            </w:r>
            <w:r>
              <w:rPr>
                <w:rFonts w:hint="eastAsia" w:ascii="宋体" w:hAnsi="宋体" w:eastAsia="宋体" w:cs="宋体"/>
                <w:b/>
                <w:bCs/>
                <w:color w:val="000000" w:themeColor="text1"/>
                <w:sz w:val="21"/>
                <w:szCs w:val="21"/>
                <w:highlight w:val="none"/>
                <w:lang w:eastAsia="zh-CN"/>
              </w:rPr>
              <w:t>：</w:t>
            </w:r>
            <w:r>
              <w:rPr>
                <w:rFonts w:hint="eastAsia" w:ascii="宋体" w:hAnsi="宋体" w:eastAsia="宋体" w:cs="宋体"/>
                <w:color w:val="000000" w:themeColor="text1"/>
                <w:kern w:val="0"/>
                <w:szCs w:val="21"/>
                <w:highlight w:val="none"/>
              </w:rPr>
              <w:t>1、所投核心产品生产厂家有可靠、完善的管理制度，有足够的设计、工艺、加工、检验能力，所投核心产品符合相关</w:t>
            </w:r>
            <w:r>
              <w:rPr>
                <w:rFonts w:hint="eastAsia" w:ascii="宋体" w:hAnsi="宋体" w:eastAsia="宋体" w:cs="宋体"/>
                <w:color w:val="000000" w:themeColor="text1"/>
                <w:kern w:val="0"/>
                <w:szCs w:val="21"/>
                <w:highlight w:val="none"/>
                <w:lang w:val="en-US" w:eastAsia="zh-CN"/>
              </w:rPr>
              <w:t>质量</w:t>
            </w:r>
            <w:r>
              <w:rPr>
                <w:rFonts w:hint="eastAsia" w:ascii="宋体" w:hAnsi="宋体" w:eastAsia="宋体" w:cs="宋体"/>
                <w:color w:val="000000" w:themeColor="text1"/>
                <w:kern w:val="0"/>
                <w:szCs w:val="21"/>
                <w:highlight w:val="none"/>
              </w:rPr>
              <w:t>标准，有具体可行的质量保证承诺，保证使用单位能熟练操作维护和正常使用。能提供所投核心产品的合法来源渠道证明文件（包括但不限于产品制造商授权、原厂授权等），提供产品生产厂家出具的产品检验报告、彩页、相应功能证明材料等技术佐证文件（提供复印件加盖厂商公章），根据优劣计0-5分。</w:t>
            </w:r>
          </w:p>
          <w:p>
            <w:pPr>
              <w:bidi w:val="0"/>
              <w:spacing w:line="360" w:lineRule="auto"/>
              <w:rPr>
                <w:rFonts w:hint="eastAsia" w:ascii="宋体" w:hAnsi="宋体" w:eastAsia="宋体" w:cs="宋体"/>
                <w:color w:val="000000" w:themeColor="text1"/>
                <w:kern w:val="0"/>
                <w:szCs w:val="21"/>
                <w:highlight w:val="none"/>
              </w:rPr>
            </w:pPr>
            <w:r>
              <w:rPr>
                <w:rFonts w:hint="eastAsia" w:ascii="宋体" w:hAnsi="宋体" w:eastAsia="宋体" w:cs="宋体"/>
                <w:color w:val="000000" w:themeColor="text1"/>
                <w:kern w:val="0"/>
                <w:szCs w:val="21"/>
                <w:highlight w:val="none"/>
              </w:rPr>
              <w:t>备注：核心产品为市/区县云视频终端、办公桌面终端、用电监测设备、智能数据采集运算终端、工业级环境监测设备、油烟在线监测终端。</w:t>
            </w:r>
          </w:p>
          <w:p>
            <w:pPr>
              <w:adjustRightInd w:val="0"/>
              <w:snapToGrid w:val="0"/>
              <w:spacing w:line="360" w:lineRule="auto"/>
              <w:rPr>
                <w:rFonts w:hint="eastAsia" w:ascii="宋体" w:hAnsi="宋体" w:eastAsia="宋体" w:cs="宋体"/>
                <w:color w:val="000000" w:themeColor="text1"/>
                <w:szCs w:val="21"/>
                <w:highlight w:val="none"/>
              </w:rPr>
            </w:pPr>
            <w:r>
              <w:rPr>
                <w:rFonts w:hint="eastAsia" w:ascii="宋体" w:hAnsi="宋体" w:eastAsia="宋体" w:cs="宋体"/>
                <w:color w:val="000000" w:themeColor="text1"/>
                <w:sz w:val="21"/>
                <w:szCs w:val="21"/>
                <w:highlight w:val="none"/>
              </w:rPr>
              <w:t>2、硬件设备采购需求中标注“★”号的条款根据投标人提供的技术资料，生产厂家出具的产品检验报告、彩页、相应功能证明材料（提供测试报告或官网截图或功能截图），从设备的技术指标和性能是否满足招标文件要求的程度，对所有有效投标人进行横向比较，满足参数要求得</w:t>
            </w:r>
            <w:r>
              <w:rPr>
                <w:rFonts w:hint="eastAsia" w:ascii="宋体" w:hAnsi="宋体" w:cs="宋体"/>
                <w:color w:val="000000" w:themeColor="text1"/>
                <w:sz w:val="21"/>
                <w:szCs w:val="21"/>
                <w:highlight w:val="none"/>
                <w:lang w:val="en-US" w:eastAsia="zh-CN"/>
              </w:rPr>
              <w:t>10</w:t>
            </w:r>
            <w:r>
              <w:rPr>
                <w:rFonts w:hint="eastAsia" w:ascii="宋体" w:hAnsi="宋体" w:eastAsia="宋体" w:cs="宋体"/>
                <w:color w:val="000000" w:themeColor="text1"/>
                <w:sz w:val="21"/>
                <w:szCs w:val="21"/>
                <w:highlight w:val="none"/>
              </w:rPr>
              <w:t>分，技术指标每负偏离一项扣1分,</w:t>
            </w:r>
            <w:r>
              <w:rPr>
                <w:rFonts w:hint="eastAsia" w:ascii="宋体" w:hAnsi="宋体"/>
                <w:color w:val="000000" w:themeColor="text1"/>
                <w:szCs w:val="21"/>
                <w:highlight w:val="none"/>
              </w:rPr>
              <w:t>未标*项为非实质性参数，技术指标每负偏离一项扣0.5分</w:t>
            </w:r>
            <w:r>
              <w:rPr>
                <w:rFonts w:hint="eastAsia" w:ascii="宋体" w:hAnsi="宋体"/>
                <w:color w:val="000000" w:themeColor="text1"/>
                <w:szCs w:val="21"/>
                <w:highlight w:val="none"/>
                <w:lang w:eastAsia="zh-CN"/>
              </w:rPr>
              <w:t>，</w:t>
            </w:r>
            <w:r>
              <w:rPr>
                <w:rFonts w:hint="eastAsia" w:ascii="宋体" w:hAnsi="宋体" w:eastAsia="宋体" w:cs="宋体"/>
                <w:color w:val="000000" w:themeColor="text1"/>
                <w:sz w:val="21"/>
                <w:szCs w:val="21"/>
                <w:highlight w:val="none"/>
              </w:rPr>
              <w:t>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951" w:type="dxa"/>
            <w:vMerge w:val="continue"/>
            <w:vAlign w:val="center"/>
          </w:tcPr>
          <w:p>
            <w:pPr>
              <w:spacing w:line="360" w:lineRule="auto"/>
              <w:jc w:val="center"/>
              <w:rPr>
                <w:rFonts w:hint="eastAsia" w:ascii="宋体" w:hAnsi="宋体" w:cs="仿宋_GB2312"/>
                <w:sz w:val="21"/>
                <w:szCs w:val="21"/>
              </w:rPr>
            </w:pPr>
          </w:p>
        </w:tc>
        <w:tc>
          <w:tcPr>
            <w:tcW w:w="1134" w:type="dxa"/>
            <w:vAlign w:val="center"/>
          </w:tcPr>
          <w:p>
            <w:pPr>
              <w:spacing w:line="360" w:lineRule="auto"/>
              <w:jc w:val="center"/>
              <w:rPr>
                <w:rFonts w:hint="default" w:ascii="宋体" w:hAnsi="宋体" w:cs="仿宋_GB2312"/>
                <w:sz w:val="21"/>
                <w:szCs w:val="21"/>
                <w:lang w:val="en-US" w:eastAsia="zh-CN"/>
              </w:rPr>
            </w:pPr>
            <w:r>
              <w:rPr>
                <w:rFonts w:hint="eastAsia" w:ascii="宋体" w:hAnsi="宋体" w:cs="仿宋_GB2312"/>
                <w:sz w:val="21"/>
                <w:szCs w:val="21"/>
                <w:lang w:val="en-US" w:eastAsia="zh-CN"/>
              </w:rPr>
              <w:t>10分</w:t>
            </w:r>
          </w:p>
        </w:tc>
        <w:tc>
          <w:tcPr>
            <w:tcW w:w="5670" w:type="dxa"/>
            <w:vAlign w:val="center"/>
          </w:tcPr>
          <w:p>
            <w:pPr>
              <w:bidi w:val="0"/>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运维及</w:t>
            </w:r>
            <w:r>
              <w:rPr>
                <w:rFonts w:hint="eastAsia" w:ascii="宋体" w:hAnsi="宋体" w:eastAsia="宋体" w:cs="宋体"/>
                <w:b/>
                <w:bCs/>
                <w:color w:val="000000" w:themeColor="text1"/>
                <w:sz w:val="21"/>
                <w:szCs w:val="21"/>
                <w:highlight w:val="none"/>
              </w:rPr>
              <w:t>售后服务</w:t>
            </w:r>
            <w:r>
              <w:rPr>
                <w:rFonts w:hint="eastAsia" w:ascii="宋体" w:hAnsi="宋体" w:eastAsia="宋体" w:cs="宋体"/>
                <w:b/>
                <w:bCs/>
                <w:color w:val="000000" w:themeColor="text1"/>
                <w:sz w:val="21"/>
                <w:szCs w:val="21"/>
                <w:highlight w:val="none"/>
                <w:lang w:eastAsia="zh-CN"/>
              </w:rPr>
              <w:t>：</w:t>
            </w:r>
            <w:r>
              <w:rPr>
                <w:rFonts w:hint="eastAsia" w:ascii="宋体" w:hAnsi="宋体" w:eastAsia="宋体" w:cs="宋体"/>
                <w:b w:val="0"/>
                <w:bCs w:val="0"/>
                <w:color w:val="000000" w:themeColor="text1"/>
                <w:sz w:val="21"/>
                <w:szCs w:val="21"/>
                <w:highlight w:val="none"/>
              </w:rPr>
              <w:t>服务方案详细、具体、可行（包括投标人售后服务网点设定</w:t>
            </w:r>
            <w:r>
              <w:rPr>
                <w:rFonts w:hint="eastAsia" w:ascii="宋体" w:hAnsi="宋体" w:cs="宋体"/>
                <w:b w:val="0"/>
                <w:bCs w:val="0"/>
                <w:color w:val="000000" w:themeColor="text1"/>
                <w:sz w:val="21"/>
                <w:szCs w:val="21"/>
                <w:highlight w:val="none"/>
                <w:lang w:val="en-US" w:eastAsia="zh-CN"/>
              </w:rPr>
              <w:t>的便利性</w:t>
            </w:r>
            <w:r>
              <w:rPr>
                <w:rFonts w:hint="eastAsia" w:ascii="宋体" w:hAnsi="宋体" w:eastAsia="宋体" w:cs="宋体"/>
                <w:b w:val="0"/>
                <w:bCs w:val="0"/>
                <w:color w:val="000000" w:themeColor="text1"/>
                <w:sz w:val="21"/>
                <w:szCs w:val="21"/>
                <w:highlight w:val="none"/>
              </w:rPr>
              <w:t>、拟投入售后服务人员配置情况、项目交付用户后出现故障响应时间等）</w:t>
            </w:r>
            <w:r>
              <w:rPr>
                <w:rFonts w:hint="eastAsia" w:ascii="宋体" w:hAnsi="宋体" w:eastAsia="宋体" w:cs="宋体"/>
                <w:b w:val="0"/>
                <w:bCs w:val="0"/>
                <w:color w:val="000000" w:themeColor="text1"/>
                <w:sz w:val="21"/>
                <w:szCs w:val="21"/>
                <w:highlight w:val="none"/>
                <w:lang w:eastAsia="zh-CN"/>
              </w:rPr>
              <w:t>，</w:t>
            </w:r>
            <w:r>
              <w:rPr>
                <w:rFonts w:ascii="宋体" w:hAnsi="宋体" w:eastAsia="宋体" w:cs="宋体"/>
                <w:b w:val="0"/>
                <w:bCs w:val="0"/>
                <w:color w:val="000000" w:themeColor="text1"/>
                <w:sz w:val="21"/>
                <w:szCs w:val="21"/>
                <w:highlight w:val="none"/>
              </w:rPr>
              <w:t>服务承诺及保证措施详细、具体，备品备件及耗材情况明确</w:t>
            </w:r>
            <w:r>
              <w:rPr>
                <w:rFonts w:hint="eastAsia" w:ascii="宋体" w:hAnsi="宋体" w:eastAsia="宋体" w:cs="宋体"/>
                <w:b w:val="0"/>
                <w:bCs w:val="0"/>
                <w:color w:val="000000" w:themeColor="text1"/>
                <w:sz w:val="21"/>
                <w:szCs w:val="21"/>
                <w:highlight w:val="none"/>
                <w:lang w:eastAsia="zh-CN"/>
              </w:rPr>
              <w:t>，</w:t>
            </w:r>
            <w:r>
              <w:rPr>
                <w:rFonts w:ascii="宋体" w:hAnsi="宋体" w:eastAsia="宋体" w:cs="宋体"/>
                <w:b w:val="0"/>
                <w:bCs w:val="0"/>
                <w:color w:val="000000" w:themeColor="text1"/>
                <w:sz w:val="21"/>
                <w:szCs w:val="21"/>
                <w:highlight w:val="none"/>
              </w:rPr>
              <w:t>提供详尽的培训方案及培训计划，并列出培训的具体内容及方式，确保使用人员能够独立操作，并进行简单故障排查处理</w:t>
            </w:r>
            <w:r>
              <w:rPr>
                <w:rFonts w:hint="eastAsia" w:ascii="宋体" w:hAnsi="宋体" w:eastAsia="宋体" w:cs="宋体"/>
                <w:b w:val="0"/>
                <w:bCs w:val="0"/>
                <w:color w:val="000000" w:themeColor="text1"/>
                <w:sz w:val="21"/>
                <w:szCs w:val="21"/>
                <w:highlight w:val="none"/>
                <w:lang w:eastAsia="zh-CN"/>
              </w:rPr>
              <w:t>，</w:t>
            </w:r>
            <w:r>
              <w:rPr>
                <w:rFonts w:hint="eastAsia" w:ascii="宋体" w:hAnsi="宋体" w:eastAsia="宋体" w:cs="宋体"/>
                <w:b w:val="0"/>
                <w:bCs w:val="0"/>
                <w:color w:val="000000" w:themeColor="text1"/>
                <w:kern w:val="0"/>
                <w:sz w:val="21"/>
                <w:szCs w:val="21"/>
                <w:highlight w:val="none"/>
              </w:rPr>
              <w:t>根据响应程度</w:t>
            </w:r>
            <w:r>
              <w:rPr>
                <w:rFonts w:hint="eastAsia" w:ascii="宋体" w:hAnsi="宋体" w:eastAsia="宋体" w:cs="楷体"/>
                <w:b w:val="0"/>
                <w:bCs w:val="0"/>
                <w:color w:val="000000" w:themeColor="text1"/>
                <w:sz w:val="21"/>
                <w:szCs w:val="21"/>
                <w:highlight w:val="none"/>
              </w:rPr>
              <w:t>计0-</w:t>
            </w:r>
            <w:r>
              <w:rPr>
                <w:rFonts w:hint="eastAsia" w:ascii="宋体" w:hAnsi="宋体" w:eastAsia="宋体" w:cs="楷体"/>
                <w:b w:val="0"/>
                <w:bCs w:val="0"/>
                <w:color w:val="000000" w:themeColor="text1"/>
                <w:sz w:val="21"/>
                <w:szCs w:val="21"/>
                <w:highlight w:val="none"/>
                <w:lang w:val="en-US" w:eastAsia="zh-CN"/>
              </w:rPr>
              <w:t>10</w:t>
            </w:r>
            <w:r>
              <w:rPr>
                <w:rFonts w:hint="eastAsia" w:ascii="宋体" w:hAnsi="宋体" w:eastAsia="宋体" w:cs="楷体"/>
                <w:b w:val="0"/>
                <w:bCs w:val="0"/>
                <w:color w:val="000000" w:themeColor="text1"/>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951" w:type="dxa"/>
            <w:vAlign w:val="center"/>
          </w:tcPr>
          <w:p>
            <w:pPr>
              <w:spacing w:line="360" w:lineRule="auto"/>
              <w:jc w:val="center"/>
              <w:rPr>
                <w:rFonts w:hint="eastAsia" w:ascii="宋体" w:hAnsi="宋体" w:cs="宋体"/>
                <w:b w:val="0"/>
                <w:bCs w:val="0"/>
                <w:color w:val="000000"/>
                <w:kern w:val="0"/>
                <w:sz w:val="21"/>
                <w:szCs w:val="21"/>
                <w:highlight w:val="none"/>
                <w:lang w:val="en-US" w:eastAsia="zh-CN"/>
              </w:rPr>
            </w:pPr>
            <w:bookmarkStart w:id="343" w:name="_GoBack"/>
            <w:r>
              <w:rPr>
                <w:rFonts w:hint="eastAsia" w:ascii="宋体" w:hAnsi="宋体" w:cs="宋体"/>
                <w:b w:val="0"/>
                <w:bCs w:val="0"/>
                <w:color w:val="000000"/>
                <w:kern w:val="0"/>
                <w:sz w:val="21"/>
                <w:szCs w:val="21"/>
                <w:highlight w:val="none"/>
                <w:lang w:val="en-US" w:eastAsia="zh-CN"/>
              </w:rPr>
              <w:t>综合实力</w:t>
            </w:r>
          </w:p>
          <w:bookmarkEnd w:id="343"/>
          <w:p>
            <w:pPr>
              <w:spacing w:line="360" w:lineRule="auto"/>
              <w:jc w:val="center"/>
              <w:rPr>
                <w:rFonts w:hint="default" w:ascii="宋体" w:hAnsi="宋体" w:eastAsia="宋体" w:cs="仿宋_GB2312"/>
                <w:sz w:val="21"/>
                <w:szCs w:val="21"/>
                <w:lang w:val="en-US" w:eastAsia="zh-CN"/>
              </w:rPr>
            </w:pPr>
            <w:r>
              <w:rPr>
                <w:rFonts w:hint="eastAsia" w:ascii="宋体" w:hAnsi="宋体" w:cs="仿宋_GB2312"/>
                <w:sz w:val="21"/>
                <w:szCs w:val="21"/>
                <w:lang w:eastAsia="zh-CN"/>
              </w:rPr>
              <w:t>（</w:t>
            </w:r>
            <w:r>
              <w:rPr>
                <w:rFonts w:hint="eastAsia" w:ascii="宋体" w:hAnsi="宋体" w:cs="仿宋_GB2312"/>
                <w:sz w:val="21"/>
                <w:szCs w:val="21"/>
                <w:lang w:val="en-US" w:eastAsia="zh-CN"/>
              </w:rPr>
              <w:t>10分</w:t>
            </w:r>
            <w:r>
              <w:rPr>
                <w:rFonts w:hint="eastAsia" w:ascii="宋体" w:hAnsi="宋体" w:cs="仿宋_GB2312"/>
                <w:sz w:val="21"/>
                <w:szCs w:val="21"/>
                <w:lang w:eastAsia="zh-CN"/>
              </w:rPr>
              <w:t>）</w:t>
            </w:r>
          </w:p>
        </w:tc>
        <w:tc>
          <w:tcPr>
            <w:tcW w:w="1134" w:type="dxa"/>
            <w:vAlign w:val="center"/>
          </w:tcPr>
          <w:p>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cs="仿宋_GB2312"/>
                <w:sz w:val="21"/>
                <w:szCs w:val="21"/>
                <w:lang w:val="en-US" w:eastAsia="zh-CN"/>
              </w:rPr>
              <w:t>10分</w:t>
            </w:r>
          </w:p>
        </w:tc>
        <w:tc>
          <w:tcPr>
            <w:tcW w:w="5670" w:type="dxa"/>
            <w:vAlign w:val="center"/>
          </w:tcPr>
          <w:p>
            <w:pPr>
              <w:widowControl/>
              <w:numPr>
                <w:ilvl w:val="0"/>
                <w:numId w:val="6"/>
              </w:numPr>
              <w:spacing w:line="360" w:lineRule="auto"/>
              <w:rPr>
                <w:rFonts w:hint="eastAsia" w:ascii="宋体" w:hAnsi="宋体" w:eastAsia="宋体" w:cs="宋体"/>
                <w:b w:val="0"/>
                <w:bCs w:val="0"/>
                <w:kern w:val="2"/>
                <w:sz w:val="21"/>
                <w:szCs w:val="21"/>
                <w:lang w:val="en-US" w:eastAsia="zh-CN" w:bidi="ar-SA"/>
              </w:rPr>
            </w:pPr>
            <w:r>
              <w:rPr>
                <w:rFonts w:hint="eastAsia" w:ascii="宋体" w:hAnsi="宋体" w:cs="宋体"/>
                <w:b/>
                <w:bCs/>
                <w:kern w:val="2"/>
                <w:sz w:val="21"/>
                <w:szCs w:val="21"/>
                <w:lang w:val="en-US" w:eastAsia="zh-CN" w:bidi="ar-SA"/>
              </w:rPr>
              <w:t>软件成熟度（1分）：</w:t>
            </w:r>
            <w:r>
              <w:rPr>
                <w:rFonts w:hint="eastAsia" w:ascii="宋体" w:hAnsi="宋体" w:eastAsia="宋体" w:cs="宋体"/>
                <w:b w:val="0"/>
                <w:bCs w:val="0"/>
                <w:kern w:val="2"/>
                <w:sz w:val="21"/>
                <w:szCs w:val="21"/>
                <w:lang w:val="en-US" w:eastAsia="zh-CN" w:bidi="ar-SA"/>
              </w:rPr>
              <w:t>投标人软件成熟度通过CMMI5认证，提供有效证书的得1分，未通过不得分。</w:t>
            </w:r>
          </w:p>
          <w:p>
            <w:pPr>
              <w:widowControl/>
              <w:numPr>
                <w:ilvl w:val="0"/>
                <w:numId w:val="6"/>
              </w:numPr>
              <w:spacing w:line="360" w:lineRule="auto"/>
              <w:rPr>
                <w:rFonts w:ascii="宋体" w:hAnsi="宋体" w:cs="宋体"/>
                <w:kern w:val="0"/>
                <w:sz w:val="21"/>
                <w:szCs w:val="21"/>
              </w:rPr>
            </w:pPr>
            <w:r>
              <w:rPr>
                <w:rFonts w:hint="eastAsia" w:ascii="宋体" w:hAnsi="宋体" w:cs="宋体"/>
                <w:b/>
                <w:bCs/>
                <w:kern w:val="2"/>
                <w:sz w:val="21"/>
                <w:szCs w:val="21"/>
                <w:lang w:val="en-US" w:eastAsia="zh-CN" w:bidi="ar-SA"/>
              </w:rPr>
              <w:t>系统交付能力（1分）：</w:t>
            </w:r>
            <w:r>
              <w:rPr>
                <w:rFonts w:hint="eastAsia" w:ascii="宋体" w:hAnsi="宋体" w:eastAsia="宋体" w:cs="宋体"/>
                <w:b w:val="0"/>
                <w:bCs w:val="0"/>
                <w:kern w:val="2"/>
                <w:sz w:val="21"/>
                <w:szCs w:val="21"/>
                <w:lang w:val="en-US" w:eastAsia="zh-CN" w:bidi="ar-SA"/>
              </w:rPr>
              <w:t>投标人具备CCID信息系统交付能力证书，提供有效证书的，得1分，否则不得分。</w:t>
            </w:r>
          </w:p>
          <w:p>
            <w:pPr>
              <w:widowControl/>
              <w:numPr>
                <w:ilvl w:val="0"/>
                <w:numId w:val="6"/>
              </w:numPr>
              <w:spacing w:line="360" w:lineRule="auto"/>
              <w:rPr>
                <w:rFonts w:hint="eastAsia" w:ascii="宋体" w:hAnsi="宋体" w:eastAsia="宋体" w:cs="宋体"/>
                <w:b w:val="0"/>
                <w:bCs w:val="0"/>
                <w:kern w:val="2"/>
                <w:sz w:val="21"/>
                <w:szCs w:val="21"/>
                <w:lang w:val="en-US" w:eastAsia="zh-CN" w:bidi="ar-SA"/>
              </w:rPr>
            </w:pPr>
            <w:r>
              <w:rPr>
                <w:rFonts w:hint="eastAsia" w:ascii="宋体" w:hAnsi="宋体" w:cs="宋体"/>
                <w:b/>
                <w:bCs/>
                <w:kern w:val="2"/>
                <w:sz w:val="21"/>
                <w:szCs w:val="21"/>
                <w:lang w:val="en-US" w:eastAsia="zh-CN" w:bidi="ar-SA"/>
              </w:rPr>
              <w:t>系统的建设和信息技术运行服务能力（2分）</w:t>
            </w:r>
            <w:r>
              <w:rPr>
                <w:rFonts w:hint="eastAsia" w:ascii="宋体" w:hAnsi="宋体" w:cs="宋体"/>
                <w:b w:val="0"/>
                <w:bCs w:val="0"/>
                <w:kern w:val="2"/>
                <w:sz w:val="21"/>
                <w:szCs w:val="21"/>
                <w:lang w:val="en-US" w:eastAsia="zh-CN" w:bidi="ar-SA"/>
              </w:rPr>
              <w:t>：</w:t>
            </w:r>
            <w:r>
              <w:rPr>
                <w:rFonts w:hint="eastAsia" w:ascii="宋体" w:hAnsi="宋体" w:eastAsia="宋体" w:cs="宋体"/>
                <w:b w:val="0"/>
                <w:bCs w:val="0"/>
                <w:kern w:val="2"/>
                <w:sz w:val="21"/>
                <w:szCs w:val="21"/>
                <w:lang w:val="en-US" w:eastAsia="zh-CN" w:bidi="ar-SA"/>
              </w:rPr>
              <w:t>投标人具备信息系统建设和服务能力等级证书CS4级及以上得</w:t>
            </w:r>
            <w:r>
              <w:rPr>
                <w:rFonts w:hint="eastAsia" w:ascii="宋体" w:hAnsi="宋体" w:cs="宋体"/>
                <w:b w:val="0"/>
                <w:bCs w:val="0"/>
                <w:kern w:val="2"/>
                <w:sz w:val="21"/>
                <w:szCs w:val="21"/>
                <w:lang w:val="en-US" w:eastAsia="zh-CN" w:bidi="ar-SA"/>
              </w:rPr>
              <w:t>0.5</w:t>
            </w:r>
            <w:r>
              <w:rPr>
                <w:rFonts w:hint="eastAsia" w:ascii="宋体" w:hAnsi="宋体" w:eastAsia="宋体" w:cs="宋体"/>
                <w:b w:val="0"/>
                <w:bCs w:val="0"/>
                <w:kern w:val="2"/>
                <w:sz w:val="21"/>
                <w:szCs w:val="21"/>
                <w:lang w:val="en-US" w:eastAsia="zh-CN" w:bidi="ar-SA"/>
              </w:rPr>
              <w:t>分，CS4级</w:t>
            </w:r>
            <w:r>
              <w:rPr>
                <w:rFonts w:hint="eastAsia" w:ascii="宋体" w:hAnsi="宋体" w:cs="宋体"/>
                <w:b w:val="0"/>
                <w:bCs w:val="0"/>
                <w:kern w:val="2"/>
                <w:sz w:val="21"/>
                <w:szCs w:val="21"/>
                <w:lang w:val="en-US" w:eastAsia="zh-CN" w:bidi="ar-SA"/>
              </w:rPr>
              <w:t>以下不得分；</w:t>
            </w:r>
            <w:r>
              <w:rPr>
                <w:rFonts w:hint="eastAsia" w:ascii="宋体" w:hAnsi="宋体" w:eastAsia="宋体" w:cs="宋体"/>
                <w:b w:val="0"/>
                <w:bCs w:val="0"/>
                <w:kern w:val="2"/>
                <w:sz w:val="21"/>
                <w:szCs w:val="21"/>
                <w:lang w:val="en-US" w:eastAsia="zh-CN" w:bidi="ar-SA"/>
              </w:rPr>
              <w:t>信息技术服务运行维护ITSS贰级及以上认证得</w:t>
            </w:r>
            <w:r>
              <w:rPr>
                <w:rFonts w:hint="eastAsia" w:ascii="宋体" w:hAnsi="宋体" w:cs="宋体"/>
                <w:b w:val="0"/>
                <w:bCs w:val="0"/>
                <w:kern w:val="2"/>
                <w:sz w:val="21"/>
                <w:szCs w:val="21"/>
                <w:lang w:val="en-US" w:eastAsia="zh-CN" w:bidi="ar-SA"/>
              </w:rPr>
              <w:t>0.5</w:t>
            </w:r>
            <w:r>
              <w:rPr>
                <w:rFonts w:hint="eastAsia" w:ascii="宋体" w:hAnsi="宋体" w:eastAsia="宋体" w:cs="宋体"/>
                <w:b w:val="0"/>
                <w:bCs w:val="0"/>
                <w:kern w:val="2"/>
                <w:sz w:val="21"/>
                <w:szCs w:val="21"/>
                <w:lang w:val="en-US" w:eastAsia="zh-CN" w:bidi="ar-SA"/>
              </w:rPr>
              <w:t>分，贰级</w:t>
            </w:r>
            <w:r>
              <w:rPr>
                <w:rFonts w:hint="eastAsia" w:ascii="宋体" w:hAnsi="宋体" w:cs="宋体"/>
                <w:b w:val="0"/>
                <w:bCs w:val="0"/>
                <w:kern w:val="2"/>
                <w:sz w:val="21"/>
                <w:szCs w:val="21"/>
                <w:lang w:val="en-US" w:eastAsia="zh-CN" w:bidi="ar-SA"/>
              </w:rPr>
              <w:t>以下不得分；需</w:t>
            </w:r>
            <w:r>
              <w:rPr>
                <w:rFonts w:hint="eastAsia" w:ascii="宋体" w:hAnsi="宋体" w:eastAsia="宋体" w:cs="宋体"/>
                <w:b w:val="0"/>
                <w:bCs w:val="0"/>
                <w:kern w:val="2"/>
                <w:sz w:val="21"/>
                <w:szCs w:val="21"/>
                <w:lang w:val="en-US" w:eastAsia="zh-CN" w:bidi="ar-SA"/>
              </w:rPr>
              <w:t>提供有效证书。</w:t>
            </w:r>
            <w:r>
              <w:rPr>
                <w:rFonts w:hint="eastAsia" w:ascii="宋体" w:hAnsi="宋体" w:cs="宋体"/>
                <w:b w:val="0"/>
                <w:bCs w:val="0"/>
                <w:kern w:val="2"/>
                <w:sz w:val="21"/>
                <w:szCs w:val="21"/>
                <w:lang w:val="en-US" w:eastAsia="zh-CN" w:bidi="ar-SA"/>
              </w:rPr>
              <w:t>以上2项同时具备得2分，否则只得单项分。</w:t>
            </w:r>
          </w:p>
          <w:p>
            <w:pPr>
              <w:widowControl/>
              <w:numPr>
                <w:ilvl w:val="0"/>
                <w:numId w:val="6"/>
              </w:numPr>
              <w:spacing w:line="360" w:lineRule="auto"/>
              <w:rPr>
                <w:rFonts w:hint="eastAsia" w:ascii="宋体" w:hAnsi="宋体" w:eastAsia="宋体" w:cs="宋体"/>
                <w:b w:val="0"/>
                <w:bCs w:val="0"/>
                <w:kern w:val="2"/>
                <w:sz w:val="21"/>
                <w:szCs w:val="21"/>
                <w:lang w:val="en-US" w:eastAsia="zh-CN" w:bidi="ar-SA"/>
              </w:rPr>
            </w:pPr>
            <w:r>
              <w:rPr>
                <w:rFonts w:hint="eastAsia" w:ascii="宋体" w:hAnsi="宋体" w:eastAsia="宋体" w:cs="宋体"/>
                <w:b/>
                <w:bCs/>
                <w:kern w:val="2"/>
                <w:sz w:val="21"/>
                <w:szCs w:val="21"/>
                <w:lang w:val="en-US" w:eastAsia="zh-CN" w:bidi="ar-SA"/>
              </w:rPr>
              <w:t>产品单位软件开发能力</w:t>
            </w:r>
            <w:r>
              <w:rPr>
                <w:rFonts w:hint="eastAsia" w:ascii="宋体" w:hAnsi="宋体" w:cs="宋体"/>
                <w:b/>
                <w:bCs/>
                <w:kern w:val="2"/>
                <w:sz w:val="21"/>
                <w:szCs w:val="21"/>
                <w:lang w:val="en-US" w:eastAsia="zh-CN" w:bidi="ar-SA"/>
              </w:rPr>
              <w:t>（3分）</w:t>
            </w:r>
            <w:r>
              <w:rPr>
                <w:rFonts w:hint="eastAsia" w:ascii="宋体" w:hAnsi="宋体" w:eastAsia="宋体" w:cs="宋体"/>
                <w:b/>
                <w:bCs/>
                <w:kern w:val="2"/>
                <w:sz w:val="21"/>
                <w:szCs w:val="21"/>
                <w:lang w:val="en-US" w:eastAsia="zh-CN" w:bidi="ar-SA"/>
              </w:rPr>
              <w:t>：</w:t>
            </w:r>
            <w:r>
              <w:rPr>
                <w:rFonts w:hint="eastAsia" w:ascii="宋体" w:hAnsi="宋体" w:eastAsia="宋体" w:cs="宋体"/>
                <w:b w:val="0"/>
                <w:bCs w:val="0"/>
                <w:kern w:val="2"/>
                <w:sz w:val="21"/>
                <w:szCs w:val="21"/>
                <w:lang w:val="en-US" w:eastAsia="zh-CN" w:bidi="ar-SA"/>
              </w:rPr>
              <w:t>投标人或授权供应商提供在本项目招标公告日前取得的“用电监测、指挥调度、环境监测、能耗诊断、BIM可视化能源管理、设备全生命周期管理”相关软件著作权证书，每提供一个</w:t>
            </w:r>
            <w:r>
              <w:rPr>
                <w:rFonts w:hint="eastAsia" w:ascii="宋体" w:hAnsi="宋体" w:cs="宋体"/>
                <w:b w:val="0"/>
                <w:bCs w:val="0"/>
                <w:kern w:val="2"/>
                <w:sz w:val="21"/>
                <w:szCs w:val="21"/>
                <w:highlight w:val="none"/>
                <w:lang w:val="en-US" w:eastAsia="zh-CN" w:bidi="ar-SA"/>
              </w:rPr>
              <w:t>类别</w:t>
            </w:r>
            <w:r>
              <w:rPr>
                <w:rFonts w:hint="eastAsia" w:ascii="宋体" w:hAnsi="宋体" w:eastAsia="宋体" w:cs="宋体"/>
                <w:b w:val="0"/>
                <w:bCs w:val="0"/>
                <w:kern w:val="2"/>
                <w:sz w:val="21"/>
                <w:szCs w:val="21"/>
                <w:lang w:val="en-US" w:eastAsia="zh-CN" w:bidi="ar-SA"/>
              </w:rPr>
              <w:t>得0.</w:t>
            </w:r>
            <w:r>
              <w:rPr>
                <w:rFonts w:hint="eastAsia" w:ascii="宋体" w:hAnsi="宋体" w:cs="宋体"/>
                <w:b w:val="0"/>
                <w:bCs w:val="0"/>
                <w:kern w:val="2"/>
                <w:sz w:val="21"/>
                <w:szCs w:val="21"/>
                <w:lang w:val="en-US" w:eastAsia="zh-CN" w:bidi="ar-SA"/>
              </w:rPr>
              <w:t>2</w:t>
            </w:r>
            <w:r>
              <w:rPr>
                <w:rFonts w:hint="eastAsia" w:ascii="宋体" w:hAnsi="宋体" w:eastAsia="宋体" w:cs="宋体"/>
                <w:b w:val="0"/>
                <w:bCs w:val="0"/>
                <w:kern w:val="2"/>
                <w:sz w:val="21"/>
                <w:szCs w:val="21"/>
                <w:lang w:val="en-US" w:eastAsia="zh-CN" w:bidi="ar-SA"/>
              </w:rPr>
              <w:t>分，</w:t>
            </w:r>
            <w:r>
              <w:rPr>
                <w:rFonts w:hint="eastAsia" w:ascii="宋体" w:hAnsi="宋体" w:cs="宋体"/>
                <w:b w:val="0"/>
                <w:bCs w:val="0"/>
                <w:kern w:val="2"/>
                <w:sz w:val="21"/>
                <w:szCs w:val="21"/>
                <w:lang w:val="en-US" w:eastAsia="zh-CN" w:bidi="ar-SA"/>
              </w:rPr>
              <w:t>以上六项全部满足得3分，否则只得单项分。</w:t>
            </w:r>
          </w:p>
          <w:p>
            <w:pPr>
              <w:widowControl/>
              <w:numPr>
                <w:ilvl w:val="0"/>
                <w:numId w:val="0"/>
              </w:numPr>
              <w:spacing w:line="360" w:lineRule="auto"/>
              <w:rPr>
                <w:rFonts w:hint="default" w:ascii="宋体" w:hAnsi="宋体" w:eastAsia="宋体" w:cs="宋体"/>
                <w:b w:val="0"/>
                <w:bCs w:val="0"/>
                <w:kern w:val="2"/>
                <w:sz w:val="21"/>
                <w:szCs w:val="21"/>
                <w:lang w:val="en-US" w:eastAsia="zh-CN" w:bidi="ar-SA"/>
              </w:rPr>
            </w:pPr>
            <w:r>
              <w:rPr>
                <w:rFonts w:hint="eastAsia" w:ascii="宋体" w:hAnsi="宋体" w:cs="宋体"/>
                <w:b w:val="0"/>
                <w:bCs w:val="0"/>
                <w:kern w:val="2"/>
                <w:sz w:val="21"/>
                <w:szCs w:val="21"/>
                <w:lang w:val="en-US" w:eastAsia="zh-CN" w:bidi="ar-SA"/>
              </w:rPr>
              <w:t>5、</w:t>
            </w:r>
            <w:r>
              <w:rPr>
                <w:rFonts w:hint="eastAsia" w:ascii="宋体" w:hAnsi="宋体" w:eastAsia="宋体" w:cs="宋体"/>
                <w:b/>
                <w:bCs/>
                <w:kern w:val="2"/>
                <w:sz w:val="21"/>
                <w:szCs w:val="21"/>
                <w:lang w:val="en-US" w:eastAsia="zh-CN" w:bidi="ar-SA"/>
              </w:rPr>
              <w:t>云视频平台安全性</w:t>
            </w:r>
            <w:r>
              <w:rPr>
                <w:rFonts w:hint="eastAsia" w:ascii="宋体" w:hAnsi="宋体" w:cs="宋体"/>
                <w:b/>
                <w:bCs/>
                <w:kern w:val="2"/>
                <w:sz w:val="21"/>
                <w:szCs w:val="21"/>
                <w:lang w:val="en-US" w:eastAsia="zh-CN" w:bidi="ar-SA"/>
              </w:rPr>
              <w:t>（3分）</w:t>
            </w:r>
            <w:r>
              <w:rPr>
                <w:rFonts w:hint="eastAsia" w:ascii="宋体" w:hAnsi="宋体" w:eastAsia="宋体" w:cs="宋体"/>
                <w:b w:val="0"/>
                <w:bCs w:val="0"/>
                <w:kern w:val="2"/>
                <w:sz w:val="21"/>
                <w:szCs w:val="21"/>
                <w:lang w:val="en-US" w:eastAsia="zh-CN" w:bidi="ar-SA"/>
              </w:rPr>
              <w:t>：所投产品云视频平台系统稳定可靠，运营时间超过5年以上得</w:t>
            </w:r>
            <w:r>
              <w:rPr>
                <w:rFonts w:hint="eastAsia" w:ascii="宋体" w:hAnsi="宋体" w:cs="宋体"/>
                <w:b w:val="0"/>
                <w:bCs w:val="0"/>
                <w:kern w:val="2"/>
                <w:sz w:val="21"/>
                <w:szCs w:val="21"/>
                <w:lang w:val="en-US" w:eastAsia="zh-CN" w:bidi="ar-SA"/>
              </w:rPr>
              <w:t>0.5</w:t>
            </w:r>
            <w:r>
              <w:rPr>
                <w:rFonts w:hint="eastAsia" w:ascii="宋体" w:hAnsi="宋体" w:eastAsia="宋体" w:cs="宋体"/>
                <w:b w:val="0"/>
                <w:bCs w:val="0"/>
                <w:kern w:val="2"/>
                <w:sz w:val="21"/>
                <w:szCs w:val="21"/>
                <w:lang w:val="en-US" w:eastAsia="zh-CN" w:bidi="ar-SA"/>
              </w:rPr>
              <w:t>分，5年以下不得分。（提供第三方证明材料）；所投云平台系统支持国家密码局认可的算法得</w:t>
            </w:r>
            <w:r>
              <w:rPr>
                <w:rFonts w:hint="eastAsia" w:ascii="宋体" w:hAnsi="宋体" w:cs="宋体"/>
                <w:b w:val="0"/>
                <w:bCs w:val="0"/>
                <w:kern w:val="2"/>
                <w:sz w:val="21"/>
                <w:szCs w:val="21"/>
                <w:lang w:val="en-US" w:eastAsia="zh-CN" w:bidi="ar-SA"/>
              </w:rPr>
              <w:t>0.5</w:t>
            </w:r>
            <w:r>
              <w:rPr>
                <w:rFonts w:hint="eastAsia" w:ascii="宋体" w:hAnsi="宋体" w:eastAsia="宋体" w:cs="宋体"/>
                <w:b w:val="0"/>
                <w:bCs w:val="0"/>
                <w:kern w:val="2"/>
                <w:sz w:val="21"/>
                <w:szCs w:val="21"/>
                <w:lang w:val="en-US" w:eastAsia="zh-CN" w:bidi="ar-SA"/>
              </w:rPr>
              <w:t>分，否则不得分（提供第三方证明材料）；所投</w:t>
            </w:r>
            <w:r>
              <w:rPr>
                <w:rFonts w:hint="eastAsia" w:ascii="宋体" w:hAnsi="宋体" w:eastAsia="宋体" w:cs="宋体"/>
                <w:b w:val="0"/>
                <w:bCs w:val="0"/>
                <w:color w:val="000000" w:themeColor="text1"/>
                <w:kern w:val="2"/>
                <w:sz w:val="21"/>
                <w:szCs w:val="21"/>
                <w:lang w:val="en-US" w:eastAsia="zh-CN" w:bidi="ar-SA"/>
              </w:rPr>
              <w:t>云平台通过公安部三级安全等保认证得</w:t>
            </w:r>
            <w:r>
              <w:rPr>
                <w:rFonts w:hint="eastAsia" w:ascii="宋体" w:hAnsi="宋体" w:cs="宋体"/>
                <w:b w:val="0"/>
                <w:bCs w:val="0"/>
                <w:color w:val="000000" w:themeColor="text1"/>
                <w:kern w:val="2"/>
                <w:sz w:val="21"/>
                <w:szCs w:val="21"/>
                <w:lang w:val="en-US" w:eastAsia="zh-CN" w:bidi="ar-SA"/>
              </w:rPr>
              <w:t>0.5</w:t>
            </w:r>
            <w:r>
              <w:rPr>
                <w:rFonts w:hint="eastAsia" w:ascii="宋体" w:hAnsi="宋体" w:eastAsia="宋体" w:cs="宋体"/>
                <w:b w:val="0"/>
                <w:bCs w:val="0"/>
                <w:color w:val="000000" w:themeColor="text1"/>
                <w:kern w:val="2"/>
                <w:sz w:val="21"/>
                <w:szCs w:val="21"/>
                <w:lang w:val="en-US" w:eastAsia="zh-CN" w:bidi="ar-SA"/>
              </w:rPr>
              <w:t>分，否则不得分（同时提供备案证明</w:t>
            </w:r>
            <w:r>
              <w:rPr>
                <w:rFonts w:hint="eastAsia" w:ascii="宋体" w:hAnsi="宋体" w:cs="宋体"/>
                <w:b w:val="0"/>
                <w:bCs w:val="0"/>
                <w:color w:val="000000" w:themeColor="text1"/>
                <w:kern w:val="2"/>
                <w:sz w:val="21"/>
                <w:szCs w:val="21"/>
                <w:lang w:val="en-US" w:eastAsia="zh-CN" w:bidi="ar-SA"/>
              </w:rPr>
              <w:t>和测评报告</w:t>
            </w:r>
            <w:r>
              <w:rPr>
                <w:rFonts w:hint="eastAsia" w:ascii="宋体" w:hAnsi="宋体" w:eastAsia="宋体" w:cs="宋体"/>
                <w:b w:val="0"/>
                <w:bCs w:val="0"/>
                <w:color w:val="000000" w:themeColor="text1"/>
                <w:kern w:val="2"/>
                <w:sz w:val="21"/>
                <w:szCs w:val="21"/>
                <w:lang w:val="en-US" w:eastAsia="zh-CN" w:bidi="ar-SA"/>
              </w:rPr>
              <w:t>）</w:t>
            </w:r>
            <w:r>
              <w:rPr>
                <w:rFonts w:hint="eastAsia" w:ascii="宋体" w:hAnsi="宋体" w:cs="宋体"/>
                <w:b w:val="0"/>
                <w:bCs w:val="0"/>
                <w:kern w:val="2"/>
                <w:sz w:val="21"/>
                <w:szCs w:val="21"/>
                <w:lang w:val="en-US" w:eastAsia="zh-CN" w:bidi="ar-SA"/>
              </w:rPr>
              <w:t>以上三项同时满足得3分。否则只得单项分。</w:t>
            </w:r>
          </w:p>
          <w:p>
            <w:pPr>
              <w:widowControl/>
              <w:numPr>
                <w:ilvl w:val="0"/>
                <w:numId w:val="0"/>
              </w:numPr>
              <w:spacing w:line="360" w:lineRule="auto"/>
              <w:rPr>
                <w:rFonts w:hint="eastAsia" w:ascii="宋体" w:hAnsi="宋体" w:eastAsia="宋体" w:cs="宋体"/>
                <w:kern w:val="2"/>
                <w:sz w:val="21"/>
                <w:szCs w:val="21"/>
                <w:lang w:val="en-US" w:eastAsia="zh-CN" w:bidi="ar-SA"/>
              </w:rPr>
            </w:pPr>
            <w:r>
              <w:rPr>
                <w:rFonts w:hint="eastAsia" w:ascii="宋体" w:hAnsi="宋体" w:cs="宋体"/>
                <w:b/>
                <w:bCs/>
                <w:kern w:val="2"/>
                <w:sz w:val="21"/>
                <w:szCs w:val="21"/>
                <w:lang w:val="en-US" w:eastAsia="zh-CN" w:bidi="ar-SA"/>
              </w:rPr>
              <w:t>以上5项评审项</w:t>
            </w:r>
            <w:r>
              <w:rPr>
                <w:rFonts w:hint="eastAsia" w:ascii="宋体" w:hAnsi="宋体" w:eastAsia="宋体" w:cs="宋体"/>
                <w:b/>
                <w:bCs/>
                <w:kern w:val="2"/>
                <w:sz w:val="21"/>
                <w:szCs w:val="21"/>
                <w:lang w:val="en-US" w:eastAsia="zh-CN" w:bidi="ar-SA"/>
              </w:rPr>
              <w:t>评审依据：提供相关证书复印件加盖公章，否则不得分。</w:t>
            </w:r>
          </w:p>
        </w:tc>
      </w:tr>
    </w:tbl>
    <w:p>
      <w:pPr>
        <w:rPr>
          <w:rFonts w:ascii="宋体" w:hAnsi="宋体"/>
          <w:sz w:val="21"/>
          <w:szCs w:val="21"/>
        </w:rPr>
      </w:pPr>
    </w:p>
    <w:p>
      <w:pPr>
        <w:spacing w:line="360" w:lineRule="auto"/>
        <w:ind w:firstLine="420" w:firstLineChars="175"/>
        <w:rPr>
          <w:rFonts w:ascii="宋体" w:hAnsi="宋体" w:cs="仿宋_GB2312"/>
          <w:sz w:val="24"/>
        </w:rPr>
      </w:pPr>
      <w:r>
        <w:rPr>
          <w:rFonts w:hint="eastAsia" w:ascii="宋体" w:hAnsi="宋体" w:cs="仿宋_GB2312"/>
          <w:sz w:val="24"/>
        </w:rPr>
        <w:t>3、评标委员会各评委独立评分，按评标后综合得分由高到低顺序排列，推荐中标候选单位。得分相同的，按投标报价由低到高顺序排列，得分且投标报价相同的，比较</w:t>
      </w:r>
      <w:r>
        <w:rPr>
          <w:rFonts w:hint="eastAsia" w:ascii="宋体" w:hAnsi="宋体" w:cs="仿宋_GB2312"/>
          <w:sz w:val="24"/>
          <w:lang w:val="en-US" w:eastAsia="zh-CN"/>
        </w:rPr>
        <w:t>技术</w:t>
      </w:r>
      <w:r>
        <w:rPr>
          <w:rFonts w:hint="eastAsia" w:ascii="宋体" w:hAnsi="宋体" w:cs="仿宋_GB2312"/>
          <w:sz w:val="24"/>
        </w:rPr>
        <w:t>得分，</w:t>
      </w:r>
      <w:r>
        <w:rPr>
          <w:rFonts w:hint="eastAsia" w:ascii="宋体" w:hAnsi="宋体" w:cs="仿宋_GB2312"/>
          <w:sz w:val="24"/>
          <w:lang w:val="en-US" w:eastAsia="zh-CN"/>
        </w:rPr>
        <w:t>技术</w:t>
      </w:r>
      <w:r>
        <w:rPr>
          <w:rFonts w:hint="eastAsia" w:ascii="宋体" w:hAnsi="宋体" w:cs="仿宋_GB2312"/>
          <w:sz w:val="24"/>
        </w:rPr>
        <w:t>得分高者排在前。</w:t>
      </w:r>
    </w:p>
    <w:p>
      <w:pPr>
        <w:spacing w:line="360" w:lineRule="auto"/>
        <w:ind w:firstLine="420" w:firstLineChars="175"/>
        <w:rPr>
          <w:rFonts w:ascii="宋体" w:hAnsi="宋体" w:cs="仿宋_GB2312"/>
          <w:sz w:val="24"/>
        </w:rPr>
      </w:pPr>
      <w:r>
        <w:rPr>
          <w:rFonts w:hint="eastAsia" w:ascii="宋体" w:hAnsi="宋体" w:cs="仿宋_GB2312"/>
          <w:sz w:val="24"/>
        </w:rPr>
        <w:t>4、评委评分超过得分界限或未按照本办法规定时，该评委的该项评分作废，不计入汇总；数字均保留二位小数，第三位“四舍五入”；评审过程中，若出现本办法以外的特殊情况时，将暂停评标，有关情况待评标委员会确定后，再行评定。</w:t>
      </w:r>
    </w:p>
    <w:p>
      <w:pPr>
        <w:spacing w:line="360" w:lineRule="auto"/>
        <w:ind w:firstLine="420" w:firstLineChars="175"/>
        <w:rPr>
          <w:rFonts w:ascii="宋体" w:hAnsi="宋体" w:cs="仿宋_GB2312"/>
          <w:sz w:val="24"/>
        </w:rPr>
      </w:pPr>
      <w:r>
        <w:rPr>
          <w:rFonts w:hint="eastAsia" w:ascii="宋体" w:hAnsi="宋体" w:cs="仿宋_GB2312"/>
          <w:sz w:val="24"/>
        </w:rPr>
        <w:t>5、与采购人、采购代理机构和评标委员会接触、供应商试图对采购人、采购代理机构和评标委员会的评标、比较或授予合同的决定进行影响，都可能导致其投标被拒绝。</w:t>
      </w:r>
    </w:p>
    <w:p>
      <w:pPr>
        <w:overflowPunct w:val="0"/>
        <w:adjustRightInd w:val="0"/>
        <w:snapToGrid w:val="0"/>
        <w:spacing w:line="360" w:lineRule="auto"/>
        <w:ind w:firstLine="420" w:firstLineChars="175"/>
        <w:rPr>
          <w:rFonts w:ascii="宋体" w:hAnsi="宋体" w:cs="仿宋_GB2312"/>
          <w:sz w:val="24"/>
        </w:rPr>
      </w:pPr>
      <w:r>
        <w:rPr>
          <w:rFonts w:hint="eastAsia" w:ascii="宋体" w:hAnsi="宋体" w:cs="仿宋_GB2312"/>
          <w:sz w:val="24"/>
        </w:rPr>
        <w:t>6、评标委员会认为供应商的报价明显低于其他通过符合性审查供应商的报价，有可能影响产品或服务质量或者不能诚信履约的，应当要求其在评标现场合理的时间内提供书面说明，必要时提交相关证明材料；供应商不能证明其报价合理性的，评标委员会应当将其作为无效标处理。</w:t>
      </w:r>
    </w:p>
    <w:p>
      <w:pPr>
        <w:overflowPunct w:val="0"/>
        <w:adjustRightInd w:val="0"/>
        <w:snapToGrid w:val="0"/>
        <w:spacing w:line="360" w:lineRule="auto"/>
        <w:ind w:firstLine="420" w:firstLineChars="175"/>
        <w:rPr>
          <w:rFonts w:ascii="宋体" w:hAnsi="宋体" w:cs="仿宋_GB2312"/>
          <w:sz w:val="24"/>
        </w:rPr>
      </w:pPr>
      <w:r>
        <w:rPr>
          <w:rFonts w:hint="eastAsia" w:ascii="宋体" w:hAnsi="宋体" w:cs="仿宋_GB2312"/>
          <w:sz w:val="24"/>
        </w:rPr>
        <w:t>7、串标行为认定：供应商应当遵循公平竞争的原则，不得恶意串通，不得妨碍其他供应商的竞争行为，不得损害采购人或者其他供应商的合法权益。</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8、在评标过程中发现供应商有上述情形的，评标委员会应当认定其投标无效，并书面报告本级财政部门。</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9、有下列情形之一的，视为供应商串通投标，其投标无效：</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　　（一）不同供应商的投标文件由同一单位或者个人编制；</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　　（二）不同供应商委托同一单位或者个人办理投标事宜；</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　　（三）不同供应商的投标文件载明的项目管理成员或者联系人员为同一人；</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　　（四）不同供应商的投标文件异常一致或者投标报价呈规律性差异；</w:t>
      </w:r>
    </w:p>
    <w:p>
      <w:pPr>
        <w:overflowPunct w:val="0"/>
        <w:adjustRightInd w:val="0"/>
        <w:snapToGrid w:val="0"/>
        <w:spacing w:line="360" w:lineRule="auto"/>
        <w:ind w:firstLine="360" w:firstLineChars="150"/>
        <w:rPr>
          <w:rFonts w:ascii="宋体" w:hAnsi="宋体" w:cs="仿宋_GB2312"/>
          <w:sz w:val="24"/>
        </w:rPr>
      </w:pPr>
      <w:r>
        <w:rPr>
          <w:rFonts w:hint="eastAsia" w:ascii="宋体" w:hAnsi="宋体" w:cs="仿宋_GB2312"/>
          <w:sz w:val="24"/>
        </w:rPr>
        <w:t>　　（五）不同供应商的投标文件相互混装；</w:t>
      </w:r>
    </w:p>
    <w:p>
      <w:pPr>
        <w:overflowPunct w:val="0"/>
        <w:adjustRightInd w:val="0"/>
        <w:snapToGrid w:val="0"/>
        <w:spacing w:line="360" w:lineRule="auto"/>
        <w:ind w:firstLine="360" w:firstLineChars="150"/>
        <w:rPr>
          <w:rFonts w:ascii="宋体" w:hAnsi="宋体" w:cs="仿宋_GB2312"/>
          <w:sz w:val="36"/>
          <w:szCs w:val="36"/>
        </w:rPr>
      </w:pPr>
      <w:r>
        <w:rPr>
          <w:rFonts w:hint="eastAsia" w:ascii="宋体" w:hAnsi="宋体" w:cs="仿宋_GB2312"/>
          <w:sz w:val="24"/>
        </w:rPr>
        <w:t>　　</w:t>
      </w:r>
      <w:r>
        <w:rPr>
          <w:rFonts w:hint="eastAsia" w:ascii="宋体" w:hAnsi="宋体" w:cs="仿宋_GB2312"/>
          <w:sz w:val="36"/>
          <w:szCs w:val="36"/>
        </w:rPr>
        <w:br w:type="page"/>
      </w:r>
    </w:p>
    <w:p>
      <w:pPr>
        <w:pStyle w:val="3"/>
        <w:spacing w:line="360" w:lineRule="auto"/>
        <w:jc w:val="center"/>
        <w:rPr>
          <w:rFonts w:ascii="宋体" w:hAnsi="宋体" w:cs="仿宋_GB2312"/>
          <w:sz w:val="24"/>
          <w:szCs w:val="24"/>
        </w:rPr>
      </w:pPr>
      <w:bookmarkStart w:id="278" w:name="_Toc25460"/>
      <w:r>
        <w:rPr>
          <w:rFonts w:hint="eastAsia" w:ascii="宋体" w:hAnsi="宋体" w:cs="仿宋_GB2312"/>
          <w:sz w:val="36"/>
          <w:szCs w:val="36"/>
        </w:rPr>
        <w:t>第七部分  附件—投标文件格式</w:t>
      </w:r>
      <w:bookmarkEnd w:id="278"/>
    </w:p>
    <w:p>
      <w:pPr>
        <w:spacing w:line="360" w:lineRule="auto"/>
        <w:jc w:val="center"/>
        <w:rPr>
          <w:rFonts w:ascii="宋体" w:hAnsi="宋体" w:cs="仿宋_GB2312"/>
          <w:b/>
          <w:bCs/>
          <w:sz w:val="32"/>
          <w:szCs w:val="32"/>
        </w:rPr>
      </w:pPr>
      <w:bookmarkStart w:id="279" w:name="_Toc30434"/>
      <w:bookmarkStart w:id="280" w:name="_Toc246928961"/>
      <w:bookmarkStart w:id="281" w:name="_Toc246928962"/>
      <w:bookmarkStart w:id="282" w:name="_Toc128557264"/>
      <w:bookmarkStart w:id="283" w:name="_Toc385992404"/>
      <w:bookmarkStart w:id="284" w:name="_Toc497551824"/>
      <w:bookmarkStart w:id="285" w:name="_Toc497546922"/>
      <w:bookmarkStart w:id="286" w:name="_Toc389620244"/>
      <w:bookmarkStart w:id="287" w:name="_Toc497711589"/>
      <w:bookmarkStart w:id="288" w:name="_Toc497712137"/>
      <w:bookmarkStart w:id="289" w:name="_Toc492955463"/>
      <w:r>
        <w:rPr>
          <w:rFonts w:hint="eastAsia" w:ascii="宋体" w:hAnsi="宋体" w:cs="仿宋_GB2312"/>
          <w:sz w:val="44"/>
          <w:szCs w:val="44"/>
        </w:rPr>
        <w:t xml:space="preserve">            （</w:t>
      </w:r>
      <w:r>
        <w:rPr>
          <w:rFonts w:hint="eastAsia" w:ascii="宋体" w:hAnsi="宋体" w:cs="仿宋_GB2312"/>
          <w:b/>
          <w:sz w:val="44"/>
          <w:szCs w:val="44"/>
        </w:rPr>
        <w:t>封 面</w:t>
      </w:r>
      <w:r>
        <w:rPr>
          <w:rFonts w:hint="eastAsia" w:ascii="宋体" w:hAnsi="宋体" w:cs="仿宋_GB2312"/>
          <w:sz w:val="44"/>
          <w:szCs w:val="44"/>
        </w:rPr>
        <w:t xml:space="preserve">）     </w:t>
      </w:r>
      <w:r>
        <w:rPr>
          <w:rFonts w:hint="eastAsia" w:ascii="宋体" w:hAnsi="宋体" w:cs="仿宋_GB2312"/>
          <w:b/>
          <w:bCs/>
          <w:sz w:val="32"/>
          <w:szCs w:val="32"/>
        </w:rPr>
        <w:t>（</w:t>
      </w:r>
      <w:r>
        <w:rPr>
          <w:rFonts w:hint="eastAsia" w:ascii="宋体" w:hAnsi="宋体" w:cs="仿宋_GB2312"/>
          <w:b/>
          <w:bCs/>
          <w:sz w:val="30"/>
          <w:szCs w:val="30"/>
        </w:rPr>
        <w:t>正本/副本</w:t>
      </w:r>
      <w:r>
        <w:rPr>
          <w:rFonts w:hint="eastAsia" w:ascii="宋体" w:hAnsi="宋体" w:cs="仿宋_GB2312"/>
          <w:b/>
          <w:bCs/>
          <w:sz w:val="32"/>
          <w:szCs w:val="32"/>
        </w:rPr>
        <w:t>）</w:t>
      </w:r>
    </w:p>
    <w:p>
      <w:pPr>
        <w:spacing w:line="360" w:lineRule="auto"/>
        <w:jc w:val="left"/>
        <w:rPr>
          <w:rFonts w:ascii="宋体" w:hAnsi="宋体" w:cs="仿宋_GB2312"/>
          <w:b/>
          <w:bCs/>
          <w:sz w:val="32"/>
          <w:szCs w:val="32"/>
        </w:rPr>
      </w:pPr>
    </w:p>
    <w:bookmarkEnd w:id="279"/>
    <w:p>
      <w:pPr>
        <w:pStyle w:val="8"/>
        <w:jc w:val="center"/>
        <w:rPr>
          <w:rFonts w:hint="eastAsia" w:ascii="宋体" w:hAnsi="宋体" w:cs="仿宋_GB2312"/>
          <w:b/>
          <w:sz w:val="44"/>
          <w:szCs w:val="44"/>
        </w:rPr>
      </w:pPr>
      <w:r>
        <w:rPr>
          <w:rFonts w:hint="eastAsia" w:ascii="宋体" w:hAnsi="宋体" w:cs="仿宋_GB2312"/>
          <w:b/>
          <w:sz w:val="44"/>
          <w:szCs w:val="44"/>
        </w:rPr>
        <w:t>铜川市环境大气污染企业治污设施</w:t>
      </w:r>
    </w:p>
    <w:p>
      <w:pPr>
        <w:pStyle w:val="8"/>
        <w:jc w:val="center"/>
        <w:rPr>
          <w:rFonts w:hint="eastAsia" w:ascii="宋体" w:hAnsi="宋体" w:cs="仿宋_GB2312"/>
          <w:b/>
          <w:sz w:val="44"/>
          <w:szCs w:val="44"/>
        </w:rPr>
      </w:pPr>
      <w:r>
        <w:rPr>
          <w:rFonts w:hint="eastAsia" w:ascii="宋体" w:hAnsi="宋体" w:cs="仿宋_GB2312"/>
          <w:b/>
          <w:sz w:val="44"/>
          <w:szCs w:val="44"/>
        </w:rPr>
        <w:t>用电监管与治污设备管理系统建设项目</w:t>
      </w:r>
    </w:p>
    <w:p>
      <w:pPr>
        <w:rPr>
          <w:rFonts w:hint="eastAsia" w:ascii="宋体" w:hAnsi="宋体" w:cs="仿宋_GB2312"/>
          <w:b/>
          <w:sz w:val="52"/>
          <w:szCs w:val="24"/>
        </w:rPr>
      </w:pPr>
    </w:p>
    <w:p>
      <w:pPr>
        <w:pStyle w:val="6"/>
      </w:pPr>
    </w:p>
    <w:p>
      <w:pPr>
        <w:spacing w:line="360" w:lineRule="auto"/>
        <w:jc w:val="center"/>
        <w:rPr>
          <w:rFonts w:ascii="宋体" w:hAnsi="宋体" w:cs="仿宋_GB2312"/>
          <w:b/>
          <w:sz w:val="84"/>
          <w:szCs w:val="52"/>
        </w:rPr>
      </w:pPr>
      <w:r>
        <w:rPr>
          <w:rFonts w:hint="eastAsia" w:ascii="宋体" w:hAnsi="宋体" w:cs="仿宋_GB2312"/>
          <w:b/>
          <w:sz w:val="72"/>
          <w:szCs w:val="48"/>
        </w:rPr>
        <w:t>投标文件</w:t>
      </w:r>
    </w:p>
    <w:p>
      <w:pPr>
        <w:pStyle w:val="8"/>
        <w:rPr>
          <w:rFonts w:ascii="宋体" w:hAnsi="宋体"/>
        </w:rPr>
      </w:pPr>
    </w:p>
    <w:p>
      <w:pPr>
        <w:rPr>
          <w:rFonts w:ascii="宋体" w:hAnsi="宋体"/>
        </w:rPr>
      </w:pPr>
    </w:p>
    <w:p>
      <w:pPr>
        <w:spacing w:line="360" w:lineRule="auto"/>
        <w:rPr>
          <w:rFonts w:ascii="宋体" w:hAnsi="宋体" w:cs="仿宋_GB2312"/>
          <w:b/>
          <w:sz w:val="32"/>
        </w:rPr>
      </w:pPr>
    </w:p>
    <w:p>
      <w:pPr>
        <w:spacing w:line="360" w:lineRule="auto"/>
        <w:jc w:val="center"/>
        <w:rPr>
          <w:rFonts w:ascii="宋体" w:hAnsi="宋体" w:cs="仿宋_GB2312"/>
          <w:b/>
          <w:sz w:val="32"/>
        </w:rPr>
      </w:pPr>
      <w:r>
        <w:rPr>
          <w:rFonts w:hint="eastAsia" w:ascii="宋体" w:hAnsi="宋体" w:cs="仿宋_GB2312"/>
          <w:b/>
          <w:sz w:val="32"/>
        </w:rPr>
        <w:t>采购项目编号：CYJK-ZFCG-2021-010</w:t>
      </w:r>
    </w:p>
    <w:p>
      <w:pPr>
        <w:spacing w:line="360" w:lineRule="auto"/>
        <w:rPr>
          <w:rFonts w:ascii="宋体" w:hAnsi="宋体" w:cs="仿宋_GB2312"/>
          <w:b/>
          <w:sz w:val="32"/>
        </w:rPr>
      </w:pPr>
    </w:p>
    <w:p>
      <w:pPr>
        <w:spacing w:line="360" w:lineRule="auto"/>
        <w:rPr>
          <w:rFonts w:ascii="宋体" w:hAnsi="宋体" w:cs="仿宋_GB2312"/>
          <w:b/>
          <w:sz w:val="32"/>
        </w:rPr>
      </w:pPr>
    </w:p>
    <w:p>
      <w:pPr>
        <w:pStyle w:val="8"/>
      </w:pPr>
    </w:p>
    <w:p>
      <w:pPr>
        <w:spacing w:line="360" w:lineRule="auto"/>
        <w:ind w:firstLine="1265" w:firstLineChars="450"/>
        <w:rPr>
          <w:rFonts w:ascii="宋体" w:hAnsi="宋体" w:cs="宋体"/>
          <w:b/>
          <w:sz w:val="28"/>
          <w:u w:val="single"/>
        </w:rPr>
      </w:pPr>
      <w:bookmarkStart w:id="290" w:name="_Toc21305"/>
      <w:bookmarkStart w:id="291" w:name="_Toc357087380"/>
      <w:bookmarkStart w:id="292" w:name="_Toc27897"/>
      <w:bookmarkStart w:id="293" w:name="_Toc26913"/>
      <w:r>
        <w:rPr>
          <w:rFonts w:hint="eastAsia" w:ascii="宋体" w:hAnsi="宋体" w:cs="宋体"/>
          <w:b/>
          <w:sz w:val="28"/>
        </w:rPr>
        <w:t>供应商名称：（盖公章）</w:t>
      </w:r>
    </w:p>
    <w:p>
      <w:pPr>
        <w:spacing w:line="360" w:lineRule="auto"/>
        <w:ind w:firstLine="1265" w:firstLineChars="450"/>
        <w:rPr>
          <w:rFonts w:ascii="宋体" w:hAnsi="宋体" w:cs="宋体"/>
          <w:b/>
          <w:sz w:val="28"/>
        </w:rPr>
      </w:pPr>
    </w:p>
    <w:p>
      <w:pPr>
        <w:spacing w:line="360" w:lineRule="auto"/>
        <w:ind w:firstLine="1265" w:firstLineChars="450"/>
        <w:rPr>
          <w:rFonts w:ascii="宋体" w:hAnsi="宋体" w:cs="宋体"/>
          <w:b/>
          <w:sz w:val="28"/>
        </w:rPr>
      </w:pPr>
      <w:r>
        <w:rPr>
          <w:rFonts w:hint="eastAsia" w:ascii="宋体" w:hAnsi="宋体" w:cs="宋体"/>
          <w:b/>
          <w:sz w:val="28"/>
        </w:rPr>
        <w:t>法定代表人或</w:t>
      </w:r>
    </w:p>
    <w:p>
      <w:pPr>
        <w:spacing w:line="360" w:lineRule="auto"/>
        <w:ind w:firstLine="1265" w:firstLineChars="450"/>
        <w:rPr>
          <w:rFonts w:ascii="宋体" w:hAnsi="宋体" w:cs="宋体"/>
          <w:b/>
          <w:sz w:val="28"/>
        </w:rPr>
      </w:pPr>
      <w:r>
        <w:rPr>
          <w:rFonts w:hint="eastAsia" w:ascii="宋体" w:hAnsi="宋体" w:cs="宋体"/>
          <w:b/>
          <w:sz w:val="28"/>
        </w:rPr>
        <w:t>其委托代理人：（签字或盖章）</w:t>
      </w:r>
    </w:p>
    <w:p>
      <w:pPr>
        <w:pStyle w:val="8"/>
      </w:pPr>
    </w:p>
    <w:p>
      <w:pPr>
        <w:spacing w:line="360" w:lineRule="auto"/>
        <w:ind w:firstLine="1265" w:firstLineChars="450"/>
        <w:rPr>
          <w:rFonts w:ascii="宋体" w:hAnsi="宋体" w:cs="宋体"/>
          <w:b/>
          <w:sz w:val="28"/>
        </w:rPr>
      </w:pPr>
      <w:r>
        <w:rPr>
          <w:rFonts w:hint="eastAsia" w:ascii="宋体" w:hAnsi="宋体" w:cs="宋体"/>
          <w:b/>
          <w:sz w:val="28"/>
        </w:rPr>
        <w:t>日       期：</w:t>
      </w:r>
    </w:p>
    <w:p>
      <w:pPr>
        <w:pStyle w:val="4"/>
        <w:spacing w:line="360" w:lineRule="auto"/>
        <w:jc w:val="center"/>
        <w:rPr>
          <w:rFonts w:ascii="宋体" w:hAnsi="宋体" w:eastAsia="宋体" w:cs="仿宋_GB2312"/>
        </w:rPr>
      </w:pPr>
      <w:bookmarkStart w:id="294" w:name="_Toc5363"/>
      <w:r>
        <w:rPr>
          <w:rFonts w:hint="eastAsia" w:ascii="宋体" w:hAnsi="宋体" w:eastAsia="宋体" w:cs="仿宋_GB2312"/>
        </w:rPr>
        <w:t>附件</w:t>
      </w:r>
      <w:bookmarkEnd w:id="280"/>
      <w:bookmarkEnd w:id="290"/>
      <w:bookmarkEnd w:id="291"/>
      <w:bookmarkStart w:id="295" w:name="_Hlt491765542"/>
      <w:bookmarkEnd w:id="295"/>
      <w:r>
        <w:rPr>
          <w:rFonts w:hint="eastAsia" w:ascii="宋体" w:hAnsi="宋体" w:eastAsia="宋体" w:cs="仿宋_GB2312"/>
        </w:rPr>
        <w:t>1 投标函</w:t>
      </w:r>
      <w:bookmarkEnd w:id="292"/>
      <w:bookmarkEnd w:id="293"/>
      <w:bookmarkEnd w:id="294"/>
    </w:p>
    <w:p>
      <w:pPr>
        <w:spacing w:line="360" w:lineRule="auto"/>
        <w:rPr>
          <w:rFonts w:ascii="宋体" w:hAnsi="宋体" w:cs="仿宋_GB2312"/>
          <w:sz w:val="24"/>
        </w:rPr>
      </w:pPr>
      <w:r>
        <w:rPr>
          <w:rFonts w:hint="eastAsia" w:ascii="宋体" w:hAnsi="宋体" w:cs="仿宋_GB2312"/>
          <w:sz w:val="24"/>
        </w:rPr>
        <w:t>致：陕西宸逸九科项目咨询管理有限公司</w:t>
      </w:r>
    </w:p>
    <w:p>
      <w:pPr>
        <w:spacing w:line="360" w:lineRule="auto"/>
        <w:ind w:firstLine="540" w:firstLineChars="225"/>
        <w:rPr>
          <w:rFonts w:ascii="宋体" w:hAnsi="宋体" w:cs="仿宋_GB2312"/>
          <w:sz w:val="24"/>
        </w:rPr>
      </w:pPr>
      <w:r>
        <w:rPr>
          <w:rFonts w:hint="eastAsia" w:ascii="宋体" w:hAnsi="宋体" w:cs="仿宋_GB2312"/>
          <w:sz w:val="24"/>
        </w:rPr>
        <w:t>根据贵方</w:t>
      </w:r>
      <w:r>
        <w:rPr>
          <w:rFonts w:hint="eastAsia" w:ascii="宋体" w:hAnsi="宋体" w:cs="仿宋_GB2312"/>
          <w:sz w:val="24"/>
          <w:u w:val="single"/>
        </w:rPr>
        <w:t xml:space="preserve">采购项目名称：           采购项目编号：        </w:t>
      </w:r>
      <w:r>
        <w:rPr>
          <w:rFonts w:hint="eastAsia" w:ascii="宋体" w:hAnsi="宋体" w:cs="仿宋_GB2312"/>
          <w:sz w:val="24"/>
        </w:rPr>
        <w:t>招标文件要求，签字代表</w:t>
      </w:r>
      <w:r>
        <w:rPr>
          <w:rFonts w:hint="eastAsia" w:ascii="宋体" w:hAnsi="宋体" w:cs="仿宋_GB2312"/>
          <w:sz w:val="24"/>
          <w:u w:val="single"/>
        </w:rPr>
        <w:t xml:space="preserve">              (全名、职务)</w:t>
      </w:r>
      <w:r>
        <w:rPr>
          <w:rFonts w:hint="eastAsia" w:ascii="宋体" w:hAnsi="宋体" w:cs="仿宋_GB2312"/>
          <w:sz w:val="24"/>
        </w:rPr>
        <w:t>经正式授权并代表</w:t>
      </w:r>
      <w:r>
        <w:rPr>
          <w:rFonts w:hint="eastAsia" w:ascii="宋体" w:hAnsi="宋体" w:cs="仿宋_GB2312"/>
          <w:sz w:val="24"/>
          <w:u w:val="single"/>
        </w:rPr>
        <w:t xml:space="preserve">       (供应商名称、地址)</w:t>
      </w:r>
      <w:r>
        <w:rPr>
          <w:rFonts w:hint="eastAsia" w:ascii="宋体" w:hAnsi="宋体" w:cs="仿宋_GB2312"/>
          <w:sz w:val="24"/>
        </w:rPr>
        <w:t>提交包含下述内容的投标文件正本一份、副本一式二份、电子版一份。</w:t>
      </w:r>
    </w:p>
    <w:p>
      <w:pPr>
        <w:spacing w:line="360" w:lineRule="auto"/>
        <w:ind w:firstLine="465"/>
        <w:rPr>
          <w:rFonts w:ascii="宋体" w:hAnsi="宋体" w:cs="仿宋_GB2312"/>
          <w:sz w:val="24"/>
        </w:rPr>
      </w:pPr>
      <w:r>
        <w:rPr>
          <w:rFonts w:hint="eastAsia" w:ascii="宋体" w:hAnsi="宋体" w:cs="仿宋_GB2312"/>
          <w:sz w:val="24"/>
        </w:rPr>
        <w:t>(1) 投标函；</w:t>
      </w:r>
    </w:p>
    <w:p>
      <w:pPr>
        <w:spacing w:line="360" w:lineRule="auto"/>
        <w:ind w:firstLine="465"/>
        <w:rPr>
          <w:rFonts w:ascii="宋体" w:hAnsi="宋体" w:cs="仿宋_GB2312"/>
          <w:sz w:val="24"/>
        </w:rPr>
      </w:pPr>
      <w:r>
        <w:rPr>
          <w:rFonts w:hint="eastAsia" w:ascii="宋体" w:hAnsi="宋体" w:cs="仿宋_GB2312"/>
          <w:sz w:val="24"/>
        </w:rPr>
        <w:t>(2) 按供应商须知要求提供的全部文件和招标文件要求的投标文件；</w:t>
      </w:r>
    </w:p>
    <w:p>
      <w:pPr>
        <w:spacing w:line="360" w:lineRule="auto"/>
        <w:ind w:firstLine="465"/>
        <w:rPr>
          <w:rFonts w:ascii="宋体" w:hAnsi="宋体" w:cs="仿宋_GB2312"/>
          <w:sz w:val="24"/>
        </w:rPr>
      </w:pPr>
      <w:r>
        <w:rPr>
          <w:rFonts w:hint="eastAsia" w:ascii="宋体" w:hAnsi="宋体" w:cs="仿宋_GB2312"/>
          <w:sz w:val="24"/>
        </w:rPr>
        <w:t>(3) 供应商资格证明文件；</w:t>
      </w:r>
    </w:p>
    <w:p>
      <w:pPr>
        <w:spacing w:line="360" w:lineRule="auto"/>
        <w:rPr>
          <w:rFonts w:ascii="宋体" w:hAnsi="宋体" w:cs="仿宋_GB2312"/>
          <w:sz w:val="24"/>
        </w:rPr>
      </w:pPr>
      <w:r>
        <w:rPr>
          <w:rFonts w:hint="eastAsia" w:ascii="宋体" w:hAnsi="宋体" w:cs="仿宋_GB2312"/>
          <w:sz w:val="24"/>
        </w:rPr>
        <w:tab/>
      </w:r>
      <w:r>
        <w:rPr>
          <w:rFonts w:hint="eastAsia" w:ascii="宋体" w:hAnsi="宋体" w:cs="仿宋_GB2312"/>
          <w:sz w:val="24"/>
        </w:rPr>
        <w:t>据此函，签字代表宣布同意如下：</w:t>
      </w:r>
    </w:p>
    <w:p>
      <w:pPr>
        <w:spacing w:line="360" w:lineRule="auto"/>
        <w:ind w:firstLine="420"/>
        <w:rPr>
          <w:rFonts w:ascii="宋体" w:hAnsi="宋体" w:cs="仿宋_GB2312"/>
          <w:sz w:val="24"/>
        </w:rPr>
      </w:pPr>
      <w:r>
        <w:rPr>
          <w:rFonts w:hint="eastAsia" w:ascii="宋体" w:hAnsi="宋体" w:cs="仿宋_GB2312"/>
          <w:sz w:val="24"/>
        </w:rPr>
        <w:t>1. 供应商将按招标文件的规定履行合同责任和义务;</w:t>
      </w:r>
    </w:p>
    <w:p>
      <w:pPr>
        <w:spacing w:line="360" w:lineRule="auto"/>
        <w:ind w:firstLine="420"/>
        <w:rPr>
          <w:rFonts w:ascii="宋体" w:hAnsi="宋体" w:cs="仿宋_GB2312"/>
          <w:sz w:val="24"/>
        </w:rPr>
      </w:pPr>
      <w:r>
        <w:rPr>
          <w:rFonts w:hint="eastAsia" w:ascii="宋体" w:hAnsi="宋体" w:cs="仿宋_GB2312"/>
          <w:sz w:val="24"/>
        </w:rPr>
        <w:t>2. 供应商已详细审查全部招标文件，包括修改文件（如有的话）以及全部参考资料和有关附件。我们完全理解并同意放弃对这方面有不明及误解的权利；</w:t>
      </w:r>
    </w:p>
    <w:p>
      <w:pPr>
        <w:spacing w:line="360" w:lineRule="auto"/>
        <w:ind w:firstLine="420"/>
        <w:rPr>
          <w:rFonts w:ascii="宋体" w:hAnsi="宋体" w:cs="仿宋_GB2312"/>
          <w:sz w:val="24"/>
        </w:rPr>
      </w:pPr>
      <w:r>
        <w:rPr>
          <w:rFonts w:hint="eastAsia" w:ascii="宋体" w:hAnsi="宋体" w:cs="仿宋_GB2312"/>
          <w:sz w:val="24"/>
        </w:rPr>
        <w:t>3. 投标报价自投标文件截止之日起有效期为</w:t>
      </w:r>
      <w:r>
        <w:rPr>
          <w:rFonts w:hint="eastAsia" w:ascii="宋体" w:hAnsi="宋体" w:cs="仿宋_GB2312"/>
          <w:sz w:val="24"/>
          <w:u w:val="single"/>
        </w:rPr>
        <w:t>90</w:t>
      </w:r>
      <w:r>
        <w:rPr>
          <w:rFonts w:hint="eastAsia" w:ascii="宋体" w:hAnsi="宋体" w:cs="仿宋_GB2312"/>
          <w:sz w:val="24"/>
        </w:rPr>
        <w:t>个日历天；</w:t>
      </w:r>
    </w:p>
    <w:p>
      <w:pPr>
        <w:spacing w:line="360" w:lineRule="auto"/>
        <w:ind w:firstLine="420"/>
        <w:rPr>
          <w:rFonts w:ascii="宋体" w:hAnsi="宋体" w:cs="仿宋_GB2312"/>
          <w:sz w:val="24"/>
        </w:rPr>
      </w:pPr>
      <w:r>
        <w:rPr>
          <w:rFonts w:hint="eastAsia" w:ascii="宋体" w:hAnsi="宋体" w:cs="仿宋_GB2312"/>
          <w:sz w:val="24"/>
        </w:rPr>
        <w:t>4. 如果在规定的宣读投标报价时间后，供应商在投标有效期内撤回投标报价，</w:t>
      </w:r>
      <w:r>
        <w:rPr>
          <w:rFonts w:hint="eastAsia" w:ascii="宋体" w:hAnsi="宋体" w:cs="仿宋_GB2312"/>
          <w:sz w:val="24"/>
          <w:lang w:val="en-US" w:eastAsia="zh-CN"/>
        </w:rPr>
        <w:t>后果自负</w:t>
      </w:r>
      <w:r>
        <w:rPr>
          <w:rFonts w:hint="eastAsia" w:ascii="宋体" w:hAnsi="宋体" w:cs="仿宋_GB2312"/>
          <w:sz w:val="24"/>
        </w:rPr>
        <w:t>；</w:t>
      </w:r>
    </w:p>
    <w:p>
      <w:pPr>
        <w:spacing w:line="360" w:lineRule="auto"/>
        <w:ind w:firstLine="420"/>
        <w:rPr>
          <w:rFonts w:ascii="宋体" w:hAnsi="宋体" w:cs="仿宋_GB2312"/>
          <w:sz w:val="24"/>
        </w:rPr>
      </w:pPr>
      <w:r>
        <w:rPr>
          <w:rFonts w:hint="eastAsia" w:ascii="宋体" w:hAnsi="宋体" w:cs="仿宋_GB2312"/>
          <w:sz w:val="24"/>
        </w:rPr>
        <w:t>5. 供应商同意提供按照贵方可能要求的与其报价有关的一切数据或资料，完全理解贵方不一定要接受最低价的投标报价或收到的任何投标报价。</w:t>
      </w:r>
    </w:p>
    <w:p>
      <w:pPr>
        <w:spacing w:line="360" w:lineRule="auto"/>
        <w:ind w:firstLine="420"/>
        <w:rPr>
          <w:rFonts w:ascii="宋体" w:hAnsi="宋体" w:cs="仿宋_GB2312"/>
          <w:sz w:val="24"/>
        </w:rPr>
      </w:pPr>
      <w:r>
        <w:rPr>
          <w:rFonts w:hint="eastAsia" w:ascii="宋体" w:hAnsi="宋体" w:cs="仿宋_GB2312"/>
          <w:sz w:val="24"/>
        </w:rPr>
        <w:t>6. 与本投标有关的一切正式往来通讯请寄：</w:t>
      </w:r>
    </w:p>
    <w:p>
      <w:pPr>
        <w:pStyle w:val="8"/>
      </w:pPr>
    </w:p>
    <w:p>
      <w:pPr>
        <w:spacing w:line="360" w:lineRule="auto"/>
        <w:rPr>
          <w:rFonts w:ascii="宋体" w:hAnsi="宋体" w:cs="仿宋_GB2312"/>
          <w:sz w:val="24"/>
        </w:rPr>
      </w:pPr>
      <w:r>
        <w:rPr>
          <w:rFonts w:hint="eastAsia" w:ascii="宋体" w:hAnsi="宋体" w:cs="仿宋_GB2312"/>
          <w:sz w:val="24"/>
        </w:rPr>
        <w:tab/>
      </w:r>
      <w:r>
        <w:rPr>
          <w:rFonts w:hint="eastAsia" w:ascii="宋体" w:hAnsi="宋体" w:cs="仿宋_GB2312"/>
          <w:sz w:val="24"/>
        </w:rPr>
        <w:t>地址：                      邮编：</w:t>
      </w:r>
    </w:p>
    <w:p>
      <w:pPr>
        <w:spacing w:line="360" w:lineRule="auto"/>
        <w:rPr>
          <w:rFonts w:ascii="宋体" w:hAnsi="宋体" w:cs="仿宋_GB2312"/>
          <w:sz w:val="24"/>
        </w:rPr>
      </w:pPr>
      <w:r>
        <w:rPr>
          <w:rFonts w:hint="eastAsia" w:ascii="宋体" w:hAnsi="宋体" w:cs="仿宋_GB2312"/>
          <w:sz w:val="24"/>
        </w:rPr>
        <w:tab/>
      </w:r>
      <w:r>
        <w:rPr>
          <w:rFonts w:hint="eastAsia" w:ascii="宋体" w:hAnsi="宋体" w:cs="仿宋_GB2312"/>
          <w:sz w:val="24"/>
        </w:rPr>
        <w:t>电话：                      传真：</w:t>
      </w:r>
    </w:p>
    <w:p>
      <w:pPr>
        <w:spacing w:line="360" w:lineRule="auto"/>
        <w:rPr>
          <w:rFonts w:ascii="宋体" w:hAnsi="宋体" w:cs="仿宋_GB2312"/>
          <w:sz w:val="24"/>
        </w:rPr>
      </w:pPr>
      <w:r>
        <w:rPr>
          <w:rFonts w:hint="eastAsia" w:ascii="宋体" w:hAnsi="宋体" w:cs="仿宋_GB2312"/>
          <w:sz w:val="24"/>
        </w:rPr>
        <w:tab/>
      </w:r>
    </w:p>
    <w:p>
      <w:pPr>
        <w:pStyle w:val="8"/>
        <w:rPr>
          <w:rFonts w:ascii="宋体" w:hAnsi="宋体" w:cs="仿宋_GB2312"/>
          <w:sz w:val="24"/>
        </w:rPr>
      </w:pPr>
    </w:p>
    <w:p>
      <w:pPr>
        <w:rPr>
          <w:rFonts w:ascii="宋体" w:hAnsi="宋体"/>
        </w:rPr>
      </w:pPr>
    </w:p>
    <w:bookmarkEnd w:id="281"/>
    <w:bookmarkEnd w:id="282"/>
    <w:p>
      <w:pPr>
        <w:spacing w:line="480" w:lineRule="auto"/>
        <w:ind w:right="480" w:firstLine="360" w:firstLineChars="150"/>
        <w:jc w:val="center"/>
        <w:rPr>
          <w:rFonts w:ascii="宋体" w:hAnsi="宋体" w:cs="宋体"/>
          <w:sz w:val="24"/>
        </w:rPr>
      </w:pPr>
      <w:bookmarkStart w:id="296" w:name="_Toc19796"/>
      <w:bookmarkStart w:id="297" w:name="_Toc19170"/>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spacing w:line="480" w:lineRule="auto"/>
        <w:ind w:right="480" w:firstLine="2520" w:firstLineChars="1050"/>
        <w:rPr>
          <w:rFonts w:ascii="宋体" w:hAnsi="宋体" w:cs="宋体"/>
        </w:rPr>
        <w:sectPr>
          <w:footerReference r:id="rId12" w:type="default"/>
          <w:footnotePr>
            <w:pos w:val="beneathText"/>
          </w:footnotePr>
          <w:pgSz w:w="11906" w:h="16838"/>
          <w:pgMar w:top="1440" w:right="1423" w:bottom="1219" w:left="1644" w:header="851" w:footer="992" w:gutter="0"/>
          <w:cols w:space="720" w:num="1"/>
          <w:titlePg/>
          <w:docGrid w:linePitch="312" w:charSpace="0"/>
        </w:sectPr>
      </w:pPr>
      <w:r>
        <w:rPr>
          <w:rFonts w:hint="eastAsia" w:ascii="宋体" w:hAnsi="宋体" w:cs="宋体"/>
          <w:sz w:val="24"/>
        </w:rPr>
        <w:t>日期：   年    月   日</w:t>
      </w:r>
    </w:p>
    <w:p>
      <w:pPr>
        <w:pStyle w:val="4"/>
        <w:adjustRightInd w:val="0"/>
        <w:spacing w:line="360" w:lineRule="auto"/>
        <w:jc w:val="center"/>
        <w:textAlignment w:val="baseline"/>
        <w:rPr>
          <w:rFonts w:ascii="宋体" w:hAnsi="宋体" w:eastAsia="宋体" w:cs="仿宋_GB2312"/>
        </w:rPr>
      </w:pPr>
      <w:bookmarkStart w:id="298" w:name="_Toc32414"/>
      <w:r>
        <w:rPr>
          <w:rFonts w:hint="eastAsia" w:ascii="宋体" w:hAnsi="宋体" w:eastAsia="宋体" w:cs="仿宋_GB2312"/>
        </w:rPr>
        <w:t>附件2 开标一览表</w:t>
      </w:r>
      <w:bookmarkEnd w:id="298"/>
    </w:p>
    <w:tbl>
      <w:tblPr>
        <w:tblStyle w:val="22"/>
        <w:tblW w:w="8565"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5"/>
        <w:gridCol w:w="610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tcBorders>
              <w:bottom w:val="single" w:color="auto" w:sz="4" w:space="0"/>
            </w:tcBorders>
            <w:vAlign w:val="center"/>
          </w:tcPr>
          <w:p>
            <w:pPr>
              <w:jc w:val="center"/>
              <w:rPr>
                <w:rFonts w:ascii="宋体" w:hAnsi="宋体" w:cs="仿宋_GB2312"/>
                <w:caps/>
                <w:sz w:val="24"/>
              </w:rPr>
            </w:pPr>
            <w:r>
              <w:rPr>
                <w:rFonts w:hint="eastAsia" w:ascii="宋体" w:hAnsi="宋体" w:cs="仿宋_GB2312"/>
                <w:sz w:val="24"/>
              </w:rPr>
              <w:t>项目名称</w:t>
            </w:r>
          </w:p>
        </w:tc>
        <w:tc>
          <w:tcPr>
            <w:tcW w:w="6100" w:type="dxa"/>
            <w:vAlign w:val="center"/>
          </w:tcPr>
          <w:p>
            <w:pPr>
              <w:jc w:val="center"/>
              <w:rPr>
                <w:rFonts w:ascii="宋体" w:hAnsi="宋体" w:cs="仿宋_GB2312"/>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tcBorders>
              <w:bottom w:val="single" w:color="auto" w:sz="4" w:space="0"/>
            </w:tcBorders>
            <w:vAlign w:val="center"/>
          </w:tcPr>
          <w:p>
            <w:pPr>
              <w:jc w:val="center"/>
              <w:rPr>
                <w:rFonts w:ascii="宋体" w:hAnsi="宋体" w:cs="仿宋_GB2312"/>
                <w:sz w:val="24"/>
              </w:rPr>
            </w:pPr>
            <w:r>
              <w:rPr>
                <w:rFonts w:hint="eastAsia" w:ascii="宋体" w:hAnsi="宋体" w:cs="仿宋_GB2312"/>
                <w:sz w:val="24"/>
              </w:rPr>
              <w:t>项目编号</w:t>
            </w:r>
          </w:p>
        </w:tc>
        <w:tc>
          <w:tcPr>
            <w:tcW w:w="6100" w:type="dxa"/>
            <w:tcBorders>
              <w:bottom w:val="single" w:color="auto" w:sz="4" w:space="0"/>
            </w:tcBorders>
            <w:vAlign w:val="center"/>
          </w:tcPr>
          <w:p>
            <w:pPr>
              <w:rPr>
                <w:rFonts w:ascii="宋体" w:hAnsi="宋体" w:cs="仿宋_GB2312"/>
                <w:caps/>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tcBorders>
              <w:bottom w:val="single" w:color="auto" w:sz="4" w:space="0"/>
            </w:tcBorders>
            <w:vAlign w:val="center"/>
          </w:tcPr>
          <w:p>
            <w:pPr>
              <w:jc w:val="center"/>
              <w:rPr>
                <w:rFonts w:ascii="宋体" w:hAnsi="宋体" w:cs="仿宋_GB2312"/>
                <w:sz w:val="24"/>
              </w:rPr>
            </w:pPr>
            <w:r>
              <w:rPr>
                <w:rFonts w:hint="eastAsia" w:ascii="宋体" w:hAnsi="宋体" w:cs="仿宋_GB2312"/>
                <w:sz w:val="24"/>
              </w:rPr>
              <w:t>供应商</w:t>
            </w:r>
          </w:p>
        </w:tc>
        <w:tc>
          <w:tcPr>
            <w:tcW w:w="6100" w:type="dxa"/>
            <w:tcBorders>
              <w:bottom w:val="single" w:color="auto" w:sz="4" w:space="0"/>
            </w:tcBorders>
            <w:vAlign w:val="center"/>
          </w:tcPr>
          <w:p>
            <w:pPr>
              <w:rPr>
                <w:rFonts w:ascii="宋体" w:hAnsi="宋体" w:cs="仿宋_GB2312"/>
                <w:caps/>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vAlign w:val="center"/>
          </w:tcPr>
          <w:p>
            <w:pPr>
              <w:jc w:val="center"/>
              <w:rPr>
                <w:rFonts w:ascii="宋体" w:hAnsi="宋体" w:cs="仿宋_GB2312"/>
                <w:sz w:val="24"/>
              </w:rPr>
            </w:pPr>
            <w:r>
              <w:rPr>
                <w:rFonts w:hint="eastAsia" w:ascii="宋体" w:hAnsi="宋体" w:cs="仿宋_GB2312"/>
                <w:sz w:val="24"/>
              </w:rPr>
              <w:t xml:space="preserve"> 投标报价</w:t>
            </w:r>
          </w:p>
          <w:p>
            <w:pPr>
              <w:jc w:val="center"/>
              <w:rPr>
                <w:rFonts w:ascii="宋体" w:hAnsi="宋体" w:cs="仿宋_GB2312"/>
                <w:sz w:val="24"/>
              </w:rPr>
            </w:pPr>
            <w:r>
              <w:rPr>
                <w:rFonts w:hint="eastAsia" w:ascii="宋体" w:hAnsi="宋体" w:cs="仿宋_GB2312"/>
                <w:sz w:val="24"/>
              </w:rPr>
              <w:t>（人民币）</w:t>
            </w:r>
          </w:p>
        </w:tc>
        <w:tc>
          <w:tcPr>
            <w:tcW w:w="6100" w:type="dxa"/>
            <w:vAlign w:val="center"/>
          </w:tcPr>
          <w:p>
            <w:pPr>
              <w:rPr>
                <w:rFonts w:ascii="宋体" w:hAnsi="宋体" w:cs="仿宋_GB2312"/>
                <w:sz w:val="24"/>
              </w:rPr>
            </w:pPr>
            <w:r>
              <w:rPr>
                <w:rFonts w:hint="eastAsia" w:ascii="宋体" w:hAnsi="宋体" w:cs="仿宋_GB2312"/>
                <w:sz w:val="24"/>
              </w:rPr>
              <w:t>小写金额：           元</w:t>
            </w:r>
          </w:p>
          <w:p>
            <w:pPr>
              <w:jc w:val="center"/>
              <w:rPr>
                <w:rFonts w:ascii="宋体" w:hAnsi="宋体" w:cs="仿宋_GB2312"/>
                <w:sz w:val="24"/>
              </w:rPr>
            </w:pPr>
          </w:p>
          <w:p>
            <w:pPr>
              <w:rPr>
                <w:rFonts w:ascii="宋体" w:hAnsi="宋体" w:cs="仿宋_GB2312"/>
                <w:sz w:val="24"/>
              </w:rPr>
            </w:pPr>
            <w:r>
              <w:rPr>
                <w:rFonts w:hint="eastAsia" w:ascii="宋体" w:hAnsi="宋体" w:cs="仿宋_GB2312"/>
                <w:sz w:val="24"/>
              </w:rPr>
              <w:t>大写金额：</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vAlign w:val="center"/>
          </w:tcPr>
          <w:p>
            <w:pPr>
              <w:jc w:val="center"/>
              <w:rPr>
                <w:rFonts w:ascii="宋体" w:hAnsi="宋体" w:cs="仿宋_GB2312"/>
                <w:sz w:val="24"/>
              </w:rPr>
            </w:pPr>
            <w:r>
              <w:rPr>
                <w:rFonts w:hint="eastAsia" w:ascii="宋体" w:hAnsi="宋体" w:cs="仿宋_GB2312"/>
                <w:sz w:val="24"/>
              </w:rPr>
              <w:t>质量标准</w:t>
            </w:r>
          </w:p>
        </w:tc>
        <w:tc>
          <w:tcPr>
            <w:tcW w:w="6100" w:type="dxa"/>
            <w:vAlign w:val="center"/>
          </w:tcPr>
          <w:p>
            <w:pPr>
              <w:rPr>
                <w:rFonts w:ascii="宋体" w:hAnsi="宋体" w:cs="仿宋_GB2312"/>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vAlign w:val="center"/>
          </w:tcPr>
          <w:p>
            <w:pPr>
              <w:jc w:val="center"/>
              <w:rPr>
                <w:rFonts w:ascii="宋体" w:hAnsi="宋体" w:cs="仿宋_GB2312"/>
                <w:sz w:val="24"/>
              </w:rPr>
            </w:pPr>
            <w:r>
              <w:rPr>
                <w:rFonts w:hint="eastAsia" w:ascii="宋体" w:hAnsi="宋体" w:cs="仿宋_GB2312"/>
                <w:sz w:val="24"/>
              </w:rPr>
              <w:t>工期是否响应</w:t>
            </w:r>
          </w:p>
        </w:tc>
        <w:tc>
          <w:tcPr>
            <w:tcW w:w="6100" w:type="dxa"/>
            <w:vAlign w:val="center"/>
          </w:tcPr>
          <w:p>
            <w:pPr>
              <w:rPr>
                <w:rFonts w:ascii="宋体" w:hAnsi="宋体" w:cs="仿宋_GB2312"/>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vAlign w:val="center"/>
          </w:tcPr>
          <w:p>
            <w:pPr>
              <w:jc w:val="center"/>
              <w:rPr>
                <w:rFonts w:ascii="宋体" w:hAnsi="宋体" w:cs="仿宋_GB2312"/>
                <w:sz w:val="24"/>
              </w:rPr>
            </w:pPr>
            <w:r>
              <w:rPr>
                <w:rFonts w:hint="eastAsia" w:ascii="宋体" w:hAnsi="宋体" w:cs="仿宋_GB2312"/>
                <w:sz w:val="24"/>
              </w:rPr>
              <w:t>付款方式是否响应</w:t>
            </w:r>
          </w:p>
        </w:tc>
        <w:tc>
          <w:tcPr>
            <w:tcW w:w="6100" w:type="dxa"/>
            <w:vAlign w:val="center"/>
          </w:tcPr>
          <w:p>
            <w:pPr>
              <w:spacing w:line="400" w:lineRule="atLeast"/>
              <w:rPr>
                <w:rFonts w:ascii="宋体" w:hAnsi="宋体" w:cs="仿宋_GB2312"/>
                <w:sz w:val="24"/>
                <w:szCs w:val="24"/>
                <w:u w:val="singl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34" w:hRule="atLeast"/>
        </w:trPr>
        <w:tc>
          <w:tcPr>
            <w:tcW w:w="2465" w:type="dxa"/>
            <w:vAlign w:val="center"/>
          </w:tcPr>
          <w:p>
            <w:pPr>
              <w:jc w:val="center"/>
              <w:rPr>
                <w:rFonts w:ascii="宋体" w:hAnsi="宋体" w:cs="仿宋_GB2312"/>
                <w:sz w:val="24"/>
              </w:rPr>
            </w:pPr>
            <w:r>
              <w:rPr>
                <w:rFonts w:ascii="宋体" w:hAnsi="宋体" w:cs="仿宋_GB2312"/>
                <w:sz w:val="24"/>
              </w:rPr>
              <w:t>备注</w:t>
            </w:r>
          </w:p>
        </w:tc>
        <w:tc>
          <w:tcPr>
            <w:tcW w:w="6100" w:type="dxa"/>
            <w:vAlign w:val="center"/>
          </w:tcPr>
          <w:p>
            <w:pPr>
              <w:spacing w:line="400" w:lineRule="atLeast"/>
              <w:rPr>
                <w:rFonts w:ascii="宋体" w:hAnsi="宋体" w:cs="仿宋_GB2312"/>
                <w:sz w:val="24"/>
              </w:rPr>
            </w:pPr>
          </w:p>
        </w:tc>
      </w:tr>
    </w:tbl>
    <w:p>
      <w:pPr>
        <w:rPr>
          <w:rFonts w:ascii="宋体" w:hAnsi="宋体" w:cs="仿宋_GB2312"/>
        </w:rPr>
      </w:pPr>
    </w:p>
    <w:p>
      <w:pPr>
        <w:spacing w:line="360" w:lineRule="auto"/>
        <w:rPr>
          <w:rFonts w:ascii="宋体" w:hAnsi="宋体" w:cs="仿宋_GB2312"/>
          <w:sz w:val="24"/>
        </w:rPr>
      </w:pPr>
      <w:r>
        <w:rPr>
          <w:rFonts w:hint="eastAsia" w:ascii="宋体" w:hAnsi="宋体" w:cs="仿宋_GB2312"/>
          <w:sz w:val="24"/>
        </w:rPr>
        <w:t>说明：1、</w:t>
      </w:r>
      <w:r>
        <w:rPr>
          <w:rFonts w:hint="eastAsia" w:ascii="宋体" w:hAnsi="宋体" w:cs="宋体"/>
          <w:bCs/>
          <w:sz w:val="24"/>
          <w:szCs w:val="24"/>
        </w:rPr>
        <w:t>供应商报价不能超出采购预算，超出采购预算视为无效报价。</w:t>
      </w:r>
    </w:p>
    <w:p>
      <w:pPr>
        <w:spacing w:line="360" w:lineRule="auto"/>
        <w:ind w:firstLine="720" w:firstLineChars="300"/>
        <w:rPr>
          <w:rFonts w:ascii="宋体" w:hAnsi="宋体" w:cs="宋体"/>
          <w:bCs/>
          <w:sz w:val="24"/>
          <w:szCs w:val="24"/>
        </w:rPr>
      </w:pPr>
      <w:r>
        <w:rPr>
          <w:rFonts w:hint="eastAsia" w:ascii="宋体" w:hAnsi="宋体"/>
          <w:sz w:val="24"/>
        </w:rPr>
        <w:t>2、</w:t>
      </w:r>
      <w:r>
        <w:rPr>
          <w:rFonts w:hint="eastAsia" w:ascii="宋体" w:hAnsi="宋体" w:cs="仿宋_GB2312"/>
          <w:sz w:val="24"/>
        </w:rPr>
        <w:t>工期、</w:t>
      </w:r>
      <w:r>
        <w:rPr>
          <w:rFonts w:hint="eastAsia" w:ascii="宋体" w:hAnsi="宋体" w:cs="宋体"/>
          <w:bCs/>
          <w:sz w:val="24"/>
          <w:szCs w:val="24"/>
        </w:rPr>
        <w:t>付款方式是否响应请填写“是”或者“否”。</w:t>
      </w:r>
    </w:p>
    <w:p>
      <w:pPr>
        <w:pStyle w:val="8"/>
      </w:pPr>
    </w:p>
    <w:p/>
    <w:p>
      <w:pPr>
        <w:rPr>
          <w:rFonts w:ascii="宋体" w:hAnsi="宋体" w:cs="仿宋_GB2312"/>
        </w:rPr>
      </w:pPr>
    </w:p>
    <w:p>
      <w:pPr>
        <w:spacing w:line="480" w:lineRule="auto"/>
        <w:ind w:right="480" w:firstLine="360" w:firstLineChars="150"/>
        <w:jc w:val="center"/>
        <w:rPr>
          <w:rFonts w:ascii="宋体" w:hAnsi="宋体" w:cs="宋体"/>
          <w:sz w:val="24"/>
        </w:rPr>
      </w:pPr>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ind w:firstLine="2400" w:firstLineChars="1000"/>
        <w:rPr>
          <w:rFonts w:ascii="宋体" w:hAnsi="宋体" w:cs="宋体"/>
          <w:sz w:val="24"/>
          <w:u w:val="single"/>
        </w:rPr>
      </w:pPr>
      <w:r>
        <w:rPr>
          <w:rFonts w:hint="eastAsia" w:ascii="宋体" w:hAnsi="宋体" w:cs="宋体"/>
          <w:sz w:val="24"/>
        </w:rPr>
        <w:t>日期：   年    月   日</w:t>
      </w:r>
    </w:p>
    <w:p>
      <w:pPr>
        <w:pStyle w:val="8"/>
      </w:pPr>
    </w:p>
    <w:p/>
    <w:bookmarkEnd w:id="296"/>
    <w:bookmarkEnd w:id="297"/>
    <w:p>
      <w:pPr>
        <w:pStyle w:val="4"/>
        <w:adjustRightInd w:val="0"/>
        <w:spacing w:line="360" w:lineRule="auto"/>
        <w:jc w:val="center"/>
        <w:textAlignment w:val="baseline"/>
        <w:rPr>
          <w:rFonts w:ascii="宋体" w:hAnsi="宋体" w:eastAsia="宋体" w:cs="仿宋_GB2312"/>
          <w:highlight w:val="none"/>
        </w:rPr>
      </w:pPr>
      <w:bookmarkStart w:id="299" w:name="_Toc27197"/>
      <w:bookmarkStart w:id="300" w:name="_Toc17116"/>
      <w:bookmarkStart w:id="301" w:name="_Toc16347"/>
      <w:r>
        <w:rPr>
          <w:rFonts w:hint="eastAsia" w:ascii="宋体" w:hAnsi="宋体" w:eastAsia="宋体" w:cs="仿宋_GB2312"/>
          <w:highlight w:val="none"/>
        </w:rPr>
        <w:t>附件</w:t>
      </w:r>
      <w:bookmarkEnd w:id="283"/>
      <w:bookmarkEnd w:id="284"/>
      <w:bookmarkEnd w:id="285"/>
      <w:bookmarkEnd w:id="286"/>
      <w:bookmarkEnd w:id="287"/>
      <w:bookmarkEnd w:id="288"/>
      <w:bookmarkEnd w:id="289"/>
      <w:bookmarkEnd w:id="299"/>
      <w:bookmarkEnd w:id="300"/>
      <w:bookmarkStart w:id="302" w:name="_Toc7696"/>
      <w:bookmarkStart w:id="303" w:name="_Toc17941"/>
      <w:bookmarkStart w:id="304" w:name="_Toc423025063"/>
      <w:bookmarkStart w:id="305" w:name="_Toc3660"/>
      <w:bookmarkStart w:id="306" w:name="_Toc9933"/>
      <w:bookmarkStart w:id="307" w:name="_Toc497711597"/>
      <w:bookmarkStart w:id="308" w:name="_Toc497551832"/>
      <w:bookmarkStart w:id="309" w:name="_Toc497712145"/>
      <w:bookmarkStart w:id="310" w:name="_Toc497546930"/>
      <w:bookmarkStart w:id="311" w:name="_Toc492955471"/>
      <w:bookmarkStart w:id="312" w:name="_Toc454306452"/>
      <w:bookmarkStart w:id="313" w:name="_Toc454790732"/>
      <w:r>
        <w:rPr>
          <w:rFonts w:hint="eastAsia" w:ascii="宋体" w:hAnsi="宋体" w:eastAsia="宋体" w:cs="仿宋_GB2312"/>
          <w:highlight w:val="none"/>
        </w:rPr>
        <w:t>3 分项报价表</w:t>
      </w:r>
      <w:bookmarkEnd w:id="301"/>
      <w:bookmarkEnd w:id="302"/>
    </w:p>
    <w:p>
      <w:pPr>
        <w:spacing w:line="480" w:lineRule="auto"/>
        <w:ind w:right="480"/>
        <w:jc w:val="both"/>
        <w:rPr>
          <w:rFonts w:ascii="宋体" w:hAnsi="宋体" w:cs="宋体"/>
          <w:sz w:val="24"/>
          <w:szCs w:val="24"/>
        </w:rPr>
      </w:pPr>
    </w:p>
    <w:p>
      <w:pPr>
        <w:bidi w:val="0"/>
        <w:jc w:val="center"/>
        <w:rPr>
          <w:rFonts w:hint="default"/>
          <w:sz w:val="28"/>
          <w:szCs w:val="28"/>
          <w:lang w:val="en-US" w:eastAsia="zh-CN"/>
        </w:rPr>
      </w:pPr>
      <w:r>
        <w:rPr>
          <w:rFonts w:hint="eastAsia"/>
          <w:sz w:val="28"/>
          <w:szCs w:val="28"/>
          <w:lang w:val="en-US" w:eastAsia="zh-CN"/>
        </w:rPr>
        <w:t>表格参见采购内容及要求</w:t>
      </w:r>
    </w:p>
    <w:p>
      <w:pPr>
        <w:bidi w:val="0"/>
      </w:pPr>
    </w:p>
    <w:p>
      <w:pPr>
        <w:bidi w:val="0"/>
      </w:pPr>
    </w:p>
    <w:p>
      <w:pPr>
        <w:bidi w:val="0"/>
      </w:pPr>
    </w:p>
    <w:p>
      <w:pPr>
        <w:bidi w:val="0"/>
      </w:pPr>
    </w:p>
    <w:p>
      <w:pPr>
        <w:pStyle w:val="2"/>
        <w:numPr>
          <w:ilvl w:val="3"/>
          <w:numId w:val="0"/>
        </w:numPr>
        <w:ind w:left="864" w:leftChars="0"/>
      </w:pPr>
    </w:p>
    <w:p>
      <w:pPr>
        <w:spacing w:line="480" w:lineRule="auto"/>
        <w:ind w:right="480" w:firstLine="360" w:firstLineChars="150"/>
        <w:jc w:val="center"/>
        <w:rPr>
          <w:rFonts w:ascii="宋体" w:hAnsi="宋体" w:cs="宋体"/>
          <w:sz w:val="24"/>
        </w:rPr>
      </w:pPr>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法定代表人或被授权代表签字/盖章：</w:t>
      </w:r>
    </w:p>
    <w:p>
      <w:pPr>
        <w:ind w:firstLine="2400" w:firstLineChars="1000"/>
        <w:rPr>
          <w:rFonts w:ascii="宋体" w:hAnsi="宋体" w:cs="宋体"/>
          <w:sz w:val="24"/>
          <w:u w:val="single"/>
        </w:rPr>
      </w:pPr>
      <w:r>
        <w:rPr>
          <w:rFonts w:hint="eastAsia" w:ascii="宋体" w:hAnsi="宋体" w:cs="宋体"/>
          <w:sz w:val="24"/>
        </w:rPr>
        <w:t>日期：      年     月   日</w:t>
      </w:r>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4"/>
        <w:adjustRightInd w:val="0"/>
        <w:spacing w:line="360" w:lineRule="auto"/>
        <w:jc w:val="center"/>
        <w:textAlignment w:val="baseline"/>
        <w:rPr>
          <w:rFonts w:ascii="宋体" w:hAnsi="宋体" w:eastAsia="宋体" w:cs="仿宋_GB2312"/>
        </w:rPr>
      </w:pPr>
      <w:bookmarkStart w:id="314" w:name="_Toc22365"/>
      <w:r>
        <w:rPr>
          <w:rFonts w:hint="eastAsia" w:ascii="宋体" w:hAnsi="宋体" w:eastAsia="宋体" w:cs="仿宋_GB2312"/>
        </w:rPr>
        <w:t>附件</w:t>
      </w:r>
      <w:r>
        <w:rPr>
          <w:rFonts w:hint="eastAsia" w:ascii="宋体" w:hAnsi="宋体" w:eastAsia="宋体" w:cs="仿宋_GB2312"/>
          <w:lang w:val="en-US" w:eastAsia="zh-CN"/>
        </w:rPr>
        <w:t>4</w:t>
      </w:r>
      <w:r>
        <w:rPr>
          <w:rFonts w:hint="eastAsia" w:ascii="宋体" w:hAnsi="宋体" w:eastAsia="宋体" w:cs="仿宋_GB2312"/>
        </w:rPr>
        <w:t xml:space="preserve"> </w:t>
      </w:r>
      <w:r>
        <w:rPr>
          <w:rFonts w:hint="eastAsia" w:ascii="宋体" w:hAnsi="宋体" w:eastAsia="宋体" w:cs="宋体"/>
          <w:color w:val="000000" w:themeColor="text1"/>
          <w:highlight w:val="none"/>
        </w:rPr>
        <w:t>授权委托书</w:t>
      </w:r>
      <w:bookmarkEnd w:id="314"/>
    </w:p>
    <w:p>
      <w:pPr>
        <w:keepNext w:val="0"/>
        <w:keepLines w:val="0"/>
        <w:pageBreakBefore w:val="0"/>
        <w:wordWrap/>
        <w:overflowPunct/>
        <w:autoSpaceDE w:val="0"/>
        <w:autoSpaceDN w:val="0"/>
        <w:bidi w:val="0"/>
        <w:adjustRightInd w:val="0"/>
        <w:spacing w:line="360" w:lineRule="auto"/>
        <w:jc w:val="center"/>
        <w:rPr>
          <w:rFonts w:ascii="宋体" w:hAnsi="宋体" w:cs="宋体"/>
          <w:b/>
          <w:bCs/>
          <w:color w:val="000000"/>
          <w:sz w:val="32"/>
          <w:szCs w:val="32"/>
        </w:rPr>
      </w:pPr>
      <w:r>
        <w:rPr>
          <w:rFonts w:hint="eastAsia" w:ascii="宋体" w:hAnsi="宋体" w:cs="宋体"/>
          <w:b/>
          <w:bCs/>
          <w:color w:val="000000"/>
          <w:sz w:val="32"/>
          <w:szCs w:val="32"/>
        </w:rPr>
        <w:t>法定代表人身份证明书</w:t>
      </w:r>
      <w:r>
        <w:rPr>
          <w:rFonts w:hint="eastAsia" w:ascii="宋体" w:hAnsi="宋体" w:cs="仿宋_GB2312"/>
          <w:b/>
          <w:bCs/>
          <w:color w:val="auto"/>
          <w:kern w:val="2"/>
          <w:sz w:val="32"/>
          <w:szCs w:val="32"/>
        </w:rPr>
        <w:t>（格式）</w:t>
      </w:r>
    </w:p>
    <w:p>
      <w:pPr>
        <w:keepNext w:val="0"/>
        <w:keepLines w:val="0"/>
        <w:pageBreakBefore w:val="0"/>
        <w:wordWrap/>
        <w:overflowPunct/>
        <w:bidi w:val="0"/>
        <w:spacing w:line="360" w:lineRule="auto"/>
        <w:rPr>
          <w:rFonts w:ascii="宋体" w:hAnsi="宋体"/>
          <w:color w:val="000000"/>
          <w:sz w:val="24"/>
          <w:szCs w:val="24"/>
        </w:rPr>
      </w:pPr>
      <w:r>
        <w:rPr>
          <w:rFonts w:hint="eastAsia" w:ascii="宋体" w:hAnsi="宋体" w:cs="Times New Roman"/>
          <w:color w:val="000000"/>
          <w:sz w:val="24"/>
          <w:szCs w:val="24"/>
          <w:lang w:val="en-US" w:eastAsia="zh-CN"/>
        </w:rPr>
        <w:t>供应商</w:t>
      </w:r>
      <w:r>
        <w:rPr>
          <w:rFonts w:hint="eastAsia" w:ascii="宋体" w:hAnsi="宋体"/>
          <w:color w:val="000000"/>
          <w:sz w:val="24"/>
          <w:szCs w:val="24"/>
        </w:rPr>
        <w:t>名称：</w:t>
      </w:r>
      <w:r>
        <w:rPr>
          <w:rFonts w:ascii="宋体" w:hAnsi="宋体"/>
          <w:color w:val="000000"/>
          <w:sz w:val="24"/>
          <w:szCs w:val="24"/>
          <w:u w:val="single"/>
        </w:rPr>
        <w:t xml:space="preserve">                            </w:t>
      </w:r>
      <w:r>
        <w:rPr>
          <w:rFonts w:ascii="宋体" w:hAnsi="宋体"/>
          <w:color w:val="000000"/>
          <w:sz w:val="24"/>
          <w:szCs w:val="24"/>
        </w:rPr>
        <w:t xml:space="preserve"> </w:t>
      </w:r>
    </w:p>
    <w:p>
      <w:pPr>
        <w:keepNext w:val="0"/>
        <w:keepLines w:val="0"/>
        <w:pageBreakBefore w:val="0"/>
        <w:wordWrap/>
        <w:overflowPunct/>
        <w:bidi w:val="0"/>
        <w:spacing w:line="360" w:lineRule="auto"/>
        <w:rPr>
          <w:rFonts w:ascii="宋体" w:hAnsi="宋体"/>
          <w:color w:val="000000"/>
          <w:sz w:val="24"/>
          <w:szCs w:val="24"/>
        </w:rPr>
      </w:pPr>
      <w:r>
        <w:rPr>
          <w:rFonts w:hint="eastAsia" w:ascii="宋体" w:hAnsi="宋体"/>
          <w:color w:val="000000"/>
          <w:sz w:val="24"/>
          <w:szCs w:val="24"/>
        </w:rPr>
        <w:t>单位性质：</w:t>
      </w:r>
      <w:r>
        <w:rPr>
          <w:rFonts w:ascii="宋体" w:hAnsi="宋体"/>
          <w:color w:val="000000"/>
          <w:sz w:val="24"/>
          <w:szCs w:val="24"/>
          <w:u w:val="single"/>
        </w:rPr>
        <w:t xml:space="preserve">                               </w:t>
      </w:r>
      <w:r>
        <w:rPr>
          <w:rFonts w:ascii="宋体" w:hAnsi="宋体"/>
          <w:color w:val="000000"/>
          <w:sz w:val="24"/>
          <w:szCs w:val="24"/>
        </w:rPr>
        <w:t xml:space="preserve"> </w:t>
      </w:r>
    </w:p>
    <w:p>
      <w:pPr>
        <w:keepNext w:val="0"/>
        <w:keepLines w:val="0"/>
        <w:pageBreakBefore w:val="0"/>
        <w:wordWrap/>
        <w:overflowPunct/>
        <w:bidi w:val="0"/>
        <w:spacing w:line="360" w:lineRule="auto"/>
        <w:rPr>
          <w:rFonts w:ascii="宋体" w:hAnsi="宋体"/>
          <w:color w:val="000000"/>
          <w:sz w:val="24"/>
          <w:szCs w:val="24"/>
        </w:rPr>
      </w:pPr>
      <w:r>
        <w:rPr>
          <w:rFonts w:hint="eastAsia" w:ascii="宋体" w:hAnsi="宋体"/>
          <w:color w:val="000000"/>
          <w:sz w:val="24"/>
          <w:szCs w:val="24"/>
        </w:rPr>
        <w:t>地址：</w:t>
      </w:r>
      <w:r>
        <w:rPr>
          <w:rFonts w:ascii="宋体" w:hAnsi="宋体"/>
          <w:color w:val="000000"/>
          <w:sz w:val="24"/>
          <w:szCs w:val="24"/>
          <w:u w:val="single"/>
        </w:rPr>
        <w:t xml:space="preserve">                                   </w:t>
      </w:r>
    </w:p>
    <w:p>
      <w:pPr>
        <w:keepNext w:val="0"/>
        <w:keepLines w:val="0"/>
        <w:pageBreakBefore w:val="0"/>
        <w:wordWrap/>
        <w:overflowPunct/>
        <w:bidi w:val="0"/>
        <w:spacing w:line="360" w:lineRule="auto"/>
        <w:rPr>
          <w:rFonts w:ascii="宋体" w:hAnsi="宋体"/>
          <w:color w:val="000000"/>
          <w:sz w:val="24"/>
          <w:szCs w:val="24"/>
        </w:rPr>
      </w:pPr>
      <w:r>
        <w:rPr>
          <w:rFonts w:hint="eastAsia" w:ascii="宋体" w:hAnsi="宋体"/>
          <w:color w:val="000000"/>
          <w:sz w:val="24"/>
          <w:szCs w:val="24"/>
        </w:rPr>
        <w:t>成立时间：</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月</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日</w:t>
      </w:r>
    </w:p>
    <w:p>
      <w:pPr>
        <w:keepNext w:val="0"/>
        <w:keepLines w:val="0"/>
        <w:pageBreakBefore w:val="0"/>
        <w:wordWrap/>
        <w:overflowPunct/>
        <w:bidi w:val="0"/>
        <w:spacing w:line="360" w:lineRule="auto"/>
        <w:rPr>
          <w:rFonts w:ascii="宋体" w:hAnsi="宋体"/>
          <w:color w:val="000000"/>
          <w:sz w:val="24"/>
          <w:szCs w:val="24"/>
        </w:rPr>
      </w:pPr>
      <w:r>
        <w:rPr>
          <w:rFonts w:hint="eastAsia" w:ascii="宋体" w:hAnsi="宋体"/>
          <w:color w:val="000000"/>
          <w:sz w:val="24"/>
          <w:szCs w:val="24"/>
        </w:rPr>
        <w:t>经营期限：</w:t>
      </w:r>
      <w:r>
        <w:rPr>
          <w:rFonts w:ascii="宋体" w:hAnsi="宋体"/>
          <w:color w:val="000000"/>
          <w:sz w:val="24"/>
          <w:szCs w:val="24"/>
          <w:u w:val="single"/>
        </w:rPr>
        <w:t xml:space="preserve">                               </w:t>
      </w:r>
    </w:p>
    <w:p>
      <w:pPr>
        <w:keepNext w:val="0"/>
        <w:keepLines w:val="0"/>
        <w:pageBreakBefore w:val="0"/>
        <w:wordWrap/>
        <w:overflowPunct/>
        <w:bidi w:val="0"/>
        <w:spacing w:line="360" w:lineRule="auto"/>
        <w:ind w:left="315" w:hanging="360" w:hangingChars="150"/>
        <w:rPr>
          <w:rFonts w:ascii="宋体" w:hAnsi="宋体"/>
          <w:color w:val="000000"/>
          <w:sz w:val="24"/>
          <w:szCs w:val="24"/>
        </w:rPr>
      </w:pPr>
      <w:r>
        <w:rPr>
          <w:rFonts w:hint="eastAsia" w:ascii="宋体" w:hAnsi="宋体"/>
          <w:color w:val="000000"/>
          <w:sz w:val="24"/>
          <w:szCs w:val="24"/>
        </w:rPr>
        <w:t>姓名：</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性别：</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年龄：</w:t>
      </w:r>
      <w:r>
        <w:rPr>
          <w:rFonts w:ascii="宋体" w:hAnsi="宋体"/>
          <w:color w:val="000000"/>
          <w:sz w:val="24"/>
          <w:szCs w:val="24"/>
          <w:u w:val="single"/>
        </w:rPr>
        <w:t xml:space="preserve">        </w:t>
      </w:r>
      <w:r>
        <w:rPr>
          <w:rFonts w:hint="eastAsia" w:ascii="宋体" w:hAnsi="宋体"/>
          <w:color w:val="000000"/>
          <w:sz w:val="24"/>
          <w:szCs w:val="24"/>
        </w:rPr>
        <w:t>职务：</w:t>
      </w:r>
      <w:r>
        <w:rPr>
          <w:rFonts w:ascii="宋体" w:hAnsi="宋体"/>
          <w:color w:val="000000"/>
          <w:sz w:val="24"/>
          <w:szCs w:val="24"/>
          <w:u w:val="single"/>
        </w:rPr>
        <w:t xml:space="preserve">        </w:t>
      </w:r>
      <w:r>
        <w:rPr>
          <w:rFonts w:hint="eastAsia" w:ascii="宋体" w:hAnsi="宋体"/>
          <w:color w:val="000000"/>
          <w:sz w:val="24"/>
          <w:szCs w:val="24"/>
        </w:rPr>
        <w:t>系</w:t>
      </w:r>
      <w:r>
        <w:rPr>
          <w:rFonts w:ascii="宋体" w:hAnsi="宋体"/>
          <w:color w:val="000000"/>
          <w:sz w:val="24"/>
          <w:szCs w:val="24"/>
          <w:u w:val="single"/>
        </w:rPr>
        <w:t xml:space="preserve"> </w:t>
      </w:r>
      <w:r>
        <w:rPr>
          <w:rFonts w:ascii="宋体" w:hAnsi="宋体"/>
          <w:color w:val="000000"/>
          <w:sz w:val="24"/>
          <w:szCs w:val="24"/>
        </w:rPr>
        <w:t xml:space="preserve">     </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u w:val="single"/>
        </w:rPr>
        <w:t>（</w:t>
      </w:r>
      <w:r>
        <w:rPr>
          <w:rFonts w:hint="eastAsia" w:ascii="宋体" w:hAnsi="宋体"/>
          <w:color w:val="000000"/>
          <w:sz w:val="24"/>
          <w:szCs w:val="24"/>
          <w:u w:val="single"/>
          <w:lang w:val="en-US" w:eastAsia="zh-CN"/>
        </w:rPr>
        <w:t>供应商</w:t>
      </w:r>
      <w:r>
        <w:rPr>
          <w:rFonts w:hint="eastAsia" w:ascii="宋体" w:hAnsi="宋体"/>
          <w:color w:val="000000"/>
          <w:sz w:val="24"/>
          <w:szCs w:val="24"/>
          <w:u w:val="single"/>
        </w:rPr>
        <w:t>名称）</w:t>
      </w:r>
      <w:r>
        <w:rPr>
          <w:rFonts w:hint="eastAsia" w:ascii="宋体" w:hAnsi="宋体"/>
          <w:color w:val="000000"/>
          <w:sz w:val="24"/>
          <w:szCs w:val="24"/>
        </w:rPr>
        <w:t>的法定代表人。</w:t>
      </w:r>
    </w:p>
    <w:p>
      <w:pPr>
        <w:keepNext w:val="0"/>
        <w:keepLines w:val="0"/>
        <w:pageBreakBefore w:val="0"/>
        <w:wordWrap/>
        <w:overflowPunct/>
        <w:bidi w:val="0"/>
        <w:spacing w:line="360" w:lineRule="auto"/>
        <w:ind w:firstLine="480" w:firstLineChars="200"/>
        <w:rPr>
          <w:rFonts w:ascii="宋体" w:hAnsi="宋体"/>
          <w:color w:val="000000"/>
          <w:sz w:val="24"/>
          <w:szCs w:val="24"/>
        </w:rPr>
      </w:pPr>
      <w:r>
        <w:rPr>
          <w:rFonts w:hint="eastAsia" w:ascii="宋体" w:hAnsi="宋体"/>
          <w:color w:val="000000"/>
          <w:sz w:val="24"/>
          <w:szCs w:val="24"/>
        </w:rPr>
        <w:t>特此证明。</w:t>
      </w:r>
    </w:p>
    <w:p>
      <w:pPr>
        <w:keepNext w:val="0"/>
        <w:keepLines w:val="0"/>
        <w:pageBreakBefore w:val="0"/>
        <w:wordWrap/>
        <w:overflowPunct/>
        <w:bidi w:val="0"/>
        <w:spacing w:line="360" w:lineRule="auto"/>
        <w:rPr>
          <w:rFonts w:ascii="宋体" w:hAnsi="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0" w:firstLineChars="1000"/>
        <w:jc w:val="left"/>
        <w:textAlignment w:val="auto"/>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s="仿宋_GB2312"/>
          <w:color w:val="000000"/>
          <w:sz w:val="24"/>
          <w:szCs w:val="24"/>
        </w:rPr>
        <w:t>供</w:t>
      </w:r>
      <w:r>
        <w:rPr>
          <w:rFonts w:hint="eastAsia" w:ascii="宋体" w:hAnsi="宋体" w:cs="仿宋_GB2312"/>
          <w:color w:val="000000"/>
          <w:sz w:val="24"/>
          <w:szCs w:val="24"/>
          <w:lang w:val="en-US" w:eastAsia="zh-CN"/>
        </w:rPr>
        <w:t xml:space="preserve">    </w:t>
      </w:r>
      <w:r>
        <w:rPr>
          <w:rFonts w:hint="eastAsia" w:ascii="宋体" w:hAnsi="宋体" w:cs="仿宋_GB2312"/>
          <w:color w:val="000000"/>
          <w:sz w:val="24"/>
          <w:szCs w:val="24"/>
        </w:rPr>
        <w:t>应</w:t>
      </w:r>
      <w:r>
        <w:rPr>
          <w:rFonts w:hint="eastAsia" w:ascii="宋体" w:hAnsi="宋体" w:cs="仿宋_GB2312"/>
          <w:color w:val="000000"/>
          <w:sz w:val="24"/>
          <w:szCs w:val="24"/>
          <w:lang w:val="en-US" w:eastAsia="zh-CN"/>
        </w:rPr>
        <w:t xml:space="preserve">    </w:t>
      </w:r>
      <w:r>
        <w:rPr>
          <w:rFonts w:hint="eastAsia" w:ascii="宋体" w:hAnsi="宋体" w:cs="仿宋_GB2312"/>
          <w:color w:val="000000"/>
          <w:sz w:val="24"/>
          <w:szCs w:val="24"/>
        </w:rPr>
        <w:t>商</w:t>
      </w:r>
      <w:r>
        <w:rPr>
          <w:rFonts w:hint="eastAsia" w:ascii="宋体" w:hAnsi="宋体"/>
          <w:color w:val="000000"/>
          <w:sz w:val="24"/>
          <w:szCs w:val="24"/>
        </w:rPr>
        <w:t>：</w:t>
      </w:r>
      <w:r>
        <w:rPr>
          <w:rFonts w:hint="eastAsia" w:ascii="宋体" w:hAnsi="宋体" w:cs="仿宋_GB2312"/>
          <w:color w:val="000000"/>
          <w:sz w:val="24"/>
          <w:szCs w:val="24"/>
          <w:u w:val="single"/>
        </w:rPr>
        <w:t>（公章）</w:t>
      </w:r>
      <w:r>
        <w:rPr>
          <w:rFonts w:ascii="宋体" w:hAnsi="宋体"/>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3112" w:leftChars="1482" w:firstLine="2400" w:firstLineChars="1000"/>
        <w:jc w:val="left"/>
        <w:textAlignment w:val="auto"/>
        <w:rPr>
          <w:rFonts w:hint="eastAsia" w:ascii="宋体" w:hAnsi="宋体"/>
          <w:color w:val="000000"/>
          <w:sz w:val="24"/>
          <w:szCs w:val="24"/>
        </w:rPr>
      </w:pPr>
      <w:r>
        <w:rPr>
          <w:rFonts w:hint="eastAsia" w:ascii="宋体" w:hAnsi="宋体"/>
          <w:color w:val="000000"/>
          <w:sz w:val="24"/>
          <w:szCs w:val="24"/>
          <w:lang w:val="en-US" w:eastAsia="zh-CN"/>
        </w:rPr>
        <w:t>日          期：</w:t>
      </w:r>
      <w:r>
        <w:rPr>
          <w:rFonts w:ascii="宋体" w:hAnsi="宋体"/>
          <w:color w:val="000000"/>
          <w:sz w:val="24"/>
          <w:szCs w:val="24"/>
        </w:rPr>
        <w:t xml:space="preserve">     </w:t>
      </w:r>
    </w:p>
    <w:p>
      <w:pPr>
        <w:pStyle w:val="13"/>
        <w:keepNext w:val="0"/>
        <w:keepLines w:val="0"/>
        <w:pageBreakBefore w:val="0"/>
        <w:wordWrap/>
        <w:overflowPunct/>
        <w:bidi w:val="0"/>
        <w:spacing w:line="360" w:lineRule="auto"/>
        <w:rPr>
          <w:rFonts w:ascii="宋体" w:hAnsi="宋体" w:cs="黑体"/>
          <w:color w:val="000000"/>
          <w:sz w:val="24"/>
          <w:szCs w:val="24"/>
        </w:rPr>
      </w:pPr>
      <w:r>
        <w:rPr>
          <w:rFonts w:hint="eastAsia" w:ascii="宋体" w:hAnsi="宋体" w:cs="黑体"/>
          <w:color w:val="000000"/>
          <w:sz w:val="24"/>
          <w:szCs w:val="24"/>
        </w:rPr>
        <w:t>附法定代表人身份证复印件正反面：</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4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bidi w:val="0"/>
              <w:spacing w:line="360" w:lineRule="auto"/>
              <w:jc w:val="center"/>
              <w:rPr>
                <w:rFonts w:hint="eastAsia" w:ascii="宋体" w:hAnsi="宋体"/>
                <w:color w:val="000000"/>
                <w:sz w:val="24"/>
                <w:szCs w:val="24"/>
              </w:rPr>
            </w:pPr>
            <w:r>
              <w:rPr>
                <w:rFonts w:hint="eastAsia" w:ascii="宋体" w:hAnsi="宋体"/>
                <w:color w:val="000000"/>
                <w:sz w:val="24"/>
                <w:szCs w:val="24"/>
              </w:rPr>
              <w:t>法定代表人身份证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2" w:hRule="atLeast"/>
          <w:jc w:val="center"/>
        </w:trPr>
        <w:tc>
          <w:tcPr>
            <w:tcW w:w="4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bidi w:val="0"/>
              <w:spacing w:line="360" w:lineRule="auto"/>
              <w:jc w:val="center"/>
              <w:rPr>
                <w:rFonts w:hint="eastAsia" w:ascii="宋体" w:hAnsi="宋体"/>
                <w:color w:val="000000"/>
                <w:szCs w:val="21"/>
              </w:rPr>
            </w:pPr>
            <w:r>
              <w:rPr>
                <w:rFonts w:hint="eastAsia" w:ascii="宋体" w:hAnsi="宋体"/>
                <w:color w:val="000000"/>
                <w:sz w:val="24"/>
                <w:szCs w:val="24"/>
              </w:rPr>
              <w:t>法定代表人身份证</w:t>
            </w:r>
          </w:p>
        </w:tc>
      </w:tr>
    </w:tbl>
    <w:p>
      <w:pPr>
        <w:rPr>
          <w:rFonts w:hint="eastAsia" w:ascii="宋体" w:hAnsi="宋体" w:cs="仿宋_GB2312"/>
          <w:sz w:val="24"/>
        </w:rPr>
      </w:pPr>
    </w:p>
    <w:p>
      <w:pPr>
        <w:rPr>
          <w:rFonts w:hint="eastAsia" w:ascii="宋体" w:hAnsi="宋体" w:cs="仿宋_GB2312"/>
          <w:b/>
          <w:bCs/>
          <w:color w:val="auto"/>
          <w:kern w:val="2"/>
          <w:sz w:val="32"/>
          <w:szCs w:val="32"/>
        </w:rPr>
      </w:pPr>
      <w:r>
        <w:rPr>
          <w:rFonts w:hint="eastAsia" w:ascii="宋体" w:hAnsi="宋体" w:cs="仿宋_GB2312"/>
          <w:b/>
          <w:bCs/>
          <w:color w:val="auto"/>
          <w:kern w:val="2"/>
          <w:sz w:val="32"/>
          <w:szCs w:val="32"/>
        </w:rPr>
        <w:br w:type="page"/>
      </w:r>
    </w:p>
    <w:p>
      <w:pPr>
        <w:pStyle w:val="1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cs="仿宋_GB2312"/>
          <w:b/>
          <w:bCs/>
          <w:color w:val="auto"/>
          <w:kern w:val="2"/>
          <w:sz w:val="32"/>
          <w:szCs w:val="32"/>
        </w:rPr>
      </w:pPr>
      <w:r>
        <w:rPr>
          <w:rFonts w:hint="eastAsia" w:ascii="宋体" w:hAnsi="宋体" w:cs="仿宋_GB2312"/>
          <w:b/>
          <w:bCs/>
          <w:color w:val="auto"/>
          <w:kern w:val="2"/>
          <w:sz w:val="32"/>
          <w:szCs w:val="32"/>
        </w:rPr>
        <w:t>法定代表人授权书（格式）</w:t>
      </w:r>
    </w:p>
    <w:p>
      <w:pPr>
        <w:tabs>
          <w:tab w:val="left" w:pos="8820"/>
        </w:tabs>
        <w:spacing w:line="360" w:lineRule="auto"/>
        <w:ind w:firstLine="570"/>
        <w:rPr>
          <w:rFonts w:hint="eastAsia" w:ascii="宋体" w:hAnsi="宋体" w:cs="仿宋_GB2312"/>
          <w:sz w:val="24"/>
        </w:rPr>
      </w:pPr>
    </w:p>
    <w:p>
      <w:pPr>
        <w:tabs>
          <w:tab w:val="left" w:pos="8820"/>
        </w:tabs>
        <w:spacing w:line="360" w:lineRule="auto"/>
        <w:ind w:firstLine="570"/>
        <w:rPr>
          <w:rFonts w:ascii="宋体" w:hAnsi="宋体" w:cs="仿宋_GB2312"/>
          <w:sz w:val="24"/>
        </w:rPr>
      </w:pPr>
      <w:r>
        <w:rPr>
          <w:rFonts w:hint="eastAsia" w:ascii="宋体" w:hAnsi="宋体" w:cs="仿宋_GB2312"/>
          <w:sz w:val="24"/>
        </w:rPr>
        <w:t>本授权委托书声明：我</w:t>
      </w:r>
      <w:r>
        <w:rPr>
          <w:rFonts w:hint="eastAsia" w:ascii="宋体" w:hAnsi="宋体" w:cs="仿宋_GB2312"/>
          <w:sz w:val="24"/>
          <w:u w:val="single"/>
        </w:rPr>
        <w:t>（法定代表人姓名）</w:t>
      </w:r>
      <w:r>
        <w:rPr>
          <w:rFonts w:hint="eastAsia" w:ascii="宋体" w:hAnsi="宋体" w:cs="仿宋_GB2312"/>
          <w:sz w:val="24"/>
        </w:rPr>
        <w:t>系注册于</w:t>
      </w:r>
      <w:r>
        <w:rPr>
          <w:rFonts w:hint="eastAsia" w:ascii="宋体" w:hAnsi="宋体" w:cs="仿宋_GB2312"/>
          <w:sz w:val="24"/>
          <w:u w:val="single"/>
        </w:rPr>
        <w:t xml:space="preserve">   （供应商地址） </w:t>
      </w:r>
      <w:r>
        <w:rPr>
          <w:rFonts w:hint="eastAsia" w:ascii="宋体" w:hAnsi="宋体" w:cs="仿宋_GB2312"/>
          <w:sz w:val="24"/>
        </w:rPr>
        <w:t>的</w:t>
      </w:r>
      <w:r>
        <w:rPr>
          <w:rFonts w:hint="eastAsia" w:ascii="宋体" w:hAnsi="宋体" w:cs="仿宋_GB2312"/>
          <w:sz w:val="24"/>
          <w:u w:val="single"/>
        </w:rPr>
        <w:t xml:space="preserve">    （供应商名称） </w:t>
      </w:r>
      <w:r>
        <w:rPr>
          <w:rFonts w:hint="eastAsia" w:ascii="宋体" w:hAnsi="宋体" w:cs="仿宋_GB2312"/>
          <w:sz w:val="24"/>
        </w:rPr>
        <w:t>的法定代表人，现代表公司授权下面签字的</w:t>
      </w:r>
      <w:r>
        <w:rPr>
          <w:rFonts w:hint="eastAsia" w:ascii="宋体" w:hAnsi="宋体" w:cs="仿宋_GB2312"/>
          <w:sz w:val="24"/>
          <w:u w:val="single"/>
        </w:rPr>
        <w:t>（被授权人的姓名、职务）</w:t>
      </w:r>
      <w:r>
        <w:rPr>
          <w:rFonts w:hint="eastAsia" w:ascii="宋体" w:hAnsi="宋体" w:cs="仿宋_GB2312"/>
          <w:sz w:val="24"/>
        </w:rPr>
        <w:t>为我公司合法代理人，代表本公司参加</w:t>
      </w:r>
      <w:r>
        <w:rPr>
          <w:rFonts w:hint="eastAsia" w:ascii="宋体" w:hAnsi="宋体" w:cs="仿宋_GB2312"/>
          <w:sz w:val="24"/>
          <w:u w:val="single"/>
        </w:rPr>
        <w:t xml:space="preserve">  （采购项目名称） (采购项目编号)       </w:t>
      </w:r>
      <w:r>
        <w:rPr>
          <w:rFonts w:hint="eastAsia" w:ascii="宋体" w:hAnsi="宋体" w:cs="仿宋_GB2312"/>
          <w:sz w:val="24"/>
        </w:rPr>
        <w:t>的投标活动。代理人在本次投标中所签署的一切文件和处理的一切有关事物，我公司均予承认。</w:t>
      </w:r>
      <w:r>
        <w:rPr>
          <w:rFonts w:hint="eastAsia" w:ascii="宋体" w:hAnsi="宋体"/>
          <w:sz w:val="24"/>
        </w:rPr>
        <w:t>本授权书于 年月</w:t>
      </w:r>
      <w:r>
        <w:rPr>
          <w:rFonts w:hint="eastAsia" w:ascii="宋体" w:hAnsi="宋体"/>
          <w:sz w:val="24"/>
          <w:lang w:val="en-US" w:eastAsia="zh-CN"/>
        </w:rPr>
        <w:t xml:space="preserve"> </w:t>
      </w:r>
      <w:r>
        <w:rPr>
          <w:rFonts w:hint="eastAsia" w:ascii="宋体" w:hAnsi="宋体"/>
          <w:sz w:val="24"/>
        </w:rPr>
        <w:t>日签字/盖章生效特此声明。</w:t>
      </w:r>
    </w:p>
    <w:p>
      <w:pPr>
        <w:spacing w:line="360" w:lineRule="auto"/>
        <w:ind w:firstLine="480" w:firstLineChars="200"/>
        <w:rPr>
          <w:rFonts w:ascii="宋体" w:hAnsi="宋体" w:cs="仿宋_GB2312"/>
          <w:sz w:val="24"/>
        </w:rPr>
      </w:pPr>
      <w:r>
        <w:rPr>
          <w:rFonts w:hint="eastAsia" w:ascii="宋体" w:hAnsi="宋体" w:cs="宋体"/>
          <w:sz w:val="24"/>
        </w:rPr>
        <w:t>本授权书于 年</w:t>
      </w:r>
      <w:r>
        <w:rPr>
          <w:rFonts w:hint="eastAsia" w:ascii="宋体" w:hAnsi="宋体" w:cs="宋体"/>
          <w:sz w:val="24"/>
          <w:lang w:val="en-US" w:eastAsia="zh-CN"/>
        </w:rPr>
        <w:t xml:space="preserve"> </w:t>
      </w:r>
      <w:r>
        <w:rPr>
          <w:rFonts w:hint="eastAsia" w:ascii="宋体" w:hAnsi="宋体" w:cs="宋体"/>
          <w:sz w:val="24"/>
        </w:rPr>
        <w:t>月</w:t>
      </w:r>
      <w:r>
        <w:rPr>
          <w:rFonts w:hint="eastAsia" w:ascii="宋体" w:hAnsi="宋体" w:cs="宋体"/>
          <w:sz w:val="24"/>
          <w:lang w:val="en-US" w:eastAsia="zh-CN"/>
        </w:rPr>
        <w:t xml:space="preserve"> </w:t>
      </w:r>
      <w:r>
        <w:rPr>
          <w:rFonts w:hint="eastAsia" w:ascii="宋体" w:hAnsi="宋体" w:cs="宋体"/>
          <w:sz w:val="24"/>
        </w:rPr>
        <w:t>日签字（或盖章）生效，有效期自开标之日起</w:t>
      </w:r>
      <w:r>
        <w:rPr>
          <w:rFonts w:hint="eastAsia" w:ascii="宋体" w:hAnsi="宋体" w:cs="宋体"/>
          <w:sz w:val="24"/>
          <w:u w:val="single"/>
        </w:rPr>
        <w:t>90</w:t>
      </w:r>
      <w:r>
        <w:rPr>
          <w:rFonts w:hint="eastAsia" w:ascii="宋体" w:hAnsi="宋体" w:cs="宋体"/>
          <w:sz w:val="24"/>
        </w:rPr>
        <w:t>日历天，特此声明。</w:t>
      </w:r>
    </w:p>
    <w:tbl>
      <w:tblPr>
        <w:tblStyle w:val="22"/>
        <w:tblpPr w:leftFromText="180" w:rightFromText="180" w:vertAnchor="text" w:horzAnchor="margin" w:tblpXSpec="center" w:tblpY="633"/>
        <w:tblW w:w="8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0"/>
        <w:gridCol w:w="4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7" w:hRule="atLeast"/>
        </w:trPr>
        <w:tc>
          <w:tcPr>
            <w:tcW w:w="4320" w:type="dxa"/>
            <w:vAlign w:val="center"/>
          </w:tcPr>
          <w:p>
            <w:pPr>
              <w:spacing w:line="360" w:lineRule="auto"/>
              <w:jc w:val="center"/>
              <w:rPr>
                <w:rFonts w:ascii="宋体" w:hAnsi="宋体" w:cs="仿宋_GB2312"/>
                <w:sz w:val="24"/>
              </w:rPr>
            </w:pPr>
            <w:r>
              <w:rPr>
                <w:rFonts w:hint="eastAsia" w:ascii="宋体" w:hAnsi="宋体" w:cs="仿宋_GB2312"/>
                <w:sz w:val="24"/>
              </w:rPr>
              <w:t>法人身份证复印件</w:t>
            </w:r>
          </w:p>
          <w:p>
            <w:pPr>
              <w:spacing w:line="360" w:lineRule="auto"/>
              <w:jc w:val="center"/>
              <w:rPr>
                <w:rFonts w:ascii="宋体" w:hAnsi="宋体" w:cs="仿宋_GB2312"/>
                <w:sz w:val="24"/>
              </w:rPr>
            </w:pPr>
          </w:p>
          <w:p>
            <w:pPr>
              <w:spacing w:line="360" w:lineRule="auto"/>
              <w:jc w:val="center"/>
              <w:rPr>
                <w:rFonts w:ascii="宋体" w:hAnsi="宋体" w:cs="仿宋_GB2312"/>
                <w:sz w:val="24"/>
              </w:rPr>
            </w:pPr>
            <w:r>
              <w:rPr>
                <w:rFonts w:hint="eastAsia" w:ascii="宋体" w:hAnsi="宋体" w:cs="仿宋_GB2312"/>
                <w:sz w:val="24"/>
              </w:rPr>
              <w:t>正反面</w:t>
            </w:r>
          </w:p>
          <w:p>
            <w:pPr>
              <w:spacing w:line="360" w:lineRule="auto"/>
              <w:rPr>
                <w:rFonts w:ascii="宋体" w:hAnsi="宋体" w:cs="仿宋_GB2312"/>
                <w:sz w:val="24"/>
              </w:rPr>
            </w:pPr>
          </w:p>
        </w:tc>
        <w:tc>
          <w:tcPr>
            <w:tcW w:w="4390" w:type="dxa"/>
            <w:vAlign w:val="center"/>
          </w:tcPr>
          <w:p>
            <w:pPr>
              <w:spacing w:line="360" w:lineRule="auto"/>
              <w:jc w:val="center"/>
              <w:rPr>
                <w:rFonts w:ascii="宋体" w:hAnsi="宋体" w:cs="仿宋_GB2312"/>
                <w:sz w:val="24"/>
              </w:rPr>
            </w:pPr>
            <w:r>
              <w:rPr>
                <w:rFonts w:hint="eastAsia" w:ascii="宋体" w:hAnsi="宋体" w:cs="仿宋_GB2312"/>
                <w:sz w:val="24"/>
              </w:rPr>
              <w:t>被授权人身份证复印件</w:t>
            </w:r>
          </w:p>
          <w:p>
            <w:pPr>
              <w:spacing w:line="360" w:lineRule="auto"/>
              <w:jc w:val="center"/>
              <w:rPr>
                <w:rFonts w:ascii="宋体" w:hAnsi="宋体" w:cs="仿宋_GB2312"/>
                <w:sz w:val="24"/>
              </w:rPr>
            </w:pPr>
          </w:p>
          <w:p>
            <w:pPr>
              <w:spacing w:line="360" w:lineRule="auto"/>
              <w:jc w:val="center"/>
              <w:rPr>
                <w:rFonts w:ascii="宋体" w:hAnsi="宋体" w:cs="仿宋_GB2312"/>
                <w:sz w:val="24"/>
              </w:rPr>
            </w:pPr>
            <w:r>
              <w:rPr>
                <w:rFonts w:hint="eastAsia" w:ascii="宋体" w:hAnsi="宋体" w:cs="仿宋_GB2312"/>
                <w:sz w:val="24"/>
              </w:rPr>
              <w:t>正反面</w:t>
            </w:r>
          </w:p>
          <w:p>
            <w:pPr>
              <w:spacing w:line="360" w:lineRule="auto"/>
              <w:jc w:val="center"/>
              <w:rPr>
                <w:rFonts w:ascii="宋体" w:hAnsi="宋体" w:cs="仿宋_GB2312"/>
                <w:sz w:val="24"/>
              </w:rPr>
            </w:pPr>
          </w:p>
        </w:tc>
      </w:tr>
    </w:tbl>
    <w:p>
      <w:pPr>
        <w:spacing w:line="360" w:lineRule="auto"/>
        <w:rPr>
          <w:rFonts w:ascii="宋体" w:hAnsi="宋体" w:cs="仿宋_GB2312"/>
        </w:rPr>
      </w:pPr>
    </w:p>
    <w:p>
      <w:pPr>
        <w:spacing w:line="360" w:lineRule="auto"/>
        <w:rPr>
          <w:rFonts w:ascii="宋体" w:hAnsi="宋体" w:cs="仿宋_GB2312"/>
        </w:rPr>
      </w:pPr>
      <w:r>
        <w:rPr>
          <w:rFonts w:hint="eastAsia" w:ascii="宋体" w:hAnsi="宋体" w:cs="仿宋_GB2312"/>
        </w:rPr>
        <w:t>注：此授权书的有效期应与投标文件有效期一致。</w:t>
      </w:r>
    </w:p>
    <w:p>
      <w:pPr>
        <w:spacing w:line="360" w:lineRule="auto"/>
        <w:rPr>
          <w:rFonts w:ascii="宋体" w:hAnsi="宋体" w:cs="仿宋_GB2312"/>
        </w:rPr>
      </w:pPr>
    </w:p>
    <w:p>
      <w:pPr>
        <w:spacing w:line="480" w:lineRule="auto"/>
        <w:ind w:right="-161" w:firstLine="3120" w:firstLineChars="1300"/>
        <w:jc w:val="left"/>
        <w:rPr>
          <w:rFonts w:ascii="宋体" w:hAnsi="宋体" w:cs="宋体"/>
          <w:sz w:val="24"/>
          <w:szCs w:val="24"/>
        </w:rPr>
      </w:pPr>
      <w:r>
        <w:rPr>
          <w:rFonts w:hint="eastAsia" w:ascii="宋体" w:hAnsi="宋体" w:cs="宋体"/>
          <w:sz w:val="24"/>
        </w:rPr>
        <w:t>法定代表人签字或盖章</w:t>
      </w:r>
      <w:r>
        <w:rPr>
          <w:rFonts w:hint="eastAsia" w:ascii="宋体" w:hAnsi="宋体" w:cs="宋体"/>
          <w:sz w:val="24"/>
          <w:szCs w:val="24"/>
        </w:rPr>
        <w:t>：</w:t>
      </w:r>
    </w:p>
    <w:p>
      <w:pPr>
        <w:spacing w:line="480" w:lineRule="auto"/>
        <w:ind w:right="-161" w:firstLine="3120" w:firstLineChars="1300"/>
        <w:jc w:val="left"/>
        <w:rPr>
          <w:rFonts w:ascii="宋体" w:hAnsi="宋体" w:cs="宋体"/>
          <w:sz w:val="24"/>
          <w:szCs w:val="24"/>
          <w:u w:val="single"/>
        </w:rPr>
      </w:pPr>
      <w:r>
        <w:rPr>
          <w:rFonts w:hint="eastAsia" w:ascii="宋体" w:hAnsi="宋体" w:cs="宋体"/>
          <w:sz w:val="24"/>
        </w:rPr>
        <w:t>被授权代表签字或盖章：</w:t>
      </w:r>
    </w:p>
    <w:p>
      <w:pPr>
        <w:spacing w:line="480" w:lineRule="auto"/>
        <w:ind w:right="-161" w:firstLine="3240" w:firstLineChars="1350"/>
        <w:jc w:val="left"/>
        <w:rPr>
          <w:rFonts w:ascii="宋体" w:hAnsi="宋体" w:cs="宋体"/>
          <w:sz w:val="24"/>
        </w:rPr>
      </w:pPr>
      <w:r>
        <w:rPr>
          <w:rFonts w:hint="eastAsia" w:ascii="宋体" w:hAnsi="宋体" w:cs="宋体"/>
          <w:sz w:val="24"/>
        </w:rPr>
        <w:t>供应商名称：</w:t>
      </w:r>
      <w:r>
        <w:rPr>
          <w:rFonts w:hint="eastAsia" w:ascii="宋体" w:hAnsi="宋体" w:cs="宋体"/>
          <w:sz w:val="24"/>
          <w:u w:val="single"/>
        </w:rPr>
        <w:t xml:space="preserve">                    （公章）</w:t>
      </w:r>
    </w:p>
    <w:p>
      <w:pPr>
        <w:spacing w:line="480" w:lineRule="auto"/>
        <w:ind w:right="-161" w:firstLine="3360" w:firstLineChars="1400"/>
        <w:jc w:val="left"/>
        <w:rPr>
          <w:rFonts w:ascii="宋体" w:hAnsi="宋体" w:cs="宋体"/>
          <w:sz w:val="24"/>
          <w:u w:val="single"/>
        </w:rPr>
      </w:pPr>
      <w:r>
        <w:rPr>
          <w:rFonts w:hint="eastAsia" w:ascii="宋体" w:hAnsi="宋体" w:cs="宋体"/>
          <w:sz w:val="24"/>
        </w:rPr>
        <w:t>日  期：  年  月  日</w:t>
      </w:r>
    </w:p>
    <w:p>
      <w:pPr>
        <w:pStyle w:val="8"/>
      </w:pPr>
    </w:p>
    <w:p>
      <w:pPr>
        <w:pStyle w:val="4"/>
        <w:adjustRightInd w:val="0"/>
        <w:spacing w:line="360" w:lineRule="auto"/>
        <w:jc w:val="center"/>
        <w:textAlignment w:val="baseline"/>
      </w:pPr>
      <w:bookmarkStart w:id="315" w:name="_Toc15704"/>
      <w:r>
        <w:rPr>
          <w:rFonts w:hint="eastAsia" w:ascii="宋体" w:hAnsi="宋体" w:eastAsia="宋体" w:cs="仿宋_GB2312"/>
        </w:rPr>
        <w:t>附件</w:t>
      </w:r>
      <w:r>
        <w:rPr>
          <w:rFonts w:hint="eastAsia" w:ascii="宋体" w:hAnsi="宋体" w:eastAsia="宋体" w:cs="仿宋_GB2312"/>
          <w:lang w:val="en-US" w:eastAsia="zh-CN"/>
        </w:rPr>
        <w:t>5</w:t>
      </w:r>
      <w:r>
        <w:rPr>
          <w:rFonts w:hint="eastAsia" w:ascii="宋体" w:hAnsi="宋体" w:eastAsia="宋体" w:cs="仿宋_GB2312"/>
        </w:rPr>
        <w:t>资格证明文件</w:t>
      </w:r>
      <w:bookmarkEnd w:id="315"/>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textAlignment w:val="auto"/>
        <w:rPr>
          <w:rFonts w:cs="仿宋_GB2312"/>
          <w:kern w:val="2"/>
        </w:rPr>
      </w:pPr>
      <w:r>
        <w:rPr>
          <w:rFonts w:hint="eastAsia" w:cs="仿宋_GB2312"/>
          <w:kern w:val="2"/>
        </w:rPr>
        <w:t>1、基本资格条件：符合《中华人民共和国政府采购法》第二十二条的规定；</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hint="eastAsia" w:ascii="宋体" w:hAnsi="宋体" w:cs="仿宋_GB2312"/>
          <w:sz w:val="24"/>
        </w:rPr>
        <w:t>（1）具有独立承担民事责任的能力；</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hint="eastAsia" w:ascii="宋体" w:hAnsi="宋体" w:cs="仿宋_GB2312"/>
          <w:sz w:val="24"/>
        </w:rPr>
        <w:t>（2）具有良好的商业信誉和健全的财务会计制度：提供2019</w:t>
      </w:r>
      <w:r>
        <w:rPr>
          <w:rFonts w:hint="eastAsia" w:ascii="宋体" w:hAnsi="宋体" w:cs="仿宋_GB2312"/>
          <w:sz w:val="24"/>
          <w:lang w:val="en-US" w:eastAsia="zh-CN"/>
        </w:rPr>
        <w:t>或2020</w:t>
      </w:r>
      <w:r>
        <w:rPr>
          <w:rFonts w:hint="eastAsia" w:ascii="宋体" w:hAnsi="宋体" w:cs="仿宋_GB2312"/>
          <w:sz w:val="24"/>
        </w:rPr>
        <w:t>年度财务审计报告（至少包括资产负债表和利润表，成立时间至提交响应文件截止时间不足一年的可提供成立后任意时段的资产负债表），或其基本存款账户开户银行近三个月出具的资信证明；</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hint="eastAsia" w:ascii="宋体" w:hAnsi="宋体" w:cs="仿宋_GB2312"/>
          <w:sz w:val="24"/>
        </w:rPr>
        <w:t>（3）具有履行合同所必需的设备和专业技术能力：提供履行合同所必需的设备和专业技术能力的证明材料或承诺函；</w:t>
      </w:r>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textAlignment w:val="auto"/>
        <w:rPr>
          <w:rFonts w:cs="仿宋_GB2312"/>
          <w:kern w:val="2"/>
        </w:rPr>
      </w:pPr>
      <w:r>
        <w:rPr>
          <w:rFonts w:hint="eastAsia" w:cs="仿宋_GB2312"/>
          <w:kern w:val="2"/>
        </w:rPr>
        <w:t>（4）有依法缴纳税收和社会保障资金的良好记录：提供近6个月内任意月份的缴税证明和养老保险缴纳证明，依法免税或不需要缴纳社会保障资金的单位应提供相关证明材料；</w:t>
      </w:r>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textAlignment w:val="auto"/>
        <w:rPr>
          <w:rFonts w:cs="仿宋_GB2312"/>
          <w:kern w:val="2"/>
        </w:rPr>
      </w:pPr>
      <w:r>
        <w:rPr>
          <w:rFonts w:cs="仿宋_GB2312"/>
          <w:kern w:val="2"/>
        </w:rPr>
        <w:t>（</w:t>
      </w:r>
      <w:r>
        <w:rPr>
          <w:rFonts w:hint="eastAsia" w:cs="仿宋_GB2312"/>
          <w:kern w:val="2"/>
        </w:rPr>
        <w:t>5</w:t>
      </w:r>
      <w:r>
        <w:rPr>
          <w:rFonts w:cs="仿宋_GB2312"/>
          <w:kern w:val="2"/>
        </w:rPr>
        <w:t>）</w:t>
      </w:r>
      <w:r>
        <w:rPr>
          <w:rFonts w:hint="eastAsia" w:cs="仿宋_GB2312"/>
          <w:kern w:val="2"/>
        </w:rPr>
        <w:t>参加政府采购活动前三年内，在经营活动中没有重大违法记录；</w:t>
      </w:r>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jc w:val="both"/>
        <w:textAlignment w:val="auto"/>
        <w:rPr>
          <w:rFonts w:cs="宋体"/>
          <w:szCs w:val="24"/>
          <w:shd w:val="clear" w:color="auto" w:fill="FFFFFF"/>
        </w:rPr>
      </w:pPr>
      <w:r>
        <w:rPr>
          <w:rFonts w:hint="eastAsia" w:cs="宋体"/>
          <w:szCs w:val="24"/>
          <w:shd w:val="clear" w:color="auto" w:fill="FFFFFF"/>
        </w:rPr>
        <w:t>（6）法律、行政法规规定的其他条件。</w:t>
      </w:r>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textAlignment w:val="auto"/>
        <w:rPr>
          <w:rFonts w:cs="仿宋_GB2312"/>
          <w:kern w:val="2"/>
        </w:rPr>
      </w:pPr>
      <w:r>
        <w:rPr>
          <w:rFonts w:hint="eastAsia" w:cs="仿宋_GB2312"/>
          <w:kern w:val="2"/>
        </w:rPr>
        <w:t>2、特定资格条件：</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hint="eastAsia" w:ascii="宋体" w:hAnsi="宋体" w:cs="仿宋_GB2312"/>
          <w:sz w:val="24"/>
        </w:rPr>
        <w:t>（1）具有独立承担民事责任能力的法人、其他组织或自然人，并出具合法有效的营业执照或事业单位法人证书等国家规定的相关证明，自然人参与的提供其身份证明</w:t>
      </w:r>
      <w:r>
        <w:rPr>
          <w:rFonts w:ascii="宋体" w:hAnsi="宋体" w:cs="仿宋_GB2312"/>
          <w:sz w:val="24"/>
        </w:rPr>
        <w:t>；</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ascii="宋体" w:hAnsi="宋体" w:cs="仿宋_GB2312"/>
          <w:sz w:val="24"/>
        </w:rPr>
        <w:t>（</w:t>
      </w:r>
      <w:r>
        <w:rPr>
          <w:rFonts w:hint="eastAsia" w:ascii="宋体" w:hAnsi="宋体" w:cs="仿宋_GB2312"/>
          <w:sz w:val="24"/>
        </w:rPr>
        <w:t>2</w:t>
      </w:r>
      <w:r>
        <w:rPr>
          <w:rFonts w:ascii="宋体" w:hAnsi="宋体" w:cs="仿宋_GB2312"/>
          <w:sz w:val="24"/>
        </w:rPr>
        <w:t>）法定代表人授权委托书：法定代表人参加投标的，须出示身份证；法定代表人授权他人参加投标的，须提供法定代表人授权委托书（附法定代表人、被授权人身份证复印件）；</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ascii="宋体" w:hAnsi="宋体" w:cs="仿宋_GB2312"/>
          <w:sz w:val="24"/>
        </w:rPr>
        <w:t>（</w:t>
      </w:r>
      <w:r>
        <w:rPr>
          <w:rFonts w:hint="eastAsia" w:ascii="宋体" w:hAnsi="宋体" w:cs="仿宋_GB2312"/>
          <w:sz w:val="24"/>
        </w:rPr>
        <w:t>3</w:t>
      </w:r>
      <w:r>
        <w:rPr>
          <w:rFonts w:ascii="宋体" w:hAnsi="宋体" w:cs="仿宋_GB2312"/>
          <w:sz w:val="24"/>
        </w:rPr>
        <w:t>）供应商</w:t>
      </w:r>
      <w:r>
        <w:rPr>
          <w:rFonts w:hint="eastAsia" w:ascii="宋体" w:hAnsi="宋体" w:cs="仿宋_GB2312"/>
          <w:sz w:val="24"/>
        </w:rPr>
        <w:t>不得列入“信用中国”网站（www.creditchina.gov.cn）失信被执行人和重大税收违法案件当事人名单；不得为中国政府采购网（www.ccgp.gov.cn）政府采购严重违法失信行为记录名单中被财政部门禁止参加政府采购活动的供应商；</w:t>
      </w:r>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jc w:val="both"/>
        <w:textAlignment w:val="auto"/>
        <w:rPr>
          <w:rFonts w:hint="eastAsia" w:ascii="宋体" w:hAnsi="宋体" w:eastAsia="宋体" w:cs="仿宋_GB2312"/>
          <w:kern w:val="2"/>
          <w:sz w:val="24"/>
          <w:szCs w:val="22"/>
          <w:lang w:val="en-US" w:eastAsia="zh-CN" w:bidi="ar-SA"/>
        </w:rPr>
      </w:pPr>
      <w:r>
        <w:rPr>
          <w:rFonts w:hint="eastAsia" w:ascii="宋体" w:hAnsi="宋体" w:eastAsia="宋体" w:cs="仿宋_GB2312"/>
          <w:kern w:val="2"/>
          <w:sz w:val="24"/>
          <w:szCs w:val="22"/>
          <w:lang w:val="en-US" w:eastAsia="zh-CN" w:bidi="ar-SA"/>
        </w:rPr>
        <w:t>（4）</w:t>
      </w:r>
      <w:r>
        <w:rPr>
          <w:rFonts w:hint="eastAsia" w:ascii="宋体" w:hAnsi="宋体" w:eastAsia="宋体"/>
          <w:szCs w:val="21"/>
          <w:highlight w:val="none"/>
        </w:rPr>
        <w:t>具有建设行政主管部门颁发的电子与智能化工程专业承包贰级</w:t>
      </w:r>
      <w:r>
        <w:rPr>
          <w:rFonts w:hint="eastAsia"/>
          <w:szCs w:val="21"/>
          <w:highlight w:val="none"/>
          <w:lang w:val="en-US" w:eastAsia="zh-CN"/>
        </w:rPr>
        <w:t>及以上资质，并具备</w:t>
      </w:r>
      <w:r>
        <w:rPr>
          <w:rFonts w:hint="eastAsia" w:ascii="宋体" w:hAnsi="宋体" w:eastAsia="宋体"/>
          <w:szCs w:val="21"/>
          <w:highlight w:val="none"/>
        </w:rPr>
        <w:t>有效的安全生产许可证</w:t>
      </w:r>
      <w:r>
        <w:rPr>
          <w:rFonts w:hint="eastAsia" w:ascii="宋体" w:hAnsi="宋体" w:eastAsia="宋体"/>
          <w:szCs w:val="21"/>
          <w:highlight w:val="none"/>
          <w:lang w:eastAsia="zh-CN"/>
        </w:rPr>
        <w:t>；</w:t>
      </w:r>
    </w:p>
    <w:p>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36" w:lineRule="auto"/>
        <w:jc w:val="both"/>
        <w:textAlignment w:val="auto"/>
        <w:rPr>
          <w:rFonts w:hint="eastAsia" w:ascii="宋体" w:hAnsi="宋体" w:eastAsia="宋体" w:cs="仿宋_GB2312"/>
          <w:kern w:val="2"/>
          <w:sz w:val="24"/>
          <w:szCs w:val="22"/>
          <w:lang w:val="en-US" w:eastAsia="zh-CN" w:bidi="ar-SA"/>
        </w:rPr>
      </w:pPr>
      <w:r>
        <w:rPr>
          <w:rFonts w:hint="eastAsia" w:ascii="宋体" w:hAnsi="宋体" w:eastAsia="宋体" w:cs="仿宋_GB2312"/>
          <w:kern w:val="2"/>
          <w:sz w:val="24"/>
          <w:szCs w:val="22"/>
          <w:lang w:val="en-US" w:eastAsia="zh-CN" w:bidi="ar-SA"/>
        </w:rPr>
        <w:t>（5）单位负责人为同一人或者存在直接控股、管理关系的不同投标人，不得参加同一合同项下的政府采购活动；（提供书面承诺函，格式自拟加盖投标人公章）</w:t>
      </w:r>
    </w:p>
    <w:p>
      <w:pPr>
        <w:keepNext w:val="0"/>
        <w:keepLines w:val="0"/>
        <w:pageBreakBefore w:val="0"/>
        <w:kinsoku/>
        <w:wordWrap/>
        <w:overflowPunct/>
        <w:topLinePunct w:val="0"/>
        <w:autoSpaceDE/>
        <w:autoSpaceDN/>
        <w:bidi w:val="0"/>
        <w:adjustRightInd/>
        <w:snapToGrid/>
        <w:spacing w:line="336" w:lineRule="auto"/>
        <w:textAlignment w:val="auto"/>
        <w:rPr>
          <w:rFonts w:ascii="宋体" w:hAnsi="宋体" w:cs="仿宋_GB2312"/>
          <w:sz w:val="24"/>
        </w:rPr>
      </w:pPr>
      <w:r>
        <w:rPr>
          <w:rFonts w:hint="eastAsia" w:ascii="宋体" w:hAnsi="宋体" w:cs="仿宋_GB2312"/>
          <w:sz w:val="24"/>
        </w:rPr>
        <w:t>注：以上资格要求均为必备资格，缺少其中任何一项，其投标文件视为无效文件。投标文件正本中的法定代表人授权委托书或法定代表人身份证明必须附原件，其他资格证明文件提供复印件并加盖供应商公章。</w:t>
      </w:r>
    </w:p>
    <w:p>
      <w:pPr>
        <w:spacing w:line="360" w:lineRule="auto"/>
        <w:rPr>
          <w:rFonts w:ascii="宋体" w:hAnsi="宋体" w:cs="仿宋_GB2312"/>
          <w:sz w:val="24"/>
        </w:rPr>
      </w:pPr>
    </w:p>
    <w:bookmarkEnd w:id="303"/>
    <w:bookmarkEnd w:id="304"/>
    <w:bookmarkEnd w:id="305"/>
    <w:bookmarkEnd w:id="306"/>
    <w:p>
      <w:pPr>
        <w:rPr>
          <w:rFonts w:hint="eastAsia" w:ascii="宋体" w:hAnsi="宋体" w:eastAsia="宋体" w:cs="仿宋_GB2312"/>
        </w:rPr>
      </w:pPr>
      <w:bookmarkStart w:id="316" w:name="_Toc12429"/>
      <w:bookmarkStart w:id="317" w:name="_Toc4359"/>
      <w:bookmarkStart w:id="318" w:name="_Toc491509446"/>
      <w:bookmarkStart w:id="319" w:name="_Toc9570"/>
      <w:bookmarkStart w:id="320" w:name="_Toc5443"/>
      <w:bookmarkStart w:id="321" w:name="_Toc423025064"/>
      <w:r>
        <w:rPr>
          <w:rFonts w:hint="eastAsia" w:ascii="宋体" w:hAnsi="宋体" w:eastAsia="宋体" w:cs="仿宋_GB2312"/>
        </w:rPr>
        <w:br w:type="page"/>
      </w:r>
    </w:p>
    <w:p>
      <w:pPr>
        <w:pStyle w:val="4"/>
        <w:adjustRightInd w:val="0"/>
        <w:spacing w:line="416" w:lineRule="atLeast"/>
        <w:jc w:val="center"/>
        <w:textAlignment w:val="baseline"/>
        <w:rPr>
          <w:rFonts w:ascii="宋体" w:hAnsi="宋体" w:eastAsia="宋体"/>
        </w:rPr>
      </w:pPr>
      <w:bookmarkStart w:id="322" w:name="_Toc2896"/>
      <w:r>
        <w:rPr>
          <w:rFonts w:hint="eastAsia" w:ascii="宋体" w:hAnsi="宋体" w:eastAsia="宋体" w:cs="仿宋_GB2312"/>
        </w:rPr>
        <w:t>附件</w:t>
      </w:r>
      <w:bookmarkEnd w:id="316"/>
      <w:bookmarkEnd w:id="317"/>
      <w:bookmarkEnd w:id="318"/>
      <w:bookmarkEnd w:id="319"/>
      <w:bookmarkEnd w:id="320"/>
      <w:r>
        <w:rPr>
          <w:rFonts w:hint="eastAsia" w:ascii="宋体" w:hAnsi="宋体" w:eastAsia="宋体" w:cs="仿宋_GB2312"/>
          <w:lang w:val="en-US" w:eastAsia="zh-CN"/>
        </w:rPr>
        <w:t>6</w:t>
      </w:r>
      <w:r>
        <w:rPr>
          <w:rFonts w:hint="eastAsia" w:ascii="宋体" w:hAnsi="宋体" w:eastAsia="宋体" w:cs="仿宋_GB2312"/>
        </w:rPr>
        <w:t xml:space="preserve"> </w:t>
      </w:r>
      <w:r>
        <w:rPr>
          <w:rFonts w:hint="eastAsia" w:ascii="宋体" w:hAnsi="宋体" w:eastAsia="宋体"/>
        </w:rPr>
        <w:t>无重大违法记录书面声明</w:t>
      </w:r>
      <w:bookmarkEnd w:id="322"/>
    </w:p>
    <w:p>
      <w:pPr>
        <w:rPr>
          <w:rFonts w:ascii="宋体" w:hAnsi="宋体"/>
        </w:rPr>
      </w:pPr>
    </w:p>
    <w:p>
      <w:pPr>
        <w:widowControl/>
        <w:spacing w:line="500" w:lineRule="exact"/>
        <w:rPr>
          <w:rFonts w:ascii="宋体" w:hAnsi="宋体" w:cs="仿宋"/>
          <w:kern w:val="0"/>
          <w:sz w:val="24"/>
          <w:szCs w:val="24"/>
        </w:rPr>
      </w:pPr>
      <w:r>
        <w:rPr>
          <w:rFonts w:hint="eastAsia" w:ascii="宋体" w:hAnsi="宋体" w:cs="仿宋"/>
          <w:kern w:val="0"/>
          <w:sz w:val="24"/>
          <w:szCs w:val="24"/>
          <w:u w:val="single"/>
        </w:rPr>
        <w:t>（采购代理机构）</w:t>
      </w:r>
      <w:r>
        <w:rPr>
          <w:rFonts w:hint="eastAsia" w:ascii="宋体" w:hAnsi="宋体" w:cs="仿宋"/>
          <w:kern w:val="0"/>
          <w:sz w:val="24"/>
          <w:szCs w:val="24"/>
        </w:rPr>
        <w:t>：</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我方作为</w:t>
      </w:r>
      <w:r>
        <w:rPr>
          <w:rFonts w:hint="eastAsia" w:ascii="宋体" w:hAnsi="宋体" w:cs="仿宋"/>
          <w:kern w:val="0"/>
          <w:sz w:val="24"/>
          <w:szCs w:val="24"/>
          <w:u w:val="single"/>
        </w:rPr>
        <w:t xml:space="preserve">    项目名称    </w:t>
      </w:r>
      <w:r>
        <w:rPr>
          <w:rFonts w:hint="eastAsia" w:ascii="宋体" w:hAnsi="宋体" w:cs="仿宋"/>
          <w:kern w:val="0"/>
          <w:sz w:val="24"/>
          <w:szCs w:val="24"/>
        </w:rPr>
        <w:t>（项目编号：  ）的</w:t>
      </w:r>
      <w:r>
        <w:rPr>
          <w:rFonts w:hint="eastAsia" w:ascii="宋体" w:hAnsi="宋体" w:cs="仿宋_GB2312"/>
          <w:sz w:val="24"/>
        </w:rPr>
        <w:t>供应商</w:t>
      </w:r>
      <w:r>
        <w:rPr>
          <w:rFonts w:hint="eastAsia" w:ascii="宋体" w:hAnsi="宋体" w:cs="仿宋"/>
          <w:kern w:val="0"/>
          <w:sz w:val="24"/>
          <w:szCs w:val="24"/>
        </w:rPr>
        <w:t>，在此郑重声明：</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1、在参加本次政府采购活动前3年内的经营活动中_ ___（填“没有”或“有”）重大违法记录。</w:t>
      </w:r>
      <w:r>
        <w:rPr>
          <w:rFonts w:hint="eastAsia" w:ascii="宋体" w:hAnsi="宋体" w:cs="仿宋_GB2312"/>
          <w:sz w:val="24"/>
        </w:rPr>
        <w:t>供应商</w:t>
      </w:r>
      <w:r>
        <w:rPr>
          <w:rFonts w:hint="eastAsia" w:ascii="宋体" w:hAnsi="宋体" w:cs="仿宋"/>
          <w:bCs/>
          <w:kern w:val="0"/>
          <w:sz w:val="24"/>
          <w:szCs w:val="24"/>
        </w:rPr>
        <w:t>在参加政府采购活动前3年内因违法经营被禁止在一定期限内参加政府采购活动，期限届满的，可以参加政府采购活动，但应提供期限届满的证明材料。</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2、我方______（填“未被列入”或“被列入”）失信被执行人名单。</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3、我方______（填“未被列入”或“被列入”）重大税收违法案件当事人名单。</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4、我方______（填“未被列入”或“被列入”）政府采购严重违法失信行为记录名单。</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如有不实，我方将无条件地退出本项目的采购活动，并遵照《政府采购法》有关“提供虚假材料的规定”接受处罚。</w:t>
      </w:r>
    </w:p>
    <w:p>
      <w:pPr>
        <w:widowControl/>
        <w:spacing w:line="500" w:lineRule="exact"/>
        <w:ind w:firstLine="480" w:firstLineChars="200"/>
        <w:rPr>
          <w:rFonts w:ascii="宋体" w:hAnsi="宋体" w:cs="仿宋"/>
          <w:kern w:val="0"/>
          <w:sz w:val="24"/>
          <w:szCs w:val="24"/>
        </w:rPr>
      </w:pPr>
      <w:r>
        <w:rPr>
          <w:rFonts w:hint="eastAsia" w:ascii="宋体" w:hAnsi="宋体" w:cs="仿宋"/>
          <w:kern w:val="0"/>
          <w:sz w:val="24"/>
          <w:szCs w:val="24"/>
        </w:rPr>
        <w:t>特此声明。</w:t>
      </w:r>
    </w:p>
    <w:p>
      <w:pPr>
        <w:widowControl/>
        <w:spacing w:line="500" w:lineRule="exact"/>
        <w:ind w:firstLine="480" w:firstLineChars="200"/>
        <w:rPr>
          <w:rFonts w:ascii="宋体" w:hAnsi="宋体" w:cs="仿宋"/>
          <w:kern w:val="0"/>
          <w:sz w:val="24"/>
          <w:szCs w:val="24"/>
        </w:rPr>
      </w:pPr>
    </w:p>
    <w:p>
      <w:pPr>
        <w:pStyle w:val="8"/>
      </w:pPr>
    </w:p>
    <w:p/>
    <w:p>
      <w:pPr>
        <w:pStyle w:val="8"/>
      </w:pPr>
    </w:p>
    <w:p>
      <w:pPr>
        <w:spacing w:line="480" w:lineRule="auto"/>
        <w:ind w:right="480" w:firstLine="360" w:firstLineChars="150"/>
        <w:jc w:val="center"/>
        <w:rPr>
          <w:rFonts w:ascii="宋体" w:hAnsi="宋体" w:cs="宋体"/>
          <w:sz w:val="24"/>
        </w:rPr>
      </w:pPr>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ind w:firstLine="2400" w:firstLineChars="1000"/>
        <w:rPr>
          <w:rFonts w:ascii="宋体" w:hAnsi="宋体" w:cs="宋体"/>
          <w:sz w:val="24"/>
        </w:rPr>
      </w:pPr>
      <w:r>
        <w:rPr>
          <w:rFonts w:hint="eastAsia" w:ascii="宋体" w:hAnsi="宋体" w:cs="宋体"/>
          <w:sz w:val="24"/>
        </w:rPr>
        <w:t>日期：    年    月   日</w:t>
      </w:r>
    </w:p>
    <w:p/>
    <w:p/>
    <w:p>
      <w:pPr>
        <w:pStyle w:val="8"/>
      </w:pPr>
    </w:p>
    <w:p/>
    <w:p>
      <w:pPr>
        <w:pStyle w:val="8"/>
      </w:pPr>
    </w:p>
    <w:p/>
    <w:p>
      <w:pPr>
        <w:spacing w:line="480" w:lineRule="auto"/>
        <w:ind w:right="630"/>
        <w:rPr>
          <w:rFonts w:ascii="宋体" w:hAnsi="宋体" w:cs="仿宋_GB2312"/>
          <w:sz w:val="24"/>
          <w:szCs w:val="24"/>
          <w:u w:val="single"/>
        </w:rPr>
      </w:pPr>
    </w:p>
    <w:p>
      <w:pPr>
        <w:pStyle w:val="8"/>
        <w:rPr>
          <w:rFonts w:ascii="宋体" w:hAnsi="宋体"/>
        </w:rPr>
      </w:pPr>
    </w:p>
    <w:p>
      <w:pPr>
        <w:rPr>
          <w:rFonts w:hint="eastAsia" w:ascii="宋体" w:hAnsi="宋体" w:eastAsia="宋体" w:cs="仿宋_GB2312"/>
        </w:rPr>
      </w:pPr>
      <w:bookmarkStart w:id="323" w:name="_Toc32751"/>
      <w:bookmarkStart w:id="324" w:name="_Toc3661"/>
      <w:bookmarkStart w:id="325" w:name="_Toc491509447"/>
      <w:bookmarkStart w:id="326" w:name="_Toc1666"/>
      <w:bookmarkStart w:id="327" w:name="_Toc25097"/>
      <w:r>
        <w:rPr>
          <w:rFonts w:hint="eastAsia" w:ascii="宋体" w:hAnsi="宋体" w:eastAsia="宋体" w:cs="仿宋_GB2312"/>
        </w:rPr>
        <w:br w:type="page"/>
      </w:r>
    </w:p>
    <w:p>
      <w:pPr>
        <w:pStyle w:val="4"/>
        <w:spacing w:line="360" w:lineRule="auto"/>
        <w:jc w:val="center"/>
        <w:rPr>
          <w:rFonts w:hint="eastAsia" w:ascii="宋体" w:hAnsi="宋体" w:eastAsia="宋体" w:cs="仿宋_GB2312"/>
          <w:lang w:val="en-US" w:eastAsia="zh-CN"/>
        </w:rPr>
      </w:pPr>
      <w:bookmarkStart w:id="328" w:name="_Toc20831"/>
      <w:r>
        <w:rPr>
          <w:rFonts w:hint="eastAsia" w:ascii="宋体" w:hAnsi="宋体" w:eastAsia="宋体" w:cs="仿宋_GB2312"/>
        </w:rPr>
        <w:t>附件</w:t>
      </w:r>
      <w:r>
        <w:rPr>
          <w:rFonts w:hint="eastAsia" w:ascii="宋体" w:hAnsi="宋体" w:eastAsia="宋体" w:cs="仿宋_GB2312"/>
          <w:lang w:val="en-US" w:eastAsia="zh-CN"/>
        </w:rPr>
        <w:t>7</w:t>
      </w:r>
      <w:r>
        <w:rPr>
          <w:rFonts w:hint="eastAsia" w:ascii="宋体" w:hAnsi="宋体" w:eastAsia="宋体" w:cs="仿宋_GB2312"/>
        </w:rPr>
        <w:t xml:space="preserve"> </w:t>
      </w:r>
      <w:r>
        <w:rPr>
          <w:rFonts w:hint="eastAsia" w:ascii="宋体" w:hAnsi="宋体" w:eastAsia="宋体" w:cs="仿宋_GB2312"/>
          <w:lang w:val="en-US" w:eastAsia="zh-CN"/>
        </w:rPr>
        <w:t>控股管理关系说明</w:t>
      </w:r>
      <w:bookmarkEnd w:id="328"/>
    </w:p>
    <w:p>
      <w:pPr>
        <w:jc w:val="center"/>
        <w:rPr>
          <w:rFonts w:hint="default"/>
          <w:lang w:val="en-US" w:eastAsia="zh-CN"/>
        </w:rPr>
      </w:pPr>
      <w:r>
        <w:rPr>
          <w:rFonts w:hint="eastAsia" w:ascii="宋体" w:hAnsi="宋体" w:cs="仿宋_GB2312"/>
          <w:lang w:val="en-US" w:eastAsia="zh-CN"/>
        </w:rPr>
        <w:t>格式自拟</w:t>
      </w:r>
    </w:p>
    <w:p>
      <w:pPr>
        <w:rPr>
          <w:rFonts w:hint="eastAsia" w:ascii="宋体" w:hAnsi="宋体" w:eastAsia="宋体" w:cs="仿宋_GB2312"/>
        </w:rPr>
      </w:pPr>
    </w:p>
    <w:p>
      <w:pPr>
        <w:rPr>
          <w:rFonts w:hint="eastAsia" w:ascii="宋体" w:hAnsi="宋体" w:eastAsia="宋体" w:cs="仿宋_GB2312"/>
        </w:rPr>
      </w:pPr>
      <w:r>
        <w:rPr>
          <w:rFonts w:hint="eastAsia" w:ascii="宋体" w:hAnsi="宋体" w:eastAsia="宋体" w:cs="仿宋_GB2312"/>
        </w:rPr>
        <w:br w:type="page"/>
      </w:r>
    </w:p>
    <w:p>
      <w:pPr>
        <w:pStyle w:val="4"/>
        <w:adjustRightInd w:val="0"/>
        <w:spacing w:line="360" w:lineRule="auto"/>
        <w:jc w:val="center"/>
        <w:textAlignment w:val="baseline"/>
        <w:rPr>
          <w:rFonts w:ascii="宋体" w:hAnsi="宋体" w:eastAsia="宋体" w:cs="仿宋_GB2312"/>
        </w:rPr>
      </w:pPr>
      <w:bookmarkStart w:id="329" w:name="_Toc8252"/>
      <w:r>
        <w:rPr>
          <w:rFonts w:hint="eastAsia" w:ascii="宋体" w:hAnsi="宋体" w:eastAsia="宋体" w:cs="仿宋_GB2312"/>
        </w:rPr>
        <w:t>附件8 技术偏离表</w:t>
      </w:r>
      <w:bookmarkEnd w:id="329"/>
    </w:p>
    <w:p>
      <w:pPr>
        <w:spacing w:line="360" w:lineRule="auto"/>
        <w:ind w:firstLine="480" w:firstLineChars="200"/>
        <w:rPr>
          <w:rFonts w:ascii="宋体" w:hAnsi="宋体"/>
        </w:rPr>
      </w:pPr>
      <w:r>
        <w:rPr>
          <w:rFonts w:hint="eastAsia" w:ascii="宋体" w:hAnsi="宋体" w:cs="仿宋_GB2312"/>
          <w:sz w:val="24"/>
        </w:rPr>
        <w:t>供应商名称：                                    项目编号：</w:t>
      </w:r>
    </w:p>
    <w:tbl>
      <w:tblPr>
        <w:tblStyle w:val="22"/>
        <w:tblW w:w="879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141"/>
        <w:gridCol w:w="2744"/>
        <w:gridCol w:w="2100"/>
        <w:gridCol w:w="1367"/>
        <w:gridCol w:w="14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20" w:hRule="atLeast"/>
          <w:jc w:val="center"/>
        </w:trPr>
        <w:tc>
          <w:tcPr>
            <w:tcW w:w="1141" w:type="dxa"/>
            <w:vAlign w:val="center"/>
          </w:tcPr>
          <w:p>
            <w:pPr>
              <w:spacing w:line="400" w:lineRule="atLeast"/>
              <w:jc w:val="center"/>
              <w:rPr>
                <w:rFonts w:ascii="宋体" w:hAnsi="宋体"/>
                <w:b/>
                <w:bCs/>
                <w:sz w:val="24"/>
              </w:rPr>
            </w:pPr>
            <w:r>
              <w:rPr>
                <w:rFonts w:hint="eastAsia" w:ascii="宋体" w:hAnsi="宋体"/>
                <w:b/>
                <w:bCs/>
                <w:sz w:val="24"/>
              </w:rPr>
              <w:t>序号/名称</w:t>
            </w:r>
          </w:p>
        </w:tc>
        <w:tc>
          <w:tcPr>
            <w:tcW w:w="2744" w:type="dxa"/>
            <w:vAlign w:val="center"/>
          </w:tcPr>
          <w:p>
            <w:pPr>
              <w:spacing w:line="400" w:lineRule="atLeast"/>
              <w:jc w:val="center"/>
              <w:rPr>
                <w:rFonts w:ascii="宋体" w:hAnsi="宋体"/>
                <w:b/>
                <w:bCs/>
                <w:sz w:val="24"/>
              </w:rPr>
            </w:pPr>
            <w:r>
              <w:rPr>
                <w:rFonts w:hint="eastAsia" w:ascii="宋体" w:hAnsi="宋体"/>
                <w:b/>
                <w:bCs/>
                <w:sz w:val="24"/>
              </w:rPr>
              <w:t>招标文件要求</w:t>
            </w:r>
          </w:p>
        </w:tc>
        <w:tc>
          <w:tcPr>
            <w:tcW w:w="2100" w:type="dxa"/>
            <w:vAlign w:val="center"/>
          </w:tcPr>
          <w:p>
            <w:pPr>
              <w:spacing w:line="400" w:lineRule="atLeast"/>
              <w:jc w:val="center"/>
              <w:rPr>
                <w:rFonts w:ascii="宋体" w:hAnsi="宋体"/>
                <w:b/>
                <w:bCs/>
                <w:sz w:val="24"/>
              </w:rPr>
            </w:pPr>
            <w:r>
              <w:rPr>
                <w:rFonts w:hint="eastAsia" w:ascii="宋体" w:hAnsi="宋体"/>
                <w:b/>
                <w:bCs/>
                <w:sz w:val="24"/>
              </w:rPr>
              <w:t>投标文件响应</w:t>
            </w:r>
          </w:p>
        </w:tc>
        <w:tc>
          <w:tcPr>
            <w:tcW w:w="1367" w:type="dxa"/>
            <w:vAlign w:val="center"/>
          </w:tcPr>
          <w:p>
            <w:pPr>
              <w:spacing w:line="400" w:lineRule="atLeast"/>
              <w:jc w:val="center"/>
              <w:rPr>
                <w:rFonts w:ascii="宋体" w:hAnsi="宋体"/>
                <w:b/>
                <w:bCs/>
                <w:sz w:val="24"/>
              </w:rPr>
            </w:pPr>
            <w:r>
              <w:rPr>
                <w:rFonts w:hint="eastAsia" w:ascii="宋体" w:hAnsi="宋体"/>
                <w:b/>
                <w:bCs/>
                <w:sz w:val="24"/>
              </w:rPr>
              <w:t>偏离</w:t>
            </w:r>
          </w:p>
        </w:tc>
        <w:tc>
          <w:tcPr>
            <w:tcW w:w="1440" w:type="dxa"/>
            <w:vAlign w:val="center"/>
          </w:tcPr>
          <w:p>
            <w:pPr>
              <w:spacing w:line="400" w:lineRule="atLeast"/>
              <w:jc w:val="center"/>
              <w:rPr>
                <w:rFonts w:ascii="宋体" w:hAnsi="宋体"/>
                <w:b/>
                <w:bCs/>
                <w:sz w:val="24"/>
              </w:rPr>
            </w:pPr>
            <w:r>
              <w:rPr>
                <w:rFonts w:hint="eastAsia" w:ascii="宋体" w:hAnsi="宋体"/>
                <w:b/>
                <w:bCs/>
                <w:sz w:val="24"/>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bl>
    <w:p>
      <w:pPr>
        <w:rPr>
          <w:rFonts w:ascii="宋体" w:hAnsi="宋体" w:cs="仿宋_GB2312"/>
        </w:rPr>
      </w:pPr>
    </w:p>
    <w:p>
      <w:pPr>
        <w:spacing w:line="360" w:lineRule="auto"/>
        <w:rPr>
          <w:rFonts w:hint="eastAsia" w:ascii="宋体" w:hAnsi="宋体"/>
          <w:sz w:val="24"/>
          <w:szCs w:val="24"/>
        </w:rPr>
      </w:pPr>
      <w:r>
        <w:rPr>
          <w:rFonts w:hint="eastAsia" w:ascii="宋体" w:hAnsi="宋体"/>
          <w:sz w:val="24"/>
          <w:szCs w:val="24"/>
          <w:lang w:val="en-US" w:eastAsia="zh-CN"/>
        </w:rPr>
        <w:t>备注</w:t>
      </w:r>
      <w:r>
        <w:rPr>
          <w:rFonts w:hint="eastAsia" w:ascii="宋体" w:hAnsi="宋体"/>
          <w:sz w:val="24"/>
          <w:szCs w:val="24"/>
        </w:rPr>
        <w:t>：</w:t>
      </w:r>
      <w:r>
        <w:rPr>
          <w:rFonts w:hint="eastAsia" w:ascii="宋体" w:hAnsi="宋体"/>
          <w:sz w:val="24"/>
          <w:szCs w:val="24"/>
          <w:lang w:val="en-US" w:eastAsia="zh-CN"/>
        </w:rPr>
        <w:t>1、供应商需将与采购内容中技术偏离部分全部填写至本表，并标明正、负偏离。如无偏离项，只需在空表签字盖章处签字盖章响应。本页可扩展。</w:t>
      </w:r>
      <w:r>
        <w:rPr>
          <w:rFonts w:hint="eastAsia" w:ascii="宋体" w:hAnsi="宋体"/>
          <w:sz w:val="24"/>
          <w:szCs w:val="24"/>
        </w:rPr>
        <w:t>除本偏离表中所列的偏离项目外，供应商承诺其它所有</w:t>
      </w:r>
      <w:r>
        <w:rPr>
          <w:rFonts w:hint="eastAsia" w:ascii="宋体" w:hAnsi="宋体"/>
          <w:sz w:val="24"/>
          <w:szCs w:val="24"/>
          <w:lang w:val="en-US" w:eastAsia="zh-CN"/>
        </w:rPr>
        <w:t>技术条款</w:t>
      </w:r>
      <w:r>
        <w:rPr>
          <w:rFonts w:hint="eastAsia" w:ascii="宋体" w:hAnsi="宋体"/>
          <w:sz w:val="24"/>
          <w:szCs w:val="24"/>
        </w:rPr>
        <w:t>均完全响应“招标文件”中的要求。</w:t>
      </w:r>
    </w:p>
    <w:p>
      <w:pPr>
        <w:spacing w:line="360" w:lineRule="auto"/>
        <w:ind w:firstLine="720" w:firstLineChars="300"/>
        <w:rPr>
          <w:rFonts w:ascii="宋体" w:hAnsi="宋体"/>
        </w:rPr>
      </w:pPr>
      <w:r>
        <w:rPr>
          <w:rFonts w:hint="eastAsia" w:ascii="宋体" w:hAnsi="宋体" w:eastAsia="宋体" w:cs="Times New Roman"/>
          <w:b w:val="0"/>
          <w:bCs w:val="0"/>
          <w:kern w:val="2"/>
          <w:sz w:val="24"/>
          <w:szCs w:val="24"/>
          <w:lang w:val="en-US" w:eastAsia="zh-CN" w:bidi="ar-SA"/>
        </w:rPr>
        <w:t>2、供应商对该表的真实性负责，如未真实填写由此引起的一切风险由供应商承担。</w:t>
      </w:r>
    </w:p>
    <w:p>
      <w:pPr>
        <w:pStyle w:val="8"/>
        <w:rPr>
          <w:rFonts w:ascii="宋体" w:hAnsi="宋体"/>
        </w:rPr>
      </w:pPr>
    </w:p>
    <w:p>
      <w:pPr>
        <w:spacing w:line="480" w:lineRule="auto"/>
        <w:ind w:right="480" w:firstLine="360" w:firstLineChars="150"/>
        <w:jc w:val="center"/>
        <w:rPr>
          <w:rFonts w:hint="eastAsia" w:ascii="宋体" w:hAnsi="宋体" w:cs="宋体"/>
          <w:sz w:val="24"/>
        </w:rPr>
      </w:pPr>
      <w:r>
        <w:rPr>
          <w:rFonts w:hint="eastAsia" w:ascii="宋体" w:hAnsi="宋体" w:cs="宋体"/>
          <w:sz w:val="24"/>
        </w:rPr>
        <w:t xml:space="preserve">        </w:t>
      </w:r>
    </w:p>
    <w:p>
      <w:pPr>
        <w:spacing w:line="480" w:lineRule="auto"/>
        <w:ind w:right="480" w:firstLine="360" w:firstLineChars="150"/>
        <w:jc w:val="center"/>
        <w:rPr>
          <w:rFonts w:ascii="宋体" w:hAnsi="宋体" w:cs="宋体"/>
          <w:sz w:val="24"/>
        </w:rPr>
      </w:pPr>
      <w:r>
        <w:rPr>
          <w:rFonts w:hint="eastAsia" w:ascii="宋体" w:hAnsi="宋体" w:cs="宋体"/>
          <w:sz w:val="24"/>
          <w:lang w:val="en-US" w:eastAsia="zh-CN"/>
        </w:rPr>
        <w:t xml:space="preserve">       </w:t>
      </w:r>
      <w:r>
        <w:rPr>
          <w:rFonts w:hint="eastAsia" w:ascii="宋体" w:hAnsi="宋体" w:cs="宋体"/>
          <w:sz w:val="24"/>
        </w:rPr>
        <w:t>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ind w:firstLine="2400" w:firstLineChars="1000"/>
        <w:rPr>
          <w:rFonts w:ascii="宋体" w:hAnsi="宋体" w:cs="宋体"/>
          <w:sz w:val="24"/>
        </w:rPr>
      </w:pPr>
      <w:r>
        <w:rPr>
          <w:rFonts w:hint="eastAsia" w:ascii="宋体" w:hAnsi="宋体" w:cs="宋体"/>
          <w:sz w:val="24"/>
        </w:rPr>
        <w:t>日期： 年   月    日</w:t>
      </w:r>
    </w:p>
    <w:p>
      <w:pPr>
        <w:rPr>
          <w:rFonts w:hint="eastAsia" w:ascii="宋体" w:hAnsi="宋体" w:eastAsia="宋体" w:cs="仿宋_GB2312"/>
        </w:rPr>
      </w:pPr>
      <w:r>
        <w:rPr>
          <w:rFonts w:hint="eastAsia" w:ascii="宋体" w:hAnsi="宋体" w:eastAsia="宋体" w:cs="仿宋_GB2312"/>
        </w:rPr>
        <w:br w:type="page"/>
      </w:r>
    </w:p>
    <w:p>
      <w:pPr>
        <w:pStyle w:val="4"/>
        <w:adjustRightInd w:val="0"/>
        <w:spacing w:line="360" w:lineRule="auto"/>
        <w:jc w:val="center"/>
        <w:textAlignment w:val="baseline"/>
        <w:rPr>
          <w:rFonts w:ascii="宋体" w:hAnsi="宋体" w:eastAsia="宋体" w:cs="仿宋_GB2312"/>
        </w:rPr>
      </w:pPr>
      <w:bookmarkStart w:id="330" w:name="_Toc32184"/>
      <w:r>
        <w:rPr>
          <w:rFonts w:hint="eastAsia" w:ascii="宋体" w:hAnsi="宋体" w:eastAsia="宋体" w:cs="仿宋_GB2312"/>
        </w:rPr>
        <w:t>附件</w:t>
      </w:r>
      <w:bookmarkEnd w:id="321"/>
      <w:bookmarkEnd w:id="323"/>
      <w:bookmarkEnd w:id="324"/>
      <w:bookmarkEnd w:id="325"/>
      <w:bookmarkEnd w:id="326"/>
      <w:bookmarkEnd w:id="327"/>
      <w:r>
        <w:rPr>
          <w:rFonts w:hint="eastAsia" w:ascii="宋体" w:hAnsi="宋体" w:eastAsia="宋体" w:cs="仿宋_GB2312"/>
          <w:lang w:val="en-US" w:eastAsia="zh-CN"/>
        </w:rPr>
        <w:t>9</w:t>
      </w:r>
      <w:r>
        <w:rPr>
          <w:rFonts w:hint="eastAsia" w:ascii="宋体" w:hAnsi="宋体" w:eastAsia="宋体" w:cs="仿宋_GB2312"/>
        </w:rPr>
        <w:t xml:space="preserve"> 商务偏离表</w:t>
      </w:r>
      <w:bookmarkEnd w:id="330"/>
    </w:p>
    <w:p>
      <w:pPr>
        <w:spacing w:line="360" w:lineRule="auto"/>
        <w:ind w:firstLine="480" w:firstLineChars="200"/>
        <w:rPr>
          <w:rFonts w:ascii="宋体" w:hAnsi="宋体"/>
        </w:rPr>
      </w:pPr>
      <w:r>
        <w:rPr>
          <w:rFonts w:hint="eastAsia" w:ascii="宋体" w:hAnsi="宋体" w:cs="仿宋_GB2312"/>
          <w:sz w:val="24"/>
        </w:rPr>
        <w:t>供应商名称：                                    项目编号：</w:t>
      </w:r>
    </w:p>
    <w:tbl>
      <w:tblPr>
        <w:tblStyle w:val="22"/>
        <w:tblW w:w="879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141"/>
        <w:gridCol w:w="2744"/>
        <w:gridCol w:w="2100"/>
        <w:gridCol w:w="1367"/>
        <w:gridCol w:w="14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20" w:hRule="atLeast"/>
          <w:jc w:val="center"/>
        </w:trPr>
        <w:tc>
          <w:tcPr>
            <w:tcW w:w="1141" w:type="dxa"/>
            <w:vAlign w:val="center"/>
          </w:tcPr>
          <w:p>
            <w:pPr>
              <w:spacing w:line="400" w:lineRule="atLeast"/>
              <w:jc w:val="center"/>
              <w:rPr>
                <w:rFonts w:ascii="宋体" w:hAnsi="宋体"/>
                <w:b/>
                <w:bCs/>
                <w:sz w:val="24"/>
              </w:rPr>
            </w:pPr>
            <w:r>
              <w:rPr>
                <w:rFonts w:hint="eastAsia" w:ascii="宋体" w:hAnsi="宋体"/>
                <w:b/>
                <w:bCs/>
                <w:sz w:val="24"/>
              </w:rPr>
              <w:t>序号/名称</w:t>
            </w:r>
          </w:p>
        </w:tc>
        <w:tc>
          <w:tcPr>
            <w:tcW w:w="2744" w:type="dxa"/>
            <w:vAlign w:val="center"/>
          </w:tcPr>
          <w:p>
            <w:pPr>
              <w:spacing w:line="400" w:lineRule="atLeast"/>
              <w:jc w:val="center"/>
              <w:rPr>
                <w:rFonts w:ascii="宋体" w:hAnsi="宋体"/>
                <w:b/>
                <w:bCs/>
                <w:sz w:val="24"/>
              </w:rPr>
            </w:pPr>
            <w:r>
              <w:rPr>
                <w:rFonts w:hint="eastAsia" w:ascii="宋体" w:hAnsi="宋体"/>
                <w:b/>
                <w:bCs/>
                <w:sz w:val="24"/>
              </w:rPr>
              <w:t>招标文件要求</w:t>
            </w:r>
          </w:p>
        </w:tc>
        <w:tc>
          <w:tcPr>
            <w:tcW w:w="2100" w:type="dxa"/>
            <w:vAlign w:val="center"/>
          </w:tcPr>
          <w:p>
            <w:pPr>
              <w:spacing w:line="400" w:lineRule="atLeast"/>
              <w:jc w:val="center"/>
              <w:rPr>
                <w:rFonts w:ascii="宋体" w:hAnsi="宋体"/>
                <w:b/>
                <w:bCs/>
                <w:sz w:val="24"/>
              </w:rPr>
            </w:pPr>
            <w:r>
              <w:rPr>
                <w:rFonts w:hint="eastAsia" w:ascii="宋体" w:hAnsi="宋体"/>
                <w:b/>
                <w:bCs/>
                <w:sz w:val="24"/>
              </w:rPr>
              <w:t>投标文件响应</w:t>
            </w:r>
          </w:p>
        </w:tc>
        <w:tc>
          <w:tcPr>
            <w:tcW w:w="1367" w:type="dxa"/>
            <w:vAlign w:val="center"/>
          </w:tcPr>
          <w:p>
            <w:pPr>
              <w:spacing w:line="400" w:lineRule="atLeast"/>
              <w:jc w:val="center"/>
              <w:rPr>
                <w:rFonts w:ascii="宋体" w:hAnsi="宋体"/>
                <w:b/>
                <w:bCs/>
                <w:sz w:val="24"/>
              </w:rPr>
            </w:pPr>
            <w:r>
              <w:rPr>
                <w:rFonts w:hint="eastAsia" w:ascii="宋体" w:hAnsi="宋体"/>
                <w:b/>
                <w:bCs/>
                <w:sz w:val="24"/>
              </w:rPr>
              <w:t>偏离</w:t>
            </w:r>
          </w:p>
        </w:tc>
        <w:tc>
          <w:tcPr>
            <w:tcW w:w="1440" w:type="dxa"/>
            <w:vAlign w:val="center"/>
          </w:tcPr>
          <w:p>
            <w:pPr>
              <w:spacing w:line="400" w:lineRule="atLeast"/>
              <w:jc w:val="center"/>
              <w:rPr>
                <w:rFonts w:ascii="宋体" w:hAnsi="宋体"/>
                <w:b/>
                <w:bCs/>
                <w:sz w:val="24"/>
              </w:rPr>
            </w:pPr>
            <w:r>
              <w:rPr>
                <w:rFonts w:hint="eastAsia" w:ascii="宋体" w:hAnsi="宋体"/>
                <w:b/>
                <w:bCs/>
                <w:sz w:val="24"/>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1141" w:type="dxa"/>
          </w:tcPr>
          <w:p>
            <w:pPr>
              <w:spacing w:line="400" w:lineRule="atLeast"/>
              <w:jc w:val="center"/>
              <w:rPr>
                <w:rFonts w:ascii="宋体" w:hAnsi="宋体"/>
                <w:sz w:val="24"/>
              </w:rPr>
            </w:pPr>
          </w:p>
        </w:tc>
        <w:tc>
          <w:tcPr>
            <w:tcW w:w="2744" w:type="dxa"/>
          </w:tcPr>
          <w:p>
            <w:pPr>
              <w:spacing w:line="400" w:lineRule="atLeast"/>
              <w:jc w:val="center"/>
              <w:rPr>
                <w:rFonts w:ascii="宋体" w:hAnsi="宋体"/>
                <w:sz w:val="24"/>
              </w:rPr>
            </w:pPr>
          </w:p>
        </w:tc>
        <w:tc>
          <w:tcPr>
            <w:tcW w:w="2100" w:type="dxa"/>
          </w:tcPr>
          <w:p>
            <w:pPr>
              <w:spacing w:line="400" w:lineRule="atLeast"/>
              <w:jc w:val="center"/>
              <w:rPr>
                <w:rFonts w:ascii="宋体" w:hAnsi="宋体"/>
                <w:sz w:val="24"/>
              </w:rPr>
            </w:pPr>
          </w:p>
        </w:tc>
        <w:tc>
          <w:tcPr>
            <w:tcW w:w="1367" w:type="dxa"/>
          </w:tcPr>
          <w:p>
            <w:pPr>
              <w:spacing w:line="400" w:lineRule="atLeast"/>
              <w:jc w:val="center"/>
              <w:rPr>
                <w:rFonts w:ascii="宋体" w:hAnsi="宋体"/>
                <w:sz w:val="24"/>
              </w:rPr>
            </w:pPr>
          </w:p>
        </w:tc>
        <w:tc>
          <w:tcPr>
            <w:tcW w:w="1440" w:type="dxa"/>
          </w:tcPr>
          <w:p>
            <w:pPr>
              <w:spacing w:line="400" w:lineRule="atLeast"/>
              <w:jc w:val="center"/>
              <w:rPr>
                <w:rFonts w:ascii="宋体" w:hAnsi="宋体"/>
                <w:sz w:val="24"/>
              </w:rPr>
            </w:pPr>
          </w:p>
        </w:tc>
      </w:tr>
    </w:tbl>
    <w:p>
      <w:pPr>
        <w:rPr>
          <w:rFonts w:ascii="宋体" w:hAnsi="宋体" w:cs="仿宋_GB2312"/>
        </w:rPr>
      </w:pPr>
    </w:p>
    <w:p>
      <w:pPr>
        <w:spacing w:line="360" w:lineRule="auto"/>
        <w:rPr>
          <w:rFonts w:hint="eastAsia" w:ascii="宋体" w:hAnsi="宋体"/>
          <w:sz w:val="24"/>
          <w:szCs w:val="24"/>
        </w:rPr>
      </w:pPr>
      <w:r>
        <w:rPr>
          <w:rFonts w:hint="eastAsia" w:ascii="宋体" w:hAnsi="宋体"/>
          <w:sz w:val="24"/>
          <w:szCs w:val="24"/>
          <w:lang w:val="en-US" w:eastAsia="zh-CN"/>
        </w:rPr>
        <w:t>备注</w:t>
      </w:r>
      <w:r>
        <w:rPr>
          <w:rFonts w:hint="eastAsia" w:ascii="宋体" w:hAnsi="宋体"/>
          <w:sz w:val="24"/>
          <w:szCs w:val="24"/>
        </w:rPr>
        <w:t>：</w:t>
      </w:r>
      <w:r>
        <w:rPr>
          <w:rFonts w:hint="eastAsia" w:ascii="宋体" w:hAnsi="宋体"/>
          <w:sz w:val="24"/>
          <w:szCs w:val="24"/>
          <w:lang w:val="en-US" w:eastAsia="zh-CN"/>
        </w:rPr>
        <w:t>1、供应商需将与采购内容中商务偏离部分全部填写至本表，并标明正、负偏离。如无偏离项，只需在空表签字盖章处签字盖章响应。本页可扩展。</w:t>
      </w:r>
      <w:r>
        <w:rPr>
          <w:rFonts w:hint="eastAsia" w:ascii="宋体" w:hAnsi="宋体"/>
          <w:sz w:val="24"/>
          <w:szCs w:val="24"/>
        </w:rPr>
        <w:t>除本偏离表中所列的偏离项目外，供应商承诺其它所有</w:t>
      </w:r>
      <w:r>
        <w:rPr>
          <w:rFonts w:hint="eastAsia" w:ascii="宋体" w:hAnsi="宋体"/>
          <w:sz w:val="24"/>
          <w:szCs w:val="24"/>
          <w:lang w:val="en-US" w:eastAsia="zh-CN"/>
        </w:rPr>
        <w:t>商务条款</w:t>
      </w:r>
      <w:r>
        <w:rPr>
          <w:rFonts w:hint="eastAsia" w:ascii="宋体" w:hAnsi="宋体"/>
          <w:sz w:val="24"/>
          <w:szCs w:val="24"/>
        </w:rPr>
        <w:t>均完全响应“招标文件”中的要求。</w:t>
      </w:r>
    </w:p>
    <w:p>
      <w:pPr>
        <w:spacing w:line="360" w:lineRule="auto"/>
        <w:ind w:firstLine="720" w:firstLineChars="300"/>
        <w:rPr>
          <w:rFonts w:ascii="宋体" w:hAnsi="宋体"/>
        </w:rPr>
      </w:pPr>
      <w:r>
        <w:rPr>
          <w:rFonts w:hint="eastAsia" w:ascii="宋体" w:hAnsi="宋体" w:eastAsia="宋体" w:cs="Times New Roman"/>
          <w:b w:val="0"/>
          <w:bCs w:val="0"/>
          <w:kern w:val="2"/>
          <w:sz w:val="24"/>
          <w:szCs w:val="24"/>
          <w:lang w:val="en-US" w:eastAsia="zh-CN" w:bidi="ar-SA"/>
        </w:rPr>
        <w:t>2、供应商对该表的真实性负责，如未真实填写由此引起的一切风险由供应商承担。</w:t>
      </w:r>
    </w:p>
    <w:p>
      <w:pPr>
        <w:pStyle w:val="8"/>
        <w:rPr>
          <w:rFonts w:ascii="宋体" w:hAnsi="宋体" w:cs="仿宋_GB2312"/>
        </w:rPr>
      </w:pPr>
    </w:p>
    <w:p>
      <w:pPr>
        <w:rPr>
          <w:rFonts w:ascii="宋体" w:hAnsi="宋体"/>
        </w:rPr>
      </w:pPr>
    </w:p>
    <w:p>
      <w:pPr>
        <w:pStyle w:val="8"/>
        <w:rPr>
          <w:rFonts w:ascii="宋体" w:hAnsi="宋体"/>
        </w:rPr>
      </w:pPr>
    </w:p>
    <w:p>
      <w:pPr>
        <w:spacing w:line="480" w:lineRule="auto"/>
        <w:ind w:right="480" w:firstLine="360" w:firstLineChars="150"/>
        <w:jc w:val="center"/>
        <w:rPr>
          <w:rFonts w:ascii="宋体" w:hAnsi="宋体" w:cs="宋体"/>
          <w:sz w:val="24"/>
        </w:rPr>
      </w:pPr>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ind w:firstLine="2400" w:firstLineChars="1000"/>
        <w:rPr>
          <w:rFonts w:ascii="宋体" w:hAnsi="宋体" w:cs="宋体"/>
          <w:sz w:val="24"/>
        </w:rPr>
      </w:pPr>
      <w:r>
        <w:rPr>
          <w:rFonts w:hint="eastAsia" w:ascii="宋体" w:hAnsi="宋体" w:cs="宋体"/>
          <w:sz w:val="24"/>
        </w:rPr>
        <w:t>日期： 年   月    日</w:t>
      </w:r>
    </w:p>
    <w:p/>
    <w:p>
      <w:pPr>
        <w:pStyle w:val="8"/>
      </w:pPr>
    </w:p>
    <w:p/>
    <w:p>
      <w:pPr>
        <w:pStyle w:val="4"/>
        <w:adjustRightInd w:val="0"/>
        <w:spacing w:line="276" w:lineRule="auto"/>
        <w:jc w:val="center"/>
        <w:textAlignment w:val="baseline"/>
        <w:rPr>
          <w:rFonts w:ascii="宋体" w:hAnsi="宋体" w:eastAsia="宋体" w:cs="宋体"/>
        </w:rPr>
      </w:pPr>
      <w:bookmarkStart w:id="331" w:name="_Toc491509449"/>
      <w:bookmarkStart w:id="332" w:name="_Toc17682"/>
      <w:bookmarkStart w:id="333" w:name="_Toc19680"/>
      <w:bookmarkStart w:id="334" w:name="_Toc1983"/>
      <w:bookmarkStart w:id="335" w:name="_Toc16251"/>
      <w:r>
        <w:rPr>
          <w:rFonts w:hint="eastAsia" w:ascii="宋体" w:hAnsi="宋体" w:eastAsia="宋体" w:cs="仿宋_GB2312"/>
        </w:rPr>
        <w:t>附件</w:t>
      </w:r>
      <w:bookmarkEnd w:id="331"/>
      <w:bookmarkEnd w:id="332"/>
      <w:bookmarkEnd w:id="333"/>
      <w:bookmarkEnd w:id="334"/>
      <w:r>
        <w:rPr>
          <w:rFonts w:hint="eastAsia" w:ascii="宋体" w:hAnsi="宋体" w:eastAsia="宋体" w:cs="仿宋_GB2312"/>
          <w:lang w:val="en-US" w:eastAsia="zh-CN"/>
        </w:rPr>
        <w:t>10</w:t>
      </w:r>
      <w:r>
        <w:rPr>
          <w:rFonts w:hint="eastAsia" w:ascii="宋体" w:hAnsi="宋体" w:eastAsia="宋体" w:cs="仿宋_GB2312"/>
        </w:rPr>
        <w:t xml:space="preserve"> </w:t>
      </w:r>
      <w:r>
        <w:rPr>
          <w:rFonts w:hint="eastAsia" w:ascii="宋体" w:hAnsi="宋体" w:eastAsia="宋体" w:cs="宋体"/>
        </w:rPr>
        <w:t>供应商拒绝政府采购领域商业贿赂承诺书</w:t>
      </w:r>
      <w:bookmarkEnd w:id="335"/>
    </w:p>
    <w:p>
      <w:pPr>
        <w:spacing w:line="480" w:lineRule="auto"/>
        <w:ind w:firstLine="480" w:firstLineChars="200"/>
        <w:jc w:val="left"/>
        <w:rPr>
          <w:rFonts w:ascii="宋体" w:hAnsi="宋体" w:cs="楷体"/>
          <w:sz w:val="24"/>
          <w:szCs w:val="24"/>
        </w:rPr>
      </w:pPr>
      <w:r>
        <w:rPr>
          <w:rFonts w:ascii="宋体" w:hAnsi="宋体" w:cs="宋体"/>
          <w:kern w:val="0"/>
          <w:sz w:val="24"/>
          <w:szCs w:val="24"/>
        </w:rPr>
        <w:t>为响应党中央、国务院关于治理政府采购领域商业贿赂行为的号召，我公司在此庄严承诺：</w:t>
      </w:r>
      <w:r>
        <w:rPr>
          <w:rFonts w:ascii="宋体" w:hAnsi="宋体" w:cs="宋体"/>
          <w:kern w:val="0"/>
          <w:sz w:val="24"/>
          <w:szCs w:val="24"/>
        </w:rPr>
        <w:br w:type="textWrapping"/>
      </w:r>
      <w:r>
        <w:rPr>
          <w:rFonts w:ascii="宋体" w:hAnsi="宋体" w:cs="宋体"/>
          <w:kern w:val="0"/>
          <w:sz w:val="24"/>
          <w:szCs w:val="24"/>
        </w:rPr>
        <w:t>1、在参与政府采购活动中遵纪守法、诚信经营、公平竞标。</w:t>
      </w:r>
      <w:r>
        <w:rPr>
          <w:rFonts w:ascii="宋体" w:hAnsi="宋体" w:cs="宋体"/>
          <w:kern w:val="0"/>
          <w:sz w:val="24"/>
          <w:szCs w:val="24"/>
        </w:rPr>
        <w:br w:type="textWrapping"/>
      </w:r>
      <w:r>
        <w:rPr>
          <w:rFonts w:ascii="宋体" w:hAnsi="宋体" w:cs="宋体"/>
          <w:kern w:val="0"/>
          <w:sz w:val="24"/>
          <w:szCs w:val="24"/>
        </w:rPr>
        <w:t>2、不向政府采购人、采购代理机构和政府采购评审专家进行任何形式的商业贿赂以谋取交易机会。</w:t>
      </w:r>
      <w:r>
        <w:rPr>
          <w:rFonts w:ascii="宋体" w:hAnsi="宋体" w:cs="宋体"/>
          <w:kern w:val="0"/>
          <w:sz w:val="24"/>
          <w:szCs w:val="24"/>
        </w:rPr>
        <w:br w:type="textWrapping"/>
      </w:r>
      <w:r>
        <w:rPr>
          <w:rFonts w:ascii="宋体" w:hAnsi="宋体" w:cs="宋体"/>
          <w:kern w:val="0"/>
          <w:sz w:val="24"/>
          <w:szCs w:val="24"/>
        </w:rPr>
        <w:t>3、不向政府采购代理机构和采购人提供虚假资质文件或采用虚假应标方式参与政府采购市场竞争并谋取中标、成交。</w:t>
      </w:r>
      <w:r>
        <w:rPr>
          <w:rFonts w:ascii="宋体" w:hAnsi="宋体" w:cs="宋体"/>
          <w:kern w:val="0"/>
          <w:sz w:val="24"/>
          <w:szCs w:val="24"/>
        </w:rPr>
        <w:br w:type="textWrapping"/>
      </w:r>
      <w:r>
        <w:rPr>
          <w:rFonts w:ascii="宋体" w:hAnsi="宋体" w:cs="宋体"/>
          <w:kern w:val="0"/>
          <w:sz w:val="24"/>
          <w:szCs w:val="24"/>
        </w:rPr>
        <w:t>4、不采取“围标、陪标”等商业欺诈手段获得政府采购定单。</w:t>
      </w:r>
      <w:r>
        <w:rPr>
          <w:rFonts w:ascii="宋体" w:hAnsi="宋体" w:cs="宋体"/>
          <w:kern w:val="0"/>
          <w:sz w:val="24"/>
          <w:szCs w:val="24"/>
        </w:rPr>
        <w:br w:type="textWrapping"/>
      </w:r>
      <w:r>
        <w:rPr>
          <w:rFonts w:ascii="宋体" w:hAnsi="宋体" w:cs="宋体"/>
          <w:kern w:val="0"/>
          <w:sz w:val="24"/>
          <w:szCs w:val="24"/>
        </w:rPr>
        <w:t>5、不采取不正当手段诋毁、排挤其他供应商。</w:t>
      </w:r>
      <w:r>
        <w:rPr>
          <w:rFonts w:ascii="宋体" w:hAnsi="宋体" w:cs="宋体"/>
          <w:kern w:val="0"/>
          <w:sz w:val="24"/>
          <w:szCs w:val="24"/>
        </w:rPr>
        <w:br w:type="textWrapping"/>
      </w:r>
      <w:r>
        <w:rPr>
          <w:rFonts w:ascii="宋体" w:hAnsi="宋体" w:cs="宋体"/>
          <w:kern w:val="0"/>
          <w:sz w:val="24"/>
          <w:szCs w:val="24"/>
        </w:rPr>
        <w:t>6、不在提供商品和服务时“偷梁换柱、以次充好”损害采购人的合法权益。</w:t>
      </w:r>
      <w:r>
        <w:rPr>
          <w:rFonts w:ascii="宋体" w:hAnsi="宋体" w:cs="宋体"/>
          <w:kern w:val="0"/>
          <w:sz w:val="24"/>
          <w:szCs w:val="24"/>
        </w:rPr>
        <w:br w:type="textWrapping"/>
      </w:r>
      <w:r>
        <w:rPr>
          <w:rFonts w:ascii="宋体" w:hAnsi="宋体" w:cs="宋体"/>
          <w:kern w:val="0"/>
          <w:sz w:val="24"/>
          <w:szCs w:val="24"/>
        </w:rPr>
        <w:t>7、不与采购人、采购代理机构政府采购评审专家或其它供应商恶意串通，进行质疑和投诉，维护政府采购市场秩序。</w:t>
      </w:r>
      <w:r>
        <w:rPr>
          <w:rFonts w:ascii="宋体" w:hAnsi="宋体" w:cs="宋体"/>
          <w:kern w:val="0"/>
          <w:sz w:val="24"/>
          <w:szCs w:val="24"/>
        </w:rPr>
        <w:br w:type="textWrapping"/>
      </w:r>
      <w:r>
        <w:rPr>
          <w:rFonts w:ascii="宋体" w:hAnsi="宋体" w:cs="宋体"/>
          <w:kern w:val="0"/>
          <w:sz w:val="24"/>
          <w:szCs w:val="24"/>
        </w:rPr>
        <w:t>8、尊重和接受政府采购监督管理部门的监督和政府采购代理机构采购要求，承担因违约行为给采购人造成的损失。</w:t>
      </w:r>
      <w:r>
        <w:rPr>
          <w:rFonts w:ascii="宋体" w:hAnsi="宋体" w:cs="宋体"/>
          <w:kern w:val="0"/>
          <w:sz w:val="24"/>
          <w:szCs w:val="24"/>
        </w:rPr>
        <w:br w:type="textWrapping"/>
      </w:r>
      <w:r>
        <w:rPr>
          <w:rFonts w:ascii="宋体" w:hAnsi="宋体" w:cs="宋体"/>
          <w:kern w:val="0"/>
          <w:sz w:val="24"/>
          <w:szCs w:val="24"/>
        </w:rPr>
        <w:t>9、不发生其他有悖于政府采购公开、公平、公正和诚信原则的行为。</w:t>
      </w:r>
      <w:r>
        <w:rPr>
          <w:rFonts w:ascii="宋体" w:hAnsi="宋体" w:cs="宋体"/>
          <w:kern w:val="0"/>
          <w:sz w:val="24"/>
          <w:szCs w:val="24"/>
        </w:rPr>
        <w:br w:type="textWrapping"/>
      </w:r>
      <w:r>
        <w:rPr>
          <w:rFonts w:hint="eastAsia" w:ascii="宋体" w:hAnsi="宋体" w:cs="楷体"/>
          <w:sz w:val="24"/>
          <w:szCs w:val="24"/>
        </w:rPr>
        <w:t xml:space="preserve">      承诺单位（盖章）：</w:t>
      </w:r>
    </w:p>
    <w:p>
      <w:pPr>
        <w:spacing w:line="480" w:lineRule="auto"/>
        <w:ind w:left="701" w:leftChars="334"/>
        <w:jc w:val="left"/>
        <w:rPr>
          <w:rFonts w:ascii="宋体" w:hAnsi="宋体" w:cs="楷体"/>
          <w:sz w:val="24"/>
          <w:szCs w:val="24"/>
        </w:rPr>
      </w:pPr>
      <w:r>
        <w:rPr>
          <w:rFonts w:hint="eastAsia" w:ascii="宋体" w:hAnsi="宋体" w:cs="楷体"/>
          <w:sz w:val="24"/>
          <w:szCs w:val="24"/>
        </w:rPr>
        <w:t>被授权人（签字）：</w:t>
      </w:r>
    </w:p>
    <w:p>
      <w:pPr>
        <w:spacing w:line="480" w:lineRule="auto"/>
        <w:ind w:left="701" w:leftChars="334"/>
        <w:jc w:val="left"/>
        <w:rPr>
          <w:rFonts w:ascii="宋体" w:hAnsi="宋体" w:cs="楷体"/>
          <w:sz w:val="24"/>
          <w:szCs w:val="24"/>
        </w:rPr>
      </w:pPr>
      <w:r>
        <w:rPr>
          <w:rFonts w:hint="eastAsia" w:ascii="宋体" w:hAnsi="宋体" w:cs="楷体"/>
          <w:sz w:val="24"/>
          <w:szCs w:val="24"/>
        </w:rPr>
        <w:t>地  址：                        </w:t>
      </w:r>
    </w:p>
    <w:p>
      <w:pPr>
        <w:spacing w:line="480" w:lineRule="auto"/>
        <w:ind w:left="718" w:leftChars="342"/>
        <w:jc w:val="left"/>
        <w:rPr>
          <w:rFonts w:ascii="宋体" w:hAnsi="宋体" w:cs="楷体"/>
          <w:sz w:val="24"/>
          <w:szCs w:val="24"/>
        </w:rPr>
      </w:pPr>
      <w:r>
        <w:rPr>
          <w:rFonts w:hint="eastAsia" w:ascii="宋体" w:hAnsi="宋体" w:cs="楷体"/>
          <w:sz w:val="24"/>
          <w:szCs w:val="24"/>
        </w:rPr>
        <w:t>邮  编：</w:t>
      </w:r>
      <w:r>
        <w:rPr>
          <w:rFonts w:hint="eastAsia" w:ascii="宋体" w:hAnsi="宋体" w:cs="楷体"/>
          <w:sz w:val="24"/>
          <w:szCs w:val="24"/>
        </w:rPr>
        <w:br w:type="textWrapping"/>
      </w:r>
      <w:r>
        <w:rPr>
          <w:rFonts w:hint="eastAsia" w:ascii="宋体" w:hAnsi="宋体" w:cs="楷体"/>
          <w:sz w:val="24"/>
          <w:szCs w:val="24"/>
        </w:rPr>
        <w:t xml:space="preserve">电  话：    </w:t>
      </w:r>
    </w:p>
    <w:p>
      <w:pPr>
        <w:spacing w:line="480" w:lineRule="auto"/>
        <w:ind w:left="718" w:leftChars="342"/>
        <w:jc w:val="left"/>
        <w:rPr>
          <w:rFonts w:ascii="宋体" w:hAnsi="宋体" w:cs="楷体"/>
          <w:sz w:val="24"/>
          <w:szCs w:val="24"/>
        </w:rPr>
      </w:pPr>
      <w:r>
        <w:rPr>
          <w:rFonts w:hint="eastAsia" w:ascii="宋体" w:hAnsi="宋体" w:cs="楷体"/>
          <w:sz w:val="24"/>
          <w:szCs w:val="24"/>
        </w:rPr>
        <w:t>年   月   日</w:t>
      </w:r>
    </w:p>
    <w:p>
      <w:pPr>
        <w:pStyle w:val="8"/>
        <w:rPr>
          <w:rFonts w:ascii="宋体" w:hAnsi="宋体" w:cs="仿宋_GB2312"/>
        </w:rPr>
      </w:pPr>
    </w:p>
    <w:p>
      <w:pPr>
        <w:pStyle w:val="4"/>
        <w:adjustRightInd w:val="0"/>
        <w:spacing w:line="276" w:lineRule="auto"/>
        <w:jc w:val="center"/>
        <w:textAlignment w:val="baseline"/>
        <w:rPr>
          <w:rFonts w:hint="eastAsia" w:ascii="宋体" w:hAnsi="宋体" w:eastAsia="宋体" w:cs="仿宋_GB2312"/>
        </w:rPr>
      </w:pPr>
      <w:bookmarkStart w:id="336" w:name="_Toc574"/>
      <w:r>
        <w:rPr>
          <w:rFonts w:hint="eastAsia" w:ascii="宋体" w:hAnsi="宋体" w:eastAsia="宋体" w:cs="仿宋_GB2312"/>
        </w:rPr>
        <w:t>附件1</w:t>
      </w:r>
      <w:r>
        <w:rPr>
          <w:rFonts w:hint="eastAsia" w:ascii="宋体" w:hAnsi="宋体" w:eastAsia="宋体" w:cs="仿宋_GB2312"/>
          <w:lang w:val="en-US" w:eastAsia="zh-CN"/>
        </w:rPr>
        <w:t>1项目技术</w:t>
      </w:r>
      <w:r>
        <w:rPr>
          <w:rFonts w:hint="eastAsia" w:ascii="宋体" w:hAnsi="宋体" w:eastAsia="宋体" w:cs="仿宋_GB2312"/>
        </w:rPr>
        <w:t>方案</w:t>
      </w:r>
      <w:bookmarkEnd w:id="336"/>
    </w:p>
    <w:p>
      <w:pPr>
        <w:rPr>
          <w:rFonts w:ascii="宋体" w:hAnsi="宋体"/>
          <w:b/>
          <w:bCs/>
          <w:szCs w:val="21"/>
          <w:highlight w:val="yellow"/>
        </w:rPr>
      </w:pPr>
    </w:p>
    <w:p>
      <w:pPr>
        <w:pStyle w:val="8"/>
        <w:rPr>
          <w:rFonts w:ascii="宋体" w:hAnsi="宋体"/>
          <w:highlight w:val="yellow"/>
        </w:rPr>
      </w:pPr>
    </w:p>
    <w:p>
      <w:pPr>
        <w:jc w:val="center"/>
        <w:rPr>
          <w:rFonts w:ascii="宋体" w:hAnsi="宋体"/>
          <w:sz w:val="28"/>
          <w:szCs w:val="28"/>
        </w:rPr>
      </w:pPr>
      <w:r>
        <w:rPr>
          <w:rFonts w:hint="eastAsia" w:ascii="宋体" w:hAnsi="宋体"/>
          <w:sz w:val="28"/>
          <w:szCs w:val="28"/>
        </w:rPr>
        <w:t>格式自拟</w:t>
      </w:r>
    </w:p>
    <w:p>
      <w:pPr>
        <w:pStyle w:val="8"/>
        <w:rPr>
          <w:szCs w:val="28"/>
          <w:highlight w:val="yellow"/>
        </w:rPr>
      </w:pPr>
    </w:p>
    <w:p/>
    <w:p>
      <w:pPr>
        <w:rPr>
          <w:rFonts w:ascii="宋体" w:hAnsi="宋体"/>
        </w:rPr>
      </w:pPr>
    </w:p>
    <w:p>
      <w:pPr>
        <w:rPr>
          <w:rFonts w:ascii="宋体" w:hAnsi="宋体"/>
        </w:rPr>
      </w:pPr>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Pr>
        <w:pStyle w:val="8"/>
      </w:pPr>
    </w:p>
    <w:p/>
    <w:p/>
    <w:p/>
    <w:p>
      <w:pPr>
        <w:pStyle w:val="4"/>
        <w:adjustRightInd w:val="0"/>
        <w:spacing w:line="360" w:lineRule="auto"/>
        <w:jc w:val="center"/>
        <w:textAlignment w:val="baseline"/>
        <w:rPr>
          <w:rFonts w:ascii="宋体" w:hAnsi="宋体" w:eastAsia="宋体" w:cs="宋体"/>
          <w:sz w:val="24"/>
          <w:u w:val="single"/>
        </w:rPr>
      </w:pPr>
      <w:bookmarkStart w:id="337" w:name="_Toc7611"/>
      <w:r>
        <w:rPr>
          <w:rFonts w:hint="eastAsia" w:ascii="宋体" w:hAnsi="宋体" w:eastAsia="宋体" w:cs="仿宋_GB2312"/>
        </w:rPr>
        <w:t>附件1</w:t>
      </w:r>
      <w:r>
        <w:rPr>
          <w:rFonts w:hint="eastAsia" w:ascii="宋体" w:hAnsi="宋体" w:eastAsia="宋体" w:cs="仿宋_GB2312"/>
          <w:lang w:val="en-US" w:eastAsia="zh-CN"/>
        </w:rPr>
        <w:t>2</w:t>
      </w:r>
      <w:r>
        <w:rPr>
          <w:rFonts w:hint="eastAsia" w:ascii="宋体" w:hAnsi="宋体" w:eastAsia="宋体" w:cs="仿宋_GB2312"/>
        </w:rPr>
        <w:t xml:space="preserve"> </w:t>
      </w:r>
      <w:r>
        <w:rPr>
          <w:rFonts w:hint="eastAsia" w:ascii="宋体" w:hAnsi="宋体" w:eastAsia="宋体" w:cs="宋体"/>
        </w:rPr>
        <w:t>拟投入本项目人员汇总表</w:t>
      </w:r>
      <w:bookmarkEnd w:id="337"/>
    </w:p>
    <w:p>
      <w:pPr>
        <w:pStyle w:val="8"/>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078"/>
        <w:gridCol w:w="816"/>
        <w:gridCol w:w="1077"/>
        <w:gridCol w:w="1078"/>
        <w:gridCol w:w="1048"/>
        <w:gridCol w:w="1043"/>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jc w:val="center"/>
              <w:rPr>
                <w:rFonts w:ascii="宋体" w:hAnsi="宋体" w:cs="宋体"/>
                <w:sz w:val="24"/>
              </w:rPr>
            </w:pPr>
            <w:r>
              <w:rPr>
                <w:rFonts w:hint="eastAsia" w:ascii="宋体" w:hAnsi="宋体" w:cs="宋体"/>
                <w:sz w:val="24"/>
              </w:rPr>
              <w:t>序号</w:t>
            </w:r>
          </w:p>
        </w:tc>
        <w:tc>
          <w:tcPr>
            <w:tcW w:w="1078" w:type="dxa"/>
          </w:tcPr>
          <w:p>
            <w:pPr>
              <w:spacing w:line="360" w:lineRule="auto"/>
              <w:jc w:val="center"/>
              <w:rPr>
                <w:rFonts w:ascii="宋体" w:hAnsi="宋体" w:cs="宋体"/>
                <w:sz w:val="24"/>
              </w:rPr>
            </w:pPr>
            <w:r>
              <w:rPr>
                <w:rFonts w:hint="eastAsia" w:ascii="宋体" w:hAnsi="宋体" w:cs="宋体"/>
                <w:sz w:val="24"/>
              </w:rPr>
              <w:t>姓名</w:t>
            </w:r>
          </w:p>
        </w:tc>
        <w:tc>
          <w:tcPr>
            <w:tcW w:w="816" w:type="dxa"/>
          </w:tcPr>
          <w:p>
            <w:pPr>
              <w:spacing w:line="360" w:lineRule="auto"/>
              <w:jc w:val="center"/>
              <w:rPr>
                <w:rFonts w:ascii="宋体" w:hAnsi="宋体" w:cs="宋体"/>
                <w:sz w:val="24"/>
              </w:rPr>
            </w:pPr>
            <w:r>
              <w:rPr>
                <w:rFonts w:hint="eastAsia" w:ascii="宋体" w:hAnsi="宋体" w:cs="宋体"/>
                <w:sz w:val="24"/>
              </w:rPr>
              <w:t>性别</w:t>
            </w:r>
          </w:p>
        </w:tc>
        <w:tc>
          <w:tcPr>
            <w:tcW w:w="1077" w:type="dxa"/>
          </w:tcPr>
          <w:p>
            <w:pPr>
              <w:spacing w:line="360" w:lineRule="auto"/>
              <w:jc w:val="center"/>
              <w:rPr>
                <w:rFonts w:ascii="宋体" w:hAnsi="宋体" w:cs="宋体"/>
                <w:sz w:val="24"/>
              </w:rPr>
            </w:pPr>
            <w:r>
              <w:rPr>
                <w:rFonts w:hint="eastAsia" w:ascii="宋体" w:hAnsi="宋体" w:cs="宋体"/>
                <w:sz w:val="24"/>
              </w:rPr>
              <w:t>年龄</w:t>
            </w:r>
          </w:p>
        </w:tc>
        <w:tc>
          <w:tcPr>
            <w:tcW w:w="1078" w:type="dxa"/>
          </w:tcPr>
          <w:p>
            <w:pPr>
              <w:spacing w:line="360" w:lineRule="auto"/>
              <w:jc w:val="center"/>
              <w:rPr>
                <w:rFonts w:ascii="宋体" w:hAnsi="宋体" w:cs="宋体"/>
                <w:sz w:val="24"/>
              </w:rPr>
            </w:pPr>
            <w:r>
              <w:rPr>
                <w:rFonts w:hint="eastAsia" w:ascii="宋体" w:hAnsi="宋体" w:cs="宋体"/>
                <w:sz w:val="24"/>
              </w:rPr>
              <w:t>职务</w:t>
            </w:r>
          </w:p>
        </w:tc>
        <w:tc>
          <w:tcPr>
            <w:tcW w:w="1048" w:type="dxa"/>
          </w:tcPr>
          <w:p>
            <w:pPr>
              <w:spacing w:line="360" w:lineRule="auto"/>
              <w:jc w:val="center"/>
              <w:rPr>
                <w:rFonts w:ascii="宋体" w:hAnsi="宋体" w:cs="宋体"/>
                <w:sz w:val="24"/>
              </w:rPr>
            </w:pPr>
            <w:r>
              <w:rPr>
                <w:rFonts w:hint="eastAsia" w:ascii="宋体" w:hAnsi="宋体" w:cs="宋体"/>
                <w:sz w:val="24"/>
              </w:rPr>
              <w:t>职称</w:t>
            </w:r>
          </w:p>
        </w:tc>
        <w:tc>
          <w:tcPr>
            <w:tcW w:w="1043" w:type="dxa"/>
          </w:tcPr>
          <w:p>
            <w:pPr>
              <w:spacing w:line="360" w:lineRule="auto"/>
              <w:jc w:val="center"/>
              <w:rPr>
                <w:rFonts w:ascii="宋体" w:hAnsi="宋体" w:cs="宋体"/>
                <w:sz w:val="24"/>
              </w:rPr>
            </w:pPr>
            <w:r>
              <w:rPr>
                <w:rFonts w:hint="eastAsia" w:ascii="宋体" w:hAnsi="宋体" w:cs="宋体"/>
                <w:sz w:val="24"/>
              </w:rPr>
              <w:t>学历</w:t>
            </w:r>
          </w:p>
        </w:tc>
        <w:tc>
          <w:tcPr>
            <w:tcW w:w="2083" w:type="dxa"/>
          </w:tcPr>
          <w:p>
            <w:pPr>
              <w:spacing w:line="360" w:lineRule="auto"/>
              <w:jc w:val="center"/>
              <w:rPr>
                <w:rFonts w:ascii="宋体" w:hAnsi="宋体" w:cs="宋体"/>
                <w:sz w:val="24"/>
              </w:rPr>
            </w:pPr>
            <w:r>
              <w:rPr>
                <w:rFonts w:hint="eastAsia" w:ascii="宋体" w:hAnsi="宋体" w:cs="宋体"/>
                <w:sz w:val="24"/>
              </w:rPr>
              <w:t>拟担任的工作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sz w:val="24"/>
              </w:rPr>
            </w:pPr>
          </w:p>
        </w:tc>
        <w:tc>
          <w:tcPr>
            <w:tcW w:w="1078" w:type="dxa"/>
          </w:tcPr>
          <w:p>
            <w:pPr>
              <w:spacing w:line="360" w:lineRule="auto"/>
              <w:rPr>
                <w:rFonts w:ascii="宋体" w:hAnsi="宋体" w:cs="宋体"/>
                <w:sz w:val="24"/>
              </w:rPr>
            </w:pPr>
          </w:p>
        </w:tc>
        <w:tc>
          <w:tcPr>
            <w:tcW w:w="816" w:type="dxa"/>
          </w:tcPr>
          <w:p>
            <w:pPr>
              <w:spacing w:line="360" w:lineRule="auto"/>
              <w:rPr>
                <w:rFonts w:ascii="宋体" w:hAnsi="宋体" w:cs="宋体"/>
                <w:sz w:val="24"/>
              </w:rPr>
            </w:pPr>
          </w:p>
        </w:tc>
        <w:tc>
          <w:tcPr>
            <w:tcW w:w="1077" w:type="dxa"/>
          </w:tcPr>
          <w:p>
            <w:pPr>
              <w:spacing w:line="360" w:lineRule="auto"/>
              <w:rPr>
                <w:rFonts w:ascii="宋体" w:hAnsi="宋体" w:cs="宋体"/>
                <w:sz w:val="24"/>
              </w:rPr>
            </w:pPr>
          </w:p>
        </w:tc>
        <w:tc>
          <w:tcPr>
            <w:tcW w:w="1078" w:type="dxa"/>
          </w:tcPr>
          <w:p>
            <w:pPr>
              <w:spacing w:line="360" w:lineRule="auto"/>
              <w:rPr>
                <w:rFonts w:ascii="宋体" w:hAnsi="宋体" w:cs="宋体"/>
                <w:sz w:val="24"/>
              </w:rPr>
            </w:pPr>
          </w:p>
        </w:tc>
        <w:tc>
          <w:tcPr>
            <w:tcW w:w="1048" w:type="dxa"/>
          </w:tcPr>
          <w:p>
            <w:pPr>
              <w:spacing w:line="360" w:lineRule="auto"/>
              <w:rPr>
                <w:rFonts w:ascii="宋体" w:hAnsi="宋体" w:cs="宋体"/>
                <w:sz w:val="24"/>
              </w:rPr>
            </w:pPr>
          </w:p>
        </w:tc>
        <w:tc>
          <w:tcPr>
            <w:tcW w:w="1043" w:type="dxa"/>
          </w:tcPr>
          <w:p>
            <w:pPr>
              <w:spacing w:line="360" w:lineRule="auto"/>
              <w:rPr>
                <w:rFonts w:ascii="宋体" w:hAnsi="宋体" w:cs="宋体"/>
                <w:sz w:val="24"/>
              </w:rPr>
            </w:pPr>
          </w:p>
        </w:tc>
        <w:tc>
          <w:tcPr>
            <w:tcW w:w="2083"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16"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816" w:type="dxa"/>
          </w:tcPr>
          <w:p>
            <w:pPr>
              <w:spacing w:line="360" w:lineRule="auto"/>
              <w:rPr>
                <w:rFonts w:ascii="宋体" w:hAnsi="宋体" w:cs="宋体"/>
              </w:rPr>
            </w:pPr>
          </w:p>
        </w:tc>
        <w:tc>
          <w:tcPr>
            <w:tcW w:w="1077" w:type="dxa"/>
          </w:tcPr>
          <w:p>
            <w:pPr>
              <w:spacing w:line="360" w:lineRule="auto"/>
              <w:rPr>
                <w:rFonts w:ascii="宋体" w:hAnsi="宋体" w:cs="宋体"/>
              </w:rPr>
            </w:pPr>
          </w:p>
        </w:tc>
        <w:tc>
          <w:tcPr>
            <w:tcW w:w="1078" w:type="dxa"/>
          </w:tcPr>
          <w:p>
            <w:pPr>
              <w:spacing w:line="360" w:lineRule="auto"/>
              <w:rPr>
                <w:rFonts w:ascii="宋体" w:hAnsi="宋体" w:cs="宋体"/>
              </w:rPr>
            </w:pPr>
          </w:p>
        </w:tc>
        <w:tc>
          <w:tcPr>
            <w:tcW w:w="1048" w:type="dxa"/>
          </w:tcPr>
          <w:p>
            <w:pPr>
              <w:spacing w:line="360" w:lineRule="auto"/>
              <w:rPr>
                <w:rFonts w:ascii="宋体" w:hAnsi="宋体" w:cs="宋体"/>
              </w:rPr>
            </w:pPr>
          </w:p>
        </w:tc>
        <w:tc>
          <w:tcPr>
            <w:tcW w:w="1043" w:type="dxa"/>
          </w:tcPr>
          <w:p>
            <w:pPr>
              <w:spacing w:line="360" w:lineRule="auto"/>
              <w:rPr>
                <w:rFonts w:ascii="宋体" w:hAnsi="宋体" w:cs="宋体"/>
              </w:rPr>
            </w:pPr>
          </w:p>
        </w:tc>
        <w:tc>
          <w:tcPr>
            <w:tcW w:w="2083" w:type="dxa"/>
          </w:tcPr>
          <w:p>
            <w:pPr>
              <w:spacing w:line="360" w:lineRule="auto"/>
              <w:rPr>
                <w:rFonts w:ascii="宋体" w:hAnsi="宋体" w:cs="宋体"/>
              </w:rPr>
            </w:pPr>
          </w:p>
        </w:tc>
      </w:tr>
    </w:tbl>
    <w:p>
      <w:pPr>
        <w:rPr>
          <w:rFonts w:ascii="宋体" w:hAnsi="宋体" w:cs="宋体"/>
        </w:rPr>
      </w:pPr>
    </w:p>
    <w:p>
      <w:pPr>
        <w:rPr>
          <w:rFonts w:ascii="宋体" w:hAnsi="宋体" w:cs="宋体"/>
        </w:rPr>
      </w:pPr>
      <w:r>
        <w:rPr>
          <w:rFonts w:hint="eastAsia" w:ascii="宋体" w:hAnsi="宋体" w:cs="宋体"/>
        </w:rPr>
        <w:t>注：后附相关资料（包括但不限于人员简历、学历、职称或证书等）。</w:t>
      </w:r>
      <w:bookmarkStart w:id="338" w:name="_Hlt491572882"/>
      <w:bookmarkEnd w:id="338"/>
      <w:bookmarkStart w:id="339" w:name="_Hlt491765868"/>
      <w:bookmarkEnd w:id="339"/>
      <w:bookmarkStart w:id="340" w:name="_Hlt491573425"/>
      <w:bookmarkEnd w:id="340"/>
    </w:p>
    <w:p>
      <w:pPr>
        <w:pStyle w:val="8"/>
      </w:pPr>
    </w:p>
    <w:p/>
    <w:p>
      <w:pPr>
        <w:pStyle w:val="8"/>
      </w:pPr>
    </w:p>
    <w:p/>
    <w:p>
      <w:pPr>
        <w:spacing w:line="480" w:lineRule="auto"/>
        <w:ind w:right="480" w:firstLine="360" w:firstLineChars="150"/>
        <w:jc w:val="center"/>
        <w:rPr>
          <w:rFonts w:ascii="宋体" w:hAnsi="宋体" w:cs="宋体"/>
          <w:sz w:val="24"/>
        </w:rPr>
      </w:pPr>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ind w:firstLine="2400" w:firstLineChars="1000"/>
        <w:rPr>
          <w:rFonts w:ascii="宋体" w:hAnsi="宋体" w:cs="宋体"/>
          <w:sz w:val="24"/>
          <w:u w:val="single"/>
        </w:rPr>
      </w:pPr>
      <w:r>
        <w:rPr>
          <w:rFonts w:hint="eastAsia" w:ascii="宋体" w:hAnsi="宋体" w:cs="宋体"/>
          <w:sz w:val="24"/>
        </w:rPr>
        <w:t>日期：  年   月   日</w:t>
      </w:r>
    </w:p>
    <w:p>
      <w:pPr>
        <w:rPr>
          <w:rFonts w:ascii="宋体" w:hAnsi="宋体"/>
        </w:rPr>
      </w:pPr>
    </w:p>
    <w:p>
      <w:pPr>
        <w:pStyle w:val="8"/>
      </w:pPr>
    </w:p>
    <w:p/>
    <w:p>
      <w:pPr>
        <w:pStyle w:val="8"/>
      </w:pPr>
    </w:p>
    <w:p/>
    <w:p>
      <w:pPr>
        <w:pStyle w:val="8"/>
      </w:pPr>
    </w:p>
    <w:p>
      <w:pPr>
        <w:pStyle w:val="4"/>
        <w:adjustRightInd w:val="0"/>
        <w:spacing w:line="360" w:lineRule="auto"/>
        <w:jc w:val="center"/>
        <w:textAlignment w:val="baseline"/>
        <w:rPr>
          <w:rFonts w:ascii="宋体" w:hAnsi="宋体" w:eastAsia="宋体" w:cs="仿宋_GB2312"/>
        </w:rPr>
      </w:pPr>
      <w:bookmarkStart w:id="341" w:name="_Toc27684"/>
      <w:r>
        <w:rPr>
          <w:rFonts w:hint="eastAsia" w:ascii="宋体" w:hAnsi="宋体" w:eastAsia="宋体" w:cs="仿宋_GB2312"/>
        </w:rPr>
        <w:t>附件1</w:t>
      </w:r>
      <w:r>
        <w:rPr>
          <w:rFonts w:hint="eastAsia" w:ascii="宋体" w:hAnsi="宋体" w:eastAsia="宋体" w:cs="仿宋_GB2312"/>
          <w:lang w:val="en-US" w:eastAsia="zh-CN"/>
        </w:rPr>
        <w:t>3</w:t>
      </w:r>
      <w:r>
        <w:rPr>
          <w:rFonts w:hint="eastAsia" w:ascii="宋体" w:hAnsi="宋体" w:eastAsia="宋体" w:cs="仿宋_GB2312"/>
        </w:rPr>
        <w:t>同类项目业绩一览表</w:t>
      </w:r>
      <w:bookmarkEnd w:id="341"/>
    </w:p>
    <w:p>
      <w:pPr>
        <w:spacing w:line="360" w:lineRule="auto"/>
        <w:ind w:firstLine="480" w:firstLineChars="200"/>
        <w:rPr>
          <w:rFonts w:ascii="宋体" w:hAnsi="宋体"/>
        </w:rPr>
      </w:pPr>
      <w:r>
        <w:rPr>
          <w:rFonts w:hint="eastAsia" w:ascii="宋体" w:hAnsi="宋体" w:cs="仿宋_GB2312"/>
          <w:sz w:val="24"/>
        </w:rPr>
        <w:t>供应商名称：                                    项目编号：</w:t>
      </w:r>
    </w:p>
    <w:tbl>
      <w:tblPr>
        <w:tblStyle w:val="22"/>
        <w:tblW w:w="909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09"/>
        <w:gridCol w:w="1736"/>
        <w:gridCol w:w="1414"/>
        <w:gridCol w:w="1939"/>
        <w:gridCol w:w="1560"/>
        <w:gridCol w:w="184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cs="宋体"/>
                <w:bCs/>
                <w:sz w:val="24"/>
              </w:rPr>
            </w:pPr>
            <w:r>
              <w:rPr>
                <w:rFonts w:hint="eastAsia" w:ascii="宋体" w:hAnsi="宋体" w:cs="宋体"/>
                <w:bCs/>
                <w:sz w:val="24"/>
              </w:rPr>
              <w:t>序号</w:t>
            </w:r>
          </w:p>
        </w:tc>
        <w:tc>
          <w:tcPr>
            <w:tcW w:w="1736" w:type="dxa"/>
            <w:vAlign w:val="center"/>
          </w:tcPr>
          <w:p>
            <w:pPr>
              <w:jc w:val="center"/>
              <w:rPr>
                <w:rFonts w:ascii="宋体" w:hAnsi="宋体" w:cs="宋体"/>
                <w:bCs/>
                <w:sz w:val="24"/>
              </w:rPr>
            </w:pPr>
            <w:r>
              <w:rPr>
                <w:rFonts w:hint="eastAsia" w:ascii="宋体" w:hAnsi="宋体" w:cs="宋体"/>
                <w:bCs/>
                <w:sz w:val="24"/>
              </w:rPr>
              <w:t>项目名称</w:t>
            </w:r>
          </w:p>
        </w:tc>
        <w:tc>
          <w:tcPr>
            <w:tcW w:w="1414" w:type="dxa"/>
            <w:vAlign w:val="center"/>
          </w:tcPr>
          <w:p>
            <w:pPr>
              <w:jc w:val="center"/>
              <w:rPr>
                <w:rFonts w:ascii="宋体" w:hAnsi="宋体" w:cs="宋体"/>
                <w:bCs/>
                <w:sz w:val="24"/>
              </w:rPr>
            </w:pPr>
            <w:r>
              <w:rPr>
                <w:rFonts w:hint="eastAsia" w:ascii="宋体" w:hAnsi="宋体" w:cs="宋体"/>
                <w:bCs/>
                <w:sz w:val="24"/>
              </w:rPr>
              <w:t>项目内容</w:t>
            </w:r>
          </w:p>
        </w:tc>
        <w:tc>
          <w:tcPr>
            <w:tcW w:w="1939" w:type="dxa"/>
            <w:tcBorders>
              <w:left w:val="single" w:color="auto" w:sz="4" w:space="0"/>
              <w:right w:val="single" w:color="auto" w:sz="4" w:space="0"/>
            </w:tcBorders>
            <w:vAlign w:val="center"/>
          </w:tcPr>
          <w:p>
            <w:pPr>
              <w:jc w:val="center"/>
              <w:rPr>
                <w:rFonts w:ascii="宋体" w:hAnsi="宋体" w:cs="宋体"/>
                <w:bCs/>
                <w:sz w:val="24"/>
              </w:rPr>
            </w:pPr>
            <w:r>
              <w:rPr>
                <w:rFonts w:hint="eastAsia" w:ascii="宋体" w:hAnsi="宋体" w:cs="宋体"/>
                <w:bCs/>
                <w:sz w:val="24"/>
              </w:rPr>
              <w:t>合同期限</w:t>
            </w:r>
          </w:p>
        </w:tc>
        <w:tc>
          <w:tcPr>
            <w:tcW w:w="1560" w:type="dxa"/>
            <w:vAlign w:val="center"/>
          </w:tcPr>
          <w:p>
            <w:pPr>
              <w:jc w:val="center"/>
              <w:rPr>
                <w:rFonts w:ascii="宋体" w:hAnsi="宋体" w:cs="宋体"/>
                <w:bCs/>
                <w:sz w:val="24"/>
              </w:rPr>
            </w:pPr>
            <w:r>
              <w:rPr>
                <w:rFonts w:hint="eastAsia" w:ascii="宋体" w:hAnsi="宋体" w:cs="宋体"/>
                <w:bCs/>
                <w:sz w:val="24"/>
              </w:rPr>
              <w:t>合同金额</w:t>
            </w:r>
          </w:p>
        </w:tc>
        <w:tc>
          <w:tcPr>
            <w:tcW w:w="1841" w:type="dxa"/>
            <w:vAlign w:val="center"/>
          </w:tcPr>
          <w:p>
            <w:pPr>
              <w:jc w:val="center"/>
              <w:rPr>
                <w:rFonts w:ascii="宋体" w:hAnsi="宋体" w:cs="宋体"/>
                <w:bCs/>
                <w:sz w:val="24"/>
              </w:rPr>
            </w:pPr>
            <w:r>
              <w:rPr>
                <w:rFonts w:hint="eastAsia" w:ascii="宋体" w:hAnsi="宋体" w:cs="宋体"/>
                <w:bCs/>
                <w:sz w:val="24"/>
              </w:rPr>
              <w:t>业主名称、联系人及电话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仿宋_GB2312"/>
                <w:sz w:val="24"/>
              </w:rPr>
            </w:pPr>
            <w:r>
              <w:rPr>
                <w:rFonts w:hint="eastAsia" w:ascii="宋体" w:hAnsi="宋体" w:cs="仿宋_GB2312"/>
                <w:sz w:val="24"/>
              </w:rPr>
              <w:t>1</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仿宋_GB2312"/>
                <w:sz w:val="24"/>
              </w:rPr>
            </w:pPr>
            <w:r>
              <w:rPr>
                <w:rFonts w:hint="eastAsia" w:ascii="宋体" w:hAnsi="宋体" w:cs="仿宋_GB2312"/>
                <w:sz w:val="24"/>
              </w:rPr>
              <w:t>2</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仿宋_GB2312"/>
                <w:sz w:val="24"/>
              </w:rPr>
            </w:pPr>
            <w:r>
              <w:rPr>
                <w:rFonts w:hint="eastAsia" w:ascii="宋体" w:hAnsi="宋体" w:cs="仿宋_GB2312"/>
                <w:sz w:val="24"/>
              </w:rPr>
              <w:t>3</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仿宋_GB2312"/>
                <w:sz w:val="24"/>
              </w:rPr>
            </w:pPr>
            <w:r>
              <w:rPr>
                <w:rFonts w:hint="eastAsia" w:ascii="宋体" w:hAnsi="宋体" w:cs="仿宋_GB2312"/>
                <w:sz w:val="24"/>
              </w:rPr>
              <w:t>4</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hint="eastAsia" w:ascii="宋体" w:hAnsi="宋体" w:eastAsia="宋体" w:cs="仿宋_GB2312"/>
                <w:sz w:val="24"/>
                <w:lang w:val="en-US" w:eastAsia="zh-CN"/>
              </w:rPr>
            </w:pPr>
            <w:r>
              <w:rPr>
                <w:rFonts w:hint="eastAsia" w:ascii="宋体" w:hAnsi="宋体" w:cs="仿宋_GB2312"/>
                <w:sz w:val="24"/>
                <w:lang w:val="en-US" w:eastAsia="zh-CN"/>
              </w:rPr>
              <w:t>5</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hint="eastAsia" w:ascii="宋体" w:hAnsi="宋体" w:eastAsia="宋体" w:cs="仿宋_GB2312"/>
                <w:sz w:val="24"/>
                <w:lang w:val="en-US" w:eastAsia="zh-CN"/>
              </w:rPr>
            </w:pPr>
            <w:r>
              <w:rPr>
                <w:rFonts w:hint="eastAsia" w:ascii="宋体" w:hAnsi="宋体" w:cs="仿宋_GB2312"/>
                <w:sz w:val="24"/>
                <w:lang w:val="en-US" w:eastAsia="zh-CN"/>
              </w:rPr>
              <w:t>6</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hint="eastAsia" w:ascii="宋体" w:hAnsi="宋体" w:eastAsia="宋体" w:cs="仿宋_GB2312"/>
                <w:sz w:val="24"/>
                <w:lang w:val="en-US" w:eastAsia="zh-CN"/>
              </w:rPr>
            </w:pPr>
            <w:r>
              <w:rPr>
                <w:rFonts w:hint="eastAsia" w:ascii="宋体" w:hAnsi="宋体" w:cs="仿宋_GB2312"/>
                <w:sz w:val="24"/>
                <w:lang w:val="en-US" w:eastAsia="zh-CN"/>
              </w:rPr>
              <w:t>7</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cs="仿宋_GB2312"/>
                <w:sz w:val="24"/>
              </w:rPr>
            </w:pPr>
            <w:r>
              <w:rPr>
                <w:rFonts w:hint="eastAsia" w:ascii="宋体" w:hAnsi="宋体" w:cs="仿宋_GB2312"/>
                <w:sz w:val="24"/>
              </w:rPr>
              <w:t>…</w:t>
            </w:r>
          </w:p>
        </w:tc>
        <w:tc>
          <w:tcPr>
            <w:tcW w:w="1736" w:type="dxa"/>
            <w:vAlign w:val="center"/>
          </w:tcPr>
          <w:p>
            <w:pPr>
              <w:jc w:val="center"/>
              <w:rPr>
                <w:rFonts w:ascii="宋体" w:hAnsi="宋体" w:cs="仿宋_GB2312"/>
                <w:sz w:val="24"/>
              </w:rPr>
            </w:pPr>
          </w:p>
        </w:tc>
        <w:tc>
          <w:tcPr>
            <w:tcW w:w="1414" w:type="dxa"/>
            <w:vAlign w:val="center"/>
          </w:tcPr>
          <w:p>
            <w:pPr>
              <w:jc w:val="center"/>
              <w:rPr>
                <w:rFonts w:ascii="宋体" w:hAnsi="宋体" w:cs="仿宋_GB2312"/>
                <w:sz w:val="24"/>
              </w:rPr>
            </w:pPr>
          </w:p>
        </w:tc>
        <w:tc>
          <w:tcPr>
            <w:tcW w:w="1939" w:type="dxa"/>
            <w:tcBorders>
              <w:left w:val="single" w:color="auto" w:sz="4" w:space="0"/>
              <w:right w:val="single" w:color="auto" w:sz="4" w:space="0"/>
            </w:tcBorders>
            <w:vAlign w:val="center"/>
          </w:tcPr>
          <w:p>
            <w:pPr>
              <w:jc w:val="center"/>
              <w:rPr>
                <w:rFonts w:ascii="宋体" w:hAnsi="宋体" w:cs="仿宋_GB2312"/>
                <w:sz w:val="24"/>
              </w:rPr>
            </w:pPr>
          </w:p>
        </w:tc>
        <w:tc>
          <w:tcPr>
            <w:tcW w:w="1560" w:type="dxa"/>
            <w:vAlign w:val="center"/>
          </w:tcPr>
          <w:p>
            <w:pPr>
              <w:jc w:val="center"/>
              <w:rPr>
                <w:rFonts w:ascii="宋体" w:hAnsi="宋体" w:cs="仿宋_GB2312"/>
                <w:sz w:val="24"/>
              </w:rPr>
            </w:pPr>
          </w:p>
        </w:tc>
        <w:tc>
          <w:tcPr>
            <w:tcW w:w="1841" w:type="dxa"/>
          </w:tcPr>
          <w:p>
            <w:pPr>
              <w:jc w:val="center"/>
              <w:rPr>
                <w:rFonts w:ascii="宋体" w:hAnsi="宋体" w:cs="仿宋_GB2312"/>
                <w:sz w:val="24"/>
              </w:rPr>
            </w:pPr>
          </w:p>
        </w:tc>
      </w:tr>
    </w:tbl>
    <w:p>
      <w:pPr>
        <w:tabs>
          <w:tab w:val="left" w:pos="8782"/>
        </w:tabs>
        <w:snapToGrid w:val="0"/>
        <w:spacing w:before="120" w:line="360" w:lineRule="auto"/>
        <w:ind w:right="-38"/>
        <w:rPr>
          <w:rFonts w:ascii="宋体" w:hAnsi="宋体" w:cs="仿宋_GB2312"/>
          <w:sz w:val="24"/>
          <w:szCs w:val="24"/>
        </w:rPr>
      </w:pPr>
    </w:p>
    <w:p>
      <w:pPr>
        <w:tabs>
          <w:tab w:val="left" w:pos="8782"/>
        </w:tabs>
        <w:snapToGrid w:val="0"/>
        <w:spacing w:before="120" w:line="360" w:lineRule="auto"/>
        <w:ind w:right="-38"/>
        <w:rPr>
          <w:rFonts w:ascii="宋体" w:hAnsi="宋体" w:cs="仿宋_GB2312"/>
          <w:sz w:val="24"/>
          <w:szCs w:val="24"/>
        </w:rPr>
      </w:pPr>
      <w:r>
        <w:rPr>
          <w:rFonts w:hint="eastAsia" w:ascii="宋体" w:hAnsi="宋体" w:cs="仿宋_GB2312"/>
          <w:sz w:val="24"/>
          <w:szCs w:val="24"/>
        </w:rPr>
        <w:t>注：1、供应商应如实列出以上情况，如有隐瞒，一经查实将导致其报价申请被拒绝。</w:t>
      </w:r>
    </w:p>
    <w:p>
      <w:pPr>
        <w:tabs>
          <w:tab w:val="left" w:pos="8782"/>
        </w:tabs>
        <w:snapToGrid w:val="0"/>
        <w:spacing w:before="120" w:line="360" w:lineRule="auto"/>
        <w:ind w:right="-38" w:firstLine="480" w:firstLineChars="200"/>
        <w:rPr>
          <w:rFonts w:hint="eastAsia" w:ascii="宋体" w:hAnsi="宋体" w:eastAsia="宋体" w:cs="仿宋_GB2312"/>
          <w:sz w:val="24"/>
          <w:szCs w:val="24"/>
          <w:highlight w:val="none"/>
        </w:rPr>
      </w:pPr>
      <w:r>
        <w:rPr>
          <w:rFonts w:hint="eastAsia" w:ascii="宋体" w:hAnsi="宋体" w:eastAsia="宋体" w:cs="仿宋_GB2312"/>
          <w:sz w:val="24"/>
          <w:szCs w:val="24"/>
          <w:highlight w:val="none"/>
        </w:rPr>
        <w:t>2、提供201</w:t>
      </w:r>
      <w:r>
        <w:rPr>
          <w:rFonts w:hint="eastAsia" w:ascii="宋体" w:hAnsi="宋体" w:eastAsia="宋体" w:cs="仿宋_GB2312"/>
          <w:sz w:val="24"/>
          <w:szCs w:val="24"/>
          <w:highlight w:val="none"/>
          <w:lang w:val="en-US" w:eastAsia="zh-CN"/>
        </w:rPr>
        <w:t>8</w:t>
      </w:r>
      <w:r>
        <w:rPr>
          <w:rFonts w:hint="eastAsia" w:ascii="宋体" w:hAnsi="宋体" w:eastAsia="宋体" w:cs="仿宋_GB2312"/>
          <w:sz w:val="24"/>
          <w:szCs w:val="24"/>
          <w:highlight w:val="none"/>
        </w:rPr>
        <w:t>年至今承担的类似业绩（</w:t>
      </w:r>
      <w:r>
        <w:rPr>
          <w:rFonts w:hint="eastAsia" w:ascii="宋体" w:hAnsi="宋体" w:eastAsia="宋体" w:cs="宋体"/>
          <w:sz w:val="24"/>
          <w:szCs w:val="24"/>
          <w:lang w:val="en-US" w:eastAsia="zh-CN"/>
        </w:rPr>
        <w:t>合同额：800万以上、类别 ：监测类或集成类</w:t>
      </w:r>
      <w:r>
        <w:rPr>
          <w:rFonts w:hint="eastAsia" w:ascii="宋体" w:hAnsi="宋体" w:eastAsia="宋体" w:cs="宋体"/>
          <w:sz w:val="24"/>
          <w:szCs w:val="24"/>
        </w:rPr>
        <w:t>业绩</w:t>
      </w:r>
      <w:r>
        <w:rPr>
          <w:rFonts w:hint="eastAsia" w:ascii="宋体" w:hAnsi="宋体" w:eastAsia="宋体" w:cs="宋体"/>
          <w:sz w:val="24"/>
          <w:szCs w:val="24"/>
          <w:lang w:eastAsia="zh-CN"/>
        </w:rPr>
        <w:t>，</w:t>
      </w:r>
      <w:r>
        <w:rPr>
          <w:rFonts w:hint="eastAsia" w:ascii="宋体" w:hAnsi="宋体" w:eastAsia="宋体" w:cs="仿宋_GB2312"/>
          <w:sz w:val="24"/>
          <w:szCs w:val="24"/>
          <w:highlight w:val="none"/>
        </w:rPr>
        <w:t>以合同为准，提供复印件加盖公章）。</w:t>
      </w:r>
    </w:p>
    <w:p>
      <w:pPr>
        <w:rPr>
          <w:rFonts w:ascii="宋体" w:hAnsi="宋体" w:cs="仿宋_GB2312"/>
        </w:rPr>
      </w:pPr>
    </w:p>
    <w:p>
      <w:pPr>
        <w:pStyle w:val="8"/>
        <w:rPr>
          <w:rFonts w:ascii="宋体" w:hAnsi="宋体" w:cs="仿宋_GB2312"/>
        </w:rPr>
      </w:pPr>
    </w:p>
    <w:p>
      <w:pPr>
        <w:rPr>
          <w:rFonts w:ascii="宋体" w:hAnsi="宋体"/>
        </w:rPr>
      </w:pPr>
    </w:p>
    <w:p>
      <w:pPr>
        <w:spacing w:line="480" w:lineRule="auto"/>
        <w:ind w:right="480" w:firstLine="360" w:firstLineChars="150"/>
        <w:jc w:val="center"/>
        <w:rPr>
          <w:rFonts w:ascii="宋体" w:hAnsi="宋体" w:cs="宋体"/>
          <w:sz w:val="24"/>
        </w:rPr>
      </w:pPr>
      <w:r>
        <w:rPr>
          <w:rFonts w:hint="eastAsia" w:ascii="宋体" w:hAnsi="宋体" w:cs="宋体"/>
          <w:sz w:val="24"/>
        </w:rPr>
        <w:t xml:space="preserve">         供应商名称：</w:t>
      </w:r>
      <w:r>
        <w:rPr>
          <w:rFonts w:hint="eastAsia" w:ascii="宋体" w:hAnsi="宋体" w:cs="宋体"/>
          <w:sz w:val="24"/>
          <w:u w:val="single"/>
        </w:rPr>
        <w:t xml:space="preserve">                    （公章）</w:t>
      </w:r>
    </w:p>
    <w:p>
      <w:pPr>
        <w:spacing w:line="480" w:lineRule="auto"/>
        <w:ind w:right="480" w:firstLine="2400" w:firstLineChars="1000"/>
        <w:rPr>
          <w:rFonts w:ascii="宋体" w:hAnsi="宋体" w:cs="宋体"/>
          <w:sz w:val="24"/>
          <w:u w:val="single"/>
        </w:rPr>
      </w:pPr>
      <w:r>
        <w:rPr>
          <w:rFonts w:hint="eastAsia" w:ascii="宋体" w:hAnsi="宋体" w:cs="宋体"/>
          <w:sz w:val="24"/>
        </w:rPr>
        <w:t>法定代表人或被授权代表签字或盖章：</w:t>
      </w:r>
    </w:p>
    <w:p>
      <w:pPr>
        <w:ind w:firstLine="2400" w:firstLineChars="1000"/>
        <w:rPr>
          <w:rFonts w:ascii="宋体" w:hAnsi="宋体" w:cs="宋体"/>
          <w:sz w:val="24"/>
          <w:u w:val="single"/>
        </w:rPr>
      </w:pPr>
      <w:r>
        <w:rPr>
          <w:rFonts w:hint="eastAsia" w:ascii="宋体" w:hAnsi="宋体" w:cs="宋体"/>
          <w:sz w:val="24"/>
        </w:rPr>
        <w:t>日期：  年   月   日</w:t>
      </w:r>
      <w:bookmarkEnd w:id="307"/>
      <w:bookmarkEnd w:id="308"/>
      <w:bookmarkEnd w:id="309"/>
      <w:bookmarkEnd w:id="310"/>
      <w:bookmarkEnd w:id="311"/>
      <w:bookmarkStart w:id="342" w:name="_Toc28950"/>
    </w:p>
    <w:p>
      <w:pPr>
        <w:rPr>
          <w:rFonts w:ascii="宋体" w:hAnsi="宋体"/>
        </w:rPr>
      </w:pPr>
    </w:p>
    <w:p>
      <w:pPr>
        <w:pStyle w:val="8"/>
      </w:pPr>
    </w:p>
    <w:bookmarkEnd w:id="312"/>
    <w:bookmarkEnd w:id="313"/>
    <w:bookmarkEnd w:id="342"/>
    <w:p>
      <w:pPr>
        <w:pStyle w:val="4"/>
        <w:adjustRightInd w:val="0"/>
        <w:spacing w:line="360" w:lineRule="auto"/>
        <w:jc w:val="both"/>
        <w:textAlignment w:val="baseline"/>
        <w:rPr>
          <w:rFonts w:hint="default" w:ascii="宋体" w:hAnsi="宋体" w:eastAsia="宋体" w:cs="仿宋_GB2312"/>
          <w:lang w:val="en-US" w:eastAsia="zh-CN"/>
        </w:rPr>
      </w:pPr>
    </w:p>
    <w:sectPr>
      <w:headerReference r:id="rId13" w:type="default"/>
      <w:footerReference r:id="rId14" w:type="default"/>
      <w:pgSz w:w="11906" w:h="16838"/>
      <w:pgMar w:top="1440" w:right="1423" w:bottom="1219" w:left="1701" w:header="720" w:footer="72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FZ Extra H 1 JW">
    <w:altName w:val="宋体"/>
    <w:panose1 w:val="00000000000000000000"/>
    <w:charset w:val="86"/>
    <w:family w:val="swiss"/>
    <w:pitch w:val="default"/>
    <w:sig w:usb0="00000000" w:usb1="00000000" w:usb2="00000010" w:usb3="00000000" w:csb0="00040000" w:csb1="00000000"/>
  </w:font>
  <w:font w:name="HelveticaNeueLT Std">
    <w:altName w:val="宋体"/>
    <w:panose1 w:val="00000000000000000000"/>
    <w:charset w:val="86"/>
    <w:family w:val="roma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6" w:space="1"/>
      </w:pBdr>
      <w:rPr>
        <w:rFonts w:ascii="仿宋_GB2312" w:eastAsia="仿宋_GB2312"/>
        <w:u w:val="single"/>
      </w:rPr>
    </w:pPr>
  </w:p>
  <w:p>
    <w:pPr>
      <w:pStyle w:val="13"/>
      <w:rPr>
        <w:rFonts w:ascii="仿宋_GB2312" w:eastAsia="仿宋_GB2312"/>
      </w:rPr>
    </w:pPr>
    <w:r>
      <w:rPr>
        <w:rFonts w:hint="eastAsia" w:ascii="仿宋_GB2312" w:eastAsia="仿宋_GB2312"/>
      </w:rPr>
      <w:t>陕西宸逸九科项目咨询管理有限公司（</w:t>
    </w:r>
    <w:r>
      <w:fldChar w:fldCharType="begin"/>
    </w:r>
    <w:r>
      <w:instrText xml:space="preserve"> HYPERLINK "http://www.sxzjtc.com）" </w:instrText>
    </w:r>
    <w:r>
      <w:fldChar w:fldCharType="separate"/>
    </w:r>
    <w:r>
      <w:rPr>
        <w:rStyle w:val="30"/>
        <w:rFonts w:ascii="仿宋_GB2312" w:eastAsia="仿宋_GB2312"/>
      </w:rPr>
      <w:t>http://www.sxzjtc.com）</w:t>
    </w:r>
    <w:r>
      <w:rPr>
        <w:rStyle w:val="30"/>
        <w:rFonts w:ascii="仿宋_GB2312" w:eastAsia="仿宋_GB2312"/>
      </w:rPr>
      <w:fldChar w:fldCharType="end"/>
    </w:r>
    <w:r>
      <w:rPr>
        <w:rFonts w:hint="eastAsia" w:ascii="仿宋_GB2312" w:eastAsia="仿宋_GB2312"/>
      </w:rPr>
      <w:t xml:space="preserve">      地址：西安高新区高新四路1号高科广场A座1001室</w:t>
    </w:r>
  </w:p>
  <w:p>
    <w:pPr>
      <w:pStyle w:val="13"/>
      <w:jc w:val="center"/>
    </w:pPr>
    <w:r>
      <w:pict>
        <v:shape id="文本框 1029" o:spid="_x0000_s1041"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weight="1.25pt" joinstyle="miter"/>
          <v:imagedata o:title=""/>
          <o:lock v:ext="edit"/>
          <v:textbox inset="0mm,0mm,0mm,0mm" style="mso-fit-shape-to-text:t;">
            <w:txbxContent>
              <w:p>
                <w:pPr>
                  <w:pStyle w:val="13"/>
                  <w:jc w:val="center"/>
                </w:pPr>
                <w:r>
                  <w:rPr>
                    <w:rStyle w:val="26"/>
                    <w:rFonts w:hint="eastAsia" w:ascii="仿宋_GB2312" w:eastAsia="仿宋_GB2312"/>
                    <w:kern w:val="0"/>
                    <w:szCs w:val="21"/>
                  </w:rPr>
                  <w:t xml:space="preserve">第 </w:t>
                </w:r>
                <w:r>
                  <w:rPr>
                    <w:rFonts w:hint="eastAsia" w:ascii="仿宋_GB2312" w:eastAsia="仿宋_GB2312"/>
                    <w:kern w:val="0"/>
                    <w:szCs w:val="21"/>
                  </w:rPr>
                  <w:fldChar w:fldCharType="begin"/>
                </w:r>
                <w:r>
                  <w:rPr>
                    <w:rStyle w:val="26"/>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Style w:val="26"/>
                    <w:rFonts w:ascii="仿宋_GB2312" w:eastAsia="仿宋_GB2312"/>
                    <w:kern w:val="0"/>
                    <w:szCs w:val="21"/>
                  </w:rPr>
                  <w:t>2</w:t>
                </w:r>
                <w:r>
                  <w:rPr>
                    <w:rFonts w:hint="eastAsia" w:ascii="仿宋_GB2312" w:eastAsia="仿宋_GB2312"/>
                    <w:kern w:val="0"/>
                    <w:szCs w:val="21"/>
                  </w:rPr>
                  <w:fldChar w:fldCharType="end"/>
                </w:r>
                <w:r>
                  <w:rPr>
                    <w:rStyle w:val="26"/>
                    <w:rFonts w:hint="eastAsia" w:ascii="仿宋_GB2312" w:eastAsia="仿宋_GB2312"/>
                    <w:kern w:val="0"/>
                    <w:szCs w:val="21"/>
                  </w:rPr>
                  <w:t xml:space="preserve"> 页 共 </w:t>
                </w:r>
                <w:r>
                  <w:rPr>
                    <w:rFonts w:hint="eastAsia" w:ascii="仿宋_GB2312" w:eastAsia="仿宋_GB2312"/>
                    <w:kern w:val="0"/>
                    <w:szCs w:val="21"/>
                  </w:rPr>
                  <w:fldChar w:fldCharType="begin"/>
                </w:r>
                <w:r>
                  <w:rPr>
                    <w:rStyle w:val="26"/>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Style w:val="26"/>
                    <w:rFonts w:ascii="仿宋_GB2312" w:eastAsia="仿宋_GB2312"/>
                    <w:kern w:val="0"/>
                    <w:szCs w:val="21"/>
                  </w:rPr>
                  <w:t>55</w:t>
                </w:r>
                <w:r>
                  <w:rPr>
                    <w:rFonts w:hint="eastAsia" w:ascii="仿宋_GB2312" w:eastAsia="仿宋_GB2312"/>
                    <w:kern w:val="0"/>
                    <w:szCs w:val="21"/>
                  </w:rPr>
                  <w:fldChar w:fldCharType="end"/>
                </w:r>
                <w:r>
                  <w:rPr>
                    <w:rStyle w:val="26"/>
                    <w:rFonts w:hint="eastAsia" w:ascii="仿宋_GB2312" w:eastAsia="仿宋_GB2312"/>
                    <w:kern w:val="0"/>
                    <w:szCs w:val="21"/>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6"/>
      </w:rPr>
    </w:pPr>
    <w:r>
      <w:fldChar w:fldCharType="begin"/>
    </w:r>
    <w:r>
      <w:rPr>
        <w:rStyle w:val="26"/>
      </w:rPr>
      <w:instrText xml:space="preserve">PAGE  </w:instrText>
    </w:r>
    <w:r>
      <w:fldChar w:fldCharType="end"/>
    </w:r>
  </w:p>
  <w:p>
    <w:pPr>
      <w:pStyle w:val="1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ascii="宋体" w:hAnsi="宋体" w:cs="宋体"/>
      </w:rPr>
    </w:pPr>
    <w:r>
      <w:rPr>
        <w:rFonts w:hint="eastAsia" w:ascii="宋体" w:hAnsi="宋体" w:cs="宋体"/>
      </w:rPr>
      <w:t>陕西宸逸九科项目咨询管理有限公司                    西安市经济技术开发区凤城七路旭辉中心1栋802室</w:t>
    </w:r>
  </w:p>
  <w:p>
    <w:pPr>
      <w:pStyle w:val="13"/>
      <w:rPr>
        <w:rFonts w:ascii="仿宋_GB2312" w:eastAsia="仿宋_GB2312"/>
      </w:rPr>
    </w:pPr>
    <w:r>
      <w:pict>
        <v:rect id="4099" o:spid="_x0000_s1030" o:spt="1"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v:textbox inset="0mm,0mm,0mm,0mm" style="mso-fit-shape-to-text:t;">
            <w:txbxContent>
              <w:p>
                <w:pPr>
                  <w:pStyle w:val="13"/>
                </w:pPr>
                <w:r>
                  <w:rPr>
                    <w:rFonts w:hint="eastAsia"/>
                  </w:rPr>
                  <w:t>第</w:t>
                </w:r>
                <w:r>
                  <w:fldChar w:fldCharType="begin"/>
                </w:r>
                <w:r>
                  <w:instrText xml:space="preserve"> PAGE  \* MERGEFORMAT </w:instrText>
                </w:r>
                <w:r>
                  <w:fldChar w:fldCharType="separate"/>
                </w:r>
                <w:r>
                  <w:t>3</w:t>
                </w:r>
                <w:r>
                  <w:fldChar w:fldCharType="end"/>
                </w:r>
                <w:r>
                  <w:rPr>
                    <w:rFonts w:hint="eastAsia"/>
                  </w:rPr>
                  <w:t>页共</w:t>
                </w:r>
                <w:r>
                  <w:fldChar w:fldCharType="begin"/>
                </w:r>
                <w:r>
                  <w:instrText xml:space="preserve"> NUMPAGES  \* MERGEFORMAT </w:instrText>
                </w:r>
                <w:r>
                  <w:fldChar w:fldCharType="separate"/>
                </w:r>
                <w:r>
                  <w:t>55</w:t>
                </w:r>
                <w:r>
                  <w:fldChar w:fldCharType="end"/>
                </w:r>
                <w:r>
                  <w:rPr>
                    <w:rFonts w:hint="eastAsia"/>
                  </w:rPr>
                  <w:t>页</w:t>
                </w:r>
              </w:p>
            </w:txbxContent>
          </v:textbox>
        </v:rect>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Style w:val="26"/>
        <w:rFonts w:ascii="仿宋_GB2312" w:eastAsia="仿宋_GB2312"/>
      </w:rPr>
    </w:pPr>
    <w:r>
      <w:pict>
        <v:rect id="4100" o:spid="_x0000_s1029" o:spt="1"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v:textbox inset="0mm,0mm,0mm,0mm" style="mso-fit-shape-to-text:t;">
            <w:txbxContent>
              <w:p>
                <w:pPr>
                  <w:pStyle w:val="15"/>
                </w:pPr>
                <w:r>
                  <w:rPr>
                    <w:rFonts w:hint="eastAsia"/>
                  </w:rPr>
                  <w:t>第</w:t>
                </w:r>
                <w:r>
                  <w:fldChar w:fldCharType="begin"/>
                </w:r>
                <w:r>
                  <w:instrText xml:space="preserve"> PAGE  \* MERGEFORMAT </w:instrText>
                </w:r>
                <w:r>
                  <w:fldChar w:fldCharType="separate"/>
                </w:r>
                <w:r>
                  <w:rPr>
                    <w:rFonts w:hint="eastAsia"/>
                  </w:rPr>
                  <w:t>1</w:t>
                </w:r>
                <w:r>
                  <w:rPr>
                    <w:rFonts w:hint="eastAsia"/>
                  </w:rPr>
                  <w:fldChar w:fldCharType="end"/>
                </w:r>
                <w:r>
                  <w:rPr>
                    <w:rFonts w:hint="eastAsia"/>
                  </w:rPr>
                  <w:t>页共</w:t>
                </w:r>
                <w:r>
                  <w:fldChar w:fldCharType="begin"/>
                </w:r>
                <w:r>
                  <w:instrText xml:space="preserve"> NUMPAGES  \* MERGEFORMAT </w:instrText>
                </w:r>
                <w:r>
                  <w:fldChar w:fldCharType="separate"/>
                </w:r>
                <w:r>
                  <w:t>55</w:t>
                </w:r>
                <w:r>
                  <w:fldChar w:fldCharType="end"/>
                </w:r>
                <w:r>
                  <w:rPr>
                    <w:rFonts w:hint="eastAsia"/>
                  </w:rPr>
                  <w:t>页</w:t>
                </w:r>
              </w:p>
            </w:txbxContent>
          </v:textbox>
        </v:rect>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ascii="宋体" w:hAnsi="宋体" w:cs="宋体"/>
      </w:rPr>
    </w:pPr>
    <w:r>
      <w:rPr>
        <w:rFonts w:hint="eastAsia" w:ascii="宋体" w:hAnsi="宋体" w:cs="宋体"/>
      </w:rPr>
      <w:t>陕西宸逸九科项目咨询管理有限公司                    西安市经济技术开发区凤城七路旭辉中心1栋802室</w:t>
    </w:r>
  </w:p>
  <w:p>
    <w:pPr>
      <w:pStyle w:val="13"/>
      <w:rPr>
        <w:rFonts w:ascii="仿宋_GB2312" w:eastAsia="仿宋_GB2312"/>
      </w:rPr>
    </w:pPr>
    <w:r>
      <w:pict>
        <v:rect id="4101" o:spid="_x0000_s1028" o:spt="1" style="position:absolute;left:0pt;margin-top:1.95pt;height:10.5pt;width:76.5pt;mso-position-horizontal:center;mso-position-horizontal-relative:margin;z-index:251662336;mso-width-relative:page;mso-height-relative:page;" filled="f" stroked="f" coordsize="21600,21600">
          <v:path/>
          <v:fill on="f" focussize="0,0"/>
          <v:stroke on="f"/>
          <v:imagedata o:title=""/>
          <o:lock v:ext="edit"/>
          <v:textbox inset="0mm,0mm,0mm,0mm">
            <w:txbxContent>
              <w:p>
                <w:pPr>
                  <w:pStyle w:val="13"/>
                  <w:rPr>
                    <w:sz w:val="15"/>
                    <w:szCs w:val="16"/>
                  </w:rPr>
                </w:pPr>
                <w:r>
                  <w:rPr>
                    <w:rFonts w:hint="eastAsia"/>
                    <w:sz w:val="15"/>
                    <w:szCs w:val="16"/>
                  </w:rPr>
                  <w:t>第</w:t>
                </w:r>
                <w:r>
                  <w:rPr>
                    <w:rFonts w:hint="eastAsia"/>
                    <w:sz w:val="15"/>
                    <w:szCs w:val="16"/>
                  </w:rPr>
                  <w:fldChar w:fldCharType="begin"/>
                </w:r>
                <w:r>
                  <w:rPr>
                    <w:rFonts w:hint="eastAsia"/>
                    <w:sz w:val="15"/>
                    <w:szCs w:val="16"/>
                  </w:rPr>
                  <w:instrText xml:space="preserve"> PAGE  \* MERGEFORMAT </w:instrText>
                </w:r>
                <w:r>
                  <w:rPr>
                    <w:rFonts w:hint="eastAsia"/>
                    <w:sz w:val="15"/>
                    <w:szCs w:val="16"/>
                  </w:rPr>
                  <w:fldChar w:fldCharType="separate"/>
                </w:r>
                <w:r>
                  <w:rPr>
                    <w:sz w:val="15"/>
                    <w:szCs w:val="16"/>
                  </w:rPr>
                  <w:t>6</w:t>
                </w:r>
                <w:r>
                  <w:rPr>
                    <w:rFonts w:hint="eastAsia"/>
                    <w:sz w:val="15"/>
                    <w:szCs w:val="16"/>
                  </w:rPr>
                  <w:fldChar w:fldCharType="end"/>
                </w:r>
                <w:r>
                  <w:rPr>
                    <w:rFonts w:hint="eastAsia"/>
                    <w:sz w:val="15"/>
                    <w:szCs w:val="16"/>
                  </w:rPr>
                  <w:t>页共</w:t>
                </w:r>
                <w:r>
                  <w:fldChar w:fldCharType="begin"/>
                </w:r>
                <w:r>
                  <w:instrText xml:space="preserve"> NUMPAGES  \* MERGEFORMAT </w:instrText>
                </w:r>
                <w:r>
                  <w:fldChar w:fldCharType="separate"/>
                </w:r>
                <w:r>
                  <w:rPr>
                    <w:sz w:val="15"/>
                    <w:szCs w:val="16"/>
                  </w:rPr>
                  <w:t>55</w:t>
                </w:r>
                <w:r>
                  <w:rPr>
                    <w:sz w:val="15"/>
                    <w:szCs w:val="16"/>
                  </w:rPr>
                  <w:fldChar w:fldCharType="end"/>
                </w:r>
                <w:r>
                  <w:rPr>
                    <w:rFonts w:hint="eastAsia"/>
                    <w:sz w:val="15"/>
                    <w:szCs w:val="16"/>
                  </w:rPr>
                  <w:t>页</w:t>
                </w:r>
              </w:p>
            </w:txbxContent>
          </v:textbox>
        </v:rect>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宋体" w:hAnsi="宋体" w:cs="宋体"/>
      </w:rPr>
    </w:pPr>
    <w:r>
      <w:rPr>
        <w:rFonts w:hint="eastAsia" w:ascii="宋体" w:hAnsi="宋体" w:cs="宋体"/>
      </w:rPr>
      <w:t>陕西宸逸九科项目咨询管理有限公司                    西安市经济技术开发区凤城七路旭辉中心1栋802室</w:t>
    </w:r>
  </w:p>
  <w:p>
    <w:pPr>
      <w:pStyle w:val="13"/>
      <w:jc w:val="center"/>
      <w:rPr>
        <w:rStyle w:val="26"/>
        <w:rFonts w:ascii="仿宋_GB2312" w:eastAsia="仿宋_GB2312"/>
      </w:rPr>
    </w:pPr>
    <w:r>
      <w:pict>
        <v:rect id="4102" o:spid="_x0000_s1027" o:spt="1"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v:textbox inset="0mm,0mm,0mm,0mm" style="mso-fit-shape-to-text:t;">
            <w:txbxContent>
              <w:p>
                <w:pPr>
                  <w:pStyle w:val="13"/>
                </w:pPr>
                <w:r>
                  <w:rPr>
                    <w:rFonts w:hint="eastAsia"/>
                  </w:rPr>
                  <w:t>第</w:t>
                </w:r>
                <w:r>
                  <w:fldChar w:fldCharType="begin"/>
                </w:r>
                <w:r>
                  <w:instrText xml:space="preserve"> PAGE  \* MERGEFORMAT </w:instrText>
                </w:r>
                <w:r>
                  <w:fldChar w:fldCharType="separate"/>
                </w:r>
                <w:r>
                  <w:t>4</w:t>
                </w:r>
                <w:r>
                  <w:fldChar w:fldCharType="end"/>
                </w:r>
                <w:r>
                  <w:rPr>
                    <w:rFonts w:hint="eastAsia"/>
                  </w:rPr>
                  <w:t>页共</w:t>
                </w:r>
                <w:r>
                  <w:fldChar w:fldCharType="begin"/>
                </w:r>
                <w:r>
                  <w:instrText xml:space="preserve"> NUMPAGES  \* MERGEFORMAT </w:instrText>
                </w:r>
                <w:r>
                  <w:fldChar w:fldCharType="separate"/>
                </w:r>
                <w:r>
                  <w:t>55</w:t>
                </w:r>
                <w:r>
                  <w:fldChar w:fldCharType="end"/>
                </w:r>
                <w:r>
                  <w:rPr>
                    <w:rFonts w:hint="eastAsia"/>
                  </w:rPr>
                  <w:t>页</w:t>
                </w:r>
              </w:p>
            </w:txbxContent>
          </v:textbox>
        </v:rect>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8306"/>
      </w:tabs>
      <w:ind w:right="19"/>
      <w:rPr>
        <w:rFonts w:ascii="仿宋_GB2312" w:hAnsi="宋体" w:eastAsia="仿宋_GB2312"/>
        <w:kern w:val="0"/>
        <w:szCs w:val="21"/>
        <w:u w:val="single"/>
      </w:rPr>
    </w:pPr>
  </w:p>
  <w:p>
    <w:pPr>
      <w:pStyle w:val="13"/>
      <w:tabs>
        <w:tab w:val="clear" w:pos="8306"/>
      </w:tabs>
      <w:ind w:right="19"/>
      <w:jc w:val="center"/>
      <w:rPr>
        <w:rFonts w:ascii="仿宋_GB2312" w:hAnsi="宋体" w:eastAsia="仿宋_GB2312"/>
        <w:kern w:val="0"/>
        <w:szCs w:val="18"/>
      </w:rPr>
    </w:pPr>
    <w:r>
      <w:rPr>
        <w:rFonts w:hint="eastAsia" w:ascii="宋体" w:hAnsi="宋体" w:cs="宋体"/>
      </w:rPr>
      <w:t>陕西宸逸九科项目咨询管理有限公司                    西安市经济技术开发区凤城七路旭辉中心1栋802室</w:t>
    </w:r>
  </w:p>
  <w:p>
    <w:pPr>
      <w:pStyle w:val="13"/>
      <w:tabs>
        <w:tab w:val="clear" w:pos="8306"/>
      </w:tabs>
      <w:ind w:right="19"/>
      <w:jc w:val="center"/>
      <w:rPr>
        <w:rFonts w:ascii="仿宋_GB2312" w:hAnsi="宋体" w:eastAsia="仿宋_GB2312"/>
        <w:kern w:val="0"/>
        <w:sz w:val="21"/>
        <w:szCs w:val="21"/>
      </w:rPr>
    </w:pPr>
    <w:r>
      <w:rPr>
        <w:sz w:val="21"/>
        <w:szCs w:val="21"/>
      </w:rPr>
      <w:pict>
        <v:rect id="4103" o:spid="_x0000_s1026" o:spt="1" style="position:absolute;left:0pt;margin-top:5.6pt;height:144pt;width:144pt;mso-position-horizontal:center;mso-position-horizontal-relative:margin;mso-wrap-style:none;z-index:251662336;mso-width-relative:page;mso-height-relative:page;" filled="f" stroked="f" coordsize="21600,21600">
          <v:path/>
          <v:fill on="f" focussize="0,0"/>
          <v:stroke on="f"/>
          <v:imagedata o:title=""/>
          <o:lock v:ext="edit"/>
          <v:textbox inset="0mm,0mm,0mm,0mm" style="mso-fit-shape-to-text:t;">
            <w:txbxContent>
              <w:p>
                <w:pPr>
                  <w:pStyle w:val="13"/>
                  <w:jc w:val="both"/>
                </w:pPr>
                <w:r>
                  <w:rPr>
                    <w:rFonts w:hint="eastAsia"/>
                  </w:rPr>
                  <w:t>第</w:t>
                </w:r>
                <w:r>
                  <w:fldChar w:fldCharType="begin"/>
                </w:r>
                <w:r>
                  <w:instrText xml:space="preserve"> PAGE  \* MERGEFORMAT </w:instrText>
                </w:r>
                <w:r>
                  <w:fldChar w:fldCharType="separate"/>
                </w:r>
                <w:r>
                  <w:t>39</w:t>
                </w:r>
                <w:r>
                  <w:fldChar w:fldCharType="end"/>
                </w:r>
                <w:r>
                  <w:rPr>
                    <w:rFonts w:hint="eastAsia"/>
                  </w:rPr>
                  <w:t>页共</w:t>
                </w:r>
                <w:r>
                  <w:fldChar w:fldCharType="begin"/>
                </w:r>
                <w:r>
                  <w:instrText xml:space="preserve"> NUMPAGES  \* MERGEFORMAT </w:instrText>
                </w:r>
                <w:r>
                  <w:fldChar w:fldCharType="separate"/>
                </w:r>
                <w:r>
                  <w:t>55</w:t>
                </w:r>
                <w:r>
                  <w:fldChar w:fldCharType="end"/>
                </w:r>
                <w:r>
                  <w:rPr>
                    <w:rFonts w:hint="eastAsia"/>
                  </w:rPr>
                  <w:t>页</w:t>
                </w:r>
              </w:p>
            </w:txbxContent>
          </v:textbox>
        </v:rect>
      </w:pict>
    </w:r>
    <w:r>
      <w:rPr>
        <w:rFonts w:hint="eastAsia" w:ascii="仿宋_GB2312" w:hAnsi="宋体" w:eastAsia="仿宋_GB2312"/>
        <w:kern w:val="0"/>
        <w:sz w:val="21"/>
        <w:szCs w:val="21"/>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ascii="宋体" w:hAnsi="宋体" w:cs="宋体"/>
      </w:rPr>
    </w:pPr>
    <w:r>
      <w:rPr>
        <w:rFonts w:hint="eastAsia" w:ascii="宋体" w:hAnsi="宋体" w:cs="宋体"/>
      </w:rPr>
      <w:t>陕西宸逸九科项目咨询管理有限公司                    西安市经济技术开发区凤城七路旭辉中心1栋802室</w:t>
    </w:r>
  </w:p>
  <w:p>
    <w:pPr>
      <w:pStyle w:val="13"/>
    </w:pPr>
    <w:r>
      <w:rPr>
        <w:sz w:val="21"/>
      </w:rPr>
      <w:pict>
        <v:rect id="4104" o:spid="_x0000_s1025" o:spt="1" style="position:absolute;left:0pt;margin-left:174.85pt;margin-top:-5.25pt;height:14.7pt;width:89.4pt;mso-position-horizontal-relative:margin;z-index:251663360;mso-width-relative:page;mso-height-relative:page;" filled="f" stroked="f" coordsize="21600,21600">
          <v:path/>
          <v:fill on="f" focussize="0,0"/>
          <v:stroke on="f"/>
          <v:imagedata o:title=""/>
          <o:lock v:ext="edit"/>
          <v:textbox inset="0mm,0mm,0mm,0mm">
            <w:txbxContent>
              <w:p>
                <w:pPr>
                  <w:pStyle w:val="13"/>
                </w:pPr>
                <w:r>
                  <w:rPr>
                    <w:rFonts w:hint="eastAsia"/>
                  </w:rPr>
                  <w:t>第</w:t>
                </w:r>
                <w:r>
                  <w:fldChar w:fldCharType="begin"/>
                </w:r>
                <w:r>
                  <w:instrText xml:space="preserve"> PAGE  \* MERGEFORMAT </w:instrText>
                </w:r>
                <w:r>
                  <w:fldChar w:fldCharType="separate"/>
                </w:r>
                <w:r>
                  <w:t>55</w:t>
                </w:r>
                <w:r>
                  <w:fldChar w:fldCharType="end"/>
                </w:r>
                <w:r>
                  <w:rPr>
                    <w:rFonts w:hint="eastAsia"/>
                  </w:rPr>
                  <w:t>页共</w:t>
                </w:r>
                <w:r>
                  <w:fldChar w:fldCharType="begin"/>
                </w:r>
                <w:r>
                  <w:instrText xml:space="preserve"> NUMPAGES  \* MERGEFORMAT </w:instrText>
                </w:r>
                <w:r>
                  <w:fldChar w:fldCharType="separate"/>
                </w:r>
                <w:r>
                  <w:t>55</w:t>
                </w:r>
                <w:r>
                  <w:fldChar w:fldCharType="end"/>
                </w:r>
                <w:r>
                  <w:rPr>
                    <w:rFonts w:hint="eastAsia"/>
                  </w:rPr>
                  <w:t>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19" w:rightChars="9"/>
      <w:jc w:val="both"/>
      <w:rPr>
        <w:rFonts w:ascii="宋体" w:hAnsi="宋体" w:cs="宋体"/>
        <w:bCs/>
      </w:rPr>
    </w:pPr>
    <w:r>
      <w:rPr>
        <w:rFonts w:hint="eastAsia" w:ascii="宋体" w:hAnsi="宋体" w:cs="宋体"/>
      </w:rPr>
      <w:t>采购项目名称：耀州区全区环境空气质量自动监测站委托第三方运维服务项目</w:t>
    </w:r>
  </w:p>
  <w:p>
    <w:pPr>
      <w:pStyle w:val="14"/>
      <w:ind w:right="19" w:rightChars="9"/>
      <w:jc w:val="both"/>
      <w:rPr>
        <w:rFonts w:ascii="宋体" w:hAnsi="宋体" w:cs="宋体"/>
        <w:bCs/>
      </w:rPr>
    </w:pPr>
    <w:r>
      <w:rPr>
        <w:rFonts w:hint="eastAsia" w:ascii="宋体" w:hAnsi="宋体" w:cs="宋体"/>
        <w:bCs/>
      </w:rPr>
      <w:t>采购项目编号：CYJK-ZFCG-2020-003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bidi w:val="0"/>
      <w:jc w:val="both"/>
      <w:rPr>
        <w:u w:val="none"/>
      </w:rPr>
    </w:pPr>
    <w:r>
      <w:rPr>
        <w:rFonts w:hint="eastAsia" w:ascii="宋体" w:hAnsi="宋体" w:cs="仿宋_GB2312"/>
        <w:spacing w:val="-6"/>
        <w:kern w:val="0"/>
        <w:sz w:val="18"/>
        <w:szCs w:val="18"/>
        <w:u w:val="none"/>
      </w:rPr>
      <w:t>项目名称：铜川市环境大气污染企业治污设施用电监管与治污设备管理系统建设项目</w:t>
    </w:r>
    <w:r>
      <w:rPr>
        <w:rFonts w:hint="eastAsia" w:ascii="宋体" w:hAnsi="宋体" w:cs="仿宋_GB2312"/>
        <w:spacing w:val="-6"/>
        <w:kern w:val="0"/>
        <w:sz w:val="18"/>
        <w:szCs w:val="18"/>
        <w:u w:val="none"/>
        <w:lang w:val="en-US" w:eastAsia="zh-CN"/>
      </w:rPr>
      <w:t xml:space="preserve"> </w:t>
    </w:r>
    <w:r>
      <w:rPr>
        <w:rFonts w:hint="eastAsia" w:ascii="宋体" w:hAnsi="宋体" w:cs="仿宋_GB2312"/>
        <w:spacing w:val="-6"/>
        <w:kern w:val="0"/>
        <w:sz w:val="18"/>
        <w:szCs w:val="18"/>
        <w:u w:val="none"/>
      </w:rPr>
      <w:t>项目编号</w:t>
    </w:r>
    <w:r>
      <w:rPr>
        <w:rFonts w:hint="eastAsia" w:ascii="宋体" w:hAnsi="宋体" w:cs="仿宋_GB2312"/>
        <w:spacing w:val="-6"/>
        <w:kern w:val="0"/>
        <w:sz w:val="18"/>
        <w:szCs w:val="18"/>
        <w:u w:val="none"/>
        <w:lang w:eastAsia="zh-CN"/>
      </w:rPr>
      <w:t>：</w:t>
    </w:r>
    <w:r>
      <w:rPr>
        <w:rFonts w:hint="eastAsia" w:ascii="宋体" w:hAnsi="宋体" w:cs="仿宋_GB2312"/>
        <w:spacing w:val="-6"/>
        <w:kern w:val="0"/>
        <w:sz w:val="18"/>
        <w:szCs w:val="18"/>
        <w:u w:val="none"/>
      </w:rPr>
      <w:t>CYJK-ZFCG-2021-010</w:t>
    </w:r>
    <w:r>
      <w:rPr>
        <w:rFonts w:hint="eastAsia" w:ascii="宋体" w:hAnsi="宋体" w:cs="仿宋_GB2312"/>
        <w:kern w:val="0"/>
        <w:sz w:val="15"/>
        <w:szCs w:val="15"/>
        <w:u w:val="non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ind w:left="1800" w:right="19" w:rightChars="9" w:hanging="1680" w:hangingChars="1000"/>
      <w:jc w:val="left"/>
      <w:rPr>
        <w:rFonts w:ascii="宋体" w:hAnsi="宋体"/>
        <w:kern w:val="0"/>
        <w:sz w:val="18"/>
        <w:szCs w:val="18"/>
        <w:u w:val="single"/>
      </w:rPr>
    </w:pPr>
    <w:r>
      <w:rPr>
        <w:rFonts w:hint="eastAsia" w:ascii="宋体" w:hAnsi="宋体" w:cs="仿宋_GB2312"/>
        <w:spacing w:val="-6"/>
        <w:kern w:val="0"/>
        <w:sz w:val="18"/>
        <w:szCs w:val="18"/>
        <w:u w:val="single"/>
      </w:rPr>
      <w:t>项目名称：铜川市环境大气污染企业治污设施用电监管与治污设备管理系统建设项目</w:t>
    </w:r>
    <w:r>
      <w:rPr>
        <w:rFonts w:hint="eastAsia" w:ascii="宋体" w:hAnsi="宋体" w:cs="仿宋_GB2312"/>
        <w:spacing w:val="-6"/>
        <w:kern w:val="0"/>
        <w:sz w:val="18"/>
        <w:szCs w:val="18"/>
        <w:u w:val="single"/>
        <w:lang w:val="en-US" w:eastAsia="zh-CN"/>
      </w:rPr>
      <w:t xml:space="preserve">     </w:t>
    </w:r>
    <w:r>
      <w:rPr>
        <w:rFonts w:hint="eastAsia" w:ascii="宋体" w:hAnsi="宋体" w:cs="仿宋_GB2312"/>
        <w:spacing w:val="-6"/>
        <w:kern w:val="0"/>
        <w:sz w:val="18"/>
        <w:szCs w:val="18"/>
        <w:u w:val="single"/>
      </w:rPr>
      <w:t>项目编号</w:t>
    </w:r>
    <w:r>
      <w:rPr>
        <w:rFonts w:hint="eastAsia" w:ascii="宋体" w:hAnsi="宋体" w:cs="仿宋_GB2312"/>
        <w:spacing w:val="-6"/>
        <w:kern w:val="0"/>
        <w:sz w:val="18"/>
        <w:szCs w:val="18"/>
        <w:u w:val="single"/>
        <w:lang w:eastAsia="zh-CN"/>
      </w:rPr>
      <w:t>：</w:t>
    </w:r>
    <w:r>
      <w:rPr>
        <w:rFonts w:hint="eastAsia" w:ascii="宋体" w:hAnsi="宋体" w:cs="仿宋_GB2312"/>
        <w:spacing w:val="-6"/>
        <w:kern w:val="0"/>
        <w:sz w:val="18"/>
        <w:szCs w:val="18"/>
        <w:u w:val="single"/>
      </w:rPr>
      <w:t>CYJK-ZFCG-2021-010</w:t>
    </w:r>
    <w:r>
      <w:rPr>
        <w:rFonts w:hint="eastAsia" w:ascii="宋体" w:hAnsi="宋体" w:cs="仿宋_GB2312"/>
        <w:kern w:val="0"/>
        <w:sz w:val="15"/>
        <w:szCs w:val="15"/>
        <w:u w:val="single"/>
      </w:rPr>
      <w:t xml:space="preserve">      </w:t>
    </w:r>
    <w:r>
      <w:rPr>
        <w:rFonts w:hint="eastAsia" w:ascii="宋体" w:hAnsi="宋体" w:cs="仿宋_GB2312"/>
        <w:kern w:val="0"/>
        <w:sz w:val="18"/>
        <w:szCs w:val="18"/>
        <w:u w:val="single"/>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u w:val="none"/>
      </w:rPr>
    </w:pPr>
    <w:r>
      <w:rPr>
        <w:rFonts w:hint="eastAsia" w:ascii="宋体" w:hAnsi="宋体" w:cs="仿宋_GB2312"/>
        <w:spacing w:val="-6"/>
        <w:kern w:val="0"/>
        <w:sz w:val="18"/>
        <w:szCs w:val="18"/>
        <w:u w:val="none"/>
      </w:rPr>
      <w:t>项目名称：铜川市环境大气污染企业治污设施用电监管与治污设备管理系统建设项目</w:t>
    </w:r>
    <w:r>
      <w:rPr>
        <w:rFonts w:hint="eastAsia" w:ascii="宋体" w:hAnsi="宋体" w:cs="仿宋_GB2312"/>
        <w:spacing w:val="-6"/>
        <w:kern w:val="0"/>
        <w:sz w:val="18"/>
        <w:szCs w:val="18"/>
        <w:u w:val="none"/>
        <w:lang w:val="en-US" w:eastAsia="zh-CN"/>
      </w:rPr>
      <w:t xml:space="preserve">    </w:t>
    </w:r>
    <w:r>
      <w:rPr>
        <w:rFonts w:hint="eastAsia" w:ascii="宋体" w:hAnsi="宋体" w:cs="仿宋_GB2312"/>
        <w:spacing w:val="-6"/>
        <w:kern w:val="0"/>
        <w:sz w:val="18"/>
        <w:szCs w:val="18"/>
        <w:u w:val="none"/>
      </w:rPr>
      <w:t>项目编号</w:t>
    </w:r>
    <w:r>
      <w:rPr>
        <w:rFonts w:hint="eastAsia" w:ascii="宋体" w:hAnsi="宋体" w:cs="仿宋_GB2312"/>
        <w:spacing w:val="-6"/>
        <w:kern w:val="0"/>
        <w:sz w:val="18"/>
        <w:szCs w:val="18"/>
        <w:u w:val="none"/>
        <w:lang w:eastAsia="zh-CN"/>
      </w:rPr>
      <w:t>：</w:t>
    </w:r>
    <w:r>
      <w:rPr>
        <w:rFonts w:hint="eastAsia" w:ascii="宋体" w:hAnsi="宋体" w:cs="仿宋_GB2312"/>
        <w:spacing w:val="-6"/>
        <w:kern w:val="0"/>
        <w:sz w:val="18"/>
        <w:szCs w:val="18"/>
        <w:u w:val="none"/>
      </w:rPr>
      <w:t>CYJK-ZFCG-2021-010</w:t>
    </w:r>
    <w:r>
      <w:rPr>
        <w:rFonts w:hint="eastAsia" w:ascii="宋体" w:hAnsi="宋体" w:cs="仿宋_GB2312"/>
        <w:kern w:val="0"/>
        <w:sz w:val="15"/>
        <w:szCs w:val="15"/>
        <w:u w:val="non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A31C36"/>
    <w:multiLevelType w:val="singleLevel"/>
    <w:tmpl w:val="D7A31C36"/>
    <w:lvl w:ilvl="0" w:tentative="0">
      <w:start w:val="1"/>
      <w:numFmt w:val="decimal"/>
      <w:suff w:val="nothing"/>
      <w:lvlText w:val="%1、"/>
      <w:lvlJc w:val="left"/>
    </w:lvl>
  </w:abstractNum>
  <w:abstractNum w:abstractNumId="1">
    <w:nsid w:val="00000004"/>
    <w:multiLevelType w:val="multilevel"/>
    <w:tmpl w:val="00000004"/>
    <w:lvl w:ilvl="0" w:tentative="0">
      <w:start w:val="1"/>
      <w:numFmt w:val="decimal"/>
      <w:lvlText w:val="%1"/>
      <w:lvlJc w:val="left"/>
      <w:pPr>
        <w:ind w:left="432" w:hanging="432"/>
      </w:pPr>
    </w:lvl>
    <w:lvl w:ilvl="1" w:tentative="0">
      <w:start w:val="1"/>
      <w:numFmt w:val="decimal"/>
      <w:lvlText w:val="%1.%2"/>
      <w:lvlJc w:val="left"/>
      <w:pPr>
        <w:ind w:left="718" w:hanging="576"/>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2">
    <w:nsid w:val="00000008"/>
    <w:multiLevelType w:val="multilevel"/>
    <w:tmpl w:val="00000008"/>
    <w:lvl w:ilvl="0" w:tentative="0">
      <w:start w:val="1"/>
      <w:numFmt w:val="decimal"/>
      <w:lvlText w:val="%1"/>
      <w:lvlJc w:val="left"/>
      <w:pPr>
        <w:tabs>
          <w:tab w:val="left" w:pos="420"/>
        </w:tabs>
        <w:ind w:left="420" w:hanging="25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32DD0B2"/>
    <w:multiLevelType w:val="singleLevel"/>
    <w:tmpl w:val="532DD0B2"/>
    <w:lvl w:ilvl="0" w:tentative="0">
      <w:start w:val="1"/>
      <w:numFmt w:val="decimal"/>
      <w:suff w:val="nothing"/>
      <w:lvlText w:val="%1、"/>
      <w:lvlJc w:val="left"/>
    </w:lvl>
  </w:abstractNum>
  <w:abstractNum w:abstractNumId="4">
    <w:nsid w:val="59473415"/>
    <w:multiLevelType w:val="multilevel"/>
    <w:tmpl w:val="59473415"/>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5E2D5CC8"/>
    <w:multiLevelType w:val="singleLevel"/>
    <w:tmpl w:val="5E2D5CC8"/>
    <w:lvl w:ilvl="0" w:tentative="0">
      <w:start w:val="32"/>
      <w:numFmt w:val="decimal"/>
      <w:suff w:val="nothing"/>
      <w:lvlText w:val="%1．"/>
      <w:lvlJc w:val="left"/>
    </w:lvl>
  </w:abstractNum>
  <w:num w:numId="1">
    <w:abstractNumId w:val="1"/>
  </w:num>
  <w:num w:numId="2">
    <w:abstractNumId w:val="2"/>
  </w:num>
  <w:num w:numId="3">
    <w:abstractNumId w:val="5"/>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719E7"/>
    <w:rsid w:val="00005129"/>
    <w:rsid w:val="000326AC"/>
    <w:rsid w:val="00034762"/>
    <w:rsid w:val="00034B63"/>
    <w:rsid w:val="00042682"/>
    <w:rsid w:val="000529F8"/>
    <w:rsid w:val="00061BB0"/>
    <w:rsid w:val="000719E7"/>
    <w:rsid w:val="00073B04"/>
    <w:rsid w:val="000917E5"/>
    <w:rsid w:val="00096FB5"/>
    <w:rsid w:val="000C6433"/>
    <w:rsid w:val="000D60E3"/>
    <w:rsid w:val="000E602F"/>
    <w:rsid w:val="000F63A2"/>
    <w:rsid w:val="00101A13"/>
    <w:rsid w:val="00110013"/>
    <w:rsid w:val="00123928"/>
    <w:rsid w:val="0013520D"/>
    <w:rsid w:val="00150F89"/>
    <w:rsid w:val="001515BC"/>
    <w:rsid w:val="001D5544"/>
    <w:rsid w:val="001E4327"/>
    <w:rsid w:val="001F011A"/>
    <w:rsid w:val="001F1E67"/>
    <w:rsid w:val="001F76E9"/>
    <w:rsid w:val="00205F66"/>
    <w:rsid w:val="00240595"/>
    <w:rsid w:val="002459D3"/>
    <w:rsid w:val="0025577F"/>
    <w:rsid w:val="002911BA"/>
    <w:rsid w:val="00292270"/>
    <w:rsid w:val="0029249D"/>
    <w:rsid w:val="002B1F53"/>
    <w:rsid w:val="002B2E2E"/>
    <w:rsid w:val="002E1865"/>
    <w:rsid w:val="002E62A2"/>
    <w:rsid w:val="0030108E"/>
    <w:rsid w:val="00301F1E"/>
    <w:rsid w:val="00305726"/>
    <w:rsid w:val="003079E8"/>
    <w:rsid w:val="003214CC"/>
    <w:rsid w:val="003217A0"/>
    <w:rsid w:val="00327A0F"/>
    <w:rsid w:val="00332807"/>
    <w:rsid w:val="00345C62"/>
    <w:rsid w:val="0035217B"/>
    <w:rsid w:val="00362645"/>
    <w:rsid w:val="00370473"/>
    <w:rsid w:val="00384F83"/>
    <w:rsid w:val="00385CEB"/>
    <w:rsid w:val="003A059E"/>
    <w:rsid w:val="003A20FF"/>
    <w:rsid w:val="003B1DA8"/>
    <w:rsid w:val="003C4B09"/>
    <w:rsid w:val="003C5ECC"/>
    <w:rsid w:val="0040392C"/>
    <w:rsid w:val="00404D14"/>
    <w:rsid w:val="00411BE5"/>
    <w:rsid w:val="00471AFF"/>
    <w:rsid w:val="00476F17"/>
    <w:rsid w:val="00484213"/>
    <w:rsid w:val="00494946"/>
    <w:rsid w:val="004C1397"/>
    <w:rsid w:val="004E1082"/>
    <w:rsid w:val="004E41DE"/>
    <w:rsid w:val="004F764C"/>
    <w:rsid w:val="00502046"/>
    <w:rsid w:val="00530418"/>
    <w:rsid w:val="0054077A"/>
    <w:rsid w:val="00551CFC"/>
    <w:rsid w:val="005629BF"/>
    <w:rsid w:val="00563D97"/>
    <w:rsid w:val="005726B6"/>
    <w:rsid w:val="005726E1"/>
    <w:rsid w:val="0058286D"/>
    <w:rsid w:val="005829EB"/>
    <w:rsid w:val="005910ED"/>
    <w:rsid w:val="00595C58"/>
    <w:rsid w:val="005A0625"/>
    <w:rsid w:val="005A4D60"/>
    <w:rsid w:val="005B4900"/>
    <w:rsid w:val="005D46E3"/>
    <w:rsid w:val="005E0200"/>
    <w:rsid w:val="005E505D"/>
    <w:rsid w:val="005E7484"/>
    <w:rsid w:val="005F5CB0"/>
    <w:rsid w:val="00601A81"/>
    <w:rsid w:val="006078C1"/>
    <w:rsid w:val="00625821"/>
    <w:rsid w:val="00631562"/>
    <w:rsid w:val="00634F2F"/>
    <w:rsid w:val="006421D4"/>
    <w:rsid w:val="00681699"/>
    <w:rsid w:val="00692C30"/>
    <w:rsid w:val="006B39D3"/>
    <w:rsid w:val="006C64E2"/>
    <w:rsid w:val="006D4404"/>
    <w:rsid w:val="006D5554"/>
    <w:rsid w:val="006F0793"/>
    <w:rsid w:val="00705863"/>
    <w:rsid w:val="007129B0"/>
    <w:rsid w:val="0071394A"/>
    <w:rsid w:val="00723CBA"/>
    <w:rsid w:val="007241CA"/>
    <w:rsid w:val="00732577"/>
    <w:rsid w:val="007410B1"/>
    <w:rsid w:val="007577E7"/>
    <w:rsid w:val="007760F3"/>
    <w:rsid w:val="007761D4"/>
    <w:rsid w:val="007A1557"/>
    <w:rsid w:val="007A48F3"/>
    <w:rsid w:val="007B11B1"/>
    <w:rsid w:val="007B3E57"/>
    <w:rsid w:val="007D053C"/>
    <w:rsid w:val="007D6C1E"/>
    <w:rsid w:val="00801B0C"/>
    <w:rsid w:val="00814126"/>
    <w:rsid w:val="0082538E"/>
    <w:rsid w:val="008740F0"/>
    <w:rsid w:val="008770CE"/>
    <w:rsid w:val="008935AA"/>
    <w:rsid w:val="008A082B"/>
    <w:rsid w:val="008B6737"/>
    <w:rsid w:val="008E7864"/>
    <w:rsid w:val="009153B1"/>
    <w:rsid w:val="00915CCC"/>
    <w:rsid w:val="00934342"/>
    <w:rsid w:val="00956217"/>
    <w:rsid w:val="00956D16"/>
    <w:rsid w:val="00977F92"/>
    <w:rsid w:val="0098615B"/>
    <w:rsid w:val="00990D3C"/>
    <w:rsid w:val="00991B40"/>
    <w:rsid w:val="009B1A52"/>
    <w:rsid w:val="009B460E"/>
    <w:rsid w:val="009C120B"/>
    <w:rsid w:val="009D45F2"/>
    <w:rsid w:val="00A006EA"/>
    <w:rsid w:val="00A1280E"/>
    <w:rsid w:val="00A24054"/>
    <w:rsid w:val="00A24B02"/>
    <w:rsid w:val="00A31590"/>
    <w:rsid w:val="00AA3F97"/>
    <w:rsid w:val="00AB4802"/>
    <w:rsid w:val="00AC7AF1"/>
    <w:rsid w:val="00AE3A19"/>
    <w:rsid w:val="00AE7360"/>
    <w:rsid w:val="00AF7823"/>
    <w:rsid w:val="00B036ED"/>
    <w:rsid w:val="00B03E7A"/>
    <w:rsid w:val="00B06E23"/>
    <w:rsid w:val="00B14330"/>
    <w:rsid w:val="00B23C03"/>
    <w:rsid w:val="00B26113"/>
    <w:rsid w:val="00B27872"/>
    <w:rsid w:val="00B341D5"/>
    <w:rsid w:val="00B41D13"/>
    <w:rsid w:val="00B477C8"/>
    <w:rsid w:val="00B51166"/>
    <w:rsid w:val="00B76D26"/>
    <w:rsid w:val="00B8289C"/>
    <w:rsid w:val="00B8795D"/>
    <w:rsid w:val="00BA0BA6"/>
    <w:rsid w:val="00BA57F2"/>
    <w:rsid w:val="00BB03BA"/>
    <w:rsid w:val="00BB5652"/>
    <w:rsid w:val="00BC70CE"/>
    <w:rsid w:val="00BE4320"/>
    <w:rsid w:val="00C057BD"/>
    <w:rsid w:val="00C15596"/>
    <w:rsid w:val="00C16472"/>
    <w:rsid w:val="00C22AF1"/>
    <w:rsid w:val="00C22B4C"/>
    <w:rsid w:val="00C22DD5"/>
    <w:rsid w:val="00C31BD4"/>
    <w:rsid w:val="00C65909"/>
    <w:rsid w:val="00C66AC0"/>
    <w:rsid w:val="00C7172D"/>
    <w:rsid w:val="00C82AF8"/>
    <w:rsid w:val="00C84940"/>
    <w:rsid w:val="00C86DB5"/>
    <w:rsid w:val="00C96157"/>
    <w:rsid w:val="00CA48E2"/>
    <w:rsid w:val="00CB3C0C"/>
    <w:rsid w:val="00CD000C"/>
    <w:rsid w:val="00CD2FD6"/>
    <w:rsid w:val="00CD3CDF"/>
    <w:rsid w:val="00CD636A"/>
    <w:rsid w:val="00CE321D"/>
    <w:rsid w:val="00CE5793"/>
    <w:rsid w:val="00CF6A3B"/>
    <w:rsid w:val="00CF6BC3"/>
    <w:rsid w:val="00D00A54"/>
    <w:rsid w:val="00D01507"/>
    <w:rsid w:val="00D14F45"/>
    <w:rsid w:val="00D3775B"/>
    <w:rsid w:val="00D60214"/>
    <w:rsid w:val="00D739F8"/>
    <w:rsid w:val="00D91B5F"/>
    <w:rsid w:val="00D96F2B"/>
    <w:rsid w:val="00D9719E"/>
    <w:rsid w:val="00DA663A"/>
    <w:rsid w:val="00DB4A35"/>
    <w:rsid w:val="00DB5A71"/>
    <w:rsid w:val="00DB5E8F"/>
    <w:rsid w:val="00DC6DCE"/>
    <w:rsid w:val="00DE202E"/>
    <w:rsid w:val="00DE68C1"/>
    <w:rsid w:val="00E075AF"/>
    <w:rsid w:val="00E14B55"/>
    <w:rsid w:val="00E269FC"/>
    <w:rsid w:val="00E353FC"/>
    <w:rsid w:val="00E35A74"/>
    <w:rsid w:val="00E52198"/>
    <w:rsid w:val="00E63CEC"/>
    <w:rsid w:val="00E770D3"/>
    <w:rsid w:val="00E87487"/>
    <w:rsid w:val="00EA0D74"/>
    <w:rsid w:val="00EA53A5"/>
    <w:rsid w:val="00EA64E3"/>
    <w:rsid w:val="00EB58F1"/>
    <w:rsid w:val="00EB59D6"/>
    <w:rsid w:val="00EC017A"/>
    <w:rsid w:val="00EC63F7"/>
    <w:rsid w:val="00EE6AB6"/>
    <w:rsid w:val="00F109E0"/>
    <w:rsid w:val="00F15115"/>
    <w:rsid w:val="00F3657E"/>
    <w:rsid w:val="00F427D8"/>
    <w:rsid w:val="00F42958"/>
    <w:rsid w:val="00F5755A"/>
    <w:rsid w:val="00F75AFA"/>
    <w:rsid w:val="00F810C8"/>
    <w:rsid w:val="00F84578"/>
    <w:rsid w:val="00F8509A"/>
    <w:rsid w:val="00FC5F17"/>
    <w:rsid w:val="00FC7329"/>
    <w:rsid w:val="00FD4F4E"/>
    <w:rsid w:val="00FE36E3"/>
    <w:rsid w:val="00FE4A2E"/>
    <w:rsid w:val="01BF0355"/>
    <w:rsid w:val="020834FD"/>
    <w:rsid w:val="023B343C"/>
    <w:rsid w:val="02411160"/>
    <w:rsid w:val="04A7048A"/>
    <w:rsid w:val="0515398B"/>
    <w:rsid w:val="06791AF7"/>
    <w:rsid w:val="0702257D"/>
    <w:rsid w:val="09454DC7"/>
    <w:rsid w:val="09750AEB"/>
    <w:rsid w:val="097F3E3B"/>
    <w:rsid w:val="0A9078E6"/>
    <w:rsid w:val="0B3C7DC5"/>
    <w:rsid w:val="0BDF3B56"/>
    <w:rsid w:val="0C4E42F3"/>
    <w:rsid w:val="0CD44432"/>
    <w:rsid w:val="0CEC1AD9"/>
    <w:rsid w:val="0D0062FC"/>
    <w:rsid w:val="0D4638CE"/>
    <w:rsid w:val="0E4A209A"/>
    <w:rsid w:val="0E7B54EF"/>
    <w:rsid w:val="0EF4316F"/>
    <w:rsid w:val="0F2C01AB"/>
    <w:rsid w:val="10F061FC"/>
    <w:rsid w:val="13A32EB8"/>
    <w:rsid w:val="13C3080E"/>
    <w:rsid w:val="14777438"/>
    <w:rsid w:val="149A1258"/>
    <w:rsid w:val="154B0183"/>
    <w:rsid w:val="15C365BF"/>
    <w:rsid w:val="161D798A"/>
    <w:rsid w:val="162B2EFA"/>
    <w:rsid w:val="172F2575"/>
    <w:rsid w:val="17F07051"/>
    <w:rsid w:val="181E526D"/>
    <w:rsid w:val="184B69BA"/>
    <w:rsid w:val="18566746"/>
    <w:rsid w:val="18E75DA8"/>
    <w:rsid w:val="199540C7"/>
    <w:rsid w:val="1A0F2C81"/>
    <w:rsid w:val="1A2806B3"/>
    <w:rsid w:val="1AB532E3"/>
    <w:rsid w:val="1ACD2B2E"/>
    <w:rsid w:val="1B3D1DCD"/>
    <w:rsid w:val="1B69718D"/>
    <w:rsid w:val="1B6F2E68"/>
    <w:rsid w:val="1C462D33"/>
    <w:rsid w:val="1C8702AE"/>
    <w:rsid w:val="1D483A92"/>
    <w:rsid w:val="1D981B7D"/>
    <w:rsid w:val="1DB27E47"/>
    <w:rsid w:val="1DCD6055"/>
    <w:rsid w:val="1DF251EC"/>
    <w:rsid w:val="1E6D1181"/>
    <w:rsid w:val="1ED62C26"/>
    <w:rsid w:val="1F297919"/>
    <w:rsid w:val="1F312CA8"/>
    <w:rsid w:val="1F696AD3"/>
    <w:rsid w:val="1F7A03B2"/>
    <w:rsid w:val="1F9A01F0"/>
    <w:rsid w:val="1F9B5705"/>
    <w:rsid w:val="1FDA527B"/>
    <w:rsid w:val="1FEC006B"/>
    <w:rsid w:val="20DA2B5E"/>
    <w:rsid w:val="21051862"/>
    <w:rsid w:val="21054BBD"/>
    <w:rsid w:val="2223472F"/>
    <w:rsid w:val="22EE3F87"/>
    <w:rsid w:val="231876D9"/>
    <w:rsid w:val="245E2E64"/>
    <w:rsid w:val="24960D9F"/>
    <w:rsid w:val="24973BA2"/>
    <w:rsid w:val="24E3388F"/>
    <w:rsid w:val="25AA1832"/>
    <w:rsid w:val="25B9789F"/>
    <w:rsid w:val="25D14BCF"/>
    <w:rsid w:val="2671316A"/>
    <w:rsid w:val="269F03BB"/>
    <w:rsid w:val="26DC4511"/>
    <w:rsid w:val="2770761D"/>
    <w:rsid w:val="280E013A"/>
    <w:rsid w:val="287807CE"/>
    <w:rsid w:val="2906756E"/>
    <w:rsid w:val="29467110"/>
    <w:rsid w:val="2B5D3F39"/>
    <w:rsid w:val="2B5E6E7F"/>
    <w:rsid w:val="2BBB4925"/>
    <w:rsid w:val="2BE456F7"/>
    <w:rsid w:val="2C751A83"/>
    <w:rsid w:val="2C942478"/>
    <w:rsid w:val="2C9F0FC1"/>
    <w:rsid w:val="2CA80995"/>
    <w:rsid w:val="2D062F88"/>
    <w:rsid w:val="2D303141"/>
    <w:rsid w:val="2D733178"/>
    <w:rsid w:val="2D897E92"/>
    <w:rsid w:val="2DC56F07"/>
    <w:rsid w:val="2DE05B34"/>
    <w:rsid w:val="2DE101BF"/>
    <w:rsid w:val="2DF85E2E"/>
    <w:rsid w:val="2E1766B8"/>
    <w:rsid w:val="2E1F5047"/>
    <w:rsid w:val="2FAA1F13"/>
    <w:rsid w:val="30113F8B"/>
    <w:rsid w:val="303B6881"/>
    <w:rsid w:val="30EF7F29"/>
    <w:rsid w:val="31A23427"/>
    <w:rsid w:val="3223437C"/>
    <w:rsid w:val="32BA2B86"/>
    <w:rsid w:val="32BB710F"/>
    <w:rsid w:val="331D15B1"/>
    <w:rsid w:val="33724147"/>
    <w:rsid w:val="345368F8"/>
    <w:rsid w:val="35517450"/>
    <w:rsid w:val="35554CD5"/>
    <w:rsid w:val="35A2044B"/>
    <w:rsid w:val="35B11DE7"/>
    <w:rsid w:val="35DE6F61"/>
    <w:rsid w:val="3772471B"/>
    <w:rsid w:val="37876F53"/>
    <w:rsid w:val="37C83B92"/>
    <w:rsid w:val="37CE3FB8"/>
    <w:rsid w:val="37D410FA"/>
    <w:rsid w:val="382C254B"/>
    <w:rsid w:val="3852792D"/>
    <w:rsid w:val="38533786"/>
    <w:rsid w:val="39206F28"/>
    <w:rsid w:val="392720B7"/>
    <w:rsid w:val="39434BD8"/>
    <w:rsid w:val="39A17467"/>
    <w:rsid w:val="39C63DA3"/>
    <w:rsid w:val="3A8A40C4"/>
    <w:rsid w:val="3AC34078"/>
    <w:rsid w:val="3AE14DC0"/>
    <w:rsid w:val="3B5C254D"/>
    <w:rsid w:val="3BAD4470"/>
    <w:rsid w:val="3CA4436A"/>
    <w:rsid w:val="3E587AA3"/>
    <w:rsid w:val="3F330CD1"/>
    <w:rsid w:val="3F554A81"/>
    <w:rsid w:val="3F914E23"/>
    <w:rsid w:val="41BD3316"/>
    <w:rsid w:val="423815A8"/>
    <w:rsid w:val="429E20F7"/>
    <w:rsid w:val="42E91684"/>
    <w:rsid w:val="42FE792D"/>
    <w:rsid w:val="43905FCB"/>
    <w:rsid w:val="43ED24E5"/>
    <w:rsid w:val="441E4FDF"/>
    <w:rsid w:val="44A90EEA"/>
    <w:rsid w:val="44AC34DC"/>
    <w:rsid w:val="44BB6171"/>
    <w:rsid w:val="45B40603"/>
    <w:rsid w:val="45FD2C7E"/>
    <w:rsid w:val="463D0CEC"/>
    <w:rsid w:val="47277C64"/>
    <w:rsid w:val="47EA199A"/>
    <w:rsid w:val="480656E7"/>
    <w:rsid w:val="48467053"/>
    <w:rsid w:val="495D5694"/>
    <w:rsid w:val="4A9C22AB"/>
    <w:rsid w:val="4AB364EB"/>
    <w:rsid w:val="4AFF5A5C"/>
    <w:rsid w:val="4B5870B4"/>
    <w:rsid w:val="4B6F5D64"/>
    <w:rsid w:val="4C191237"/>
    <w:rsid w:val="4C231FD2"/>
    <w:rsid w:val="4C8C17A2"/>
    <w:rsid w:val="4C9C1E03"/>
    <w:rsid w:val="4CCC51FC"/>
    <w:rsid w:val="4CF36B5A"/>
    <w:rsid w:val="4D4910A6"/>
    <w:rsid w:val="4D632849"/>
    <w:rsid w:val="4D927B26"/>
    <w:rsid w:val="4D9E31E1"/>
    <w:rsid w:val="4DE1421D"/>
    <w:rsid w:val="4E032332"/>
    <w:rsid w:val="4F454E12"/>
    <w:rsid w:val="4F561AA0"/>
    <w:rsid w:val="4F5A78BC"/>
    <w:rsid w:val="503F3002"/>
    <w:rsid w:val="50BE59D2"/>
    <w:rsid w:val="50D224B8"/>
    <w:rsid w:val="513801A5"/>
    <w:rsid w:val="51A742C1"/>
    <w:rsid w:val="52162235"/>
    <w:rsid w:val="522E2FA0"/>
    <w:rsid w:val="52435D89"/>
    <w:rsid w:val="530B76B4"/>
    <w:rsid w:val="532C2A23"/>
    <w:rsid w:val="53623051"/>
    <w:rsid w:val="53B374D7"/>
    <w:rsid w:val="53BA714D"/>
    <w:rsid w:val="53CC6F3A"/>
    <w:rsid w:val="53E65DE0"/>
    <w:rsid w:val="541C5B6C"/>
    <w:rsid w:val="553C465B"/>
    <w:rsid w:val="55430DA1"/>
    <w:rsid w:val="558C4A12"/>
    <w:rsid w:val="55B52C79"/>
    <w:rsid w:val="562E0364"/>
    <w:rsid w:val="564466EC"/>
    <w:rsid w:val="565A353C"/>
    <w:rsid w:val="56DB04CE"/>
    <w:rsid w:val="57AA1380"/>
    <w:rsid w:val="57BA2278"/>
    <w:rsid w:val="58932680"/>
    <w:rsid w:val="58A55993"/>
    <w:rsid w:val="592E5E7A"/>
    <w:rsid w:val="59526FF2"/>
    <w:rsid w:val="59F20C23"/>
    <w:rsid w:val="5A481B34"/>
    <w:rsid w:val="5A86617A"/>
    <w:rsid w:val="5B0C77D6"/>
    <w:rsid w:val="5B550187"/>
    <w:rsid w:val="5C2C7CEF"/>
    <w:rsid w:val="5C6A5AC5"/>
    <w:rsid w:val="5CAC1925"/>
    <w:rsid w:val="5CBC7179"/>
    <w:rsid w:val="5D2941F5"/>
    <w:rsid w:val="5D4739AD"/>
    <w:rsid w:val="5D532F81"/>
    <w:rsid w:val="5D934512"/>
    <w:rsid w:val="5DA01460"/>
    <w:rsid w:val="5DA269AE"/>
    <w:rsid w:val="5DC701A5"/>
    <w:rsid w:val="5DF2681B"/>
    <w:rsid w:val="5E1F3BAE"/>
    <w:rsid w:val="5E646767"/>
    <w:rsid w:val="5EE159A6"/>
    <w:rsid w:val="5FE141F4"/>
    <w:rsid w:val="603A0314"/>
    <w:rsid w:val="60C311CD"/>
    <w:rsid w:val="60DE0F2F"/>
    <w:rsid w:val="610C01D3"/>
    <w:rsid w:val="61E8337C"/>
    <w:rsid w:val="624E266B"/>
    <w:rsid w:val="62860F67"/>
    <w:rsid w:val="645A33C0"/>
    <w:rsid w:val="647732A8"/>
    <w:rsid w:val="64C354AD"/>
    <w:rsid w:val="6594428E"/>
    <w:rsid w:val="65A81A0C"/>
    <w:rsid w:val="65B077BF"/>
    <w:rsid w:val="668D3203"/>
    <w:rsid w:val="66966F55"/>
    <w:rsid w:val="66C91780"/>
    <w:rsid w:val="67623896"/>
    <w:rsid w:val="67B33D8A"/>
    <w:rsid w:val="68084814"/>
    <w:rsid w:val="687F45C9"/>
    <w:rsid w:val="68975163"/>
    <w:rsid w:val="68A87513"/>
    <w:rsid w:val="69660BC2"/>
    <w:rsid w:val="6A1F7017"/>
    <w:rsid w:val="6A4741E8"/>
    <w:rsid w:val="6A4F557A"/>
    <w:rsid w:val="6A5E2852"/>
    <w:rsid w:val="6A651FCA"/>
    <w:rsid w:val="6A93793F"/>
    <w:rsid w:val="6B536F0C"/>
    <w:rsid w:val="6B5C2A07"/>
    <w:rsid w:val="6C4F2B1A"/>
    <w:rsid w:val="6C5A37B3"/>
    <w:rsid w:val="6D452460"/>
    <w:rsid w:val="6DBB32B5"/>
    <w:rsid w:val="6E895E66"/>
    <w:rsid w:val="6EE22690"/>
    <w:rsid w:val="6EF854F0"/>
    <w:rsid w:val="6F3C7FF4"/>
    <w:rsid w:val="6FF726A7"/>
    <w:rsid w:val="70270207"/>
    <w:rsid w:val="70BB0772"/>
    <w:rsid w:val="70D376AA"/>
    <w:rsid w:val="70DE1A71"/>
    <w:rsid w:val="715E0FBC"/>
    <w:rsid w:val="71A56CC8"/>
    <w:rsid w:val="7384399E"/>
    <w:rsid w:val="73BB3E14"/>
    <w:rsid w:val="74EE2385"/>
    <w:rsid w:val="75344DBE"/>
    <w:rsid w:val="75B50F4E"/>
    <w:rsid w:val="76D133DA"/>
    <w:rsid w:val="76E7374E"/>
    <w:rsid w:val="76F1276C"/>
    <w:rsid w:val="779F1D89"/>
    <w:rsid w:val="77EE17B4"/>
    <w:rsid w:val="78570D2F"/>
    <w:rsid w:val="78657A89"/>
    <w:rsid w:val="787A4E00"/>
    <w:rsid w:val="78A577D6"/>
    <w:rsid w:val="79CC7279"/>
    <w:rsid w:val="79FB66FF"/>
    <w:rsid w:val="7A2C387C"/>
    <w:rsid w:val="7AE87EB1"/>
    <w:rsid w:val="7AF812CF"/>
    <w:rsid w:val="7C991835"/>
    <w:rsid w:val="7D2E771E"/>
    <w:rsid w:val="7D763133"/>
    <w:rsid w:val="7D9B2DDF"/>
    <w:rsid w:val="7DAD683E"/>
    <w:rsid w:val="7DB745A5"/>
    <w:rsid w:val="7E06478C"/>
    <w:rsid w:val="7E31158F"/>
    <w:rsid w:val="7E3153BA"/>
    <w:rsid w:val="7E975097"/>
    <w:rsid w:val="7EA233B9"/>
    <w:rsid w:val="7ED520AA"/>
    <w:rsid w:val="7F552C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42"/>
    <w:qFormat/>
    <w:uiPriority w:val="0"/>
    <w:pPr>
      <w:keepNext/>
      <w:keepLines/>
      <w:spacing w:before="340" w:after="330" w:line="576" w:lineRule="auto"/>
      <w:outlineLvl w:val="0"/>
    </w:pPr>
    <w:rPr>
      <w:rFonts w:ascii="Times New Roman" w:hAnsi="Times New Roman"/>
      <w:b/>
      <w:kern w:val="44"/>
      <w:sz w:val="44"/>
      <w:szCs w:val="20"/>
    </w:rPr>
  </w:style>
  <w:style w:type="paragraph" w:styleId="4">
    <w:name w:val="heading 2"/>
    <w:basedOn w:val="1"/>
    <w:next w:val="1"/>
    <w:link w:val="43"/>
    <w:qFormat/>
    <w:uiPriority w:val="0"/>
    <w:pPr>
      <w:keepNext/>
      <w:keepLines/>
      <w:spacing w:before="260" w:after="260" w:line="415" w:lineRule="auto"/>
      <w:outlineLvl w:val="1"/>
    </w:pPr>
    <w:rPr>
      <w:rFonts w:ascii="Arial" w:hAnsi="Arial" w:eastAsia="黑体"/>
      <w:kern w:val="0"/>
      <w:sz w:val="32"/>
      <w:szCs w:val="20"/>
    </w:rPr>
  </w:style>
  <w:style w:type="paragraph" w:styleId="5">
    <w:name w:val="heading 3"/>
    <w:basedOn w:val="1"/>
    <w:next w:val="1"/>
    <w:qFormat/>
    <w:uiPriority w:val="0"/>
    <w:pPr>
      <w:keepNext/>
      <w:keepLines/>
      <w:spacing w:before="260" w:after="260" w:line="415" w:lineRule="auto"/>
      <w:outlineLvl w:val="2"/>
    </w:pPr>
    <w:rPr>
      <w:b/>
      <w:sz w:val="32"/>
    </w:rPr>
  </w:style>
  <w:style w:type="paragraph" w:styleId="2">
    <w:name w:val="heading 4"/>
    <w:basedOn w:val="1"/>
    <w:next w:val="1"/>
    <w:qFormat/>
    <w:uiPriority w:val="0"/>
    <w:pPr>
      <w:keepNext/>
      <w:keepLines/>
      <w:numPr>
        <w:ilvl w:val="3"/>
        <w:numId w:val="1"/>
      </w:numPr>
      <w:spacing w:before="280" w:after="290" w:line="376" w:lineRule="auto"/>
      <w:ind w:firstLine="0"/>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7">
    <w:name w:val="annotation text"/>
    <w:basedOn w:val="1"/>
    <w:link w:val="57"/>
    <w:qFormat/>
    <w:uiPriority w:val="0"/>
    <w:pPr>
      <w:jc w:val="left"/>
    </w:pPr>
  </w:style>
  <w:style w:type="paragraph" w:styleId="8">
    <w:name w:val="Body Text"/>
    <w:basedOn w:val="1"/>
    <w:next w:val="1"/>
    <w:link w:val="63"/>
    <w:qFormat/>
    <w:uiPriority w:val="0"/>
    <w:rPr>
      <w:b/>
      <w:sz w:val="28"/>
    </w:rPr>
  </w:style>
  <w:style w:type="paragraph" w:styleId="9">
    <w:name w:val="toc 3"/>
    <w:basedOn w:val="1"/>
    <w:next w:val="1"/>
    <w:qFormat/>
    <w:uiPriority w:val="39"/>
    <w:pPr>
      <w:ind w:left="420"/>
      <w:jc w:val="left"/>
    </w:pPr>
    <w:rPr>
      <w:i/>
      <w:iCs/>
      <w:sz w:val="20"/>
    </w:rPr>
  </w:style>
  <w:style w:type="paragraph" w:styleId="10">
    <w:name w:val="Plain Text"/>
    <w:basedOn w:val="1"/>
    <w:qFormat/>
    <w:uiPriority w:val="0"/>
    <w:rPr>
      <w:rFonts w:ascii="宋体"/>
    </w:rPr>
  </w:style>
  <w:style w:type="paragraph" w:styleId="11">
    <w:name w:val="Date"/>
    <w:basedOn w:val="1"/>
    <w:next w:val="1"/>
    <w:link w:val="65"/>
    <w:semiHidden/>
    <w:unhideWhenUsed/>
    <w:qFormat/>
    <w:uiPriority w:val="99"/>
    <w:pPr>
      <w:ind w:left="100" w:leftChars="2500"/>
    </w:pPr>
  </w:style>
  <w:style w:type="paragraph" w:styleId="12">
    <w:name w:val="Balloon Text"/>
    <w:basedOn w:val="1"/>
    <w:link w:val="40"/>
    <w:qFormat/>
    <w:uiPriority w:val="0"/>
    <w:rPr>
      <w:sz w:val="18"/>
      <w:szCs w:val="18"/>
    </w:rPr>
  </w:style>
  <w:style w:type="paragraph" w:styleId="13">
    <w:name w:val="footer"/>
    <w:basedOn w:val="1"/>
    <w:link w:val="58"/>
    <w:qFormat/>
    <w:uiPriority w:val="0"/>
    <w:pPr>
      <w:tabs>
        <w:tab w:val="center" w:pos="4153"/>
        <w:tab w:val="right" w:pos="8306"/>
      </w:tabs>
      <w:snapToGrid w:val="0"/>
      <w:jc w:val="left"/>
    </w:pPr>
    <w:rPr>
      <w:sz w:val="18"/>
    </w:rPr>
  </w:style>
  <w:style w:type="paragraph" w:styleId="14">
    <w:name w:val="header"/>
    <w:basedOn w:val="1"/>
    <w:link w:val="45"/>
    <w:qFormat/>
    <w:uiPriority w:val="99"/>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5">
    <w:name w:val="toc 1"/>
    <w:basedOn w:val="1"/>
    <w:next w:val="1"/>
    <w:qFormat/>
    <w:uiPriority w:val="39"/>
    <w:pPr>
      <w:spacing w:before="120" w:after="120"/>
      <w:jc w:val="left"/>
    </w:pPr>
    <w:rPr>
      <w:b/>
      <w:bCs/>
      <w:caps/>
      <w:sz w:val="20"/>
    </w:rPr>
  </w:style>
  <w:style w:type="paragraph" w:styleId="16">
    <w:name w:val="Subtitle"/>
    <w:basedOn w:val="1"/>
    <w:next w:val="1"/>
    <w:qFormat/>
    <w:uiPriority w:val="0"/>
    <w:pPr>
      <w:spacing w:before="240" w:after="60" w:line="312" w:lineRule="auto"/>
      <w:jc w:val="center"/>
      <w:outlineLvl w:val="1"/>
    </w:pPr>
    <w:rPr>
      <w:rFonts w:ascii="Cambria" w:hAnsi="Cambria" w:cs="宋体"/>
      <w:b/>
      <w:bCs/>
      <w:kern w:val="28"/>
      <w:sz w:val="32"/>
      <w:szCs w:val="32"/>
    </w:rPr>
  </w:style>
  <w:style w:type="paragraph" w:styleId="17">
    <w:name w:val="toc 2"/>
    <w:basedOn w:val="1"/>
    <w:next w:val="1"/>
    <w:qFormat/>
    <w:uiPriority w:val="39"/>
    <w:pPr>
      <w:ind w:left="210"/>
      <w:jc w:val="left"/>
    </w:pPr>
    <w:rPr>
      <w:smallCaps/>
      <w:sz w:val="20"/>
    </w:rPr>
  </w:style>
  <w:style w:type="paragraph" w:styleId="18">
    <w:name w:val="HTML Preformatted"/>
    <w:basedOn w:val="1"/>
    <w:qFormat/>
    <w:uiPriority w:val="0"/>
    <w:rPr>
      <w:rFonts w:ascii="Courier New" w:hAnsi="Courier New"/>
      <w:sz w:val="20"/>
    </w:rPr>
  </w:style>
  <w:style w:type="paragraph" w:styleId="19">
    <w:name w:val="Normal (Web)"/>
    <w:basedOn w:val="1"/>
    <w:qFormat/>
    <w:uiPriority w:val="0"/>
    <w:pPr>
      <w:widowControl/>
      <w:spacing w:before="100" w:beforeAutospacing="1" w:after="100" w:afterAutospacing="1"/>
      <w:jc w:val="left"/>
    </w:pPr>
    <w:rPr>
      <w:rFonts w:ascii="宋体" w:hAnsi="宋体"/>
      <w:kern w:val="0"/>
      <w:sz w:val="24"/>
    </w:rPr>
  </w:style>
  <w:style w:type="paragraph" w:styleId="20">
    <w:name w:val="index 1"/>
    <w:basedOn w:val="1"/>
    <w:next w:val="1"/>
    <w:qFormat/>
    <w:uiPriority w:val="0"/>
  </w:style>
  <w:style w:type="paragraph" w:styleId="21">
    <w:name w:val="annotation subject"/>
    <w:basedOn w:val="7"/>
    <w:next w:val="7"/>
    <w:link w:val="59"/>
    <w:qFormat/>
    <w:uiPriority w:val="0"/>
    <w:rPr>
      <w:b/>
      <w:bCs/>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FollowedHyperlink"/>
    <w:basedOn w:val="24"/>
    <w:qFormat/>
    <w:uiPriority w:val="0"/>
    <w:rPr>
      <w:color w:val="800080"/>
      <w:u w:val="none"/>
    </w:rPr>
  </w:style>
  <w:style w:type="character" w:styleId="28">
    <w:name w:val="Emphasis"/>
    <w:basedOn w:val="24"/>
    <w:qFormat/>
    <w:uiPriority w:val="0"/>
  </w:style>
  <w:style w:type="character" w:styleId="29">
    <w:name w:val="HTML Definition"/>
    <w:basedOn w:val="24"/>
    <w:semiHidden/>
    <w:unhideWhenUsed/>
    <w:qFormat/>
    <w:uiPriority w:val="99"/>
    <w:rPr>
      <w:i/>
      <w:iCs/>
    </w:rPr>
  </w:style>
  <w:style w:type="character" w:styleId="30">
    <w:name w:val="Hyperlink"/>
    <w:qFormat/>
    <w:uiPriority w:val="99"/>
    <w:rPr>
      <w:color w:val="000000"/>
      <w:u w:val="none"/>
    </w:rPr>
  </w:style>
  <w:style w:type="character" w:styleId="31">
    <w:name w:val="HTML Code"/>
    <w:basedOn w:val="24"/>
    <w:semiHidden/>
    <w:unhideWhenUsed/>
    <w:qFormat/>
    <w:uiPriority w:val="99"/>
    <w:rPr>
      <w:rFonts w:hint="default" w:ascii="Consolas" w:hAnsi="Consolas" w:eastAsia="Consolas" w:cs="Consolas"/>
      <w:color w:val="C7254E"/>
      <w:sz w:val="21"/>
      <w:szCs w:val="21"/>
      <w:shd w:val="clear" w:fill="F9F2F4"/>
    </w:rPr>
  </w:style>
  <w:style w:type="character" w:styleId="32">
    <w:name w:val="annotation reference"/>
    <w:basedOn w:val="24"/>
    <w:qFormat/>
    <w:uiPriority w:val="0"/>
    <w:rPr>
      <w:sz w:val="21"/>
      <w:szCs w:val="21"/>
    </w:rPr>
  </w:style>
  <w:style w:type="character" w:styleId="33">
    <w:name w:val="HTML Keyboard"/>
    <w:basedOn w:val="24"/>
    <w:semiHidden/>
    <w:unhideWhenUsed/>
    <w:qFormat/>
    <w:uiPriority w:val="99"/>
    <w:rPr>
      <w:rFonts w:hint="default" w:ascii="Consolas" w:hAnsi="Consolas" w:eastAsia="Consolas" w:cs="Consolas"/>
      <w:color w:val="FFFFFF"/>
      <w:sz w:val="21"/>
      <w:szCs w:val="21"/>
      <w:shd w:val="clear" w:fill="333333"/>
    </w:rPr>
  </w:style>
  <w:style w:type="character" w:styleId="34">
    <w:name w:val="HTML Sample"/>
    <w:basedOn w:val="24"/>
    <w:semiHidden/>
    <w:unhideWhenUsed/>
    <w:qFormat/>
    <w:uiPriority w:val="99"/>
    <w:rPr>
      <w:rFonts w:ascii="Consolas" w:hAnsi="Consolas" w:eastAsia="Consolas" w:cs="Consolas"/>
      <w:sz w:val="21"/>
      <w:szCs w:val="21"/>
    </w:rPr>
  </w:style>
  <w:style w:type="paragraph" w:customStyle="1" w:styleId="35">
    <w:name w:val="xl36"/>
    <w:basedOn w:val="1"/>
    <w:qFormat/>
    <w:uiPriority w:val="0"/>
    <w:pPr>
      <w:widowControl/>
      <w:spacing w:before="100" w:after="100"/>
      <w:jc w:val="center"/>
    </w:pPr>
    <w:rPr>
      <w:rFonts w:hint="eastAsia" w:ascii="宋体" w:hAnsi="宋体"/>
      <w:kern w:val="0"/>
      <w:sz w:val="24"/>
    </w:rPr>
  </w:style>
  <w:style w:type="paragraph" w:customStyle="1" w:styleId="36">
    <w:name w:val="样式 首行缩进:  8.5 毫米 段前: 6 磅 段后: 6 磅1"/>
    <w:basedOn w:val="1"/>
    <w:qFormat/>
    <w:uiPriority w:val="0"/>
    <w:pPr>
      <w:spacing w:before="120" w:after="120" w:line="360" w:lineRule="auto"/>
      <w:ind w:firstLine="482"/>
    </w:pPr>
    <w:rPr>
      <w:rFonts w:cs="宋体"/>
      <w:sz w:val="24"/>
    </w:rPr>
  </w:style>
  <w:style w:type="paragraph" w:customStyle="1" w:styleId="37">
    <w:name w:val="列表段落1"/>
    <w:basedOn w:val="1"/>
    <w:qFormat/>
    <w:uiPriority w:val="99"/>
    <w:pPr>
      <w:ind w:firstLine="420" w:firstLineChars="200"/>
    </w:pPr>
  </w:style>
  <w:style w:type="paragraph" w:customStyle="1" w:styleId="38">
    <w:name w:val="我的正文"/>
    <w:basedOn w:val="1"/>
    <w:qFormat/>
    <w:uiPriority w:val="0"/>
    <w:pPr>
      <w:widowControl/>
      <w:spacing w:line="360" w:lineRule="auto"/>
      <w:ind w:firstLine="200" w:firstLineChars="200"/>
    </w:pPr>
    <w:rPr>
      <w:rFonts w:ascii="仿宋_GB2312" w:hAnsi="Arial" w:eastAsia="仿宋_GB2312"/>
      <w:sz w:val="28"/>
      <w:szCs w:val="18"/>
    </w:rPr>
  </w:style>
  <w:style w:type="paragraph" w:customStyle="1" w:styleId="39">
    <w:name w:val="列出段落1"/>
    <w:basedOn w:val="1"/>
    <w:qFormat/>
    <w:uiPriority w:val="0"/>
    <w:pPr>
      <w:ind w:firstLine="420" w:firstLineChars="200"/>
    </w:pPr>
    <w:rPr>
      <w:szCs w:val="24"/>
    </w:rPr>
  </w:style>
  <w:style w:type="character" w:customStyle="1" w:styleId="40">
    <w:name w:val="批注框文本 Char"/>
    <w:basedOn w:val="24"/>
    <w:link w:val="12"/>
    <w:qFormat/>
    <w:uiPriority w:val="0"/>
    <w:rPr>
      <w:rFonts w:ascii="Calibri" w:hAnsi="Calibri"/>
      <w:kern w:val="2"/>
      <w:sz w:val="18"/>
      <w:szCs w:val="18"/>
    </w:rPr>
  </w:style>
  <w:style w:type="character" w:customStyle="1" w:styleId="41">
    <w:name w:val="font11"/>
    <w:basedOn w:val="24"/>
    <w:qFormat/>
    <w:uiPriority w:val="0"/>
    <w:rPr>
      <w:rFonts w:ascii="Calibri" w:hAnsi="Calibri" w:cs="Calibri"/>
      <w:color w:val="000000"/>
      <w:sz w:val="21"/>
      <w:szCs w:val="21"/>
      <w:u w:val="none"/>
    </w:rPr>
  </w:style>
  <w:style w:type="character" w:customStyle="1" w:styleId="42">
    <w:name w:val="标题 1 Char"/>
    <w:link w:val="3"/>
    <w:qFormat/>
    <w:uiPriority w:val="0"/>
    <w:rPr>
      <w:b/>
      <w:kern w:val="44"/>
      <w:sz w:val="44"/>
    </w:rPr>
  </w:style>
  <w:style w:type="character" w:customStyle="1" w:styleId="43">
    <w:name w:val="标题 2 Char"/>
    <w:link w:val="4"/>
    <w:qFormat/>
    <w:uiPriority w:val="0"/>
    <w:rPr>
      <w:rFonts w:ascii="Arial" w:hAnsi="Arial" w:eastAsia="黑体"/>
      <w:b/>
      <w:sz w:val="32"/>
    </w:rPr>
  </w:style>
  <w:style w:type="character" w:customStyle="1" w:styleId="44">
    <w:name w:val="font51"/>
    <w:basedOn w:val="24"/>
    <w:qFormat/>
    <w:uiPriority w:val="0"/>
    <w:rPr>
      <w:rFonts w:hint="eastAsia" w:ascii="宋体" w:hAnsi="宋体" w:eastAsia="宋体" w:cs="宋体"/>
      <w:color w:val="000000"/>
      <w:sz w:val="21"/>
      <w:szCs w:val="21"/>
      <w:u w:val="none"/>
    </w:rPr>
  </w:style>
  <w:style w:type="character" w:customStyle="1" w:styleId="45">
    <w:name w:val="页眉 Char"/>
    <w:link w:val="14"/>
    <w:qFormat/>
    <w:uiPriority w:val="99"/>
    <w:rPr>
      <w:kern w:val="2"/>
      <w:sz w:val="18"/>
      <w:szCs w:val="18"/>
    </w:rPr>
  </w:style>
  <w:style w:type="character" w:customStyle="1" w:styleId="46">
    <w:name w:val="font21"/>
    <w:basedOn w:val="24"/>
    <w:qFormat/>
    <w:uiPriority w:val="0"/>
    <w:rPr>
      <w:rFonts w:hint="eastAsia" w:ascii="宋体" w:hAnsi="宋体" w:eastAsia="宋体" w:cs="宋体"/>
      <w:color w:val="000000"/>
      <w:sz w:val="21"/>
      <w:szCs w:val="21"/>
      <w:u w:val="none"/>
    </w:rPr>
  </w:style>
  <w:style w:type="paragraph" w:customStyle="1" w:styleId="47">
    <w:name w:val="title1"/>
    <w:basedOn w:val="1"/>
    <w:qFormat/>
    <w:uiPriority w:val="0"/>
    <w:pPr>
      <w:spacing w:before="150"/>
      <w:jc w:val="left"/>
    </w:pPr>
    <w:rPr>
      <w:b/>
      <w:kern w:val="0"/>
      <w:sz w:val="22"/>
    </w:rPr>
  </w:style>
  <w:style w:type="character" w:customStyle="1" w:styleId="48">
    <w:name w:val="stclosebtn"/>
    <w:basedOn w:val="24"/>
    <w:qFormat/>
    <w:uiPriority w:val="0"/>
  </w:style>
  <w:style w:type="character" w:customStyle="1" w:styleId="49">
    <w:name w:val="beforeinfotext"/>
    <w:basedOn w:val="24"/>
    <w:qFormat/>
    <w:uiPriority w:val="0"/>
    <w:rPr>
      <w:color w:val="666666"/>
    </w:rPr>
  </w:style>
  <w:style w:type="character" w:customStyle="1" w:styleId="50">
    <w:name w:val="proollist"/>
    <w:basedOn w:val="24"/>
    <w:qFormat/>
    <w:uiPriority w:val="0"/>
  </w:style>
  <w:style w:type="character" w:customStyle="1" w:styleId="51">
    <w:name w:val="number"/>
    <w:basedOn w:val="24"/>
    <w:qFormat/>
    <w:uiPriority w:val="0"/>
    <w:rPr>
      <w:color w:val="FF8833"/>
      <w:sz w:val="18"/>
      <w:szCs w:val="18"/>
    </w:rPr>
  </w:style>
  <w:style w:type="character" w:customStyle="1" w:styleId="52">
    <w:name w:val="phone"/>
    <w:basedOn w:val="24"/>
    <w:qFormat/>
    <w:uiPriority w:val="0"/>
    <w:rPr>
      <w:color w:val="FF8833"/>
      <w:sz w:val="18"/>
      <w:szCs w:val="18"/>
    </w:rPr>
  </w:style>
  <w:style w:type="paragraph" w:customStyle="1" w:styleId="53">
    <w:name w:val="列出段落2"/>
    <w:basedOn w:val="1"/>
    <w:qFormat/>
    <w:uiPriority w:val="0"/>
    <w:pPr>
      <w:ind w:firstLine="420" w:firstLineChars="200"/>
    </w:pPr>
  </w:style>
  <w:style w:type="character" w:customStyle="1" w:styleId="54">
    <w:name w:val="A1"/>
    <w:qFormat/>
    <w:uiPriority w:val="99"/>
    <w:rPr>
      <w:rFonts w:cs="FZ Extra H 1 JW"/>
      <w:color w:val="000000"/>
    </w:rPr>
  </w:style>
  <w:style w:type="paragraph" w:customStyle="1" w:styleId="55">
    <w:name w:val="Pa5"/>
    <w:basedOn w:val="1"/>
    <w:next w:val="1"/>
    <w:qFormat/>
    <w:uiPriority w:val="0"/>
    <w:pPr>
      <w:autoSpaceDE w:val="0"/>
      <w:autoSpaceDN w:val="0"/>
      <w:adjustRightInd w:val="0"/>
      <w:spacing w:line="141" w:lineRule="atLeast"/>
      <w:jc w:val="left"/>
    </w:pPr>
    <w:rPr>
      <w:rFonts w:ascii="HelveticaNeueLT Std" w:hAnsi="Times New Roman" w:eastAsia="HelveticaNeueLT Std"/>
      <w:kern w:val="0"/>
      <w:sz w:val="24"/>
    </w:rPr>
  </w:style>
  <w:style w:type="paragraph" w:styleId="56">
    <w:name w:val="List Paragraph"/>
    <w:basedOn w:val="1"/>
    <w:qFormat/>
    <w:uiPriority w:val="34"/>
    <w:pPr>
      <w:ind w:firstLine="420" w:firstLineChars="200"/>
    </w:pPr>
    <w:rPr>
      <w:rFonts w:cs="宋体"/>
    </w:rPr>
  </w:style>
  <w:style w:type="character" w:customStyle="1" w:styleId="57">
    <w:name w:val="批注文字 Char"/>
    <w:basedOn w:val="24"/>
    <w:link w:val="7"/>
    <w:qFormat/>
    <w:uiPriority w:val="0"/>
    <w:rPr>
      <w:rFonts w:ascii="Calibri" w:hAnsi="Calibri"/>
      <w:kern w:val="2"/>
      <w:sz w:val="21"/>
      <w:szCs w:val="22"/>
    </w:rPr>
  </w:style>
  <w:style w:type="character" w:customStyle="1" w:styleId="58">
    <w:name w:val="页脚 Char"/>
    <w:basedOn w:val="24"/>
    <w:link w:val="13"/>
    <w:qFormat/>
    <w:uiPriority w:val="0"/>
    <w:rPr>
      <w:rFonts w:ascii="Calibri" w:hAnsi="Calibri"/>
      <w:kern w:val="2"/>
      <w:sz w:val="18"/>
      <w:szCs w:val="22"/>
    </w:rPr>
  </w:style>
  <w:style w:type="character" w:customStyle="1" w:styleId="59">
    <w:name w:val="批注主题 Char"/>
    <w:basedOn w:val="57"/>
    <w:link w:val="21"/>
    <w:qFormat/>
    <w:uiPriority w:val="0"/>
    <w:rPr>
      <w:rFonts w:ascii="Calibri" w:hAnsi="Calibri"/>
      <w:b/>
      <w:bCs/>
      <w:kern w:val="2"/>
      <w:sz w:val="21"/>
      <w:szCs w:val="22"/>
    </w:rPr>
  </w:style>
  <w:style w:type="character" w:customStyle="1" w:styleId="60">
    <w:name w:val="页眉 Char1"/>
    <w:qFormat/>
    <w:locked/>
    <w:uiPriority w:val="0"/>
    <w:rPr>
      <w:rFonts w:eastAsia="宋体"/>
      <w:sz w:val="18"/>
      <w:lang w:val="en-US" w:eastAsia="zh-CN" w:bidi="ar-SA"/>
    </w:rPr>
  </w:style>
  <w:style w:type="character" w:customStyle="1" w:styleId="61">
    <w:name w:val="页脚 Char1"/>
    <w:qFormat/>
    <w:locked/>
    <w:uiPriority w:val="0"/>
    <w:rPr>
      <w:rFonts w:eastAsia="宋体"/>
      <w:kern w:val="2"/>
      <w:sz w:val="18"/>
      <w:lang w:val="en-US" w:eastAsia="zh-CN" w:bidi="ar-SA"/>
    </w:rPr>
  </w:style>
  <w:style w:type="character" w:customStyle="1" w:styleId="62">
    <w:name w:val="Char Char"/>
    <w:qFormat/>
    <w:uiPriority w:val="0"/>
    <w:rPr>
      <w:rFonts w:eastAsia="宋体"/>
      <w:b/>
      <w:kern w:val="2"/>
      <w:sz w:val="32"/>
      <w:lang w:val="en-US" w:eastAsia="zh-CN"/>
    </w:rPr>
  </w:style>
  <w:style w:type="character" w:customStyle="1" w:styleId="63">
    <w:name w:val="正文文本 Char"/>
    <w:link w:val="8"/>
    <w:qFormat/>
    <w:locked/>
    <w:uiPriority w:val="0"/>
    <w:rPr>
      <w:rFonts w:ascii="Calibri" w:hAnsi="Calibri"/>
      <w:b/>
      <w:kern w:val="2"/>
      <w:sz w:val="28"/>
      <w:szCs w:val="22"/>
    </w:rPr>
  </w:style>
  <w:style w:type="paragraph" w:customStyle="1" w:styleId="64">
    <w:name w:val="列出段落3"/>
    <w:basedOn w:val="1"/>
    <w:qFormat/>
    <w:uiPriority w:val="0"/>
    <w:pPr>
      <w:ind w:firstLine="420" w:firstLineChars="200"/>
    </w:pPr>
    <w:rPr>
      <w:szCs w:val="24"/>
    </w:rPr>
  </w:style>
  <w:style w:type="character" w:customStyle="1" w:styleId="65">
    <w:name w:val="日期 Char"/>
    <w:basedOn w:val="24"/>
    <w:link w:val="11"/>
    <w:semiHidden/>
    <w:qFormat/>
    <w:uiPriority w:val="99"/>
    <w:rPr>
      <w:rFonts w:ascii="Calibri" w:hAnsi="Calibri"/>
      <w:kern w:val="2"/>
      <w:sz w:val="21"/>
      <w:szCs w:val="22"/>
    </w:rPr>
  </w:style>
  <w:style w:type="paragraph" w:customStyle="1" w:styleId="66">
    <w:name w:val="正文格式"/>
    <w:basedOn w:val="1"/>
    <w:qFormat/>
    <w:uiPriority w:val="0"/>
    <w:pPr>
      <w:widowControl/>
      <w:spacing w:line="360" w:lineRule="auto"/>
      <w:ind w:firstLine="480" w:firstLineChars="200"/>
      <w:jc w:val="left"/>
    </w:pPr>
    <w:rPr>
      <w:rFonts w:ascii="Times New Roman" w:hAnsi="Times New Roman" w:eastAsia="宋体" w:cs="Times New Roman"/>
      <w:sz w:val="24"/>
      <w:szCs w:val="20"/>
    </w:rPr>
  </w:style>
  <w:style w:type="paragraph" w:customStyle="1" w:styleId="67">
    <w:name w:val="正文首行缩进 21"/>
    <w:basedOn w:val="68"/>
    <w:qFormat/>
    <w:uiPriority w:val="0"/>
    <w:pPr>
      <w:ind w:firstLine="420"/>
    </w:pPr>
  </w:style>
  <w:style w:type="paragraph" w:customStyle="1" w:styleId="68">
    <w:name w:val="正文文本缩进1"/>
    <w:basedOn w:val="69"/>
    <w:qFormat/>
    <w:uiPriority w:val="0"/>
    <w:pPr>
      <w:spacing w:after="120"/>
      <w:ind w:left="420"/>
    </w:pPr>
  </w:style>
  <w:style w:type="paragraph" w:customStyle="1" w:styleId="69">
    <w:name w:val="正文1"/>
    <w:next w:val="1"/>
    <w:qFormat/>
    <w:uiPriority w:val="0"/>
    <w:rPr>
      <w:rFonts w:ascii="Calibri" w:hAnsi="Calibri" w:eastAsia="宋体" w:cs="Times New Roman"/>
      <w:sz w:val="21"/>
      <w:szCs w:val="22"/>
      <w:lang w:val="en-US" w:eastAsia="zh-CN" w:bidi="ar-SA"/>
    </w:rPr>
  </w:style>
  <w:style w:type="paragraph" w:customStyle="1" w:styleId="70">
    <w:name w:val="标题 21"/>
    <w:basedOn w:val="69"/>
    <w:next w:val="69"/>
    <w:qFormat/>
    <w:uiPriority w:val="0"/>
    <w:pPr>
      <w:keepNext/>
      <w:keepLines/>
      <w:spacing w:line="360" w:lineRule="auto"/>
      <w:outlineLvl w:val="1"/>
    </w:pPr>
    <w:rPr>
      <w:rFonts w:ascii="Times New Roman" w:hAnsi="Times New Roman"/>
      <w:b/>
      <w:sz w:val="28"/>
      <w:szCs w:val="24"/>
      <w:lang w:eastAsia="en-US"/>
    </w:rPr>
  </w:style>
  <w:style w:type="paragraph" w:customStyle="1" w:styleId="71">
    <w:name w:val="标题 31"/>
    <w:basedOn w:val="69"/>
    <w:next w:val="69"/>
    <w:link w:val="73"/>
    <w:qFormat/>
    <w:uiPriority w:val="0"/>
    <w:pPr>
      <w:keepNext/>
      <w:keepLines/>
      <w:spacing w:before="260" w:after="260" w:line="416" w:lineRule="auto"/>
      <w:outlineLvl w:val="2"/>
    </w:pPr>
    <w:rPr>
      <w:rFonts w:ascii="Times New Roman" w:hAnsi="Times New Roman"/>
      <w:b/>
      <w:bCs/>
      <w:sz w:val="28"/>
      <w:szCs w:val="32"/>
      <w:lang w:eastAsia="en-US"/>
    </w:rPr>
  </w:style>
  <w:style w:type="paragraph" w:customStyle="1" w:styleId="72">
    <w:name w:val="文本块1"/>
    <w:basedOn w:val="69"/>
    <w:qFormat/>
    <w:uiPriority w:val="0"/>
    <w:pPr>
      <w:spacing w:line="240" w:lineRule="atLeast"/>
      <w:ind w:left="284" w:right="635"/>
    </w:pPr>
    <w:rPr>
      <w:sz w:val="32"/>
      <w:szCs w:val="20"/>
    </w:rPr>
  </w:style>
  <w:style w:type="character" w:customStyle="1" w:styleId="73">
    <w:name w:val="标题 3 Char"/>
    <w:link w:val="71"/>
    <w:qFormat/>
    <w:uiPriority w:val="0"/>
    <w:rPr>
      <w:rFonts w:ascii="Times New Roman" w:hAnsi="Times New Roman"/>
      <w:b/>
      <w:bCs/>
      <w:sz w:val="28"/>
      <w:szCs w:val="32"/>
      <w:lang w:eastAsia="en-US"/>
    </w:rPr>
  </w:style>
  <w:style w:type="paragraph" w:customStyle="1" w:styleId="74">
    <w:name w:val="首行缩进"/>
    <w:basedOn w:val="69"/>
    <w:qFormat/>
    <w:uiPriority w:val="0"/>
    <w:pPr>
      <w:spacing w:line="500" w:lineRule="exact"/>
      <w:ind w:firstLine="480"/>
    </w:pPr>
    <w:rPr>
      <w:rFonts w:ascii="宋体" w:hAnsi="宋体"/>
      <w:sz w:val="24"/>
      <w:szCs w:val="24"/>
    </w:rPr>
  </w:style>
  <w:style w:type="character" w:customStyle="1" w:styleId="75">
    <w:name w:val="hour_am"/>
    <w:basedOn w:val="24"/>
    <w:qFormat/>
    <w:uiPriority w:val="0"/>
  </w:style>
  <w:style w:type="character" w:customStyle="1" w:styleId="76">
    <w:name w:val="hover3"/>
    <w:basedOn w:val="24"/>
    <w:qFormat/>
    <w:uiPriority w:val="0"/>
    <w:rPr>
      <w:shd w:val="clear" w:fill="EEEEEE"/>
    </w:rPr>
  </w:style>
  <w:style w:type="character" w:customStyle="1" w:styleId="77">
    <w:name w:val="tmpztreemove_arrow"/>
    <w:basedOn w:val="24"/>
    <w:qFormat/>
    <w:uiPriority w:val="0"/>
    <w:rPr>
      <w:shd w:val="clear" w:fill="FFFFFF"/>
    </w:rPr>
  </w:style>
  <w:style w:type="character" w:customStyle="1" w:styleId="78">
    <w:name w:val="button"/>
    <w:basedOn w:val="24"/>
    <w:qFormat/>
    <w:uiPriority w:val="0"/>
  </w:style>
  <w:style w:type="character" w:customStyle="1" w:styleId="79">
    <w:name w:val="old"/>
    <w:basedOn w:val="24"/>
    <w:qFormat/>
    <w:uiPriority w:val="0"/>
    <w:rPr>
      <w:color w:val="999999"/>
    </w:rPr>
  </w:style>
  <w:style w:type="character" w:customStyle="1" w:styleId="80">
    <w:name w:val="glyphicon3"/>
    <w:basedOn w:val="24"/>
    <w:qFormat/>
    <w:uiPriority w:val="0"/>
  </w:style>
  <w:style w:type="character" w:customStyle="1" w:styleId="81">
    <w:name w:val="hour_pm"/>
    <w:basedOn w:val="24"/>
    <w:qFormat/>
    <w:uiPriority w:val="0"/>
  </w:style>
  <w:style w:type="character" w:customStyle="1" w:styleId="82">
    <w:name w:val="indent"/>
    <w:basedOn w:val="24"/>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3.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41"/>
    <customShpInfo spid="_x0000_s1030"/>
    <customShpInfo spid="_x0000_s1029"/>
    <customShpInfo spid="_x0000_s1028"/>
    <customShpInfo spid="_x0000_s1027"/>
    <customShpInfo spid="_x0000_s1026"/>
    <customShpInfo spid="_x0000_s1025"/>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F3822C-B1E1-4E4F-BFF4-8FB1B721D828}">
  <ds:schemaRefs/>
</ds:datastoreItem>
</file>

<file path=customXml/itemProps3.xml><?xml version="1.0" encoding="utf-8"?>
<ds:datastoreItem xmlns:ds="http://schemas.openxmlformats.org/officeDocument/2006/customXml" ds:itemID="{E4537C85-48DA-403C-8036-CDA60BE99BC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55</Pages>
  <Words>4680</Words>
  <Characters>26676</Characters>
  <Lines>222</Lines>
  <Paragraphs>62</Paragraphs>
  <TotalTime>9</TotalTime>
  <ScaleCrop>false</ScaleCrop>
  <LinksUpToDate>false</LinksUpToDate>
  <CharactersWithSpaces>31294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2020-09-29T07:16:00Z</dcterms:created>
  <dc:creator>Administrator</dc:creator>
  <cp:lastModifiedBy>♔爱している </cp:lastModifiedBy>
  <cp:lastPrinted>2021-07-30T09:33:00Z</cp:lastPrinted>
  <dcterms:modified xsi:type="dcterms:W3CDTF">2021-08-06T03:00:45Z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FA4AB26EE29E4C659A4FFB73FFCECAD1</vt:lpwstr>
  </property>
</Properties>
</file>