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color w:val="000000"/>
          <w:sz w:val="32"/>
          <w:szCs w:val="32"/>
          <w:highlight w:val="none"/>
        </w:rPr>
      </w:pPr>
      <w:bookmarkStart w:id="0" w:name="_Toc237342986"/>
      <w:bookmarkStart w:id="178" w:name="_GoBack"/>
      <w:bookmarkEnd w:id="178"/>
    </w:p>
    <w:p>
      <w:pPr>
        <w:rPr>
          <w:rFonts w:hint="eastAsia" w:eastAsia="宋体"/>
          <w:b/>
          <w:bCs/>
          <w:sz w:val="32"/>
          <w:szCs w:val="32"/>
          <w:highlight w:val="none"/>
          <w:lang w:eastAsia="zh-CN"/>
        </w:rPr>
      </w:pPr>
      <w:r>
        <w:rPr>
          <w:b/>
          <w:bCs/>
          <w:sz w:val="32"/>
          <w:szCs w:val="32"/>
          <w:highlight w:val="none"/>
        </w:rPr>
        <w:t>采购项目编号：</w:t>
      </w:r>
      <w:r>
        <w:rPr>
          <w:rFonts w:hint="eastAsia"/>
          <w:b/>
          <w:bCs/>
          <w:sz w:val="32"/>
          <w:szCs w:val="32"/>
          <w:highlight w:val="none"/>
        </w:rPr>
        <w:t>ZTZLZC-WG2021-051</w:t>
      </w:r>
      <w:r>
        <w:rPr>
          <w:rFonts w:hint="eastAsia"/>
          <w:b/>
          <w:bCs/>
          <w:sz w:val="32"/>
          <w:szCs w:val="32"/>
          <w:highlight w:val="none"/>
          <w:lang w:val="en-US" w:eastAsia="zh-CN"/>
        </w:rPr>
        <w:t>4</w:t>
      </w:r>
    </w:p>
    <w:p>
      <w:pPr>
        <w:tabs>
          <w:tab w:val="left" w:pos="315"/>
          <w:tab w:val="right" w:pos="7653"/>
        </w:tabs>
        <w:ind w:left="-945" w:leftChars="-450" w:right="-296" w:rightChars="-141" w:firstLine="720" w:firstLineChars="200"/>
        <w:rPr>
          <w:bCs/>
          <w:sz w:val="36"/>
          <w:szCs w:val="36"/>
          <w:highlight w:val="none"/>
        </w:rPr>
      </w:pPr>
    </w:p>
    <w:p>
      <w:pPr>
        <w:rPr>
          <w:bCs/>
          <w:sz w:val="24"/>
          <w:szCs w:val="21"/>
          <w:highlight w:val="none"/>
        </w:rPr>
      </w:pPr>
    </w:p>
    <w:p>
      <w:pPr>
        <w:jc w:val="center"/>
        <w:rPr>
          <w:rFonts w:hint="eastAsia" w:eastAsia="宋体"/>
          <w:b/>
          <w:color w:val="000000"/>
          <w:sz w:val="56"/>
          <w:szCs w:val="56"/>
          <w:highlight w:val="none"/>
          <w:lang w:eastAsia="zh-CN"/>
        </w:rPr>
      </w:pPr>
      <w:r>
        <w:rPr>
          <w:rFonts w:hint="eastAsia"/>
          <w:b/>
          <w:color w:val="000000"/>
          <w:sz w:val="52"/>
          <w:szCs w:val="52"/>
          <w:highlight w:val="none"/>
          <w:lang w:eastAsia="zh-CN"/>
        </w:rPr>
        <w:t>武功县政府门户网站升级改版项目</w:t>
      </w:r>
    </w:p>
    <w:p>
      <w:pPr>
        <w:jc w:val="center"/>
        <w:rPr>
          <w:b/>
          <w:color w:val="000000"/>
          <w:sz w:val="84"/>
          <w:szCs w:val="84"/>
          <w:highlight w:val="none"/>
        </w:rPr>
      </w:pPr>
    </w:p>
    <w:p>
      <w:pPr>
        <w:jc w:val="center"/>
        <w:rPr>
          <w:b/>
          <w:color w:val="000000"/>
          <w:sz w:val="72"/>
          <w:szCs w:val="72"/>
          <w:highlight w:val="none"/>
        </w:rPr>
      </w:pPr>
      <w:r>
        <w:rPr>
          <w:b/>
          <w:color w:val="000000"/>
          <w:sz w:val="72"/>
          <w:szCs w:val="72"/>
          <w:highlight w:val="none"/>
        </w:rPr>
        <w:t>竞争性磋商文件</w:t>
      </w:r>
    </w:p>
    <w:p>
      <w:pPr>
        <w:rPr>
          <w:color w:val="000000"/>
          <w:sz w:val="24"/>
          <w:szCs w:val="21"/>
          <w:highlight w:val="none"/>
        </w:rPr>
      </w:pPr>
    </w:p>
    <w:p>
      <w:pPr>
        <w:jc w:val="center"/>
        <w:rPr>
          <w:color w:val="000000"/>
          <w:sz w:val="44"/>
          <w:szCs w:val="44"/>
          <w:highlight w:val="none"/>
        </w:rPr>
      </w:pPr>
      <w:r>
        <w:rPr>
          <w:rFonts w:hint="eastAsia"/>
          <w:color w:val="000000"/>
          <w:sz w:val="44"/>
          <w:szCs w:val="44"/>
          <w:highlight w:val="none"/>
        </w:rPr>
        <w:drawing>
          <wp:inline distT="0" distB="0" distL="114300" distR="114300">
            <wp:extent cx="2020570" cy="2257425"/>
            <wp:effectExtent l="0" t="0" r="17780" b="9525"/>
            <wp:docPr id="1" name="图片 1" descr="微信图片_20191112182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112182526"/>
                    <pic:cNvPicPr>
                      <a:picLocks noChangeAspect="1"/>
                    </pic:cNvPicPr>
                  </pic:nvPicPr>
                  <pic:blipFill>
                    <a:blip r:embed="rId12"/>
                    <a:stretch>
                      <a:fillRect/>
                    </a:stretch>
                  </pic:blipFill>
                  <pic:spPr>
                    <a:xfrm>
                      <a:off x="0" y="0"/>
                      <a:ext cx="2020570" cy="2257425"/>
                    </a:xfrm>
                    <a:prstGeom prst="rect">
                      <a:avLst/>
                    </a:prstGeom>
                    <a:noFill/>
                    <a:ln>
                      <a:noFill/>
                    </a:ln>
                  </pic:spPr>
                </pic:pic>
              </a:graphicData>
            </a:graphic>
          </wp:inline>
        </w:drawing>
      </w:r>
    </w:p>
    <w:p>
      <w:pPr>
        <w:jc w:val="center"/>
        <w:rPr>
          <w:color w:val="000000"/>
          <w:sz w:val="44"/>
          <w:szCs w:val="44"/>
          <w:highlight w:val="none"/>
        </w:rPr>
      </w:pPr>
    </w:p>
    <w:p>
      <w:pPr>
        <w:rPr>
          <w:color w:val="000000"/>
          <w:sz w:val="24"/>
          <w:szCs w:val="21"/>
          <w:highlight w:val="none"/>
        </w:rPr>
      </w:pPr>
    </w:p>
    <w:p>
      <w:pPr>
        <w:rPr>
          <w:color w:val="000000"/>
          <w:sz w:val="24"/>
          <w:szCs w:val="21"/>
          <w:highlight w:val="none"/>
        </w:rPr>
      </w:pPr>
    </w:p>
    <w:p>
      <w:pPr>
        <w:rPr>
          <w:color w:val="000000"/>
          <w:sz w:val="24"/>
          <w:szCs w:val="21"/>
          <w:highlight w:val="none"/>
        </w:rPr>
      </w:pPr>
    </w:p>
    <w:p>
      <w:pPr>
        <w:spacing w:line="480" w:lineRule="auto"/>
        <w:ind w:firstLine="964" w:firstLineChars="300"/>
        <w:rPr>
          <w:b/>
          <w:bCs/>
          <w:color w:val="000000"/>
          <w:sz w:val="32"/>
          <w:szCs w:val="32"/>
          <w:highlight w:val="none"/>
        </w:rPr>
      </w:pPr>
    </w:p>
    <w:p>
      <w:pPr>
        <w:spacing w:line="480" w:lineRule="auto"/>
        <w:ind w:firstLine="964" w:firstLineChars="300"/>
        <w:rPr>
          <w:rFonts w:hint="eastAsia" w:eastAsia="宋体"/>
          <w:b/>
          <w:bCs/>
          <w:color w:val="000000"/>
          <w:sz w:val="32"/>
          <w:szCs w:val="32"/>
          <w:highlight w:val="none"/>
          <w:lang w:eastAsia="zh-CN"/>
        </w:rPr>
      </w:pPr>
      <w:r>
        <w:rPr>
          <w:b/>
          <w:bCs/>
          <w:color w:val="000000"/>
          <w:sz w:val="32"/>
          <w:szCs w:val="32"/>
          <w:highlight w:val="none"/>
        </w:rPr>
        <w:t>采   购   人：</w:t>
      </w:r>
      <w:r>
        <w:rPr>
          <w:rFonts w:hint="eastAsia"/>
          <w:b/>
          <w:bCs/>
          <w:color w:val="000000"/>
          <w:sz w:val="32"/>
          <w:szCs w:val="32"/>
          <w:highlight w:val="none"/>
          <w:lang w:eastAsia="zh-CN"/>
        </w:rPr>
        <w:t>武功县信息化工作办公室</w:t>
      </w:r>
    </w:p>
    <w:p>
      <w:pPr>
        <w:tabs>
          <w:tab w:val="left" w:pos="1785"/>
        </w:tabs>
        <w:spacing w:line="480" w:lineRule="auto"/>
        <w:ind w:firstLine="964" w:firstLineChars="300"/>
        <w:rPr>
          <w:b/>
          <w:bCs/>
          <w:color w:val="000000"/>
          <w:sz w:val="32"/>
          <w:szCs w:val="32"/>
          <w:highlight w:val="none"/>
        </w:rPr>
      </w:pPr>
      <w:r>
        <w:rPr>
          <w:b/>
          <w:bCs/>
          <w:color w:val="000000"/>
          <w:sz w:val="32"/>
          <w:szCs w:val="32"/>
          <w:highlight w:val="none"/>
        </w:rPr>
        <w:t>代</w:t>
      </w:r>
      <w:r>
        <w:rPr>
          <w:rFonts w:hint="eastAsia"/>
          <w:b/>
          <w:bCs/>
          <w:color w:val="000000"/>
          <w:sz w:val="32"/>
          <w:szCs w:val="32"/>
          <w:highlight w:val="none"/>
        </w:rPr>
        <w:t xml:space="preserve"> </w:t>
      </w:r>
      <w:r>
        <w:rPr>
          <w:b/>
          <w:bCs/>
          <w:color w:val="000000"/>
          <w:sz w:val="32"/>
          <w:szCs w:val="32"/>
          <w:highlight w:val="none"/>
        </w:rPr>
        <w:t>理</w:t>
      </w:r>
      <w:r>
        <w:rPr>
          <w:rFonts w:hint="eastAsia"/>
          <w:b/>
          <w:bCs/>
          <w:color w:val="000000"/>
          <w:sz w:val="32"/>
          <w:szCs w:val="32"/>
          <w:highlight w:val="none"/>
        </w:rPr>
        <w:t xml:space="preserve"> </w:t>
      </w:r>
      <w:r>
        <w:rPr>
          <w:b/>
          <w:bCs/>
          <w:color w:val="000000"/>
          <w:sz w:val="32"/>
          <w:szCs w:val="32"/>
          <w:highlight w:val="none"/>
        </w:rPr>
        <w:t>机</w:t>
      </w:r>
      <w:r>
        <w:rPr>
          <w:rFonts w:hint="eastAsia"/>
          <w:b/>
          <w:bCs/>
          <w:color w:val="000000"/>
          <w:sz w:val="32"/>
          <w:szCs w:val="32"/>
          <w:highlight w:val="none"/>
        </w:rPr>
        <w:t xml:space="preserve">  </w:t>
      </w:r>
      <w:r>
        <w:rPr>
          <w:b/>
          <w:bCs/>
          <w:color w:val="000000"/>
          <w:sz w:val="32"/>
          <w:szCs w:val="32"/>
          <w:highlight w:val="none"/>
        </w:rPr>
        <w:t>构：</w:t>
      </w:r>
      <w:r>
        <w:rPr>
          <w:rFonts w:hint="eastAsia"/>
          <w:b/>
          <w:bCs/>
          <w:color w:val="000000"/>
          <w:sz w:val="32"/>
          <w:szCs w:val="32"/>
          <w:highlight w:val="none"/>
        </w:rPr>
        <w:t>陕西中天正略企业运营发展有限公司</w:t>
      </w:r>
      <w:r>
        <w:rPr>
          <w:b/>
          <w:bCs/>
          <w:color w:val="000000"/>
          <w:sz w:val="32"/>
          <w:szCs w:val="32"/>
          <w:highlight w:val="none"/>
        </w:rPr>
        <w:t xml:space="preserve"> </w:t>
      </w:r>
    </w:p>
    <w:p>
      <w:pPr>
        <w:spacing w:line="480" w:lineRule="auto"/>
        <w:ind w:firstLine="964" w:firstLineChars="300"/>
        <w:rPr>
          <w:b/>
          <w:color w:val="000000"/>
          <w:sz w:val="36"/>
          <w:highlight w:val="none"/>
        </w:rPr>
      </w:pPr>
      <w:r>
        <w:rPr>
          <w:b/>
          <w:bCs/>
          <w:color w:val="000000"/>
          <w:sz w:val="32"/>
          <w:szCs w:val="32"/>
          <w:highlight w:val="none"/>
        </w:rPr>
        <w:t>日        期：二〇</w:t>
      </w:r>
      <w:r>
        <w:rPr>
          <w:rFonts w:hint="eastAsia"/>
          <w:b/>
          <w:bCs/>
          <w:color w:val="000000"/>
          <w:sz w:val="32"/>
          <w:szCs w:val="32"/>
          <w:highlight w:val="none"/>
        </w:rPr>
        <w:t>二一</w:t>
      </w:r>
      <w:r>
        <w:rPr>
          <w:b/>
          <w:bCs/>
          <w:color w:val="000000"/>
          <w:sz w:val="32"/>
          <w:szCs w:val="32"/>
          <w:highlight w:val="none"/>
        </w:rPr>
        <w:t>年</w:t>
      </w:r>
      <w:r>
        <w:rPr>
          <w:rFonts w:hint="eastAsia"/>
          <w:b/>
          <w:bCs/>
          <w:color w:val="000000"/>
          <w:sz w:val="32"/>
          <w:szCs w:val="32"/>
          <w:highlight w:val="none"/>
        </w:rPr>
        <w:t>五</w:t>
      </w:r>
      <w:r>
        <w:rPr>
          <w:b/>
          <w:bCs/>
          <w:color w:val="000000"/>
          <w:sz w:val="32"/>
          <w:szCs w:val="32"/>
          <w:highlight w:val="none"/>
        </w:rPr>
        <w:t>月</w:t>
      </w:r>
    </w:p>
    <w:p>
      <w:pPr>
        <w:spacing w:line="360" w:lineRule="auto"/>
        <w:ind w:firstLine="1807" w:firstLineChars="500"/>
        <w:rPr>
          <w:b/>
          <w:color w:val="000000"/>
          <w:sz w:val="36"/>
          <w:highlight w:val="none"/>
        </w:rPr>
        <w:sectPr>
          <w:headerReference r:id="rId4" w:type="first"/>
          <w:headerReference r:id="rId3" w:type="default"/>
          <w:footerReference r:id="rId5" w:type="default"/>
          <w:footerReference r:id="rId6" w:type="even"/>
          <w:pgSz w:w="11906" w:h="16838"/>
          <w:pgMar w:top="1440" w:right="1803" w:bottom="1440" w:left="1803" w:header="851" w:footer="992" w:gutter="0"/>
          <w:cols w:space="720" w:num="1"/>
          <w:docGrid w:linePitch="312" w:charSpace="0"/>
        </w:sectPr>
      </w:pPr>
    </w:p>
    <w:p>
      <w:pPr>
        <w:spacing w:line="360" w:lineRule="auto"/>
        <w:jc w:val="center"/>
        <w:rPr>
          <w:b/>
          <w:color w:val="000000"/>
          <w:highlight w:val="none"/>
        </w:rPr>
      </w:pPr>
      <w:r>
        <w:rPr>
          <w:b/>
          <w:color w:val="000000"/>
          <w:sz w:val="36"/>
          <w:highlight w:val="none"/>
        </w:rPr>
        <w:t>目 录</w:t>
      </w:r>
    </w:p>
    <w:p>
      <w:pPr>
        <w:pStyle w:val="13"/>
        <w:tabs>
          <w:tab w:val="right" w:leader="dot" w:pos="8732"/>
        </w:tabs>
        <w:spacing w:line="360" w:lineRule="auto"/>
        <w:rPr>
          <w:color w:val="000000"/>
          <w:sz w:val="28"/>
          <w:szCs w:val="28"/>
          <w:highlight w:val="none"/>
        </w:rPr>
      </w:pPr>
      <w:r>
        <w:rPr>
          <w:color w:val="000000"/>
          <w:sz w:val="36"/>
          <w:highlight w:val="none"/>
        </w:rPr>
        <w:fldChar w:fldCharType="begin"/>
      </w:r>
      <w:r>
        <w:rPr>
          <w:color w:val="000000"/>
          <w:sz w:val="36"/>
          <w:highlight w:val="none"/>
        </w:rPr>
        <w:instrText xml:space="preserve">TOC \o "1-1" \h \u </w:instrText>
      </w:r>
      <w:r>
        <w:rPr>
          <w:color w:val="000000"/>
          <w:sz w:val="36"/>
          <w:highlight w:val="none"/>
        </w:rPr>
        <w:fldChar w:fldCharType="separate"/>
      </w:r>
      <w:r>
        <w:rPr>
          <w:highlight w:val="none"/>
        </w:rPr>
        <w:fldChar w:fldCharType="begin"/>
      </w:r>
      <w:r>
        <w:rPr>
          <w:highlight w:val="none"/>
        </w:rPr>
        <w:instrText xml:space="preserve"> HYPERLINK \l "_Toc20688" </w:instrText>
      </w:r>
      <w:r>
        <w:rPr>
          <w:highlight w:val="none"/>
        </w:rPr>
        <w:fldChar w:fldCharType="separate"/>
      </w:r>
      <w:r>
        <w:rPr>
          <w:color w:val="000000"/>
          <w:sz w:val="28"/>
          <w:szCs w:val="28"/>
          <w:highlight w:val="none"/>
        </w:rPr>
        <w:t>第一</w:t>
      </w:r>
      <w:r>
        <w:rPr>
          <w:rFonts w:hint="eastAsia"/>
          <w:color w:val="000000"/>
          <w:sz w:val="28"/>
          <w:szCs w:val="28"/>
          <w:highlight w:val="none"/>
        </w:rPr>
        <w:t xml:space="preserve">章 </w:t>
      </w:r>
      <w:r>
        <w:rPr>
          <w:color w:val="000000"/>
          <w:sz w:val="28"/>
          <w:szCs w:val="28"/>
          <w:highlight w:val="none"/>
        </w:rPr>
        <w:t>竞争性磋商公告</w:t>
      </w:r>
      <w:r>
        <w:rPr>
          <w:color w:val="000000"/>
          <w:sz w:val="28"/>
          <w:szCs w:val="28"/>
          <w:highlight w:val="none"/>
        </w:rPr>
        <w:tab/>
      </w:r>
      <w:r>
        <w:rPr>
          <w:color w:val="000000"/>
          <w:sz w:val="28"/>
          <w:szCs w:val="28"/>
          <w:highlight w:val="none"/>
        </w:rPr>
        <w:fldChar w:fldCharType="begin"/>
      </w:r>
      <w:r>
        <w:rPr>
          <w:color w:val="000000"/>
          <w:sz w:val="28"/>
          <w:szCs w:val="28"/>
          <w:highlight w:val="none"/>
        </w:rPr>
        <w:instrText xml:space="preserve"> PAGEREF _Toc20688 </w:instrText>
      </w:r>
      <w:r>
        <w:rPr>
          <w:color w:val="000000"/>
          <w:sz w:val="28"/>
          <w:szCs w:val="28"/>
          <w:highlight w:val="none"/>
        </w:rPr>
        <w:fldChar w:fldCharType="separate"/>
      </w:r>
      <w:r>
        <w:rPr>
          <w:color w:val="000000"/>
          <w:sz w:val="28"/>
          <w:szCs w:val="28"/>
          <w:highlight w:val="none"/>
        </w:rPr>
        <w:t>3</w:t>
      </w:r>
      <w:r>
        <w:rPr>
          <w:color w:val="000000"/>
          <w:sz w:val="28"/>
          <w:szCs w:val="28"/>
          <w:highlight w:val="none"/>
        </w:rPr>
        <w:fldChar w:fldCharType="end"/>
      </w:r>
      <w:r>
        <w:rPr>
          <w:color w:val="000000"/>
          <w:sz w:val="28"/>
          <w:szCs w:val="28"/>
          <w:highlight w:val="none"/>
        </w:rPr>
        <w:fldChar w:fldCharType="end"/>
      </w:r>
    </w:p>
    <w:p>
      <w:pPr>
        <w:pStyle w:val="13"/>
        <w:tabs>
          <w:tab w:val="right" w:leader="dot" w:pos="8732"/>
        </w:tabs>
        <w:spacing w:line="360" w:lineRule="auto"/>
        <w:rPr>
          <w:color w:val="000000"/>
          <w:sz w:val="28"/>
          <w:szCs w:val="28"/>
          <w:highlight w:val="none"/>
        </w:rPr>
      </w:pPr>
      <w:r>
        <w:rPr>
          <w:highlight w:val="none"/>
        </w:rPr>
        <w:fldChar w:fldCharType="begin"/>
      </w:r>
      <w:r>
        <w:rPr>
          <w:highlight w:val="none"/>
        </w:rPr>
        <w:instrText xml:space="preserve"> HYPERLINK \l "_Toc28421" </w:instrText>
      </w:r>
      <w:r>
        <w:rPr>
          <w:highlight w:val="none"/>
        </w:rPr>
        <w:fldChar w:fldCharType="separate"/>
      </w:r>
      <w:r>
        <w:rPr>
          <w:color w:val="000000"/>
          <w:sz w:val="28"/>
          <w:szCs w:val="28"/>
          <w:highlight w:val="none"/>
        </w:rPr>
        <w:t>第二</w:t>
      </w:r>
      <w:r>
        <w:rPr>
          <w:rFonts w:hint="eastAsia"/>
          <w:color w:val="000000"/>
          <w:sz w:val="28"/>
          <w:szCs w:val="28"/>
          <w:highlight w:val="none"/>
        </w:rPr>
        <w:t>章</w:t>
      </w:r>
      <w:r>
        <w:rPr>
          <w:color w:val="000000"/>
          <w:sz w:val="28"/>
          <w:szCs w:val="28"/>
          <w:highlight w:val="none"/>
        </w:rPr>
        <w:t xml:space="preserve"> 供应商须知</w:t>
      </w:r>
      <w:r>
        <w:rPr>
          <w:color w:val="000000"/>
          <w:sz w:val="28"/>
          <w:szCs w:val="28"/>
          <w:highlight w:val="none"/>
        </w:rPr>
        <w:tab/>
      </w:r>
      <w:r>
        <w:rPr>
          <w:rFonts w:hint="eastAsia"/>
          <w:color w:val="000000"/>
          <w:sz w:val="28"/>
          <w:szCs w:val="28"/>
          <w:highlight w:val="none"/>
          <w:lang w:val="en-US" w:eastAsia="zh-CN"/>
        </w:rPr>
        <w:t>6</w:t>
      </w:r>
      <w:r>
        <w:rPr>
          <w:color w:val="000000"/>
          <w:sz w:val="28"/>
          <w:szCs w:val="28"/>
          <w:highlight w:val="none"/>
        </w:rPr>
        <w:fldChar w:fldCharType="end"/>
      </w:r>
    </w:p>
    <w:p>
      <w:pPr>
        <w:pStyle w:val="13"/>
        <w:tabs>
          <w:tab w:val="right" w:leader="dot" w:pos="8732"/>
        </w:tabs>
        <w:spacing w:line="360" w:lineRule="auto"/>
        <w:rPr>
          <w:color w:val="000000"/>
          <w:sz w:val="28"/>
          <w:szCs w:val="28"/>
          <w:highlight w:val="none"/>
        </w:rPr>
      </w:pPr>
      <w:r>
        <w:rPr>
          <w:highlight w:val="none"/>
        </w:rPr>
        <w:fldChar w:fldCharType="begin"/>
      </w:r>
      <w:r>
        <w:rPr>
          <w:highlight w:val="none"/>
        </w:rPr>
        <w:instrText xml:space="preserve"> HYPERLINK \l "_Toc18053" </w:instrText>
      </w:r>
      <w:r>
        <w:rPr>
          <w:highlight w:val="none"/>
        </w:rPr>
        <w:fldChar w:fldCharType="separate"/>
      </w:r>
      <w:r>
        <w:rPr>
          <w:color w:val="000000"/>
          <w:sz w:val="28"/>
          <w:szCs w:val="28"/>
          <w:highlight w:val="none"/>
        </w:rPr>
        <w:t>第三</w:t>
      </w:r>
      <w:r>
        <w:rPr>
          <w:rFonts w:hint="eastAsia"/>
          <w:color w:val="000000"/>
          <w:sz w:val="28"/>
          <w:szCs w:val="28"/>
          <w:highlight w:val="none"/>
        </w:rPr>
        <w:t xml:space="preserve">章 </w:t>
      </w:r>
      <w:r>
        <w:rPr>
          <w:color w:val="000000"/>
          <w:sz w:val="28"/>
          <w:szCs w:val="28"/>
          <w:highlight w:val="none"/>
        </w:rPr>
        <w:t>磋商与评审办法</w:t>
      </w:r>
      <w:r>
        <w:rPr>
          <w:color w:val="000000"/>
          <w:sz w:val="28"/>
          <w:szCs w:val="28"/>
          <w:highlight w:val="none"/>
        </w:rPr>
        <w:tab/>
      </w:r>
      <w:r>
        <w:rPr>
          <w:color w:val="000000"/>
          <w:sz w:val="28"/>
          <w:szCs w:val="28"/>
          <w:highlight w:val="none"/>
        </w:rPr>
        <w:fldChar w:fldCharType="begin"/>
      </w:r>
      <w:r>
        <w:rPr>
          <w:color w:val="000000"/>
          <w:sz w:val="28"/>
          <w:szCs w:val="28"/>
          <w:highlight w:val="none"/>
        </w:rPr>
        <w:instrText xml:space="preserve"> PAGEREF _Toc18053 </w:instrText>
      </w:r>
      <w:r>
        <w:rPr>
          <w:color w:val="000000"/>
          <w:sz w:val="28"/>
          <w:szCs w:val="28"/>
          <w:highlight w:val="none"/>
        </w:rPr>
        <w:fldChar w:fldCharType="separate"/>
      </w:r>
      <w:r>
        <w:rPr>
          <w:color w:val="000000"/>
          <w:sz w:val="28"/>
          <w:szCs w:val="28"/>
          <w:highlight w:val="none"/>
        </w:rPr>
        <w:t>29</w:t>
      </w:r>
      <w:r>
        <w:rPr>
          <w:color w:val="000000"/>
          <w:sz w:val="28"/>
          <w:szCs w:val="28"/>
          <w:highlight w:val="none"/>
        </w:rPr>
        <w:fldChar w:fldCharType="end"/>
      </w:r>
      <w:r>
        <w:rPr>
          <w:color w:val="000000"/>
          <w:sz w:val="28"/>
          <w:szCs w:val="28"/>
          <w:highlight w:val="none"/>
        </w:rPr>
        <w:fldChar w:fldCharType="end"/>
      </w:r>
    </w:p>
    <w:p>
      <w:pPr>
        <w:pStyle w:val="13"/>
        <w:tabs>
          <w:tab w:val="right" w:leader="dot" w:pos="8732"/>
        </w:tabs>
        <w:spacing w:line="360" w:lineRule="auto"/>
        <w:rPr>
          <w:color w:val="000000"/>
          <w:sz w:val="28"/>
          <w:szCs w:val="28"/>
          <w:highlight w:val="none"/>
        </w:rPr>
      </w:pPr>
      <w:r>
        <w:rPr>
          <w:highlight w:val="none"/>
        </w:rPr>
        <w:fldChar w:fldCharType="begin"/>
      </w:r>
      <w:r>
        <w:rPr>
          <w:highlight w:val="none"/>
        </w:rPr>
        <w:instrText xml:space="preserve"> HYPERLINK \l "_Toc28696" </w:instrText>
      </w:r>
      <w:r>
        <w:rPr>
          <w:highlight w:val="none"/>
        </w:rPr>
        <w:fldChar w:fldCharType="separate"/>
      </w:r>
      <w:r>
        <w:rPr>
          <w:color w:val="000000"/>
          <w:sz w:val="28"/>
          <w:szCs w:val="28"/>
          <w:highlight w:val="none"/>
        </w:rPr>
        <w:t>第四</w:t>
      </w:r>
      <w:r>
        <w:rPr>
          <w:rFonts w:hint="eastAsia"/>
          <w:color w:val="000000"/>
          <w:sz w:val="28"/>
          <w:szCs w:val="28"/>
          <w:highlight w:val="none"/>
        </w:rPr>
        <w:t>章 磋商内容及要求</w:t>
      </w:r>
      <w:r>
        <w:rPr>
          <w:color w:val="000000"/>
          <w:sz w:val="28"/>
          <w:szCs w:val="28"/>
          <w:highlight w:val="none"/>
        </w:rPr>
        <w:tab/>
      </w:r>
      <w:r>
        <w:rPr>
          <w:color w:val="000000"/>
          <w:sz w:val="28"/>
          <w:szCs w:val="28"/>
          <w:highlight w:val="none"/>
        </w:rPr>
        <w:fldChar w:fldCharType="begin"/>
      </w:r>
      <w:r>
        <w:rPr>
          <w:color w:val="000000"/>
          <w:sz w:val="28"/>
          <w:szCs w:val="28"/>
          <w:highlight w:val="none"/>
        </w:rPr>
        <w:instrText xml:space="preserve"> PAGEREF _Toc28696 </w:instrText>
      </w:r>
      <w:r>
        <w:rPr>
          <w:color w:val="000000"/>
          <w:sz w:val="28"/>
          <w:szCs w:val="28"/>
          <w:highlight w:val="none"/>
        </w:rPr>
        <w:fldChar w:fldCharType="separate"/>
      </w:r>
      <w:r>
        <w:rPr>
          <w:color w:val="000000"/>
          <w:sz w:val="28"/>
          <w:szCs w:val="28"/>
          <w:highlight w:val="none"/>
        </w:rPr>
        <w:t>40</w:t>
      </w:r>
      <w:r>
        <w:rPr>
          <w:color w:val="000000"/>
          <w:sz w:val="28"/>
          <w:szCs w:val="28"/>
          <w:highlight w:val="none"/>
        </w:rPr>
        <w:fldChar w:fldCharType="end"/>
      </w:r>
      <w:r>
        <w:rPr>
          <w:color w:val="000000"/>
          <w:sz w:val="28"/>
          <w:szCs w:val="28"/>
          <w:highlight w:val="none"/>
        </w:rPr>
        <w:fldChar w:fldCharType="end"/>
      </w:r>
    </w:p>
    <w:p>
      <w:pPr>
        <w:pStyle w:val="13"/>
        <w:tabs>
          <w:tab w:val="right" w:leader="dot" w:pos="8732"/>
        </w:tabs>
        <w:spacing w:line="360" w:lineRule="auto"/>
        <w:rPr>
          <w:color w:val="000000"/>
          <w:sz w:val="28"/>
          <w:szCs w:val="28"/>
          <w:highlight w:val="none"/>
        </w:rPr>
      </w:pPr>
      <w:r>
        <w:rPr>
          <w:highlight w:val="none"/>
        </w:rPr>
        <w:fldChar w:fldCharType="begin"/>
      </w:r>
      <w:r>
        <w:rPr>
          <w:highlight w:val="none"/>
        </w:rPr>
        <w:instrText xml:space="preserve"> HYPERLINK \l "_Toc20438" </w:instrText>
      </w:r>
      <w:r>
        <w:rPr>
          <w:highlight w:val="none"/>
        </w:rPr>
        <w:fldChar w:fldCharType="separate"/>
      </w:r>
      <w:r>
        <w:rPr>
          <w:color w:val="000000"/>
          <w:sz w:val="28"/>
          <w:szCs w:val="28"/>
          <w:highlight w:val="none"/>
        </w:rPr>
        <w:t>第五</w:t>
      </w:r>
      <w:r>
        <w:rPr>
          <w:rFonts w:hint="eastAsia"/>
          <w:color w:val="000000"/>
          <w:sz w:val="28"/>
          <w:szCs w:val="28"/>
          <w:highlight w:val="none"/>
        </w:rPr>
        <w:t>章</w:t>
      </w:r>
      <w:r>
        <w:rPr>
          <w:color w:val="000000"/>
          <w:sz w:val="28"/>
          <w:szCs w:val="28"/>
          <w:highlight w:val="none"/>
        </w:rPr>
        <w:t xml:space="preserve"> </w:t>
      </w:r>
      <w:r>
        <w:rPr>
          <w:rFonts w:hint="eastAsia"/>
          <w:color w:val="000000"/>
          <w:sz w:val="28"/>
          <w:szCs w:val="28"/>
          <w:highlight w:val="none"/>
        </w:rPr>
        <w:t>政府采购合同</w:t>
      </w:r>
      <w:r>
        <w:rPr>
          <w:color w:val="000000"/>
          <w:sz w:val="28"/>
          <w:szCs w:val="28"/>
          <w:highlight w:val="none"/>
        </w:rPr>
        <w:tab/>
      </w:r>
      <w:r>
        <w:rPr>
          <w:color w:val="000000"/>
          <w:sz w:val="28"/>
          <w:szCs w:val="28"/>
          <w:highlight w:val="none"/>
        </w:rPr>
        <w:fldChar w:fldCharType="begin"/>
      </w:r>
      <w:r>
        <w:rPr>
          <w:color w:val="000000"/>
          <w:sz w:val="28"/>
          <w:szCs w:val="28"/>
          <w:highlight w:val="none"/>
        </w:rPr>
        <w:instrText xml:space="preserve"> PAGEREF _Toc20438 </w:instrText>
      </w:r>
      <w:r>
        <w:rPr>
          <w:color w:val="000000"/>
          <w:sz w:val="28"/>
          <w:szCs w:val="28"/>
          <w:highlight w:val="none"/>
        </w:rPr>
        <w:fldChar w:fldCharType="separate"/>
      </w:r>
      <w:r>
        <w:rPr>
          <w:color w:val="000000"/>
          <w:sz w:val="28"/>
          <w:szCs w:val="28"/>
          <w:highlight w:val="none"/>
        </w:rPr>
        <w:t>41</w:t>
      </w:r>
      <w:r>
        <w:rPr>
          <w:color w:val="000000"/>
          <w:sz w:val="28"/>
          <w:szCs w:val="28"/>
          <w:highlight w:val="none"/>
        </w:rPr>
        <w:fldChar w:fldCharType="end"/>
      </w:r>
      <w:r>
        <w:rPr>
          <w:color w:val="000000"/>
          <w:sz w:val="28"/>
          <w:szCs w:val="28"/>
          <w:highlight w:val="none"/>
        </w:rPr>
        <w:fldChar w:fldCharType="end"/>
      </w:r>
    </w:p>
    <w:p>
      <w:pPr>
        <w:pStyle w:val="13"/>
        <w:tabs>
          <w:tab w:val="right" w:leader="dot" w:pos="8732"/>
        </w:tabs>
        <w:spacing w:line="360" w:lineRule="auto"/>
        <w:rPr>
          <w:color w:val="000000"/>
          <w:highlight w:val="none"/>
        </w:rPr>
      </w:pPr>
      <w:r>
        <w:rPr>
          <w:highlight w:val="none"/>
        </w:rPr>
        <w:fldChar w:fldCharType="begin"/>
      </w:r>
      <w:r>
        <w:rPr>
          <w:highlight w:val="none"/>
        </w:rPr>
        <w:instrText xml:space="preserve"> HYPERLINK \l "_Toc5420" </w:instrText>
      </w:r>
      <w:r>
        <w:rPr>
          <w:highlight w:val="none"/>
        </w:rPr>
        <w:fldChar w:fldCharType="separate"/>
      </w:r>
      <w:r>
        <w:rPr>
          <w:color w:val="000000"/>
          <w:sz w:val="28"/>
          <w:szCs w:val="28"/>
          <w:highlight w:val="none"/>
        </w:rPr>
        <w:t>第六</w:t>
      </w:r>
      <w:r>
        <w:rPr>
          <w:rFonts w:hint="eastAsia"/>
          <w:color w:val="000000"/>
          <w:sz w:val="28"/>
          <w:szCs w:val="28"/>
          <w:highlight w:val="none"/>
        </w:rPr>
        <w:t>章</w:t>
      </w:r>
      <w:r>
        <w:rPr>
          <w:color w:val="000000"/>
          <w:sz w:val="28"/>
          <w:szCs w:val="28"/>
          <w:highlight w:val="none"/>
        </w:rPr>
        <w:t xml:space="preserve"> 响应文件格式</w:t>
      </w:r>
      <w:r>
        <w:rPr>
          <w:color w:val="000000"/>
          <w:sz w:val="28"/>
          <w:szCs w:val="28"/>
          <w:highlight w:val="none"/>
        </w:rPr>
        <w:tab/>
      </w:r>
      <w:r>
        <w:rPr>
          <w:color w:val="000000"/>
          <w:sz w:val="28"/>
          <w:szCs w:val="28"/>
          <w:highlight w:val="none"/>
        </w:rPr>
        <w:fldChar w:fldCharType="begin"/>
      </w:r>
      <w:r>
        <w:rPr>
          <w:color w:val="000000"/>
          <w:sz w:val="28"/>
          <w:szCs w:val="28"/>
          <w:highlight w:val="none"/>
        </w:rPr>
        <w:instrText xml:space="preserve"> PAGEREF _Toc5420 </w:instrText>
      </w:r>
      <w:r>
        <w:rPr>
          <w:color w:val="000000"/>
          <w:sz w:val="28"/>
          <w:szCs w:val="28"/>
          <w:highlight w:val="none"/>
        </w:rPr>
        <w:fldChar w:fldCharType="separate"/>
      </w:r>
      <w:r>
        <w:rPr>
          <w:color w:val="000000"/>
          <w:sz w:val="28"/>
          <w:szCs w:val="28"/>
          <w:highlight w:val="none"/>
        </w:rPr>
        <w:t>45</w:t>
      </w:r>
      <w:r>
        <w:rPr>
          <w:color w:val="000000"/>
          <w:sz w:val="28"/>
          <w:szCs w:val="28"/>
          <w:highlight w:val="none"/>
        </w:rPr>
        <w:fldChar w:fldCharType="end"/>
      </w:r>
      <w:r>
        <w:rPr>
          <w:color w:val="000000"/>
          <w:sz w:val="28"/>
          <w:szCs w:val="28"/>
          <w:highlight w:val="none"/>
        </w:rPr>
        <w:fldChar w:fldCharType="end"/>
      </w:r>
    </w:p>
    <w:p>
      <w:pPr>
        <w:spacing w:line="360" w:lineRule="auto"/>
        <w:jc w:val="center"/>
        <w:rPr>
          <w:color w:val="000000"/>
          <w:sz w:val="36"/>
          <w:highlight w:val="none"/>
        </w:rPr>
      </w:pPr>
      <w:r>
        <w:rPr>
          <w:color w:val="000000"/>
          <w:highlight w:val="none"/>
        </w:rPr>
        <w:fldChar w:fldCharType="end"/>
      </w:r>
    </w:p>
    <w:p>
      <w:pPr>
        <w:ind w:firstLine="105" w:firstLineChars="50"/>
        <w:rPr>
          <w:color w:val="000000"/>
          <w:highlight w:val="none"/>
        </w:rPr>
      </w:pPr>
    </w:p>
    <w:p>
      <w:pPr>
        <w:rPr>
          <w:color w:val="000000"/>
          <w:highlight w:val="none"/>
        </w:rPr>
      </w:pPr>
    </w:p>
    <w:p>
      <w:pPr>
        <w:pStyle w:val="3"/>
        <w:spacing w:before="240" w:beforeLines="100" w:after="240" w:afterLines="100"/>
        <w:rPr>
          <w:rFonts w:ascii="Times New Roman" w:hAnsi="Times New Roman"/>
          <w:color w:val="000000"/>
          <w:highlight w:val="none"/>
        </w:rPr>
      </w:pPr>
      <w:r>
        <w:rPr>
          <w:rFonts w:ascii="Times New Roman" w:hAnsi="Times New Roman"/>
          <w:color w:val="000000"/>
          <w:sz w:val="28"/>
          <w:szCs w:val="28"/>
          <w:highlight w:val="none"/>
        </w:rPr>
        <w:br w:type="page"/>
      </w:r>
      <w:bookmarkStart w:id="1" w:name="_Toc20688"/>
      <w:r>
        <w:rPr>
          <w:rFonts w:hint="eastAsia" w:ascii="Times New Roman" w:hAnsi="Times New Roman"/>
          <w:color w:val="000000"/>
          <w:szCs w:val="22"/>
          <w:highlight w:val="none"/>
        </w:rPr>
        <w:t xml:space="preserve">第一章 </w:t>
      </w:r>
      <w:r>
        <w:rPr>
          <w:rFonts w:ascii="Times New Roman" w:hAnsi="Times New Roman"/>
          <w:color w:val="000000"/>
          <w:szCs w:val="22"/>
          <w:highlight w:val="none"/>
        </w:rPr>
        <w:t>竞</w:t>
      </w:r>
      <w:r>
        <w:rPr>
          <w:rFonts w:ascii="Times New Roman" w:hAnsi="Times New Roman"/>
          <w:color w:val="000000"/>
          <w:highlight w:val="none"/>
        </w:rPr>
        <w:t>争性磋商公告</w:t>
      </w:r>
      <w:bookmarkEnd w:id="1"/>
    </w:p>
    <w:p>
      <w:pPr>
        <w:tabs>
          <w:tab w:val="left" w:pos="5670"/>
        </w:tabs>
        <w:autoSpaceDE w:val="0"/>
        <w:autoSpaceDN w:val="0"/>
        <w:spacing w:line="360" w:lineRule="auto"/>
        <w:jc w:val="center"/>
        <w:rPr>
          <w:rFonts w:hint="eastAsia" w:eastAsia="宋体"/>
          <w:b/>
          <w:bCs/>
          <w:color w:val="000000"/>
          <w:sz w:val="28"/>
          <w:szCs w:val="28"/>
          <w:highlight w:val="none"/>
          <w:lang w:eastAsia="zh-CN"/>
        </w:rPr>
      </w:pPr>
      <w:r>
        <w:rPr>
          <w:rFonts w:hint="eastAsia"/>
          <w:b/>
          <w:bCs/>
          <w:color w:val="000000"/>
          <w:sz w:val="28"/>
          <w:szCs w:val="28"/>
          <w:highlight w:val="none"/>
          <w:lang w:eastAsia="zh-CN"/>
        </w:rPr>
        <w:t>武功县政府门户网站升级改版项目</w:t>
      </w:r>
    </w:p>
    <w:bookmarkEnd w:id="0"/>
    <w:p>
      <w:pPr>
        <w:adjustRightInd w:val="0"/>
        <w:snapToGrid w:val="0"/>
        <w:spacing w:line="360" w:lineRule="auto"/>
        <w:ind w:firstLine="480" w:firstLineChars="200"/>
        <w:rPr>
          <w:color w:val="000000"/>
          <w:sz w:val="24"/>
          <w:szCs w:val="22"/>
          <w:highlight w:val="none"/>
        </w:rPr>
      </w:pPr>
      <w:r>
        <w:rPr>
          <w:rFonts w:hint="eastAsia"/>
          <w:sz w:val="24"/>
          <w:szCs w:val="22"/>
          <w:highlight w:val="none"/>
        </w:rPr>
        <w:t>陕西中天正略企业运营发展有限公司受</w:t>
      </w:r>
      <w:r>
        <w:rPr>
          <w:rFonts w:hint="eastAsia"/>
          <w:sz w:val="24"/>
          <w:szCs w:val="22"/>
          <w:highlight w:val="none"/>
          <w:lang w:eastAsia="zh-CN"/>
        </w:rPr>
        <w:t>武功县信息化工作办公室</w:t>
      </w:r>
      <w:r>
        <w:rPr>
          <w:rFonts w:hint="eastAsia"/>
          <w:sz w:val="24"/>
          <w:szCs w:val="22"/>
          <w:highlight w:val="none"/>
        </w:rPr>
        <w:t>的委托，按照政府采购程序，对</w:t>
      </w:r>
      <w:r>
        <w:rPr>
          <w:rFonts w:hint="eastAsia"/>
          <w:sz w:val="24"/>
          <w:szCs w:val="22"/>
          <w:highlight w:val="none"/>
          <w:lang w:eastAsia="zh-CN"/>
        </w:rPr>
        <w:t>武功县政府门户网站升级改版项目</w:t>
      </w:r>
      <w:r>
        <w:rPr>
          <w:rFonts w:hint="eastAsia"/>
          <w:sz w:val="24"/>
          <w:szCs w:val="22"/>
          <w:highlight w:val="none"/>
        </w:rPr>
        <w:t>进行竞争性磋商采购，欢迎符合资格条件的、有能力提供本项目所需</w:t>
      </w:r>
      <w:r>
        <w:rPr>
          <w:rFonts w:hint="eastAsia"/>
          <w:color w:val="000000"/>
          <w:sz w:val="24"/>
          <w:szCs w:val="22"/>
          <w:highlight w:val="none"/>
        </w:rPr>
        <w:t xml:space="preserve">服务的供应商参加投标。 </w:t>
      </w:r>
    </w:p>
    <w:p>
      <w:pPr>
        <w:numPr>
          <w:ilvl w:val="0"/>
          <w:numId w:val="1"/>
        </w:numPr>
        <w:adjustRightInd w:val="0"/>
        <w:snapToGrid w:val="0"/>
        <w:spacing w:line="360" w:lineRule="auto"/>
        <w:ind w:firstLine="480" w:firstLineChars="200"/>
        <w:rPr>
          <w:color w:val="000000"/>
          <w:sz w:val="24"/>
          <w:szCs w:val="22"/>
          <w:highlight w:val="none"/>
        </w:rPr>
      </w:pPr>
      <w:r>
        <w:rPr>
          <w:rFonts w:hint="eastAsia"/>
          <w:color w:val="000000"/>
          <w:sz w:val="24"/>
          <w:szCs w:val="22"/>
          <w:highlight w:val="none"/>
        </w:rPr>
        <w:t>采购项目名称：</w:t>
      </w:r>
      <w:r>
        <w:rPr>
          <w:rFonts w:hint="eastAsia"/>
          <w:color w:val="000000"/>
          <w:sz w:val="24"/>
          <w:szCs w:val="22"/>
          <w:highlight w:val="none"/>
          <w:lang w:eastAsia="zh-CN"/>
        </w:rPr>
        <w:t>武功县政府门户网站升级改版项目</w:t>
      </w:r>
    </w:p>
    <w:p>
      <w:pPr>
        <w:numPr>
          <w:ilvl w:val="0"/>
          <w:numId w:val="1"/>
        </w:numPr>
        <w:adjustRightInd w:val="0"/>
        <w:snapToGrid w:val="0"/>
        <w:spacing w:line="360" w:lineRule="auto"/>
        <w:ind w:firstLine="480" w:firstLineChars="200"/>
        <w:rPr>
          <w:color w:val="000000"/>
          <w:sz w:val="24"/>
          <w:szCs w:val="22"/>
          <w:highlight w:val="none"/>
        </w:rPr>
      </w:pPr>
      <w:r>
        <w:rPr>
          <w:rFonts w:hint="eastAsia"/>
          <w:color w:val="000000"/>
          <w:sz w:val="24"/>
          <w:szCs w:val="22"/>
          <w:highlight w:val="none"/>
        </w:rPr>
        <w:t>采购项目编号：ZTZLZC-WG2021-0510</w:t>
      </w:r>
    </w:p>
    <w:p>
      <w:pPr>
        <w:adjustRightInd w:val="0"/>
        <w:snapToGrid w:val="0"/>
        <w:spacing w:line="360" w:lineRule="auto"/>
        <w:ind w:firstLine="480" w:firstLineChars="200"/>
        <w:rPr>
          <w:rFonts w:hint="eastAsia" w:eastAsia="宋体"/>
          <w:color w:val="000000"/>
          <w:sz w:val="24"/>
          <w:szCs w:val="22"/>
          <w:highlight w:val="none"/>
          <w:lang w:eastAsia="zh-CN"/>
        </w:rPr>
      </w:pPr>
      <w:r>
        <w:rPr>
          <w:rFonts w:hint="eastAsia"/>
          <w:color w:val="000000"/>
          <w:sz w:val="24"/>
          <w:szCs w:val="22"/>
          <w:highlight w:val="none"/>
        </w:rPr>
        <w:t>三、采购人名称：</w:t>
      </w:r>
      <w:r>
        <w:rPr>
          <w:rFonts w:hint="eastAsia"/>
          <w:color w:val="000000"/>
          <w:sz w:val="24"/>
          <w:szCs w:val="22"/>
          <w:highlight w:val="none"/>
          <w:lang w:eastAsia="zh-CN"/>
        </w:rPr>
        <w:t>武功县信息化工作办公室</w:t>
      </w:r>
    </w:p>
    <w:p>
      <w:pPr>
        <w:adjustRightInd w:val="0"/>
        <w:snapToGrid w:val="0"/>
        <w:spacing w:line="360" w:lineRule="auto"/>
        <w:ind w:firstLine="480" w:firstLineChars="200"/>
        <w:rPr>
          <w:rFonts w:hint="eastAsia" w:eastAsia="宋体"/>
          <w:color w:val="000000"/>
          <w:sz w:val="24"/>
          <w:szCs w:val="22"/>
          <w:highlight w:val="none"/>
          <w:lang w:eastAsia="zh-CN"/>
        </w:rPr>
      </w:pPr>
      <w:r>
        <w:rPr>
          <w:rFonts w:hint="eastAsia"/>
          <w:color w:val="000000"/>
          <w:sz w:val="24"/>
          <w:szCs w:val="22"/>
          <w:highlight w:val="none"/>
        </w:rPr>
        <w:t>地址：</w:t>
      </w:r>
      <w:r>
        <w:rPr>
          <w:rFonts w:hint="eastAsia"/>
          <w:color w:val="000000"/>
          <w:sz w:val="24"/>
          <w:szCs w:val="22"/>
          <w:highlight w:val="none"/>
          <w:lang w:eastAsia="zh-CN"/>
        </w:rPr>
        <w:t>武功县新电信局四楼</w:t>
      </w:r>
    </w:p>
    <w:p>
      <w:pPr>
        <w:adjustRightInd w:val="0"/>
        <w:snapToGrid w:val="0"/>
        <w:spacing w:line="360" w:lineRule="auto"/>
        <w:ind w:firstLine="480" w:firstLineChars="200"/>
        <w:rPr>
          <w:rFonts w:hint="eastAsia" w:eastAsia="宋体"/>
          <w:color w:val="000000"/>
          <w:sz w:val="24"/>
          <w:szCs w:val="22"/>
          <w:highlight w:val="none"/>
          <w:lang w:eastAsia="zh-CN"/>
        </w:rPr>
      </w:pPr>
      <w:r>
        <w:rPr>
          <w:rFonts w:hint="eastAsia"/>
          <w:color w:val="000000"/>
          <w:sz w:val="24"/>
          <w:szCs w:val="22"/>
          <w:highlight w:val="none"/>
        </w:rPr>
        <w:t>联系人：</w:t>
      </w:r>
      <w:r>
        <w:rPr>
          <w:rFonts w:hint="eastAsia"/>
          <w:color w:val="000000"/>
          <w:sz w:val="24"/>
          <w:szCs w:val="22"/>
          <w:highlight w:val="none"/>
          <w:lang w:eastAsia="zh-CN"/>
        </w:rPr>
        <w:t>刘主任</w:t>
      </w:r>
    </w:p>
    <w:p>
      <w:pPr>
        <w:adjustRightInd w:val="0"/>
        <w:snapToGrid w:val="0"/>
        <w:spacing w:line="360" w:lineRule="auto"/>
        <w:ind w:firstLine="480" w:firstLineChars="200"/>
        <w:rPr>
          <w:rFonts w:hint="eastAsia" w:eastAsia="宋体"/>
          <w:color w:val="000000"/>
          <w:sz w:val="24"/>
          <w:szCs w:val="22"/>
          <w:highlight w:val="none"/>
          <w:lang w:eastAsia="zh-CN"/>
        </w:rPr>
      </w:pPr>
      <w:r>
        <w:rPr>
          <w:rFonts w:hint="eastAsia"/>
          <w:color w:val="000000"/>
          <w:sz w:val="24"/>
          <w:szCs w:val="22"/>
          <w:highlight w:val="none"/>
        </w:rPr>
        <w:t>联系电话：</w:t>
      </w:r>
      <w:r>
        <w:rPr>
          <w:rFonts w:hint="eastAsia"/>
          <w:color w:val="000000"/>
          <w:sz w:val="24"/>
          <w:szCs w:val="22"/>
          <w:highlight w:val="none"/>
          <w:lang w:eastAsia="zh-CN"/>
        </w:rPr>
        <w:t>029-37292709</w:t>
      </w:r>
    </w:p>
    <w:p>
      <w:pPr>
        <w:adjustRightInd w:val="0"/>
        <w:snapToGrid w:val="0"/>
        <w:spacing w:line="360" w:lineRule="auto"/>
        <w:ind w:firstLine="480" w:firstLineChars="200"/>
        <w:rPr>
          <w:color w:val="000000"/>
          <w:sz w:val="24"/>
          <w:szCs w:val="22"/>
          <w:highlight w:val="none"/>
        </w:rPr>
      </w:pPr>
      <w:r>
        <w:rPr>
          <w:rFonts w:hint="eastAsia"/>
          <w:color w:val="000000"/>
          <w:sz w:val="24"/>
          <w:szCs w:val="22"/>
          <w:highlight w:val="none"/>
        </w:rPr>
        <w:t>四、采购代理机构名称：陕西中天正略企业运营发展有限公司</w:t>
      </w:r>
    </w:p>
    <w:p>
      <w:pPr>
        <w:adjustRightInd w:val="0"/>
        <w:snapToGrid w:val="0"/>
        <w:spacing w:line="360" w:lineRule="auto"/>
        <w:ind w:firstLine="480" w:firstLineChars="200"/>
        <w:rPr>
          <w:color w:val="000000"/>
          <w:sz w:val="24"/>
          <w:szCs w:val="22"/>
          <w:highlight w:val="none"/>
        </w:rPr>
      </w:pPr>
      <w:r>
        <w:rPr>
          <w:rFonts w:hint="eastAsia"/>
          <w:color w:val="000000"/>
          <w:sz w:val="24"/>
          <w:szCs w:val="22"/>
          <w:highlight w:val="none"/>
        </w:rPr>
        <w:t>地址：西安曲江新区翠华路500号佳和中心B座20层2号</w:t>
      </w:r>
    </w:p>
    <w:p>
      <w:pPr>
        <w:adjustRightInd w:val="0"/>
        <w:snapToGrid w:val="0"/>
        <w:spacing w:line="360" w:lineRule="auto"/>
        <w:ind w:firstLine="480" w:firstLineChars="200"/>
        <w:rPr>
          <w:color w:val="000000"/>
          <w:sz w:val="24"/>
          <w:szCs w:val="22"/>
          <w:highlight w:val="none"/>
        </w:rPr>
      </w:pPr>
      <w:r>
        <w:rPr>
          <w:rFonts w:hint="eastAsia"/>
          <w:color w:val="000000"/>
          <w:sz w:val="24"/>
          <w:szCs w:val="22"/>
          <w:highlight w:val="none"/>
        </w:rPr>
        <w:t>联系人：刘工</w:t>
      </w:r>
    </w:p>
    <w:p>
      <w:pPr>
        <w:adjustRightInd w:val="0"/>
        <w:snapToGrid w:val="0"/>
        <w:spacing w:line="360" w:lineRule="auto"/>
        <w:ind w:firstLine="480" w:firstLineChars="200"/>
        <w:rPr>
          <w:color w:val="000000"/>
          <w:sz w:val="24"/>
          <w:szCs w:val="22"/>
          <w:highlight w:val="none"/>
        </w:rPr>
      </w:pPr>
      <w:r>
        <w:rPr>
          <w:rFonts w:hint="eastAsia"/>
          <w:color w:val="000000"/>
          <w:sz w:val="24"/>
          <w:szCs w:val="22"/>
          <w:highlight w:val="none"/>
        </w:rPr>
        <w:t>电话：</w:t>
      </w:r>
      <w:r>
        <w:rPr>
          <w:rFonts w:hint="eastAsia"/>
          <w:color w:val="000000"/>
          <w:sz w:val="24"/>
          <w:highlight w:val="none"/>
        </w:rPr>
        <w:t>029-89660303</w:t>
      </w:r>
      <w:r>
        <w:rPr>
          <w:color w:val="000000"/>
          <w:sz w:val="24"/>
          <w:highlight w:val="none"/>
        </w:rPr>
        <w:t xml:space="preserve"> </w:t>
      </w:r>
    </w:p>
    <w:p>
      <w:pPr>
        <w:adjustRightInd w:val="0"/>
        <w:snapToGrid w:val="0"/>
        <w:spacing w:line="360" w:lineRule="auto"/>
        <w:ind w:firstLine="480" w:firstLineChars="200"/>
        <w:rPr>
          <w:color w:val="000000"/>
          <w:sz w:val="24"/>
          <w:szCs w:val="22"/>
          <w:highlight w:val="none"/>
        </w:rPr>
      </w:pPr>
      <w:r>
        <w:rPr>
          <w:rFonts w:hint="eastAsia"/>
          <w:color w:val="000000"/>
          <w:sz w:val="24"/>
          <w:szCs w:val="22"/>
          <w:highlight w:val="none"/>
        </w:rPr>
        <w:t>五、采购内容和需求：</w:t>
      </w:r>
    </w:p>
    <w:p>
      <w:pPr>
        <w:spacing w:line="360" w:lineRule="auto"/>
        <w:ind w:firstLine="480" w:firstLineChars="200"/>
        <w:rPr>
          <w:color w:val="000000"/>
          <w:sz w:val="24"/>
          <w:szCs w:val="22"/>
          <w:highlight w:val="none"/>
        </w:rPr>
      </w:pPr>
      <w:r>
        <w:rPr>
          <w:rFonts w:hint="eastAsia"/>
          <w:color w:val="000000"/>
          <w:sz w:val="24"/>
          <w:szCs w:val="22"/>
          <w:highlight w:val="none"/>
        </w:rPr>
        <w:t>采购内容：</w:t>
      </w:r>
      <w:r>
        <w:rPr>
          <w:rFonts w:hint="eastAsia"/>
          <w:sz w:val="24"/>
          <w:szCs w:val="22"/>
          <w:highlight w:val="none"/>
          <w:lang w:eastAsia="zh-CN"/>
        </w:rPr>
        <w:t>武功县政府门户网站升级改版项目</w:t>
      </w:r>
      <w:r>
        <w:rPr>
          <w:rFonts w:hint="eastAsia"/>
          <w:sz w:val="24"/>
          <w:szCs w:val="22"/>
          <w:highlight w:val="none"/>
        </w:rPr>
        <w:t>，详见本项目竞争性磋商文件。</w:t>
      </w:r>
    </w:p>
    <w:p>
      <w:pPr>
        <w:spacing w:line="360" w:lineRule="auto"/>
        <w:ind w:firstLine="480" w:firstLineChars="200"/>
        <w:rPr>
          <w:color w:val="000000"/>
          <w:sz w:val="24"/>
          <w:szCs w:val="22"/>
          <w:highlight w:val="none"/>
        </w:rPr>
      </w:pPr>
      <w:r>
        <w:rPr>
          <w:color w:val="000000"/>
          <w:sz w:val="24"/>
          <w:highlight w:val="none"/>
        </w:rPr>
        <w:t>项目性质：财政拨款</w:t>
      </w:r>
    </w:p>
    <w:p>
      <w:pPr>
        <w:adjustRightInd w:val="0"/>
        <w:snapToGrid w:val="0"/>
        <w:spacing w:line="360" w:lineRule="auto"/>
        <w:ind w:firstLine="480" w:firstLineChars="200"/>
        <w:rPr>
          <w:color w:val="000000"/>
          <w:sz w:val="24"/>
          <w:szCs w:val="22"/>
          <w:highlight w:val="none"/>
        </w:rPr>
      </w:pPr>
      <w:r>
        <w:rPr>
          <w:rFonts w:hint="eastAsia"/>
          <w:color w:val="000000"/>
          <w:sz w:val="24"/>
          <w:szCs w:val="22"/>
          <w:highlight w:val="none"/>
        </w:rPr>
        <w:t>采购预算：</w:t>
      </w:r>
      <w:r>
        <w:rPr>
          <w:rFonts w:hint="eastAsia"/>
          <w:color w:val="000000"/>
          <w:sz w:val="24"/>
          <w:szCs w:val="22"/>
          <w:highlight w:val="none"/>
          <w:lang w:eastAsia="zh-CN"/>
        </w:rPr>
        <w:t>398,698.96</w:t>
      </w:r>
      <w:r>
        <w:rPr>
          <w:rFonts w:hint="eastAsia"/>
          <w:color w:val="000000"/>
          <w:sz w:val="24"/>
          <w:szCs w:val="22"/>
          <w:highlight w:val="none"/>
        </w:rPr>
        <w:t>元</w:t>
      </w:r>
    </w:p>
    <w:p>
      <w:pPr>
        <w:adjustRightInd w:val="0"/>
        <w:snapToGrid w:val="0"/>
        <w:spacing w:line="360" w:lineRule="auto"/>
        <w:ind w:firstLine="480" w:firstLineChars="200"/>
        <w:rPr>
          <w:color w:val="000000"/>
          <w:sz w:val="24"/>
          <w:highlight w:val="none"/>
        </w:rPr>
      </w:pPr>
      <w:r>
        <w:rPr>
          <w:rFonts w:hint="eastAsia"/>
          <w:color w:val="000000"/>
          <w:sz w:val="24"/>
          <w:szCs w:val="22"/>
          <w:highlight w:val="none"/>
        </w:rPr>
        <w:t xml:space="preserve"> 六、供应商资格要求：</w:t>
      </w:r>
    </w:p>
    <w:p>
      <w:pPr>
        <w:spacing w:line="360" w:lineRule="auto"/>
        <w:ind w:firstLine="480" w:firstLineChars="200"/>
        <w:rPr>
          <w:sz w:val="24"/>
          <w:szCs w:val="22"/>
          <w:highlight w:val="none"/>
        </w:rPr>
      </w:pPr>
      <w:r>
        <w:rPr>
          <w:rFonts w:hint="eastAsia"/>
          <w:sz w:val="24"/>
          <w:szCs w:val="22"/>
          <w:highlight w:val="none"/>
        </w:rPr>
        <w:t>1、具有独立承担民事责任能力的法人、其他组织或自然人，提供合法有效的营业执照/事业单位法人证书/专业服务机构执业许可证/民办非企业单位登记证书等相关证明，自然人参与的提供其身份证明；</w:t>
      </w:r>
    </w:p>
    <w:p>
      <w:pPr>
        <w:spacing w:line="360" w:lineRule="auto"/>
        <w:ind w:firstLine="480" w:firstLineChars="200"/>
        <w:rPr>
          <w:sz w:val="24"/>
          <w:szCs w:val="22"/>
          <w:highlight w:val="none"/>
        </w:rPr>
      </w:pPr>
      <w:r>
        <w:rPr>
          <w:rFonts w:hint="eastAsia"/>
          <w:sz w:val="24"/>
          <w:szCs w:val="22"/>
          <w:highlight w:val="none"/>
        </w:rPr>
        <w:t>2、供应商应授权合法的人员参加投标：法定代表人直接参加投标，须出具法定代表人身份证；法定代表人授权代表参加投标，须出具法定代表人授权书及授权代表身份证；</w:t>
      </w:r>
    </w:p>
    <w:p>
      <w:pPr>
        <w:spacing w:line="360" w:lineRule="auto"/>
        <w:ind w:firstLine="480" w:firstLineChars="200"/>
        <w:rPr>
          <w:sz w:val="24"/>
          <w:szCs w:val="22"/>
          <w:highlight w:val="none"/>
        </w:rPr>
      </w:pPr>
      <w:r>
        <w:rPr>
          <w:rFonts w:hint="eastAsia"/>
          <w:sz w:val="24"/>
          <w:szCs w:val="22"/>
          <w:highlight w:val="none"/>
        </w:rPr>
        <w:t>3、财务状况报告：提供2020年度的财务审计报告或开户银行出具的资信证明；</w:t>
      </w:r>
    </w:p>
    <w:p>
      <w:pPr>
        <w:spacing w:line="360" w:lineRule="auto"/>
        <w:ind w:firstLine="480" w:firstLineChars="200"/>
        <w:rPr>
          <w:sz w:val="24"/>
          <w:szCs w:val="22"/>
          <w:highlight w:val="none"/>
        </w:rPr>
      </w:pPr>
      <w:r>
        <w:rPr>
          <w:rFonts w:hint="eastAsia"/>
          <w:sz w:val="24"/>
          <w:szCs w:val="22"/>
          <w:highlight w:val="none"/>
        </w:rPr>
        <w:t>4、税收缴纳证明：开标前近六个月至少一个月的纳税证明，依法免税的应提供相关证明材料；</w:t>
      </w:r>
    </w:p>
    <w:p>
      <w:pPr>
        <w:spacing w:line="360" w:lineRule="auto"/>
        <w:ind w:firstLine="480" w:firstLineChars="200"/>
        <w:rPr>
          <w:sz w:val="24"/>
          <w:szCs w:val="22"/>
          <w:highlight w:val="none"/>
        </w:rPr>
      </w:pPr>
      <w:r>
        <w:rPr>
          <w:rFonts w:hint="eastAsia"/>
          <w:sz w:val="24"/>
          <w:szCs w:val="22"/>
          <w:highlight w:val="none"/>
        </w:rPr>
        <w:t>5、社会保障资金缴纳证明：开标前近六个月至少一个月的社会保障资金缴纳凭证/证明，依法不需要缴纳的应提供相关证明材料；</w:t>
      </w:r>
    </w:p>
    <w:p>
      <w:pPr>
        <w:spacing w:line="360" w:lineRule="auto"/>
        <w:ind w:firstLine="480" w:firstLineChars="200"/>
        <w:rPr>
          <w:sz w:val="24"/>
          <w:szCs w:val="22"/>
          <w:highlight w:val="none"/>
        </w:rPr>
      </w:pPr>
      <w:r>
        <w:rPr>
          <w:rFonts w:hint="eastAsia"/>
          <w:sz w:val="24"/>
          <w:szCs w:val="22"/>
          <w:highlight w:val="none"/>
        </w:rPr>
        <w:t xml:space="preserve">6、供应商应出具参加政府采购活动前3年内在经营活动中没有重大违法记录的书面声明； </w:t>
      </w:r>
    </w:p>
    <w:p>
      <w:pPr>
        <w:spacing w:line="360" w:lineRule="auto"/>
        <w:ind w:firstLine="480" w:firstLineChars="200"/>
        <w:rPr>
          <w:sz w:val="24"/>
          <w:szCs w:val="22"/>
          <w:highlight w:val="none"/>
        </w:rPr>
      </w:pPr>
      <w:r>
        <w:rPr>
          <w:rFonts w:hint="eastAsia"/>
          <w:sz w:val="24"/>
          <w:szCs w:val="22"/>
          <w:highlight w:val="none"/>
          <w:lang w:val="en-US" w:eastAsia="zh-CN"/>
        </w:rPr>
        <w:t>7</w:t>
      </w:r>
      <w:r>
        <w:rPr>
          <w:rFonts w:hint="eastAsia"/>
          <w:sz w:val="24"/>
          <w:szCs w:val="22"/>
          <w:highlight w:val="none"/>
        </w:rPr>
        <w:t xml:space="preserve">、供应商应在信用中国（www.creditchina.gov.cn）未被列入失信被执行人、重大税收违法案件当事人名单及在中国政府采购网（www.ccgp.gov.cn）未被列入政府采购严重违法失信行为记录名单（处罚期限届满的除外，如相关失信记录已失效，供应商需提供相关证明资料），须提供信用中国及中国政府采购网相应查询结果的网站截图（加盖公章）；         </w:t>
      </w:r>
    </w:p>
    <w:p>
      <w:pPr>
        <w:pStyle w:val="9"/>
        <w:spacing w:line="360" w:lineRule="auto"/>
        <w:ind w:firstLine="480" w:firstLineChars="200"/>
        <w:rPr>
          <w:rFonts w:hAnsi="宋体" w:cs="宋体"/>
          <w:color w:val="333333"/>
          <w:sz w:val="24"/>
          <w:szCs w:val="24"/>
          <w:highlight w:val="none"/>
          <w:shd w:val="clear" w:color="auto" w:fill="FFFFFF"/>
        </w:rPr>
      </w:pPr>
      <w:r>
        <w:rPr>
          <w:rFonts w:hint="eastAsia" w:ascii="Times New Roman" w:hAnsi="Times New Roman"/>
          <w:sz w:val="24"/>
          <w:szCs w:val="22"/>
          <w:highlight w:val="none"/>
          <w:lang w:val="en-US" w:eastAsia="zh-CN"/>
        </w:rPr>
        <w:t>8</w:t>
      </w:r>
      <w:r>
        <w:rPr>
          <w:rFonts w:hint="eastAsia" w:ascii="Times New Roman" w:hAnsi="Times New Roman"/>
          <w:sz w:val="24"/>
          <w:szCs w:val="22"/>
          <w:highlight w:val="none"/>
        </w:rPr>
        <w:t>、本项目不接受联合体投标</w:t>
      </w:r>
      <w:r>
        <w:rPr>
          <w:rFonts w:hint="eastAsia" w:hAnsi="宋体" w:cs="宋体"/>
          <w:color w:val="333333"/>
          <w:sz w:val="24"/>
          <w:szCs w:val="24"/>
          <w:highlight w:val="none"/>
          <w:shd w:val="clear" w:color="auto" w:fill="FFFFFF"/>
        </w:rPr>
        <w:t>。</w:t>
      </w:r>
    </w:p>
    <w:p>
      <w:pPr>
        <w:spacing w:line="360" w:lineRule="auto"/>
        <w:ind w:firstLine="480" w:firstLineChars="200"/>
        <w:rPr>
          <w:color w:val="000000"/>
          <w:sz w:val="24"/>
          <w:highlight w:val="none"/>
        </w:rPr>
      </w:pPr>
      <w:r>
        <w:rPr>
          <w:color w:val="000000"/>
          <w:sz w:val="24"/>
          <w:highlight w:val="none"/>
        </w:rPr>
        <w:t>七、采购项目需要落实的政府采购政策：</w:t>
      </w:r>
    </w:p>
    <w:p>
      <w:pPr>
        <w:spacing w:line="360" w:lineRule="auto"/>
        <w:ind w:firstLine="480" w:firstLineChars="200"/>
        <w:rPr>
          <w:sz w:val="24"/>
          <w:highlight w:val="none"/>
        </w:rPr>
      </w:pPr>
      <w:r>
        <w:rPr>
          <w:rFonts w:hint="eastAsia"/>
          <w:sz w:val="24"/>
          <w:highlight w:val="none"/>
        </w:rPr>
        <w:t>1、</w:t>
      </w:r>
      <w:r>
        <w:rPr>
          <w:sz w:val="24"/>
          <w:highlight w:val="none"/>
        </w:rPr>
        <w:t xml:space="preserve">《财政部国家发展改革委关于印发〈节能产品政府采购实施意见〉的通知》（财库〔2004〕185号）； </w:t>
      </w:r>
    </w:p>
    <w:p>
      <w:pPr>
        <w:spacing w:line="360" w:lineRule="auto"/>
        <w:ind w:firstLine="480" w:firstLineChars="200"/>
        <w:rPr>
          <w:sz w:val="24"/>
          <w:highlight w:val="none"/>
        </w:rPr>
      </w:pPr>
      <w:r>
        <w:rPr>
          <w:sz w:val="24"/>
          <w:highlight w:val="none"/>
        </w:rPr>
        <w:t>2</w:t>
      </w:r>
      <w:r>
        <w:rPr>
          <w:rFonts w:hint="eastAsia"/>
          <w:sz w:val="24"/>
          <w:highlight w:val="none"/>
        </w:rPr>
        <w:t>、</w:t>
      </w:r>
      <w:r>
        <w:rPr>
          <w:sz w:val="24"/>
          <w:highlight w:val="none"/>
        </w:rPr>
        <w:t xml:space="preserve">《国务院办公厅关于建立政府强制采购节能产品制度的通知》（国办发〔2007〕51号）； </w:t>
      </w:r>
    </w:p>
    <w:p>
      <w:pPr>
        <w:spacing w:line="360" w:lineRule="auto"/>
        <w:ind w:firstLine="480" w:firstLineChars="200"/>
        <w:rPr>
          <w:sz w:val="24"/>
          <w:highlight w:val="none"/>
        </w:rPr>
      </w:pPr>
      <w:r>
        <w:rPr>
          <w:sz w:val="24"/>
          <w:highlight w:val="none"/>
        </w:rPr>
        <w:t>3</w:t>
      </w:r>
      <w:r>
        <w:rPr>
          <w:rFonts w:hint="eastAsia"/>
          <w:sz w:val="24"/>
          <w:highlight w:val="none"/>
        </w:rPr>
        <w:t>、</w:t>
      </w:r>
      <w:r>
        <w:rPr>
          <w:sz w:val="24"/>
          <w:highlight w:val="none"/>
        </w:rPr>
        <w:t xml:space="preserve">《财政部环保总局关于环境标志产品政府采购实施的意见》（财库〔2006〕90号）； </w:t>
      </w:r>
    </w:p>
    <w:p>
      <w:pPr>
        <w:spacing w:line="360" w:lineRule="auto"/>
        <w:ind w:firstLine="480" w:firstLineChars="200"/>
        <w:rPr>
          <w:sz w:val="24"/>
          <w:highlight w:val="none"/>
        </w:rPr>
      </w:pPr>
      <w:r>
        <w:rPr>
          <w:sz w:val="24"/>
          <w:highlight w:val="none"/>
        </w:rPr>
        <w:t>4</w:t>
      </w:r>
      <w:r>
        <w:rPr>
          <w:rFonts w:hint="eastAsia"/>
          <w:sz w:val="24"/>
          <w:highlight w:val="none"/>
        </w:rPr>
        <w:t>、《政府采购促进中小企业发展管理办法》（财库〔2020〕46号）</w:t>
      </w:r>
      <w:r>
        <w:rPr>
          <w:sz w:val="24"/>
          <w:highlight w:val="none"/>
        </w:rPr>
        <w:t xml:space="preserve">； </w:t>
      </w:r>
    </w:p>
    <w:p>
      <w:pPr>
        <w:spacing w:line="360" w:lineRule="auto"/>
        <w:ind w:firstLine="480" w:firstLineChars="200"/>
        <w:rPr>
          <w:sz w:val="24"/>
          <w:highlight w:val="none"/>
        </w:rPr>
      </w:pPr>
      <w:r>
        <w:rPr>
          <w:sz w:val="24"/>
          <w:highlight w:val="none"/>
        </w:rPr>
        <w:t>5</w:t>
      </w:r>
      <w:r>
        <w:rPr>
          <w:rFonts w:hint="eastAsia"/>
          <w:sz w:val="24"/>
          <w:highlight w:val="none"/>
        </w:rPr>
        <w:t>、</w:t>
      </w:r>
      <w:r>
        <w:rPr>
          <w:sz w:val="24"/>
          <w:highlight w:val="none"/>
        </w:rPr>
        <w:t xml:space="preserve">《财政部司法部关于政府采购支持监狱企业发展有关问题的通知》（财库〔2014〕68号）； </w:t>
      </w:r>
    </w:p>
    <w:p>
      <w:pPr>
        <w:spacing w:line="360" w:lineRule="auto"/>
        <w:ind w:firstLine="480" w:firstLineChars="200"/>
        <w:rPr>
          <w:sz w:val="24"/>
          <w:highlight w:val="none"/>
        </w:rPr>
      </w:pPr>
      <w:r>
        <w:rPr>
          <w:sz w:val="24"/>
          <w:highlight w:val="none"/>
        </w:rPr>
        <w:t>6</w:t>
      </w:r>
      <w:r>
        <w:rPr>
          <w:rFonts w:hint="eastAsia"/>
          <w:sz w:val="24"/>
          <w:highlight w:val="none"/>
        </w:rPr>
        <w:t>、</w:t>
      </w:r>
      <w:r>
        <w:rPr>
          <w:sz w:val="24"/>
          <w:highlight w:val="none"/>
        </w:rPr>
        <w:t xml:space="preserve">《三部门联合发布关于促进残疾人就业政府采购政策的通知》（财库〔2017〕141号）； </w:t>
      </w:r>
    </w:p>
    <w:p>
      <w:pPr>
        <w:spacing w:line="360" w:lineRule="auto"/>
        <w:ind w:firstLine="480" w:firstLineChars="200"/>
        <w:rPr>
          <w:sz w:val="24"/>
          <w:highlight w:val="none"/>
        </w:rPr>
      </w:pPr>
      <w:r>
        <w:rPr>
          <w:sz w:val="24"/>
          <w:highlight w:val="none"/>
        </w:rPr>
        <w:t>7</w:t>
      </w:r>
      <w:r>
        <w:rPr>
          <w:rFonts w:hint="eastAsia"/>
          <w:sz w:val="24"/>
          <w:highlight w:val="none"/>
        </w:rPr>
        <w:t>、</w:t>
      </w:r>
      <w:r>
        <w:rPr>
          <w:sz w:val="24"/>
          <w:highlight w:val="none"/>
        </w:rPr>
        <w:t>《财政部 发展改革委 生态环境部 市场监管总局关于调整优化节能产品、环境标志产品政府采购执行机制的通知》（财库〔2019〕9号）</w:t>
      </w:r>
      <w:r>
        <w:rPr>
          <w:rFonts w:hint="eastAsia"/>
          <w:sz w:val="24"/>
          <w:highlight w:val="none"/>
        </w:rPr>
        <w:t>；</w:t>
      </w:r>
    </w:p>
    <w:p>
      <w:pPr>
        <w:spacing w:line="360" w:lineRule="auto"/>
        <w:ind w:firstLine="480" w:firstLineChars="200"/>
        <w:rPr>
          <w:sz w:val="24"/>
          <w:highlight w:val="none"/>
        </w:rPr>
      </w:pPr>
      <w:r>
        <w:rPr>
          <w:sz w:val="24"/>
          <w:highlight w:val="none"/>
        </w:rPr>
        <w:t>8</w:t>
      </w:r>
      <w:r>
        <w:rPr>
          <w:rFonts w:hint="eastAsia"/>
          <w:sz w:val="24"/>
          <w:highlight w:val="none"/>
        </w:rPr>
        <w:t>、</w:t>
      </w:r>
      <w:r>
        <w:rPr>
          <w:sz w:val="24"/>
          <w:highlight w:val="none"/>
        </w:rPr>
        <w:t>《财政部 国务院扶贫办关于运用政府采购政策支持脱贫攻坚的通知》（财库〔2019〕27号）。</w:t>
      </w:r>
    </w:p>
    <w:p>
      <w:pPr>
        <w:spacing w:line="360" w:lineRule="auto"/>
        <w:ind w:firstLine="480" w:firstLineChars="200"/>
        <w:rPr>
          <w:color w:val="000000"/>
          <w:sz w:val="24"/>
          <w:highlight w:val="none"/>
        </w:rPr>
      </w:pPr>
      <w:r>
        <w:rPr>
          <w:color w:val="000000"/>
          <w:sz w:val="24"/>
          <w:highlight w:val="none"/>
        </w:rPr>
        <w:t>八、</w:t>
      </w:r>
      <w:r>
        <w:rPr>
          <w:rFonts w:hint="eastAsia"/>
          <w:color w:val="000000"/>
          <w:sz w:val="24"/>
          <w:highlight w:val="none"/>
        </w:rPr>
        <w:t>磋商</w:t>
      </w:r>
      <w:r>
        <w:rPr>
          <w:color w:val="000000"/>
          <w:sz w:val="24"/>
          <w:highlight w:val="none"/>
        </w:rPr>
        <w:t>文件发售：</w:t>
      </w:r>
    </w:p>
    <w:p>
      <w:pPr>
        <w:spacing w:line="360" w:lineRule="auto"/>
        <w:ind w:firstLine="480" w:firstLineChars="200"/>
        <w:rPr>
          <w:color w:val="000000"/>
          <w:sz w:val="24"/>
          <w:highlight w:val="none"/>
        </w:rPr>
      </w:pPr>
      <w:r>
        <w:rPr>
          <w:color w:val="000000"/>
          <w:sz w:val="24"/>
          <w:highlight w:val="none"/>
        </w:rPr>
        <w:t>1、发售时间：</w:t>
      </w:r>
      <w:r>
        <w:rPr>
          <w:rFonts w:hint="eastAsia"/>
          <w:color w:val="000000"/>
          <w:sz w:val="24"/>
          <w:highlight w:val="none"/>
        </w:rPr>
        <w:t>2021年5月1</w:t>
      </w:r>
      <w:r>
        <w:rPr>
          <w:rFonts w:hint="eastAsia"/>
          <w:color w:val="000000"/>
          <w:sz w:val="24"/>
          <w:highlight w:val="none"/>
          <w:lang w:val="en-US" w:eastAsia="zh-CN"/>
        </w:rPr>
        <w:t>8</w:t>
      </w:r>
      <w:r>
        <w:rPr>
          <w:rFonts w:hint="eastAsia"/>
          <w:color w:val="000000"/>
          <w:sz w:val="24"/>
          <w:highlight w:val="none"/>
        </w:rPr>
        <w:t xml:space="preserve"> 日至2021年 5月2</w:t>
      </w:r>
      <w:r>
        <w:rPr>
          <w:rFonts w:hint="eastAsia"/>
          <w:color w:val="000000"/>
          <w:sz w:val="24"/>
          <w:highlight w:val="none"/>
          <w:lang w:val="en-US" w:eastAsia="zh-CN"/>
        </w:rPr>
        <w:t>5</w:t>
      </w:r>
      <w:r>
        <w:rPr>
          <w:rFonts w:hint="eastAsia"/>
          <w:color w:val="000000"/>
          <w:sz w:val="24"/>
          <w:highlight w:val="none"/>
        </w:rPr>
        <w:t>日（节假日除外），每日</w:t>
      </w:r>
    </w:p>
    <w:p>
      <w:pPr>
        <w:spacing w:line="360" w:lineRule="auto"/>
        <w:rPr>
          <w:color w:val="000000"/>
          <w:sz w:val="24"/>
          <w:highlight w:val="none"/>
        </w:rPr>
      </w:pPr>
      <w:r>
        <w:rPr>
          <w:rFonts w:hint="eastAsia"/>
          <w:color w:val="000000"/>
          <w:sz w:val="24"/>
          <w:highlight w:val="none"/>
        </w:rPr>
        <w:t>9：00-17：00止（北京时间）</w:t>
      </w:r>
      <w:r>
        <w:rPr>
          <w:color w:val="000000"/>
          <w:sz w:val="24"/>
          <w:highlight w:val="none"/>
        </w:rPr>
        <w:t>；</w:t>
      </w:r>
    </w:p>
    <w:p>
      <w:pPr>
        <w:spacing w:line="360" w:lineRule="auto"/>
        <w:ind w:firstLine="480" w:firstLineChars="200"/>
        <w:rPr>
          <w:color w:val="000000"/>
          <w:sz w:val="24"/>
          <w:highlight w:val="none"/>
        </w:rPr>
      </w:pPr>
      <w:r>
        <w:rPr>
          <w:color w:val="000000"/>
          <w:sz w:val="24"/>
          <w:highlight w:val="none"/>
        </w:rPr>
        <w:t>2、发售地点：</w:t>
      </w:r>
      <w:r>
        <w:rPr>
          <w:rFonts w:hint="eastAsia"/>
          <w:color w:val="000000"/>
          <w:sz w:val="24"/>
          <w:highlight w:val="none"/>
        </w:rPr>
        <w:t>西安曲江新区翠华路500号佳和中心B座20层2号</w:t>
      </w:r>
      <w:r>
        <w:rPr>
          <w:color w:val="000000"/>
          <w:kern w:val="0"/>
          <w:sz w:val="24"/>
          <w:highlight w:val="none"/>
        </w:rPr>
        <w:t>；</w:t>
      </w:r>
    </w:p>
    <w:p>
      <w:pPr>
        <w:spacing w:line="360" w:lineRule="auto"/>
        <w:ind w:firstLine="480" w:firstLineChars="200"/>
        <w:rPr>
          <w:color w:val="000000"/>
          <w:sz w:val="24"/>
          <w:highlight w:val="none"/>
        </w:rPr>
      </w:pPr>
      <w:r>
        <w:rPr>
          <w:color w:val="000000"/>
          <w:sz w:val="24"/>
          <w:highlight w:val="none"/>
        </w:rPr>
        <w:t>3、文件售价：</w:t>
      </w:r>
      <w:r>
        <w:rPr>
          <w:rFonts w:hint="eastAsia"/>
          <w:color w:val="000000"/>
          <w:sz w:val="24"/>
          <w:highlight w:val="none"/>
        </w:rPr>
        <w:t>磋商</w:t>
      </w:r>
      <w:r>
        <w:rPr>
          <w:color w:val="000000"/>
          <w:sz w:val="24"/>
          <w:highlight w:val="none"/>
        </w:rPr>
        <w:t>文件售价500元/份。售后不退</w:t>
      </w:r>
      <w:r>
        <w:rPr>
          <w:rFonts w:hint="eastAsia"/>
          <w:color w:val="000000"/>
          <w:sz w:val="24"/>
          <w:highlight w:val="none"/>
        </w:rPr>
        <w:t>。转账方式：现金或公户转账</w:t>
      </w:r>
    </w:p>
    <w:p>
      <w:pPr>
        <w:spacing w:line="360" w:lineRule="auto"/>
        <w:ind w:firstLine="480" w:firstLineChars="200"/>
        <w:rPr>
          <w:highlight w:val="none"/>
        </w:rPr>
      </w:pPr>
      <w:r>
        <w:rPr>
          <w:color w:val="000000"/>
          <w:sz w:val="24"/>
          <w:highlight w:val="none"/>
        </w:rPr>
        <w:t>4、</w:t>
      </w:r>
      <w:r>
        <w:rPr>
          <w:rFonts w:hint="eastAsia" w:ascii="宋体" w:hAnsi="宋体" w:cs="宋体"/>
          <w:color w:val="121212"/>
          <w:kern w:val="0"/>
          <w:sz w:val="24"/>
          <w:szCs w:val="24"/>
          <w:highlight w:val="none"/>
          <w:lang w:bidi="ar"/>
        </w:rPr>
        <w:t>获取方式：</w:t>
      </w:r>
      <w:r>
        <w:rPr>
          <w:sz w:val="24"/>
          <w:highlight w:val="none"/>
        </w:rPr>
        <w:t>购买</w:t>
      </w:r>
      <w:r>
        <w:rPr>
          <w:rFonts w:hint="eastAsia"/>
          <w:sz w:val="24"/>
          <w:highlight w:val="none"/>
        </w:rPr>
        <w:t>招标</w:t>
      </w:r>
      <w:r>
        <w:rPr>
          <w:sz w:val="24"/>
          <w:highlight w:val="none"/>
        </w:rPr>
        <w:t>文件请携带单位介绍信原件、经办人身份证原件及加盖</w:t>
      </w:r>
      <w:r>
        <w:rPr>
          <w:rFonts w:hint="eastAsia"/>
          <w:sz w:val="24"/>
          <w:highlight w:val="none"/>
        </w:rPr>
        <w:t>供应商</w:t>
      </w:r>
      <w:r>
        <w:rPr>
          <w:sz w:val="24"/>
          <w:highlight w:val="none"/>
        </w:rPr>
        <w:t>公章的复印件。</w:t>
      </w:r>
    </w:p>
    <w:p>
      <w:pPr>
        <w:spacing w:line="360" w:lineRule="auto"/>
        <w:ind w:firstLine="480" w:firstLineChars="200"/>
        <w:rPr>
          <w:color w:val="000000"/>
          <w:sz w:val="24"/>
          <w:highlight w:val="none"/>
        </w:rPr>
      </w:pPr>
      <w:r>
        <w:rPr>
          <w:color w:val="000000"/>
          <w:sz w:val="24"/>
          <w:highlight w:val="none"/>
        </w:rPr>
        <w:t>九、</w:t>
      </w:r>
      <w:r>
        <w:rPr>
          <w:rFonts w:hint="eastAsia"/>
          <w:color w:val="000000"/>
          <w:sz w:val="24"/>
          <w:highlight w:val="none"/>
        </w:rPr>
        <w:t>磋商</w:t>
      </w:r>
      <w:r>
        <w:rPr>
          <w:color w:val="000000"/>
          <w:sz w:val="24"/>
          <w:highlight w:val="none"/>
        </w:rPr>
        <w:t>响应文件递交截止时间及</w:t>
      </w:r>
      <w:r>
        <w:rPr>
          <w:rFonts w:hint="eastAsia"/>
          <w:color w:val="000000"/>
          <w:sz w:val="24"/>
          <w:highlight w:val="none"/>
        </w:rPr>
        <w:t>磋商</w:t>
      </w:r>
      <w:r>
        <w:rPr>
          <w:color w:val="000000"/>
          <w:sz w:val="24"/>
          <w:highlight w:val="none"/>
        </w:rPr>
        <w:t>时间和地点：</w:t>
      </w:r>
    </w:p>
    <w:p>
      <w:pPr>
        <w:spacing w:line="360" w:lineRule="auto"/>
        <w:ind w:firstLine="480" w:firstLineChars="200"/>
        <w:rPr>
          <w:sz w:val="24"/>
          <w:highlight w:val="none"/>
        </w:rPr>
      </w:pPr>
      <w:bookmarkStart w:id="2" w:name="_Toc28421"/>
      <w:r>
        <w:rPr>
          <w:sz w:val="24"/>
          <w:highlight w:val="none"/>
        </w:rPr>
        <w:t>1、</w:t>
      </w:r>
      <w:r>
        <w:rPr>
          <w:rFonts w:hint="eastAsia"/>
          <w:sz w:val="24"/>
          <w:highlight w:val="none"/>
        </w:rPr>
        <w:t>磋商</w:t>
      </w:r>
      <w:r>
        <w:rPr>
          <w:sz w:val="24"/>
          <w:highlight w:val="none"/>
        </w:rPr>
        <w:t>响应文件递交截止时间：20</w:t>
      </w:r>
      <w:r>
        <w:rPr>
          <w:rFonts w:hint="eastAsia"/>
          <w:sz w:val="24"/>
          <w:highlight w:val="none"/>
        </w:rPr>
        <w:t>21</w:t>
      </w:r>
      <w:r>
        <w:rPr>
          <w:sz w:val="24"/>
          <w:highlight w:val="none"/>
        </w:rPr>
        <w:t>年</w:t>
      </w:r>
      <w:r>
        <w:rPr>
          <w:rFonts w:hint="eastAsia"/>
          <w:sz w:val="24"/>
          <w:highlight w:val="none"/>
          <w:lang w:val="en-US" w:eastAsia="zh-CN"/>
        </w:rPr>
        <w:t>6</w:t>
      </w:r>
      <w:r>
        <w:rPr>
          <w:sz w:val="24"/>
          <w:highlight w:val="none"/>
        </w:rPr>
        <w:t>月</w:t>
      </w:r>
      <w:r>
        <w:rPr>
          <w:rFonts w:hint="eastAsia"/>
          <w:sz w:val="24"/>
          <w:highlight w:val="none"/>
          <w:lang w:val="en-US" w:eastAsia="zh-CN"/>
        </w:rPr>
        <w:t>1</w:t>
      </w:r>
      <w:r>
        <w:rPr>
          <w:sz w:val="24"/>
          <w:highlight w:val="none"/>
        </w:rPr>
        <w:t>日</w:t>
      </w:r>
      <w:r>
        <w:rPr>
          <w:rFonts w:hint="eastAsia"/>
          <w:sz w:val="24"/>
          <w:highlight w:val="none"/>
        </w:rPr>
        <w:t>14</w:t>
      </w:r>
      <w:r>
        <w:rPr>
          <w:sz w:val="24"/>
          <w:highlight w:val="none"/>
        </w:rPr>
        <w:t>：</w:t>
      </w:r>
      <w:r>
        <w:rPr>
          <w:rFonts w:hint="eastAsia"/>
          <w:sz w:val="24"/>
          <w:highlight w:val="none"/>
        </w:rPr>
        <w:t>0</w:t>
      </w:r>
      <w:r>
        <w:rPr>
          <w:sz w:val="24"/>
          <w:highlight w:val="none"/>
        </w:rPr>
        <w:t>0（北京时间）；</w:t>
      </w:r>
    </w:p>
    <w:p>
      <w:pPr>
        <w:spacing w:line="360" w:lineRule="auto"/>
        <w:ind w:firstLine="480" w:firstLineChars="200"/>
        <w:rPr>
          <w:sz w:val="24"/>
          <w:highlight w:val="none"/>
        </w:rPr>
      </w:pPr>
      <w:r>
        <w:rPr>
          <w:sz w:val="24"/>
          <w:highlight w:val="none"/>
        </w:rPr>
        <w:t>2、</w:t>
      </w:r>
      <w:r>
        <w:rPr>
          <w:rFonts w:hint="eastAsia"/>
          <w:sz w:val="24"/>
          <w:highlight w:val="none"/>
        </w:rPr>
        <w:t>磋商</w:t>
      </w:r>
      <w:r>
        <w:rPr>
          <w:sz w:val="24"/>
          <w:highlight w:val="none"/>
        </w:rPr>
        <w:t>时间：20</w:t>
      </w:r>
      <w:r>
        <w:rPr>
          <w:rFonts w:hint="eastAsia"/>
          <w:sz w:val="24"/>
          <w:highlight w:val="none"/>
        </w:rPr>
        <w:t>21</w:t>
      </w:r>
      <w:r>
        <w:rPr>
          <w:sz w:val="24"/>
          <w:highlight w:val="none"/>
        </w:rPr>
        <w:t>年</w:t>
      </w:r>
      <w:r>
        <w:rPr>
          <w:rFonts w:hint="eastAsia"/>
          <w:sz w:val="24"/>
          <w:highlight w:val="none"/>
          <w:lang w:val="en-US" w:eastAsia="zh-CN"/>
        </w:rPr>
        <w:t>6</w:t>
      </w:r>
      <w:r>
        <w:rPr>
          <w:sz w:val="24"/>
          <w:highlight w:val="none"/>
        </w:rPr>
        <w:t>月</w:t>
      </w:r>
      <w:r>
        <w:rPr>
          <w:rFonts w:hint="eastAsia"/>
          <w:sz w:val="24"/>
          <w:highlight w:val="none"/>
        </w:rPr>
        <w:t xml:space="preserve"> </w:t>
      </w:r>
      <w:r>
        <w:rPr>
          <w:rFonts w:hint="eastAsia"/>
          <w:sz w:val="24"/>
          <w:highlight w:val="none"/>
          <w:lang w:val="en-US" w:eastAsia="zh-CN"/>
        </w:rPr>
        <w:t>1</w:t>
      </w:r>
      <w:r>
        <w:rPr>
          <w:sz w:val="24"/>
          <w:highlight w:val="none"/>
        </w:rPr>
        <w:t>日1</w:t>
      </w:r>
      <w:r>
        <w:rPr>
          <w:rFonts w:hint="eastAsia"/>
          <w:sz w:val="24"/>
          <w:highlight w:val="none"/>
        </w:rPr>
        <w:t>4</w:t>
      </w:r>
      <w:r>
        <w:rPr>
          <w:sz w:val="24"/>
          <w:highlight w:val="none"/>
        </w:rPr>
        <w:t>：</w:t>
      </w:r>
      <w:r>
        <w:rPr>
          <w:rFonts w:hint="eastAsia"/>
          <w:sz w:val="24"/>
          <w:highlight w:val="none"/>
        </w:rPr>
        <w:t>0</w:t>
      </w:r>
      <w:r>
        <w:rPr>
          <w:sz w:val="24"/>
          <w:highlight w:val="none"/>
        </w:rPr>
        <w:t>0（北京时间）；</w:t>
      </w:r>
    </w:p>
    <w:p>
      <w:pPr>
        <w:spacing w:line="360" w:lineRule="auto"/>
        <w:ind w:firstLine="480" w:firstLineChars="200"/>
        <w:rPr>
          <w:sz w:val="24"/>
          <w:highlight w:val="none"/>
        </w:rPr>
      </w:pPr>
      <w:r>
        <w:rPr>
          <w:sz w:val="24"/>
          <w:highlight w:val="none"/>
        </w:rPr>
        <w:t>3、</w:t>
      </w:r>
      <w:r>
        <w:rPr>
          <w:rFonts w:hint="eastAsia"/>
          <w:sz w:val="24"/>
          <w:highlight w:val="none"/>
        </w:rPr>
        <w:t>磋商</w:t>
      </w:r>
      <w:r>
        <w:rPr>
          <w:sz w:val="24"/>
          <w:highlight w:val="none"/>
        </w:rPr>
        <w:t>地点</w:t>
      </w:r>
      <w:bookmarkStart w:id="3" w:name="_Toc7817"/>
      <w:bookmarkStart w:id="4" w:name="_Toc386032657"/>
      <w:bookmarkStart w:id="5" w:name="_Toc2549"/>
      <w:bookmarkStart w:id="6" w:name="_Toc3087"/>
      <w:bookmarkStart w:id="7" w:name="_Toc5731"/>
      <w:bookmarkStart w:id="8" w:name="_Toc18532"/>
      <w:bookmarkStart w:id="9" w:name="_Toc389582034"/>
      <w:bookmarkStart w:id="10" w:name="_Toc22127"/>
      <w:r>
        <w:rPr>
          <w:sz w:val="24"/>
          <w:highlight w:val="none"/>
        </w:rPr>
        <w:t>：</w:t>
      </w:r>
      <w:r>
        <w:rPr>
          <w:rFonts w:hint="eastAsia"/>
          <w:sz w:val="24"/>
          <w:highlight w:val="none"/>
        </w:rPr>
        <w:t>西安曲江新区翠华路500号佳和中心B座20层2号</w:t>
      </w:r>
    </w:p>
    <w:p>
      <w:pPr>
        <w:spacing w:line="360" w:lineRule="auto"/>
        <w:ind w:firstLine="480" w:firstLineChars="200"/>
        <w:rPr>
          <w:sz w:val="24"/>
          <w:highlight w:val="none"/>
        </w:rPr>
      </w:pPr>
      <w:r>
        <w:rPr>
          <w:sz w:val="24"/>
          <w:highlight w:val="none"/>
        </w:rPr>
        <w:t>十、其他应说明的事项</w:t>
      </w:r>
      <w:bookmarkEnd w:id="3"/>
      <w:bookmarkEnd w:id="4"/>
      <w:bookmarkEnd w:id="5"/>
      <w:bookmarkEnd w:id="6"/>
      <w:bookmarkEnd w:id="7"/>
      <w:bookmarkEnd w:id="8"/>
      <w:bookmarkEnd w:id="9"/>
      <w:bookmarkEnd w:id="10"/>
      <w:r>
        <w:rPr>
          <w:sz w:val="24"/>
          <w:highlight w:val="none"/>
        </w:rPr>
        <w:t>：</w:t>
      </w:r>
    </w:p>
    <w:p>
      <w:pPr>
        <w:spacing w:line="360" w:lineRule="auto"/>
        <w:ind w:firstLine="480" w:firstLineChars="200"/>
        <w:rPr>
          <w:sz w:val="24"/>
          <w:szCs w:val="22"/>
          <w:highlight w:val="none"/>
        </w:rPr>
      </w:pPr>
      <w:r>
        <w:rPr>
          <w:sz w:val="24"/>
          <w:szCs w:val="22"/>
          <w:highlight w:val="none"/>
        </w:rPr>
        <w:t>1、采购代理机构联系方式：</w:t>
      </w:r>
      <w:r>
        <w:rPr>
          <w:rFonts w:hint="eastAsia"/>
          <w:sz w:val="24"/>
          <w:szCs w:val="22"/>
          <w:highlight w:val="none"/>
        </w:rPr>
        <w:t>刘</w:t>
      </w:r>
      <w:r>
        <w:rPr>
          <w:sz w:val="24"/>
          <w:szCs w:val="22"/>
          <w:highlight w:val="none"/>
        </w:rPr>
        <w:t xml:space="preserve">工  </w:t>
      </w:r>
      <w:r>
        <w:rPr>
          <w:rFonts w:hint="eastAsia"/>
          <w:sz w:val="24"/>
          <w:szCs w:val="22"/>
          <w:highlight w:val="none"/>
        </w:rPr>
        <w:t>029-89660303</w:t>
      </w:r>
    </w:p>
    <w:p>
      <w:pPr>
        <w:spacing w:line="360" w:lineRule="auto"/>
        <w:ind w:firstLine="480" w:firstLineChars="200"/>
        <w:rPr>
          <w:sz w:val="24"/>
          <w:szCs w:val="22"/>
          <w:highlight w:val="none"/>
          <w:lang w:val="zh-CN"/>
        </w:rPr>
      </w:pPr>
      <w:r>
        <w:rPr>
          <w:sz w:val="24"/>
          <w:szCs w:val="22"/>
          <w:highlight w:val="none"/>
          <w:lang w:val="zh-CN"/>
        </w:rPr>
        <w:t>2、开户名称：陕西中天正略企业运营发展有限公司</w:t>
      </w:r>
    </w:p>
    <w:p>
      <w:pPr>
        <w:spacing w:line="360" w:lineRule="auto"/>
        <w:ind w:firstLine="480" w:firstLineChars="200"/>
        <w:rPr>
          <w:sz w:val="24"/>
          <w:szCs w:val="22"/>
          <w:highlight w:val="none"/>
          <w:lang w:val="zh-CN"/>
        </w:rPr>
      </w:pPr>
      <w:r>
        <w:rPr>
          <w:sz w:val="24"/>
          <w:szCs w:val="22"/>
          <w:highlight w:val="none"/>
          <w:lang w:val="zh-CN"/>
        </w:rPr>
        <w:t>3、开户银行：交通银行西安南二环支行</w:t>
      </w:r>
    </w:p>
    <w:p>
      <w:pPr>
        <w:spacing w:line="360" w:lineRule="auto"/>
        <w:ind w:firstLine="480" w:firstLineChars="200"/>
        <w:rPr>
          <w:sz w:val="24"/>
          <w:szCs w:val="22"/>
          <w:highlight w:val="none"/>
          <w:lang w:val="zh-CN"/>
        </w:rPr>
      </w:pPr>
      <w:r>
        <w:rPr>
          <w:sz w:val="24"/>
          <w:szCs w:val="22"/>
          <w:highlight w:val="none"/>
          <w:lang w:val="zh-CN"/>
        </w:rPr>
        <w:t xml:space="preserve">4、账 </w:t>
      </w:r>
      <w:r>
        <w:rPr>
          <w:sz w:val="24"/>
          <w:szCs w:val="22"/>
          <w:highlight w:val="none"/>
        </w:rPr>
        <w:t xml:space="preserve">   </w:t>
      </w:r>
      <w:r>
        <w:rPr>
          <w:sz w:val="24"/>
          <w:szCs w:val="22"/>
          <w:highlight w:val="none"/>
          <w:lang w:val="zh-CN"/>
        </w:rPr>
        <w:t>号：611301136013000210918</w:t>
      </w:r>
    </w:p>
    <w:p>
      <w:pPr>
        <w:spacing w:line="360" w:lineRule="auto"/>
        <w:ind w:firstLine="480" w:firstLineChars="200"/>
        <w:rPr>
          <w:sz w:val="24"/>
          <w:szCs w:val="22"/>
          <w:highlight w:val="none"/>
        </w:rPr>
      </w:pPr>
      <w:r>
        <w:rPr>
          <w:rFonts w:hint="eastAsia"/>
          <w:sz w:val="24"/>
          <w:szCs w:val="22"/>
          <w:highlight w:val="none"/>
        </w:rPr>
        <w:t>5、邮    箱：ztzl2019@163.com</w:t>
      </w:r>
    </w:p>
    <w:p>
      <w:pPr>
        <w:spacing w:line="360" w:lineRule="auto"/>
        <w:ind w:firstLine="480" w:firstLineChars="200"/>
        <w:rPr>
          <w:sz w:val="24"/>
          <w:szCs w:val="22"/>
          <w:highlight w:val="none"/>
        </w:rPr>
      </w:pPr>
    </w:p>
    <w:p>
      <w:pPr>
        <w:pStyle w:val="2"/>
        <w:rPr>
          <w:highlight w:val="none"/>
          <w:lang w:val="zh-CN"/>
        </w:rPr>
      </w:pPr>
    </w:p>
    <w:p>
      <w:pPr>
        <w:rPr>
          <w:rFonts w:ascii="Times New Roman" w:hAnsi="Times New Roman"/>
          <w:color w:val="000000"/>
          <w:highlight w:val="none"/>
        </w:rPr>
      </w:pPr>
      <w:r>
        <w:rPr>
          <w:rFonts w:ascii="Times New Roman" w:hAnsi="Times New Roman"/>
          <w:color w:val="000000"/>
          <w:highlight w:val="none"/>
        </w:rPr>
        <w:br w:type="page"/>
      </w:r>
    </w:p>
    <w:p>
      <w:pPr>
        <w:pStyle w:val="3"/>
        <w:keepNext/>
        <w:keepLines/>
        <w:spacing w:before="240" w:beforeLines="100" w:after="240" w:afterLines="100"/>
        <w:jc w:val="center"/>
        <w:rPr>
          <w:rFonts w:ascii="Times New Roman" w:hAnsi="Times New Roman"/>
          <w:color w:val="000000"/>
          <w:highlight w:val="none"/>
        </w:rPr>
      </w:pPr>
      <w:r>
        <w:rPr>
          <w:rFonts w:ascii="Times New Roman" w:hAnsi="Times New Roman"/>
          <w:color w:val="000000"/>
          <w:highlight w:val="none"/>
        </w:rPr>
        <w:t>第二</w:t>
      </w:r>
      <w:r>
        <w:rPr>
          <w:rFonts w:hint="eastAsia" w:ascii="Times New Roman" w:hAnsi="Times New Roman"/>
          <w:color w:val="000000"/>
          <w:highlight w:val="none"/>
        </w:rPr>
        <w:t>章</w:t>
      </w:r>
      <w:r>
        <w:rPr>
          <w:rFonts w:ascii="Times New Roman" w:hAnsi="Times New Roman"/>
          <w:color w:val="000000"/>
          <w:highlight w:val="none"/>
        </w:rPr>
        <w:t xml:space="preserve">  供应商须知</w:t>
      </w:r>
      <w:bookmarkEnd w:id="2"/>
      <w:bookmarkStart w:id="11" w:name="_Toc184283909"/>
      <w:bookmarkStart w:id="12" w:name="_Toc184274915"/>
    </w:p>
    <w:p>
      <w:pPr>
        <w:pStyle w:val="4"/>
        <w:keepNext/>
        <w:keepLines/>
        <w:rPr>
          <w:rFonts w:ascii="Times New Roman" w:hAnsi="Times New Roman"/>
          <w:color w:val="000000"/>
          <w:highlight w:val="none"/>
        </w:rPr>
      </w:pPr>
      <w:bookmarkStart w:id="13" w:name="_Toc189727030"/>
      <w:bookmarkStart w:id="14" w:name="_Toc213496268"/>
      <w:bookmarkStart w:id="15" w:name="_Toc485883199"/>
      <w:bookmarkStart w:id="16" w:name="_Toc213396760"/>
      <w:bookmarkStart w:id="17" w:name="_Toc217446032"/>
      <w:bookmarkStart w:id="18" w:name="_Toc213397010"/>
      <w:bookmarkStart w:id="19" w:name="_Toc213396946"/>
      <w:r>
        <w:rPr>
          <w:rFonts w:ascii="Times New Roman" w:hAnsi="Times New Roman"/>
          <w:color w:val="000000"/>
          <w:highlight w:val="none"/>
        </w:rPr>
        <w:t>供应商须知前列表</w:t>
      </w:r>
      <w:bookmarkEnd w:id="11"/>
      <w:bookmarkEnd w:id="12"/>
      <w:bookmarkEnd w:id="13"/>
      <w:bookmarkEnd w:id="14"/>
      <w:bookmarkEnd w:id="15"/>
      <w:bookmarkEnd w:id="16"/>
      <w:bookmarkEnd w:id="17"/>
      <w:bookmarkEnd w:id="18"/>
      <w:bookmarkEnd w:id="19"/>
    </w:p>
    <w:tbl>
      <w:tblPr>
        <w:tblStyle w:val="16"/>
        <w:tblW w:w="91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8"/>
        <w:gridCol w:w="2055"/>
        <w:gridCol w:w="6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exact"/>
          <w:tblHeader/>
          <w:jc w:val="center"/>
        </w:trPr>
        <w:tc>
          <w:tcPr>
            <w:tcW w:w="648" w:type="dxa"/>
            <w:vAlign w:val="center"/>
          </w:tcPr>
          <w:p>
            <w:pPr>
              <w:pStyle w:val="20"/>
              <w:ind w:left="9"/>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序号</w:t>
            </w:r>
          </w:p>
        </w:tc>
        <w:tc>
          <w:tcPr>
            <w:tcW w:w="2055" w:type="dxa"/>
            <w:vAlign w:val="center"/>
          </w:tcPr>
          <w:p>
            <w:pPr>
              <w:pStyle w:val="20"/>
              <w:ind w:left="38"/>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内容</w:t>
            </w:r>
          </w:p>
        </w:tc>
        <w:tc>
          <w:tcPr>
            <w:tcW w:w="6433"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1" w:hRule="atLeast"/>
          <w:jc w:val="center"/>
        </w:trPr>
        <w:tc>
          <w:tcPr>
            <w:tcW w:w="648" w:type="dxa"/>
            <w:vAlign w:val="center"/>
          </w:tcPr>
          <w:p>
            <w:pPr>
              <w:pStyle w:val="20"/>
              <w:tabs>
                <w:tab w:val="left" w:pos="640"/>
              </w:tabs>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1、</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采购人</w:t>
            </w:r>
          </w:p>
        </w:tc>
        <w:tc>
          <w:tcPr>
            <w:tcW w:w="6433" w:type="dxa"/>
            <w:vAlign w:val="center"/>
          </w:tcPr>
          <w:p>
            <w:pPr>
              <w:ind w:firstLine="210" w:firstLineChars="100"/>
              <w:rPr>
                <w:color w:val="000000"/>
                <w:kern w:val="0"/>
                <w:szCs w:val="21"/>
                <w:highlight w:val="none"/>
                <w:lang w:val="zh-CN"/>
              </w:rPr>
            </w:pPr>
            <w:r>
              <w:rPr>
                <w:color w:val="000000"/>
                <w:szCs w:val="21"/>
                <w:highlight w:val="none"/>
                <w:lang w:val="zh-CN"/>
              </w:rPr>
              <w:t xml:space="preserve">名  </w:t>
            </w:r>
            <w:r>
              <w:rPr>
                <w:rFonts w:hint="eastAsia"/>
                <w:color w:val="000000"/>
                <w:kern w:val="0"/>
                <w:szCs w:val="21"/>
                <w:highlight w:val="none"/>
                <w:lang w:val="zh-CN"/>
              </w:rPr>
              <w:t>称：武功县信息化工作办公室</w:t>
            </w:r>
          </w:p>
          <w:p>
            <w:pPr>
              <w:ind w:firstLine="210" w:firstLineChars="100"/>
              <w:rPr>
                <w:color w:val="000000"/>
                <w:kern w:val="0"/>
                <w:szCs w:val="21"/>
                <w:highlight w:val="none"/>
                <w:lang w:val="zh-CN"/>
              </w:rPr>
            </w:pPr>
            <w:r>
              <w:rPr>
                <w:rFonts w:hint="eastAsia"/>
                <w:color w:val="000000"/>
                <w:kern w:val="0"/>
                <w:szCs w:val="21"/>
                <w:highlight w:val="none"/>
                <w:lang w:val="zh-CN"/>
              </w:rPr>
              <w:t>地  址：武功县新电信局四楼</w:t>
            </w:r>
          </w:p>
          <w:p>
            <w:pPr>
              <w:ind w:firstLine="210" w:firstLineChars="100"/>
              <w:rPr>
                <w:color w:val="000000"/>
                <w:kern w:val="0"/>
                <w:szCs w:val="21"/>
                <w:highlight w:val="none"/>
                <w:lang w:val="zh-CN"/>
              </w:rPr>
            </w:pPr>
            <w:r>
              <w:rPr>
                <w:rFonts w:hint="eastAsia"/>
                <w:color w:val="000000"/>
                <w:kern w:val="0"/>
                <w:szCs w:val="21"/>
                <w:highlight w:val="none"/>
                <w:lang w:val="zh-CN"/>
              </w:rPr>
              <w:t>联系人：</w:t>
            </w:r>
            <w:r>
              <w:rPr>
                <w:rFonts w:hint="eastAsia"/>
                <w:color w:val="000000"/>
                <w:kern w:val="0"/>
                <w:szCs w:val="21"/>
                <w:highlight w:val="none"/>
                <w:lang w:eastAsia="zh-CN"/>
              </w:rPr>
              <w:t>刘主任</w:t>
            </w:r>
            <w:r>
              <w:rPr>
                <w:rFonts w:hint="eastAsia"/>
                <w:color w:val="000000"/>
                <w:kern w:val="0"/>
                <w:szCs w:val="21"/>
                <w:highlight w:val="none"/>
                <w:lang w:val="zh-CN"/>
              </w:rPr>
              <w:t xml:space="preserve"> </w:t>
            </w:r>
          </w:p>
          <w:p>
            <w:pPr>
              <w:ind w:firstLine="210" w:firstLineChars="100"/>
              <w:rPr>
                <w:color w:val="000000"/>
                <w:szCs w:val="21"/>
                <w:highlight w:val="none"/>
                <w:lang w:val="zh-CN"/>
              </w:rPr>
            </w:pPr>
            <w:r>
              <w:rPr>
                <w:rFonts w:hint="eastAsia"/>
                <w:color w:val="000000"/>
                <w:kern w:val="0"/>
                <w:szCs w:val="21"/>
                <w:highlight w:val="none"/>
              </w:rPr>
              <w:t>电  话：</w:t>
            </w:r>
            <w:r>
              <w:rPr>
                <w:rFonts w:hint="eastAsia"/>
                <w:color w:val="000000"/>
                <w:kern w:val="0"/>
                <w:szCs w:val="21"/>
                <w:highlight w:val="none"/>
                <w:lang w:val="zh-CN"/>
              </w:rPr>
              <w:t>029-37292709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0"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2、</w:t>
            </w:r>
          </w:p>
        </w:tc>
        <w:tc>
          <w:tcPr>
            <w:tcW w:w="2055" w:type="dxa"/>
            <w:vAlign w:val="center"/>
          </w:tcPr>
          <w:p>
            <w:pPr>
              <w:pStyle w:val="20"/>
              <w:ind w:left="38"/>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采购代理机构</w:t>
            </w:r>
          </w:p>
        </w:tc>
        <w:tc>
          <w:tcPr>
            <w:tcW w:w="6433" w:type="dxa"/>
            <w:vAlign w:val="center"/>
          </w:tcPr>
          <w:p>
            <w:pPr>
              <w:ind w:firstLine="210" w:firstLineChars="100"/>
              <w:rPr>
                <w:highlight w:val="none"/>
                <w:lang w:val="zh-CN"/>
              </w:rPr>
            </w:pPr>
            <w:r>
              <w:rPr>
                <w:rFonts w:hint="eastAsia"/>
                <w:highlight w:val="none"/>
                <w:lang w:val="zh-CN"/>
              </w:rPr>
              <w:t>名  称：陕西中天正略企业运营发展有限公司</w:t>
            </w:r>
          </w:p>
          <w:p>
            <w:pPr>
              <w:ind w:firstLine="210" w:firstLineChars="100"/>
              <w:rPr>
                <w:highlight w:val="none"/>
              </w:rPr>
            </w:pPr>
            <w:r>
              <w:rPr>
                <w:rFonts w:hint="eastAsia"/>
                <w:highlight w:val="none"/>
                <w:lang w:val="zh-CN"/>
              </w:rPr>
              <w:t>地  址：西安曲江新区翠华路500号佳和中心B座20层2号、3号</w:t>
            </w:r>
          </w:p>
          <w:p>
            <w:pPr>
              <w:ind w:firstLine="210" w:firstLineChars="100"/>
              <w:rPr>
                <w:highlight w:val="none"/>
              </w:rPr>
            </w:pPr>
            <w:r>
              <w:rPr>
                <w:rFonts w:hint="eastAsia"/>
                <w:highlight w:val="none"/>
                <w:lang w:val="zh-CN"/>
              </w:rPr>
              <w:t>联系人：</w:t>
            </w:r>
            <w:r>
              <w:rPr>
                <w:rFonts w:hint="eastAsia"/>
                <w:highlight w:val="none"/>
              </w:rPr>
              <w:t>刘工029-89660303</w:t>
            </w:r>
          </w:p>
          <w:p>
            <w:pPr>
              <w:spacing w:line="360" w:lineRule="auto"/>
              <w:ind w:firstLine="210" w:firstLineChars="100"/>
              <w:rPr>
                <w:highlight w:val="none"/>
              </w:rPr>
            </w:pPr>
            <w:r>
              <w:rPr>
                <w:rFonts w:hint="eastAsia"/>
                <w:szCs w:val="22"/>
                <w:highlight w:val="none"/>
                <w:lang w:val="zh-CN"/>
              </w:rPr>
              <w:t>邮  箱：ztzl2019@163.com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exact"/>
          <w:jc w:val="center"/>
        </w:trPr>
        <w:tc>
          <w:tcPr>
            <w:tcW w:w="648" w:type="dxa"/>
            <w:vAlign w:val="center"/>
          </w:tcPr>
          <w:p>
            <w:pPr>
              <w:pStyle w:val="20"/>
              <w:tabs>
                <w:tab w:val="left" w:pos="840"/>
              </w:tabs>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3、</w:t>
            </w:r>
          </w:p>
        </w:tc>
        <w:tc>
          <w:tcPr>
            <w:tcW w:w="2055" w:type="dxa"/>
            <w:vAlign w:val="center"/>
          </w:tcPr>
          <w:p>
            <w:pPr>
              <w:pStyle w:val="20"/>
              <w:ind w:left="38"/>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采购项目名称</w:t>
            </w:r>
          </w:p>
        </w:tc>
        <w:tc>
          <w:tcPr>
            <w:tcW w:w="6433" w:type="dxa"/>
            <w:vAlign w:val="center"/>
          </w:tcPr>
          <w:p>
            <w:pPr>
              <w:ind w:firstLine="210" w:firstLineChars="100"/>
              <w:rPr>
                <w:rFonts w:hint="eastAsia" w:eastAsia="宋体"/>
                <w:color w:val="000000"/>
                <w:kern w:val="0"/>
                <w:szCs w:val="21"/>
                <w:highlight w:val="none"/>
                <w:lang w:val="zh-CN" w:eastAsia="zh-CN"/>
              </w:rPr>
            </w:pPr>
            <w:r>
              <w:rPr>
                <w:rFonts w:hint="eastAsia"/>
                <w:highlight w:val="none"/>
                <w:lang w:eastAsia="zh-CN"/>
              </w:rPr>
              <w:t>武功县政府门户网站升级改版项目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exac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4、</w:t>
            </w:r>
          </w:p>
        </w:tc>
        <w:tc>
          <w:tcPr>
            <w:tcW w:w="2055" w:type="dxa"/>
            <w:vAlign w:val="center"/>
          </w:tcPr>
          <w:p>
            <w:pPr>
              <w:pStyle w:val="20"/>
              <w:adjustRightInd/>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采购项目编号</w:t>
            </w:r>
          </w:p>
        </w:tc>
        <w:tc>
          <w:tcPr>
            <w:tcW w:w="6433" w:type="dxa"/>
            <w:vAlign w:val="center"/>
          </w:tcPr>
          <w:p>
            <w:pPr>
              <w:pStyle w:val="2"/>
              <w:jc w:val="both"/>
              <w:rPr>
                <w:rFonts w:hint="eastAsia" w:eastAsia="宋体"/>
                <w:color w:val="000000"/>
                <w:szCs w:val="21"/>
                <w:highlight w:val="none"/>
                <w:lang w:eastAsia="zh-CN"/>
              </w:rPr>
            </w:pPr>
            <w:r>
              <w:rPr>
                <w:color w:val="000000"/>
                <w:kern w:val="0"/>
                <w:szCs w:val="21"/>
                <w:highlight w:val="none"/>
                <w:lang w:val="zh-CN"/>
              </w:rPr>
              <w:t xml:space="preserve"> </w:t>
            </w:r>
            <w:r>
              <w:rPr>
                <w:rFonts w:hint="eastAsia"/>
                <w:color w:val="000000"/>
                <w:kern w:val="0"/>
                <w:szCs w:val="21"/>
                <w:highlight w:val="none"/>
                <w:lang w:eastAsia="zh-CN"/>
              </w:rPr>
              <w:t xml:space="preserve"> ZTZLZC-WG2021-0514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 w:hRule="exac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5、</w:t>
            </w:r>
          </w:p>
        </w:tc>
        <w:tc>
          <w:tcPr>
            <w:tcW w:w="2055" w:type="dxa"/>
            <w:vAlign w:val="center"/>
          </w:tcPr>
          <w:p>
            <w:pPr>
              <w:pStyle w:val="20"/>
              <w:ind w:left="38"/>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资金来源</w:t>
            </w:r>
          </w:p>
        </w:tc>
        <w:tc>
          <w:tcPr>
            <w:tcW w:w="6433" w:type="dxa"/>
            <w:vAlign w:val="center"/>
          </w:tcPr>
          <w:p>
            <w:pPr>
              <w:ind w:firstLine="105" w:firstLineChars="50"/>
              <w:rPr>
                <w:color w:val="000000"/>
                <w:szCs w:val="21"/>
                <w:highlight w:val="none"/>
              </w:rPr>
            </w:pPr>
            <w:r>
              <w:rPr>
                <w:color w:val="000000"/>
                <w:szCs w:val="21"/>
                <w:highlight w:val="none"/>
              </w:rPr>
              <w:t xml:space="preserve"> 财政</w:t>
            </w:r>
            <w:r>
              <w:rPr>
                <w:rFonts w:hint="eastAsia"/>
                <w:color w:val="000000"/>
                <w:szCs w:val="21"/>
                <w:highlight w:val="none"/>
              </w:rPr>
              <w:t>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exac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6、</w:t>
            </w:r>
          </w:p>
        </w:tc>
        <w:tc>
          <w:tcPr>
            <w:tcW w:w="2055" w:type="dxa"/>
            <w:vAlign w:val="center"/>
          </w:tcPr>
          <w:p>
            <w:pPr>
              <w:pStyle w:val="20"/>
              <w:ind w:left="38"/>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采购预算金额</w:t>
            </w:r>
          </w:p>
        </w:tc>
        <w:tc>
          <w:tcPr>
            <w:tcW w:w="6433" w:type="dxa"/>
            <w:vAlign w:val="center"/>
          </w:tcPr>
          <w:p>
            <w:pPr>
              <w:pStyle w:val="20"/>
              <w:adjustRightInd/>
              <w:ind w:firstLine="210" w:firstLineChars="100"/>
              <w:rPr>
                <w:rFonts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lang w:eastAsia="zh-CN"/>
              </w:rPr>
              <w:t>398,698.96</w:t>
            </w:r>
            <w:r>
              <w:rPr>
                <w:rFonts w:hint="eastAsia" w:ascii="Times New Roman" w:hAnsi="Times New Roman" w:cs="Times New Roman"/>
                <w:color w:val="000000"/>
                <w:sz w:val="21"/>
                <w:szCs w:val="21"/>
                <w:highlight w:val="none"/>
              </w:rPr>
              <w:t>元，</w:t>
            </w:r>
            <w:r>
              <w:rPr>
                <w:rFonts w:ascii="Times New Roman" w:hAnsi="Times New Roman" w:cs="Times New Roman"/>
                <w:color w:val="000000"/>
                <w:sz w:val="21"/>
                <w:szCs w:val="21"/>
                <w:highlight w:val="none"/>
              </w:rPr>
              <w:t>供应商报价超出采购预算，作为不实质性响应采购文件，按无效响应处理</w:t>
            </w:r>
            <w:r>
              <w:rPr>
                <w:rFonts w:ascii="Times New Roman" w:hAnsi="Times New Roman" w:cs="Times New Roman"/>
                <w:color w:val="000000"/>
                <w:sz w:val="21"/>
                <w:szCs w:val="21"/>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6" w:hRule="exac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7、</w:t>
            </w:r>
          </w:p>
        </w:tc>
        <w:tc>
          <w:tcPr>
            <w:tcW w:w="2055" w:type="dxa"/>
            <w:vAlign w:val="center"/>
          </w:tcPr>
          <w:p>
            <w:pPr>
              <w:pStyle w:val="20"/>
              <w:ind w:left="38"/>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采购方式</w:t>
            </w:r>
          </w:p>
        </w:tc>
        <w:tc>
          <w:tcPr>
            <w:tcW w:w="6433" w:type="dxa"/>
            <w:vAlign w:val="center"/>
          </w:tcPr>
          <w:p>
            <w:pPr>
              <w:pStyle w:val="20"/>
              <w:ind w:firstLine="210" w:firstLineChars="100"/>
              <w:jc w:val="both"/>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2" w:hRule="exac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8、</w:t>
            </w:r>
          </w:p>
        </w:tc>
        <w:tc>
          <w:tcPr>
            <w:tcW w:w="2055" w:type="dxa"/>
            <w:vAlign w:val="center"/>
          </w:tcPr>
          <w:p>
            <w:pPr>
              <w:pStyle w:val="20"/>
              <w:ind w:left="38"/>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采购内容</w:t>
            </w:r>
          </w:p>
        </w:tc>
        <w:tc>
          <w:tcPr>
            <w:tcW w:w="6433" w:type="dxa"/>
            <w:vAlign w:val="center"/>
          </w:tcPr>
          <w:p>
            <w:pPr>
              <w:pStyle w:val="20"/>
              <w:jc w:val="both"/>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lang w:val="zh-CN"/>
              </w:rPr>
              <w:t xml:space="preserve">  详见第四</w:t>
            </w:r>
            <w:r>
              <w:rPr>
                <w:rFonts w:hint="eastAsia" w:ascii="Times New Roman" w:hAnsi="Times New Roman" w:cs="Times New Roman"/>
                <w:color w:val="000000"/>
                <w:sz w:val="21"/>
                <w:szCs w:val="21"/>
                <w:highlight w:val="none"/>
              </w:rPr>
              <w:t>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0"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9、</w:t>
            </w:r>
          </w:p>
        </w:tc>
        <w:tc>
          <w:tcPr>
            <w:tcW w:w="2055" w:type="dxa"/>
            <w:vAlign w:val="center"/>
          </w:tcPr>
          <w:p>
            <w:pPr>
              <w:pStyle w:val="20"/>
              <w:ind w:left="38"/>
              <w:jc w:val="center"/>
              <w:rPr>
                <w:rFonts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rPr>
              <w:t>服务</w:t>
            </w:r>
            <w:r>
              <w:rPr>
                <w:rFonts w:hint="eastAsia" w:ascii="Times New Roman" w:hAnsi="Times New Roman" w:cs="Times New Roman"/>
                <w:color w:val="000000"/>
                <w:sz w:val="21"/>
                <w:szCs w:val="21"/>
                <w:highlight w:val="none"/>
                <w:lang w:val="zh-CN"/>
              </w:rPr>
              <w:t>期</w:t>
            </w:r>
            <w:r>
              <w:rPr>
                <w:rFonts w:hint="eastAsia" w:ascii="Times New Roman" w:hAnsi="Times New Roman" w:cs="Times New Roman"/>
                <w:color w:val="000000"/>
                <w:sz w:val="21"/>
                <w:szCs w:val="21"/>
                <w:highlight w:val="none"/>
              </w:rPr>
              <w:t>限</w:t>
            </w:r>
          </w:p>
        </w:tc>
        <w:tc>
          <w:tcPr>
            <w:tcW w:w="6433" w:type="dxa"/>
            <w:vAlign w:val="center"/>
          </w:tcPr>
          <w:p>
            <w:pPr>
              <w:pStyle w:val="20"/>
              <w:ind w:firstLine="210" w:firstLineChars="100"/>
              <w:jc w:val="both"/>
              <w:rPr>
                <w:rFonts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rPr>
              <w:t>自合同签订之日起</w:t>
            </w:r>
            <w:r>
              <w:rPr>
                <w:rFonts w:hint="eastAsia" w:ascii="Times New Roman" w:hAnsi="Times New Roman" w:cs="Times New Roman"/>
                <w:color w:val="000000"/>
                <w:sz w:val="21"/>
                <w:szCs w:val="21"/>
                <w:highlight w:val="none"/>
                <w:lang w:val="en-US" w:eastAsia="zh-CN"/>
              </w:rPr>
              <w:t>120</w:t>
            </w:r>
            <w:r>
              <w:rPr>
                <w:rFonts w:hint="eastAsia" w:ascii="Times New Roman" w:hAnsi="Times New Roman" w:cs="Times New Roman"/>
                <w:color w:val="000000"/>
                <w:sz w:val="21"/>
                <w:szCs w:val="21"/>
                <w:highlight w:val="none"/>
              </w:rPr>
              <w:t>日历日内完成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rPr>
              <w:t>10、</w:t>
            </w:r>
          </w:p>
        </w:tc>
        <w:tc>
          <w:tcPr>
            <w:tcW w:w="2055" w:type="dxa"/>
            <w:vAlign w:val="center"/>
          </w:tcPr>
          <w:p>
            <w:pPr>
              <w:pStyle w:val="20"/>
              <w:ind w:left="38"/>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运维期（质保期）</w:t>
            </w:r>
          </w:p>
        </w:tc>
        <w:tc>
          <w:tcPr>
            <w:tcW w:w="6433" w:type="dxa"/>
            <w:vAlign w:val="center"/>
          </w:tcPr>
          <w:p>
            <w:pPr>
              <w:pStyle w:val="20"/>
              <w:ind w:firstLine="210" w:firstLineChars="100"/>
              <w:jc w:val="both"/>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9"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rPr>
              <w:t>11</w:t>
            </w:r>
            <w:r>
              <w:rPr>
                <w:rFonts w:ascii="Times New Roman" w:hAnsi="Times New Roman" w:cs="Times New Roman"/>
                <w:color w:val="000000"/>
                <w:sz w:val="21"/>
                <w:szCs w:val="21"/>
                <w:highlight w:val="none"/>
              </w:rPr>
              <w:t>、</w:t>
            </w:r>
          </w:p>
        </w:tc>
        <w:tc>
          <w:tcPr>
            <w:tcW w:w="2055" w:type="dxa"/>
            <w:vAlign w:val="center"/>
          </w:tcPr>
          <w:p>
            <w:pPr>
              <w:pStyle w:val="20"/>
              <w:ind w:left="38"/>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联合体磋商</w:t>
            </w:r>
          </w:p>
        </w:tc>
        <w:tc>
          <w:tcPr>
            <w:tcW w:w="6433" w:type="dxa"/>
            <w:vAlign w:val="center"/>
          </w:tcPr>
          <w:p>
            <w:pPr>
              <w:pStyle w:val="20"/>
              <w:ind w:firstLine="210" w:firstLineChars="100"/>
              <w:jc w:val="both"/>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1</w:t>
            </w:r>
            <w:r>
              <w:rPr>
                <w:rFonts w:hint="eastAsia" w:ascii="Times New Roman" w:hAnsi="Times New Roman" w:cs="Times New Roman"/>
                <w:color w:val="000000"/>
                <w:sz w:val="21"/>
                <w:szCs w:val="21"/>
                <w:highlight w:val="none"/>
              </w:rPr>
              <w:t>2</w:t>
            </w:r>
            <w:r>
              <w:rPr>
                <w:rFonts w:ascii="Times New Roman" w:hAnsi="Times New Roman" w:cs="Times New Roman"/>
                <w:color w:val="000000"/>
                <w:sz w:val="21"/>
                <w:szCs w:val="21"/>
                <w:highlight w:val="none"/>
              </w:rPr>
              <w:t>、</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考察现场、标前答疑会</w:t>
            </w:r>
          </w:p>
        </w:tc>
        <w:tc>
          <w:tcPr>
            <w:tcW w:w="6433" w:type="dxa"/>
            <w:vAlign w:val="center"/>
          </w:tcPr>
          <w:p>
            <w:pPr>
              <w:pStyle w:val="20"/>
              <w:ind w:firstLine="210" w:firstLineChars="100"/>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1</w:t>
            </w:r>
            <w:r>
              <w:rPr>
                <w:rFonts w:hint="eastAsia" w:ascii="Times New Roman" w:hAnsi="Times New Roman" w:cs="Times New Roman"/>
                <w:color w:val="000000"/>
                <w:sz w:val="21"/>
                <w:szCs w:val="21"/>
                <w:highlight w:val="none"/>
              </w:rPr>
              <w:t>3</w:t>
            </w:r>
            <w:r>
              <w:rPr>
                <w:rFonts w:ascii="Times New Roman" w:hAnsi="Times New Roman" w:cs="Times New Roman"/>
                <w:color w:val="000000"/>
                <w:sz w:val="21"/>
                <w:szCs w:val="21"/>
                <w:highlight w:val="none"/>
              </w:rPr>
              <w:t>、</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供应商对磋商文件</w:t>
            </w:r>
          </w:p>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提出质疑的时间</w:t>
            </w:r>
          </w:p>
        </w:tc>
        <w:tc>
          <w:tcPr>
            <w:tcW w:w="6433" w:type="dxa"/>
            <w:vAlign w:val="center"/>
          </w:tcPr>
          <w:p>
            <w:pPr>
              <w:pStyle w:val="20"/>
              <w:adjustRightInd/>
              <w:ind w:firstLine="210" w:firstLineChars="100"/>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磋商截至时间</w:t>
            </w:r>
            <w:r>
              <w:rPr>
                <w:rFonts w:ascii="Times New Roman" w:hAnsi="Times New Roman" w:cs="Times New Roman"/>
                <w:color w:val="000000"/>
                <w:sz w:val="21"/>
                <w:szCs w:val="21"/>
                <w:highlight w:val="none"/>
              </w:rPr>
              <w:t>5</w:t>
            </w:r>
            <w:r>
              <w:rPr>
                <w:rFonts w:ascii="Times New Roman" w:hAnsi="Times New Roman" w:cs="Times New Roman"/>
                <w:color w:val="000000"/>
                <w:sz w:val="21"/>
                <w:szCs w:val="21"/>
                <w:highlight w:val="none"/>
                <w:lang w:val="zh-CN"/>
              </w:rPr>
              <w:t>日前，以书面形式提出，在此之后提出的质疑为无效质疑。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4" w:hRule="exac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1</w:t>
            </w:r>
            <w:r>
              <w:rPr>
                <w:rFonts w:hint="eastAsia" w:ascii="Times New Roman" w:hAnsi="Times New Roman" w:cs="Times New Roman"/>
                <w:color w:val="000000"/>
                <w:sz w:val="21"/>
                <w:szCs w:val="21"/>
                <w:highlight w:val="none"/>
              </w:rPr>
              <w:t>4</w:t>
            </w:r>
            <w:r>
              <w:rPr>
                <w:rFonts w:ascii="Times New Roman" w:hAnsi="Times New Roman" w:cs="Times New Roman"/>
                <w:color w:val="000000"/>
                <w:sz w:val="21"/>
                <w:szCs w:val="21"/>
                <w:highlight w:val="none"/>
              </w:rPr>
              <w:t>、</w:t>
            </w:r>
          </w:p>
        </w:tc>
        <w:tc>
          <w:tcPr>
            <w:tcW w:w="2055" w:type="dxa"/>
            <w:vAlign w:val="center"/>
          </w:tcPr>
          <w:p>
            <w:pPr>
              <w:pStyle w:val="20"/>
              <w:ind w:left="52"/>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lang w:val="zh-CN"/>
              </w:rPr>
              <w:t>构成磋商文件的其他文件</w:t>
            </w:r>
          </w:p>
        </w:tc>
        <w:tc>
          <w:tcPr>
            <w:tcW w:w="6433" w:type="dxa"/>
            <w:vAlign w:val="center"/>
          </w:tcPr>
          <w:p>
            <w:pPr>
              <w:pStyle w:val="20"/>
              <w:adjustRightInd/>
              <w:ind w:firstLine="210" w:firstLineChars="100"/>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磋商文件的澄清</w:t>
            </w:r>
            <w:r>
              <w:rPr>
                <w:rFonts w:ascii="Times New Roman" w:hAnsi="Times New Roman" w:cs="Times New Roman"/>
                <w:color w:val="000000"/>
                <w:sz w:val="21"/>
                <w:szCs w:val="21"/>
                <w:highlight w:val="none"/>
              </w:rPr>
              <w:t>、修改书及有关补充通知为磋商文件的有效组成部分。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4" w:hRule="exac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1</w:t>
            </w:r>
            <w:r>
              <w:rPr>
                <w:rFonts w:hint="eastAsia" w:ascii="Times New Roman" w:hAnsi="Times New Roman" w:cs="Times New Roman"/>
                <w:color w:val="000000"/>
                <w:sz w:val="21"/>
                <w:szCs w:val="21"/>
                <w:highlight w:val="none"/>
              </w:rPr>
              <w:t>5</w:t>
            </w:r>
            <w:r>
              <w:rPr>
                <w:rFonts w:ascii="Times New Roman" w:hAnsi="Times New Roman" w:cs="Times New Roman"/>
                <w:color w:val="000000"/>
                <w:sz w:val="21"/>
                <w:szCs w:val="21"/>
                <w:highlight w:val="none"/>
              </w:rPr>
              <w:t>、</w:t>
            </w:r>
          </w:p>
        </w:tc>
        <w:tc>
          <w:tcPr>
            <w:tcW w:w="2055" w:type="dxa"/>
            <w:vAlign w:val="center"/>
          </w:tcPr>
          <w:p>
            <w:pPr>
              <w:pStyle w:val="20"/>
              <w:ind w:left="52"/>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响应文件递交截止时间</w:t>
            </w:r>
          </w:p>
        </w:tc>
        <w:tc>
          <w:tcPr>
            <w:tcW w:w="6433" w:type="dxa"/>
            <w:vAlign w:val="center"/>
          </w:tcPr>
          <w:p>
            <w:pPr>
              <w:pStyle w:val="20"/>
              <w:ind w:firstLine="211" w:firstLineChars="100"/>
              <w:rPr>
                <w:rFonts w:ascii="Times New Roman" w:hAnsi="Times New Roman" w:cs="Times New Roman"/>
                <w:b/>
                <w:color w:val="000000"/>
                <w:sz w:val="21"/>
                <w:szCs w:val="21"/>
                <w:highlight w:val="none"/>
                <w:lang w:val="zh-CN"/>
              </w:rPr>
            </w:pPr>
            <w:r>
              <w:rPr>
                <w:rFonts w:ascii="Times New Roman" w:hAnsi="Times New Roman" w:cs="Times New Roman"/>
                <w:b/>
                <w:color w:val="000000"/>
                <w:sz w:val="21"/>
                <w:szCs w:val="21"/>
                <w:highlight w:val="none"/>
                <w:lang w:val="zh-CN"/>
              </w:rPr>
              <w:t>20</w:t>
            </w:r>
            <w:r>
              <w:rPr>
                <w:rFonts w:hint="eastAsia" w:ascii="Times New Roman" w:hAnsi="Times New Roman" w:cs="Times New Roman"/>
                <w:b/>
                <w:color w:val="000000"/>
                <w:sz w:val="21"/>
                <w:szCs w:val="21"/>
                <w:highlight w:val="none"/>
              </w:rPr>
              <w:t>21</w:t>
            </w:r>
            <w:r>
              <w:rPr>
                <w:rFonts w:ascii="Times New Roman" w:hAnsi="Times New Roman" w:cs="Times New Roman"/>
                <w:b/>
                <w:color w:val="000000"/>
                <w:sz w:val="21"/>
                <w:szCs w:val="21"/>
                <w:highlight w:val="none"/>
                <w:lang w:val="zh-CN"/>
              </w:rPr>
              <w:t>年</w:t>
            </w:r>
            <w:r>
              <w:rPr>
                <w:rFonts w:hint="eastAsia" w:ascii="Times New Roman" w:hAnsi="Times New Roman" w:cs="Times New Roman"/>
                <w:b/>
                <w:color w:val="000000"/>
                <w:sz w:val="21"/>
                <w:szCs w:val="21"/>
                <w:highlight w:val="none"/>
                <w:lang w:val="en-US" w:eastAsia="zh-CN"/>
              </w:rPr>
              <w:t>6</w:t>
            </w:r>
            <w:r>
              <w:rPr>
                <w:rFonts w:ascii="Times New Roman" w:hAnsi="Times New Roman" w:cs="Times New Roman"/>
                <w:b/>
                <w:color w:val="000000"/>
                <w:sz w:val="21"/>
                <w:szCs w:val="21"/>
                <w:highlight w:val="none"/>
                <w:lang w:val="zh-CN"/>
              </w:rPr>
              <w:t>月</w:t>
            </w:r>
            <w:r>
              <w:rPr>
                <w:rFonts w:hint="eastAsia" w:ascii="Times New Roman" w:hAnsi="Times New Roman" w:cs="Times New Roman"/>
                <w:b/>
                <w:color w:val="000000"/>
                <w:sz w:val="21"/>
                <w:szCs w:val="21"/>
                <w:highlight w:val="none"/>
                <w:lang w:val="en-US" w:eastAsia="zh-CN"/>
              </w:rPr>
              <w:t>1</w:t>
            </w:r>
            <w:r>
              <w:rPr>
                <w:rFonts w:hint="eastAsia" w:ascii="Times New Roman" w:hAnsi="Times New Roman" w:cs="Times New Roman"/>
                <w:b/>
                <w:color w:val="000000"/>
                <w:sz w:val="21"/>
                <w:szCs w:val="21"/>
                <w:highlight w:val="none"/>
              </w:rPr>
              <w:t>日</w:t>
            </w:r>
            <w:r>
              <w:rPr>
                <w:rFonts w:ascii="Times New Roman" w:hAnsi="Times New Roman" w:cs="Times New Roman"/>
                <w:b/>
                <w:color w:val="000000"/>
                <w:sz w:val="21"/>
                <w:szCs w:val="21"/>
                <w:highlight w:val="none"/>
                <w:lang w:val="zh-CN"/>
              </w:rPr>
              <w:t>1</w:t>
            </w:r>
            <w:r>
              <w:rPr>
                <w:rFonts w:hint="eastAsia" w:ascii="Times New Roman" w:hAnsi="Times New Roman" w:cs="Times New Roman"/>
                <w:b/>
                <w:color w:val="000000"/>
                <w:sz w:val="21"/>
                <w:szCs w:val="21"/>
                <w:highlight w:val="none"/>
              </w:rPr>
              <w:t>4</w:t>
            </w:r>
            <w:r>
              <w:rPr>
                <w:rFonts w:ascii="Times New Roman" w:hAnsi="Times New Roman" w:cs="Times New Roman"/>
                <w:b/>
                <w:color w:val="000000"/>
                <w:sz w:val="21"/>
                <w:szCs w:val="21"/>
                <w:highlight w:val="none"/>
                <w:lang w:val="zh-CN"/>
              </w:rPr>
              <w:t>:</w:t>
            </w:r>
            <w:r>
              <w:rPr>
                <w:rFonts w:hint="eastAsia" w:ascii="Times New Roman" w:hAnsi="Times New Roman" w:cs="Times New Roman"/>
                <w:b/>
                <w:color w:val="000000"/>
                <w:sz w:val="21"/>
                <w:szCs w:val="21"/>
                <w:highlight w:val="none"/>
              </w:rPr>
              <w:t>0</w:t>
            </w:r>
            <w:r>
              <w:rPr>
                <w:rFonts w:ascii="Times New Roman" w:hAnsi="Times New Roman" w:cs="Times New Roman"/>
                <w:b/>
                <w:color w:val="000000"/>
                <w:sz w:val="21"/>
                <w:szCs w:val="21"/>
                <w:highlight w:val="none"/>
                <w:lang w:val="zh-CN"/>
              </w:rPr>
              <w:t>0时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exac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1</w:t>
            </w:r>
            <w:r>
              <w:rPr>
                <w:rFonts w:hint="eastAsia" w:ascii="Times New Roman" w:hAnsi="Times New Roman" w:cs="Times New Roman"/>
                <w:color w:val="000000"/>
                <w:sz w:val="21"/>
                <w:szCs w:val="21"/>
                <w:highlight w:val="none"/>
              </w:rPr>
              <w:t>6</w:t>
            </w:r>
            <w:r>
              <w:rPr>
                <w:rFonts w:ascii="Times New Roman" w:hAnsi="Times New Roman" w:cs="Times New Roman"/>
                <w:color w:val="000000"/>
                <w:sz w:val="21"/>
                <w:szCs w:val="21"/>
                <w:highlight w:val="none"/>
              </w:rPr>
              <w:t>、</w:t>
            </w:r>
          </w:p>
        </w:tc>
        <w:tc>
          <w:tcPr>
            <w:tcW w:w="2055" w:type="dxa"/>
            <w:vAlign w:val="center"/>
          </w:tcPr>
          <w:p>
            <w:pPr>
              <w:pStyle w:val="20"/>
              <w:ind w:left="33"/>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磋商有效期</w:t>
            </w:r>
          </w:p>
        </w:tc>
        <w:tc>
          <w:tcPr>
            <w:tcW w:w="6433" w:type="dxa"/>
            <w:vAlign w:val="center"/>
          </w:tcPr>
          <w:p>
            <w:pPr>
              <w:pStyle w:val="20"/>
              <w:ind w:firstLine="210" w:firstLineChars="100"/>
              <w:jc w:val="both"/>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从磋商截止日起</w:t>
            </w:r>
            <w:r>
              <w:rPr>
                <w:rFonts w:ascii="Times New Roman" w:hAnsi="Times New Roman" w:cs="Times New Roman"/>
                <w:color w:val="000000"/>
                <w:sz w:val="21"/>
                <w:szCs w:val="21"/>
                <w:highlight w:val="none"/>
              </w:rPr>
              <w:t>90</w:t>
            </w:r>
            <w:r>
              <w:rPr>
                <w:rFonts w:ascii="Times New Roman" w:hAnsi="Times New Roman" w:cs="Times New Roman"/>
                <w:color w:val="000000"/>
                <w:sz w:val="21"/>
                <w:szCs w:val="21"/>
                <w:highlight w:val="none"/>
                <w:lang w:val="zh-CN"/>
              </w:rPr>
              <w:t>日历</w:t>
            </w:r>
            <w:r>
              <w:rPr>
                <w:rFonts w:ascii="Times New Roman" w:hAnsi="Times New Roman" w:cs="Times New Roman"/>
                <w:color w:val="000000"/>
                <w:sz w:val="21"/>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6"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1</w:t>
            </w:r>
            <w:r>
              <w:rPr>
                <w:rFonts w:hint="eastAsia" w:ascii="Times New Roman" w:hAnsi="Times New Roman" w:cs="Times New Roman"/>
                <w:color w:val="000000"/>
                <w:sz w:val="21"/>
                <w:szCs w:val="21"/>
                <w:highlight w:val="none"/>
              </w:rPr>
              <w:t>7</w:t>
            </w:r>
            <w:r>
              <w:rPr>
                <w:rFonts w:ascii="Times New Roman" w:hAnsi="Times New Roman" w:cs="Times New Roman"/>
                <w:color w:val="000000"/>
                <w:sz w:val="21"/>
                <w:szCs w:val="21"/>
                <w:highlight w:val="none"/>
              </w:rPr>
              <w:t>、</w:t>
            </w:r>
          </w:p>
        </w:tc>
        <w:tc>
          <w:tcPr>
            <w:tcW w:w="2055" w:type="dxa"/>
            <w:vAlign w:val="center"/>
          </w:tcPr>
          <w:p>
            <w:pPr>
              <w:pStyle w:val="20"/>
              <w:ind w:left="33"/>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磋商保证金</w:t>
            </w:r>
          </w:p>
        </w:tc>
        <w:tc>
          <w:tcPr>
            <w:tcW w:w="6433" w:type="dxa"/>
            <w:vAlign w:val="center"/>
          </w:tcPr>
          <w:p>
            <w:pPr>
              <w:ind w:firstLine="210" w:firstLineChars="100"/>
              <w:rPr>
                <w:color w:val="000000"/>
                <w:szCs w:val="22"/>
                <w:highlight w:val="none"/>
              </w:rPr>
            </w:pPr>
            <w:r>
              <w:rPr>
                <w:color w:val="000000"/>
                <w:szCs w:val="22"/>
                <w:highlight w:val="none"/>
              </w:rPr>
              <w:t>供应商交纳的磋商保证金：人民币</w:t>
            </w:r>
            <w:r>
              <w:rPr>
                <w:rFonts w:hint="eastAsia"/>
                <w:color w:val="000000"/>
                <w:szCs w:val="22"/>
                <w:highlight w:val="none"/>
                <w:lang w:val="en-US" w:eastAsia="zh-CN"/>
              </w:rPr>
              <w:t>伍仟</w:t>
            </w:r>
            <w:r>
              <w:rPr>
                <w:color w:val="000000"/>
                <w:szCs w:val="22"/>
                <w:highlight w:val="none"/>
              </w:rPr>
              <w:t>元整(￥</w:t>
            </w:r>
            <w:r>
              <w:rPr>
                <w:rFonts w:hint="eastAsia"/>
                <w:color w:val="000000"/>
                <w:szCs w:val="22"/>
                <w:highlight w:val="none"/>
                <w:lang w:val="en-US" w:eastAsia="zh-CN"/>
              </w:rPr>
              <w:t>5000</w:t>
            </w:r>
            <w:r>
              <w:rPr>
                <w:color w:val="000000"/>
                <w:szCs w:val="22"/>
                <w:highlight w:val="none"/>
              </w:rPr>
              <w:t>元)</w:t>
            </w:r>
          </w:p>
          <w:p>
            <w:pPr>
              <w:ind w:firstLine="210" w:firstLineChars="100"/>
              <w:rPr>
                <w:color w:val="000000"/>
                <w:szCs w:val="22"/>
                <w:highlight w:val="none"/>
              </w:rPr>
            </w:pPr>
            <w:r>
              <w:rPr>
                <w:color w:val="000000"/>
                <w:szCs w:val="22"/>
                <w:highlight w:val="none"/>
              </w:rPr>
              <w:t>磋商保证金的有效期与磋商有效期一致。</w:t>
            </w:r>
          </w:p>
          <w:p>
            <w:pPr>
              <w:ind w:firstLine="210" w:firstLineChars="100"/>
              <w:rPr>
                <w:color w:val="000000"/>
                <w:szCs w:val="22"/>
                <w:highlight w:val="none"/>
              </w:rPr>
            </w:pPr>
            <w:r>
              <w:rPr>
                <w:color w:val="000000"/>
                <w:szCs w:val="22"/>
                <w:highlight w:val="none"/>
              </w:rPr>
              <w:t>磋商保证金的缴纳形式：转账、电汇、担保机构保函</w:t>
            </w:r>
          </w:p>
          <w:p>
            <w:pPr>
              <w:ind w:firstLine="210" w:firstLineChars="100"/>
              <w:rPr>
                <w:color w:val="000000"/>
                <w:szCs w:val="22"/>
                <w:highlight w:val="none"/>
              </w:rPr>
            </w:pPr>
            <w:r>
              <w:rPr>
                <w:color w:val="000000"/>
                <w:szCs w:val="22"/>
                <w:highlight w:val="none"/>
              </w:rPr>
              <w:t>供应商以银行转账、电汇（转账时请注明所投项目编号）形式缴纳磋商保证金的，磋商结束之后以转账形式退到供应商的账户。供应商以担保机构保函形式缴纳磋商保证金的，须在磋商截止时间前到采购代理机构备案，磋商结束之后将担保机构保函原件退回。</w:t>
            </w:r>
          </w:p>
          <w:p>
            <w:pPr>
              <w:ind w:firstLine="210" w:firstLineChars="100"/>
              <w:rPr>
                <w:color w:val="000000"/>
                <w:szCs w:val="22"/>
                <w:highlight w:val="none"/>
              </w:rPr>
            </w:pPr>
            <w:r>
              <w:rPr>
                <w:color w:val="000000"/>
                <w:szCs w:val="22"/>
                <w:highlight w:val="none"/>
              </w:rPr>
              <w:t>供应商以银行转账、电汇形式缴纳投标保证金的截止时间：20</w:t>
            </w:r>
            <w:r>
              <w:rPr>
                <w:rFonts w:hint="eastAsia"/>
                <w:color w:val="000000"/>
                <w:szCs w:val="22"/>
                <w:highlight w:val="none"/>
              </w:rPr>
              <w:t>21</w:t>
            </w:r>
            <w:r>
              <w:rPr>
                <w:color w:val="000000"/>
                <w:szCs w:val="22"/>
                <w:highlight w:val="none"/>
              </w:rPr>
              <w:t>年</w:t>
            </w:r>
            <w:r>
              <w:rPr>
                <w:rFonts w:hint="eastAsia"/>
                <w:color w:val="000000"/>
                <w:szCs w:val="22"/>
                <w:highlight w:val="none"/>
                <w:lang w:val="en-US" w:eastAsia="zh-CN"/>
              </w:rPr>
              <w:t>6</w:t>
            </w:r>
            <w:r>
              <w:rPr>
                <w:color w:val="000000"/>
                <w:szCs w:val="22"/>
                <w:highlight w:val="none"/>
              </w:rPr>
              <w:t>月</w:t>
            </w:r>
            <w:r>
              <w:rPr>
                <w:rFonts w:hint="eastAsia"/>
                <w:color w:val="000000"/>
                <w:szCs w:val="22"/>
                <w:highlight w:val="none"/>
                <w:lang w:val="en-US" w:eastAsia="zh-CN"/>
              </w:rPr>
              <w:t>1</w:t>
            </w:r>
            <w:r>
              <w:rPr>
                <w:color w:val="000000"/>
                <w:szCs w:val="22"/>
                <w:highlight w:val="none"/>
              </w:rPr>
              <w:t>日</w:t>
            </w:r>
            <w:r>
              <w:rPr>
                <w:rFonts w:hint="eastAsia"/>
                <w:color w:val="000000"/>
                <w:szCs w:val="22"/>
                <w:highlight w:val="none"/>
              </w:rPr>
              <w:t>1</w:t>
            </w:r>
            <w:r>
              <w:rPr>
                <w:color w:val="000000"/>
                <w:szCs w:val="22"/>
                <w:highlight w:val="none"/>
              </w:rPr>
              <w:t>4:</w:t>
            </w:r>
            <w:r>
              <w:rPr>
                <w:rFonts w:hint="eastAsia"/>
                <w:color w:val="000000"/>
                <w:szCs w:val="22"/>
                <w:highlight w:val="none"/>
              </w:rPr>
              <w:t>0</w:t>
            </w:r>
            <w:r>
              <w:rPr>
                <w:color w:val="000000"/>
                <w:szCs w:val="22"/>
                <w:highlight w:val="none"/>
              </w:rPr>
              <w:t xml:space="preserve">0 </w:t>
            </w:r>
          </w:p>
          <w:p>
            <w:pPr>
              <w:ind w:firstLine="210" w:firstLineChars="100"/>
              <w:rPr>
                <w:color w:val="000000"/>
                <w:szCs w:val="22"/>
                <w:highlight w:val="none"/>
              </w:rPr>
            </w:pPr>
            <w:r>
              <w:rPr>
                <w:color w:val="000000"/>
                <w:szCs w:val="22"/>
                <w:highlight w:val="none"/>
              </w:rPr>
              <w:t>须在磋商标截止时间前存入以下账户。</w:t>
            </w:r>
          </w:p>
          <w:p>
            <w:pPr>
              <w:ind w:firstLine="210" w:firstLineChars="100"/>
              <w:rPr>
                <w:color w:val="000000"/>
                <w:szCs w:val="22"/>
                <w:highlight w:val="none"/>
              </w:rPr>
            </w:pPr>
            <w:r>
              <w:rPr>
                <w:rFonts w:hint="eastAsia"/>
                <w:color w:val="000000"/>
                <w:szCs w:val="22"/>
                <w:highlight w:val="none"/>
              </w:rPr>
              <w:t xml:space="preserve">采购代理机构开户名称：陕西中天正略企业运营发展有限公司 </w:t>
            </w:r>
          </w:p>
          <w:p>
            <w:pPr>
              <w:ind w:firstLine="210" w:firstLineChars="100"/>
              <w:rPr>
                <w:color w:val="000000"/>
                <w:szCs w:val="22"/>
                <w:highlight w:val="none"/>
                <w:lang w:val="zh-CN"/>
              </w:rPr>
            </w:pPr>
            <w:r>
              <w:rPr>
                <w:rFonts w:hint="eastAsia"/>
                <w:color w:val="000000"/>
                <w:szCs w:val="22"/>
                <w:highlight w:val="none"/>
              </w:rPr>
              <w:t>开户银行：交通银行西安南二环支行</w:t>
            </w:r>
          </w:p>
          <w:p>
            <w:pPr>
              <w:ind w:firstLine="210" w:firstLineChars="100"/>
              <w:rPr>
                <w:color w:val="000000"/>
                <w:szCs w:val="22"/>
                <w:highlight w:val="none"/>
                <w:lang w:val="zh-CN"/>
              </w:rPr>
            </w:pPr>
            <w:r>
              <w:rPr>
                <w:rFonts w:hint="eastAsia"/>
                <w:color w:val="000000"/>
                <w:szCs w:val="22"/>
                <w:highlight w:val="none"/>
              </w:rPr>
              <w:t>账号：611301136013000210918</w:t>
            </w:r>
          </w:p>
          <w:p>
            <w:pPr>
              <w:ind w:firstLine="210" w:firstLineChars="100"/>
              <w:rPr>
                <w:color w:val="000000"/>
                <w:szCs w:val="22"/>
                <w:highlight w:val="none"/>
              </w:rPr>
            </w:pPr>
            <w:r>
              <w:rPr>
                <w:rFonts w:hint="eastAsia"/>
                <w:color w:val="000000"/>
                <w:szCs w:val="22"/>
                <w:highlight w:val="none"/>
              </w:rPr>
              <w:t>注：</w:t>
            </w:r>
            <w:r>
              <w:rPr>
                <w:color w:val="000000"/>
                <w:szCs w:val="22"/>
                <w:highlight w:val="none"/>
              </w:rPr>
              <w:t>请将磋商保证金转款凭证复印件或担保机构出具的保函复印件粘贴于磋商文件规定处。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1</w:t>
            </w:r>
            <w:r>
              <w:rPr>
                <w:rFonts w:hint="eastAsia" w:ascii="Times New Roman" w:hAnsi="Times New Roman" w:cs="Times New Roman"/>
                <w:color w:val="000000"/>
                <w:sz w:val="21"/>
                <w:szCs w:val="21"/>
                <w:highlight w:val="none"/>
              </w:rPr>
              <w:t>8</w:t>
            </w:r>
            <w:r>
              <w:rPr>
                <w:rFonts w:ascii="Times New Roman" w:hAnsi="Times New Roman" w:cs="Times New Roman"/>
                <w:color w:val="000000"/>
                <w:sz w:val="21"/>
                <w:szCs w:val="21"/>
                <w:highlight w:val="none"/>
              </w:rPr>
              <w:t>、</w:t>
            </w:r>
          </w:p>
        </w:tc>
        <w:tc>
          <w:tcPr>
            <w:tcW w:w="2055" w:type="dxa"/>
            <w:vAlign w:val="center"/>
          </w:tcPr>
          <w:p>
            <w:pPr>
              <w:pStyle w:val="20"/>
              <w:ind w:right="28"/>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备选磋商方案和报价</w:t>
            </w:r>
          </w:p>
        </w:tc>
        <w:tc>
          <w:tcPr>
            <w:tcW w:w="6433" w:type="dxa"/>
            <w:vAlign w:val="center"/>
          </w:tcPr>
          <w:p>
            <w:pPr>
              <w:ind w:firstLine="210" w:firstLineChars="100"/>
              <w:rPr>
                <w:color w:val="000000"/>
                <w:szCs w:val="22"/>
                <w:highlight w:val="none"/>
                <w:lang w:val="zh-CN"/>
              </w:rPr>
            </w:pPr>
            <w:r>
              <w:rPr>
                <w:color w:val="000000"/>
                <w:szCs w:val="22"/>
                <w:highlight w:val="none"/>
                <w:lang w:val="zh-CN"/>
              </w:rPr>
              <w:t>不接受备选磋商方案和多个报价。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exac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rPr>
              <w:t>19</w:t>
            </w:r>
            <w:r>
              <w:rPr>
                <w:rFonts w:ascii="Times New Roman" w:hAnsi="Times New Roman" w:cs="Times New Roman"/>
                <w:color w:val="000000"/>
                <w:sz w:val="21"/>
                <w:szCs w:val="21"/>
                <w:highlight w:val="none"/>
              </w:rPr>
              <w:t>、</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签字盖章</w:t>
            </w:r>
          </w:p>
        </w:tc>
        <w:tc>
          <w:tcPr>
            <w:tcW w:w="6433" w:type="dxa"/>
            <w:vAlign w:val="center"/>
          </w:tcPr>
          <w:p>
            <w:pPr>
              <w:pStyle w:val="20"/>
              <w:ind w:firstLine="210" w:firstLineChars="100"/>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供应商必须按照磋商文件的规定和要求签字或盖章。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9" w:hRule="exac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rPr>
              <w:t>20</w:t>
            </w:r>
            <w:r>
              <w:rPr>
                <w:rFonts w:ascii="Times New Roman" w:hAnsi="Times New Roman" w:cs="Times New Roman"/>
                <w:color w:val="000000"/>
                <w:sz w:val="21"/>
                <w:szCs w:val="21"/>
                <w:highlight w:val="none"/>
              </w:rPr>
              <w:t>、</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响应文件份数</w:t>
            </w:r>
          </w:p>
        </w:tc>
        <w:tc>
          <w:tcPr>
            <w:tcW w:w="6433" w:type="dxa"/>
            <w:vAlign w:val="center"/>
          </w:tcPr>
          <w:p>
            <w:pPr>
              <w:pStyle w:val="20"/>
              <w:ind w:firstLine="210" w:firstLineChars="100"/>
              <w:rPr>
                <w:rFonts w:ascii="Times New Roman" w:hAnsi="Times New Roman" w:cs="Times New Roman"/>
                <w:color w:val="000000"/>
                <w:sz w:val="21"/>
                <w:szCs w:val="21"/>
                <w:highlight w:val="none"/>
                <w:u w:val="single"/>
                <w:lang w:val="zh-CN"/>
              </w:rPr>
            </w:pPr>
            <w:r>
              <w:rPr>
                <w:rFonts w:ascii="Times New Roman" w:hAnsi="Times New Roman" w:cs="Times New Roman"/>
                <w:color w:val="000000"/>
                <w:sz w:val="21"/>
                <w:szCs w:val="21"/>
                <w:highlight w:val="none"/>
                <w:lang w:val="zh-CN"/>
              </w:rPr>
              <w:t>正本1份；副本</w:t>
            </w:r>
            <w:r>
              <w:rPr>
                <w:rFonts w:ascii="Times New Roman" w:hAnsi="Times New Roman" w:cs="Times New Roman"/>
                <w:color w:val="000000"/>
                <w:sz w:val="21"/>
                <w:szCs w:val="21"/>
                <w:highlight w:val="none"/>
              </w:rPr>
              <w:t>2</w:t>
            </w:r>
            <w:r>
              <w:rPr>
                <w:rFonts w:ascii="Times New Roman" w:hAnsi="Times New Roman" w:cs="Times New Roman"/>
                <w:color w:val="000000"/>
                <w:sz w:val="21"/>
                <w:szCs w:val="21"/>
                <w:highlight w:val="none"/>
                <w:lang w:val="zh-CN"/>
              </w:rPr>
              <w:t>份；</w:t>
            </w:r>
            <w:r>
              <w:rPr>
                <w:rFonts w:ascii="Times New Roman" w:hAnsi="Times New Roman" w:cs="Times New Roman"/>
                <w:color w:val="000000"/>
                <w:sz w:val="21"/>
                <w:szCs w:val="21"/>
                <w:highlight w:val="none"/>
              </w:rPr>
              <w:t>电子文件（</w:t>
            </w:r>
            <w:r>
              <w:rPr>
                <w:rFonts w:hint="eastAsia" w:ascii="Times New Roman" w:hAnsi="Times New Roman" w:cs="Times New Roman"/>
                <w:color w:val="000000"/>
                <w:sz w:val="21"/>
                <w:szCs w:val="21"/>
                <w:highlight w:val="none"/>
              </w:rPr>
              <w:t>U</w:t>
            </w:r>
            <w:r>
              <w:rPr>
                <w:rFonts w:ascii="Times New Roman" w:hAnsi="Times New Roman" w:cs="Times New Roman"/>
                <w:color w:val="000000"/>
                <w:sz w:val="21"/>
                <w:szCs w:val="21"/>
                <w:highlight w:val="none"/>
              </w:rPr>
              <w:t>盘）</w:t>
            </w:r>
            <w:r>
              <w:rPr>
                <w:rFonts w:hint="eastAsia" w:ascii="Times New Roman" w:hAnsi="Times New Roman" w:cs="Times New Roman"/>
                <w:color w:val="000000"/>
                <w:sz w:val="21"/>
                <w:szCs w:val="21"/>
                <w:highlight w:val="none"/>
              </w:rPr>
              <w:t>2</w:t>
            </w:r>
            <w:r>
              <w:rPr>
                <w:rFonts w:ascii="Times New Roman" w:hAnsi="Times New Roman" w:cs="Times New Roman"/>
                <w:color w:val="000000"/>
                <w:sz w:val="21"/>
                <w:szCs w:val="21"/>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8" w:hRule="exact"/>
          <w:jc w:val="center"/>
        </w:trPr>
        <w:tc>
          <w:tcPr>
            <w:tcW w:w="648" w:type="dxa"/>
            <w:vAlign w:val="center"/>
          </w:tcPr>
          <w:p>
            <w:pPr>
              <w:pStyle w:val="20"/>
              <w:tabs>
                <w:tab w:val="left" w:pos="840"/>
              </w:tabs>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2</w:t>
            </w:r>
            <w:r>
              <w:rPr>
                <w:rFonts w:hint="eastAsia" w:ascii="Times New Roman" w:hAnsi="Times New Roman" w:cs="Times New Roman"/>
                <w:color w:val="000000"/>
                <w:sz w:val="21"/>
                <w:szCs w:val="21"/>
                <w:highlight w:val="none"/>
              </w:rPr>
              <w:t>1</w:t>
            </w:r>
            <w:r>
              <w:rPr>
                <w:rFonts w:ascii="Times New Roman" w:hAnsi="Times New Roman" w:cs="Times New Roman"/>
                <w:color w:val="000000"/>
                <w:sz w:val="21"/>
                <w:szCs w:val="21"/>
                <w:highlight w:val="none"/>
              </w:rPr>
              <w:t>、</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响应文件的装订</w:t>
            </w:r>
          </w:p>
        </w:tc>
        <w:tc>
          <w:tcPr>
            <w:tcW w:w="6433" w:type="dxa"/>
            <w:vAlign w:val="center"/>
          </w:tcPr>
          <w:p>
            <w:pPr>
              <w:pStyle w:val="20"/>
              <w:ind w:firstLine="210" w:firstLineChars="100"/>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一律胶装成册（禁止使用活页</w:t>
            </w:r>
            <w:r>
              <w:rPr>
                <w:rFonts w:hint="eastAsia" w:ascii="Times New Roman" w:hAnsi="Times New Roman" w:cs="Times New Roman"/>
                <w:color w:val="000000"/>
                <w:sz w:val="21"/>
                <w:szCs w:val="21"/>
                <w:highlight w:val="none"/>
                <w:lang w:val="zh-CN"/>
              </w:rPr>
              <w:t>，</w:t>
            </w:r>
            <w:r>
              <w:rPr>
                <w:rFonts w:hint="eastAsia" w:ascii="Times New Roman" w:hAnsi="Times New Roman" w:cs="Times New Roman"/>
                <w:color w:val="000000"/>
                <w:sz w:val="21"/>
                <w:szCs w:val="21"/>
                <w:highlight w:val="none"/>
              </w:rPr>
              <w:t>双面打印</w:t>
            </w:r>
            <w:r>
              <w:rPr>
                <w:rFonts w:ascii="Times New Roman" w:hAnsi="Times New Roman" w:cs="Times New Roman"/>
                <w:color w:val="000000"/>
                <w:sz w:val="21"/>
                <w:szCs w:val="21"/>
                <w:highlight w:val="none"/>
                <w:lang w:val="zh-CN"/>
              </w:rPr>
              <w:t>），正本和副本分别装订、并密封装袋，电子版单独密封。（正、副本单独密封）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2"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2</w:t>
            </w:r>
            <w:r>
              <w:rPr>
                <w:rFonts w:hint="eastAsia" w:ascii="Times New Roman" w:hAnsi="Times New Roman" w:cs="Times New Roman"/>
                <w:color w:val="000000"/>
                <w:sz w:val="21"/>
                <w:szCs w:val="21"/>
                <w:highlight w:val="none"/>
              </w:rPr>
              <w:t>2</w:t>
            </w:r>
            <w:r>
              <w:rPr>
                <w:rFonts w:ascii="Times New Roman" w:hAnsi="Times New Roman" w:cs="Times New Roman"/>
                <w:color w:val="000000"/>
                <w:sz w:val="21"/>
                <w:szCs w:val="21"/>
                <w:highlight w:val="none"/>
              </w:rPr>
              <w:t>、</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响应文件封面标注</w:t>
            </w:r>
          </w:p>
        </w:tc>
        <w:tc>
          <w:tcPr>
            <w:tcW w:w="6433" w:type="dxa"/>
            <w:vAlign w:val="center"/>
          </w:tcPr>
          <w:p>
            <w:pPr>
              <w:pStyle w:val="20"/>
              <w:ind w:firstLine="210" w:firstLineChars="100"/>
              <w:jc w:val="both"/>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响应文件正本和副本的封面上均应标明：采购项目名称、采购项目编号、供应商名称、年月日；并分别在右上角标明“正本”和“副本”字样。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4"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2</w:t>
            </w:r>
            <w:r>
              <w:rPr>
                <w:rFonts w:hint="eastAsia" w:ascii="Times New Roman" w:hAnsi="Times New Roman" w:cs="Times New Roman"/>
                <w:color w:val="000000"/>
                <w:sz w:val="21"/>
                <w:szCs w:val="21"/>
                <w:highlight w:val="none"/>
              </w:rPr>
              <w:t>3</w:t>
            </w:r>
            <w:r>
              <w:rPr>
                <w:rFonts w:ascii="Times New Roman" w:hAnsi="Times New Roman" w:cs="Times New Roman"/>
                <w:color w:val="000000"/>
                <w:sz w:val="21"/>
                <w:szCs w:val="21"/>
                <w:highlight w:val="none"/>
              </w:rPr>
              <w:t>、</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响应文件外层</w:t>
            </w:r>
          </w:p>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密封袋的标注</w:t>
            </w:r>
          </w:p>
        </w:tc>
        <w:tc>
          <w:tcPr>
            <w:tcW w:w="6433" w:type="dxa"/>
            <w:vAlign w:val="center"/>
          </w:tcPr>
          <w:p>
            <w:pPr>
              <w:pStyle w:val="20"/>
              <w:ind w:firstLine="210" w:firstLineChars="100"/>
              <w:jc w:val="both"/>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采购项目名称、采购项目编号、供应商名称、年月日、“正本”或“副本”字样。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exac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2</w:t>
            </w:r>
            <w:r>
              <w:rPr>
                <w:rFonts w:hint="eastAsia" w:ascii="Times New Roman" w:hAnsi="Times New Roman" w:cs="Times New Roman"/>
                <w:color w:val="000000"/>
                <w:sz w:val="21"/>
                <w:szCs w:val="21"/>
                <w:highlight w:val="none"/>
              </w:rPr>
              <w:t>4</w:t>
            </w:r>
            <w:r>
              <w:rPr>
                <w:rFonts w:ascii="Times New Roman" w:hAnsi="Times New Roman" w:cs="Times New Roman"/>
                <w:color w:val="000000"/>
                <w:sz w:val="21"/>
                <w:szCs w:val="21"/>
                <w:highlight w:val="none"/>
              </w:rPr>
              <w:t>、</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递交响应文件地点和地点</w:t>
            </w:r>
          </w:p>
        </w:tc>
        <w:tc>
          <w:tcPr>
            <w:tcW w:w="6433" w:type="dxa"/>
            <w:vAlign w:val="center"/>
          </w:tcPr>
          <w:p>
            <w:pPr>
              <w:pStyle w:val="20"/>
              <w:adjustRightInd/>
              <w:rPr>
                <w:rFonts w:ascii="Times New Roman" w:hAnsi="Times New Roman" w:cs="Times New Roman"/>
                <w:b/>
                <w:color w:val="000000"/>
                <w:sz w:val="21"/>
                <w:szCs w:val="21"/>
                <w:highlight w:val="none"/>
                <w:lang w:val="zh-CN"/>
              </w:rPr>
            </w:pPr>
            <w:r>
              <w:rPr>
                <w:rFonts w:hint="eastAsia" w:ascii="Times New Roman" w:hAnsi="Times New Roman" w:cs="Times New Roman"/>
                <w:b/>
                <w:color w:val="000000"/>
                <w:sz w:val="21"/>
                <w:szCs w:val="21"/>
                <w:highlight w:val="none"/>
                <w:lang w:val="zh-CN"/>
              </w:rPr>
              <w:t>磋商时间：20</w:t>
            </w:r>
            <w:r>
              <w:rPr>
                <w:rFonts w:hint="eastAsia" w:ascii="Times New Roman" w:hAnsi="Times New Roman" w:cs="Times New Roman"/>
                <w:b/>
                <w:color w:val="000000"/>
                <w:sz w:val="21"/>
                <w:szCs w:val="21"/>
                <w:highlight w:val="none"/>
              </w:rPr>
              <w:t>21</w:t>
            </w:r>
            <w:r>
              <w:rPr>
                <w:rFonts w:hint="eastAsia" w:ascii="Times New Roman" w:hAnsi="Times New Roman" w:cs="Times New Roman"/>
                <w:b/>
                <w:color w:val="000000"/>
                <w:sz w:val="21"/>
                <w:szCs w:val="21"/>
                <w:highlight w:val="none"/>
                <w:lang w:val="zh-CN"/>
              </w:rPr>
              <w:t>年</w:t>
            </w:r>
            <w:r>
              <w:rPr>
                <w:rFonts w:hint="eastAsia" w:ascii="Times New Roman" w:hAnsi="Times New Roman" w:cs="Times New Roman"/>
                <w:b/>
                <w:color w:val="000000"/>
                <w:sz w:val="21"/>
                <w:szCs w:val="21"/>
                <w:highlight w:val="none"/>
                <w:lang w:val="en-US" w:eastAsia="zh-CN"/>
              </w:rPr>
              <w:t>6</w:t>
            </w:r>
            <w:r>
              <w:rPr>
                <w:rFonts w:hint="eastAsia" w:ascii="Times New Roman" w:hAnsi="Times New Roman" w:cs="Times New Roman"/>
                <w:b/>
                <w:color w:val="000000"/>
                <w:sz w:val="21"/>
                <w:szCs w:val="21"/>
                <w:highlight w:val="none"/>
                <w:lang w:val="zh-CN"/>
              </w:rPr>
              <w:t>月</w:t>
            </w:r>
            <w:r>
              <w:rPr>
                <w:rFonts w:hint="eastAsia" w:ascii="Times New Roman" w:hAnsi="Times New Roman" w:cs="Times New Roman"/>
                <w:b/>
                <w:color w:val="000000"/>
                <w:sz w:val="21"/>
                <w:szCs w:val="21"/>
                <w:highlight w:val="none"/>
                <w:lang w:val="en-US" w:eastAsia="zh-CN"/>
              </w:rPr>
              <w:t>1</w:t>
            </w:r>
            <w:r>
              <w:rPr>
                <w:rFonts w:hint="eastAsia" w:ascii="Times New Roman" w:hAnsi="Times New Roman" w:cs="Times New Roman"/>
                <w:b/>
                <w:color w:val="000000"/>
                <w:sz w:val="21"/>
                <w:szCs w:val="21"/>
                <w:highlight w:val="none"/>
                <w:lang w:val="zh-CN"/>
              </w:rPr>
              <w:t>日1</w:t>
            </w:r>
            <w:r>
              <w:rPr>
                <w:rFonts w:hint="eastAsia" w:ascii="Times New Roman" w:hAnsi="Times New Roman" w:cs="Times New Roman"/>
                <w:b/>
                <w:color w:val="000000"/>
                <w:sz w:val="21"/>
                <w:szCs w:val="21"/>
                <w:highlight w:val="none"/>
              </w:rPr>
              <w:t>4</w:t>
            </w:r>
            <w:r>
              <w:rPr>
                <w:rFonts w:hint="eastAsia" w:ascii="Times New Roman" w:hAnsi="Times New Roman" w:cs="Times New Roman"/>
                <w:b/>
                <w:color w:val="000000"/>
                <w:sz w:val="21"/>
                <w:szCs w:val="21"/>
                <w:highlight w:val="none"/>
                <w:lang w:val="zh-CN"/>
              </w:rPr>
              <w:t>:</w:t>
            </w:r>
            <w:r>
              <w:rPr>
                <w:rFonts w:hint="eastAsia" w:ascii="Times New Roman" w:hAnsi="Times New Roman" w:cs="Times New Roman"/>
                <w:b/>
                <w:color w:val="000000"/>
                <w:sz w:val="21"/>
                <w:szCs w:val="21"/>
                <w:highlight w:val="none"/>
              </w:rPr>
              <w:t>0</w:t>
            </w:r>
            <w:r>
              <w:rPr>
                <w:rFonts w:hint="eastAsia" w:ascii="Times New Roman" w:hAnsi="Times New Roman" w:cs="Times New Roman"/>
                <w:b/>
                <w:color w:val="000000"/>
                <w:sz w:val="21"/>
                <w:szCs w:val="21"/>
                <w:highlight w:val="none"/>
                <w:lang w:val="zh-CN"/>
              </w:rPr>
              <w:t>0时</w:t>
            </w:r>
          </w:p>
          <w:p>
            <w:pPr>
              <w:adjustRightInd w:val="0"/>
              <w:snapToGrid w:val="0"/>
              <w:spacing w:line="360" w:lineRule="auto"/>
              <w:rPr>
                <w:b/>
                <w:color w:val="000000"/>
                <w:kern w:val="0"/>
                <w:szCs w:val="21"/>
                <w:highlight w:val="none"/>
                <w:lang w:val="zh-CN"/>
              </w:rPr>
            </w:pPr>
            <w:r>
              <w:rPr>
                <w:rFonts w:hint="eastAsia"/>
                <w:b/>
                <w:color w:val="000000"/>
                <w:kern w:val="0"/>
                <w:szCs w:val="21"/>
                <w:highlight w:val="none"/>
                <w:lang w:val="zh-CN"/>
              </w:rPr>
              <w:t>磋商地点：西安曲江新区翠华路500号佳和中心B座20层2号</w:t>
            </w:r>
          </w:p>
          <w:p>
            <w:pPr>
              <w:widowControl/>
              <w:tabs>
                <w:tab w:val="left" w:pos="1620"/>
              </w:tabs>
              <w:ind w:firstLine="211" w:firstLineChars="100"/>
              <w:rPr>
                <w:b/>
                <w:color w:val="000000"/>
                <w:kern w:val="0"/>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2"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2</w:t>
            </w:r>
            <w:r>
              <w:rPr>
                <w:rFonts w:hint="eastAsia" w:ascii="Times New Roman" w:hAnsi="Times New Roman" w:cs="Times New Roman"/>
                <w:color w:val="000000"/>
                <w:sz w:val="21"/>
                <w:szCs w:val="21"/>
                <w:highlight w:val="none"/>
              </w:rPr>
              <w:t>5</w:t>
            </w:r>
            <w:r>
              <w:rPr>
                <w:rFonts w:ascii="Times New Roman" w:hAnsi="Times New Roman" w:cs="Times New Roman"/>
                <w:color w:val="000000"/>
                <w:sz w:val="21"/>
                <w:szCs w:val="21"/>
                <w:highlight w:val="none"/>
              </w:rPr>
              <w:t>、</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磋商时</w:t>
            </w:r>
          </w:p>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需核验原件</w:t>
            </w:r>
          </w:p>
        </w:tc>
        <w:tc>
          <w:tcPr>
            <w:tcW w:w="6433" w:type="dxa"/>
            <w:vAlign w:val="center"/>
          </w:tcPr>
          <w:p>
            <w:pPr>
              <w:pStyle w:val="20"/>
              <w:ind w:firstLine="210" w:firstLineChars="100"/>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递交响应文件时需提交：</w:t>
            </w:r>
          </w:p>
          <w:p>
            <w:pPr>
              <w:pStyle w:val="20"/>
              <w:ind w:firstLine="210" w:firstLineChars="100"/>
              <w:rPr>
                <w:rFonts w:ascii="Times New Roman" w:hAnsi="Times New Roman" w:cs="Times New Roman"/>
                <w:color w:val="000000"/>
                <w:sz w:val="21"/>
                <w:szCs w:val="21"/>
                <w:highlight w:val="none"/>
                <w:lang w:val="zh-CN"/>
              </w:rPr>
            </w:pPr>
            <w:r>
              <w:rPr>
                <w:rFonts w:hint="eastAsia" w:ascii="Times New Roman" w:hAnsi="Times New Roman" w:cs="Times New Roman"/>
                <w:color w:val="000000"/>
                <w:sz w:val="21"/>
                <w:szCs w:val="21"/>
                <w:highlight w:val="none"/>
              </w:rPr>
              <w:t>1、</w:t>
            </w:r>
            <w:r>
              <w:rPr>
                <w:rFonts w:ascii="Times New Roman" w:hAnsi="Times New Roman" w:cs="Times New Roman"/>
                <w:color w:val="000000"/>
                <w:sz w:val="21"/>
                <w:szCs w:val="21"/>
                <w:highlight w:val="none"/>
                <w:lang w:val="zh-CN"/>
              </w:rPr>
              <w:t xml:space="preserve">投标人应是合法注册的法人或其他组织或自然人,并出具合法有效的营业执照；自然人出具身份证明； </w:t>
            </w:r>
          </w:p>
          <w:p>
            <w:pPr>
              <w:pStyle w:val="20"/>
              <w:ind w:firstLine="210" w:firstLineChars="100"/>
              <w:rPr>
                <w:rFonts w:ascii="Times New Roman" w:hAnsi="Times New Roman"/>
                <w:color w:val="000000"/>
                <w:szCs w:val="21"/>
                <w:highlight w:val="none"/>
              </w:rPr>
            </w:pPr>
            <w:r>
              <w:rPr>
                <w:rFonts w:hint="eastAsia" w:ascii="Times New Roman" w:hAnsi="Times New Roman" w:cs="Times New Roman"/>
                <w:color w:val="000000"/>
                <w:sz w:val="21"/>
                <w:szCs w:val="21"/>
                <w:highlight w:val="none"/>
              </w:rPr>
              <w:t>2、</w:t>
            </w:r>
            <w:r>
              <w:rPr>
                <w:rFonts w:ascii="Times New Roman" w:hAnsi="Times New Roman" w:cs="Times New Roman"/>
                <w:color w:val="000000"/>
                <w:sz w:val="21"/>
                <w:szCs w:val="21"/>
                <w:highlight w:val="none"/>
                <w:lang w:val="zh-CN"/>
              </w:rPr>
              <w:t xml:space="preserve">法定代表人授权委托书及代理人身份证原件（法定代表人直接参加时，只须出示法定代表人身份证）；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9"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2</w:t>
            </w:r>
            <w:r>
              <w:rPr>
                <w:rFonts w:hint="eastAsia" w:ascii="Times New Roman" w:hAnsi="Times New Roman" w:cs="Times New Roman"/>
                <w:color w:val="000000"/>
                <w:sz w:val="21"/>
                <w:szCs w:val="21"/>
                <w:highlight w:val="none"/>
              </w:rPr>
              <w:t>6</w:t>
            </w:r>
            <w:r>
              <w:rPr>
                <w:rFonts w:ascii="Times New Roman" w:hAnsi="Times New Roman" w:cs="Times New Roman"/>
                <w:color w:val="000000"/>
                <w:sz w:val="21"/>
                <w:szCs w:val="21"/>
                <w:highlight w:val="none"/>
              </w:rPr>
              <w:t>、</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是否授权磋商小组</w:t>
            </w:r>
          </w:p>
          <w:p>
            <w:pPr>
              <w:pStyle w:val="20"/>
              <w:jc w:val="center"/>
              <w:rPr>
                <w:rFonts w:ascii="Times New Roman" w:hAnsi="Times New Roman" w:cs="Times New Roman"/>
                <w:color w:val="000000"/>
                <w:highlight w:val="none"/>
              </w:rPr>
            </w:pPr>
            <w:r>
              <w:rPr>
                <w:rFonts w:ascii="Times New Roman" w:hAnsi="Times New Roman" w:cs="Times New Roman"/>
                <w:color w:val="000000"/>
                <w:sz w:val="21"/>
                <w:szCs w:val="21"/>
                <w:highlight w:val="none"/>
                <w:lang w:val="zh-CN"/>
              </w:rPr>
              <w:t>确定</w:t>
            </w:r>
            <w:r>
              <w:rPr>
                <w:rFonts w:hint="eastAsia" w:ascii="Times New Roman" w:hAnsi="Times New Roman" w:cs="Times New Roman"/>
                <w:color w:val="000000"/>
                <w:sz w:val="21"/>
                <w:szCs w:val="21"/>
                <w:highlight w:val="none"/>
                <w:lang w:val="zh-CN"/>
              </w:rPr>
              <w:t>成交供应商</w:t>
            </w:r>
            <w:r>
              <w:rPr>
                <w:rFonts w:ascii="Times New Roman" w:hAnsi="Times New Roman" w:cs="Times New Roman"/>
                <w:color w:val="000000"/>
                <w:sz w:val="21"/>
                <w:szCs w:val="21"/>
                <w:highlight w:val="none"/>
                <w:lang w:val="zh-CN"/>
              </w:rPr>
              <w:t>候选人名单</w:t>
            </w:r>
          </w:p>
        </w:tc>
        <w:tc>
          <w:tcPr>
            <w:tcW w:w="6433" w:type="dxa"/>
            <w:vAlign w:val="center"/>
          </w:tcPr>
          <w:p>
            <w:pPr>
              <w:pStyle w:val="20"/>
              <w:adjustRightInd/>
              <w:ind w:firstLine="210" w:firstLineChars="100"/>
              <w:rPr>
                <w:rFonts w:ascii="Times New Roman" w:hAnsi="Times New Roman" w:cs="Times New Roman"/>
                <w:color w:val="000000"/>
                <w:highlight w:val="none"/>
              </w:rPr>
            </w:pPr>
            <w:r>
              <w:rPr>
                <w:rFonts w:ascii="Times New Roman" w:hAnsi="Times New Roman" w:cs="Times New Roman"/>
                <w:bCs/>
                <w:color w:val="000000"/>
                <w:sz w:val="21"/>
                <w:szCs w:val="21"/>
                <w:highlight w:val="none"/>
                <w:lang w:val="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21"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2</w:t>
            </w:r>
            <w:r>
              <w:rPr>
                <w:rFonts w:hint="eastAsia" w:ascii="Times New Roman" w:hAnsi="Times New Roman" w:cs="Times New Roman"/>
                <w:color w:val="000000"/>
                <w:sz w:val="21"/>
                <w:szCs w:val="21"/>
                <w:highlight w:val="none"/>
              </w:rPr>
              <w:t>7</w:t>
            </w:r>
            <w:r>
              <w:rPr>
                <w:rFonts w:ascii="Times New Roman" w:hAnsi="Times New Roman" w:cs="Times New Roman"/>
                <w:color w:val="000000"/>
                <w:sz w:val="21"/>
                <w:szCs w:val="21"/>
                <w:highlight w:val="none"/>
              </w:rPr>
              <w:t>、</w:t>
            </w:r>
          </w:p>
        </w:tc>
        <w:tc>
          <w:tcPr>
            <w:tcW w:w="2055" w:type="dxa"/>
            <w:vAlign w:val="center"/>
          </w:tcPr>
          <w:p>
            <w:pPr>
              <w:pStyle w:val="20"/>
              <w:jc w:val="center"/>
              <w:rPr>
                <w:rFonts w:ascii="Times New Roman" w:hAnsi="Times New Roman" w:cs="Times New Roman"/>
                <w:color w:val="000000"/>
                <w:sz w:val="21"/>
                <w:szCs w:val="21"/>
                <w:highlight w:val="none"/>
                <w:lang w:val="zh-CN"/>
              </w:rPr>
            </w:pPr>
            <w:r>
              <w:rPr>
                <w:rFonts w:ascii="Times New Roman" w:hAnsi="Times New Roman" w:cs="Times New Roman"/>
                <w:color w:val="000000"/>
                <w:sz w:val="21"/>
                <w:szCs w:val="21"/>
                <w:highlight w:val="none"/>
                <w:lang w:val="zh-CN"/>
              </w:rPr>
              <w:t>其他</w:t>
            </w:r>
          </w:p>
        </w:tc>
        <w:tc>
          <w:tcPr>
            <w:tcW w:w="6433" w:type="dxa"/>
            <w:vAlign w:val="center"/>
          </w:tcPr>
          <w:p>
            <w:pPr>
              <w:spacing w:line="360" w:lineRule="auto"/>
              <w:jc w:val="left"/>
            </w:pPr>
            <w:r>
              <w:rPr>
                <w:rFonts w:hint="eastAsia"/>
                <w:lang w:val="en-US" w:eastAsia="zh-CN"/>
              </w:rPr>
              <w:t>1、</w:t>
            </w:r>
            <w:r>
              <w:rPr>
                <w:rFonts w:hint="eastAsia"/>
              </w:rPr>
              <w:t>成交代理服务费金额：按照国家发展计划委员会计价格[2002]1980号文件及国家发展改革委员会办公厅颁发的《关于招标代理服务收费有关问题的通知》（发改办价格[2003]857号）的规定标准收取。</w:t>
            </w:r>
          </w:p>
          <w:p>
            <w:pPr>
              <w:spacing w:line="360" w:lineRule="auto"/>
              <w:jc w:val="left"/>
            </w:pPr>
            <w:r>
              <w:rPr>
                <w:rFonts w:hint="eastAsia"/>
              </w:rPr>
              <w:t>2、成交单位领取成交通知书前，须向采购代理机构一次性支付代理服务费。</w:t>
            </w:r>
          </w:p>
          <w:p>
            <w:pPr>
              <w:spacing w:line="360" w:lineRule="auto"/>
              <w:jc w:val="left"/>
              <w:rPr>
                <w:rFonts w:hint="eastAsia"/>
              </w:rPr>
            </w:pPr>
            <w:r>
              <w:rPr>
                <w:rFonts w:hint="eastAsia"/>
              </w:rPr>
              <w:t>3、代理服务费缴纳账户信息：</w:t>
            </w:r>
          </w:p>
          <w:p>
            <w:pPr>
              <w:spacing w:line="360" w:lineRule="auto"/>
              <w:jc w:val="left"/>
              <w:rPr>
                <w:rFonts w:hint="eastAsia"/>
              </w:rPr>
            </w:pPr>
            <w:r>
              <w:rPr>
                <w:rFonts w:hint="eastAsia"/>
              </w:rPr>
              <w:t>开户名称：陕西中天正略企业运营发展有限公司</w:t>
            </w:r>
          </w:p>
          <w:p>
            <w:pPr>
              <w:spacing w:line="360" w:lineRule="auto"/>
              <w:jc w:val="left"/>
              <w:rPr>
                <w:rFonts w:hint="eastAsia"/>
              </w:rPr>
            </w:pPr>
            <w:r>
              <w:rPr>
                <w:rFonts w:hint="eastAsia"/>
              </w:rPr>
              <w:t>开户银行：交通银行西安南二环支行</w:t>
            </w:r>
          </w:p>
          <w:p>
            <w:pPr>
              <w:spacing w:line="360" w:lineRule="auto"/>
              <w:jc w:val="left"/>
              <w:rPr>
                <w:rFonts w:hint="eastAsia"/>
              </w:rPr>
            </w:pPr>
            <w:r>
              <w:rPr>
                <w:rFonts w:hint="eastAsia"/>
              </w:rPr>
              <w:t>账    号：611301136013000210918</w:t>
            </w:r>
          </w:p>
          <w:p>
            <w:pPr>
              <w:spacing w:line="360" w:lineRule="auto"/>
              <w:jc w:val="left"/>
              <w:rPr>
                <w:rFonts w:hint="eastAsia"/>
                <w:lang w:eastAsia="zh-CN"/>
              </w:rPr>
            </w:pPr>
            <w:r>
              <w:rPr>
                <w:rFonts w:hint="eastAsia"/>
                <w:lang w:val="en-US" w:eastAsia="zh-CN"/>
              </w:rPr>
              <w:t>4、</w:t>
            </w:r>
            <w:r>
              <w:rPr>
                <w:rFonts w:hint="eastAsia" w:asciiTheme="minorEastAsia" w:hAnsiTheme="minorEastAsia" w:eastAsiaTheme="minorEastAsia"/>
                <w:szCs w:val="24"/>
              </w:rPr>
              <w:t>转账时请注明所投项目</w:t>
            </w:r>
            <w:r>
              <w:rPr>
                <w:rFonts w:hint="eastAsia" w:asciiTheme="minorEastAsia" w:hAnsiTheme="minorEastAsia" w:eastAsiaTheme="minorEastAsia"/>
                <w:szCs w:val="24"/>
                <w:lang w:val="en-US" w:eastAsia="zh-CN"/>
              </w:rPr>
              <w:t>名称</w:t>
            </w:r>
            <w:r>
              <w:rPr>
                <w:rFonts w:hint="eastAsia" w:asciiTheme="minorEastAsia" w:hAnsiTheme="minorEastAsia" w:eastAsiaTheme="minorEastAsia"/>
                <w:szCs w:val="24"/>
              </w:rPr>
              <w:t>，代理服务费到账请致电财务部查询，</w:t>
            </w:r>
            <w:r>
              <w:rPr>
                <w:rFonts w:hint="eastAsia" w:cs="宋体" w:asciiTheme="minorEastAsia" w:hAnsiTheme="minorEastAsia" w:eastAsiaTheme="minorEastAsia"/>
                <w:color w:val="000000"/>
                <w:szCs w:val="24"/>
              </w:rPr>
              <w:t>联系电话</w:t>
            </w:r>
            <w:r>
              <w:rPr>
                <w:rFonts w:cs="宋体" w:asciiTheme="minorEastAsia" w:hAnsiTheme="minorEastAsia" w:eastAsiaTheme="minorEastAsia"/>
                <w:color w:val="000000"/>
                <w:szCs w:val="24"/>
              </w:rPr>
              <w:t>029-</w:t>
            </w:r>
            <w:r>
              <w:rPr>
                <w:rFonts w:hint="eastAsia" w:cs="宋体" w:asciiTheme="minorEastAsia" w:hAnsiTheme="minorEastAsia" w:eastAsiaTheme="minorEastAsia"/>
                <w:color w:val="000000"/>
                <w:szCs w:val="24"/>
                <w:lang w:val="en-US" w:eastAsia="zh-CN"/>
              </w:rPr>
              <w:t>89660303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648" w:type="dxa"/>
            <w:vAlign w:val="center"/>
          </w:tcPr>
          <w:p>
            <w:pPr>
              <w:pStyle w:val="20"/>
              <w:ind w:right="-224"/>
              <w:jc w:val="center"/>
              <w:rPr>
                <w:rFonts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rPr>
              <w:t>28、</w:t>
            </w:r>
          </w:p>
        </w:tc>
        <w:tc>
          <w:tcPr>
            <w:tcW w:w="2055" w:type="dxa"/>
            <w:vAlign w:val="center"/>
          </w:tcPr>
          <w:p>
            <w:pPr>
              <w:pStyle w:val="20"/>
              <w:jc w:val="center"/>
              <w:rPr>
                <w:rFonts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rPr>
              <w:t>监督单位</w:t>
            </w:r>
          </w:p>
        </w:tc>
        <w:tc>
          <w:tcPr>
            <w:tcW w:w="6433" w:type="dxa"/>
            <w:vAlign w:val="center"/>
          </w:tcPr>
          <w:p>
            <w:pPr>
              <w:ind w:right="105" w:rightChars="50"/>
              <w:jc w:val="left"/>
              <w:rPr>
                <w:color w:val="000000"/>
                <w:szCs w:val="22"/>
                <w:highlight w:val="none"/>
              </w:rPr>
            </w:pPr>
            <w:r>
              <w:rPr>
                <w:rFonts w:hint="eastAsia"/>
                <w:color w:val="000000"/>
                <w:szCs w:val="22"/>
                <w:highlight w:val="none"/>
              </w:rPr>
              <w:t>武功县财政局</w:t>
            </w:r>
          </w:p>
        </w:tc>
      </w:tr>
    </w:tbl>
    <w:p>
      <w:pPr>
        <w:pStyle w:val="5"/>
        <w:autoSpaceDE/>
        <w:autoSpaceDN/>
        <w:adjustRightInd/>
        <w:spacing w:before="0" w:after="0" w:line="360" w:lineRule="auto"/>
        <w:jc w:val="both"/>
        <w:rPr>
          <w:rFonts w:ascii="Times New Roman"/>
          <w:color w:val="000000"/>
          <w:highlight w:val="none"/>
        </w:rPr>
      </w:pPr>
      <w:r>
        <w:rPr>
          <w:rFonts w:ascii="Times New Roman"/>
          <w:color w:val="000000"/>
          <w:highlight w:val="none"/>
        </w:rPr>
        <w:br w:type="page"/>
      </w:r>
      <w:bookmarkStart w:id="20" w:name="_Toc485883200"/>
      <w:bookmarkStart w:id="21" w:name="_Toc183682341"/>
      <w:bookmarkStart w:id="22" w:name="_Toc89075873"/>
      <w:bookmarkStart w:id="23" w:name="_Toc77400778"/>
      <w:bookmarkStart w:id="24" w:name="_Toc183582204"/>
      <w:bookmarkStart w:id="25" w:name="_Toc217446033"/>
      <w:r>
        <w:rPr>
          <w:rFonts w:ascii="Times New Roman"/>
          <w:color w:val="000000"/>
          <w:kern w:val="2"/>
          <w:sz w:val="30"/>
          <w:szCs w:val="30"/>
          <w:highlight w:val="none"/>
          <w:u w:val="none"/>
        </w:rPr>
        <w:t>一、总  则</w:t>
      </w:r>
      <w:bookmarkEnd w:id="20"/>
      <w:bookmarkEnd w:id="21"/>
      <w:bookmarkEnd w:id="22"/>
      <w:bookmarkEnd w:id="23"/>
      <w:bookmarkEnd w:id="24"/>
      <w:bookmarkEnd w:id="25"/>
      <w:bookmarkStart w:id="26" w:name="_Toc183582205"/>
      <w:bookmarkStart w:id="27" w:name="_Toc183682342"/>
      <w:bookmarkStart w:id="28" w:name="_Toc217446034"/>
    </w:p>
    <w:p>
      <w:pPr>
        <w:pStyle w:val="6"/>
        <w:keepLines/>
        <w:spacing w:line="360" w:lineRule="auto"/>
        <w:rPr>
          <w:b/>
          <w:bCs/>
          <w:color w:val="000000"/>
          <w:sz w:val="24"/>
          <w:szCs w:val="24"/>
          <w:highlight w:val="none"/>
          <w:u w:val="none"/>
        </w:rPr>
      </w:pPr>
      <w:bookmarkStart w:id="29" w:name="_Toc485883201"/>
      <w:r>
        <w:rPr>
          <w:b/>
          <w:bCs/>
          <w:color w:val="000000"/>
          <w:sz w:val="24"/>
          <w:szCs w:val="24"/>
          <w:highlight w:val="none"/>
          <w:u w:val="none"/>
        </w:rPr>
        <w:t>1.</w:t>
      </w:r>
      <w:bookmarkEnd w:id="26"/>
      <w:bookmarkEnd w:id="27"/>
      <w:r>
        <w:rPr>
          <w:b/>
          <w:bCs/>
          <w:color w:val="000000"/>
          <w:sz w:val="24"/>
          <w:szCs w:val="24"/>
          <w:highlight w:val="none"/>
          <w:u w:val="none"/>
        </w:rPr>
        <w:t>适用范围</w:t>
      </w:r>
      <w:bookmarkEnd w:id="28"/>
      <w:bookmarkEnd w:id="29"/>
    </w:p>
    <w:p>
      <w:pPr>
        <w:spacing w:line="360" w:lineRule="auto"/>
        <w:ind w:firstLine="480" w:firstLineChars="200"/>
        <w:rPr>
          <w:color w:val="000000"/>
          <w:sz w:val="24"/>
          <w:highlight w:val="none"/>
        </w:rPr>
      </w:pPr>
      <w:r>
        <w:rPr>
          <w:color w:val="000000"/>
          <w:sz w:val="24"/>
          <w:highlight w:val="none"/>
        </w:rPr>
        <w:t>1.1本竞争性磋商文件仅适用于本次竞争性磋商（以下简称磋商）所叙述的项目采购活动。</w:t>
      </w:r>
      <w:bookmarkStart w:id="30" w:name="_Toc183582206"/>
      <w:bookmarkStart w:id="31" w:name="_Toc217446035"/>
      <w:bookmarkStart w:id="32" w:name="_Toc183682343"/>
    </w:p>
    <w:p>
      <w:pPr>
        <w:pStyle w:val="6"/>
        <w:keepLines/>
        <w:spacing w:line="360" w:lineRule="auto"/>
        <w:rPr>
          <w:b/>
          <w:bCs/>
          <w:color w:val="000000"/>
          <w:sz w:val="24"/>
          <w:szCs w:val="24"/>
          <w:highlight w:val="none"/>
          <w:u w:val="none"/>
        </w:rPr>
      </w:pPr>
      <w:bookmarkStart w:id="33" w:name="_Toc485883202"/>
      <w:r>
        <w:rPr>
          <w:b/>
          <w:bCs/>
          <w:color w:val="000000"/>
          <w:sz w:val="24"/>
          <w:szCs w:val="24"/>
          <w:highlight w:val="none"/>
          <w:u w:val="none"/>
        </w:rPr>
        <w:t>2.</w:t>
      </w:r>
      <w:bookmarkEnd w:id="30"/>
      <w:bookmarkEnd w:id="31"/>
      <w:bookmarkEnd w:id="32"/>
      <w:r>
        <w:rPr>
          <w:b/>
          <w:bCs/>
          <w:color w:val="000000"/>
          <w:sz w:val="24"/>
          <w:szCs w:val="24"/>
          <w:highlight w:val="none"/>
          <w:u w:val="none"/>
        </w:rPr>
        <w:t>名词解释</w:t>
      </w:r>
      <w:bookmarkEnd w:id="33"/>
    </w:p>
    <w:p>
      <w:pPr>
        <w:tabs>
          <w:tab w:val="left" w:pos="7665"/>
        </w:tabs>
        <w:spacing w:line="360" w:lineRule="auto"/>
        <w:ind w:firstLine="480" w:firstLineChars="200"/>
        <w:rPr>
          <w:color w:val="000000"/>
          <w:sz w:val="24"/>
          <w:highlight w:val="none"/>
        </w:rPr>
      </w:pPr>
      <w:bookmarkStart w:id="34" w:name="_Toc217390843"/>
      <w:bookmarkStart w:id="35" w:name="_Toc217446036"/>
      <w:bookmarkStart w:id="36" w:name="_Toc183582207"/>
      <w:bookmarkStart w:id="37" w:name="_Toc183682344"/>
      <w:r>
        <w:rPr>
          <w:color w:val="000000"/>
          <w:sz w:val="24"/>
          <w:highlight w:val="none"/>
        </w:rPr>
        <w:t>2.1采购人：</w:t>
      </w:r>
      <w:r>
        <w:rPr>
          <w:rFonts w:hint="eastAsia"/>
          <w:color w:val="000000"/>
          <w:sz w:val="24"/>
          <w:highlight w:val="none"/>
          <w:lang w:val="zh-CN"/>
        </w:rPr>
        <w:t>武功县信息化工作办公室</w:t>
      </w:r>
    </w:p>
    <w:p>
      <w:pPr>
        <w:tabs>
          <w:tab w:val="left" w:pos="7665"/>
        </w:tabs>
        <w:spacing w:line="360" w:lineRule="auto"/>
        <w:ind w:firstLine="480" w:firstLineChars="200"/>
        <w:rPr>
          <w:color w:val="000000"/>
          <w:sz w:val="24"/>
          <w:highlight w:val="none"/>
        </w:rPr>
      </w:pPr>
      <w:r>
        <w:rPr>
          <w:color w:val="000000"/>
          <w:sz w:val="24"/>
          <w:highlight w:val="none"/>
        </w:rPr>
        <w:t>2.2采购代理机构：</w:t>
      </w:r>
      <w:r>
        <w:rPr>
          <w:rFonts w:hint="eastAsia"/>
          <w:color w:val="000000"/>
          <w:sz w:val="24"/>
          <w:highlight w:val="none"/>
        </w:rPr>
        <w:t>陕西中天正略企业运营发展有限公司</w:t>
      </w:r>
    </w:p>
    <w:p>
      <w:pPr>
        <w:tabs>
          <w:tab w:val="left" w:pos="7665"/>
        </w:tabs>
        <w:spacing w:line="360" w:lineRule="auto"/>
        <w:ind w:firstLine="480" w:firstLineChars="200"/>
        <w:rPr>
          <w:color w:val="000000"/>
          <w:sz w:val="24"/>
          <w:highlight w:val="none"/>
        </w:rPr>
      </w:pPr>
      <w:r>
        <w:rPr>
          <w:color w:val="000000"/>
          <w:sz w:val="24"/>
          <w:highlight w:val="none"/>
        </w:rPr>
        <w:t>2.3供应商：是指响应和符合竞争性磋商文件（以下简称磋商文件）规定资格条件且参与磋商竞争的法人。</w:t>
      </w:r>
    </w:p>
    <w:p>
      <w:pPr>
        <w:adjustRightInd w:val="0"/>
        <w:snapToGrid w:val="0"/>
        <w:spacing w:line="360" w:lineRule="auto"/>
        <w:ind w:firstLine="480" w:firstLineChars="200"/>
        <w:rPr>
          <w:color w:val="000000"/>
          <w:sz w:val="24"/>
          <w:highlight w:val="none"/>
        </w:rPr>
      </w:pPr>
      <w:r>
        <w:rPr>
          <w:color w:val="000000"/>
          <w:sz w:val="24"/>
          <w:highlight w:val="none"/>
        </w:rPr>
        <w:t>2.4服务：是指供应商为满足磋商文件要求而提供的服务。</w:t>
      </w:r>
    </w:p>
    <w:p>
      <w:pPr>
        <w:adjustRightInd w:val="0"/>
        <w:snapToGrid w:val="0"/>
        <w:spacing w:line="360" w:lineRule="auto"/>
        <w:ind w:firstLine="480" w:firstLineChars="200"/>
        <w:rPr>
          <w:color w:val="000000"/>
          <w:sz w:val="24"/>
          <w:highlight w:val="none"/>
        </w:rPr>
      </w:pPr>
      <w:bookmarkStart w:id="38" w:name="_Toc485883203"/>
      <w:r>
        <w:rPr>
          <w:color w:val="000000"/>
          <w:sz w:val="24"/>
          <w:highlight w:val="none"/>
        </w:rPr>
        <w:t>2.5节能产品或者环保产品是指财政部发布的《节能产品政府采购清单》或者《环境标志产品政府采购清单》的产品。</w:t>
      </w:r>
    </w:p>
    <w:p>
      <w:pPr>
        <w:adjustRightInd w:val="0"/>
        <w:snapToGrid w:val="0"/>
        <w:spacing w:line="360" w:lineRule="auto"/>
        <w:ind w:firstLine="360" w:firstLineChars="150"/>
        <w:rPr>
          <w:color w:val="000000"/>
          <w:kern w:val="0"/>
          <w:sz w:val="24"/>
          <w:highlight w:val="none"/>
        </w:rPr>
      </w:pPr>
      <w:r>
        <w:rPr>
          <w:color w:val="000000"/>
          <w:kern w:val="0"/>
          <w:sz w:val="24"/>
          <w:highlight w:val="none"/>
        </w:rPr>
        <w:t xml:space="preserve"> 2.6进口产品是指通过中国海关报关验放进入中国境内且产自关境外的产品，详见《关于政府采购进口产品管理有关问题的通知》(财库[2007]119号)。</w:t>
      </w:r>
    </w:p>
    <w:p>
      <w:pPr>
        <w:adjustRightInd w:val="0"/>
        <w:snapToGrid w:val="0"/>
        <w:spacing w:line="360" w:lineRule="auto"/>
        <w:ind w:firstLine="480" w:firstLineChars="200"/>
        <w:rPr>
          <w:color w:val="000000"/>
          <w:sz w:val="24"/>
          <w:highlight w:val="none"/>
        </w:rPr>
      </w:pPr>
      <w:r>
        <w:rPr>
          <w:color w:val="000000"/>
          <w:kern w:val="0"/>
          <w:sz w:val="24"/>
          <w:highlight w:val="none"/>
        </w:rPr>
        <w:t>2.7</w:t>
      </w:r>
      <w:r>
        <w:rPr>
          <w:color w:val="000000"/>
          <w:sz w:val="24"/>
          <w:highlight w:val="none"/>
        </w:rPr>
        <w:t xml:space="preserve"> 中小企业是指符合《工业和信息化部、国家统计局、国家发展和改革委员会、财政部关于印发中小企业划型标准规定的通知》（工信部联企业[2011]300号）规定的对中小企业的划分标准的企业。</w:t>
      </w:r>
    </w:p>
    <w:p>
      <w:pPr>
        <w:adjustRightInd w:val="0"/>
        <w:snapToGrid w:val="0"/>
        <w:spacing w:line="360" w:lineRule="auto"/>
        <w:ind w:firstLine="480" w:firstLineChars="200"/>
        <w:rPr>
          <w:color w:val="000000"/>
          <w:sz w:val="24"/>
          <w:highlight w:val="none"/>
        </w:rPr>
      </w:pPr>
      <w:r>
        <w:rPr>
          <w:color w:val="000000"/>
          <w:sz w:val="24"/>
          <w:highlight w:val="none"/>
        </w:rPr>
        <w:t>2.8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djustRightInd w:val="0"/>
        <w:snapToGrid w:val="0"/>
        <w:spacing w:line="360" w:lineRule="auto"/>
        <w:ind w:firstLine="480" w:firstLineChars="200"/>
        <w:rPr>
          <w:color w:val="000000"/>
          <w:sz w:val="24"/>
          <w:highlight w:val="none"/>
        </w:rPr>
      </w:pPr>
      <w:r>
        <w:rPr>
          <w:color w:val="000000"/>
          <w:sz w:val="24"/>
          <w:highlight w:val="none"/>
        </w:rPr>
        <w:t>2.9残疾人福利性单位是指符合《民政部、财政部、中国残疾人联合会关于促进残疾人就业政府采购政策的通知》（</w:t>
      </w:r>
      <w:r>
        <w:rPr>
          <w:color w:val="000000"/>
          <w:kern w:val="0"/>
          <w:sz w:val="24"/>
          <w:highlight w:val="none"/>
        </w:rPr>
        <w:t>财库[2017]141号</w:t>
      </w:r>
      <w:r>
        <w:rPr>
          <w:color w:val="000000"/>
          <w:sz w:val="24"/>
          <w:highlight w:val="none"/>
        </w:rPr>
        <w:t>）规定的单位。</w:t>
      </w:r>
    </w:p>
    <w:p>
      <w:pPr>
        <w:pStyle w:val="6"/>
        <w:keepLines/>
        <w:spacing w:line="360" w:lineRule="auto"/>
        <w:rPr>
          <w:b/>
          <w:bCs/>
          <w:color w:val="000000"/>
          <w:sz w:val="24"/>
          <w:szCs w:val="24"/>
          <w:highlight w:val="none"/>
          <w:u w:val="none"/>
        </w:rPr>
      </w:pPr>
      <w:r>
        <w:rPr>
          <w:b/>
          <w:bCs/>
          <w:color w:val="000000"/>
          <w:sz w:val="24"/>
          <w:szCs w:val="24"/>
          <w:highlight w:val="none"/>
          <w:u w:val="none"/>
        </w:rPr>
        <w:t>3.合格的</w:t>
      </w:r>
      <w:bookmarkEnd w:id="34"/>
      <w:bookmarkEnd w:id="35"/>
      <w:bookmarkEnd w:id="36"/>
      <w:bookmarkEnd w:id="37"/>
      <w:r>
        <w:rPr>
          <w:b/>
          <w:bCs/>
          <w:color w:val="000000"/>
          <w:sz w:val="24"/>
          <w:szCs w:val="24"/>
          <w:highlight w:val="none"/>
          <w:u w:val="none"/>
        </w:rPr>
        <w:t>供应商</w:t>
      </w:r>
      <w:bookmarkEnd w:id="38"/>
    </w:p>
    <w:p>
      <w:pPr>
        <w:tabs>
          <w:tab w:val="left" w:pos="7665"/>
        </w:tabs>
        <w:spacing w:line="360" w:lineRule="auto"/>
        <w:ind w:firstLine="470" w:firstLineChars="196"/>
        <w:rPr>
          <w:color w:val="000000"/>
          <w:sz w:val="24"/>
          <w:highlight w:val="none"/>
        </w:rPr>
      </w:pPr>
      <w:r>
        <w:rPr>
          <w:color w:val="000000"/>
          <w:sz w:val="24"/>
          <w:highlight w:val="none"/>
        </w:rPr>
        <w:t>3.1合格的供应商应具备以下条件：</w:t>
      </w:r>
    </w:p>
    <w:p>
      <w:pPr>
        <w:tabs>
          <w:tab w:val="left" w:pos="7665"/>
        </w:tabs>
        <w:spacing w:line="360" w:lineRule="auto"/>
        <w:ind w:firstLine="480" w:firstLineChars="200"/>
        <w:rPr>
          <w:color w:val="000000"/>
          <w:spacing w:val="-4"/>
          <w:sz w:val="24"/>
          <w:highlight w:val="none"/>
        </w:rPr>
      </w:pPr>
      <w:r>
        <w:rPr>
          <w:color w:val="000000"/>
          <w:sz w:val="24"/>
          <w:highlight w:val="none"/>
        </w:rPr>
        <w:t>（1）具备且满足</w:t>
      </w:r>
      <w:r>
        <w:rPr>
          <w:rFonts w:hint="eastAsia"/>
          <w:color w:val="000000"/>
          <w:sz w:val="24"/>
          <w:highlight w:val="none"/>
        </w:rPr>
        <w:t>“</w:t>
      </w:r>
      <w:r>
        <w:rPr>
          <w:color w:val="000000"/>
          <w:sz w:val="24"/>
          <w:highlight w:val="none"/>
        </w:rPr>
        <w:t>竞争性磋商公告</w:t>
      </w:r>
      <w:r>
        <w:rPr>
          <w:rFonts w:hint="eastAsia"/>
          <w:color w:val="000000"/>
          <w:sz w:val="24"/>
          <w:highlight w:val="none"/>
        </w:rPr>
        <w:t>”</w:t>
      </w:r>
      <w:r>
        <w:rPr>
          <w:color w:val="000000"/>
          <w:sz w:val="24"/>
          <w:highlight w:val="none"/>
        </w:rPr>
        <w:t>要求的</w:t>
      </w:r>
      <w:r>
        <w:rPr>
          <w:color w:val="000000"/>
          <w:spacing w:val="-4"/>
          <w:sz w:val="24"/>
          <w:highlight w:val="none"/>
        </w:rPr>
        <w:t>；</w:t>
      </w:r>
    </w:p>
    <w:p>
      <w:pPr>
        <w:tabs>
          <w:tab w:val="left" w:pos="7665"/>
        </w:tabs>
        <w:spacing w:line="360" w:lineRule="auto"/>
        <w:ind w:firstLine="480" w:firstLineChars="200"/>
        <w:rPr>
          <w:color w:val="000000"/>
          <w:sz w:val="24"/>
          <w:highlight w:val="none"/>
        </w:rPr>
      </w:pPr>
      <w:r>
        <w:rPr>
          <w:color w:val="000000"/>
          <w:sz w:val="24"/>
          <w:highlight w:val="none"/>
        </w:rPr>
        <w:t>（2）向采购代理机构购买了磋商文件并登记备案的；</w:t>
      </w:r>
    </w:p>
    <w:p>
      <w:pPr>
        <w:tabs>
          <w:tab w:val="left" w:pos="7665"/>
        </w:tabs>
        <w:spacing w:line="360" w:lineRule="auto"/>
        <w:ind w:firstLine="480" w:firstLineChars="200"/>
        <w:rPr>
          <w:color w:val="000000"/>
          <w:sz w:val="24"/>
          <w:highlight w:val="none"/>
        </w:rPr>
      </w:pPr>
      <w:r>
        <w:rPr>
          <w:color w:val="000000"/>
          <w:sz w:val="24"/>
          <w:highlight w:val="none"/>
        </w:rPr>
        <w:t>（3）向采购代理机构缴纳了磋商保证金的；</w:t>
      </w:r>
    </w:p>
    <w:p>
      <w:pPr>
        <w:tabs>
          <w:tab w:val="left" w:pos="7665"/>
        </w:tabs>
        <w:spacing w:line="360" w:lineRule="auto"/>
        <w:ind w:firstLine="480" w:firstLineChars="200"/>
        <w:rPr>
          <w:color w:val="000000"/>
          <w:sz w:val="24"/>
          <w:highlight w:val="none"/>
        </w:rPr>
      </w:pPr>
      <w:r>
        <w:rPr>
          <w:color w:val="000000"/>
          <w:sz w:val="24"/>
          <w:highlight w:val="none"/>
        </w:rPr>
        <w:t>（4）一个供应商只能提交一个响应文件，法定代表人为同一人的两个及两个以上法人，不得同时参加本项目磋商；</w:t>
      </w:r>
    </w:p>
    <w:p>
      <w:pPr>
        <w:tabs>
          <w:tab w:val="left" w:pos="7665"/>
        </w:tabs>
        <w:spacing w:line="360" w:lineRule="auto"/>
        <w:ind w:firstLine="480" w:firstLineChars="200"/>
        <w:rPr>
          <w:color w:val="000000"/>
          <w:sz w:val="24"/>
          <w:highlight w:val="none"/>
        </w:rPr>
      </w:pPr>
      <w:r>
        <w:rPr>
          <w:color w:val="000000"/>
          <w:sz w:val="24"/>
          <w:highlight w:val="none"/>
        </w:rPr>
        <w:t>（5）有隶属关系的两个公司或有控股关系的两个公司不能同时参加同一包磋商或者未划分包的同一项目的磋商；</w:t>
      </w:r>
    </w:p>
    <w:p>
      <w:pPr>
        <w:tabs>
          <w:tab w:val="left" w:pos="7665"/>
        </w:tabs>
        <w:spacing w:line="360" w:lineRule="auto"/>
        <w:ind w:firstLine="480" w:firstLineChars="200"/>
        <w:rPr>
          <w:color w:val="000000"/>
          <w:sz w:val="24"/>
          <w:highlight w:val="none"/>
        </w:rPr>
      </w:pPr>
      <w:r>
        <w:rPr>
          <w:color w:val="000000"/>
          <w:sz w:val="24"/>
          <w:highlight w:val="none"/>
        </w:rPr>
        <w:t>（6）遵守国家、陕西省和西安市有关政府采购的法律、条例和法规；</w:t>
      </w:r>
    </w:p>
    <w:p>
      <w:pPr>
        <w:tabs>
          <w:tab w:val="left" w:pos="7665"/>
        </w:tabs>
        <w:spacing w:line="360" w:lineRule="auto"/>
        <w:ind w:firstLine="480" w:firstLineChars="200"/>
        <w:rPr>
          <w:color w:val="000000"/>
          <w:sz w:val="24"/>
          <w:highlight w:val="none"/>
        </w:rPr>
      </w:pPr>
      <w:r>
        <w:rPr>
          <w:color w:val="000000"/>
          <w:sz w:val="24"/>
          <w:highlight w:val="none"/>
        </w:rPr>
        <w:t>（7）磋商文件和法律、行政法规规定的其他条件。</w:t>
      </w:r>
    </w:p>
    <w:p>
      <w:pPr>
        <w:adjustRightInd w:val="0"/>
        <w:snapToGrid w:val="0"/>
        <w:spacing w:line="360" w:lineRule="auto"/>
        <w:ind w:firstLine="480" w:firstLineChars="200"/>
        <w:rPr>
          <w:color w:val="000000"/>
          <w:sz w:val="24"/>
          <w:highlight w:val="none"/>
        </w:rPr>
      </w:pPr>
      <w:r>
        <w:rPr>
          <w:color w:val="000000"/>
          <w:sz w:val="24"/>
          <w:highlight w:val="none"/>
        </w:rPr>
        <w:t>3.2供应商不得存在下列情形之一：</w:t>
      </w:r>
    </w:p>
    <w:p>
      <w:pPr>
        <w:adjustRightInd w:val="0"/>
        <w:snapToGrid w:val="0"/>
        <w:spacing w:line="360" w:lineRule="auto"/>
        <w:ind w:firstLine="480" w:firstLineChars="200"/>
        <w:rPr>
          <w:color w:val="000000"/>
          <w:sz w:val="24"/>
          <w:highlight w:val="none"/>
        </w:rPr>
      </w:pPr>
      <w:r>
        <w:rPr>
          <w:color w:val="000000"/>
          <w:sz w:val="24"/>
          <w:highlight w:val="none"/>
        </w:rPr>
        <w:t>（l）与采购人存在</w:t>
      </w:r>
      <w:r>
        <w:rPr>
          <w:bCs/>
          <w:color w:val="000000"/>
          <w:sz w:val="24"/>
          <w:highlight w:val="none"/>
        </w:rPr>
        <w:t>隶属关系或者其他利害关系；</w:t>
      </w:r>
    </w:p>
    <w:p>
      <w:pPr>
        <w:adjustRightInd w:val="0"/>
        <w:snapToGrid w:val="0"/>
        <w:spacing w:line="360" w:lineRule="auto"/>
        <w:ind w:firstLine="480" w:firstLineChars="200"/>
        <w:rPr>
          <w:color w:val="000000"/>
          <w:sz w:val="24"/>
          <w:highlight w:val="none"/>
        </w:rPr>
      </w:pPr>
      <w:r>
        <w:rPr>
          <w:color w:val="000000"/>
          <w:sz w:val="24"/>
          <w:highlight w:val="none"/>
        </w:rPr>
        <w:t>（2）与其他供应商的法定代表人（或者负责人）为同一人，或者与其他供应商存在控股、关联关系；</w:t>
      </w:r>
    </w:p>
    <w:p>
      <w:pPr>
        <w:adjustRightInd w:val="0"/>
        <w:snapToGrid w:val="0"/>
        <w:spacing w:line="360" w:lineRule="auto"/>
        <w:ind w:firstLine="480" w:firstLineChars="200"/>
        <w:rPr>
          <w:color w:val="000000"/>
          <w:sz w:val="24"/>
          <w:highlight w:val="none"/>
        </w:rPr>
      </w:pPr>
      <w:r>
        <w:rPr>
          <w:color w:val="000000"/>
          <w:sz w:val="24"/>
          <w:highlight w:val="none"/>
        </w:rPr>
        <w:t>（3）</w:t>
      </w:r>
      <w:r>
        <w:rPr>
          <w:bCs/>
          <w:color w:val="000000"/>
          <w:sz w:val="24"/>
          <w:highlight w:val="none"/>
        </w:rPr>
        <w:t>受到刑事处罚，责令停产停业、在一至三年内禁止参加政府采购活动、暂扣或者吊销许可证、暂扣或者吊销执照等情形之一的行政处罚，或者存在</w:t>
      </w:r>
      <w:r>
        <w:rPr>
          <w:color w:val="000000"/>
          <w:sz w:val="24"/>
          <w:highlight w:val="none"/>
        </w:rPr>
        <w:t>财政部门认定的其他重大违法记录。</w:t>
      </w:r>
    </w:p>
    <w:p>
      <w:pPr>
        <w:pStyle w:val="6"/>
        <w:keepLines/>
        <w:spacing w:line="360" w:lineRule="auto"/>
        <w:rPr>
          <w:b/>
          <w:bCs/>
          <w:color w:val="000000"/>
          <w:sz w:val="24"/>
          <w:szCs w:val="24"/>
          <w:highlight w:val="none"/>
          <w:u w:val="none"/>
        </w:rPr>
      </w:pPr>
      <w:bookmarkStart w:id="39" w:name="_Toc485883204"/>
      <w:bookmarkStart w:id="40" w:name="_Toc183582208"/>
      <w:bookmarkStart w:id="41" w:name="_Toc183682345"/>
      <w:bookmarkStart w:id="42" w:name="_Toc217446037"/>
      <w:r>
        <w:rPr>
          <w:b/>
          <w:bCs/>
          <w:color w:val="000000"/>
          <w:sz w:val="24"/>
          <w:szCs w:val="24"/>
          <w:highlight w:val="none"/>
          <w:u w:val="none"/>
        </w:rPr>
        <w:t>4.合格的服务</w:t>
      </w:r>
      <w:bookmarkEnd w:id="39"/>
    </w:p>
    <w:p>
      <w:pPr>
        <w:tabs>
          <w:tab w:val="left" w:pos="747"/>
        </w:tabs>
        <w:snapToGrid w:val="0"/>
        <w:spacing w:line="360" w:lineRule="auto"/>
        <w:ind w:firstLine="480" w:firstLineChars="200"/>
        <w:rPr>
          <w:b/>
          <w:bCs/>
          <w:color w:val="000000"/>
          <w:sz w:val="24"/>
          <w:highlight w:val="none"/>
        </w:rPr>
      </w:pPr>
      <w:r>
        <w:rPr>
          <w:color w:val="000000"/>
          <w:sz w:val="24"/>
          <w:highlight w:val="none"/>
        </w:rPr>
        <w:t>4.1供应商提供的服务，必须是符合国家有关标准要求，并满足磋商文件规定的价格、完成期限、售后服务及供应商须承担的技术支持和磋商文件规定的其它伴随服务等要求。</w:t>
      </w:r>
    </w:p>
    <w:p>
      <w:pPr>
        <w:tabs>
          <w:tab w:val="left" w:pos="747"/>
        </w:tabs>
        <w:snapToGrid w:val="0"/>
        <w:spacing w:line="360" w:lineRule="auto"/>
        <w:ind w:firstLine="480" w:firstLineChars="200"/>
        <w:rPr>
          <w:color w:val="000000"/>
          <w:szCs w:val="21"/>
          <w:highlight w:val="none"/>
        </w:rPr>
      </w:pPr>
      <w:r>
        <w:rPr>
          <w:color w:val="000000"/>
          <w:sz w:val="24"/>
          <w:highlight w:val="none"/>
        </w:rPr>
        <w:t>4.2采购人有权拒绝接受任何不合格的服务，由此产生的费用及相关后果均由供应商自行承担。</w:t>
      </w:r>
    </w:p>
    <w:p>
      <w:pPr>
        <w:pStyle w:val="6"/>
        <w:keepLines/>
        <w:spacing w:line="360" w:lineRule="auto"/>
        <w:rPr>
          <w:b/>
          <w:bCs/>
          <w:color w:val="000000"/>
          <w:sz w:val="24"/>
          <w:szCs w:val="24"/>
          <w:highlight w:val="none"/>
          <w:u w:val="none"/>
        </w:rPr>
      </w:pPr>
      <w:bookmarkStart w:id="43" w:name="_Toc217446047"/>
      <w:bookmarkStart w:id="44" w:name="_Toc485883205"/>
      <w:r>
        <w:rPr>
          <w:b/>
          <w:bCs/>
          <w:color w:val="000000"/>
          <w:sz w:val="24"/>
          <w:szCs w:val="24"/>
          <w:highlight w:val="none"/>
          <w:u w:val="none"/>
        </w:rPr>
        <w:t>5.知识产权</w:t>
      </w:r>
      <w:bookmarkEnd w:id="43"/>
      <w:bookmarkEnd w:id="44"/>
    </w:p>
    <w:p>
      <w:pPr>
        <w:pStyle w:val="8"/>
        <w:spacing w:after="0" w:line="360" w:lineRule="auto"/>
        <w:ind w:left="0" w:leftChars="0" w:firstLine="480" w:firstLineChars="200"/>
        <w:rPr>
          <w:color w:val="000000"/>
          <w:sz w:val="24"/>
          <w:szCs w:val="24"/>
          <w:highlight w:val="none"/>
        </w:rPr>
      </w:pPr>
      <w:r>
        <w:rPr>
          <w:color w:val="000000"/>
          <w:sz w:val="24"/>
          <w:szCs w:val="24"/>
          <w:highlight w:val="none"/>
        </w:rPr>
        <w:t>5.1供应商应保证在本项目使用的任何服务和产品（包括部分使用，如涉及）时，不会产生因第三方提出侵犯其专利权、商标权或其它知识产权而引起的法律和经济纠纷，如因专利权、商标权或其它知识产权而引起法律和经济纠纷，由供应商承担所有相关责任。</w:t>
      </w:r>
    </w:p>
    <w:p>
      <w:pPr>
        <w:pStyle w:val="8"/>
        <w:spacing w:after="0" w:line="360" w:lineRule="auto"/>
        <w:ind w:left="0" w:leftChars="0" w:firstLine="480" w:firstLineChars="200"/>
        <w:rPr>
          <w:color w:val="000000"/>
          <w:sz w:val="24"/>
          <w:szCs w:val="24"/>
          <w:highlight w:val="none"/>
        </w:rPr>
      </w:pPr>
      <w:r>
        <w:rPr>
          <w:color w:val="000000"/>
          <w:sz w:val="24"/>
          <w:szCs w:val="24"/>
          <w:highlight w:val="none"/>
        </w:rPr>
        <w:t>5.2采购人享有本项目实施过程中产生的知识成果及知识产权。</w:t>
      </w:r>
    </w:p>
    <w:p>
      <w:pPr>
        <w:spacing w:line="360" w:lineRule="auto"/>
        <w:ind w:firstLine="480" w:firstLineChars="200"/>
        <w:rPr>
          <w:color w:val="000000"/>
          <w:sz w:val="24"/>
          <w:highlight w:val="none"/>
        </w:rPr>
      </w:pPr>
      <w:r>
        <w:rPr>
          <w:color w:val="000000"/>
          <w:sz w:val="24"/>
          <w:highlight w:val="none"/>
        </w:rPr>
        <w:t>5.3供应商如欲在项目实施过程中采用自有知识成果，需在响应文件中声明，并提供相关知识产权证明文件。使用该知识成果后，供应商需提供开发接口（如涉及）和开发手册等技术文档，并承诺提供无限期技术支持，采购人享有永久使用权。</w:t>
      </w:r>
    </w:p>
    <w:p>
      <w:pPr>
        <w:spacing w:line="360" w:lineRule="auto"/>
        <w:ind w:firstLine="480" w:firstLineChars="200"/>
        <w:rPr>
          <w:color w:val="000000"/>
          <w:sz w:val="24"/>
          <w:highlight w:val="none"/>
        </w:rPr>
      </w:pPr>
      <w:r>
        <w:rPr>
          <w:color w:val="000000"/>
          <w:sz w:val="24"/>
          <w:highlight w:val="none"/>
        </w:rPr>
        <w:t>5.4如采用供应商所不拥有的知识产权，则在报价中必须包括合法获取该知识产权的相关费用。</w:t>
      </w:r>
    </w:p>
    <w:p>
      <w:pPr>
        <w:pStyle w:val="6"/>
        <w:keepLines/>
        <w:spacing w:line="360" w:lineRule="auto"/>
        <w:rPr>
          <w:b/>
          <w:bCs/>
          <w:color w:val="000000"/>
          <w:sz w:val="24"/>
          <w:szCs w:val="24"/>
          <w:highlight w:val="none"/>
          <w:u w:val="none"/>
        </w:rPr>
      </w:pPr>
      <w:bookmarkStart w:id="45" w:name="_Toc485883206"/>
      <w:r>
        <w:rPr>
          <w:b/>
          <w:bCs/>
          <w:color w:val="000000"/>
          <w:sz w:val="24"/>
          <w:szCs w:val="24"/>
          <w:highlight w:val="none"/>
          <w:u w:val="none"/>
        </w:rPr>
        <w:t>6.磋商费用</w:t>
      </w:r>
      <w:bookmarkEnd w:id="40"/>
      <w:bookmarkEnd w:id="41"/>
      <w:bookmarkEnd w:id="42"/>
      <w:bookmarkEnd w:id="45"/>
    </w:p>
    <w:p>
      <w:pPr>
        <w:tabs>
          <w:tab w:val="left" w:pos="7665"/>
        </w:tabs>
        <w:spacing w:line="360" w:lineRule="auto"/>
        <w:ind w:firstLine="491" w:firstLineChars="205"/>
        <w:rPr>
          <w:color w:val="000000"/>
          <w:sz w:val="24"/>
          <w:highlight w:val="none"/>
        </w:rPr>
      </w:pPr>
      <w:r>
        <w:rPr>
          <w:color w:val="000000"/>
          <w:sz w:val="24"/>
          <w:highlight w:val="none"/>
        </w:rPr>
        <w:t>不论磋商结果如何，供应商应自行承担所有与准备和参加磋商相关的全部费用。</w:t>
      </w:r>
      <w:bookmarkStart w:id="46" w:name="_Toc217446038"/>
      <w:bookmarkStart w:id="47" w:name="_Toc77400779"/>
      <w:bookmarkStart w:id="48" w:name="_Toc183582209"/>
      <w:bookmarkStart w:id="49" w:name="_Toc183682346"/>
      <w:bookmarkStart w:id="50" w:name="_Toc89075875"/>
    </w:p>
    <w:p>
      <w:pPr>
        <w:spacing w:line="360" w:lineRule="auto"/>
        <w:rPr>
          <w:b/>
          <w:color w:val="000000"/>
          <w:sz w:val="30"/>
          <w:szCs w:val="30"/>
          <w:highlight w:val="none"/>
        </w:rPr>
      </w:pPr>
      <w:bookmarkStart w:id="51" w:name="_Toc485883207"/>
      <w:r>
        <w:rPr>
          <w:b/>
          <w:color w:val="000000"/>
          <w:sz w:val="30"/>
          <w:szCs w:val="30"/>
          <w:highlight w:val="none"/>
        </w:rPr>
        <w:t>二、磋商文件</w:t>
      </w:r>
      <w:bookmarkEnd w:id="46"/>
      <w:bookmarkEnd w:id="47"/>
      <w:bookmarkEnd w:id="48"/>
      <w:bookmarkEnd w:id="49"/>
      <w:bookmarkEnd w:id="50"/>
      <w:bookmarkEnd w:id="51"/>
      <w:bookmarkStart w:id="52" w:name="_Toc183582210"/>
      <w:bookmarkStart w:id="53" w:name="_Toc183682347"/>
      <w:bookmarkStart w:id="54" w:name="_Toc217446039"/>
    </w:p>
    <w:p>
      <w:pPr>
        <w:pStyle w:val="6"/>
        <w:keepLines/>
        <w:spacing w:line="360" w:lineRule="auto"/>
        <w:rPr>
          <w:b/>
          <w:bCs/>
          <w:color w:val="000000"/>
          <w:sz w:val="24"/>
          <w:szCs w:val="24"/>
          <w:highlight w:val="none"/>
          <w:u w:val="none"/>
        </w:rPr>
      </w:pPr>
      <w:bookmarkStart w:id="55" w:name="_Toc485883208"/>
      <w:r>
        <w:rPr>
          <w:b/>
          <w:bCs/>
          <w:color w:val="000000"/>
          <w:sz w:val="24"/>
          <w:szCs w:val="24"/>
          <w:highlight w:val="none"/>
          <w:u w:val="none"/>
        </w:rPr>
        <w:t>7.磋商文件的构成</w:t>
      </w:r>
      <w:bookmarkEnd w:id="52"/>
      <w:bookmarkEnd w:id="53"/>
      <w:bookmarkEnd w:id="54"/>
      <w:bookmarkEnd w:id="55"/>
    </w:p>
    <w:p>
      <w:pPr>
        <w:tabs>
          <w:tab w:val="left" w:pos="7665"/>
        </w:tabs>
        <w:spacing w:before="120" w:beforeLines="50" w:line="360" w:lineRule="auto"/>
        <w:ind w:firstLine="480" w:firstLineChars="200"/>
        <w:rPr>
          <w:color w:val="000000"/>
          <w:sz w:val="24"/>
          <w:highlight w:val="none"/>
        </w:rPr>
      </w:pPr>
      <w:r>
        <w:rPr>
          <w:color w:val="000000"/>
          <w:sz w:val="24"/>
          <w:highlight w:val="none"/>
        </w:rPr>
        <w:t>7</w:t>
      </w:r>
      <w:r>
        <w:rPr>
          <w:b/>
          <w:bCs/>
          <w:color w:val="000000"/>
          <w:sz w:val="24"/>
          <w:highlight w:val="none"/>
        </w:rPr>
        <w:t>.</w:t>
      </w:r>
      <w:r>
        <w:rPr>
          <w:color w:val="000000"/>
          <w:sz w:val="24"/>
          <w:highlight w:val="none"/>
        </w:rPr>
        <w:t>1磋商文件是供应商准备竞争性磋商响应文件（以下简称响应文件）和参加磋商的依据，同时也是评审的重要依据。磋商文件用以阐明采购项目所需的资质、技术、服务及报价等要求、磋商程序、评审办法与标准、有关规定和注意事项以及合同主要条款等。本磋商文件包括以下内容：</w:t>
      </w:r>
    </w:p>
    <w:p>
      <w:pPr>
        <w:tabs>
          <w:tab w:val="left" w:pos="7665"/>
        </w:tabs>
        <w:spacing w:line="360" w:lineRule="auto"/>
        <w:ind w:firstLine="480" w:firstLineChars="200"/>
        <w:rPr>
          <w:color w:val="000000"/>
          <w:sz w:val="24"/>
          <w:highlight w:val="none"/>
        </w:rPr>
      </w:pPr>
      <w:r>
        <w:rPr>
          <w:color w:val="000000"/>
          <w:sz w:val="24"/>
          <w:highlight w:val="none"/>
        </w:rPr>
        <w:t>（1）竞争性磋商公告；</w:t>
      </w:r>
    </w:p>
    <w:p>
      <w:pPr>
        <w:tabs>
          <w:tab w:val="left" w:pos="7665"/>
        </w:tabs>
        <w:spacing w:line="360" w:lineRule="auto"/>
        <w:ind w:firstLine="480" w:firstLineChars="200"/>
        <w:rPr>
          <w:color w:val="000000"/>
          <w:sz w:val="24"/>
          <w:highlight w:val="none"/>
        </w:rPr>
      </w:pPr>
      <w:r>
        <w:rPr>
          <w:color w:val="000000"/>
          <w:sz w:val="24"/>
          <w:highlight w:val="none"/>
        </w:rPr>
        <w:t>（2）供应商须知；</w:t>
      </w:r>
    </w:p>
    <w:p>
      <w:pPr>
        <w:tabs>
          <w:tab w:val="left" w:pos="7665"/>
        </w:tabs>
        <w:spacing w:line="360" w:lineRule="auto"/>
        <w:ind w:firstLine="480" w:firstLineChars="200"/>
        <w:rPr>
          <w:color w:val="000000"/>
          <w:sz w:val="24"/>
          <w:highlight w:val="none"/>
        </w:rPr>
      </w:pPr>
      <w:r>
        <w:rPr>
          <w:color w:val="000000"/>
          <w:sz w:val="24"/>
          <w:highlight w:val="none"/>
        </w:rPr>
        <w:t>（3）磋商与评审办法；</w:t>
      </w:r>
    </w:p>
    <w:p>
      <w:pPr>
        <w:tabs>
          <w:tab w:val="left" w:pos="7665"/>
        </w:tabs>
        <w:spacing w:line="360" w:lineRule="auto"/>
        <w:ind w:firstLine="480" w:firstLineChars="200"/>
        <w:rPr>
          <w:color w:val="000000"/>
          <w:sz w:val="24"/>
          <w:highlight w:val="none"/>
        </w:rPr>
      </w:pPr>
      <w:r>
        <w:rPr>
          <w:color w:val="000000"/>
          <w:sz w:val="24"/>
          <w:highlight w:val="none"/>
        </w:rPr>
        <w:t>（4）采购内容及要求；</w:t>
      </w:r>
    </w:p>
    <w:p>
      <w:pPr>
        <w:tabs>
          <w:tab w:val="left" w:pos="7665"/>
        </w:tabs>
        <w:spacing w:line="360" w:lineRule="auto"/>
        <w:ind w:firstLine="480" w:firstLineChars="200"/>
        <w:rPr>
          <w:color w:val="000000"/>
          <w:sz w:val="24"/>
          <w:highlight w:val="none"/>
        </w:rPr>
      </w:pPr>
      <w:r>
        <w:rPr>
          <w:color w:val="000000"/>
          <w:sz w:val="24"/>
          <w:highlight w:val="none"/>
        </w:rPr>
        <w:t>（5）</w:t>
      </w:r>
      <w:r>
        <w:rPr>
          <w:rFonts w:hint="eastAsia"/>
          <w:color w:val="000000"/>
          <w:sz w:val="24"/>
          <w:highlight w:val="none"/>
        </w:rPr>
        <w:t>政府采购合同</w:t>
      </w:r>
      <w:r>
        <w:rPr>
          <w:color w:val="000000"/>
          <w:sz w:val="24"/>
          <w:highlight w:val="none"/>
        </w:rPr>
        <w:t>；</w:t>
      </w:r>
    </w:p>
    <w:p>
      <w:pPr>
        <w:tabs>
          <w:tab w:val="left" w:pos="7665"/>
        </w:tabs>
        <w:spacing w:line="360" w:lineRule="auto"/>
        <w:ind w:firstLine="480" w:firstLineChars="200"/>
        <w:rPr>
          <w:color w:val="000000"/>
          <w:sz w:val="24"/>
          <w:highlight w:val="none"/>
        </w:rPr>
      </w:pPr>
      <w:r>
        <w:rPr>
          <w:color w:val="000000"/>
          <w:sz w:val="24"/>
          <w:highlight w:val="none"/>
        </w:rPr>
        <w:t>（6）响应文件格式。</w:t>
      </w:r>
    </w:p>
    <w:p>
      <w:pPr>
        <w:pStyle w:val="6"/>
        <w:keepLines/>
        <w:spacing w:line="360" w:lineRule="auto"/>
        <w:rPr>
          <w:b/>
          <w:bCs/>
          <w:color w:val="000000"/>
          <w:sz w:val="24"/>
          <w:szCs w:val="24"/>
          <w:highlight w:val="none"/>
          <w:u w:val="none"/>
        </w:rPr>
      </w:pPr>
      <w:bookmarkStart w:id="56" w:name="_Toc183682348"/>
      <w:bookmarkStart w:id="57" w:name="_Toc183582211"/>
      <w:bookmarkStart w:id="58" w:name="_Toc485883209"/>
      <w:bookmarkStart w:id="59" w:name="_Toc217446040"/>
      <w:r>
        <w:rPr>
          <w:b/>
          <w:bCs/>
          <w:color w:val="000000"/>
          <w:sz w:val="24"/>
          <w:szCs w:val="24"/>
          <w:highlight w:val="none"/>
          <w:u w:val="none"/>
        </w:rPr>
        <w:t>8.磋商文件的澄清</w:t>
      </w:r>
      <w:bookmarkEnd w:id="56"/>
      <w:bookmarkEnd w:id="57"/>
      <w:r>
        <w:rPr>
          <w:b/>
          <w:bCs/>
          <w:color w:val="000000"/>
          <w:sz w:val="24"/>
          <w:szCs w:val="24"/>
          <w:highlight w:val="none"/>
          <w:u w:val="none"/>
        </w:rPr>
        <w:t>和修改</w:t>
      </w:r>
      <w:bookmarkEnd w:id="58"/>
      <w:bookmarkEnd w:id="59"/>
    </w:p>
    <w:p>
      <w:pPr>
        <w:tabs>
          <w:tab w:val="left" w:pos="720"/>
        </w:tabs>
        <w:spacing w:line="360" w:lineRule="auto"/>
        <w:ind w:firstLine="480" w:firstLineChars="200"/>
        <w:rPr>
          <w:color w:val="000000"/>
          <w:sz w:val="24"/>
          <w:highlight w:val="none"/>
        </w:rPr>
      </w:pPr>
      <w:r>
        <w:rPr>
          <w:color w:val="000000"/>
          <w:sz w:val="24"/>
          <w:highlight w:val="none"/>
        </w:rPr>
        <w:t>8.1在磋商截止时间前，采购代理机构无论出于何种原因，可以对磋商文件进行澄清或者修改。</w:t>
      </w:r>
    </w:p>
    <w:p>
      <w:pPr>
        <w:spacing w:line="360" w:lineRule="auto"/>
        <w:ind w:firstLine="480" w:firstLineChars="200"/>
        <w:rPr>
          <w:color w:val="000000"/>
          <w:sz w:val="24"/>
          <w:highlight w:val="none"/>
        </w:rPr>
      </w:pPr>
      <w:r>
        <w:rPr>
          <w:color w:val="000000"/>
          <w:sz w:val="24"/>
          <w:highlight w:val="none"/>
        </w:rPr>
        <w:t>8.2采购代理机构对已发出的磋商文件进行澄清或者修改，将在磋商文件要求的提交响应文件截止时间</w:t>
      </w:r>
      <w:r>
        <w:rPr>
          <w:b/>
          <w:color w:val="000000"/>
          <w:sz w:val="24"/>
          <w:highlight w:val="none"/>
        </w:rPr>
        <w:t>5</w:t>
      </w:r>
      <w:r>
        <w:rPr>
          <w:color w:val="000000"/>
          <w:sz w:val="24"/>
          <w:highlight w:val="none"/>
        </w:rPr>
        <w:t>日前进行，并以书面形式将澄清或者修改的内容通知所有购买了磋商文件的供应商，同时在原信息发布媒体上发布更正公告。该澄清或者修改的内容为磋商文件的组成部分。供应商在收到上述通知后，应立即以书面形式向采购代理机构确认。</w:t>
      </w:r>
    </w:p>
    <w:p>
      <w:pPr>
        <w:pStyle w:val="21"/>
        <w:adjustRightInd w:val="0"/>
        <w:snapToGrid w:val="0"/>
        <w:spacing w:line="360" w:lineRule="auto"/>
        <w:ind w:firstLine="480" w:firstLineChars="200"/>
        <w:rPr>
          <w:color w:val="000000"/>
          <w:sz w:val="24"/>
          <w:szCs w:val="24"/>
          <w:highlight w:val="none"/>
        </w:rPr>
      </w:pPr>
      <w:r>
        <w:rPr>
          <w:color w:val="000000"/>
          <w:sz w:val="24"/>
          <w:szCs w:val="24"/>
          <w:highlight w:val="none"/>
        </w:rPr>
        <w:t>8.3如果澄清或者修改发出的时间距规定的磋商截止时间不足</w:t>
      </w:r>
      <w:r>
        <w:rPr>
          <w:b/>
          <w:color w:val="000000"/>
          <w:sz w:val="24"/>
          <w:szCs w:val="24"/>
          <w:highlight w:val="none"/>
        </w:rPr>
        <w:t>5</w:t>
      </w:r>
      <w:r>
        <w:rPr>
          <w:color w:val="000000"/>
          <w:sz w:val="24"/>
          <w:szCs w:val="24"/>
          <w:highlight w:val="none"/>
        </w:rPr>
        <w:t>日，将相应顺延磋商截止时间。</w:t>
      </w:r>
    </w:p>
    <w:p>
      <w:pPr>
        <w:spacing w:line="360" w:lineRule="auto"/>
        <w:ind w:firstLine="480" w:firstLineChars="200"/>
        <w:rPr>
          <w:color w:val="000000"/>
          <w:sz w:val="24"/>
          <w:highlight w:val="none"/>
        </w:rPr>
      </w:pPr>
      <w:r>
        <w:rPr>
          <w:color w:val="000000"/>
          <w:sz w:val="24"/>
          <w:highlight w:val="none"/>
        </w:rPr>
        <w:t>8</w:t>
      </w:r>
      <w:r>
        <w:rPr>
          <w:b/>
          <w:bCs/>
          <w:color w:val="000000"/>
          <w:sz w:val="24"/>
          <w:highlight w:val="none"/>
        </w:rPr>
        <w:t>.</w:t>
      </w:r>
      <w:r>
        <w:rPr>
          <w:color w:val="000000"/>
          <w:sz w:val="24"/>
          <w:highlight w:val="none"/>
        </w:rPr>
        <w:t>4任何对磋商文件进行澄清的供应商，或认为有必要与采购代理机构进行技术交流的，均应将澄清的内容，按照磋商文件中的联系方式，以书面形式送达采购代理机构，采购代理机构以书面形式予以答复（答复中不包括问题的来源），或认为有必要召开答疑会。各供应商须在磋商截至时间</w:t>
      </w:r>
      <w:r>
        <w:rPr>
          <w:b/>
          <w:color w:val="000000"/>
          <w:sz w:val="24"/>
          <w:highlight w:val="none"/>
        </w:rPr>
        <w:t>3</w:t>
      </w:r>
      <w:r>
        <w:rPr>
          <w:color w:val="000000"/>
          <w:sz w:val="24"/>
          <w:highlight w:val="none"/>
        </w:rPr>
        <w:t>日前，将准备澄清内容送达采购代理机构，超过该时间收到的需澄清的内容，采购代理机构有权不予答复。</w:t>
      </w:r>
    </w:p>
    <w:p>
      <w:pPr>
        <w:spacing w:line="360" w:lineRule="auto"/>
        <w:ind w:firstLine="480" w:firstLineChars="200"/>
        <w:rPr>
          <w:color w:val="000000"/>
          <w:sz w:val="24"/>
          <w:highlight w:val="none"/>
        </w:rPr>
      </w:pPr>
      <w:r>
        <w:rPr>
          <w:color w:val="000000"/>
          <w:sz w:val="24"/>
          <w:highlight w:val="none"/>
        </w:rPr>
        <w:t>8.5在磋商截止时间前，采购代理机构可以视采购具体情况，延长磋商截止时间，并在磋商文件要求提交磋商文件的截止时间前，将变更时间以书面形式通知所有购买了磋商文件的供应商，同时在原信息发布媒体上发布变更公告。</w:t>
      </w:r>
      <w:bookmarkStart w:id="60" w:name="_Toc183582213"/>
      <w:bookmarkStart w:id="61" w:name="_Toc183682350"/>
      <w:bookmarkStart w:id="62" w:name="_Toc208848971"/>
      <w:bookmarkStart w:id="63" w:name="_Toc217446041"/>
    </w:p>
    <w:bookmarkEnd w:id="60"/>
    <w:bookmarkEnd w:id="61"/>
    <w:p>
      <w:pPr>
        <w:pStyle w:val="6"/>
        <w:keepLines/>
        <w:spacing w:line="360" w:lineRule="auto"/>
        <w:rPr>
          <w:b/>
          <w:bCs/>
          <w:color w:val="000000"/>
          <w:sz w:val="24"/>
          <w:szCs w:val="24"/>
          <w:highlight w:val="none"/>
          <w:u w:val="none"/>
        </w:rPr>
      </w:pPr>
      <w:bookmarkStart w:id="64" w:name="_Toc485883210"/>
      <w:r>
        <w:rPr>
          <w:b/>
          <w:bCs/>
          <w:color w:val="000000"/>
          <w:sz w:val="24"/>
          <w:szCs w:val="24"/>
          <w:highlight w:val="none"/>
          <w:u w:val="none"/>
        </w:rPr>
        <w:t>9.答疑会和现场考察</w:t>
      </w:r>
      <w:bookmarkEnd w:id="62"/>
      <w:bookmarkEnd w:id="63"/>
      <w:bookmarkEnd w:id="64"/>
    </w:p>
    <w:p>
      <w:pPr>
        <w:spacing w:line="360" w:lineRule="auto"/>
        <w:ind w:firstLine="480" w:firstLineChars="200"/>
        <w:rPr>
          <w:color w:val="000000"/>
          <w:sz w:val="24"/>
          <w:highlight w:val="none"/>
        </w:rPr>
      </w:pPr>
      <w:r>
        <w:rPr>
          <w:color w:val="000000"/>
          <w:sz w:val="24"/>
          <w:highlight w:val="none"/>
        </w:rPr>
        <w:t>9.1根据采购项目和具体情况，采购代理机构认为有必要，可以组织召开磋商前答疑会或组织供应商对项目现场进行考察。答疑会或进行现场考察的时间，采购代理机构将以书面形式通知所有购买了磋商文件的供应商。</w:t>
      </w:r>
    </w:p>
    <w:p>
      <w:pPr>
        <w:adjustRightInd w:val="0"/>
        <w:snapToGrid w:val="0"/>
        <w:spacing w:line="360" w:lineRule="auto"/>
        <w:ind w:firstLine="420" w:firstLineChars="175"/>
        <w:rPr>
          <w:color w:val="000000"/>
          <w:sz w:val="24"/>
          <w:highlight w:val="none"/>
        </w:rPr>
      </w:pPr>
      <w:r>
        <w:rPr>
          <w:color w:val="000000"/>
          <w:sz w:val="24"/>
          <w:highlight w:val="none"/>
        </w:rPr>
        <w:t>9.2答疑或考察现场所发生的一切费用由供应商自行承担。</w:t>
      </w:r>
    </w:p>
    <w:p>
      <w:pPr>
        <w:adjustRightInd w:val="0"/>
        <w:snapToGrid w:val="0"/>
        <w:spacing w:line="360" w:lineRule="auto"/>
        <w:ind w:firstLine="420" w:firstLineChars="175"/>
        <w:rPr>
          <w:color w:val="000000"/>
          <w:sz w:val="24"/>
          <w:highlight w:val="none"/>
        </w:rPr>
      </w:pPr>
      <w:r>
        <w:rPr>
          <w:color w:val="000000"/>
          <w:sz w:val="24"/>
          <w:highlight w:val="none"/>
        </w:rPr>
        <w:t>9.3采购人不对供应商现场考察而做出的推论、理解和结论负责。一旦</w:t>
      </w:r>
      <w:r>
        <w:rPr>
          <w:rFonts w:hint="eastAsia"/>
          <w:color w:val="000000"/>
          <w:sz w:val="24"/>
          <w:highlight w:val="none"/>
        </w:rPr>
        <w:t>成交</w:t>
      </w:r>
      <w:r>
        <w:rPr>
          <w:color w:val="000000"/>
          <w:sz w:val="24"/>
          <w:highlight w:val="none"/>
        </w:rPr>
        <w:t>服务，</w:t>
      </w:r>
      <w:r>
        <w:rPr>
          <w:rFonts w:hint="eastAsia"/>
          <w:color w:val="000000"/>
          <w:sz w:val="24"/>
          <w:highlight w:val="none"/>
        </w:rPr>
        <w:t>成交</w:t>
      </w:r>
      <w:r>
        <w:rPr>
          <w:color w:val="000000"/>
          <w:sz w:val="24"/>
          <w:highlight w:val="none"/>
        </w:rPr>
        <w:t>服务供应商不得以任何借口，提出额外补偿，或延长合同期限的要求。</w:t>
      </w:r>
    </w:p>
    <w:p>
      <w:pPr>
        <w:pStyle w:val="6"/>
        <w:keepLines/>
        <w:spacing w:line="360" w:lineRule="auto"/>
        <w:rPr>
          <w:b/>
          <w:bCs/>
          <w:color w:val="000000"/>
          <w:sz w:val="24"/>
          <w:szCs w:val="24"/>
          <w:highlight w:val="none"/>
          <w:u w:val="none"/>
        </w:rPr>
      </w:pPr>
      <w:bookmarkStart w:id="65" w:name="_Toc485883211"/>
      <w:r>
        <w:rPr>
          <w:b/>
          <w:bCs/>
          <w:color w:val="000000"/>
          <w:sz w:val="24"/>
          <w:szCs w:val="24"/>
          <w:highlight w:val="none"/>
          <w:u w:val="none"/>
        </w:rPr>
        <w:t>10.磋商文件的解释权</w:t>
      </w:r>
      <w:bookmarkEnd w:id="65"/>
    </w:p>
    <w:p>
      <w:pPr>
        <w:pStyle w:val="7"/>
        <w:spacing w:line="360" w:lineRule="auto"/>
        <w:ind w:firstLine="480"/>
        <w:rPr>
          <w:color w:val="000000"/>
          <w:sz w:val="24"/>
          <w:szCs w:val="24"/>
          <w:highlight w:val="none"/>
        </w:rPr>
      </w:pPr>
      <w:r>
        <w:rPr>
          <w:color w:val="000000"/>
          <w:sz w:val="24"/>
          <w:szCs w:val="24"/>
          <w:highlight w:val="none"/>
        </w:rPr>
        <w:t>磋商文件的解释权归采购代理机构，如发现磋商文件内容与现行法律法规不相符的情况，以现行法律法规为准。</w:t>
      </w:r>
      <w:bookmarkStart w:id="66" w:name="_Toc77400780"/>
      <w:bookmarkStart w:id="67" w:name="_Toc217446042"/>
      <w:bookmarkStart w:id="68" w:name="_Toc89075876"/>
      <w:bookmarkStart w:id="69" w:name="_Toc183682351"/>
      <w:bookmarkStart w:id="70" w:name="_Toc183582214"/>
    </w:p>
    <w:p>
      <w:pPr>
        <w:spacing w:line="360" w:lineRule="auto"/>
        <w:rPr>
          <w:b/>
          <w:color w:val="000000"/>
          <w:sz w:val="30"/>
          <w:szCs w:val="30"/>
          <w:highlight w:val="none"/>
        </w:rPr>
      </w:pPr>
      <w:bookmarkStart w:id="71" w:name="_Toc485883212"/>
      <w:r>
        <w:rPr>
          <w:b/>
          <w:color w:val="000000"/>
          <w:sz w:val="30"/>
          <w:szCs w:val="30"/>
          <w:highlight w:val="none"/>
        </w:rPr>
        <w:t>三、供应商</w:t>
      </w:r>
      <w:bookmarkEnd w:id="71"/>
    </w:p>
    <w:p>
      <w:pPr>
        <w:pStyle w:val="6"/>
        <w:keepLines/>
        <w:spacing w:line="360" w:lineRule="auto"/>
        <w:rPr>
          <w:b/>
          <w:bCs/>
          <w:color w:val="000000"/>
          <w:sz w:val="24"/>
          <w:szCs w:val="24"/>
          <w:highlight w:val="none"/>
          <w:u w:val="none"/>
        </w:rPr>
      </w:pPr>
      <w:bookmarkStart w:id="72" w:name="_Toc485883213"/>
      <w:r>
        <w:rPr>
          <w:b/>
          <w:bCs/>
          <w:color w:val="000000"/>
          <w:sz w:val="24"/>
          <w:szCs w:val="24"/>
          <w:highlight w:val="none"/>
          <w:u w:val="none"/>
        </w:rPr>
        <w:t>11.</w:t>
      </w:r>
      <w:bookmarkEnd w:id="66"/>
      <w:bookmarkEnd w:id="67"/>
      <w:bookmarkEnd w:id="68"/>
      <w:bookmarkEnd w:id="69"/>
      <w:bookmarkEnd w:id="70"/>
      <w:bookmarkStart w:id="73" w:name="_Toc217446043"/>
      <w:bookmarkStart w:id="74" w:name="_Toc183582215"/>
      <w:bookmarkStart w:id="75" w:name="_Toc183682352"/>
      <w:r>
        <w:rPr>
          <w:b/>
          <w:bCs/>
          <w:color w:val="000000"/>
          <w:sz w:val="24"/>
          <w:szCs w:val="24"/>
          <w:highlight w:val="none"/>
          <w:u w:val="none"/>
        </w:rPr>
        <w:t>供应商资格要求</w:t>
      </w:r>
      <w:bookmarkEnd w:id="72"/>
    </w:p>
    <w:p>
      <w:pPr>
        <w:spacing w:line="360" w:lineRule="auto"/>
        <w:ind w:firstLine="480" w:firstLineChars="200"/>
        <w:rPr>
          <w:color w:val="000000"/>
          <w:sz w:val="24"/>
          <w:highlight w:val="none"/>
        </w:rPr>
      </w:pPr>
      <w:r>
        <w:rPr>
          <w:color w:val="000000"/>
          <w:sz w:val="24"/>
          <w:highlight w:val="none"/>
        </w:rPr>
        <w:t>11.1供应商应具备以下资质条件：</w:t>
      </w:r>
    </w:p>
    <w:p>
      <w:pPr>
        <w:spacing w:line="360" w:lineRule="auto"/>
        <w:ind w:firstLine="480" w:firstLineChars="200"/>
        <w:rPr>
          <w:sz w:val="24"/>
          <w:szCs w:val="22"/>
          <w:highlight w:val="none"/>
        </w:rPr>
      </w:pPr>
      <w:r>
        <w:rPr>
          <w:rFonts w:hint="eastAsia"/>
          <w:sz w:val="24"/>
          <w:szCs w:val="22"/>
          <w:highlight w:val="none"/>
        </w:rPr>
        <w:t>1、具有独立承担民事责任能力的法人、其他组织或自然人，提供合法有效的营业执照/事业单位法人证书/专业服务机构执业许可证/民办非企业单位登记证书等相关证明，自然人参与的提供其身份证明；</w:t>
      </w:r>
    </w:p>
    <w:p>
      <w:pPr>
        <w:spacing w:line="360" w:lineRule="auto"/>
        <w:ind w:firstLine="480" w:firstLineChars="200"/>
        <w:rPr>
          <w:sz w:val="24"/>
          <w:szCs w:val="22"/>
          <w:highlight w:val="none"/>
        </w:rPr>
      </w:pPr>
      <w:r>
        <w:rPr>
          <w:rFonts w:hint="eastAsia"/>
          <w:sz w:val="24"/>
          <w:szCs w:val="22"/>
          <w:highlight w:val="none"/>
        </w:rPr>
        <w:t>2、供应商应授权合法的人员参加投标：法定代表人直接参加投标，须出具法定代表人身份证；法定代表人授权代表参加投标，须出具法定代表人授权书及授权代表身份证；</w:t>
      </w:r>
    </w:p>
    <w:p>
      <w:pPr>
        <w:spacing w:line="360" w:lineRule="auto"/>
        <w:ind w:firstLine="480" w:firstLineChars="200"/>
        <w:rPr>
          <w:sz w:val="24"/>
          <w:szCs w:val="22"/>
          <w:highlight w:val="none"/>
        </w:rPr>
      </w:pPr>
      <w:r>
        <w:rPr>
          <w:rFonts w:hint="eastAsia"/>
          <w:sz w:val="24"/>
          <w:szCs w:val="22"/>
          <w:highlight w:val="none"/>
        </w:rPr>
        <w:t>3、财务状况报告：提供2020年度的财务审计报告或开户银行出具的资信证明；</w:t>
      </w:r>
    </w:p>
    <w:p>
      <w:pPr>
        <w:spacing w:line="360" w:lineRule="auto"/>
        <w:ind w:firstLine="480" w:firstLineChars="200"/>
        <w:rPr>
          <w:sz w:val="24"/>
          <w:szCs w:val="22"/>
          <w:highlight w:val="none"/>
        </w:rPr>
      </w:pPr>
      <w:r>
        <w:rPr>
          <w:rFonts w:hint="eastAsia"/>
          <w:sz w:val="24"/>
          <w:szCs w:val="22"/>
          <w:highlight w:val="none"/>
        </w:rPr>
        <w:t>4、税收缴纳证明：开标前近六个月至少一个月的纳税证明，依法免税的应提供相关证明材料；</w:t>
      </w:r>
    </w:p>
    <w:p>
      <w:pPr>
        <w:spacing w:line="360" w:lineRule="auto"/>
        <w:ind w:firstLine="480" w:firstLineChars="200"/>
        <w:rPr>
          <w:sz w:val="24"/>
          <w:szCs w:val="22"/>
          <w:highlight w:val="none"/>
        </w:rPr>
      </w:pPr>
      <w:r>
        <w:rPr>
          <w:rFonts w:hint="eastAsia"/>
          <w:sz w:val="24"/>
          <w:szCs w:val="22"/>
          <w:highlight w:val="none"/>
        </w:rPr>
        <w:t>5、社会保障资金缴纳证明：开标前近六个月至少一个月的社会保障资金缴纳凭证/证明，依法不需要缴纳的应提供相关证明材料；</w:t>
      </w:r>
    </w:p>
    <w:p>
      <w:pPr>
        <w:spacing w:line="360" w:lineRule="auto"/>
        <w:ind w:firstLine="480" w:firstLineChars="200"/>
        <w:rPr>
          <w:sz w:val="24"/>
          <w:szCs w:val="22"/>
          <w:highlight w:val="none"/>
        </w:rPr>
      </w:pPr>
      <w:r>
        <w:rPr>
          <w:rFonts w:hint="eastAsia"/>
          <w:sz w:val="24"/>
          <w:szCs w:val="22"/>
          <w:highlight w:val="none"/>
        </w:rPr>
        <w:t xml:space="preserve">6、供应商应出具参加政府采购活动前3年内在经营活动中没有重大违法记录的书面声明； </w:t>
      </w:r>
    </w:p>
    <w:p>
      <w:pPr>
        <w:spacing w:line="360" w:lineRule="auto"/>
        <w:ind w:firstLine="480" w:firstLineChars="200"/>
        <w:rPr>
          <w:sz w:val="24"/>
          <w:szCs w:val="22"/>
          <w:highlight w:val="none"/>
        </w:rPr>
      </w:pPr>
      <w:r>
        <w:rPr>
          <w:rFonts w:hint="eastAsia"/>
          <w:sz w:val="24"/>
          <w:szCs w:val="22"/>
          <w:highlight w:val="none"/>
          <w:lang w:val="en-US" w:eastAsia="zh-CN"/>
        </w:rPr>
        <w:t>7</w:t>
      </w:r>
      <w:r>
        <w:rPr>
          <w:rFonts w:hint="eastAsia"/>
          <w:sz w:val="24"/>
          <w:szCs w:val="22"/>
          <w:highlight w:val="none"/>
        </w:rPr>
        <w:t xml:space="preserve">、供应商应在信用中国（www.creditchina.gov.cn）未被列入失信被执行人、重大税收违法案件当事人名单及在中国政府采购网（www.ccgp.gov.cn）未被列入政府采购严重违法失信行为记录名单（处罚期限届满的除外，如相关失信记录已失效，供应商需提供相关证明资料），须提供信用中国及中国政府采购网相应查询结果的网站截图（加盖公章）；         </w:t>
      </w:r>
    </w:p>
    <w:p>
      <w:pPr>
        <w:pStyle w:val="9"/>
        <w:spacing w:line="360" w:lineRule="auto"/>
        <w:ind w:firstLine="480" w:firstLineChars="200"/>
        <w:rPr>
          <w:rFonts w:hint="eastAsia" w:ascii="Times New Roman" w:hAnsi="Times New Roman" w:eastAsia="宋体" w:cs="Times New Roman"/>
          <w:kern w:val="2"/>
          <w:sz w:val="24"/>
          <w:szCs w:val="22"/>
          <w:highlight w:val="none"/>
          <w:lang w:val="en-US" w:eastAsia="zh-CN" w:bidi="ar-SA"/>
        </w:rPr>
      </w:pPr>
      <w:r>
        <w:rPr>
          <w:rFonts w:hint="eastAsia" w:ascii="Times New Roman" w:hAnsi="Times New Roman" w:eastAsia="宋体" w:cs="Times New Roman"/>
          <w:kern w:val="2"/>
          <w:sz w:val="24"/>
          <w:szCs w:val="22"/>
          <w:highlight w:val="none"/>
          <w:lang w:val="en-US" w:eastAsia="zh-CN" w:bidi="ar-SA"/>
        </w:rPr>
        <w:t>8、本项目不接受联合体投标。</w:t>
      </w:r>
    </w:p>
    <w:p>
      <w:pPr>
        <w:spacing w:line="360" w:lineRule="auto"/>
        <w:ind w:firstLine="482" w:firstLineChars="200"/>
        <w:rPr>
          <w:b/>
          <w:color w:val="000000"/>
          <w:sz w:val="24"/>
          <w:highlight w:val="none"/>
        </w:rPr>
      </w:pPr>
      <w:r>
        <w:rPr>
          <w:b/>
          <w:color w:val="000000"/>
          <w:sz w:val="24"/>
          <w:highlight w:val="none"/>
        </w:rPr>
        <w:t>注：上述资格证明材料为必备材料，缺少一项或某项达不到磋商文件要求的按无效响应文件处理。响应文件的正本和全部副本必须各附一套加盖单位红色公章的复印件（正本中的法定代表人委托授权书必须附原件），否则按无效响应文件处理。</w:t>
      </w:r>
    </w:p>
    <w:p>
      <w:pPr>
        <w:tabs>
          <w:tab w:val="left" w:pos="720"/>
        </w:tabs>
        <w:spacing w:line="360" w:lineRule="auto"/>
        <w:ind w:firstLine="480" w:firstLineChars="200"/>
        <w:rPr>
          <w:color w:val="000000"/>
          <w:sz w:val="24"/>
          <w:highlight w:val="none"/>
        </w:rPr>
      </w:pPr>
      <w:r>
        <w:rPr>
          <w:bCs/>
          <w:color w:val="000000"/>
          <w:sz w:val="24"/>
          <w:highlight w:val="none"/>
        </w:rPr>
        <w:t>11.2</w:t>
      </w:r>
      <w:r>
        <w:rPr>
          <w:color w:val="000000"/>
          <w:sz w:val="24"/>
          <w:highlight w:val="none"/>
        </w:rPr>
        <w:t>供应商应保证所提供的全部证明材料的真实性，并承诺愿意接受由采购人对其所提供材料的真实性的调查和考证。</w:t>
      </w:r>
    </w:p>
    <w:p>
      <w:pPr>
        <w:pStyle w:val="6"/>
        <w:keepLines/>
        <w:spacing w:line="360" w:lineRule="auto"/>
        <w:rPr>
          <w:b/>
          <w:bCs/>
          <w:color w:val="000000"/>
          <w:sz w:val="24"/>
          <w:szCs w:val="24"/>
          <w:highlight w:val="none"/>
          <w:u w:val="none"/>
        </w:rPr>
      </w:pPr>
      <w:bookmarkStart w:id="76" w:name="_Toc485883214"/>
      <w:r>
        <w:rPr>
          <w:b/>
          <w:bCs/>
          <w:color w:val="000000"/>
          <w:sz w:val="24"/>
          <w:szCs w:val="24"/>
          <w:highlight w:val="none"/>
          <w:u w:val="none"/>
        </w:rPr>
        <w:t>12.授权委托</w:t>
      </w:r>
      <w:bookmarkEnd w:id="76"/>
    </w:p>
    <w:p>
      <w:pPr>
        <w:pStyle w:val="9"/>
        <w:adjustRightInd w:val="0"/>
        <w:snapToGrid w:val="0"/>
        <w:spacing w:line="360" w:lineRule="auto"/>
        <w:ind w:left="-178" w:leftChars="-85" w:firstLine="600" w:firstLineChars="250"/>
        <w:rPr>
          <w:rFonts w:ascii="Times New Roman" w:hAnsi="Times New Roman"/>
          <w:color w:val="000000"/>
          <w:sz w:val="24"/>
          <w:szCs w:val="24"/>
          <w:highlight w:val="none"/>
        </w:rPr>
      </w:pPr>
      <w:r>
        <w:rPr>
          <w:rFonts w:ascii="Times New Roman" w:hAnsi="Times New Roman"/>
          <w:color w:val="000000"/>
          <w:sz w:val="24"/>
          <w:szCs w:val="24"/>
          <w:highlight w:val="none"/>
        </w:rPr>
        <w:t>12.1供应商代表为供应商法定代表人的，应持有法定代表人身份证明。供应商代表不是供应商法定代表人的，应持有法定代表人授权书，并附法定代表人身份证明。</w:t>
      </w:r>
    </w:p>
    <w:p>
      <w:pPr>
        <w:pStyle w:val="9"/>
        <w:adjustRightInd w:val="0"/>
        <w:snapToGrid w:val="0"/>
        <w:spacing w:line="360" w:lineRule="auto"/>
        <w:ind w:left="-178" w:leftChars="-85" w:firstLine="600" w:firstLineChars="250"/>
        <w:rPr>
          <w:rFonts w:ascii="Times New Roman" w:hAnsi="Times New Roman"/>
          <w:color w:val="000000"/>
          <w:kern w:val="0"/>
          <w:sz w:val="24"/>
          <w:szCs w:val="24"/>
          <w:highlight w:val="none"/>
        </w:rPr>
      </w:pPr>
      <w:r>
        <w:rPr>
          <w:rFonts w:ascii="Times New Roman" w:hAnsi="Times New Roman"/>
          <w:color w:val="000000"/>
          <w:sz w:val="24"/>
          <w:szCs w:val="24"/>
          <w:highlight w:val="none"/>
        </w:rPr>
        <w:t>12</w:t>
      </w:r>
      <w:r>
        <w:rPr>
          <w:rFonts w:ascii="Times New Roman" w:hAnsi="Times New Roman"/>
          <w:color w:val="000000"/>
          <w:kern w:val="0"/>
          <w:sz w:val="24"/>
          <w:szCs w:val="24"/>
          <w:highlight w:val="none"/>
        </w:rPr>
        <w:t>.2供应商代表只能接受一个供应商的委托参加磋商，供应商应当委托本单位员工为供应商代表。</w:t>
      </w:r>
    </w:p>
    <w:p>
      <w:pPr>
        <w:pStyle w:val="6"/>
        <w:keepLines/>
        <w:spacing w:line="360" w:lineRule="auto"/>
        <w:rPr>
          <w:b/>
          <w:bCs/>
          <w:color w:val="000000"/>
          <w:sz w:val="24"/>
          <w:szCs w:val="24"/>
          <w:highlight w:val="none"/>
          <w:u w:val="none"/>
        </w:rPr>
      </w:pPr>
      <w:bookmarkStart w:id="77" w:name="_Toc485883215"/>
      <w:r>
        <w:rPr>
          <w:b/>
          <w:bCs/>
          <w:color w:val="000000"/>
          <w:sz w:val="24"/>
          <w:szCs w:val="24"/>
          <w:highlight w:val="none"/>
          <w:u w:val="none"/>
        </w:rPr>
        <w:t>13.享受政府采购政策</w:t>
      </w:r>
      <w:bookmarkEnd w:id="77"/>
    </w:p>
    <w:p>
      <w:pPr>
        <w:widowControl/>
        <w:shd w:val="clear" w:color="auto" w:fill="FFFFFF"/>
        <w:spacing w:line="360" w:lineRule="auto"/>
        <w:ind w:firstLine="480" w:firstLineChars="200"/>
        <w:jc w:val="left"/>
        <w:rPr>
          <w:color w:val="000000"/>
          <w:sz w:val="24"/>
          <w:highlight w:val="none"/>
        </w:rPr>
      </w:pPr>
      <w:r>
        <w:rPr>
          <w:color w:val="000000"/>
          <w:sz w:val="24"/>
          <w:highlight w:val="none"/>
        </w:rPr>
        <w:t>13.1“中小型企业”：供应商享受支持中小型企业发展政策优惠。</w:t>
      </w:r>
    </w:p>
    <w:p>
      <w:pPr>
        <w:widowControl/>
        <w:shd w:val="clear" w:color="auto" w:fill="FFFFFF"/>
        <w:spacing w:line="360" w:lineRule="auto"/>
        <w:ind w:firstLine="480" w:firstLineChars="200"/>
        <w:jc w:val="left"/>
        <w:rPr>
          <w:color w:val="000000"/>
          <w:sz w:val="24"/>
          <w:highlight w:val="none"/>
        </w:rPr>
      </w:pPr>
      <w:r>
        <w:rPr>
          <w:color w:val="000000"/>
          <w:sz w:val="24"/>
          <w:highlight w:val="none"/>
        </w:rPr>
        <w:t>13.1.1参加政府采购活动的中小企业应当提供《中小企业声明函》（见第六章响应文件格式）及政府相关部门开具的中小企业证明函，不提供的或提供有瑕疵的，在评审时不享受政府采购优惠政策。</w:t>
      </w:r>
    </w:p>
    <w:p>
      <w:pPr>
        <w:widowControl/>
        <w:shd w:val="clear" w:color="auto" w:fill="FFFFFF"/>
        <w:spacing w:line="360" w:lineRule="auto"/>
        <w:ind w:firstLine="480" w:firstLineChars="200"/>
        <w:jc w:val="left"/>
        <w:rPr>
          <w:color w:val="000000"/>
          <w:sz w:val="24"/>
          <w:highlight w:val="none"/>
        </w:rPr>
      </w:pPr>
      <w:r>
        <w:rPr>
          <w:color w:val="000000"/>
          <w:sz w:val="24"/>
          <w:highlight w:val="none"/>
        </w:rPr>
        <w:t>13.1.2组成联合体的大中型企业与联合体中的中小企业之间不得存在投资关系；</w:t>
      </w:r>
    </w:p>
    <w:p>
      <w:pPr>
        <w:spacing w:line="360" w:lineRule="auto"/>
        <w:ind w:firstLine="480" w:firstLineChars="200"/>
        <w:outlineLvl w:val="2"/>
        <w:rPr>
          <w:color w:val="000000"/>
          <w:sz w:val="24"/>
          <w:highlight w:val="none"/>
        </w:rPr>
      </w:pPr>
      <w:r>
        <w:rPr>
          <w:color w:val="000000"/>
          <w:sz w:val="24"/>
          <w:highlight w:val="none"/>
        </w:rPr>
        <w:t>13.2符合政府采购优先采购政策的，提供产品属于“节能产品政府采购清单”中品目的产品，需提供最新一期“节能产品政府采购清单”中产品所在清单页并加盖供应商公章。该清单可在中国政府采购网（</w:t>
      </w:r>
      <w:r>
        <w:rPr>
          <w:highlight w:val="none"/>
        </w:rPr>
        <w:fldChar w:fldCharType="begin"/>
      </w:r>
      <w:r>
        <w:rPr>
          <w:highlight w:val="none"/>
        </w:rPr>
        <w:instrText xml:space="preserve"> HYPERLINK "http://www.ccgp.gov.cn/" </w:instrText>
      </w:r>
      <w:r>
        <w:rPr>
          <w:highlight w:val="none"/>
        </w:rPr>
        <w:fldChar w:fldCharType="separate"/>
      </w:r>
      <w:r>
        <w:rPr>
          <w:rStyle w:val="19"/>
          <w:rFonts w:ascii="Times New Roman" w:hAnsi="Times New Roman" w:eastAsia="宋体" w:cs="Times New Roman"/>
          <w:sz w:val="24"/>
          <w:highlight w:val="none"/>
        </w:rPr>
        <w:t>http://www.ccgp.gov.cn/</w:t>
      </w:r>
      <w:r>
        <w:rPr>
          <w:rStyle w:val="19"/>
          <w:rFonts w:ascii="Times New Roman" w:hAnsi="Times New Roman" w:eastAsia="宋体" w:cs="Times New Roman"/>
          <w:sz w:val="24"/>
          <w:highlight w:val="none"/>
        </w:rPr>
        <w:fldChar w:fldCharType="end"/>
      </w:r>
      <w:r>
        <w:rPr>
          <w:color w:val="000000"/>
          <w:sz w:val="24"/>
          <w:highlight w:val="none"/>
        </w:rPr>
        <w:t>）、中国环境资源信息网（</w:t>
      </w:r>
      <w:r>
        <w:rPr>
          <w:highlight w:val="none"/>
        </w:rPr>
        <w:fldChar w:fldCharType="begin"/>
      </w:r>
      <w:r>
        <w:rPr>
          <w:highlight w:val="none"/>
        </w:rPr>
        <w:instrText xml:space="preserve"> HYPERLINK "http://www.cern.gov.cn/" </w:instrText>
      </w:r>
      <w:r>
        <w:rPr>
          <w:highlight w:val="none"/>
        </w:rPr>
        <w:fldChar w:fldCharType="separate"/>
      </w:r>
      <w:r>
        <w:rPr>
          <w:rStyle w:val="19"/>
          <w:rFonts w:ascii="Times New Roman" w:hAnsi="Times New Roman" w:eastAsia="宋体" w:cs="Times New Roman"/>
          <w:sz w:val="24"/>
          <w:highlight w:val="none"/>
        </w:rPr>
        <w:t>http://www.cern.gov.cn/</w:t>
      </w:r>
      <w:r>
        <w:rPr>
          <w:rStyle w:val="19"/>
          <w:rFonts w:ascii="Times New Roman" w:hAnsi="Times New Roman" w:eastAsia="宋体" w:cs="Times New Roman"/>
          <w:sz w:val="24"/>
          <w:highlight w:val="none"/>
        </w:rPr>
        <w:fldChar w:fldCharType="end"/>
      </w:r>
      <w:r>
        <w:rPr>
          <w:color w:val="000000"/>
          <w:sz w:val="24"/>
          <w:highlight w:val="none"/>
        </w:rPr>
        <w:t>）、中国节能节水认证网（</w:t>
      </w:r>
      <w:r>
        <w:rPr>
          <w:highlight w:val="none"/>
        </w:rPr>
        <w:fldChar w:fldCharType="begin"/>
      </w:r>
      <w:r>
        <w:rPr>
          <w:highlight w:val="none"/>
        </w:rPr>
        <w:instrText xml:space="preserve"> HYPERLINK "http://www.cecp.org.cn/" </w:instrText>
      </w:r>
      <w:r>
        <w:rPr>
          <w:highlight w:val="none"/>
        </w:rPr>
        <w:fldChar w:fldCharType="separate"/>
      </w:r>
      <w:r>
        <w:rPr>
          <w:rStyle w:val="19"/>
          <w:rFonts w:ascii="Times New Roman" w:hAnsi="Times New Roman" w:eastAsia="宋体" w:cs="Times New Roman"/>
          <w:sz w:val="24"/>
          <w:highlight w:val="none"/>
        </w:rPr>
        <w:t>http://www.cecp.org.cn/</w:t>
      </w:r>
      <w:r>
        <w:rPr>
          <w:rStyle w:val="19"/>
          <w:rFonts w:ascii="Times New Roman" w:hAnsi="Times New Roman" w:eastAsia="宋体" w:cs="Times New Roman"/>
          <w:sz w:val="24"/>
          <w:highlight w:val="none"/>
        </w:rPr>
        <w:fldChar w:fldCharType="end"/>
      </w:r>
      <w:r>
        <w:rPr>
          <w:color w:val="000000"/>
          <w:sz w:val="24"/>
          <w:highlight w:val="none"/>
        </w:rPr>
        <w:t>）上查找；提供产品属于“环境标志产品政府采购清单”中品目的产品，需提供最新一期“环境标志产品政府采购清单”中产品所在清单页并加盖供应商公章。该清单可在中国政府采购网（</w:t>
      </w:r>
      <w:r>
        <w:rPr>
          <w:highlight w:val="none"/>
        </w:rPr>
        <w:fldChar w:fldCharType="begin"/>
      </w:r>
      <w:r>
        <w:rPr>
          <w:highlight w:val="none"/>
        </w:rPr>
        <w:instrText xml:space="preserve"> HYPERLINK "http://www.ccgp.gov.cn/" </w:instrText>
      </w:r>
      <w:r>
        <w:rPr>
          <w:highlight w:val="none"/>
        </w:rPr>
        <w:fldChar w:fldCharType="separate"/>
      </w:r>
      <w:r>
        <w:rPr>
          <w:rStyle w:val="19"/>
          <w:rFonts w:ascii="Times New Roman" w:hAnsi="Times New Roman" w:eastAsia="宋体" w:cs="Times New Roman"/>
          <w:sz w:val="24"/>
          <w:highlight w:val="none"/>
        </w:rPr>
        <w:t>http://www.ccgp.gov.cn/</w:t>
      </w:r>
      <w:r>
        <w:rPr>
          <w:rStyle w:val="19"/>
          <w:rFonts w:ascii="Times New Roman" w:hAnsi="Times New Roman" w:eastAsia="宋体" w:cs="Times New Roman"/>
          <w:sz w:val="24"/>
          <w:highlight w:val="none"/>
        </w:rPr>
        <w:fldChar w:fldCharType="end"/>
      </w:r>
      <w:r>
        <w:rPr>
          <w:color w:val="000000"/>
          <w:sz w:val="24"/>
          <w:highlight w:val="none"/>
        </w:rPr>
        <w:t>）、国家环境保护总局网（</w:t>
      </w:r>
      <w:r>
        <w:rPr>
          <w:highlight w:val="none"/>
        </w:rPr>
        <w:fldChar w:fldCharType="begin"/>
      </w:r>
      <w:r>
        <w:rPr>
          <w:highlight w:val="none"/>
        </w:rPr>
        <w:instrText xml:space="preserve"> HYPERLINK "http://www.sepa.gov.cn/" </w:instrText>
      </w:r>
      <w:r>
        <w:rPr>
          <w:highlight w:val="none"/>
        </w:rPr>
        <w:fldChar w:fldCharType="separate"/>
      </w:r>
      <w:r>
        <w:rPr>
          <w:rStyle w:val="19"/>
          <w:rFonts w:ascii="Times New Roman" w:hAnsi="Times New Roman" w:eastAsia="宋体" w:cs="Times New Roman"/>
          <w:sz w:val="24"/>
          <w:highlight w:val="none"/>
        </w:rPr>
        <w:t>http://www.sepa.gov.cn/</w:t>
      </w:r>
      <w:r>
        <w:rPr>
          <w:rStyle w:val="19"/>
          <w:rFonts w:ascii="Times New Roman" w:hAnsi="Times New Roman" w:eastAsia="宋体" w:cs="Times New Roman"/>
          <w:sz w:val="24"/>
          <w:highlight w:val="none"/>
        </w:rPr>
        <w:fldChar w:fldCharType="end"/>
      </w:r>
      <w:r>
        <w:rPr>
          <w:color w:val="000000"/>
          <w:sz w:val="24"/>
          <w:highlight w:val="none"/>
        </w:rPr>
        <w:t>）、中国绿色采购网（http://www.cgpn. cn/）上查找。</w:t>
      </w:r>
    </w:p>
    <w:p>
      <w:pPr>
        <w:spacing w:line="360" w:lineRule="auto"/>
        <w:ind w:firstLine="480" w:firstLineChars="200"/>
        <w:jc w:val="left"/>
        <w:rPr>
          <w:color w:val="000000"/>
          <w:sz w:val="24"/>
          <w:highlight w:val="none"/>
        </w:rPr>
      </w:pPr>
      <w:r>
        <w:rPr>
          <w:color w:val="000000"/>
          <w:sz w:val="24"/>
          <w:highlight w:val="none"/>
        </w:rPr>
        <w:t>13</w:t>
      </w:r>
      <w:r>
        <w:rPr>
          <w:b/>
          <w:color w:val="000000"/>
          <w:sz w:val="24"/>
          <w:highlight w:val="none"/>
        </w:rPr>
        <w:t>.</w:t>
      </w:r>
      <w:r>
        <w:rPr>
          <w:color w:val="000000"/>
          <w:sz w:val="24"/>
          <w:highlight w:val="none"/>
        </w:rPr>
        <w:t>3供应商享受</w:t>
      </w:r>
      <w:r>
        <w:rPr>
          <w:bCs/>
          <w:color w:val="000000"/>
          <w:kern w:val="0"/>
          <w:sz w:val="24"/>
          <w:highlight w:val="none"/>
        </w:rPr>
        <w:t>支持</w:t>
      </w:r>
      <w:r>
        <w:rPr>
          <w:color w:val="000000"/>
          <w:sz w:val="24"/>
          <w:highlight w:val="none"/>
        </w:rPr>
        <w:t>中小型企业发展政策优惠的，可以同时享受节能产品、环境标志产品优先采购政策。依照&lt;财政部、司法部关于政府采购支持监狱企业发展有关问题的通知&gt;（财库〔2014〕68号文件）之规定，监狱企业参加政府采购活动时，视同中小企业。依照&lt;财政部、民政部、中国残疾人联合会关于促进残疾人就业政府采购政策的通知&gt;（财库〔2017〕141号文件 ）之规定，残疾人福利性单位在参加政府采购活动时，视同小型、微型企业。</w:t>
      </w:r>
    </w:p>
    <w:p>
      <w:pPr>
        <w:pStyle w:val="6"/>
        <w:keepLines/>
        <w:spacing w:line="360" w:lineRule="auto"/>
        <w:rPr>
          <w:b/>
          <w:bCs/>
          <w:color w:val="000000"/>
          <w:sz w:val="24"/>
          <w:szCs w:val="24"/>
          <w:highlight w:val="none"/>
          <w:u w:val="none"/>
        </w:rPr>
      </w:pPr>
      <w:bookmarkStart w:id="78" w:name="_Toc485883216"/>
      <w:r>
        <w:rPr>
          <w:b/>
          <w:bCs/>
          <w:color w:val="000000"/>
          <w:sz w:val="24"/>
          <w:szCs w:val="24"/>
          <w:highlight w:val="none"/>
          <w:u w:val="none"/>
        </w:rPr>
        <w:t>14.转包与分包</w:t>
      </w:r>
      <w:bookmarkEnd w:id="78"/>
    </w:p>
    <w:p>
      <w:pPr>
        <w:widowControl/>
        <w:shd w:val="clear" w:color="auto" w:fill="FFFFFF"/>
        <w:spacing w:line="360" w:lineRule="auto"/>
        <w:ind w:firstLine="482"/>
        <w:jc w:val="left"/>
        <w:rPr>
          <w:color w:val="000000"/>
          <w:kern w:val="0"/>
          <w:sz w:val="24"/>
          <w:highlight w:val="none"/>
        </w:rPr>
      </w:pPr>
      <w:r>
        <w:rPr>
          <w:color w:val="000000"/>
          <w:kern w:val="0"/>
          <w:sz w:val="24"/>
          <w:highlight w:val="none"/>
        </w:rPr>
        <w:t>14.1本项目不允许采取转包方式履行合同。</w:t>
      </w:r>
    </w:p>
    <w:p>
      <w:pPr>
        <w:spacing w:line="360" w:lineRule="auto"/>
        <w:ind w:firstLine="493"/>
        <w:rPr>
          <w:b/>
          <w:bCs/>
          <w:color w:val="000000"/>
          <w:kern w:val="0"/>
          <w:sz w:val="24"/>
          <w:highlight w:val="none"/>
        </w:rPr>
      </w:pPr>
      <w:r>
        <w:rPr>
          <w:color w:val="000000"/>
          <w:sz w:val="24"/>
          <w:highlight w:val="none"/>
        </w:rPr>
        <w:t>14.2本项目不允许分包。</w:t>
      </w:r>
    </w:p>
    <w:p>
      <w:pPr>
        <w:pStyle w:val="6"/>
        <w:keepLines/>
        <w:spacing w:line="360" w:lineRule="auto"/>
        <w:rPr>
          <w:b/>
          <w:bCs/>
          <w:color w:val="000000"/>
          <w:sz w:val="24"/>
          <w:szCs w:val="24"/>
          <w:highlight w:val="none"/>
          <w:u w:val="none"/>
        </w:rPr>
      </w:pPr>
      <w:bookmarkStart w:id="79" w:name="_Toc485883217"/>
      <w:r>
        <w:rPr>
          <w:b/>
          <w:bCs/>
          <w:color w:val="000000"/>
          <w:sz w:val="24"/>
          <w:szCs w:val="24"/>
          <w:highlight w:val="none"/>
          <w:u w:val="none"/>
        </w:rPr>
        <w:t>15.供应商的风险</w:t>
      </w:r>
      <w:bookmarkEnd w:id="79"/>
    </w:p>
    <w:p>
      <w:pPr>
        <w:tabs>
          <w:tab w:val="left" w:pos="7665"/>
        </w:tabs>
        <w:spacing w:line="360" w:lineRule="auto"/>
        <w:ind w:firstLine="480" w:firstLineChars="200"/>
        <w:rPr>
          <w:color w:val="000000"/>
          <w:kern w:val="0"/>
          <w:sz w:val="24"/>
          <w:highlight w:val="none"/>
        </w:rPr>
      </w:pPr>
      <w:r>
        <w:rPr>
          <w:color w:val="000000"/>
          <w:sz w:val="24"/>
          <w:highlight w:val="none"/>
        </w:rPr>
        <w:t>15.1供应商应认真阅读和充分理解磋商文件中所有的事项、格式条款和规范要求，任何对</w:t>
      </w:r>
      <w:r>
        <w:rPr>
          <w:bCs/>
          <w:color w:val="000000"/>
          <w:sz w:val="24"/>
          <w:highlight w:val="none"/>
        </w:rPr>
        <w:t>磋商</w:t>
      </w:r>
      <w:r>
        <w:rPr>
          <w:color w:val="000000"/>
          <w:sz w:val="24"/>
          <w:highlight w:val="none"/>
        </w:rPr>
        <w:t>文件的忽略或误解不能作为响应文件存在缺陷或瑕疵的理由；供应商</w:t>
      </w:r>
      <w:r>
        <w:rPr>
          <w:color w:val="000000"/>
          <w:kern w:val="0"/>
          <w:sz w:val="24"/>
          <w:highlight w:val="none"/>
        </w:rPr>
        <w:t>没有按照磋商文件要求提供全部资料，</w:t>
      </w:r>
      <w:r>
        <w:rPr>
          <w:color w:val="000000"/>
          <w:sz w:val="24"/>
          <w:highlight w:val="none"/>
        </w:rPr>
        <w:t>或对磋商文件未全面做出实质性响应是供应商的风险，</w:t>
      </w:r>
      <w:r>
        <w:rPr>
          <w:color w:val="000000"/>
          <w:kern w:val="0"/>
          <w:sz w:val="24"/>
          <w:highlight w:val="none"/>
        </w:rPr>
        <w:t>并可能导致其响应文件被拒绝。</w:t>
      </w:r>
    </w:p>
    <w:p>
      <w:pPr>
        <w:spacing w:line="360" w:lineRule="auto"/>
        <w:rPr>
          <w:b/>
          <w:color w:val="000000"/>
          <w:sz w:val="30"/>
          <w:szCs w:val="30"/>
          <w:highlight w:val="none"/>
        </w:rPr>
      </w:pPr>
      <w:bookmarkStart w:id="80" w:name="_Toc485883218"/>
      <w:r>
        <w:rPr>
          <w:b/>
          <w:color w:val="000000"/>
          <w:sz w:val="30"/>
          <w:szCs w:val="30"/>
          <w:highlight w:val="none"/>
        </w:rPr>
        <w:t>四、响应文件</w:t>
      </w:r>
      <w:bookmarkEnd w:id="80"/>
    </w:p>
    <w:p>
      <w:pPr>
        <w:pStyle w:val="6"/>
        <w:keepLines/>
        <w:spacing w:line="360" w:lineRule="auto"/>
        <w:rPr>
          <w:b/>
          <w:bCs/>
          <w:color w:val="000000"/>
          <w:sz w:val="24"/>
          <w:szCs w:val="24"/>
          <w:highlight w:val="none"/>
          <w:u w:val="none"/>
        </w:rPr>
      </w:pPr>
      <w:bookmarkStart w:id="81" w:name="_Toc485883219"/>
      <w:r>
        <w:rPr>
          <w:b/>
          <w:bCs/>
          <w:color w:val="000000"/>
          <w:sz w:val="24"/>
          <w:szCs w:val="24"/>
          <w:highlight w:val="none"/>
          <w:u w:val="none"/>
        </w:rPr>
        <w:t>16.响应文件的编写原则和要求</w:t>
      </w:r>
      <w:bookmarkEnd w:id="81"/>
    </w:p>
    <w:p>
      <w:pPr>
        <w:tabs>
          <w:tab w:val="left" w:pos="720"/>
        </w:tabs>
        <w:snapToGrid w:val="0"/>
        <w:spacing w:line="360" w:lineRule="auto"/>
        <w:ind w:firstLine="480" w:firstLineChars="200"/>
        <w:rPr>
          <w:color w:val="000000"/>
          <w:sz w:val="24"/>
          <w:highlight w:val="none"/>
        </w:rPr>
      </w:pPr>
      <w:r>
        <w:rPr>
          <w:color w:val="000000"/>
          <w:sz w:val="24"/>
          <w:highlight w:val="none"/>
        </w:rPr>
        <w:t>16.1供应商应仔细阅读磋商文件的所有内容，按照磋商文件规定及要求编写，应当对磋商文件提出的实质性要求做出响应，并提交完整的响应文件。供应商应对采购服务提供完整详细的技术说明，若供应商对指定的技术要求不能完全响应，应在响应文件中清楚地注明。</w:t>
      </w:r>
      <w:r>
        <w:rPr>
          <w:b/>
          <w:color w:val="000000"/>
          <w:sz w:val="24"/>
          <w:highlight w:val="none"/>
        </w:rPr>
        <w:t>供应商拟在</w:t>
      </w:r>
      <w:r>
        <w:rPr>
          <w:rFonts w:hint="eastAsia"/>
          <w:b/>
          <w:color w:val="000000"/>
          <w:sz w:val="24"/>
          <w:highlight w:val="none"/>
        </w:rPr>
        <w:t>成交</w:t>
      </w:r>
      <w:r>
        <w:rPr>
          <w:b/>
          <w:color w:val="000000"/>
          <w:sz w:val="24"/>
          <w:highlight w:val="none"/>
        </w:rPr>
        <w:t>服务后将</w:t>
      </w:r>
      <w:r>
        <w:rPr>
          <w:rFonts w:hint="eastAsia"/>
          <w:b/>
          <w:color w:val="000000"/>
          <w:sz w:val="24"/>
          <w:highlight w:val="none"/>
        </w:rPr>
        <w:t>成交</w:t>
      </w:r>
      <w:r>
        <w:rPr>
          <w:b/>
          <w:color w:val="000000"/>
          <w:sz w:val="24"/>
          <w:highlight w:val="none"/>
        </w:rPr>
        <w:t>服务项目的非关键性工作交由他人完成的，应当在响应文件中载明</w:t>
      </w:r>
      <w:r>
        <w:rPr>
          <w:color w:val="000000"/>
          <w:sz w:val="24"/>
          <w:highlight w:val="none"/>
        </w:rPr>
        <w:t>。供应商对本磋商文件的每一项要求所给予的响应必须是唯一的，否则将视为无效响应文件。</w:t>
      </w:r>
    </w:p>
    <w:p>
      <w:pPr>
        <w:tabs>
          <w:tab w:val="left" w:pos="720"/>
        </w:tabs>
        <w:snapToGrid w:val="0"/>
        <w:spacing w:line="360" w:lineRule="auto"/>
        <w:ind w:firstLine="480" w:firstLineChars="200"/>
        <w:rPr>
          <w:color w:val="000000"/>
          <w:sz w:val="24"/>
          <w:highlight w:val="none"/>
        </w:rPr>
      </w:pPr>
      <w:r>
        <w:rPr>
          <w:color w:val="000000"/>
          <w:sz w:val="24"/>
          <w:highlight w:val="none"/>
        </w:rPr>
        <w:t>16.2真实性原则</w:t>
      </w:r>
    </w:p>
    <w:p>
      <w:pPr>
        <w:tabs>
          <w:tab w:val="left" w:pos="720"/>
        </w:tabs>
        <w:snapToGrid w:val="0"/>
        <w:spacing w:line="360" w:lineRule="auto"/>
        <w:ind w:firstLine="480"/>
        <w:rPr>
          <w:color w:val="000000"/>
          <w:sz w:val="24"/>
          <w:highlight w:val="none"/>
        </w:rPr>
      </w:pPr>
      <w:r>
        <w:rPr>
          <w:color w:val="000000"/>
          <w:sz w:val="24"/>
          <w:highlight w:val="none"/>
        </w:rPr>
        <w:t>16.2.1供应商应保证所提供的响应文件和所有资料的真实性、准确性和完整性。</w:t>
      </w:r>
    </w:p>
    <w:p>
      <w:pPr>
        <w:tabs>
          <w:tab w:val="left" w:pos="720"/>
        </w:tabs>
        <w:snapToGrid w:val="0"/>
        <w:spacing w:line="360" w:lineRule="auto"/>
        <w:ind w:firstLine="482"/>
        <w:rPr>
          <w:color w:val="000000"/>
          <w:sz w:val="24"/>
          <w:highlight w:val="none"/>
        </w:rPr>
      </w:pPr>
      <w:r>
        <w:rPr>
          <w:color w:val="000000"/>
          <w:sz w:val="24"/>
          <w:highlight w:val="none"/>
        </w:rPr>
        <w:t>16.2.2供应商在政府采购过程中提供不真实的材料，无论其材料是否重要，采购人均有权拒绝，并取消其磋商资格，供应商需承担相应的后果及法律责任。</w:t>
      </w:r>
    </w:p>
    <w:p>
      <w:pPr>
        <w:spacing w:line="360" w:lineRule="auto"/>
        <w:ind w:firstLine="480" w:firstLineChars="200"/>
        <w:rPr>
          <w:color w:val="000000"/>
          <w:sz w:val="24"/>
          <w:highlight w:val="none"/>
        </w:rPr>
      </w:pPr>
      <w:r>
        <w:rPr>
          <w:color w:val="000000"/>
          <w:sz w:val="24"/>
          <w:highlight w:val="none"/>
        </w:rPr>
        <w:t>16.3供应商提交的响应文件以及供应商与采购代理机构就有关磋商的所有来往书面文件均须使用中文。响应文件中如附有外文资料，必须逐一对应翻译成中文并加盖供应商公章后附在相关外文资料后面，否则，其响应文件将作为无效响应文件处理。</w:t>
      </w:r>
    </w:p>
    <w:p>
      <w:pPr>
        <w:pStyle w:val="9"/>
        <w:adjustRightInd w:val="0"/>
        <w:snapToGrid w:val="0"/>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16.3.1翻译的中文资料与外文资料如果出现差异和矛盾时，以中文为准。但不能故意错误翻译，否则，供应商的响应文件将作为无效响应文件处理。</w:t>
      </w:r>
      <w:r>
        <w:rPr>
          <w:rFonts w:ascii="Times New Roman" w:hAnsi="Times New Roman"/>
          <w:color w:val="000000"/>
          <w:kern w:val="0"/>
          <w:sz w:val="24"/>
          <w:szCs w:val="24"/>
          <w:highlight w:val="none"/>
        </w:rPr>
        <w:t>必要时采购人可以要求供应商提供附有公证书的中文翻译文件或者与原版文件签章相一致的中文翻译文件。</w:t>
      </w:r>
    </w:p>
    <w:p>
      <w:pPr>
        <w:tabs>
          <w:tab w:val="left" w:pos="720"/>
        </w:tabs>
        <w:snapToGrid w:val="0"/>
        <w:spacing w:line="360" w:lineRule="auto"/>
        <w:ind w:firstLine="480"/>
        <w:rPr>
          <w:color w:val="000000"/>
          <w:sz w:val="24"/>
          <w:highlight w:val="none"/>
        </w:rPr>
      </w:pPr>
      <w:r>
        <w:rPr>
          <w:color w:val="000000"/>
          <w:sz w:val="24"/>
          <w:highlight w:val="none"/>
        </w:rPr>
        <w:t>16.4响应文件的计量单位</w:t>
      </w:r>
    </w:p>
    <w:p>
      <w:pPr>
        <w:tabs>
          <w:tab w:val="left" w:pos="720"/>
        </w:tabs>
        <w:snapToGrid w:val="0"/>
        <w:spacing w:line="360" w:lineRule="auto"/>
        <w:ind w:firstLine="480"/>
        <w:rPr>
          <w:color w:val="000000"/>
          <w:kern w:val="0"/>
          <w:sz w:val="24"/>
          <w:highlight w:val="none"/>
        </w:rPr>
      </w:pPr>
      <w:r>
        <w:rPr>
          <w:color w:val="000000"/>
          <w:sz w:val="24"/>
          <w:highlight w:val="none"/>
        </w:rPr>
        <w:t>16.4.1</w:t>
      </w:r>
      <w:r>
        <w:rPr>
          <w:color w:val="000000"/>
          <w:kern w:val="0"/>
          <w:sz w:val="24"/>
          <w:highlight w:val="none"/>
        </w:rPr>
        <w:t>磋商文件已有明确规定的，使用磋商文件规定的计量单位；磋商文件没有规定的，应采用中华人民共和国法定计量单位</w:t>
      </w:r>
      <w:r>
        <w:rPr>
          <w:color w:val="000000"/>
          <w:sz w:val="24"/>
          <w:highlight w:val="none"/>
        </w:rPr>
        <w:t>(国际单位制和国家选定的其他计量单位)</w:t>
      </w:r>
      <w:r>
        <w:rPr>
          <w:color w:val="000000"/>
          <w:kern w:val="0"/>
          <w:sz w:val="24"/>
          <w:highlight w:val="none"/>
        </w:rPr>
        <w:t>。否则，视为对磋商文件未作出实质性响应。</w:t>
      </w:r>
    </w:p>
    <w:p>
      <w:pPr>
        <w:tabs>
          <w:tab w:val="left" w:pos="720"/>
        </w:tabs>
        <w:snapToGrid w:val="0"/>
        <w:spacing w:line="360" w:lineRule="auto"/>
        <w:ind w:firstLine="480"/>
        <w:rPr>
          <w:color w:val="000000"/>
          <w:sz w:val="24"/>
          <w:highlight w:val="none"/>
        </w:rPr>
      </w:pPr>
      <w:r>
        <w:rPr>
          <w:color w:val="000000"/>
          <w:sz w:val="24"/>
          <w:highlight w:val="none"/>
        </w:rPr>
        <w:t>16.5报价使用货币</w:t>
      </w:r>
    </w:p>
    <w:p>
      <w:pPr>
        <w:tabs>
          <w:tab w:val="left" w:pos="720"/>
        </w:tabs>
        <w:snapToGrid w:val="0"/>
        <w:spacing w:line="360" w:lineRule="auto"/>
        <w:ind w:firstLine="480"/>
        <w:rPr>
          <w:color w:val="000000"/>
          <w:sz w:val="24"/>
          <w:highlight w:val="none"/>
        </w:rPr>
      </w:pPr>
      <w:r>
        <w:rPr>
          <w:color w:val="000000"/>
          <w:sz w:val="24"/>
          <w:highlight w:val="none"/>
        </w:rPr>
        <w:t>16.5.1本次采购项目的报价均以人民币报价。</w:t>
      </w:r>
    </w:p>
    <w:p>
      <w:pPr>
        <w:pStyle w:val="9"/>
        <w:adjustRightInd w:val="0"/>
        <w:snapToGrid w:val="0"/>
        <w:spacing w:line="360" w:lineRule="auto"/>
        <w:ind w:firstLine="480" w:firstLineChars="200"/>
        <w:rPr>
          <w:rFonts w:ascii="Times New Roman" w:hAnsi="Times New Roman"/>
          <w:color w:val="000000"/>
          <w:sz w:val="24"/>
          <w:highlight w:val="none"/>
        </w:rPr>
      </w:pPr>
      <w:r>
        <w:rPr>
          <w:rFonts w:ascii="Times New Roman" w:hAnsi="Times New Roman"/>
          <w:color w:val="000000"/>
          <w:sz w:val="24"/>
          <w:highlight w:val="none"/>
        </w:rPr>
        <w:t>16.6响应</w:t>
      </w:r>
      <w:r>
        <w:rPr>
          <w:rFonts w:ascii="Times New Roman" w:hAnsi="Times New Roman"/>
          <w:color w:val="000000"/>
          <w:sz w:val="24"/>
          <w:szCs w:val="24"/>
          <w:highlight w:val="none"/>
        </w:rPr>
        <w:t>文件形式</w:t>
      </w:r>
    </w:p>
    <w:p>
      <w:pPr>
        <w:pStyle w:val="9"/>
        <w:adjustRightInd w:val="0"/>
        <w:snapToGrid w:val="0"/>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highlight w:val="none"/>
        </w:rPr>
        <w:t>16.6.1本项目响应</w:t>
      </w:r>
      <w:r>
        <w:rPr>
          <w:rFonts w:ascii="Times New Roman" w:hAnsi="Times New Roman"/>
          <w:color w:val="000000"/>
          <w:sz w:val="24"/>
          <w:szCs w:val="24"/>
          <w:highlight w:val="none"/>
        </w:rPr>
        <w:t>文件应采用书面文件形式，电报、传真、电子邮件形式的响应文件不予接受。</w:t>
      </w:r>
    </w:p>
    <w:p>
      <w:pPr>
        <w:tabs>
          <w:tab w:val="left" w:pos="720"/>
        </w:tabs>
        <w:snapToGrid w:val="0"/>
        <w:spacing w:line="360" w:lineRule="auto"/>
        <w:ind w:firstLine="480" w:firstLineChars="200"/>
        <w:rPr>
          <w:color w:val="000000"/>
          <w:sz w:val="24"/>
          <w:highlight w:val="none"/>
        </w:rPr>
      </w:pPr>
      <w:r>
        <w:rPr>
          <w:color w:val="000000"/>
          <w:sz w:val="24"/>
          <w:highlight w:val="none"/>
        </w:rPr>
        <w:t>16.7备选方案</w:t>
      </w:r>
    </w:p>
    <w:p>
      <w:pPr>
        <w:tabs>
          <w:tab w:val="left" w:pos="720"/>
        </w:tabs>
        <w:snapToGrid w:val="0"/>
        <w:spacing w:line="360" w:lineRule="auto"/>
        <w:ind w:firstLine="480" w:firstLineChars="200"/>
        <w:rPr>
          <w:color w:val="000000"/>
          <w:sz w:val="24"/>
          <w:highlight w:val="none"/>
        </w:rPr>
      </w:pPr>
      <w:r>
        <w:rPr>
          <w:color w:val="000000"/>
          <w:sz w:val="24"/>
          <w:highlight w:val="none"/>
        </w:rPr>
        <w:t>16.7.1本项目不接受备选响应方案，响应文件的报价只允许有一个报价，不接受有任何选择或具有附加条件的报价，否则，在评审时将其视为无效报价</w:t>
      </w:r>
      <w:r>
        <w:rPr>
          <w:color w:val="000000"/>
          <w:highlight w:val="none"/>
        </w:rPr>
        <w:t>。</w:t>
      </w:r>
    </w:p>
    <w:bookmarkEnd w:id="73"/>
    <w:bookmarkEnd w:id="74"/>
    <w:bookmarkEnd w:id="75"/>
    <w:p>
      <w:pPr>
        <w:pStyle w:val="6"/>
        <w:keepLines/>
        <w:spacing w:line="360" w:lineRule="auto"/>
        <w:rPr>
          <w:b/>
          <w:bCs/>
          <w:color w:val="000000"/>
          <w:sz w:val="24"/>
          <w:szCs w:val="24"/>
          <w:highlight w:val="none"/>
          <w:u w:val="none"/>
        </w:rPr>
      </w:pPr>
      <w:bookmarkStart w:id="82" w:name="_Toc183682354"/>
      <w:bookmarkStart w:id="83" w:name="_Toc217446048"/>
      <w:bookmarkStart w:id="84" w:name="_Toc485883220"/>
      <w:bookmarkStart w:id="85" w:name="_Toc183582217"/>
      <w:r>
        <w:rPr>
          <w:b/>
          <w:bCs/>
          <w:color w:val="000000"/>
          <w:sz w:val="24"/>
          <w:szCs w:val="24"/>
          <w:highlight w:val="none"/>
          <w:u w:val="none"/>
        </w:rPr>
        <w:t>17．响应文件的组成</w:t>
      </w:r>
      <w:bookmarkEnd w:id="82"/>
      <w:bookmarkEnd w:id="83"/>
      <w:bookmarkEnd w:id="84"/>
      <w:bookmarkEnd w:id="85"/>
    </w:p>
    <w:p>
      <w:pPr>
        <w:spacing w:line="360" w:lineRule="auto"/>
        <w:ind w:firstLine="472" w:firstLineChars="196"/>
        <w:rPr>
          <w:b/>
          <w:color w:val="000000"/>
          <w:sz w:val="24"/>
          <w:highlight w:val="none"/>
        </w:rPr>
      </w:pPr>
      <w:r>
        <w:rPr>
          <w:b/>
          <w:color w:val="000000"/>
          <w:sz w:val="24"/>
          <w:highlight w:val="none"/>
        </w:rPr>
        <w:t>17.1响应文件由下列部分组成：</w:t>
      </w:r>
    </w:p>
    <w:p>
      <w:pPr>
        <w:spacing w:line="360" w:lineRule="auto"/>
        <w:ind w:firstLine="470" w:firstLineChars="196"/>
        <w:rPr>
          <w:color w:val="000000"/>
          <w:sz w:val="24"/>
          <w:highlight w:val="none"/>
        </w:rPr>
      </w:pPr>
      <w:r>
        <w:rPr>
          <w:color w:val="000000"/>
          <w:sz w:val="24"/>
          <w:highlight w:val="none"/>
        </w:rPr>
        <w:t>（1）报价部分；</w:t>
      </w:r>
    </w:p>
    <w:p>
      <w:pPr>
        <w:spacing w:line="360" w:lineRule="auto"/>
        <w:ind w:firstLine="470" w:firstLineChars="196"/>
        <w:rPr>
          <w:color w:val="000000"/>
          <w:sz w:val="24"/>
          <w:highlight w:val="none"/>
        </w:rPr>
      </w:pPr>
      <w:r>
        <w:rPr>
          <w:color w:val="000000"/>
          <w:sz w:val="24"/>
          <w:highlight w:val="none"/>
        </w:rPr>
        <w:t>（2）技术部分；</w:t>
      </w:r>
    </w:p>
    <w:p>
      <w:pPr>
        <w:spacing w:line="360" w:lineRule="auto"/>
        <w:ind w:firstLine="470" w:firstLineChars="196"/>
        <w:rPr>
          <w:color w:val="000000"/>
          <w:sz w:val="24"/>
          <w:highlight w:val="none"/>
        </w:rPr>
      </w:pPr>
      <w:r>
        <w:rPr>
          <w:color w:val="000000"/>
          <w:sz w:val="24"/>
          <w:highlight w:val="none"/>
        </w:rPr>
        <w:t>（3）商务部分；</w:t>
      </w:r>
    </w:p>
    <w:p>
      <w:pPr>
        <w:spacing w:line="360" w:lineRule="auto"/>
        <w:ind w:firstLine="472" w:firstLineChars="196"/>
        <w:rPr>
          <w:b/>
          <w:color w:val="000000"/>
          <w:sz w:val="24"/>
          <w:highlight w:val="none"/>
        </w:rPr>
      </w:pPr>
      <w:r>
        <w:rPr>
          <w:b/>
          <w:color w:val="000000"/>
          <w:sz w:val="24"/>
          <w:highlight w:val="none"/>
        </w:rPr>
        <w:t>17.2报价部分</w:t>
      </w:r>
    </w:p>
    <w:p>
      <w:pPr>
        <w:spacing w:line="360" w:lineRule="auto"/>
        <w:ind w:firstLine="470" w:firstLineChars="196"/>
        <w:rPr>
          <w:color w:val="000000"/>
          <w:sz w:val="24"/>
          <w:highlight w:val="none"/>
        </w:rPr>
      </w:pPr>
      <w:r>
        <w:rPr>
          <w:color w:val="000000"/>
          <w:sz w:val="24"/>
          <w:highlight w:val="none"/>
        </w:rPr>
        <w:t>17.2.1</w:t>
      </w:r>
      <w:r>
        <w:rPr>
          <w:b/>
          <w:color w:val="000000"/>
          <w:sz w:val="24"/>
          <w:highlight w:val="none"/>
        </w:rPr>
        <w:t>本次竞争性磋商根据磋商情况确定磋商轮次，第二次报价为最终报价</w:t>
      </w:r>
      <w:r>
        <w:rPr>
          <w:color w:val="000000"/>
          <w:sz w:val="24"/>
          <w:highlight w:val="none"/>
        </w:rPr>
        <w:t>。</w:t>
      </w:r>
    </w:p>
    <w:p>
      <w:pPr>
        <w:spacing w:line="360" w:lineRule="auto"/>
        <w:ind w:firstLine="470" w:firstLineChars="196"/>
        <w:rPr>
          <w:color w:val="000000"/>
          <w:sz w:val="24"/>
          <w:highlight w:val="none"/>
        </w:rPr>
      </w:pPr>
      <w:r>
        <w:rPr>
          <w:bCs/>
          <w:color w:val="000000"/>
          <w:sz w:val="24"/>
          <w:highlight w:val="none"/>
        </w:rPr>
        <w:t>17.2.2</w:t>
      </w:r>
      <w:r>
        <w:rPr>
          <w:color w:val="000000"/>
          <w:sz w:val="24"/>
          <w:highlight w:val="none"/>
        </w:rPr>
        <w:t>报价要求：</w:t>
      </w:r>
    </w:p>
    <w:p>
      <w:pPr>
        <w:adjustRightInd w:val="0"/>
        <w:snapToGrid w:val="0"/>
        <w:spacing w:line="360" w:lineRule="auto"/>
        <w:ind w:firstLine="480" w:firstLineChars="200"/>
        <w:rPr>
          <w:color w:val="000000"/>
          <w:sz w:val="24"/>
          <w:highlight w:val="none"/>
        </w:rPr>
      </w:pPr>
      <w:r>
        <w:rPr>
          <w:color w:val="000000"/>
          <w:sz w:val="24"/>
          <w:highlight w:val="none"/>
        </w:rPr>
        <w:t>（1）本项目采购预算金额见供应商须知前列表。供应商各轮次报价均不得超过采购预算金额；否则，按无效响应文件处理。若采购需求没有实质性变化的，各供应商的报价应逐次降低，本次报价超过上次报价的，按无效报价处理，评审时按上次报价计算。</w:t>
      </w:r>
    </w:p>
    <w:p>
      <w:pPr>
        <w:adjustRightInd w:val="0"/>
        <w:snapToGrid w:val="0"/>
        <w:spacing w:line="360" w:lineRule="auto"/>
        <w:ind w:firstLine="480" w:firstLineChars="200"/>
        <w:rPr>
          <w:color w:val="000000"/>
          <w:sz w:val="24"/>
          <w:highlight w:val="none"/>
        </w:rPr>
      </w:pPr>
      <w:r>
        <w:rPr>
          <w:color w:val="000000"/>
          <w:sz w:val="24"/>
          <w:highlight w:val="none"/>
        </w:rPr>
        <w:t>（2）</w:t>
      </w:r>
      <w:r>
        <w:rPr>
          <w:b/>
          <w:color w:val="000000"/>
          <w:sz w:val="24"/>
          <w:highlight w:val="none"/>
        </w:rPr>
        <w:t>本项目报价供应商应自行考虑并承担风险</w:t>
      </w:r>
      <w:r>
        <w:rPr>
          <w:color w:val="000000"/>
          <w:sz w:val="24"/>
          <w:highlight w:val="none"/>
        </w:rPr>
        <w:t>。即供应商的报价是供应商响应本项目要求的全部工作内容的价格体现，包括供应商完成本项目所需的人工费、设备使用费、管理费、项目验收费、利润和税金等全部费用。在提供服务的过程中的任何遗漏，均由</w:t>
      </w:r>
      <w:r>
        <w:rPr>
          <w:rFonts w:hint="eastAsia"/>
          <w:color w:val="000000"/>
          <w:sz w:val="24"/>
          <w:highlight w:val="none"/>
        </w:rPr>
        <w:t>成交</w:t>
      </w:r>
      <w:r>
        <w:rPr>
          <w:color w:val="000000"/>
          <w:sz w:val="24"/>
          <w:highlight w:val="none"/>
        </w:rPr>
        <w:t>服务供应商免费提供，采购人将不再支付任何费用。</w:t>
      </w:r>
      <w:r>
        <w:rPr>
          <w:rFonts w:hint="eastAsia"/>
          <w:color w:val="000000"/>
          <w:sz w:val="24"/>
          <w:highlight w:val="none"/>
        </w:rPr>
        <w:t>成交</w:t>
      </w:r>
      <w:r>
        <w:rPr>
          <w:color w:val="000000"/>
          <w:sz w:val="24"/>
          <w:highlight w:val="none"/>
        </w:rPr>
        <w:t>服务后不允许擅自改变服务内容、质量标准、期限和追加项目预算，并且在合同履行过程中是固定不变的，任何有选择或可调整的报价将不予接受，并按无效响应文件处理。</w:t>
      </w:r>
    </w:p>
    <w:p>
      <w:pPr>
        <w:adjustRightInd w:val="0"/>
        <w:snapToGrid w:val="0"/>
        <w:spacing w:line="360" w:lineRule="auto"/>
        <w:ind w:firstLine="480" w:firstLineChars="200"/>
        <w:rPr>
          <w:color w:val="000000"/>
          <w:sz w:val="24"/>
          <w:highlight w:val="none"/>
        </w:rPr>
      </w:pPr>
      <w:r>
        <w:rPr>
          <w:color w:val="000000"/>
          <w:sz w:val="24"/>
          <w:highlight w:val="none"/>
        </w:rPr>
        <w:t>（3）</w:t>
      </w:r>
      <w:r>
        <w:rPr>
          <w:color w:val="000000"/>
          <w:kern w:val="0"/>
          <w:sz w:val="24"/>
          <w:highlight w:val="none"/>
        </w:rPr>
        <w:t>供应商的</w:t>
      </w:r>
      <w:r>
        <w:rPr>
          <w:b/>
          <w:color w:val="000000"/>
          <w:kern w:val="0"/>
          <w:sz w:val="24"/>
          <w:highlight w:val="none"/>
        </w:rPr>
        <w:t>第一次报价应</w:t>
      </w:r>
      <w:r>
        <w:rPr>
          <w:color w:val="000000"/>
          <w:kern w:val="0"/>
          <w:sz w:val="24"/>
          <w:highlight w:val="none"/>
        </w:rPr>
        <w:t>按</w:t>
      </w:r>
      <w:r>
        <w:rPr>
          <w:color w:val="000000"/>
          <w:sz w:val="24"/>
          <w:highlight w:val="none"/>
        </w:rPr>
        <w:t>“报价一览表”</w:t>
      </w:r>
      <w:r>
        <w:rPr>
          <w:color w:val="000000"/>
          <w:kern w:val="0"/>
          <w:sz w:val="24"/>
          <w:highlight w:val="none"/>
        </w:rPr>
        <w:t>的内容</w:t>
      </w:r>
      <w:r>
        <w:rPr>
          <w:color w:val="000000"/>
          <w:sz w:val="24"/>
          <w:highlight w:val="none"/>
        </w:rPr>
        <w:t>和格式要求填。</w:t>
      </w:r>
    </w:p>
    <w:p>
      <w:pPr>
        <w:adjustRightInd w:val="0"/>
        <w:snapToGrid w:val="0"/>
        <w:spacing w:line="360" w:lineRule="auto"/>
        <w:ind w:firstLine="480" w:firstLineChars="200"/>
        <w:rPr>
          <w:color w:val="000000"/>
          <w:sz w:val="24"/>
          <w:highlight w:val="none"/>
        </w:rPr>
      </w:pPr>
      <w:r>
        <w:rPr>
          <w:color w:val="000000"/>
          <w:sz w:val="24"/>
          <w:highlight w:val="none"/>
        </w:rPr>
        <w:t>（4）</w:t>
      </w:r>
      <w:r>
        <w:rPr>
          <w:color w:val="000000"/>
          <w:kern w:val="0"/>
          <w:sz w:val="24"/>
          <w:highlight w:val="none"/>
        </w:rPr>
        <w:t>供应商的</w:t>
      </w:r>
      <w:r>
        <w:rPr>
          <w:b/>
          <w:color w:val="000000"/>
          <w:kern w:val="0"/>
          <w:sz w:val="24"/>
          <w:highlight w:val="none"/>
        </w:rPr>
        <w:t>最终磋商报价</w:t>
      </w:r>
      <w:r>
        <w:rPr>
          <w:color w:val="000000"/>
          <w:kern w:val="0"/>
          <w:sz w:val="24"/>
          <w:highlight w:val="none"/>
        </w:rPr>
        <w:t>应按采购代理机构给定格式</w:t>
      </w:r>
      <w:r>
        <w:rPr>
          <w:color w:val="000000"/>
          <w:sz w:val="24"/>
          <w:highlight w:val="none"/>
        </w:rPr>
        <w:t>填写。总报价中不得包含磋商文件要求以外的内容，否则，在评审时不予核减。</w:t>
      </w:r>
    </w:p>
    <w:p>
      <w:pPr>
        <w:adjustRightInd w:val="0"/>
        <w:snapToGrid w:val="0"/>
        <w:spacing w:line="360" w:lineRule="auto"/>
        <w:ind w:firstLine="482"/>
        <w:rPr>
          <w:b/>
          <w:color w:val="000000"/>
          <w:sz w:val="24"/>
          <w:highlight w:val="none"/>
        </w:rPr>
      </w:pPr>
      <w:r>
        <w:rPr>
          <w:b/>
          <w:color w:val="000000"/>
          <w:sz w:val="24"/>
          <w:highlight w:val="none"/>
        </w:rPr>
        <w:t>（5）供应商不得以低于成本的报价参与磋商。当磋商小组认为，某供应商的报价或者部分分项报价存在明显不合理的低于成本的报价，有可能影响施工质量和不能诚信履约的，可要求该供应商在规定期限内，提供必要的书面文件予以解释和说明并附带相关证明材料；否则，磋商小组认定该供应商以低于成本价竞价，其响应文件作无效响应文件处理。</w:t>
      </w:r>
    </w:p>
    <w:p>
      <w:pPr>
        <w:tabs>
          <w:tab w:val="left" w:pos="540"/>
        </w:tabs>
        <w:spacing w:line="360" w:lineRule="auto"/>
        <w:ind w:firstLine="472" w:firstLineChars="196"/>
        <w:rPr>
          <w:b/>
          <w:bCs/>
          <w:color w:val="000000"/>
          <w:sz w:val="24"/>
          <w:highlight w:val="none"/>
        </w:rPr>
      </w:pPr>
      <w:r>
        <w:rPr>
          <w:b/>
          <w:bCs/>
          <w:color w:val="000000"/>
          <w:sz w:val="24"/>
          <w:highlight w:val="none"/>
        </w:rPr>
        <w:t>17.3 技术部分</w:t>
      </w:r>
    </w:p>
    <w:p>
      <w:pPr>
        <w:tabs>
          <w:tab w:val="left" w:pos="540"/>
        </w:tabs>
        <w:spacing w:line="360" w:lineRule="auto"/>
        <w:ind w:firstLine="470" w:firstLineChars="196"/>
        <w:rPr>
          <w:color w:val="000000"/>
          <w:sz w:val="24"/>
          <w:highlight w:val="none"/>
        </w:rPr>
      </w:pPr>
      <w:r>
        <w:rPr>
          <w:bCs/>
          <w:color w:val="000000"/>
          <w:sz w:val="24"/>
          <w:highlight w:val="none"/>
        </w:rPr>
        <w:t>供应商</w:t>
      </w:r>
      <w:r>
        <w:rPr>
          <w:color w:val="000000"/>
          <w:sz w:val="24"/>
          <w:highlight w:val="none"/>
        </w:rPr>
        <w:t>按照磋商文件要求做出的技术应答，主要是针对采购项目的服务内容、指标和技术要求做出的实质性响应和满足，不得出现</w:t>
      </w:r>
      <w:r>
        <w:rPr>
          <w:b/>
          <w:color w:val="000000"/>
          <w:sz w:val="24"/>
          <w:highlight w:val="none"/>
        </w:rPr>
        <w:t>负偏离</w:t>
      </w:r>
      <w:r>
        <w:rPr>
          <w:color w:val="000000"/>
          <w:sz w:val="24"/>
          <w:highlight w:val="none"/>
        </w:rPr>
        <w:t>。供应商的技术应答应包括下列内容：</w:t>
      </w:r>
    </w:p>
    <w:p>
      <w:pPr>
        <w:spacing w:line="360" w:lineRule="auto"/>
        <w:ind w:left="508" w:leftChars="226" w:hanging="33" w:hangingChars="14"/>
        <w:rPr>
          <w:color w:val="000000"/>
          <w:sz w:val="24"/>
          <w:highlight w:val="none"/>
        </w:rPr>
      </w:pPr>
      <w:r>
        <w:rPr>
          <w:color w:val="000000"/>
          <w:sz w:val="24"/>
          <w:highlight w:val="none"/>
        </w:rPr>
        <w:t>（1）</w:t>
      </w:r>
      <w:r>
        <w:rPr>
          <w:rFonts w:hint="eastAsia"/>
          <w:color w:val="000000"/>
          <w:sz w:val="24"/>
          <w:highlight w:val="none"/>
          <w:lang w:val="en-US" w:eastAsia="zh-CN"/>
        </w:rPr>
        <w:t>技术方案</w:t>
      </w:r>
      <w:r>
        <w:rPr>
          <w:color w:val="000000"/>
          <w:sz w:val="24"/>
          <w:highlight w:val="none"/>
        </w:rPr>
        <w:t>；</w:t>
      </w:r>
    </w:p>
    <w:p>
      <w:pPr>
        <w:spacing w:line="360" w:lineRule="auto"/>
        <w:ind w:firstLine="470" w:firstLineChars="196"/>
        <w:rPr>
          <w:rFonts w:hint="eastAsia" w:eastAsia="宋体"/>
          <w:color w:val="000000"/>
          <w:sz w:val="24"/>
          <w:highlight w:val="none"/>
          <w:lang w:eastAsia="zh-CN"/>
        </w:rPr>
      </w:pPr>
      <w:r>
        <w:rPr>
          <w:color w:val="000000"/>
          <w:sz w:val="24"/>
          <w:highlight w:val="none"/>
        </w:rPr>
        <w:t>（</w:t>
      </w:r>
      <w:r>
        <w:rPr>
          <w:rFonts w:hint="eastAsia"/>
          <w:color w:val="000000"/>
          <w:sz w:val="24"/>
          <w:highlight w:val="none"/>
        </w:rPr>
        <w:t>2</w:t>
      </w:r>
      <w:r>
        <w:rPr>
          <w:color w:val="000000"/>
          <w:sz w:val="24"/>
          <w:highlight w:val="none"/>
        </w:rPr>
        <w:t>）</w:t>
      </w:r>
      <w:r>
        <w:rPr>
          <w:rFonts w:hint="eastAsia"/>
          <w:color w:val="000000"/>
          <w:sz w:val="24"/>
          <w:highlight w:val="none"/>
        </w:rPr>
        <w:t>系统演示</w:t>
      </w:r>
      <w:r>
        <w:rPr>
          <w:rFonts w:hint="eastAsia"/>
          <w:color w:val="000000"/>
          <w:sz w:val="24"/>
          <w:highlight w:val="none"/>
          <w:lang w:eastAsia="zh-CN"/>
        </w:rPr>
        <w:t>；</w:t>
      </w:r>
    </w:p>
    <w:p>
      <w:pPr>
        <w:spacing w:line="360" w:lineRule="auto"/>
        <w:ind w:firstLine="470" w:firstLineChars="196"/>
        <w:rPr>
          <w:rFonts w:hint="eastAsia" w:eastAsia="宋体"/>
          <w:color w:val="000000"/>
          <w:sz w:val="24"/>
          <w:highlight w:val="none"/>
          <w:lang w:val="en-US" w:eastAsia="zh-CN"/>
        </w:rPr>
      </w:pPr>
      <w:r>
        <w:rPr>
          <w:rFonts w:hint="eastAsia"/>
          <w:color w:val="000000"/>
          <w:sz w:val="24"/>
          <w:highlight w:val="none"/>
          <w:lang w:eastAsia="zh-CN"/>
        </w:rPr>
        <w:t>（</w:t>
      </w:r>
      <w:r>
        <w:rPr>
          <w:rFonts w:hint="eastAsia"/>
          <w:color w:val="000000"/>
          <w:sz w:val="24"/>
          <w:highlight w:val="none"/>
          <w:lang w:val="en-US" w:eastAsia="zh-CN"/>
        </w:rPr>
        <w:t>3）非功能性规划；</w:t>
      </w:r>
    </w:p>
    <w:p>
      <w:pPr>
        <w:spacing w:line="360" w:lineRule="auto"/>
        <w:ind w:firstLine="472" w:firstLineChars="196"/>
        <w:rPr>
          <w:b/>
          <w:bCs/>
          <w:color w:val="000000"/>
          <w:sz w:val="24"/>
          <w:highlight w:val="none"/>
        </w:rPr>
      </w:pPr>
      <w:r>
        <w:rPr>
          <w:b/>
          <w:bCs/>
          <w:color w:val="000000"/>
          <w:sz w:val="24"/>
          <w:highlight w:val="none"/>
        </w:rPr>
        <w:t>17.4 商务部分</w:t>
      </w:r>
    </w:p>
    <w:p>
      <w:pPr>
        <w:spacing w:line="360" w:lineRule="auto"/>
        <w:ind w:firstLine="470" w:firstLineChars="196"/>
        <w:rPr>
          <w:color w:val="000000"/>
          <w:sz w:val="24"/>
          <w:highlight w:val="none"/>
        </w:rPr>
      </w:pPr>
      <w:r>
        <w:rPr>
          <w:bCs/>
          <w:color w:val="000000"/>
          <w:sz w:val="24"/>
          <w:highlight w:val="none"/>
        </w:rPr>
        <w:t>供应商</w:t>
      </w:r>
      <w:r>
        <w:rPr>
          <w:color w:val="000000"/>
          <w:sz w:val="24"/>
          <w:highlight w:val="none"/>
        </w:rPr>
        <w:t>按照磋商文件要求做出完全响应，提供有关资质证明文件。包括以下内容：</w:t>
      </w:r>
    </w:p>
    <w:p>
      <w:pPr>
        <w:spacing w:line="360" w:lineRule="auto"/>
        <w:ind w:left="508" w:leftChars="226" w:hanging="33" w:hangingChars="14"/>
        <w:rPr>
          <w:color w:val="000000"/>
          <w:sz w:val="24"/>
          <w:highlight w:val="none"/>
        </w:rPr>
      </w:pPr>
      <w:r>
        <w:rPr>
          <w:color w:val="000000"/>
          <w:sz w:val="24"/>
          <w:highlight w:val="none"/>
        </w:rPr>
        <w:t>（1）竞争性磋商响应函；</w:t>
      </w:r>
    </w:p>
    <w:p>
      <w:pPr>
        <w:spacing w:line="360" w:lineRule="auto"/>
        <w:ind w:left="508" w:leftChars="226" w:hanging="33" w:hangingChars="14"/>
        <w:rPr>
          <w:color w:val="000000"/>
          <w:sz w:val="24"/>
          <w:highlight w:val="none"/>
        </w:rPr>
      </w:pPr>
      <w:r>
        <w:rPr>
          <w:color w:val="000000"/>
          <w:sz w:val="24"/>
          <w:highlight w:val="none"/>
        </w:rPr>
        <w:t>（2）必备的资格证明文件；</w:t>
      </w:r>
    </w:p>
    <w:p>
      <w:pPr>
        <w:spacing w:line="360" w:lineRule="auto"/>
        <w:ind w:left="527" w:leftChars="236" w:hanging="31" w:hangingChars="13"/>
        <w:rPr>
          <w:color w:val="000000"/>
          <w:sz w:val="24"/>
          <w:highlight w:val="none"/>
        </w:rPr>
      </w:pPr>
      <w:r>
        <w:rPr>
          <w:color w:val="000000"/>
          <w:sz w:val="24"/>
          <w:highlight w:val="none"/>
        </w:rPr>
        <w:t>（3）其他供应商认为需要提供的文件和资料</w:t>
      </w:r>
    </w:p>
    <w:p>
      <w:pPr>
        <w:pStyle w:val="6"/>
        <w:keepLines/>
        <w:spacing w:line="360" w:lineRule="auto"/>
        <w:rPr>
          <w:b/>
          <w:bCs/>
          <w:color w:val="000000"/>
          <w:sz w:val="24"/>
          <w:szCs w:val="24"/>
          <w:highlight w:val="none"/>
          <w:u w:val="none"/>
        </w:rPr>
      </w:pPr>
      <w:bookmarkStart w:id="86" w:name="_Toc485883221"/>
      <w:bookmarkStart w:id="87" w:name="_Toc183682360"/>
      <w:bookmarkStart w:id="88" w:name="_Toc183582223"/>
      <w:bookmarkStart w:id="89" w:name="_Toc217446050"/>
      <w:r>
        <w:rPr>
          <w:b/>
          <w:bCs/>
          <w:color w:val="000000"/>
          <w:sz w:val="24"/>
          <w:szCs w:val="24"/>
          <w:highlight w:val="none"/>
          <w:u w:val="none"/>
        </w:rPr>
        <w:t>18．磋商保证金</w:t>
      </w:r>
      <w:bookmarkEnd w:id="86"/>
      <w:bookmarkEnd w:id="87"/>
      <w:bookmarkEnd w:id="88"/>
      <w:bookmarkEnd w:id="89"/>
    </w:p>
    <w:p>
      <w:pPr>
        <w:spacing w:line="360" w:lineRule="auto"/>
        <w:ind w:firstLine="470" w:firstLineChars="196"/>
        <w:rPr>
          <w:color w:val="000000"/>
          <w:sz w:val="24"/>
          <w:highlight w:val="none"/>
        </w:rPr>
      </w:pPr>
      <w:r>
        <w:rPr>
          <w:color w:val="000000"/>
          <w:sz w:val="24"/>
          <w:highlight w:val="none"/>
        </w:rPr>
        <w:t>18.1磋商保证金数额见供应商须知前列表。供应商参加磋商时，应当以人民币提交足额的磋商保证金，并作为其响应文件的一部分。联合体磋商的，</w:t>
      </w:r>
      <w:r>
        <w:rPr>
          <w:color w:val="000000"/>
          <w:sz w:val="24"/>
          <w:highlight w:val="none"/>
          <w:shd w:val="clear" w:color="auto" w:fill="FFFFFF"/>
        </w:rPr>
        <w:t>应当以联合体各方或者联合体中牵头人的名义提交磋商保证金。</w:t>
      </w:r>
      <w:r>
        <w:rPr>
          <w:color w:val="000000"/>
          <w:sz w:val="24"/>
          <w:highlight w:val="none"/>
        </w:rPr>
        <w:t>以联合体牵头单位提交磋商保证金的，对联合体各方均具有约束力。</w:t>
      </w:r>
    </w:p>
    <w:p>
      <w:pPr>
        <w:spacing w:line="360" w:lineRule="auto"/>
        <w:ind w:firstLine="470" w:firstLineChars="196"/>
        <w:rPr>
          <w:color w:val="000000"/>
          <w:sz w:val="24"/>
          <w:highlight w:val="none"/>
        </w:rPr>
      </w:pPr>
      <w:r>
        <w:rPr>
          <w:color w:val="000000"/>
          <w:sz w:val="24"/>
          <w:highlight w:val="none"/>
        </w:rPr>
        <w:t>18.2磋商保证金是为了保护采购人和采购代理机构免遭供应商的不良行为而蒙受损失。采购人和采购代理机构在因供应商的不良行为受到损害时，可根据本磋商文件的规定不予退还其磋商保证金。</w:t>
      </w:r>
    </w:p>
    <w:p>
      <w:pPr>
        <w:spacing w:line="360" w:lineRule="auto"/>
        <w:ind w:firstLine="470" w:firstLineChars="196"/>
        <w:rPr>
          <w:color w:val="000000"/>
          <w:sz w:val="24"/>
          <w:highlight w:val="none"/>
        </w:rPr>
      </w:pPr>
      <w:r>
        <w:rPr>
          <w:color w:val="000000"/>
          <w:sz w:val="24"/>
          <w:highlight w:val="none"/>
        </w:rPr>
        <w:t>18.3磋商保证金的提交</w:t>
      </w:r>
    </w:p>
    <w:p>
      <w:pPr>
        <w:spacing w:line="360" w:lineRule="auto"/>
        <w:ind w:firstLine="470" w:firstLineChars="196"/>
        <w:rPr>
          <w:color w:val="000000"/>
          <w:sz w:val="24"/>
          <w:highlight w:val="none"/>
        </w:rPr>
      </w:pPr>
      <w:r>
        <w:rPr>
          <w:color w:val="000000"/>
          <w:sz w:val="24"/>
          <w:highlight w:val="none"/>
        </w:rPr>
        <w:t>18.3.1磋商现场不办理磋商保证金事宜。未按磋商文件要求，在规定时间前（以银行实际到账时间为准）交纳规定数额磋商保证金的响应文件将被拒绝。</w:t>
      </w:r>
    </w:p>
    <w:p>
      <w:pPr>
        <w:spacing w:line="360" w:lineRule="auto"/>
        <w:ind w:firstLine="470" w:firstLineChars="196"/>
        <w:rPr>
          <w:color w:val="000000"/>
          <w:sz w:val="24"/>
          <w:highlight w:val="none"/>
        </w:rPr>
      </w:pPr>
      <w:r>
        <w:rPr>
          <w:color w:val="000000"/>
          <w:sz w:val="24"/>
          <w:highlight w:val="none"/>
        </w:rPr>
        <w:t>18.3.2磋商保证金应以银行转账或者金融机构、担保机构出具的保函等非现金形式提交。</w:t>
      </w:r>
    </w:p>
    <w:p>
      <w:pPr>
        <w:spacing w:line="360" w:lineRule="auto"/>
        <w:ind w:firstLine="470" w:firstLineChars="196"/>
        <w:rPr>
          <w:color w:val="000000"/>
          <w:sz w:val="24"/>
          <w:highlight w:val="none"/>
        </w:rPr>
      </w:pPr>
      <w:r>
        <w:rPr>
          <w:color w:val="000000"/>
          <w:sz w:val="24"/>
          <w:highlight w:val="none"/>
        </w:rPr>
        <w:t>（1）以银行转账缴纳保证金的，可以采取支票、电汇、网银、汇票、本票等方式，应从其基本账户转出。</w:t>
      </w:r>
    </w:p>
    <w:p>
      <w:pPr>
        <w:spacing w:line="360" w:lineRule="auto"/>
        <w:ind w:firstLine="470" w:firstLineChars="196"/>
        <w:rPr>
          <w:color w:val="000000"/>
          <w:sz w:val="24"/>
          <w:highlight w:val="none"/>
        </w:rPr>
      </w:pPr>
      <w:r>
        <w:rPr>
          <w:color w:val="000000"/>
          <w:sz w:val="24"/>
          <w:highlight w:val="none"/>
        </w:rPr>
        <w:t>（2）以信用担保函形式交纳保证金的，应按照磋商文件规定的格式提交，且是陕西省或西安市有关部门认定的具有开具保函资格的单位开具的保函。供应商违约，开具保函单位承担连带责任。</w:t>
      </w:r>
    </w:p>
    <w:p>
      <w:pPr>
        <w:spacing w:line="360" w:lineRule="auto"/>
        <w:ind w:firstLine="470" w:firstLineChars="196"/>
        <w:rPr>
          <w:color w:val="000000"/>
          <w:sz w:val="24"/>
          <w:highlight w:val="none"/>
        </w:rPr>
      </w:pPr>
      <w:r>
        <w:rPr>
          <w:color w:val="000000"/>
          <w:sz w:val="24"/>
          <w:highlight w:val="none"/>
        </w:rPr>
        <w:t>18.4磋商保证金的退还</w:t>
      </w:r>
    </w:p>
    <w:p>
      <w:pPr>
        <w:spacing w:line="360" w:lineRule="auto"/>
        <w:ind w:firstLine="470" w:firstLineChars="196"/>
        <w:rPr>
          <w:color w:val="000000"/>
          <w:sz w:val="24"/>
          <w:highlight w:val="none"/>
        </w:rPr>
      </w:pPr>
      <w:r>
        <w:rPr>
          <w:color w:val="000000"/>
          <w:sz w:val="24"/>
          <w:highlight w:val="none"/>
        </w:rPr>
        <w:t>18.4.1未</w:t>
      </w:r>
      <w:r>
        <w:rPr>
          <w:rFonts w:hint="eastAsia"/>
          <w:color w:val="000000"/>
          <w:sz w:val="24"/>
          <w:highlight w:val="none"/>
        </w:rPr>
        <w:t>成交</w:t>
      </w:r>
      <w:r>
        <w:rPr>
          <w:color w:val="000000"/>
          <w:sz w:val="24"/>
          <w:highlight w:val="none"/>
        </w:rPr>
        <w:t>服务供应商的磋商保证金，将在成交通知书发出之日起5个工作日内全额退还。</w:t>
      </w:r>
      <w:r>
        <w:rPr>
          <w:rFonts w:hint="eastAsia"/>
          <w:color w:val="000000"/>
          <w:sz w:val="24"/>
          <w:highlight w:val="none"/>
        </w:rPr>
        <w:t>成交</w:t>
      </w:r>
      <w:r>
        <w:rPr>
          <w:color w:val="000000"/>
          <w:sz w:val="24"/>
          <w:highlight w:val="none"/>
        </w:rPr>
        <w:t>服务供应商的磋商保证金，将在采购合同签订生效后5个工作日内全额退还。未及时办理退还者，由供应商自行负责。</w:t>
      </w:r>
    </w:p>
    <w:p>
      <w:pPr>
        <w:spacing w:line="360" w:lineRule="auto"/>
        <w:ind w:firstLine="470" w:firstLineChars="196"/>
        <w:rPr>
          <w:color w:val="000000"/>
          <w:sz w:val="24"/>
          <w:highlight w:val="none"/>
        </w:rPr>
      </w:pPr>
      <w:r>
        <w:rPr>
          <w:color w:val="000000"/>
          <w:sz w:val="24"/>
          <w:highlight w:val="none"/>
        </w:rPr>
        <w:t>18.4.2供应商所交纳的磋商保证金不计利息。</w:t>
      </w:r>
    </w:p>
    <w:p>
      <w:pPr>
        <w:spacing w:line="360" w:lineRule="auto"/>
        <w:ind w:firstLine="470" w:firstLineChars="196"/>
        <w:rPr>
          <w:color w:val="000000"/>
          <w:sz w:val="24"/>
          <w:highlight w:val="none"/>
        </w:rPr>
      </w:pPr>
      <w:r>
        <w:rPr>
          <w:color w:val="000000"/>
          <w:sz w:val="24"/>
          <w:highlight w:val="none"/>
        </w:rPr>
        <w:t>18.4.3下列任何情况发生时，采购代理机构将不予退还供应商交纳的磋商保证金：</w:t>
      </w:r>
    </w:p>
    <w:p>
      <w:pPr>
        <w:spacing w:line="360" w:lineRule="auto"/>
        <w:ind w:firstLine="470" w:firstLineChars="196"/>
        <w:rPr>
          <w:color w:val="000000"/>
          <w:sz w:val="24"/>
          <w:highlight w:val="none"/>
        </w:rPr>
      </w:pPr>
      <w:r>
        <w:rPr>
          <w:color w:val="000000"/>
          <w:sz w:val="24"/>
          <w:highlight w:val="none"/>
        </w:rPr>
        <w:t>（1）供应商在磋商文件规定的磋商有效期内撤回响应文件的；</w:t>
      </w:r>
    </w:p>
    <w:p>
      <w:pPr>
        <w:spacing w:line="360" w:lineRule="auto"/>
        <w:ind w:firstLine="470" w:firstLineChars="196"/>
        <w:rPr>
          <w:color w:val="000000"/>
          <w:sz w:val="24"/>
          <w:highlight w:val="none"/>
        </w:rPr>
      </w:pPr>
      <w:r>
        <w:rPr>
          <w:color w:val="000000"/>
          <w:sz w:val="24"/>
          <w:highlight w:val="none"/>
        </w:rPr>
        <w:t>（2）由于</w:t>
      </w:r>
      <w:r>
        <w:rPr>
          <w:rFonts w:hint="eastAsia"/>
          <w:color w:val="000000"/>
          <w:sz w:val="24"/>
          <w:highlight w:val="none"/>
        </w:rPr>
        <w:t>成交</w:t>
      </w:r>
      <w:r>
        <w:rPr>
          <w:color w:val="000000"/>
          <w:sz w:val="24"/>
          <w:highlight w:val="none"/>
        </w:rPr>
        <w:t>服务供应商的原因未能按照磋商文件的规定与采购人签订合同的；</w:t>
      </w:r>
    </w:p>
    <w:p>
      <w:pPr>
        <w:spacing w:line="360" w:lineRule="auto"/>
        <w:ind w:firstLine="480" w:firstLineChars="200"/>
        <w:rPr>
          <w:color w:val="000000"/>
          <w:sz w:val="24"/>
          <w:highlight w:val="none"/>
        </w:rPr>
      </w:pPr>
      <w:r>
        <w:rPr>
          <w:color w:val="000000"/>
          <w:sz w:val="24"/>
          <w:highlight w:val="none"/>
        </w:rPr>
        <w:t>（3）由于</w:t>
      </w:r>
      <w:r>
        <w:rPr>
          <w:rFonts w:hint="eastAsia"/>
          <w:color w:val="000000"/>
          <w:sz w:val="24"/>
          <w:highlight w:val="none"/>
        </w:rPr>
        <w:t>成交</w:t>
      </w:r>
      <w:r>
        <w:rPr>
          <w:color w:val="000000"/>
          <w:sz w:val="24"/>
          <w:highlight w:val="none"/>
        </w:rPr>
        <w:t>服务供应商的原因未能按磋商文件规定缴纳履约保证金的；</w:t>
      </w:r>
    </w:p>
    <w:p>
      <w:pPr>
        <w:spacing w:line="360" w:lineRule="auto"/>
        <w:ind w:firstLine="480" w:firstLineChars="200"/>
        <w:rPr>
          <w:color w:val="000000"/>
          <w:sz w:val="24"/>
          <w:highlight w:val="none"/>
        </w:rPr>
      </w:pPr>
      <w:r>
        <w:rPr>
          <w:color w:val="000000"/>
          <w:sz w:val="24"/>
          <w:highlight w:val="none"/>
        </w:rPr>
        <w:t>（4）供应商违反竞争性磋商响应函相关内容和条款的；</w:t>
      </w:r>
    </w:p>
    <w:p>
      <w:pPr>
        <w:spacing w:line="360" w:lineRule="auto"/>
        <w:ind w:firstLine="480" w:firstLineChars="200"/>
        <w:rPr>
          <w:color w:val="000000"/>
          <w:sz w:val="24"/>
          <w:highlight w:val="none"/>
        </w:rPr>
      </w:pPr>
      <w:r>
        <w:rPr>
          <w:color w:val="000000"/>
          <w:sz w:val="24"/>
          <w:highlight w:val="none"/>
        </w:rPr>
        <w:t>（5）磋商有效期内，供应商在政府采购活动中有违规、违纪和违法行为的；</w:t>
      </w:r>
    </w:p>
    <w:p>
      <w:pPr>
        <w:spacing w:line="360" w:lineRule="auto"/>
        <w:ind w:firstLine="480" w:firstLineChars="200"/>
        <w:rPr>
          <w:color w:val="000000"/>
          <w:sz w:val="24"/>
          <w:highlight w:val="none"/>
        </w:rPr>
      </w:pPr>
      <w:r>
        <w:rPr>
          <w:color w:val="000000"/>
          <w:sz w:val="24"/>
          <w:highlight w:val="none"/>
        </w:rPr>
        <w:t>（6）法律法规规定的其他情况。</w:t>
      </w:r>
      <w:bookmarkStart w:id="90" w:name="_Toc183582224"/>
      <w:bookmarkStart w:id="91" w:name="_Toc183682361"/>
      <w:bookmarkStart w:id="92" w:name="_Toc217446051"/>
    </w:p>
    <w:p>
      <w:pPr>
        <w:spacing w:line="360" w:lineRule="auto"/>
        <w:ind w:firstLine="480" w:firstLineChars="200"/>
        <w:rPr>
          <w:color w:val="000000"/>
          <w:sz w:val="24"/>
          <w:highlight w:val="none"/>
        </w:rPr>
      </w:pPr>
      <w:r>
        <w:rPr>
          <w:color w:val="000000"/>
          <w:sz w:val="24"/>
          <w:highlight w:val="none"/>
        </w:rPr>
        <w:t>18.4.4磋商保证金退还时间：星期一至星期五，9:00-16:00。</w:t>
      </w:r>
    </w:p>
    <w:p>
      <w:pPr>
        <w:widowControl/>
        <w:spacing w:line="360" w:lineRule="auto"/>
        <w:ind w:firstLine="480" w:firstLineChars="200"/>
        <w:rPr>
          <w:color w:val="000000"/>
          <w:sz w:val="24"/>
          <w:highlight w:val="none"/>
        </w:rPr>
      </w:pPr>
      <w:r>
        <w:rPr>
          <w:color w:val="000000"/>
          <w:sz w:val="24"/>
          <w:highlight w:val="none"/>
        </w:rPr>
        <w:t>18.4.5磋商保证金退还地点：</w:t>
      </w:r>
      <w:r>
        <w:rPr>
          <w:rFonts w:hint="eastAsia"/>
          <w:color w:val="000000"/>
          <w:sz w:val="24"/>
          <w:highlight w:val="none"/>
        </w:rPr>
        <w:t>西安曲江新区翠华路500号佳和中心B座20层2号</w:t>
      </w:r>
      <w:r>
        <w:rPr>
          <w:color w:val="000000"/>
          <w:sz w:val="24"/>
          <w:highlight w:val="none"/>
        </w:rPr>
        <w:t>。</w:t>
      </w:r>
    </w:p>
    <w:p>
      <w:pPr>
        <w:spacing w:line="360" w:lineRule="auto"/>
        <w:ind w:firstLine="480" w:firstLineChars="200"/>
        <w:rPr>
          <w:color w:val="000000"/>
          <w:sz w:val="24"/>
          <w:highlight w:val="none"/>
        </w:rPr>
      </w:pPr>
      <w:r>
        <w:rPr>
          <w:color w:val="000000"/>
          <w:sz w:val="24"/>
          <w:highlight w:val="none"/>
        </w:rPr>
        <w:t>18.4.6磋商保证金退还方式：银行转账。</w:t>
      </w:r>
    </w:p>
    <w:p>
      <w:pPr>
        <w:pStyle w:val="6"/>
        <w:keepLines/>
        <w:spacing w:line="360" w:lineRule="auto"/>
        <w:rPr>
          <w:b/>
          <w:bCs/>
          <w:color w:val="000000"/>
          <w:sz w:val="24"/>
          <w:szCs w:val="24"/>
          <w:highlight w:val="none"/>
          <w:u w:val="none"/>
        </w:rPr>
      </w:pPr>
      <w:bookmarkStart w:id="93" w:name="_Toc485883222"/>
      <w:r>
        <w:rPr>
          <w:b/>
          <w:bCs/>
          <w:color w:val="000000"/>
          <w:sz w:val="24"/>
          <w:szCs w:val="24"/>
          <w:highlight w:val="none"/>
          <w:u w:val="none"/>
        </w:rPr>
        <w:t>19．磋商有效期</w:t>
      </w:r>
      <w:bookmarkEnd w:id="90"/>
      <w:bookmarkEnd w:id="91"/>
      <w:bookmarkEnd w:id="92"/>
      <w:bookmarkEnd w:id="93"/>
    </w:p>
    <w:p>
      <w:pPr>
        <w:tabs>
          <w:tab w:val="left" w:pos="7665"/>
        </w:tabs>
        <w:spacing w:line="360" w:lineRule="auto"/>
        <w:ind w:left="13" w:leftChars="6" w:firstLine="480" w:firstLineChars="200"/>
        <w:rPr>
          <w:color w:val="000000"/>
          <w:sz w:val="24"/>
          <w:highlight w:val="none"/>
        </w:rPr>
      </w:pPr>
      <w:r>
        <w:rPr>
          <w:color w:val="000000"/>
          <w:sz w:val="24"/>
          <w:highlight w:val="none"/>
        </w:rPr>
        <w:t>19.1磋商有效期见供应商须知前列表。磋商有效期短于此规定期限的响应文件，将按无效响应文件处理。</w:t>
      </w:r>
    </w:p>
    <w:p>
      <w:pPr>
        <w:tabs>
          <w:tab w:val="left" w:pos="7665"/>
        </w:tabs>
        <w:spacing w:line="360" w:lineRule="auto"/>
        <w:ind w:left="13" w:leftChars="6" w:firstLine="480" w:firstLineChars="200"/>
        <w:rPr>
          <w:color w:val="000000"/>
          <w:sz w:val="24"/>
          <w:highlight w:val="none"/>
        </w:rPr>
      </w:pPr>
      <w:r>
        <w:rPr>
          <w:color w:val="000000"/>
          <w:sz w:val="24"/>
          <w:highlight w:val="none"/>
        </w:rPr>
        <w:t>19.2特殊情况下，采购代理机构可于磋商有效期届满之前，要求供应商同意延长有效期，要求与答复均应采用书面形式。供应商拒绝延长的，响应文件在原磋商有效期届满后将不再有效，但有权收回其磋商保证金；供应商同意延长的，应相应延长其磋商保证金的有效期，但不能修改或撤回其响应文件。</w:t>
      </w:r>
      <w:bookmarkStart w:id="94" w:name="_Toc183682362"/>
      <w:bookmarkStart w:id="95" w:name="_Toc183582225"/>
      <w:bookmarkStart w:id="96" w:name="_Toc217446052"/>
    </w:p>
    <w:p>
      <w:pPr>
        <w:tabs>
          <w:tab w:val="left" w:pos="7665"/>
        </w:tabs>
        <w:spacing w:line="360" w:lineRule="auto"/>
        <w:ind w:left="13" w:leftChars="6" w:firstLine="480" w:firstLineChars="200"/>
        <w:rPr>
          <w:color w:val="000000"/>
          <w:sz w:val="24"/>
          <w:highlight w:val="none"/>
        </w:rPr>
      </w:pPr>
      <w:r>
        <w:rPr>
          <w:color w:val="000000"/>
          <w:sz w:val="24"/>
          <w:highlight w:val="none"/>
        </w:rPr>
        <w:t>19.3</w:t>
      </w:r>
      <w:r>
        <w:rPr>
          <w:rFonts w:hint="eastAsia"/>
          <w:color w:val="000000"/>
          <w:sz w:val="24"/>
          <w:highlight w:val="none"/>
        </w:rPr>
        <w:t>成交</w:t>
      </w:r>
      <w:r>
        <w:rPr>
          <w:color w:val="000000"/>
          <w:sz w:val="24"/>
          <w:highlight w:val="none"/>
        </w:rPr>
        <w:t>服务供应商的磋商有效期自动延长至合同终止为止</w:t>
      </w:r>
      <w:r>
        <w:rPr>
          <w:color w:val="000000"/>
          <w:szCs w:val="21"/>
          <w:highlight w:val="none"/>
        </w:rPr>
        <w:t>。</w:t>
      </w:r>
    </w:p>
    <w:p>
      <w:pPr>
        <w:pStyle w:val="6"/>
        <w:keepLines/>
        <w:spacing w:line="360" w:lineRule="auto"/>
        <w:rPr>
          <w:b/>
          <w:bCs/>
          <w:color w:val="000000"/>
          <w:sz w:val="24"/>
          <w:szCs w:val="24"/>
          <w:highlight w:val="none"/>
          <w:u w:val="none"/>
        </w:rPr>
      </w:pPr>
      <w:bookmarkStart w:id="97" w:name="_Toc485883223"/>
      <w:r>
        <w:rPr>
          <w:b/>
          <w:bCs/>
          <w:color w:val="000000"/>
          <w:sz w:val="24"/>
          <w:szCs w:val="24"/>
          <w:highlight w:val="none"/>
          <w:u w:val="none"/>
        </w:rPr>
        <w:t>20．响应文件的制作和签署</w:t>
      </w:r>
      <w:bookmarkEnd w:id="94"/>
      <w:bookmarkEnd w:id="95"/>
      <w:bookmarkEnd w:id="96"/>
      <w:bookmarkEnd w:id="97"/>
    </w:p>
    <w:p>
      <w:pPr>
        <w:tabs>
          <w:tab w:val="left" w:pos="7665"/>
        </w:tabs>
        <w:spacing w:line="360" w:lineRule="auto"/>
        <w:ind w:left="13" w:leftChars="6" w:firstLine="480" w:firstLineChars="200"/>
        <w:rPr>
          <w:color w:val="000000"/>
          <w:sz w:val="24"/>
          <w:highlight w:val="none"/>
        </w:rPr>
      </w:pPr>
      <w:r>
        <w:rPr>
          <w:color w:val="000000"/>
          <w:sz w:val="24"/>
          <w:highlight w:val="none"/>
        </w:rPr>
        <w:t>20.1响应文件应根据磋商文件的要求制作。供应商应填写全称，同时加盖公章，签署、盖章和内容应完整，如有遗漏，将被视为无效响应文件。</w:t>
      </w:r>
    </w:p>
    <w:p>
      <w:pPr>
        <w:tabs>
          <w:tab w:val="left" w:pos="7665"/>
        </w:tabs>
        <w:spacing w:line="360" w:lineRule="auto"/>
        <w:ind w:left="13" w:leftChars="6" w:firstLine="480" w:firstLineChars="200"/>
        <w:rPr>
          <w:color w:val="000000"/>
          <w:sz w:val="24"/>
          <w:highlight w:val="none"/>
        </w:rPr>
      </w:pPr>
      <w:r>
        <w:rPr>
          <w:color w:val="000000"/>
          <w:sz w:val="24"/>
          <w:highlight w:val="none"/>
        </w:rPr>
        <w:t>20.2响应文件格式。供应商应严格按照磋商文件第六章提供的“竞争性磋商响应文件格式”填写相关内容。除明确允许供应商可以自行编写的外，供应商不得以“竞争性磋商响应文件格式”规定之外的方式填写相关内容。否则，供应商提供的响应文件将作为无效响应文件处理。</w:t>
      </w:r>
    </w:p>
    <w:p>
      <w:pPr>
        <w:tabs>
          <w:tab w:val="left" w:pos="7665"/>
        </w:tabs>
        <w:spacing w:line="360" w:lineRule="auto"/>
        <w:ind w:firstLine="480" w:firstLineChars="200"/>
        <w:rPr>
          <w:color w:val="000000"/>
          <w:sz w:val="24"/>
          <w:highlight w:val="none"/>
        </w:rPr>
      </w:pPr>
      <w:r>
        <w:rPr>
          <w:color w:val="000000"/>
          <w:sz w:val="24"/>
          <w:highlight w:val="none"/>
        </w:rPr>
        <w:t>20.3对于没有格式要求的响应文件由供应商自行编写。</w:t>
      </w:r>
    </w:p>
    <w:p>
      <w:pPr>
        <w:tabs>
          <w:tab w:val="left" w:pos="1080"/>
        </w:tabs>
        <w:spacing w:line="360" w:lineRule="auto"/>
        <w:ind w:firstLine="460" w:firstLineChars="192"/>
        <w:rPr>
          <w:color w:val="000000"/>
          <w:sz w:val="24"/>
          <w:highlight w:val="none"/>
        </w:rPr>
      </w:pPr>
      <w:r>
        <w:rPr>
          <w:color w:val="000000"/>
          <w:sz w:val="24"/>
          <w:highlight w:val="none"/>
        </w:rPr>
        <w:t>20.4供应商应按“供应商须知前列表”规定的数量准备响应文件正本、副本和相应的电子文件。响应文件的正本和副本应在其封面右上角清楚地标明“正本”或“副本”字样。若正本和副本有不一致的内容，以正本书面响应文件为准。</w:t>
      </w:r>
    </w:p>
    <w:p>
      <w:pPr>
        <w:spacing w:line="360" w:lineRule="auto"/>
        <w:ind w:firstLine="547" w:firstLineChars="228"/>
        <w:jc w:val="left"/>
        <w:rPr>
          <w:color w:val="000000"/>
          <w:sz w:val="24"/>
          <w:highlight w:val="none"/>
        </w:rPr>
      </w:pPr>
      <w:r>
        <w:rPr>
          <w:color w:val="000000"/>
          <w:sz w:val="24"/>
          <w:highlight w:val="none"/>
        </w:rPr>
        <w:t>20.5响应文件的正本和副本均需</w:t>
      </w:r>
      <w:r>
        <w:rPr>
          <w:rFonts w:hint="eastAsia"/>
          <w:color w:val="000000"/>
          <w:sz w:val="24"/>
          <w:highlight w:val="none"/>
        </w:rPr>
        <w:t>采用双面</w:t>
      </w:r>
      <w:r>
        <w:rPr>
          <w:color w:val="000000"/>
          <w:sz w:val="24"/>
          <w:highlight w:val="none"/>
        </w:rPr>
        <w:t>打印或用不褪色、不变质的墨水书写，并由供应商的法定代表人或其授权代表在规定签章处签字和盖章。响应文件副本可采用正本的复印件。</w:t>
      </w:r>
    </w:p>
    <w:p>
      <w:pPr>
        <w:tabs>
          <w:tab w:val="left" w:pos="1095"/>
        </w:tabs>
        <w:spacing w:line="360" w:lineRule="auto"/>
        <w:ind w:firstLine="460" w:firstLineChars="192"/>
        <w:rPr>
          <w:color w:val="000000"/>
          <w:sz w:val="24"/>
          <w:highlight w:val="none"/>
        </w:rPr>
      </w:pPr>
      <w:r>
        <w:rPr>
          <w:color w:val="000000"/>
          <w:sz w:val="24"/>
          <w:highlight w:val="none"/>
        </w:rPr>
        <w:t>20.6响应文件的打印和书写应清楚工整，任何行间插字、涂改或增删，应当由供应商的法定代表人或其授权代表签字或盖个人印鉴。字迹潦草、表达不清或可能导致非唯一理解的响应文件可能视为无效响应文件。</w:t>
      </w:r>
    </w:p>
    <w:p>
      <w:pPr>
        <w:tabs>
          <w:tab w:val="left" w:pos="1080"/>
        </w:tabs>
        <w:spacing w:line="360" w:lineRule="auto"/>
        <w:ind w:firstLine="460" w:firstLineChars="192"/>
        <w:rPr>
          <w:color w:val="000000"/>
          <w:sz w:val="24"/>
          <w:highlight w:val="none"/>
        </w:rPr>
      </w:pPr>
      <w:r>
        <w:rPr>
          <w:color w:val="000000"/>
          <w:sz w:val="24"/>
          <w:highlight w:val="none"/>
        </w:rPr>
        <w:t>20.7响应文件正本和副本</w:t>
      </w:r>
      <w:r>
        <w:rPr>
          <w:color w:val="000000"/>
          <w:sz w:val="24"/>
          <w:highlight w:val="none"/>
          <w:lang w:val="zh-CN"/>
        </w:rPr>
        <w:t>一律采用A4纸幅面加胶装分别装订成册，</w:t>
      </w:r>
      <w:r>
        <w:rPr>
          <w:color w:val="000000"/>
          <w:sz w:val="24"/>
          <w:highlight w:val="none"/>
        </w:rPr>
        <w:t>并逐页编目编码。文件胶装装订后，页面不可抽取，不得有活动页，无破损、不可拆分。</w:t>
      </w:r>
    </w:p>
    <w:p>
      <w:pPr>
        <w:spacing w:line="360" w:lineRule="auto"/>
        <w:ind w:firstLine="480" w:firstLineChars="200"/>
        <w:jc w:val="left"/>
        <w:rPr>
          <w:color w:val="000000"/>
          <w:sz w:val="24"/>
          <w:highlight w:val="none"/>
        </w:rPr>
      </w:pPr>
      <w:r>
        <w:rPr>
          <w:color w:val="000000"/>
          <w:sz w:val="24"/>
          <w:highlight w:val="none"/>
        </w:rPr>
        <w:t>20.8电子文件制作要求</w:t>
      </w:r>
      <w:bookmarkStart w:id="98" w:name="_Toc77400781"/>
      <w:bookmarkStart w:id="99" w:name="_Toc89075877"/>
      <w:bookmarkStart w:id="100" w:name="_Toc183582226"/>
      <w:bookmarkStart w:id="101" w:name="_Toc183682363"/>
      <w:bookmarkStart w:id="102" w:name="_Toc217446053"/>
      <w:r>
        <w:rPr>
          <w:color w:val="000000"/>
          <w:sz w:val="24"/>
          <w:highlight w:val="none"/>
        </w:rPr>
        <w:t>（未按以下要求提供电子文件的，按无效响应文件处理）：</w:t>
      </w:r>
    </w:p>
    <w:p>
      <w:pPr>
        <w:spacing w:line="360" w:lineRule="auto"/>
        <w:ind w:firstLine="480" w:firstLineChars="200"/>
        <w:jc w:val="left"/>
        <w:rPr>
          <w:color w:val="000000"/>
          <w:sz w:val="24"/>
          <w:highlight w:val="none"/>
        </w:rPr>
      </w:pPr>
      <w:r>
        <w:rPr>
          <w:color w:val="000000"/>
          <w:sz w:val="24"/>
          <w:highlight w:val="none"/>
        </w:rPr>
        <w:t>电子文件与纸质正本响应文件的内容应保持一致，具有同等法律效力，采用PDF格式或word格式，采用</w:t>
      </w:r>
      <w:r>
        <w:rPr>
          <w:rFonts w:hint="eastAsia"/>
          <w:color w:val="000000"/>
          <w:sz w:val="24"/>
          <w:highlight w:val="none"/>
        </w:rPr>
        <w:t>U</w:t>
      </w:r>
      <w:r>
        <w:rPr>
          <w:color w:val="000000"/>
          <w:sz w:val="24"/>
          <w:highlight w:val="none"/>
        </w:rPr>
        <w:t>盘</w:t>
      </w:r>
      <w:r>
        <w:rPr>
          <w:rFonts w:hint="eastAsia"/>
          <w:color w:val="000000"/>
          <w:sz w:val="24"/>
          <w:highlight w:val="none"/>
        </w:rPr>
        <w:t>储存</w:t>
      </w:r>
      <w:r>
        <w:rPr>
          <w:color w:val="000000"/>
          <w:sz w:val="24"/>
          <w:highlight w:val="none"/>
        </w:rPr>
        <w:t>。</w:t>
      </w:r>
    </w:p>
    <w:p>
      <w:pPr>
        <w:spacing w:line="360" w:lineRule="auto"/>
        <w:rPr>
          <w:b/>
          <w:color w:val="000000"/>
          <w:sz w:val="30"/>
          <w:szCs w:val="30"/>
          <w:highlight w:val="none"/>
        </w:rPr>
      </w:pPr>
      <w:bookmarkStart w:id="103" w:name="_Toc485883224"/>
      <w:r>
        <w:rPr>
          <w:b/>
          <w:color w:val="000000"/>
          <w:sz w:val="30"/>
          <w:szCs w:val="30"/>
          <w:highlight w:val="none"/>
        </w:rPr>
        <w:t>五、响应文件的递交</w:t>
      </w:r>
      <w:bookmarkEnd w:id="103"/>
    </w:p>
    <w:p>
      <w:pPr>
        <w:pStyle w:val="6"/>
        <w:keepLines/>
        <w:spacing w:line="360" w:lineRule="auto"/>
        <w:rPr>
          <w:b/>
          <w:bCs/>
          <w:color w:val="000000"/>
          <w:sz w:val="24"/>
          <w:szCs w:val="24"/>
          <w:highlight w:val="none"/>
          <w:u w:val="none"/>
        </w:rPr>
      </w:pPr>
      <w:bookmarkStart w:id="104" w:name="_Toc485883225"/>
      <w:r>
        <w:rPr>
          <w:b/>
          <w:bCs/>
          <w:color w:val="000000"/>
          <w:sz w:val="24"/>
          <w:szCs w:val="24"/>
          <w:highlight w:val="none"/>
          <w:u w:val="none"/>
        </w:rPr>
        <w:t>21.响应文件内容要求</w:t>
      </w:r>
      <w:bookmarkEnd w:id="104"/>
    </w:p>
    <w:p>
      <w:pPr>
        <w:tabs>
          <w:tab w:val="left" w:pos="1080"/>
        </w:tabs>
        <w:spacing w:line="360" w:lineRule="auto"/>
        <w:ind w:firstLine="460" w:firstLineChars="192"/>
        <w:rPr>
          <w:color w:val="000000"/>
          <w:sz w:val="24"/>
          <w:highlight w:val="none"/>
        </w:rPr>
      </w:pPr>
      <w:r>
        <w:rPr>
          <w:color w:val="000000"/>
          <w:sz w:val="24"/>
          <w:highlight w:val="none"/>
        </w:rPr>
        <w:t>21.1供应商应仔细阅读磋商文件中的所有事项、格式、条款和要求，对磋商文件的全部内容及要求作出实质性响应，提交相应资料。若分包，应以包为单位递交，不得在其中选项递交或将其中内容再行分解；否则，响应文件将视为无效响应文件。</w:t>
      </w:r>
    </w:p>
    <w:p>
      <w:pPr>
        <w:pStyle w:val="6"/>
        <w:keepLines/>
        <w:spacing w:line="360" w:lineRule="auto"/>
        <w:rPr>
          <w:b/>
          <w:bCs/>
          <w:color w:val="000000"/>
          <w:sz w:val="24"/>
          <w:szCs w:val="24"/>
          <w:highlight w:val="none"/>
          <w:u w:val="none"/>
        </w:rPr>
      </w:pPr>
      <w:bookmarkStart w:id="105" w:name="_Toc485883226"/>
      <w:r>
        <w:rPr>
          <w:b/>
          <w:bCs/>
          <w:color w:val="000000"/>
          <w:sz w:val="24"/>
          <w:szCs w:val="24"/>
          <w:highlight w:val="none"/>
          <w:u w:val="none"/>
        </w:rPr>
        <w:t>22.响应文件的密封和标</w:t>
      </w:r>
      <w:bookmarkEnd w:id="98"/>
      <w:bookmarkEnd w:id="99"/>
      <w:bookmarkEnd w:id="100"/>
      <w:bookmarkEnd w:id="101"/>
      <w:r>
        <w:rPr>
          <w:b/>
          <w:bCs/>
          <w:color w:val="000000"/>
          <w:sz w:val="24"/>
          <w:szCs w:val="24"/>
          <w:highlight w:val="none"/>
          <w:u w:val="none"/>
        </w:rPr>
        <w:t>注</w:t>
      </w:r>
      <w:bookmarkEnd w:id="102"/>
      <w:bookmarkEnd w:id="105"/>
    </w:p>
    <w:p>
      <w:pPr>
        <w:adjustRightInd w:val="0"/>
        <w:snapToGrid w:val="0"/>
        <w:spacing w:line="360" w:lineRule="auto"/>
        <w:ind w:firstLine="480" w:firstLineChars="200"/>
        <w:rPr>
          <w:color w:val="000000"/>
          <w:sz w:val="24"/>
          <w:highlight w:val="none"/>
        </w:rPr>
      </w:pPr>
      <w:r>
        <w:rPr>
          <w:color w:val="000000"/>
          <w:sz w:val="24"/>
          <w:highlight w:val="none"/>
        </w:rPr>
        <w:t>22.1</w:t>
      </w:r>
      <w:r>
        <w:rPr>
          <w:color w:val="000000"/>
          <w:kern w:val="0"/>
          <w:sz w:val="24"/>
          <w:highlight w:val="none"/>
        </w:rPr>
        <w:t>磋商前，供应商应将响应文件所有正、副本、电子文件全部密封递交。</w:t>
      </w:r>
    </w:p>
    <w:p>
      <w:pPr>
        <w:adjustRightInd w:val="0"/>
        <w:snapToGrid w:val="0"/>
        <w:spacing w:line="360" w:lineRule="auto"/>
        <w:ind w:firstLine="480" w:firstLineChars="200"/>
        <w:rPr>
          <w:color w:val="000000"/>
          <w:kern w:val="0"/>
          <w:sz w:val="24"/>
          <w:highlight w:val="none"/>
        </w:rPr>
      </w:pPr>
      <w:r>
        <w:rPr>
          <w:color w:val="000000"/>
          <w:kern w:val="0"/>
          <w:sz w:val="24"/>
          <w:highlight w:val="none"/>
        </w:rPr>
        <w:t>22.2所有密封包装均应符合以下要求：</w:t>
      </w:r>
    </w:p>
    <w:p>
      <w:pPr>
        <w:adjustRightInd w:val="0"/>
        <w:snapToGrid w:val="0"/>
        <w:spacing w:line="360" w:lineRule="auto"/>
        <w:ind w:firstLine="480" w:firstLineChars="200"/>
        <w:rPr>
          <w:color w:val="000000"/>
          <w:sz w:val="24"/>
          <w:highlight w:val="none"/>
        </w:rPr>
      </w:pPr>
      <w:r>
        <w:rPr>
          <w:color w:val="000000"/>
          <w:sz w:val="24"/>
          <w:highlight w:val="none"/>
        </w:rPr>
        <w:t>响应文件正本、所有副本，应装袋密封（正副本单独密封），电子文件单独密封，加贴封条，应粘贴牢固，并在封套的封口处（封套两端折叠封口处）加盖密封章（供应商印章）。</w:t>
      </w:r>
    </w:p>
    <w:p>
      <w:pPr>
        <w:tabs>
          <w:tab w:val="left" w:pos="1080"/>
        </w:tabs>
        <w:spacing w:line="360" w:lineRule="auto"/>
        <w:ind w:firstLine="435"/>
        <w:rPr>
          <w:color w:val="000000"/>
          <w:sz w:val="24"/>
          <w:highlight w:val="none"/>
        </w:rPr>
      </w:pPr>
      <w:r>
        <w:rPr>
          <w:color w:val="000000"/>
          <w:sz w:val="24"/>
          <w:highlight w:val="none"/>
        </w:rPr>
        <w:t>22.3</w:t>
      </w:r>
      <w:bookmarkStart w:id="106" w:name="_Toc183682364"/>
      <w:bookmarkStart w:id="107" w:name="_Toc183582227"/>
      <w:bookmarkStart w:id="108" w:name="_Toc217446054"/>
      <w:r>
        <w:rPr>
          <w:color w:val="000000"/>
          <w:sz w:val="24"/>
          <w:highlight w:val="none"/>
        </w:rPr>
        <w:t>未按以上要求进行密封和标注的响应文件，经磋商小组确认后按无效响应文件处理。</w:t>
      </w:r>
    </w:p>
    <w:p>
      <w:pPr>
        <w:pStyle w:val="6"/>
        <w:keepLines/>
        <w:spacing w:line="360" w:lineRule="auto"/>
        <w:rPr>
          <w:b/>
          <w:bCs/>
          <w:color w:val="000000"/>
          <w:sz w:val="24"/>
          <w:szCs w:val="24"/>
          <w:highlight w:val="none"/>
          <w:u w:val="none"/>
        </w:rPr>
      </w:pPr>
      <w:bookmarkStart w:id="109" w:name="_Toc485883227"/>
      <w:r>
        <w:rPr>
          <w:b/>
          <w:bCs/>
          <w:color w:val="000000"/>
          <w:sz w:val="24"/>
          <w:szCs w:val="24"/>
          <w:highlight w:val="none"/>
          <w:u w:val="none"/>
        </w:rPr>
        <w:t>23.响应文件的</w:t>
      </w:r>
      <w:bookmarkEnd w:id="106"/>
      <w:bookmarkEnd w:id="107"/>
      <w:r>
        <w:rPr>
          <w:b/>
          <w:bCs/>
          <w:color w:val="000000"/>
          <w:sz w:val="24"/>
          <w:szCs w:val="24"/>
          <w:highlight w:val="none"/>
          <w:u w:val="none"/>
        </w:rPr>
        <w:t>递交</w:t>
      </w:r>
      <w:bookmarkEnd w:id="108"/>
      <w:bookmarkEnd w:id="109"/>
    </w:p>
    <w:p>
      <w:pPr>
        <w:tabs>
          <w:tab w:val="left" w:pos="1095"/>
        </w:tabs>
        <w:spacing w:line="360" w:lineRule="auto"/>
        <w:ind w:firstLine="460" w:firstLineChars="192"/>
        <w:rPr>
          <w:color w:val="000000"/>
          <w:sz w:val="24"/>
          <w:highlight w:val="none"/>
        </w:rPr>
      </w:pPr>
      <w:r>
        <w:rPr>
          <w:color w:val="000000"/>
          <w:sz w:val="24"/>
          <w:highlight w:val="none"/>
        </w:rPr>
        <w:t>23.1供应商应在</w:t>
      </w:r>
      <w:r>
        <w:rPr>
          <w:color w:val="000000"/>
          <w:kern w:val="0"/>
          <w:sz w:val="24"/>
          <w:highlight w:val="none"/>
        </w:rPr>
        <w:t>“供应商须知前列表”中</w:t>
      </w:r>
      <w:r>
        <w:rPr>
          <w:color w:val="000000"/>
          <w:sz w:val="24"/>
          <w:highlight w:val="none"/>
        </w:rPr>
        <w:t>规定的磋商截止时间前，将响应文件按供应商须知第23条规定密封后送达磋商地点。采购代理机构工作人员当场签字确认收到响应文件的时间、份数和递交人等信息。磋商截止时间以后送达的响应文件将被拒绝。</w:t>
      </w:r>
    </w:p>
    <w:p>
      <w:pPr>
        <w:pStyle w:val="7"/>
        <w:spacing w:line="360" w:lineRule="auto"/>
        <w:ind w:firstLine="480"/>
        <w:rPr>
          <w:color w:val="000000"/>
          <w:sz w:val="24"/>
          <w:szCs w:val="24"/>
          <w:highlight w:val="none"/>
        </w:rPr>
      </w:pPr>
      <w:r>
        <w:rPr>
          <w:color w:val="000000"/>
          <w:sz w:val="24"/>
          <w:szCs w:val="24"/>
          <w:highlight w:val="none"/>
        </w:rPr>
        <w:t>23.2本次磋商不接受邮寄的响应文件。</w:t>
      </w:r>
    </w:p>
    <w:p>
      <w:pPr>
        <w:pStyle w:val="6"/>
        <w:keepLines/>
        <w:spacing w:line="360" w:lineRule="auto"/>
        <w:rPr>
          <w:b/>
          <w:bCs/>
          <w:color w:val="000000"/>
          <w:sz w:val="24"/>
          <w:szCs w:val="24"/>
          <w:highlight w:val="none"/>
          <w:u w:val="none"/>
        </w:rPr>
      </w:pPr>
      <w:bookmarkStart w:id="110" w:name="_Toc183682365"/>
      <w:bookmarkStart w:id="111" w:name="_Toc183582228"/>
      <w:bookmarkStart w:id="112" w:name="_Toc217446055"/>
      <w:bookmarkStart w:id="113" w:name="_Toc485883228"/>
      <w:r>
        <w:rPr>
          <w:b/>
          <w:bCs/>
          <w:color w:val="000000"/>
          <w:sz w:val="24"/>
          <w:szCs w:val="24"/>
          <w:highlight w:val="none"/>
          <w:u w:val="none"/>
        </w:rPr>
        <w:t>24.响应文件的修改和撤</w:t>
      </w:r>
      <w:bookmarkEnd w:id="110"/>
      <w:bookmarkEnd w:id="111"/>
      <w:r>
        <w:rPr>
          <w:b/>
          <w:bCs/>
          <w:color w:val="000000"/>
          <w:sz w:val="24"/>
          <w:szCs w:val="24"/>
          <w:highlight w:val="none"/>
          <w:u w:val="none"/>
        </w:rPr>
        <w:t>回</w:t>
      </w:r>
      <w:bookmarkEnd w:id="112"/>
      <w:bookmarkEnd w:id="113"/>
    </w:p>
    <w:p>
      <w:pPr>
        <w:spacing w:line="360" w:lineRule="auto"/>
        <w:ind w:firstLine="470" w:firstLineChars="196"/>
        <w:rPr>
          <w:color w:val="000000"/>
          <w:sz w:val="24"/>
          <w:highlight w:val="none"/>
        </w:rPr>
      </w:pPr>
      <w:r>
        <w:rPr>
          <w:color w:val="000000"/>
          <w:sz w:val="24"/>
          <w:highlight w:val="none"/>
        </w:rPr>
        <w:t>24.1供应商在递交了响应文件后，可以修改或撤回其响应文件，但必须在规定的磋商截止时间前，以书面形式通知采购代理机构。</w:t>
      </w:r>
    </w:p>
    <w:p>
      <w:pPr>
        <w:spacing w:line="360" w:lineRule="auto"/>
        <w:ind w:firstLine="470" w:firstLineChars="196"/>
        <w:rPr>
          <w:color w:val="000000"/>
          <w:sz w:val="24"/>
          <w:highlight w:val="none"/>
        </w:rPr>
      </w:pPr>
      <w:r>
        <w:rPr>
          <w:color w:val="000000"/>
          <w:sz w:val="24"/>
          <w:highlight w:val="none"/>
        </w:rPr>
        <w:t>24.2供应商的修改书或撤回通知书，应由其法定代表人或授权代表签署并盖单位公章。修改书应按供应商须知第23条规定进行密封和标注，并在密封袋上标注“响应文件修改”或“响应文件撤回通知”字样，“修改文件”作为响应文件的组成部分；采购代理机构不退还供应商已撤回的响应文件（包括纸质和电子版）。</w:t>
      </w:r>
    </w:p>
    <w:p>
      <w:pPr>
        <w:spacing w:line="360" w:lineRule="auto"/>
        <w:ind w:firstLine="470" w:firstLineChars="196"/>
        <w:rPr>
          <w:color w:val="000000"/>
          <w:sz w:val="24"/>
          <w:highlight w:val="none"/>
        </w:rPr>
      </w:pPr>
      <w:r>
        <w:rPr>
          <w:color w:val="000000"/>
          <w:sz w:val="24"/>
          <w:highlight w:val="none"/>
        </w:rPr>
        <w:t>24.3</w:t>
      </w:r>
      <w:bookmarkStart w:id="114" w:name="_Toc77400782"/>
      <w:bookmarkStart w:id="115" w:name="_Toc183682368"/>
      <w:bookmarkStart w:id="116" w:name="_Toc183582231"/>
      <w:bookmarkStart w:id="117" w:name="_Toc217446056"/>
      <w:bookmarkStart w:id="118" w:name="_Toc89075878"/>
      <w:r>
        <w:rPr>
          <w:color w:val="000000"/>
          <w:sz w:val="24"/>
          <w:highlight w:val="none"/>
        </w:rPr>
        <w:t>供应商撤回响应文件的，采购代理机构自收到供应商书面撤回通知之日起5个工作日内退还已收取的磋商保证金。</w:t>
      </w:r>
    </w:p>
    <w:p>
      <w:pPr>
        <w:spacing w:line="360" w:lineRule="auto"/>
        <w:ind w:firstLine="470" w:firstLineChars="196"/>
        <w:rPr>
          <w:color w:val="000000"/>
          <w:sz w:val="24"/>
          <w:highlight w:val="none"/>
        </w:rPr>
      </w:pPr>
      <w:r>
        <w:rPr>
          <w:color w:val="000000"/>
          <w:sz w:val="24"/>
          <w:highlight w:val="none"/>
        </w:rPr>
        <w:t>24.4在磋商截止时间之后，供应商不得对其递交的响应文件做任何修改或撤回，否则，磋商保证金将不予退还；但供应商在提交最终报价之前，可以根据磋商情况退出磋商。</w:t>
      </w:r>
    </w:p>
    <w:p>
      <w:pPr>
        <w:pStyle w:val="6"/>
        <w:keepLines/>
        <w:spacing w:line="360" w:lineRule="auto"/>
        <w:rPr>
          <w:b/>
          <w:bCs/>
          <w:color w:val="000000"/>
          <w:sz w:val="24"/>
          <w:szCs w:val="24"/>
          <w:highlight w:val="none"/>
          <w:u w:val="none"/>
        </w:rPr>
      </w:pPr>
      <w:bookmarkStart w:id="119" w:name="_Toc485883229"/>
      <w:r>
        <w:rPr>
          <w:b/>
          <w:bCs/>
          <w:color w:val="000000"/>
          <w:sz w:val="24"/>
          <w:szCs w:val="24"/>
          <w:highlight w:val="none"/>
          <w:u w:val="none"/>
        </w:rPr>
        <w:t>25.磋商纪律要求</w:t>
      </w:r>
      <w:bookmarkEnd w:id="119"/>
    </w:p>
    <w:p>
      <w:pPr>
        <w:pStyle w:val="7"/>
        <w:spacing w:line="360" w:lineRule="auto"/>
        <w:ind w:firstLine="480"/>
        <w:rPr>
          <w:color w:val="000000"/>
          <w:sz w:val="24"/>
          <w:szCs w:val="24"/>
          <w:highlight w:val="none"/>
        </w:rPr>
      </w:pPr>
      <w:r>
        <w:rPr>
          <w:color w:val="000000"/>
          <w:sz w:val="24"/>
          <w:szCs w:val="24"/>
          <w:highlight w:val="none"/>
        </w:rPr>
        <w:t>25.1供应商参加磋商时不得有下列情形：</w:t>
      </w:r>
    </w:p>
    <w:p>
      <w:pPr>
        <w:spacing w:line="360" w:lineRule="auto"/>
        <w:ind w:firstLine="480" w:firstLineChars="200"/>
        <w:rPr>
          <w:color w:val="000000"/>
          <w:sz w:val="24"/>
          <w:highlight w:val="none"/>
        </w:rPr>
      </w:pPr>
      <w:r>
        <w:rPr>
          <w:color w:val="000000"/>
          <w:sz w:val="24"/>
          <w:highlight w:val="none"/>
        </w:rPr>
        <w:t>（1）提供虚假材料谋取</w:t>
      </w:r>
      <w:r>
        <w:rPr>
          <w:rFonts w:hint="eastAsia"/>
          <w:color w:val="000000"/>
          <w:sz w:val="24"/>
          <w:highlight w:val="none"/>
        </w:rPr>
        <w:t>成交</w:t>
      </w:r>
      <w:r>
        <w:rPr>
          <w:color w:val="000000"/>
          <w:sz w:val="24"/>
          <w:highlight w:val="none"/>
        </w:rPr>
        <w:t>服务资格；</w:t>
      </w:r>
    </w:p>
    <w:p>
      <w:pPr>
        <w:spacing w:line="360" w:lineRule="auto"/>
        <w:ind w:firstLine="480" w:firstLineChars="200"/>
        <w:rPr>
          <w:color w:val="000000"/>
          <w:sz w:val="24"/>
          <w:highlight w:val="none"/>
        </w:rPr>
      </w:pPr>
      <w:r>
        <w:rPr>
          <w:color w:val="000000"/>
          <w:sz w:val="24"/>
          <w:highlight w:val="none"/>
        </w:rPr>
        <w:t>（2）采取不正当手段诋毁、排挤其他供应商；</w:t>
      </w:r>
    </w:p>
    <w:p>
      <w:pPr>
        <w:spacing w:line="360" w:lineRule="auto"/>
        <w:ind w:firstLine="480" w:firstLineChars="200"/>
        <w:rPr>
          <w:color w:val="000000"/>
          <w:sz w:val="24"/>
          <w:highlight w:val="none"/>
        </w:rPr>
      </w:pPr>
      <w:r>
        <w:rPr>
          <w:color w:val="000000"/>
          <w:sz w:val="24"/>
          <w:highlight w:val="none"/>
        </w:rPr>
        <w:t>（3）与采购人、采购代理机构、其他供应商恶意串通；</w:t>
      </w:r>
    </w:p>
    <w:p>
      <w:pPr>
        <w:spacing w:line="360" w:lineRule="auto"/>
        <w:ind w:firstLine="480" w:firstLineChars="200"/>
        <w:rPr>
          <w:color w:val="000000"/>
          <w:sz w:val="24"/>
          <w:highlight w:val="none"/>
        </w:rPr>
      </w:pPr>
      <w:r>
        <w:rPr>
          <w:color w:val="000000"/>
          <w:sz w:val="24"/>
          <w:highlight w:val="none"/>
        </w:rPr>
        <w:t>（4）向采购人、采购代理机构、磋商小组成员行贿或者提供其他不正当利益；</w:t>
      </w:r>
    </w:p>
    <w:p>
      <w:pPr>
        <w:pStyle w:val="10"/>
        <w:tabs>
          <w:tab w:val="left" w:pos="720"/>
        </w:tabs>
        <w:spacing w:after="0" w:line="360" w:lineRule="auto"/>
        <w:ind w:left="0" w:leftChars="0" w:firstLine="480" w:firstLineChars="200"/>
        <w:rPr>
          <w:color w:val="000000"/>
          <w:sz w:val="24"/>
          <w:szCs w:val="24"/>
          <w:highlight w:val="none"/>
        </w:rPr>
      </w:pPr>
      <w:r>
        <w:rPr>
          <w:color w:val="000000"/>
          <w:sz w:val="24"/>
          <w:szCs w:val="24"/>
          <w:highlight w:val="none"/>
        </w:rPr>
        <w:t>（5）拒绝有关部门的监督检查或者向监督检查部门提供虚假情况。</w:t>
      </w:r>
    </w:p>
    <w:p>
      <w:pPr>
        <w:pStyle w:val="7"/>
        <w:spacing w:line="360" w:lineRule="auto"/>
        <w:ind w:firstLine="480"/>
        <w:rPr>
          <w:color w:val="000000"/>
          <w:sz w:val="28"/>
          <w:szCs w:val="28"/>
          <w:highlight w:val="none"/>
        </w:rPr>
      </w:pPr>
      <w:r>
        <w:rPr>
          <w:color w:val="000000"/>
          <w:sz w:val="24"/>
          <w:szCs w:val="24"/>
          <w:highlight w:val="none"/>
        </w:rPr>
        <w:t>有上述情形之一的，属于不合格供应商，其响应文件或</w:t>
      </w:r>
      <w:r>
        <w:rPr>
          <w:rFonts w:hint="eastAsia"/>
          <w:color w:val="000000"/>
          <w:sz w:val="24"/>
          <w:szCs w:val="24"/>
          <w:highlight w:val="none"/>
        </w:rPr>
        <w:t>成交</w:t>
      </w:r>
      <w:r>
        <w:rPr>
          <w:color w:val="000000"/>
          <w:sz w:val="24"/>
          <w:szCs w:val="24"/>
          <w:highlight w:val="none"/>
        </w:rPr>
        <w:t>服务资格将被取消</w:t>
      </w:r>
      <w:r>
        <w:rPr>
          <w:color w:val="000000"/>
          <w:sz w:val="28"/>
          <w:szCs w:val="28"/>
          <w:highlight w:val="none"/>
        </w:rPr>
        <w:t>。</w:t>
      </w:r>
    </w:p>
    <w:p>
      <w:pPr>
        <w:pStyle w:val="10"/>
        <w:tabs>
          <w:tab w:val="left" w:pos="720"/>
        </w:tabs>
        <w:spacing w:after="0" w:line="360" w:lineRule="auto"/>
        <w:ind w:left="0" w:leftChars="0" w:firstLine="480" w:firstLineChars="200"/>
        <w:rPr>
          <w:color w:val="000000"/>
          <w:sz w:val="24"/>
          <w:szCs w:val="24"/>
          <w:highlight w:val="none"/>
        </w:rPr>
      </w:pPr>
      <w:r>
        <w:rPr>
          <w:color w:val="000000"/>
          <w:sz w:val="24"/>
          <w:szCs w:val="24"/>
          <w:highlight w:val="none"/>
        </w:rPr>
        <w:t>25.2有下列情形之一的，视为供应商相互恶意串通：</w:t>
      </w:r>
    </w:p>
    <w:p>
      <w:pPr>
        <w:pStyle w:val="10"/>
        <w:tabs>
          <w:tab w:val="left" w:pos="720"/>
        </w:tabs>
        <w:spacing w:after="0" w:line="360" w:lineRule="auto"/>
        <w:ind w:left="0" w:leftChars="0" w:firstLine="480" w:firstLineChars="200"/>
        <w:rPr>
          <w:color w:val="000000"/>
          <w:sz w:val="24"/>
          <w:szCs w:val="24"/>
          <w:highlight w:val="none"/>
        </w:rPr>
      </w:pPr>
      <w:r>
        <w:rPr>
          <w:color w:val="000000"/>
          <w:sz w:val="24"/>
          <w:szCs w:val="24"/>
          <w:highlight w:val="none"/>
        </w:rPr>
        <w:t>（1）不同供应商的响应文件由同一单位或者个人编制；</w:t>
      </w:r>
    </w:p>
    <w:p>
      <w:pPr>
        <w:pStyle w:val="10"/>
        <w:tabs>
          <w:tab w:val="left" w:pos="720"/>
        </w:tabs>
        <w:spacing w:after="0" w:line="360" w:lineRule="auto"/>
        <w:ind w:left="0" w:leftChars="0" w:firstLine="480" w:firstLineChars="200"/>
        <w:rPr>
          <w:color w:val="000000"/>
          <w:sz w:val="24"/>
          <w:szCs w:val="24"/>
          <w:highlight w:val="none"/>
        </w:rPr>
      </w:pPr>
      <w:r>
        <w:rPr>
          <w:color w:val="000000"/>
          <w:sz w:val="24"/>
          <w:szCs w:val="24"/>
          <w:highlight w:val="none"/>
        </w:rPr>
        <w:t>（2）不同供应商委托同一单位或者个人办理磋商事宜；</w:t>
      </w:r>
    </w:p>
    <w:p>
      <w:pPr>
        <w:pStyle w:val="10"/>
        <w:tabs>
          <w:tab w:val="left" w:pos="720"/>
        </w:tabs>
        <w:spacing w:after="0" w:line="360" w:lineRule="auto"/>
        <w:ind w:left="0" w:leftChars="0" w:firstLine="480" w:firstLineChars="200"/>
        <w:rPr>
          <w:color w:val="000000"/>
          <w:sz w:val="24"/>
          <w:szCs w:val="24"/>
          <w:highlight w:val="none"/>
        </w:rPr>
      </w:pPr>
      <w:r>
        <w:rPr>
          <w:color w:val="000000"/>
          <w:sz w:val="24"/>
          <w:szCs w:val="24"/>
          <w:highlight w:val="none"/>
        </w:rPr>
        <w:t>（3）不同供应商的响应文件载明的项目管理成员为同一人；</w:t>
      </w:r>
    </w:p>
    <w:p>
      <w:pPr>
        <w:pStyle w:val="10"/>
        <w:tabs>
          <w:tab w:val="left" w:pos="720"/>
        </w:tabs>
        <w:spacing w:after="0" w:line="360" w:lineRule="auto"/>
        <w:ind w:left="0" w:leftChars="0" w:firstLine="480" w:firstLineChars="200"/>
        <w:rPr>
          <w:color w:val="000000"/>
          <w:sz w:val="24"/>
          <w:szCs w:val="24"/>
          <w:highlight w:val="none"/>
        </w:rPr>
      </w:pPr>
      <w:r>
        <w:rPr>
          <w:color w:val="000000"/>
          <w:sz w:val="24"/>
          <w:szCs w:val="24"/>
          <w:highlight w:val="none"/>
        </w:rPr>
        <w:t>（4）不同供应商的响应文件异常一致或者磋商报价呈规律性差异；</w:t>
      </w:r>
    </w:p>
    <w:p>
      <w:pPr>
        <w:pStyle w:val="10"/>
        <w:tabs>
          <w:tab w:val="left" w:pos="720"/>
        </w:tabs>
        <w:spacing w:after="0" w:line="360" w:lineRule="auto"/>
        <w:ind w:left="0" w:leftChars="0" w:firstLine="480" w:firstLineChars="200"/>
        <w:rPr>
          <w:color w:val="000000"/>
          <w:sz w:val="24"/>
          <w:szCs w:val="24"/>
          <w:highlight w:val="none"/>
        </w:rPr>
      </w:pPr>
      <w:r>
        <w:rPr>
          <w:color w:val="000000"/>
          <w:sz w:val="24"/>
          <w:szCs w:val="24"/>
          <w:highlight w:val="none"/>
        </w:rPr>
        <w:t>（5）不同供应商的响应文件相互混装；</w:t>
      </w:r>
    </w:p>
    <w:p>
      <w:pPr>
        <w:pStyle w:val="10"/>
        <w:tabs>
          <w:tab w:val="left" w:pos="720"/>
        </w:tabs>
        <w:spacing w:after="0" w:line="360" w:lineRule="auto"/>
        <w:ind w:left="0" w:leftChars="0" w:firstLine="480" w:firstLineChars="200"/>
        <w:rPr>
          <w:color w:val="000000"/>
          <w:sz w:val="24"/>
          <w:szCs w:val="24"/>
          <w:highlight w:val="none"/>
        </w:rPr>
      </w:pPr>
      <w:r>
        <w:rPr>
          <w:color w:val="000000"/>
          <w:sz w:val="24"/>
          <w:szCs w:val="24"/>
          <w:highlight w:val="none"/>
        </w:rPr>
        <w:t>（6）不同供应商的磋商保证金从同一单位或者个人的账户转出。</w:t>
      </w:r>
    </w:p>
    <w:p>
      <w:pPr>
        <w:spacing w:line="360" w:lineRule="auto"/>
        <w:rPr>
          <w:b/>
          <w:color w:val="000000"/>
          <w:sz w:val="30"/>
          <w:szCs w:val="30"/>
          <w:highlight w:val="none"/>
        </w:rPr>
      </w:pPr>
      <w:bookmarkStart w:id="120" w:name="_Toc485883230"/>
      <w:r>
        <w:rPr>
          <w:b/>
          <w:color w:val="000000"/>
          <w:sz w:val="30"/>
          <w:szCs w:val="30"/>
          <w:highlight w:val="none"/>
        </w:rPr>
        <w:t>六、</w:t>
      </w:r>
      <w:bookmarkEnd w:id="114"/>
      <w:bookmarkEnd w:id="115"/>
      <w:bookmarkEnd w:id="116"/>
      <w:bookmarkEnd w:id="117"/>
      <w:bookmarkEnd w:id="118"/>
      <w:r>
        <w:rPr>
          <w:b/>
          <w:color w:val="000000"/>
          <w:sz w:val="30"/>
          <w:szCs w:val="30"/>
          <w:highlight w:val="none"/>
        </w:rPr>
        <w:t>组织竞争性磋商</w:t>
      </w:r>
      <w:bookmarkEnd w:id="120"/>
    </w:p>
    <w:p>
      <w:pPr>
        <w:pStyle w:val="6"/>
        <w:keepLines/>
        <w:spacing w:line="360" w:lineRule="auto"/>
        <w:rPr>
          <w:b/>
          <w:bCs/>
          <w:color w:val="000000"/>
          <w:sz w:val="24"/>
          <w:szCs w:val="24"/>
          <w:highlight w:val="none"/>
          <w:u w:val="none"/>
        </w:rPr>
      </w:pPr>
      <w:bookmarkStart w:id="121" w:name="_Toc485883231"/>
      <w:r>
        <w:rPr>
          <w:b/>
          <w:bCs/>
          <w:color w:val="000000"/>
          <w:sz w:val="24"/>
          <w:szCs w:val="24"/>
          <w:highlight w:val="none"/>
          <w:u w:val="none"/>
        </w:rPr>
        <w:t>26.磋商时间和地点</w:t>
      </w:r>
      <w:bookmarkEnd w:id="121"/>
    </w:p>
    <w:p>
      <w:pPr>
        <w:spacing w:line="360" w:lineRule="auto"/>
        <w:ind w:firstLine="480" w:firstLineChars="200"/>
        <w:rPr>
          <w:b/>
          <w:bCs/>
          <w:color w:val="000000"/>
          <w:sz w:val="24"/>
          <w:highlight w:val="none"/>
        </w:rPr>
      </w:pPr>
      <w:r>
        <w:rPr>
          <w:color w:val="000000"/>
          <w:sz w:val="24"/>
          <w:highlight w:val="none"/>
        </w:rPr>
        <w:t>26.1采购代理机构在“供应商须知前列表”中规定的磋商日期、时间和地点组织磋商，采购人、供应商须派代表参加并签到以证明其出席。</w:t>
      </w:r>
    </w:p>
    <w:p>
      <w:pPr>
        <w:spacing w:line="360" w:lineRule="auto"/>
        <w:ind w:firstLine="480" w:firstLineChars="200"/>
        <w:rPr>
          <w:color w:val="000000"/>
          <w:sz w:val="24"/>
          <w:highlight w:val="none"/>
        </w:rPr>
      </w:pPr>
      <w:r>
        <w:rPr>
          <w:color w:val="000000"/>
          <w:sz w:val="24"/>
          <w:highlight w:val="none"/>
        </w:rPr>
        <w:t>26.2采购代理机构邀请有关监督管理机构对磋商进行现场监督。</w:t>
      </w:r>
      <w:bookmarkStart w:id="122" w:name="_Toc217446058"/>
    </w:p>
    <w:p>
      <w:pPr>
        <w:pStyle w:val="6"/>
        <w:keepLines/>
        <w:spacing w:line="360" w:lineRule="auto"/>
        <w:rPr>
          <w:b/>
          <w:bCs/>
          <w:color w:val="000000"/>
          <w:sz w:val="24"/>
          <w:szCs w:val="24"/>
          <w:highlight w:val="none"/>
          <w:u w:val="none"/>
        </w:rPr>
      </w:pPr>
      <w:bookmarkStart w:id="123" w:name="_Toc485883232"/>
      <w:r>
        <w:rPr>
          <w:b/>
          <w:bCs/>
          <w:color w:val="000000"/>
          <w:sz w:val="24"/>
          <w:szCs w:val="24"/>
          <w:highlight w:val="none"/>
          <w:u w:val="none"/>
        </w:rPr>
        <w:t>27.</w:t>
      </w:r>
      <w:bookmarkEnd w:id="122"/>
      <w:r>
        <w:rPr>
          <w:b/>
          <w:bCs/>
          <w:color w:val="000000"/>
          <w:sz w:val="24"/>
          <w:szCs w:val="24"/>
          <w:highlight w:val="none"/>
          <w:u w:val="none"/>
        </w:rPr>
        <w:t>磋商程序</w:t>
      </w:r>
      <w:bookmarkEnd w:id="123"/>
    </w:p>
    <w:p>
      <w:pPr>
        <w:spacing w:line="360" w:lineRule="auto"/>
        <w:ind w:firstLine="460" w:firstLineChars="192"/>
        <w:rPr>
          <w:color w:val="000000"/>
          <w:sz w:val="24"/>
          <w:highlight w:val="none"/>
        </w:rPr>
      </w:pPr>
      <w:r>
        <w:rPr>
          <w:color w:val="000000"/>
          <w:sz w:val="24"/>
          <w:highlight w:val="none"/>
        </w:rPr>
        <w:t>27.1竞争性磋商按下列工作程序进行：</w:t>
      </w:r>
    </w:p>
    <w:p>
      <w:pPr>
        <w:spacing w:line="360" w:lineRule="auto"/>
        <w:ind w:firstLine="460" w:firstLineChars="192"/>
        <w:rPr>
          <w:color w:val="000000"/>
          <w:sz w:val="24"/>
          <w:highlight w:val="none"/>
        </w:rPr>
      </w:pPr>
      <w:r>
        <w:rPr>
          <w:color w:val="000000"/>
          <w:sz w:val="24"/>
          <w:highlight w:val="none"/>
        </w:rPr>
        <w:t>（1）组建磋商小组；</w:t>
      </w:r>
    </w:p>
    <w:p>
      <w:pPr>
        <w:spacing w:line="360" w:lineRule="auto"/>
        <w:ind w:firstLine="460" w:firstLineChars="192"/>
        <w:rPr>
          <w:color w:val="000000"/>
          <w:sz w:val="24"/>
          <w:highlight w:val="none"/>
        </w:rPr>
      </w:pPr>
      <w:r>
        <w:rPr>
          <w:color w:val="000000"/>
          <w:sz w:val="24"/>
          <w:highlight w:val="none"/>
        </w:rPr>
        <w:t>（2）磋商会议；</w:t>
      </w:r>
    </w:p>
    <w:p>
      <w:pPr>
        <w:spacing w:line="360" w:lineRule="auto"/>
        <w:ind w:firstLine="460" w:firstLineChars="192"/>
        <w:rPr>
          <w:color w:val="000000"/>
          <w:sz w:val="24"/>
          <w:highlight w:val="none"/>
        </w:rPr>
      </w:pPr>
      <w:r>
        <w:rPr>
          <w:color w:val="000000"/>
          <w:sz w:val="24"/>
          <w:highlight w:val="none"/>
        </w:rPr>
        <w:t>（3）响应文件初步评审；</w:t>
      </w:r>
    </w:p>
    <w:p>
      <w:pPr>
        <w:spacing w:line="360" w:lineRule="auto"/>
        <w:ind w:firstLine="460" w:firstLineChars="192"/>
        <w:rPr>
          <w:color w:val="000000"/>
          <w:sz w:val="24"/>
          <w:highlight w:val="none"/>
        </w:rPr>
      </w:pPr>
      <w:r>
        <w:rPr>
          <w:color w:val="000000"/>
          <w:sz w:val="24"/>
          <w:highlight w:val="none"/>
        </w:rPr>
        <w:t>（4）响应文件的澄清；</w:t>
      </w:r>
    </w:p>
    <w:p>
      <w:pPr>
        <w:spacing w:line="360" w:lineRule="auto"/>
        <w:ind w:firstLine="460" w:firstLineChars="192"/>
        <w:rPr>
          <w:color w:val="000000"/>
          <w:sz w:val="24"/>
          <w:highlight w:val="none"/>
        </w:rPr>
      </w:pPr>
      <w:r>
        <w:rPr>
          <w:color w:val="000000"/>
          <w:sz w:val="24"/>
          <w:highlight w:val="none"/>
        </w:rPr>
        <w:t>（5）技术磋商；</w:t>
      </w:r>
    </w:p>
    <w:p>
      <w:pPr>
        <w:spacing w:line="360" w:lineRule="auto"/>
        <w:ind w:firstLine="460" w:firstLineChars="192"/>
        <w:rPr>
          <w:color w:val="000000"/>
          <w:sz w:val="24"/>
          <w:highlight w:val="none"/>
        </w:rPr>
      </w:pPr>
      <w:r>
        <w:rPr>
          <w:color w:val="000000"/>
          <w:sz w:val="24"/>
          <w:highlight w:val="none"/>
        </w:rPr>
        <w:t>（6）商务磋商（提交最终报价）；</w:t>
      </w:r>
    </w:p>
    <w:p>
      <w:pPr>
        <w:spacing w:line="360" w:lineRule="auto"/>
        <w:ind w:firstLine="460" w:firstLineChars="192"/>
        <w:rPr>
          <w:color w:val="000000"/>
          <w:sz w:val="24"/>
          <w:highlight w:val="none"/>
        </w:rPr>
      </w:pPr>
      <w:r>
        <w:rPr>
          <w:color w:val="000000"/>
          <w:sz w:val="24"/>
          <w:highlight w:val="none"/>
        </w:rPr>
        <w:t>（7）响应文件详细评审；</w:t>
      </w:r>
    </w:p>
    <w:p>
      <w:pPr>
        <w:spacing w:line="360" w:lineRule="auto"/>
        <w:ind w:firstLine="460" w:firstLineChars="192"/>
        <w:rPr>
          <w:color w:val="000000"/>
          <w:sz w:val="24"/>
          <w:highlight w:val="none"/>
        </w:rPr>
      </w:pPr>
      <w:r>
        <w:rPr>
          <w:color w:val="000000"/>
          <w:sz w:val="24"/>
          <w:highlight w:val="none"/>
        </w:rPr>
        <w:t>（8）推荐</w:t>
      </w:r>
      <w:r>
        <w:rPr>
          <w:rFonts w:hint="eastAsia"/>
          <w:color w:val="000000"/>
          <w:sz w:val="24"/>
          <w:highlight w:val="none"/>
        </w:rPr>
        <w:t>成交</w:t>
      </w:r>
      <w:r>
        <w:rPr>
          <w:color w:val="000000"/>
          <w:sz w:val="24"/>
          <w:highlight w:val="none"/>
        </w:rPr>
        <w:t>服务供应商；</w:t>
      </w:r>
    </w:p>
    <w:p>
      <w:pPr>
        <w:spacing w:line="360" w:lineRule="auto"/>
        <w:ind w:firstLine="460" w:firstLineChars="192"/>
        <w:rPr>
          <w:color w:val="000000"/>
          <w:sz w:val="24"/>
          <w:highlight w:val="none"/>
        </w:rPr>
      </w:pPr>
      <w:r>
        <w:rPr>
          <w:color w:val="000000"/>
          <w:sz w:val="24"/>
          <w:highlight w:val="none"/>
        </w:rPr>
        <w:t>（9）编写评审报告。</w:t>
      </w:r>
    </w:p>
    <w:p>
      <w:pPr>
        <w:pStyle w:val="6"/>
        <w:keepLines/>
        <w:spacing w:line="360" w:lineRule="auto"/>
        <w:rPr>
          <w:b/>
          <w:bCs/>
          <w:color w:val="000000"/>
          <w:sz w:val="24"/>
          <w:szCs w:val="24"/>
          <w:highlight w:val="none"/>
          <w:u w:val="none"/>
        </w:rPr>
      </w:pPr>
      <w:r>
        <w:rPr>
          <w:b/>
          <w:bCs/>
          <w:color w:val="000000"/>
          <w:sz w:val="24"/>
          <w:szCs w:val="24"/>
          <w:highlight w:val="none"/>
          <w:u w:val="none"/>
        </w:rPr>
        <w:t>28.磋商仪式</w:t>
      </w:r>
    </w:p>
    <w:p>
      <w:pPr>
        <w:pStyle w:val="14"/>
        <w:spacing w:after="0" w:line="360" w:lineRule="auto"/>
        <w:ind w:left="0" w:leftChars="0" w:firstLine="480" w:firstLineChars="200"/>
        <w:rPr>
          <w:color w:val="000000"/>
          <w:sz w:val="24"/>
          <w:szCs w:val="24"/>
          <w:highlight w:val="none"/>
        </w:rPr>
      </w:pPr>
      <w:r>
        <w:rPr>
          <w:color w:val="000000"/>
          <w:sz w:val="24"/>
          <w:szCs w:val="24"/>
          <w:highlight w:val="none"/>
        </w:rPr>
        <w:t>28.1磋商仪式由采购代理机构主持。主持人按照磋商文件规定的磋商时间宣布磋商会开始，并按规定要求主持仪式。磋商仪式将按以下程序进行（但不限于）：</w:t>
      </w:r>
    </w:p>
    <w:p>
      <w:pPr>
        <w:spacing w:line="360" w:lineRule="auto"/>
        <w:ind w:firstLine="480" w:firstLineChars="200"/>
        <w:rPr>
          <w:color w:val="000000"/>
          <w:sz w:val="24"/>
          <w:highlight w:val="none"/>
        </w:rPr>
      </w:pPr>
      <w:r>
        <w:rPr>
          <w:color w:val="000000"/>
          <w:sz w:val="24"/>
          <w:highlight w:val="none"/>
        </w:rPr>
        <w:t>（1）宣布磋商会开始并致辞。</w:t>
      </w:r>
    </w:p>
    <w:p>
      <w:pPr>
        <w:spacing w:line="360" w:lineRule="auto"/>
        <w:ind w:firstLine="480" w:firstLineChars="200"/>
        <w:rPr>
          <w:color w:val="000000"/>
          <w:sz w:val="24"/>
          <w:highlight w:val="none"/>
        </w:rPr>
      </w:pPr>
      <w:r>
        <w:rPr>
          <w:color w:val="000000"/>
          <w:sz w:val="24"/>
          <w:highlight w:val="none"/>
        </w:rPr>
        <w:t>（2）宣布会场纪律和有关注意事项。</w:t>
      </w:r>
    </w:p>
    <w:p>
      <w:pPr>
        <w:spacing w:line="360" w:lineRule="auto"/>
        <w:ind w:firstLine="480" w:firstLineChars="200"/>
        <w:rPr>
          <w:color w:val="000000"/>
          <w:sz w:val="24"/>
          <w:highlight w:val="none"/>
        </w:rPr>
      </w:pPr>
      <w:r>
        <w:rPr>
          <w:color w:val="000000"/>
          <w:sz w:val="24"/>
          <w:highlight w:val="none"/>
        </w:rPr>
        <w:t>（3）宣布参加磋商会的现场监督人员和主持人、会议记录等磋商会工作人员，根据“磋商会供应商签到表”宣布参加磋商的供应商名单。</w:t>
      </w:r>
    </w:p>
    <w:p>
      <w:pPr>
        <w:spacing w:line="360" w:lineRule="auto"/>
        <w:ind w:firstLine="480" w:firstLineChars="200"/>
        <w:rPr>
          <w:color w:val="000000"/>
          <w:sz w:val="24"/>
          <w:highlight w:val="none"/>
        </w:rPr>
      </w:pPr>
      <w:r>
        <w:rPr>
          <w:color w:val="000000"/>
          <w:sz w:val="24"/>
          <w:highlight w:val="none"/>
        </w:rPr>
        <w:t>（4）宣布检查响应文件的密封情况。由供应商或其推荐的代表与监督管理机构共同检查响应文件密封情况，经检查无误后，签字确认。</w:t>
      </w:r>
    </w:p>
    <w:p>
      <w:pPr>
        <w:spacing w:line="360" w:lineRule="auto"/>
        <w:ind w:firstLine="480" w:firstLineChars="200"/>
        <w:rPr>
          <w:color w:val="000000"/>
          <w:sz w:val="24"/>
          <w:highlight w:val="none"/>
        </w:rPr>
      </w:pPr>
      <w:r>
        <w:rPr>
          <w:color w:val="000000"/>
          <w:sz w:val="24"/>
          <w:highlight w:val="none"/>
        </w:rPr>
        <w:t>（5）现场由监标人查验各供应商法人授权委托书原件、被委托人的身份证原件，监标人查验后宣布结果并签字。</w:t>
      </w:r>
    </w:p>
    <w:p>
      <w:pPr>
        <w:spacing w:line="360" w:lineRule="auto"/>
        <w:ind w:firstLine="480" w:firstLineChars="200"/>
        <w:rPr>
          <w:color w:val="000000"/>
          <w:sz w:val="24"/>
          <w:highlight w:val="none"/>
        </w:rPr>
      </w:pPr>
      <w:r>
        <w:rPr>
          <w:color w:val="000000"/>
          <w:sz w:val="24"/>
          <w:highlight w:val="none"/>
        </w:rPr>
        <w:t>（6）磋商响应供应商退场。</w:t>
      </w:r>
    </w:p>
    <w:p>
      <w:pPr>
        <w:spacing w:line="360" w:lineRule="auto"/>
        <w:ind w:firstLine="480" w:firstLineChars="200"/>
        <w:rPr>
          <w:color w:val="000000"/>
          <w:sz w:val="24"/>
          <w:highlight w:val="none"/>
        </w:rPr>
      </w:pPr>
      <w:r>
        <w:rPr>
          <w:color w:val="000000"/>
          <w:sz w:val="24"/>
          <w:highlight w:val="none"/>
        </w:rPr>
        <w:t>（7）启封响应文件，仅向采购人及监督人员宣布第一次磋商报价，并由监督人员确认。</w:t>
      </w:r>
    </w:p>
    <w:p>
      <w:pPr>
        <w:spacing w:line="360" w:lineRule="auto"/>
        <w:ind w:firstLine="480" w:firstLineChars="200"/>
        <w:rPr>
          <w:color w:val="000000"/>
          <w:sz w:val="24"/>
          <w:highlight w:val="none"/>
        </w:rPr>
      </w:pPr>
      <w:r>
        <w:rPr>
          <w:color w:val="000000"/>
          <w:sz w:val="24"/>
          <w:highlight w:val="none"/>
        </w:rPr>
        <w:t>（8）宣布磋商仪式结束。</w:t>
      </w:r>
    </w:p>
    <w:p>
      <w:pPr>
        <w:spacing w:line="360" w:lineRule="auto"/>
        <w:ind w:firstLine="480" w:firstLineChars="200"/>
        <w:rPr>
          <w:color w:val="000000"/>
          <w:sz w:val="24"/>
          <w:highlight w:val="none"/>
        </w:rPr>
      </w:pPr>
      <w:r>
        <w:rPr>
          <w:color w:val="000000"/>
          <w:sz w:val="24"/>
          <w:highlight w:val="none"/>
        </w:rPr>
        <w:t>28.2采购代理机构对磋商过程进行全程摄（录）像、文字记录，并存档备查。</w:t>
      </w:r>
      <w:bookmarkStart w:id="124" w:name="_Toc217446059"/>
    </w:p>
    <w:bookmarkEnd w:id="124"/>
    <w:p>
      <w:pPr>
        <w:pStyle w:val="6"/>
        <w:keepLines/>
        <w:spacing w:line="360" w:lineRule="auto"/>
        <w:rPr>
          <w:b/>
          <w:bCs/>
          <w:color w:val="000000"/>
          <w:sz w:val="24"/>
          <w:szCs w:val="24"/>
          <w:highlight w:val="none"/>
          <w:u w:val="none"/>
        </w:rPr>
      </w:pPr>
      <w:bookmarkStart w:id="125" w:name="_Toc485883233"/>
      <w:r>
        <w:rPr>
          <w:b/>
          <w:bCs/>
          <w:color w:val="000000"/>
          <w:sz w:val="24"/>
          <w:szCs w:val="24"/>
          <w:highlight w:val="none"/>
          <w:u w:val="none"/>
        </w:rPr>
        <w:t>29.磋商小组</w:t>
      </w:r>
      <w:bookmarkEnd w:id="125"/>
    </w:p>
    <w:p>
      <w:pPr>
        <w:tabs>
          <w:tab w:val="left" w:pos="0"/>
        </w:tabs>
        <w:adjustRightInd w:val="0"/>
        <w:snapToGrid w:val="0"/>
        <w:spacing w:line="360" w:lineRule="auto"/>
        <w:ind w:firstLine="470" w:firstLineChars="196"/>
        <w:rPr>
          <w:color w:val="000000"/>
          <w:sz w:val="24"/>
          <w:highlight w:val="none"/>
        </w:rPr>
      </w:pPr>
      <w:r>
        <w:rPr>
          <w:color w:val="000000"/>
          <w:sz w:val="24"/>
          <w:highlight w:val="none"/>
        </w:rPr>
        <w:t>29.1</w:t>
      </w:r>
      <w:r>
        <w:rPr>
          <w:color w:val="000000"/>
          <w:kern w:val="0"/>
          <w:sz w:val="24"/>
          <w:highlight w:val="none"/>
        </w:rPr>
        <w:t>采购代理机构根据采购项目的特点依法组建磋商小组。磋商小组由采购人代表和有关技术、经济等方面的专家组成，成员为3人及以上单数组成。</w:t>
      </w:r>
      <w:r>
        <w:rPr>
          <w:color w:val="000000"/>
          <w:sz w:val="24"/>
          <w:highlight w:val="none"/>
        </w:rPr>
        <w:t>专家人选在同级或上一级财政部门设立的政府采购评审专家库中随机抽取。</w:t>
      </w:r>
    </w:p>
    <w:p>
      <w:pPr>
        <w:spacing w:line="360" w:lineRule="auto"/>
        <w:ind w:left="120" w:leftChars="57" w:firstLine="360" w:firstLineChars="150"/>
        <w:rPr>
          <w:color w:val="000000"/>
          <w:sz w:val="24"/>
          <w:highlight w:val="none"/>
        </w:rPr>
      </w:pPr>
      <w:r>
        <w:rPr>
          <w:color w:val="000000"/>
          <w:sz w:val="24"/>
          <w:highlight w:val="none"/>
        </w:rPr>
        <w:t>29.2磋商小组成员有下列情形之一的，应当回避：</w:t>
      </w:r>
    </w:p>
    <w:p>
      <w:pPr>
        <w:spacing w:line="360" w:lineRule="auto"/>
        <w:ind w:left="120" w:leftChars="57" w:firstLine="360" w:firstLineChars="150"/>
        <w:rPr>
          <w:color w:val="000000"/>
          <w:sz w:val="24"/>
          <w:highlight w:val="none"/>
        </w:rPr>
      </w:pPr>
      <w:r>
        <w:rPr>
          <w:color w:val="000000"/>
          <w:sz w:val="24"/>
          <w:highlight w:val="none"/>
        </w:rPr>
        <w:t>（1）采购人或供应商的主要负责人的近亲属；</w:t>
      </w:r>
    </w:p>
    <w:p>
      <w:pPr>
        <w:spacing w:line="360" w:lineRule="auto"/>
        <w:ind w:left="120" w:leftChars="57" w:firstLine="360" w:firstLineChars="150"/>
        <w:rPr>
          <w:color w:val="000000"/>
          <w:sz w:val="24"/>
          <w:highlight w:val="none"/>
        </w:rPr>
      </w:pPr>
      <w:r>
        <w:rPr>
          <w:color w:val="000000"/>
          <w:sz w:val="24"/>
          <w:highlight w:val="none"/>
        </w:rPr>
        <w:t>（2）与供应商有经济利益关系，可能影响对响应文件公正评审的；</w:t>
      </w:r>
    </w:p>
    <w:p>
      <w:pPr>
        <w:spacing w:line="360" w:lineRule="auto"/>
        <w:ind w:left="120" w:leftChars="57" w:firstLine="360" w:firstLineChars="150"/>
        <w:rPr>
          <w:color w:val="000000"/>
          <w:sz w:val="24"/>
          <w:highlight w:val="none"/>
        </w:rPr>
      </w:pPr>
      <w:r>
        <w:rPr>
          <w:color w:val="000000"/>
          <w:sz w:val="24"/>
          <w:highlight w:val="none"/>
        </w:rPr>
        <w:t>（3）曾因在招标、评标以及其他与招标投标有关活动中从事违法行为而受过行政处罚或刑事处罚的。</w:t>
      </w:r>
    </w:p>
    <w:p>
      <w:pPr>
        <w:pStyle w:val="6"/>
        <w:keepLines/>
        <w:spacing w:line="360" w:lineRule="auto"/>
        <w:rPr>
          <w:b/>
          <w:bCs/>
          <w:color w:val="000000"/>
          <w:sz w:val="24"/>
          <w:szCs w:val="24"/>
          <w:highlight w:val="none"/>
          <w:u w:val="none"/>
        </w:rPr>
      </w:pPr>
      <w:bookmarkStart w:id="126" w:name="_Toc485883234"/>
      <w:r>
        <w:rPr>
          <w:b/>
          <w:bCs/>
          <w:color w:val="000000"/>
          <w:sz w:val="24"/>
          <w:szCs w:val="24"/>
          <w:highlight w:val="none"/>
          <w:u w:val="none"/>
        </w:rPr>
        <w:t>30.磋商与评审</w:t>
      </w:r>
      <w:bookmarkEnd w:id="126"/>
    </w:p>
    <w:p>
      <w:pPr>
        <w:spacing w:line="360" w:lineRule="auto"/>
        <w:ind w:firstLine="470" w:firstLineChars="196"/>
        <w:rPr>
          <w:color w:val="000000"/>
          <w:sz w:val="24"/>
          <w:highlight w:val="none"/>
        </w:rPr>
      </w:pPr>
      <w:r>
        <w:rPr>
          <w:color w:val="000000"/>
          <w:sz w:val="24"/>
          <w:highlight w:val="none"/>
        </w:rPr>
        <w:t>详见磋商文件第三章磋商与评审办法。</w:t>
      </w:r>
    </w:p>
    <w:p>
      <w:pPr>
        <w:spacing w:line="360" w:lineRule="auto"/>
        <w:rPr>
          <w:b/>
          <w:color w:val="000000"/>
          <w:sz w:val="30"/>
          <w:szCs w:val="30"/>
          <w:highlight w:val="none"/>
        </w:rPr>
      </w:pPr>
      <w:bookmarkStart w:id="127" w:name="_Toc217446064"/>
      <w:bookmarkStart w:id="128" w:name="_Toc485883235"/>
      <w:bookmarkStart w:id="129" w:name="_Toc183682377"/>
      <w:bookmarkStart w:id="130" w:name="_Toc183582240"/>
      <w:r>
        <w:rPr>
          <w:b/>
          <w:color w:val="000000"/>
          <w:sz w:val="30"/>
          <w:szCs w:val="30"/>
          <w:highlight w:val="none"/>
        </w:rPr>
        <w:t>七、合同</w:t>
      </w:r>
      <w:bookmarkEnd w:id="127"/>
      <w:r>
        <w:rPr>
          <w:b/>
          <w:color w:val="000000"/>
          <w:sz w:val="30"/>
          <w:szCs w:val="30"/>
          <w:highlight w:val="none"/>
        </w:rPr>
        <w:t>授予</w:t>
      </w:r>
      <w:bookmarkEnd w:id="128"/>
      <w:bookmarkStart w:id="131" w:name="_Toc217446065"/>
    </w:p>
    <w:p>
      <w:pPr>
        <w:pStyle w:val="6"/>
        <w:keepLines/>
        <w:spacing w:line="360" w:lineRule="auto"/>
        <w:rPr>
          <w:b/>
          <w:bCs/>
          <w:color w:val="000000"/>
          <w:sz w:val="24"/>
          <w:szCs w:val="24"/>
          <w:highlight w:val="none"/>
          <w:u w:val="none"/>
        </w:rPr>
      </w:pPr>
      <w:bookmarkStart w:id="132" w:name="_Toc485883236"/>
      <w:r>
        <w:rPr>
          <w:b/>
          <w:bCs/>
          <w:color w:val="000000"/>
          <w:sz w:val="24"/>
          <w:szCs w:val="24"/>
          <w:highlight w:val="none"/>
          <w:u w:val="none"/>
        </w:rPr>
        <w:t>31.合同</w:t>
      </w:r>
      <w:bookmarkEnd w:id="131"/>
      <w:r>
        <w:rPr>
          <w:b/>
          <w:bCs/>
          <w:color w:val="000000"/>
          <w:sz w:val="24"/>
          <w:szCs w:val="24"/>
          <w:highlight w:val="none"/>
          <w:u w:val="none"/>
        </w:rPr>
        <w:t>订立</w:t>
      </w:r>
      <w:bookmarkEnd w:id="132"/>
    </w:p>
    <w:p>
      <w:pPr>
        <w:spacing w:line="360" w:lineRule="auto"/>
        <w:ind w:firstLine="480" w:firstLineChars="200"/>
        <w:rPr>
          <w:color w:val="000000"/>
          <w:sz w:val="24"/>
          <w:highlight w:val="none"/>
        </w:rPr>
      </w:pPr>
      <w:r>
        <w:rPr>
          <w:color w:val="000000"/>
          <w:sz w:val="24"/>
          <w:highlight w:val="none"/>
        </w:rPr>
        <w:t>31.1</w:t>
      </w:r>
      <w:r>
        <w:rPr>
          <w:rFonts w:hint="eastAsia"/>
          <w:color w:val="000000"/>
          <w:sz w:val="24"/>
          <w:highlight w:val="none"/>
        </w:rPr>
        <w:t>成交</w:t>
      </w:r>
      <w:r>
        <w:rPr>
          <w:color w:val="000000"/>
          <w:sz w:val="24"/>
          <w:highlight w:val="none"/>
        </w:rPr>
        <w:t>服务供应商应在《成交通知书》发出之日起30日内与采购人签订采购合同。由于</w:t>
      </w:r>
      <w:r>
        <w:rPr>
          <w:rFonts w:hint="eastAsia"/>
          <w:color w:val="000000"/>
          <w:sz w:val="24"/>
          <w:highlight w:val="none"/>
        </w:rPr>
        <w:t>成交</w:t>
      </w:r>
      <w:r>
        <w:rPr>
          <w:color w:val="000000"/>
          <w:sz w:val="24"/>
          <w:highlight w:val="none"/>
        </w:rPr>
        <w:t>服务供应商的原因逾期未与采购人签订采购合同的，将视为放弃</w:t>
      </w:r>
      <w:r>
        <w:rPr>
          <w:rFonts w:hint="eastAsia"/>
          <w:color w:val="000000"/>
          <w:sz w:val="24"/>
          <w:highlight w:val="none"/>
        </w:rPr>
        <w:t>成交</w:t>
      </w:r>
      <w:r>
        <w:rPr>
          <w:color w:val="000000"/>
          <w:sz w:val="24"/>
          <w:highlight w:val="none"/>
        </w:rPr>
        <w:t>服务，取消其</w:t>
      </w:r>
      <w:r>
        <w:rPr>
          <w:rFonts w:hint="eastAsia"/>
          <w:color w:val="000000"/>
          <w:sz w:val="24"/>
          <w:highlight w:val="none"/>
        </w:rPr>
        <w:t>成交</w:t>
      </w:r>
      <w:r>
        <w:rPr>
          <w:color w:val="000000"/>
          <w:sz w:val="24"/>
          <w:highlight w:val="none"/>
        </w:rPr>
        <w:t>服务资格，其磋商保证金不予退还；给采购人造成的损失超过保证金数额的，采购人将对其超过部分予以追偿。</w:t>
      </w:r>
    </w:p>
    <w:p>
      <w:pPr>
        <w:spacing w:line="360" w:lineRule="auto"/>
        <w:ind w:firstLine="480" w:firstLineChars="200"/>
        <w:rPr>
          <w:color w:val="000000"/>
          <w:sz w:val="24"/>
          <w:highlight w:val="none"/>
        </w:rPr>
      </w:pPr>
      <w:r>
        <w:rPr>
          <w:color w:val="000000"/>
          <w:sz w:val="24"/>
          <w:highlight w:val="none"/>
        </w:rPr>
        <w:t>31.2采购人与</w:t>
      </w:r>
      <w:r>
        <w:rPr>
          <w:rFonts w:hint="eastAsia"/>
          <w:color w:val="000000"/>
          <w:sz w:val="24"/>
          <w:highlight w:val="none"/>
        </w:rPr>
        <w:t>成交</w:t>
      </w:r>
      <w:r>
        <w:rPr>
          <w:color w:val="000000"/>
          <w:sz w:val="24"/>
          <w:highlight w:val="none"/>
        </w:rPr>
        <w:t>服务供应商洽谈合同条款及所签订的合同不得对磋商文件和</w:t>
      </w:r>
      <w:r>
        <w:rPr>
          <w:rFonts w:hint="eastAsia"/>
          <w:color w:val="000000"/>
          <w:sz w:val="24"/>
          <w:highlight w:val="none"/>
        </w:rPr>
        <w:t>成交</w:t>
      </w:r>
      <w:r>
        <w:rPr>
          <w:color w:val="000000"/>
          <w:sz w:val="24"/>
          <w:highlight w:val="none"/>
        </w:rPr>
        <w:t>服务供应商响应文件作实质性修改，磋商文件和</w:t>
      </w:r>
      <w:r>
        <w:rPr>
          <w:rFonts w:hint="eastAsia"/>
          <w:color w:val="000000"/>
          <w:sz w:val="24"/>
          <w:highlight w:val="none"/>
        </w:rPr>
        <w:t>成交</w:t>
      </w:r>
      <w:r>
        <w:rPr>
          <w:color w:val="000000"/>
          <w:sz w:val="24"/>
          <w:highlight w:val="none"/>
        </w:rPr>
        <w:t>服务供应商的响应文件均作为合同的组成部分。</w:t>
      </w:r>
    </w:p>
    <w:p>
      <w:pPr>
        <w:pStyle w:val="9"/>
        <w:adjustRightInd w:val="0"/>
        <w:snapToGrid w:val="0"/>
        <w:spacing w:line="360" w:lineRule="auto"/>
        <w:ind w:firstLine="480" w:firstLineChars="200"/>
        <w:rPr>
          <w:rFonts w:ascii="Times New Roman" w:hAnsi="Times New Roman"/>
          <w:color w:val="000000"/>
          <w:sz w:val="24"/>
          <w:szCs w:val="24"/>
          <w:highlight w:val="none"/>
        </w:rPr>
      </w:pPr>
      <w:bookmarkStart w:id="133" w:name="_Toc217446066"/>
      <w:r>
        <w:rPr>
          <w:rFonts w:ascii="Times New Roman" w:hAnsi="Times New Roman"/>
          <w:color w:val="000000"/>
          <w:sz w:val="24"/>
          <w:szCs w:val="24"/>
          <w:highlight w:val="none"/>
        </w:rPr>
        <w:t xml:space="preserve">31.3 </w:t>
      </w:r>
      <w:r>
        <w:rPr>
          <w:rFonts w:hint="eastAsia" w:ascii="Times New Roman" w:hAnsi="Times New Roman"/>
          <w:color w:val="000000"/>
          <w:sz w:val="24"/>
          <w:szCs w:val="24"/>
          <w:highlight w:val="none"/>
        </w:rPr>
        <w:t>成交</w:t>
      </w:r>
      <w:r>
        <w:rPr>
          <w:rFonts w:ascii="Times New Roman" w:hAnsi="Times New Roman"/>
          <w:color w:val="000000"/>
          <w:sz w:val="24"/>
          <w:szCs w:val="24"/>
          <w:highlight w:val="none"/>
        </w:rPr>
        <w:t>服务供应商有下列情形之一的，责令限期改正，情节严重的，列入不良行为记录名单，在1至3年内禁止参加政府采购活动，并予以通报：</w:t>
      </w:r>
    </w:p>
    <w:p>
      <w:pPr>
        <w:pStyle w:val="9"/>
        <w:adjustRightInd w:val="0"/>
        <w:snapToGrid w:val="0"/>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（1）</w:t>
      </w:r>
      <w:r>
        <w:rPr>
          <w:rFonts w:hint="eastAsia" w:ascii="Times New Roman" w:hAnsi="Times New Roman"/>
          <w:color w:val="000000"/>
          <w:sz w:val="24"/>
          <w:szCs w:val="24"/>
          <w:highlight w:val="none"/>
        </w:rPr>
        <w:t>成交</w:t>
      </w:r>
      <w:r>
        <w:rPr>
          <w:rFonts w:ascii="Times New Roman" w:hAnsi="Times New Roman"/>
          <w:color w:val="000000"/>
          <w:sz w:val="24"/>
          <w:szCs w:val="24"/>
          <w:highlight w:val="none"/>
        </w:rPr>
        <w:t>服务后无正当理由不与采购人签订合同的；</w:t>
      </w:r>
    </w:p>
    <w:p>
      <w:pPr>
        <w:pStyle w:val="9"/>
        <w:adjustRightInd w:val="0"/>
        <w:snapToGrid w:val="0"/>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（2）未按照磋商文件确定的事项签订政府采购合同，或者与采购人另行订立背离合同实质性内容的协议的；</w:t>
      </w:r>
    </w:p>
    <w:p>
      <w:pPr>
        <w:pStyle w:val="9"/>
        <w:adjustRightInd w:val="0"/>
        <w:snapToGrid w:val="0"/>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（3）拒绝履行合同义务的；</w:t>
      </w:r>
    </w:p>
    <w:p>
      <w:pPr>
        <w:pStyle w:val="9"/>
        <w:adjustRightInd w:val="0"/>
        <w:snapToGrid w:val="0"/>
        <w:spacing w:line="360" w:lineRule="auto"/>
        <w:ind w:firstLine="480" w:firstLineChars="200"/>
        <w:rPr>
          <w:rFonts w:ascii="Times New Roman" w:hAnsi="Times New Roman"/>
          <w:color w:val="000000"/>
          <w:kern w:val="0"/>
          <w:sz w:val="24"/>
          <w:szCs w:val="24"/>
          <w:highlight w:val="none"/>
        </w:rPr>
      </w:pPr>
      <w:r>
        <w:rPr>
          <w:rFonts w:ascii="Times New Roman" w:hAnsi="Times New Roman"/>
          <w:color w:val="000000"/>
          <w:sz w:val="24"/>
          <w:szCs w:val="24"/>
          <w:highlight w:val="none"/>
        </w:rPr>
        <w:t>（4）</w:t>
      </w:r>
      <w:r>
        <w:rPr>
          <w:rFonts w:ascii="Times New Roman" w:hAnsi="Times New Roman"/>
          <w:color w:val="000000"/>
          <w:kern w:val="0"/>
          <w:sz w:val="24"/>
          <w:szCs w:val="24"/>
          <w:highlight w:val="none"/>
        </w:rPr>
        <w:t>违反法律、规章、规范性文件规定的。</w:t>
      </w:r>
    </w:p>
    <w:p>
      <w:pPr>
        <w:pStyle w:val="9"/>
        <w:adjustRightInd w:val="0"/>
        <w:snapToGrid w:val="0"/>
        <w:spacing w:line="360" w:lineRule="auto"/>
        <w:ind w:firstLine="480" w:firstLineChars="200"/>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31.1成交供应商应在《成交通知书》发出之日起30日内与采购人签订采购合同。由于成交供应商的原因逾期未与采购人签订采购合同的，将视为放弃成交，取消其成交资格，其磋商保证金不予退还；给采购人造成的损失超过保证金数额的，采购人将对其超过部分予以追偿。</w:t>
      </w:r>
    </w:p>
    <w:p>
      <w:pPr>
        <w:pStyle w:val="9"/>
        <w:adjustRightInd w:val="0"/>
        <w:snapToGrid w:val="0"/>
        <w:spacing w:line="360" w:lineRule="auto"/>
        <w:ind w:firstLine="480" w:firstLineChars="200"/>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31.2采购人与成交供应商洽谈合同条款及所签订的合同不得对磋商文件和成交供应商响应文件作实质性修改，磋商文件和成交供应商的响应文件均作为合同的组成部分。</w:t>
      </w:r>
    </w:p>
    <w:p>
      <w:pPr>
        <w:pStyle w:val="9"/>
        <w:adjustRightInd w:val="0"/>
        <w:snapToGrid w:val="0"/>
        <w:spacing w:line="360" w:lineRule="auto"/>
        <w:ind w:firstLine="480" w:firstLineChars="200"/>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31.3成交供应商因不可抗力原因不能履行采购合同或放弃成交的，采购人可以与排在成交供应商之后第一位的成交候选供应商签订采购合同，以此类推。</w:t>
      </w:r>
    </w:p>
    <w:p>
      <w:pPr>
        <w:pStyle w:val="9"/>
        <w:adjustRightInd w:val="0"/>
        <w:snapToGrid w:val="0"/>
        <w:spacing w:line="360" w:lineRule="auto"/>
        <w:ind w:firstLine="480" w:firstLineChars="200"/>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31.4 成交供应商有下列情形之一的，责令限期改正，情节严重的，列入不良行为记录名单，在1至3年内禁止参加政府采购活动，并予以通报：</w:t>
      </w:r>
    </w:p>
    <w:p>
      <w:pPr>
        <w:pStyle w:val="9"/>
        <w:adjustRightInd w:val="0"/>
        <w:snapToGrid w:val="0"/>
        <w:spacing w:line="360" w:lineRule="auto"/>
        <w:ind w:firstLine="480" w:firstLineChars="200"/>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（1）成交后无正当理由不与采购人签订合同的；</w:t>
      </w:r>
    </w:p>
    <w:p>
      <w:pPr>
        <w:pStyle w:val="9"/>
        <w:adjustRightInd w:val="0"/>
        <w:snapToGrid w:val="0"/>
        <w:spacing w:line="360" w:lineRule="auto"/>
        <w:ind w:firstLine="480" w:firstLineChars="200"/>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（2）未按照磋商文件确定的事项签订政府采购合同，或者与采购人另行订立背离合同实质性内容的协议的；</w:t>
      </w:r>
    </w:p>
    <w:p>
      <w:pPr>
        <w:pStyle w:val="9"/>
        <w:adjustRightInd w:val="0"/>
        <w:snapToGrid w:val="0"/>
        <w:spacing w:line="360" w:lineRule="auto"/>
        <w:ind w:firstLine="480" w:firstLineChars="200"/>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（3）拒绝履行合同义务的；</w:t>
      </w:r>
    </w:p>
    <w:p>
      <w:pPr>
        <w:pStyle w:val="9"/>
        <w:adjustRightInd w:val="0"/>
        <w:snapToGrid w:val="0"/>
        <w:spacing w:line="360" w:lineRule="auto"/>
        <w:ind w:firstLine="480" w:firstLineChars="200"/>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（4）违反法律、规章、规范性文件规定的。</w:t>
      </w:r>
    </w:p>
    <w:p>
      <w:pPr>
        <w:pStyle w:val="6"/>
        <w:keepLines/>
        <w:spacing w:line="360" w:lineRule="auto"/>
        <w:rPr>
          <w:b/>
          <w:bCs/>
          <w:color w:val="000000"/>
          <w:sz w:val="24"/>
          <w:szCs w:val="24"/>
          <w:highlight w:val="none"/>
          <w:u w:val="none"/>
        </w:rPr>
      </w:pPr>
      <w:bookmarkStart w:id="134" w:name="_Toc485883237"/>
      <w:bookmarkStart w:id="135" w:name="_Toc322606648"/>
      <w:r>
        <w:rPr>
          <w:b/>
          <w:bCs/>
          <w:color w:val="000000"/>
          <w:sz w:val="24"/>
          <w:szCs w:val="24"/>
          <w:highlight w:val="none"/>
          <w:u w:val="none"/>
        </w:rPr>
        <w:t>32.合同履行</w:t>
      </w:r>
      <w:bookmarkEnd w:id="134"/>
      <w:bookmarkEnd w:id="135"/>
    </w:p>
    <w:p>
      <w:pPr>
        <w:tabs>
          <w:tab w:val="left" w:pos="426"/>
        </w:tabs>
        <w:autoSpaceDE w:val="0"/>
        <w:autoSpaceDN w:val="0"/>
        <w:adjustRightInd w:val="0"/>
        <w:snapToGrid w:val="0"/>
        <w:spacing w:line="360" w:lineRule="auto"/>
        <w:ind w:firstLine="480" w:firstLineChars="200"/>
        <w:rPr>
          <w:b/>
          <w:bCs/>
          <w:color w:val="000000"/>
          <w:sz w:val="24"/>
          <w:highlight w:val="none"/>
        </w:rPr>
      </w:pPr>
      <w:r>
        <w:rPr>
          <w:color w:val="000000"/>
          <w:sz w:val="24"/>
          <w:highlight w:val="none"/>
        </w:rPr>
        <w:t>32.1</w:t>
      </w:r>
      <w:r>
        <w:rPr>
          <w:color w:val="000000"/>
          <w:sz w:val="24"/>
          <w:highlight w:val="none"/>
          <w:lang w:eastAsia="zh-TW"/>
        </w:rPr>
        <w:t>政府采购合同订立后，合同各方不得擅自变更、中止或者终止合同。政府采购合同需要变更的，采购人应将有关合同变更内容，以书面形式报政府采购监督管理</w:t>
      </w:r>
      <w:r>
        <w:rPr>
          <w:color w:val="000000"/>
          <w:sz w:val="24"/>
          <w:highlight w:val="none"/>
        </w:rPr>
        <w:t>部门</w:t>
      </w:r>
      <w:r>
        <w:rPr>
          <w:color w:val="000000"/>
          <w:sz w:val="24"/>
          <w:highlight w:val="none"/>
          <w:lang w:eastAsia="zh-TW"/>
        </w:rPr>
        <w:t>备案；因特殊情况需要中止或终止合同的，采购人应将中止或终止合同的理由以及相应措施，以书面形式报政府采购监督管理</w:t>
      </w:r>
      <w:r>
        <w:rPr>
          <w:color w:val="000000"/>
          <w:sz w:val="24"/>
          <w:highlight w:val="none"/>
        </w:rPr>
        <w:t>部门</w:t>
      </w:r>
      <w:r>
        <w:rPr>
          <w:color w:val="000000"/>
          <w:sz w:val="24"/>
          <w:highlight w:val="none"/>
          <w:lang w:eastAsia="zh-TW"/>
        </w:rPr>
        <w:t>备案。</w:t>
      </w:r>
    </w:p>
    <w:bookmarkEnd w:id="129"/>
    <w:bookmarkEnd w:id="130"/>
    <w:bookmarkEnd w:id="133"/>
    <w:p>
      <w:pPr>
        <w:spacing w:line="360" w:lineRule="auto"/>
        <w:rPr>
          <w:b/>
          <w:color w:val="000000"/>
          <w:sz w:val="30"/>
          <w:szCs w:val="30"/>
          <w:highlight w:val="none"/>
        </w:rPr>
      </w:pPr>
      <w:r>
        <w:rPr>
          <w:b/>
          <w:color w:val="000000"/>
          <w:sz w:val="30"/>
          <w:szCs w:val="30"/>
          <w:highlight w:val="none"/>
        </w:rPr>
        <w:t>八、终止磋商</w:t>
      </w:r>
    </w:p>
    <w:p>
      <w:pPr>
        <w:widowControl/>
        <w:spacing w:line="360" w:lineRule="auto"/>
        <w:ind w:firstLine="480" w:firstLineChars="200"/>
        <w:rPr>
          <w:snapToGrid w:val="0"/>
          <w:color w:val="000000"/>
          <w:kern w:val="0"/>
          <w:sz w:val="24"/>
          <w:highlight w:val="none"/>
        </w:rPr>
      </w:pPr>
      <w:r>
        <w:rPr>
          <w:bCs/>
          <w:color w:val="000000"/>
          <w:sz w:val="24"/>
          <w:highlight w:val="none"/>
        </w:rPr>
        <w:t>33.1</w:t>
      </w:r>
      <w:r>
        <w:rPr>
          <w:snapToGrid w:val="0"/>
          <w:color w:val="000000"/>
          <w:kern w:val="0"/>
          <w:sz w:val="24"/>
          <w:highlight w:val="none"/>
        </w:rPr>
        <w:t>出现下列情形之一的，采购人或者采购代理机构应当终止竞争性磋商采购活动，发布项目终止公告并说明原因，重新开展采购活动：</w:t>
      </w:r>
    </w:p>
    <w:p>
      <w:pPr>
        <w:widowControl/>
        <w:spacing w:line="360" w:lineRule="auto"/>
        <w:ind w:firstLine="480" w:firstLineChars="200"/>
        <w:rPr>
          <w:snapToGrid w:val="0"/>
          <w:color w:val="000000"/>
          <w:kern w:val="0"/>
          <w:sz w:val="24"/>
          <w:highlight w:val="none"/>
        </w:rPr>
      </w:pPr>
      <w:r>
        <w:rPr>
          <w:snapToGrid w:val="0"/>
          <w:color w:val="000000"/>
          <w:kern w:val="0"/>
          <w:sz w:val="24"/>
          <w:highlight w:val="none"/>
        </w:rPr>
        <w:t>（1）因情况变化，不再符合规定的竞争性磋商采购方式适用情形的；</w:t>
      </w:r>
    </w:p>
    <w:p>
      <w:pPr>
        <w:widowControl/>
        <w:spacing w:line="360" w:lineRule="auto"/>
        <w:ind w:firstLine="480" w:firstLineChars="200"/>
        <w:rPr>
          <w:snapToGrid w:val="0"/>
          <w:color w:val="000000"/>
          <w:kern w:val="0"/>
          <w:sz w:val="24"/>
          <w:highlight w:val="none"/>
        </w:rPr>
      </w:pPr>
      <w:r>
        <w:rPr>
          <w:snapToGrid w:val="0"/>
          <w:color w:val="000000"/>
          <w:kern w:val="0"/>
          <w:sz w:val="24"/>
          <w:highlight w:val="none"/>
        </w:rPr>
        <w:t>（2）出现影响采购公正的违法、违规行为的；</w:t>
      </w:r>
    </w:p>
    <w:p>
      <w:pPr>
        <w:widowControl/>
        <w:spacing w:line="360" w:lineRule="auto"/>
        <w:ind w:firstLine="480" w:firstLineChars="200"/>
        <w:rPr>
          <w:snapToGrid w:val="0"/>
          <w:color w:val="000000"/>
          <w:kern w:val="0"/>
          <w:sz w:val="24"/>
          <w:highlight w:val="none"/>
        </w:rPr>
      </w:pPr>
      <w:r>
        <w:rPr>
          <w:snapToGrid w:val="0"/>
          <w:color w:val="000000"/>
          <w:kern w:val="0"/>
          <w:sz w:val="24"/>
          <w:highlight w:val="none"/>
        </w:rPr>
        <w:t>（3）除《政府采购竞争性磋商采购方式管理暂行办法》办法第21条第3款规定的情形外，在采购过程中符合要求的供应商或者磋商报价未超过采购预算的供应商不足3家的。</w:t>
      </w:r>
    </w:p>
    <w:p>
      <w:pPr>
        <w:spacing w:line="360" w:lineRule="auto"/>
        <w:rPr>
          <w:b/>
          <w:color w:val="000000"/>
          <w:sz w:val="30"/>
          <w:szCs w:val="30"/>
          <w:highlight w:val="none"/>
        </w:rPr>
      </w:pPr>
      <w:r>
        <w:rPr>
          <w:b/>
          <w:color w:val="000000"/>
          <w:sz w:val="30"/>
          <w:szCs w:val="30"/>
          <w:highlight w:val="none"/>
        </w:rPr>
        <w:t>九、采购代理服务费/成交服务费</w:t>
      </w:r>
    </w:p>
    <w:p>
      <w:pPr>
        <w:pStyle w:val="6"/>
        <w:keepLines/>
        <w:spacing w:line="360" w:lineRule="auto"/>
        <w:rPr>
          <w:b/>
          <w:bCs/>
          <w:color w:val="000000"/>
          <w:sz w:val="24"/>
          <w:szCs w:val="24"/>
          <w:highlight w:val="none"/>
          <w:u w:val="none"/>
        </w:rPr>
      </w:pPr>
      <w:r>
        <w:rPr>
          <w:b/>
          <w:bCs/>
          <w:color w:val="000000"/>
          <w:sz w:val="24"/>
          <w:szCs w:val="24"/>
          <w:highlight w:val="none"/>
          <w:u w:val="none"/>
        </w:rPr>
        <w:t>34.采购代理服务费/成交服务费的数额及缴纳方式</w:t>
      </w:r>
    </w:p>
    <w:p>
      <w:pPr>
        <w:widowControl/>
        <w:spacing w:line="360" w:lineRule="auto"/>
        <w:ind w:firstLine="480" w:firstLineChars="200"/>
        <w:rPr>
          <w:rFonts w:hint="eastAsia"/>
          <w:bCs/>
          <w:color w:val="000000"/>
          <w:sz w:val="24"/>
          <w:szCs w:val="22"/>
          <w:highlight w:val="none"/>
        </w:rPr>
      </w:pPr>
      <w:r>
        <w:rPr>
          <w:bCs/>
          <w:color w:val="000000"/>
          <w:sz w:val="24"/>
          <w:szCs w:val="22"/>
          <w:highlight w:val="none"/>
        </w:rPr>
        <w:t>34.1</w:t>
      </w:r>
      <w:r>
        <w:rPr>
          <w:rFonts w:hint="eastAsia"/>
          <w:bCs/>
          <w:color w:val="000000"/>
          <w:sz w:val="24"/>
          <w:szCs w:val="22"/>
          <w:highlight w:val="none"/>
        </w:rPr>
        <w:t>确定成交人后3日内，由</w:t>
      </w:r>
      <w:r>
        <w:rPr>
          <w:rFonts w:hint="eastAsia"/>
          <w:bCs/>
          <w:color w:val="000000"/>
          <w:sz w:val="24"/>
          <w:szCs w:val="22"/>
          <w:highlight w:val="none"/>
          <w:lang w:val="en-US" w:eastAsia="zh-CN"/>
        </w:rPr>
        <w:t>成交</w:t>
      </w:r>
      <w:r>
        <w:rPr>
          <w:rFonts w:hint="eastAsia"/>
          <w:bCs/>
          <w:color w:val="000000"/>
          <w:sz w:val="24"/>
          <w:szCs w:val="22"/>
          <w:highlight w:val="none"/>
        </w:rPr>
        <w:t>人向采购代理机构一次性付清采购代理服务费。</w:t>
      </w:r>
    </w:p>
    <w:p>
      <w:pPr>
        <w:widowControl/>
        <w:spacing w:line="360" w:lineRule="auto"/>
        <w:ind w:firstLine="480" w:firstLineChars="200"/>
        <w:rPr>
          <w:bCs/>
          <w:color w:val="000000"/>
          <w:sz w:val="24"/>
          <w:szCs w:val="22"/>
          <w:highlight w:val="none"/>
        </w:rPr>
      </w:pPr>
      <w:r>
        <w:rPr>
          <w:bCs/>
          <w:color w:val="000000"/>
          <w:sz w:val="24"/>
          <w:szCs w:val="22"/>
          <w:highlight w:val="none"/>
        </w:rPr>
        <w:t>34.</w:t>
      </w:r>
      <w:r>
        <w:rPr>
          <w:rFonts w:hint="eastAsia"/>
          <w:bCs/>
          <w:color w:val="000000"/>
          <w:sz w:val="24"/>
          <w:szCs w:val="22"/>
          <w:highlight w:val="none"/>
        </w:rPr>
        <w:t>2</w:t>
      </w:r>
      <w:r>
        <w:rPr>
          <w:bCs/>
          <w:color w:val="000000"/>
          <w:sz w:val="24"/>
          <w:szCs w:val="22"/>
          <w:highlight w:val="none"/>
        </w:rPr>
        <w:t>采购代理服务费/成交服务费，可以采取现金、支票、银行汇票、电汇、网银等方式缴纳。不得用磋商保证金冲抵。</w:t>
      </w:r>
    </w:p>
    <w:p>
      <w:pPr>
        <w:widowControl/>
        <w:spacing w:line="360" w:lineRule="auto"/>
        <w:ind w:firstLine="480" w:firstLineChars="200"/>
        <w:rPr>
          <w:bCs/>
          <w:color w:val="000000"/>
          <w:sz w:val="24"/>
          <w:szCs w:val="22"/>
          <w:highlight w:val="none"/>
        </w:rPr>
      </w:pPr>
      <w:r>
        <w:rPr>
          <w:bCs/>
          <w:color w:val="000000"/>
          <w:sz w:val="24"/>
          <w:szCs w:val="22"/>
          <w:highlight w:val="none"/>
        </w:rPr>
        <w:t>34.</w:t>
      </w:r>
      <w:r>
        <w:rPr>
          <w:rFonts w:hint="eastAsia"/>
          <w:bCs/>
          <w:color w:val="000000"/>
          <w:sz w:val="24"/>
          <w:szCs w:val="22"/>
          <w:highlight w:val="none"/>
        </w:rPr>
        <w:t>3</w:t>
      </w:r>
      <w:r>
        <w:rPr>
          <w:bCs/>
          <w:color w:val="000000"/>
          <w:sz w:val="24"/>
          <w:szCs w:val="22"/>
          <w:highlight w:val="none"/>
        </w:rPr>
        <w:t>成交供应商未按本章33.1条款规定缴纳采购代理服务费/成交服务费的，其磋商保证金将被采购代理机构全额没收。</w:t>
      </w:r>
    </w:p>
    <w:p>
      <w:pPr>
        <w:spacing w:line="360" w:lineRule="auto"/>
        <w:rPr>
          <w:b/>
          <w:color w:val="000000"/>
          <w:sz w:val="30"/>
          <w:szCs w:val="30"/>
          <w:highlight w:val="none"/>
        </w:rPr>
      </w:pPr>
      <w:r>
        <w:rPr>
          <w:b/>
          <w:color w:val="000000"/>
          <w:sz w:val="30"/>
          <w:szCs w:val="30"/>
          <w:highlight w:val="none"/>
        </w:rPr>
        <w:t>十、质疑与投诉</w:t>
      </w:r>
    </w:p>
    <w:p>
      <w:pPr>
        <w:pStyle w:val="6"/>
        <w:keepLines/>
        <w:spacing w:line="360" w:lineRule="auto"/>
        <w:rPr>
          <w:b/>
          <w:bCs/>
          <w:color w:val="000000"/>
          <w:sz w:val="24"/>
          <w:szCs w:val="24"/>
          <w:highlight w:val="none"/>
          <w:u w:val="none"/>
        </w:rPr>
      </w:pPr>
      <w:r>
        <w:rPr>
          <w:b/>
          <w:bCs/>
          <w:color w:val="000000"/>
          <w:sz w:val="24"/>
          <w:szCs w:val="24"/>
          <w:highlight w:val="none"/>
          <w:u w:val="none"/>
        </w:rPr>
        <w:t>35.质疑</w:t>
      </w:r>
    </w:p>
    <w:p>
      <w:pPr>
        <w:spacing w:line="360" w:lineRule="auto"/>
        <w:ind w:firstLine="480" w:firstLineChars="200"/>
        <w:rPr>
          <w:color w:val="000000"/>
          <w:sz w:val="24"/>
          <w:highlight w:val="none"/>
        </w:rPr>
      </w:pPr>
      <w:r>
        <w:rPr>
          <w:color w:val="000000"/>
          <w:sz w:val="24"/>
          <w:highlight w:val="none"/>
        </w:rPr>
        <w:t>35.1供应商对本次磋商采购活动有疑问的，按照国家《中华人民共和国政府采购法》及其实施条例的规定办理。</w:t>
      </w:r>
    </w:p>
    <w:p>
      <w:pPr>
        <w:widowControl/>
        <w:spacing w:line="360" w:lineRule="auto"/>
        <w:ind w:firstLine="480" w:firstLineChars="200"/>
        <w:rPr>
          <w:color w:val="000000"/>
          <w:sz w:val="24"/>
          <w:highlight w:val="none"/>
        </w:rPr>
      </w:pPr>
      <w:r>
        <w:rPr>
          <w:color w:val="000000"/>
          <w:sz w:val="24"/>
          <w:highlight w:val="none"/>
        </w:rPr>
        <w:t>35.2供应商对采购文件、采购过程或中标结果使自身的合法权益受到损害，应当在法定期限内，以书面形式向采购代理机构或采购人提出质疑。</w:t>
      </w:r>
    </w:p>
    <w:p>
      <w:pPr>
        <w:widowControl/>
        <w:spacing w:line="360" w:lineRule="auto"/>
        <w:ind w:firstLine="480" w:firstLineChars="200"/>
        <w:rPr>
          <w:color w:val="000000"/>
          <w:sz w:val="24"/>
          <w:highlight w:val="none"/>
        </w:rPr>
      </w:pPr>
      <w:r>
        <w:rPr>
          <w:color w:val="000000"/>
          <w:sz w:val="24"/>
          <w:highlight w:val="none"/>
        </w:rPr>
        <w:t>（1）质疑书应当包括以下主要内容：被质疑项目名称、项目编号、标段、采购公告/中标公告发布时间、质疑事项、证据材料、法律依据（具体条款）、质疑人有效联系方式等。</w:t>
      </w:r>
    </w:p>
    <w:p>
      <w:pPr>
        <w:widowControl/>
        <w:spacing w:line="360" w:lineRule="auto"/>
        <w:ind w:firstLine="480" w:firstLineChars="200"/>
        <w:rPr>
          <w:color w:val="000000"/>
          <w:sz w:val="24"/>
          <w:highlight w:val="none"/>
        </w:rPr>
      </w:pPr>
      <w:r>
        <w:rPr>
          <w:color w:val="000000"/>
          <w:sz w:val="24"/>
          <w:highlight w:val="none"/>
        </w:rPr>
        <w:t>（2）质疑书应当由法定代表人签字并加盖公章，公章不得以合同章或其他印章代替。质疑人可以委托代理人办理质疑事项，代理人办理质疑事项时，除提交质疑书外，还应当提交质疑人的授权委托书及代理人的有效身份证明，授权委托书应当载明委托代理的具体权限和事项。</w:t>
      </w:r>
    </w:p>
    <w:p>
      <w:pPr>
        <w:widowControl/>
        <w:spacing w:line="360" w:lineRule="auto"/>
        <w:ind w:firstLine="480" w:firstLineChars="200"/>
        <w:rPr>
          <w:color w:val="000000"/>
          <w:sz w:val="24"/>
          <w:highlight w:val="none"/>
        </w:rPr>
      </w:pPr>
      <w:r>
        <w:rPr>
          <w:color w:val="000000"/>
          <w:sz w:val="24"/>
          <w:highlight w:val="none"/>
        </w:rPr>
        <w:t>35.3有下列情形之一的，属于无效质疑，采购代理机构和采购人不予受理：</w:t>
      </w:r>
    </w:p>
    <w:p>
      <w:pPr>
        <w:widowControl/>
        <w:spacing w:line="360" w:lineRule="auto"/>
        <w:ind w:firstLine="480" w:firstLineChars="200"/>
        <w:rPr>
          <w:color w:val="000000"/>
          <w:sz w:val="24"/>
          <w:highlight w:val="none"/>
        </w:rPr>
      </w:pPr>
      <w:r>
        <w:rPr>
          <w:color w:val="000000"/>
          <w:sz w:val="24"/>
          <w:highlight w:val="none"/>
        </w:rPr>
        <w:t>（1）质疑人不是参与本次政府采购项目的供应商；</w:t>
      </w:r>
    </w:p>
    <w:p>
      <w:pPr>
        <w:widowControl/>
        <w:spacing w:line="360" w:lineRule="auto"/>
        <w:ind w:firstLine="480" w:firstLineChars="200"/>
        <w:rPr>
          <w:color w:val="000000"/>
          <w:sz w:val="24"/>
          <w:highlight w:val="none"/>
        </w:rPr>
      </w:pPr>
      <w:r>
        <w:rPr>
          <w:color w:val="000000"/>
          <w:sz w:val="24"/>
          <w:highlight w:val="none"/>
        </w:rPr>
        <w:t>（2）质疑人与质疑事项不存在利害关系的；</w:t>
      </w:r>
    </w:p>
    <w:p>
      <w:pPr>
        <w:widowControl/>
        <w:spacing w:line="360" w:lineRule="auto"/>
        <w:ind w:firstLine="480" w:firstLineChars="200"/>
        <w:rPr>
          <w:color w:val="000000"/>
          <w:sz w:val="24"/>
          <w:highlight w:val="none"/>
        </w:rPr>
      </w:pPr>
      <w:r>
        <w:rPr>
          <w:color w:val="000000"/>
          <w:sz w:val="24"/>
          <w:highlight w:val="none"/>
        </w:rPr>
        <w:t>（3）未在法定期限内提出质疑的；</w:t>
      </w:r>
    </w:p>
    <w:p>
      <w:pPr>
        <w:widowControl/>
        <w:spacing w:line="360" w:lineRule="auto"/>
        <w:ind w:firstLine="480" w:firstLineChars="200"/>
        <w:rPr>
          <w:color w:val="000000"/>
          <w:sz w:val="24"/>
          <w:highlight w:val="none"/>
        </w:rPr>
      </w:pPr>
      <w:r>
        <w:rPr>
          <w:color w:val="000000"/>
          <w:sz w:val="24"/>
          <w:highlight w:val="none"/>
        </w:rPr>
        <w:t>（4）质疑未以书面形式提出，或质疑书主要内容构成不完整的；</w:t>
      </w:r>
    </w:p>
    <w:p>
      <w:pPr>
        <w:widowControl/>
        <w:spacing w:line="360" w:lineRule="auto"/>
        <w:ind w:firstLine="480" w:firstLineChars="200"/>
        <w:rPr>
          <w:color w:val="000000"/>
          <w:sz w:val="24"/>
          <w:highlight w:val="none"/>
        </w:rPr>
      </w:pPr>
      <w:r>
        <w:rPr>
          <w:color w:val="000000"/>
          <w:sz w:val="24"/>
          <w:highlight w:val="none"/>
        </w:rPr>
        <w:t>（5）质疑书没有合法有效的签字、盖章或授权的；</w:t>
      </w:r>
    </w:p>
    <w:p>
      <w:pPr>
        <w:widowControl/>
        <w:spacing w:line="360" w:lineRule="auto"/>
        <w:ind w:firstLine="480" w:firstLineChars="200"/>
        <w:rPr>
          <w:color w:val="000000"/>
          <w:sz w:val="24"/>
          <w:highlight w:val="none"/>
        </w:rPr>
      </w:pPr>
      <w:r>
        <w:rPr>
          <w:color w:val="000000"/>
          <w:sz w:val="24"/>
          <w:highlight w:val="none"/>
        </w:rPr>
        <w:t>（6）以非法手段取得证据、材料的；</w:t>
      </w:r>
    </w:p>
    <w:p>
      <w:pPr>
        <w:widowControl/>
        <w:spacing w:line="360" w:lineRule="auto"/>
        <w:ind w:firstLine="480" w:firstLineChars="200"/>
        <w:rPr>
          <w:color w:val="000000"/>
          <w:sz w:val="24"/>
          <w:highlight w:val="none"/>
        </w:rPr>
      </w:pPr>
      <w:r>
        <w:rPr>
          <w:color w:val="000000"/>
          <w:sz w:val="24"/>
          <w:highlight w:val="none"/>
        </w:rPr>
        <w:t>（7）质疑答复后，同一质疑人就同一事项再次提出质疑的；</w:t>
      </w:r>
    </w:p>
    <w:p>
      <w:pPr>
        <w:widowControl/>
        <w:spacing w:line="360" w:lineRule="auto"/>
        <w:ind w:firstLine="480" w:firstLineChars="200"/>
        <w:rPr>
          <w:color w:val="000000"/>
          <w:sz w:val="24"/>
          <w:highlight w:val="none"/>
        </w:rPr>
      </w:pPr>
      <w:r>
        <w:rPr>
          <w:color w:val="000000"/>
          <w:sz w:val="24"/>
          <w:highlight w:val="none"/>
        </w:rPr>
        <w:t>（8）不符合法律、法规、规章和政府采购监管机构规定的其他条件的。</w:t>
      </w:r>
    </w:p>
    <w:p>
      <w:pPr>
        <w:widowControl/>
        <w:spacing w:line="360" w:lineRule="auto"/>
        <w:ind w:firstLine="480" w:firstLineChars="200"/>
        <w:rPr>
          <w:color w:val="000000"/>
          <w:sz w:val="24"/>
          <w:highlight w:val="none"/>
        </w:rPr>
      </w:pPr>
      <w:r>
        <w:rPr>
          <w:color w:val="000000"/>
          <w:sz w:val="24"/>
          <w:highlight w:val="none"/>
        </w:rPr>
        <w:t>35.4采购代理机构或采购人将在收到书面质疑后7个工作日内做出答复，并以书面形式通知质疑人和其他有关磋商响应供应商。</w:t>
      </w:r>
    </w:p>
    <w:p>
      <w:pPr>
        <w:pStyle w:val="6"/>
        <w:keepLines/>
        <w:spacing w:line="360" w:lineRule="auto"/>
        <w:rPr>
          <w:b/>
          <w:bCs/>
          <w:color w:val="000000"/>
          <w:sz w:val="24"/>
          <w:szCs w:val="24"/>
          <w:highlight w:val="none"/>
          <w:u w:val="none"/>
        </w:rPr>
      </w:pPr>
      <w:r>
        <w:rPr>
          <w:b/>
          <w:bCs/>
          <w:color w:val="000000"/>
          <w:sz w:val="24"/>
          <w:szCs w:val="24"/>
          <w:highlight w:val="none"/>
          <w:u w:val="none"/>
        </w:rPr>
        <w:t>36.投诉</w:t>
      </w:r>
    </w:p>
    <w:p>
      <w:pPr>
        <w:spacing w:line="360" w:lineRule="auto"/>
        <w:ind w:firstLine="480" w:firstLineChars="200"/>
        <w:rPr>
          <w:color w:val="000000"/>
          <w:sz w:val="24"/>
          <w:highlight w:val="none"/>
        </w:rPr>
      </w:pPr>
      <w:r>
        <w:rPr>
          <w:color w:val="000000"/>
          <w:sz w:val="24"/>
          <w:highlight w:val="none"/>
        </w:rPr>
        <w:t>36.1参加磋商的供应商和其他厉害关系人认为本次磋商采购活动违反法律、法规和规章规定的，有权向有关行政监督机构投诉。</w:t>
      </w:r>
    </w:p>
    <w:p>
      <w:pPr>
        <w:widowControl/>
        <w:spacing w:line="360" w:lineRule="auto"/>
        <w:ind w:firstLine="480" w:firstLineChars="200"/>
        <w:rPr>
          <w:color w:val="000000"/>
          <w:sz w:val="24"/>
          <w:highlight w:val="none"/>
        </w:rPr>
      </w:pPr>
      <w:r>
        <w:rPr>
          <w:color w:val="000000"/>
          <w:sz w:val="24"/>
          <w:highlight w:val="none"/>
        </w:rPr>
        <w:t>36.2质疑人对采购代理机构或采购人的答复不满意，以及采购代理机构或采购人未在规定时间内做出答复的，可以在答复期满后15个工作日内向政府采购监管机构提出投诉。</w:t>
      </w:r>
    </w:p>
    <w:p>
      <w:pPr>
        <w:spacing w:line="360" w:lineRule="auto"/>
        <w:ind w:firstLine="480" w:firstLineChars="200"/>
        <w:jc w:val="left"/>
        <w:rPr>
          <w:color w:val="000000"/>
          <w:sz w:val="24"/>
          <w:highlight w:val="none"/>
        </w:rPr>
      </w:pPr>
      <w:r>
        <w:rPr>
          <w:color w:val="000000"/>
          <w:sz w:val="24"/>
          <w:highlight w:val="none"/>
        </w:rPr>
        <w:t>36.3磋商响应供应商投诉的事项不得超出已质疑事项的范围。</w:t>
      </w:r>
    </w:p>
    <w:p>
      <w:pPr>
        <w:spacing w:line="360" w:lineRule="auto"/>
        <w:ind w:firstLine="480" w:firstLineChars="200"/>
        <w:jc w:val="left"/>
        <w:rPr>
          <w:color w:val="000000"/>
          <w:sz w:val="24"/>
          <w:highlight w:val="none"/>
        </w:rPr>
      </w:pPr>
    </w:p>
    <w:p>
      <w:pPr>
        <w:spacing w:line="360" w:lineRule="auto"/>
        <w:rPr>
          <w:b/>
          <w:bCs/>
          <w:color w:val="000000"/>
          <w:sz w:val="24"/>
          <w:highlight w:val="none"/>
        </w:rPr>
      </w:pPr>
      <w:r>
        <w:rPr>
          <w:rFonts w:hint="eastAsia"/>
          <w:b/>
          <w:bCs/>
          <w:color w:val="000000"/>
          <w:sz w:val="24"/>
          <w:highlight w:val="none"/>
        </w:rPr>
        <w:t>附件1：</w:t>
      </w:r>
    </w:p>
    <w:p>
      <w:pPr>
        <w:spacing w:line="360" w:lineRule="auto"/>
        <w:jc w:val="center"/>
        <w:rPr>
          <w:b/>
          <w:bCs/>
          <w:color w:val="000000"/>
          <w:sz w:val="24"/>
          <w:highlight w:val="none"/>
        </w:rPr>
      </w:pPr>
      <w:r>
        <w:rPr>
          <w:rFonts w:hint="eastAsia"/>
          <w:b/>
          <w:bCs/>
          <w:color w:val="000000"/>
          <w:sz w:val="24"/>
          <w:highlight w:val="none"/>
        </w:rPr>
        <w:t>关于信用担保的说明</w:t>
      </w:r>
    </w:p>
    <w:p>
      <w:pPr>
        <w:numPr>
          <w:ilvl w:val="0"/>
          <w:numId w:val="2"/>
        </w:numPr>
        <w:spacing w:line="360" w:lineRule="auto"/>
        <w:ind w:firstLine="573"/>
        <w:rPr>
          <w:color w:val="000000"/>
          <w:sz w:val="24"/>
          <w:highlight w:val="none"/>
        </w:rPr>
      </w:pPr>
      <w:r>
        <w:rPr>
          <w:rFonts w:hint="eastAsia"/>
          <w:color w:val="000000"/>
          <w:sz w:val="24"/>
          <w:highlight w:val="none"/>
        </w:rPr>
        <w:t>投标供应商在投标、履约、融资等环节可自愿选择采取信用担保的形式。</w:t>
      </w:r>
    </w:p>
    <w:p>
      <w:pPr>
        <w:numPr>
          <w:ilvl w:val="0"/>
          <w:numId w:val="2"/>
        </w:numPr>
        <w:spacing w:line="360" w:lineRule="auto"/>
        <w:ind w:firstLine="573"/>
        <w:rPr>
          <w:color w:val="000000"/>
          <w:sz w:val="24"/>
          <w:highlight w:val="none"/>
        </w:rPr>
      </w:pPr>
      <w:r>
        <w:rPr>
          <w:rFonts w:hint="eastAsia"/>
          <w:color w:val="000000"/>
          <w:sz w:val="24"/>
          <w:highlight w:val="none"/>
        </w:rPr>
        <w:t>投标供应商可以自愿选择是否采取投标担保函的形式缴纳投标保证金，也可以自愿选择是否采取履约担保函的形式缴纳履约保证金。</w:t>
      </w:r>
    </w:p>
    <w:p>
      <w:pPr>
        <w:numPr>
          <w:ilvl w:val="0"/>
          <w:numId w:val="2"/>
        </w:numPr>
        <w:spacing w:line="360" w:lineRule="auto"/>
        <w:ind w:firstLine="573"/>
        <w:rPr>
          <w:color w:val="000000"/>
          <w:sz w:val="24"/>
          <w:highlight w:val="none"/>
        </w:rPr>
      </w:pPr>
      <w:r>
        <w:rPr>
          <w:rFonts w:hint="eastAsia"/>
          <w:color w:val="000000"/>
          <w:sz w:val="24"/>
          <w:highlight w:val="none"/>
        </w:rPr>
        <w:t>具体详见西安市财政局关于印发《西安市政府采购信用担保及信用融资工作实施方案（试行）》的通知（市财发【2014】167号）及西安市财政局关于贯彻落实《西安市政府采购信用担保及信用融资工作实施方案（试行）》有关事宜的通知（市财发【2015】4号），其他各县区参照当地相关文件执行。</w:t>
      </w:r>
    </w:p>
    <w:p>
      <w:pPr>
        <w:spacing w:line="360" w:lineRule="auto"/>
        <w:ind w:firstLine="480" w:firstLineChars="200"/>
        <w:rPr>
          <w:color w:val="000000"/>
          <w:sz w:val="24"/>
          <w:highlight w:val="none"/>
        </w:rPr>
      </w:pPr>
      <w:r>
        <w:rPr>
          <w:rFonts w:hint="eastAsia"/>
          <w:color w:val="000000"/>
          <w:sz w:val="24"/>
          <w:highlight w:val="none"/>
        </w:rPr>
        <w:t>联系方式如下：</w:t>
      </w:r>
    </w:p>
    <w:p>
      <w:pPr>
        <w:spacing w:line="480" w:lineRule="auto"/>
        <w:jc w:val="center"/>
        <w:rPr>
          <w:b/>
          <w:bCs/>
          <w:color w:val="000000"/>
          <w:sz w:val="24"/>
          <w:highlight w:val="none"/>
        </w:rPr>
      </w:pPr>
      <w:r>
        <w:rPr>
          <w:rFonts w:hint="eastAsia"/>
          <w:b/>
          <w:bCs/>
          <w:color w:val="000000"/>
          <w:sz w:val="24"/>
          <w:highlight w:val="none"/>
        </w:rPr>
        <w:t>西安市政府采购信用担保及信用融资合作机构联系名单</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1800"/>
        <w:gridCol w:w="1748"/>
        <w:gridCol w:w="1218"/>
        <w:gridCol w:w="1218"/>
        <w:gridCol w:w="2023"/>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b/>
                <w:bCs/>
                <w:color w:val="000000"/>
                <w:sz w:val="24"/>
                <w:highlight w:val="none"/>
              </w:rPr>
            </w:pPr>
            <w:r>
              <w:rPr>
                <w:rFonts w:hint="eastAsia"/>
                <w:b/>
                <w:bCs/>
                <w:color w:val="000000"/>
                <w:sz w:val="24"/>
                <w:highlight w:val="none"/>
              </w:rPr>
              <w:t>序号</w:t>
            </w:r>
          </w:p>
        </w:tc>
        <w:tc>
          <w:tcPr>
            <w:tcW w:w="1800" w:type="dxa"/>
            <w:vAlign w:val="center"/>
          </w:tcPr>
          <w:p>
            <w:pPr>
              <w:jc w:val="center"/>
              <w:rPr>
                <w:b/>
                <w:bCs/>
                <w:color w:val="000000"/>
                <w:sz w:val="24"/>
                <w:highlight w:val="none"/>
              </w:rPr>
            </w:pPr>
            <w:r>
              <w:rPr>
                <w:rFonts w:hint="eastAsia"/>
                <w:b/>
                <w:bCs/>
                <w:color w:val="000000"/>
                <w:sz w:val="24"/>
                <w:highlight w:val="none"/>
              </w:rPr>
              <w:t>合作单位名称</w:t>
            </w:r>
          </w:p>
        </w:tc>
        <w:tc>
          <w:tcPr>
            <w:tcW w:w="1748" w:type="dxa"/>
            <w:vAlign w:val="center"/>
          </w:tcPr>
          <w:p>
            <w:pPr>
              <w:jc w:val="center"/>
              <w:rPr>
                <w:b/>
                <w:bCs/>
                <w:color w:val="000000"/>
                <w:sz w:val="24"/>
                <w:highlight w:val="none"/>
              </w:rPr>
            </w:pPr>
            <w:r>
              <w:rPr>
                <w:rFonts w:hint="eastAsia"/>
                <w:b/>
                <w:bCs/>
                <w:color w:val="000000"/>
                <w:sz w:val="24"/>
                <w:highlight w:val="none"/>
              </w:rPr>
              <w:t>主办单位名称</w:t>
            </w:r>
          </w:p>
        </w:tc>
        <w:tc>
          <w:tcPr>
            <w:tcW w:w="1218" w:type="dxa"/>
            <w:vAlign w:val="center"/>
          </w:tcPr>
          <w:p>
            <w:pPr>
              <w:jc w:val="center"/>
              <w:rPr>
                <w:b/>
                <w:bCs/>
                <w:color w:val="000000"/>
                <w:sz w:val="24"/>
                <w:highlight w:val="none"/>
              </w:rPr>
            </w:pPr>
            <w:r>
              <w:rPr>
                <w:rFonts w:hint="eastAsia"/>
                <w:b/>
                <w:bCs/>
                <w:color w:val="000000"/>
                <w:sz w:val="24"/>
                <w:highlight w:val="none"/>
              </w:rPr>
              <w:t>联系部门</w:t>
            </w:r>
          </w:p>
        </w:tc>
        <w:tc>
          <w:tcPr>
            <w:tcW w:w="1218" w:type="dxa"/>
            <w:vAlign w:val="center"/>
          </w:tcPr>
          <w:p>
            <w:pPr>
              <w:jc w:val="center"/>
              <w:rPr>
                <w:b/>
                <w:bCs/>
                <w:color w:val="000000"/>
                <w:sz w:val="24"/>
                <w:highlight w:val="none"/>
              </w:rPr>
            </w:pPr>
            <w:r>
              <w:rPr>
                <w:rFonts w:hint="eastAsia"/>
                <w:b/>
                <w:bCs/>
                <w:color w:val="000000"/>
                <w:sz w:val="24"/>
                <w:highlight w:val="none"/>
              </w:rPr>
              <w:t>联系人员</w:t>
            </w:r>
          </w:p>
        </w:tc>
        <w:tc>
          <w:tcPr>
            <w:tcW w:w="2023" w:type="dxa"/>
            <w:vAlign w:val="center"/>
          </w:tcPr>
          <w:p>
            <w:pPr>
              <w:jc w:val="center"/>
              <w:rPr>
                <w:b/>
                <w:bCs/>
                <w:color w:val="000000"/>
                <w:sz w:val="24"/>
                <w:highlight w:val="none"/>
              </w:rPr>
            </w:pPr>
            <w:r>
              <w:rPr>
                <w:rFonts w:hint="eastAsia"/>
                <w:b/>
                <w:bCs/>
                <w:color w:val="000000"/>
                <w:sz w:val="24"/>
                <w:highlight w:val="none"/>
              </w:rPr>
              <w:t>联系电话</w:t>
            </w:r>
          </w:p>
        </w:tc>
        <w:tc>
          <w:tcPr>
            <w:tcW w:w="1200" w:type="dxa"/>
            <w:vAlign w:val="center"/>
          </w:tcPr>
          <w:p>
            <w:pPr>
              <w:jc w:val="center"/>
              <w:rPr>
                <w:b/>
                <w:bCs/>
                <w:color w:val="000000"/>
                <w:sz w:val="24"/>
                <w:highlight w:val="none"/>
              </w:rPr>
            </w:pPr>
            <w:r>
              <w:rPr>
                <w:rFonts w:hint="eastAsia"/>
                <w:b/>
                <w:bCs/>
                <w:color w:val="00000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1</w:t>
            </w:r>
          </w:p>
        </w:tc>
        <w:tc>
          <w:tcPr>
            <w:tcW w:w="1800" w:type="dxa"/>
            <w:vAlign w:val="center"/>
          </w:tcPr>
          <w:p>
            <w:pPr>
              <w:jc w:val="center"/>
              <w:rPr>
                <w:color w:val="000000"/>
                <w:sz w:val="24"/>
                <w:highlight w:val="none"/>
              </w:rPr>
            </w:pPr>
            <w:r>
              <w:rPr>
                <w:rFonts w:hint="eastAsia"/>
                <w:color w:val="000000"/>
                <w:sz w:val="24"/>
                <w:highlight w:val="none"/>
              </w:rPr>
              <w:t>西安投融资担保有限公司</w:t>
            </w:r>
          </w:p>
        </w:tc>
        <w:tc>
          <w:tcPr>
            <w:tcW w:w="1748" w:type="dxa"/>
            <w:vAlign w:val="center"/>
          </w:tcPr>
          <w:p>
            <w:pPr>
              <w:jc w:val="center"/>
              <w:rPr>
                <w:color w:val="000000"/>
                <w:sz w:val="24"/>
                <w:highlight w:val="none"/>
              </w:rPr>
            </w:pPr>
            <w:r>
              <w:rPr>
                <w:rFonts w:hint="eastAsia"/>
                <w:color w:val="000000"/>
                <w:sz w:val="24"/>
                <w:highlight w:val="none"/>
              </w:rPr>
              <w:t>西安投融资担保有限公司</w:t>
            </w:r>
          </w:p>
        </w:tc>
        <w:tc>
          <w:tcPr>
            <w:tcW w:w="1218" w:type="dxa"/>
            <w:vAlign w:val="center"/>
          </w:tcPr>
          <w:p>
            <w:pPr>
              <w:jc w:val="center"/>
              <w:rPr>
                <w:color w:val="000000"/>
                <w:sz w:val="24"/>
                <w:highlight w:val="none"/>
              </w:rPr>
            </w:pPr>
            <w:r>
              <w:rPr>
                <w:rFonts w:hint="eastAsia"/>
                <w:color w:val="000000"/>
                <w:sz w:val="24"/>
                <w:highlight w:val="none"/>
              </w:rPr>
              <w:t>业务五部</w:t>
            </w:r>
          </w:p>
        </w:tc>
        <w:tc>
          <w:tcPr>
            <w:tcW w:w="1218" w:type="dxa"/>
            <w:vAlign w:val="center"/>
          </w:tcPr>
          <w:p>
            <w:pPr>
              <w:jc w:val="center"/>
              <w:rPr>
                <w:color w:val="000000"/>
                <w:sz w:val="24"/>
                <w:highlight w:val="none"/>
              </w:rPr>
            </w:pPr>
            <w:r>
              <w:rPr>
                <w:rFonts w:hint="eastAsia"/>
                <w:color w:val="000000"/>
                <w:sz w:val="24"/>
                <w:highlight w:val="none"/>
              </w:rPr>
              <w:t>李晓</w:t>
            </w:r>
          </w:p>
          <w:p>
            <w:pPr>
              <w:jc w:val="center"/>
              <w:rPr>
                <w:color w:val="000000"/>
                <w:sz w:val="24"/>
                <w:highlight w:val="none"/>
              </w:rPr>
            </w:pPr>
            <w:r>
              <w:rPr>
                <w:rFonts w:hint="eastAsia"/>
                <w:color w:val="000000"/>
                <w:sz w:val="24"/>
                <w:highlight w:val="none"/>
              </w:rPr>
              <w:t>何彦君</w:t>
            </w:r>
          </w:p>
          <w:p>
            <w:pPr>
              <w:jc w:val="center"/>
              <w:rPr>
                <w:color w:val="000000"/>
                <w:sz w:val="24"/>
                <w:highlight w:val="none"/>
              </w:rPr>
            </w:pPr>
            <w:r>
              <w:rPr>
                <w:rFonts w:hint="eastAsia"/>
                <w:color w:val="000000"/>
                <w:sz w:val="24"/>
                <w:highlight w:val="none"/>
              </w:rPr>
              <w:t>张华</w:t>
            </w:r>
          </w:p>
        </w:tc>
        <w:tc>
          <w:tcPr>
            <w:tcW w:w="2023" w:type="dxa"/>
            <w:vAlign w:val="center"/>
          </w:tcPr>
          <w:p>
            <w:pPr>
              <w:jc w:val="center"/>
              <w:rPr>
                <w:color w:val="000000"/>
                <w:sz w:val="24"/>
                <w:highlight w:val="none"/>
              </w:rPr>
            </w:pPr>
            <w:r>
              <w:rPr>
                <w:rFonts w:hint="eastAsia"/>
                <w:color w:val="000000"/>
                <w:sz w:val="24"/>
                <w:highlight w:val="none"/>
              </w:rPr>
              <w:t>88499422</w:t>
            </w:r>
          </w:p>
          <w:p>
            <w:pPr>
              <w:jc w:val="center"/>
              <w:rPr>
                <w:color w:val="000000"/>
                <w:sz w:val="24"/>
                <w:highlight w:val="none"/>
              </w:rPr>
            </w:pPr>
            <w:r>
              <w:rPr>
                <w:rFonts w:hint="eastAsia"/>
                <w:color w:val="000000"/>
                <w:sz w:val="24"/>
                <w:highlight w:val="none"/>
              </w:rPr>
              <w:t>13572821281</w:t>
            </w:r>
          </w:p>
          <w:p>
            <w:pPr>
              <w:jc w:val="center"/>
              <w:rPr>
                <w:color w:val="000000"/>
                <w:sz w:val="24"/>
                <w:highlight w:val="none"/>
              </w:rPr>
            </w:pPr>
            <w:r>
              <w:rPr>
                <w:rFonts w:hint="eastAsia"/>
                <w:color w:val="000000"/>
                <w:sz w:val="24"/>
                <w:highlight w:val="none"/>
              </w:rPr>
              <w:t>13679255205</w:t>
            </w:r>
          </w:p>
          <w:p>
            <w:pPr>
              <w:jc w:val="center"/>
              <w:rPr>
                <w:color w:val="000000"/>
                <w:sz w:val="24"/>
                <w:highlight w:val="none"/>
              </w:rPr>
            </w:pPr>
            <w:r>
              <w:rPr>
                <w:rFonts w:hint="eastAsia"/>
                <w:color w:val="000000"/>
                <w:sz w:val="24"/>
                <w:highlight w:val="none"/>
              </w:rPr>
              <w:t>18220823060</w:t>
            </w:r>
          </w:p>
        </w:tc>
        <w:tc>
          <w:tcPr>
            <w:tcW w:w="1200" w:type="dxa"/>
            <w:vAlign w:val="center"/>
          </w:tcPr>
          <w:p>
            <w:pPr>
              <w:jc w:val="center"/>
              <w:rPr>
                <w:color w:val="000000"/>
                <w:sz w:val="24"/>
                <w:highlight w:val="none"/>
              </w:rPr>
            </w:pPr>
            <w:r>
              <w:rPr>
                <w:rFonts w:hint="eastAsia"/>
                <w:color w:val="000000"/>
                <w:sz w:val="24"/>
                <w:highlight w:val="none"/>
              </w:rPr>
              <w:t>信用担保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2</w:t>
            </w:r>
          </w:p>
        </w:tc>
        <w:tc>
          <w:tcPr>
            <w:tcW w:w="1800" w:type="dxa"/>
            <w:vAlign w:val="center"/>
          </w:tcPr>
          <w:p>
            <w:pPr>
              <w:jc w:val="center"/>
              <w:rPr>
                <w:color w:val="000000"/>
                <w:sz w:val="24"/>
                <w:highlight w:val="none"/>
              </w:rPr>
            </w:pPr>
            <w:r>
              <w:rPr>
                <w:rFonts w:hint="eastAsia"/>
                <w:color w:val="000000"/>
                <w:sz w:val="24"/>
                <w:highlight w:val="none"/>
              </w:rPr>
              <w:t>陕西省信用再担保有限责任公司</w:t>
            </w:r>
          </w:p>
        </w:tc>
        <w:tc>
          <w:tcPr>
            <w:tcW w:w="1748" w:type="dxa"/>
            <w:vAlign w:val="center"/>
          </w:tcPr>
          <w:p>
            <w:pPr>
              <w:jc w:val="center"/>
              <w:rPr>
                <w:color w:val="000000"/>
                <w:sz w:val="24"/>
                <w:highlight w:val="none"/>
              </w:rPr>
            </w:pPr>
            <w:r>
              <w:rPr>
                <w:rFonts w:hint="eastAsia"/>
                <w:color w:val="000000"/>
                <w:sz w:val="24"/>
                <w:highlight w:val="none"/>
              </w:rPr>
              <w:t>陕西省信用再担保有限责任公司</w:t>
            </w:r>
          </w:p>
        </w:tc>
        <w:tc>
          <w:tcPr>
            <w:tcW w:w="1218" w:type="dxa"/>
            <w:vAlign w:val="center"/>
          </w:tcPr>
          <w:p>
            <w:pPr>
              <w:jc w:val="center"/>
              <w:rPr>
                <w:color w:val="000000"/>
                <w:sz w:val="24"/>
                <w:highlight w:val="none"/>
              </w:rPr>
            </w:pPr>
            <w:r>
              <w:rPr>
                <w:rFonts w:hint="eastAsia"/>
                <w:color w:val="000000"/>
                <w:sz w:val="24"/>
                <w:highlight w:val="none"/>
              </w:rPr>
              <w:t>业务三部</w:t>
            </w:r>
          </w:p>
        </w:tc>
        <w:tc>
          <w:tcPr>
            <w:tcW w:w="1218" w:type="dxa"/>
            <w:vAlign w:val="center"/>
          </w:tcPr>
          <w:p>
            <w:pPr>
              <w:jc w:val="center"/>
              <w:rPr>
                <w:color w:val="000000"/>
                <w:sz w:val="24"/>
                <w:highlight w:val="none"/>
              </w:rPr>
            </w:pPr>
            <w:r>
              <w:rPr>
                <w:rFonts w:hint="eastAsia"/>
                <w:color w:val="000000"/>
                <w:sz w:val="24"/>
                <w:highlight w:val="none"/>
              </w:rPr>
              <w:t>夏靖颜</w:t>
            </w:r>
          </w:p>
          <w:p>
            <w:pPr>
              <w:jc w:val="center"/>
              <w:rPr>
                <w:color w:val="000000"/>
                <w:sz w:val="24"/>
                <w:highlight w:val="none"/>
              </w:rPr>
            </w:pPr>
            <w:r>
              <w:rPr>
                <w:rFonts w:hint="eastAsia"/>
                <w:color w:val="000000"/>
                <w:sz w:val="24"/>
                <w:highlight w:val="none"/>
              </w:rPr>
              <w:t>朱筠祥</w:t>
            </w:r>
          </w:p>
        </w:tc>
        <w:tc>
          <w:tcPr>
            <w:tcW w:w="2023" w:type="dxa"/>
            <w:vAlign w:val="center"/>
          </w:tcPr>
          <w:p>
            <w:pPr>
              <w:jc w:val="center"/>
              <w:rPr>
                <w:color w:val="000000"/>
                <w:sz w:val="24"/>
                <w:highlight w:val="none"/>
              </w:rPr>
            </w:pPr>
            <w:r>
              <w:rPr>
                <w:rFonts w:hint="eastAsia"/>
                <w:color w:val="000000"/>
                <w:sz w:val="24"/>
                <w:highlight w:val="none"/>
              </w:rPr>
              <w:t>88606038-6027</w:t>
            </w:r>
          </w:p>
          <w:p>
            <w:pPr>
              <w:jc w:val="center"/>
              <w:rPr>
                <w:color w:val="000000"/>
                <w:sz w:val="24"/>
                <w:highlight w:val="none"/>
              </w:rPr>
            </w:pPr>
            <w:r>
              <w:rPr>
                <w:rFonts w:hint="eastAsia"/>
                <w:color w:val="000000"/>
                <w:sz w:val="24"/>
                <w:highlight w:val="none"/>
              </w:rPr>
              <w:t>18591406320</w:t>
            </w:r>
          </w:p>
          <w:p>
            <w:pPr>
              <w:jc w:val="center"/>
              <w:rPr>
                <w:color w:val="000000"/>
                <w:sz w:val="24"/>
                <w:highlight w:val="none"/>
              </w:rPr>
            </w:pPr>
            <w:r>
              <w:rPr>
                <w:rFonts w:hint="eastAsia"/>
                <w:color w:val="000000"/>
                <w:sz w:val="24"/>
                <w:highlight w:val="none"/>
              </w:rPr>
              <w:t>18629282228</w:t>
            </w:r>
          </w:p>
        </w:tc>
        <w:tc>
          <w:tcPr>
            <w:tcW w:w="1200" w:type="dxa"/>
            <w:vAlign w:val="center"/>
          </w:tcPr>
          <w:p>
            <w:pPr>
              <w:jc w:val="center"/>
              <w:rPr>
                <w:color w:val="000000"/>
                <w:sz w:val="24"/>
                <w:highlight w:val="none"/>
              </w:rPr>
            </w:pPr>
            <w:r>
              <w:rPr>
                <w:rFonts w:hint="eastAsia"/>
                <w:color w:val="000000"/>
                <w:sz w:val="24"/>
                <w:highlight w:val="none"/>
              </w:rPr>
              <w:t>信用担保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3</w:t>
            </w:r>
          </w:p>
        </w:tc>
        <w:tc>
          <w:tcPr>
            <w:tcW w:w="1800" w:type="dxa"/>
            <w:vAlign w:val="center"/>
          </w:tcPr>
          <w:p>
            <w:pPr>
              <w:jc w:val="center"/>
              <w:rPr>
                <w:color w:val="000000"/>
                <w:sz w:val="24"/>
                <w:highlight w:val="none"/>
              </w:rPr>
            </w:pPr>
            <w:r>
              <w:rPr>
                <w:rFonts w:hint="eastAsia"/>
                <w:color w:val="000000"/>
                <w:sz w:val="24"/>
                <w:highlight w:val="none"/>
              </w:rPr>
              <w:t>中国银行股份有限公司</w:t>
            </w:r>
          </w:p>
          <w:p>
            <w:pPr>
              <w:jc w:val="center"/>
              <w:rPr>
                <w:color w:val="000000"/>
                <w:sz w:val="24"/>
                <w:highlight w:val="none"/>
              </w:rPr>
            </w:pPr>
            <w:r>
              <w:rPr>
                <w:rFonts w:hint="eastAsia"/>
                <w:color w:val="000000"/>
                <w:sz w:val="24"/>
                <w:highlight w:val="none"/>
              </w:rPr>
              <w:t>陕西省分行</w:t>
            </w:r>
          </w:p>
        </w:tc>
        <w:tc>
          <w:tcPr>
            <w:tcW w:w="1748" w:type="dxa"/>
            <w:vAlign w:val="center"/>
          </w:tcPr>
          <w:p>
            <w:pPr>
              <w:jc w:val="center"/>
              <w:rPr>
                <w:color w:val="000000"/>
                <w:sz w:val="24"/>
                <w:highlight w:val="none"/>
              </w:rPr>
            </w:pPr>
            <w:r>
              <w:rPr>
                <w:rFonts w:hint="eastAsia"/>
                <w:color w:val="000000"/>
                <w:sz w:val="24"/>
                <w:highlight w:val="none"/>
              </w:rPr>
              <w:t>中国银行西安二环世纪星支行</w:t>
            </w:r>
          </w:p>
        </w:tc>
        <w:tc>
          <w:tcPr>
            <w:tcW w:w="1218" w:type="dxa"/>
            <w:vAlign w:val="center"/>
          </w:tcPr>
          <w:p>
            <w:pPr>
              <w:jc w:val="center"/>
              <w:rPr>
                <w:color w:val="000000"/>
                <w:sz w:val="24"/>
                <w:highlight w:val="none"/>
              </w:rPr>
            </w:pPr>
            <w:r>
              <w:rPr>
                <w:rFonts w:hint="eastAsia"/>
                <w:color w:val="000000"/>
                <w:sz w:val="24"/>
                <w:highlight w:val="none"/>
              </w:rPr>
              <w:t>公司业务部</w:t>
            </w:r>
          </w:p>
        </w:tc>
        <w:tc>
          <w:tcPr>
            <w:tcW w:w="1218" w:type="dxa"/>
            <w:vAlign w:val="center"/>
          </w:tcPr>
          <w:p>
            <w:pPr>
              <w:jc w:val="center"/>
              <w:rPr>
                <w:color w:val="000000"/>
                <w:sz w:val="24"/>
                <w:highlight w:val="none"/>
              </w:rPr>
            </w:pPr>
            <w:r>
              <w:rPr>
                <w:rFonts w:hint="eastAsia"/>
                <w:color w:val="000000"/>
                <w:sz w:val="24"/>
                <w:highlight w:val="none"/>
              </w:rPr>
              <w:t>胡涛</w:t>
            </w:r>
          </w:p>
          <w:p>
            <w:pPr>
              <w:jc w:val="center"/>
              <w:rPr>
                <w:color w:val="000000"/>
                <w:sz w:val="24"/>
                <w:highlight w:val="none"/>
              </w:rPr>
            </w:pPr>
            <w:r>
              <w:rPr>
                <w:rFonts w:hint="eastAsia"/>
                <w:color w:val="000000"/>
                <w:sz w:val="24"/>
                <w:highlight w:val="none"/>
              </w:rPr>
              <w:t>叶楚沙</w:t>
            </w:r>
          </w:p>
        </w:tc>
        <w:tc>
          <w:tcPr>
            <w:tcW w:w="2023" w:type="dxa"/>
            <w:vAlign w:val="center"/>
          </w:tcPr>
          <w:p>
            <w:pPr>
              <w:jc w:val="center"/>
              <w:rPr>
                <w:color w:val="000000"/>
                <w:sz w:val="24"/>
                <w:highlight w:val="none"/>
              </w:rPr>
            </w:pPr>
            <w:r>
              <w:rPr>
                <w:rFonts w:hint="eastAsia"/>
                <w:color w:val="000000"/>
                <w:sz w:val="24"/>
                <w:highlight w:val="none"/>
              </w:rPr>
              <w:t>88360743</w:t>
            </w:r>
          </w:p>
          <w:p>
            <w:pPr>
              <w:jc w:val="center"/>
              <w:rPr>
                <w:color w:val="000000"/>
                <w:sz w:val="24"/>
                <w:highlight w:val="none"/>
              </w:rPr>
            </w:pPr>
            <w:r>
              <w:rPr>
                <w:rFonts w:hint="eastAsia"/>
                <w:color w:val="000000"/>
                <w:sz w:val="24"/>
                <w:highlight w:val="none"/>
              </w:rPr>
              <w:t>18629048822</w:t>
            </w:r>
          </w:p>
          <w:p>
            <w:pPr>
              <w:jc w:val="center"/>
              <w:rPr>
                <w:color w:val="000000"/>
                <w:sz w:val="24"/>
                <w:highlight w:val="none"/>
              </w:rPr>
            </w:pPr>
            <w:r>
              <w:rPr>
                <w:rFonts w:hint="eastAsia"/>
                <w:color w:val="000000"/>
                <w:sz w:val="24"/>
                <w:highlight w:val="none"/>
              </w:rPr>
              <w:t>88360749</w:t>
            </w:r>
          </w:p>
          <w:p>
            <w:pPr>
              <w:jc w:val="center"/>
              <w:rPr>
                <w:color w:val="000000"/>
                <w:sz w:val="24"/>
                <w:highlight w:val="none"/>
              </w:rPr>
            </w:pPr>
            <w:r>
              <w:rPr>
                <w:rFonts w:hint="eastAsia"/>
                <w:color w:val="000000"/>
                <w:sz w:val="24"/>
                <w:highlight w:val="none"/>
              </w:rPr>
              <w:t>13772153612</w:t>
            </w:r>
          </w:p>
        </w:tc>
        <w:tc>
          <w:tcPr>
            <w:tcW w:w="1200" w:type="dxa"/>
            <w:vAlign w:val="center"/>
          </w:tcPr>
          <w:p>
            <w:pPr>
              <w:jc w:val="center"/>
              <w:rPr>
                <w:color w:val="000000"/>
                <w:sz w:val="24"/>
                <w:highlight w:val="none"/>
              </w:rPr>
            </w:pPr>
            <w:r>
              <w:rPr>
                <w:rFonts w:hint="eastAsia"/>
                <w:color w:val="000000"/>
                <w:sz w:val="24"/>
                <w:highlight w:val="none"/>
              </w:rPr>
              <w:t>信用融资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4</w:t>
            </w:r>
          </w:p>
        </w:tc>
        <w:tc>
          <w:tcPr>
            <w:tcW w:w="1800" w:type="dxa"/>
            <w:vAlign w:val="center"/>
          </w:tcPr>
          <w:p>
            <w:pPr>
              <w:jc w:val="center"/>
              <w:rPr>
                <w:color w:val="000000"/>
                <w:sz w:val="24"/>
                <w:highlight w:val="none"/>
              </w:rPr>
            </w:pPr>
            <w:r>
              <w:rPr>
                <w:rFonts w:hint="eastAsia"/>
                <w:color w:val="000000"/>
                <w:sz w:val="24"/>
                <w:highlight w:val="none"/>
              </w:rPr>
              <w:t>中国建设银行股份有限公司陕西省分行</w:t>
            </w:r>
          </w:p>
        </w:tc>
        <w:tc>
          <w:tcPr>
            <w:tcW w:w="1748" w:type="dxa"/>
            <w:vAlign w:val="center"/>
          </w:tcPr>
          <w:p>
            <w:pPr>
              <w:jc w:val="center"/>
              <w:rPr>
                <w:color w:val="000000"/>
                <w:sz w:val="24"/>
                <w:highlight w:val="none"/>
              </w:rPr>
            </w:pPr>
            <w:r>
              <w:rPr>
                <w:rFonts w:hint="eastAsia"/>
                <w:color w:val="000000"/>
                <w:sz w:val="24"/>
                <w:highlight w:val="none"/>
              </w:rPr>
              <w:t>建设银行西安市南大街支行</w:t>
            </w:r>
          </w:p>
        </w:tc>
        <w:tc>
          <w:tcPr>
            <w:tcW w:w="1218" w:type="dxa"/>
            <w:vAlign w:val="center"/>
          </w:tcPr>
          <w:p>
            <w:pPr>
              <w:jc w:val="center"/>
              <w:rPr>
                <w:color w:val="000000"/>
                <w:sz w:val="24"/>
                <w:highlight w:val="none"/>
              </w:rPr>
            </w:pPr>
            <w:r>
              <w:rPr>
                <w:rFonts w:hint="eastAsia"/>
                <w:color w:val="000000"/>
                <w:sz w:val="24"/>
                <w:highlight w:val="none"/>
              </w:rPr>
              <w:t>公司部</w:t>
            </w:r>
          </w:p>
        </w:tc>
        <w:tc>
          <w:tcPr>
            <w:tcW w:w="1218" w:type="dxa"/>
            <w:vAlign w:val="center"/>
          </w:tcPr>
          <w:p>
            <w:pPr>
              <w:jc w:val="center"/>
              <w:rPr>
                <w:color w:val="000000"/>
                <w:sz w:val="24"/>
                <w:highlight w:val="none"/>
              </w:rPr>
            </w:pPr>
            <w:r>
              <w:rPr>
                <w:rFonts w:hint="eastAsia"/>
                <w:color w:val="000000"/>
                <w:sz w:val="24"/>
                <w:highlight w:val="none"/>
              </w:rPr>
              <w:t>杨向晖</w:t>
            </w:r>
          </w:p>
        </w:tc>
        <w:tc>
          <w:tcPr>
            <w:tcW w:w="2023" w:type="dxa"/>
            <w:vAlign w:val="center"/>
          </w:tcPr>
          <w:p>
            <w:pPr>
              <w:jc w:val="center"/>
              <w:rPr>
                <w:color w:val="000000"/>
                <w:sz w:val="24"/>
                <w:highlight w:val="none"/>
              </w:rPr>
            </w:pPr>
            <w:r>
              <w:rPr>
                <w:rFonts w:hint="eastAsia"/>
                <w:color w:val="000000"/>
                <w:sz w:val="24"/>
                <w:highlight w:val="none"/>
              </w:rPr>
              <w:t>87281468</w:t>
            </w:r>
          </w:p>
          <w:p>
            <w:pPr>
              <w:jc w:val="center"/>
              <w:rPr>
                <w:color w:val="000000"/>
                <w:sz w:val="24"/>
                <w:highlight w:val="none"/>
              </w:rPr>
            </w:pPr>
            <w:r>
              <w:rPr>
                <w:rFonts w:hint="eastAsia"/>
                <w:color w:val="000000"/>
                <w:sz w:val="24"/>
                <w:highlight w:val="none"/>
              </w:rPr>
              <w:t>13379229383</w:t>
            </w:r>
          </w:p>
        </w:tc>
        <w:tc>
          <w:tcPr>
            <w:tcW w:w="1200" w:type="dxa"/>
            <w:vAlign w:val="center"/>
          </w:tcPr>
          <w:p>
            <w:pPr>
              <w:jc w:val="center"/>
              <w:rPr>
                <w:color w:val="000000"/>
                <w:sz w:val="24"/>
                <w:highlight w:val="none"/>
              </w:rPr>
            </w:pPr>
            <w:r>
              <w:rPr>
                <w:rFonts w:hint="eastAsia"/>
                <w:color w:val="000000"/>
                <w:sz w:val="24"/>
                <w:highlight w:val="none"/>
              </w:rPr>
              <w:t>信用融资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5</w:t>
            </w:r>
          </w:p>
        </w:tc>
        <w:tc>
          <w:tcPr>
            <w:tcW w:w="1800" w:type="dxa"/>
            <w:vAlign w:val="center"/>
          </w:tcPr>
          <w:p>
            <w:pPr>
              <w:jc w:val="center"/>
              <w:rPr>
                <w:color w:val="000000"/>
                <w:sz w:val="24"/>
                <w:highlight w:val="none"/>
              </w:rPr>
            </w:pPr>
            <w:r>
              <w:rPr>
                <w:rFonts w:hint="eastAsia"/>
                <w:color w:val="000000"/>
                <w:sz w:val="24"/>
                <w:highlight w:val="none"/>
              </w:rPr>
              <w:t>中国工商银行股份有限公司陕西省分行营业部</w:t>
            </w:r>
          </w:p>
        </w:tc>
        <w:tc>
          <w:tcPr>
            <w:tcW w:w="1748" w:type="dxa"/>
            <w:vAlign w:val="center"/>
          </w:tcPr>
          <w:p>
            <w:pPr>
              <w:jc w:val="center"/>
              <w:rPr>
                <w:color w:val="000000"/>
                <w:sz w:val="24"/>
                <w:highlight w:val="none"/>
              </w:rPr>
            </w:pPr>
            <w:r>
              <w:rPr>
                <w:rFonts w:hint="eastAsia"/>
                <w:color w:val="000000"/>
                <w:sz w:val="24"/>
                <w:highlight w:val="none"/>
              </w:rPr>
              <w:t>工商银行陕西分行营业部</w:t>
            </w:r>
          </w:p>
        </w:tc>
        <w:tc>
          <w:tcPr>
            <w:tcW w:w="1218" w:type="dxa"/>
            <w:vAlign w:val="center"/>
          </w:tcPr>
          <w:p>
            <w:pPr>
              <w:jc w:val="center"/>
              <w:rPr>
                <w:color w:val="000000"/>
                <w:sz w:val="24"/>
                <w:highlight w:val="none"/>
              </w:rPr>
            </w:pPr>
            <w:r>
              <w:rPr>
                <w:rFonts w:hint="eastAsia"/>
                <w:color w:val="000000"/>
                <w:sz w:val="24"/>
                <w:highlight w:val="none"/>
              </w:rPr>
              <w:t>小企业金融业务部</w:t>
            </w:r>
          </w:p>
        </w:tc>
        <w:tc>
          <w:tcPr>
            <w:tcW w:w="1218" w:type="dxa"/>
            <w:vAlign w:val="center"/>
          </w:tcPr>
          <w:p>
            <w:pPr>
              <w:jc w:val="center"/>
              <w:rPr>
                <w:color w:val="000000"/>
                <w:sz w:val="24"/>
                <w:highlight w:val="none"/>
              </w:rPr>
            </w:pPr>
            <w:r>
              <w:rPr>
                <w:rFonts w:hint="eastAsia"/>
                <w:color w:val="000000"/>
                <w:sz w:val="24"/>
                <w:highlight w:val="none"/>
              </w:rPr>
              <w:t>牛国群</w:t>
            </w:r>
          </w:p>
          <w:p>
            <w:pPr>
              <w:jc w:val="center"/>
              <w:rPr>
                <w:color w:val="000000"/>
                <w:sz w:val="24"/>
                <w:highlight w:val="none"/>
              </w:rPr>
            </w:pPr>
            <w:r>
              <w:rPr>
                <w:rFonts w:hint="eastAsia"/>
                <w:color w:val="000000"/>
                <w:sz w:val="24"/>
                <w:highlight w:val="none"/>
              </w:rPr>
              <w:t>张航</w:t>
            </w:r>
          </w:p>
        </w:tc>
        <w:tc>
          <w:tcPr>
            <w:tcW w:w="2023" w:type="dxa"/>
            <w:vAlign w:val="center"/>
          </w:tcPr>
          <w:p>
            <w:pPr>
              <w:jc w:val="center"/>
              <w:rPr>
                <w:color w:val="000000"/>
                <w:sz w:val="24"/>
                <w:highlight w:val="none"/>
              </w:rPr>
            </w:pPr>
            <w:r>
              <w:rPr>
                <w:rFonts w:hint="eastAsia"/>
                <w:color w:val="000000"/>
                <w:sz w:val="24"/>
                <w:highlight w:val="none"/>
              </w:rPr>
              <w:t>87609569</w:t>
            </w:r>
          </w:p>
          <w:p>
            <w:pPr>
              <w:jc w:val="center"/>
              <w:rPr>
                <w:color w:val="000000"/>
                <w:sz w:val="24"/>
                <w:highlight w:val="none"/>
              </w:rPr>
            </w:pPr>
            <w:r>
              <w:rPr>
                <w:rFonts w:hint="eastAsia"/>
                <w:color w:val="000000"/>
                <w:sz w:val="24"/>
                <w:highlight w:val="none"/>
              </w:rPr>
              <w:t>18992851811</w:t>
            </w:r>
          </w:p>
          <w:p>
            <w:pPr>
              <w:jc w:val="center"/>
              <w:rPr>
                <w:color w:val="000000"/>
                <w:sz w:val="24"/>
                <w:highlight w:val="none"/>
              </w:rPr>
            </w:pPr>
            <w:r>
              <w:rPr>
                <w:rFonts w:hint="eastAsia"/>
                <w:color w:val="000000"/>
                <w:sz w:val="24"/>
                <w:highlight w:val="none"/>
              </w:rPr>
              <w:t>87609761</w:t>
            </w:r>
          </w:p>
          <w:p>
            <w:pPr>
              <w:jc w:val="center"/>
              <w:rPr>
                <w:color w:val="000000"/>
                <w:sz w:val="24"/>
                <w:highlight w:val="none"/>
              </w:rPr>
            </w:pPr>
            <w:r>
              <w:rPr>
                <w:rFonts w:hint="eastAsia"/>
                <w:color w:val="000000"/>
                <w:sz w:val="24"/>
                <w:highlight w:val="none"/>
              </w:rPr>
              <w:t>13891883334</w:t>
            </w:r>
          </w:p>
        </w:tc>
        <w:tc>
          <w:tcPr>
            <w:tcW w:w="1200" w:type="dxa"/>
            <w:vAlign w:val="center"/>
          </w:tcPr>
          <w:p>
            <w:pPr>
              <w:jc w:val="center"/>
              <w:rPr>
                <w:color w:val="000000"/>
                <w:sz w:val="24"/>
                <w:highlight w:val="none"/>
              </w:rPr>
            </w:pPr>
            <w:r>
              <w:rPr>
                <w:rFonts w:hint="eastAsia"/>
                <w:color w:val="000000"/>
                <w:sz w:val="24"/>
                <w:highlight w:val="none"/>
              </w:rPr>
              <w:t>信用融资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6</w:t>
            </w:r>
          </w:p>
        </w:tc>
        <w:tc>
          <w:tcPr>
            <w:tcW w:w="1800" w:type="dxa"/>
            <w:vAlign w:val="center"/>
          </w:tcPr>
          <w:p>
            <w:pPr>
              <w:jc w:val="center"/>
              <w:rPr>
                <w:color w:val="000000"/>
                <w:sz w:val="24"/>
                <w:highlight w:val="none"/>
              </w:rPr>
            </w:pPr>
            <w:r>
              <w:rPr>
                <w:rFonts w:hint="eastAsia"/>
                <w:color w:val="000000"/>
                <w:sz w:val="24"/>
                <w:highlight w:val="none"/>
              </w:rPr>
              <w:t>中国农业银行股份有限公司陕西省分行营业部</w:t>
            </w:r>
          </w:p>
        </w:tc>
        <w:tc>
          <w:tcPr>
            <w:tcW w:w="1748" w:type="dxa"/>
            <w:vAlign w:val="center"/>
          </w:tcPr>
          <w:p>
            <w:pPr>
              <w:jc w:val="center"/>
              <w:rPr>
                <w:color w:val="000000"/>
                <w:sz w:val="24"/>
                <w:highlight w:val="none"/>
              </w:rPr>
            </w:pPr>
            <w:r>
              <w:rPr>
                <w:rFonts w:hint="eastAsia"/>
                <w:color w:val="000000"/>
                <w:sz w:val="24"/>
                <w:highlight w:val="none"/>
              </w:rPr>
              <w:t>农业银行西安西大街支行</w:t>
            </w:r>
          </w:p>
        </w:tc>
        <w:tc>
          <w:tcPr>
            <w:tcW w:w="1218" w:type="dxa"/>
            <w:vAlign w:val="center"/>
          </w:tcPr>
          <w:p>
            <w:pPr>
              <w:jc w:val="center"/>
              <w:rPr>
                <w:color w:val="000000"/>
                <w:sz w:val="24"/>
                <w:highlight w:val="none"/>
              </w:rPr>
            </w:pPr>
            <w:r>
              <w:rPr>
                <w:rFonts w:hint="eastAsia"/>
                <w:color w:val="000000"/>
                <w:sz w:val="24"/>
                <w:highlight w:val="none"/>
              </w:rPr>
              <w:t>公司业务部</w:t>
            </w:r>
          </w:p>
        </w:tc>
        <w:tc>
          <w:tcPr>
            <w:tcW w:w="1218" w:type="dxa"/>
            <w:vAlign w:val="center"/>
          </w:tcPr>
          <w:p>
            <w:pPr>
              <w:jc w:val="center"/>
              <w:rPr>
                <w:color w:val="000000"/>
                <w:sz w:val="24"/>
                <w:highlight w:val="none"/>
              </w:rPr>
            </w:pPr>
            <w:r>
              <w:rPr>
                <w:rFonts w:hint="eastAsia"/>
                <w:color w:val="000000"/>
                <w:sz w:val="24"/>
                <w:highlight w:val="none"/>
              </w:rPr>
              <w:t>贾珊</w:t>
            </w:r>
          </w:p>
          <w:p>
            <w:pPr>
              <w:jc w:val="center"/>
              <w:rPr>
                <w:color w:val="000000"/>
                <w:sz w:val="24"/>
                <w:highlight w:val="none"/>
              </w:rPr>
            </w:pPr>
            <w:r>
              <w:rPr>
                <w:rFonts w:hint="eastAsia"/>
                <w:color w:val="000000"/>
                <w:sz w:val="24"/>
                <w:highlight w:val="none"/>
              </w:rPr>
              <w:t>高雅</w:t>
            </w:r>
          </w:p>
        </w:tc>
        <w:tc>
          <w:tcPr>
            <w:tcW w:w="2023" w:type="dxa"/>
            <w:vAlign w:val="center"/>
          </w:tcPr>
          <w:p>
            <w:pPr>
              <w:jc w:val="center"/>
              <w:rPr>
                <w:color w:val="000000"/>
                <w:sz w:val="24"/>
                <w:highlight w:val="none"/>
              </w:rPr>
            </w:pPr>
            <w:r>
              <w:rPr>
                <w:rFonts w:hint="eastAsia"/>
                <w:color w:val="000000"/>
                <w:sz w:val="24"/>
                <w:highlight w:val="none"/>
              </w:rPr>
              <w:t>87617245</w:t>
            </w:r>
          </w:p>
          <w:p>
            <w:pPr>
              <w:jc w:val="center"/>
              <w:rPr>
                <w:color w:val="000000"/>
                <w:sz w:val="24"/>
                <w:highlight w:val="none"/>
              </w:rPr>
            </w:pPr>
            <w:r>
              <w:rPr>
                <w:rFonts w:hint="eastAsia"/>
                <w:color w:val="000000"/>
                <w:sz w:val="24"/>
                <w:highlight w:val="none"/>
              </w:rPr>
              <w:t>13891957123</w:t>
            </w:r>
          </w:p>
          <w:p>
            <w:pPr>
              <w:jc w:val="center"/>
              <w:rPr>
                <w:color w:val="000000"/>
                <w:sz w:val="24"/>
                <w:highlight w:val="none"/>
              </w:rPr>
            </w:pPr>
            <w:r>
              <w:rPr>
                <w:rFonts w:hint="eastAsia"/>
                <w:color w:val="000000"/>
                <w:sz w:val="24"/>
                <w:highlight w:val="none"/>
              </w:rPr>
              <w:t>87913444</w:t>
            </w:r>
          </w:p>
          <w:p>
            <w:pPr>
              <w:jc w:val="center"/>
              <w:rPr>
                <w:color w:val="000000"/>
                <w:sz w:val="24"/>
                <w:highlight w:val="none"/>
              </w:rPr>
            </w:pPr>
            <w:r>
              <w:rPr>
                <w:rFonts w:hint="eastAsia"/>
                <w:color w:val="000000"/>
                <w:sz w:val="24"/>
                <w:highlight w:val="none"/>
              </w:rPr>
              <w:t>13659192425</w:t>
            </w:r>
          </w:p>
        </w:tc>
        <w:tc>
          <w:tcPr>
            <w:tcW w:w="1200" w:type="dxa"/>
            <w:vAlign w:val="center"/>
          </w:tcPr>
          <w:p>
            <w:pPr>
              <w:jc w:val="center"/>
              <w:rPr>
                <w:color w:val="000000"/>
                <w:sz w:val="24"/>
                <w:highlight w:val="none"/>
              </w:rPr>
            </w:pPr>
            <w:r>
              <w:rPr>
                <w:rFonts w:hint="eastAsia"/>
                <w:color w:val="000000"/>
                <w:sz w:val="24"/>
                <w:highlight w:val="none"/>
              </w:rPr>
              <w:t>信用融资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7</w:t>
            </w:r>
          </w:p>
        </w:tc>
        <w:tc>
          <w:tcPr>
            <w:tcW w:w="1800" w:type="dxa"/>
            <w:vAlign w:val="center"/>
          </w:tcPr>
          <w:p>
            <w:pPr>
              <w:jc w:val="center"/>
              <w:rPr>
                <w:color w:val="000000"/>
                <w:sz w:val="24"/>
                <w:highlight w:val="none"/>
              </w:rPr>
            </w:pPr>
            <w:r>
              <w:rPr>
                <w:rFonts w:hint="eastAsia"/>
                <w:color w:val="000000"/>
                <w:sz w:val="24"/>
                <w:highlight w:val="none"/>
              </w:rPr>
              <w:t>交通银行股份有限公司陕西省分行</w:t>
            </w:r>
          </w:p>
        </w:tc>
        <w:tc>
          <w:tcPr>
            <w:tcW w:w="1748" w:type="dxa"/>
            <w:vAlign w:val="center"/>
          </w:tcPr>
          <w:p>
            <w:pPr>
              <w:jc w:val="center"/>
              <w:rPr>
                <w:color w:val="000000"/>
                <w:sz w:val="24"/>
                <w:highlight w:val="none"/>
              </w:rPr>
            </w:pPr>
            <w:r>
              <w:rPr>
                <w:rFonts w:hint="eastAsia"/>
                <w:color w:val="000000"/>
                <w:sz w:val="24"/>
                <w:highlight w:val="none"/>
              </w:rPr>
              <w:t>交通银行西安西五路支行</w:t>
            </w:r>
          </w:p>
        </w:tc>
        <w:tc>
          <w:tcPr>
            <w:tcW w:w="1218" w:type="dxa"/>
            <w:vAlign w:val="center"/>
          </w:tcPr>
          <w:p>
            <w:pPr>
              <w:jc w:val="center"/>
              <w:rPr>
                <w:color w:val="000000"/>
                <w:sz w:val="24"/>
                <w:highlight w:val="none"/>
              </w:rPr>
            </w:pPr>
            <w:r>
              <w:rPr>
                <w:rFonts w:hint="eastAsia"/>
                <w:color w:val="000000"/>
                <w:sz w:val="24"/>
                <w:highlight w:val="none"/>
              </w:rPr>
              <w:t>个人贷款中心</w:t>
            </w:r>
          </w:p>
        </w:tc>
        <w:tc>
          <w:tcPr>
            <w:tcW w:w="1218" w:type="dxa"/>
            <w:vAlign w:val="center"/>
          </w:tcPr>
          <w:p>
            <w:pPr>
              <w:jc w:val="center"/>
              <w:rPr>
                <w:color w:val="000000"/>
                <w:sz w:val="24"/>
                <w:highlight w:val="none"/>
              </w:rPr>
            </w:pPr>
            <w:r>
              <w:rPr>
                <w:rFonts w:hint="eastAsia"/>
                <w:color w:val="000000"/>
                <w:sz w:val="24"/>
                <w:highlight w:val="none"/>
              </w:rPr>
              <w:t>李卫公</w:t>
            </w:r>
          </w:p>
          <w:p>
            <w:pPr>
              <w:jc w:val="center"/>
              <w:rPr>
                <w:color w:val="000000"/>
                <w:sz w:val="24"/>
                <w:highlight w:val="none"/>
              </w:rPr>
            </w:pPr>
            <w:r>
              <w:rPr>
                <w:rFonts w:hint="eastAsia"/>
                <w:color w:val="000000"/>
                <w:sz w:val="24"/>
                <w:highlight w:val="none"/>
              </w:rPr>
              <w:t>雷强</w:t>
            </w:r>
          </w:p>
        </w:tc>
        <w:tc>
          <w:tcPr>
            <w:tcW w:w="2023" w:type="dxa"/>
            <w:vAlign w:val="center"/>
          </w:tcPr>
          <w:p>
            <w:pPr>
              <w:jc w:val="center"/>
              <w:rPr>
                <w:color w:val="000000"/>
                <w:sz w:val="24"/>
                <w:highlight w:val="none"/>
              </w:rPr>
            </w:pPr>
            <w:r>
              <w:rPr>
                <w:rFonts w:hint="eastAsia"/>
                <w:color w:val="000000"/>
                <w:sz w:val="24"/>
                <w:highlight w:val="none"/>
              </w:rPr>
              <w:t>87297632</w:t>
            </w:r>
          </w:p>
          <w:p>
            <w:pPr>
              <w:jc w:val="center"/>
              <w:rPr>
                <w:color w:val="000000"/>
                <w:sz w:val="24"/>
                <w:highlight w:val="none"/>
              </w:rPr>
            </w:pPr>
            <w:r>
              <w:rPr>
                <w:rFonts w:hint="eastAsia"/>
                <w:color w:val="000000"/>
                <w:sz w:val="24"/>
                <w:highlight w:val="none"/>
              </w:rPr>
              <w:t>13991290525</w:t>
            </w:r>
          </w:p>
          <w:p>
            <w:pPr>
              <w:jc w:val="center"/>
              <w:rPr>
                <w:color w:val="000000"/>
                <w:sz w:val="24"/>
                <w:highlight w:val="none"/>
              </w:rPr>
            </w:pPr>
            <w:r>
              <w:rPr>
                <w:rFonts w:hint="eastAsia"/>
                <w:color w:val="000000"/>
                <w:sz w:val="24"/>
                <w:highlight w:val="none"/>
              </w:rPr>
              <w:t>87272444</w:t>
            </w:r>
          </w:p>
          <w:p>
            <w:pPr>
              <w:jc w:val="center"/>
              <w:rPr>
                <w:color w:val="000000"/>
                <w:sz w:val="24"/>
                <w:highlight w:val="none"/>
              </w:rPr>
            </w:pPr>
            <w:r>
              <w:rPr>
                <w:rFonts w:hint="eastAsia"/>
                <w:color w:val="000000"/>
                <w:sz w:val="24"/>
                <w:highlight w:val="none"/>
              </w:rPr>
              <w:t>18629362690</w:t>
            </w:r>
          </w:p>
        </w:tc>
        <w:tc>
          <w:tcPr>
            <w:tcW w:w="1200" w:type="dxa"/>
            <w:vAlign w:val="center"/>
          </w:tcPr>
          <w:p>
            <w:pPr>
              <w:jc w:val="center"/>
              <w:rPr>
                <w:color w:val="000000"/>
                <w:sz w:val="24"/>
                <w:highlight w:val="none"/>
              </w:rPr>
            </w:pPr>
            <w:r>
              <w:rPr>
                <w:rFonts w:hint="eastAsia"/>
                <w:color w:val="000000"/>
                <w:sz w:val="24"/>
                <w:highlight w:val="none"/>
              </w:rPr>
              <w:t>信用融资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8</w:t>
            </w:r>
          </w:p>
        </w:tc>
        <w:tc>
          <w:tcPr>
            <w:tcW w:w="1800" w:type="dxa"/>
            <w:vAlign w:val="center"/>
          </w:tcPr>
          <w:p>
            <w:pPr>
              <w:jc w:val="center"/>
              <w:rPr>
                <w:color w:val="000000"/>
                <w:sz w:val="24"/>
                <w:highlight w:val="none"/>
              </w:rPr>
            </w:pPr>
            <w:r>
              <w:rPr>
                <w:rFonts w:hint="eastAsia"/>
                <w:color w:val="000000"/>
                <w:sz w:val="24"/>
                <w:highlight w:val="none"/>
              </w:rPr>
              <w:t>招商银行股份有限公西安分行</w:t>
            </w:r>
          </w:p>
        </w:tc>
        <w:tc>
          <w:tcPr>
            <w:tcW w:w="1748" w:type="dxa"/>
            <w:vAlign w:val="center"/>
          </w:tcPr>
          <w:p>
            <w:pPr>
              <w:jc w:val="center"/>
              <w:rPr>
                <w:color w:val="000000"/>
                <w:sz w:val="24"/>
                <w:highlight w:val="none"/>
              </w:rPr>
            </w:pPr>
            <w:r>
              <w:rPr>
                <w:rFonts w:hint="eastAsia"/>
                <w:color w:val="000000"/>
                <w:sz w:val="24"/>
                <w:highlight w:val="none"/>
              </w:rPr>
              <w:t>招商银行西安未央路支行</w:t>
            </w:r>
          </w:p>
        </w:tc>
        <w:tc>
          <w:tcPr>
            <w:tcW w:w="1218" w:type="dxa"/>
            <w:vAlign w:val="center"/>
          </w:tcPr>
          <w:p>
            <w:pPr>
              <w:jc w:val="center"/>
              <w:rPr>
                <w:color w:val="000000"/>
                <w:sz w:val="24"/>
                <w:highlight w:val="none"/>
              </w:rPr>
            </w:pPr>
            <w:r>
              <w:rPr>
                <w:rFonts w:hint="eastAsia"/>
                <w:color w:val="000000"/>
                <w:sz w:val="24"/>
                <w:highlight w:val="none"/>
              </w:rPr>
              <w:t>公司银行部</w:t>
            </w:r>
          </w:p>
        </w:tc>
        <w:tc>
          <w:tcPr>
            <w:tcW w:w="1218" w:type="dxa"/>
            <w:vAlign w:val="center"/>
          </w:tcPr>
          <w:p>
            <w:pPr>
              <w:jc w:val="center"/>
              <w:rPr>
                <w:color w:val="000000"/>
                <w:sz w:val="24"/>
                <w:highlight w:val="none"/>
              </w:rPr>
            </w:pPr>
            <w:r>
              <w:rPr>
                <w:rFonts w:hint="eastAsia"/>
                <w:color w:val="000000"/>
                <w:sz w:val="24"/>
                <w:highlight w:val="none"/>
              </w:rPr>
              <w:t>杨皓</w:t>
            </w:r>
          </w:p>
          <w:p>
            <w:pPr>
              <w:jc w:val="center"/>
              <w:rPr>
                <w:color w:val="000000"/>
                <w:sz w:val="24"/>
                <w:highlight w:val="none"/>
              </w:rPr>
            </w:pPr>
            <w:r>
              <w:rPr>
                <w:rFonts w:hint="eastAsia"/>
                <w:color w:val="000000"/>
                <w:sz w:val="24"/>
                <w:highlight w:val="none"/>
              </w:rPr>
              <w:t>马秦香</w:t>
            </w:r>
          </w:p>
        </w:tc>
        <w:tc>
          <w:tcPr>
            <w:tcW w:w="2023" w:type="dxa"/>
            <w:vAlign w:val="center"/>
          </w:tcPr>
          <w:p>
            <w:pPr>
              <w:jc w:val="center"/>
              <w:rPr>
                <w:color w:val="000000"/>
                <w:sz w:val="24"/>
                <w:highlight w:val="none"/>
              </w:rPr>
            </w:pPr>
            <w:r>
              <w:rPr>
                <w:rFonts w:hint="eastAsia"/>
                <w:color w:val="000000"/>
                <w:sz w:val="24"/>
                <w:highlight w:val="none"/>
              </w:rPr>
              <w:t>62811553</w:t>
            </w:r>
          </w:p>
          <w:p>
            <w:pPr>
              <w:jc w:val="center"/>
              <w:rPr>
                <w:color w:val="000000"/>
                <w:sz w:val="24"/>
                <w:highlight w:val="none"/>
              </w:rPr>
            </w:pPr>
            <w:r>
              <w:rPr>
                <w:rFonts w:hint="eastAsia"/>
                <w:color w:val="000000"/>
                <w:sz w:val="24"/>
                <w:highlight w:val="none"/>
              </w:rPr>
              <w:t>15002905553</w:t>
            </w:r>
          </w:p>
          <w:p>
            <w:pPr>
              <w:jc w:val="center"/>
              <w:rPr>
                <w:color w:val="000000"/>
                <w:sz w:val="24"/>
                <w:highlight w:val="none"/>
              </w:rPr>
            </w:pPr>
            <w:r>
              <w:rPr>
                <w:rFonts w:hint="eastAsia"/>
                <w:color w:val="000000"/>
                <w:sz w:val="24"/>
                <w:highlight w:val="none"/>
              </w:rPr>
              <w:t>13609183259</w:t>
            </w:r>
          </w:p>
        </w:tc>
        <w:tc>
          <w:tcPr>
            <w:tcW w:w="1200" w:type="dxa"/>
            <w:vAlign w:val="center"/>
          </w:tcPr>
          <w:p>
            <w:pPr>
              <w:jc w:val="center"/>
              <w:rPr>
                <w:color w:val="000000"/>
                <w:sz w:val="24"/>
                <w:highlight w:val="none"/>
              </w:rPr>
            </w:pPr>
            <w:r>
              <w:rPr>
                <w:rFonts w:hint="eastAsia"/>
                <w:color w:val="000000"/>
                <w:sz w:val="24"/>
                <w:highlight w:val="none"/>
              </w:rPr>
              <w:t>信用融资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9</w:t>
            </w:r>
          </w:p>
        </w:tc>
        <w:tc>
          <w:tcPr>
            <w:tcW w:w="1800" w:type="dxa"/>
            <w:vAlign w:val="center"/>
          </w:tcPr>
          <w:p>
            <w:pPr>
              <w:jc w:val="center"/>
              <w:rPr>
                <w:color w:val="000000"/>
                <w:sz w:val="24"/>
                <w:highlight w:val="none"/>
              </w:rPr>
            </w:pPr>
            <w:r>
              <w:rPr>
                <w:rFonts w:hint="eastAsia"/>
                <w:color w:val="000000"/>
                <w:sz w:val="24"/>
                <w:highlight w:val="none"/>
              </w:rPr>
              <w:t>中国民生银行股份有限公司西安分行</w:t>
            </w:r>
          </w:p>
        </w:tc>
        <w:tc>
          <w:tcPr>
            <w:tcW w:w="1748" w:type="dxa"/>
            <w:vAlign w:val="center"/>
          </w:tcPr>
          <w:p>
            <w:pPr>
              <w:jc w:val="center"/>
              <w:rPr>
                <w:color w:val="000000"/>
                <w:sz w:val="24"/>
                <w:highlight w:val="none"/>
              </w:rPr>
            </w:pPr>
            <w:r>
              <w:rPr>
                <w:rFonts w:hint="eastAsia"/>
                <w:color w:val="000000"/>
                <w:sz w:val="24"/>
                <w:highlight w:val="none"/>
              </w:rPr>
              <w:t>民生银行西安分行</w:t>
            </w:r>
          </w:p>
        </w:tc>
        <w:tc>
          <w:tcPr>
            <w:tcW w:w="1218" w:type="dxa"/>
            <w:vAlign w:val="center"/>
          </w:tcPr>
          <w:p>
            <w:pPr>
              <w:jc w:val="center"/>
              <w:rPr>
                <w:color w:val="000000"/>
                <w:sz w:val="24"/>
                <w:highlight w:val="none"/>
              </w:rPr>
            </w:pPr>
            <w:r>
              <w:rPr>
                <w:rFonts w:hint="eastAsia"/>
                <w:color w:val="000000"/>
                <w:sz w:val="24"/>
                <w:highlight w:val="none"/>
              </w:rPr>
              <w:t>城建金融部</w:t>
            </w:r>
          </w:p>
        </w:tc>
        <w:tc>
          <w:tcPr>
            <w:tcW w:w="1218" w:type="dxa"/>
            <w:vAlign w:val="center"/>
          </w:tcPr>
          <w:p>
            <w:pPr>
              <w:jc w:val="center"/>
              <w:rPr>
                <w:color w:val="000000"/>
                <w:sz w:val="24"/>
                <w:highlight w:val="none"/>
              </w:rPr>
            </w:pPr>
            <w:r>
              <w:rPr>
                <w:rFonts w:hint="eastAsia"/>
                <w:color w:val="000000"/>
                <w:sz w:val="24"/>
                <w:highlight w:val="none"/>
              </w:rPr>
              <w:t>李楠</w:t>
            </w:r>
          </w:p>
        </w:tc>
        <w:tc>
          <w:tcPr>
            <w:tcW w:w="2023" w:type="dxa"/>
            <w:vAlign w:val="center"/>
          </w:tcPr>
          <w:p>
            <w:pPr>
              <w:jc w:val="center"/>
              <w:rPr>
                <w:color w:val="000000"/>
                <w:sz w:val="24"/>
                <w:highlight w:val="none"/>
              </w:rPr>
            </w:pPr>
            <w:r>
              <w:rPr>
                <w:rFonts w:hint="eastAsia"/>
                <w:color w:val="000000"/>
                <w:sz w:val="24"/>
                <w:highlight w:val="none"/>
              </w:rPr>
              <w:t>88266088-8450</w:t>
            </w:r>
          </w:p>
          <w:p>
            <w:pPr>
              <w:jc w:val="center"/>
              <w:rPr>
                <w:color w:val="000000"/>
                <w:sz w:val="24"/>
                <w:highlight w:val="none"/>
              </w:rPr>
            </w:pPr>
            <w:r>
              <w:rPr>
                <w:rFonts w:hint="eastAsia"/>
                <w:color w:val="000000"/>
                <w:sz w:val="24"/>
                <w:highlight w:val="none"/>
              </w:rPr>
              <w:t>13572058213</w:t>
            </w:r>
          </w:p>
        </w:tc>
        <w:tc>
          <w:tcPr>
            <w:tcW w:w="1200" w:type="dxa"/>
            <w:vAlign w:val="center"/>
          </w:tcPr>
          <w:p>
            <w:pPr>
              <w:jc w:val="center"/>
              <w:rPr>
                <w:color w:val="000000"/>
                <w:sz w:val="24"/>
                <w:highlight w:val="none"/>
              </w:rPr>
            </w:pPr>
            <w:r>
              <w:rPr>
                <w:rFonts w:hint="eastAsia"/>
                <w:color w:val="000000"/>
                <w:sz w:val="24"/>
                <w:highlight w:val="none"/>
              </w:rPr>
              <w:t>信用融资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10</w:t>
            </w:r>
          </w:p>
        </w:tc>
        <w:tc>
          <w:tcPr>
            <w:tcW w:w="1800" w:type="dxa"/>
            <w:vAlign w:val="center"/>
          </w:tcPr>
          <w:p>
            <w:pPr>
              <w:jc w:val="center"/>
              <w:rPr>
                <w:color w:val="000000"/>
                <w:sz w:val="24"/>
                <w:highlight w:val="none"/>
              </w:rPr>
            </w:pPr>
            <w:r>
              <w:rPr>
                <w:rFonts w:hint="eastAsia"/>
                <w:color w:val="000000"/>
                <w:sz w:val="24"/>
                <w:highlight w:val="none"/>
              </w:rPr>
              <w:t>中国光大银行股份有限公司西安分行</w:t>
            </w:r>
          </w:p>
        </w:tc>
        <w:tc>
          <w:tcPr>
            <w:tcW w:w="1748" w:type="dxa"/>
            <w:vAlign w:val="center"/>
          </w:tcPr>
          <w:p>
            <w:pPr>
              <w:jc w:val="center"/>
              <w:rPr>
                <w:color w:val="000000"/>
                <w:sz w:val="24"/>
                <w:highlight w:val="none"/>
              </w:rPr>
            </w:pPr>
            <w:r>
              <w:rPr>
                <w:rFonts w:hint="eastAsia"/>
                <w:color w:val="000000"/>
                <w:sz w:val="24"/>
                <w:highlight w:val="none"/>
              </w:rPr>
              <w:t>光大银行经济技术开发区支行</w:t>
            </w:r>
          </w:p>
        </w:tc>
        <w:tc>
          <w:tcPr>
            <w:tcW w:w="1218" w:type="dxa"/>
            <w:vAlign w:val="center"/>
          </w:tcPr>
          <w:p>
            <w:pPr>
              <w:jc w:val="center"/>
              <w:rPr>
                <w:color w:val="000000"/>
                <w:sz w:val="24"/>
                <w:highlight w:val="none"/>
              </w:rPr>
            </w:pPr>
            <w:r>
              <w:rPr>
                <w:rFonts w:hint="eastAsia"/>
                <w:color w:val="000000"/>
                <w:sz w:val="24"/>
                <w:highlight w:val="none"/>
              </w:rPr>
              <w:t>对公客户经理部</w:t>
            </w:r>
          </w:p>
        </w:tc>
        <w:tc>
          <w:tcPr>
            <w:tcW w:w="1218" w:type="dxa"/>
            <w:vAlign w:val="center"/>
          </w:tcPr>
          <w:p>
            <w:pPr>
              <w:jc w:val="center"/>
              <w:rPr>
                <w:color w:val="000000"/>
                <w:sz w:val="24"/>
                <w:highlight w:val="none"/>
              </w:rPr>
            </w:pPr>
            <w:r>
              <w:rPr>
                <w:rFonts w:hint="eastAsia"/>
                <w:color w:val="000000"/>
                <w:sz w:val="24"/>
                <w:highlight w:val="none"/>
              </w:rPr>
              <w:t>高艺瑄</w:t>
            </w:r>
          </w:p>
        </w:tc>
        <w:tc>
          <w:tcPr>
            <w:tcW w:w="2023" w:type="dxa"/>
            <w:vAlign w:val="center"/>
          </w:tcPr>
          <w:p>
            <w:pPr>
              <w:jc w:val="center"/>
              <w:rPr>
                <w:color w:val="000000"/>
                <w:sz w:val="24"/>
                <w:highlight w:val="none"/>
              </w:rPr>
            </w:pPr>
            <w:r>
              <w:rPr>
                <w:rFonts w:hint="eastAsia"/>
                <w:color w:val="000000"/>
                <w:sz w:val="24"/>
                <w:highlight w:val="none"/>
              </w:rPr>
              <w:t>15619006186</w:t>
            </w:r>
          </w:p>
        </w:tc>
        <w:tc>
          <w:tcPr>
            <w:tcW w:w="1200" w:type="dxa"/>
            <w:vAlign w:val="center"/>
          </w:tcPr>
          <w:p>
            <w:pPr>
              <w:jc w:val="center"/>
              <w:rPr>
                <w:color w:val="000000"/>
                <w:sz w:val="24"/>
                <w:highlight w:val="none"/>
              </w:rPr>
            </w:pPr>
            <w:r>
              <w:rPr>
                <w:rFonts w:hint="eastAsia"/>
                <w:color w:val="000000"/>
                <w:sz w:val="24"/>
                <w:highlight w:val="none"/>
              </w:rPr>
              <w:t>信用融资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14" w:type="dxa"/>
            <w:vAlign w:val="center"/>
          </w:tcPr>
          <w:p>
            <w:pPr>
              <w:jc w:val="center"/>
              <w:rPr>
                <w:color w:val="000000"/>
                <w:sz w:val="24"/>
                <w:highlight w:val="none"/>
              </w:rPr>
            </w:pPr>
            <w:r>
              <w:rPr>
                <w:rFonts w:hint="eastAsia"/>
                <w:color w:val="000000"/>
                <w:sz w:val="24"/>
                <w:highlight w:val="none"/>
              </w:rPr>
              <w:t>11</w:t>
            </w:r>
          </w:p>
        </w:tc>
        <w:tc>
          <w:tcPr>
            <w:tcW w:w="1800" w:type="dxa"/>
            <w:vAlign w:val="center"/>
          </w:tcPr>
          <w:p>
            <w:pPr>
              <w:jc w:val="center"/>
              <w:rPr>
                <w:color w:val="000000"/>
                <w:sz w:val="24"/>
                <w:highlight w:val="none"/>
              </w:rPr>
            </w:pPr>
            <w:r>
              <w:rPr>
                <w:rFonts w:hint="eastAsia"/>
                <w:color w:val="000000"/>
                <w:sz w:val="24"/>
                <w:highlight w:val="none"/>
              </w:rPr>
              <w:t>昆仑银行股份有限公司西安分行</w:t>
            </w:r>
          </w:p>
        </w:tc>
        <w:tc>
          <w:tcPr>
            <w:tcW w:w="1748" w:type="dxa"/>
            <w:vAlign w:val="center"/>
          </w:tcPr>
          <w:p>
            <w:pPr>
              <w:jc w:val="center"/>
              <w:rPr>
                <w:color w:val="000000"/>
                <w:sz w:val="24"/>
                <w:highlight w:val="none"/>
              </w:rPr>
            </w:pPr>
            <w:r>
              <w:rPr>
                <w:rFonts w:hint="eastAsia"/>
                <w:color w:val="000000"/>
                <w:sz w:val="24"/>
                <w:highlight w:val="none"/>
              </w:rPr>
              <w:t>昆仑银行西安分行</w:t>
            </w:r>
          </w:p>
        </w:tc>
        <w:tc>
          <w:tcPr>
            <w:tcW w:w="1218" w:type="dxa"/>
            <w:vAlign w:val="center"/>
          </w:tcPr>
          <w:p>
            <w:pPr>
              <w:jc w:val="center"/>
              <w:rPr>
                <w:color w:val="000000"/>
                <w:sz w:val="24"/>
                <w:highlight w:val="none"/>
              </w:rPr>
            </w:pPr>
            <w:r>
              <w:rPr>
                <w:rFonts w:hint="eastAsia"/>
                <w:color w:val="000000"/>
                <w:sz w:val="24"/>
                <w:highlight w:val="none"/>
              </w:rPr>
              <w:t>机构投行部</w:t>
            </w:r>
          </w:p>
        </w:tc>
        <w:tc>
          <w:tcPr>
            <w:tcW w:w="1218" w:type="dxa"/>
            <w:vAlign w:val="center"/>
          </w:tcPr>
          <w:p>
            <w:pPr>
              <w:jc w:val="center"/>
              <w:rPr>
                <w:color w:val="000000"/>
                <w:sz w:val="24"/>
                <w:highlight w:val="none"/>
              </w:rPr>
            </w:pPr>
            <w:r>
              <w:rPr>
                <w:rFonts w:hint="eastAsia"/>
                <w:color w:val="000000"/>
                <w:sz w:val="24"/>
                <w:highlight w:val="none"/>
              </w:rPr>
              <w:t>韩天清</w:t>
            </w:r>
          </w:p>
        </w:tc>
        <w:tc>
          <w:tcPr>
            <w:tcW w:w="2023" w:type="dxa"/>
            <w:vAlign w:val="center"/>
          </w:tcPr>
          <w:p>
            <w:pPr>
              <w:jc w:val="center"/>
              <w:rPr>
                <w:color w:val="000000"/>
                <w:sz w:val="24"/>
                <w:highlight w:val="none"/>
              </w:rPr>
            </w:pPr>
            <w:r>
              <w:rPr>
                <w:rFonts w:hint="eastAsia"/>
                <w:color w:val="000000"/>
                <w:sz w:val="24"/>
                <w:highlight w:val="none"/>
              </w:rPr>
              <w:t>86978975</w:t>
            </w:r>
          </w:p>
          <w:p>
            <w:pPr>
              <w:jc w:val="center"/>
              <w:rPr>
                <w:color w:val="000000"/>
                <w:sz w:val="24"/>
                <w:highlight w:val="none"/>
              </w:rPr>
            </w:pPr>
            <w:r>
              <w:rPr>
                <w:rFonts w:hint="eastAsia"/>
                <w:color w:val="000000"/>
                <w:sz w:val="24"/>
                <w:highlight w:val="none"/>
              </w:rPr>
              <w:t>15609108028</w:t>
            </w:r>
          </w:p>
        </w:tc>
        <w:tc>
          <w:tcPr>
            <w:tcW w:w="1200" w:type="dxa"/>
            <w:vAlign w:val="center"/>
          </w:tcPr>
          <w:p>
            <w:pPr>
              <w:jc w:val="center"/>
              <w:rPr>
                <w:color w:val="000000"/>
                <w:sz w:val="24"/>
                <w:highlight w:val="none"/>
              </w:rPr>
            </w:pPr>
            <w:r>
              <w:rPr>
                <w:rFonts w:hint="eastAsia"/>
                <w:color w:val="000000"/>
                <w:sz w:val="24"/>
                <w:highlight w:val="none"/>
              </w:rPr>
              <w:t>信用融资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12</w:t>
            </w:r>
          </w:p>
        </w:tc>
        <w:tc>
          <w:tcPr>
            <w:tcW w:w="1800" w:type="dxa"/>
            <w:vAlign w:val="center"/>
          </w:tcPr>
          <w:p>
            <w:pPr>
              <w:jc w:val="center"/>
              <w:rPr>
                <w:color w:val="000000"/>
                <w:sz w:val="24"/>
                <w:highlight w:val="none"/>
              </w:rPr>
            </w:pPr>
            <w:r>
              <w:rPr>
                <w:rFonts w:hint="eastAsia"/>
                <w:color w:val="000000"/>
                <w:sz w:val="24"/>
                <w:highlight w:val="none"/>
              </w:rPr>
              <w:t>平安银行股份有限公司西安分行</w:t>
            </w:r>
          </w:p>
        </w:tc>
        <w:tc>
          <w:tcPr>
            <w:tcW w:w="1748" w:type="dxa"/>
            <w:vAlign w:val="center"/>
          </w:tcPr>
          <w:p>
            <w:pPr>
              <w:jc w:val="center"/>
              <w:rPr>
                <w:color w:val="000000"/>
                <w:sz w:val="24"/>
                <w:highlight w:val="none"/>
              </w:rPr>
            </w:pPr>
            <w:r>
              <w:rPr>
                <w:rFonts w:hint="eastAsia"/>
                <w:color w:val="000000"/>
                <w:sz w:val="24"/>
                <w:highlight w:val="none"/>
              </w:rPr>
              <w:t>平安银行西安分行</w:t>
            </w:r>
          </w:p>
        </w:tc>
        <w:tc>
          <w:tcPr>
            <w:tcW w:w="1218" w:type="dxa"/>
            <w:vAlign w:val="center"/>
          </w:tcPr>
          <w:p>
            <w:pPr>
              <w:jc w:val="center"/>
              <w:rPr>
                <w:color w:val="000000"/>
                <w:sz w:val="24"/>
                <w:highlight w:val="none"/>
              </w:rPr>
            </w:pPr>
            <w:r>
              <w:rPr>
                <w:rFonts w:hint="eastAsia"/>
                <w:color w:val="000000"/>
                <w:sz w:val="24"/>
                <w:highlight w:val="none"/>
              </w:rPr>
              <w:t>业务发展七部</w:t>
            </w:r>
          </w:p>
        </w:tc>
        <w:tc>
          <w:tcPr>
            <w:tcW w:w="1218" w:type="dxa"/>
            <w:vAlign w:val="center"/>
          </w:tcPr>
          <w:p>
            <w:pPr>
              <w:jc w:val="center"/>
              <w:rPr>
                <w:color w:val="000000"/>
                <w:sz w:val="24"/>
                <w:highlight w:val="none"/>
              </w:rPr>
            </w:pPr>
            <w:r>
              <w:rPr>
                <w:rFonts w:hint="eastAsia"/>
                <w:color w:val="000000"/>
                <w:sz w:val="24"/>
                <w:highlight w:val="none"/>
              </w:rPr>
              <w:t>祝捷</w:t>
            </w:r>
          </w:p>
          <w:p>
            <w:pPr>
              <w:jc w:val="center"/>
              <w:rPr>
                <w:color w:val="000000"/>
                <w:sz w:val="24"/>
                <w:highlight w:val="none"/>
              </w:rPr>
            </w:pPr>
            <w:r>
              <w:rPr>
                <w:rFonts w:hint="eastAsia"/>
                <w:color w:val="000000"/>
                <w:sz w:val="24"/>
                <w:highlight w:val="none"/>
              </w:rPr>
              <w:t>王尧</w:t>
            </w:r>
          </w:p>
        </w:tc>
        <w:tc>
          <w:tcPr>
            <w:tcW w:w="2023" w:type="dxa"/>
            <w:vAlign w:val="center"/>
          </w:tcPr>
          <w:p>
            <w:pPr>
              <w:jc w:val="center"/>
              <w:rPr>
                <w:color w:val="000000"/>
                <w:sz w:val="24"/>
                <w:highlight w:val="none"/>
              </w:rPr>
            </w:pPr>
            <w:r>
              <w:rPr>
                <w:rFonts w:hint="eastAsia"/>
                <w:color w:val="000000"/>
                <w:sz w:val="24"/>
                <w:highlight w:val="none"/>
              </w:rPr>
              <w:t>18629505188</w:t>
            </w:r>
          </w:p>
          <w:p>
            <w:pPr>
              <w:jc w:val="center"/>
              <w:rPr>
                <w:color w:val="000000"/>
                <w:sz w:val="24"/>
                <w:highlight w:val="none"/>
              </w:rPr>
            </w:pPr>
            <w:r>
              <w:rPr>
                <w:rFonts w:hint="eastAsia"/>
                <w:color w:val="000000"/>
                <w:sz w:val="24"/>
                <w:highlight w:val="none"/>
              </w:rPr>
              <w:t>15609108028</w:t>
            </w:r>
          </w:p>
        </w:tc>
        <w:tc>
          <w:tcPr>
            <w:tcW w:w="1200" w:type="dxa"/>
            <w:vAlign w:val="center"/>
          </w:tcPr>
          <w:p>
            <w:pPr>
              <w:jc w:val="center"/>
              <w:rPr>
                <w:color w:val="000000"/>
                <w:sz w:val="24"/>
                <w:highlight w:val="none"/>
              </w:rPr>
            </w:pPr>
            <w:r>
              <w:rPr>
                <w:rFonts w:hint="eastAsia"/>
                <w:color w:val="000000"/>
                <w:sz w:val="24"/>
                <w:highlight w:val="none"/>
              </w:rPr>
              <w:t>信用融资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13</w:t>
            </w:r>
          </w:p>
        </w:tc>
        <w:tc>
          <w:tcPr>
            <w:tcW w:w="1800" w:type="dxa"/>
            <w:vAlign w:val="center"/>
          </w:tcPr>
          <w:p>
            <w:pPr>
              <w:jc w:val="center"/>
              <w:rPr>
                <w:color w:val="000000"/>
                <w:sz w:val="24"/>
                <w:highlight w:val="none"/>
              </w:rPr>
            </w:pPr>
            <w:r>
              <w:rPr>
                <w:rFonts w:hint="eastAsia"/>
                <w:color w:val="000000"/>
                <w:sz w:val="24"/>
                <w:highlight w:val="none"/>
              </w:rPr>
              <w:t>北京银行股份有限公司西安分行</w:t>
            </w:r>
          </w:p>
        </w:tc>
        <w:tc>
          <w:tcPr>
            <w:tcW w:w="1748" w:type="dxa"/>
            <w:vAlign w:val="center"/>
          </w:tcPr>
          <w:p>
            <w:pPr>
              <w:jc w:val="center"/>
              <w:rPr>
                <w:color w:val="000000"/>
                <w:sz w:val="24"/>
                <w:highlight w:val="none"/>
              </w:rPr>
            </w:pPr>
            <w:r>
              <w:rPr>
                <w:rFonts w:hint="eastAsia"/>
                <w:color w:val="000000"/>
                <w:sz w:val="24"/>
                <w:highlight w:val="none"/>
              </w:rPr>
              <w:t>北京银行西安分行</w:t>
            </w:r>
          </w:p>
        </w:tc>
        <w:tc>
          <w:tcPr>
            <w:tcW w:w="1218" w:type="dxa"/>
            <w:vAlign w:val="center"/>
          </w:tcPr>
          <w:p>
            <w:pPr>
              <w:jc w:val="center"/>
              <w:rPr>
                <w:color w:val="000000"/>
                <w:sz w:val="24"/>
                <w:highlight w:val="none"/>
              </w:rPr>
            </w:pPr>
            <w:r>
              <w:rPr>
                <w:rFonts w:hint="eastAsia"/>
                <w:color w:val="000000"/>
                <w:sz w:val="24"/>
                <w:highlight w:val="none"/>
              </w:rPr>
              <w:t>营业部</w:t>
            </w:r>
          </w:p>
        </w:tc>
        <w:tc>
          <w:tcPr>
            <w:tcW w:w="1218" w:type="dxa"/>
            <w:vAlign w:val="center"/>
          </w:tcPr>
          <w:p>
            <w:pPr>
              <w:jc w:val="center"/>
              <w:rPr>
                <w:color w:val="000000"/>
                <w:sz w:val="24"/>
                <w:highlight w:val="none"/>
              </w:rPr>
            </w:pPr>
            <w:r>
              <w:rPr>
                <w:rFonts w:hint="eastAsia"/>
                <w:color w:val="000000"/>
                <w:sz w:val="24"/>
                <w:highlight w:val="none"/>
              </w:rPr>
              <w:t>范诗阳</w:t>
            </w:r>
          </w:p>
          <w:p>
            <w:pPr>
              <w:jc w:val="center"/>
              <w:rPr>
                <w:color w:val="000000"/>
                <w:sz w:val="24"/>
                <w:highlight w:val="none"/>
              </w:rPr>
            </w:pPr>
            <w:r>
              <w:rPr>
                <w:rFonts w:hint="eastAsia"/>
                <w:color w:val="000000"/>
                <w:sz w:val="24"/>
                <w:highlight w:val="none"/>
              </w:rPr>
              <w:t>曹英</w:t>
            </w:r>
          </w:p>
        </w:tc>
        <w:tc>
          <w:tcPr>
            <w:tcW w:w="2023" w:type="dxa"/>
            <w:vAlign w:val="center"/>
          </w:tcPr>
          <w:p>
            <w:pPr>
              <w:jc w:val="center"/>
              <w:rPr>
                <w:color w:val="000000"/>
                <w:sz w:val="24"/>
                <w:highlight w:val="none"/>
              </w:rPr>
            </w:pPr>
            <w:r>
              <w:rPr>
                <w:rFonts w:hint="eastAsia"/>
                <w:color w:val="000000"/>
                <w:sz w:val="24"/>
                <w:highlight w:val="none"/>
              </w:rPr>
              <w:t>13991945764</w:t>
            </w:r>
          </w:p>
          <w:p>
            <w:pPr>
              <w:jc w:val="center"/>
              <w:rPr>
                <w:color w:val="000000"/>
                <w:sz w:val="24"/>
                <w:highlight w:val="none"/>
              </w:rPr>
            </w:pPr>
            <w:r>
              <w:rPr>
                <w:rFonts w:hint="eastAsia"/>
                <w:color w:val="000000"/>
                <w:sz w:val="24"/>
                <w:highlight w:val="none"/>
              </w:rPr>
              <w:t>18691892195</w:t>
            </w:r>
          </w:p>
        </w:tc>
        <w:tc>
          <w:tcPr>
            <w:tcW w:w="1200" w:type="dxa"/>
            <w:vAlign w:val="center"/>
          </w:tcPr>
          <w:p>
            <w:pPr>
              <w:jc w:val="center"/>
              <w:rPr>
                <w:color w:val="000000"/>
                <w:sz w:val="24"/>
                <w:highlight w:val="none"/>
              </w:rPr>
            </w:pPr>
            <w:r>
              <w:rPr>
                <w:rFonts w:hint="eastAsia"/>
                <w:color w:val="000000"/>
                <w:sz w:val="24"/>
                <w:highlight w:val="none"/>
              </w:rPr>
              <w:t>信用融资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pPr>
              <w:jc w:val="center"/>
              <w:rPr>
                <w:color w:val="000000"/>
                <w:sz w:val="24"/>
                <w:highlight w:val="none"/>
              </w:rPr>
            </w:pPr>
            <w:r>
              <w:rPr>
                <w:rFonts w:hint="eastAsia"/>
                <w:color w:val="000000"/>
                <w:sz w:val="24"/>
                <w:highlight w:val="none"/>
              </w:rPr>
              <w:t>14</w:t>
            </w:r>
          </w:p>
        </w:tc>
        <w:tc>
          <w:tcPr>
            <w:tcW w:w="1800" w:type="dxa"/>
            <w:vAlign w:val="center"/>
          </w:tcPr>
          <w:p>
            <w:pPr>
              <w:jc w:val="center"/>
              <w:rPr>
                <w:color w:val="000000"/>
                <w:sz w:val="24"/>
                <w:highlight w:val="none"/>
              </w:rPr>
            </w:pPr>
            <w:r>
              <w:rPr>
                <w:rFonts w:hint="eastAsia"/>
                <w:color w:val="000000"/>
                <w:sz w:val="24"/>
                <w:highlight w:val="none"/>
              </w:rPr>
              <w:t>兴业银行股份有限公司西安分行</w:t>
            </w:r>
          </w:p>
        </w:tc>
        <w:tc>
          <w:tcPr>
            <w:tcW w:w="1748" w:type="dxa"/>
            <w:vAlign w:val="center"/>
          </w:tcPr>
          <w:p>
            <w:pPr>
              <w:jc w:val="center"/>
              <w:rPr>
                <w:color w:val="000000"/>
                <w:sz w:val="24"/>
                <w:highlight w:val="none"/>
              </w:rPr>
            </w:pPr>
            <w:r>
              <w:rPr>
                <w:rFonts w:hint="eastAsia"/>
                <w:color w:val="000000"/>
                <w:sz w:val="24"/>
                <w:highlight w:val="none"/>
              </w:rPr>
              <w:t>兴业银行西安分行</w:t>
            </w:r>
          </w:p>
        </w:tc>
        <w:tc>
          <w:tcPr>
            <w:tcW w:w="1218" w:type="dxa"/>
            <w:vAlign w:val="center"/>
          </w:tcPr>
          <w:p>
            <w:pPr>
              <w:jc w:val="center"/>
              <w:rPr>
                <w:color w:val="000000"/>
                <w:sz w:val="24"/>
                <w:highlight w:val="none"/>
              </w:rPr>
            </w:pPr>
            <w:r>
              <w:rPr>
                <w:rFonts w:hint="eastAsia"/>
                <w:color w:val="000000"/>
                <w:sz w:val="24"/>
                <w:highlight w:val="none"/>
              </w:rPr>
              <w:t>新城业务总部</w:t>
            </w:r>
          </w:p>
        </w:tc>
        <w:tc>
          <w:tcPr>
            <w:tcW w:w="1218" w:type="dxa"/>
            <w:vAlign w:val="center"/>
          </w:tcPr>
          <w:p>
            <w:pPr>
              <w:jc w:val="center"/>
              <w:rPr>
                <w:color w:val="000000"/>
                <w:sz w:val="24"/>
                <w:highlight w:val="none"/>
              </w:rPr>
            </w:pPr>
            <w:r>
              <w:rPr>
                <w:rFonts w:hint="eastAsia"/>
                <w:color w:val="000000"/>
                <w:sz w:val="24"/>
                <w:highlight w:val="none"/>
              </w:rPr>
              <w:t>徐常磊</w:t>
            </w:r>
          </w:p>
          <w:p>
            <w:pPr>
              <w:jc w:val="center"/>
              <w:rPr>
                <w:color w:val="000000"/>
                <w:sz w:val="24"/>
                <w:highlight w:val="none"/>
              </w:rPr>
            </w:pPr>
            <w:r>
              <w:rPr>
                <w:rFonts w:hint="eastAsia"/>
                <w:color w:val="000000"/>
                <w:sz w:val="24"/>
                <w:highlight w:val="none"/>
              </w:rPr>
              <w:t>鲁旸</w:t>
            </w:r>
          </w:p>
        </w:tc>
        <w:tc>
          <w:tcPr>
            <w:tcW w:w="2023" w:type="dxa"/>
            <w:vAlign w:val="center"/>
          </w:tcPr>
          <w:p>
            <w:pPr>
              <w:jc w:val="center"/>
              <w:rPr>
                <w:color w:val="000000"/>
                <w:sz w:val="24"/>
                <w:highlight w:val="none"/>
              </w:rPr>
            </w:pPr>
            <w:r>
              <w:rPr>
                <w:rFonts w:hint="eastAsia"/>
                <w:color w:val="000000"/>
                <w:sz w:val="24"/>
                <w:highlight w:val="none"/>
              </w:rPr>
              <w:t>15991623666</w:t>
            </w:r>
          </w:p>
          <w:p>
            <w:pPr>
              <w:jc w:val="center"/>
              <w:rPr>
                <w:color w:val="000000"/>
                <w:sz w:val="24"/>
                <w:highlight w:val="none"/>
              </w:rPr>
            </w:pPr>
            <w:r>
              <w:rPr>
                <w:rFonts w:hint="eastAsia"/>
                <w:color w:val="000000"/>
                <w:sz w:val="24"/>
                <w:highlight w:val="none"/>
              </w:rPr>
              <w:t>15389081886</w:t>
            </w:r>
          </w:p>
        </w:tc>
        <w:tc>
          <w:tcPr>
            <w:tcW w:w="1200" w:type="dxa"/>
            <w:vAlign w:val="center"/>
          </w:tcPr>
          <w:p>
            <w:pPr>
              <w:jc w:val="center"/>
              <w:rPr>
                <w:color w:val="000000"/>
                <w:sz w:val="24"/>
                <w:highlight w:val="none"/>
              </w:rPr>
            </w:pPr>
            <w:r>
              <w:rPr>
                <w:rFonts w:hint="eastAsia"/>
                <w:color w:val="000000"/>
                <w:sz w:val="24"/>
                <w:highlight w:val="none"/>
              </w:rPr>
              <w:t>信用融资</w:t>
            </w:r>
          </w:p>
        </w:tc>
      </w:tr>
    </w:tbl>
    <w:p>
      <w:pPr>
        <w:spacing w:line="360" w:lineRule="auto"/>
        <w:jc w:val="center"/>
        <w:rPr>
          <w:b/>
          <w:bCs/>
          <w:color w:val="000000"/>
          <w:sz w:val="24"/>
          <w:highlight w:val="none"/>
        </w:rPr>
      </w:pPr>
    </w:p>
    <w:p>
      <w:pPr>
        <w:spacing w:after="240" w:afterLines="100"/>
        <w:rPr>
          <w:rFonts w:cs="宋体"/>
          <w:b/>
          <w:color w:val="000000"/>
          <w:sz w:val="24"/>
          <w:highlight w:val="none"/>
        </w:rPr>
      </w:pPr>
      <w:r>
        <w:rPr>
          <w:rFonts w:hint="eastAsia"/>
          <w:color w:val="000000"/>
          <w:sz w:val="24"/>
          <w:highlight w:val="none"/>
        </w:rPr>
        <w:br w:type="page"/>
      </w:r>
      <w:r>
        <w:rPr>
          <w:rFonts w:hint="eastAsia" w:cs="宋体"/>
          <w:b/>
          <w:color w:val="000000"/>
          <w:sz w:val="24"/>
          <w:highlight w:val="none"/>
        </w:rPr>
        <w:t>附件2：</w:t>
      </w:r>
    </w:p>
    <w:p>
      <w:pPr>
        <w:spacing w:after="240" w:afterLines="100"/>
        <w:jc w:val="center"/>
        <w:rPr>
          <w:b/>
          <w:color w:val="000000"/>
          <w:szCs w:val="32"/>
          <w:highlight w:val="none"/>
        </w:rPr>
      </w:pPr>
      <w:r>
        <w:rPr>
          <w:rFonts w:hint="eastAsia"/>
          <w:b/>
          <w:bCs/>
          <w:color w:val="000000"/>
          <w:sz w:val="36"/>
          <w:szCs w:val="36"/>
          <w:highlight w:val="none"/>
        </w:rPr>
        <w:t>投标担保函</w:t>
      </w:r>
    </w:p>
    <w:p>
      <w:pPr>
        <w:spacing w:line="360" w:lineRule="auto"/>
        <w:ind w:right="840"/>
        <w:jc w:val="right"/>
        <w:rPr>
          <w:color w:val="000000"/>
          <w:sz w:val="24"/>
          <w:highlight w:val="none"/>
        </w:rPr>
      </w:pPr>
      <w:r>
        <w:rPr>
          <w:rFonts w:hint="eastAsia"/>
          <w:color w:val="000000"/>
          <w:sz w:val="24"/>
          <w:highlight w:val="none"/>
        </w:rPr>
        <w:t>编号：</w:t>
      </w:r>
    </w:p>
    <w:p>
      <w:pPr>
        <w:spacing w:after="120" w:afterLines="50" w:line="360" w:lineRule="auto"/>
        <w:rPr>
          <w:b/>
          <w:color w:val="000000"/>
          <w:sz w:val="24"/>
          <w:highlight w:val="none"/>
        </w:rPr>
      </w:pPr>
      <w:r>
        <w:rPr>
          <w:rFonts w:hint="eastAsia"/>
          <w:b/>
          <w:color w:val="000000"/>
          <w:sz w:val="24"/>
          <w:highlight w:val="none"/>
        </w:rPr>
        <w:t xml:space="preserve">采购人： </w:t>
      </w:r>
    </w:p>
    <w:p>
      <w:pPr>
        <w:spacing w:line="360" w:lineRule="auto"/>
        <w:ind w:firstLine="360" w:firstLineChars="150"/>
        <w:rPr>
          <w:color w:val="000000"/>
          <w:sz w:val="24"/>
          <w:highlight w:val="none"/>
        </w:rPr>
      </w:pPr>
      <w:r>
        <w:rPr>
          <w:rFonts w:hint="eastAsia"/>
          <w:color w:val="000000"/>
          <w:sz w:val="24"/>
          <w:highlight w:val="none"/>
        </w:rPr>
        <w:t>鉴于_______________（以下简称投标人）拟参加编号为__________的___________________________________采购项目（以下简称本项目）投标，根据本项目招标文件，投标人参加投标时应向你方交纳投标保证金，且可以投标担保函的形式交纳投标保证金。应投标人的申请，我方以保证的方式向你方提供如下投标保证金担保：</w:t>
      </w:r>
    </w:p>
    <w:p>
      <w:pPr>
        <w:spacing w:line="360" w:lineRule="auto"/>
        <w:ind w:firstLine="360" w:firstLineChars="150"/>
        <w:rPr>
          <w:color w:val="000000"/>
          <w:sz w:val="24"/>
          <w:highlight w:val="none"/>
        </w:rPr>
      </w:pPr>
      <w:r>
        <w:rPr>
          <w:rFonts w:hint="eastAsia"/>
          <w:color w:val="000000"/>
          <w:sz w:val="24"/>
          <w:highlight w:val="none"/>
        </w:rPr>
        <w:t xml:space="preserve">一、保证责任的情形及保证金额 </w:t>
      </w:r>
    </w:p>
    <w:p>
      <w:pPr>
        <w:spacing w:line="360" w:lineRule="auto"/>
        <w:ind w:firstLine="480" w:firstLineChars="200"/>
        <w:rPr>
          <w:color w:val="000000"/>
          <w:sz w:val="24"/>
          <w:highlight w:val="none"/>
        </w:rPr>
      </w:pPr>
      <w:r>
        <w:rPr>
          <w:rFonts w:hint="eastAsia"/>
          <w:color w:val="000000"/>
          <w:sz w:val="24"/>
          <w:highlight w:val="none"/>
        </w:rPr>
        <w:t xml:space="preserve">（一）在投标人出现下列情形之一时，我方承担保证责任： </w:t>
      </w:r>
    </w:p>
    <w:p>
      <w:pPr>
        <w:spacing w:line="360" w:lineRule="auto"/>
        <w:ind w:firstLine="480" w:firstLineChars="200"/>
        <w:rPr>
          <w:color w:val="000000"/>
          <w:sz w:val="24"/>
          <w:highlight w:val="none"/>
        </w:rPr>
      </w:pPr>
      <w:r>
        <w:rPr>
          <w:rFonts w:hint="eastAsia"/>
          <w:color w:val="000000"/>
          <w:sz w:val="24"/>
          <w:highlight w:val="none"/>
        </w:rPr>
        <w:t xml:space="preserve">1．中标后投标人无正当理由不与采购人签订《政府采购合同》； </w:t>
      </w:r>
    </w:p>
    <w:p>
      <w:pPr>
        <w:spacing w:line="360" w:lineRule="auto"/>
        <w:ind w:firstLine="480" w:firstLineChars="200"/>
        <w:rPr>
          <w:color w:val="000000"/>
          <w:sz w:val="24"/>
          <w:highlight w:val="none"/>
        </w:rPr>
      </w:pPr>
      <w:r>
        <w:rPr>
          <w:rFonts w:hint="eastAsia"/>
          <w:color w:val="000000"/>
          <w:sz w:val="24"/>
          <w:highlight w:val="none"/>
        </w:rPr>
        <w:t xml:space="preserve">2．招标文件规定的投标人应当缴纳保证金的其他情形。 </w:t>
      </w:r>
    </w:p>
    <w:p>
      <w:pPr>
        <w:spacing w:line="360" w:lineRule="auto"/>
        <w:ind w:firstLine="480" w:firstLineChars="200"/>
        <w:rPr>
          <w:color w:val="000000"/>
          <w:sz w:val="24"/>
          <w:highlight w:val="none"/>
        </w:rPr>
      </w:pPr>
      <w:r>
        <w:rPr>
          <w:rFonts w:hint="eastAsia"/>
          <w:color w:val="000000"/>
          <w:sz w:val="24"/>
          <w:highlight w:val="none"/>
        </w:rPr>
        <w:t xml:space="preserve">（二）我方承担保证责任的最高金额为人民币______元（大写__________________________），即本项目的投标保证金金额。 </w:t>
      </w:r>
    </w:p>
    <w:p>
      <w:pPr>
        <w:spacing w:line="360" w:lineRule="auto"/>
        <w:ind w:firstLine="480" w:firstLineChars="200"/>
        <w:rPr>
          <w:color w:val="000000"/>
          <w:sz w:val="24"/>
          <w:highlight w:val="none"/>
        </w:rPr>
      </w:pPr>
      <w:r>
        <w:rPr>
          <w:rFonts w:hint="eastAsia"/>
          <w:color w:val="000000"/>
          <w:sz w:val="24"/>
          <w:highlight w:val="none"/>
        </w:rPr>
        <w:t xml:space="preserve">二、保证的方式及保证期间 </w:t>
      </w:r>
    </w:p>
    <w:p>
      <w:pPr>
        <w:spacing w:line="360" w:lineRule="auto"/>
        <w:ind w:firstLine="480" w:firstLineChars="200"/>
        <w:rPr>
          <w:color w:val="000000"/>
          <w:sz w:val="24"/>
          <w:highlight w:val="none"/>
        </w:rPr>
      </w:pPr>
      <w:r>
        <w:rPr>
          <w:rFonts w:hint="eastAsia"/>
          <w:color w:val="000000"/>
          <w:sz w:val="24"/>
          <w:highlight w:val="none"/>
        </w:rPr>
        <w:t xml:space="preserve">我方保证的方式为：连带责任保证。 </w:t>
      </w:r>
    </w:p>
    <w:p>
      <w:pPr>
        <w:spacing w:line="360" w:lineRule="auto"/>
        <w:ind w:firstLine="480" w:firstLineChars="200"/>
        <w:rPr>
          <w:color w:val="000000"/>
          <w:sz w:val="24"/>
          <w:highlight w:val="none"/>
        </w:rPr>
      </w:pPr>
      <w:r>
        <w:rPr>
          <w:rFonts w:hint="eastAsia"/>
          <w:color w:val="000000"/>
          <w:sz w:val="24"/>
          <w:highlight w:val="none"/>
        </w:rPr>
        <w:t xml:space="preserve">我方的保证期间为：自本保函生效之日起______个月止。 </w:t>
      </w:r>
    </w:p>
    <w:p>
      <w:pPr>
        <w:spacing w:line="360" w:lineRule="auto"/>
        <w:ind w:firstLine="480" w:firstLineChars="200"/>
        <w:rPr>
          <w:color w:val="000000"/>
          <w:sz w:val="24"/>
          <w:highlight w:val="none"/>
        </w:rPr>
      </w:pPr>
      <w:r>
        <w:rPr>
          <w:rFonts w:hint="eastAsia"/>
          <w:color w:val="000000"/>
          <w:sz w:val="24"/>
          <w:highlight w:val="none"/>
        </w:rPr>
        <w:t xml:space="preserve">三、承担保证责任的程序 </w:t>
      </w:r>
    </w:p>
    <w:p>
      <w:pPr>
        <w:spacing w:line="360" w:lineRule="auto"/>
        <w:ind w:firstLine="480" w:firstLineChars="200"/>
        <w:rPr>
          <w:color w:val="000000"/>
          <w:sz w:val="24"/>
          <w:highlight w:val="none"/>
        </w:rPr>
      </w:pPr>
      <w:r>
        <w:rPr>
          <w:rFonts w:hint="eastAsia"/>
          <w:color w:val="000000"/>
          <w:sz w:val="24"/>
          <w:highlight w:val="none"/>
        </w:rPr>
        <w:t xml:space="preserve">1．你方要求我方承担保证责任的，应在本保函保证期间内向我方发出书面索赔通知。索赔通知应写明要求索赔的金额，支付款项应到达的账号，并附有证明投标人发生我方应承担保证责任情形的事实材料。 </w:t>
      </w:r>
    </w:p>
    <w:p>
      <w:pPr>
        <w:spacing w:line="360" w:lineRule="auto"/>
        <w:ind w:firstLine="480" w:firstLineChars="200"/>
        <w:rPr>
          <w:color w:val="000000"/>
          <w:sz w:val="24"/>
          <w:highlight w:val="none"/>
        </w:rPr>
      </w:pPr>
      <w:r>
        <w:rPr>
          <w:rFonts w:hint="eastAsia"/>
          <w:color w:val="000000"/>
          <w:sz w:val="24"/>
          <w:highlight w:val="none"/>
        </w:rPr>
        <w:t>2．我方在收到索赔通知及相关证明材料后，在_____个工作日内进行审查，符合应承担保证责任情形的，我方应按照你方的要求代投标人向你方支付投标保证金。</w:t>
      </w:r>
    </w:p>
    <w:p>
      <w:pPr>
        <w:spacing w:line="360" w:lineRule="auto"/>
        <w:ind w:firstLine="480" w:firstLineChars="200"/>
        <w:rPr>
          <w:color w:val="000000"/>
          <w:sz w:val="24"/>
          <w:highlight w:val="none"/>
        </w:rPr>
      </w:pPr>
      <w:r>
        <w:rPr>
          <w:rFonts w:hint="eastAsia"/>
          <w:color w:val="000000"/>
          <w:sz w:val="24"/>
          <w:highlight w:val="none"/>
        </w:rPr>
        <w:t xml:space="preserve">四、保证责任的终止 </w:t>
      </w:r>
    </w:p>
    <w:p>
      <w:pPr>
        <w:spacing w:line="360" w:lineRule="auto"/>
        <w:ind w:firstLine="480" w:firstLineChars="200"/>
        <w:rPr>
          <w:color w:val="000000"/>
          <w:sz w:val="24"/>
          <w:highlight w:val="none"/>
        </w:rPr>
      </w:pPr>
      <w:r>
        <w:rPr>
          <w:rFonts w:hint="eastAsia"/>
          <w:color w:val="000000"/>
          <w:sz w:val="24"/>
          <w:highlight w:val="none"/>
        </w:rPr>
        <w:t>1．保证期间届满你方未向我方书面主张保证责任的，自保证期间届满次日起，我方保证责任自动终止。</w:t>
      </w:r>
    </w:p>
    <w:p>
      <w:pPr>
        <w:spacing w:line="360" w:lineRule="auto"/>
        <w:ind w:firstLine="480" w:firstLineChars="200"/>
        <w:rPr>
          <w:color w:val="000000"/>
          <w:sz w:val="24"/>
          <w:highlight w:val="none"/>
        </w:rPr>
      </w:pPr>
      <w:r>
        <w:rPr>
          <w:rFonts w:hint="eastAsia"/>
          <w:color w:val="000000"/>
          <w:sz w:val="24"/>
          <w:highlight w:val="none"/>
        </w:rPr>
        <w:t>2．我方按照本保函向你方履行了保证责任后，自我方向你方支付款项（支付款项从我方账户划出）之日起，保证责任终止。</w:t>
      </w:r>
    </w:p>
    <w:p>
      <w:pPr>
        <w:spacing w:line="360" w:lineRule="auto"/>
        <w:ind w:firstLine="480" w:firstLineChars="200"/>
        <w:rPr>
          <w:color w:val="000000"/>
          <w:sz w:val="24"/>
          <w:highlight w:val="none"/>
        </w:rPr>
      </w:pPr>
      <w:r>
        <w:rPr>
          <w:rFonts w:hint="eastAsia"/>
          <w:color w:val="000000"/>
          <w:sz w:val="24"/>
          <w:highlight w:val="none"/>
        </w:rPr>
        <w:t>3．按照法律法规的规定或出现我方保证责任终止的其它情形的，我方在本保函项下的保证责任亦终止。</w:t>
      </w:r>
    </w:p>
    <w:p>
      <w:pPr>
        <w:spacing w:line="360" w:lineRule="auto"/>
        <w:ind w:firstLine="480" w:firstLineChars="200"/>
        <w:rPr>
          <w:color w:val="000000"/>
          <w:sz w:val="24"/>
          <w:highlight w:val="none"/>
        </w:rPr>
      </w:pPr>
      <w:r>
        <w:rPr>
          <w:rFonts w:hint="eastAsia"/>
          <w:color w:val="000000"/>
          <w:sz w:val="24"/>
          <w:highlight w:val="none"/>
        </w:rPr>
        <w:t xml:space="preserve">五、免责条款 </w:t>
      </w:r>
    </w:p>
    <w:p>
      <w:pPr>
        <w:spacing w:line="360" w:lineRule="auto"/>
        <w:ind w:firstLine="480" w:firstLineChars="200"/>
        <w:rPr>
          <w:color w:val="000000"/>
          <w:sz w:val="24"/>
          <w:highlight w:val="none"/>
        </w:rPr>
      </w:pPr>
      <w:r>
        <w:rPr>
          <w:rFonts w:hint="eastAsia"/>
          <w:color w:val="000000"/>
          <w:sz w:val="24"/>
          <w:highlight w:val="none"/>
        </w:rPr>
        <w:t>1．依照法律规定或你方与投标人的另行约定，全部或者部分免除投标人投标保证金义务时，我方亦免除相应的保证责任。</w:t>
      </w:r>
    </w:p>
    <w:p>
      <w:pPr>
        <w:spacing w:line="360" w:lineRule="auto"/>
        <w:ind w:firstLine="480" w:firstLineChars="200"/>
        <w:rPr>
          <w:color w:val="000000"/>
          <w:sz w:val="24"/>
          <w:highlight w:val="none"/>
        </w:rPr>
      </w:pPr>
      <w:r>
        <w:rPr>
          <w:rFonts w:hint="eastAsia"/>
          <w:color w:val="000000"/>
          <w:sz w:val="24"/>
          <w:highlight w:val="none"/>
        </w:rPr>
        <w:t>2．因你方原因致使投标人发生本保函第一条第（一）款约定情形的，我方不承担保证责任。</w:t>
      </w:r>
    </w:p>
    <w:p>
      <w:pPr>
        <w:spacing w:line="360" w:lineRule="auto"/>
        <w:ind w:firstLine="480" w:firstLineChars="200"/>
        <w:rPr>
          <w:color w:val="000000"/>
          <w:sz w:val="24"/>
          <w:highlight w:val="none"/>
        </w:rPr>
      </w:pPr>
      <w:r>
        <w:rPr>
          <w:rFonts w:hint="eastAsia"/>
          <w:color w:val="000000"/>
          <w:sz w:val="24"/>
          <w:highlight w:val="none"/>
        </w:rPr>
        <w:t>3．因不可抗力造成投标人发生本保函第一条约定情形的，我方不承担保证责任。</w:t>
      </w:r>
    </w:p>
    <w:p>
      <w:pPr>
        <w:spacing w:line="360" w:lineRule="auto"/>
        <w:ind w:firstLine="480" w:firstLineChars="200"/>
        <w:rPr>
          <w:color w:val="000000"/>
          <w:sz w:val="24"/>
          <w:highlight w:val="none"/>
        </w:rPr>
      </w:pPr>
      <w:r>
        <w:rPr>
          <w:rFonts w:hint="eastAsia"/>
          <w:color w:val="000000"/>
          <w:sz w:val="24"/>
          <w:highlight w:val="none"/>
        </w:rPr>
        <w:t xml:space="preserve">4．你方或其他有权机关对招标文件进行任何澄清或修改，加重我方保证责任的，我方对加重部分不承担保证责任，但该澄清或修改经我方事先书面同意的除外。 </w:t>
      </w:r>
    </w:p>
    <w:p>
      <w:pPr>
        <w:spacing w:line="360" w:lineRule="auto"/>
        <w:ind w:firstLine="480" w:firstLineChars="200"/>
        <w:rPr>
          <w:color w:val="000000"/>
          <w:sz w:val="24"/>
          <w:highlight w:val="none"/>
        </w:rPr>
      </w:pPr>
      <w:r>
        <w:rPr>
          <w:rFonts w:hint="eastAsia"/>
          <w:color w:val="000000"/>
          <w:sz w:val="24"/>
          <w:highlight w:val="none"/>
        </w:rPr>
        <w:t>六、争议的解决</w:t>
      </w:r>
    </w:p>
    <w:p>
      <w:pPr>
        <w:spacing w:line="360" w:lineRule="auto"/>
        <w:ind w:firstLine="480" w:firstLineChars="200"/>
        <w:rPr>
          <w:color w:val="000000"/>
          <w:sz w:val="24"/>
          <w:highlight w:val="none"/>
        </w:rPr>
      </w:pPr>
      <w:r>
        <w:rPr>
          <w:rFonts w:hint="eastAsia"/>
          <w:color w:val="000000"/>
          <w:sz w:val="24"/>
          <w:highlight w:val="none"/>
        </w:rPr>
        <w:t xml:space="preserve">因本保函发生的纠纷，由你我双方协商解决，协商不成的，通过诉讼程序解决，诉讼管辖地法院为________________法院。 </w:t>
      </w:r>
    </w:p>
    <w:p>
      <w:pPr>
        <w:spacing w:line="360" w:lineRule="auto"/>
        <w:ind w:firstLine="480" w:firstLineChars="200"/>
        <w:rPr>
          <w:color w:val="000000"/>
          <w:sz w:val="24"/>
          <w:highlight w:val="none"/>
        </w:rPr>
      </w:pPr>
      <w:r>
        <w:rPr>
          <w:rFonts w:hint="eastAsia"/>
          <w:color w:val="000000"/>
          <w:sz w:val="24"/>
          <w:highlight w:val="none"/>
        </w:rPr>
        <w:t xml:space="preserve">七、保函的生效 </w:t>
      </w:r>
    </w:p>
    <w:p>
      <w:pPr>
        <w:spacing w:line="360" w:lineRule="auto"/>
        <w:ind w:firstLine="480" w:firstLineChars="200"/>
        <w:rPr>
          <w:color w:val="000000"/>
          <w:sz w:val="24"/>
          <w:highlight w:val="none"/>
        </w:rPr>
      </w:pPr>
      <w:r>
        <w:rPr>
          <w:rFonts w:hint="eastAsia"/>
          <w:color w:val="000000"/>
          <w:sz w:val="24"/>
          <w:highlight w:val="none"/>
        </w:rPr>
        <w:t xml:space="preserve">本保函自我方加盖公章之日起生效。 </w:t>
      </w:r>
    </w:p>
    <w:p>
      <w:pPr>
        <w:spacing w:line="360" w:lineRule="auto"/>
        <w:rPr>
          <w:color w:val="000000"/>
          <w:sz w:val="24"/>
          <w:highlight w:val="none"/>
        </w:rPr>
      </w:pPr>
    </w:p>
    <w:p>
      <w:pPr>
        <w:spacing w:line="360" w:lineRule="auto"/>
        <w:rPr>
          <w:color w:val="000000"/>
          <w:sz w:val="24"/>
          <w:highlight w:val="none"/>
        </w:rPr>
      </w:pPr>
    </w:p>
    <w:p>
      <w:pPr>
        <w:spacing w:line="360" w:lineRule="auto"/>
        <w:ind w:right="640" w:firstLine="4440" w:firstLineChars="1850"/>
        <w:rPr>
          <w:color w:val="000000"/>
          <w:sz w:val="24"/>
          <w:highlight w:val="none"/>
        </w:rPr>
      </w:pPr>
      <w:r>
        <w:rPr>
          <w:rFonts w:hint="eastAsia"/>
          <w:color w:val="000000"/>
          <w:sz w:val="24"/>
          <w:highlight w:val="none"/>
        </w:rPr>
        <w:t>保证人：（单位公章）</w:t>
      </w:r>
    </w:p>
    <w:p>
      <w:pPr>
        <w:spacing w:line="360" w:lineRule="auto"/>
        <w:ind w:right="640"/>
        <w:rPr>
          <w:color w:val="000000"/>
          <w:sz w:val="24"/>
          <w:highlight w:val="none"/>
        </w:rPr>
      </w:pPr>
    </w:p>
    <w:p>
      <w:pPr>
        <w:spacing w:line="360" w:lineRule="auto"/>
        <w:ind w:right="640" w:firstLine="5760" w:firstLineChars="2400"/>
        <w:rPr>
          <w:color w:val="000000"/>
          <w:sz w:val="24"/>
          <w:highlight w:val="none"/>
        </w:rPr>
      </w:pPr>
      <w:r>
        <w:rPr>
          <w:rFonts w:hint="eastAsia"/>
          <w:color w:val="000000"/>
          <w:sz w:val="24"/>
          <w:highlight w:val="none"/>
        </w:rPr>
        <w:t>年  月  日</w:t>
      </w:r>
    </w:p>
    <w:p>
      <w:pPr>
        <w:pStyle w:val="22"/>
        <w:spacing w:line="340" w:lineRule="exact"/>
        <w:ind w:firstLine="241" w:firstLineChars="100"/>
        <w:rPr>
          <w:rFonts w:ascii="Times New Roman" w:eastAsia="宋体"/>
          <w:color w:val="000000"/>
          <w:sz w:val="24"/>
          <w:szCs w:val="24"/>
          <w:highlight w:val="none"/>
        </w:rPr>
      </w:pPr>
    </w:p>
    <w:p>
      <w:pPr>
        <w:pStyle w:val="22"/>
        <w:spacing w:line="340" w:lineRule="exact"/>
        <w:ind w:firstLine="240" w:firstLineChars="100"/>
        <w:rPr>
          <w:rFonts w:ascii="Times New Roman" w:eastAsia="宋体"/>
          <w:b w:val="0"/>
          <w:color w:val="000000"/>
          <w:sz w:val="24"/>
          <w:szCs w:val="24"/>
          <w:highlight w:val="none"/>
        </w:rPr>
      </w:pPr>
      <w:r>
        <w:rPr>
          <w:rFonts w:hint="eastAsia" w:ascii="Times New Roman" w:eastAsia="宋体"/>
          <w:b w:val="0"/>
          <w:color w:val="000000"/>
          <w:sz w:val="24"/>
          <w:szCs w:val="24"/>
          <w:highlight w:val="none"/>
        </w:rPr>
        <w:t>说明：1.仅适用于采用投标担保方式交纳投标保证金的投标人；</w:t>
      </w:r>
    </w:p>
    <w:p>
      <w:pPr>
        <w:pStyle w:val="22"/>
        <w:spacing w:line="340" w:lineRule="exact"/>
        <w:ind w:firstLine="960" w:firstLineChars="400"/>
        <w:rPr>
          <w:rFonts w:ascii="Times New Roman" w:eastAsia="宋体"/>
          <w:b w:val="0"/>
          <w:color w:val="000000"/>
          <w:sz w:val="24"/>
          <w:szCs w:val="24"/>
          <w:highlight w:val="none"/>
        </w:rPr>
      </w:pPr>
      <w:r>
        <w:rPr>
          <w:rFonts w:hint="eastAsia" w:ascii="Times New Roman" w:eastAsia="宋体"/>
          <w:b w:val="0"/>
          <w:color w:val="000000"/>
          <w:sz w:val="24"/>
          <w:szCs w:val="24"/>
          <w:highlight w:val="none"/>
        </w:rPr>
        <w:t>2.保证人应当为陕西省或西安市有关政府部门指定的担保单位。</w:t>
      </w:r>
    </w:p>
    <w:p>
      <w:pPr>
        <w:adjustRightInd w:val="0"/>
        <w:snapToGrid w:val="0"/>
        <w:spacing w:line="360" w:lineRule="auto"/>
        <w:rPr>
          <w:rFonts w:cs="宋体"/>
          <w:bCs/>
          <w:color w:val="000000"/>
          <w:szCs w:val="21"/>
          <w:highlight w:val="none"/>
        </w:rPr>
      </w:pPr>
    </w:p>
    <w:p>
      <w:pPr>
        <w:adjustRightInd w:val="0"/>
        <w:snapToGrid w:val="0"/>
        <w:spacing w:line="360" w:lineRule="auto"/>
        <w:ind w:firstLine="525" w:firstLineChars="250"/>
        <w:rPr>
          <w:rFonts w:cs="宋体"/>
          <w:bCs/>
          <w:color w:val="000000"/>
          <w:szCs w:val="21"/>
          <w:highlight w:val="none"/>
        </w:rPr>
      </w:pPr>
    </w:p>
    <w:p>
      <w:pPr>
        <w:spacing w:line="360" w:lineRule="auto"/>
        <w:ind w:firstLine="480" w:firstLineChars="200"/>
        <w:jc w:val="left"/>
        <w:rPr>
          <w:color w:val="000000"/>
          <w:sz w:val="24"/>
          <w:highlight w:val="none"/>
        </w:rPr>
      </w:pPr>
    </w:p>
    <w:p>
      <w:pPr>
        <w:spacing w:line="360" w:lineRule="auto"/>
        <w:ind w:firstLine="480" w:firstLineChars="200"/>
        <w:jc w:val="left"/>
        <w:rPr>
          <w:color w:val="000000"/>
          <w:sz w:val="24"/>
          <w:highlight w:val="none"/>
        </w:rPr>
      </w:pPr>
    </w:p>
    <w:p>
      <w:pPr>
        <w:spacing w:line="360" w:lineRule="auto"/>
        <w:ind w:firstLine="480" w:firstLineChars="200"/>
        <w:jc w:val="left"/>
        <w:rPr>
          <w:color w:val="000000"/>
          <w:sz w:val="24"/>
          <w:highlight w:val="none"/>
        </w:rPr>
      </w:pPr>
    </w:p>
    <w:p>
      <w:pPr>
        <w:spacing w:line="360" w:lineRule="auto"/>
        <w:jc w:val="center"/>
        <w:outlineLvl w:val="0"/>
        <w:rPr>
          <w:b/>
          <w:color w:val="000000"/>
          <w:sz w:val="36"/>
          <w:szCs w:val="36"/>
          <w:highlight w:val="none"/>
        </w:rPr>
        <w:sectPr>
          <w:headerReference r:id="rId7" w:type="first"/>
          <w:footerReference r:id="rId9" w:type="first"/>
          <w:footerReference r:id="rId8" w:type="default"/>
          <w:pgSz w:w="11906" w:h="16838"/>
          <w:pgMar w:top="1440" w:right="1587" w:bottom="1440" w:left="1587" w:header="851" w:footer="992" w:gutter="0"/>
          <w:cols w:space="720" w:num="1"/>
          <w:titlePg/>
          <w:docGrid w:linePitch="312" w:charSpace="0"/>
        </w:sectPr>
      </w:pPr>
    </w:p>
    <w:p>
      <w:pPr>
        <w:spacing w:before="240" w:beforeLines="100" w:after="240" w:afterLines="100"/>
        <w:jc w:val="center"/>
        <w:outlineLvl w:val="0"/>
        <w:rPr>
          <w:b/>
          <w:color w:val="000000"/>
          <w:sz w:val="36"/>
          <w:szCs w:val="36"/>
          <w:highlight w:val="none"/>
        </w:rPr>
      </w:pPr>
      <w:bookmarkStart w:id="136" w:name="_Toc18053"/>
      <w:r>
        <w:rPr>
          <w:b/>
          <w:color w:val="000000"/>
          <w:sz w:val="36"/>
          <w:szCs w:val="36"/>
          <w:highlight w:val="none"/>
        </w:rPr>
        <w:t>第三</w:t>
      </w:r>
      <w:r>
        <w:rPr>
          <w:rFonts w:hint="eastAsia"/>
          <w:b/>
          <w:color w:val="000000"/>
          <w:sz w:val="36"/>
          <w:szCs w:val="36"/>
          <w:highlight w:val="none"/>
        </w:rPr>
        <w:t>章</w:t>
      </w:r>
      <w:r>
        <w:rPr>
          <w:b/>
          <w:color w:val="000000"/>
          <w:sz w:val="36"/>
          <w:szCs w:val="36"/>
          <w:highlight w:val="none"/>
        </w:rPr>
        <w:t xml:space="preserve"> 磋商与评审办法</w:t>
      </w:r>
      <w:bookmarkEnd w:id="136"/>
    </w:p>
    <w:p>
      <w:pPr>
        <w:spacing w:line="360" w:lineRule="auto"/>
        <w:ind w:firstLine="480" w:firstLineChars="200"/>
        <w:rPr>
          <w:color w:val="000000"/>
          <w:sz w:val="24"/>
          <w:highlight w:val="none"/>
        </w:rPr>
      </w:pPr>
      <w:r>
        <w:rPr>
          <w:color w:val="000000"/>
          <w:sz w:val="24"/>
          <w:highlight w:val="none"/>
        </w:rPr>
        <w:t>根据《中华人民共和国政府采购法》及其实施条例和《政府采购竞争性磋商采购方式管理暂行办法》（财政部财库【2014】215号文件）等法律法规规定，结合采购项目特点，制定本磋商内容和评审办法。</w:t>
      </w:r>
    </w:p>
    <w:p>
      <w:pPr>
        <w:spacing w:line="360" w:lineRule="auto"/>
        <w:rPr>
          <w:b/>
          <w:color w:val="000000"/>
          <w:sz w:val="30"/>
          <w:szCs w:val="30"/>
          <w:highlight w:val="none"/>
        </w:rPr>
      </w:pPr>
      <w:r>
        <w:rPr>
          <w:b/>
          <w:color w:val="000000"/>
          <w:sz w:val="30"/>
          <w:szCs w:val="30"/>
          <w:highlight w:val="none"/>
        </w:rPr>
        <w:t>一、总则</w:t>
      </w:r>
    </w:p>
    <w:p>
      <w:pPr>
        <w:pStyle w:val="6"/>
        <w:keepLines/>
        <w:spacing w:line="360" w:lineRule="auto"/>
        <w:rPr>
          <w:b/>
          <w:bCs/>
          <w:color w:val="000000"/>
          <w:sz w:val="24"/>
          <w:szCs w:val="24"/>
          <w:highlight w:val="none"/>
          <w:u w:val="none"/>
        </w:rPr>
      </w:pPr>
      <w:r>
        <w:rPr>
          <w:b/>
          <w:bCs/>
          <w:color w:val="000000"/>
          <w:sz w:val="24"/>
          <w:szCs w:val="24"/>
          <w:highlight w:val="none"/>
          <w:u w:val="none"/>
        </w:rPr>
        <w:t>1.磋商原则</w:t>
      </w:r>
    </w:p>
    <w:p>
      <w:pPr>
        <w:tabs>
          <w:tab w:val="left" w:pos="0"/>
        </w:tabs>
        <w:adjustRightInd w:val="0"/>
        <w:snapToGrid w:val="0"/>
        <w:spacing w:line="360" w:lineRule="auto"/>
        <w:ind w:firstLine="470" w:firstLineChars="196"/>
        <w:rPr>
          <w:color w:val="000000"/>
          <w:sz w:val="24"/>
          <w:highlight w:val="none"/>
        </w:rPr>
      </w:pPr>
      <w:r>
        <w:rPr>
          <w:color w:val="000000"/>
          <w:sz w:val="24"/>
          <w:highlight w:val="none"/>
        </w:rPr>
        <w:t>1.1“公平、公正、择优、效益”为本次磋商的基本原则，磋商小组按照这一原则的要求，公正、平等地对待各供应商。同时，在磋商中恪守以下原则：</w:t>
      </w:r>
    </w:p>
    <w:p>
      <w:pPr>
        <w:tabs>
          <w:tab w:val="left" w:pos="0"/>
        </w:tabs>
        <w:adjustRightInd w:val="0"/>
        <w:snapToGrid w:val="0"/>
        <w:spacing w:line="360" w:lineRule="auto"/>
        <w:ind w:firstLine="470" w:firstLineChars="196"/>
        <w:rPr>
          <w:color w:val="000000"/>
          <w:sz w:val="24"/>
          <w:highlight w:val="none"/>
        </w:rPr>
      </w:pPr>
      <w:r>
        <w:rPr>
          <w:color w:val="000000"/>
          <w:sz w:val="24"/>
          <w:highlight w:val="none"/>
        </w:rPr>
        <w:t>（1）统一性原则：磋商小组将按照统一的磋商原则和方法，用统一标准进行评审。</w:t>
      </w:r>
    </w:p>
    <w:p>
      <w:pPr>
        <w:tabs>
          <w:tab w:val="left" w:pos="0"/>
        </w:tabs>
        <w:adjustRightInd w:val="0"/>
        <w:snapToGrid w:val="0"/>
        <w:spacing w:line="360" w:lineRule="auto"/>
        <w:ind w:firstLine="470" w:firstLineChars="196"/>
        <w:rPr>
          <w:color w:val="000000"/>
          <w:sz w:val="24"/>
          <w:highlight w:val="none"/>
        </w:rPr>
      </w:pPr>
      <w:r>
        <w:rPr>
          <w:color w:val="000000"/>
          <w:sz w:val="24"/>
          <w:highlight w:val="none"/>
        </w:rPr>
        <w:t>（2）独立性原则:磋商工作在磋商小组内部独立进行，不受外界任何因素的干扰和影响。磋商小组成员对其出具的意见承担个人责任。</w:t>
      </w:r>
      <w:r>
        <w:rPr>
          <w:color w:val="000000"/>
          <w:kern w:val="0"/>
          <w:sz w:val="24"/>
          <w:highlight w:val="none"/>
        </w:rPr>
        <w:t>供应商试图影响或干预评审的任何行为，将导致其丧失磋商的资格，并承担相应的法律责任。</w:t>
      </w:r>
    </w:p>
    <w:p>
      <w:pPr>
        <w:spacing w:line="360" w:lineRule="auto"/>
        <w:ind w:firstLine="480" w:firstLineChars="200"/>
        <w:rPr>
          <w:color w:val="000000"/>
          <w:sz w:val="24"/>
          <w:highlight w:val="none"/>
        </w:rPr>
      </w:pPr>
      <w:r>
        <w:rPr>
          <w:color w:val="000000"/>
          <w:sz w:val="24"/>
          <w:highlight w:val="none"/>
        </w:rPr>
        <w:t>（3）物有所值原则：通过第一轮的报价，激发供应商展开竞争，进一步优化方案，并使报价符合预期目标。</w:t>
      </w:r>
    </w:p>
    <w:p>
      <w:pPr>
        <w:tabs>
          <w:tab w:val="left" w:pos="0"/>
        </w:tabs>
        <w:adjustRightInd w:val="0"/>
        <w:snapToGrid w:val="0"/>
        <w:spacing w:line="360" w:lineRule="auto"/>
        <w:ind w:firstLine="470" w:firstLineChars="196"/>
        <w:rPr>
          <w:color w:val="000000"/>
          <w:sz w:val="24"/>
          <w:highlight w:val="none"/>
        </w:rPr>
      </w:pPr>
      <w:r>
        <w:rPr>
          <w:color w:val="000000"/>
          <w:sz w:val="24"/>
          <w:highlight w:val="none"/>
        </w:rPr>
        <w:t>（4）客观性原则：磋商小组将严格按照磋商文件要求，对供应商的响应文件进行认真评审；磋商小组对响应文件的评审仅依据响应文件本身，而不依据响应文件以外的任何因素。</w:t>
      </w:r>
    </w:p>
    <w:p>
      <w:pPr>
        <w:tabs>
          <w:tab w:val="left" w:pos="0"/>
        </w:tabs>
        <w:adjustRightInd w:val="0"/>
        <w:snapToGrid w:val="0"/>
        <w:spacing w:line="360" w:lineRule="auto"/>
        <w:ind w:firstLine="470" w:firstLineChars="196"/>
        <w:rPr>
          <w:color w:val="000000"/>
          <w:sz w:val="24"/>
          <w:highlight w:val="none"/>
        </w:rPr>
      </w:pPr>
      <w:r>
        <w:rPr>
          <w:color w:val="000000"/>
          <w:sz w:val="24"/>
          <w:highlight w:val="none"/>
        </w:rPr>
        <w:t>（5）保密性原则：采购代理机构应当采取必要的措施，保证评审在严格保密情况下进行。</w:t>
      </w:r>
    </w:p>
    <w:p>
      <w:pPr>
        <w:tabs>
          <w:tab w:val="left" w:pos="0"/>
        </w:tabs>
        <w:adjustRightInd w:val="0"/>
        <w:snapToGrid w:val="0"/>
        <w:spacing w:line="360" w:lineRule="auto"/>
        <w:ind w:firstLine="470" w:firstLineChars="196"/>
        <w:rPr>
          <w:color w:val="000000"/>
          <w:sz w:val="24"/>
          <w:highlight w:val="none"/>
        </w:rPr>
      </w:pPr>
      <w:r>
        <w:rPr>
          <w:color w:val="000000"/>
          <w:sz w:val="24"/>
          <w:highlight w:val="none"/>
        </w:rPr>
        <w:t>（6）综合性原则：磋商小组将综合分析、评审供应商的各项指标，而不以单项指标的优劣评定出</w:t>
      </w:r>
      <w:r>
        <w:rPr>
          <w:rFonts w:hint="eastAsia"/>
          <w:color w:val="000000"/>
          <w:sz w:val="24"/>
          <w:highlight w:val="none"/>
        </w:rPr>
        <w:t>成交</w:t>
      </w:r>
      <w:r>
        <w:rPr>
          <w:color w:val="000000"/>
          <w:sz w:val="24"/>
          <w:highlight w:val="none"/>
        </w:rPr>
        <w:t>服务供应商。</w:t>
      </w:r>
    </w:p>
    <w:p>
      <w:pPr>
        <w:spacing w:line="360" w:lineRule="auto"/>
        <w:ind w:firstLine="480" w:firstLineChars="200"/>
        <w:rPr>
          <w:color w:val="000000"/>
          <w:sz w:val="24"/>
          <w:highlight w:val="none"/>
        </w:rPr>
      </w:pPr>
      <w:r>
        <w:rPr>
          <w:color w:val="000000"/>
          <w:sz w:val="24"/>
          <w:highlight w:val="none"/>
        </w:rPr>
        <w:t>1.2磋商小组有权对整个磋商和评审过程中出现的所有问题，可根据《中华人民共和国政府采购法》及实施条例和《政府采购竞争性磋商采购方式管理暂行办法》等相关规定进行处理。</w:t>
      </w:r>
    </w:p>
    <w:p>
      <w:pPr>
        <w:pStyle w:val="6"/>
        <w:keepLines/>
        <w:spacing w:line="360" w:lineRule="auto"/>
        <w:rPr>
          <w:b/>
          <w:bCs/>
          <w:color w:val="000000"/>
          <w:sz w:val="24"/>
          <w:szCs w:val="24"/>
          <w:highlight w:val="none"/>
          <w:u w:val="none"/>
        </w:rPr>
      </w:pPr>
      <w:r>
        <w:rPr>
          <w:b/>
          <w:bCs/>
          <w:color w:val="000000"/>
          <w:sz w:val="24"/>
          <w:szCs w:val="24"/>
          <w:highlight w:val="none"/>
          <w:u w:val="none"/>
        </w:rPr>
        <w:t>2.磋商人员职责</w:t>
      </w:r>
    </w:p>
    <w:p>
      <w:pPr>
        <w:spacing w:line="360" w:lineRule="auto"/>
        <w:ind w:firstLine="480" w:firstLineChars="200"/>
        <w:rPr>
          <w:color w:val="000000"/>
          <w:sz w:val="24"/>
          <w:highlight w:val="none"/>
        </w:rPr>
      </w:pPr>
      <w:r>
        <w:rPr>
          <w:color w:val="000000"/>
          <w:sz w:val="24"/>
          <w:highlight w:val="none"/>
        </w:rPr>
        <w:t>2.1 磋商小组独立履行下列职责：</w:t>
      </w:r>
    </w:p>
    <w:p>
      <w:pPr>
        <w:spacing w:line="360" w:lineRule="auto"/>
        <w:ind w:firstLine="480" w:firstLineChars="200"/>
        <w:rPr>
          <w:color w:val="000000"/>
          <w:sz w:val="24"/>
          <w:highlight w:val="none"/>
        </w:rPr>
      </w:pPr>
      <w:r>
        <w:rPr>
          <w:color w:val="000000"/>
          <w:sz w:val="24"/>
          <w:highlight w:val="none"/>
        </w:rPr>
        <w:t>（1）审查、评价响应文件是否符合磋商文件的商务、技术、服务等实质性要求；</w:t>
      </w:r>
    </w:p>
    <w:p>
      <w:pPr>
        <w:spacing w:line="360" w:lineRule="auto"/>
        <w:ind w:firstLine="480" w:firstLineChars="200"/>
        <w:rPr>
          <w:color w:val="000000"/>
          <w:sz w:val="24"/>
          <w:highlight w:val="none"/>
        </w:rPr>
      </w:pPr>
      <w:r>
        <w:rPr>
          <w:color w:val="000000"/>
          <w:sz w:val="24"/>
          <w:highlight w:val="none"/>
        </w:rPr>
        <w:t>（2）要求供应商对响应文件有关事项作出解释或者澄清；</w:t>
      </w:r>
    </w:p>
    <w:p>
      <w:pPr>
        <w:spacing w:line="360" w:lineRule="auto"/>
        <w:ind w:firstLine="480" w:firstLineChars="200"/>
        <w:rPr>
          <w:color w:val="000000"/>
          <w:sz w:val="24"/>
          <w:highlight w:val="none"/>
        </w:rPr>
      </w:pPr>
      <w:r>
        <w:rPr>
          <w:color w:val="000000"/>
          <w:sz w:val="24"/>
          <w:highlight w:val="none"/>
        </w:rPr>
        <w:t>（3）与</w:t>
      </w:r>
      <w:r>
        <w:rPr>
          <w:rFonts w:hint="eastAsia"/>
          <w:color w:val="000000"/>
          <w:sz w:val="24"/>
          <w:highlight w:val="none"/>
        </w:rPr>
        <w:t>成交</w:t>
      </w:r>
      <w:r>
        <w:rPr>
          <w:color w:val="000000"/>
          <w:sz w:val="24"/>
          <w:highlight w:val="none"/>
        </w:rPr>
        <w:t>服务的供应商进行技术和商务磋商；</w:t>
      </w:r>
    </w:p>
    <w:p>
      <w:pPr>
        <w:spacing w:line="360" w:lineRule="auto"/>
        <w:ind w:firstLine="480" w:firstLineChars="200"/>
        <w:rPr>
          <w:color w:val="000000"/>
          <w:sz w:val="24"/>
          <w:highlight w:val="none"/>
        </w:rPr>
      </w:pPr>
      <w:r>
        <w:rPr>
          <w:color w:val="000000"/>
          <w:sz w:val="24"/>
          <w:highlight w:val="none"/>
        </w:rPr>
        <w:t>（4）对响应文件进行比较和评价；</w:t>
      </w:r>
    </w:p>
    <w:p>
      <w:pPr>
        <w:spacing w:line="360" w:lineRule="auto"/>
        <w:ind w:firstLine="480" w:firstLineChars="200"/>
        <w:rPr>
          <w:color w:val="000000"/>
          <w:sz w:val="24"/>
          <w:highlight w:val="none"/>
        </w:rPr>
      </w:pPr>
      <w:r>
        <w:rPr>
          <w:color w:val="000000"/>
          <w:sz w:val="24"/>
          <w:highlight w:val="none"/>
        </w:rPr>
        <w:t>（5）推荐</w:t>
      </w:r>
      <w:r>
        <w:rPr>
          <w:rFonts w:hint="eastAsia"/>
          <w:color w:val="000000"/>
          <w:sz w:val="24"/>
          <w:highlight w:val="none"/>
        </w:rPr>
        <w:t>成交</w:t>
      </w:r>
      <w:r>
        <w:rPr>
          <w:color w:val="000000"/>
          <w:sz w:val="24"/>
          <w:highlight w:val="none"/>
        </w:rPr>
        <w:t>服务候选供应商名单，或者根据采购人委托直接确定</w:t>
      </w:r>
      <w:r>
        <w:rPr>
          <w:rFonts w:hint="eastAsia"/>
          <w:color w:val="000000"/>
          <w:sz w:val="24"/>
          <w:highlight w:val="none"/>
        </w:rPr>
        <w:t>成交</w:t>
      </w:r>
      <w:r>
        <w:rPr>
          <w:color w:val="000000"/>
          <w:sz w:val="24"/>
          <w:highlight w:val="none"/>
        </w:rPr>
        <w:t>服务供应商；</w:t>
      </w:r>
    </w:p>
    <w:p>
      <w:pPr>
        <w:spacing w:line="360" w:lineRule="auto"/>
        <w:ind w:firstLine="480" w:firstLineChars="200"/>
        <w:rPr>
          <w:color w:val="000000"/>
          <w:sz w:val="24"/>
          <w:highlight w:val="none"/>
        </w:rPr>
      </w:pPr>
      <w:r>
        <w:rPr>
          <w:color w:val="000000"/>
          <w:sz w:val="24"/>
          <w:highlight w:val="none"/>
        </w:rPr>
        <w:t>（6）向采购人、采购代理机构或者有关部门报告非法干预评审工作的行为。</w:t>
      </w:r>
    </w:p>
    <w:p>
      <w:pPr>
        <w:pStyle w:val="15"/>
        <w:shd w:val="clear" w:color="auto" w:fill="FFFFFF"/>
        <w:spacing w:before="0" w:beforeAutospacing="0" w:after="0" w:afterAutospacing="0" w:line="360" w:lineRule="auto"/>
        <w:ind w:left="479" w:leftChars="228"/>
        <w:rPr>
          <w:rFonts w:ascii="Times New Roman" w:hAnsi="Times New Roman"/>
          <w:color w:val="000000"/>
          <w:kern w:val="2"/>
          <w:szCs w:val="24"/>
          <w:highlight w:val="none"/>
        </w:rPr>
      </w:pPr>
      <w:r>
        <w:rPr>
          <w:rFonts w:ascii="Times New Roman" w:hAnsi="Times New Roman"/>
          <w:color w:val="000000"/>
          <w:highlight w:val="none"/>
        </w:rPr>
        <w:t>2.2</w:t>
      </w:r>
      <w:r>
        <w:rPr>
          <w:rFonts w:ascii="Times New Roman" w:hAnsi="Times New Roman"/>
          <w:color w:val="000000"/>
          <w:kern w:val="2"/>
          <w:szCs w:val="24"/>
          <w:highlight w:val="none"/>
        </w:rPr>
        <w:t>采购代理机构负责组织磋商工作并履行下列职责：</w:t>
      </w:r>
    </w:p>
    <w:p>
      <w:pPr>
        <w:pStyle w:val="15"/>
        <w:shd w:val="clear" w:color="auto" w:fill="FFFFFF"/>
        <w:spacing w:before="0" w:beforeAutospacing="0" w:after="0" w:afterAutospacing="0" w:line="360" w:lineRule="auto"/>
        <w:ind w:left="479" w:leftChars="228"/>
        <w:rPr>
          <w:rFonts w:ascii="Times New Roman" w:hAnsi="Times New Roman"/>
          <w:color w:val="000000"/>
          <w:kern w:val="2"/>
          <w:szCs w:val="24"/>
          <w:highlight w:val="none"/>
        </w:rPr>
      </w:pPr>
      <w:r>
        <w:rPr>
          <w:rFonts w:ascii="Times New Roman" w:hAnsi="Times New Roman"/>
          <w:color w:val="000000"/>
          <w:kern w:val="2"/>
          <w:szCs w:val="24"/>
          <w:highlight w:val="none"/>
        </w:rPr>
        <w:t>（1）核对磋商小组成员身份和采购人代表授权函；</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（2）宣布磋商纪律；</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（3）公布响应供应商名单，告知磋商小组成员应当回避的情形；</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（4）组织磋商小组成员推选磋商小组组长，采购人代表不得担任组长；</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（5）集中保管磋商小组成员及现场工作人员的通讯工具；</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（6）根据磋商小组的要求介绍政府采购相关政策法规、磋商文件；</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（7）维护磋商秩序，监督磋商小组依照磋商文件规定的磋商程序、评审方法和标准进行独立评审，对采购人代表、磋商小组成员的倾向性言论或违法违规行为及时制止和纠正；</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（8）核对磋商结果，有本章第11.8条规定情形的，要求磋商小组复核或书面说明理由，磋商小组拒绝的，应予记录并向采购人本级财政部门报告；</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（9）处理与磋商有关的其他事项。</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2.3采购人可以在磋商前介绍项目背景和采购需求，介绍内容不得含有歧视性、倾向性意见，不得超出磋商件所述范围。介绍应当提交书面介绍材料，并随采购文件一并存档。</w:t>
      </w:r>
    </w:p>
    <w:p>
      <w:pPr>
        <w:widowControl/>
        <w:autoSpaceDE w:val="0"/>
        <w:autoSpaceDN w:val="0"/>
        <w:spacing w:line="360" w:lineRule="auto"/>
        <w:ind w:right="51" w:firstLine="480" w:firstLineChars="200"/>
        <w:textAlignment w:val="bottom"/>
        <w:rPr>
          <w:color w:val="000000"/>
          <w:sz w:val="24"/>
          <w:highlight w:val="none"/>
        </w:rPr>
      </w:pPr>
      <w:r>
        <w:rPr>
          <w:color w:val="000000"/>
          <w:sz w:val="24"/>
          <w:highlight w:val="none"/>
        </w:rPr>
        <w:t>2.4磋商小组及其成员，在磋商中不得有下列行为：</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（1）确定参与磋商至磋商结束前私自接触供应商；</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（2）接受供应商提出的与磋商文件不一致的澄清和说明；</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（3）征询采购人的倾向性意见；</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（4）对主观评审因素协商评分；</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（5）对客观评审因素评分不一致；</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（6）在磋商过程中擅离职守，影响磋商程序正常进行的；</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（7）记录、复制或带走任何评审资料。</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szCs w:val="24"/>
          <w:highlight w:val="none"/>
        </w:rPr>
        <w:t>磋商小组成员有前款第一至四项行为之一的，其评审意见无效。</w:t>
      </w:r>
    </w:p>
    <w:p>
      <w:pPr>
        <w:spacing w:line="360" w:lineRule="auto"/>
        <w:rPr>
          <w:b/>
          <w:color w:val="000000"/>
          <w:sz w:val="30"/>
          <w:szCs w:val="30"/>
          <w:highlight w:val="none"/>
        </w:rPr>
      </w:pPr>
      <w:r>
        <w:rPr>
          <w:b/>
          <w:color w:val="000000"/>
          <w:sz w:val="30"/>
          <w:szCs w:val="30"/>
          <w:highlight w:val="none"/>
        </w:rPr>
        <w:t>二、磋商步骤与评审方法</w:t>
      </w:r>
    </w:p>
    <w:p>
      <w:pPr>
        <w:pStyle w:val="6"/>
        <w:keepLines/>
        <w:spacing w:line="360" w:lineRule="auto"/>
        <w:rPr>
          <w:b/>
          <w:bCs/>
          <w:color w:val="000000"/>
          <w:sz w:val="24"/>
          <w:szCs w:val="24"/>
          <w:highlight w:val="none"/>
          <w:u w:val="none"/>
        </w:rPr>
      </w:pPr>
      <w:bookmarkStart w:id="137" w:name="_Toc485883247"/>
      <w:r>
        <w:rPr>
          <w:b/>
          <w:bCs/>
          <w:color w:val="000000"/>
          <w:sz w:val="24"/>
          <w:szCs w:val="24"/>
          <w:highlight w:val="none"/>
          <w:u w:val="none"/>
        </w:rPr>
        <w:t>3.响应文件初审</w:t>
      </w:r>
      <w:bookmarkEnd w:id="137"/>
    </w:p>
    <w:p>
      <w:pPr>
        <w:tabs>
          <w:tab w:val="left" w:pos="0"/>
        </w:tabs>
        <w:adjustRightInd w:val="0"/>
        <w:snapToGrid w:val="0"/>
        <w:spacing w:line="360" w:lineRule="auto"/>
        <w:ind w:firstLine="470" w:firstLineChars="196"/>
        <w:rPr>
          <w:bCs/>
          <w:color w:val="000000"/>
          <w:sz w:val="24"/>
          <w:highlight w:val="none"/>
        </w:rPr>
      </w:pPr>
      <w:r>
        <w:rPr>
          <w:color w:val="000000"/>
          <w:sz w:val="24"/>
          <w:highlight w:val="none"/>
        </w:rPr>
        <w:t>3.1资格性审查。磋商小组将依据响应文件，按照响应文件第二章11.1条款所述资格标准对供应商进行资格审查，以确定其是否具备相应资格。</w:t>
      </w:r>
      <w:r>
        <w:rPr>
          <w:color w:val="000000"/>
          <w:kern w:val="0"/>
          <w:sz w:val="24"/>
          <w:highlight w:val="none"/>
        </w:rPr>
        <w:t>如果供应商不具备资格、不满足磋商文件所规定的资格标准或提供资格证明文件不全,将被视为未实质性响应磋商文件。</w:t>
      </w:r>
    </w:p>
    <w:p>
      <w:pPr>
        <w:tabs>
          <w:tab w:val="left" w:pos="0"/>
        </w:tabs>
        <w:adjustRightInd w:val="0"/>
        <w:snapToGrid w:val="0"/>
        <w:spacing w:line="360" w:lineRule="auto"/>
        <w:ind w:firstLine="470" w:firstLineChars="196"/>
        <w:rPr>
          <w:color w:val="000000"/>
          <w:sz w:val="24"/>
          <w:highlight w:val="none"/>
        </w:rPr>
      </w:pPr>
      <w:r>
        <w:rPr>
          <w:color w:val="000000"/>
          <w:sz w:val="24"/>
          <w:highlight w:val="none"/>
        </w:rPr>
        <w:t>3.2符合性审查。磋商小组从响应文件的有效性、完整性和对磋商文件的响应程度进行审查，以确定其是否对磋商文件实质性内容作出响应。符合性审查按下表进行：</w:t>
      </w:r>
    </w:p>
    <w:tbl>
      <w:tblPr>
        <w:tblStyle w:val="1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673"/>
        <w:gridCol w:w="4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51" w:type="dxa"/>
            <w:vAlign w:val="center"/>
          </w:tcPr>
          <w:p>
            <w:pPr>
              <w:spacing w:line="360" w:lineRule="auto"/>
              <w:jc w:val="center"/>
              <w:rPr>
                <w:color w:val="000000"/>
                <w:szCs w:val="21"/>
                <w:highlight w:val="none"/>
              </w:rPr>
            </w:pPr>
            <w:r>
              <w:rPr>
                <w:rFonts w:hint="eastAsia"/>
                <w:color w:val="000000"/>
                <w:szCs w:val="21"/>
                <w:highlight w:val="none"/>
              </w:rPr>
              <w:t>序号</w:t>
            </w:r>
          </w:p>
        </w:tc>
        <w:tc>
          <w:tcPr>
            <w:tcW w:w="3673" w:type="dxa"/>
            <w:vAlign w:val="center"/>
          </w:tcPr>
          <w:p>
            <w:pPr>
              <w:spacing w:line="360" w:lineRule="auto"/>
              <w:jc w:val="center"/>
              <w:rPr>
                <w:color w:val="000000"/>
                <w:szCs w:val="21"/>
                <w:highlight w:val="none"/>
              </w:rPr>
            </w:pPr>
            <w:r>
              <w:rPr>
                <w:rFonts w:hint="eastAsia"/>
                <w:color w:val="000000"/>
                <w:szCs w:val="21"/>
                <w:highlight w:val="none"/>
              </w:rPr>
              <w:t>审查内容</w:t>
            </w:r>
          </w:p>
        </w:tc>
        <w:tc>
          <w:tcPr>
            <w:tcW w:w="4548" w:type="dxa"/>
            <w:vAlign w:val="center"/>
          </w:tcPr>
          <w:p>
            <w:pPr>
              <w:spacing w:line="360" w:lineRule="auto"/>
              <w:jc w:val="center"/>
              <w:rPr>
                <w:color w:val="000000"/>
                <w:szCs w:val="21"/>
                <w:highlight w:val="none"/>
              </w:rPr>
            </w:pPr>
            <w:r>
              <w:rPr>
                <w:rFonts w:hint="eastAsia"/>
                <w:color w:val="000000"/>
                <w:szCs w:val="21"/>
                <w:highlight w:val="none"/>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51" w:type="dxa"/>
            <w:vAlign w:val="center"/>
          </w:tcPr>
          <w:p>
            <w:pPr>
              <w:spacing w:line="360" w:lineRule="auto"/>
              <w:jc w:val="center"/>
              <w:rPr>
                <w:color w:val="000000"/>
                <w:szCs w:val="21"/>
                <w:highlight w:val="none"/>
              </w:rPr>
            </w:pPr>
            <w:r>
              <w:rPr>
                <w:rFonts w:hint="eastAsia"/>
                <w:color w:val="000000"/>
                <w:szCs w:val="21"/>
                <w:highlight w:val="none"/>
              </w:rPr>
              <w:t>1</w:t>
            </w:r>
          </w:p>
        </w:tc>
        <w:tc>
          <w:tcPr>
            <w:tcW w:w="3673" w:type="dxa"/>
            <w:vAlign w:val="center"/>
          </w:tcPr>
          <w:p>
            <w:pPr>
              <w:spacing w:line="360" w:lineRule="auto"/>
              <w:rPr>
                <w:color w:val="000000"/>
                <w:szCs w:val="21"/>
                <w:highlight w:val="none"/>
              </w:rPr>
            </w:pPr>
            <w:r>
              <w:rPr>
                <w:rFonts w:hint="eastAsia"/>
                <w:color w:val="000000"/>
                <w:szCs w:val="21"/>
                <w:highlight w:val="none"/>
              </w:rPr>
              <w:t>响应文件签字盖章、格式</w:t>
            </w:r>
          </w:p>
        </w:tc>
        <w:tc>
          <w:tcPr>
            <w:tcW w:w="4548" w:type="dxa"/>
            <w:vAlign w:val="center"/>
          </w:tcPr>
          <w:p>
            <w:pPr>
              <w:spacing w:line="360" w:lineRule="auto"/>
              <w:rPr>
                <w:color w:val="000000"/>
                <w:szCs w:val="21"/>
                <w:highlight w:val="none"/>
              </w:rPr>
            </w:pPr>
            <w:r>
              <w:rPr>
                <w:rFonts w:hint="eastAsia"/>
                <w:color w:val="000000"/>
                <w:szCs w:val="21"/>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51" w:type="dxa"/>
            <w:vAlign w:val="center"/>
          </w:tcPr>
          <w:p>
            <w:pPr>
              <w:spacing w:line="360" w:lineRule="auto"/>
              <w:jc w:val="center"/>
              <w:rPr>
                <w:color w:val="000000"/>
                <w:szCs w:val="21"/>
                <w:highlight w:val="none"/>
              </w:rPr>
            </w:pPr>
            <w:r>
              <w:rPr>
                <w:rFonts w:hint="eastAsia"/>
                <w:color w:val="000000"/>
                <w:szCs w:val="21"/>
                <w:highlight w:val="none"/>
              </w:rPr>
              <w:t>2</w:t>
            </w:r>
          </w:p>
        </w:tc>
        <w:tc>
          <w:tcPr>
            <w:tcW w:w="3673" w:type="dxa"/>
            <w:vAlign w:val="center"/>
          </w:tcPr>
          <w:p>
            <w:pPr>
              <w:spacing w:line="360" w:lineRule="auto"/>
              <w:rPr>
                <w:color w:val="000000"/>
                <w:szCs w:val="21"/>
                <w:highlight w:val="none"/>
              </w:rPr>
            </w:pPr>
            <w:r>
              <w:rPr>
                <w:rFonts w:hint="eastAsia"/>
                <w:color w:val="000000"/>
                <w:szCs w:val="21"/>
                <w:highlight w:val="none"/>
              </w:rPr>
              <w:t>磋商报价</w:t>
            </w:r>
          </w:p>
        </w:tc>
        <w:tc>
          <w:tcPr>
            <w:tcW w:w="4548" w:type="dxa"/>
            <w:vAlign w:val="center"/>
          </w:tcPr>
          <w:p>
            <w:pPr>
              <w:spacing w:line="360" w:lineRule="auto"/>
              <w:rPr>
                <w:color w:val="000000"/>
                <w:szCs w:val="21"/>
                <w:highlight w:val="none"/>
              </w:rPr>
            </w:pPr>
            <w:r>
              <w:rPr>
                <w:rFonts w:hint="eastAsia"/>
                <w:color w:val="000000"/>
                <w:szCs w:val="21"/>
                <w:highlight w:val="none"/>
              </w:rPr>
              <w:t>唯一报价，并未超出采购预算或最高限价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51" w:type="dxa"/>
            <w:vAlign w:val="center"/>
          </w:tcPr>
          <w:p>
            <w:pPr>
              <w:spacing w:line="360" w:lineRule="auto"/>
              <w:jc w:val="center"/>
              <w:rPr>
                <w:color w:val="000000"/>
                <w:szCs w:val="21"/>
                <w:highlight w:val="none"/>
              </w:rPr>
            </w:pPr>
            <w:r>
              <w:rPr>
                <w:rFonts w:hint="eastAsia"/>
                <w:color w:val="000000"/>
                <w:szCs w:val="21"/>
                <w:highlight w:val="none"/>
              </w:rPr>
              <w:t>3</w:t>
            </w:r>
          </w:p>
        </w:tc>
        <w:tc>
          <w:tcPr>
            <w:tcW w:w="3673" w:type="dxa"/>
            <w:vAlign w:val="center"/>
          </w:tcPr>
          <w:p>
            <w:pPr>
              <w:spacing w:line="360" w:lineRule="auto"/>
              <w:rPr>
                <w:color w:val="000000"/>
                <w:szCs w:val="21"/>
                <w:highlight w:val="none"/>
              </w:rPr>
            </w:pPr>
            <w:r>
              <w:rPr>
                <w:rFonts w:hint="eastAsia"/>
                <w:color w:val="000000"/>
                <w:szCs w:val="21"/>
                <w:highlight w:val="none"/>
              </w:rPr>
              <w:t>磋商保证金</w:t>
            </w:r>
          </w:p>
        </w:tc>
        <w:tc>
          <w:tcPr>
            <w:tcW w:w="4548" w:type="dxa"/>
            <w:vAlign w:val="center"/>
          </w:tcPr>
          <w:p>
            <w:pPr>
              <w:spacing w:line="360" w:lineRule="auto"/>
              <w:rPr>
                <w:color w:val="000000"/>
                <w:szCs w:val="21"/>
                <w:highlight w:val="none"/>
              </w:rPr>
            </w:pPr>
            <w:r>
              <w:rPr>
                <w:rFonts w:hint="eastAsia"/>
                <w:color w:val="000000"/>
                <w:szCs w:val="21"/>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851" w:type="dxa"/>
            <w:vAlign w:val="center"/>
          </w:tcPr>
          <w:p>
            <w:pPr>
              <w:spacing w:line="360" w:lineRule="auto"/>
              <w:jc w:val="center"/>
              <w:rPr>
                <w:color w:val="000000"/>
                <w:szCs w:val="21"/>
                <w:highlight w:val="none"/>
              </w:rPr>
            </w:pPr>
            <w:r>
              <w:rPr>
                <w:rFonts w:hint="eastAsia"/>
                <w:color w:val="000000"/>
                <w:szCs w:val="21"/>
                <w:highlight w:val="none"/>
              </w:rPr>
              <w:t>4</w:t>
            </w:r>
          </w:p>
        </w:tc>
        <w:tc>
          <w:tcPr>
            <w:tcW w:w="3673" w:type="dxa"/>
            <w:vAlign w:val="center"/>
          </w:tcPr>
          <w:p>
            <w:pPr>
              <w:spacing w:line="360" w:lineRule="auto"/>
              <w:rPr>
                <w:color w:val="000000"/>
                <w:szCs w:val="21"/>
                <w:highlight w:val="none"/>
              </w:rPr>
            </w:pPr>
            <w:r>
              <w:rPr>
                <w:rFonts w:hint="eastAsia"/>
                <w:color w:val="000000"/>
                <w:szCs w:val="21"/>
                <w:highlight w:val="none"/>
              </w:rPr>
              <w:t>对付款方式、服务周期的响应</w:t>
            </w:r>
          </w:p>
        </w:tc>
        <w:tc>
          <w:tcPr>
            <w:tcW w:w="4548" w:type="dxa"/>
            <w:vAlign w:val="center"/>
          </w:tcPr>
          <w:p>
            <w:pPr>
              <w:spacing w:line="360" w:lineRule="auto"/>
              <w:rPr>
                <w:color w:val="000000"/>
                <w:szCs w:val="21"/>
                <w:highlight w:val="none"/>
              </w:rPr>
            </w:pPr>
            <w:r>
              <w:rPr>
                <w:rFonts w:hint="eastAsia"/>
                <w:color w:val="000000"/>
                <w:szCs w:val="21"/>
                <w:highlight w:val="none"/>
              </w:rPr>
              <w:t>符合磋商文件要求</w:t>
            </w:r>
          </w:p>
        </w:tc>
      </w:tr>
    </w:tbl>
    <w:p>
      <w:pPr>
        <w:tabs>
          <w:tab w:val="left" w:pos="0"/>
        </w:tabs>
        <w:ind w:firstLine="411" w:firstLineChars="196"/>
        <w:rPr>
          <w:color w:val="000000"/>
          <w:kern w:val="0"/>
          <w:sz w:val="24"/>
          <w:highlight w:val="none"/>
        </w:rPr>
      </w:pPr>
      <w:r>
        <w:rPr>
          <w:color w:val="000000"/>
          <w:szCs w:val="21"/>
          <w:highlight w:val="none"/>
        </w:rPr>
        <w:t>说明：以上各项有1项不合格，评审不予通过，作为</w:t>
      </w:r>
      <w:r>
        <w:rPr>
          <w:color w:val="000000"/>
          <w:kern w:val="0"/>
          <w:szCs w:val="21"/>
          <w:highlight w:val="none"/>
        </w:rPr>
        <w:t>未实质性响应磋商文件，按无效响应文件处理。</w:t>
      </w:r>
    </w:p>
    <w:p>
      <w:pPr>
        <w:spacing w:line="360" w:lineRule="auto"/>
        <w:ind w:firstLine="482" w:firstLineChars="200"/>
        <w:rPr>
          <w:b/>
          <w:color w:val="000000"/>
          <w:sz w:val="24"/>
          <w:highlight w:val="none"/>
        </w:rPr>
      </w:pPr>
      <w:r>
        <w:rPr>
          <w:b/>
          <w:color w:val="000000"/>
          <w:sz w:val="24"/>
          <w:highlight w:val="none"/>
        </w:rPr>
        <w:t>3.3磋商小组通过上述评审，确定</w:t>
      </w:r>
      <w:r>
        <w:rPr>
          <w:rFonts w:hint="eastAsia"/>
          <w:b/>
          <w:color w:val="000000"/>
          <w:sz w:val="24"/>
          <w:highlight w:val="none"/>
        </w:rPr>
        <w:t>合格</w:t>
      </w:r>
      <w:r>
        <w:rPr>
          <w:b/>
          <w:color w:val="000000"/>
          <w:sz w:val="24"/>
          <w:highlight w:val="none"/>
        </w:rPr>
        <w:t>供应商名单，只有</w:t>
      </w:r>
      <w:r>
        <w:rPr>
          <w:rFonts w:hint="eastAsia"/>
          <w:b/>
          <w:color w:val="000000"/>
          <w:sz w:val="24"/>
          <w:highlight w:val="none"/>
        </w:rPr>
        <w:t>合格</w:t>
      </w:r>
      <w:r>
        <w:rPr>
          <w:b/>
          <w:color w:val="000000"/>
          <w:sz w:val="24"/>
          <w:highlight w:val="none"/>
        </w:rPr>
        <w:t>的供应商才能进入磋商和后续评审环节。</w:t>
      </w:r>
    </w:p>
    <w:p>
      <w:pPr>
        <w:pStyle w:val="6"/>
        <w:keepLines/>
        <w:spacing w:line="360" w:lineRule="auto"/>
        <w:rPr>
          <w:b/>
          <w:bCs/>
          <w:color w:val="000000"/>
          <w:sz w:val="24"/>
          <w:szCs w:val="24"/>
          <w:highlight w:val="none"/>
          <w:u w:val="none"/>
        </w:rPr>
      </w:pPr>
      <w:r>
        <w:rPr>
          <w:b/>
          <w:bCs/>
          <w:color w:val="000000"/>
          <w:sz w:val="24"/>
          <w:szCs w:val="24"/>
          <w:highlight w:val="none"/>
          <w:u w:val="none"/>
        </w:rPr>
        <w:t>4.响应文件的澄清</w:t>
      </w:r>
    </w:p>
    <w:p>
      <w:pPr>
        <w:spacing w:line="360" w:lineRule="auto"/>
        <w:ind w:firstLine="480" w:firstLineChars="200"/>
        <w:rPr>
          <w:color w:val="000000"/>
          <w:sz w:val="24"/>
          <w:highlight w:val="none"/>
        </w:rPr>
      </w:pPr>
      <w:r>
        <w:rPr>
          <w:color w:val="000000"/>
          <w:sz w:val="24"/>
          <w:highlight w:val="none"/>
        </w:rPr>
        <w:t>4.1磋商小组在对响应文件的有效性、完整性和响应程度进行审查时，可以要求供应商对响应文件中非实质性（含义不明确、同类问题表述不一致或者有明显文字和计算错误的内容）等有关问题作出必要的澄清、说明或者更正。供应商有关澄清、说明或者更正不得超出响应文件的范围或者改变响应文件的实质性内容。磋商小组要求供应商澄清、说明或者更正响应文件应当以书面形式作出，并由磋商小组专家签字。供应商必须按照磋商小组通知的内容和时间作出书面答复，有关澄清、说明或者更正应以书面形式提交，并由法定代表人或其授权代表签字或者加盖公章；供应商拒不按照要求对响应文件进行澄清、说明或补正的，磋商小组可拒绝该响应。磋商小组不接受供应商主动提出的澄清、说明。</w:t>
      </w:r>
    </w:p>
    <w:p>
      <w:pPr>
        <w:spacing w:line="360" w:lineRule="auto"/>
        <w:ind w:firstLine="480" w:firstLineChars="200"/>
        <w:rPr>
          <w:color w:val="000000"/>
          <w:sz w:val="24"/>
          <w:highlight w:val="none"/>
        </w:rPr>
      </w:pPr>
      <w:r>
        <w:rPr>
          <w:color w:val="000000"/>
          <w:sz w:val="24"/>
          <w:highlight w:val="none"/>
        </w:rPr>
        <w:t>4.2有效的书面澄清材料，是响应文件的补充材料，成为响应文件的组成部分。</w:t>
      </w:r>
    </w:p>
    <w:p>
      <w:pPr>
        <w:pStyle w:val="6"/>
        <w:keepLines/>
        <w:spacing w:line="360" w:lineRule="auto"/>
        <w:rPr>
          <w:b/>
          <w:bCs/>
          <w:color w:val="000000"/>
          <w:sz w:val="24"/>
          <w:szCs w:val="24"/>
          <w:highlight w:val="none"/>
          <w:u w:val="none"/>
        </w:rPr>
      </w:pPr>
      <w:r>
        <w:rPr>
          <w:b/>
          <w:bCs/>
          <w:color w:val="000000"/>
          <w:sz w:val="24"/>
          <w:szCs w:val="24"/>
          <w:highlight w:val="none"/>
          <w:u w:val="none"/>
        </w:rPr>
        <w:t>5.磋商</w:t>
      </w:r>
    </w:p>
    <w:p>
      <w:pPr>
        <w:spacing w:line="360" w:lineRule="auto"/>
        <w:ind w:firstLine="480"/>
        <w:rPr>
          <w:color w:val="000000"/>
          <w:sz w:val="24"/>
          <w:highlight w:val="none"/>
        </w:rPr>
      </w:pPr>
      <w:r>
        <w:rPr>
          <w:color w:val="000000"/>
          <w:sz w:val="24"/>
          <w:highlight w:val="none"/>
        </w:rPr>
        <w:t>5.1磋商方式：</w:t>
      </w:r>
    </w:p>
    <w:p>
      <w:pPr>
        <w:spacing w:line="360" w:lineRule="auto"/>
        <w:ind w:firstLine="480"/>
        <w:rPr>
          <w:color w:val="000000"/>
          <w:kern w:val="0"/>
          <w:sz w:val="24"/>
          <w:highlight w:val="none"/>
        </w:rPr>
      </w:pPr>
      <w:r>
        <w:rPr>
          <w:color w:val="000000"/>
          <w:kern w:val="0"/>
          <w:sz w:val="24"/>
          <w:highlight w:val="none"/>
        </w:rPr>
        <w:t>5.1.1对资格性检查和符合性检查合格的供应商，进入本次磋商程序。</w:t>
      </w:r>
    </w:p>
    <w:p>
      <w:pPr>
        <w:spacing w:line="360" w:lineRule="auto"/>
        <w:ind w:firstLine="480"/>
        <w:rPr>
          <w:color w:val="000000"/>
          <w:kern w:val="0"/>
          <w:sz w:val="24"/>
          <w:highlight w:val="none"/>
        </w:rPr>
      </w:pPr>
      <w:r>
        <w:rPr>
          <w:color w:val="000000"/>
          <w:kern w:val="0"/>
          <w:sz w:val="24"/>
          <w:highlight w:val="none"/>
        </w:rPr>
        <w:t>5.1.2在磋商期间，供应商应派代表参加磋商，代表人数不超过</w:t>
      </w:r>
      <w:r>
        <w:rPr>
          <w:rFonts w:hint="eastAsia"/>
          <w:color w:val="000000"/>
          <w:kern w:val="0"/>
          <w:sz w:val="24"/>
          <w:highlight w:val="none"/>
          <w:u w:val="single"/>
        </w:rPr>
        <w:t>2</w:t>
      </w:r>
      <w:r>
        <w:rPr>
          <w:color w:val="000000"/>
          <w:kern w:val="0"/>
          <w:sz w:val="24"/>
          <w:highlight w:val="none"/>
        </w:rPr>
        <w:t>人。</w:t>
      </w:r>
    </w:p>
    <w:p>
      <w:pPr>
        <w:spacing w:line="360" w:lineRule="auto"/>
        <w:ind w:firstLine="480"/>
        <w:rPr>
          <w:color w:val="000000"/>
          <w:kern w:val="0"/>
          <w:sz w:val="24"/>
          <w:highlight w:val="none"/>
        </w:rPr>
      </w:pPr>
      <w:r>
        <w:rPr>
          <w:color w:val="000000"/>
          <w:kern w:val="0"/>
          <w:sz w:val="24"/>
          <w:highlight w:val="none"/>
        </w:rPr>
        <w:t>5.1.3磋商小组通过随机方式确定参加磋商供应商的磋商顺序，所有成员集中与单一供应商按照顺序分别进行磋商，</w:t>
      </w:r>
      <w:r>
        <w:rPr>
          <w:color w:val="000000"/>
          <w:sz w:val="24"/>
          <w:highlight w:val="none"/>
        </w:rPr>
        <w:t>并给予所有参加磋商的供应商平等的磋商机会</w:t>
      </w:r>
      <w:r>
        <w:rPr>
          <w:color w:val="000000"/>
          <w:kern w:val="0"/>
          <w:sz w:val="24"/>
          <w:highlight w:val="none"/>
        </w:rPr>
        <w:t>。在磋商中，磋商的任何一方不得透露与磋商有关的其他供应商的技术资料、价格和其他信息。</w:t>
      </w:r>
    </w:p>
    <w:p>
      <w:pPr>
        <w:spacing w:line="360" w:lineRule="auto"/>
        <w:ind w:firstLine="482"/>
        <w:rPr>
          <w:color w:val="000000"/>
          <w:sz w:val="24"/>
          <w:highlight w:val="none"/>
        </w:rPr>
      </w:pPr>
      <w:r>
        <w:rPr>
          <w:color w:val="000000"/>
          <w:kern w:val="0"/>
          <w:sz w:val="24"/>
          <w:highlight w:val="none"/>
        </w:rPr>
        <w:t>5.1.4技术磋商。</w:t>
      </w:r>
      <w:r>
        <w:rPr>
          <w:color w:val="000000"/>
          <w:sz w:val="24"/>
          <w:highlight w:val="none"/>
        </w:rPr>
        <w:t>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r>
        <w:rPr>
          <w:color w:val="000000"/>
          <w:kern w:val="0"/>
          <w:sz w:val="24"/>
          <w:highlight w:val="none"/>
        </w:rPr>
        <w:t>磋商小组应当</w:t>
      </w:r>
      <w:r>
        <w:rPr>
          <w:color w:val="000000"/>
          <w:sz w:val="24"/>
          <w:highlight w:val="none"/>
        </w:rPr>
        <w:t>根据规定</w:t>
      </w:r>
      <w:r>
        <w:rPr>
          <w:color w:val="000000"/>
          <w:kern w:val="0"/>
          <w:sz w:val="24"/>
          <w:highlight w:val="none"/>
        </w:rPr>
        <w:t>对供应商重新提交的响应文件进行符合性审查。供应商重新提交的响应文件未通过符合性审查的，不得进入商务磋商，也不得要求提交最后报价。</w:t>
      </w:r>
    </w:p>
    <w:p>
      <w:pPr>
        <w:spacing w:line="360" w:lineRule="auto"/>
        <w:ind w:firstLine="482"/>
        <w:rPr>
          <w:color w:val="000000"/>
          <w:sz w:val="24"/>
          <w:highlight w:val="none"/>
        </w:rPr>
      </w:pPr>
      <w:r>
        <w:rPr>
          <w:color w:val="000000"/>
          <w:sz w:val="24"/>
          <w:highlight w:val="none"/>
        </w:rPr>
        <w:t>5.1.5商务磋商。技术磋商结束后，进行商务磋商。</w:t>
      </w:r>
      <w:r>
        <w:rPr>
          <w:b/>
          <w:color w:val="000000"/>
          <w:sz w:val="24"/>
          <w:highlight w:val="none"/>
        </w:rPr>
        <w:t>磋商文件能够详细列明采购标的的技术、服务要求的，</w:t>
      </w:r>
      <w:r>
        <w:rPr>
          <w:color w:val="000000"/>
          <w:sz w:val="24"/>
          <w:highlight w:val="none"/>
        </w:rPr>
        <w:t>磋商小组应当要求所有实质性响应的供应商在规定时间内提交最后报价，</w:t>
      </w:r>
      <w:r>
        <w:rPr>
          <w:b/>
          <w:color w:val="000000"/>
          <w:sz w:val="24"/>
          <w:highlight w:val="none"/>
        </w:rPr>
        <w:t>提交最后报价的供应商不得少于3家</w:t>
      </w:r>
      <w:r>
        <w:rPr>
          <w:color w:val="000000"/>
          <w:sz w:val="24"/>
          <w:highlight w:val="none"/>
        </w:rPr>
        <w:t>；</w:t>
      </w:r>
      <w:r>
        <w:rPr>
          <w:b/>
          <w:color w:val="000000"/>
          <w:sz w:val="24"/>
          <w:highlight w:val="none"/>
        </w:rPr>
        <w:t>磋商文件不能详细列明采购标的的技术、服务要求</w:t>
      </w:r>
      <w:r>
        <w:rPr>
          <w:color w:val="000000"/>
          <w:sz w:val="24"/>
          <w:highlight w:val="none"/>
        </w:rPr>
        <w:t>，需经磋商由供应商提供最终</w:t>
      </w:r>
      <w:r>
        <w:rPr>
          <w:rFonts w:hint="eastAsia"/>
          <w:color w:val="000000"/>
          <w:sz w:val="24"/>
          <w:highlight w:val="none"/>
        </w:rPr>
        <w:t>技术</w:t>
      </w:r>
      <w:r>
        <w:rPr>
          <w:color w:val="000000"/>
          <w:sz w:val="24"/>
          <w:highlight w:val="none"/>
        </w:rPr>
        <w:t>方案或解决方案的，</w:t>
      </w:r>
      <w:r>
        <w:rPr>
          <w:b/>
          <w:color w:val="000000"/>
          <w:sz w:val="24"/>
          <w:highlight w:val="none"/>
        </w:rPr>
        <w:t>磋商小组应当按照少数服从多数的原则投票推荐3家以上供应商的</w:t>
      </w:r>
      <w:r>
        <w:rPr>
          <w:rFonts w:hint="eastAsia"/>
          <w:b/>
          <w:color w:val="000000"/>
          <w:sz w:val="24"/>
          <w:highlight w:val="none"/>
        </w:rPr>
        <w:t>技术</w:t>
      </w:r>
      <w:r>
        <w:rPr>
          <w:b/>
          <w:color w:val="000000"/>
          <w:sz w:val="24"/>
          <w:highlight w:val="none"/>
        </w:rPr>
        <w:t>方案或者解决方案，</w:t>
      </w:r>
      <w:r>
        <w:rPr>
          <w:color w:val="000000"/>
          <w:sz w:val="24"/>
          <w:highlight w:val="none"/>
        </w:rPr>
        <w:t>并要求其在规定时间内提交最后报价。最后报价是供应商响应文件的有效组成部分。</w:t>
      </w:r>
    </w:p>
    <w:p>
      <w:pPr>
        <w:spacing w:line="360" w:lineRule="auto"/>
        <w:ind w:firstLine="482"/>
        <w:rPr>
          <w:color w:val="000000"/>
          <w:sz w:val="24"/>
          <w:highlight w:val="none"/>
        </w:rPr>
      </w:pPr>
      <w:r>
        <w:rPr>
          <w:color w:val="000000"/>
          <w:sz w:val="24"/>
          <w:highlight w:val="none"/>
        </w:rPr>
        <w:t>5.1.6已提交响应文件的供应商，在提交最后报价之前，可以根据磋商情况退出磋商，采购代理机构应当退还其磋商保证金。</w:t>
      </w:r>
    </w:p>
    <w:p>
      <w:pPr>
        <w:spacing w:line="360" w:lineRule="auto"/>
        <w:ind w:firstLine="480" w:firstLineChars="200"/>
        <w:rPr>
          <w:color w:val="000000"/>
          <w:sz w:val="24"/>
          <w:highlight w:val="none"/>
        </w:rPr>
      </w:pPr>
      <w:r>
        <w:rPr>
          <w:color w:val="000000"/>
          <w:sz w:val="24"/>
          <w:highlight w:val="none"/>
        </w:rPr>
        <w:t>5.2磋商步骤：</w:t>
      </w:r>
    </w:p>
    <w:p>
      <w:pPr>
        <w:spacing w:line="360" w:lineRule="auto"/>
        <w:ind w:firstLine="480" w:firstLineChars="200"/>
        <w:rPr>
          <w:color w:val="000000"/>
          <w:sz w:val="24"/>
          <w:highlight w:val="none"/>
        </w:rPr>
      </w:pPr>
      <w:r>
        <w:rPr>
          <w:color w:val="000000"/>
          <w:sz w:val="24"/>
          <w:highlight w:val="none"/>
        </w:rPr>
        <w:t>5.2.1第一轮磋商。对进入第一轮磋商的供应商再次进行评审、质疑和澄清。在此阶段，磋商小组依据参加磋商的供应商递交的响应文件进行技术和商务磋商，磋商小组可根据实际需要提出方案和技术参数要求，与单一供应商分别进行磋商，并给予所有参加磋商的供应商平等的磋商机会。要求参加磋商的供应商重新承诺技术参数和第二次商务总报价，以满足采购人的最大需求。</w:t>
      </w:r>
    </w:p>
    <w:p>
      <w:pPr>
        <w:spacing w:line="360" w:lineRule="auto"/>
        <w:ind w:firstLine="480" w:firstLineChars="200"/>
        <w:rPr>
          <w:color w:val="000000"/>
          <w:sz w:val="24"/>
          <w:highlight w:val="none"/>
        </w:rPr>
      </w:pPr>
      <w:r>
        <w:rPr>
          <w:color w:val="000000"/>
          <w:sz w:val="24"/>
          <w:highlight w:val="none"/>
        </w:rPr>
        <w:t>5.2.2第二轮磋商。对第一轮磋商结果不满意，磋商小组可以再次要求参加磋商的供应商进行第二轮磋商，磋商内容及要求与第一轮磋商相同。</w:t>
      </w:r>
    </w:p>
    <w:p>
      <w:pPr>
        <w:spacing w:line="360" w:lineRule="auto"/>
        <w:ind w:firstLine="480" w:firstLineChars="200"/>
        <w:rPr>
          <w:color w:val="000000"/>
          <w:sz w:val="24"/>
          <w:highlight w:val="none"/>
        </w:rPr>
      </w:pPr>
      <w:r>
        <w:rPr>
          <w:color w:val="000000"/>
          <w:sz w:val="24"/>
          <w:highlight w:val="none"/>
        </w:rPr>
        <w:t>5.2.3每轮磋商结束后，磋商小组对磋商情况进行讨论，综合考虑供应商提供的技术参数和性价比，有权对技术参数最差供应商或性价比最低点供应商进行淘汰，并将淘汰理由写入评审报告。</w:t>
      </w:r>
    </w:p>
    <w:p>
      <w:pPr>
        <w:spacing w:line="360" w:lineRule="auto"/>
        <w:ind w:firstLine="480" w:firstLineChars="200"/>
        <w:rPr>
          <w:color w:val="000000"/>
          <w:sz w:val="24"/>
          <w:highlight w:val="none"/>
        </w:rPr>
      </w:pPr>
      <w:r>
        <w:rPr>
          <w:color w:val="000000"/>
          <w:sz w:val="24"/>
          <w:highlight w:val="none"/>
        </w:rPr>
        <w:t>5.2.4磋商小组应在最后一轮磋商前告知所有符合磋商的供应商是否是最后一次磋商环节。</w:t>
      </w:r>
    </w:p>
    <w:p>
      <w:pPr>
        <w:spacing w:line="360" w:lineRule="auto"/>
        <w:ind w:firstLine="480" w:firstLineChars="200"/>
        <w:rPr>
          <w:color w:val="000000"/>
          <w:sz w:val="24"/>
          <w:highlight w:val="none"/>
        </w:rPr>
      </w:pPr>
      <w:r>
        <w:rPr>
          <w:color w:val="000000"/>
          <w:sz w:val="24"/>
          <w:highlight w:val="none"/>
        </w:rPr>
        <w:t>5.2.5最后一轮结束后，磋商小组将对进入最后一轮的供应商进行综合评分。</w:t>
      </w:r>
    </w:p>
    <w:p>
      <w:pPr>
        <w:pStyle w:val="6"/>
        <w:keepLines/>
        <w:spacing w:line="360" w:lineRule="auto"/>
        <w:rPr>
          <w:b/>
          <w:bCs/>
          <w:color w:val="000000"/>
          <w:sz w:val="24"/>
          <w:szCs w:val="24"/>
          <w:highlight w:val="none"/>
          <w:u w:val="none"/>
        </w:rPr>
      </w:pPr>
      <w:r>
        <w:rPr>
          <w:b/>
          <w:bCs/>
          <w:color w:val="000000"/>
          <w:sz w:val="24"/>
          <w:szCs w:val="24"/>
          <w:highlight w:val="none"/>
          <w:u w:val="none"/>
        </w:rPr>
        <w:t>6.响应文件详细评审</w:t>
      </w:r>
    </w:p>
    <w:p>
      <w:pPr>
        <w:spacing w:line="360" w:lineRule="auto"/>
        <w:ind w:firstLine="480" w:firstLineChars="200"/>
        <w:rPr>
          <w:color w:val="000000"/>
          <w:sz w:val="24"/>
          <w:highlight w:val="none"/>
        </w:rPr>
      </w:pPr>
      <w:r>
        <w:rPr>
          <w:color w:val="000000"/>
          <w:sz w:val="24"/>
          <w:highlight w:val="none"/>
        </w:rPr>
        <w:t>6.1经磋商确定最终采购需求和提交最后报价的供应商后，由磋商小组采用</w:t>
      </w:r>
      <w:r>
        <w:rPr>
          <w:b/>
          <w:color w:val="000000"/>
          <w:sz w:val="24"/>
          <w:highlight w:val="none"/>
        </w:rPr>
        <w:t>综合评分法</w:t>
      </w:r>
      <w:r>
        <w:rPr>
          <w:color w:val="000000"/>
          <w:sz w:val="24"/>
          <w:highlight w:val="none"/>
        </w:rPr>
        <w:t>对提交最后报价的供应商的响应文件和最后报价进行综合评分。</w:t>
      </w:r>
    </w:p>
    <w:p>
      <w:pPr>
        <w:pStyle w:val="6"/>
        <w:keepLines/>
        <w:spacing w:line="360" w:lineRule="auto"/>
        <w:rPr>
          <w:b/>
          <w:bCs/>
          <w:color w:val="000000"/>
          <w:sz w:val="24"/>
          <w:szCs w:val="24"/>
          <w:highlight w:val="none"/>
          <w:u w:val="none"/>
        </w:rPr>
      </w:pPr>
      <w:r>
        <w:rPr>
          <w:b/>
          <w:bCs/>
          <w:color w:val="000000"/>
          <w:sz w:val="24"/>
          <w:szCs w:val="24"/>
          <w:highlight w:val="none"/>
          <w:u w:val="none"/>
        </w:rPr>
        <w:t>7.最后报价</w:t>
      </w:r>
    </w:p>
    <w:p>
      <w:pPr>
        <w:spacing w:line="360" w:lineRule="auto"/>
        <w:ind w:firstLine="480" w:firstLineChars="200"/>
        <w:rPr>
          <w:color w:val="000000"/>
          <w:sz w:val="24"/>
          <w:highlight w:val="none"/>
        </w:rPr>
      </w:pPr>
      <w:r>
        <w:rPr>
          <w:color w:val="000000"/>
          <w:kern w:val="0"/>
          <w:sz w:val="24"/>
          <w:highlight w:val="none"/>
        </w:rPr>
        <w:t>7.1</w:t>
      </w:r>
      <w:r>
        <w:rPr>
          <w:color w:val="000000"/>
          <w:sz w:val="24"/>
          <w:highlight w:val="none"/>
        </w:rPr>
        <w:t>供应商应以书面形式提交最后报价（各合格供应商的最后报价将作为综合评分法中价格分的计算依据），并由其法定代表人或被授权人签字。</w:t>
      </w:r>
    </w:p>
    <w:p>
      <w:pPr>
        <w:spacing w:line="360" w:lineRule="auto"/>
        <w:ind w:firstLine="480" w:firstLineChars="200"/>
        <w:rPr>
          <w:color w:val="000000"/>
          <w:sz w:val="24"/>
          <w:highlight w:val="none"/>
        </w:rPr>
      </w:pPr>
      <w:r>
        <w:rPr>
          <w:color w:val="000000"/>
          <w:kern w:val="0"/>
          <w:sz w:val="24"/>
          <w:highlight w:val="none"/>
        </w:rPr>
        <w:t>7.2仅向采购人及监督人员宣布最后磋商报价，并由监督人员确认。</w:t>
      </w:r>
    </w:p>
    <w:p>
      <w:pPr>
        <w:spacing w:line="360" w:lineRule="auto"/>
        <w:rPr>
          <w:b/>
          <w:color w:val="000000"/>
          <w:sz w:val="30"/>
          <w:szCs w:val="30"/>
          <w:highlight w:val="none"/>
        </w:rPr>
      </w:pPr>
      <w:bookmarkStart w:id="138" w:name="_Toc485883252"/>
      <w:r>
        <w:rPr>
          <w:b/>
          <w:color w:val="000000"/>
          <w:sz w:val="30"/>
          <w:szCs w:val="30"/>
          <w:highlight w:val="none"/>
        </w:rPr>
        <w:t>三、评审细则及标准</w:t>
      </w:r>
      <w:bookmarkEnd w:id="138"/>
    </w:p>
    <w:p>
      <w:pPr>
        <w:pStyle w:val="6"/>
        <w:keepLines/>
        <w:spacing w:line="360" w:lineRule="auto"/>
        <w:rPr>
          <w:b/>
          <w:bCs/>
          <w:color w:val="000000"/>
          <w:sz w:val="24"/>
          <w:szCs w:val="24"/>
          <w:highlight w:val="none"/>
          <w:u w:val="none"/>
        </w:rPr>
      </w:pPr>
      <w:bookmarkStart w:id="139" w:name="_Toc485883253"/>
      <w:r>
        <w:rPr>
          <w:b/>
          <w:bCs/>
          <w:color w:val="000000"/>
          <w:sz w:val="24"/>
          <w:szCs w:val="24"/>
          <w:highlight w:val="none"/>
          <w:u w:val="none"/>
        </w:rPr>
        <w:t>8.综合评分法</w:t>
      </w:r>
      <w:bookmarkEnd w:id="139"/>
    </w:p>
    <w:p>
      <w:pPr>
        <w:pStyle w:val="7"/>
        <w:spacing w:line="360" w:lineRule="auto"/>
        <w:ind w:firstLine="480"/>
        <w:rPr>
          <w:color w:val="000000"/>
          <w:sz w:val="24"/>
          <w:szCs w:val="24"/>
          <w:highlight w:val="none"/>
        </w:rPr>
      </w:pPr>
      <w:r>
        <w:rPr>
          <w:color w:val="000000"/>
          <w:sz w:val="24"/>
          <w:szCs w:val="24"/>
          <w:highlight w:val="none"/>
        </w:rPr>
        <w:t>8.1本采购项目评审方法采用综合评分法。即响应文件能够最大限度的满足磋商文件规定的各项综合评分标准，并按得分由高到低顺序推荐</w:t>
      </w:r>
      <w:r>
        <w:rPr>
          <w:rFonts w:hint="eastAsia"/>
          <w:color w:val="000000"/>
          <w:sz w:val="24"/>
          <w:szCs w:val="24"/>
          <w:highlight w:val="none"/>
        </w:rPr>
        <w:t>成交</w:t>
      </w:r>
      <w:r>
        <w:rPr>
          <w:color w:val="000000"/>
          <w:sz w:val="24"/>
          <w:szCs w:val="24"/>
          <w:highlight w:val="none"/>
        </w:rPr>
        <w:t>服务候选人的评审方法。</w:t>
      </w:r>
    </w:p>
    <w:p>
      <w:pPr>
        <w:pStyle w:val="7"/>
        <w:spacing w:line="360" w:lineRule="auto"/>
        <w:ind w:firstLine="480"/>
        <w:rPr>
          <w:color w:val="000000"/>
          <w:sz w:val="24"/>
          <w:szCs w:val="24"/>
          <w:highlight w:val="none"/>
        </w:rPr>
      </w:pPr>
      <w:r>
        <w:rPr>
          <w:color w:val="000000"/>
          <w:sz w:val="24"/>
          <w:szCs w:val="24"/>
          <w:highlight w:val="none"/>
        </w:rPr>
        <w:t>8.2综合评分法评审标准中的分值设置应当与评审因素的量化指标相对应。磋商文件中没有规定的评审标准不得作为评审依据。</w:t>
      </w:r>
    </w:p>
    <w:p>
      <w:pPr>
        <w:pStyle w:val="6"/>
        <w:keepLines/>
        <w:spacing w:line="360" w:lineRule="auto"/>
        <w:rPr>
          <w:b/>
          <w:bCs/>
          <w:color w:val="000000"/>
          <w:sz w:val="24"/>
          <w:szCs w:val="24"/>
          <w:highlight w:val="none"/>
          <w:u w:val="none"/>
        </w:rPr>
      </w:pPr>
      <w:bookmarkStart w:id="140" w:name="_Toc485883254"/>
      <w:r>
        <w:rPr>
          <w:b/>
          <w:bCs/>
          <w:color w:val="000000"/>
          <w:sz w:val="24"/>
          <w:szCs w:val="24"/>
          <w:highlight w:val="none"/>
          <w:u w:val="none"/>
        </w:rPr>
        <w:t>9.评审细则及标准</w:t>
      </w:r>
      <w:bookmarkEnd w:id="140"/>
    </w:p>
    <w:p>
      <w:pPr>
        <w:pStyle w:val="9"/>
        <w:adjustRightInd w:val="0"/>
        <w:snapToGrid w:val="0"/>
        <w:spacing w:line="360" w:lineRule="auto"/>
        <w:ind w:firstLine="480" w:firstLineChars="200"/>
        <w:rPr>
          <w:rFonts w:ascii="Times New Roman" w:hAnsi="Times New Roman"/>
          <w:bCs/>
          <w:color w:val="000000"/>
          <w:sz w:val="24"/>
          <w:szCs w:val="24"/>
          <w:highlight w:val="none"/>
        </w:rPr>
      </w:pPr>
      <w:r>
        <w:rPr>
          <w:rFonts w:ascii="Times New Roman" w:hAnsi="Times New Roman"/>
          <w:color w:val="000000"/>
          <w:sz w:val="24"/>
          <w:highlight w:val="none"/>
        </w:rPr>
        <w:t>9.1</w:t>
      </w:r>
      <w:r>
        <w:rPr>
          <w:rFonts w:ascii="Times New Roman" w:hAnsi="Times New Roman"/>
          <w:bCs/>
          <w:color w:val="000000"/>
          <w:sz w:val="24"/>
          <w:szCs w:val="24"/>
          <w:highlight w:val="none"/>
        </w:rPr>
        <w:t>磋商小组将综合分析供应商的各项评审因素，而不以单项评审因素的优劣评选出</w:t>
      </w:r>
      <w:r>
        <w:rPr>
          <w:rFonts w:hint="eastAsia" w:ascii="Times New Roman" w:hAnsi="Times New Roman"/>
          <w:bCs/>
          <w:color w:val="000000"/>
          <w:sz w:val="24"/>
          <w:szCs w:val="24"/>
          <w:highlight w:val="none"/>
        </w:rPr>
        <w:t>合格</w:t>
      </w:r>
      <w:r>
        <w:rPr>
          <w:rFonts w:ascii="Times New Roman" w:hAnsi="Times New Roman"/>
          <w:bCs/>
          <w:color w:val="000000"/>
          <w:sz w:val="24"/>
          <w:szCs w:val="24"/>
          <w:highlight w:val="none"/>
        </w:rPr>
        <w:t>服务单位。对所有供应商的响应评估，都采用相同的程序和标准，严格按照磋商文件的要求和条件进行。</w:t>
      </w:r>
    </w:p>
    <w:p>
      <w:pPr>
        <w:tabs>
          <w:tab w:val="left" w:pos="0"/>
        </w:tabs>
        <w:adjustRightInd w:val="0"/>
        <w:snapToGrid w:val="0"/>
        <w:spacing w:line="360" w:lineRule="auto"/>
        <w:ind w:firstLine="480" w:firstLineChars="200"/>
        <w:rPr>
          <w:color w:val="000000"/>
          <w:sz w:val="24"/>
          <w:highlight w:val="none"/>
        </w:rPr>
      </w:pPr>
      <w:r>
        <w:rPr>
          <w:color w:val="000000"/>
          <w:sz w:val="24"/>
          <w:highlight w:val="none"/>
        </w:rPr>
        <w:t>9.2评审因素包括：磋商报价、项目负责人及项目组成人员、供应商业绩、</w:t>
      </w:r>
      <w:r>
        <w:rPr>
          <w:rFonts w:hint="eastAsia"/>
          <w:color w:val="000000"/>
          <w:sz w:val="24"/>
          <w:highlight w:val="none"/>
        </w:rPr>
        <w:t>整理</w:t>
      </w:r>
      <w:r>
        <w:rPr>
          <w:color w:val="000000"/>
          <w:sz w:val="24"/>
          <w:highlight w:val="none"/>
        </w:rPr>
        <w:t>方案、后期服务</w:t>
      </w:r>
      <w:r>
        <w:rPr>
          <w:rFonts w:hint="eastAsia"/>
          <w:color w:val="000000"/>
          <w:sz w:val="24"/>
          <w:highlight w:val="none"/>
        </w:rPr>
        <w:t>措施、</w:t>
      </w:r>
      <w:r>
        <w:rPr>
          <w:color w:val="000000"/>
          <w:sz w:val="24"/>
          <w:highlight w:val="none"/>
        </w:rPr>
        <w:t>对磋商文件的响应程度，以及相应的比重或者权值等，但不包括“供应商须知”规定的供应商资格条件。</w:t>
      </w:r>
    </w:p>
    <w:p>
      <w:pPr>
        <w:pStyle w:val="9"/>
        <w:adjustRightInd w:val="0"/>
        <w:snapToGrid w:val="0"/>
        <w:spacing w:line="360" w:lineRule="auto"/>
        <w:ind w:left="857" w:leftChars="229" w:hanging="376" w:hangingChars="157"/>
        <w:rPr>
          <w:rFonts w:ascii="Times New Roman" w:hAnsi="Times New Roman"/>
          <w:bCs/>
          <w:color w:val="000000"/>
          <w:sz w:val="24"/>
          <w:szCs w:val="24"/>
          <w:highlight w:val="none"/>
        </w:rPr>
      </w:pPr>
      <w:r>
        <w:rPr>
          <w:rFonts w:ascii="Times New Roman" w:hAnsi="Times New Roman"/>
          <w:bCs/>
          <w:color w:val="000000"/>
          <w:sz w:val="24"/>
          <w:szCs w:val="24"/>
          <w:highlight w:val="none"/>
        </w:rPr>
        <w:t>9.3综合评分操作程序为：</w:t>
      </w:r>
    </w:p>
    <w:p>
      <w:pPr>
        <w:pStyle w:val="10"/>
        <w:widowControl/>
        <w:tabs>
          <w:tab w:val="left" w:pos="1506"/>
        </w:tabs>
        <w:spacing w:after="0" w:line="360" w:lineRule="auto"/>
        <w:ind w:left="0" w:leftChars="0" w:firstLine="480" w:firstLineChars="200"/>
        <w:rPr>
          <w:bCs/>
          <w:color w:val="000000"/>
          <w:sz w:val="24"/>
          <w:szCs w:val="24"/>
          <w:highlight w:val="none"/>
        </w:rPr>
      </w:pPr>
      <w:r>
        <w:rPr>
          <w:bCs/>
          <w:color w:val="000000"/>
          <w:sz w:val="24"/>
          <w:szCs w:val="24"/>
          <w:highlight w:val="none"/>
        </w:rPr>
        <w:t>9.3.1根据磋商文件和磋商原则，按下表《综合评分明细表》所列评分因素和各评分因素的权重进行评审。</w:t>
      </w:r>
    </w:p>
    <w:p>
      <w:pPr>
        <w:spacing w:line="360" w:lineRule="auto"/>
        <w:ind w:firstLine="480" w:firstLineChars="200"/>
        <w:rPr>
          <w:color w:val="000000"/>
          <w:sz w:val="24"/>
          <w:highlight w:val="none"/>
        </w:rPr>
      </w:pPr>
      <w:r>
        <w:rPr>
          <w:color w:val="000000"/>
          <w:sz w:val="24"/>
          <w:highlight w:val="none"/>
        </w:rPr>
        <w:t>9.3.2按照财政部《政府采购竞争性磋商采购方式管理暂行办法》的有关规定，以本次满足磋商文件要求的</w:t>
      </w:r>
      <w:r>
        <w:rPr>
          <w:b/>
          <w:color w:val="000000"/>
          <w:sz w:val="24"/>
          <w:highlight w:val="none"/>
        </w:rPr>
        <w:t>最低磋商评审价为磋商基准价</w:t>
      </w:r>
      <w:r>
        <w:rPr>
          <w:color w:val="000000"/>
          <w:sz w:val="24"/>
          <w:highlight w:val="none"/>
        </w:rPr>
        <w:t>，其价格为满分。磋商评审价按下列公示计算：</w:t>
      </w:r>
    </w:p>
    <w:p>
      <w:pPr>
        <w:spacing w:line="360" w:lineRule="auto"/>
        <w:ind w:firstLine="1080" w:firstLineChars="450"/>
        <w:rPr>
          <w:color w:val="000000"/>
          <w:sz w:val="24"/>
          <w:highlight w:val="none"/>
        </w:rPr>
      </w:pPr>
      <w:r>
        <w:rPr>
          <w:color w:val="000000"/>
          <w:sz w:val="24"/>
          <w:highlight w:val="none"/>
        </w:rPr>
        <w:t>磋商评审价=最后磋商报价×（1-磋商报价折扣幅度）</w:t>
      </w:r>
    </w:p>
    <w:p>
      <w:pPr>
        <w:spacing w:line="360" w:lineRule="auto"/>
        <w:ind w:firstLine="482" w:firstLineChars="200"/>
        <w:rPr>
          <w:b/>
          <w:color w:val="000000"/>
          <w:sz w:val="24"/>
          <w:highlight w:val="none"/>
        </w:rPr>
      </w:pPr>
      <w:r>
        <w:rPr>
          <w:b/>
          <w:color w:val="000000"/>
          <w:sz w:val="24"/>
          <w:highlight w:val="none"/>
        </w:rPr>
        <w:t>其他供应商的价格得分按下列公式计算:</w:t>
      </w:r>
    </w:p>
    <w:p>
      <w:pPr>
        <w:spacing w:line="360" w:lineRule="auto"/>
        <w:ind w:firstLine="1070" w:firstLineChars="446"/>
        <w:rPr>
          <w:color w:val="000000"/>
          <w:sz w:val="24"/>
          <w:highlight w:val="none"/>
        </w:rPr>
      </w:pPr>
      <w:r>
        <w:rPr>
          <w:color w:val="000000"/>
          <w:sz w:val="24"/>
          <w:highlight w:val="none"/>
        </w:rPr>
        <w:t>磋商报价得分=(磋商基准价／磋商评审价)×100×价格权值</w:t>
      </w:r>
    </w:p>
    <w:p>
      <w:pPr>
        <w:pStyle w:val="10"/>
        <w:widowControl/>
        <w:tabs>
          <w:tab w:val="left" w:pos="1506"/>
        </w:tabs>
        <w:adjustRightInd w:val="0"/>
        <w:snapToGrid w:val="0"/>
        <w:spacing w:line="360" w:lineRule="auto"/>
        <w:ind w:firstLine="480" w:firstLineChars="200"/>
        <w:rPr>
          <w:bCs/>
          <w:color w:val="000000"/>
          <w:sz w:val="24"/>
          <w:szCs w:val="24"/>
          <w:highlight w:val="none"/>
        </w:rPr>
      </w:pPr>
      <w:r>
        <w:rPr>
          <w:bCs/>
          <w:color w:val="000000"/>
          <w:sz w:val="24"/>
          <w:szCs w:val="24"/>
          <w:highlight w:val="none"/>
        </w:rPr>
        <w:t>9.3.3由磋商小组成员独立地根据各项因素的评分标准，结合每个供应商的实际情况，分别就磋商报价以外的各项评审因素对每个供应商独立打分。</w:t>
      </w:r>
    </w:p>
    <w:p>
      <w:pPr>
        <w:pStyle w:val="10"/>
        <w:widowControl/>
        <w:tabs>
          <w:tab w:val="left" w:pos="1506"/>
        </w:tabs>
        <w:adjustRightInd w:val="0"/>
        <w:snapToGrid w:val="0"/>
        <w:spacing w:line="360" w:lineRule="auto"/>
        <w:ind w:firstLine="480" w:firstLineChars="200"/>
        <w:rPr>
          <w:bCs/>
          <w:color w:val="000000"/>
          <w:sz w:val="24"/>
          <w:szCs w:val="24"/>
          <w:highlight w:val="none"/>
        </w:rPr>
      </w:pPr>
      <w:r>
        <w:rPr>
          <w:bCs/>
          <w:color w:val="000000"/>
          <w:sz w:val="24"/>
          <w:szCs w:val="24"/>
          <w:highlight w:val="none"/>
        </w:rPr>
        <w:t>9.3.4将所有评审因素所得实际评审分数相加，即为该供应商的评审总得分。评审总得分按下例公式计算：</w:t>
      </w:r>
    </w:p>
    <w:p>
      <w:pPr>
        <w:spacing w:line="360" w:lineRule="auto"/>
        <w:ind w:firstLine="960" w:firstLineChars="400"/>
        <w:rPr>
          <w:color w:val="000000"/>
          <w:sz w:val="24"/>
          <w:highlight w:val="none"/>
        </w:rPr>
      </w:pPr>
      <w:r>
        <w:rPr>
          <w:color w:val="000000"/>
          <w:sz w:val="24"/>
          <w:highlight w:val="none"/>
        </w:rPr>
        <w:t>评审总得分＝F1＋F2＋……＋Fn</w:t>
      </w:r>
    </w:p>
    <w:p>
      <w:pPr>
        <w:pStyle w:val="15"/>
        <w:shd w:val="clear" w:color="auto" w:fill="FFFFFF"/>
        <w:spacing w:before="0" w:beforeAutospacing="0" w:after="0" w:afterAutospacing="0" w:line="360" w:lineRule="auto"/>
        <w:ind w:firstLine="960" w:firstLineChars="400"/>
        <w:rPr>
          <w:rFonts w:ascii="Times New Roman" w:hAnsi="Times New Roman"/>
          <w:color w:val="000000"/>
          <w:szCs w:val="24"/>
          <w:highlight w:val="none"/>
        </w:rPr>
      </w:pPr>
      <w:r>
        <w:rPr>
          <w:rFonts w:ascii="Times New Roman" w:hAnsi="Times New Roman"/>
          <w:color w:val="000000"/>
          <w:szCs w:val="24"/>
          <w:highlight w:val="none"/>
        </w:rPr>
        <w:t>F1、F2……Fn分别为各项评审因素的汇总得分；</w:t>
      </w:r>
    </w:p>
    <w:p>
      <w:pPr>
        <w:pStyle w:val="15"/>
        <w:shd w:val="clear" w:color="auto" w:fill="FFFFFF"/>
        <w:spacing w:before="0" w:beforeAutospacing="0" w:after="0" w:afterAutospacing="0" w:line="360" w:lineRule="auto"/>
        <w:ind w:firstLine="480" w:firstLineChars="200"/>
        <w:rPr>
          <w:rFonts w:ascii="Times New Roman" w:hAnsi="Times New Roman"/>
          <w:color w:val="000000"/>
          <w:szCs w:val="24"/>
          <w:highlight w:val="none"/>
        </w:rPr>
      </w:pPr>
      <w:r>
        <w:rPr>
          <w:rFonts w:ascii="Times New Roman" w:hAnsi="Times New Roman"/>
          <w:color w:val="000000"/>
          <w:szCs w:val="24"/>
          <w:highlight w:val="none"/>
        </w:rPr>
        <w:t>评审过程中，不得去掉报价中的最高报价和最低报价。</w:t>
      </w:r>
    </w:p>
    <w:p>
      <w:pPr>
        <w:spacing w:line="360" w:lineRule="auto"/>
        <w:ind w:firstLine="480" w:firstLineChars="200"/>
        <w:rPr>
          <w:color w:val="000000"/>
          <w:sz w:val="24"/>
          <w:highlight w:val="none"/>
        </w:rPr>
      </w:pPr>
      <w:r>
        <w:rPr>
          <w:color w:val="000000"/>
          <w:sz w:val="24"/>
          <w:highlight w:val="none"/>
        </w:rPr>
        <w:t>9.4小型和微型企业</w:t>
      </w:r>
      <w:r>
        <w:rPr>
          <w:b/>
          <w:color w:val="000000"/>
          <w:sz w:val="24"/>
          <w:highlight w:val="none"/>
        </w:rPr>
        <w:t>磋商报价扣幅度</w:t>
      </w:r>
      <w:r>
        <w:rPr>
          <w:color w:val="000000"/>
          <w:sz w:val="24"/>
          <w:highlight w:val="none"/>
        </w:rPr>
        <w:t>标准：</w:t>
      </w:r>
    </w:p>
    <w:p>
      <w:pPr>
        <w:spacing w:line="360" w:lineRule="auto"/>
        <w:ind w:firstLine="480" w:firstLineChars="200"/>
        <w:rPr>
          <w:color w:val="000000"/>
          <w:sz w:val="24"/>
          <w:highlight w:val="none"/>
        </w:rPr>
      </w:pPr>
      <w:r>
        <w:rPr>
          <w:color w:val="000000"/>
          <w:sz w:val="24"/>
          <w:highlight w:val="none"/>
        </w:rPr>
        <w:t>9.4.1对小型、微型企业提供服务的磋商报价给予</w:t>
      </w:r>
      <w:r>
        <w:rPr>
          <w:color w:val="000000"/>
          <w:sz w:val="24"/>
          <w:highlight w:val="none"/>
          <w:u w:val="single"/>
        </w:rPr>
        <w:t>6%</w:t>
      </w:r>
      <w:r>
        <w:rPr>
          <w:color w:val="000000"/>
          <w:sz w:val="24"/>
          <w:highlight w:val="none"/>
        </w:rPr>
        <w:t>折扣。</w:t>
      </w:r>
    </w:p>
    <w:p>
      <w:pPr>
        <w:spacing w:line="360" w:lineRule="auto"/>
        <w:ind w:firstLine="480" w:firstLineChars="200"/>
        <w:rPr>
          <w:color w:val="000000"/>
          <w:sz w:val="24"/>
          <w:highlight w:val="none"/>
        </w:rPr>
      </w:pPr>
      <w:r>
        <w:rPr>
          <w:color w:val="000000"/>
          <w:sz w:val="24"/>
          <w:highlight w:val="none"/>
        </w:rPr>
        <w:t>9.5非实质性偏离是指磋商文件在实质上响应磋商文件的要求，但在个别地方存在一些不规则、不一致、不完整的内容，并且澄清、说明或者补正这些内容不会改变响应文件的实质性内容。以下情况属于非实质性偏离：</w:t>
      </w:r>
    </w:p>
    <w:p>
      <w:pPr>
        <w:spacing w:line="360" w:lineRule="auto"/>
        <w:ind w:firstLine="480" w:firstLineChars="200"/>
        <w:rPr>
          <w:color w:val="000000"/>
          <w:sz w:val="24"/>
          <w:highlight w:val="none"/>
        </w:rPr>
      </w:pPr>
      <w:r>
        <w:rPr>
          <w:color w:val="000000"/>
          <w:sz w:val="24"/>
          <w:highlight w:val="none"/>
        </w:rPr>
        <w:t>（1）文字表述的内容含义不明确；</w:t>
      </w:r>
    </w:p>
    <w:p>
      <w:pPr>
        <w:spacing w:line="360" w:lineRule="auto"/>
        <w:ind w:firstLine="480" w:firstLineChars="200"/>
        <w:rPr>
          <w:color w:val="000000"/>
          <w:sz w:val="24"/>
          <w:highlight w:val="none"/>
        </w:rPr>
      </w:pPr>
      <w:r>
        <w:rPr>
          <w:color w:val="000000"/>
          <w:sz w:val="24"/>
          <w:highlight w:val="none"/>
        </w:rPr>
        <w:t>（2）同类问题表述不一致；</w:t>
      </w:r>
    </w:p>
    <w:p>
      <w:pPr>
        <w:spacing w:line="360" w:lineRule="auto"/>
        <w:ind w:firstLine="480" w:firstLineChars="200"/>
        <w:rPr>
          <w:color w:val="000000"/>
          <w:sz w:val="24"/>
          <w:highlight w:val="none"/>
        </w:rPr>
      </w:pPr>
      <w:r>
        <w:rPr>
          <w:color w:val="000000"/>
          <w:sz w:val="24"/>
          <w:highlight w:val="none"/>
        </w:rPr>
        <w:t>（3）有明显文字和计算错误；</w:t>
      </w:r>
    </w:p>
    <w:p>
      <w:pPr>
        <w:spacing w:line="360" w:lineRule="auto"/>
        <w:ind w:firstLine="480" w:firstLineChars="200"/>
        <w:rPr>
          <w:color w:val="000000"/>
          <w:sz w:val="24"/>
          <w:highlight w:val="none"/>
        </w:rPr>
      </w:pPr>
      <w:r>
        <w:rPr>
          <w:color w:val="000000"/>
          <w:sz w:val="24"/>
          <w:highlight w:val="none"/>
        </w:rPr>
        <w:t>（4）提供的技术信息和数据资料不完整；</w:t>
      </w:r>
    </w:p>
    <w:p>
      <w:pPr>
        <w:spacing w:line="360" w:lineRule="auto"/>
        <w:ind w:firstLine="480" w:firstLineChars="200"/>
        <w:rPr>
          <w:color w:val="000000"/>
          <w:sz w:val="24"/>
          <w:highlight w:val="none"/>
        </w:rPr>
      </w:pPr>
      <w:r>
        <w:rPr>
          <w:color w:val="000000"/>
          <w:sz w:val="24"/>
          <w:highlight w:val="none"/>
        </w:rPr>
        <w:t>（5）响应文件未按磋商文件要求进行编制目录、页码；</w:t>
      </w:r>
    </w:p>
    <w:p>
      <w:pPr>
        <w:spacing w:line="360" w:lineRule="auto"/>
        <w:ind w:firstLine="480" w:firstLineChars="200"/>
        <w:rPr>
          <w:color w:val="000000"/>
          <w:sz w:val="24"/>
          <w:highlight w:val="none"/>
        </w:rPr>
      </w:pPr>
      <w:r>
        <w:rPr>
          <w:color w:val="000000"/>
          <w:sz w:val="24"/>
          <w:highlight w:val="none"/>
        </w:rPr>
        <w:t>（6）磋商小组认定的其他非实质性偏离。</w:t>
      </w:r>
    </w:p>
    <w:p>
      <w:pPr>
        <w:tabs>
          <w:tab w:val="left" w:pos="7665"/>
        </w:tabs>
        <w:spacing w:line="360" w:lineRule="auto"/>
        <w:ind w:firstLine="480" w:firstLineChars="200"/>
        <w:rPr>
          <w:color w:val="000000"/>
          <w:sz w:val="24"/>
          <w:highlight w:val="none"/>
        </w:rPr>
      </w:pPr>
      <w:r>
        <w:rPr>
          <w:color w:val="000000"/>
          <w:sz w:val="24"/>
          <w:highlight w:val="none"/>
        </w:rPr>
        <w:t>响应文件有上述（1）至（4）情形之一的，磋商小组应当书面要求供应商在规定的时间内予以澄清、说明或补正。供应商拒不或在规定的时间内没有进行澄清、说明或补正或澄清、说明、补正的内容也不能说明问题的，视为响应文件制作不规范，按每一项非实质性偏离进行扣分处理，直至该项分值扣完为止。</w:t>
      </w:r>
    </w:p>
    <w:p>
      <w:pPr>
        <w:spacing w:line="360" w:lineRule="auto"/>
        <w:ind w:firstLine="480" w:firstLineChars="200"/>
        <w:rPr>
          <w:color w:val="000000"/>
          <w:sz w:val="24"/>
          <w:highlight w:val="none"/>
        </w:rPr>
      </w:pPr>
      <w:r>
        <w:rPr>
          <w:color w:val="000000"/>
          <w:sz w:val="24"/>
          <w:highlight w:val="none"/>
        </w:rPr>
        <w:t>9.6在响应文件初审过程中，如果出现磋商小组成员意见不一致的情况，按照少数服从多数的原则确定。</w:t>
      </w:r>
    </w:p>
    <w:p>
      <w:pPr>
        <w:spacing w:line="360" w:lineRule="auto"/>
        <w:ind w:firstLine="480" w:firstLineChars="200"/>
        <w:rPr>
          <w:color w:val="000000"/>
          <w:sz w:val="24"/>
          <w:highlight w:val="none"/>
        </w:rPr>
      </w:pPr>
      <w:r>
        <w:rPr>
          <w:color w:val="000000"/>
          <w:sz w:val="24"/>
          <w:highlight w:val="none"/>
        </w:rPr>
        <w:t>9.7</w:t>
      </w:r>
      <w:r>
        <w:rPr>
          <w:b/>
          <w:bCs/>
          <w:sz w:val="24"/>
          <w:szCs w:val="24"/>
          <w:highlight w:val="none"/>
        </w:rPr>
        <w:t>综合评分明细表（满分100分）</w:t>
      </w:r>
      <w:bookmarkStart w:id="141" w:name="_Toc485883255"/>
      <w:bookmarkEnd w:id="141"/>
    </w:p>
    <w:tbl>
      <w:tblPr>
        <w:tblStyle w:val="16"/>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80"/>
        <w:gridCol w:w="780"/>
        <w:gridCol w:w="940"/>
        <w:gridCol w:w="6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880" w:type="dxa"/>
            <w:vMerge w:val="restart"/>
            <w:tcBorders>
              <w:top w:val="single" w:color="auto" w:sz="4" w:space="0"/>
              <w:left w:val="single" w:color="auto" w:sz="4" w:space="0"/>
              <w:bottom w:val="single" w:color="auto" w:sz="4" w:space="0"/>
              <w:right w:val="single" w:color="auto" w:sz="4" w:space="0"/>
            </w:tcBorders>
            <w:shd w:val="clear" w:color="auto" w:fill="D9D9D9"/>
            <w:noWrap w:val="0"/>
            <w:tcMar>
              <w:top w:w="15" w:type="dxa"/>
              <w:left w:w="15" w:type="dxa"/>
              <w:bottom w:w="0" w:type="dxa"/>
              <w:right w:w="15" w:type="dxa"/>
            </w:tcMar>
            <w:vAlign w:val="center"/>
          </w:tcPr>
          <w:p>
            <w:pPr>
              <w:widowControl/>
              <w:spacing w:line="360" w:lineRule="auto"/>
              <w:jc w:val="center"/>
              <w:rPr>
                <w:rFonts w:ascii="宋体" w:hAnsi="宋体" w:cs="宋体"/>
                <w:b/>
                <w:bCs/>
                <w:color w:val="auto"/>
                <w:kern w:val="0"/>
                <w:sz w:val="24"/>
                <w:szCs w:val="24"/>
              </w:rPr>
            </w:pPr>
            <w:r>
              <w:rPr>
                <w:rFonts w:hint="eastAsia" w:ascii="宋体" w:hAnsi="宋体" w:cs="宋体"/>
                <w:b/>
                <w:bCs/>
                <w:color w:val="auto"/>
                <w:kern w:val="0"/>
                <w:szCs w:val="24"/>
              </w:rPr>
              <w:t>评分项</w:t>
            </w:r>
          </w:p>
        </w:tc>
        <w:tc>
          <w:tcPr>
            <w:tcW w:w="1720" w:type="dxa"/>
            <w:gridSpan w:val="2"/>
            <w:tcBorders>
              <w:top w:val="single" w:color="auto" w:sz="4" w:space="0"/>
              <w:left w:val="single" w:color="auto" w:sz="4" w:space="0"/>
              <w:bottom w:val="single" w:color="auto" w:sz="4" w:space="0"/>
              <w:right w:val="single" w:color="auto" w:sz="4" w:space="0"/>
            </w:tcBorders>
            <w:shd w:val="clear" w:color="auto" w:fill="D9D9D9"/>
            <w:noWrap w:val="0"/>
            <w:tcMar>
              <w:top w:w="15" w:type="dxa"/>
              <w:left w:w="15" w:type="dxa"/>
              <w:bottom w:w="0" w:type="dxa"/>
              <w:right w:w="15" w:type="dxa"/>
            </w:tcMar>
            <w:vAlign w:val="center"/>
          </w:tcPr>
          <w:p>
            <w:pPr>
              <w:widowControl/>
              <w:spacing w:line="360" w:lineRule="auto"/>
              <w:jc w:val="center"/>
              <w:rPr>
                <w:rFonts w:ascii="宋体" w:hAnsi="宋体" w:cs="宋体"/>
                <w:b/>
                <w:bCs/>
                <w:color w:val="auto"/>
                <w:kern w:val="0"/>
                <w:sz w:val="24"/>
                <w:szCs w:val="24"/>
              </w:rPr>
            </w:pPr>
            <w:r>
              <w:rPr>
                <w:rFonts w:hint="eastAsia" w:ascii="宋体" w:hAnsi="宋体" w:cs="宋体"/>
                <w:b/>
                <w:bCs/>
                <w:color w:val="auto"/>
                <w:kern w:val="0"/>
                <w:szCs w:val="24"/>
              </w:rPr>
              <w:t>总分值</w:t>
            </w:r>
          </w:p>
        </w:tc>
        <w:tc>
          <w:tcPr>
            <w:tcW w:w="6609" w:type="dxa"/>
            <w:vMerge w:val="restart"/>
            <w:tcBorders>
              <w:top w:val="single" w:color="auto" w:sz="4" w:space="0"/>
              <w:left w:val="single" w:color="auto" w:sz="4" w:space="0"/>
              <w:bottom w:val="single" w:color="auto" w:sz="4" w:space="0"/>
              <w:right w:val="single" w:color="auto" w:sz="4" w:space="0"/>
            </w:tcBorders>
            <w:shd w:val="clear" w:color="auto" w:fill="D9D9D9"/>
            <w:noWrap w:val="0"/>
            <w:tcMar>
              <w:top w:w="15" w:type="dxa"/>
              <w:left w:w="15" w:type="dxa"/>
              <w:bottom w:w="0" w:type="dxa"/>
              <w:right w:w="15" w:type="dxa"/>
            </w:tcMar>
            <w:vAlign w:val="center"/>
          </w:tcPr>
          <w:p>
            <w:pPr>
              <w:widowControl/>
              <w:spacing w:line="360" w:lineRule="auto"/>
              <w:jc w:val="center"/>
              <w:rPr>
                <w:rFonts w:ascii="宋体" w:hAnsi="宋体" w:cs="宋体"/>
                <w:b/>
                <w:bCs/>
                <w:color w:val="auto"/>
                <w:kern w:val="0"/>
                <w:sz w:val="24"/>
                <w:szCs w:val="24"/>
              </w:rPr>
            </w:pPr>
            <w:r>
              <w:rPr>
                <w:rFonts w:hint="eastAsia" w:ascii="宋体" w:hAnsi="宋体" w:cs="宋体"/>
                <w:b/>
                <w:bCs/>
                <w:color w:val="auto"/>
                <w:kern w:val="0"/>
                <w:szCs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8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b/>
                <w:bCs/>
                <w:color w:val="000000"/>
                <w:kern w:val="0"/>
                <w:sz w:val="24"/>
                <w:szCs w:val="24"/>
              </w:rPr>
            </w:pPr>
          </w:p>
        </w:tc>
        <w:tc>
          <w:tcPr>
            <w:tcW w:w="780" w:type="dxa"/>
            <w:tcBorders>
              <w:top w:val="single" w:color="auto" w:sz="4" w:space="0"/>
              <w:left w:val="single" w:color="auto" w:sz="4" w:space="0"/>
              <w:bottom w:val="single" w:color="auto" w:sz="4" w:space="0"/>
              <w:right w:val="single" w:color="auto" w:sz="4" w:space="0"/>
            </w:tcBorders>
            <w:shd w:val="clear" w:color="auto" w:fill="D9D9D9"/>
            <w:noWrap w:val="0"/>
            <w:tcMar>
              <w:top w:w="15" w:type="dxa"/>
              <w:left w:w="15" w:type="dxa"/>
              <w:bottom w:w="0" w:type="dxa"/>
              <w:right w:w="15" w:type="dxa"/>
            </w:tcMar>
            <w:vAlign w:val="center"/>
          </w:tcPr>
          <w:p>
            <w:pPr>
              <w:widowControl/>
              <w:spacing w:line="360" w:lineRule="auto"/>
              <w:jc w:val="center"/>
              <w:rPr>
                <w:rFonts w:ascii="宋体" w:hAnsi="宋体" w:cs="宋体"/>
                <w:b/>
                <w:bCs/>
                <w:color w:val="000000"/>
                <w:kern w:val="0"/>
                <w:sz w:val="24"/>
                <w:szCs w:val="24"/>
              </w:rPr>
            </w:pPr>
            <w:r>
              <w:rPr>
                <w:rFonts w:hint="eastAsia" w:ascii="宋体" w:hAnsi="宋体" w:cs="宋体"/>
                <w:b/>
                <w:bCs/>
                <w:color w:val="000000"/>
                <w:kern w:val="0"/>
                <w:szCs w:val="24"/>
              </w:rPr>
              <w:t>100</w:t>
            </w:r>
          </w:p>
        </w:tc>
        <w:tc>
          <w:tcPr>
            <w:tcW w:w="940" w:type="dxa"/>
            <w:tcBorders>
              <w:top w:val="single" w:color="auto" w:sz="4" w:space="0"/>
              <w:left w:val="single" w:color="auto" w:sz="4" w:space="0"/>
              <w:bottom w:val="single" w:color="auto" w:sz="4" w:space="0"/>
              <w:right w:val="single" w:color="auto" w:sz="4" w:space="0"/>
            </w:tcBorders>
            <w:shd w:val="clear" w:color="auto" w:fill="D9D9D9"/>
            <w:noWrap w:val="0"/>
            <w:tcMar>
              <w:top w:w="15" w:type="dxa"/>
              <w:left w:w="15" w:type="dxa"/>
              <w:bottom w:w="0" w:type="dxa"/>
              <w:right w:w="15" w:type="dxa"/>
            </w:tcMar>
            <w:vAlign w:val="center"/>
          </w:tcPr>
          <w:p>
            <w:pPr>
              <w:widowControl/>
              <w:spacing w:line="360" w:lineRule="auto"/>
              <w:jc w:val="center"/>
              <w:rPr>
                <w:rFonts w:ascii="宋体" w:hAnsi="宋体" w:cs="宋体"/>
                <w:b/>
                <w:bCs/>
                <w:color w:val="000000"/>
                <w:kern w:val="0"/>
                <w:sz w:val="24"/>
                <w:szCs w:val="24"/>
              </w:rPr>
            </w:pPr>
            <w:r>
              <w:rPr>
                <w:rFonts w:hint="eastAsia" w:ascii="宋体" w:hAnsi="宋体" w:cs="宋体"/>
                <w:b/>
                <w:bCs/>
                <w:color w:val="000000"/>
                <w:kern w:val="0"/>
                <w:szCs w:val="24"/>
              </w:rPr>
              <w:t>分项最高分值</w:t>
            </w:r>
          </w:p>
        </w:tc>
        <w:tc>
          <w:tcPr>
            <w:tcW w:w="66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0" w:hRule="atLeast"/>
          <w:jc w:val="center"/>
        </w:trPr>
        <w:tc>
          <w:tcPr>
            <w:tcW w:w="8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Cs w:val="24"/>
              </w:rPr>
              <w:t>价格</w:t>
            </w:r>
          </w:p>
        </w:tc>
        <w:tc>
          <w:tcPr>
            <w:tcW w:w="78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Cs w:val="24"/>
              </w:rPr>
              <w:t>10</w:t>
            </w:r>
          </w:p>
        </w:tc>
        <w:tc>
          <w:tcPr>
            <w:tcW w:w="9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Cs w:val="24"/>
              </w:rPr>
              <w:t>10</w:t>
            </w:r>
          </w:p>
        </w:tc>
        <w:tc>
          <w:tcPr>
            <w:tcW w:w="66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ascii="宋体" w:hAnsi="宋体" w:cs="宋体"/>
                <w:color w:val="000000"/>
                <w:kern w:val="0"/>
                <w:sz w:val="24"/>
                <w:szCs w:val="24"/>
              </w:rPr>
            </w:pPr>
            <w:r>
              <w:rPr>
                <w:rFonts w:hint="eastAsia" w:ascii="宋体" w:hAnsi="宋体" w:cs="宋体"/>
                <w:color w:val="000000"/>
                <w:kern w:val="0"/>
                <w:szCs w:val="24"/>
              </w:rPr>
              <w:t>采用低价优先法计算，即满足磋商文件要求且最后报价最低的供应商的价格为磋商基准价，其价格分为满分。磋商报价得分=（磋商基准价/最后磋商报价）×价格分数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0" w:hRule="atLeast"/>
          <w:jc w:val="center"/>
        </w:trPr>
        <w:tc>
          <w:tcPr>
            <w:tcW w:w="88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jc w:val="center"/>
              <w:rPr>
                <w:rFonts w:ascii="宋体" w:hAnsi="宋体" w:cs="宋体"/>
                <w:color w:val="000000"/>
                <w:kern w:val="0"/>
                <w:sz w:val="24"/>
                <w:szCs w:val="24"/>
              </w:rPr>
            </w:pPr>
            <w:r>
              <w:rPr>
                <w:rFonts w:hint="eastAsia" w:ascii="宋体" w:hAnsi="宋体" w:cs="宋体"/>
                <w:color w:val="000000"/>
                <w:kern w:val="0"/>
                <w:szCs w:val="24"/>
              </w:rPr>
              <w:t>技术</w:t>
            </w:r>
          </w:p>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Cs w:val="24"/>
              </w:rPr>
              <w:t>方案</w:t>
            </w:r>
          </w:p>
        </w:tc>
        <w:tc>
          <w:tcPr>
            <w:tcW w:w="78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54</w:t>
            </w:r>
          </w:p>
        </w:tc>
        <w:tc>
          <w:tcPr>
            <w:tcW w:w="9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Cs w:val="24"/>
                <w:lang w:val="en-US" w:eastAsia="zh-CN"/>
              </w:rPr>
              <w:t>12</w:t>
            </w:r>
          </w:p>
        </w:tc>
        <w:tc>
          <w:tcPr>
            <w:tcW w:w="66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hint="eastAsia" w:ascii="宋体" w:hAnsi="宋体" w:cs="宋体"/>
                <w:color w:val="000000"/>
                <w:kern w:val="0"/>
                <w:szCs w:val="24"/>
              </w:rPr>
            </w:pPr>
            <w:r>
              <w:rPr>
                <w:rFonts w:hint="eastAsia" w:ascii="宋体" w:hAnsi="宋体" w:cs="宋体"/>
                <w:color w:val="000000"/>
                <w:kern w:val="0"/>
                <w:szCs w:val="24"/>
              </w:rPr>
              <w:t>符合中、省、市政务公开和政府网站建设要求，投标方案描述详细，功能满足或优于招标文件要求，无缺漏项，根据客户要求开展网站日常运维和监测服务。根据优劣横向比较打分，优秀</w:t>
            </w:r>
            <w:r>
              <w:rPr>
                <w:rFonts w:hint="eastAsia" w:ascii="宋体" w:hAnsi="宋体" w:cs="宋体"/>
                <w:color w:val="000000"/>
                <w:kern w:val="0"/>
                <w:szCs w:val="24"/>
                <w:lang w:val="en-US" w:eastAsia="zh-CN"/>
              </w:rPr>
              <w:t>8</w:t>
            </w:r>
            <w:r>
              <w:rPr>
                <w:rFonts w:hint="eastAsia" w:ascii="宋体" w:hAnsi="宋体" w:cs="宋体"/>
                <w:color w:val="000000"/>
                <w:kern w:val="0"/>
                <w:szCs w:val="24"/>
              </w:rPr>
              <w:t>-</w:t>
            </w:r>
            <w:r>
              <w:rPr>
                <w:rFonts w:hint="eastAsia" w:ascii="宋体" w:hAnsi="宋体" w:cs="宋体"/>
                <w:color w:val="000000"/>
                <w:kern w:val="0"/>
                <w:szCs w:val="24"/>
                <w:lang w:val="en-US" w:eastAsia="zh-CN"/>
              </w:rPr>
              <w:t>12</w:t>
            </w:r>
            <w:r>
              <w:rPr>
                <w:rFonts w:hint="eastAsia" w:ascii="宋体" w:hAnsi="宋体" w:cs="宋体"/>
                <w:color w:val="000000"/>
                <w:kern w:val="0"/>
                <w:szCs w:val="24"/>
              </w:rPr>
              <w:t>分，良好</w:t>
            </w:r>
            <w:r>
              <w:rPr>
                <w:rFonts w:hint="eastAsia" w:ascii="宋体" w:hAnsi="宋体" w:cs="宋体"/>
                <w:color w:val="000000"/>
                <w:kern w:val="0"/>
                <w:szCs w:val="24"/>
                <w:lang w:val="en-US" w:eastAsia="zh-CN"/>
              </w:rPr>
              <w:t>3</w:t>
            </w:r>
            <w:r>
              <w:rPr>
                <w:rFonts w:hint="eastAsia" w:ascii="宋体" w:hAnsi="宋体" w:cs="宋体"/>
                <w:color w:val="000000"/>
                <w:kern w:val="0"/>
                <w:szCs w:val="24"/>
              </w:rPr>
              <w:t>-</w:t>
            </w:r>
            <w:r>
              <w:rPr>
                <w:rFonts w:hint="eastAsia" w:ascii="宋体" w:hAnsi="宋体" w:cs="宋体"/>
                <w:color w:val="000000"/>
                <w:kern w:val="0"/>
                <w:szCs w:val="24"/>
                <w:lang w:val="en-US" w:eastAsia="zh-CN"/>
              </w:rPr>
              <w:t>7</w:t>
            </w:r>
            <w:r>
              <w:rPr>
                <w:rFonts w:hint="eastAsia" w:ascii="宋体" w:hAnsi="宋体" w:cs="宋体"/>
                <w:color w:val="000000"/>
                <w:kern w:val="0"/>
                <w:szCs w:val="24"/>
              </w:rPr>
              <w:t>分，一般0-</w:t>
            </w:r>
            <w:r>
              <w:rPr>
                <w:rFonts w:hint="eastAsia" w:ascii="宋体" w:hAnsi="宋体" w:cs="宋体"/>
                <w:color w:val="000000"/>
                <w:kern w:val="0"/>
                <w:szCs w:val="24"/>
                <w:lang w:val="en-US" w:eastAsia="zh-CN"/>
              </w:rPr>
              <w:t>2</w:t>
            </w:r>
            <w:r>
              <w:rPr>
                <w:rFonts w:hint="eastAsia" w:ascii="宋体" w:hAnsi="宋体" w:cs="宋体"/>
                <w:color w:val="000000"/>
                <w:kern w:val="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0" w:hRule="atLeast"/>
          <w:jc w:val="center"/>
        </w:trPr>
        <w:tc>
          <w:tcPr>
            <w:tcW w:w="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7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940" w:type="dxa"/>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hint="eastAsia" w:ascii="宋体" w:hAnsi="宋体" w:eastAsia="宋体" w:cs="宋体"/>
                <w:color w:val="000000"/>
                <w:kern w:val="0"/>
                <w:sz w:val="24"/>
                <w:szCs w:val="24"/>
                <w:lang w:eastAsia="zh-CN"/>
              </w:rPr>
            </w:pPr>
            <w:r>
              <w:rPr>
                <w:rFonts w:hint="eastAsia" w:ascii="宋体" w:hAnsi="宋体" w:cs="宋体"/>
                <w:color w:val="000000"/>
                <w:kern w:val="0"/>
                <w:szCs w:val="24"/>
              </w:rPr>
              <w:t>1</w:t>
            </w:r>
            <w:r>
              <w:rPr>
                <w:rFonts w:hint="eastAsia" w:ascii="宋体" w:hAnsi="宋体" w:cs="宋体"/>
                <w:color w:val="000000"/>
                <w:kern w:val="0"/>
                <w:szCs w:val="24"/>
                <w:lang w:val="en-US" w:eastAsia="zh-CN"/>
              </w:rPr>
              <w:t>2</w:t>
            </w:r>
          </w:p>
        </w:tc>
        <w:tc>
          <w:tcPr>
            <w:tcW w:w="6609" w:type="dxa"/>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hint="eastAsia" w:ascii="宋体" w:hAnsi="宋体" w:cs="宋体"/>
                <w:color w:val="000000"/>
                <w:kern w:val="0"/>
                <w:szCs w:val="24"/>
              </w:rPr>
            </w:pPr>
            <w:r>
              <w:rPr>
                <w:rFonts w:hint="eastAsia" w:ascii="宋体" w:hAnsi="宋体" w:cs="宋体"/>
                <w:color w:val="000000"/>
                <w:kern w:val="0"/>
                <w:szCs w:val="24"/>
              </w:rPr>
              <w:t>充分理解用户现状和需求，构架先进合理、规范可靠、稳定，针对用户各功能性需求内容提供技术方案，提供网站数据迁移方案</w:t>
            </w:r>
          </w:p>
          <w:p>
            <w:pPr>
              <w:widowControl/>
              <w:spacing w:line="360" w:lineRule="auto"/>
              <w:rPr>
                <w:rFonts w:hint="eastAsia" w:ascii="宋体" w:hAnsi="宋体" w:cs="宋体"/>
                <w:color w:val="000000"/>
                <w:kern w:val="0"/>
                <w:szCs w:val="24"/>
              </w:rPr>
            </w:pPr>
            <w:r>
              <w:rPr>
                <w:rFonts w:hint="eastAsia" w:ascii="宋体" w:hAnsi="宋体" w:cs="宋体"/>
                <w:color w:val="000000"/>
                <w:kern w:val="0"/>
                <w:szCs w:val="24"/>
              </w:rPr>
              <w:t>根据优劣横向比较打分，优秀</w:t>
            </w:r>
            <w:r>
              <w:rPr>
                <w:rFonts w:hint="eastAsia" w:ascii="宋体" w:hAnsi="宋体" w:cs="宋体"/>
                <w:color w:val="000000"/>
                <w:kern w:val="0"/>
                <w:szCs w:val="24"/>
                <w:lang w:val="en-US" w:eastAsia="zh-CN"/>
              </w:rPr>
              <w:t>8</w:t>
            </w:r>
            <w:r>
              <w:rPr>
                <w:rFonts w:hint="eastAsia" w:ascii="宋体" w:hAnsi="宋体" w:cs="宋体"/>
                <w:color w:val="000000"/>
                <w:kern w:val="0"/>
                <w:szCs w:val="24"/>
              </w:rPr>
              <w:t>-1</w:t>
            </w:r>
            <w:r>
              <w:rPr>
                <w:rFonts w:hint="eastAsia" w:ascii="宋体" w:hAnsi="宋体" w:cs="宋体"/>
                <w:color w:val="000000"/>
                <w:kern w:val="0"/>
                <w:szCs w:val="24"/>
                <w:lang w:val="en-US" w:eastAsia="zh-CN"/>
              </w:rPr>
              <w:t>2</w:t>
            </w:r>
            <w:r>
              <w:rPr>
                <w:rFonts w:hint="eastAsia" w:ascii="宋体" w:hAnsi="宋体" w:cs="宋体"/>
                <w:color w:val="000000"/>
                <w:kern w:val="0"/>
                <w:szCs w:val="24"/>
              </w:rPr>
              <w:t>分，良好</w:t>
            </w:r>
            <w:r>
              <w:rPr>
                <w:rFonts w:hint="eastAsia" w:ascii="宋体" w:hAnsi="宋体" w:cs="宋体"/>
                <w:color w:val="000000"/>
                <w:kern w:val="0"/>
                <w:szCs w:val="24"/>
                <w:lang w:val="en-US" w:eastAsia="zh-CN"/>
              </w:rPr>
              <w:t>3</w:t>
            </w:r>
            <w:r>
              <w:rPr>
                <w:rFonts w:hint="eastAsia" w:ascii="宋体" w:hAnsi="宋体" w:cs="宋体"/>
                <w:color w:val="000000"/>
                <w:kern w:val="0"/>
                <w:szCs w:val="24"/>
              </w:rPr>
              <w:t>-</w:t>
            </w:r>
            <w:r>
              <w:rPr>
                <w:rFonts w:hint="eastAsia" w:ascii="宋体" w:hAnsi="宋体" w:cs="宋体"/>
                <w:color w:val="000000"/>
                <w:kern w:val="0"/>
                <w:szCs w:val="24"/>
                <w:lang w:val="en-US" w:eastAsia="zh-CN"/>
              </w:rPr>
              <w:t>7</w:t>
            </w:r>
            <w:r>
              <w:rPr>
                <w:rFonts w:hint="eastAsia" w:ascii="宋体" w:hAnsi="宋体" w:cs="宋体"/>
                <w:color w:val="000000"/>
                <w:kern w:val="0"/>
                <w:szCs w:val="24"/>
              </w:rPr>
              <w:t>分，一般0-2分。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3" w:hRule="atLeast"/>
          <w:jc w:val="center"/>
        </w:trPr>
        <w:tc>
          <w:tcPr>
            <w:tcW w:w="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7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9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66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hint="eastAsia" w:ascii="宋体" w:hAnsi="宋体" w:cs="宋体"/>
                <w:color w:val="000000"/>
                <w:kern w:val="0"/>
                <w:szCs w:val="24"/>
              </w:rPr>
            </w:pPr>
            <w:r>
              <w:rPr>
                <w:rFonts w:hint="eastAsia" w:ascii="宋体" w:hAnsi="宋体" w:cs="宋体"/>
                <w:color w:val="000000"/>
                <w:kern w:val="0"/>
                <w:szCs w:val="24"/>
                <w:lang w:val="en-US" w:eastAsia="zh-CN"/>
              </w:rPr>
              <w:t>提供网站应用安全升级方案，优秀5</w:t>
            </w:r>
            <w:r>
              <w:rPr>
                <w:rFonts w:hint="eastAsia" w:ascii="宋体" w:hAnsi="宋体" w:cs="宋体"/>
                <w:color w:val="000000"/>
                <w:kern w:val="0"/>
                <w:szCs w:val="24"/>
              </w:rPr>
              <w:t>分，良好3-</w:t>
            </w:r>
            <w:r>
              <w:rPr>
                <w:rFonts w:hint="eastAsia" w:ascii="宋体" w:hAnsi="宋体" w:cs="宋体"/>
                <w:color w:val="000000"/>
                <w:kern w:val="0"/>
                <w:szCs w:val="24"/>
                <w:lang w:val="en-US" w:eastAsia="zh-CN"/>
              </w:rPr>
              <w:t>4</w:t>
            </w:r>
            <w:r>
              <w:rPr>
                <w:rFonts w:hint="eastAsia" w:ascii="宋体" w:hAnsi="宋体" w:cs="宋体"/>
                <w:color w:val="000000"/>
                <w:kern w:val="0"/>
                <w:szCs w:val="24"/>
              </w:rPr>
              <w:t>分，一般0-2分。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7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9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66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hint="default" w:ascii="宋体" w:hAnsi="宋体" w:cs="宋体"/>
                <w:color w:val="000000"/>
                <w:kern w:val="0"/>
                <w:szCs w:val="24"/>
                <w:lang w:val="en-US" w:eastAsia="zh-CN"/>
              </w:rPr>
            </w:pPr>
            <w:r>
              <w:rPr>
                <w:rFonts w:hint="eastAsia" w:ascii="宋体" w:hAnsi="宋体" w:cs="宋体"/>
                <w:color w:val="000000"/>
                <w:kern w:val="0"/>
                <w:szCs w:val="24"/>
                <w:lang w:val="en-US" w:eastAsia="zh-CN"/>
              </w:rPr>
              <w:t>提供完善的网页设计规范，优秀5</w:t>
            </w:r>
            <w:r>
              <w:rPr>
                <w:rFonts w:hint="eastAsia" w:ascii="宋体" w:hAnsi="宋体" w:cs="宋体"/>
                <w:color w:val="000000"/>
                <w:kern w:val="0"/>
                <w:szCs w:val="24"/>
              </w:rPr>
              <w:t>分，良好3-</w:t>
            </w:r>
            <w:r>
              <w:rPr>
                <w:rFonts w:hint="eastAsia" w:ascii="宋体" w:hAnsi="宋体" w:cs="宋体"/>
                <w:color w:val="000000"/>
                <w:kern w:val="0"/>
                <w:szCs w:val="24"/>
                <w:lang w:val="en-US" w:eastAsia="zh-CN"/>
              </w:rPr>
              <w:t>4</w:t>
            </w:r>
            <w:r>
              <w:rPr>
                <w:rFonts w:hint="eastAsia" w:ascii="宋体" w:hAnsi="宋体" w:cs="宋体"/>
                <w:color w:val="000000"/>
                <w:kern w:val="0"/>
                <w:szCs w:val="24"/>
              </w:rPr>
              <w:t>分，一般0-2分。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0" w:hRule="atLeast"/>
          <w:jc w:val="center"/>
        </w:trPr>
        <w:tc>
          <w:tcPr>
            <w:tcW w:w="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7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9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Cs w:val="24"/>
              </w:rPr>
              <w:t>10</w:t>
            </w:r>
          </w:p>
        </w:tc>
        <w:tc>
          <w:tcPr>
            <w:tcW w:w="66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hint="eastAsia" w:ascii="宋体" w:hAnsi="宋体" w:cs="宋体"/>
                <w:color w:val="000000"/>
                <w:kern w:val="0"/>
                <w:szCs w:val="24"/>
              </w:rPr>
            </w:pPr>
            <w:r>
              <w:rPr>
                <w:rFonts w:hint="eastAsia" w:ascii="宋体" w:hAnsi="宋体" w:cs="宋体"/>
                <w:color w:val="000000"/>
                <w:kern w:val="0"/>
                <w:szCs w:val="24"/>
              </w:rPr>
              <w:t>提供完善的网站运行维护和技术支持服务，服务内容完善、服务渠道多样化、服务响应及时，并按照要求提供运维服务。根据优劣横向比较打分，优秀8-10分，良好4-7分，一般0-3分。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05" w:hRule="atLeast"/>
          <w:jc w:val="center"/>
        </w:trPr>
        <w:tc>
          <w:tcPr>
            <w:tcW w:w="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7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9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Cs w:val="24"/>
                <w:lang w:val="en-US" w:eastAsia="zh-CN"/>
              </w:rPr>
              <w:t>10</w:t>
            </w:r>
          </w:p>
        </w:tc>
        <w:tc>
          <w:tcPr>
            <w:tcW w:w="66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hint="default" w:ascii="宋体" w:hAnsi="宋体" w:eastAsia="宋体" w:cs="宋体"/>
                <w:color w:val="000000"/>
                <w:kern w:val="0"/>
                <w:szCs w:val="24"/>
                <w:lang w:val="en-US" w:eastAsia="zh-CN"/>
              </w:rPr>
            </w:pPr>
            <w:r>
              <w:rPr>
                <w:rFonts w:hint="eastAsia" w:ascii="宋体" w:hAnsi="宋体" w:cs="宋体"/>
                <w:color w:val="000000"/>
                <w:kern w:val="0"/>
                <w:szCs w:val="24"/>
              </w:rPr>
              <w:t>根据本项目</w:t>
            </w:r>
            <w:r>
              <w:rPr>
                <w:rFonts w:hint="eastAsia" w:ascii="宋体" w:hAnsi="宋体" w:cs="宋体"/>
                <w:color w:val="000000"/>
                <w:kern w:val="0"/>
                <w:szCs w:val="24"/>
                <w:lang w:val="en-US" w:eastAsia="zh-CN"/>
              </w:rPr>
              <w:t>实施</w:t>
            </w:r>
            <w:r>
              <w:rPr>
                <w:rFonts w:hint="eastAsia" w:ascii="宋体" w:hAnsi="宋体" w:cs="宋体"/>
                <w:color w:val="000000"/>
                <w:kern w:val="0"/>
                <w:szCs w:val="24"/>
              </w:rPr>
              <w:t>情况，项目组织管理机构设置及人员分工安排合理、职责划分明确，且充分考虑到本项目实际情况，根据优劣程度、优得</w:t>
            </w:r>
            <w:r>
              <w:rPr>
                <w:rFonts w:hint="eastAsia" w:ascii="宋体" w:hAnsi="宋体" w:cs="宋体"/>
                <w:color w:val="000000"/>
                <w:kern w:val="0"/>
                <w:szCs w:val="24"/>
                <w:lang w:val="en-US" w:eastAsia="zh-CN"/>
              </w:rPr>
              <w:t>7</w:t>
            </w:r>
            <w:r>
              <w:rPr>
                <w:rFonts w:hint="eastAsia" w:ascii="宋体" w:hAnsi="宋体" w:cs="宋体"/>
                <w:color w:val="000000"/>
                <w:kern w:val="0"/>
                <w:szCs w:val="24"/>
              </w:rPr>
              <w:t>-</w:t>
            </w:r>
            <w:r>
              <w:rPr>
                <w:rFonts w:hint="eastAsia" w:ascii="宋体" w:hAnsi="宋体" w:cs="宋体"/>
                <w:color w:val="000000"/>
                <w:kern w:val="0"/>
                <w:szCs w:val="24"/>
                <w:lang w:val="en-US" w:eastAsia="zh-CN"/>
              </w:rPr>
              <w:t>10</w:t>
            </w:r>
            <w:r>
              <w:rPr>
                <w:rFonts w:hint="eastAsia" w:ascii="宋体" w:hAnsi="宋体" w:cs="宋体"/>
                <w:color w:val="000000"/>
                <w:kern w:val="0"/>
                <w:szCs w:val="24"/>
              </w:rPr>
              <w:t>分，一般得</w:t>
            </w:r>
            <w:r>
              <w:rPr>
                <w:rFonts w:hint="eastAsia" w:ascii="宋体" w:hAnsi="宋体" w:cs="宋体"/>
                <w:color w:val="000000"/>
                <w:kern w:val="0"/>
                <w:szCs w:val="24"/>
                <w:lang w:val="en-US" w:eastAsia="zh-CN"/>
              </w:rPr>
              <w:t>4</w:t>
            </w:r>
            <w:r>
              <w:rPr>
                <w:rFonts w:hint="eastAsia" w:ascii="宋体" w:hAnsi="宋体" w:cs="宋体"/>
                <w:color w:val="000000"/>
                <w:kern w:val="0"/>
                <w:szCs w:val="24"/>
              </w:rPr>
              <w:t>-</w:t>
            </w:r>
            <w:r>
              <w:rPr>
                <w:rFonts w:hint="eastAsia" w:ascii="宋体" w:hAnsi="宋体" w:cs="宋体"/>
                <w:color w:val="000000"/>
                <w:kern w:val="0"/>
                <w:szCs w:val="24"/>
                <w:lang w:val="en-US" w:eastAsia="zh-CN"/>
              </w:rPr>
              <w:t>7</w:t>
            </w:r>
            <w:r>
              <w:rPr>
                <w:rFonts w:hint="eastAsia" w:ascii="宋体" w:hAnsi="宋体" w:cs="宋体"/>
                <w:color w:val="000000"/>
                <w:kern w:val="0"/>
                <w:szCs w:val="24"/>
              </w:rPr>
              <w:t>分；</w:t>
            </w:r>
            <w:r>
              <w:rPr>
                <w:rFonts w:hint="eastAsia" w:ascii="宋体" w:hAnsi="宋体" w:cs="宋体"/>
                <w:color w:val="000000"/>
                <w:kern w:val="0"/>
                <w:szCs w:val="24"/>
                <w:lang w:val="en-US" w:eastAsia="zh-CN"/>
              </w:rPr>
              <w:t>差得0-3分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5" w:hRule="atLeast"/>
          <w:jc w:val="center"/>
        </w:trPr>
        <w:tc>
          <w:tcPr>
            <w:tcW w:w="88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Cs w:val="24"/>
              </w:rPr>
              <w:t>企业实力与业绩</w:t>
            </w:r>
          </w:p>
        </w:tc>
        <w:tc>
          <w:tcPr>
            <w:tcW w:w="78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Cs w:val="24"/>
                <w:lang w:val="en-US" w:eastAsia="zh-CN"/>
              </w:rPr>
              <w:t>2</w:t>
            </w:r>
            <w:r>
              <w:rPr>
                <w:rFonts w:hint="eastAsia" w:ascii="宋体" w:hAnsi="宋体" w:cs="宋体"/>
                <w:color w:val="000000"/>
                <w:kern w:val="0"/>
                <w:szCs w:val="24"/>
              </w:rPr>
              <w:t>0</w:t>
            </w:r>
          </w:p>
        </w:tc>
        <w:tc>
          <w:tcPr>
            <w:tcW w:w="9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ascii="宋体" w:hAnsi="宋体" w:cs="宋体"/>
                <w:color w:val="FF0000"/>
                <w:kern w:val="0"/>
                <w:sz w:val="24"/>
                <w:szCs w:val="24"/>
              </w:rPr>
            </w:pPr>
            <w:r>
              <w:rPr>
                <w:rFonts w:hint="eastAsia" w:ascii="宋体" w:hAnsi="宋体" w:cs="宋体"/>
                <w:color w:val="000000"/>
                <w:kern w:val="0"/>
                <w:sz w:val="24"/>
                <w:szCs w:val="24"/>
                <w:lang w:val="en-US" w:eastAsia="zh-CN"/>
              </w:rPr>
              <w:t>6</w:t>
            </w:r>
          </w:p>
        </w:tc>
        <w:tc>
          <w:tcPr>
            <w:tcW w:w="66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hint="eastAsia" w:ascii="宋体" w:hAnsi="宋体" w:cs="宋体"/>
                <w:color w:val="000000"/>
                <w:kern w:val="0"/>
                <w:szCs w:val="24"/>
              </w:rPr>
            </w:pPr>
            <w:r>
              <w:rPr>
                <w:rFonts w:hint="eastAsia" w:ascii="宋体" w:hAnsi="宋体" w:cs="宋体"/>
                <w:color w:val="000000"/>
                <w:kern w:val="0"/>
                <w:szCs w:val="24"/>
              </w:rPr>
              <w:t>投标人具有软件企业证书、软件产品证书、高新技术企业证书，每具备1个得</w:t>
            </w:r>
            <w:r>
              <w:rPr>
                <w:rFonts w:hint="eastAsia" w:ascii="宋体" w:hAnsi="宋体" w:cs="宋体"/>
                <w:color w:val="000000"/>
                <w:kern w:val="0"/>
                <w:szCs w:val="24"/>
                <w:lang w:val="en-US" w:eastAsia="zh-CN"/>
              </w:rPr>
              <w:t>2</w:t>
            </w:r>
            <w:r>
              <w:rPr>
                <w:rFonts w:hint="eastAsia" w:ascii="宋体" w:hAnsi="宋体" w:cs="宋体"/>
                <w:color w:val="000000"/>
                <w:kern w:val="0"/>
                <w:szCs w:val="24"/>
              </w:rPr>
              <w:t>分，共计6分。（原件备查）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2" w:hRule="atLeast"/>
          <w:jc w:val="center"/>
        </w:trPr>
        <w:tc>
          <w:tcPr>
            <w:tcW w:w="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7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9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66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hint="eastAsia" w:ascii="宋体" w:hAnsi="宋体" w:cs="宋体"/>
                <w:color w:val="000000"/>
                <w:kern w:val="0"/>
                <w:szCs w:val="24"/>
              </w:rPr>
            </w:pPr>
            <w:r>
              <w:rPr>
                <w:rFonts w:hint="eastAsia" w:ascii="宋体" w:hAnsi="宋体" w:cs="宋体"/>
                <w:color w:val="000000"/>
                <w:kern w:val="0"/>
                <w:szCs w:val="24"/>
              </w:rPr>
              <w:t>投标人具有集约化门户网站群管理系统、集约化资源库云服务平台、信息</w:t>
            </w:r>
            <w:r>
              <w:rPr>
                <w:rFonts w:hint="eastAsia" w:ascii="宋体" w:hAnsi="宋体" w:cs="宋体"/>
                <w:color w:val="000000"/>
                <w:kern w:val="0"/>
                <w:szCs w:val="24"/>
                <w:lang w:val="en-US" w:eastAsia="zh-CN"/>
              </w:rPr>
              <w:t>内容管理</w:t>
            </w:r>
            <w:r>
              <w:rPr>
                <w:rFonts w:hint="eastAsia" w:ascii="宋体" w:hAnsi="宋体" w:cs="宋体"/>
                <w:color w:val="000000"/>
                <w:kern w:val="0"/>
                <w:szCs w:val="24"/>
              </w:rPr>
              <w:t>系统、</w:t>
            </w:r>
            <w:r>
              <w:rPr>
                <w:rFonts w:hint="eastAsia" w:ascii="宋体" w:hAnsi="宋体" w:cs="宋体"/>
                <w:color w:val="000000"/>
                <w:kern w:val="0"/>
                <w:szCs w:val="24"/>
                <w:lang w:val="en-US" w:eastAsia="zh-CN"/>
              </w:rPr>
              <w:t>政务新媒体服务平台，安全运维监测</w:t>
            </w:r>
            <w:r>
              <w:rPr>
                <w:rFonts w:hint="eastAsia" w:ascii="宋体" w:hAnsi="宋体" w:cs="宋体"/>
                <w:color w:val="000000"/>
                <w:kern w:val="0"/>
                <w:szCs w:val="24"/>
              </w:rPr>
              <w:t>产品软件著作权，每提供1个得1分，共计</w:t>
            </w:r>
            <w:r>
              <w:rPr>
                <w:rFonts w:hint="eastAsia" w:ascii="宋体" w:hAnsi="宋体" w:cs="宋体"/>
                <w:color w:val="000000"/>
                <w:kern w:val="0"/>
                <w:szCs w:val="24"/>
                <w:lang w:val="en-US" w:eastAsia="zh-CN"/>
              </w:rPr>
              <w:t>5</w:t>
            </w:r>
            <w:r>
              <w:rPr>
                <w:rFonts w:hint="eastAsia" w:ascii="宋体" w:hAnsi="宋体" w:cs="宋体"/>
                <w:color w:val="000000"/>
                <w:kern w:val="0"/>
                <w:szCs w:val="24"/>
              </w:rPr>
              <w:t>分。（原件备查）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5" w:hRule="atLeast"/>
          <w:jc w:val="center"/>
        </w:trPr>
        <w:tc>
          <w:tcPr>
            <w:tcW w:w="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7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szCs w:val="24"/>
              </w:rPr>
            </w:pPr>
          </w:p>
        </w:tc>
        <w:tc>
          <w:tcPr>
            <w:tcW w:w="9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hint="eastAsia" w:ascii="宋体" w:hAnsi="宋体" w:eastAsia="宋体" w:cs="宋体"/>
                <w:color w:val="FF0000"/>
                <w:kern w:val="0"/>
                <w:sz w:val="24"/>
                <w:szCs w:val="24"/>
                <w:lang w:val="en-US" w:eastAsia="zh-CN"/>
              </w:rPr>
            </w:pPr>
            <w:r>
              <w:rPr>
                <w:rFonts w:hint="eastAsia" w:ascii="宋体" w:hAnsi="宋体" w:cs="宋体"/>
                <w:color w:val="000000"/>
                <w:kern w:val="0"/>
                <w:sz w:val="24"/>
                <w:szCs w:val="24"/>
                <w:lang w:val="en-US" w:eastAsia="zh-CN"/>
              </w:rPr>
              <w:t>9</w:t>
            </w:r>
          </w:p>
        </w:tc>
        <w:tc>
          <w:tcPr>
            <w:tcW w:w="66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hint="eastAsia" w:ascii="宋体" w:hAnsi="宋体" w:cs="宋体"/>
                <w:color w:val="000000"/>
                <w:kern w:val="0"/>
                <w:szCs w:val="24"/>
              </w:rPr>
            </w:pPr>
            <w:r>
              <w:rPr>
                <w:rFonts w:hint="eastAsia" w:ascii="宋体" w:hAnsi="宋体" w:cs="宋体"/>
                <w:color w:val="000000"/>
                <w:kern w:val="0"/>
                <w:szCs w:val="24"/>
              </w:rPr>
              <w:t>投标人具有政府门户网站建设及运维服务经验相关业绩，响应文件中附项目合同证明文件复印件，</w:t>
            </w:r>
            <w:r>
              <w:rPr>
                <w:rFonts w:hint="eastAsia" w:ascii="宋体" w:hAnsi="宋体" w:cs="宋体"/>
                <w:color w:val="000000"/>
                <w:kern w:val="0"/>
                <w:szCs w:val="24"/>
                <w:lang w:val="en-US" w:eastAsia="zh-CN"/>
              </w:rPr>
              <w:t>省级</w:t>
            </w:r>
            <w:r>
              <w:rPr>
                <w:rFonts w:hint="eastAsia" w:ascii="宋体" w:hAnsi="宋体" w:cs="宋体"/>
                <w:color w:val="000000"/>
                <w:kern w:val="0"/>
                <w:szCs w:val="24"/>
              </w:rPr>
              <w:t>每份业绩计2分，</w:t>
            </w:r>
            <w:r>
              <w:rPr>
                <w:rFonts w:hint="eastAsia" w:ascii="宋体" w:hAnsi="宋体" w:cs="宋体"/>
                <w:color w:val="000000"/>
                <w:kern w:val="0"/>
                <w:szCs w:val="24"/>
                <w:lang w:val="en-US" w:eastAsia="zh-CN"/>
              </w:rPr>
              <w:t>市县级</w:t>
            </w:r>
            <w:r>
              <w:rPr>
                <w:rFonts w:hint="eastAsia" w:ascii="宋体" w:hAnsi="宋体" w:cs="宋体"/>
                <w:color w:val="000000"/>
                <w:kern w:val="0"/>
                <w:szCs w:val="24"/>
              </w:rPr>
              <w:t>每份业绩计</w:t>
            </w:r>
            <w:r>
              <w:rPr>
                <w:rFonts w:hint="eastAsia" w:ascii="宋体" w:hAnsi="宋体" w:cs="宋体"/>
                <w:color w:val="000000"/>
                <w:kern w:val="0"/>
                <w:szCs w:val="24"/>
                <w:lang w:val="en-US" w:eastAsia="zh-CN"/>
              </w:rPr>
              <w:t>1</w:t>
            </w:r>
            <w:r>
              <w:rPr>
                <w:rFonts w:hint="eastAsia" w:ascii="宋体" w:hAnsi="宋体" w:cs="宋体"/>
                <w:color w:val="000000"/>
                <w:kern w:val="0"/>
                <w:szCs w:val="24"/>
              </w:rPr>
              <w:t>分</w:t>
            </w:r>
            <w:r>
              <w:rPr>
                <w:rFonts w:hint="eastAsia" w:ascii="宋体" w:hAnsi="宋体" w:cs="宋体"/>
                <w:color w:val="000000"/>
                <w:kern w:val="0"/>
                <w:szCs w:val="24"/>
                <w:lang w:eastAsia="zh-CN"/>
              </w:rPr>
              <w:t>，</w:t>
            </w:r>
            <w:r>
              <w:rPr>
                <w:rFonts w:hint="eastAsia" w:ascii="宋体" w:hAnsi="宋体" w:cs="宋体"/>
                <w:color w:val="000000"/>
                <w:kern w:val="0"/>
                <w:szCs w:val="24"/>
              </w:rPr>
              <w:t>满分</w:t>
            </w:r>
            <w:r>
              <w:rPr>
                <w:rFonts w:hint="eastAsia" w:ascii="宋体" w:hAnsi="宋体" w:cs="宋体"/>
                <w:color w:val="000000"/>
                <w:kern w:val="0"/>
                <w:szCs w:val="24"/>
                <w:lang w:val="en-US" w:eastAsia="zh-CN"/>
              </w:rPr>
              <w:t>9</w:t>
            </w:r>
            <w:r>
              <w:rPr>
                <w:rFonts w:hint="eastAsia" w:ascii="宋体" w:hAnsi="宋体" w:cs="宋体"/>
                <w:color w:val="000000"/>
                <w:kern w:val="0"/>
                <w:szCs w:val="24"/>
              </w:rPr>
              <w:t>分，不提供计0分。（原件备查）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5" w:hRule="atLeast"/>
          <w:jc w:val="center"/>
        </w:trPr>
        <w:tc>
          <w:tcPr>
            <w:tcW w:w="880" w:type="dxa"/>
            <w:tcBorders>
              <w:left w:val="single" w:color="auto" w:sz="4" w:space="0"/>
              <w:right w:val="single" w:color="auto" w:sz="4" w:space="0"/>
            </w:tcBorders>
            <w:noWrap w:val="0"/>
            <w:vAlign w:val="center"/>
          </w:tcPr>
          <w:p>
            <w:pPr>
              <w:widowControl/>
              <w:spacing w:line="360" w:lineRule="auto"/>
              <w:jc w:val="center"/>
              <w:rPr>
                <w:rFonts w:hint="default" w:ascii="宋体" w:hAnsi="宋体" w:cs="宋体"/>
                <w:color w:val="000000"/>
                <w:kern w:val="0"/>
                <w:szCs w:val="24"/>
                <w:lang w:val="en-US" w:eastAsia="zh-CN"/>
              </w:rPr>
            </w:pPr>
            <w:r>
              <w:rPr>
                <w:rFonts w:hint="eastAsia" w:ascii="宋体" w:hAnsi="宋体" w:cs="宋体"/>
                <w:color w:val="000000"/>
                <w:kern w:val="0"/>
                <w:szCs w:val="24"/>
                <w:lang w:val="en-US" w:eastAsia="zh-CN"/>
              </w:rPr>
              <w:t>系统演示</w:t>
            </w:r>
          </w:p>
        </w:tc>
        <w:tc>
          <w:tcPr>
            <w:tcW w:w="780" w:type="dxa"/>
            <w:tcBorders>
              <w:left w:val="single" w:color="auto" w:sz="4" w:space="0"/>
              <w:right w:val="single" w:color="auto" w:sz="4" w:space="0"/>
            </w:tcBorders>
            <w:noWrap w:val="0"/>
            <w:vAlign w:val="center"/>
          </w:tcPr>
          <w:p>
            <w:pPr>
              <w:widowControl/>
              <w:ind w:firstLine="240" w:firstLineChars="100"/>
              <w:jc w:val="left"/>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c>
          <w:tcPr>
            <w:tcW w:w="9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hint="default" w:ascii="宋体" w:hAnsi="宋体" w:cs="宋体"/>
                <w:sz w:val="24"/>
                <w:szCs w:val="24"/>
                <w:lang w:val="en-US" w:eastAsia="zh-CN"/>
              </w:rPr>
            </w:pPr>
            <w:r>
              <w:rPr>
                <w:rFonts w:hint="eastAsia" w:ascii="宋体" w:hAnsi="宋体" w:cs="宋体"/>
                <w:sz w:val="24"/>
                <w:szCs w:val="24"/>
                <w:lang w:val="en-US" w:eastAsia="zh-CN"/>
              </w:rPr>
              <w:t>10</w:t>
            </w:r>
          </w:p>
        </w:tc>
        <w:tc>
          <w:tcPr>
            <w:tcW w:w="66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hint="default" w:ascii="宋体" w:hAnsi="宋体" w:cs="宋体"/>
                <w:color w:val="auto"/>
                <w:kern w:val="0"/>
                <w:szCs w:val="24"/>
                <w:lang w:val="en-US" w:eastAsia="zh-CN"/>
              </w:rPr>
            </w:pPr>
            <w:r>
              <w:rPr>
                <w:rFonts w:hint="eastAsia" w:ascii="宋体" w:hAnsi="宋体" w:cs="宋体"/>
                <w:color w:val="auto"/>
                <w:kern w:val="0"/>
                <w:szCs w:val="24"/>
                <w:lang w:val="en-US" w:eastAsia="zh-CN"/>
              </w:rPr>
              <w:t>信息公开、互动系统、一号登录、无障碍浏览、简繁转换、移动端、数据采集、站群管理、站点管理、组织结构管理每个系统演示得1分，不演示不得分，（演示案例须是投标人所做项目，提供合同复印件，原件备查），满分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5" w:hRule="atLeast"/>
          <w:jc w:val="center"/>
        </w:trPr>
        <w:tc>
          <w:tcPr>
            <w:tcW w:w="880" w:type="dxa"/>
            <w:tcBorders>
              <w:left w:val="single" w:color="auto" w:sz="4" w:space="0"/>
              <w:right w:val="single" w:color="auto" w:sz="4" w:space="0"/>
            </w:tcBorders>
            <w:noWrap w:val="0"/>
            <w:vAlign w:val="center"/>
          </w:tcPr>
          <w:p>
            <w:pPr>
              <w:widowControl/>
              <w:spacing w:line="360" w:lineRule="auto"/>
              <w:jc w:val="center"/>
              <w:rPr>
                <w:rFonts w:hint="default" w:ascii="宋体" w:hAnsi="宋体" w:cs="宋体"/>
                <w:color w:val="000000"/>
                <w:kern w:val="0"/>
                <w:szCs w:val="24"/>
                <w:lang w:val="en-US" w:eastAsia="zh-CN"/>
              </w:rPr>
            </w:pPr>
            <w:r>
              <w:rPr>
                <w:rFonts w:hint="eastAsia" w:ascii="宋体" w:hAnsi="宋体" w:cs="宋体"/>
                <w:color w:val="000000"/>
                <w:kern w:val="0"/>
                <w:szCs w:val="24"/>
                <w:lang w:val="en-US" w:eastAsia="zh-CN"/>
              </w:rPr>
              <w:t>非功能性规划</w:t>
            </w:r>
          </w:p>
        </w:tc>
        <w:tc>
          <w:tcPr>
            <w:tcW w:w="780" w:type="dxa"/>
            <w:tcBorders>
              <w:left w:val="single" w:color="auto" w:sz="4" w:space="0"/>
              <w:right w:val="single" w:color="auto" w:sz="4" w:space="0"/>
            </w:tcBorders>
            <w:noWrap w:val="0"/>
            <w:vAlign w:val="center"/>
          </w:tcPr>
          <w:p>
            <w:pPr>
              <w:widowControl/>
              <w:ind w:firstLine="240" w:firstLineChars="100"/>
              <w:jc w:val="left"/>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6</w:t>
            </w:r>
          </w:p>
        </w:tc>
        <w:tc>
          <w:tcPr>
            <w:tcW w:w="9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jc w:val="center"/>
              <w:rPr>
                <w:rFonts w:hint="default" w:ascii="宋体" w:hAnsi="宋体" w:cs="宋体"/>
                <w:sz w:val="24"/>
                <w:szCs w:val="24"/>
                <w:lang w:val="en-US" w:eastAsia="zh-CN"/>
              </w:rPr>
            </w:pPr>
            <w:r>
              <w:rPr>
                <w:rFonts w:hint="eastAsia" w:ascii="宋体" w:hAnsi="宋体" w:cs="宋体"/>
                <w:sz w:val="24"/>
                <w:szCs w:val="24"/>
                <w:lang w:val="en-US" w:eastAsia="zh-CN"/>
              </w:rPr>
              <w:t>6</w:t>
            </w:r>
          </w:p>
        </w:tc>
        <w:tc>
          <w:tcPr>
            <w:tcW w:w="66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360" w:lineRule="auto"/>
              <w:rPr>
                <w:rFonts w:hint="eastAsia" w:ascii="宋体" w:hAnsi="宋体" w:cs="宋体"/>
                <w:color w:val="auto"/>
                <w:kern w:val="0"/>
                <w:szCs w:val="24"/>
                <w:lang w:val="en-US" w:eastAsia="zh-CN"/>
              </w:rPr>
            </w:pPr>
            <w:r>
              <w:rPr>
                <w:rFonts w:hint="eastAsia" w:ascii="宋体" w:hAnsi="宋体" w:cs="宋体"/>
                <w:color w:val="auto"/>
                <w:kern w:val="0"/>
                <w:szCs w:val="24"/>
                <w:lang w:val="en-US" w:eastAsia="zh-CN"/>
              </w:rPr>
              <w:t>要求投标方提供详尽的栏目梳理与调研表</w:t>
            </w:r>
          </w:p>
          <w:p>
            <w:pPr>
              <w:widowControl/>
              <w:spacing w:line="360" w:lineRule="auto"/>
              <w:rPr>
                <w:rFonts w:hint="eastAsia" w:ascii="宋体" w:hAnsi="宋体" w:cs="宋体"/>
                <w:color w:val="auto"/>
                <w:kern w:val="0"/>
                <w:szCs w:val="24"/>
                <w:lang w:val="en-US" w:eastAsia="zh-CN"/>
              </w:rPr>
            </w:pPr>
            <w:r>
              <w:rPr>
                <w:rFonts w:hint="eastAsia" w:ascii="宋体" w:hAnsi="宋体" w:cs="宋体"/>
                <w:color w:val="auto"/>
                <w:kern w:val="0"/>
                <w:szCs w:val="24"/>
                <w:lang w:val="en-US" w:eastAsia="zh-CN"/>
              </w:rPr>
              <w:t>（满足得2分，部分满足不得分）</w:t>
            </w:r>
          </w:p>
          <w:p>
            <w:pPr>
              <w:widowControl/>
              <w:spacing w:line="360" w:lineRule="auto"/>
              <w:rPr>
                <w:rFonts w:hint="eastAsia" w:ascii="宋体" w:hAnsi="宋体" w:cs="宋体"/>
                <w:color w:val="auto"/>
                <w:kern w:val="0"/>
                <w:szCs w:val="24"/>
                <w:lang w:val="en-US" w:eastAsia="zh-CN"/>
              </w:rPr>
            </w:pPr>
            <w:r>
              <w:rPr>
                <w:rFonts w:hint="eastAsia" w:ascii="宋体" w:hAnsi="宋体" w:cs="宋体"/>
                <w:color w:val="auto"/>
                <w:kern w:val="0"/>
                <w:szCs w:val="24"/>
                <w:lang w:val="en-US" w:eastAsia="zh-CN"/>
              </w:rPr>
              <w:t>要求投标方提供详尽的网站建设规划，符合门户网站规范体系</w:t>
            </w:r>
          </w:p>
          <w:p>
            <w:pPr>
              <w:widowControl/>
              <w:spacing w:line="360" w:lineRule="auto"/>
              <w:rPr>
                <w:rFonts w:hint="eastAsia" w:ascii="宋体" w:hAnsi="宋体" w:cs="宋体"/>
                <w:color w:val="auto"/>
                <w:kern w:val="0"/>
                <w:szCs w:val="24"/>
                <w:lang w:val="en-US" w:eastAsia="zh-CN"/>
              </w:rPr>
            </w:pPr>
            <w:r>
              <w:rPr>
                <w:rFonts w:hint="eastAsia" w:ascii="宋体" w:hAnsi="宋体" w:cs="宋体"/>
                <w:color w:val="auto"/>
                <w:kern w:val="0"/>
                <w:szCs w:val="24"/>
                <w:lang w:val="en-US" w:eastAsia="zh-CN"/>
              </w:rPr>
              <w:t>（完全满足得1分，部分满足不得分）</w:t>
            </w:r>
          </w:p>
          <w:p>
            <w:pPr>
              <w:widowControl/>
              <w:spacing w:line="360" w:lineRule="auto"/>
              <w:rPr>
                <w:rFonts w:hint="eastAsia" w:ascii="宋体" w:hAnsi="宋体" w:cs="宋体"/>
                <w:color w:val="auto"/>
                <w:kern w:val="0"/>
                <w:szCs w:val="24"/>
                <w:lang w:val="en-US" w:eastAsia="zh-CN"/>
              </w:rPr>
            </w:pPr>
            <w:r>
              <w:rPr>
                <w:rFonts w:hint="eastAsia" w:ascii="宋体" w:hAnsi="宋体" w:cs="宋体"/>
                <w:color w:val="auto"/>
                <w:kern w:val="0"/>
                <w:szCs w:val="24"/>
                <w:lang w:val="en-US" w:eastAsia="zh-CN"/>
              </w:rPr>
              <w:t>要求投标方提供项目UI设计规范与设计图</w:t>
            </w:r>
          </w:p>
          <w:p>
            <w:pPr>
              <w:widowControl/>
              <w:spacing w:line="360" w:lineRule="auto"/>
              <w:rPr>
                <w:rFonts w:hint="eastAsia" w:ascii="宋体" w:hAnsi="宋体" w:cs="宋体"/>
                <w:color w:val="auto"/>
                <w:kern w:val="0"/>
                <w:szCs w:val="24"/>
                <w:lang w:val="en-US" w:eastAsia="zh-CN"/>
              </w:rPr>
            </w:pPr>
            <w:r>
              <w:rPr>
                <w:rFonts w:hint="eastAsia" w:ascii="宋体" w:hAnsi="宋体" w:cs="宋体"/>
                <w:color w:val="auto"/>
                <w:kern w:val="0"/>
                <w:szCs w:val="24"/>
                <w:lang w:val="en-US" w:eastAsia="zh-CN"/>
              </w:rPr>
              <w:t>（完全满足得2分，部分满足不得分）</w:t>
            </w:r>
          </w:p>
          <w:p>
            <w:pPr>
              <w:widowControl/>
              <w:spacing w:line="360" w:lineRule="auto"/>
              <w:rPr>
                <w:rFonts w:hint="eastAsia" w:ascii="宋体" w:hAnsi="宋体" w:cs="宋体"/>
                <w:color w:val="auto"/>
                <w:kern w:val="0"/>
                <w:szCs w:val="24"/>
                <w:lang w:val="en-US" w:eastAsia="zh-CN"/>
              </w:rPr>
            </w:pPr>
            <w:r>
              <w:rPr>
                <w:rFonts w:hint="eastAsia" w:ascii="宋体" w:hAnsi="宋体" w:cs="宋体"/>
                <w:color w:val="auto"/>
                <w:kern w:val="0"/>
                <w:szCs w:val="24"/>
                <w:lang w:val="en-US" w:eastAsia="zh-CN"/>
              </w:rPr>
              <w:t>提供完整的数据迁移方案</w:t>
            </w:r>
          </w:p>
          <w:p>
            <w:pPr>
              <w:widowControl/>
              <w:spacing w:line="360" w:lineRule="auto"/>
              <w:rPr>
                <w:rFonts w:hint="default" w:ascii="宋体" w:hAnsi="宋体" w:cs="宋体"/>
                <w:color w:val="auto"/>
                <w:kern w:val="0"/>
                <w:szCs w:val="24"/>
                <w:lang w:val="en-US" w:eastAsia="zh-CN"/>
              </w:rPr>
            </w:pPr>
            <w:r>
              <w:rPr>
                <w:rFonts w:hint="eastAsia" w:ascii="宋体" w:hAnsi="宋体" w:cs="宋体"/>
                <w:color w:val="auto"/>
                <w:kern w:val="0"/>
                <w:szCs w:val="24"/>
                <w:lang w:val="en-US" w:eastAsia="zh-CN"/>
              </w:rPr>
              <w:t>（完全满足得1分，部分满足不得分）</w:t>
            </w:r>
          </w:p>
        </w:tc>
      </w:tr>
    </w:tbl>
    <w:p>
      <w:pPr>
        <w:spacing w:line="360" w:lineRule="auto"/>
        <w:rPr>
          <w:color w:val="000000"/>
          <w:highlight w:val="none"/>
        </w:rPr>
      </w:pPr>
      <w:r>
        <w:rPr>
          <w:color w:val="000000"/>
          <w:highlight w:val="none"/>
        </w:rPr>
        <w:t>注：对于非专门面向中小企业或监狱企业的项目，对小型和微型企业或监狱企业或残疾人福利性单位提供的服务价格给予6%的扣除，用扣除后的价格参与评审。（供应商需提供其为中小企业或监狱企业或残疾人福利性单位的相关证明资料并由评标委员会认定。中小微企业必须提供《中小企业声明函》以及企业所在地的县级以上中小企业主管部门出具的中小微企业认定有效证明）；</w:t>
      </w:r>
    </w:p>
    <w:p>
      <w:pPr>
        <w:pStyle w:val="6"/>
        <w:keepLines/>
        <w:spacing w:line="360" w:lineRule="auto"/>
        <w:rPr>
          <w:b/>
          <w:bCs/>
          <w:color w:val="000000"/>
          <w:sz w:val="24"/>
          <w:szCs w:val="24"/>
          <w:highlight w:val="none"/>
          <w:u w:val="none"/>
        </w:rPr>
      </w:pPr>
      <w:bookmarkStart w:id="142" w:name="_Toc485883256"/>
      <w:r>
        <w:rPr>
          <w:b/>
          <w:bCs/>
          <w:color w:val="000000"/>
          <w:sz w:val="24"/>
          <w:szCs w:val="24"/>
          <w:highlight w:val="none"/>
          <w:u w:val="none"/>
        </w:rPr>
        <w:t>10.无效响应文件的认定</w:t>
      </w:r>
      <w:bookmarkEnd w:id="142"/>
    </w:p>
    <w:p>
      <w:pPr>
        <w:pStyle w:val="8"/>
        <w:tabs>
          <w:tab w:val="left" w:pos="600"/>
        </w:tabs>
        <w:spacing w:after="0" w:line="360" w:lineRule="auto"/>
        <w:ind w:left="0" w:leftChars="0" w:firstLine="480" w:firstLineChars="200"/>
        <w:jc w:val="left"/>
        <w:rPr>
          <w:color w:val="000000"/>
          <w:sz w:val="24"/>
          <w:szCs w:val="24"/>
          <w:highlight w:val="none"/>
        </w:rPr>
      </w:pPr>
      <w:r>
        <w:rPr>
          <w:color w:val="000000"/>
          <w:sz w:val="24"/>
          <w:szCs w:val="24"/>
          <w:highlight w:val="none"/>
        </w:rPr>
        <w:t>10.1在评审过程中，出现下列情形之一的，应作为无效响应文件：</w:t>
      </w:r>
    </w:p>
    <w:p>
      <w:pPr>
        <w:spacing w:line="360" w:lineRule="auto"/>
        <w:ind w:firstLine="480" w:firstLineChars="200"/>
        <w:jc w:val="left"/>
        <w:rPr>
          <w:color w:val="000000"/>
          <w:sz w:val="24"/>
          <w:highlight w:val="none"/>
        </w:rPr>
      </w:pPr>
      <w:r>
        <w:rPr>
          <w:color w:val="000000"/>
          <w:sz w:val="24"/>
          <w:highlight w:val="none"/>
        </w:rPr>
        <w:t>（1）供应商未经过正常渠道购买磋商文件的；</w:t>
      </w:r>
    </w:p>
    <w:p>
      <w:pPr>
        <w:spacing w:line="360" w:lineRule="auto"/>
        <w:ind w:firstLine="480" w:firstLineChars="200"/>
        <w:jc w:val="left"/>
        <w:rPr>
          <w:color w:val="000000"/>
          <w:sz w:val="24"/>
          <w:highlight w:val="none"/>
        </w:rPr>
      </w:pPr>
      <w:r>
        <w:rPr>
          <w:color w:val="000000"/>
          <w:sz w:val="24"/>
          <w:highlight w:val="none"/>
        </w:rPr>
        <w:t>（2）供应商名称与登记领取磋商文件单位的名称不一致的；</w:t>
      </w:r>
    </w:p>
    <w:p>
      <w:pPr>
        <w:spacing w:line="360" w:lineRule="auto"/>
        <w:ind w:firstLine="480" w:firstLineChars="200"/>
        <w:jc w:val="left"/>
        <w:rPr>
          <w:color w:val="000000"/>
          <w:sz w:val="24"/>
          <w:highlight w:val="none"/>
        </w:rPr>
      </w:pPr>
      <w:r>
        <w:rPr>
          <w:color w:val="000000"/>
          <w:sz w:val="24"/>
          <w:highlight w:val="none"/>
        </w:rPr>
        <w:t>（3）未按照磋商文件规定交纳磋商保证金或提供保证金有瑕疵的（不要求缴纳保证金的除外）；</w:t>
      </w:r>
    </w:p>
    <w:p>
      <w:pPr>
        <w:spacing w:line="360" w:lineRule="auto"/>
        <w:ind w:firstLine="480" w:firstLineChars="200"/>
        <w:jc w:val="left"/>
        <w:rPr>
          <w:color w:val="000000"/>
          <w:sz w:val="24"/>
          <w:highlight w:val="none"/>
        </w:rPr>
      </w:pPr>
      <w:r>
        <w:rPr>
          <w:color w:val="000000"/>
          <w:sz w:val="24"/>
          <w:highlight w:val="none"/>
        </w:rPr>
        <w:t>（4）未按照磋商文件规定和要求密封、签署、盖章的;</w:t>
      </w:r>
    </w:p>
    <w:p>
      <w:pPr>
        <w:spacing w:line="360" w:lineRule="auto"/>
        <w:ind w:firstLine="480" w:firstLineChars="200"/>
        <w:jc w:val="left"/>
        <w:rPr>
          <w:color w:val="000000"/>
          <w:sz w:val="24"/>
          <w:highlight w:val="none"/>
        </w:rPr>
      </w:pPr>
      <w:r>
        <w:rPr>
          <w:color w:val="000000"/>
          <w:sz w:val="24"/>
          <w:highlight w:val="none"/>
        </w:rPr>
        <w:t>（5）不具备磋商文件中规定的资格条件和要求的;</w:t>
      </w:r>
    </w:p>
    <w:p>
      <w:pPr>
        <w:spacing w:line="360" w:lineRule="auto"/>
        <w:ind w:firstLine="480" w:firstLineChars="200"/>
        <w:jc w:val="left"/>
        <w:rPr>
          <w:color w:val="000000"/>
          <w:sz w:val="24"/>
          <w:highlight w:val="none"/>
        </w:rPr>
      </w:pPr>
      <w:r>
        <w:rPr>
          <w:color w:val="000000"/>
          <w:sz w:val="24"/>
          <w:highlight w:val="none"/>
        </w:rPr>
        <w:t>（6）未按照磋商文件规定的格式要求编制的；</w:t>
      </w:r>
    </w:p>
    <w:p>
      <w:pPr>
        <w:spacing w:line="360" w:lineRule="auto"/>
        <w:ind w:firstLine="480" w:firstLineChars="200"/>
        <w:jc w:val="left"/>
        <w:rPr>
          <w:color w:val="000000"/>
          <w:sz w:val="24"/>
          <w:highlight w:val="none"/>
        </w:rPr>
      </w:pPr>
      <w:r>
        <w:rPr>
          <w:color w:val="000000"/>
          <w:sz w:val="24"/>
          <w:highlight w:val="none"/>
        </w:rPr>
        <w:t>（7）未按磋商文件要求提交资格文件或提交资格文件有瑕疵的；</w:t>
      </w:r>
    </w:p>
    <w:p>
      <w:pPr>
        <w:spacing w:line="360" w:lineRule="auto"/>
        <w:ind w:firstLine="480" w:firstLineChars="200"/>
        <w:jc w:val="left"/>
        <w:rPr>
          <w:color w:val="000000"/>
          <w:sz w:val="24"/>
          <w:highlight w:val="none"/>
        </w:rPr>
      </w:pPr>
      <w:r>
        <w:rPr>
          <w:color w:val="000000"/>
          <w:sz w:val="24"/>
          <w:highlight w:val="none"/>
        </w:rPr>
        <w:t>（8）磋商文件要求提交原件时未按要求提交原件的；未按要求提交响应文件份数和内容的；电子标书内容与纸质响应文件内容不一致的；</w:t>
      </w:r>
    </w:p>
    <w:p>
      <w:pPr>
        <w:spacing w:line="360" w:lineRule="auto"/>
        <w:ind w:firstLine="480" w:firstLineChars="200"/>
        <w:jc w:val="left"/>
        <w:rPr>
          <w:color w:val="000000"/>
          <w:sz w:val="24"/>
          <w:highlight w:val="none"/>
        </w:rPr>
      </w:pPr>
      <w:r>
        <w:rPr>
          <w:color w:val="000000"/>
          <w:sz w:val="24"/>
          <w:highlight w:val="none"/>
        </w:rPr>
        <w:t>（9）提供服务内容出现漏项或数量与要求不符的；</w:t>
      </w:r>
    </w:p>
    <w:p>
      <w:pPr>
        <w:spacing w:line="360" w:lineRule="auto"/>
        <w:ind w:firstLine="480" w:firstLineChars="200"/>
        <w:jc w:val="left"/>
        <w:rPr>
          <w:color w:val="000000"/>
          <w:sz w:val="24"/>
          <w:highlight w:val="none"/>
        </w:rPr>
      </w:pPr>
      <w:r>
        <w:rPr>
          <w:color w:val="000000"/>
          <w:sz w:val="24"/>
          <w:highlight w:val="none"/>
        </w:rPr>
        <w:t>（10）磋商有效期、服务周期要求、售后服务等商务条款不能满足磋商文件要求的；</w:t>
      </w:r>
    </w:p>
    <w:p>
      <w:pPr>
        <w:spacing w:line="360" w:lineRule="auto"/>
        <w:ind w:firstLine="480" w:firstLineChars="200"/>
        <w:jc w:val="left"/>
        <w:rPr>
          <w:color w:val="000000"/>
          <w:sz w:val="24"/>
          <w:highlight w:val="none"/>
        </w:rPr>
      </w:pPr>
      <w:r>
        <w:rPr>
          <w:color w:val="000000"/>
          <w:sz w:val="24"/>
          <w:highlight w:val="none"/>
        </w:rPr>
        <w:t>（11）供应商的第一次报价超过了采购人的预算控制价；</w:t>
      </w:r>
    </w:p>
    <w:p>
      <w:pPr>
        <w:spacing w:line="360" w:lineRule="auto"/>
        <w:ind w:firstLine="480" w:firstLineChars="200"/>
        <w:jc w:val="left"/>
        <w:rPr>
          <w:color w:val="000000"/>
          <w:sz w:val="24"/>
          <w:highlight w:val="none"/>
        </w:rPr>
      </w:pPr>
      <w:r>
        <w:rPr>
          <w:color w:val="000000"/>
          <w:sz w:val="24"/>
          <w:highlight w:val="none"/>
        </w:rPr>
        <w:t>（12）响应文件中附有采购人不能接受的条件；</w:t>
      </w:r>
    </w:p>
    <w:p>
      <w:pPr>
        <w:pStyle w:val="8"/>
        <w:tabs>
          <w:tab w:val="left" w:pos="600"/>
        </w:tabs>
        <w:spacing w:after="0" w:line="360" w:lineRule="auto"/>
        <w:ind w:left="0" w:leftChars="0" w:firstLine="480" w:firstLineChars="200"/>
        <w:jc w:val="left"/>
        <w:rPr>
          <w:color w:val="000000"/>
          <w:sz w:val="24"/>
          <w:highlight w:val="none"/>
        </w:rPr>
      </w:pPr>
      <w:r>
        <w:rPr>
          <w:color w:val="000000"/>
          <w:sz w:val="24"/>
          <w:szCs w:val="24"/>
          <w:highlight w:val="none"/>
        </w:rPr>
        <w:t>（13）</w:t>
      </w:r>
      <w:r>
        <w:rPr>
          <w:color w:val="000000"/>
          <w:sz w:val="24"/>
          <w:highlight w:val="none"/>
        </w:rPr>
        <w:t>未载明或者载明的采购项目履约时间、方式、服务量、及其他政府采购合同实质性内容与磋商文件要求不一致；</w:t>
      </w:r>
    </w:p>
    <w:p>
      <w:pPr>
        <w:pStyle w:val="8"/>
        <w:tabs>
          <w:tab w:val="left" w:pos="600"/>
        </w:tabs>
        <w:spacing w:after="0" w:line="360" w:lineRule="auto"/>
        <w:ind w:left="0" w:leftChars="0" w:firstLine="480" w:firstLineChars="200"/>
        <w:jc w:val="left"/>
        <w:rPr>
          <w:color w:val="000000"/>
          <w:sz w:val="24"/>
          <w:szCs w:val="24"/>
          <w:highlight w:val="none"/>
        </w:rPr>
      </w:pPr>
      <w:r>
        <w:rPr>
          <w:color w:val="000000"/>
          <w:sz w:val="24"/>
          <w:szCs w:val="24"/>
          <w:highlight w:val="none"/>
        </w:rPr>
        <w:t>（15）响应文件的关键内容字迹模糊和无法辨认的；</w:t>
      </w:r>
    </w:p>
    <w:p>
      <w:pPr>
        <w:pStyle w:val="8"/>
        <w:tabs>
          <w:tab w:val="left" w:pos="600"/>
        </w:tabs>
        <w:spacing w:after="0" w:line="360" w:lineRule="auto"/>
        <w:ind w:left="0" w:leftChars="0" w:firstLine="480" w:firstLineChars="200"/>
        <w:jc w:val="left"/>
        <w:rPr>
          <w:color w:val="000000"/>
          <w:sz w:val="24"/>
          <w:szCs w:val="24"/>
          <w:highlight w:val="none"/>
        </w:rPr>
      </w:pPr>
      <w:r>
        <w:rPr>
          <w:color w:val="000000"/>
          <w:sz w:val="24"/>
          <w:szCs w:val="24"/>
          <w:highlight w:val="none"/>
        </w:rPr>
        <w:t>（16）响应文件不符合磋商文件规定的其他情形的；</w:t>
      </w:r>
    </w:p>
    <w:p>
      <w:pPr>
        <w:pStyle w:val="8"/>
        <w:tabs>
          <w:tab w:val="left" w:pos="600"/>
        </w:tabs>
        <w:spacing w:after="0" w:line="360" w:lineRule="auto"/>
        <w:ind w:left="0" w:leftChars="0" w:firstLine="480" w:firstLineChars="200"/>
        <w:jc w:val="left"/>
        <w:rPr>
          <w:color w:val="000000"/>
          <w:sz w:val="24"/>
          <w:szCs w:val="24"/>
          <w:highlight w:val="none"/>
        </w:rPr>
      </w:pPr>
      <w:r>
        <w:rPr>
          <w:color w:val="000000"/>
          <w:sz w:val="24"/>
          <w:szCs w:val="24"/>
          <w:highlight w:val="none"/>
        </w:rPr>
        <w:t>（17）响应文件不符合法律法规要求的。</w:t>
      </w:r>
    </w:p>
    <w:p>
      <w:pPr>
        <w:keepNext/>
        <w:keepLines/>
        <w:spacing w:line="360" w:lineRule="auto"/>
        <w:ind w:firstLine="482" w:firstLineChars="200"/>
        <w:jc w:val="left"/>
        <w:rPr>
          <w:b/>
          <w:bCs/>
          <w:color w:val="000000"/>
          <w:sz w:val="24"/>
          <w:szCs w:val="24"/>
          <w:highlight w:val="none"/>
        </w:rPr>
      </w:pPr>
      <w:bookmarkStart w:id="143" w:name="_Toc485883257"/>
      <w:r>
        <w:rPr>
          <w:b/>
          <w:bCs/>
          <w:color w:val="000000"/>
          <w:sz w:val="24"/>
          <w:szCs w:val="24"/>
          <w:highlight w:val="none"/>
        </w:rPr>
        <w:t>11.特殊情况的处理</w:t>
      </w:r>
      <w:bookmarkEnd w:id="143"/>
    </w:p>
    <w:p>
      <w:pPr>
        <w:widowControl/>
        <w:autoSpaceDE w:val="0"/>
        <w:autoSpaceDN w:val="0"/>
        <w:spacing w:line="360" w:lineRule="auto"/>
        <w:ind w:firstLine="480" w:firstLineChars="200"/>
        <w:jc w:val="left"/>
        <w:textAlignment w:val="bottom"/>
        <w:rPr>
          <w:color w:val="000000"/>
          <w:sz w:val="24"/>
          <w:highlight w:val="none"/>
        </w:rPr>
      </w:pPr>
      <w:r>
        <w:rPr>
          <w:color w:val="000000"/>
          <w:sz w:val="24"/>
          <w:highlight w:val="none"/>
        </w:rPr>
        <w:t>11.1响应文件中如果出现前后不一致的，按照下列规定修正：</w:t>
      </w:r>
    </w:p>
    <w:p>
      <w:pPr>
        <w:spacing w:line="360" w:lineRule="auto"/>
        <w:ind w:firstLine="480" w:firstLineChars="200"/>
        <w:jc w:val="left"/>
        <w:rPr>
          <w:color w:val="000000"/>
          <w:sz w:val="24"/>
          <w:highlight w:val="none"/>
        </w:rPr>
      </w:pPr>
      <w:r>
        <w:rPr>
          <w:color w:val="000000"/>
          <w:sz w:val="24"/>
          <w:highlight w:val="none"/>
        </w:rPr>
        <w:t>（1）响应文件中的大写金额与小写金额不一致的，以大写金额为准；</w:t>
      </w:r>
    </w:p>
    <w:p>
      <w:pPr>
        <w:spacing w:line="360" w:lineRule="auto"/>
        <w:ind w:firstLine="480" w:firstLineChars="200"/>
        <w:jc w:val="left"/>
        <w:rPr>
          <w:color w:val="000000"/>
          <w:sz w:val="24"/>
          <w:highlight w:val="none"/>
        </w:rPr>
      </w:pPr>
      <w:r>
        <w:rPr>
          <w:color w:val="000000"/>
          <w:sz w:val="24"/>
          <w:highlight w:val="none"/>
        </w:rPr>
        <w:t>（2）响应文件中的总报价与按单价计算的汇总报价不一致的，以单价计算的汇总报价为准；</w:t>
      </w:r>
    </w:p>
    <w:p>
      <w:pPr>
        <w:spacing w:line="360" w:lineRule="auto"/>
        <w:ind w:firstLine="480" w:firstLineChars="200"/>
        <w:jc w:val="left"/>
        <w:rPr>
          <w:color w:val="000000"/>
          <w:sz w:val="24"/>
          <w:highlight w:val="none"/>
        </w:rPr>
      </w:pPr>
      <w:r>
        <w:rPr>
          <w:color w:val="000000"/>
          <w:sz w:val="24"/>
          <w:highlight w:val="none"/>
        </w:rPr>
        <w:t>（3）响应文件中的报价有明显小数点错误的，以总报价为准，并修改报价；</w:t>
      </w:r>
    </w:p>
    <w:p>
      <w:pPr>
        <w:pStyle w:val="14"/>
        <w:spacing w:after="0" w:line="360" w:lineRule="auto"/>
        <w:ind w:left="0" w:leftChars="0" w:firstLine="480" w:firstLineChars="200"/>
        <w:jc w:val="left"/>
        <w:rPr>
          <w:color w:val="000000"/>
          <w:sz w:val="24"/>
          <w:szCs w:val="24"/>
          <w:highlight w:val="none"/>
        </w:rPr>
      </w:pPr>
      <w:r>
        <w:rPr>
          <w:color w:val="000000"/>
          <w:sz w:val="24"/>
          <w:szCs w:val="24"/>
          <w:highlight w:val="none"/>
        </w:rPr>
        <w:t>（4）响应文件中图表与文字表述不一致的，以文字表述为准；</w:t>
      </w:r>
    </w:p>
    <w:p>
      <w:pPr>
        <w:widowControl/>
        <w:autoSpaceDE w:val="0"/>
        <w:autoSpaceDN w:val="0"/>
        <w:spacing w:line="360" w:lineRule="auto"/>
        <w:ind w:firstLine="480" w:firstLineChars="200"/>
        <w:jc w:val="left"/>
        <w:textAlignment w:val="bottom"/>
        <w:rPr>
          <w:color w:val="000000"/>
          <w:sz w:val="24"/>
          <w:highlight w:val="none"/>
        </w:rPr>
      </w:pPr>
      <w:r>
        <w:rPr>
          <w:color w:val="000000"/>
          <w:sz w:val="24"/>
          <w:highlight w:val="none"/>
        </w:rPr>
        <w:t>（5）响应文件正本与副本不一致的，以正本为准；</w:t>
      </w:r>
    </w:p>
    <w:p>
      <w:pPr>
        <w:pStyle w:val="7"/>
        <w:spacing w:line="360" w:lineRule="auto"/>
        <w:ind w:firstLine="480"/>
        <w:jc w:val="left"/>
        <w:rPr>
          <w:color w:val="000000"/>
          <w:sz w:val="24"/>
          <w:szCs w:val="24"/>
          <w:highlight w:val="none"/>
        </w:rPr>
      </w:pPr>
      <w:r>
        <w:rPr>
          <w:color w:val="000000"/>
          <w:sz w:val="24"/>
          <w:szCs w:val="24"/>
          <w:highlight w:val="none"/>
        </w:rPr>
        <w:t>（6）对不同文字文本响应文件的解释发生异议的，以中文文本为准。</w:t>
      </w:r>
    </w:p>
    <w:p>
      <w:pPr>
        <w:widowControl/>
        <w:autoSpaceDE w:val="0"/>
        <w:autoSpaceDN w:val="0"/>
        <w:spacing w:line="360" w:lineRule="auto"/>
        <w:ind w:firstLine="482" w:firstLineChars="200"/>
        <w:jc w:val="left"/>
        <w:textAlignment w:val="bottom"/>
        <w:rPr>
          <w:b/>
          <w:color w:val="000000"/>
          <w:sz w:val="24"/>
          <w:highlight w:val="none"/>
        </w:rPr>
      </w:pPr>
      <w:r>
        <w:rPr>
          <w:b/>
          <w:color w:val="000000"/>
          <w:sz w:val="24"/>
          <w:highlight w:val="none"/>
        </w:rPr>
        <w:t>按上述修正错误的方法调整的报价应对供应商具有约束力。如果供应商不接受修正后的价格，其响应文件将被拒绝。</w:t>
      </w:r>
    </w:p>
    <w:p>
      <w:pPr>
        <w:widowControl/>
        <w:autoSpaceDE w:val="0"/>
        <w:autoSpaceDN w:val="0"/>
        <w:spacing w:line="360" w:lineRule="auto"/>
        <w:ind w:firstLine="480" w:firstLineChars="200"/>
        <w:jc w:val="left"/>
        <w:textAlignment w:val="bottom"/>
        <w:rPr>
          <w:color w:val="000000"/>
          <w:sz w:val="24"/>
          <w:highlight w:val="none"/>
        </w:rPr>
      </w:pPr>
      <w:r>
        <w:rPr>
          <w:color w:val="000000"/>
          <w:sz w:val="24"/>
          <w:highlight w:val="none"/>
        </w:rPr>
        <w:t>11.2响应文件中，若某项内容为零报价、无报价，经磋商小组评审后，报价得分为零，不参与磋商报价分值的计算。</w:t>
      </w:r>
    </w:p>
    <w:p>
      <w:pPr>
        <w:widowControl/>
        <w:autoSpaceDE w:val="0"/>
        <w:autoSpaceDN w:val="0"/>
        <w:spacing w:line="360" w:lineRule="auto"/>
        <w:ind w:firstLine="480" w:firstLineChars="200"/>
        <w:jc w:val="left"/>
        <w:textAlignment w:val="bottom"/>
        <w:rPr>
          <w:color w:val="000000"/>
          <w:sz w:val="24"/>
          <w:highlight w:val="none"/>
        </w:rPr>
      </w:pPr>
      <w:r>
        <w:rPr>
          <w:color w:val="000000"/>
          <w:sz w:val="24"/>
          <w:highlight w:val="none"/>
        </w:rPr>
        <w:t>11.3磋商小组成员打分超过得分界限或未按本办法赋分时，该成员的打分，按废票处理。</w:t>
      </w:r>
    </w:p>
    <w:p>
      <w:pPr>
        <w:widowControl/>
        <w:autoSpaceDE w:val="0"/>
        <w:autoSpaceDN w:val="0"/>
        <w:spacing w:line="360" w:lineRule="auto"/>
        <w:ind w:firstLine="480" w:firstLineChars="200"/>
        <w:jc w:val="left"/>
        <w:textAlignment w:val="bottom"/>
        <w:rPr>
          <w:color w:val="000000"/>
          <w:sz w:val="24"/>
          <w:highlight w:val="none"/>
        </w:rPr>
      </w:pPr>
      <w:r>
        <w:rPr>
          <w:color w:val="000000"/>
          <w:sz w:val="24"/>
          <w:highlight w:val="none"/>
        </w:rPr>
        <w:t>11.4评审过程中，各种数字的计算结果，均保留两位小数，第三位“四舍五入”，但计算百分数时应精确到千分位，万分位“四舍五入”。</w:t>
      </w:r>
    </w:p>
    <w:p>
      <w:pPr>
        <w:pStyle w:val="23"/>
        <w:adjustRightInd/>
        <w:spacing w:line="360" w:lineRule="auto"/>
        <w:ind w:firstLine="480" w:firstLineChars="200"/>
        <w:jc w:val="left"/>
        <w:rPr>
          <w:rFonts w:ascii="Times New Roman"/>
          <w:color w:val="000000"/>
          <w:sz w:val="24"/>
          <w:szCs w:val="24"/>
          <w:highlight w:val="none"/>
        </w:rPr>
      </w:pPr>
      <w:r>
        <w:rPr>
          <w:rFonts w:ascii="Times New Roman"/>
          <w:color w:val="000000"/>
          <w:sz w:val="24"/>
          <w:szCs w:val="24"/>
          <w:highlight w:val="none"/>
        </w:rPr>
        <w:t>11.5评审过程中，若出现本评审办法以外的特殊情况时，将暂停评审，待磋商小组商榷后，再进行评定。</w:t>
      </w:r>
    </w:p>
    <w:p>
      <w:pPr>
        <w:pStyle w:val="7"/>
        <w:spacing w:line="360" w:lineRule="auto"/>
        <w:ind w:firstLine="482"/>
        <w:jc w:val="left"/>
        <w:rPr>
          <w:b/>
          <w:color w:val="000000"/>
          <w:sz w:val="24"/>
          <w:szCs w:val="24"/>
          <w:highlight w:val="none"/>
        </w:rPr>
      </w:pPr>
      <w:r>
        <w:rPr>
          <w:b/>
          <w:color w:val="000000"/>
          <w:sz w:val="24"/>
          <w:szCs w:val="24"/>
          <w:highlight w:val="none"/>
        </w:rPr>
        <w:t>11.6评审过程中，若出现合格供应商只有2家时，符合《政府采购竞争性磋商采购方式管理暂行办法》第3条第4项情形的或政府和社会资本合作服务项目的（财政部财库【2015】124号文件），可以继续进行</w:t>
      </w:r>
      <w:r>
        <w:rPr>
          <w:b/>
          <w:color w:val="000000"/>
          <w:sz w:val="24"/>
          <w:highlight w:val="none"/>
        </w:rPr>
        <w:t>。</w:t>
      </w:r>
    </w:p>
    <w:p>
      <w:pPr>
        <w:widowControl/>
        <w:autoSpaceDE w:val="0"/>
        <w:autoSpaceDN w:val="0"/>
        <w:spacing w:line="360" w:lineRule="auto"/>
        <w:ind w:firstLine="480" w:firstLineChars="200"/>
        <w:jc w:val="left"/>
        <w:textAlignment w:val="bottom"/>
        <w:rPr>
          <w:color w:val="000000"/>
          <w:sz w:val="24"/>
          <w:highlight w:val="none"/>
        </w:rPr>
      </w:pPr>
      <w:r>
        <w:rPr>
          <w:color w:val="000000"/>
          <w:sz w:val="24"/>
          <w:highlight w:val="none"/>
        </w:rPr>
        <w:t>11.7评审过程中，除符合本章第11.6条款规定情形外，若出现合格供应商少于3家时，采购人将依法报请本级财政部门批准重新组织采购活动。</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highlight w:val="none"/>
        </w:rPr>
        <w:t>11.8</w:t>
      </w:r>
      <w:r>
        <w:rPr>
          <w:rFonts w:ascii="Times New Roman" w:hAnsi="Times New Roman"/>
          <w:color w:val="000000"/>
          <w:kern w:val="2"/>
          <w:szCs w:val="24"/>
          <w:highlight w:val="none"/>
        </w:rPr>
        <w:t>评审结果汇总完成后，除下列情形外，任何人不得修改评审结果：</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（1）分值汇总计算错误的；</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（2）分项评分超出评分标准范围的；</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（3）磋商小组对客观评审因素评分不一致的；</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（4）经磋商小组会认定评分畸高、畸低的。</w:t>
      </w:r>
    </w:p>
    <w:p>
      <w:pPr>
        <w:pStyle w:val="15"/>
        <w:shd w:val="clear" w:color="auto" w:fill="FFFFFF"/>
        <w:spacing w:before="0" w:beforeAutospacing="0" w:after="0" w:afterAutospacing="0" w:line="360" w:lineRule="auto"/>
        <w:ind w:firstLine="480" w:firstLineChars="200"/>
        <w:rPr>
          <w:rFonts w:ascii="Times New Roman" w:hAnsi="Times New Roman"/>
          <w:color w:val="000000"/>
          <w:kern w:val="2"/>
          <w:szCs w:val="24"/>
          <w:highlight w:val="none"/>
        </w:rPr>
      </w:pPr>
      <w:r>
        <w:rPr>
          <w:rFonts w:ascii="Times New Roman" w:hAnsi="Times New Roman"/>
          <w:color w:val="000000"/>
          <w:kern w:val="2"/>
          <w:szCs w:val="24"/>
          <w:highlight w:val="none"/>
        </w:rPr>
        <w:t>评审报告签署前，经复核发现存在以上情形之一的，磋商小组应当当场修改评审结果，并在评审报告中记载；评审报告签署后，采购人或者采购代理机构发现存在以上情形之一的，应当组织原磋商小组进行重新评审，重新评审改变</w:t>
      </w:r>
      <w:r>
        <w:rPr>
          <w:rFonts w:hint="eastAsia" w:ascii="Times New Roman" w:hAnsi="Times New Roman"/>
          <w:color w:val="000000"/>
          <w:kern w:val="2"/>
          <w:szCs w:val="24"/>
          <w:highlight w:val="none"/>
        </w:rPr>
        <w:t>成交</w:t>
      </w:r>
      <w:r>
        <w:rPr>
          <w:rFonts w:ascii="Times New Roman" w:hAnsi="Times New Roman"/>
          <w:color w:val="000000"/>
          <w:kern w:val="2"/>
          <w:szCs w:val="24"/>
          <w:highlight w:val="none"/>
        </w:rPr>
        <w:t>服务结果的，书面报采购人本级财政部门认定。</w:t>
      </w:r>
    </w:p>
    <w:p>
      <w:pPr>
        <w:spacing w:line="360" w:lineRule="auto"/>
        <w:rPr>
          <w:b/>
          <w:color w:val="000000"/>
          <w:sz w:val="30"/>
          <w:szCs w:val="30"/>
          <w:highlight w:val="none"/>
        </w:rPr>
      </w:pPr>
      <w:bookmarkStart w:id="144" w:name="_Toc485883258"/>
      <w:r>
        <w:rPr>
          <w:b/>
          <w:color w:val="000000"/>
          <w:sz w:val="30"/>
          <w:szCs w:val="30"/>
          <w:highlight w:val="none"/>
        </w:rPr>
        <w:t>四、磋商结果</w:t>
      </w:r>
      <w:bookmarkEnd w:id="144"/>
    </w:p>
    <w:p>
      <w:pPr>
        <w:keepNext/>
        <w:keepLines/>
        <w:spacing w:line="360" w:lineRule="auto"/>
        <w:ind w:firstLine="482" w:firstLineChars="200"/>
        <w:jc w:val="left"/>
        <w:rPr>
          <w:b/>
          <w:bCs/>
          <w:color w:val="000000"/>
          <w:sz w:val="24"/>
          <w:szCs w:val="24"/>
          <w:highlight w:val="none"/>
        </w:rPr>
      </w:pPr>
      <w:bookmarkStart w:id="145" w:name="_Toc485883259"/>
      <w:r>
        <w:rPr>
          <w:b/>
          <w:bCs/>
          <w:color w:val="000000"/>
          <w:sz w:val="24"/>
          <w:szCs w:val="24"/>
          <w:highlight w:val="none"/>
        </w:rPr>
        <w:t>12.</w:t>
      </w:r>
      <w:r>
        <w:rPr>
          <w:rFonts w:hint="eastAsia"/>
          <w:b/>
          <w:bCs/>
          <w:color w:val="000000"/>
          <w:sz w:val="24"/>
          <w:szCs w:val="24"/>
          <w:highlight w:val="none"/>
        </w:rPr>
        <w:t>成交</w:t>
      </w:r>
      <w:r>
        <w:rPr>
          <w:b/>
          <w:bCs/>
          <w:color w:val="000000"/>
          <w:sz w:val="24"/>
          <w:szCs w:val="24"/>
          <w:highlight w:val="none"/>
        </w:rPr>
        <w:t>服务原则</w:t>
      </w:r>
      <w:bookmarkEnd w:id="145"/>
    </w:p>
    <w:p>
      <w:pPr>
        <w:widowControl/>
        <w:shd w:val="clear" w:color="auto" w:fill="FFFFFF"/>
        <w:spacing w:line="360" w:lineRule="auto"/>
        <w:ind w:firstLine="480" w:firstLineChars="200"/>
        <w:jc w:val="left"/>
        <w:rPr>
          <w:color w:val="000000"/>
          <w:sz w:val="24"/>
          <w:highlight w:val="none"/>
        </w:rPr>
      </w:pPr>
      <w:r>
        <w:rPr>
          <w:bCs/>
          <w:color w:val="000000"/>
          <w:kern w:val="0"/>
          <w:sz w:val="24"/>
          <w:highlight w:val="none"/>
        </w:rPr>
        <w:t>12.1</w:t>
      </w:r>
      <w:r>
        <w:rPr>
          <w:color w:val="000000"/>
          <w:sz w:val="24"/>
          <w:highlight w:val="none"/>
        </w:rPr>
        <w:t>采购人从评审报告中推荐的候选供应商中，按照排序由高到低的原则确定</w:t>
      </w:r>
      <w:r>
        <w:rPr>
          <w:rFonts w:hint="eastAsia"/>
          <w:color w:val="000000"/>
          <w:sz w:val="24"/>
          <w:highlight w:val="none"/>
        </w:rPr>
        <w:t>成交</w:t>
      </w:r>
      <w:r>
        <w:rPr>
          <w:color w:val="000000"/>
          <w:sz w:val="24"/>
          <w:highlight w:val="none"/>
        </w:rPr>
        <w:t>服务供应商。</w:t>
      </w:r>
    </w:p>
    <w:p>
      <w:pPr>
        <w:keepNext/>
        <w:keepLines/>
        <w:spacing w:line="360" w:lineRule="auto"/>
        <w:ind w:firstLine="482" w:firstLineChars="200"/>
        <w:jc w:val="left"/>
        <w:rPr>
          <w:b/>
          <w:bCs/>
          <w:color w:val="000000"/>
          <w:sz w:val="24"/>
          <w:szCs w:val="24"/>
          <w:highlight w:val="none"/>
        </w:rPr>
      </w:pPr>
      <w:bookmarkStart w:id="146" w:name="_Toc485883260"/>
      <w:r>
        <w:rPr>
          <w:b/>
          <w:bCs/>
          <w:color w:val="000000"/>
          <w:sz w:val="24"/>
          <w:szCs w:val="24"/>
          <w:highlight w:val="none"/>
        </w:rPr>
        <w:t>13.确定</w:t>
      </w:r>
      <w:r>
        <w:rPr>
          <w:rFonts w:hint="eastAsia"/>
          <w:b/>
          <w:bCs/>
          <w:color w:val="000000"/>
          <w:sz w:val="24"/>
          <w:szCs w:val="24"/>
          <w:highlight w:val="none"/>
        </w:rPr>
        <w:t>成交</w:t>
      </w:r>
      <w:r>
        <w:rPr>
          <w:b/>
          <w:bCs/>
          <w:color w:val="000000"/>
          <w:sz w:val="24"/>
          <w:szCs w:val="24"/>
          <w:highlight w:val="none"/>
        </w:rPr>
        <w:t>服务候选人</w:t>
      </w:r>
      <w:bookmarkEnd w:id="146"/>
    </w:p>
    <w:p>
      <w:pPr>
        <w:spacing w:line="360" w:lineRule="auto"/>
        <w:ind w:firstLine="480" w:firstLineChars="200"/>
        <w:jc w:val="left"/>
        <w:rPr>
          <w:color w:val="000000"/>
          <w:sz w:val="24"/>
          <w:highlight w:val="none"/>
        </w:rPr>
      </w:pPr>
      <w:r>
        <w:rPr>
          <w:color w:val="000000"/>
          <w:sz w:val="24"/>
          <w:highlight w:val="none"/>
        </w:rPr>
        <w:t>13.1磋商小组将评审情况写出书面报告，按包推荐3名服务供应商，并按照综合得分高低标明排列顺序，综合得分相同的，按磋商报价由低到高顺序排列；得分且磋商报价相同的，按实施方案优劣顺序排列，</w:t>
      </w:r>
      <w:r>
        <w:rPr>
          <w:color w:val="000000"/>
          <w:kern w:val="0"/>
          <w:sz w:val="24"/>
          <w:highlight w:val="none"/>
        </w:rPr>
        <w:t>以上全部相同的，由磋商小组投票决定。</w:t>
      </w:r>
    </w:p>
    <w:p>
      <w:pPr>
        <w:spacing w:line="360" w:lineRule="auto"/>
        <w:ind w:firstLine="480" w:firstLineChars="200"/>
        <w:jc w:val="left"/>
        <w:rPr>
          <w:color w:val="000000"/>
          <w:sz w:val="24"/>
          <w:highlight w:val="none"/>
        </w:rPr>
      </w:pPr>
      <w:r>
        <w:rPr>
          <w:color w:val="000000"/>
          <w:sz w:val="24"/>
          <w:highlight w:val="none"/>
        </w:rPr>
        <w:t>13.2采购代理机构在评磋商束后2个工作日内将评审报告送采购人确认。</w:t>
      </w:r>
    </w:p>
    <w:p>
      <w:pPr>
        <w:spacing w:line="360" w:lineRule="auto"/>
        <w:ind w:firstLine="480" w:firstLineChars="200"/>
        <w:jc w:val="left"/>
        <w:rPr>
          <w:color w:val="000000"/>
          <w:sz w:val="24"/>
          <w:highlight w:val="none"/>
        </w:rPr>
      </w:pPr>
      <w:r>
        <w:rPr>
          <w:color w:val="000000"/>
          <w:sz w:val="24"/>
          <w:highlight w:val="none"/>
        </w:rPr>
        <w:t>13.3采购人在收到评审报告后5个工作日内，按照审标报告中推荐的服务候选人顺序和有关规定确定</w:t>
      </w:r>
      <w:r>
        <w:rPr>
          <w:rFonts w:hint="eastAsia"/>
          <w:color w:val="000000"/>
          <w:sz w:val="24"/>
          <w:highlight w:val="none"/>
        </w:rPr>
        <w:t>成交</w:t>
      </w:r>
      <w:r>
        <w:rPr>
          <w:color w:val="000000"/>
          <w:sz w:val="24"/>
          <w:highlight w:val="none"/>
        </w:rPr>
        <w:t>服务供应商。同时，复函采购代理机构。</w:t>
      </w:r>
    </w:p>
    <w:p>
      <w:pPr>
        <w:spacing w:line="360" w:lineRule="auto"/>
        <w:ind w:firstLine="480" w:firstLineChars="200"/>
        <w:jc w:val="left"/>
        <w:rPr>
          <w:color w:val="000000"/>
          <w:sz w:val="24"/>
          <w:highlight w:val="none"/>
        </w:rPr>
      </w:pPr>
      <w:r>
        <w:rPr>
          <w:color w:val="000000"/>
          <w:sz w:val="24"/>
          <w:highlight w:val="none"/>
        </w:rPr>
        <w:t>13.4采购代理机构在接到采购人“磋商结果”复函之日起2个工作日内，根据采购人确定的</w:t>
      </w:r>
      <w:r>
        <w:rPr>
          <w:rFonts w:hint="eastAsia"/>
          <w:color w:val="000000"/>
          <w:sz w:val="24"/>
          <w:highlight w:val="none"/>
        </w:rPr>
        <w:t>成交</w:t>
      </w:r>
      <w:r>
        <w:rPr>
          <w:color w:val="000000"/>
          <w:sz w:val="24"/>
          <w:highlight w:val="none"/>
        </w:rPr>
        <w:t>服务供应商，在财政部门指定的政府采购网和媒体上发布成交公告，同时向</w:t>
      </w:r>
      <w:r>
        <w:rPr>
          <w:rFonts w:hint="eastAsia"/>
          <w:color w:val="000000"/>
          <w:sz w:val="24"/>
          <w:highlight w:val="none"/>
        </w:rPr>
        <w:t>成交</w:t>
      </w:r>
      <w:r>
        <w:rPr>
          <w:color w:val="000000"/>
          <w:sz w:val="24"/>
          <w:highlight w:val="none"/>
        </w:rPr>
        <w:t>服务供应商发出《成交通知书》。</w:t>
      </w:r>
    </w:p>
    <w:p>
      <w:pPr>
        <w:spacing w:line="360" w:lineRule="auto"/>
        <w:ind w:firstLine="480" w:firstLineChars="200"/>
        <w:jc w:val="left"/>
        <w:rPr>
          <w:color w:val="000000"/>
          <w:sz w:val="24"/>
          <w:highlight w:val="none"/>
        </w:rPr>
      </w:pPr>
      <w:r>
        <w:rPr>
          <w:color w:val="000000"/>
          <w:sz w:val="24"/>
          <w:highlight w:val="none"/>
        </w:rPr>
        <w:t>13.5采购代理机构将评审过程与采购人情况书面报送有关监督机构备案。</w:t>
      </w:r>
    </w:p>
    <w:p>
      <w:pPr>
        <w:keepNext/>
        <w:keepLines/>
        <w:spacing w:line="360" w:lineRule="auto"/>
        <w:ind w:firstLine="482" w:firstLineChars="200"/>
        <w:jc w:val="left"/>
        <w:rPr>
          <w:b/>
          <w:bCs/>
          <w:color w:val="000000"/>
          <w:sz w:val="24"/>
          <w:szCs w:val="24"/>
          <w:highlight w:val="none"/>
        </w:rPr>
      </w:pPr>
      <w:bookmarkStart w:id="147" w:name="_Toc183682375"/>
      <w:bookmarkStart w:id="148" w:name="_Toc183582238"/>
      <w:bookmarkStart w:id="149" w:name="_Toc485883261"/>
      <w:bookmarkStart w:id="150" w:name="_Toc217446063"/>
      <w:r>
        <w:rPr>
          <w:b/>
          <w:bCs/>
          <w:color w:val="000000"/>
          <w:sz w:val="24"/>
          <w:szCs w:val="24"/>
          <w:highlight w:val="none"/>
        </w:rPr>
        <w:t>14.成交通知</w:t>
      </w:r>
      <w:bookmarkEnd w:id="147"/>
      <w:bookmarkEnd w:id="148"/>
      <w:r>
        <w:rPr>
          <w:b/>
          <w:bCs/>
          <w:color w:val="000000"/>
          <w:sz w:val="24"/>
          <w:szCs w:val="24"/>
          <w:highlight w:val="none"/>
        </w:rPr>
        <w:t>书</w:t>
      </w:r>
      <w:bookmarkEnd w:id="149"/>
      <w:bookmarkEnd w:id="150"/>
    </w:p>
    <w:p>
      <w:pPr>
        <w:widowControl/>
        <w:shd w:val="clear" w:color="auto" w:fill="FFFFFF"/>
        <w:spacing w:line="360" w:lineRule="auto"/>
        <w:ind w:firstLine="480" w:firstLineChars="200"/>
        <w:jc w:val="left"/>
        <w:rPr>
          <w:color w:val="000000"/>
          <w:kern w:val="0"/>
          <w:sz w:val="24"/>
          <w:highlight w:val="none"/>
        </w:rPr>
      </w:pPr>
      <w:r>
        <w:rPr>
          <w:color w:val="000000"/>
          <w:sz w:val="24"/>
          <w:highlight w:val="none"/>
        </w:rPr>
        <w:t>14.1成交通知书是合同文件的组成部分，对采购人和</w:t>
      </w:r>
      <w:r>
        <w:rPr>
          <w:rFonts w:hint="eastAsia"/>
          <w:color w:val="000000"/>
          <w:sz w:val="24"/>
          <w:highlight w:val="none"/>
        </w:rPr>
        <w:t>成交</w:t>
      </w:r>
      <w:r>
        <w:rPr>
          <w:color w:val="000000"/>
          <w:sz w:val="24"/>
          <w:highlight w:val="none"/>
        </w:rPr>
        <w:t>服务供应商具有同等法律效力。</w:t>
      </w:r>
      <w:r>
        <w:rPr>
          <w:color w:val="000000"/>
          <w:kern w:val="0"/>
          <w:sz w:val="24"/>
          <w:highlight w:val="none"/>
        </w:rPr>
        <w:t>成交通知书发出后，采购人改变</w:t>
      </w:r>
      <w:r>
        <w:rPr>
          <w:rFonts w:hint="eastAsia"/>
          <w:color w:val="000000"/>
          <w:kern w:val="0"/>
          <w:sz w:val="24"/>
          <w:highlight w:val="none"/>
        </w:rPr>
        <w:t>成交</w:t>
      </w:r>
      <w:r>
        <w:rPr>
          <w:color w:val="000000"/>
          <w:kern w:val="0"/>
          <w:sz w:val="24"/>
          <w:highlight w:val="none"/>
        </w:rPr>
        <w:t>服务结果，或者</w:t>
      </w:r>
      <w:r>
        <w:rPr>
          <w:rFonts w:hint="eastAsia"/>
          <w:color w:val="000000"/>
          <w:kern w:val="0"/>
          <w:sz w:val="24"/>
          <w:highlight w:val="none"/>
        </w:rPr>
        <w:t>成交</w:t>
      </w:r>
      <w:r>
        <w:rPr>
          <w:color w:val="000000"/>
          <w:kern w:val="0"/>
          <w:sz w:val="24"/>
          <w:highlight w:val="none"/>
        </w:rPr>
        <w:t>服务供应商放弃</w:t>
      </w:r>
      <w:r>
        <w:rPr>
          <w:rFonts w:hint="eastAsia"/>
          <w:color w:val="000000"/>
          <w:kern w:val="0"/>
          <w:sz w:val="24"/>
          <w:highlight w:val="none"/>
        </w:rPr>
        <w:t>成交</w:t>
      </w:r>
      <w:r>
        <w:rPr>
          <w:color w:val="000000"/>
          <w:kern w:val="0"/>
          <w:sz w:val="24"/>
          <w:highlight w:val="none"/>
        </w:rPr>
        <w:t>服务，应按相关法律、规章、规范性文件的要求承担相应的法律责任。</w:t>
      </w:r>
    </w:p>
    <w:p>
      <w:pPr>
        <w:tabs>
          <w:tab w:val="left" w:pos="7665"/>
        </w:tabs>
        <w:spacing w:line="360" w:lineRule="auto"/>
        <w:ind w:firstLine="480" w:firstLineChars="200"/>
        <w:jc w:val="left"/>
        <w:rPr>
          <w:color w:val="000000"/>
          <w:sz w:val="24"/>
          <w:highlight w:val="none"/>
        </w:rPr>
      </w:pPr>
      <w:r>
        <w:rPr>
          <w:color w:val="000000"/>
          <w:sz w:val="24"/>
          <w:highlight w:val="none"/>
        </w:rPr>
        <w:t>14.2</w:t>
      </w:r>
      <w:r>
        <w:rPr>
          <w:rFonts w:hint="eastAsia"/>
          <w:color w:val="000000"/>
          <w:sz w:val="24"/>
          <w:highlight w:val="none"/>
        </w:rPr>
        <w:t>成交</w:t>
      </w:r>
      <w:r>
        <w:rPr>
          <w:color w:val="000000"/>
          <w:sz w:val="24"/>
          <w:highlight w:val="none"/>
        </w:rPr>
        <w:t>服务供应商应当在接到采购代理机构通知之日起5个工作日内，领取《成交通知书》。</w:t>
      </w:r>
    </w:p>
    <w:p>
      <w:pPr>
        <w:tabs>
          <w:tab w:val="left" w:pos="7665"/>
        </w:tabs>
        <w:spacing w:line="360" w:lineRule="auto"/>
        <w:ind w:firstLine="480" w:firstLineChars="200"/>
        <w:jc w:val="left"/>
        <w:rPr>
          <w:color w:val="000000"/>
          <w:sz w:val="24"/>
          <w:highlight w:val="none"/>
        </w:rPr>
      </w:pPr>
      <w:r>
        <w:rPr>
          <w:color w:val="000000"/>
          <w:sz w:val="24"/>
          <w:highlight w:val="none"/>
        </w:rPr>
        <w:t>14.3在《成交通知书》发出后，发现</w:t>
      </w:r>
      <w:r>
        <w:rPr>
          <w:rFonts w:hint="eastAsia"/>
          <w:color w:val="000000"/>
          <w:sz w:val="24"/>
          <w:highlight w:val="none"/>
        </w:rPr>
        <w:t>成交</w:t>
      </w:r>
      <w:r>
        <w:rPr>
          <w:color w:val="000000"/>
          <w:sz w:val="24"/>
          <w:highlight w:val="none"/>
        </w:rPr>
        <w:t>服务供应商有政府采购法律法规规章制度规定的服务无效情形的，采购代理机构在取得有权主体认定后，应当宣布发出的成交通知书无效，并收回发出的成交通知书（</w:t>
      </w:r>
      <w:r>
        <w:rPr>
          <w:rFonts w:hint="eastAsia"/>
          <w:color w:val="000000"/>
          <w:sz w:val="24"/>
          <w:highlight w:val="none"/>
        </w:rPr>
        <w:t>成交</w:t>
      </w:r>
      <w:r>
        <w:rPr>
          <w:color w:val="000000"/>
          <w:sz w:val="24"/>
          <w:highlight w:val="none"/>
        </w:rPr>
        <w:t>服务供应商也应当缴回），依法重新确定</w:t>
      </w:r>
      <w:r>
        <w:rPr>
          <w:rFonts w:hint="eastAsia"/>
          <w:color w:val="000000"/>
          <w:sz w:val="24"/>
          <w:highlight w:val="none"/>
        </w:rPr>
        <w:t>成交</w:t>
      </w:r>
      <w:r>
        <w:rPr>
          <w:color w:val="000000"/>
          <w:sz w:val="24"/>
          <w:highlight w:val="none"/>
        </w:rPr>
        <w:t>服务供应商或者重新开展采购活动。</w:t>
      </w:r>
    </w:p>
    <w:p>
      <w:pPr>
        <w:tabs>
          <w:tab w:val="left" w:pos="7665"/>
        </w:tabs>
        <w:spacing w:line="360" w:lineRule="auto"/>
        <w:ind w:firstLine="480" w:firstLineChars="200"/>
        <w:jc w:val="left"/>
        <w:rPr>
          <w:color w:val="000000"/>
          <w:sz w:val="24"/>
          <w:highlight w:val="none"/>
        </w:rPr>
      </w:pPr>
      <w:r>
        <w:rPr>
          <w:color w:val="000000"/>
          <w:sz w:val="24"/>
          <w:highlight w:val="none"/>
        </w:rPr>
        <w:t>14.4</w:t>
      </w:r>
      <w:r>
        <w:rPr>
          <w:rFonts w:hint="eastAsia"/>
          <w:color w:val="000000"/>
          <w:sz w:val="24"/>
          <w:highlight w:val="none"/>
        </w:rPr>
        <w:t>成交</w:t>
      </w:r>
      <w:r>
        <w:rPr>
          <w:color w:val="000000"/>
          <w:sz w:val="24"/>
          <w:highlight w:val="none"/>
        </w:rPr>
        <w:t>服务供应商在收到采购代理机构的成交通知书后10日内，应按照</w:t>
      </w:r>
      <w:r>
        <w:rPr>
          <w:b/>
          <w:color w:val="000000"/>
          <w:sz w:val="24"/>
          <w:highlight w:val="none"/>
        </w:rPr>
        <w:t>供应商须知前列表</w:t>
      </w:r>
      <w:r>
        <w:rPr>
          <w:color w:val="000000"/>
          <w:sz w:val="24"/>
          <w:highlight w:val="none"/>
        </w:rPr>
        <w:t>的规定，向采购人提交履约保证金或履约担保。</w:t>
      </w:r>
    </w:p>
    <w:p>
      <w:pPr>
        <w:spacing w:line="360" w:lineRule="auto"/>
        <w:ind w:firstLine="480" w:firstLineChars="200"/>
        <w:jc w:val="left"/>
        <w:rPr>
          <w:color w:val="000000"/>
          <w:spacing w:val="2"/>
          <w:sz w:val="24"/>
          <w:highlight w:val="none"/>
        </w:rPr>
        <w:sectPr>
          <w:pgSz w:w="11906" w:h="16838"/>
          <w:pgMar w:top="1440" w:right="1587" w:bottom="1440" w:left="1587" w:header="851" w:footer="992" w:gutter="0"/>
          <w:cols w:space="720" w:num="1"/>
          <w:titlePg/>
          <w:docGrid w:linePitch="312" w:charSpace="0"/>
        </w:sectPr>
      </w:pPr>
      <w:r>
        <w:rPr>
          <w:color w:val="000000"/>
          <w:sz w:val="24"/>
          <w:highlight w:val="none"/>
        </w:rPr>
        <w:t>14.5</w:t>
      </w:r>
      <w:r>
        <w:rPr>
          <w:rFonts w:hint="eastAsia"/>
          <w:color w:val="000000"/>
          <w:sz w:val="24"/>
          <w:highlight w:val="none"/>
        </w:rPr>
        <w:t>成交</w:t>
      </w:r>
      <w:r>
        <w:rPr>
          <w:color w:val="000000"/>
          <w:sz w:val="24"/>
          <w:highlight w:val="none"/>
        </w:rPr>
        <w:t>服务供应商</w:t>
      </w:r>
      <w:r>
        <w:rPr>
          <w:color w:val="000000"/>
          <w:spacing w:val="4"/>
          <w:sz w:val="24"/>
          <w:highlight w:val="none"/>
        </w:rPr>
        <w:t>没有按照本章第14.4条</w:t>
      </w:r>
      <w:r>
        <w:rPr>
          <w:color w:val="000000"/>
          <w:kern w:val="0"/>
          <w:sz w:val="24"/>
          <w:highlight w:val="none"/>
          <w:lang w:val="zh-CN"/>
        </w:rPr>
        <w:t>款</w:t>
      </w:r>
      <w:r>
        <w:rPr>
          <w:color w:val="000000"/>
          <w:spacing w:val="4"/>
          <w:sz w:val="24"/>
          <w:highlight w:val="none"/>
        </w:rPr>
        <w:t>规定</w:t>
      </w:r>
      <w:r>
        <w:rPr>
          <w:color w:val="000000"/>
          <w:sz w:val="24"/>
          <w:highlight w:val="none"/>
        </w:rPr>
        <w:t>提交履约保证金或履约担保的</w:t>
      </w:r>
      <w:r>
        <w:rPr>
          <w:color w:val="000000"/>
          <w:spacing w:val="4"/>
          <w:sz w:val="24"/>
          <w:highlight w:val="none"/>
        </w:rPr>
        <w:t>，视为放弃</w:t>
      </w:r>
      <w:r>
        <w:rPr>
          <w:rFonts w:hint="eastAsia"/>
          <w:color w:val="000000"/>
          <w:sz w:val="24"/>
          <w:highlight w:val="none"/>
        </w:rPr>
        <w:t>成交</w:t>
      </w:r>
      <w:r>
        <w:rPr>
          <w:color w:val="000000"/>
          <w:sz w:val="24"/>
          <w:highlight w:val="none"/>
        </w:rPr>
        <w:t>服务资格</w:t>
      </w:r>
      <w:r>
        <w:rPr>
          <w:color w:val="000000"/>
          <w:spacing w:val="4"/>
          <w:sz w:val="24"/>
          <w:highlight w:val="none"/>
        </w:rPr>
        <w:t>，</w:t>
      </w:r>
      <w:r>
        <w:rPr>
          <w:color w:val="000000"/>
          <w:spacing w:val="2"/>
          <w:sz w:val="24"/>
          <w:highlight w:val="none"/>
        </w:rPr>
        <w:t>其保证金不予退还。</w:t>
      </w:r>
      <w:bookmarkStart w:id="151" w:name="_Toc237343009"/>
    </w:p>
    <w:p>
      <w:pPr>
        <w:pStyle w:val="3"/>
        <w:rPr>
          <w:bCs/>
          <w:szCs w:val="36"/>
          <w:highlight w:val="none"/>
        </w:rPr>
      </w:pPr>
      <w:bookmarkStart w:id="152" w:name="_Toc28696"/>
      <w:r>
        <w:rPr>
          <w:rFonts w:hint="eastAsia"/>
          <w:color w:val="000000"/>
          <w:szCs w:val="36"/>
          <w:highlight w:val="none"/>
        </w:rPr>
        <w:t xml:space="preserve">第四章 </w:t>
      </w:r>
      <w:bookmarkEnd w:id="152"/>
      <w:bookmarkStart w:id="153" w:name="_Toc237343008"/>
      <w:bookmarkStart w:id="154" w:name="_Toc448731267"/>
      <w:bookmarkStart w:id="155" w:name="_Toc452223274"/>
      <w:bookmarkStart w:id="156" w:name="_Toc451366357"/>
      <w:bookmarkStart w:id="157" w:name="_Toc452489508"/>
      <w:bookmarkStart w:id="158" w:name="_Toc447362011"/>
      <w:bookmarkStart w:id="159" w:name="_Toc451366155"/>
      <w:bookmarkStart w:id="160" w:name="_Toc452216496"/>
      <w:r>
        <w:rPr>
          <w:rFonts w:hint="eastAsia"/>
          <w:color w:val="000000"/>
          <w:szCs w:val="36"/>
          <w:highlight w:val="none"/>
        </w:rPr>
        <w:t>磋商内容及要求</w:t>
      </w:r>
      <w:bookmarkEnd w:id="153"/>
      <w:bookmarkEnd w:id="154"/>
      <w:bookmarkEnd w:id="155"/>
      <w:bookmarkEnd w:id="156"/>
      <w:bookmarkEnd w:id="157"/>
      <w:bookmarkEnd w:id="158"/>
      <w:bookmarkEnd w:id="159"/>
      <w:bookmarkEnd w:id="160"/>
      <w:bookmarkStart w:id="161" w:name="_Toc217446094"/>
    </w:p>
    <w:bookmarkEnd w:id="161"/>
    <w:p>
      <w:pPr>
        <w:pStyle w:val="24"/>
        <w:spacing w:line="360" w:lineRule="auto"/>
        <w:ind w:firstLine="560"/>
        <w:jc w:val="left"/>
        <w:rPr>
          <w:rFonts w:hint="eastAsia" w:ascii="宋体" w:hAnsi="宋体" w:eastAsia="宋体" w:cs="宋体"/>
          <w:bCs/>
          <w:sz w:val="24"/>
          <w:szCs w:val="24"/>
        </w:rPr>
      </w:pPr>
      <w:bookmarkStart w:id="162" w:name="_Toc20438"/>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一</w:t>
      </w:r>
      <w:r>
        <w:rPr>
          <w:rFonts w:hint="eastAsia" w:ascii="宋体" w:hAnsi="宋体" w:cs="宋体"/>
          <w:bCs/>
          <w:sz w:val="24"/>
          <w:szCs w:val="24"/>
          <w:lang w:eastAsia="zh-CN"/>
        </w:rPr>
        <w:t>、</w:t>
      </w:r>
      <w:r>
        <w:rPr>
          <w:rFonts w:hint="eastAsia" w:ascii="宋体" w:hAnsi="宋体" w:eastAsia="宋体" w:cs="宋体"/>
          <w:bCs/>
          <w:sz w:val="24"/>
          <w:szCs w:val="24"/>
        </w:rPr>
        <w:t>项目建设目标</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以习近平新时代中国特色社会主义思想为指导，以《中华人民共和国政府信息公开条例》和《国务院办公厅关于印发政府网站发展指引的通知》（国办发〔2017〕47号）为依据，把公众需求作为第一考虑，把提高民生和企业服务能力作为第一要务，把公众满意作为第一标准，树立“以民生服务为中心”的理念，加强网站信息内容建设，将政府网站打造成更加全面的信息公开平台、更加权威的政策发布解读和舆论引导平台、更加及时的回应关切和便民服务平台，建设整体联动、高效惠民的网上政府，最终实现“公众满意的服务型政府门户网站”。</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二</w:t>
      </w:r>
      <w:r>
        <w:rPr>
          <w:rFonts w:hint="eastAsia" w:ascii="宋体" w:hAnsi="宋体" w:cs="宋体"/>
          <w:bCs/>
          <w:sz w:val="24"/>
          <w:szCs w:val="24"/>
          <w:lang w:eastAsia="zh-CN"/>
        </w:rPr>
        <w:t>、</w:t>
      </w:r>
      <w:r>
        <w:rPr>
          <w:rFonts w:hint="eastAsia" w:ascii="宋体" w:hAnsi="宋体" w:eastAsia="宋体" w:cs="宋体"/>
          <w:bCs/>
          <w:sz w:val="24"/>
          <w:szCs w:val="24"/>
        </w:rPr>
        <w:t>项目建设重点任务</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1、网页设计优化</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对照《政府网站发展指引》相关要求，参考全省政务公开工作绩效评估指标体系中有关政府门户网站的要求，升级优化武功县政府门户网站前端页面。包括升级调整网站展现和布局，整合优化栏目、频道、专题，新增支持网页标签、栏目归档等功能。</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2、网站后台管理升级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按照资源优化融合、数据互认共享、管理统筹规范的原则，升级优化组织机构管理、站群管理、站点内容管理、数据模型管理、政府信息公开、互动交流等模块的后台管理功能，构建统一的管理平台，实现信息数据集中管理，内容服务集中提供。</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3、网站智能化应用升级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实现武功县政府门户网站外部信息智能采集，全文检索快速精准，无障碍浏览多样化服务，新增一号登录和简繁体转换功能。</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4、移动端应用升级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对照武功县政府门户网站升级改版内容，完成相应的手机版门户网站、微信公众号升级。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5、网站应用安全性升级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对照《政府网站发展指引》相关要求，针对网站安全、网站平台运维等功能升级。</w:t>
      </w:r>
    </w:p>
    <w:p>
      <w:pPr>
        <w:pStyle w:val="24"/>
        <w:spacing w:line="360" w:lineRule="auto"/>
        <w:jc w:val="both"/>
        <w:rPr>
          <w:rFonts w:hint="eastAsia" w:ascii="宋体" w:hAnsi="宋体" w:eastAsia="宋体" w:cs="宋体"/>
          <w:bCs/>
          <w:sz w:val="24"/>
          <w:szCs w:val="24"/>
        </w:rPr>
      </w:pPr>
      <w:r>
        <w:rPr>
          <w:rFonts w:hint="eastAsia" w:ascii="宋体" w:hAnsi="宋体" w:eastAsia="宋体" w:cs="宋体"/>
          <w:bCs/>
          <w:sz w:val="24"/>
          <w:szCs w:val="24"/>
        </w:rPr>
        <w:t>6、网站互联网协议第6版改造实现武功县政府门户网站互联网协议第6版改造，支持IPV6和IPV4协议访问。</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三</w:t>
      </w:r>
      <w:r>
        <w:rPr>
          <w:rFonts w:hint="eastAsia" w:ascii="宋体" w:hAnsi="宋体" w:cs="宋体"/>
          <w:bCs/>
          <w:sz w:val="24"/>
          <w:szCs w:val="24"/>
          <w:lang w:eastAsia="zh-CN"/>
        </w:rPr>
        <w:t>、</w:t>
      </w:r>
      <w:r>
        <w:rPr>
          <w:rFonts w:hint="eastAsia" w:ascii="宋体" w:hAnsi="宋体" w:eastAsia="宋体" w:cs="宋体"/>
          <w:bCs/>
          <w:sz w:val="24"/>
          <w:szCs w:val="24"/>
        </w:rPr>
        <w:t>系统总体建设方案</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1、技术要求及安全要求</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项目选型产品要求符合J2EE标准，遵循表示层、业务层、数据层、访问层分离，支持分布式部署、具有良好的跨平台特性，系统开发采用XML标准，支持JavaEE架构体系，支持主流关系型数据库，同时支持国产主流数据库管理系统。为保障业务系统安全，本次项目将采取网站动态和静态分离技术，保障前端页面不被篡改。提供完善的数据安全、备份机制等安全措施</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2、网站管理后台升级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包括但不限于组织机构管理、站群管理、数据模型管理、站点内容管理、政府信息公开管理、互动交流管理等功能。</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（1）组织机构管理</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要求对县门户网站后台管理用户建立统一组织架构，对后台菜单及权限集中式管理，管理员根据部门归类。</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（2）站群管理</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要求支持多站点的集群管理，实现信息交流、数据共享和资源统一管理。各站点相互独立，拥有自己的模板、专题、用户、工作流程等，成为独立的网站系统，完成各自独立的采编发功能，按照网站的不同结构需要设计站点下栏目的结构。</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（3）数据模型管理</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提供系统数据管理维护等功能，如共享目录管理、内容模型管理、元数据管理、数据字典管理和工作流管理等，使系统具有良好的扩展性。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（4）站点内容管理</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要求支持内容维护、标签维护、页面管理、素材管理、站点系统管理、稿件信息敏感关键词检测等功能。</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（5）政府信息公开管理</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要求对经过梳理的各类政府信息资源进行管理，形成政府信息公开目录，具备元数据管理、信息审核、信息发布等主要功能，同时具备依申请公开管理、信息公开数据统计功能。支持信息公开索引码自定义设置规则。</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（6）互动交流</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提供书记、县长信箱、问卷调查、在线访谈、留言信息统计等功能</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 xml:space="preserve"> 3、网站智能化应用升级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（1）数据采集</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建设数据采集模块，实现对外部门户网站专业信息的有效采集。</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（2）全文检索</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要求提供专业化的政府网站检索功能，根据政府网站特点,支持政务信息、政府文件等政府网站核心栏目的全文搜索,并根据各个栏目的信息特点，直接呈现各自特点的检索结果列表。</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lang w:eastAsia="zh-CN"/>
        </w:rPr>
        <w:t>（</w:t>
      </w:r>
      <w:r>
        <w:rPr>
          <w:rFonts w:hint="eastAsia" w:ascii="宋体" w:hAnsi="宋体" w:eastAsia="宋体" w:cs="宋体"/>
          <w:bCs/>
          <w:sz w:val="24"/>
          <w:szCs w:val="24"/>
        </w:rPr>
        <w:t>3）无障碍浏览系统</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升级无障碍浏览系统，围绕残疾人、老年人等特殊群体获取网站信息的需求，支持利用第三方服务提供网站无障碍浏览服务。要求实现无障碍辅助浏览、智能语音阅读、盲人语音导航、语音服务管理等功能。</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（4）简繁体转换</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要求提供对网站页面的即时繁简体转换功能。</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（5）一号登录</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依照政府网站考核指标，提供一号登录功能，实现与陕西政务服务网用户系统数据对接，依托陕西政务服务网用户系统实现统一用户身份验证。</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（6）移动端应用升级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支持移动门户升级、微信公众号升级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（7）网站应用安全性升级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要求对系统中间件升级、后台用户密码算法升级。</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（8）网站互联网协议第6版改造</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实现武功县政府门户网站互联网协议第6版改造，支持IPV6和IPV4协议访问。</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四</w:t>
      </w:r>
      <w:r>
        <w:rPr>
          <w:rFonts w:hint="eastAsia" w:ascii="宋体" w:hAnsi="宋体" w:cs="宋体"/>
          <w:bCs/>
          <w:sz w:val="24"/>
          <w:szCs w:val="24"/>
          <w:lang w:eastAsia="zh-CN"/>
        </w:rPr>
        <w:t>、</w:t>
      </w:r>
      <w:r>
        <w:rPr>
          <w:rFonts w:hint="eastAsia" w:ascii="宋体" w:hAnsi="宋体" w:eastAsia="宋体" w:cs="宋体"/>
          <w:bCs/>
          <w:sz w:val="24"/>
          <w:szCs w:val="24"/>
        </w:rPr>
        <w:t>非功能性要求</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 xml:space="preserve"> 1、性能要求</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（1）系统应满足7×24小时不宕机、不间断的持续服务能力。</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（2）网页代码和标记设计应以提升性能为目标，尽可能简化。</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 xml:space="preserve"> 2、网页设计规范</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升级调整网站展现和布局，整合优化栏目、频道、专题，新增支持网页标签、栏目归档等功能。符合国家对门户网站规划和考核文件要求。</w:t>
      </w:r>
    </w:p>
    <w:p>
      <w:pPr>
        <w:pStyle w:val="24"/>
        <w:spacing w:line="360" w:lineRule="auto"/>
        <w:ind w:firstLine="720" w:firstLineChars="300"/>
        <w:jc w:val="left"/>
        <w:rPr>
          <w:rFonts w:hint="eastAsia" w:ascii="宋体" w:hAnsi="宋体" w:eastAsia="宋体" w:cs="宋体"/>
          <w:bCs/>
          <w:sz w:val="24"/>
          <w:szCs w:val="24"/>
        </w:rPr>
      </w:pPr>
      <w:r>
        <w:rPr>
          <w:rFonts w:hint="eastAsia" w:ascii="宋体" w:hAnsi="宋体" w:eastAsia="宋体" w:cs="宋体"/>
          <w:bCs/>
          <w:sz w:val="24"/>
          <w:szCs w:val="24"/>
        </w:rPr>
        <w:t>3、数据迁移</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要求将现有网站的全部数据（包括静态页面、图片、音视频等）按照新的网站构架进行平稳迁移。要求保证数据迁移的100%完整，确保不丢失有效数据。</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五</w:t>
      </w:r>
      <w:r>
        <w:rPr>
          <w:rFonts w:hint="eastAsia" w:ascii="宋体" w:hAnsi="宋体" w:cs="宋体"/>
          <w:bCs/>
          <w:sz w:val="24"/>
          <w:szCs w:val="24"/>
          <w:lang w:eastAsia="zh-CN"/>
        </w:rPr>
        <w:t>、</w:t>
      </w:r>
      <w:r>
        <w:rPr>
          <w:rFonts w:hint="eastAsia" w:ascii="宋体" w:hAnsi="宋体" w:eastAsia="宋体" w:cs="宋体"/>
          <w:bCs/>
          <w:sz w:val="24"/>
          <w:szCs w:val="24"/>
        </w:rPr>
        <w:t>项目实施、培训及服务保障要求</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 xml:space="preserve"> 1、信息梳理、栏目规划</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要求按照《政府网站发展指引》和政务公开工作绩效考核指标体系，对武功县政府门户网站开展信息资源梳理，并提供信息公开目录，频道、栏目及栏目整合资源进行梳理。</w:t>
      </w:r>
    </w:p>
    <w:p>
      <w:pPr>
        <w:pStyle w:val="24"/>
        <w:spacing w:line="360" w:lineRule="auto"/>
        <w:ind w:firstLine="560"/>
        <w:jc w:val="left"/>
        <w:rPr>
          <w:rFonts w:hint="eastAsia" w:ascii="宋体" w:hAnsi="宋体" w:eastAsia="宋体" w:cs="宋体"/>
          <w:bCs/>
          <w:sz w:val="24"/>
          <w:szCs w:val="24"/>
        </w:rPr>
      </w:pPr>
      <w:r>
        <w:rPr>
          <w:rFonts w:hint="eastAsia" w:ascii="宋体" w:hAnsi="宋体" w:cs="宋体"/>
          <w:bCs/>
          <w:sz w:val="24"/>
          <w:szCs w:val="24"/>
          <w:lang w:val="en-US" w:eastAsia="zh-CN"/>
        </w:rPr>
        <w:t>2</w:t>
      </w:r>
      <w:r>
        <w:rPr>
          <w:rFonts w:hint="eastAsia" w:ascii="宋体" w:hAnsi="宋体" w:eastAsia="宋体" w:cs="宋体"/>
          <w:bCs/>
          <w:sz w:val="24"/>
          <w:szCs w:val="24"/>
        </w:rPr>
        <w:t>、技术培训要求</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投标人必须提供满足系统建设、管理、维护等要求的技术培训服务，并达到预定的培训目标。</w:t>
      </w:r>
    </w:p>
    <w:p>
      <w:pPr>
        <w:pStyle w:val="24"/>
        <w:spacing w:line="360" w:lineRule="auto"/>
        <w:ind w:firstLine="560"/>
        <w:jc w:val="left"/>
        <w:rPr>
          <w:rFonts w:hint="eastAsia" w:ascii="宋体" w:hAnsi="宋体" w:eastAsia="宋体" w:cs="宋体"/>
          <w:bCs/>
          <w:sz w:val="24"/>
          <w:szCs w:val="24"/>
        </w:rPr>
      </w:pPr>
      <w:r>
        <w:rPr>
          <w:rFonts w:hint="eastAsia" w:ascii="宋体" w:hAnsi="宋体" w:cs="宋体"/>
          <w:bCs/>
          <w:sz w:val="24"/>
          <w:szCs w:val="24"/>
          <w:lang w:val="en-US" w:eastAsia="zh-CN"/>
        </w:rPr>
        <w:t>3</w:t>
      </w:r>
      <w:r>
        <w:rPr>
          <w:rFonts w:hint="eastAsia" w:ascii="宋体" w:hAnsi="宋体" w:eastAsia="宋体" w:cs="宋体"/>
          <w:bCs/>
          <w:sz w:val="24"/>
          <w:szCs w:val="24"/>
        </w:rPr>
        <w:t>、技术支持与售后服务</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应商在投标书中必须明确承诺达到用户的服务响应要求：7×24小时400电话或电子邮件服务，l小时内做出明确响应和安排。</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提供一年免费维保服务。</w:t>
      </w:r>
    </w:p>
    <w:p>
      <w:pPr>
        <w:pStyle w:val="24"/>
        <w:spacing w:line="360" w:lineRule="auto"/>
        <w:ind w:firstLine="560"/>
        <w:jc w:val="left"/>
        <w:rPr>
          <w:rFonts w:hint="eastAsia" w:ascii="宋体" w:hAnsi="宋体" w:eastAsia="宋体" w:cs="宋体"/>
          <w:bCs/>
          <w:sz w:val="24"/>
          <w:szCs w:val="24"/>
        </w:rPr>
      </w:pPr>
      <w:r>
        <w:rPr>
          <w:rFonts w:hint="eastAsia" w:ascii="宋体" w:hAnsi="宋体" w:cs="宋体"/>
          <w:bCs/>
          <w:sz w:val="24"/>
          <w:szCs w:val="24"/>
          <w:lang w:val="en-US" w:eastAsia="zh-CN"/>
        </w:rPr>
        <w:t>4</w:t>
      </w:r>
      <w:r>
        <w:rPr>
          <w:rFonts w:hint="eastAsia" w:ascii="宋体" w:hAnsi="宋体" w:eastAsia="宋体" w:cs="宋体"/>
          <w:bCs/>
          <w:sz w:val="24"/>
          <w:szCs w:val="24"/>
        </w:rPr>
        <w:t>、成果提交和知识产权</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中标人向招标人应提交的技术成果包括但不限于：</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（1）设计文档：包括《软件需求规格说明书》、《软件概要、详细设计说明书》、《数据库设计说明书》</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（2）实现文档：包括《测试报告》、《软件验收方案》</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（3）维护文档：包括《用户操作手册》</w:t>
      </w:r>
    </w:p>
    <w:p>
      <w:pPr>
        <w:pStyle w:val="24"/>
        <w:spacing w:line="360" w:lineRule="auto"/>
        <w:ind w:firstLine="560"/>
        <w:jc w:val="left"/>
        <w:rPr>
          <w:rFonts w:hint="eastAsia" w:ascii="宋体" w:hAnsi="宋体" w:eastAsia="宋体" w:cs="宋体"/>
          <w:bCs/>
          <w:sz w:val="24"/>
          <w:szCs w:val="24"/>
        </w:rPr>
      </w:pPr>
      <w:r>
        <w:rPr>
          <w:rFonts w:hint="eastAsia" w:ascii="宋体" w:hAnsi="宋体" w:eastAsia="宋体" w:cs="宋体"/>
          <w:bCs/>
          <w:sz w:val="24"/>
          <w:szCs w:val="24"/>
        </w:rPr>
        <w:t>（4）管理文档：包括《施工组织设计》、《用户培训计划》</w:t>
      </w:r>
    </w:p>
    <w:p>
      <w:pPr>
        <w:widowControl/>
        <w:spacing w:after="240" w:afterLines="100" w:line="400" w:lineRule="atLeast"/>
        <w:jc w:val="left"/>
        <w:rPr>
          <w:b/>
          <w:color w:val="000000"/>
          <w:sz w:val="24"/>
          <w:szCs w:val="24"/>
          <w:highlight w:val="none"/>
        </w:rPr>
      </w:pPr>
    </w:p>
    <w:p>
      <w:pPr>
        <w:rPr>
          <w:rFonts w:hint="eastAsia"/>
          <w:b/>
          <w:color w:val="000000"/>
          <w:sz w:val="24"/>
          <w:szCs w:val="24"/>
          <w:highlight w:val="none"/>
        </w:rPr>
      </w:pPr>
      <w:r>
        <w:rPr>
          <w:rFonts w:hint="eastAsia"/>
          <w:b/>
          <w:color w:val="000000"/>
          <w:sz w:val="24"/>
          <w:szCs w:val="24"/>
          <w:highlight w:val="none"/>
        </w:rPr>
        <w:br w:type="page"/>
      </w:r>
    </w:p>
    <w:p>
      <w:pPr>
        <w:widowControl/>
        <w:spacing w:after="240" w:afterLines="100" w:line="400" w:lineRule="atLeast"/>
        <w:jc w:val="center"/>
        <w:rPr>
          <w:b/>
          <w:color w:val="000000"/>
          <w:sz w:val="36"/>
          <w:szCs w:val="36"/>
          <w:highlight w:val="none"/>
        </w:rPr>
      </w:pPr>
      <w:r>
        <w:rPr>
          <w:rFonts w:hint="eastAsia"/>
          <w:b/>
          <w:color w:val="000000"/>
          <w:sz w:val="36"/>
          <w:szCs w:val="36"/>
          <w:highlight w:val="none"/>
        </w:rPr>
        <w:t>第五章</w:t>
      </w:r>
      <w:r>
        <w:rPr>
          <w:b/>
          <w:color w:val="000000"/>
          <w:sz w:val="36"/>
          <w:szCs w:val="36"/>
          <w:highlight w:val="none"/>
        </w:rPr>
        <w:t xml:space="preserve"> </w:t>
      </w:r>
      <w:bookmarkEnd w:id="151"/>
      <w:bookmarkEnd w:id="162"/>
      <w:bookmarkStart w:id="163" w:name="_Toc485883280"/>
      <w:r>
        <w:rPr>
          <w:rFonts w:hint="eastAsia"/>
          <w:b/>
          <w:color w:val="000000"/>
          <w:sz w:val="36"/>
          <w:szCs w:val="36"/>
          <w:highlight w:val="none"/>
        </w:rPr>
        <w:t>政府采购合同格式</w:t>
      </w:r>
    </w:p>
    <w:p>
      <w:pPr>
        <w:keepNext/>
        <w:jc w:val="center"/>
        <w:rPr>
          <w:color w:val="000000"/>
          <w:highlight w:val="none"/>
        </w:rPr>
      </w:pPr>
      <w:r>
        <w:rPr>
          <w:rFonts w:hint="eastAsia"/>
          <w:color w:val="000000"/>
          <w:highlight w:val="none"/>
        </w:rPr>
        <w:t>（参考合同）</w:t>
      </w:r>
    </w:p>
    <w:p>
      <w:pPr>
        <w:pStyle w:val="24"/>
        <w:spacing w:line="360" w:lineRule="auto"/>
        <w:ind w:firstLine="480"/>
        <w:rPr>
          <w:rFonts w:ascii="宋体" w:hAnsi="宋体"/>
          <w:color w:val="000000"/>
          <w:szCs w:val="24"/>
          <w:highlight w:val="none"/>
        </w:rPr>
      </w:pPr>
      <w:r>
        <w:rPr>
          <w:rFonts w:hint="eastAsia" w:ascii="宋体" w:hAnsi="宋体"/>
          <w:color w:val="000000"/>
          <w:szCs w:val="24"/>
          <w:highlight w:val="none"/>
        </w:rPr>
        <w:t xml:space="preserve">合同编号： </w:t>
      </w:r>
    </w:p>
    <w:p>
      <w:pPr>
        <w:pStyle w:val="24"/>
        <w:spacing w:line="360" w:lineRule="auto"/>
        <w:ind w:firstLine="480"/>
        <w:rPr>
          <w:rFonts w:ascii="宋体" w:hAnsi="宋体"/>
          <w:color w:val="000000"/>
          <w:szCs w:val="24"/>
          <w:highlight w:val="none"/>
        </w:rPr>
      </w:pPr>
      <w:r>
        <w:rPr>
          <w:rFonts w:hint="eastAsia" w:ascii="宋体" w:hAnsi="宋体"/>
          <w:color w:val="000000"/>
          <w:szCs w:val="24"/>
          <w:highlight w:val="none"/>
        </w:rPr>
        <w:t xml:space="preserve">签订地点： </w:t>
      </w:r>
    </w:p>
    <w:p>
      <w:pPr>
        <w:pStyle w:val="24"/>
        <w:spacing w:line="360" w:lineRule="auto"/>
        <w:ind w:firstLine="480"/>
        <w:rPr>
          <w:rFonts w:ascii="宋体" w:hAnsi="宋体"/>
          <w:color w:val="000000"/>
          <w:szCs w:val="24"/>
          <w:highlight w:val="none"/>
        </w:rPr>
      </w:pPr>
      <w:r>
        <w:rPr>
          <w:rFonts w:hint="eastAsia" w:ascii="宋体" w:hAnsi="宋体"/>
          <w:color w:val="000000"/>
          <w:szCs w:val="24"/>
          <w:highlight w:val="none"/>
        </w:rPr>
        <w:t>签订时间:</w:t>
      </w:r>
    </w:p>
    <w:p>
      <w:pPr>
        <w:pStyle w:val="24"/>
        <w:spacing w:line="360" w:lineRule="auto"/>
        <w:ind w:firstLine="480"/>
        <w:rPr>
          <w:rFonts w:ascii="宋体" w:hAnsi="宋体"/>
          <w:color w:val="000000"/>
          <w:szCs w:val="24"/>
          <w:highlight w:val="none"/>
        </w:rPr>
      </w:pPr>
      <w:r>
        <w:rPr>
          <w:rFonts w:hint="eastAsia" w:ascii="宋体" w:hAnsi="宋体"/>
          <w:color w:val="000000"/>
          <w:szCs w:val="24"/>
          <w:highlight w:val="none"/>
        </w:rPr>
        <w:t>采购人（甲方）：</w:t>
      </w:r>
    </w:p>
    <w:p>
      <w:pPr>
        <w:pStyle w:val="24"/>
        <w:spacing w:line="360" w:lineRule="auto"/>
        <w:ind w:firstLine="480"/>
        <w:rPr>
          <w:rFonts w:ascii="宋体" w:hAnsi="宋体"/>
          <w:color w:val="000000"/>
          <w:szCs w:val="24"/>
          <w:highlight w:val="none"/>
        </w:rPr>
      </w:pPr>
      <w:r>
        <w:rPr>
          <w:rFonts w:hint="eastAsia" w:ascii="宋体" w:hAnsi="宋体"/>
          <w:color w:val="000000"/>
          <w:szCs w:val="24"/>
          <w:highlight w:val="none"/>
        </w:rPr>
        <w:t>供应商（乙方）：</w:t>
      </w:r>
    </w:p>
    <w:p>
      <w:pPr>
        <w:tabs>
          <w:tab w:val="left" w:pos="1379"/>
        </w:tabs>
        <w:spacing w:before="120" w:beforeLines="50" w:after="120" w:afterLines="50" w:line="360" w:lineRule="auto"/>
        <w:ind w:firstLine="480" w:firstLineChars="200"/>
        <w:jc w:val="left"/>
        <w:rPr>
          <w:rFonts w:ascii="宋体" w:hAnsi="宋体" w:cs="宋体"/>
          <w:bCs/>
          <w:color w:val="000000"/>
          <w:sz w:val="24"/>
          <w:szCs w:val="24"/>
          <w:highlight w:val="none"/>
        </w:rPr>
      </w:pPr>
      <w:r>
        <w:rPr>
          <w:rFonts w:hint="eastAsia" w:ascii="宋体" w:hAnsi="宋体" w:cs="宋体"/>
          <w:color w:val="000000"/>
          <w:sz w:val="24"/>
          <w:szCs w:val="24"/>
          <w:highlight w:val="none"/>
        </w:rPr>
        <w:t>为全面贯彻</w:t>
      </w:r>
      <w:r>
        <w:rPr>
          <w:rFonts w:hint="eastAsia" w:ascii="宋体" w:hAnsi="宋体" w:cs="宋体"/>
          <w:color w:val="000000"/>
          <w:sz w:val="24"/>
          <w:szCs w:val="24"/>
          <w:highlight w:val="none"/>
          <w:lang w:val="en-US" w:eastAsia="zh-CN"/>
        </w:rPr>
        <w:t>响应</w:t>
      </w:r>
      <w:r>
        <w:rPr>
          <w:rFonts w:hint="eastAsia" w:ascii="宋体" w:hAnsi="宋体" w:cs="宋体"/>
          <w:color w:val="000000"/>
          <w:sz w:val="24"/>
          <w:szCs w:val="24"/>
          <w:highlight w:val="none"/>
        </w:rPr>
        <w:t>国家及陕西省网站普查及绩效评估指标</w:t>
      </w:r>
      <w:r>
        <w:rPr>
          <w:rFonts w:hint="eastAsia" w:ascii="宋体" w:hAnsi="宋体" w:cs="宋体"/>
          <w:color w:val="000000"/>
          <w:sz w:val="24"/>
          <w:szCs w:val="24"/>
          <w:highlight w:val="none"/>
          <w:lang w:val="en-US" w:eastAsia="zh-CN"/>
        </w:rPr>
        <w:t>要求，</w:t>
      </w:r>
      <w:r>
        <w:rPr>
          <w:rFonts w:hint="eastAsia" w:ascii="宋体" w:hAnsi="宋体" w:cs="宋体"/>
          <w:color w:val="000000"/>
          <w:sz w:val="24"/>
          <w:szCs w:val="24"/>
          <w:highlight w:val="none"/>
        </w:rPr>
        <w:t>根据《指引》（国办发 〔2017〕47 号）文件精神及省政府关于政府网站管理工作的系列决 策部署，以及国办制定的最新《政府网站与政务新媒体检查指标》（以 下简称“检查指标”）和《政府网站与政务新媒体监管工作年度考核 指标》（以下简称“考核指标”）现委托</w:t>
      </w:r>
      <w:r>
        <w:rPr>
          <w:rFonts w:hint="eastAsia" w:ascii="仿宋_GB2312" w:eastAsia="仿宋_GB2312"/>
          <w:sz w:val="28"/>
          <w:szCs w:val="28"/>
          <w:highlight w:val="none"/>
          <w:u w:val="single"/>
        </w:rPr>
        <w:t xml:space="preserve">              </w:t>
      </w:r>
      <w:r>
        <w:rPr>
          <w:rFonts w:hint="eastAsia" w:ascii="宋体" w:hAnsi="宋体" w:cs="宋体"/>
          <w:color w:val="000000"/>
          <w:sz w:val="24"/>
          <w:szCs w:val="24"/>
          <w:highlight w:val="none"/>
          <w:u w:val="single"/>
        </w:rPr>
        <w:t xml:space="preserve"> （乙方）</w:t>
      </w:r>
      <w:r>
        <w:rPr>
          <w:rFonts w:hint="eastAsia" w:ascii="仿宋_GB2312" w:eastAsia="仿宋_GB2312"/>
          <w:sz w:val="28"/>
          <w:szCs w:val="28"/>
          <w:highlight w:val="none"/>
          <w:u w:val="single"/>
        </w:rPr>
        <w:t xml:space="preserve">  </w:t>
      </w:r>
      <w:r>
        <w:rPr>
          <w:rFonts w:hint="eastAsia" w:ascii="宋体" w:hAnsi="宋体" w:cs="宋体"/>
          <w:bCs/>
          <w:color w:val="000000"/>
          <w:sz w:val="24"/>
          <w:szCs w:val="24"/>
          <w:highlight w:val="none"/>
        </w:rPr>
        <w:t>编制《武功县</w:t>
      </w:r>
      <w:r>
        <w:rPr>
          <w:rFonts w:hint="eastAsia" w:ascii="宋体" w:hAnsi="宋体" w:cs="宋体"/>
          <w:bCs/>
          <w:color w:val="000000"/>
          <w:sz w:val="24"/>
          <w:szCs w:val="24"/>
          <w:highlight w:val="none"/>
          <w:lang w:val="en-US" w:eastAsia="zh-CN"/>
        </w:rPr>
        <w:t>政府门户网站升级项目</w:t>
      </w:r>
      <w:r>
        <w:rPr>
          <w:rFonts w:hint="eastAsia" w:ascii="宋体" w:hAnsi="宋体" w:cs="宋体"/>
          <w:bCs/>
          <w:color w:val="000000"/>
          <w:sz w:val="24"/>
          <w:szCs w:val="24"/>
          <w:highlight w:val="none"/>
        </w:rPr>
        <w:t>》（以下简称《</w:t>
      </w:r>
      <w:r>
        <w:rPr>
          <w:rFonts w:hint="eastAsia" w:ascii="宋体" w:hAnsi="宋体" w:cs="宋体"/>
          <w:bCs/>
          <w:color w:val="000000"/>
          <w:sz w:val="24"/>
          <w:szCs w:val="24"/>
          <w:highlight w:val="none"/>
          <w:lang w:val="en-US" w:eastAsia="zh-CN"/>
        </w:rPr>
        <w:t>升级项目</w:t>
      </w:r>
      <w:r>
        <w:rPr>
          <w:rFonts w:hint="eastAsia" w:ascii="宋体" w:hAnsi="宋体" w:cs="宋体"/>
          <w:bCs/>
          <w:color w:val="000000"/>
          <w:sz w:val="24"/>
          <w:szCs w:val="24"/>
          <w:highlight w:val="none"/>
        </w:rPr>
        <w:t>》）。</w:t>
      </w:r>
    </w:p>
    <w:p>
      <w:pPr>
        <w:tabs>
          <w:tab w:val="left" w:pos="1379"/>
        </w:tabs>
        <w:spacing w:before="120" w:beforeLines="50" w:after="120" w:afterLines="50"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甲乙双方经友好协商，根据《中华人民共和国民法通则》和《中华人民共和国合同法》有关规定，在平等互利的基础上，本着“精诚合作、互惠互利”的原则，就甲方委托乙方即将开展《</w:t>
      </w:r>
      <w:r>
        <w:rPr>
          <w:rFonts w:hint="eastAsia" w:ascii="宋体" w:hAnsi="宋体" w:cs="宋体"/>
          <w:bCs/>
          <w:color w:val="000000"/>
          <w:sz w:val="24"/>
          <w:szCs w:val="24"/>
          <w:highlight w:val="none"/>
          <w:lang w:val="en-US" w:eastAsia="zh-CN"/>
        </w:rPr>
        <w:t>升级项目</w:t>
      </w:r>
      <w:r>
        <w:rPr>
          <w:rFonts w:hint="eastAsia" w:ascii="宋体" w:hAnsi="宋体" w:cs="宋体"/>
          <w:bCs/>
          <w:color w:val="000000"/>
          <w:sz w:val="24"/>
          <w:szCs w:val="24"/>
          <w:highlight w:val="none"/>
        </w:rPr>
        <w:t>》达成以下协议：</w:t>
      </w:r>
    </w:p>
    <w:p>
      <w:pPr>
        <w:spacing w:line="360" w:lineRule="auto"/>
        <w:ind w:firstLine="480" w:firstLineChars="200"/>
        <w:rPr>
          <w:rFonts w:hint="eastAsia" w:ascii="宋体" w:hAnsi="宋体"/>
          <w:sz w:val="24"/>
        </w:rPr>
      </w:pPr>
      <w:r>
        <w:rPr>
          <w:rFonts w:hint="eastAsia" w:ascii="宋体" w:hAnsi="宋体"/>
          <w:sz w:val="24"/>
          <w:highlight w:val="none"/>
          <w:lang w:val="en-US" w:eastAsia="zh-CN"/>
        </w:rPr>
        <w:t>一、</w:t>
      </w:r>
      <w:r>
        <w:rPr>
          <w:rFonts w:hint="eastAsia" w:ascii="宋体" w:hAnsi="宋体"/>
          <w:sz w:val="24"/>
          <w:highlight w:val="none"/>
        </w:rPr>
        <w:t>交付运维期：</w:t>
      </w:r>
      <w:r>
        <w:rPr>
          <w:rFonts w:hint="eastAsia" w:ascii="宋体" w:hAnsi="宋体"/>
          <w:sz w:val="24"/>
          <w:highlight w:val="none"/>
          <w:lang w:val="en-US" w:eastAsia="zh-CN"/>
        </w:rPr>
        <w:t>1年，免费维护质保</w:t>
      </w:r>
      <w:r>
        <w:rPr>
          <w:rFonts w:hint="eastAsia" w:ascii="宋体" w:hAnsi="宋体"/>
          <w:sz w:val="24"/>
        </w:rPr>
        <w:t xml:space="preserve">                              </w:t>
      </w:r>
    </w:p>
    <w:p>
      <w:pPr>
        <w:spacing w:line="360" w:lineRule="auto"/>
        <w:ind w:firstLine="480" w:firstLineChars="200"/>
        <w:rPr>
          <w:rFonts w:hint="eastAsia" w:ascii="宋体" w:hAnsi="宋体"/>
          <w:sz w:val="24"/>
        </w:rPr>
      </w:pPr>
      <w:r>
        <w:rPr>
          <w:rFonts w:hint="eastAsia" w:ascii="宋体" w:hAnsi="宋体"/>
          <w:sz w:val="24"/>
        </w:rPr>
        <w:t>成交供应商未征得采购人同意和谅解而单方面延迟完工，将按违约终止合同。</w:t>
      </w:r>
    </w:p>
    <w:p>
      <w:pPr>
        <w:spacing w:line="360" w:lineRule="auto"/>
        <w:ind w:firstLine="480" w:firstLineChars="200"/>
        <w:rPr>
          <w:rFonts w:hint="eastAsia" w:ascii="宋体" w:hAnsi="宋体"/>
          <w:sz w:val="24"/>
        </w:rPr>
      </w:pPr>
      <w:r>
        <w:rPr>
          <w:rFonts w:hint="eastAsia" w:ascii="宋体" w:hAnsi="宋体"/>
          <w:sz w:val="24"/>
        </w:rPr>
        <w:t>成交供应商遇到可能妨碍按时提供服务的情况，应当及时以书面形式通知采购人，说明原由、拖延的期限等；采购人、采购代理机构在收到通知后，尽快进行情况评估并确定是否通过修改合同，酌情延长完工时间或者通过协商加收误期赔偿金。</w:t>
      </w:r>
    </w:p>
    <w:p>
      <w:pPr>
        <w:numPr>
          <w:ilvl w:val="0"/>
          <w:numId w:val="1"/>
        </w:numPr>
        <w:spacing w:line="360" w:lineRule="auto"/>
        <w:ind w:left="0" w:leftChars="0" w:firstLine="480" w:firstLineChars="200"/>
        <w:rPr>
          <w:rFonts w:hint="eastAsia" w:ascii="宋体" w:hAnsi="宋体"/>
          <w:sz w:val="24"/>
          <w:lang w:val="en-US" w:eastAsia="zh-CN"/>
        </w:rPr>
      </w:pPr>
      <w:r>
        <w:rPr>
          <w:rFonts w:hint="eastAsia" w:ascii="宋体" w:hAnsi="宋体"/>
          <w:sz w:val="24"/>
        </w:rPr>
        <w:t>项目实施地点：</w:t>
      </w:r>
      <w:r>
        <w:rPr>
          <w:rFonts w:hint="eastAsia" w:ascii="宋体" w:hAnsi="宋体"/>
          <w:sz w:val="24"/>
          <w:lang w:val="en-US" w:eastAsia="zh-CN"/>
        </w:rPr>
        <w:t>武功县</w:t>
      </w:r>
    </w:p>
    <w:p>
      <w:pPr>
        <w:numPr>
          <w:ilvl w:val="0"/>
          <w:numId w:val="1"/>
        </w:numPr>
        <w:spacing w:line="360" w:lineRule="auto"/>
        <w:ind w:left="0" w:leftChars="0" w:firstLine="480" w:firstLineChars="200"/>
        <w:rPr>
          <w:rFonts w:hint="eastAsia" w:ascii="宋体" w:hAnsi="宋体"/>
          <w:sz w:val="24"/>
        </w:rPr>
      </w:pPr>
      <w:r>
        <w:rPr>
          <w:rFonts w:hint="eastAsia" w:ascii="宋体" w:hAnsi="宋体"/>
          <w:sz w:val="24"/>
        </w:rPr>
        <w:t>结算方式：</w:t>
      </w:r>
    </w:p>
    <w:p>
      <w:pPr>
        <w:tabs>
          <w:tab w:val="left" w:pos="840"/>
        </w:tabs>
        <w:spacing w:line="360" w:lineRule="auto"/>
        <w:ind w:firstLine="540" w:firstLineChars="225"/>
        <w:rPr>
          <w:rFonts w:hint="eastAsia" w:ascii="宋体" w:hAnsi="宋体"/>
          <w:sz w:val="24"/>
        </w:rPr>
      </w:pPr>
      <w:r>
        <w:rPr>
          <w:rFonts w:hint="eastAsia" w:ascii="宋体" w:hAnsi="宋体"/>
          <w:sz w:val="24"/>
        </w:rPr>
        <w:t>1、结算单位：采购人结算，在付款前，必须开具全额发票给采购人。</w:t>
      </w:r>
    </w:p>
    <w:p>
      <w:pPr>
        <w:spacing w:line="360" w:lineRule="auto"/>
        <w:ind w:firstLine="540" w:firstLineChars="225"/>
        <w:rPr>
          <w:rFonts w:hint="eastAsia" w:ascii="宋体" w:hAnsi="宋体"/>
          <w:sz w:val="24"/>
          <w:highlight w:val="none"/>
        </w:rPr>
      </w:pPr>
      <w:r>
        <w:rPr>
          <w:rFonts w:hint="eastAsia" w:ascii="宋体" w:hAnsi="宋体"/>
          <w:sz w:val="24"/>
          <w:highlight w:val="none"/>
        </w:rPr>
        <w:t>2、付款方式：</w:t>
      </w:r>
    </w:p>
    <w:p>
      <w:pPr>
        <w:tabs>
          <w:tab w:val="left" w:pos="840"/>
        </w:tabs>
        <w:kinsoku w:val="0"/>
        <w:spacing w:line="360" w:lineRule="auto"/>
        <w:ind w:firstLine="540" w:firstLineChars="225"/>
        <w:rPr>
          <w:rFonts w:hint="eastAsia" w:ascii="宋体" w:hAnsi="宋体"/>
          <w:sz w:val="24"/>
        </w:rPr>
      </w:pPr>
      <w:r>
        <w:rPr>
          <w:rFonts w:hint="eastAsia" w:ascii="宋体" w:hAnsi="宋体"/>
          <w:sz w:val="24"/>
        </w:rPr>
        <w:t>（1）合同签订后，支付合同总价的30%作为预付款；</w:t>
      </w:r>
    </w:p>
    <w:p>
      <w:pPr>
        <w:tabs>
          <w:tab w:val="left" w:pos="840"/>
        </w:tabs>
        <w:kinsoku w:val="0"/>
        <w:spacing w:line="360" w:lineRule="auto"/>
        <w:ind w:firstLine="540" w:firstLineChars="225"/>
        <w:rPr>
          <w:rFonts w:hint="eastAsia" w:ascii="宋体" w:hAnsi="宋体"/>
          <w:sz w:val="24"/>
        </w:rPr>
      </w:pPr>
      <w:r>
        <w:rPr>
          <w:rFonts w:hint="eastAsia" w:ascii="宋体" w:hAnsi="宋体"/>
          <w:sz w:val="24"/>
        </w:rPr>
        <w:t>（2）项目验收合格后，支付合同总价的67%；</w:t>
      </w:r>
    </w:p>
    <w:p>
      <w:pPr>
        <w:tabs>
          <w:tab w:val="left" w:pos="840"/>
        </w:tabs>
        <w:kinsoku w:val="0"/>
        <w:spacing w:line="360" w:lineRule="auto"/>
        <w:ind w:firstLine="540" w:firstLineChars="225"/>
        <w:rPr>
          <w:rFonts w:hint="eastAsia" w:ascii="宋体" w:hAnsi="宋体" w:eastAsia="宋体"/>
          <w:sz w:val="24"/>
          <w:lang w:eastAsia="zh-CN"/>
        </w:rPr>
      </w:pPr>
      <w:r>
        <w:rPr>
          <w:rFonts w:hint="eastAsia" w:ascii="宋体" w:hAnsi="宋体"/>
          <w:sz w:val="24"/>
        </w:rPr>
        <w:t>（3）剩余合同总价的3%作为质保期，待质保期满后一次付清</w:t>
      </w:r>
      <w:r>
        <w:rPr>
          <w:rFonts w:hint="eastAsia" w:ascii="宋体" w:hAnsi="宋体"/>
          <w:sz w:val="24"/>
          <w:lang w:eastAsia="zh-CN"/>
        </w:rPr>
        <w:t>。</w:t>
      </w:r>
    </w:p>
    <w:p>
      <w:pPr>
        <w:spacing w:line="360" w:lineRule="auto"/>
        <w:ind w:firstLine="480" w:firstLineChars="200"/>
        <w:rPr>
          <w:rFonts w:hint="eastAsia" w:ascii="宋体" w:hAnsi="宋体"/>
          <w:sz w:val="24"/>
        </w:rPr>
      </w:pPr>
      <w:r>
        <w:rPr>
          <w:rFonts w:hint="eastAsia" w:ascii="宋体" w:hAnsi="宋体"/>
          <w:sz w:val="24"/>
          <w:lang w:val="en-US" w:eastAsia="zh-CN"/>
        </w:rPr>
        <w:t>五</w:t>
      </w:r>
      <w:r>
        <w:rPr>
          <w:rFonts w:hint="eastAsia" w:ascii="宋体" w:hAnsi="宋体"/>
          <w:sz w:val="24"/>
        </w:rPr>
        <w:t>、人员培训：提供免费培训，人数、地点按采购人的要求约定。</w:t>
      </w:r>
    </w:p>
    <w:p>
      <w:pPr>
        <w:spacing w:line="360" w:lineRule="auto"/>
        <w:ind w:firstLine="480" w:firstLineChars="200"/>
        <w:rPr>
          <w:rFonts w:hint="eastAsia" w:ascii="宋体" w:hAnsi="宋体"/>
          <w:sz w:val="24"/>
        </w:rPr>
      </w:pPr>
      <w:r>
        <w:rPr>
          <w:rFonts w:hint="eastAsia" w:ascii="宋体" w:hAnsi="宋体"/>
          <w:sz w:val="24"/>
          <w:lang w:val="en-US" w:eastAsia="zh-CN"/>
        </w:rPr>
        <w:t>六</w:t>
      </w:r>
      <w:r>
        <w:rPr>
          <w:rFonts w:hint="eastAsia" w:ascii="宋体" w:hAnsi="宋体"/>
          <w:sz w:val="24"/>
        </w:rPr>
        <w:t>、采购项目执行内容需要调整时，经采购人同意后，可以对相应的原材料进行调整，并协商确定价格差额计算方法和负担办法。</w:t>
      </w:r>
    </w:p>
    <w:p>
      <w:pPr>
        <w:spacing w:line="360" w:lineRule="auto"/>
        <w:ind w:firstLine="480" w:firstLineChars="200"/>
        <w:rPr>
          <w:rFonts w:hint="eastAsia" w:ascii="宋体" w:hAnsi="宋体"/>
          <w:sz w:val="24"/>
        </w:rPr>
      </w:pPr>
      <w:r>
        <w:rPr>
          <w:rFonts w:hint="eastAsia" w:ascii="宋体" w:hAnsi="宋体"/>
          <w:sz w:val="24"/>
          <w:lang w:val="en-US" w:eastAsia="zh-CN"/>
        </w:rPr>
        <w:t>七</w:t>
      </w:r>
      <w:r>
        <w:rPr>
          <w:rFonts w:hint="eastAsia" w:ascii="宋体" w:hAnsi="宋体"/>
          <w:sz w:val="24"/>
        </w:rPr>
        <w:t>、项目设计变更</w:t>
      </w:r>
    </w:p>
    <w:p>
      <w:pPr>
        <w:spacing w:line="360" w:lineRule="auto"/>
        <w:ind w:firstLine="600" w:firstLineChars="250"/>
        <w:rPr>
          <w:rFonts w:hint="eastAsia" w:ascii="宋体" w:hAnsi="宋体"/>
          <w:sz w:val="24"/>
        </w:rPr>
      </w:pPr>
      <w:r>
        <w:rPr>
          <w:rFonts w:hint="eastAsia" w:ascii="宋体" w:hAnsi="宋体"/>
          <w:sz w:val="24"/>
        </w:rPr>
        <w:t>成交后，项目的设计需要变更、调整时，应办理相应的变更、调整审批手续，并协商确定设计变更、调整后的价款计算方法和工期顺延等事宜。</w:t>
      </w:r>
    </w:p>
    <w:p>
      <w:pPr>
        <w:spacing w:line="360" w:lineRule="auto"/>
        <w:ind w:firstLine="480" w:firstLineChars="200"/>
        <w:rPr>
          <w:rFonts w:hint="eastAsia" w:ascii="宋体" w:hAnsi="宋体"/>
          <w:sz w:val="24"/>
        </w:rPr>
      </w:pPr>
      <w:r>
        <w:rPr>
          <w:rFonts w:hint="eastAsia" w:ascii="宋体" w:hAnsi="宋体"/>
          <w:sz w:val="24"/>
          <w:lang w:val="en-US" w:eastAsia="zh-CN"/>
        </w:rPr>
        <w:t>八</w:t>
      </w:r>
      <w:r>
        <w:rPr>
          <w:rFonts w:hint="eastAsia" w:ascii="宋体" w:hAnsi="宋体"/>
          <w:sz w:val="24"/>
        </w:rPr>
        <w:t>、验收：通过检验的项目达到使用条件时由采购人负责组织验收，或者邀请有关专家、质检机构、共同进行验收；验收合格须交接项目实施的全部资料，并填写政府采购项目验收报告单。验收须以合同、磋商文件及响应文件、澄清、及国家相应的标准、规范等为依据。</w:t>
      </w:r>
    </w:p>
    <w:p>
      <w:pPr>
        <w:spacing w:line="360" w:lineRule="auto"/>
        <w:ind w:firstLine="480" w:firstLineChars="200"/>
        <w:rPr>
          <w:rFonts w:hint="eastAsia" w:ascii="宋体" w:hAnsi="宋体"/>
          <w:sz w:val="24"/>
        </w:rPr>
      </w:pPr>
      <w:r>
        <w:rPr>
          <w:rFonts w:hint="eastAsia" w:ascii="宋体" w:hAnsi="宋体"/>
          <w:sz w:val="24"/>
          <w:lang w:val="en-US" w:eastAsia="zh-CN"/>
        </w:rPr>
        <w:t>九</w:t>
      </w:r>
      <w:r>
        <w:rPr>
          <w:rFonts w:hint="eastAsia" w:ascii="宋体" w:hAnsi="宋体"/>
          <w:sz w:val="24"/>
        </w:rPr>
        <w:t>、合同争议的解决：合同执行中发生争议的，当事人双方应协商解决，协商达不成一致时，可向人民法院提请诉讼。</w:t>
      </w:r>
    </w:p>
    <w:p>
      <w:pPr>
        <w:spacing w:line="360" w:lineRule="auto"/>
        <w:ind w:firstLine="480" w:firstLineChars="200"/>
        <w:rPr>
          <w:rFonts w:hint="eastAsia" w:ascii="宋体" w:hAnsi="宋体"/>
          <w:sz w:val="24"/>
        </w:rPr>
      </w:pPr>
      <w:r>
        <w:rPr>
          <w:rFonts w:hint="eastAsia" w:ascii="宋体" w:hAnsi="宋体"/>
          <w:sz w:val="24"/>
        </w:rPr>
        <w:t>十、在发生不可抗力情况下的应对措施和解决办法。</w:t>
      </w:r>
    </w:p>
    <w:p>
      <w:pPr>
        <w:spacing w:line="360" w:lineRule="auto"/>
        <w:ind w:firstLine="480" w:firstLineChars="200"/>
        <w:rPr>
          <w:rFonts w:hint="eastAsia" w:ascii="宋体" w:hAnsi="宋体"/>
          <w:sz w:val="24"/>
        </w:rPr>
      </w:pPr>
      <w:r>
        <w:rPr>
          <w:rFonts w:hint="eastAsia" w:ascii="宋体" w:hAnsi="宋体"/>
          <w:sz w:val="24"/>
        </w:rPr>
        <w:t>十</w:t>
      </w:r>
      <w:r>
        <w:rPr>
          <w:rFonts w:hint="eastAsia" w:ascii="宋体" w:hAnsi="宋体"/>
          <w:sz w:val="24"/>
          <w:lang w:val="en-US" w:eastAsia="zh-CN"/>
        </w:rPr>
        <w:t>一</w:t>
      </w:r>
      <w:r>
        <w:rPr>
          <w:rFonts w:hint="eastAsia" w:ascii="宋体" w:hAnsi="宋体"/>
          <w:sz w:val="24"/>
        </w:rPr>
        <w:t>、合同一经签订，不得擅自变更、中止或者终止合同。对确需变更、调整或者中止、终止合同的，应按规定履行相应的手续。</w:t>
      </w:r>
    </w:p>
    <w:p>
      <w:pPr>
        <w:spacing w:line="360" w:lineRule="auto"/>
        <w:ind w:firstLine="480" w:firstLineChars="200"/>
        <w:rPr>
          <w:rFonts w:hint="eastAsia" w:ascii="宋体" w:hAnsi="宋体"/>
          <w:sz w:val="24"/>
        </w:rPr>
      </w:pPr>
      <w:r>
        <w:rPr>
          <w:rFonts w:hint="eastAsia" w:ascii="宋体" w:hAnsi="宋体"/>
          <w:sz w:val="24"/>
        </w:rPr>
        <w:t>十</w:t>
      </w:r>
      <w:r>
        <w:rPr>
          <w:rFonts w:hint="eastAsia" w:ascii="宋体" w:hAnsi="宋体"/>
          <w:sz w:val="24"/>
          <w:lang w:val="en-US" w:eastAsia="zh-CN"/>
        </w:rPr>
        <w:t>二</w:t>
      </w:r>
      <w:r>
        <w:rPr>
          <w:rFonts w:hint="eastAsia" w:ascii="宋体" w:hAnsi="宋体"/>
          <w:sz w:val="24"/>
        </w:rPr>
        <w:t>、违约责任：依据《中华人民共和国合同法》、《中华人民共和国政府采购法》的相关条款和本合同约定，成交供应商未全面履行合同义务或者发生违约，采购人会同采购代理机构有权终止合同，依法向成交供应商进行经济索赔，并报请政府采购监督管理机关进行相应的行政处罚。采购人违约的，应当赔偿给成交供应商造成的经济损失。</w:t>
      </w:r>
    </w:p>
    <w:p>
      <w:pPr>
        <w:tabs>
          <w:tab w:val="left" w:pos="980"/>
        </w:tabs>
        <w:spacing w:line="500" w:lineRule="exact"/>
        <w:ind w:firstLine="561"/>
        <w:rPr>
          <w:rFonts w:hint="eastAsia" w:ascii="宋体" w:hAnsi="宋体"/>
          <w:sz w:val="24"/>
        </w:rPr>
      </w:pPr>
      <w:r>
        <w:rPr>
          <w:rFonts w:hint="eastAsia" w:ascii="宋体" w:hAnsi="宋体"/>
          <w:sz w:val="24"/>
        </w:rPr>
        <w:t>十</w:t>
      </w:r>
      <w:r>
        <w:rPr>
          <w:rFonts w:hint="eastAsia" w:ascii="宋体" w:hAnsi="宋体"/>
          <w:sz w:val="24"/>
          <w:lang w:val="en-US" w:eastAsia="zh-CN"/>
        </w:rPr>
        <w:t>三</w:t>
      </w:r>
      <w:r>
        <w:rPr>
          <w:rFonts w:hint="eastAsia" w:ascii="宋体" w:hAnsi="宋体"/>
          <w:sz w:val="24"/>
        </w:rPr>
        <w:t>、本合同一式肆份，甲方、乙方、采购代理机构各执</w:t>
      </w:r>
      <w:r>
        <w:rPr>
          <w:rFonts w:hint="eastAsia" w:ascii="宋体" w:hAnsi="宋体"/>
          <w:sz w:val="24"/>
          <w:lang w:val="en-US" w:eastAsia="zh-CN"/>
        </w:rPr>
        <w:t>贰</w:t>
      </w:r>
      <w:r>
        <w:rPr>
          <w:rFonts w:hint="eastAsia" w:ascii="宋体" w:hAnsi="宋体"/>
          <w:sz w:val="24"/>
        </w:rPr>
        <w:t>份，签字盖章后生效，合同执行完毕自动失效（合同的服务承诺则长期有效）。</w:t>
      </w:r>
    </w:p>
    <w:p>
      <w:pPr>
        <w:tabs>
          <w:tab w:val="left" w:pos="1379"/>
        </w:tabs>
        <w:spacing w:before="120" w:beforeLines="50" w:after="120" w:afterLines="50" w:line="360" w:lineRule="auto"/>
        <w:ind w:firstLine="480" w:firstLineChars="200"/>
        <w:rPr>
          <w:rFonts w:ascii="宋体" w:hAnsi="宋体" w:cs="宋体"/>
          <w:bCs/>
          <w:color w:val="000000"/>
          <w:sz w:val="24"/>
          <w:szCs w:val="24"/>
          <w:highlight w:val="none"/>
        </w:rPr>
      </w:pP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 xml:space="preserve">甲     方：   （盖章）   </w:t>
      </w:r>
      <w:r>
        <w:rPr>
          <w:rFonts w:hint="eastAsia" w:ascii="宋体" w:hAnsi="宋体" w:cs="宋体"/>
          <w:bCs/>
          <w:color w:val="000000"/>
          <w:sz w:val="24"/>
          <w:szCs w:val="24"/>
          <w:highlight w:val="none"/>
        </w:rPr>
        <w:tab/>
      </w:r>
      <w:r>
        <w:rPr>
          <w:rFonts w:hint="eastAsia" w:ascii="宋体" w:hAnsi="宋体" w:cs="宋体"/>
          <w:bCs/>
          <w:color w:val="000000"/>
          <w:sz w:val="24"/>
          <w:szCs w:val="24"/>
          <w:highlight w:val="none"/>
        </w:rPr>
        <w:tab/>
      </w:r>
      <w:r>
        <w:rPr>
          <w:rFonts w:hint="eastAsia" w:ascii="宋体" w:hAnsi="宋体" w:cs="宋体"/>
          <w:bCs/>
          <w:color w:val="000000"/>
          <w:sz w:val="24"/>
          <w:szCs w:val="24"/>
          <w:highlight w:val="none"/>
        </w:rPr>
        <w:tab/>
      </w:r>
      <w:r>
        <w:rPr>
          <w:rFonts w:hint="eastAsia" w:ascii="宋体" w:hAnsi="宋体" w:cs="宋体"/>
          <w:bCs/>
          <w:color w:val="000000"/>
          <w:sz w:val="24"/>
          <w:szCs w:val="24"/>
          <w:highlight w:val="none"/>
        </w:rPr>
        <w:t xml:space="preserve"> 乙    方：   （盖章）</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法定代表人（委托代理人）：         法定代表人（委托代理人）：</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地    址：                         地    址：</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开户银行：                         开户银行：</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账    号：                         账    号：</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电    话：                         电    话：</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传    真：                         传    真：</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签约日期：</w:t>
      </w:r>
      <w:r>
        <w:rPr>
          <w:rFonts w:hint="eastAsia" w:ascii="宋体" w:hAnsi="宋体" w:cs="宋体"/>
          <w:bCs/>
          <w:color w:val="000000"/>
          <w:kern w:val="0"/>
          <w:sz w:val="24"/>
          <w:szCs w:val="24"/>
          <w:highlight w:val="none"/>
          <w:u w:val="single"/>
        </w:rPr>
        <w:t xml:space="preserve">    </w:t>
      </w:r>
      <w:r>
        <w:rPr>
          <w:rFonts w:hint="eastAsia" w:ascii="宋体" w:hAnsi="宋体" w:cs="宋体"/>
          <w:bCs/>
          <w:color w:val="000000"/>
          <w:sz w:val="24"/>
          <w:szCs w:val="24"/>
          <w:highlight w:val="none"/>
        </w:rPr>
        <w:t>年</w:t>
      </w:r>
      <w:r>
        <w:rPr>
          <w:rFonts w:hint="eastAsia" w:ascii="宋体" w:hAnsi="宋体" w:cs="宋体"/>
          <w:bCs/>
          <w:color w:val="000000"/>
          <w:kern w:val="0"/>
          <w:sz w:val="24"/>
          <w:szCs w:val="24"/>
          <w:highlight w:val="none"/>
          <w:u w:val="single"/>
        </w:rPr>
        <w:t xml:space="preserve">    </w:t>
      </w:r>
      <w:r>
        <w:rPr>
          <w:rFonts w:hint="eastAsia" w:ascii="宋体" w:hAnsi="宋体" w:cs="宋体"/>
          <w:bCs/>
          <w:color w:val="000000"/>
          <w:sz w:val="24"/>
          <w:szCs w:val="24"/>
          <w:highlight w:val="none"/>
        </w:rPr>
        <w:t>月</w:t>
      </w:r>
      <w:r>
        <w:rPr>
          <w:rFonts w:hint="eastAsia" w:ascii="宋体" w:hAnsi="宋体" w:cs="宋体"/>
          <w:bCs/>
          <w:color w:val="000000"/>
          <w:kern w:val="0"/>
          <w:sz w:val="24"/>
          <w:szCs w:val="24"/>
          <w:highlight w:val="none"/>
          <w:u w:val="single"/>
        </w:rPr>
        <w:t xml:space="preserve">    </w:t>
      </w:r>
      <w:r>
        <w:rPr>
          <w:rFonts w:hint="eastAsia" w:ascii="宋体" w:hAnsi="宋体" w:cs="宋体"/>
          <w:bCs/>
          <w:color w:val="000000"/>
          <w:sz w:val="24"/>
          <w:szCs w:val="24"/>
          <w:highlight w:val="none"/>
        </w:rPr>
        <w:t xml:space="preserve">日 </w:t>
      </w:r>
      <w:r>
        <w:rPr>
          <w:rFonts w:hint="eastAsia" w:ascii="宋体" w:hAnsi="宋体" w:cs="宋体"/>
          <w:bCs/>
          <w:color w:val="000000"/>
          <w:sz w:val="24"/>
          <w:szCs w:val="24"/>
          <w:highlight w:val="none"/>
        </w:rPr>
        <w:tab/>
      </w:r>
      <w:r>
        <w:rPr>
          <w:rFonts w:hint="eastAsia" w:ascii="宋体" w:hAnsi="宋体" w:cs="宋体"/>
          <w:bCs/>
          <w:color w:val="000000"/>
          <w:sz w:val="24"/>
          <w:szCs w:val="24"/>
          <w:highlight w:val="none"/>
        </w:rPr>
        <w:t xml:space="preserve">   签约日期：</w:t>
      </w:r>
      <w:r>
        <w:rPr>
          <w:rFonts w:hint="eastAsia" w:ascii="宋体" w:hAnsi="宋体" w:cs="宋体"/>
          <w:bCs/>
          <w:color w:val="000000"/>
          <w:kern w:val="0"/>
          <w:sz w:val="24"/>
          <w:szCs w:val="24"/>
          <w:highlight w:val="none"/>
          <w:u w:val="single"/>
        </w:rPr>
        <w:t xml:space="preserve">     </w:t>
      </w:r>
      <w:r>
        <w:rPr>
          <w:rFonts w:hint="eastAsia" w:ascii="宋体" w:hAnsi="宋体" w:cs="宋体"/>
          <w:bCs/>
          <w:color w:val="000000"/>
          <w:sz w:val="24"/>
          <w:szCs w:val="24"/>
          <w:highlight w:val="none"/>
        </w:rPr>
        <w:t>年</w:t>
      </w:r>
      <w:r>
        <w:rPr>
          <w:rFonts w:hint="eastAsia" w:ascii="宋体" w:hAnsi="宋体" w:cs="宋体"/>
          <w:bCs/>
          <w:color w:val="000000"/>
          <w:kern w:val="0"/>
          <w:sz w:val="24"/>
          <w:szCs w:val="24"/>
          <w:highlight w:val="none"/>
          <w:u w:val="single"/>
        </w:rPr>
        <w:t xml:space="preserve">     </w:t>
      </w:r>
      <w:r>
        <w:rPr>
          <w:rFonts w:hint="eastAsia" w:ascii="宋体" w:hAnsi="宋体" w:cs="宋体"/>
          <w:bCs/>
          <w:color w:val="000000"/>
          <w:sz w:val="24"/>
          <w:szCs w:val="24"/>
          <w:highlight w:val="none"/>
        </w:rPr>
        <w:t>月</w:t>
      </w:r>
      <w:r>
        <w:rPr>
          <w:rFonts w:hint="eastAsia" w:ascii="宋体" w:hAnsi="宋体" w:cs="宋体"/>
          <w:bCs/>
          <w:color w:val="000000"/>
          <w:kern w:val="0"/>
          <w:sz w:val="24"/>
          <w:szCs w:val="24"/>
          <w:highlight w:val="none"/>
          <w:u w:val="single"/>
        </w:rPr>
        <w:t xml:space="preserve">     </w:t>
      </w:r>
      <w:r>
        <w:rPr>
          <w:rFonts w:hint="eastAsia" w:ascii="宋体" w:hAnsi="宋体" w:cs="宋体"/>
          <w:bCs/>
          <w:color w:val="000000"/>
          <w:sz w:val="24"/>
          <w:szCs w:val="24"/>
          <w:highlight w:val="none"/>
        </w:rPr>
        <w:t>日</w:t>
      </w:r>
    </w:p>
    <w:p>
      <w:pPr>
        <w:pStyle w:val="24"/>
        <w:ind w:firstLine="560"/>
        <w:rPr>
          <w:rFonts w:ascii="宋体" w:hAnsi="宋体"/>
          <w:bCs/>
          <w:color w:val="000000"/>
          <w:sz w:val="28"/>
          <w:szCs w:val="28"/>
          <w:highlight w:val="none"/>
        </w:rPr>
      </w:pPr>
    </w:p>
    <w:p>
      <w:pPr>
        <w:pStyle w:val="2"/>
        <w:spacing w:before="240" w:beforeLines="100" w:after="240" w:afterLines="100"/>
        <w:jc w:val="center"/>
        <w:outlineLvl w:val="0"/>
        <w:rPr>
          <w:b/>
          <w:color w:val="000000"/>
          <w:sz w:val="36"/>
          <w:szCs w:val="36"/>
          <w:highlight w:val="none"/>
        </w:rPr>
      </w:pPr>
      <w:bookmarkStart w:id="164" w:name="_Toc5420"/>
      <w:r>
        <w:rPr>
          <w:b/>
          <w:color w:val="000000"/>
          <w:sz w:val="36"/>
          <w:szCs w:val="36"/>
          <w:highlight w:val="none"/>
        </w:rPr>
        <w:t>第六</w:t>
      </w:r>
      <w:r>
        <w:rPr>
          <w:rFonts w:hint="eastAsia"/>
          <w:b/>
          <w:color w:val="000000"/>
          <w:sz w:val="36"/>
          <w:szCs w:val="36"/>
          <w:highlight w:val="none"/>
        </w:rPr>
        <w:t>章</w:t>
      </w:r>
      <w:r>
        <w:rPr>
          <w:b/>
          <w:color w:val="000000"/>
          <w:sz w:val="36"/>
          <w:szCs w:val="36"/>
          <w:highlight w:val="none"/>
        </w:rPr>
        <w:t xml:space="preserve"> 响应文件格式</w:t>
      </w:r>
      <w:bookmarkEnd w:id="163"/>
      <w:bookmarkEnd w:id="164"/>
    </w:p>
    <w:p>
      <w:pPr>
        <w:spacing w:line="360" w:lineRule="auto"/>
        <w:ind w:firstLine="470" w:firstLineChars="196"/>
        <w:rPr>
          <w:color w:val="000000"/>
          <w:sz w:val="24"/>
          <w:highlight w:val="none"/>
        </w:rPr>
      </w:pPr>
    </w:p>
    <w:p>
      <w:pPr>
        <w:spacing w:line="360" w:lineRule="auto"/>
        <w:ind w:firstLine="470" w:firstLineChars="196"/>
        <w:rPr>
          <w:color w:val="000000"/>
          <w:sz w:val="24"/>
          <w:highlight w:val="none"/>
        </w:rPr>
      </w:pPr>
      <w:r>
        <w:rPr>
          <w:color w:val="000000"/>
          <w:sz w:val="24"/>
          <w:highlight w:val="none"/>
        </w:rPr>
        <w:t>响应文件格式是供应商的部分响应文件格式，供应商应按照这些格式编制响应文件。编制响应文件前，请详细阅读磋商文件，理解文件中的每一项要求，做出逐一实质性响应，认为有必要，可做补充说明。</w:t>
      </w:r>
    </w:p>
    <w:p>
      <w:pPr>
        <w:spacing w:line="400" w:lineRule="exact"/>
        <w:jc w:val="center"/>
        <w:rPr>
          <w:b/>
          <w:color w:val="000000"/>
          <w:sz w:val="28"/>
          <w:szCs w:val="28"/>
          <w:highlight w:val="none"/>
        </w:rPr>
      </w:pPr>
    </w:p>
    <w:p>
      <w:pPr>
        <w:spacing w:line="400" w:lineRule="exact"/>
        <w:ind w:firstLine="570"/>
        <w:rPr>
          <w:color w:val="000000"/>
          <w:sz w:val="28"/>
          <w:szCs w:val="28"/>
          <w:highlight w:val="none"/>
        </w:rPr>
      </w:pPr>
    </w:p>
    <w:p>
      <w:pPr>
        <w:spacing w:line="400" w:lineRule="exact"/>
        <w:ind w:firstLine="570"/>
        <w:rPr>
          <w:color w:val="000000"/>
          <w:sz w:val="28"/>
          <w:szCs w:val="28"/>
          <w:highlight w:val="none"/>
        </w:rPr>
      </w:pPr>
    </w:p>
    <w:p>
      <w:pPr>
        <w:spacing w:line="400" w:lineRule="exact"/>
        <w:ind w:firstLine="570"/>
        <w:rPr>
          <w:color w:val="000000"/>
          <w:sz w:val="28"/>
          <w:szCs w:val="28"/>
          <w:highlight w:val="none"/>
        </w:rPr>
      </w:pPr>
    </w:p>
    <w:p>
      <w:pPr>
        <w:rPr>
          <w:color w:val="000000"/>
          <w:highlight w:val="none"/>
        </w:rPr>
      </w:pPr>
    </w:p>
    <w:p>
      <w:pPr>
        <w:rPr>
          <w:color w:val="000000"/>
          <w:highlight w:val="none"/>
        </w:rPr>
      </w:pPr>
    </w:p>
    <w:p>
      <w:pPr>
        <w:spacing w:line="400" w:lineRule="exact"/>
        <w:ind w:firstLine="570"/>
        <w:rPr>
          <w:color w:val="000000"/>
          <w:sz w:val="28"/>
          <w:szCs w:val="28"/>
          <w:highlight w:val="none"/>
        </w:rPr>
      </w:pPr>
    </w:p>
    <w:p>
      <w:pPr>
        <w:spacing w:line="400" w:lineRule="exact"/>
        <w:ind w:firstLine="570"/>
        <w:rPr>
          <w:color w:val="000000"/>
          <w:sz w:val="28"/>
          <w:szCs w:val="28"/>
          <w:highlight w:val="none"/>
        </w:rPr>
      </w:pPr>
    </w:p>
    <w:p>
      <w:pPr>
        <w:spacing w:line="400" w:lineRule="exact"/>
        <w:ind w:firstLine="570"/>
        <w:rPr>
          <w:color w:val="000000"/>
          <w:sz w:val="28"/>
          <w:szCs w:val="28"/>
          <w:highlight w:val="none"/>
        </w:rPr>
      </w:pPr>
    </w:p>
    <w:p>
      <w:pPr>
        <w:spacing w:line="400" w:lineRule="exact"/>
        <w:ind w:firstLine="570"/>
        <w:rPr>
          <w:color w:val="000000"/>
          <w:sz w:val="28"/>
          <w:szCs w:val="28"/>
          <w:highlight w:val="none"/>
        </w:rPr>
      </w:pPr>
    </w:p>
    <w:p>
      <w:pPr>
        <w:spacing w:line="400" w:lineRule="exact"/>
        <w:ind w:firstLine="570"/>
        <w:rPr>
          <w:color w:val="000000"/>
          <w:sz w:val="28"/>
          <w:szCs w:val="28"/>
          <w:highlight w:val="none"/>
        </w:rPr>
      </w:pPr>
    </w:p>
    <w:p>
      <w:pPr>
        <w:spacing w:line="400" w:lineRule="exact"/>
        <w:ind w:firstLine="570"/>
        <w:rPr>
          <w:color w:val="000000"/>
          <w:sz w:val="28"/>
          <w:szCs w:val="28"/>
          <w:highlight w:val="none"/>
        </w:rPr>
      </w:pPr>
    </w:p>
    <w:p>
      <w:pPr>
        <w:spacing w:line="400" w:lineRule="exact"/>
        <w:ind w:firstLine="570"/>
        <w:rPr>
          <w:color w:val="000000"/>
          <w:sz w:val="28"/>
          <w:szCs w:val="28"/>
          <w:highlight w:val="none"/>
        </w:rPr>
      </w:pPr>
    </w:p>
    <w:p>
      <w:pPr>
        <w:spacing w:line="400" w:lineRule="exact"/>
        <w:ind w:firstLine="570"/>
        <w:rPr>
          <w:b/>
          <w:color w:val="000000"/>
          <w:sz w:val="28"/>
          <w:szCs w:val="28"/>
          <w:highlight w:val="none"/>
        </w:rPr>
      </w:pPr>
    </w:p>
    <w:p>
      <w:pPr>
        <w:spacing w:line="400" w:lineRule="exact"/>
        <w:ind w:firstLine="570"/>
        <w:rPr>
          <w:b/>
          <w:color w:val="000000"/>
          <w:sz w:val="28"/>
          <w:szCs w:val="28"/>
          <w:highlight w:val="none"/>
        </w:rPr>
      </w:pPr>
    </w:p>
    <w:p>
      <w:pPr>
        <w:spacing w:line="400" w:lineRule="exact"/>
        <w:ind w:firstLine="570"/>
        <w:rPr>
          <w:b/>
          <w:color w:val="000000"/>
          <w:sz w:val="28"/>
          <w:szCs w:val="28"/>
          <w:highlight w:val="none"/>
        </w:rPr>
      </w:pPr>
    </w:p>
    <w:p>
      <w:pPr>
        <w:spacing w:line="400" w:lineRule="exact"/>
        <w:ind w:firstLine="570"/>
        <w:rPr>
          <w:b/>
          <w:color w:val="000000"/>
          <w:sz w:val="28"/>
          <w:szCs w:val="28"/>
          <w:highlight w:val="none"/>
        </w:rPr>
      </w:pPr>
    </w:p>
    <w:p>
      <w:pPr>
        <w:spacing w:line="400" w:lineRule="exact"/>
        <w:ind w:firstLine="570"/>
        <w:rPr>
          <w:b/>
          <w:color w:val="000000"/>
          <w:sz w:val="28"/>
          <w:szCs w:val="28"/>
          <w:highlight w:val="none"/>
        </w:rPr>
      </w:pPr>
    </w:p>
    <w:p>
      <w:pPr>
        <w:spacing w:line="400" w:lineRule="exact"/>
        <w:ind w:firstLine="570"/>
        <w:rPr>
          <w:b/>
          <w:color w:val="000000"/>
          <w:sz w:val="28"/>
          <w:szCs w:val="28"/>
          <w:highlight w:val="none"/>
        </w:rPr>
      </w:pPr>
    </w:p>
    <w:p>
      <w:pPr>
        <w:spacing w:line="400" w:lineRule="exact"/>
        <w:ind w:firstLine="570"/>
        <w:rPr>
          <w:b/>
          <w:color w:val="000000"/>
          <w:sz w:val="28"/>
          <w:szCs w:val="28"/>
          <w:highlight w:val="none"/>
        </w:rPr>
      </w:pPr>
    </w:p>
    <w:p>
      <w:pPr>
        <w:spacing w:line="400" w:lineRule="exact"/>
        <w:ind w:firstLine="570"/>
        <w:rPr>
          <w:b/>
          <w:color w:val="000000"/>
          <w:sz w:val="28"/>
          <w:szCs w:val="28"/>
          <w:highlight w:val="none"/>
        </w:rPr>
      </w:pPr>
    </w:p>
    <w:p>
      <w:pPr>
        <w:spacing w:line="400" w:lineRule="exact"/>
        <w:ind w:firstLine="570"/>
        <w:rPr>
          <w:b/>
          <w:color w:val="000000"/>
          <w:sz w:val="28"/>
          <w:szCs w:val="28"/>
          <w:highlight w:val="none"/>
        </w:rPr>
      </w:pPr>
    </w:p>
    <w:p>
      <w:pPr>
        <w:spacing w:line="400" w:lineRule="exact"/>
        <w:ind w:firstLine="570"/>
        <w:rPr>
          <w:b/>
          <w:color w:val="000000"/>
          <w:sz w:val="28"/>
          <w:szCs w:val="28"/>
          <w:highlight w:val="none"/>
        </w:rPr>
      </w:pPr>
    </w:p>
    <w:p>
      <w:pPr>
        <w:spacing w:line="400" w:lineRule="exact"/>
        <w:ind w:firstLine="570"/>
        <w:rPr>
          <w:b/>
          <w:color w:val="000000"/>
          <w:sz w:val="28"/>
          <w:szCs w:val="28"/>
          <w:highlight w:val="none"/>
        </w:rPr>
      </w:pPr>
    </w:p>
    <w:p>
      <w:pPr>
        <w:spacing w:line="360" w:lineRule="auto"/>
        <w:rPr>
          <w:color w:val="000000"/>
          <w:sz w:val="32"/>
          <w:szCs w:val="32"/>
          <w:highlight w:val="none"/>
        </w:rPr>
      </w:pPr>
    </w:p>
    <w:p>
      <w:pPr>
        <w:spacing w:line="360" w:lineRule="auto"/>
        <w:rPr>
          <w:color w:val="000000"/>
          <w:sz w:val="32"/>
          <w:szCs w:val="32"/>
          <w:highlight w:val="none"/>
        </w:rPr>
      </w:pPr>
    </w:p>
    <w:p>
      <w:pPr>
        <w:spacing w:line="360" w:lineRule="auto"/>
        <w:jc w:val="right"/>
        <w:rPr>
          <w:color w:val="000000"/>
          <w:sz w:val="32"/>
          <w:szCs w:val="32"/>
          <w:highlight w:val="none"/>
        </w:rPr>
      </w:pPr>
      <w:bookmarkStart w:id="165" w:name="_Toc217446082"/>
      <w:r>
        <w:rPr>
          <w:color w:val="000000"/>
          <w:sz w:val="32"/>
          <w:szCs w:val="32"/>
          <w:highlight w:val="none"/>
        </w:rPr>
        <w:br w:type="page"/>
      </w:r>
    </w:p>
    <w:p>
      <w:pPr>
        <w:spacing w:line="360" w:lineRule="auto"/>
        <w:jc w:val="right"/>
        <w:rPr>
          <w:color w:val="000000"/>
          <w:sz w:val="32"/>
          <w:szCs w:val="32"/>
          <w:highlight w:val="none"/>
        </w:rPr>
      </w:pPr>
      <w:r>
        <w:rPr>
          <w:color w:val="000000"/>
          <w:sz w:val="32"/>
          <w:szCs w:val="32"/>
          <w:highlight w:val="none"/>
        </w:rPr>
        <w:t>正本/副本</w:t>
      </w:r>
    </w:p>
    <w:p>
      <w:pPr>
        <w:spacing w:line="360" w:lineRule="auto"/>
        <w:rPr>
          <w:color w:val="000000"/>
          <w:kern w:val="0"/>
          <w:sz w:val="32"/>
          <w:szCs w:val="32"/>
          <w:highlight w:val="none"/>
        </w:rPr>
      </w:pPr>
      <w:r>
        <w:rPr>
          <w:color w:val="000000"/>
          <w:sz w:val="32"/>
          <w:szCs w:val="32"/>
          <w:highlight w:val="none"/>
        </w:rPr>
        <w:t>采购项目编号：</w:t>
      </w:r>
    </w:p>
    <w:p>
      <w:pPr>
        <w:spacing w:line="360" w:lineRule="auto"/>
        <w:rPr>
          <w:color w:val="000000"/>
          <w:sz w:val="32"/>
          <w:szCs w:val="32"/>
          <w:highlight w:val="none"/>
        </w:rPr>
      </w:pPr>
    </w:p>
    <w:p>
      <w:pPr>
        <w:pStyle w:val="9"/>
        <w:adjustRightInd w:val="0"/>
        <w:snapToGrid w:val="0"/>
        <w:spacing w:line="360" w:lineRule="auto"/>
        <w:jc w:val="center"/>
        <w:rPr>
          <w:rFonts w:ascii="Times New Roman" w:hAnsi="Times New Roman"/>
          <w:b/>
          <w:bCs/>
          <w:color w:val="000000"/>
          <w:kern w:val="44"/>
          <w:sz w:val="48"/>
          <w:szCs w:val="48"/>
          <w:highlight w:val="none"/>
        </w:rPr>
      </w:pPr>
    </w:p>
    <w:p>
      <w:pPr>
        <w:pStyle w:val="9"/>
        <w:adjustRightInd w:val="0"/>
        <w:snapToGrid w:val="0"/>
        <w:spacing w:line="360" w:lineRule="auto"/>
        <w:jc w:val="center"/>
        <w:rPr>
          <w:rFonts w:hint="eastAsia" w:ascii="Times New Roman" w:hAnsi="Times New Roman" w:eastAsia="宋体"/>
          <w:b/>
          <w:bCs/>
          <w:color w:val="000000"/>
          <w:kern w:val="44"/>
          <w:sz w:val="52"/>
          <w:szCs w:val="52"/>
          <w:highlight w:val="none"/>
          <w:lang w:eastAsia="zh-CN"/>
        </w:rPr>
      </w:pPr>
      <w:r>
        <w:rPr>
          <w:rFonts w:hint="eastAsia" w:ascii="Times New Roman" w:hAnsi="Times New Roman"/>
          <w:color w:val="000000"/>
          <w:highlight w:val="none"/>
        </w:rPr>
        <w:t xml:space="preserve"> </w:t>
      </w:r>
      <w:r>
        <w:rPr>
          <w:rFonts w:hint="eastAsia" w:ascii="Times New Roman" w:hAnsi="Times New Roman"/>
          <w:b/>
          <w:bCs/>
          <w:color w:val="000000"/>
          <w:kern w:val="44"/>
          <w:sz w:val="52"/>
          <w:szCs w:val="52"/>
          <w:highlight w:val="none"/>
          <w:lang w:eastAsia="zh-CN"/>
        </w:rPr>
        <w:t>武功县政府门户网站升级改版项目</w:t>
      </w:r>
    </w:p>
    <w:p>
      <w:pPr>
        <w:jc w:val="center"/>
        <w:rPr>
          <w:b/>
          <w:bCs/>
          <w:color w:val="000000"/>
          <w:kern w:val="44"/>
          <w:sz w:val="52"/>
          <w:szCs w:val="52"/>
          <w:highlight w:val="none"/>
        </w:rPr>
      </w:pPr>
      <w:r>
        <w:rPr>
          <w:b/>
          <w:bCs/>
          <w:color w:val="000000"/>
          <w:kern w:val="44"/>
          <w:sz w:val="52"/>
          <w:szCs w:val="52"/>
          <w:highlight w:val="none"/>
        </w:rPr>
        <w:t>竞争性磋商响应文件</w:t>
      </w:r>
    </w:p>
    <w:p>
      <w:pPr>
        <w:pStyle w:val="7"/>
        <w:ind w:firstLine="560"/>
        <w:rPr>
          <w:color w:val="000000"/>
          <w:sz w:val="28"/>
          <w:szCs w:val="28"/>
          <w:highlight w:val="none"/>
        </w:rPr>
      </w:pPr>
    </w:p>
    <w:p>
      <w:pPr>
        <w:pStyle w:val="7"/>
        <w:ind w:firstLine="560"/>
        <w:rPr>
          <w:color w:val="000000"/>
          <w:sz w:val="28"/>
          <w:szCs w:val="28"/>
          <w:highlight w:val="none"/>
        </w:rPr>
      </w:pPr>
    </w:p>
    <w:p>
      <w:pPr>
        <w:pStyle w:val="7"/>
        <w:ind w:firstLine="560"/>
        <w:rPr>
          <w:color w:val="000000"/>
          <w:sz w:val="28"/>
          <w:szCs w:val="28"/>
          <w:highlight w:val="none"/>
        </w:rPr>
      </w:pPr>
    </w:p>
    <w:p>
      <w:pPr>
        <w:pStyle w:val="7"/>
        <w:ind w:firstLine="560"/>
        <w:rPr>
          <w:color w:val="000000"/>
          <w:sz w:val="28"/>
          <w:szCs w:val="28"/>
          <w:highlight w:val="none"/>
        </w:rPr>
      </w:pPr>
    </w:p>
    <w:p>
      <w:pPr>
        <w:pStyle w:val="7"/>
        <w:ind w:firstLine="560"/>
        <w:rPr>
          <w:color w:val="000000"/>
          <w:sz w:val="28"/>
          <w:szCs w:val="28"/>
          <w:highlight w:val="none"/>
        </w:rPr>
      </w:pPr>
    </w:p>
    <w:p>
      <w:pPr>
        <w:pStyle w:val="7"/>
        <w:spacing w:before="120" w:beforeLines="50"/>
        <w:ind w:firstLine="1630" w:firstLineChars="580"/>
        <w:rPr>
          <w:b/>
          <w:color w:val="000000"/>
          <w:sz w:val="28"/>
          <w:szCs w:val="28"/>
          <w:highlight w:val="none"/>
        </w:rPr>
      </w:pPr>
    </w:p>
    <w:p>
      <w:pPr>
        <w:pStyle w:val="7"/>
        <w:spacing w:before="120" w:beforeLines="50"/>
        <w:ind w:firstLine="1630" w:firstLineChars="580"/>
        <w:rPr>
          <w:b/>
          <w:color w:val="000000"/>
          <w:sz w:val="28"/>
          <w:szCs w:val="28"/>
          <w:highlight w:val="none"/>
        </w:rPr>
      </w:pPr>
    </w:p>
    <w:p>
      <w:pPr>
        <w:pStyle w:val="7"/>
        <w:spacing w:before="120" w:beforeLines="50"/>
        <w:ind w:firstLine="1630" w:firstLineChars="580"/>
        <w:rPr>
          <w:b/>
          <w:color w:val="000000"/>
          <w:sz w:val="28"/>
          <w:szCs w:val="28"/>
          <w:highlight w:val="none"/>
        </w:rPr>
      </w:pPr>
    </w:p>
    <w:p>
      <w:pPr>
        <w:pStyle w:val="7"/>
        <w:spacing w:before="120" w:beforeLines="50"/>
        <w:ind w:firstLine="1124" w:firstLineChars="400"/>
        <w:rPr>
          <w:b/>
          <w:color w:val="000000"/>
          <w:sz w:val="28"/>
          <w:szCs w:val="28"/>
          <w:highlight w:val="none"/>
        </w:rPr>
      </w:pPr>
      <w:r>
        <w:rPr>
          <w:b/>
          <w:color w:val="000000"/>
          <w:sz w:val="28"/>
          <w:szCs w:val="28"/>
          <w:highlight w:val="none"/>
        </w:rPr>
        <w:t>供应商：</w:t>
      </w:r>
      <w:r>
        <w:rPr>
          <w:b/>
          <w:color w:val="000000"/>
          <w:sz w:val="28"/>
          <w:szCs w:val="28"/>
          <w:highlight w:val="none"/>
          <w:u w:val="single"/>
        </w:rPr>
        <w:t xml:space="preserve">                           </w:t>
      </w:r>
      <w:r>
        <w:rPr>
          <w:b/>
          <w:color w:val="000000"/>
          <w:sz w:val="28"/>
          <w:szCs w:val="28"/>
          <w:highlight w:val="none"/>
        </w:rPr>
        <w:t>（单位盖章）</w:t>
      </w:r>
    </w:p>
    <w:p>
      <w:pPr>
        <w:pStyle w:val="7"/>
        <w:spacing w:before="120" w:beforeLines="50"/>
        <w:ind w:firstLine="1630" w:firstLineChars="580"/>
        <w:rPr>
          <w:b/>
          <w:color w:val="000000"/>
          <w:sz w:val="28"/>
          <w:szCs w:val="28"/>
          <w:highlight w:val="none"/>
        </w:rPr>
      </w:pPr>
    </w:p>
    <w:p>
      <w:pPr>
        <w:pStyle w:val="7"/>
        <w:spacing w:before="120" w:beforeLines="50"/>
        <w:ind w:firstLine="1124" w:firstLineChars="400"/>
        <w:rPr>
          <w:b/>
          <w:color w:val="000000"/>
          <w:sz w:val="28"/>
          <w:szCs w:val="28"/>
          <w:highlight w:val="none"/>
        </w:rPr>
      </w:pPr>
      <w:r>
        <w:rPr>
          <w:b/>
          <w:color w:val="000000"/>
          <w:sz w:val="28"/>
          <w:szCs w:val="28"/>
          <w:highlight w:val="none"/>
        </w:rPr>
        <w:t>法定代表人（授权代表）：</w:t>
      </w:r>
      <w:r>
        <w:rPr>
          <w:b/>
          <w:color w:val="000000"/>
          <w:sz w:val="28"/>
          <w:szCs w:val="28"/>
          <w:highlight w:val="none"/>
          <w:u w:val="single"/>
        </w:rPr>
        <w:t xml:space="preserve">         </w:t>
      </w:r>
      <w:r>
        <w:rPr>
          <w:b/>
          <w:color w:val="000000"/>
          <w:sz w:val="28"/>
          <w:szCs w:val="28"/>
          <w:highlight w:val="none"/>
        </w:rPr>
        <w:t>（签名或盖章）</w:t>
      </w:r>
    </w:p>
    <w:p>
      <w:pPr>
        <w:pStyle w:val="7"/>
        <w:spacing w:before="120" w:beforeLines="50"/>
        <w:ind w:firstLine="1630" w:firstLineChars="580"/>
        <w:rPr>
          <w:b/>
          <w:color w:val="000000"/>
          <w:sz w:val="28"/>
          <w:szCs w:val="28"/>
          <w:highlight w:val="none"/>
        </w:rPr>
      </w:pPr>
    </w:p>
    <w:p>
      <w:pPr>
        <w:pStyle w:val="7"/>
        <w:spacing w:before="120" w:beforeLines="50"/>
        <w:ind w:firstLine="1630" w:firstLineChars="580"/>
        <w:rPr>
          <w:b/>
          <w:color w:val="000000"/>
          <w:sz w:val="28"/>
          <w:szCs w:val="28"/>
          <w:highlight w:val="none"/>
        </w:rPr>
      </w:pPr>
      <w:r>
        <w:rPr>
          <w:b/>
          <w:color w:val="000000"/>
          <w:sz w:val="28"/>
          <w:szCs w:val="28"/>
          <w:highlight w:val="none"/>
        </w:rPr>
        <w:t>时  间：      二</w:t>
      </w:r>
      <w:r>
        <w:rPr>
          <w:rFonts w:hint="eastAsia"/>
          <w:b/>
          <w:color w:val="000000"/>
          <w:sz w:val="28"/>
          <w:szCs w:val="28"/>
          <w:highlight w:val="none"/>
        </w:rPr>
        <w:t>〇</w:t>
      </w:r>
      <w:r>
        <w:rPr>
          <w:b/>
          <w:color w:val="000000"/>
          <w:sz w:val="28"/>
          <w:szCs w:val="28"/>
          <w:highlight w:val="none"/>
        </w:rPr>
        <w:t xml:space="preserve">   年  月  日</w:t>
      </w:r>
    </w:p>
    <w:p>
      <w:pPr>
        <w:pStyle w:val="7"/>
        <w:spacing w:before="120" w:beforeLines="50" w:after="120" w:afterLines="50"/>
        <w:ind w:firstLine="883"/>
        <w:jc w:val="center"/>
        <w:rPr>
          <w:b/>
          <w:color w:val="000000"/>
          <w:sz w:val="44"/>
          <w:szCs w:val="44"/>
          <w:highlight w:val="none"/>
        </w:rPr>
      </w:pPr>
    </w:p>
    <w:p>
      <w:pPr>
        <w:pStyle w:val="7"/>
        <w:spacing w:before="120" w:beforeLines="50" w:after="120" w:afterLines="50"/>
        <w:ind w:firstLine="0" w:firstLineChars="0"/>
        <w:jc w:val="center"/>
        <w:rPr>
          <w:b/>
          <w:color w:val="000000"/>
          <w:sz w:val="32"/>
          <w:szCs w:val="32"/>
          <w:highlight w:val="none"/>
        </w:rPr>
      </w:pPr>
      <w:r>
        <w:rPr>
          <w:b/>
          <w:color w:val="000000"/>
          <w:sz w:val="44"/>
          <w:szCs w:val="44"/>
          <w:highlight w:val="none"/>
        </w:rPr>
        <w:br w:type="page"/>
      </w:r>
      <w:r>
        <w:rPr>
          <w:b/>
          <w:color w:val="000000"/>
          <w:sz w:val="32"/>
          <w:szCs w:val="32"/>
          <w:highlight w:val="none"/>
        </w:rPr>
        <w:t>目  录</w:t>
      </w:r>
    </w:p>
    <w:p>
      <w:pPr>
        <w:pStyle w:val="7"/>
        <w:spacing w:before="120" w:beforeLines="50" w:line="360" w:lineRule="auto"/>
        <w:ind w:firstLine="1392" w:firstLineChars="580"/>
        <w:rPr>
          <w:color w:val="000000"/>
          <w:sz w:val="24"/>
          <w:szCs w:val="24"/>
          <w:highlight w:val="none"/>
        </w:rPr>
      </w:pPr>
    </w:p>
    <w:p>
      <w:pPr>
        <w:spacing w:line="360" w:lineRule="auto"/>
        <w:ind w:firstLine="425" w:firstLineChars="152"/>
        <w:rPr>
          <w:color w:val="000000"/>
          <w:sz w:val="28"/>
          <w:szCs w:val="28"/>
          <w:highlight w:val="none"/>
        </w:rPr>
      </w:pPr>
      <w:r>
        <w:rPr>
          <w:color w:val="000000"/>
          <w:sz w:val="28"/>
          <w:szCs w:val="28"/>
          <w:highlight w:val="none"/>
        </w:rPr>
        <w:t>一、竞争性磋商响应函（格式）</w:t>
      </w:r>
    </w:p>
    <w:p>
      <w:pPr>
        <w:spacing w:line="360" w:lineRule="auto"/>
        <w:ind w:firstLine="425" w:firstLineChars="152"/>
        <w:rPr>
          <w:color w:val="000000"/>
          <w:sz w:val="28"/>
          <w:szCs w:val="28"/>
          <w:highlight w:val="none"/>
        </w:rPr>
      </w:pPr>
      <w:r>
        <w:rPr>
          <w:color w:val="000000"/>
          <w:sz w:val="28"/>
          <w:szCs w:val="28"/>
          <w:highlight w:val="none"/>
        </w:rPr>
        <w:t>二、报价一览表（格式）</w:t>
      </w:r>
    </w:p>
    <w:p>
      <w:pPr>
        <w:spacing w:line="360" w:lineRule="auto"/>
        <w:ind w:firstLine="425" w:firstLineChars="152"/>
        <w:rPr>
          <w:rFonts w:hint="default" w:eastAsia="宋体"/>
          <w:color w:val="000000"/>
          <w:sz w:val="28"/>
          <w:szCs w:val="28"/>
          <w:highlight w:val="none"/>
          <w:lang w:val="en-US" w:eastAsia="zh-CN"/>
        </w:rPr>
      </w:pPr>
      <w:r>
        <w:rPr>
          <w:color w:val="000000"/>
          <w:sz w:val="28"/>
          <w:szCs w:val="28"/>
          <w:highlight w:val="none"/>
        </w:rPr>
        <w:t>三、</w:t>
      </w:r>
      <w:bookmarkEnd w:id="165"/>
      <w:r>
        <w:rPr>
          <w:rFonts w:hint="eastAsia"/>
          <w:color w:val="000000"/>
          <w:sz w:val="28"/>
          <w:szCs w:val="28"/>
          <w:highlight w:val="none"/>
          <w:lang w:val="en-US" w:eastAsia="zh-CN"/>
        </w:rPr>
        <w:t>技术方案</w:t>
      </w:r>
    </w:p>
    <w:p>
      <w:pPr>
        <w:spacing w:line="360" w:lineRule="auto"/>
        <w:ind w:firstLine="425" w:firstLineChars="152"/>
        <w:rPr>
          <w:color w:val="000000"/>
          <w:sz w:val="28"/>
          <w:szCs w:val="28"/>
          <w:highlight w:val="none"/>
        </w:rPr>
      </w:pPr>
      <w:r>
        <w:rPr>
          <w:rFonts w:hint="eastAsia"/>
          <w:color w:val="000000"/>
          <w:sz w:val="28"/>
          <w:szCs w:val="28"/>
          <w:highlight w:val="none"/>
        </w:rPr>
        <w:t>四</w:t>
      </w:r>
      <w:r>
        <w:rPr>
          <w:color w:val="000000"/>
          <w:sz w:val="28"/>
          <w:szCs w:val="28"/>
          <w:highlight w:val="none"/>
        </w:rPr>
        <w:t>、</w:t>
      </w:r>
      <w:r>
        <w:rPr>
          <w:rFonts w:hint="eastAsia"/>
          <w:color w:val="000000"/>
          <w:sz w:val="28"/>
          <w:szCs w:val="28"/>
          <w:highlight w:val="none"/>
        </w:rPr>
        <w:t>企业综合实力</w:t>
      </w:r>
    </w:p>
    <w:p>
      <w:pPr>
        <w:spacing w:line="360" w:lineRule="auto"/>
        <w:ind w:firstLine="425" w:firstLineChars="152"/>
        <w:rPr>
          <w:color w:val="000000"/>
          <w:sz w:val="28"/>
          <w:szCs w:val="28"/>
          <w:highlight w:val="none"/>
        </w:rPr>
      </w:pPr>
      <w:r>
        <w:rPr>
          <w:rFonts w:hint="eastAsia"/>
          <w:color w:val="000000"/>
          <w:sz w:val="28"/>
          <w:szCs w:val="28"/>
          <w:highlight w:val="none"/>
        </w:rPr>
        <w:t>五、</w:t>
      </w:r>
      <w:r>
        <w:rPr>
          <w:color w:val="000000"/>
          <w:sz w:val="28"/>
          <w:szCs w:val="28"/>
          <w:highlight w:val="none"/>
        </w:rPr>
        <w:t>供应商资格证明文件</w:t>
      </w:r>
    </w:p>
    <w:p>
      <w:pPr>
        <w:spacing w:line="360" w:lineRule="auto"/>
        <w:ind w:firstLine="425" w:firstLineChars="152"/>
        <w:rPr>
          <w:color w:val="000000"/>
          <w:sz w:val="28"/>
          <w:szCs w:val="28"/>
          <w:highlight w:val="none"/>
        </w:rPr>
      </w:pPr>
      <w:r>
        <w:rPr>
          <w:rFonts w:hint="eastAsia"/>
          <w:color w:val="000000"/>
          <w:sz w:val="28"/>
          <w:szCs w:val="28"/>
          <w:highlight w:val="none"/>
        </w:rPr>
        <w:t>六</w:t>
      </w:r>
      <w:r>
        <w:rPr>
          <w:color w:val="000000"/>
          <w:sz w:val="28"/>
          <w:szCs w:val="28"/>
          <w:highlight w:val="none"/>
        </w:rPr>
        <w:t>、供应商认为有必要补充说明的事项</w:t>
      </w: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7"/>
        <w:spacing w:before="120" w:beforeLines="50"/>
        <w:ind w:firstLine="1218" w:firstLineChars="580"/>
        <w:rPr>
          <w:color w:val="000000"/>
          <w:highlight w:val="none"/>
        </w:rPr>
      </w:pPr>
    </w:p>
    <w:p>
      <w:pPr>
        <w:pStyle w:val="5"/>
        <w:adjustRightInd/>
        <w:spacing w:before="240" w:beforeLines="100" w:after="240" w:afterLines="100"/>
        <w:rPr>
          <w:rFonts w:ascii="Times New Roman"/>
          <w:bCs/>
          <w:color w:val="000000"/>
          <w:kern w:val="2"/>
          <w:sz w:val="32"/>
          <w:szCs w:val="32"/>
          <w:highlight w:val="none"/>
          <w:u w:val="none"/>
        </w:rPr>
      </w:pPr>
      <w:bookmarkStart w:id="166" w:name="_Toc485883281"/>
      <w:r>
        <w:rPr>
          <w:rFonts w:ascii="Times New Roman"/>
          <w:bCs/>
          <w:color w:val="000000"/>
          <w:kern w:val="2"/>
          <w:sz w:val="32"/>
          <w:szCs w:val="32"/>
          <w:highlight w:val="none"/>
          <w:u w:val="none"/>
        </w:rPr>
        <w:br w:type="page"/>
      </w:r>
      <w:r>
        <w:rPr>
          <w:rFonts w:ascii="Times New Roman"/>
          <w:bCs/>
          <w:color w:val="000000"/>
          <w:kern w:val="2"/>
          <w:sz w:val="32"/>
          <w:szCs w:val="32"/>
          <w:highlight w:val="none"/>
          <w:u w:val="none"/>
        </w:rPr>
        <w:t>一、竞争性磋商响应函（格式）</w:t>
      </w:r>
      <w:bookmarkEnd w:id="166"/>
    </w:p>
    <w:p>
      <w:pPr>
        <w:pStyle w:val="10"/>
        <w:spacing w:before="120" w:beforeLines="50" w:afterLines="50" w:line="240" w:lineRule="auto"/>
        <w:jc w:val="center"/>
        <w:rPr>
          <w:b/>
          <w:bCs/>
          <w:color w:val="000000"/>
          <w:sz w:val="28"/>
          <w:szCs w:val="28"/>
          <w:highlight w:val="none"/>
        </w:rPr>
      </w:pPr>
      <w:r>
        <w:rPr>
          <w:b/>
          <w:color w:val="000000"/>
          <w:sz w:val="28"/>
          <w:szCs w:val="28"/>
          <w:highlight w:val="none"/>
        </w:rPr>
        <w:t>竞争性磋商响应函</w:t>
      </w:r>
    </w:p>
    <w:p>
      <w:pPr>
        <w:pStyle w:val="10"/>
        <w:spacing w:after="240" w:afterLines="100" w:line="400" w:lineRule="exact"/>
        <w:ind w:left="0" w:leftChars="0"/>
        <w:rPr>
          <w:b/>
          <w:bCs/>
          <w:color w:val="000000"/>
          <w:sz w:val="24"/>
          <w:szCs w:val="24"/>
          <w:highlight w:val="none"/>
        </w:rPr>
      </w:pPr>
      <w:r>
        <w:rPr>
          <w:b/>
          <w:bCs/>
          <w:color w:val="000000"/>
          <w:sz w:val="24"/>
          <w:szCs w:val="24"/>
          <w:highlight w:val="none"/>
        </w:rPr>
        <w:t>致：</w:t>
      </w:r>
      <w:r>
        <w:rPr>
          <w:rFonts w:hint="eastAsia"/>
          <w:b/>
          <w:bCs/>
          <w:color w:val="000000"/>
          <w:sz w:val="24"/>
          <w:szCs w:val="24"/>
          <w:highlight w:val="none"/>
        </w:rPr>
        <w:t>陕西中天正略企业运营发展有限公司</w:t>
      </w:r>
    </w:p>
    <w:p>
      <w:pPr>
        <w:pStyle w:val="10"/>
        <w:spacing w:after="0" w:line="360" w:lineRule="auto"/>
        <w:ind w:left="0" w:leftChars="0" w:firstLine="480" w:firstLineChars="200"/>
        <w:rPr>
          <w:color w:val="000000"/>
          <w:sz w:val="24"/>
          <w:highlight w:val="none"/>
          <w:u w:val="single"/>
        </w:rPr>
      </w:pPr>
      <w:r>
        <w:rPr>
          <w:color w:val="000000"/>
          <w:sz w:val="24"/>
          <w:highlight w:val="none"/>
        </w:rPr>
        <w:t>我方已仔细研究了的</w:t>
      </w:r>
      <w:r>
        <w:rPr>
          <w:color w:val="000000"/>
          <w:sz w:val="24"/>
          <w:highlight w:val="none"/>
          <w:u w:val="single"/>
        </w:rPr>
        <w:t xml:space="preserve">                          </w:t>
      </w:r>
      <w:r>
        <w:rPr>
          <w:color w:val="000000"/>
          <w:sz w:val="24"/>
          <w:highlight w:val="none"/>
        </w:rPr>
        <w:t>竞争性磋商文件（采购项目编号：</w:t>
      </w:r>
      <w:r>
        <w:rPr>
          <w:color w:val="000000"/>
          <w:sz w:val="24"/>
          <w:highlight w:val="none"/>
          <w:u w:val="single"/>
        </w:rPr>
        <w:t xml:space="preserve">             </w:t>
      </w:r>
      <w:r>
        <w:rPr>
          <w:color w:val="000000"/>
          <w:sz w:val="24"/>
          <w:highlight w:val="none"/>
        </w:rPr>
        <w:t>）的全部内容，知悉参加磋商的风险，我方承诺接受磋商文件的全部条款且无任何异议，</w:t>
      </w:r>
      <w:r>
        <w:rPr>
          <w:bCs/>
          <w:color w:val="000000"/>
          <w:sz w:val="24"/>
          <w:highlight w:val="none"/>
        </w:rPr>
        <w:t>决定参加贵单位组织的本项目磋商。我方正式授权</w:t>
      </w:r>
      <w:r>
        <w:rPr>
          <w:bCs/>
          <w:color w:val="000000"/>
          <w:sz w:val="24"/>
          <w:highlight w:val="none"/>
          <w:u w:val="single"/>
        </w:rPr>
        <w:t>（姓名、职务）</w:t>
      </w:r>
      <w:r>
        <w:rPr>
          <w:bCs/>
          <w:color w:val="000000"/>
          <w:sz w:val="24"/>
          <w:highlight w:val="none"/>
        </w:rPr>
        <w:t>代表我方</w:t>
      </w:r>
      <w:r>
        <w:rPr>
          <w:bCs/>
          <w:color w:val="000000"/>
          <w:sz w:val="24"/>
          <w:highlight w:val="none"/>
          <w:u w:val="single"/>
        </w:rPr>
        <w:t xml:space="preserve">        （供应商的名称）</w:t>
      </w:r>
      <w:r>
        <w:rPr>
          <w:bCs/>
          <w:color w:val="000000"/>
          <w:sz w:val="24"/>
          <w:highlight w:val="none"/>
        </w:rPr>
        <w:t>全权处理本项目磋商的有关事宜。</w:t>
      </w:r>
    </w:p>
    <w:p>
      <w:pPr>
        <w:pStyle w:val="9"/>
        <w:spacing w:line="360" w:lineRule="auto"/>
        <w:ind w:firstLine="480" w:firstLineChars="200"/>
        <w:rPr>
          <w:rFonts w:ascii="Times New Roman" w:hAnsi="Times New Roman"/>
          <w:bCs/>
          <w:color w:val="000000"/>
          <w:sz w:val="24"/>
          <w:szCs w:val="24"/>
          <w:highlight w:val="none"/>
        </w:rPr>
      </w:pPr>
      <w:r>
        <w:rPr>
          <w:rFonts w:ascii="Times New Roman" w:hAnsi="Times New Roman"/>
          <w:color w:val="000000"/>
          <w:sz w:val="24"/>
          <w:szCs w:val="24"/>
          <w:highlight w:val="none"/>
        </w:rPr>
        <w:t>一、我方提交竞争性磋商响应文件正本1份、副本2份和电子文件</w:t>
      </w:r>
      <w:r>
        <w:rPr>
          <w:rFonts w:hint="eastAsia" w:ascii="Times New Roman" w:hAnsi="Times New Roman"/>
          <w:color w:val="000000"/>
          <w:sz w:val="24"/>
          <w:szCs w:val="24"/>
          <w:highlight w:val="none"/>
        </w:rPr>
        <w:t>2</w:t>
      </w:r>
      <w:r>
        <w:rPr>
          <w:rFonts w:ascii="Times New Roman" w:hAnsi="Times New Roman"/>
          <w:color w:val="000000"/>
          <w:sz w:val="24"/>
          <w:szCs w:val="24"/>
          <w:highlight w:val="none"/>
        </w:rPr>
        <w:t>份</w:t>
      </w:r>
      <w:r>
        <w:rPr>
          <w:rFonts w:ascii="Times New Roman" w:hAnsi="Times New Roman"/>
          <w:bCs/>
          <w:color w:val="000000"/>
          <w:sz w:val="24"/>
          <w:szCs w:val="24"/>
          <w:highlight w:val="none"/>
        </w:rPr>
        <w:t>。</w:t>
      </w:r>
      <w:r>
        <w:rPr>
          <w:rFonts w:ascii="Times New Roman" w:hAnsi="Times New Roman"/>
          <w:color w:val="000000"/>
          <w:sz w:val="24"/>
          <w:szCs w:val="24"/>
          <w:highlight w:val="none"/>
        </w:rPr>
        <w:t>并保证响应文件提供的数据和材料真实、准确。否则，愿承担《中华人民共和国政府采购法》</w:t>
      </w:r>
      <w:r>
        <w:rPr>
          <w:rFonts w:ascii="Times New Roman" w:hAnsi="Times New Roman"/>
          <w:bCs/>
          <w:color w:val="000000"/>
          <w:sz w:val="24"/>
          <w:szCs w:val="24"/>
          <w:highlight w:val="none"/>
        </w:rPr>
        <w:t>第七十七条规定的法律责任。</w:t>
      </w:r>
    </w:p>
    <w:p>
      <w:pPr>
        <w:pStyle w:val="10"/>
        <w:spacing w:after="0" w:line="360" w:lineRule="auto"/>
        <w:ind w:left="0" w:leftChars="0" w:firstLine="480" w:firstLineChars="200"/>
        <w:rPr>
          <w:bCs/>
          <w:color w:val="000000"/>
          <w:sz w:val="24"/>
          <w:szCs w:val="24"/>
          <w:highlight w:val="none"/>
        </w:rPr>
      </w:pPr>
      <w:r>
        <w:rPr>
          <w:bCs/>
          <w:color w:val="000000"/>
          <w:sz w:val="24"/>
          <w:szCs w:val="24"/>
          <w:highlight w:val="none"/>
        </w:rPr>
        <w:t>二、我方愿意按磋商文件规定的各项要求，向采购人提供所需所有服务事项。</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三、我方愿意向贵方提供任何与本项采购有关的数据、情况和技术资料。若贵方需要，我方愿意提供我方作出的一切承诺的证明材料。</w:t>
      </w:r>
    </w:p>
    <w:p>
      <w:pPr>
        <w:pStyle w:val="10"/>
        <w:spacing w:after="0" w:line="360" w:lineRule="auto"/>
        <w:ind w:left="0" w:leftChars="0" w:firstLine="480" w:firstLineChars="200"/>
        <w:rPr>
          <w:bCs/>
          <w:color w:val="000000"/>
          <w:sz w:val="24"/>
          <w:szCs w:val="24"/>
          <w:highlight w:val="none"/>
        </w:rPr>
      </w:pPr>
      <w:r>
        <w:rPr>
          <w:color w:val="000000"/>
          <w:sz w:val="24"/>
          <w:szCs w:val="24"/>
          <w:highlight w:val="none"/>
        </w:rPr>
        <w:t>四、</w:t>
      </w:r>
      <w:r>
        <w:rPr>
          <w:bCs/>
          <w:color w:val="000000"/>
          <w:sz w:val="24"/>
          <w:szCs w:val="24"/>
          <w:highlight w:val="none"/>
        </w:rPr>
        <w:t>我方已仔细阅读了磋商文件的全部内容，并同意和放弃对磋商文件不明或误解而询问、质疑和投诉的权利。</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五、我方承诺遵守《中华人民共和国政府采购法》及其实施条例的有关规定，保证在获得</w:t>
      </w:r>
      <w:r>
        <w:rPr>
          <w:rFonts w:hint="eastAsia" w:ascii="Times New Roman" w:hAnsi="Times New Roman"/>
          <w:color w:val="000000"/>
          <w:sz w:val="24"/>
          <w:szCs w:val="24"/>
          <w:highlight w:val="none"/>
        </w:rPr>
        <w:t>成交</w:t>
      </w:r>
      <w:r>
        <w:rPr>
          <w:rFonts w:ascii="Times New Roman" w:hAnsi="Times New Roman"/>
          <w:color w:val="000000"/>
          <w:sz w:val="24"/>
          <w:szCs w:val="24"/>
          <w:highlight w:val="none"/>
        </w:rPr>
        <w:t>服务资格后：</w:t>
      </w:r>
    </w:p>
    <w:p>
      <w:pPr>
        <w:pStyle w:val="10"/>
        <w:spacing w:after="0" w:line="360" w:lineRule="auto"/>
        <w:ind w:left="0" w:leftChars="0" w:firstLine="480" w:firstLineChars="200"/>
        <w:rPr>
          <w:color w:val="000000"/>
          <w:sz w:val="24"/>
          <w:szCs w:val="24"/>
          <w:highlight w:val="none"/>
        </w:rPr>
      </w:pPr>
      <w:r>
        <w:rPr>
          <w:color w:val="000000"/>
          <w:sz w:val="24"/>
          <w:szCs w:val="24"/>
          <w:highlight w:val="none"/>
        </w:rPr>
        <w:t>（1）按照磋商文件确定的事项签订政府采购合同，履行双方所签订的合同，并承担合同规定的责任和义务；</w:t>
      </w:r>
    </w:p>
    <w:p>
      <w:pPr>
        <w:pStyle w:val="10"/>
        <w:spacing w:after="0" w:line="360" w:lineRule="auto"/>
        <w:ind w:left="0" w:leftChars="0" w:firstLine="480" w:firstLineChars="200"/>
        <w:rPr>
          <w:bCs/>
          <w:color w:val="000000"/>
          <w:sz w:val="24"/>
          <w:szCs w:val="24"/>
          <w:highlight w:val="none"/>
        </w:rPr>
      </w:pPr>
      <w:r>
        <w:rPr>
          <w:color w:val="000000"/>
          <w:sz w:val="24"/>
          <w:szCs w:val="24"/>
          <w:highlight w:val="none"/>
        </w:rPr>
        <w:t>（2）</w:t>
      </w:r>
      <w:r>
        <w:rPr>
          <w:bCs/>
          <w:color w:val="000000"/>
          <w:sz w:val="24"/>
          <w:szCs w:val="24"/>
          <w:highlight w:val="none"/>
        </w:rPr>
        <w:t>我方保证按规定和标准向贵方缴纳采购代理合同款/</w:t>
      </w:r>
      <w:r>
        <w:rPr>
          <w:rFonts w:hint="eastAsia"/>
          <w:bCs/>
          <w:color w:val="000000"/>
          <w:sz w:val="24"/>
          <w:szCs w:val="24"/>
          <w:highlight w:val="none"/>
        </w:rPr>
        <w:t>成交</w:t>
      </w:r>
      <w:r>
        <w:rPr>
          <w:bCs/>
          <w:color w:val="000000"/>
          <w:sz w:val="24"/>
          <w:szCs w:val="24"/>
          <w:highlight w:val="none"/>
        </w:rPr>
        <w:t>服务合同款；</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（3）磋商有效期</w:t>
      </w:r>
      <w:r>
        <w:rPr>
          <w:rFonts w:hint="eastAsia" w:ascii="Times New Roman" w:hAnsi="Times New Roman"/>
          <w:color w:val="000000"/>
          <w:sz w:val="24"/>
          <w:szCs w:val="24"/>
          <w:highlight w:val="none"/>
        </w:rPr>
        <w:t>90日历天</w:t>
      </w:r>
      <w:r>
        <w:rPr>
          <w:rFonts w:ascii="Times New Roman" w:hAnsi="Times New Roman"/>
          <w:color w:val="000000"/>
          <w:sz w:val="24"/>
          <w:szCs w:val="24"/>
          <w:highlight w:val="none"/>
        </w:rPr>
        <w:t>。</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六、我方愿意提供采购人可能另外要求的，与磋商有关的任何文件资料，并保证我方已提供和将要提供的文件资料是真实、准确的，若提供虚假材料我方愿意按照国家相关法律法规接受处罚。</w:t>
      </w:r>
    </w:p>
    <w:p>
      <w:pPr>
        <w:pStyle w:val="9"/>
        <w:spacing w:line="360" w:lineRule="auto"/>
        <w:ind w:firstLine="480" w:firstLineChars="200"/>
        <w:rPr>
          <w:rFonts w:ascii="Times New Roman" w:hAnsi="Times New Roman"/>
          <w:color w:val="000000"/>
          <w:sz w:val="24"/>
          <w:szCs w:val="24"/>
          <w:highlight w:val="none"/>
        </w:rPr>
      </w:pPr>
      <w:r>
        <w:rPr>
          <w:rFonts w:ascii="Times New Roman" w:hAnsi="Times New Roman"/>
          <w:color w:val="000000"/>
          <w:sz w:val="24"/>
          <w:szCs w:val="24"/>
          <w:highlight w:val="none"/>
        </w:rPr>
        <w:t>七、我方完全理解并同意磋商件中有关不退还磋商保证金条款所规定的情形。</w:t>
      </w:r>
    </w:p>
    <w:p>
      <w:pPr>
        <w:pStyle w:val="10"/>
        <w:spacing w:after="0" w:line="360" w:lineRule="auto"/>
        <w:ind w:left="0" w:leftChars="0" w:firstLine="480" w:firstLineChars="200"/>
        <w:rPr>
          <w:bCs/>
          <w:color w:val="000000"/>
          <w:sz w:val="28"/>
          <w:szCs w:val="28"/>
          <w:highlight w:val="none"/>
        </w:rPr>
      </w:pPr>
      <w:r>
        <w:rPr>
          <w:color w:val="000000"/>
          <w:sz w:val="24"/>
          <w:highlight w:val="none"/>
        </w:rPr>
        <w:t>八、</w:t>
      </w:r>
      <w:r>
        <w:rPr>
          <w:bCs/>
          <w:color w:val="000000"/>
          <w:sz w:val="24"/>
          <w:szCs w:val="24"/>
          <w:highlight w:val="none"/>
        </w:rPr>
        <w:t>我方完全理解最低报价不是</w:t>
      </w:r>
      <w:r>
        <w:rPr>
          <w:rFonts w:hint="eastAsia"/>
          <w:bCs/>
          <w:color w:val="000000"/>
          <w:sz w:val="24"/>
          <w:szCs w:val="24"/>
          <w:highlight w:val="none"/>
        </w:rPr>
        <w:t>成交</w:t>
      </w:r>
      <w:r>
        <w:rPr>
          <w:bCs/>
          <w:color w:val="000000"/>
          <w:sz w:val="24"/>
          <w:szCs w:val="24"/>
          <w:highlight w:val="none"/>
        </w:rPr>
        <w:t>服务的唯一条件，并</w:t>
      </w:r>
      <w:r>
        <w:rPr>
          <w:bCs/>
          <w:color w:val="000000"/>
          <w:sz w:val="24"/>
          <w:highlight w:val="none"/>
        </w:rPr>
        <w:t>尊重磋商小组的评审结论和磋商结果。</w:t>
      </w:r>
    </w:p>
    <w:p>
      <w:pPr>
        <w:pStyle w:val="10"/>
        <w:spacing w:after="0" w:line="360" w:lineRule="auto"/>
        <w:ind w:left="0" w:leftChars="0" w:firstLine="480" w:firstLineChars="200"/>
        <w:rPr>
          <w:bCs/>
          <w:color w:val="000000"/>
          <w:sz w:val="24"/>
          <w:szCs w:val="24"/>
          <w:highlight w:val="none"/>
        </w:rPr>
      </w:pPr>
      <w:r>
        <w:rPr>
          <w:bCs/>
          <w:color w:val="000000"/>
          <w:sz w:val="24"/>
          <w:szCs w:val="24"/>
          <w:highlight w:val="none"/>
        </w:rPr>
        <w:t>九、有关本项目的所有函电，请按下列地址联系：</w:t>
      </w:r>
    </w:p>
    <w:p>
      <w:pPr>
        <w:pStyle w:val="10"/>
        <w:spacing w:line="360" w:lineRule="auto"/>
        <w:rPr>
          <w:bCs/>
          <w:color w:val="000000"/>
          <w:sz w:val="24"/>
          <w:szCs w:val="24"/>
          <w:highlight w:val="none"/>
        </w:rPr>
      </w:pPr>
    </w:p>
    <w:p>
      <w:pPr>
        <w:pStyle w:val="10"/>
        <w:spacing w:line="360" w:lineRule="auto"/>
        <w:ind w:firstLine="480" w:firstLineChars="200"/>
        <w:rPr>
          <w:bCs/>
          <w:color w:val="000000"/>
          <w:sz w:val="24"/>
          <w:szCs w:val="24"/>
          <w:highlight w:val="none"/>
        </w:rPr>
      </w:pPr>
      <w:r>
        <w:rPr>
          <w:bCs/>
          <w:color w:val="000000"/>
          <w:sz w:val="24"/>
          <w:szCs w:val="24"/>
          <w:highlight w:val="none"/>
        </w:rPr>
        <w:t>供应商名称：    （盖章）</w:t>
      </w:r>
    </w:p>
    <w:p>
      <w:pPr>
        <w:pStyle w:val="10"/>
        <w:spacing w:line="360" w:lineRule="auto"/>
        <w:ind w:firstLine="480" w:firstLineChars="200"/>
        <w:rPr>
          <w:bCs/>
          <w:color w:val="000000"/>
          <w:sz w:val="24"/>
          <w:szCs w:val="24"/>
          <w:highlight w:val="none"/>
        </w:rPr>
      </w:pPr>
      <w:r>
        <w:rPr>
          <w:bCs/>
          <w:color w:val="000000"/>
          <w:sz w:val="24"/>
          <w:szCs w:val="24"/>
          <w:highlight w:val="none"/>
        </w:rPr>
        <w:t>法定代表人或授权代表（签名或盖章）：</w:t>
      </w:r>
    </w:p>
    <w:p>
      <w:pPr>
        <w:pStyle w:val="10"/>
        <w:spacing w:line="360" w:lineRule="auto"/>
        <w:ind w:firstLine="480" w:firstLineChars="200"/>
        <w:rPr>
          <w:bCs/>
          <w:color w:val="000000"/>
          <w:sz w:val="24"/>
          <w:szCs w:val="24"/>
          <w:highlight w:val="none"/>
        </w:rPr>
      </w:pPr>
      <w:r>
        <w:rPr>
          <w:bCs/>
          <w:color w:val="000000"/>
          <w:sz w:val="24"/>
          <w:szCs w:val="24"/>
          <w:highlight w:val="none"/>
        </w:rPr>
        <w:t>通讯地址：</w:t>
      </w:r>
    </w:p>
    <w:p>
      <w:pPr>
        <w:pStyle w:val="10"/>
        <w:spacing w:line="360" w:lineRule="auto"/>
        <w:ind w:firstLine="480" w:firstLineChars="200"/>
        <w:rPr>
          <w:bCs/>
          <w:color w:val="000000"/>
          <w:sz w:val="24"/>
          <w:szCs w:val="24"/>
          <w:highlight w:val="none"/>
        </w:rPr>
      </w:pPr>
      <w:r>
        <w:rPr>
          <w:bCs/>
          <w:color w:val="000000"/>
          <w:sz w:val="24"/>
          <w:szCs w:val="24"/>
          <w:highlight w:val="none"/>
        </w:rPr>
        <w:t>邮政编码：</w:t>
      </w:r>
    </w:p>
    <w:p>
      <w:pPr>
        <w:pStyle w:val="10"/>
        <w:spacing w:line="360" w:lineRule="auto"/>
        <w:ind w:firstLine="480" w:firstLineChars="200"/>
        <w:rPr>
          <w:bCs/>
          <w:color w:val="000000"/>
          <w:sz w:val="24"/>
          <w:szCs w:val="24"/>
          <w:highlight w:val="none"/>
        </w:rPr>
      </w:pPr>
      <w:r>
        <w:rPr>
          <w:bCs/>
          <w:color w:val="000000"/>
          <w:sz w:val="24"/>
          <w:szCs w:val="24"/>
          <w:highlight w:val="none"/>
        </w:rPr>
        <w:t>联系电话：</w:t>
      </w:r>
    </w:p>
    <w:p>
      <w:pPr>
        <w:pStyle w:val="10"/>
        <w:spacing w:line="360" w:lineRule="auto"/>
        <w:ind w:firstLine="480" w:firstLineChars="200"/>
        <w:rPr>
          <w:bCs/>
          <w:color w:val="000000"/>
          <w:sz w:val="24"/>
          <w:szCs w:val="24"/>
          <w:highlight w:val="none"/>
        </w:rPr>
      </w:pPr>
      <w:r>
        <w:rPr>
          <w:bCs/>
          <w:color w:val="000000"/>
          <w:sz w:val="24"/>
          <w:szCs w:val="24"/>
          <w:highlight w:val="none"/>
        </w:rPr>
        <w:t>传    真：</w:t>
      </w:r>
    </w:p>
    <w:p>
      <w:pPr>
        <w:pStyle w:val="10"/>
        <w:spacing w:line="360" w:lineRule="auto"/>
        <w:ind w:firstLine="480" w:firstLineChars="200"/>
        <w:rPr>
          <w:bCs/>
          <w:color w:val="000000"/>
          <w:sz w:val="24"/>
          <w:szCs w:val="24"/>
          <w:highlight w:val="none"/>
        </w:rPr>
      </w:pPr>
      <w:r>
        <w:rPr>
          <w:bCs/>
          <w:color w:val="000000"/>
          <w:sz w:val="24"/>
          <w:szCs w:val="24"/>
          <w:highlight w:val="none"/>
        </w:rPr>
        <w:t>电子邮件：</w:t>
      </w:r>
    </w:p>
    <w:p>
      <w:pPr>
        <w:pStyle w:val="10"/>
        <w:spacing w:line="360" w:lineRule="auto"/>
        <w:ind w:firstLine="480" w:firstLineChars="200"/>
        <w:rPr>
          <w:bCs/>
          <w:color w:val="000000"/>
          <w:sz w:val="24"/>
          <w:szCs w:val="24"/>
          <w:highlight w:val="none"/>
        </w:rPr>
      </w:pPr>
      <w:r>
        <w:rPr>
          <w:bCs/>
          <w:color w:val="000000"/>
          <w:sz w:val="24"/>
          <w:szCs w:val="24"/>
          <w:highlight w:val="none"/>
        </w:rPr>
        <w:t>开户银行:</w:t>
      </w:r>
    </w:p>
    <w:p>
      <w:pPr>
        <w:pStyle w:val="10"/>
        <w:spacing w:line="360" w:lineRule="auto"/>
        <w:ind w:firstLine="480" w:firstLineChars="200"/>
        <w:rPr>
          <w:bCs/>
          <w:color w:val="000000"/>
          <w:sz w:val="24"/>
          <w:szCs w:val="24"/>
          <w:highlight w:val="none"/>
        </w:rPr>
      </w:pPr>
      <w:r>
        <w:rPr>
          <w:bCs/>
          <w:color w:val="000000"/>
          <w:sz w:val="24"/>
          <w:szCs w:val="24"/>
          <w:highlight w:val="none"/>
        </w:rPr>
        <w:t>帐    号：</w:t>
      </w:r>
    </w:p>
    <w:p>
      <w:pPr>
        <w:pStyle w:val="10"/>
        <w:spacing w:line="360" w:lineRule="auto"/>
        <w:ind w:firstLine="480" w:firstLineChars="200"/>
        <w:rPr>
          <w:bCs/>
          <w:color w:val="000000"/>
          <w:sz w:val="24"/>
          <w:szCs w:val="24"/>
          <w:highlight w:val="none"/>
        </w:rPr>
      </w:pPr>
      <w:r>
        <w:rPr>
          <w:bCs/>
          <w:color w:val="000000"/>
          <w:sz w:val="24"/>
          <w:szCs w:val="24"/>
          <w:highlight w:val="none"/>
        </w:rPr>
        <w:t>日    期：</w:t>
      </w:r>
    </w:p>
    <w:p>
      <w:pPr>
        <w:pStyle w:val="10"/>
        <w:spacing w:line="360" w:lineRule="auto"/>
        <w:ind w:firstLine="480" w:firstLineChars="200"/>
        <w:rPr>
          <w:bCs/>
          <w:color w:val="000000"/>
          <w:sz w:val="24"/>
          <w:szCs w:val="24"/>
          <w:highlight w:val="none"/>
        </w:rPr>
      </w:pPr>
    </w:p>
    <w:p>
      <w:pPr>
        <w:pStyle w:val="10"/>
        <w:spacing w:line="360" w:lineRule="auto"/>
        <w:ind w:firstLine="480" w:firstLineChars="200"/>
        <w:rPr>
          <w:bCs/>
          <w:color w:val="000000"/>
          <w:sz w:val="24"/>
          <w:szCs w:val="24"/>
          <w:highlight w:val="none"/>
        </w:rPr>
      </w:pPr>
    </w:p>
    <w:p>
      <w:pPr>
        <w:pStyle w:val="10"/>
        <w:spacing w:line="360" w:lineRule="auto"/>
        <w:ind w:firstLine="480" w:firstLineChars="200"/>
        <w:rPr>
          <w:bCs/>
          <w:color w:val="000000"/>
          <w:sz w:val="24"/>
          <w:szCs w:val="24"/>
          <w:highlight w:val="none"/>
        </w:rPr>
      </w:pPr>
    </w:p>
    <w:p>
      <w:pPr>
        <w:pStyle w:val="10"/>
        <w:spacing w:line="360" w:lineRule="auto"/>
        <w:ind w:firstLine="480" w:firstLineChars="200"/>
        <w:rPr>
          <w:bCs/>
          <w:color w:val="000000"/>
          <w:sz w:val="24"/>
          <w:szCs w:val="24"/>
          <w:highlight w:val="none"/>
        </w:rPr>
      </w:pPr>
    </w:p>
    <w:p>
      <w:pPr>
        <w:pStyle w:val="10"/>
        <w:spacing w:line="360" w:lineRule="auto"/>
        <w:ind w:firstLine="480" w:firstLineChars="200"/>
        <w:rPr>
          <w:bCs/>
          <w:color w:val="000000"/>
          <w:sz w:val="24"/>
          <w:szCs w:val="24"/>
          <w:highlight w:val="none"/>
        </w:rPr>
      </w:pPr>
    </w:p>
    <w:p>
      <w:pPr>
        <w:pStyle w:val="10"/>
        <w:spacing w:line="360" w:lineRule="auto"/>
        <w:ind w:firstLine="480" w:firstLineChars="200"/>
        <w:rPr>
          <w:bCs/>
          <w:color w:val="000000"/>
          <w:sz w:val="24"/>
          <w:szCs w:val="24"/>
          <w:highlight w:val="none"/>
        </w:rPr>
      </w:pPr>
    </w:p>
    <w:p>
      <w:pPr>
        <w:pStyle w:val="10"/>
        <w:spacing w:line="360" w:lineRule="auto"/>
        <w:ind w:firstLine="480" w:firstLineChars="200"/>
        <w:rPr>
          <w:bCs/>
          <w:color w:val="000000"/>
          <w:sz w:val="24"/>
          <w:szCs w:val="24"/>
          <w:highlight w:val="none"/>
        </w:rPr>
      </w:pPr>
    </w:p>
    <w:p>
      <w:pPr>
        <w:pStyle w:val="10"/>
        <w:spacing w:line="360" w:lineRule="auto"/>
        <w:ind w:firstLine="480" w:firstLineChars="200"/>
        <w:rPr>
          <w:bCs/>
          <w:color w:val="000000"/>
          <w:sz w:val="24"/>
          <w:szCs w:val="24"/>
          <w:highlight w:val="none"/>
        </w:rPr>
      </w:pPr>
    </w:p>
    <w:p>
      <w:pPr>
        <w:pStyle w:val="10"/>
        <w:spacing w:line="360" w:lineRule="auto"/>
        <w:ind w:firstLine="480" w:firstLineChars="200"/>
        <w:rPr>
          <w:bCs/>
          <w:color w:val="000000"/>
          <w:sz w:val="24"/>
          <w:szCs w:val="24"/>
          <w:highlight w:val="none"/>
        </w:rPr>
      </w:pPr>
    </w:p>
    <w:p>
      <w:pPr>
        <w:pStyle w:val="10"/>
        <w:spacing w:line="360" w:lineRule="auto"/>
        <w:ind w:firstLine="480" w:firstLineChars="200"/>
        <w:rPr>
          <w:bCs/>
          <w:color w:val="000000"/>
          <w:sz w:val="24"/>
          <w:szCs w:val="24"/>
          <w:highlight w:val="none"/>
        </w:rPr>
      </w:pPr>
    </w:p>
    <w:p>
      <w:pPr>
        <w:pStyle w:val="5"/>
        <w:adjustRightInd/>
        <w:spacing w:before="240" w:beforeLines="100" w:after="240" w:afterLines="100"/>
        <w:rPr>
          <w:rFonts w:ascii="Times New Roman"/>
          <w:color w:val="000000"/>
          <w:sz w:val="36"/>
          <w:szCs w:val="36"/>
          <w:highlight w:val="none"/>
        </w:rPr>
      </w:pPr>
      <w:bookmarkStart w:id="167" w:name="_Toc485883282"/>
      <w:r>
        <w:rPr>
          <w:rFonts w:ascii="Times New Roman"/>
          <w:bCs/>
          <w:color w:val="000000"/>
          <w:kern w:val="2"/>
          <w:sz w:val="32"/>
          <w:szCs w:val="32"/>
          <w:highlight w:val="none"/>
          <w:u w:val="none"/>
        </w:rPr>
        <w:br w:type="page"/>
      </w:r>
      <w:r>
        <w:rPr>
          <w:rFonts w:ascii="Times New Roman"/>
          <w:bCs/>
          <w:color w:val="000000"/>
          <w:kern w:val="2"/>
          <w:sz w:val="32"/>
          <w:szCs w:val="32"/>
          <w:highlight w:val="none"/>
          <w:u w:val="none"/>
        </w:rPr>
        <w:t>二、报价一览表（格式）</w:t>
      </w:r>
      <w:bookmarkEnd w:id="167"/>
    </w:p>
    <w:p>
      <w:pPr>
        <w:pStyle w:val="10"/>
        <w:spacing w:before="120" w:beforeLines="50" w:afterLines="50" w:line="240" w:lineRule="auto"/>
        <w:jc w:val="center"/>
        <w:rPr>
          <w:b/>
          <w:color w:val="000000"/>
          <w:sz w:val="28"/>
          <w:szCs w:val="28"/>
          <w:highlight w:val="none"/>
        </w:rPr>
      </w:pPr>
      <w:r>
        <w:rPr>
          <w:b/>
          <w:color w:val="000000"/>
          <w:sz w:val="28"/>
          <w:szCs w:val="28"/>
          <w:highlight w:val="none"/>
        </w:rPr>
        <w:t>报价一览表</w:t>
      </w:r>
    </w:p>
    <w:p>
      <w:pPr>
        <w:rPr>
          <w:color w:val="000000"/>
          <w:sz w:val="24"/>
          <w:szCs w:val="24"/>
          <w:highlight w:val="none"/>
        </w:rPr>
      </w:pPr>
      <w:r>
        <w:rPr>
          <w:rFonts w:hint="eastAsia"/>
          <w:color w:val="000000"/>
          <w:sz w:val="24"/>
          <w:szCs w:val="24"/>
          <w:highlight w:val="none"/>
        </w:rPr>
        <w:t>采购项目编号：</w:t>
      </w:r>
    </w:p>
    <w:tbl>
      <w:tblPr>
        <w:tblStyle w:val="16"/>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987"/>
        <w:gridCol w:w="1385"/>
        <w:gridCol w:w="1530"/>
        <w:gridCol w:w="1499"/>
        <w:gridCol w:w="1385"/>
        <w:gridCol w:w="13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0" w:hRule="atLeast"/>
          <w:jc w:val="center"/>
        </w:trPr>
        <w:tc>
          <w:tcPr>
            <w:tcW w:w="1084" w:type="pct"/>
            <w:vAlign w:val="center"/>
          </w:tcPr>
          <w:p>
            <w:pPr>
              <w:widowControl/>
              <w:spacing w:line="400" w:lineRule="exact"/>
              <w:jc w:val="center"/>
              <w:rPr>
                <w:rFonts w:cs="宋体"/>
                <w:b/>
                <w:bCs/>
                <w:color w:val="000000"/>
                <w:kern w:val="0"/>
                <w:sz w:val="24"/>
                <w:highlight w:val="none"/>
              </w:rPr>
            </w:pPr>
            <w:r>
              <w:rPr>
                <w:rFonts w:hint="eastAsia" w:cs="宋体"/>
                <w:b/>
                <w:bCs/>
                <w:color w:val="000000"/>
                <w:kern w:val="0"/>
                <w:sz w:val="24"/>
                <w:highlight w:val="none"/>
              </w:rPr>
              <w:t>项目名称</w:t>
            </w:r>
          </w:p>
        </w:tc>
        <w:tc>
          <w:tcPr>
            <w:tcW w:w="755" w:type="pct"/>
            <w:vAlign w:val="center"/>
          </w:tcPr>
          <w:p>
            <w:pPr>
              <w:widowControl/>
              <w:spacing w:line="400" w:lineRule="exact"/>
              <w:jc w:val="center"/>
              <w:rPr>
                <w:rFonts w:cs="宋体"/>
                <w:b/>
                <w:bCs/>
                <w:color w:val="000000"/>
                <w:kern w:val="0"/>
                <w:sz w:val="24"/>
                <w:highlight w:val="none"/>
              </w:rPr>
            </w:pPr>
            <w:r>
              <w:rPr>
                <w:rFonts w:hint="eastAsia" w:cs="宋体"/>
                <w:b/>
                <w:bCs/>
                <w:color w:val="000000"/>
                <w:kern w:val="0"/>
                <w:sz w:val="24"/>
                <w:highlight w:val="none"/>
              </w:rPr>
              <w:t>总报价</w:t>
            </w:r>
          </w:p>
          <w:p>
            <w:pPr>
              <w:widowControl/>
              <w:spacing w:line="400" w:lineRule="exact"/>
              <w:jc w:val="center"/>
              <w:rPr>
                <w:rFonts w:cs="宋体"/>
                <w:b/>
                <w:bCs/>
                <w:color w:val="000000"/>
                <w:kern w:val="0"/>
                <w:sz w:val="24"/>
                <w:highlight w:val="none"/>
              </w:rPr>
            </w:pPr>
            <w:r>
              <w:rPr>
                <w:rFonts w:hint="eastAsia" w:cs="宋体"/>
                <w:b/>
                <w:bCs/>
                <w:color w:val="000000"/>
                <w:kern w:val="0"/>
                <w:sz w:val="24"/>
                <w:highlight w:val="none"/>
              </w:rPr>
              <w:t>（元）</w:t>
            </w:r>
          </w:p>
        </w:tc>
        <w:tc>
          <w:tcPr>
            <w:tcW w:w="834" w:type="pct"/>
            <w:vAlign w:val="center"/>
          </w:tcPr>
          <w:p>
            <w:pPr>
              <w:widowControl/>
              <w:spacing w:line="400" w:lineRule="exact"/>
              <w:jc w:val="center"/>
              <w:rPr>
                <w:rFonts w:cs="宋体"/>
                <w:b/>
                <w:bCs/>
                <w:color w:val="000000"/>
                <w:kern w:val="0"/>
                <w:sz w:val="24"/>
                <w:highlight w:val="none"/>
              </w:rPr>
            </w:pPr>
            <w:r>
              <w:rPr>
                <w:rFonts w:hint="eastAsia" w:cs="宋体"/>
                <w:b/>
                <w:bCs/>
                <w:color w:val="000000"/>
                <w:kern w:val="0"/>
                <w:sz w:val="24"/>
                <w:highlight w:val="none"/>
              </w:rPr>
              <w:t xml:space="preserve">服务期限   </w:t>
            </w:r>
          </w:p>
        </w:tc>
        <w:tc>
          <w:tcPr>
            <w:tcW w:w="817" w:type="pct"/>
            <w:vAlign w:val="center"/>
          </w:tcPr>
          <w:p>
            <w:pPr>
              <w:widowControl/>
              <w:spacing w:line="400" w:lineRule="exact"/>
              <w:jc w:val="center"/>
              <w:rPr>
                <w:rFonts w:cs="宋体"/>
                <w:b/>
                <w:bCs/>
                <w:color w:val="000000"/>
                <w:kern w:val="0"/>
                <w:sz w:val="24"/>
                <w:highlight w:val="none"/>
              </w:rPr>
            </w:pPr>
            <w:r>
              <w:rPr>
                <w:rFonts w:hint="eastAsia" w:cs="宋体"/>
                <w:b/>
                <w:bCs/>
                <w:color w:val="000000"/>
                <w:kern w:val="0"/>
                <w:sz w:val="24"/>
                <w:highlight w:val="none"/>
              </w:rPr>
              <w:t xml:space="preserve">维护期  </w:t>
            </w:r>
          </w:p>
        </w:tc>
        <w:tc>
          <w:tcPr>
            <w:tcW w:w="754" w:type="pct"/>
            <w:vAlign w:val="center"/>
          </w:tcPr>
          <w:p>
            <w:pPr>
              <w:widowControl/>
              <w:spacing w:line="400" w:lineRule="exact"/>
              <w:jc w:val="center"/>
              <w:rPr>
                <w:rFonts w:cs="宋体"/>
                <w:b/>
                <w:bCs/>
                <w:color w:val="000000"/>
                <w:kern w:val="0"/>
                <w:sz w:val="24"/>
                <w:highlight w:val="none"/>
              </w:rPr>
            </w:pPr>
            <w:r>
              <w:rPr>
                <w:rFonts w:hint="eastAsia" w:cs="宋体"/>
                <w:b/>
                <w:bCs/>
                <w:color w:val="000000"/>
                <w:kern w:val="0"/>
                <w:sz w:val="24"/>
                <w:highlight w:val="none"/>
              </w:rPr>
              <w:t>项目负责人</w:t>
            </w:r>
          </w:p>
        </w:tc>
        <w:tc>
          <w:tcPr>
            <w:tcW w:w="754" w:type="pct"/>
            <w:vAlign w:val="center"/>
          </w:tcPr>
          <w:p>
            <w:pPr>
              <w:widowControl/>
              <w:spacing w:line="400" w:lineRule="exact"/>
              <w:jc w:val="center"/>
              <w:rPr>
                <w:rFonts w:hint="eastAsia" w:eastAsia="宋体" w:cs="宋体"/>
                <w:b/>
                <w:bCs/>
                <w:color w:val="000000"/>
                <w:kern w:val="0"/>
                <w:sz w:val="24"/>
                <w:highlight w:val="none"/>
                <w:lang w:val="en-US" w:eastAsia="zh-CN"/>
              </w:rPr>
            </w:pPr>
            <w:r>
              <w:rPr>
                <w:rFonts w:hint="eastAsia" w:cs="宋体"/>
                <w:b/>
                <w:bCs/>
                <w:color w:val="000000"/>
                <w:kern w:val="0"/>
                <w:sz w:val="24"/>
                <w:highlight w:val="none"/>
                <w:lang w:val="en-US" w:eastAsia="zh-CN"/>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22" w:hRule="atLeast"/>
          <w:jc w:val="center"/>
        </w:trPr>
        <w:tc>
          <w:tcPr>
            <w:tcW w:w="1084" w:type="pct"/>
            <w:vAlign w:val="center"/>
          </w:tcPr>
          <w:p>
            <w:pPr>
              <w:widowControl/>
              <w:jc w:val="center"/>
              <w:rPr>
                <w:rFonts w:cs="宋体"/>
                <w:color w:val="000000"/>
                <w:kern w:val="0"/>
                <w:sz w:val="24"/>
                <w:highlight w:val="none"/>
              </w:rPr>
            </w:pPr>
          </w:p>
        </w:tc>
        <w:tc>
          <w:tcPr>
            <w:tcW w:w="755" w:type="pct"/>
          </w:tcPr>
          <w:p>
            <w:pPr>
              <w:widowControl/>
              <w:jc w:val="left"/>
              <w:rPr>
                <w:rFonts w:cs="宋体"/>
                <w:color w:val="000000"/>
                <w:kern w:val="0"/>
                <w:sz w:val="24"/>
                <w:highlight w:val="none"/>
              </w:rPr>
            </w:pPr>
          </w:p>
        </w:tc>
        <w:tc>
          <w:tcPr>
            <w:tcW w:w="834" w:type="pct"/>
          </w:tcPr>
          <w:p>
            <w:pPr>
              <w:widowControl/>
              <w:jc w:val="left"/>
              <w:rPr>
                <w:rFonts w:cs="宋体"/>
                <w:color w:val="000000"/>
                <w:kern w:val="0"/>
                <w:sz w:val="24"/>
                <w:highlight w:val="none"/>
              </w:rPr>
            </w:pPr>
          </w:p>
        </w:tc>
        <w:tc>
          <w:tcPr>
            <w:tcW w:w="817" w:type="pct"/>
          </w:tcPr>
          <w:p>
            <w:pPr>
              <w:widowControl/>
              <w:jc w:val="left"/>
              <w:rPr>
                <w:rFonts w:cs="宋体"/>
                <w:color w:val="000000"/>
                <w:kern w:val="0"/>
                <w:sz w:val="24"/>
                <w:highlight w:val="none"/>
              </w:rPr>
            </w:pPr>
          </w:p>
        </w:tc>
        <w:tc>
          <w:tcPr>
            <w:tcW w:w="754" w:type="pct"/>
          </w:tcPr>
          <w:p>
            <w:pPr>
              <w:widowControl/>
              <w:jc w:val="left"/>
              <w:rPr>
                <w:rFonts w:cs="宋体"/>
                <w:color w:val="000000"/>
                <w:kern w:val="0"/>
                <w:sz w:val="24"/>
                <w:highlight w:val="none"/>
              </w:rPr>
            </w:pPr>
          </w:p>
        </w:tc>
        <w:tc>
          <w:tcPr>
            <w:tcW w:w="754" w:type="pct"/>
          </w:tcPr>
          <w:p>
            <w:pPr>
              <w:widowControl/>
              <w:jc w:val="left"/>
              <w:rPr>
                <w:rFonts w:cs="宋体"/>
                <w:color w:val="000000"/>
                <w:kern w:val="0"/>
                <w:sz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2" w:hRule="atLeast"/>
          <w:jc w:val="center"/>
        </w:trPr>
        <w:tc>
          <w:tcPr>
            <w:tcW w:w="4245" w:type="pct"/>
            <w:gridSpan w:val="5"/>
            <w:vAlign w:val="center"/>
          </w:tcPr>
          <w:p>
            <w:pPr>
              <w:widowControl/>
              <w:jc w:val="left"/>
              <w:rPr>
                <w:rFonts w:cs="宋体"/>
                <w:color w:val="000000"/>
                <w:kern w:val="0"/>
                <w:sz w:val="24"/>
                <w:highlight w:val="none"/>
              </w:rPr>
            </w:pPr>
            <w:r>
              <w:rPr>
                <w:rFonts w:hint="eastAsia" w:cs="宋体"/>
                <w:color w:val="000000"/>
                <w:kern w:val="0"/>
                <w:sz w:val="24"/>
                <w:highlight w:val="none"/>
              </w:rPr>
              <w:t>大写：</w:t>
            </w:r>
          </w:p>
        </w:tc>
        <w:tc>
          <w:tcPr>
            <w:tcW w:w="754" w:type="pct"/>
            <w:vAlign w:val="center"/>
          </w:tcPr>
          <w:p>
            <w:pPr>
              <w:widowControl/>
              <w:jc w:val="left"/>
              <w:rPr>
                <w:rFonts w:hint="eastAsia" w:cs="宋体"/>
                <w:color w:val="000000"/>
                <w:kern w:val="0"/>
                <w:sz w:val="24"/>
                <w:highlight w:val="none"/>
              </w:rPr>
            </w:pPr>
          </w:p>
        </w:tc>
      </w:tr>
    </w:tbl>
    <w:p>
      <w:pPr>
        <w:pStyle w:val="10"/>
        <w:spacing w:before="120" w:beforeLines="50" w:afterLines="50" w:line="240" w:lineRule="auto"/>
        <w:jc w:val="center"/>
        <w:rPr>
          <w:b/>
          <w:color w:val="000000"/>
          <w:sz w:val="28"/>
          <w:szCs w:val="28"/>
          <w:highlight w:val="none"/>
        </w:rPr>
      </w:pPr>
    </w:p>
    <w:p>
      <w:pPr>
        <w:adjustRightInd w:val="0"/>
        <w:snapToGrid w:val="0"/>
        <w:ind w:left="-88" w:leftChars="-42" w:firstLine="210" w:firstLineChars="100"/>
        <w:rPr>
          <w:color w:val="000000"/>
          <w:szCs w:val="21"/>
          <w:highlight w:val="none"/>
        </w:rPr>
      </w:pPr>
    </w:p>
    <w:p>
      <w:pPr>
        <w:adjustRightInd w:val="0"/>
        <w:snapToGrid w:val="0"/>
        <w:ind w:left="-88" w:leftChars="-42" w:firstLine="210" w:firstLineChars="100"/>
        <w:rPr>
          <w:color w:val="000000"/>
          <w:szCs w:val="21"/>
          <w:highlight w:val="none"/>
        </w:rPr>
      </w:pPr>
      <w:r>
        <w:rPr>
          <w:color w:val="000000"/>
          <w:szCs w:val="21"/>
          <w:highlight w:val="none"/>
        </w:rPr>
        <w:t>说明</w:t>
      </w:r>
      <w:r>
        <w:rPr>
          <w:b/>
          <w:color w:val="000000"/>
          <w:szCs w:val="21"/>
          <w:highlight w:val="none"/>
        </w:rPr>
        <w:t>：</w:t>
      </w:r>
      <w:r>
        <w:rPr>
          <w:color w:val="000000"/>
          <w:szCs w:val="21"/>
          <w:highlight w:val="none"/>
        </w:rPr>
        <w:t>1、报价应按要求填写，精确到小数点后两位；</w:t>
      </w:r>
    </w:p>
    <w:p>
      <w:pPr>
        <w:adjustRightInd w:val="0"/>
        <w:snapToGrid w:val="0"/>
        <w:ind w:left="-88" w:leftChars="-42" w:firstLine="840" w:firstLineChars="400"/>
        <w:rPr>
          <w:color w:val="000000"/>
          <w:szCs w:val="21"/>
          <w:highlight w:val="none"/>
        </w:rPr>
      </w:pPr>
      <w:r>
        <w:rPr>
          <w:color w:val="000000"/>
          <w:szCs w:val="21"/>
          <w:highlight w:val="none"/>
        </w:rPr>
        <w:t>2、本表所列各项数据与响应文件其他地方表述不一致时，以本表为准。</w:t>
      </w:r>
    </w:p>
    <w:p>
      <w:pPr>
        <w:jc w:val="right"/>
        <w:rPr>
          <w:color w:val="000000"/>
          <w:highlight w:val="none"/>
        </w:rPr>
      </w:pPr>
    </w:p>
    <w:p>
      <w:pPr>
        <w:jc w:val="right"/>
        <w:rPr>
          <w:color w:val="000000"/>
          <w:sz w:val="24"/>
          <w:szCs w:val="24"/>
          <w:highlight w:val="none"/>
        </w:rPr>
      </w:pPr>
    </w:p>
    <w:p>
      <w:pPr>
        <w:jc w:val="center"/>
        <w:rPr>
          <w:color w:val="000000"/>
          <w:sz w:val="24"/>
          <w:szCs w:val="24"/>
          <w:highlight w:val="none"/>
          <w:u w:val="single"/>
        </w:rPr>
      </w:pPr>
      <w:r>
        <w:rPr>
          <w:rFonts w:hint="eastAsia"/>
          <w:color w:val="000000"/>
          <w:sz w:val="24"/>
          <w:szCs w:val="24"/>
          <w:highlight w:val="none"/>
        </w:rPr>
        <w:t xml:space="preserve">   </w:t>
      </w:r>
      <w:r>
        <w:rPr>
          <w:color w:val="000000"/>
          <w:sz w:val="24"/>
          <w:szCs w:val="24"/>
          <w:highlight w:val="none"/>
        </w:rPr>
        <w:t>供  应  商</w:t>
      </w:r>
      <w:r>
        <w:rPr>
          <w:rFonts w:hint="eastAsia"/>
          <w:color w:val="000000"/>
          <w:sz w:val="24"/>
          <w:szCs w:val="24"/>
          <w:highlight w:val="none"/>
        </w:rPr>
        <w:t>：</w:t>
      </w:r>
      <w:r>
        <w:rPr>
          <w:rFonts w:hint="eastAsia"/>
          <w:color w:val="000000"/>
          <w:sz w:val="24"/>
          <w:szCs w:val="24"/>
          <w:highlight w:val="none"/>
          <w:u w:val="single"/>
        </w:rPr>
        <w:t xml:space="preserve">                  </w:t>
      </w:r>
      <w:r>
        <w:rPr>
          <w:color w:val="000000"/>
          <w:sz w:val="24"/>
          <w:szCs w:val="24"/>
          <w:highlight w:val="none"/>
        </w:rPr>
        <w:t>（盖章）</w:t>
      </w:r>
    </w:p>
    <w:p>
      <w:pPr>
        <w:wordWrap w:val="0"/>
        <w:jc w:val="right"/>
        <w:rPr>
          <w:color w:val="000000"/>
          <w:sz w:val="24"/>
          <w:szCs w:val="24"/>
          <w:highlight w:val="none"/>
        </w:rPr>
      </w:pPr>
      <w:r>
        <w:rPr>
          <w:rFonts w:hint="eastAsia"/>
          <w:color w:val="000000"/>
          <w:sz w:val="24"/>
          <w:szCs w:val="24"/>
          <w:highlight w:val="none"/>
        </w:rPr>
        <w:t xml:space="preserve">  </w:t>
      </w:r>
    </w:p>
    <w:p>
      <w:pPr>
        <w:jc w:val="right"/>
        <w:rPr>
          <w:color w:val="000000"/>
          <w:sz w:val="24"/>
          <w:szCs w:val="24"/>
          <w:highlight w:val="none"/>
        </w:rPr>
      </w:pPr>
    </w:p>
    <w:p>
      <w:pPr>
        <w:jc w:val="center"/>
        <w:rPr>
          <w:color w:val="000000"/>
          <w:sz w:val="24"/>
          <w:szCs w:val="24"/>
          <w:highlight w:val="none"/>
        </w:rPr>
      </w:pPr>
      <w:r>
        <w:rPr>
          <w:rFonts w:hint="eastAsia"/>
          <w:color w:val="000000"/>
          <w:sz w:val="24"/>
          <w:szCs w:val="24"/>
          <w:highlight w:val="none"/>
        </w:rPr>
        <w:t xml:space="preserve">              </w:t>
      </w:r>
      <w:r>
        <w:rPr>
          <w:color w:val="000000"/>
          <w:sz w:val="24"/>
          <w:szCs w:val="24"/>
          <w:highlight w:val="none"/>
        </w:rPr>
        <w:t>法定代表人或授权代表：</w:t>
      </w:r>
      <w:r>
        <w:rPr>
          <w:rFonts w:hint="eastAsia"/>
          <w:color w:val="000000"/>
          <w:sz w:val="24"/>
          <w:szCs w:val="24"/>
          <w:highlight w:val="none"/>
          <w:u w:val="single"/>
        </w:rPr>
        <w:t xml:space="preserve">             </w:t>
      </w:r>
      <w:r>
        <w:rPr>
          <w:color w:val="000000"/>
          <w:sz w:val="24"/>
          <w:szCs w:val="24"/>
          <w:highlight w:val="none"/>
        </w:rPr>
        <w:t>（签名或盖章）</w:t>
      </w:r>
    </w:p>
    <w:p>
      <w:pPr>
        <w:jc w:val="right"/>
        <w:rPr>
          <w:color w:val="000000"/>
          <w:sz w:val="24"/>
          <w:szCs w:val="24"/>
          <w:highlight w:val="none"/>
        </w:rPr>
      </w:pPr>
    </w:p>
    <w:p>
      <w:pPr>
        <w:jc w:val="right"/>
        <w:rPr>
          <w:color w:val="000000"/>
          <w:sz w:val="24"/>
          <w:szCs w:val="24"/>
          <w:highlight w:val="none"/>
        </w:rPr>
      </w:pPr>
    </w:p>
    <w:p>
      <w:pPr>
        <w:spacing w:line="480" w:lineRule="auto"/>
        <w:ind w:firstLine="5040" w:firstLineChars="2100"/>
        <w:jc w:val="left"/>
        <w:rPr>
          <w:color w:val="000000"/>
          <w:sz w:val="24"/>
          <w:szCs w:val="24"/>
          <w:highlight w:val="none"/>
        </w:rPr>
      </w:pPr>
      <w:r>
        <w:rPr>
          <w:color w:val="000000"/>
          <w:sz w:val="24"/>
          <w:szCs w:val="24"/>
          <w:highlight w:val="none"/>
        </w:rPr>
        <w:t>日期：    年  月  日</w:t>
      </w:r>
    </w:p>
    <w:p>
      <w:pPr>
        <w:spacing w:line="480" w:lineRule="auto"/>
        <w:ind w:firstLine="5040" w:firstLineChars="2100"/>
        <w:jc w:val="left"/>
        <w:rPr>
          <w:color w:val="000000"/>
          <w:sz w:val="24"/>
          <w:szCs w:val="24"/>
          <w:highlight w:val="none"/>
        </w:rPr>
      </w:pPr>
    </w:p>
    <w:p>
      <w:pPr>
        <w:spacing w:line="480" w:lineRule="auto"/>
        <w:ind w:firstLine="5040" w:firstLineChars="2100"/>
        <w:jc w:val="left"/>
        <w:rPr>
          <w:color w:val="000000"/>
          <w:sz w:val="24"/>
          <w:szCs w:val="24"/>
          <w:highlight w:val="none"/>
        </w:rPr>
      </w:pPr>
    </w:p>
    <w:p>
      <w:pPr>
        <w:spacing w:line="480" w:lineRule="auto"/>
        <w:ind w:firstLine="5040" w:firstLineChars="2100"/>
        <w:jc w:val="left"/>
        <w:rPr>
          <w:color w:val="000000"/>
          <w:sz w:val="24"/>
          <w:szCs w:val="24"/>
          <w:highlight w:val="none"/>
        </w:rPr>
      </w:pPr>
    </w:p>
    <w:p>
      <w:pPr>
        <w:spacing w:line="480" w:lineRule="auto"/>
        <w:ind w:firstLine="5040" w:firstLineChars="2100"/>
        <w:jc w:val="left"/>
        <w:rPr>
          <w:color w:val="000000"/>
          <w:sz w:val="24"/>
          <w:szCs w:val="24"/>
          <w:highlight w:val="none"/>
        </w:rPr>
      </w:pPr>
    </w:p>
    <w:p>
      <w:pPr>
        <w:spacing w:line="480" w:lineRule="auto"/>
        <w:ind w:firstLine="5040" w:firstLineChars="2100"/>
        <w:jc w:val="left"/>
        <w:rPr>
          <w:color w:val="000000"/>
          <w:sz w:val="24"/>
          <w:szCs w:val="24"/>
          <w:highlight w:val="none"/>
        </w:rPr>
      </w:pPr>
    </w:p>
    <w:p>
      <w:pPr>
        <w:spacing w:line="480" w:lineRule="auto"/>
        <w:ind w:firstLine="5040" w:firstLineChars="2100"/>
        <w:jc w:val="left"/>
        <w:rPr>
          <w:color w:val="000000"/>
          <w:sz w:val="24"/>
          <w:szCs w:val="24"/>
          <w:highlight w:val="none"/>
        </w:rPr>
      </w:pPr>
    </w:p>
    <w:p>
      <w:pPr>
        <w:spacing w:line="480" w:lineRule="auto"/>
        <w:ind w:firstLine="5040" w:firstLineChars="2100"/>
        <w:jc w:val="left"/>
        <w:rPr>
          <w:color w:val="000000"/>
          <w:sz w:val="24"/>
          <w:szCs w:val="24"/>
          <w:highlight w:val="none"/>
        </w:rPr>
      </w:pPr>
    </w:p>
    <w:p>
      <w:pPr>
        <w:spacing w:line="480" w:lineRule="auto"/>
        <w:ind w:firstLine="5040" w:firstLineChars="2100"/>
        <w:jc w:val="left"/>
        <w:rPr>
          <w:color w:val="000000"/>
          <w:sz w:val="24"/>
          <w:szCs w:val="24"/>
          <w:highlight w:val="none"/>
        </w:rPr>
      </w:pPr>
    </w:p>
    <w:p>
      <w:pPr>
        <w:pStyle w:val="5"/>
        <w:adjustRightInd/>
        <w:spacing w:before="240" w:beforeLines="100" w:after="240" w:afterLines="100"/>
        <w:rPr>
          <w:rFonts w:hint="default" w:eastAsia="宋体"/>
          <w:color w:val="000000"/>
          <w:highlight w:val="none"/>
          <w:lang w:val="en-US" w:eastAsia="zh-CN"/>
        </w:rPr>
      </w:pPr>
      <w:r>
        <w:rPr>
          <w:rFonts w:ascii="Times New Roman"/>
          <w:color w:val="000000"/>
          <w:szCs w:val="21"/>
          <w:highlight w:val="none"/>
        </w:rPr>
        <w:br w:type="page"/>
      </w:r>
      <w:bookmarkStart w:id="168" w:name="_Toc485883285"/>
      <w:bookmarkStart w:id="169" w:name="_Toc217446088"/>
      <w:r>
        <w:rPr>
          <w:rFonts w:hint="eastAsia" w:ascii="Times New Roman"/>
          <w:bCs/>
          <w:color w:val="000000"/>
          <w:kern w:val="2"/>
          <w:sz w:val="32"/>
          <w:szCs w:val="32"/>
          <w:highlight w:val="none"/>
          <w:u w:val="none"/>
        </w:rPr>
        <w:t>三</w:t>
      </w:r>
      <w:r>
        <w:rPr>
          <w:rFonts w:ascii="Times New Roman"/>
          <w:bCs/>
          <w:color w:val="000000"/>
          <w:kern w:val="2"/>
          <w:sz w:val="32"/>
          <w:szCs w:val="32"/>
          <w:highlight w:val="none"/>
          <w:u w:val="none"/>
        </w:rPr>
        <w:t>、</w:t>
      </w:r>
      <w:bookmarkEnd w:id="168"/>
      <w:r>
        <w:rPr>
          <w:rFonts w:hint="eastAsia" w:ascii="Times New Roman"/>
          <w:bCs/>
          <w:color w:val="000000"/>
          <w:kern w:val="2"/>
          <w:sz w:val="32"/>
          <w:szCs w:val="32"/>
          <w:highlight w:val="none"/>
          <w:u w:val="none"/>
          <w:lang w:val="en-US" w:eastAsia="zh-CN"/>
        </w:rPr>
        <w:t>技术方案</w:t>
      </w:r>
    </w:p>
    <w:p>
      <w:pPr>
        <w:adjustRightInd w:val="0"/>
        <w:snapToGrid w:val="0"/>
        <w:spacing w:line="360" w:lineRule="auto"/>
        <w:ind w:firstLine="360" w:firstLineChars="150"/>
        <w:jc w:val="left"/>
        <w:rPr>
          <w:bCs/>
          <w:color w:val="000000"/>
          <w:sz w:val="32"/>
          <w:szCs w:val="32"/>
          <w:highlight w:val="none"/>
        </w:rPr>
      </w:pPr>
      <w:bookmarkStart w:id="170" w:name="_Toc485883286"/>
      <w:r>
        <w:rPr>
          <w:rFonts w:hint="eastAsia"/>
          <w:sz w:val="24"/>
          <w:szCs w:val="22"/>
          <w:highlight w:val="none"/>
        </w:rPr>
        <w:t>应包含但不仅限于本文件合同内容、评标办法的响应，文字不能给予全面说明的，可附图片进行详细说明，投标人应根据自己对项目的理解，对投标文件技术标给予完善。格式自拟</w:t>
      </w:r>
      <w:r>
        <w:rPr>
          <w:rFonts w:hint="eastAsia"/>
          <w:sz w:val="24"/>
          <w:szCs w:val="22"/>
          <w:highlight w:val="none"/>
        </w:rPr>
        <w:br w:type="page"/>
      </w:r>
      <w:r>
        <w:rPr>
          <w:rFonts w:hint="eastAsia"/>
          <w:bCs/>
          <w:color w:val="000000"/>
          <w:sz w:val="32"/>
          <w:szCs w:val="32"/>
          <w:highlight w:val="none"/>
        </w:rPr>
        <w:t>四</w:t>
      </w:r>
      <w:r>
        <w:rPr>
          <w:bCs/>
          <w:color w:val="000000"/>
          <w:sz w:val="32"/>
          <w:szCs w:val="32"/>
          <w:highlight w:val="none"/>
        </w:rPr>
        <w:t>、</w:t>
      </w:r>
      <w:r>
        <w:rPr>
          <w:rFonts w:hint="eastAsia"/>
          <w:bCs/>
          <w:color w:val="000000"/>
          <w:sz w:val="32"/>
          <w:szCs w:val="32"/>
          <w:highlight w:val="none"/>
        </w:rPr>
        <w:t>企业综合实力</w:t>
      </w:r>
    </w:p>
    <w:p>
      <w:pPr>
        <w:pStyle w:val="7"/>
        <w:spacing w:line="360" w:lineRule="auto"/>
        <w:ind w:firstLine="0" w:firstLineChars="0"/>
        <w:rPr>
          <w:b/>
          <w:bCs/>
          <w:color w:val="000000"/>
          <w:sz w:val="24"/>
          <w:szCs w:val="24"/>
          <w:highlight w:val="none"/>
        </w:rPr>
      </w:pPr>
      <w:r>
        <w:rPr>
          <w:rFonts w:hint="eastAsia"/>
          <w:b/>
          <w:bCs/>
          <w:color w:val="000000"/>
          <w:sz w:val="24"/>
          <w:szCs w:val="24"/>
          <w:highlight w:val="none"/>
        </w:rPr>
        <w:t>（1）</w:t>
      </w:r>
      <w:r>
        <w:rPr>
          <w:b/>
          <w:bCs/>
          <w:color w:val="000000"/>
          <w:sz w:val="24"/>
          <w:szCs w:val="24"/>
          <w:highlight w:val="none"/>
        </w:rPr>
        <w:t>业绩一览表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3090"/>
        <w:gridCol w:w="2472"/>
        <w:gridCol w:w="1698"/>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exact"/>
          <w:jc w:val="center"/>
        </w:trPr>
        <w:tc>
          <w:tcPr>
            <w:tcW w:w="690" w:type="dxa"/>
            <w:vAlign w:val="center"/>
          </w:tcPr>
          <w:p>
            <w:pPr>
              <w:jc w:val="center"/>
              <w:rPr>
                <w:color w:val="000000"/>
                <w:highlight w:val="none"/>
              </w:rPr>
            </w:pPr>
            <w:r>
              <w:rPr>
                <w:color w:val="000000"/>
                <w:highlight w:val="none"/>
              </w:rPr>
              <w:t>序号</w:t>
            </w:r>
          </w:p>
        </w:tc>
        <w:tc>
          <w:tcPr>
            <w:tcW w:w="3090" w:type="dxa"/>
            <w:vAlign w:val="center"/>
          </w:tcPr>
          <w:p>
            <w:pPr>
              <w:jc w:val="center"/>
              <w:rPr>
                <w:color w:val="000000"/>
                <w:highlight w:val="none"/>
              </w:rPr>
            </w:pPr>
            <w:r>
              <w:rPr>
                <w:color w:val="000000"/>
                <w:highlight w:val="none"/>
              </w:rPr>
              <w:t>项目名称</w:t>
            </w:r>
          </w:p>
        </w:tc>
        <w:tc>
          <w:tcPr>
            <w:tcW w:w="2472" w:type="dxa"/>
            <w:vAlign w:val="center"/>
          </w:tcPr>
          <w:p>
            <w:pPr>
              <w:jc w:val="center"/>
              <w:rPr>
                <w:color w:val="000000"/>
                <w:highlight w:val="none"/>
              </w:rPr>
            </w:pPr>
            <w:r>
              <w:rPr>
                <w:rFonts w:hint="eastAsia"/>
                <w:color w:val="000000"/>
                <w:highlight w:val="none"/>
              </w:rPr>
              <w:t>项目内容</w:t>
            </w:r>
          </w:p>
        </w:tc>
        <w:tc>
          <w:tcPr>
            <w:tcW w:w="1698" w:type="dxa"/>
            <w:vAlign w:val="center"/>
          </w:tcPr>
          <w:p>
            <w:pPr>
              <w:jc w:val="center"/>
              <w:rPr>
                <w:color w:val="000000"/>
                <w:highlight w:val="none"/>
              </w:rPr>
            </w:pPr>
            <w:r>
              <w:rPr>
                <w:rFonts w:hint="eastAsia"/>
                <w:color w:val="000000"/>
                <w:highlight w:val="none"/>
              </w:rPr>
              <w:t>项目业主</w:t>
            </w:r>
          </w:p>
        </w:tc>
        <w:tc>
          <w:tcPr>
            <w:tcW w:w="1080" w:type="dxa"/>
            <w:vAlign w:val="center"/>
          </w:tcPr>
          <w:p>
            <w:pPr>
              <w:jc w:val="center"/>
              <w:rPr>
                <w:color w:val="000000"/>
                <w:highlight w:val="none"/>
              </w:rPr>
            </w:pPr>
            <w:r>
              <w:rPr>
                <w:color w:val="000000"/>
                <w:highlight w:val="none"/>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0" w:type="dxa"/>
            <w:vAlign w:val="center"/>
          </w:tcPr>
          <w:p>
            <w:pPr>
              <w:spacing w:line="360" w:lineRule="auto"/>
              <w:jc w:val="center"/>
              <w:rPr>
                <w:color w:val="000000"/>
                <w:highlight w:val="none"/>
              </w:rPr>
            </w:pPr>
            <w:r>
              <w:rPr>
                <w:color w:val="000000"/>
                <w:highlight w:val="none"/>
              </w:rPr>
              <w:t>1</w:t>
            </w:r>
          </w:p>
        </w:tc>
        <w:tc>
          <w:tcPr>
            <w:tcW w:w="3090" w:type="dxa"/>
            <w:vAlign w:val="center"/>
          </w:tcPr>
          <w:p>
            <w:pPr>
              <w:spacing w:line="360" w:lineRule="auto"/>
              <w:jc w:val="center"/>
              <w:rPr>
                <w:color w:val="000000"/>
                <w:highlight w:val="none"/>
              </w:rPr>
            </w:pPr>
          </w:p>
        </w:tc>
        <w:tc>
          <w:tcPr>
            <w:tcW w:w="2472" w:type="dxa"/>
            <w:vAlign w:val="center"/>
          </w:tcPr>
          <w:p>
            <w:pPr>
              <w:spacing w:line="360" w:lineRule="auto"/>
              <w:jc w:val="center"/>
              <w:rPr>
                <w:color w:val="000000"/>
                <w:highlight w:val="none"/>
              </w:rPr>
            </w:pPr>
          </w:p>
        </w:tc>
        <w:tc>
          <w:tcPr>
            <w:tcW w:w="1698" w:type="dxa"/>
            <w:vAlign w:val="center"/>
          </w:tcPr>
          <w:p>
            <w:pPr>
              <w:spacing w:line="360" w:lineRule="auto"/>
              <w:jc w:val="center"/>
              <w:rPr>
                <w:color w:val="000000"/>
                <w:highlight w:val="none"/>
              </w:rPr>
            </w:pPr>
          </w:p>
        </w:tc>
        <w:tc>
          <w:tcPr>
            <w:tcW w:w="1080" w:type="dxa"/>
            <w:vAlign w:val="center"/>
          </w:tcPr>
          <w:p>
            <w:pPr>
              <w:spacing w:line="360" w:lineRule="auto"/>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0" w:type="dxa"/>
            <w:vAlign w:val="center"/>
          </w:tcPr>
          <w:p>
            <w:pPr>
              <w:spacing w:line="360" w:lineRule="auto"/>
              <w:jc w:val="center"/>
              <w:rPr>
                <w:color w:val="000000"/>
                <w:highlight w:val="none"/>
              </w:rPr>
            </w:pPr>
            <w:r>
              <w:rPr>
                <w:color w:val="000000"/>
                <w:highlight w:val="none"/>
              </w:rPr>
              <w:t>2</w:t>
            </w:r>
          </w:p>
        </w:tc>
        <w:tc>
          <w:tcPr>
            <w:tcW w:w="3090" w:type="dxa"/>
            <w:vAlign w:val="center"/>
          </w:tcPr>
          <w:p>
            <w:pPr>
              <w:spacing w:line="360" w:lineRule="auto"/>
              <w:jc w:val="center"/>
              <w:rPr>
                <w:color w:val="000000"/>
                <w:highlight w:val="none"/>
              </w:rPr>
            </w:pPr>
          </w:p>
        </w:tc>
        <w:tc>
          <w:tcPr>
            <w:tcW w:w="2472" w:type="dxa"/>
            <w:vAlign w:val="center"/>
          </w:tcPr>
          <w:p>
            <w:pPr>
              <w:spacing w:line="360" w:lineRule="auto"/>
              <w:jc w:val="center"/>
              <w:rPr>
                <w:color w:val="000000"/>
                <w:highlight w:val="none"/>
              </w:rPr>
            </w:pPr>
          </w:p>
        </w:tc>
        <w:tc>
          <w:tcPr>
            <w:tcW w:w="1698" w:type="dxa"/>
            <w:vAlign w:val="center"/>
          </w:tcPr>
          <w:p>
            <w:pPr>
              <w:spacing w:line="360" w:lineRule="auto"/>
              <w:jc w:val="center"/>
              <w:rPr>
                <w:color w:val="000000"/>
                <w:highlight w:val="none"/>
              </w:rPr>
            </w:pPr>
          </w:p>
        </w:tc>
        <w:tc>
          <w:tcPr>
            <w:tcW w:w="1080" w:type="dxa"/>
            <w:vAlign w:val="center"/>
          </w:tcPr>
          <w:p>
            <w:pPr>
              <w:spacing w:line="360" w:lineRule="auto"/>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0" w:type="dxa"/>
            <w:vAlign w:val="center"/>
          </w:tcPr>
          <w:p>
            <w:pPr>
              <w:spacing w:line="360" w:lineRule="auto"/>
              <w:jc w:val="center"/>
              <w:rPr>
                <w:color w:val="000000"/>
                <w:highlight w:val="none"/>
              </w:rPr>
            </w:pPr>
            <w:r>
              <w:rPr>
                <w:color w:val="000000"/>
                <w:highlight w:val="none"/>
              </w:rPr>
              <w:t>3</w:t>
            </w:r>
          </w:p>
        </w:tc>
        <w:tc>
          <w:tcPr>
            <w:tcW w:w="3090" w:type="dxa"/>
            <w:vAlign w:val="center"/>
          </w:tcPr>
          <w:p>
            <w:pPr>
              <w:spacing w:line="360" w:lineRule="auto"/>
              <w:jc w:val="center"/>
              <w:rPr>
                <w:color w:val="000000"/>
                <w:highlight w:val="none"/>
              </w:rPr>
            </w:pPr>
          </w:p>
        </w:tc>
        <w:tc>
          <w:tcPr>
            <w:tcW w:w="2472" w:type="dxa"/>
            <w:vAlign w:val="center"/>
          </w:tcPr>
          <w:p>
            <w:pPr>
              <w:spacing w:line="360" w:lineRule="auto"/>
              <w:jc w:val="center"/>
              <w:rPr>
                <w:color w:val="000000"/>
                <w:highlight w:val="none"/>
              </w:rPr>
            </w:pPr>
          </w:p>
        </w:tc>
        <w:tc>
          <w:tcPr>
            <w:tcW w:w="1698" w:type="dxa"/>
            <w:vAlign w:val="center"/>
          </w:tcPr>
          <w:p>
            <w:pPr>
              <w:spacing w:line="360" w:lineRule="auto"/>
              <w:jc w:val="center"/>
              <w:rPr>
                <w:color w:val="000000"/>
                <w:highlight w:val="none"/>
              </w:rPr>
            </w:pPr>
          </w:p>
        </w:tc>
        <w:tc>
          <w:tcPr>
            <w:tcW w:w="1080" w:type="dxa"/>
            <w:vAlign w:val="center"/>
          </w:tcPr>
          <w:p>
            <w:pPr>
              <w:spacing w:line="360" w:lineRule="auto"/>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0" w:type="dxa"/>
            <w:vAlign w:val="center"/>
          </w:tcPr>
          <w:p>
            <w:pPr>
              <w:spacing w:line="360" w:lineRule="auto"/>
              <w:jc w:val="center"/>
              <w:rPr>
                <w:color w:val="000000"/>
                <w:highlight w:val="none"/>
              </w:rPr>
            </w:pPr>
            <w:r>
              <w:rPr>
                <w:color w:val="000000"/>
                <w:highlight w:val="none"/>
              </w:rPr>
              <w:t>4</w:t>
            </w:r>
          </w:p>
        </w:tc>
        <w:tc>
          <w:tcPr>
            <w:tcW w:w="3090" w:type="dxa"/>
            <w:vAlign w:val="center"/>
          </w:tcPr>
          <w:p>
            <w:pPr>
              <w:spacing w:line="360" w:lineRule="auto"/>
              <w:jc w:val="center"/>
              <w:rPr>
                <w:color w:val="000000"/>
                <w:highlight w:val="none"/>
              </w:rPr>
            </w:pPr>
          </w:p>
        </w:tc>
        <w:tc>
          <w:tcPr>
            <w:tcW w:w="2472" w:type="dxa"/>
            <w:vAlign w:val="center"/>
          </w:tcPr>
          <w:p>
            <w:pPr>
              <w:spacing w:line="360" w:lineRule="auto"/>
              <w:jc w:val="center"/>
              <w:rPr>
                <w:color w:val="000000"/>
                <w:highlight w:val="none"/>
              </w:rPr>
            </w:pPr>
          </w:p>
        </w:tc>
        <w:tc>
          <w:tcPr>
            <w:tcW w:w="1698" w:type="dxa"/>
            <w:vAlign w:val="center"/>
          </w:tcPr>
          <w:p>
            <w:pPr>
              <w:spacing w:line="360" w:lineRule="auto"/>
              <w:jc w:val="center"/>
              <w:rPr>
                <w:color w:val="000000"/>
                <w:highlight w:val="none"/>
              </w:rPr>
            </w:pPr>
          </w:p>
        </w:tc>
        <w:tc>
          <w:tcPr>
            <w:tcW w:w="1080" w:type="dxa"/>
            <w:vAlign w:val="center"/>
          </w:tcPr>
          <w:p>
            <w:pPr>
              <w:spacing w:line="360" w:lineRule="auto"/>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0" w:type="dxa"/>
            <w:vAlign w:val="center"/>
          </w:tcPr>
          <w:p>
            <w:pPr>
              <w:spacing w:line="360" w:lineRule="auto"/>
              <w:jc w:val="center"/>
              <w:rPr>
                <w:color w:val="000000"/>
                <w:highlight w:val="none"/>
              </w:rPr>
            </w:pPr>
            <w:r>
              <w:rPr>
                <w:color w:val="000000"/>
                <w:highlight w:val="none"/>
              </w:rPr>
              <w:t>5</w:t>
            </w:r>
          </w:p>
        </w:tc>
        <w:tc>
          <w:tcPr>
            <w:tcW w:w="3090" w:type="dxa"/>
            <w:vAlign w:val="center"/>
          </w:tcPr>
          <w:p>
            <w:pPr>
              <w:spacing w:line="360" w:lineRule="auto"/>
              <w:jc w:val="center"/>
              <w:rPr>
                <w:color w:val="000000"/>
                <w:highlight w:val="none"/>
              </w:rPr>
            </w:pPr>
          </w:p>
        </w:tc>
        <w:tc>
          <w:tcPr>
            <w:tcW w:w="2472" w:type="dxa"/>
            <w:vAlign w:val="center"/>
          </w:tcPr>
          <w:p>
            <w:pPr>
              <w:spacing w:line="360" w:lineRule="auto"/>
              <w:jc w:val="center"/>
              <w:rPr>
                <w:color w:val="000000"/>
                <w:highlight w:val="none"/>
              </w:rPr>
            </w:pPr>
          </w:p>
        </w:tc>
        <w:tc>
          <w:tcPr>
            <w:tcW w:w="1698" w:type="dxa"/>
            <w:vAlign w:val="center"/>
          </w:tcPr>
          <w:p>
            <w:pPr>
              <w:spacing w:line="360" w:lineRule="auto"/>
              <w:jc w:val="center"/>
              <w:rPr>
                <w:color w:val="000000"/>
                <w:highlight w:val="none"/>
              </w:rPr>
            </w:pPr>
          </w:p>
        </w:tc>
        <w:tc>
          <w:tcPr>
            <w:tcW w:w="1080" w:type="dxa"/>
            <w:vAlign w:val="center"/>
          </w:tcPr>
          <w:p>
            <w:pPr>
              <w:spacing w:line="360" w:lineRule="auto"/>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0" w:type="dxa"/>
            <w:vAlign w:val="center"/>
          </w:tcPr>
          <w:p>
            <w:pPr>
              <w:spacing w:line="360" w:lineRule="auto"/>
              <w:jc w:val="center"/>
              <w:rPr>
                <w:color w:val="000000"/>
                <w:highlight w:val="none"/>
              </w:rPr>
            </w:pPr>
            <w:r>
              <w:rPr>
                <w:rFonts w:hint="eastAsia"/>
                <w:color w:val="000000"/>
                <w:highlight w:val="none"/>
              </w:rPr>
              <w:t>..</w:t>
            </w:r>
          </w:p>
        </w:tc>
        <w:tc>
          <w:tcPr>
            <w:tcW w:w="3090" w:type="dxa"/>
            <w:vAlign w:val="center"/>
          </w:tcPr>
          <w:p>
            <w:pPr>
              <w:spacing w:line="360" w:lineRule="auto"/>
              <w:jc w:val="center"/>
              <w:rPr>
                <w:color w:val="000000"/>
                <w:highlight w:val="none"/>
              </w:rPr>
            </w:pPr>
          </w:p>
        </w:tc>
        <w:tc>
          <w:tcPr>
            <w:tcW w:w="2472" w:type="dxa"/>
            <w:vAlign w:val="center"/>
          </w:tcPr>
          <w:p>
            <w:pPr>
              <w:spacing w:line="360" w:lineRule="auto"/>
              <w:jc w:val="center"/>
              <w:rPr>
                <w:color w:val="000000"/>
                <w:highlight w:val="none"/>
              </w:rPr>
            </w:pPr>
          </w:p>
        </w:tc>
        <w:tc>
          <w:tcPr>
            <w:tcW w:w="1698" w:type="dxa"/>
            <w:vAlign w:val="center"/>
          </w:tcPr>
          <w:p>
            <w:pPr>
              <w:spacing w:line="360" w:lineRule="auto"/>
              <w:jc w:val="center"/>
              <w:rPr>
                <w:color w:val="000000"/>
                <w:highlight w:val="none"/>
              </w:rPr>
            </w:pPr>
          </w:p>
        </w:tc>
        <w:tc>
          <w:tcPr>
            <w:tcW w:w="1080" w:type="dxa"/>
            <w:vAlign w:val="center"/>
          </w:tcPr>
          <w:p>
            <w:pPr>
              <w:spacing w:line="360" w:lineRule="auto"/>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690" w:type="dxa"/>
            <w:vAlign w:val="center"/>
          </w:tcPr>
          <w:p>
            <w:pPr>
              <w:spacing w:line="360" w:lineRule="auto"/>
              <w:jc w:val="center"/>
              <w:rPr>
                <w:color w:val="000000"/>
                <w:highlight w:val="none"/>
              </w:rPr>
            </w:pPr>
            <w:r>
              <w:rPr>
                <w:rFonts w:hint="eastAsia"/>
                <w:color w:val="000000"/>
                <w:highlight w:val="none"/>
              </w:rPr>
              <w:t>...</w:t>
            </w:r>
          </w:p>
        </w:tc>
        <w:tc>
          <w:tcPr>
            <w:tcW w:w="3090" w:type="dxa"/>
            <w:vAlign w:val="center"/>
          </w:tcPr>
          <w:p>
            <w:pPr>
              <w:spacing w:line="360" w:lineRule="auto"/>
              <w:jc w:val="center"/>
              <w:rPr>
                <w:color w:val="000000"/>
                <w:highlight w:val="none"/>
              </w:rPr>
            </w:pPr>
          </w:p>
        </w:tc>
        <w:tc>
          <w:tcPr>
            <w:tcW w:w="2472" w:type="dxa"/>
            <w:vAlign w:val="center"/>
          </w:tcPr>
          <w:p>
            <w:pPr>
              <w:spacing w:line="360" w:lineRule="auto"/>
              <w:jc w:val="center"/>
              <w:rPr>
                <w:color w:val="000000"/>
                <w:highlight w:val="none"/>
              </w:rPr>
            </w:pPr>
          </w:p>
        </w:tc>
        <w:tc>
          <w:tcPr>
            <w:tcW w:w="1698" w:type="dxa"/>
            <w:vAlign w:val="center"/>
          </w:tcPr>
          <w:p>
            <w:pPr>
              <w:spacing w:line="360" w:lineRule="auto"/>
              <w:jc w:val="center"/>
              <w:rPr>
                <w:color w:val="000000"/>
                <w:highlight w:val="none"/>
              </w:rPr>
            </w:pPr>
          </w:p>
        </w:tc>
        <w:tc>
          <w:tcPr>
            <w:tcW w:w="1080" w:type="dxa"/>
            <w:vAlign w:val="center"/>
          </w:tcPr>
          <w:p>
            <w:pPr>
              <w:spacing w:line="360" w:lineRule="auto"/>
              <w:jc w:val="center"/>
              <w:rPr>
                <w:color w:val="000000"/>
                <w:highlight w:val="none"/>
              </w:rPr>
            </w:pPr>
          </w:p>
        </w:tc>
      </w:tr>
    </w:tbl>
    <w:p>
      <w:pPr>
        <w:spacing w:line="360" w:lineRule="auto"/>
        <w:rPr>
          <w:b/>
          <w:bCs/>
          <w:color w:val="000000"/>
          <w:highlight w:val="none"/>
        </w:rPr>
      </w:pPr>
    </w:p>
    <w:p>
      <w:pPr>
        <w:spacing w:line="360" w:lineRule="auto"/>
        <w:rPr>
          <w:color w:val="000000"/>
          <w:highlight w:val="none"/>
        </w:rPr>
      </w:pPr>
      <w:r>
        <w:rPr>
          <w:color w:val="000000"/>
          <w:highlight w:val="none"/>
        </w:rPr>
        <w:t>附：提供合同业绩证明材料复印件</w:t>
      </w:r>
    </w:p>
    <w:p>
      <w:pPr>
        <w:pStyle w:val="6"/>
        <w:rPr>
          <w:b/>
          <w:bCs/>
          <w:color w:val="000000"/>
          <w:sz w:val="24"/>
          <w:szCs w:val="24"/>
          <w:highlight w:val="none"/>
          <w:u w:val="none"/>
        </w:rPr>
      </w:pPr>
      <w:r>
        <w:rPr>
          <w:rFonts w:hint="eastAsia"/>
          <w:b/>
          <w:bCs/>
          <w:color w:val="000000"/>
          <w:sz w:val="24"/>
          <w:szCs w:val="24"/>
          <w:highlight w:val="none"/>
          <w:u w:val="none"/>
        </w:rPr>
        <w:br w:type="page"/>
      </w:r>
      <w:r>
        <w:rPr>
          <w:rFonts w:hint="eastAsia"/>
          <w:b/>
          <w:bCs/>
          <w:color w:val="000000"/>
          <w:sz w:val="24"/>
          <w:szCs w:val="24"/>
          <w:highlight w:val="none"/>
          <w:u w:val="none"/>
        </w:rPr>
        <w:t>（2）项目负责人简历</w:t>
      </w:r>
    </w:p>
    <w:tbl>
      <w:tblPr>
        <w:tblStyle w:val="16"/>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1642"/>
        <w:gridCol w:w="759"/>
        <w:gridCol w:w="969"/>
        <w:gridCol w:w="732"/>
        <w:gridCol w:w="708"/>
        <w:gridCol w:w="672"/>
        <w:gridCol w:w="218"/>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r>
              <w:rPr>
                <w:color w:val="000000"/>
                <w:highlight w:val="none"/>
              </w:rPr>
              <w:t>姓名</w:t>
            </w:r>
          </w:p>
        </w:tc>
        <w:tc>
          <w:tcPr>
            <w:tcW w:w="1642" w:type="dxa"/>
            <w:vAlign w:val="center"/>
          </w:tcPr>
          <w:p>
            <w:pPr>
              <w:jc w:val="center"/>
              <w:rPr>
                <w:color w:val="000000"/>
                <w:highlight w:val="none"/>
              </w:rPr>
            </w:pPr>
          </w:p>
        </w:tc>
        <w:tc>
          <w:tcPr>
            <w:tcW w:w="759" w:type="dxa"/>
            <w:vAlign w:val="center"/>
          </w:tcPr>
          <w:p>
            <w:pPr>
              <w:jc w:val="center"/>
              <w:rPr>
                <w:color w:val="000000"/>
                <w:highlight w:val="none"/>
              </w:rPr>
            </w:pPr>
            <w:r>
              <w:rPr>
                <w:color w:val="000000"/>
                <w:highlight w:val="none"/>
              </w:rPr>
              <w:t>性别</w:t>
            </w:r>
          </w:p>
        </w:tc>
        <w:tc>
          <w:tcPr>
            <w:tcW w:w="969" w:type="dxa"/>
            <w:vAlign w:val="center"/>
          </w:tcPr>
          <w:p>
            <w:pPr>
              <w:jc w:val="center"/>
              <w:rPr>
                <w:color w:val="000000"/>
                <w:highlight w:val="none"/>
              </w:rPr>
            </w:pPr>
          </w:p>
        </w:tc>
        <w:tc>
          <w:tcPr>
            <w:tcW w:w="732" w:type="dxa"/>
            <w:vAlign w:val="center"/>
          </w:tcPr>
          <w:p>
            <w:pPr>
              <w:jc w:val="center"/>
              <w:rPr>
                <w:color w:val="000000"/>
                <w:highlight w:val="none"/>
              </w:rPr>
            </w:pPr>
            <w:r>
              <w:rPr>
                <w:color w:val="000000"/>
                <w:highlight w:val="none"/>
              </w:rPr>
              <w:t>年龄</w:t>
            </w:r>
          </w:p>
        </w:tc>
        <w:tc>
          <w:tcPr>
            <w:tcW w:w="708" w:type="dxa"/>
            <w:vAlign w:val="center"/>
          </w:tcPr>
          <w:p>
            <w:pPr>
              <w:jc w:val="center"/>
              <w:rPr>
                <w:color w:val="000000"/>
                <w:highlight w:val="none"/>
              </w:rPr>
            </w:pPr>
          </w:p>
        </w:tc>
        <w:tc>
          <w:tcPr>
            <w:tcW w:w="672" w:type="dxa"/>
            <w:vAlign w:val="center"/>
          </w:tcPr>
          <w:p>
            <w:pPr>
              <w:jc w:val="center"/>
              <w:rPr>
                <w:color w:val="000000"/>
                <w:highlight w:val="none"/>
              </w:rPr>
            </w:pPr>
            <w:r>
              <w:rPr>
                <w:color w:val="000000"/>
                <w:highlight w:val="none"/>
              </w:rPr>
              <w:t>职务</w:t>
            </w:r>
          </w:p>
        </w:tc>
        <w:tc>
          <w:tcPr>
            <w:tcW w:w="2543" w:type="dxa"/>
            <w:gridSpan w:val="2"/>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r>
              <w:rPr>
                <w:color w:val="000000"/>
                <w:highlight w:val="none"/>
              </w:rPr>
              <w:t>毕业院校</w:t>
            </w:r>
          </w:p>
        </w:tc>
        <w:tc>
          <w:tcPr>
            <w:tcW w:w="8025" w:type="dxa"/>
            <w:gridSpan w:val="8"/>
            <w:vAlign w:val="center"/>
          </w:tcPr>
          <w:p>
            <w:pPr>
              <w:rPr>
                <w:color w:val="000000"/>
                <w:highlight w:val="none"/>
              </w:rPr>
            </w:pPr>
            <w:r>
              <w:rPr>
                <w:color w:val="000000"/>
                <w:highlight w:val="none"/>
              </w:rPr>
              <w:t>年月毕业于学校专业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r>
              <w:rPr>
                <w:color w:val="000000"/>
                <w:highlight w:val="none"/>
              </w:rPr>
              <w:t>职称</w:t>
            </w:r>
          </w:p>
        </w:tc>
        <w:tc>
          <w:tcPr>
            <w:tcW w:w="1642" w:type="dxa"/>
            <w:vAlign w:val="center"/>
          </w:tcPr>
          <w:p>
            <w:pPr>
              <w:rPr>
                <w:color w:val="000000"/>
                <w:highlight w:val="none"/>
                <w:u w:val="single"/>
              </w:rPr>
            </w:pPr>
          </w:p>
        </w:tc>
        <w:tc>
          <w:tcPr>
            <w:tcW w:w="759" w:type="dxa"/>
            <w:vAlign w:val="center"/>
          </w:tcPr>
          <w:p>
            <w:pPr>
              <w:jc w:val="center"/>
              <w:rPr>
                <w:color w:val="000000"/>
                <w:highlight w:val="none"/>
              </w:rPr>
            </w:pPr>
            <w:r>
              <w:rPr>
                <w:color w:val="000000"/>
                <w:highlight w:val="none"/>
              </w:rPr>
              <w:t>执业资格</w:t>
            </w:r>
          </w:p>
        </w:tc>
        <w:tc>
          <w:tcPr>
            <w:tcW w:w="5624" w:type="dxa"/>
            <w:gridSpan w:val="6"/>
            <w:vAlign w:val="center"/>
          </w:tcPr>
          <w:p>
            <w:pPr>
              <w:rPr>
                <w:color w:val="000000"/>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093" w:type="dxa"/>
            <w:gridSpan w:val="9"/>
            <w:vAlign w:val="center"/>
          </w:tcPr>
          <w:p>
            <w:pPr>
              <w:jc w:val="center"/>
              <w:rPr>
                <w:color w:val="000000"/>
                <w:highlight w:val="none"/>
              </w:rPr>
            </w:pPr>
            <w:r>
              <w:rPr>
                <w:color w:val="000000"/>
                <w:highlight w:val="none"/>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r>
              <w:rPr>
                <w:color w:val="000000"/>
                <w:highlight w:val="none"/>
              </w:rPr>
              <w:t>起止时间</w:t>
            </w:r>
          </w:p>
        </w:tc>
        <w:tc>
          <w:tcPr>
            <w:tcW w:w="4102" w:type="dxa"/>
            <w:gridSpan w:val="4"/>
            <w:vAlign w:val="center"/>
          </w:tcPr>
          <w:p>
            <w:pPr>
              <w:jc w:val="center"/>
              <w:rPr>
                <w:color w:val="000000"/>
                <w:highlight w:val="none"/>
              </w:rPr>
            </w:pPr>
            <w:r>
              <w:rPr>
                <w:color w:val="000000"/>
                <w:highlight w:val="none"/>
              </w:rPr>
              <w:t>项目名称</w:t>
            </w:r>
          </w:p>
        </w:tc>
        <w:tc>
          <w:tcPr>
            <w:tcW w:w="1598" w:type="dxa"/>
            <w:gridSpan w:val="3"/>
            <w:vAlign w:val="center"/>
          </w:tcPr>
          <w:p>
            <w:pPr>
              <w:jc w:val="center"/>
              <w:rPr>
                <w:color w:val="000000"/>
                <w:highlight w:val="none"/>
              </w:rPr>
            </w:pPr>
            <w:r>
              <w:rPr>
                <w:color w:val="000000"/>
                <w:highlight w:val="none"/>
              </w:rPr>
              <w:t>担任职务</w:t>
            </w:r>
          </w:p>
        </w:tc>
        <w:tc>
          <w:tcPr>
            <w:tcW w:w="2325" w:type="dxa"/>
            <w:vAlign w:val="center"/>
          </w:tcPr>
          <w:p>
            <w:pPr>
              <w:jc w:val="center"/>
              <w:rPr>
                <w:color w:val="000000"/>
                <w:highlight w:val="none"/>
              </w:rPr>
            </w:pPr>
            <w:r>
              <w:rPr>
                <w:rFonts w:hint="eastAsia"/>
                <w:color w:val="00000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p>
        </w:tc>
        <w:tc>
          <w:tcPr>
            <w:tcW w:w="4102" w:type="dxa"/>
            <w:gridSpan w:val="4"/>
            <w:vAlign w:val="center"/>
          </w:tcPr>
          <w:p>
            <w:pPr>
              <w:jc w:val="center"/>
              <w:rPr>
                <w:color w:val="000000"/>
                <w:highlight w:val="none"/>
              </w:rPr>
            </w:pPr>
          </w:p>
        </w:tc>
        <w:tc>
          <w:tcPr>
            <w:tcW w:w="1598" w:type="dxa"/>
            <w:gridSpan w:val="3"/>
            <w:vAlign w:val="center"/>
          </w:tcPr>
          <w:p>
            <w:pPr>
              <w:jc w:val="center"/>
              <w:rPr>
                <w:color w:val="000000"/>
                <w:highlight w:val="none"/>
              </w:rPr>
            </w:pPr>
          </w:p>
        </w:tc>
        <w:tc>
          <w:tcPr>
            <w:tcW w:w="2325" w:type="dxa"/>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p>
        </w:tc>
        <w:tc>
          <w:tcPr>
            <w:tcW w:w="4102" w:type="dxa"/>
            <w:gridSpan w:val="4"/>
            <w:vAlign w:val="center"/>
          </w:tcPr>
          <w:p>
            <w:pPr>
              <w:jc w:val="center"/>
              <w:rPr>
                <w:color w:val="000000"/>
                <w:highlight w:val="none"/>
              </w:rPr>
            </w:pPr>
          </w:p>
        </w:tc>
        <w:tc>
          <w:tcPr>
            <w:tcW w:w="1598" w:type="dxa"/>
            <w:gridSpan w:val="3"/>
            <w:vAlign w:val="center"/>
          </w:tcPr>
          <w:p>
            <w:pPr>
              <w:jc w:val="center"/>
              <w:rPr>
                <w:color w:val="000000"/>
                <w:highlight w:val="none"/>
              </w:rPr>
            </w:pPr>
          </w:p>
        </w:tc>
        <w:tc>
          <w:tcPr>
            <w:tcW w:w="2325" w:type="dxa"/>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p>
        </w:tc>
        <w:tc>
          <w:tcPr>
            <w:tcW w:w="4102" w:type="dxa"/>
            <w:gridSpan w:val="4"/>
            <w:vAlign w:val="center"/>
          </w:tcPr>
          <w:p>
            <w:pPr>
              <w:jc w:val="center"/>
              <w:rPr>
                <w:color w:val="000000"/>
                <w:highlight w:val="none"/>
              </w:rPr>
            </w:pPr>
          </w:p>
        </w:tc>
        <w:tc>
          <w:tcPr>
            <w:tcW w:w="1598" w:type="dxa"/>
            <w:gridSpan w:val="3"/>
            <w:vAlign w:val="center"/>
          </w:tcPr>
          <w:p>
            <w:pPr>
              <w:jc w:val="center"/>
              <w:rPr>
                <w:color w:val="000000"/>
                <w:highlight w:val="none"/>
              </w:rPr>
            </w:pPr>
          </w:p>
        </w:tc>
        <w:tc>
          <w:tcPr>
            <w:tcW w:w="2325" w:type="dxa"/>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p>
        </w:tc>
        <w:tc>
          <w:tcPr>
            <w:tcW w:w="4102" w:type="dxa"/>
            <w:gridSpan w:val="4"/>
            <w:vAlign w:val="center"/>
          </w:tcPr>
          <w:p>
            <w:pPr>
              <w:jc w:val="center"/>
              <w:rPr>
                <w:color w:val="000000"/>
                <w:highlight w:val="none"/>
              </w:rPr>
            </w:pPr>
          </w:p>
        </w:tc>
        <w:tc>
          <w:tcPr>
            <w:tcW w:w="1598" w:type="dxa"/>
            <w:gridSpan w:val="3"/>
            <w:vAlign w:val="center"/>
          </w:tcPr>
          <w:p>
            <w:pPr>
              <w:jc w:val="center"/>
              <w:rPr>
                <w:color w:val="000000"/>
                <w:highlight w:val="none"/>
              </w:rPr>
            </w:pPr>
          </w:p>
        </w:tc>
        <w:tc>
          <w:tcPr>
            <w:tcW w:w="2325" w:type="dxa"/>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p>
        </w:tc>
        <w:tc>
          <w:tcPr>
            <w:tcW w:w="4102" w:type="dxa"/>
            <w:gridSpan w:val="4"/>
            <w:vAlign w:val="center"/>
          </w:tcPr>
          <w:p>
            <w:pPr>
              <w:jc w:val="center"/>
              <w:rPr>
                <w:color w:val="000000"/>
                <w:highlight w:val="none"/>
              </w:rPr>
            </w:pPr>
          </w:p>
        </w:tc>
        <w:tc>
          <w:tcPr>
            <w:tcW w:w="1598" w:type="dxa"/>
            <w:gridSpan w:val="3"/>
            <w:vAlign w:val="center"/>
          </w:tcPr>
          <w:p>
            <w:pPr>
              <w:jc w:val="center"/>
              <w:rPr>
                <w:color w:val="000000"/>
                <w:highlight w:val="none"/>
              </w:rPr>
            </w:pPr>
          </w:p>
        </w:tc>
        <w:tc>
          <w:tcPr>
            <w:tcW w:w="2325" w:type="dxa"/>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p>
        </w:tc>
        <w:tc>
          <w:tcPr>
            <w:tcW w:w="4102" w:type="dxa"/>
            <w:gridSpan w:val="4"/>
            <w:vAlign w:val="center"/>
          </w:tcPr>
          <w:p>
            <w:pPr>
              <w:jc w:val="center"/>
              <w:rPr>
                <w:color w:val="000000"/>
                <w:highlight w:val="none"/>
              </w:rPr>
            </w:pPr>
          </w:p>
        </w:tc>
        <w:tc>
          <w:tcPr>
            <w:tcW w:w="1598" w:type="dxa"/>
            <w:gridSpan w:val="3"/>
            <w:vAlign w:val="center"/>
          </w:tcPr>
          <w:p>
            <w:pPr>
              <w:jc w:val="center"/>
              <w:rPr>
                <w:color w:val="000000"/>
                <w:highlight w:val="none"/>
              </w:rPr>
            </w:pPr>
          </w:p>
        </w:tc>
        <w:tc>
          <w:tcPr>
            <w:tcW w:w="2325" w:type="dxa"/>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p>
        </w:tc>
        <w:tc>
          <w:tcPr>
            <w:tcW w:w="4102" w:type="dxa"/>
            <w:gridSpan w:val="4"/>
            <w:vAlign w:val="center"/>
          </w:tcPr>
          <w:p>
            <w:pPr>
              <w:jc w:val="center"/>
              <w:rPr>
                <w:color w:val="000000"/>
                <w:highlight w:val="none"/>
              </w:rPr>
            </w:pPr>
          </w:p>
        </w:tc>
        <w:tc>
          <w:tcPr>
            <w:tcW w:w="1598" w:type="dxa"/>
            <w:gridSpan w:val="3"/>
            <w:vAlign w:val="center"/>
          </w:tcPr>
          <w:p>
            <w:pPr>
              <w:jc w:val="center"/>
              <w:rPr>
                <w:color w:val="000000"/>
                <w:highlight w:val="none"/>
              </w:rPr>
            </w:pPr>
          </w:p>
        </w:tc>
        <w:tc>
          <w:tcPr>
            <w:tcW w:w="2325" w:type="dxa"/>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p>
        </w:tc>
        <w:tc>
          <w:tcPr>
            <w:tcW w:w="4102" w:type="dxa"/>
            <w:gridSpan w:val="4"/>
            <w:vAlign w:val="center"/>
          </w:tcPr>
          <w:p>
            <w:pPr>
              <w:jc w:val="center"/>
              <w:rPr>
                <w:color w:val="000000"/>
                <w:highlight w:val="none"/>
              </w:rPr>
            </w:pPr>
          </w:p>
        </w:tc>
        <w:tc>
          <w:tcPr>
            <w:tcW w:w="1598" w:type="dxa"/>
            <w:gridSpan w:val="3"/>
            <w:vAlign w:val="center"/>
          </w:tcPr>
          <w:p>
            <w:pPr>
              <w:jc w:val="center"/>
              <w:rPr>
                <w:color w:val="000000"/>
                <w:highlight w:val="none"/>
              </w:rPr>
            </w:pPr>
          </w:p>
        </w:tc>
        <w:tc>
          <w:tcPr>
            <w:tcW w:w="2325" w:type="dxa"/>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p>
        </w:tc>
        <w:tc>
          <w:tcPr>
            <w:tcW w:w="4102" w:type="dxa"/>
            <w:gridSpan w:val="4"/>
            <w:vAlign w:val="center"/>
          </w:tcPr>
          <w:p>
            <w:pPr>
              <w:jc w:val="center"/>
              <w:rPr>
                <w:color w:val="000000"/>
                <w:highlight w:val="none"/>
              </w:rPr>
            </w:pPr>
          </w:p>
        </w:tc>
        <w:tc>
          <w:tcPr>
            <w:tcW w:w="1598" w:type="dxa"/>
            <w:gridSpan w:val="3"/>
            <w:vAlign w:val="center"/>
          </w:tcPr>
          <w:p>
            <w:pPr>
              <w:jc w:val="center"/>
              <w:rPr>
                <w:color w:val="000000"/>
                <w:highlight w:val="none"/>
              </w:rPr>
            </w:pPr>
          </w:p>
        </w:tc>
        <w:tc>
          <w:tcPr>
            <w:tcW w:w="2325" w:type="dxa"/>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8" w:type="dxa"/>
            <w:vAlign w:val="center"/>
          </w:tcPr>
          <w:p>
            <w:pPr>
              <w:jc w:val="center"/>
              <w:rPr>
                <w:color w:val="000000"/>
                <w:highlight w:val="none"/>
              </w:rPr>
            </w:pPr>
          </w:p>
        </w:tc>
        <w:tc>
          <w:tcPr>
            <w:tcW w:w="4102" w:type="dxa"/>
            <w:gridSpan w:val="4"/>
            <w:vAlign w:val="center"/>
          </w:tcPr>
          <w:p>
            <w:pPr>
              <w:jc w:val="center"/>
              <w:rPr>
                <w:color w:val="000000"/>
                <w:highlight w:val="none"/>
              </w:rPr>
            </w:pPr>
          </w:p>
        </w:tc>
        <w:tc>
          <w:tcPr>
            <w:tcW w:w="1598" w:type="dxa"/>
            <w:gridSpan w:val="3"/>
            <w:vAlign w:val="center"/>
          </w:tcPr>
          <w:p>
            <w:pPr>
              <w:jc w:val="center"/>
              <w:rPr>
                <w:color w:val="000000"/>
                <w:highlight w:val="none"/>
              </w:rPr>
            </w:pPr>
          </w:p>
        </w:tc>
        <w:tc>
          <w:tcPr>
            <w:tcW w:w="2325" w:type="dxa"/>
            <w:vAlign w:val="center"/>
          </w:tcPr>
          <w:p>
            <w:pPr>
              <w:jc w:val="center"/>
              <w:rPr>
                <w:color w:val="000000"/>
                <w:highlight w:val="none"/>
              </w:rPr>
            </w:pPr>
          </w:p>
        </w:tc>
      </w:tr>
    </w:tbl>
    <w:p>
      <w:pPr>
        <w:adjustRightInd w:val="0"/>
        <w:spacing w:line="400" w:lineRule="exact"/>
        <w:jc w:val="left"/>
        <w:rPr>
          <w:color w:val="000000"/>
          <w:szCs w:val="21"/>
          <w:highlight w:val="none"/>
        </w:rPr>
      </w:pPr>
      <w:r>
        <w:rPr>
          <w:bCs/>
          <w:color w:val="000000"/>
          <w:szCs w:val="21"/>
          <w:highlight w:val="none"/>
        </w:rPr>
        <w:t>注：附相关证书扫描件或复印件并加盖公章</w:t>
      </w:r>
    </w:p>
    <w:p>
      <w:pPr>
        <w:pStyle w:val="5"/>
        <w:adjustRightInd/>
        <w:spacing w:before="240" w:beforeLines="100" w:after="240" w:afterLines="100"/>
        <w:jc w:val="both"/>
        <w:rPr>
          <w:rFonts w:ascii="Times New Roman"/>
          <w:color w:val="000000"/>
          <w:highlight w:val="none"/>
        </w:rPr>
        <w:sectPr>
          <w:footerReference r:id="rId10" w:type="default"/>
          <w:pgSz w:w="11907" w:h="16840"/>
          <w:pgMar w:top="1440" w:right="1474" w:bottom="1440" w:left="1474" w:header="851" w:footer="992" w:gutter="0"/>
          <w:cols w:space="720" w:num="1"/>
          <w:docGrid w:linePitch="312" w:charSpace="0"/>
        </w:sectPr>
      </w:pPr>
    </w:p>
    <w:p>
      <w:pPr>
        <w:pStyle w:val="5"/>
        <w:adjustRightInd/>
        <w:spacing w:before="240" w:beforeLines="100" w:after="240" w:afterLines="100"/>
        <w:jc w:val="both"/>
        <w:rPr>
          <w:rFonts w:ascii="Times New Roman"/>
          <w:color w:val="000000"/>
          <w:highlight w:val="none"/>
          <w:u w:val="none"/>
        </w:rPr>
      </w:pPr>
      <w:r>
        <w:rPr>
          <w:rFonts w:hint="eastAsia" w:ascii="Times New Roman"/>
          <w:color w:val="000000"/>
          <w:highlight w:val="none"/>
          <w:u w:val="none"/>
        </w:rPr>
        <w:t>（3）项目团队人员情况：</w:t>
      </w:r>
    </w:p>
    <w:tbl>
      <w:tblPr>
        <w:tblStyle w:val="16"/>
        <w:tblW w:w="903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1953"/>
        <w:gridCol w:w="1276"/>
        <w:gridCol w:w="1450"/>
        <w:gridCol w:w="1243"/>
        <w:gridCol w:w="1450"/>
        <w:gridCol w:w="166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jc w:val="center"/>
        </w:trPr>
        <w:tc>
          <w:tcPr>
            <w:tcW w:w="1953" w:type="dxa"/>
            <w:vAlign w:val="center"/>
          </w:tcPr>
          <w:p>
            <w:pPr>
              <w:pStyle w:val="2"/>
              <w:keepNext/>
              <w:spacing w:line="440" w:lineRule="exact"/>
              <w:ind w:left="63" w:right="63"/>
              <w:rPr>
                <w:rFonts w:ascii="宋体" w:hAnsi="宋体"/>
                <w:color w:val="000000"/>
                <w:sz w:val="24"/>
                <w:szCs w:val="24"/>
                <w:highlight w:val="none"/>
              </w:rPr>
            </w:pPr>
            <w:r>
              <w:rPr>
                <w:rFonts w:hint="eastAsia" w:ascii="宋体" w:hAnsi="宋体"/>
                <w:color w:val="000000"/>
                <w:sz w:val="24"/>
                <w:szCs w:val="24"/>
                <w:highlight w:val="none"/>
              </w:rPr>
              <w:t>序号</w:t>
            </w:r>
          </w:p>
        </w:tc>
        <w:tc>
          <w:tcPr>
            <w:tcW w:w="1276" w:type="dxa"/>
            <w:vAlign w:val="center"/>
          </w:tcPr>
          <w:p>
            <w:pPr>
              <w:pStyle w:val="2"/>
              <w:keepNext/>
              <w:spacing w:line="440" w:lineRule="exact"/>
              <w:ind w:left="63" w:right="63"/>
              <w:rPr>
                <w:rFonts w:ascii="宋体" w:hAnsi="宋体"/>
                <w:color w:val="000000"/>
                <w:sz w:val="24"/>
                <w:szCs w:val="24"/>
                <w:highlight w:val="none"/>
              </w:rPr>
            </w:pPr>
            <w:r>
              <w:rPr>
                <w:rFonts w:hint="eastAsia" w:ascii="宋体" w:hAnsi="宋体"/>
                <w:color w:val="000000"/>
                <w:sz w:val="24"/>
                <w:szCs w:val="24"/>
                <w:highlight w:val="none"/>
              </w:rPr>
              <w:t>姓名</w:t>
            </w:r>
          </w:p>
        </w:tc>
        <w:tc>
          <w:tcPr>
            <w:tcW w:w="1450" w:type="dxa"/>
            <w:vAlign w:val="center"/>
          </w:tcPr>
          <w:p>
            <w:pPr>
              <w:pStyle w:val="2"/>
              <w:keepNext/>
              <w:spacing w:line="440" w:lineRule="exact"/>
              <w:ind w:left="63" w:right="63"/>
              <w:rPr>
                <w:rFonts w:ascii="宋体" w:hAnsi="宋体"/>
                <w:color w:val="000000"/>
                <w:sz w:val="24"/>
                <w:szCs w:val="24"/>
                <w:highlight w:val="none"/>
              </w:rPr>
            </w:pPr>
            <w:r>
              <w:rPr>
                <w:rFonts w:hint="eastAsia" w:ascii="宋体" w:hAnsi="宋体"/>
                <w:color w:val="000000"/>
                <w:sz w:val="24"/>
                <w:szCs w:val="24"/>
                <w:highlight w:val="none"/>
              </w:rPr>
              <w:t>职务</w:t>
            </w:r>
          </w:p>
        </w:tc>
        <w:tc>
          <w:tcPr>
            <w:tcW w:w="1243" w:type="dxa"/>
            <w:vAlign w:val="center"/>
          </w:tcPr>
          <w:p>
            <w:pPr>
              <w:pStyle w:val="2"/>
              <w:keepNext/>
              <w:spacing w:line="440" w:lineRule="exact"/>
              <w:ind w:left="63" w:right="63"/>
              <w:rPr>
                <w:rFonts w:ascii="宋体" w:hAnsi="宋体"/>
                <w:color w:val="000000"/>
                <w:sz w:val="24"/>
                <w:szCs w:val="24"/>
                <w:highlight w:val="none"/>
              </w:rPr>
            </w:pPr>
            <w:r>
              <w:rPr>
                <w:rFonts w:hint="eastAsia" w:ascii="宋体" w:hAnsi="宋体"/>
                <w:color w:val="000000"/>
                <w:sz w:val="24"/>
                <w:szCs w:val="24"/>
                <w:highlight w:val="none"/>
              </w:rPr>
              <w:t>职称</w:t>
            </w:r>
          </w:p>
        </w:tc>
        <w:tc>
          <w:tcPr>
            <w:tcW w:w="1450" w:type="dxa"/>
          </w:tcPr>
          <w:p>
            <w:pPr>
              <w:spacing w:line="440" w:lineRule="exact"/>
              <w:jc w:val="center"/>
              <w:rPr>
                <w:rFonts w:ascii="宋体" w:hAnsi="宋体"/>
                <w:color w:val="000000"/>
                <w:sz w:val="24"/>
                <w:highlight w:val="none"/>
              </w:rPr>
            </w:pPr>
            <w:r>
              <w:rPr>
                <w:rFonts w:hint="eastAsia" w:ascii="宋体" w:hAnsi="宋体"/>
                <w:color w:val="000000"/>
                <w:sz w:val="24"/>
                <w:highlight w:val="none"/>
              </w:rPr>
              <w:t>证书或相关证明资料</w:t>
            </w:r>
          </w:p>
        </w:tc>
        <w:tc>
          <w:tcPr>
            <w:tcW w:w="1667" w:type="dxa"/>
          </w:tcPr>
          <w:p>
            <w:pPr>
              <w:spacing w:line="440" w:lineRule="exact"/>
              <w:jc w:val="center"/>
              <w:rPr>
                <w:rFonts w:ascii="宋体" w:hAnsi="宋体"/>
                <w:color w:val="000000"/>
                <w:sz w:val="24"/>
                <w:highlight w:val="none"/>
              </w:rPr>
            </w:pPr>
            <w:r>
              <w:rPr>
                <w:rFonts w:hint="eastAsia" w:ascii="宋体" w:hAnsi="宋体"/>
                <w:color w:val="000000"/>
                <w:sz w:val="24"/>
                <w:highlight w:val="none"/>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vAlign w:val="center"/>
          </w:tcPr>
          <w:p>
            <w:pPr>
              <w:pStyle w:val="2"/>
              <w:keepNext/>
              <w:spacing w:line="440" w:lineRule="exact"/>
              <w:ind w:left="63" w:right="63"/>
              <w:rPr>
                <w:rFonts w:ascii="宋体" w:hAnsi="宋体"/>
                <w:color w:val="000000"/>
                <w:sz w:val="24"/>
                <w:szCs w:val="24"/>
                <w:highlight w:val="none"/>
              </w:rPr>
            </w:pPr>
          </w:p>
        </w:tc>
        <w:tc>
          <w:tcPr>
            <w:tcW w:w="1276"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243"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667" w:type="dxa"/>
            <w:vAlign w:val="center"/>
          </w:tcPr>
          <w:p>
            <w:pPr>
              <w:pStyle w:val="2"/>
              <w:keepNext/>
              <w:spacing w:line="440" w:lineRule="exact"/>
              <w:ind w:left="63" w:right="63"/>
              <w:rPr>
                <w:rFonts w:ascii="宋体" w:hAnsi="宋体"/>
                <w:color w:val="000000"/>
                <w:sz w:val="24"/>
                <w:szCs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vAlign w:val="center"/>
          </w:tcPr>
          <w:p>
            <w:pPr>
              <w:pStyle w:val="2"/>
              <w:keepNext/>
              <w:spacing w:line="440" w:lineRule="exact"/>
              <w:ind w:left="63" w:right="63"/>
              <w:rPr>
                <w:rFonts w:ascii="宋体" w:hAnsi="宋体"/>
                <w:color w:val="000000"/>
                <w:sz w:val="24"/>
                <w:szCs w:val="24"/>
                <w:highlight w:val="none"/>
              </w:rPr>
            </w:pPr>
          </w:p>
        </w:tc>
        <w:tc>
          <w:tcPr>
            <w:tcW w:w="1276"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243"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667" w:type="dxa"/>
            <w:vAlign w:val="center"/>
          </w:tcPr>
          <w:p>
            <w:pPr>
              <w:pStyle w:val="2"/>
              <w:keepNext/>
              <w:spacing w:line="440" w:lineRule="exact"/>
              <w:ind w:left="63" w:right="63"/>
              <w:rPr>
                <w:rFonts w:ascii="宋体" w:hAnsi="宋体"/>
                <w:color w:val="000000"/>
                <w:sz w:val="24"/>
                <w:szCs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vAlign w:val="center"/>
          </w:tcPr>
          <w:p>
            <w:pPr>
              <w:pStyle w:val="2"/>
              <w:keepNext/>
              <w:spacing w:line="440" w:lineRule="exact"/>
              <w:ind w:left="63" w:right="63"/>
              <w:rPr>
                <w:rFonts w:ascii="宋体" w:hAnsi="宋体"/>
                <w:color w:val="000000"/>
                <w:sz w:val="24"/>
                <w:szCs w:val="24"/>
                <w:highlight w:val="none"/>
              </w:rPr>
            </w:pPr>
          </w:p>
        </w:tc>
        <w:tc>
          <w:tcPr>
            <w:tcW w:w="1276"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243"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667" w:type="dxa"/>
            <w:vAlign w:val="center"/>
          </w:tcPr>
          <w:p>
            <w:pPr>
              <w:pStyle w:val="2"/>
              <w:keepNext/>
              <w:spacing w:line="440" w:lineRule="exact"/>
              <w:ind w:left="63" w:right="63"/>
              <w:rPr>
                <w:rFonts w:ascii="宋体" w:hAnsi="宋体"/>
                <w:color w:val="000000"/>
                <w:sz w:val="24"/>
                <w:szCs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vAlign w:val="center"/>
          </w:tcPr>
          <w:p>
            <w:pPr>
              <w:pStyle w:val="2"/>
              <w:keepNext/>
              <w:spacing w:line="440" w:lineRule="exact"/>
              <w:ind w:left="63" w:right="63"/>
              <w:rPr>
                <w:rFonts w:ascii="宋体" w:hAnsi="宋体"/>
                <w:color w:val="000000"/>
                <w:sz w:val="24"/>
                <w:szCs w:val="24"/>
                <w:highlight w:val="none"/>
              </w:rPr>
            </w:pPr>
          </w:p>
        </w:tc>
        <w:tc>
          <w:tcPr>
            <w:tcW w:w="1276"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243"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667" w:type="dxa"/>
            <w:vAlign w:val="center"/>
          </w:tcPr>
          <w:p>
            <w:pPr>
              <w:pStyle w:val="2"/>
              <w:keepNext/>
              <w:spacing w:line="440" w:lineRule="exact"/>
              <w:ind w:left="63" w:right="63"/>
              <w:rPr>
                <w:rFonts w:ascii="宋体" w:hAnsi="宋体"/>
                <w:color w:val="000000"/>
                <w:sz w:val="24"/>
                <w:szCs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vAlign w:val="center"/>
          </w:tcPr>
          <w:p>
            <w:pPr>
              <w:pStyle w:val="2"/>
              <w:keepNext/>
              <w:spacing w:line="440" w:lineRule="exact"/>
              <w:ind w:left="63" w:right="63"/>
              <w:rPr>
                <w:rFonts w:ascii="宋体" w:hAnsi="宋体"/>
                <w:color w:val="000000"/>
                <w:sz w:val="24"/>
                <w:szCs w:val="24"/>
                <w:highlight w:val="none"/>
              </w:rPr>
            </w:pPr>
          </w:p>
        </w:tc>
        <w:tc>
          <w:tcPr>
            <w:tcW w:w="1276"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243"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667" w:type="dxa"/>
            <w:vAlign w:val="center"/>
          </w:tcPr>
          <w:p>
            <w:pPr>
              <w:pStyle w:val="2"/>
              <w:keepNext/>
              <w:spacing w:line="440" w:lineRule="exact"/>
              <w:ind w:left="63" w:right="63"/>
              <w:rPr>
                <w:rFonts w:ascii="宋体" w:hAnsi="宋体"/>
                <w:color w:val="000000"/>
                <w:sz w:val="24"/>
                <w:szCs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vAlign w:val="center"/>
          </w:tcPr>
          <w:p>
            <w:pPr>
              <w:pStyle w:val="2"/>
              <w:keepNext/>
              <w:spacing w:line="440" w:lineRule="exact"/>
              <w:ind w:left="63" w:right="63"/>
              <w:rPr>
                <w:rFonts w:ascii="宋体" w:hAnsi="宋体"/>
                <w:color w:val="000000"/>
                <w:sz w:val="24"/>
                <w:szCs w:val="24"/>
                <w:highlight w:val="none"/>
              </w:rPr>
            </w:pPr>
          </w:p>
        </w:tc>
        <w:tc>
          <w:tcPr>
            <w:tcW w:w="1276"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243"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667" w:type="dxa"/>
            <w:vAlign w:val="center"/>
          </w:tcPr>
          <w:p>
            <w:pPr>
              <w:pStyle w:val="2"/>
              <w:keepNext/>
              <w:spacing w:line="440" w:lineRule="exact"/>
              <w:ind w:left="63" w:right="63"/>
              <w:rPr>
                <w:rFonts w:ascii="宋体" w:hAnsi="宋体"/>
                <w:color w:val="000000"/>
                <w:sz w:val="24"/>
                <w:szCs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vAlign w:val="center"/>
          </w:tcPr>
          <w:p>
            <w:pPr>
              <w:pStyle w:val="2"/>
              <w:keepNext/>
              <w:spacing w:line="440" w:lineRule="exact"/>
              <w:ind w:left="63" w:right="63"/>
              <w:rPr>
                <w:rFonts w:ascii="宋体" w:hAnsi="宋体"/>
                <w:color w:val="000000"/>
                <w:sz w:val="24"/>
                <w:szCs w:val="24"/>
                <w:highlight w:val="none"/>
              </w:rPr>
            </w:pPr>
          </w:p>
        </w:tc>
        <w:tc>
          <w:tcPr>
            <w:tcW w:w="1276"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243"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667" w:type="dxa"/>
            <w:vAlign w:val="center"/>
          </w:tcPr>
          <w:p>
            <w:pPr>
              <w:pStyle w:val="2"/>
              <w:keepNext/>
              <w:spacing w:line="440" w:lineRule="exact"/>
              <w:ind w:left="63" w:right="63"/>
              <w:rPr>
                <w:rFonts w:ascii="宋体" w:hAnsi="宋体"/>
                <w:color w:val="000000"/>
                <w:sz w:val="24"/>
                <w:szCs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vAlign w:val="center"/>
          </w:tcPr>
          <w:p>
            <w:pPr>
              <w:pStyle w:val="2"/>
              <w:keepNext/>
              <w:spacing w:line="440" w:lineRule="exact"/>
              <w:ind w:left="63" w:right="63"/>
              <w:rPr>
                <w:rFonts w:ascii="宋体" w:hAnsi="宋体"/>
                <w:color w:val="000000"/>
                <w:sz w:val="24"/>
                <w:szCs w:val="24"/>
                <w:highlight w:val="none"/>
              </w:rPr>
            </w:pPr>
          </w:p>
        </w:tc>
        <w:tc>
          <w:tcPr>
            <w:tcW w:w="1276"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243"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667" w:type="dxa"/>
            <w:vAlign w:val="center"/>
          </w:tcPr>
          <w:p>
            <w:pPr>
              <w:pStyle w:val="2"/>
              <w:keepNext/>
              <w:spacing w:line="440" w:lineRule="exact"/>
              <w:ind w:left="63" w:right="63"/>
              <w:rPr>
                <w:rFonts w:ascii="宋体" w:hAnsi="宋体"/>
                <w:color w:val="000000"/>
                <w:sz w:val="24"/>
                <w:szCs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tcPr>
          <w:p>
            <w:pPr>
              <w:rPr>
                <w:rFonts w:ascii="宋体" w:hAnsi="宋体"/>
                <w:color w:val="000000"/>
                <w:sz w:val="24"/>
                <w:highlight w:val="none"/>
              </w:rPr>
            </w:pPr>
          </w:p>
        </w:tc>
        <w:tc>
          <w:tcPr>
            <w:tcW w:w="1276"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243"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667" w:type="dxa"/>
          </w:tcPr>
          <w:p>
            <w:pPr>
              <w:rPr>
                <w:rFonts w:ascii="宋体" w:hAnsi="宋体"/>
                <w:color w:val="000000"/>
                <w:sz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vAlign w:val="center"/>
          </w:tcPr>
          <w:p>
            <w:pPr>
              <w:pStyle w:val="2"/>
              <w:keepNext/>
              <w:spacing w:line="440" w:lineRule="exact"/>
              <w:ind w:left="63" w:right="63"/>
              <w:rPr>
                <w:rFonts w:ascii="宋体" w:hAnsi="宋体"/>
                <w:color w:val="000000"/>
                <w:sz w:val="24"/>
                <w:szCs w:val="24"/>
                <w:highlight w:val="none"/>
              </w:rPr>
            </w:pPr>
          </w:p>
        </w:tc>
        <w:tc>
          <w:tcPr>
            <w:tcW w:w="1276"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243" w:type="dxa"/>
            <w:vAlign w:val="center"/>
          </w:tcPr>
          <w:p>
            <w:pPr>
              <w:pStyle w:val="2"/>
              <w:keepNext/>
              <w:spacing w:line="440" w:lineRule="exact"/>
              <w:ind w:left="63" w:right="63"/>
              <w:rPr>
                <w:rFonts w:ascii="宋体" w:hAnsi="宋体"/>
                <w:color w:val="000000"/>
                <w:sz w:val="24"/>
                <w:szCs w:val="24"/>
                <w:highlight w:val="none"/>
              </w:rPr>
            </w:pPr>
          </w:p>
        </w:tc>
        <w:tc>
          <w:tcPr>
            <w:tcW w:w="1450" w:type="dxa"/>
            <w:vAlign w:val="center"/>
          </w:tcPr>
          <w:p>
            <w:pPr>
              <w:pStyle w:val="2"/>
              <w:keepNext/>
              <w:spacing w:line="440" w:lineRule="exact"/>
              <w:ind w:left="63" w:right="63"/>
              <w:rPr>
                <w:rFonts w:ascii="宋体" w:hAnsi="宋体"/>
                <w:color w:val="000000"/>
                <w:sz w:val="24"/>
                <w:szCs w:val="24"/>
                <w:highlight w:val="none"/>
              </w:rPr>
            </w:pPr>
          </w:p>
        </w:tc>
        <w:tc>
          <w:tcPr>
            <w:tcW w:w="1667" w:type="dxa"/>
            <w:vAlign w:val="center"/>
          </w:tcPr>
          <w:p>
            <w:pPr>
              <w:pStyle w:val="2"/>
              <w:keepNext/>
              <w:spacing w:line="440" w:lineRule="exact"/>
              <w:ind w:left="63" w:right="63"/>
              <w:rPr>
                <w:rFonts w:ascii="宋体" w:hAnsi="宋体"/>
                <w:color w:val="000000"/>
                <w:sz w:val="24"/>
                <w:szCs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tcPr>
          <w:p>
            <w:pPr>
              <w:rPr>
                <w:rFonts w:ascii="宋体" w:hAnsi="宋体"/>
                <w:color w:val="000000"/>
                <w:sz w:val="24"/>
                <w:highlight w:val="none"/>
              </w:rPr>
            </w:pPr>
          </w:p>
        </w:tc>
        <w:tc>
          <w:tcPr>
            <w:tcW w:w="1276"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243"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667" w:type="dxa"/>
          </w:tcPr>
          <w:p>
            <w:pPr>
              <w:rPr>
                <w:rFonts w:ascii="宋体" w:hAnsi="宋体"/>
                <w:color w:val="000000"/>
                <w:sz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tcPr>
          <w:p>
            <w:pPr>
              <w:rPr>
                <w:rFonts w:ascii="宋体" w:hAnsi="宋体"/>
                <w:color w:val="000000"/>
                <w:sz w:val="24"/>
                <w:highlight w:val="none"/>
              </w:rPr>
            </w:pPr>
          </w:p>
        </w:tc>
        <w:tc>
          <w:tcPr>
            <w:tcW w:w="1276"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243"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667" w:type="dxa"/>
          </w:tcPr>
          <w:p>
            <w:pPr>
              <w:rPr>
                <w:rFonts w:ascii="宋体" w:hAnsi="宋体"/>
                <w:color w:val="000000"/>
                <w:sz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tcPr>
          <w:p>
            <w:pPr>
              <w:rPr>
                <w:rFonts w:ascii="宋体" w:hAnsi="宋体"/>
                <w:color w:val="000000"/>
                <w:sz w:val="24"/>
                <w:highlight w:val="none"/>
              </w:rPr>
            </w:pPr>
          </w:p>
        </w:tc>
        <w:tc>
          <w:tcPr>
            <w:tcW w:w="1276"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243"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667" w:type="dxa"/>
          </w:tcPr>
          <w:p>
            <w:pPr>
              <w:rPr>
                <w:rFonts w:ascii="宋体" w:hAnsi="宋体"/>
                <w:color w:val="000000"/>
                <w:sz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tcPr>
          <w:p>
            <w:pPr>
              <w:rPr>
                <w:rFonts w:ascii="宋体" w:hAnsi="宋体"/>
                <w:color w:val="000000"/>
                <w:sz w:val="24"/>
                <w:highlight w:val="none"/>
              </w:rPr>
            </w:pPr>
          </w:p>
        </w:tc>
        <w:tc>
          <w:tcPr>
            <w:tcW w:w="1276"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243"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667" w:type="dxa"/>
          </w:tcPr>
          <w:p>
            <w:pPr>
              <w:rPr>
                <w:rFonts w:ascii="宋体" w:hAnsi="宋体"/>
                <w:color w:val="000000"/>
                <w:sz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tcPr>
          <w:p>
            <w:pPr>
              <w:rPr>
                <w:rFonts w:ascii="宋体" w:hAnsi="宋体"/>
                <w:color w:val="000000"/>
                <w:sz w:val="24"/>
                <w:highlight w:val="none"/>
              </w:rPr>
            </w:pPr>
          </w:p>
        </w:tc>
        <w:tc>
          <w:tcPr>
            <w:tcW w:w="1276"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243"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667" w:type="dxa"/>
          </w:tcPr>
          <w:p>
            <w:pPr>
              <w:rPr>
                <w:rFonts w:ascii="宋体" w:hAnsi="宋体"/>
                <w:color w:val="000000"/>
                <w:sz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tcPr>
          <w:p>
            <w:pPr>
              <w:rPr>
                <w:rFonts w:ascii="宋体" w:hAnsi="宋体"/>
                <w:color w:val="000000"/>
                <w:sz w:val="24"/>
                <w:highlight w:val="none"/>
              </w:rPr>
            </w:pPr>
          </w:p>
        </w:tc>
        <w:tc>
          <w:tcPr>
            <w:tcW w:w="1276"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243"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667" w:type="dxa"/>
          </w:tcPr>
          <w:p>
            <w:pPr>
              <w:rPr>
                <w:rFonts w:ascii="宋体" w:hAnsi="宋体"/>
                <w:color w:val="000000"/>
                <w:sz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tcPr>
          <w:p>
            <w:pPr>
              <w:rPr>
                <w:rFonts w:ascii="宋体" w:hAnsi="宋体"/>
                <w:color w:val="000000"/>
                <w:sz w:val="24"/>
                <w:highlight w:val="none"/>
              </w:rPr>
            </w:pPr>
          </w:p>
        </w:tc>
        <w:tc>
          <w:tcPr>
            <w:tcW w:w="1276"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243"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667" w:type="dxa"/>
          </w:tcPr>
          <w:p>
            <w:pPr>
              <w:rPr>
                <w:rFonts w:ascii="宋体" w:hAnsi="宋体"/>
                <w:color w:val="000000"/>
                <w:sz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tcPr>
          <w:p>
            <w:pPr>
              <w:rPr>
                <w:rFonts w:ascii="宋体" w:hAnsi="宋体"/>
                <w:color w:val="000000"/>
                <w:sz w:val="24"/>
                <w:highlight w:val="none"/>
              </w:rPr>
            </w:pPr>
          </w:p>
        </w:tc>
        <w:tc>
          <w:tcPr>
            <w:tcW w:w="1276"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243"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667" w:type="dxa"/>
          </w:tcPr>
          <w:p>
            <w:pPr>
              <w:rPr>
                <w:rFonts w:ascii="宋体" w:hAnsi="宋体"/>
                <w:color w:val="000000"/>
                <w:sz w:val="24"/>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1953" w:type="dxa"/>
          </w:tcPr>
          <w:p>
            <w:pPr>
              <w:rPr>
                <w:rFonts w:ascii="宋体" w:hAnsi="宋体"/>
                <w:color w:val="000000"/>
                <w:sz w:val="24"/>
                <w:highlight w:val="none"/>
              </w:rPr>
            </w:pPr>
          </w:p>
        </w:tc>
        <w:tc>
          <w:tcPr>
            <w:tcW w:w="1276"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243" w:type="dxa"/>
          </w:tcPr>
          <w:p>
            <w:pPr>
              <w:rPr>
                <w:rFonts w:ascii="宋体" w:hAnsi="宋体"/>
                <w:color w:val="000000"/>
                <w:sz w:val="24"/>
                <w:highlight w:val="none"/>
              </w:rPr>
            </w:pPr>
          </w:p>
        </w:tc>
        <w:tc>
          <w:tcPr>
            <w:tcW w:w="1450" w:type="dxa"/>
          </w:tcPr>
          <w:p>
            <w:pPr>
              <w:rPr>
                <w:rFonts w:ascii="宋体" w:hAnsi="宋体"/>
                <w:color w:val="000000"/>
                <w:sz w:val="24"/>
                <w:highlight w:val="none"/>
              </w:rPr>
            </w:pPr>
          </w:p>
        </w:tc>
        <w:tc>
          <w:tcPr>
            <w:tcW w:w="1667" w:type="dxa"/>
          </w:tcPr>
          <w:p>
            <w:pPr>
              <w:rPr>
                <w:rFonts w:ascii="宋体" w:hAnsi="宋体"/>
                <w:color w:val="000000"/>
                <w:sz w:val="24"/>
                <w:highlight w:val="none"/>
              </w:rPr>
            </w:pPr>
          </w:p>
        </w:tc>
      </w:tr>
    </w:tbl>
    <w:p>
      <w:pPr>
        <w:pStyle w:val="5"/>
        <w:adjustRightInd/>
        <w:spacing w:before="240" w:beforeLines="100" w:after="240" w:afterLines="100"/>
        <w:jc w:val="both"/>
        <w:rPr>
          <w:color w:val="000000"/>
          <w:highlight w:val="none"/>
        </w:rPr>
      </w:pPr>
      <w:r>
        <w:rPr>
          <w:rFonts w:hint="eastAsia" w:ascii="Times New Roman"/>
          <w:b w:val="0"/>
          <w:bCs/>
          <w:color w:val="000000"/>
          <w:sz w:val="21"/>
          <w:szCs w:val="16"/>
          <w:highlight w:val="none"/>
          <w:u w:val="none"/>
        </w:rPr>
        <w:t>注：附相关证书扫描件或复印件并加盖公章</w:t>
      </w:r>
    </w:p>
    <w:p>
      <w:pPr>
        <w:jc w:val="center"/>
        <w:rPr>
          <w:color w:val="000000"/>
          <w:highlight w:val="none"/>
        </w:rPr>
      </w:pPr>
    </w:p>
    <w:p>
      <w:pPr>
        <w:jc w:val="center"/>
        <w:rPr>
          <w:color w:val="000000"/>
          <w:highlight w:val="none"/>
        </w:rPr>
      </w:pPr>
    </w:p>
    <w:p>
      <w:pPr>
        <w:jc w:val="center"/>
        <w:rPr>
          <w:color w:val="000000"/>
          <w:highlight w:val="none"/>
        </w:rPr>
      </w:pPr>
    </w:p>
    <w:p>
      <w:pPr>
        <w:pStyle w:val="5"/>
        <w:adjustRightInd/>
        <w:spacing w:before="240" w:beforeLines="100" w:after="240" w:afterLines="100"/>
        <w:rPr>
          <w:rFonts w:ascii="Times New Roman"/>
          <w:bCs/>
          <w:color w:val="000000"/>
          <w:kern w:val="2"/>
          <w:sz w:val="32"/>
          <w:szCs w:val="32"/>
          <w:highlight w:val="none"/>
          <w:u w:val="none"/>
        </w:rPr>
      </w:pPr>
      <w:r>
        <w:rPr>
          <w:rFonts w:hint="eastAsia" w:ascii="Times New Roman"/>
          <w:bCs/>
          <w:color w:val="000000"/>
          <w:kern w:val="2"/>
          <w:sz w:val="32"/>
          <w:szCs w:val="32"/>
          <w:highlight w:val="none"/>
          <w:u w:val="none"/>
        </w:rPr>
        <w:t>五</w:t>
      </w:r>
      <w:r>
        <w:rPr>
          <w:rFonts w:ascii="Times New Roman"/>
          <w:bCs/>
          <w:color w:val="000000"/>
          <w:kern w:val="2"/>
          <w:sz w:val="32"/>
          <w:szCs w:val="32"/>
          <w:highlight w:val="none"/>
          <w:u w:val="none"/>
        </w:rPr>
        <w:t>、供应商资格证明文件</w:t>
      </w:r>
      <w:bookmarkEnd w:id="170"/>
    </w:p>
    <w:p>
      <w:pPr>
        <w:keepNext/>
        <w:spacing w:before="240" w:beforeLines="100" w:after="240" w:afterLines="100"/>
        <w:jc w:val="center"/>
        <w:rPr>
          <w:b/>
          <w:bCs/>
          <w:color w:val="000000"/>
          <w:sz w:val="24"/>
          <w:szCs w:val="24"/>
          <w:highlight w:val="none"/>
        </w:rPr>
      </w:pPr>
      <w:bookmarkStart w:id="171" w:name="_Toc485883287"/>
      <w:r>
        <w:rPr>
          <w:b/>
          <w:bCs/>
          <w:color w:val="000000"/>
          <w:sz w:val="28"/>
          <w:szCs w:val="28"/>
          <w:highlight w:val="none"/>
        </w:rPr>
        <w:t>1、供应商基本情况表</w:t>
      </w:r>
      <w:bookmarkEnd w:id="171"/>
    </w:p>
    <w:tbl>
      <w:tblPr>
        <w:tblStyle w:val="16"/>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264"/>
        <w:gridCol w:w="997"/>
        <w:gridCol w:w="850"/>
        <w:gridCol w:w="590"/>
        <w:gridCol w:w="294"/>
        <w:gridCol w:w="1083"/>
        <w:gridCol w:w="1329"/>
        <w:gridCol w:w="20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982" w:type="dxa"/>
            <w:gridSpan w:val="2"/>
            <w:vAlign w:val="center"/>
          </w:tcPr>
          <w:p>
            <w:pPr>
              <w:topLinePunct/>
              <w:spacing w:line="440" w:lineRule="exact"/>
              <w:jc w:val="center"/>
              <w:rPr>
                <w:color w:val="000000"/>
                <w:szCs w:val="21"/>
                <w:highlight w:val="none"/>
              </w:rPr>
            </w:pPr>
            <w:r>
              <w:rPr>
                <w:color w:val="000000"/>
                <w:szCs w:val="21"/>
                <w:highlight w:val="none"/>
              </w:rPr>
              <w:t>供应商名称</w:t>
            </w:r>
          </w:p>
        </w:tc>
        <w:tc>
          <w:tcPr>
            <w:tcW w:w="3814" w:type="dxa"/>
            <w:gridSpan w:val="5"/>
            <w:vAlign w:val="center"/>
          </w:tcPr>
          <w:p>
            <w:pPr>
              <w:topLinePunct/>
              <w:spacing w:line="440" w:lineRule="exact"/>
              <w:jc w:val="center"/>
              <w:rPr>
                <w:color w:val="000000"/>
                <w:szCs w:val="21"/>
                <w:highlight w:val="none"/>
              </w:rPr>
            </w:pPr>
          </w:p>
        </w:tc>
        <w:tc>
          <w:tcPr>
            <w:tcW w:w="1329" w:type="dxa"/>
            <w:vAlign w:val="center"/>
          </w:tcPr>
          <w:p>
            <w:pPr>
              <w:topLinePunct/>
              <w:spacing w:line="440" w:lineRule="exact"/>
              <w:jc w:val="center"/>
              <w:rPr>
                <w:color w:val="000000"/>
                <w:szCs w:val="21"/>
                <w:highlight w:val="none"/>
              </w:rPr>
            </w:pPr>
            <w:r>
              <w:rPr>
                <w:color w:val="000000"/>
                <w:szCs w:val="21"/>
                <w:highlight w:val="none"/>
              </w:rPr>
              <w:t>法定代表人</w:t>
            </w:r>
          </w:p>
        </w:tc>
        <w:tc>
          <w:tcPr>
            <w:tcW w:w="2092" w:type="dxa"/>
            <w:vAlign w:val="center"/>
          </w:tcPr>
          <w:p>
            <w:pPr>
              <w:topLinePunct/>
              <w:spacing w:line="440" w:lineRule="exact"/>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982" w:type="dxa"/>
            <w:gridSpan w:val="2"/>
            <w:vAlign w:val="center"/>
          </w:tcPr>
          <w:p>
            <w:pPr>
              <w:topLinePunct/>
              <w:spacing w:line="440" w:lineRule="exact"/>
              <w:jc w:val="center"/>
              <w:rPr>
                <w:color w:val="000000"/>
                <w:szCs w:val="21"/>
                <w:highlight w:val="none"/>
              </w:rPr>
            </w:pPr>
            <w:r>
              <w:rPr>
                <w:color w:val="000000"/>
                <w:szCs w:val="21"/>
                <w:highlight w:val="none"/>
              </w:rPr>
              <w:t>统一社会信用代码</w:t>
            </w:r>
          </w:p>
        </w:tc>
        <w:tc>
          <w:tcPr>
            <w:tcW w:w="3814" w:type="dxa"/>
            <w:gridSpan w:val="5"/>
            <w:vAlign w:val="center"/>
          </w:tcPr>
          <w:p>
            <w:pPr>
              <w:topLinePunct/>
              <w:spacing w:line="440" w:lineRule="exact"/>
              <w:jc w:val="center"/>
              <w:rPr>
                <w:color w:val="000000"/>
                <w:szCs w:val="21"/>
                <w:highlight w:val="none"/>
              </w:rPr>
            </w:pPr>
          </w:p>
        </w:tc>
        <w:tc>
          <w:tcPr>
            <w:tcW w:w="1329" w:type="dxa"/>
            <w:vAlign w:val="center"/>
          </w:tcPr>
          <w:p>
            <w:pPr>
              <w:topLinePunct/>
              <w:spacing w:line="440" w:lineRule="exact"/>
              <w:jc w:val="center"/>
              <w:rPr>
                <w:color w:val="000000"/>
                <w:szCs w:val="21"/>
                <w:highlight w:val="none"/>
              </w:rPr>
            </w:pPr>
            <w:r>
              <w:rPr>
                <w:color w:val="000000"/>
                <w:szCs w:val="21"/>
                <w:highlight w:val="none"/>
              </w:rPr>
              <w:t>邮政编码</w:t>
            </w:r>
          </w:p>
        </w:tc>
        <w:tc>
          <w:tcPr>
            <w:tcW w:w="2092" w:type="dxa"/>
            <w:vAlign w:val="center"/>
          </w:tcPr>
          <w:p>
            <w:pPr>
              <w:topLinePunct/>
              <w:spacing w:line="440" w:lineRule="exact"/>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982" w:type="dxa"/>
            <w:gridSpan w:val="2"/>
            <w:vAlign w:val="center"/>
          </w:tcPr>
          <w:p>
            <w:pPr>
              <w:topLinePunct/>
              <w:spacing w:line="440" w:lineRule="exact"/>
              <w:jc w:val="center"/>
              <w:rPr>
                <w:color w:val="000000"/>
                <w:szCs w:val="21"/>
                <w:highlight w:val="none"/>
              </w:rPr>
            </w:pPr>
            <w:r>
              <w:rPr>
                <w:color w:val="000000"/>
                <w:szCs w:val="21"/>
                <w:highlight w:val="none"/>
              </w:rPr>
              <w:t>授权代表</w:t>
            </w:r>
          </w:p>
        </w:tc>
        <w:tc>
          <w:tcPr>
            <w:tcW w:w="3814" w:type="dxa"/>
            <w:gridSpan w:val="5"/>
            <w:vAlign w:val="center"/>
          </w:tcPr>
          <w:p>
            <w:pPr>
              <w:topLinePunct/>
              <w:spacing w:line="440" w:lineRule="exact"/>
              <w:jc w:val="center"/>
              <w:rPr>
                <w:color w:val="000000"/>
                <w:szCs w:val="21"/>
                <w:highlight w:val="none"/>
              </w:rPr>
            </w:pPr>
          </w:p>
        </w:tc>
        <w:tc>
          <w:tcPr>
            <w:tcW w:w="1329" w:type="dxa"/>
            <w:vAlign w:val="center"/>
          </w:tcPr>
          <w:p>
            <w:pPr>
              <w:topLinePunct/>
              <w:spacing w:line="440" w:lineRule="exact"/>
              <w:jc w:val="center"/>
              <w:rPr>
                <w:color w:val="000000"/>
                <w:szCs w:val="21"/>
                <w:highlight w:val="none"/>
              </w:rPr>
            </w:pPr>
            <w:r>
              <w:rPr>
                <w:color w:val="000000"/>
                <w:szCs w:val="21"/>
                <w:highlight w:val="none"/>
              </w:rPr>
              <w:t>企业类型</w:t>
            </w:r>
          </w:p>
        </w:tc>
        <w:tc>
          <w:tcPr>
            <w:tcW w:w="2092" w:type="dxa"/>
            <w:vAlign w:val="center"/>
          </w:tcPr>
          <w:p>
            <w:pPr>
              <w:topLinePunct/>
              <w:spacing w:line="440" w:lineRule="exact"/>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982" w:type="dxa"/>
            <w:gridSpan w:val="2"/>
            <w:vAlign w:val="center"/>
          </w:tcPr>
          <w:p>
            <w:pPr>
              <w:topLinePunct/>
              <w:spacing w:line="440" w:lineRule="exact"/>
              <w:jc w:val="center"/>
              <w:rPr>
                <w:color w:val="000000"/>
                <w:szCs w:val="21"/>
                <w:highlight w:val="none"/>
              </w:rPr>
            </w:pPr>
            <w:r>
              <w:rPr>
                <w:color w:val="000000"/>
                <w:szCs w:val="21"/>
                <w:highlight w:val="none"/>
              </w:rPr>
              <w:t>上年营业收入</w:t>
            </w:r>
          </w:p>
        </w:tc>
        <w:tc>
          <w:tcPr>
            <w:tcW w:w="3814" w:type="dxa"/>
            <w:gridSpan w:val="5"/>
            <w:vAlign w:val="center"/>
          </w:tcPr>
          <w:p>
            <w:pPr>
              <w:topLinePunct/>
              <w:spacing w:line="440" w:lineRule="exact"/>
              <w:jc w:val="center"/>
              <w:rPr>
                <w:color w:val="000000"/>
                <w:szCs w:val="21"/>
                <w:highlight w:val="none"/>
              </w:rPr>
            </w:pPr>
          </w:p>
        </w:tc>
        <w:tc>
          <w:tcPr>
            <w:tcW w:w="1329" w:type="dxa"/>
            <w:vAlign w:val="center"/>
          </w:tcPr>
          <w:p>
            <w:pPr>
              <w:topLinePunct/>
              <w:spacing w:line="440" w:lineRule="exact"/>
              <w:jc w:val="center"/>
              <w:rPr>
                <w:color w:val="000000"/>
                <w:szCs w:val="21"/>
                <w:highlight w:val="none"/>
              </w:rPr>
            </w:pPr>
            <w:r>
              <w:rPr>
                <w:color w:val="000000"/>
                <w:szCs w:val="21"/>
                <w:highlight w:val="none"/>
              </w:rPr>
              <w:t>员工总人数</w:t>
            </w:r>
          </w:p>
        </w:tc>
        <w:tc>
          <w:tcPr>
            <w:tcW w:w="2092" w:type="dxa"/>
            <w:vAlign w:val="center"/>
          </w:tcPr>
          <w:p>
            <w:pPr>
              <w:topLinePunct/>
              <w:spacing w:line="440" w:lineRule="exact"/>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18" w:type="dxa"/>
            <w:vMerge w:val="restart"/>
            <w:vAlign w:val="center"/>
          </w:tcPr>
          <w:p>
            <w:pPr>
              <w:topLinePunct/>
              <w:spacing w:line="440" w:lineRule="exact"/>
              <w:jc w:val="center"/>
              <w:rPr>
                <w:color w:val="000000"/>
                <w:szCs w:val="21"/>
                <w:highlight w:val="none"/>
              </w:rPr>
            </w:pPr>
            <w:r>
              <w:rPr>
                <w:color w:val="000000"/>
                <w:szCs w:val="21"/>
                <w:highlight w:val="none"/>
              </w:rPr>
              <w:t>营业执照</w:t>
            </w:r>
          </w:p>
        </w:tc>
        <w:tc>
          <w:tcPr>
            <w:tcW w:w="2261" w:type="dxa"/>
            <w:gridSpan w:val="2"/>
            <w:vAlign w:val="center"/>
          </w:tcPr>
          <w:p>
            <w:pPr>
              <w:topLinePunct/>
              <w:spacing w:line="440" w:lineRule="exact"/>
              <w:jc w:val="center"/>
              <w:rPr>
                <w:color w:val="000000"/>
                <w:szCs w:val="21"/>
                <w:highlight w:val="none"/>
              </w:rPr>
            </w:pPr>
            <w:r>
              <w:rPr>
                <w:color w:val="000000"/>
                <w:szCs w:val="21"/>
                <w:highlight w:val="none"/>
              </w:rPr>
              <w:t>注册号码</w:t>
            </w:r>
          </w:p>
        </w:tc>
        <w:tc>
          <w:tcPr>
            <w:tcW w:w="1440" w:type="dxa"/>
            <w:gridSpan w:val="2"/>
            <w:vAlign w:val="center"/>
          </w:tcPr>
          <w:p>
            <w:pPr>
              <w:topLinePunct/>
              <w:spacing w:line="440" w:lineRule="exact"/>
              <w:jc w:val="center"/>
              <w:rPr>
                <w:color w:val="000000"/>
                <w:szCs w:val="21"/>
                <w:highlight w:val="none"/>
              </w:rPr>
            </w:pPr>
          </w:p>
        </w:tc>
        <w:tc>
          <w:tcPr>
            <w:tcW w:w="1377" w:type="dxa"/>
            <w:gridSpan w:val="2"/>
            <w:vAlign w:val="center"/>
          </w:tcPr>
          <w:p>
            <w:pPr>
              <w:topLinePunct/>
              <w:spacing w:line="440" w:lineRule="exact"/>
              <w:ind w:firstLine="105" w:firstLineChars="50"/>
              <w:jc w:val="center"/>
              <w:rPr>
                <w:color w:val="000000"/>
                <w:szCs w:val="21"/>
                <w:highlight w:val="none"/>
              </w:rPr>
            </w:pPr>
            <w:r>
              <w:rPr>
                <w:color w:val="000000"/>
                <w:szCs w:val="21"/>
                <w:highlight w:val="none"/>
              </w:rPr>
              <w:t>注册地址</w:t>
            </w:r>
          </w:p>
        </w:tc>
        <w:tc>
          <w:tcPr>
            <w:tcW w:w="3421" w:type="dxa"/>
            <w:gridSpan w:val="2"/>
            <w:vAlign w:val="center"/>
          </w:tcPr>
          <w:p>
            <w:pPr>
              <w:topLinePunct/>
              <w:spacing w:line="440" w:lineRule="exact"/>
              <w:ind w:firstLine="105" w:firstLineChars="50"/>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18" w:type="dxa"/>
            <w:vMerge w:val="continue"/>
            <w:vAlign w:val="center"/>
          </w:tcPr>
          <w:p>
            <w:pPr>
              <w:topLinePunct/>
              <w:spacing w:line="440" w:lineRule="exact"/>
              <w:jc w:val="center"/>
              <w:rPr>
                <w:color w:val="000000"/>
                <w:szCs w:val="21"/>
                <w:highlight w:val="none"/>
              </w:rPr>
            </w:pPr>
          </w:p>
        </w:tc>
        <w:tc>
          <w:tcPr>
            <w:tcW w:w="2261" w:type="dxa"/>
            <w:gridSpan w:val="2"/>
            <w:vAlign w:val="center"/>
          </w:tcPr>
          <w:p>
            <w:pPr>
              <w:topLinePunct/>
              <w:spacing w:line="440" w:lineRule="exact"/>
              <w:jc w:val="center"/>
              <w:rPr>
                <w:color w:val="000000"/>
                <w:szCs w:val="21"/>
                <w:highlight w:val="none"/>
              </w:rPr>
            </w:pPr>
            <w:r>
              <w:rPr>
                <w:color w:val="000000"/>
                <w:szCs w:val="21"/>
                <w:highlight w:val="none"/>
              </w:rPr>
              <w:t>发证机关</w:t>
            </w:r>
          </w:p>
        </w:tc>
        <w:tc>
          <w:tcPr>
            <w:tcW w:w="1440" w:type="dxa"/>
            <w:gridSpan w:val="2"/>
            <w:vAlign w:val="center"/>
          </w:tcPr>
          <w:p>
            <w:pPr>
              <w:topLinePunct/>
              <w:spacing w:line="440" w:lineRule="exact"/>
              <w:jc w:val="center"/>
              <w:rPr>
                <w:color w:val="000000"/>
                <w:szCs w:val="21"/>
                <w:highlight w:val="none"/>
              </w:rPr>
            </w:pPr>
          </w:p>
        </w:tc>
        <w:tc>
          <w:tcPr>
            <w:tcW w:w="1377" w:type="dxa"/>
            <w:gridSpan w:val="2"/>
            <w:vAlign w:val="center"/>
          </w:tcPr>
          <w:p>
            <w:pPr>
              <w:topLinePunct/>
              <w:spacing w:line="440" w:lineRule="exact"/>
              <w:ind w:firstLine="105" w:firstLineChars="50"/>
              <w:jc w:val="center"/>
              <w:rPr>
                <w:color w:val="000000"/>
                <w:szCs w:val="21"/>
                <w:highlight w:val="none"/>
              </w:rPr>
            </w:pPr>
            <w:r>
              <w:rPr>
                <w:color w:val="000000"/>
                <w:szCs w:val="21"/>
                <w:highlight w:val="none"/>
              </w:rPr>
              <w:t>发证日期</w:t>
            </w:r>
          </w:p>
        </w:tc>
        <w:tc>
          <w:tcPr>
            <w:tcW w:w="3421" w:type="dxa"/>
            <w:gridSpan w:val="2"/>
            <w:vAlign w:val="center"/>
          </w:tcPr>
          <w:p>
            <w:pPr>
              <w:topLinePunct/>
              <w:spacing w:line="440" w:lineRule="exact"/>
              <w:ind w:firstLine="105" w:firstLineChars="50"/>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18" w:type="dxa"/>
            <w:vMerge w:val="continue"/>
            <w:vAlign w:val="center"/>
          </w:tcPr>
          <w:p>
            <w:pPr>
              <w:topLinePunct/>
              <w:spacing w:line="440" w:lineRule="exact"/>
              <w:jc w:val="center"/>
              <w:rPr>
                <w:color w:val="000000"/>
                <w:szCs w:val="21"/>
                <w:highlight w:val="none"/>
              </w:rPr>
            </w:pPr>
          </w:p>
        </w:tc>
        <w:tc>
          <w:tcPr>
            <w:tcW w:w="2261" w:type="dxa"/>
            <w:gridSpan w:val="2"/>
            <w:vAlign w:val="center"/>
          </w:tcPr>
          <w:p>
            <w:pPr>
              <w:topLinePunct/>
              <w:spacing w:line="440" w:lineRule="exact"/>
              <w:jc w:val="center"/>
              <w:rPr>
                <w:color w:val="000000"/>
                <w:szCs w:val="21"/>
                <w:highlight w:val="none"/>
              </w:rPr>
            </w:pPr>
            <w:r>
              <w:rPr>
                <w:color w:val="000000"/>
                <w:szCs w:val="21"/>
                <w:highlight w:val="none"/>
              </w:rPr>
              <w:t>营业范围</w:t>
            </w:r>
          </w:p>
        </w:tc>
        <w:tc>
          <w:tcPr>
            <w:tcW w:w="6238" w:type="dxa"/>
            <w:gridSpan w:val="6"/>
            <w:vAlign w:val="center"/>
          </w:tcPr>
          <w:p>
            <w:pPr>
              <w:topLinePunct/>
              <w:spacing w:line="440" w:lineRule="exact"/>
              <w:ind w:firstLine="105" w:firstLineChars="50"/>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2979" w:type="dxa"/>
            <w:gridSpan w:val="3"/>
            <w:vAlign w:val="center"/>
          </w:tcPr>
          <w:p>
            <w:pPr>
              <w:topLinePunct/>
              <w:spacing w:line="440" w:lineRule="exact"/>
              <w:jc w:val="center"/>
              <w:rPr>
                <w:color w:val="000000"/>
                <w:szCs w:val="21"/>
                <w:highlight w:val="none"/>
              </w:rPr>
            </w:pPr>
            <w:r>
              <w:rPr>
                <w:color w:val="000000"/>
                <w:szCs w:val="21"/>
                <w:highlight w:val="none"/>
              </w:rPr>
              <w:t>基本账户开户行及帐号</w:t>
            </w:r>
          </w:p>
        </w:tc>
        <w:tc>
          <w:tcPr>
            <w:tcW w:w="6238" w:type="dxa"/>
            <w:gridSpan w:val="6"/>
            <w:vAlign w:val="center"/>
          </w:tcPr>
          <w:p>
            <w:pPr>
              <w:topLinePunct/>
              <w:spacing w:line="440" w:lineRule="exact"/>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2979" w:type="dxa"/>
            <w:gridSpan w:val="3"/>
            <w:vAlign w:val="center"/>
          </w:tcPr>
          <w:p>
            <w:pPr>
              <w:topLinePunct/>
              <w:spacing w:line="440" w:lineRule="exact"/>
              <w:jc w:val="center"/>
              <w:rPr>
                <w:color w:val="000000"/>
                <w:szCs w:val="21"/>
                <w:highlight w:val="none"/>
              </w:rPr>
            </w:pPr>
            <w:r>
              <w:rPr>
                <w:color w:val="000000"/>
                <w:szCs w:val="21"/>
                <w:highlight w:val="none"/>
              </w:rPr>
              <w:t>资产总额（万元）</w:t>
            </w:r>
          </w:p>
        </w:tc>
        <w:tc>
          <w:tcPr>
            <w:tcW w:w="6238" w:type="dxa"/>
            <w:gridSpan w:val="6"/>
            <w:vAlign w:val="center"/>
          </w:tcPr>
          <w:p>
            <w:pPr>
              <w:topLinePunct/>
              <w:spacing w:line="440" w:lineRule="exact"/>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829" w:type="dxa"/>
            <w:gridSpan w:val="4"/>
            <w:vAlign w:val="center"/>
          </w:tcPr>
          <w:p>
            <w:pPr>
              <w:topLinePunct/>
              <w:spacing w:line="440" w:lineRule="exact"/>
              <w:jc w:val="center"/>
              <w:rPr>
                <w:color w:val="000000"/>
                <w:szCs w:val="21"/>
                <w:highlight w:val="none"/>
              </w:rPr>
            </w:pPr>
            <w:r>
              <w:rPr>
                <w:color w:val="000000"/>
                <w:szCs w:val="21"/>
                <w:highlight w:val="none"/>
              </w:rPr>
              <w:t>资质名称</w:t>
            </w:r>
          </w:p>
        </w:tc>
        <w:tc>
          <w:tcPr>
            <w:tcW w:w="884" w:type="dxa"/>
            <w:gridSpan w:val="2"/>
            <w:vAlign w:val="center"/>
          </w:tcPr>
          <w:p>
            <w:pPr>
              <w:topLinePunct/>
              <w:spacing w:line="440" w:lineRule="exact"/>
              <w:jc w:val="center"/>
              <w:rPr>
                <w:color w:val="000000"/>
                <w:szCs w:val="21"/>
                <w:highlight w:val="none"/>
              </w:rPr>
            </w:pPr>
            <w:r>
              <w:rPr>
                <w:color w:val="000000"/>
                <w:szCs w:val="21"/>
                <w:highlight w:val="none"/>
              </w:rPr>
              <w:t>等级</w:t>
            </w:r>
          </w:p>
        </w:tc>
        <w:tc>
          <w:tcPr>
            <w:tcW w:w="1083" w:type="dxa"/>
            <w:vAlign w:val="center"/>
          </w:tcPr>
          <w:p>
            <w:pPr>
              <w:topLinePunct/>
              <w:spacing w:line="440" w:lineRule="exact"/>
              <w:jc w:val="center"/>
              <w:rPr>
                <w:color w:val="000000"/>
                <w:szCs w:val="21"/>
                <w:highlight w:val="none"/>
              </w:rPr>
            </w:pPr>
            <w:r>
              <w:rPr>
                <w:color w:val="000000"/>
                <w:szCs w:val="21"/>
                <w:highlight w:val="none"/>
              </w:rPr>
              <w:t>发证机关</w:t>
            </w:r>
          </w:p>
        </w:tc>
        <w:tc>
          <w:tcPr>
            <w:tcW w:w="3421" w:type="dxa"/>
            <w:gridSpan w:val="2"/>
            <w:vAlign w:val="center"/>
          </w:tcPr>
          <w:p>
            <w:pPr>
              <w:topLinePunct/>
              <w:spacing w:line="440" w:lineRule="exact"/>
              <w:jc w:val="center"/>
              <w:rPr>
                <w:color w:val="000000"/>
                <w:szCs w:val="21"/>
                <w:highlight w:val="none"/>
              </w:rPr>
            </w:pPr>
            <w:r>
              <w:rPr>
                <w:color w:val="000000"/>
                <w:szCs w:val="21"/>
                <w:highlight w:val="none"/>
              </w:rPr>
              <w:t>有效期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829" w:type="dxa"/>
            <w:gridSpan w:val="4"/>
            <w:vAlign w:val="center"/>
          </w:tcPr>
          <w:p>
            <w:pPr>
              <w:topLinePunct/>
              <w:spacing w:line="440" w:lineRule="exact"/>
              <w:jc w:val="center"/>
              <w:rPr>
                <w:color w:val="000000"/>
                <w:szCs w:val="21"/>
                <w:highlight w:val="none"/>
              </w:rPr>
            </w:pPr>
          </w:p>
        </w:tc>
        <w:tc>
          <w:tcPr>
            <w:tcW w:w="884" w:type="dxa"/>
            <w:gridSpan w:val="2"/>
            <w:vAlign w:val="center"/>
          </w:tcPr>
          <w:p>
            <w:pPr>
              <w:topLinePunct/>
              <w:spacing w:line="440" w:lineRule="exact"/>
              <w:jc w:val="center"/>
              <w:rPr>
                <w:color w:val="000000"/>
                <w:szCs w:val="21"/>
                <w:highlight w:val="none"/>
              </w:rPr>
            </w:pPr>
          </w:p>
        </w:tc>
        <w:tc>
          <w:tcPr>
            <w:tcW w:w="1083" w:type="dxa"/>
            <w:vAlign w:val="center"/>
          </w:tcPr>
          <w:p>
            <w:pPr>
              <w:topLinePunct/>
              <w:spacing w:line="440" w:lineRule="exact"/>
              <w:jc w:val="center"/>
              <w:rPr>
                <w:color w:val="000000"/>
                <w:szCs w:val="21"/>
                <w:highlight w:val="none"/>
              </w:rPr>
            </w:pPr>
          </w:p>
        </w:tc>
        <w:tc>
          <w:tcPr>
            <w:tcW w:w="3421" w:type="dxa"/>
            <w:gridSpan w:val="2"/>
            <w:vAlign w:val="center"/>
          </w:tcPr>
          <w:p>
            <w:pPr>
              <w:topLinePunct/>
              <w:spacing w:line="440" w:lineRule="exact"/>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829" w:type="dxa"/>
            <w:gridSpan w:val="4"/>
            <w:vAlign w:val="center"/>
          </w:tcPr>
          <w:p>
            <w:pPr>
              <w:topLinePunct/>
              <w:spacing w:line="440" w:lineRule="exact"/>
              <w:jc w:val="center"/>
              <w:rPr>
                <w:color w:val="000000"/>
                <w:szCs w:val="21"/>
                <w:highlight w:val="none"/>
              </w:rPr>
            </w:pPr>
          </w:p>
        </w:tc>
        <w:tc>
          <w:tcPr>
            <w:tcW w:w="884" w:type="dxa"/>
            <w:gridSpan w:val="2"/>
            <w:vAlign w:val="center"/>
          </w:tcPr>
          <w:p>
            <w:pPr>
              <w:topLinePunct/>
              <w:spacing w:line="440" w:lineRule="exact"/>
              <w:jc w:val="center"/>
              <w:rPr>
                <w:color w:val="000000"/>
                <w:szCs w:val="21"/>
                <w:highlight w:val="none"/>
              </w:rPr>
            </w:pPr>
          </w:p>
        </w:tc>
        <w:tc>
          <w:tcPr>
            <w:tcW w:w="1083" w:type="dxa"/>
            <w:vAlign w:val="center"/>
          </w:tcPr>
          <w:p>
            <w:pPr>
              <w:topLinePunct/>
              <w:spacing w:line="440" w:lineRule="exact"/>
              <w:jc w:val="center"/>
              <w:rPr>
                <w:color w:val="000000"/>
                <w:szCs w:val="21"/>
                <w:highlight w:val="none"/>
              </w:rPr>
            </w:pPr>
          </w:p>
        </w:tc>
        <w:tc>
          <w:tcPr>
            <w:tcW w:w="3421" w:type="dxa"/>
            <w:gridSpan w:val="2"/>
            <w:vAlign w:val="center"/>
          </w:tcPr>
          <w:p>
            <w:pPr>
              <w:topLinePunct/>
              <w:spacing w:line="440" w:lineRule="exact"/>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829" w:type="dxa"/>
            <w:gridSpan w:val="4"/>
            <w:vAlign w:val="center"/>
          </w:tcPr>
          <w:p>
            <w:pPr>
              <w:topLinePunct/>
              <w:spacing w:line="440" w:lineRule="exact"/>
              <w:jc w:val="center"/>
              <w:rPr>
                <w:color w:val="000000"/>
                <w:szCs w:val="21"/>
                <w:highlight w:val="none"/>
              </w:rPr>
            </w:pPr>
          </w:p>
        </w:tc>
        <w:tc>
          <w:tcPr>
            <w:tcW w:w="884" w:type="dxa"/>
            <w:gridSpan w:val="2"/>
            <w:vAlign w:val="center"/>
          </w:tcPr>
          <w:p>
            <w:pPr>
              <w:topLinePunct/>
              <w:spacing w:line="440" w:lineRule="exact"/>
              <w:jc w:val="center"/>
              <w:rPr>
                <w:color w:val="000000"/>
                <w:szCs w:val="21"/>
                <w:highlight w:val="none"/>
              </w:rPr>
            </w:pPr>
          </w:p>
        </w:tc>
        <w:tc>
          <w:tcPr>
            <w:tcW w:w="1083" w:type="dxa"/>
            <w:vAlign w:val="center"/>
          </w:tcPr>
          <w:p>
            <w:pPr>
              <w:topLinePunct/>
              <w:spacing w:line="440" w:lineRule="exact"/>
              <w:jc w:val="center"/>
              <w:rPr>
                <w:color w:val="000000"/>
                <w:szCs w:val="21"/>
                <w:highlight w:val="none"/>
              </w:rPr>
            </w:pPr>
          </w:p>
        </w:tc>
        <w:tc>
          <w:tcPr>
            <w:tcW w:w="3421" w:type="dxa"/>
            <w:gridSpan w:val="2"/>
            <w:vAlign w:val="center"/>
          </w:tcPr>
          <w:p>
            <w:pPr>
              <w:topLinePunct/>
              <w:spacing w:line="440" w:lineRule="exact"/>
              <w:jc w:val="center"/>
              <w:rPr>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9217" w:type="dxa"/>
            <w:gridSpan w:val="9"/>
            <w:vAlign w:val="center"/>
          </w:tcPr>
          <w:p>
            <w:pPr>
              <w:topLinePunct/>
              <w:spacing w:line="440" w:lineRule="exact"/>
              <w:rPr>
                <w:color w:val="000000"/>
                <w:highlight w:val="none"/>
              </w:rPr>
            </w:pPr>
            <w:r>
              <w:rPr>
                <w:rFonts w:hint="eastAsia"/>
                <w:color w:val="000000"/>
                <w:highlight w:val="none"/>
              </w:rPr>
              <w:t>企业简介：</w:t>
            </w:r>
          </w:p>
          <w:p>
            <w:pPr>
              <w:pStyle w:val="6"/>
              <w:rPr>
                <w:color w:val="000000"/>
                <w:highlight w:val="none"/>
              </w:rPr>
            </w:pPr>
          </w:p>
          <w:p>
            <w:pPr>
              <w:rPr>
                <w:color w:val="000000"/>
                <w:highlight w:val="none"/>
              </w:rPr>
            </w:pPr>
          </w:p>
          <w:p>
            <w:pPr>
              <w:pStyle w:val="6"/>
              <w:rPr>
                <w:color w:val="000000"/>
                <w:highlight w:val="none"/>
              </w:rPr>
            </w:pPr>
          </w:p>
          <w:p>
            <w:pPr>
              <w:rPr>
                <w:color w:val="000000"/>
                <w:highlight w:val="none"/>
              </w:rPr>
            </w:pPr>
          </w:p>
          <w:p>
            <w:pPr>
              <w:pStyle w:val="6"/>
              <w:rPr>
                <w:color w:val="000000"/>
                <w:highlight w:val="none"/>
              </w:rPr>
            </w:pPr>
          </w:p>
          <w:p>
            <w:pPr>
              <w:rPr>
                <w:color w:val="000000"/>
                <w:highlight w:val="none"/>
              </w:rPr>
            </w:pPr>
          </w:p>
          <w:p>
            <w:pPr>
              <w:pStyle w:val="6"/>
              <w:rPr>
                <w:color w:val="000000"/>
                <w:highlight w:val="none"/>
              </w:rPr>
            </w:pPr>
          </w:p>
          <w:p>
            <w:pPr>
              <w:rPr>
                <w:color w:val="000000"/>
                <w:highlight w:val="none"/>
              </w:rPr>
            </w:pPr>
          </w:p>
          <w:p>
            <w:pPr>
              <w:pStyle w:val="6"/>
              <w:rPr>
                <w:color w:val="000000"/>
                <w:highlight w:val="none"/>
              </w:rPr>
            </w:pPr>
          </w:p>
          <w:p>
            <w:pPr>
              <w:rPr>
                <w:color w:val="000000"/>
                <w:highlight w:val="none"/>
              </w:rPr>
            </w:pPr>
          </w:p>
        </w:tc>
      </w:tr>
    </w:tbl>
    <w:p>
      <w:pPr>
        <w:adjustRightInd w:val="0"/>
        <w:snapToGrid w:val="0"/>
        <w:spacing w:before="120" w:beforeLines="50"/>
        <w:ind w:left="630" w:hanging="630" w:hangingChars="300"/>
        <w:rPr>
          <w:color w:val="000000"/>
          <w:szCs w:val="21"/>
          <w:highlight w:val="none"/>
        </w:rPr>
      </w:pPr>
      <w:r>
        <w:rPr>
          <w:color w:val="000000"/>
          <w:szCs w:val="21"/>
          <w:highlight w:val="none"/>
        </w:rPr>
        <w:t>说明：企业类型指大型、中型、小型、微型；上年营业收入、资产总额要与财务报表中的数据一致；资质指特定条件要求提供的资质。</w:t>
      </w:r>
    </w:p>
    <w:p>
      <w:pPr>
        <w:adjustRightInd w:val="0"/>
        <w:spacing w:line="400" w:lineRule="exact"/>
        <w:ind w:firstLine="420" w:firstLineChars="175"/>
        <w:jc w:val="left"/>
        <w:rPr>
          <w:bCs/>
          <w:color w:val="000000"/>
          <w:sz w:val="24"/>
          <w:highlight w:val="none"/>
        </w:rPr>
      </w:pPr>
    </w:p>
    <w:p>
      <w:pPr>
        <w:adjustRightInd w:val="0"/>
        <w:spacing w:line="400" w:lineRule="exact"/>
        <w:ind w:firstLine="420" w:firstLineChars="175"/>
        <w:jc w:val="left"/>
        <w:rPr>
          <w:bCs/>
          <w:color w:val="000000"/>
          <w:sz w:val="24"/>
          <w:highlight w:val="none"/>
        </w:rPr>
      </w:pPr>
      <w:r>
        <w:rPr>
          <w:bCs/>
          <w:color w:val="000000"/>
          <w:sz w:val="24"/>
          <w:highlight w:val="none"/>
        </w:rPr>
        <w:t>供 应 商：</w:t>
      </w:r>
      <w:r>
        <w:rPr>
          <w:rFonts w:hint="eastAsia"/>
          <w:bCs/>
          <w:color w:val="000000"/>
          <w:sz w:val="24"/>
          <w:highlight w:val="none"/>
          <w:u w:val="single"/>
        </w:rPr>
        <w:t xml:space="preserve">                          </w:t>
      </w:r>
      <w:r>
        <w:rPr>
          <w:bCs/>
          <w:color w:val="000000"/>
          <w:sz w:val="24"/>
          <w:highlight w:val="none"/>
        </w:rPr>
        <w:t>（盖章）</w:t>
      </w:r>
    </w:p>
    <w:p>
      <w:pPr>
        <w:adjustRightInd w:val="0"/>
        <w:spacing w:line="400" w:lineRule="exact"/>
        <w:ind w:firstLine="420" w:firstLineChars="175"/>
        <w:jc w:val="left"/>
        <w:rPr>
          <w:bCs/>
          <w:color w:val="000000"/>
          <w:sz w:val="24"/>
          <w:highlight w:val="none"/>
        </w:rPr>
      </w:pPr>
    </w:p>
    <w:p>
      <w:pPr>
        <w:adjustRightInd w:val="0"/>
        <w:spacing w:line="400" w:lineRule="exact"/>
        <w:ind w:firstLine="420" w:firstLineChars="175"/>
        <w:jc w:val="left"/>
        <w:rPr>
          <w:color w:val="000000"/>
          <w:sz w:val="24"/>
          <w:highlight w:val="none"/>
        </w:rPr>
      </w:pPr>
      <w:r>
        <w:rPr>
          <w:color w:val="000000"/>
          <w:sz w:val="24"/>
          <w:highlight w:val="none"/>
        </w:rPr>
        <w:t>法定代表人或授权代表：</w:t>
      </w:r>
      <w:r>
        <w:rPr>
          <w:rFonts w:hint="eastAsia"/>
          <w:color w:val="000000"/>
          <w:sz w:val="24"/>
          <w:highlight w:val="none"/>
          <w:u w:val="single"/>
        </w:rPr>
        <w:t xml:space="preserve">        </w:t>
      </w:r>
      <w:r>
        <w:rPr>
          <w:color w:val="000000"/>
          <w:sz w:val="24"/>
          <w:highlight w:val="none"/>
        </w:rPr>
        <w:t>（签名或盖章）</w:t>
      </w:r>
    </w:p>
    <w:p>
      <w:pPr>
        <w:adjustRightInd w:val="0"/>
        <w:spacing w:line="400" w:lineRule="exact"/>
        <w:ind w:firstLine="420" w:firstLineChars="175"/>
        <w:jc w:val="left"/>
        <w:rPr>
          <w:bCs/>
          <w:color w:val="000000"/>
          <w:sz w:val="24"/>
          <w:highlight w:val="none"/>
        </w:rPr>
      </w:pPr>
    </w:p>
    <w:p>
      <w:pPr>
        <w:adjustRightInd w:val="0"/>
        <w:spacing w:line="400" w:lineRule="exact"/>
        <w:ind w:firstLine="420" w:firstLineChars="175"/>
        <w:jc w:val="left"/>
        <w:rPr>
          <w:bCs/>
          <w:color w:val="000000"/>
          <w:sz w:val="24"/>
          <w:highlight w:val="none"/>
        </w:rPr>
      </w:pPr>
      <w:r>
        <w:rPr>
          <w:bCs/>
          <w:color w:val="000000"/>
          <w:sz w:val="24"/>
          <w:highlight w:val="none"/>
        </w:rPr>
        <w:t>日期</w:t>
      </w:r>
      <w:r>
        <w:rPr>
          <w:rFonts w:hint="eastAsia"/>
          <w:bCs/>
          <w:color w:val="000000"/>
          <w:sz w:val="24"/>
          <w:highlight w:val="none"/>
        </w:rPr>
        <w:t>：</w:t>
      </w:r>
      <w:r>
        <w:rPr>
          <w:bCs/>
          <w:color w:val="000000"/>
          <w:sz w:val="24"/>
          <w:highlight w:val="none"/>
          <w:u w:val="single"/>
        </w:rPr>
        <w:t xml:space="preserve"> </w:t>
      </w:r>
      <w:r>
        <w:rPr>
          <w:rFonts w:hint="eastAsia"/>
          <w:bCs/>
          <w:color w:val="000000"/>
          <w:sz w:val="24"/>
          <w:highlight w:val="none"/>
          <w:u w:val="single"/>
        </w:rPr>
        <w:t xml:space="preserve">   </w:t>
      </w:r>
      <w:r>
        <w:rPr>
          <w:bCs/>
          <w:color w:val="000000"/>
          <w:sz w:val="24"/>
          <w:highlight w:val="none"/>
          <w:u w:val="single"/>
        </w:rPr>
        <w:t xml:space="preserve">  </w:t>
      </w:r>
      <w:r>
        <w:rPr>
          <w:bCs/>
          <w:color w:val="000000"/>
          <w:sz w:val="24"/>
          <w:highlight w:val="none"/>
        </w:rPr>
        <w:t>年</w:t>
      </w:r>
      <w:r>
        <w:rPr>
          <w:bCs/>
          <w:color w:val="000000"/>
          <w:sz w:val="24"/>
          <w:highlight w:val="none"/>
          <w:u w:val="single"/>
        </w:rPr>
        <w:t xml:space="preserve"> </w:t>
      </w:r>
      <w:r>
        <w:rPr>
          <w:rFonts w:hint="eastAsia"/>
          <w:bCs/>
          <w:color w:val="000000"/>
          <w:sz w:val="24"/>
          <w:highlight w:val="none"/>
          <w:u w:val="single"/>
        </w:rPr>
        <w:t xml:space="preserve">  </w:t>
      </w:r>
      <w:r>
        <w:rPr>
          <w:bCs/>
          <w:color w:val="000000"/>
          <w:sz w:val="24"/>
          <w:highlight w:val="none"/>
          <w:u w:val="single"/>
        </w:rPr>
        <w:t xml:space="preserve"> </w:t>
      </w:r>
      <w:r>
        <w:rPr>
          <w:bCs/>
          <w:color w:val="000000"/>
          <w:sz w:val="24"/>
          <w:highlight w:val="none"/>
        </w:rPr>
        <w:t>月</w:t>
      </w:r>
      <w:r>
        <w:rPr>
          <w:bCs/>
          <w:color w:val="000000"/>
          <w:sz w:val="24"/>
          <w:highlight w:val="none"/>
          <w:u w:val="single"/>
        </w:rPr>
        <w:t xml:space="preserve"> </w:t>
      </w:r>
      <w:r>
        <w:rPr>
          <w:rFonts w:hint="eastAsia"/>
          <w:bCs/>
          <w:color w:val="000000"/>
          <w:sz w:val="24"/>
          <w:highlight w:val="none"/>
          <w:u w:val="single"/>
        </w:rPr>
        <w:t xml:space="preserve">  </w:t>
      </w:r>
      <w:r>
        <w:rPr>
          <w:bCs/>
          <w:color w:val="000000"/>
          <w:sz w:val="24"/>
          <w:highlight w:val="none"/>
          <w:u w:val="single"/>
        </w:rPr>
        <w:t xml:space="preserve"> </w:t>
      </w:r>
      <w:r>
        <w:rPr>
          <w:bCs/>
          <w:color w:val="000000"/>
          <w:sz w:val="24"/>
          <w:highlight w:val="none"/>
        </w:rPr>
        <w:t>日</w:t>
      </w:r>
    </w:p>
    <w:p>
      <w:pPr>
        <w:pStyle w:val="6"/>
        <w:spacing w:before="240" w:beforeLines="100" w:after="240" w:afterLines="100"/>
        <w:jc w:val="center"/>
        <w:rPr>
          <w:color w:val="000000"/>
          <w:highlight w:val="none"/>
        </w:rPr>
      </w:pPr>
      <w:r>
        <w:rPr>
          <w:color w:val="000000"/>
          <w:highlight w:val="none"/>
        </w:rPr>
        <w:br w:type="page"/>
      </w:r>
      <w:bookmarkStart w:id="172" w:name="_Toc485883288"/>
      <w:r>
        <w:rPr>
          <w:b/>
          <w:bCs/>
          <w:color w:val="000000"/>
          <w:szCs w:val="28"/>
          <w:highlight w:val="none"/>
          <w:u w:val="none"/>
        </w:rPr>
        <w:t>2、法定代表人身份证明</w:t>
      </w:r>
      <w:bookmarkEnd w:id="172"/>
    </w:p>
    <w:p>
      <w:pPr>
        <w:autoSpaceDE w:val="0"/>
        <w:autoSpaceDN w:val="0"/>
        <w:adjustRightInd w:val="0"/>
        <w:snapToGrid w:val="0"/>
        <w:spacing w:before="120" w:beforeLines="50" w:line="360" w:lineRule="auto"/>
        <w:jc w:val="left"/>
        <w:rPr>
          <w:color w:val="000000"/>
          <w:kern w:val="0"/>
          <w:sz w:val="24"/>
          <w:highlight w:val="none"/>
        </w:rPr>
      </w:pPr>
      <w:r>
        <w:rPr>
          <w:color w:val="000000"/>
          <w:sz w:val="24"/>
          <w:highlight w:val="none"/>
        </w:rPr>
        <w:t>供应商</w:t>
      </w:r>
      <w:r>
        <w:rPr>
          <w:color w:val="000000"/>
          <w:kern w:val="0"/>
          <w:sz w:val="24"/>
          <w:highlight w:val="none"/>
        </w:rPr>
        <w:t>名称：</w:t>
      </w:r>
    </w:p>
    <w:p>
      <w:pPr>
        <w:autoSpaceDE w:val="0"/>
        <w:autoSpaceDN w:val="0"/>
        <w:adjustRightInd w:val="0"/>
        <w:snapToGrid w:val="0"/>
        <w:spacing w:before="120" w:beforeLines="50" w:line="360" w:lineRule="auto"/>
        <w:jc w:val="left"/>
        <w:rPr>
          <w:color w:val="000000"/>
          <w:kern w:val="0"/>
          <w:sz w:val="24"/>
          <w:highlight w:val="none"/>
        </w:rPr>
      </w:pPr>
      <w:r>
        <w:rPr>
          <w:color w:val="000000"/>
          <w:kern w:val="0"/>
          <w:sz w:val="24"/>
          <w:highlight w:val="none"/>
        </w:rPr>
        <w:t>注册号：</w:t>
      </w:r>
    </w:p>
    <w:p>
      <w:pPr>
        <w:autoSpaceDE w:val="0"/>
        <w:autoSpaceDN w:val="0"/>
        <w:adjustRightInd w:val="0"/>
        <w:snapToGrid w:val="0"/>
        <w:spacing w:before="120" w:beforeLines="50" w:line="360" w:lineRule="auto"/>
        <w:jc w:val="left"/>
        <w:rPr>
          <w:color w:val="000000"/>
          <w:kern w:val="0"/>
          <w:sz w:val="24"/>
          <w:highlight w:val="none"/>
        </w:rPr>
      </w:pPr>
      <w:r>
        <w:rPr>
          <w:color w:val="000000"/>
          <w:kern w:val="0"/>
          <w:sz w:val="24"/>
          <w:highlight w:val="none"/>
        </w:rPr>
        <w:t>注册地址：</w:t>
      </w:r>
    </w:p>
    <w:p>
      <w:pPr>
        <w:autoSpaceDE w:val="0"/>
        <w:autoSpaceDN w:val="0"/>
        <w:adjustRightInd w:val="0"/>
        <w:snapToGrid w:val="0"/>
        <w:spacing w:before="120" w:beforeLines="50" w:line="360" w:lineRule="auto"/>
        <w:jc w:val="left"/>
        <w:rPr>
          <w:color w:val="000000"/>
          <w:kern w:val="0"/>
          <w:sz w:val="24"/>
          <w:highlight w:val="none"/>
        </w:rPr>
      </w:pPr>
      <w:r>
        <w:rPr>
          <w:color w:val="000000"/>
          <w:kern w:val="0"/>
          <w:sz w:val="24"/>
          <w:highlight w:val="none"/>
        </w:rPr>
        <w:t>成立时间：年 月</w:t>
      </w:r>
      <w:r>
        <w:rPr>
          <w:rFonts w:hint="eastAsia"/>
          <w:color w:val="000000"/>
          <w:kern w:val="0"/>
          <w:sz w:val="24"/>
          <w:highlight w:val="none"/>
        </w:rPr>
        <w:t xml:space="preserve">  </w:t>
      </w:r>
      <w:r>
        <w:rPr>
          <w:color w:val="000000"/>
          <w:kern w:val="0"/>
          <w:sz w:val="24"/>
          <w:highlight w:val="none"/>
        </w:rPr>
        <w:t>日</w:t>
      </w:r>
    </w:p>
    <w:p>
      <w:pPr>
        <w:autoSpaceDE w:val="0"/>
        <w:autoSpaceDN w:val="0"/>
        <w:adjustRightInd w:val="0"/>
        <w:snapToGrid w:val="0"/>
        <w:spacing w:before="120" w:beforeLines="50" w:line="360" w:lineRule="auto"/>
        <w:jc w:val="left"/>
        <w:rPr>
          <w:color w:val="000000"/>
          <w:kern w:val="0"/>
          <w:sz w:val="24"/>
          <w:highlight w:val="none"/>
          <w:u w:val="single"/>
        </w:rPr>
      </w:pPr>
      <w:r>
        <w:rPr>
          <w:color w:val="000000"/>
          <w:kern w:val="0"/>
          <w:sz w:val="24"/>
          <w:highlight w:val="none"/>
        </w:rPr>
        <w:t>经营期限：</w:t>
      </w:r>
    </w:p>
    <w:p>
      <w:pPr>
        <w:autoSpaceDE w:val="0"/>
        <w:autoSpaceDN w:val="0"/>
        <w:adjustRightInd w:val="0"/>
        <w:snapToGrid w:val="0"/>
        <w:spacing w:before="120" w:beforeLines="50" w:line="360" w:lineRule="auto"/>
        <w:jc w:val="left"/>
        <w:rPr>
          <w:color w:val="000000"/>
          <w:kern w:val="0"/>
          <w:sz w:val="24"/>
          <w:highlight w:val="none"/>
          <w:u w:val="single"/>
        </w:rPr>
      </w:pPr>
      <w:r>
        <w:rPr>
          <w:color w:val="000000"/>
          <w:kern w:val="0"/>
          <w:sz w:val="24"/>
          <w:highlight w:val="none"/>
        </w:rPr>
        <w:t>经营范围：</w:t>
      </w:r>
    </w:p>
    <w:p>
      <w:pPr>
        <w:autoSpaceDE w:val="0"/>
        <w:autoSpaceDN w:val="0"/>
        <w:adjustRightInd w:val="0"/>
        <w:snapToGrid w:val="0"/>
        <w:spacing w:before="120" w:beforeLines="50" w:line="360" w:lineRule="auto"/>
        <w:jc w:val="left"/>
        <w:rPr>
          <w:color w:val="000000"/>
          <w:kern w:val="0"/>
          <w:sz w:val="24"/>
          <w:highlight w:val="none"/>
        </w:rPr>
      </w:pPr>
      <w:r>
        <w:rPr>
          <w:color w:val="000000"/>
          <w:kern w:val="0"/>
          <w:sz w:val="24"/>
          <w:highlight w:val="none"/>
        </w:rPr>
        <w:t>姓名：</w:t>
      </w:r>
      <w:r>
        <w:rPr>
          <w:rFonts w:hint="eastAsia"/>
          <w:color w:val="000000"/>
          <w:kern w:val="0"/>
          <w:sz w:val="24"/>
          <w:highlight w:val="none"/>
          <w:u w:val="single"/>
        </w:rPr>
        <w:t xml:space="preserve">       </w:t>
      </w:r>
      <w:r>
        <w:rPr>
          <w:color w:val="000000"/>
          <w:kern w:val="0"/>
          <w:sz w:val="24"/>
          <w:highlight w:val="none"/>
        </w:rPr>
        <w:t>性别：</w:t>
      </w:r>
      <w:r>
        <w:rPr>
          <w:rFonts w:hint="eastAsia"/>
          <w:color w:val="000000"/>
          <w:kern w:val="0"/>
          <w:sz w:val="24"/>
          <w:highlight w:val="none"/>
          <w:u w:val="single"/>
        </w:rPr>
        <w:t xml:space="preserve">      </w:t>
      </w:r>
      <w:r>
        <w:rPr>
          <w:color w:val="000000"/>
          <w:kern w:val="0"/>
          <w:sz w:val="24"/>
          <w:highlight w:val="none"/>
        </w:rPr>
        <w:t xml:space="preserve"> 年龄：</w:t>
      </w:r>
      <w:r>
        <w:rPr>
          <w:rFonts w:hint="eastAsia"/>
          <w:color w:val="000000"/>
          <w:kern w:val="0"/>
          <w:sz w:val="24"/>
          <w:highlight w:val="none"/>
          <w:u w:val="single"/>
        </w:rPr>
        <w:t xml:space="preserve">       </w:t>
      </w:r>
      <w:r>
        <w:rPr>
          <w:color w:val="000000"/>
          <w:kern w:val="0"/>
          <w:sz w:val="24"/>
          <w:highlight w:val="none"/>
        </w:rPr>
        <w:t>系</w:t>
      </w:r>
      <w:r>
        <w:rPr>
          <w:rFonts w:hint="eastAsia"/>
          <w:color w:val="000000"/>
          <w:kern w:val="0"/>
          <w:sz w:val="24"/>
          <w:highlight w:val="none"/>
          <w:u w:val="single"/>
        </w:rPr>
        <w:t xml:space="preserve">              </w:t>
      </w:r>
      <w:r>
        <w:rPr>
          <w:color w:val="000000"/>
          <w:kern w:val="0"/>
          <w:sz w:val="24"/>
          <w:highlight w:val="none"/>
        </w:rPr>
        <w:t>（</w:t>
      </w:r>
      <w:r>
        <w:rPr>
          <w:color w:val="000000"/>
          <w:sz w:val="24"/>
          <w:highlight w:val="none"/>
        </w:rPr>
        <w:t>供应商</w:t>
      </w:r>
      <w:r>
        <w:rPr>
          <w:color w:val="000000"/>
          <w:kern w:val="0"/>
          <w:sz w:val="24"/>
          <w:highlight w:val="none"/>
        </w:rPr>
        <w:t>名称）的法定代表人。</w:t>
      </w:r>
    </w:p>
    <w:p>
      <w:pPr>
        <w:autoSpaceDE w:val="0"/>
        <w:autoSpaceDN w:val="0"/>
        <w:adjustRightInd w:val="0"/>
        <w:snapToGrid w:val="0"/>
        <w:spacing w:before="120" w:beforeLines="50" w:line="360" w:lineRule="auto"/>
        <w:jc w:val="left"/>
        <w:rPr>
          <w:color w:val="000000"/>
          <w:kern w:val="0"/>
          <w:sz w:val="24"/>
          <w:highlight w:val="none"/>
        </w:rPr>
      </w:pPr>
      <w:r>
        <w:rPr>
          <w:color w:val="000000"/>
          <w:kern w:val="0"/>
          <w:sz w:val="24"/>
          <w:highlight w:val="none"/>
        </w:rPr>
        <w:t>特此证明。</w:t>
      </w:r>
    </w:p>
    <w:p>
      <w:pPr>
        <w:autoSpaceDE w:val="0"/>
        <w:autoSpaceDN w:val="0"/>
        <w:adjustRightInd w:val="0"/>
        <w:snapToGrid w:val="0"/>
        <w:spacing w:before="120" w:beforeLines="50" w:line="360" w:lineRule="auto"/>
        <w:jc w:val="left"/>
        <w:rPr>
          <w:color w:val="000000"/>
          <w:szCs w:val="21"/>
          <w:highlight w:val="none"/>
        </w:rPr>
      </w:pPr>
    </w:p>
    <w:p>
      <w:pPr>
        <w:autoSpaceDE w:val="0"/>
        <w:autoSpaceDN w:val="0"/>
        <w:adjustRightInd w:val="0"/>
        <w:snapToGrid w:val="0"/>
        <w:spacing w:before="120" w:beforeLines="50" w:line="360" w:lineRule="auto"/>
        <w:jc w:val="left"/>
        <w:rPr>
          <w:color w:val="000000"/>
          <w:kern w:val="0"/>
          <w:szCs w:val="21"/>
          <w:highlight w:val="none"/>
        </w:rPr>
      </w:pPr>
      <w:r>
        <w:rPr>
          <w:color w:val="000000"/>
          <w:szCs w:val="21"/>
          <w:highlight w:val="none"/>
        </w:rPr>
        <w:t>附：法定代表人身份证复印件</w:t>
      </w:r>
    </w:p>
    <w:p>
      <w:pPr>
        <w:snapToGrid w:val="0"/>
        <w:spacing w:line="480" w:lineRule="auto"/>
        <w:rPr>
          <w:color w:val="000000"/>
          <w:szCs w:val="21"/>
          <w:highlight w:val="none"/>
        </w:rPr>
      </w:pPr>
    </w:p>
    <w:tbl>
      <w:tblPr>
        <w:tblStyle w:val="16"/>
        <w:tblpPr w:leftFromText="180" w:rightFromText="180" w:vertAnchor="text" w:horzAnchor="margin" w:tblpXSpec="center" w:tblpY="10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5" w:hRule="atLeast"/>
        </w:trPr>
        <w:tc>
          <w:tcPr>
            <w:tcW w:w="5868" w:type="dxa"/>
            <w:vAlign w:val="center"/>
          </w:tcPr>
          <w:p>
            <w:pPr>
              <w:snapToGrid w:val="0"/>
              <w:spacing w:line="480" w:lineRule="auto"/>
              <w:jc w:val="center"/>
              <w:rPr>
                <w:color w:val="000000"/>
                <w:szCs w:val="21"/>
                <w:highlight w:val="none"/>
              </w:rPr>
            </w:pPr>
          </w:p>
          <w:p>
            <w:pPr>
              <w:snapToGrid w:val="0"/>
              <w:spacing w:line="480" w:lineRule="auto"/>
              <w:jc w:val="center"/>
              <w:rPr>
                <w:color w:val="000000"/>
                <w:szCs w:val="21"/>
                <w:highlight w:val="none"/>
              </w:rPr>
            </w:pPr>
            <w:r>
              <w:rPr>
                <w:color w:val="000000"/>
                <w:szCs w:val="21"/>
                <w:highlight w:val="none"/>
              </w:rPr>
              <w:t>正反复印</w:t>
            </w:r>
          </w:p>
          <w:p>
            <w:pPr>
              <w:autoSpaceDE w:val="0"/>
              <w:autoSpaceDN w:val="0"/>
              <w:adjustRightInd w:val="0"/>
              <w:snapToGrid w:val="0"/>
              <w:spacing w:before="120" w:beforeLines="50" w:line="360" w:lineRule="auto"/>
              <w:jc w:val="center"/>
              <w:rPr>
                <w:color w:val="000000"/>
                <w:kern w:val="0"/>
                <w:szCs w:val="21"/>
                <w:highlight w:val="none"/>
              </w:rPr>
            </w:pPr>
            <w:r>
              <w:rPr>
                <w:color w:val="000000"/>
                <w:szCs w:val="21"/>
                <w:highlight w:val="none"/>
              </w:rPr>
              <w:t>法定代表人身份证复印件年贴处</w:t>
            </w:r>
          </w:p>
          <w:p>
            <w:pPr>
              <w:snapToGrid w:val="0"/>
              <w:spacing w:line="480" w:lineRule="auto"/>
              <w:jc w:val="center"/>
              <w:rPr>
                <w:color w:val="000000"/>
                <w:szCs w:val="21"/>
                <w:highlight w:val="none"/>
              </w:rPr>
            </w:pPr>
          </w:p>
          <w:p>
            <w:pPr>
              <w:snapToGrid w:val="0"/>
              <w:spacing w:line="480" w:lineRule="auto"/>
              <w:jc w:val="center"/>
              <w:rPr>
                <w:color w:val="000000"/>
                <w:szCs w:val="21"/>
                <w:highlight w:val="none"/>
              </w:rPr>
            </w:pPr>
          </w:p>
        </w:tc>
      </w:tr>
    </w:tbl>
    <w:p>
      <w:pPr>
        <w:snapToGrid w:val="0"/>
        <w:spacing w:line="480" w:lineRule="auto"/>
        <w:rPr>
          <w:color w:val="000000"/>
          <w:szCs w:val="21"/>
          <w:highlight w:val="none"/>
        </w:rPr>
      </w:pPr>
    </w:p>
    <w:p>
      <w:pPr>
        <w:snapToGrid w:val="0"/>
        <w:rPr>
          <w:color w:val="000000"/>
          <w:szCs w:val="21"/>
          <w:highlight w:val="none"/>
        </w:rPr>
      </w:pPr>
    </w:p>
    <w:p>
      <w:pPr>
        <w:snapToGrid w:val="0"/>
        <w:rPr>
          <w:color w:val="000000"/>
          <w:szCs w:val="21"/>
          <w:highlight w:val="none"/>
        </w:rPr>
      </w:pPr>
    </w:p>
    <w:p>
      <w:pPr>
        <w:snapToGrid w:val="0"/>
        <w:rPr>
          <w:color w:val="000000"/>
          <w:szCs w:val="21"/>
          <w:highlight w:val="none"/>
        </w:rPr>
      </w:pPr>
    </w:p>
    <w:p>
      <w:pPr>
        <w:snapToGrid w:val="0"/>
        <w:rPr>
          <w:color w:val="000000"/>
          <w:szCs w:val="21"/>
          <w:highlight w:val="none"/>
        </w:rPr>
      </w:pPr>
    </w:p>
    <w:p>
      <w:pPr>
        <w:adjustRightInd w:val="0"/>
        <w:snapToGrid w:val="0"/>
        <w:spacing w:line="360" w:lineRule="auto"/>
        <w:rPr>
          <w:color w:val="000000"/>
          <w:sz w:val="24"/>
          <w:highlight w:val="none"/>
        </w:rPr>
      </w:pPr>
    </w:p>
    <w:p>
      <w:pPr>
        <w:adjustRightInd w:val="0"/>
        <w:snapToGrid w:val="0"/>
        <w:spacing w:line="360" w:lineRule="auto"/>
        <w:ind w:right="420"/>
        <w:rPr>
          <w:color w:val="000000"/>
          <w:sz w:val="24"/>
          <w:highlight w:val="none"/>
        </w:rPr>
      </w:pPr>
    </w:p>
    <w:p>
      <w:pPr>
        <w:adjustRightInd w:val="0"/>
        <w:snapToGrid w:val="0"/>
        <w:spacing w:line="360" w:lineRule="auto"/>
        <w:ind w:right="420"/>
        <w:rPr>
          <w:color w:val="000000"/>
          <w:sz w:val="24"/>
          <w:highlight w:val="none"/>
        </w:rPr>
      </w:pPr>
    </w:p>
    <w:p>
      <w:pPr>
        <w:adjustRightInd w:val="0"/>
        <w:snapToGrid w:val="0"/>
        <w:spacing w:line="360" w:lineRule="auto"/>
        <w:ind w:right="420"/>
        <w:rPr>
          <w:color w:val="000000"/>
          <w:sz w:val="24"/>
          <w:highlight w:val="none"/>
        </w:rPr>
      </w:pPr>
    </w:p>
    <w:p>
      <w:pPr>
        <w:adjustRightInd w:val="0"/>
        <w:snapToGrid w:val="0"/>
        <w:spacing w:line="360" w:lineRule="auto"/>
        <w:ind w:right="420"/>
        <w:rPr>
          <w:color w:val="000000"/>
          <w:sz w:val="24"/>
          <w:highlight w:val="none"/>
        </w:rPr>
      </w:pPr>
    </w:p>
    <w:p>
      <w:pPr>
        <w:adjustRightInd w:val="0"/>
        <w:snapToGrid w:val="0"/>
        <w:spacing w:line="360" w:lineRule="auto"/>
        <w:ind w:right="420" w:firstLine="240" w:firstLineChars="100"/>
        <w:rPr>
          <w:color w:val="000000"/>
          <w:sz w:val="24"/>
          <w:highlight w:val="none"/>
        </w:rPr>
      </w:pPr>
    </w:p>
    <w:p>
      <w:pPr>
        <w:adjustRightInd w:val="0"/>
        <w:snapToGrid w:val="0"/>
        <w:spacing w:line="360" w:lineRule="auto"/>
        <w:ind w:right="420" w:firstLine="240" w:firstLineChars="100"/>
        <w:rPr>
          <w:color w:val="000000"/>
          <w:sz w:val="24"/>
          <w:highlight w:val="none"/>
        </w:rPr>
      </w:pPr>
      <w:r>
        <w:rPr>
          <w:color w:val="000000"/>
          <w:sz w:val="24"/>
          <w:highlight w:val="none"/>
        </w:rPr>
        <w:t>供应商名称（盖单位章）：</w:t>
      </w:r>
    </w:p>
    <w:p>
      <w:pPr>
        <w:adjustRightInd w:val="0"/>
        <w:snapToGrid w:val="0"/>
        <w:spacing w:line="360" w:lineRule="auto"/>
        <w:ind w:right="420" w:firstLine="5520" w:firstLineChars="2300"/>
        <w:rPr>
          <w:color w:val="000000"/>
          <w:szCs w:val="21"/>
          <w:highlight w:val="none"/>
        </w:rPr>
      </w:pPr>
      <w:r>
        <w:rPr>
          <w:color w:val="000000"/>
          <w:sz w:val="24"/>
          <w:highlight w:val="none"/>
        </w:rPr>
        <w:t>日期：    年  月  日</w:t>
      </w:r>
    </w:p>
    <w:p>
      <w:pPr>
        <w:adjustRightInd w:val="0"/>
        <w:snapToGrid w:val="0"/>
        <w:spacing w:line="360" w:lineRule="auto"/>
        <w:ind w:right="420" w:firstLine="210" w:firstLineChars="100"/>
        <w:rPr>
          <w:b/>
          <w:bCs/>
          <w:color w:val="000000"/>
          <w:sz w:val="24"/>
          <w:szCs w:val="24"/>
          <w:highlight w:val="none"/>
        </w:rPr>
      </w:pPr>
      <w:r>
        <w:rPr>
          <w:color w:val="000000"/>
          <w:szCs w:val="21"/>
          <w:highlight w:val="none"/>
        </w:rPr>
        <w:t>说明：仅限法定代表人参加磋商时提供。</w:t>
      </w:r>
      <w:bookmarkStart w:id="173" w:name="_Toc485883289"/>
    </w:p>
    <w:p>
      <w:pPr>
        <w:keepNext/>
        <w:spacing w:before="240" w:beforeLines="100" w:after="240" w:afterLines="100"/>
        <w:jc w:val="center"/>
        <w:rPr>
          <w:b/>
          <w:bCs/>
          <w:color w:val="000000"/>
          <w:sz w:val="28"/>
          <w:szCs w:val="28"/>
          <w:highlight w:val="none"/>
        </w:rPr>
      </w:pPr>
      <w:r>
        <w:rPr>
          <w:b/>
          <w:bCs/>
          <w:color w:val="000000"/>
          <w:sz w:val="28"/>
          <w:szCs w:val="28"/>
          <w:highlight w:val="none"/>
        </w:rPr>
        <w:br w:type="page"/>
      </w:r>
      <w:r>
        <w:rPr>
          <w:b/>
          <w:bCs/>
          <w:color w:val="000000"/>
          <w:sz w:val="28"/>
          <w:szCs w:val="28"/>
          <w:highlight w:val="none"/>
        </w:rPr>
        <w:t>3、法定代表人授权书</w:t>
      </w:r>
      <w:bookmarkEnd w:id="173"/>
    </w:p>
    <w:p>
      <w:pPr>
        <w:spacing w:line="400" w:lineRule="exact"/>
        <w:rPr>
          <w:b/>
          <w:color w:val="000000"/>
          <w:sz w:val="24"/>
          <w:highlight w:val="none"/>
        </w:rPr>
      </w:pPr>
      <w:r>
        <w:rPr>
          <w:b/>
          <w:color w:val="000000"/>
          <w:sz w:val="24"/>
          <w:highlight w:val="none"/>
        </w:rPr>
        <w:t>致：</w:t>
      </w:r>
      <w:r>
        <w:rPr>
          <w:rFonts w:hint="eastAsia"/>
          <w:b/>
          <w:color w:val="000000"/>
          <w:sz w:val="24"/>
          <w:highlight w:val="none"/>
        </w:rPr>
        <w:t>陕西中天正略企业运营发展有限公司</w:t>
      </w:r>
    </w:p>
    <w:p>
      <w:pPr>
        <w:spacing w:line="400" w:lineRule="exact"/>
        <w:ind w:firstLine="560" w:firstLineChars="200"/>
        <w:rPr>
          <w:color w:val="000000"/>
          <w:sz w:val="28"/>
          <w:szCs w:val="28"/>
          <w:highlight w:val="none"/>
        </w:rPr>
      </w:pPr>
    </w:p>
    <w:p>
      <w:pPr>
        <w:spacing w:line="360" w:lineRule="auto"/>
        <w:ind w:firstLine="480" w:firstLineChars="200"/>
        <w:rPr>
          <w:color w:val="000000"/>
          <w:sz w:val="24"/>
          <w:highlight w:val="none"/>
        </w:rPr>
      </w:pPr>
      <w:r>
        <w:rPr>
          <w:color w:val="000000"/>
          <w:sz w:val="24"/>
          <w:highlight w:val="none"/>
          <w:lang w:val="zh-CN"/>
        </w:rPr>
        <w:t>注册于</w:t>
      </w:r>
      <w:r>
        <w:rPr>
          <w:rFonts w:hint="eastAsia"/>
          <w:color w:val="000000"/>
          <w:sz w:val="24"/>
          <w:highlight w:val="none"/>
          <w:u w:val="single"/>
        </w:rPr>
        <w:t xml:space="preserve">             </w:t>
      </w:r>
      <w:r>
        <w:rPr>
          <w:color w:val="000000"/>
          <w:sz w:val="24"/>
          <w:highlight w:val="none"/>
          <w:lang w:val="zh-CN"/>
        </w:rPr>
        <w:t>（工商行政管理局名称）之</w:t>
      </w:r>
      <w:r>
        <w:rPr>
          <w:rFonts w:hint="eastAsia"/>
          <w:color w:val="000000"/>
          <w:sz w:val="24"/>
          <w:highlight w:val="none"/>
          <w:u w:val="single"/>
        </w:rPr>
        <w:t xml:space="preserve">                </w:t>
      </w:r>
      <w:r>
        <w:rPr>
          <w:color w:val="000000"/>
          <w:sz w:val="24"/>
          <w:highlight w:val="none"/>
          <w:lang w:val="zh-CN"/>
        </w:rPr>
        <w:t>（供应商全称）法定代表人</w:t>
      </w:r>
      <w:r>
        <w:rPr>
          <w:rFonts w:hint="eastAsia"/>
          <w:color w:val="000000"/>
          <w:sz w:val="24"/>
          <w:highlight w:val="none"/>
          <w:u w:val="single"/>
        </w:rPr>
        <w:t xml:space="preserve">          </w:t>
      </w:r>
      <w:r>
        <w:rPr>
          <w:color w:val="000000"/>
          <w:sz w:val="24"/>
          <w:highlight w:val="none"/>
          <w:lang w:val="zh-CN"/>
        </w:rPr>
        <w:t>（姓名、职务）授权</w:t>
      </w:r>
      <w:r>
        <w:rPr>
          <w:rFonts w:hint="eastAsia"/>
          <w:color w:val="000000"/>
          <w:sz w:val="24"/>
          <w:highlight w:val="none"/>
          <w:u w:val="single"/>
        </w:rPr>
        <w:t xml:space="preserve">            </w:t>
      </w:r>
      <w:r>
        <w:rPr>
          <w:color w:val="000000"/>
          <w:sz w:val="24"/>
          <w:highlight w:val="none"/>
          <w:lang w:val="zh-CN"/>
        </w:rPr>
        <w:t>（被授权人姓名、职务）为我方的合法全权代表，就</w:t>
      </w:r>
      <w:r>
        <w:rPr>
          <w:rFonts w:hint="eastAsia"/>
          <w:color w:val="000000"/>
          <w:sz w:val="24"/>
          <w:highlight w:val="none"/>
          <w:u w:val="single"/>
        </w:rPr>
        <w:t xml:space="preserve">                          </w:t>
      </w:r>
      <w:r>
        <w:rPr>
          <w:color w:val="000000"/>
          <w:sz w:val="24"/>
          <w:highlight w:val="none"/>
          <w:lang w:val="zh-CN"/>
        </w:rPr>
        <w:t>（采购项目名称及项目编号）的竞争性磋商及采购合同的执行和完成，以我方的名义全权处理一切与之有关的事宜，</w:t>
      </w:r>
      <w:r>
        <w:rPr>
          <w:color w:val="000000"/>
          <w:kern w:val="0"/>
          <w:sz w:val="24"/>
          <w:highlight w:val="none"/>
        </w:rPr>
        <w:t>其法律后果由我方承担。</w:t>
      </w:r>
    </w:p>
    <w:p>
      <w:pPr>
        <w:spacing w:line="480" w:lineRule="auto"/>
        <w:ind w:firstLine="480" w:firstLineChars="200"/>
        <w:rPr>
          <w:b/>
          <w:bCs/>
          <w:color w:val="000000"/>
          <w:sz w:val="24"/>
          <w:highlight w:val="none"/>
          <w:lang w:val="zh-CN"/>
        </w:rPr>
      </w:pPr>
      <w:r>
        <w:rPr>
          <w:color w:val="000000"/>
          <w:sz w:val="24"/>
          <w:highlight w:val="none"/>
          <w:lang w:val="zh-CN"/>
        </w:rPr>
        <w:t>本授权有效期：</w:t>
      </w:r>
      <w:r>
        <w:rPr>
          <w:rFonts w:hint="eastAsia"/>
          <w:color w:val="000000"/>
          <w:sz w:val="24"/>
          <w:highlight w:val="none"/>
          <w:u w:val="single"/>
        </w:rPr>
        <w:t xml:space="preserve">   </w:t>
      </w:r>
      <w:r>
        <w:rPr>
          <w:color w:val="000000"/>
          <w:sz w:val="24"/>
          <w:highlight w:val="none"/>
          <w:lang w:val="zh-CN"/>
        </w:rPr>
        <w:t>年</w:t>
      </w:r>
      <w:r>
        <w:rPr>
          <w:rFonts w:hint="eastAsia"/>
          <w:color w:val="000000"/>
          <w:sz w:val="24"/>
          <w:highlight w:val="none"/>
          <w:u w:val="single"/>
        </w:rPr>
        <w:t xml:space="preserve">    </w:t>
      </w:r>
      <w:r>
        <w:rPr>
          <w:color w:val="000000"/>
          <w:sz w:val="24"/>
          <w:highlight w:val="none"/>
          <w:lang w:val="zh-CN"/>
        </w:rPr>
        <w:t>月</w:t>
      </w:r>
      <w:r>
        <w:rPr>
          <w:rFonts w:hint="eastAsia"/>
          <w:color w:val="000000"/>
          <w:sz w:val="24"/>
          <w:highlight w:val="none"/>
          <w:u w:val="single"/>
        </w:rPr>
        <w:t xml:space="preserve">    </w:t>
      </w:r>
      <w:r>
        <w:rPr>
          <w:color w:val="000000"/>
          <w:sz w:val="24"/>
          <w:highlight w:val="none"/>
          <w:lang w:val="zh-CN"/>
        </w:rPr>
        <w:t>日至</w:t>
      </w:r>
      <w:r>
        <w:rPr>
          <w:rFonts w:hint="eastAsia"/>
          <w:color w:val="000000"/>
          <w:sz w:val="24"/>
          <w:highlight w:val="none"/>
          <w:u w:val="single"/>
        </w:rPr>
        <w:t xml:space="preserve">    </w:t>
      </w:r>
      <w:r>
        <w:rPr>
          <w:color w:val="000000"/>
          <w:sz w:val="24"/>
          <w:highlight w:val="none"/>
          <w:lang w:val="zh-CN"/>
        </w:rPr>
        <w:t>年</w:t>
      </w:r>
      <w:r>
        <w:rPr>
          <w:rFonts w:hint="eastAsia"/>
          <w:color w:val="000000"/>
          <w:sz w:val="24"/>
          <w:highlight w:val="none"/>
          <w:u w:val="single"/>
        </w:rPr>
        <w:t xml:space="preserve">    </w:t>
      </w:r>
      <w:r>
        <w:rPr>
          <w:color w:val="000000"/>
          <w:sz w:val="24"/>
          <w:highlight w:val="none"/>
          <w:lang w:val="zh-CN"/>
        </w:rPr>
        <w:t>月</w:t>
      </w:r>
      <w:r>
        <w:rPr>
          <w:rFonts w:hint="eastAsia"/>
          <w:color w:val="000000"/>
          <w:sz w:val="24"/>
          <w:highlight w:val="none"/>
          <w:u w:val="single"/>
        </w:rPr>
        <w:t xml:space="preserve">      </w:t>
      </w:r>
      <w:r>
        <w:rPr>
          <w:color w:val="000000"/>
          <w:sz w:val="24"/>
          <w:highlight w:val="none"/>
          <w:lang w:val="zh-CN"/>
        </w:rPr>
        <w:t>日。</w:t>
      </w:r>
    </w:p>
    <w:p>
      <w:pPr>
        <w:spacing w:line="360" w:lineRule="auto"/>
        <w:ind w:firstLine="480" w:firstLineChars="200"/>
        <w:rPr>
          <w:color w:val="000000"/>
          <w:sz w:val="24"/>
          <w:highlight w:val="none"/>
          <w:lang w:val="zh-CN"/>
        </w:rPr>
      </w:pPr>
    </w:p>
    <w:p>
      <w:pPr>
        <w:spacing w:line="360" w:lineRule="auto"/>
        <w:ind w:firstLine="480" w:firstLineChars="200"/>
        <w:rPr>
          <w:color w:val="000000"/>
          <w:sz w:val="24"/>
          <w:highlight w:val="none"/>
          <w:u w:val="single"/>
        </w:rPr>
      </w:pPr>
      <w:r>
        <w:rPr>
          <w:color w:val="000000"/>
          <w:sz w:val="24"/>
          <w:highlight w:val="none"/>
          <w:lang w:val="zh-CN"/>
        </w:rPr>
        <w:t>附：全权代表姓名：</w:t>
      </w:r>
      <w:r>
        <w:rPr>
          <w:rFonts w:hint="eastAsia"/>
          <w:color w:val="000000"/>
          <w:sz w:val="24"/>
          <w:highlight w:val="none"/>
          <w:u w:val="single"/>
        </w:rPr>
        <w:t xml:space="preserve">      </w:t>
      </w:r>
      <w:r>
        <w:rPr>
          <w:rFonts w:hint="eastAsia"/>
          <w:color w:val="000000"/>
          <w:sz w:val="24"/>
          <w:highlight w:val="none"/>
        </w:rPr>
        <w:t xml:space="preserve">        </w:t>
      </w:r>
      <w:r>
        <w:rPr>
          <w:color w:val="000000"/>
          <w:sz w:val="24"/>
          <w:highlight w:val="none"/>
          <w:lang w:val="zh-CN"/>
        </w:rPr>
        <w:t>性别：</w:t>
      </w:r>
      <w:r>
        <w:rPr>
          <w:rFonts w:hint="eastAsia"/>
          <w:color w:val="000000"/>
          <w:sz w:val="24"/>
          <w:highlight w:val="none"/>
          <w:u w:val="single"/>
        </w:rPr>
        <w:t xml:space="preserve">      </w:t>
      </w:r>
      <w:r>
        <w:rPr>
          <w:rFonts w:hint="eastAsia"/>
          <w:color w:val="000000"/>
          <w:sz w:val="24"/>
          <w:highlight w:val="none"/>
        </w:rPr>
        <w:t xml:space="preserve">    </w:t>
      </w:r>
      <w:r>
        <w:rPr>
          <w:color w:val="000000"/>
          <w:sz w:val="24"/>
          <w:highlight w:val="none"/>
          <w:lang w:val="zh-CN"/>
        </w:rPr>
        <w:t>年龄：</w:t>
      </w:r>
      <w:r>
        <w:rPr>
          <w:rFonts w:hint="eastAsia"/>
          <w:color w:val="000000"/>
          <w:sz w:val="24"/>
          <w:highlight w:val="none"/>
          <w:u w:val="single"/>
        </w:rPr>
        <w:t xml:space="preserve">         </w:t>
      </w:r>
    </w:p>
    <w:p>
      <w:pPr>
        <w:spacing w:line="360" w:lineRule="auto"/>
        <w:ind w:firstLine="960" w:firstLineChars="400"/>
        <w:rPr>
          <w:color w:val="000000"/>
          <w:sz w:val="24"/>
          <w:highlight w:val="none"/>
          <w:u w:val="single"/>
        </w:rPr>
      </w:pPr>
      <w:r>
        <w:rPr>
          <w:color w:val="000000"/>
          <w:sz w:val="24"/>
          <w:highlight w:val="none"/>
          <w:lang w:val="zh-CN"/>
        </w:rPr>
        <w:t>职务：</w:t>
      </w:r>
      <w:r>
        <w:rPr>
          <w:rFonts w:hint="eastAsia"/>
          <w:color w:val="000000"/>
          <w:sz w:val="24"/>
          <w:highlight w:val="none"/>
          <w:u w:val="single"/>
        </w:rPr>
        <w:t xml:space="preserve">              </w:t>
      </w:r>
      <w:r>
        <w:rPr>
          <w:rFonts w:hint="eastAsia"/>
          <w:color w:val="000000"/>
          <w:sz w:val="24"/>
          <w:highlight w:val="none"/>
        </w:rPr>
        <w:t xml:space="preserve">        </w:t>
      </w:r>
      <w:r>
        <w:rPr>
          <w:color w:val="000000"/>
          <w:sz w:val="24"/>
          <w:highlight w:val="none"/>
          <w:lang w:val="zh-CN"/>
        </w:rPr>
        <w:t>身份证号码：</w:t>
      </w:r>
      <w:r>
        <w:rPr>
          <w:rFonts w:hint="eastAsia"/>
          <w:color w:val="000000"/>
          <w:sz w:val="24"/>
          <w:highlight w:val="none"/>
          <w:u w:val="single"/>
        </w:rPr>
        <w:t xml:space="preserve">                   </w:t>
      </w:r>
    </w:p>
    <w:p>
      <w:pPr>
        <w:spacing w:line="360" w:lineRule="auto"/>
        <w:ind w:firstLine="960" w:firstLineChars="400"/>
        <w:rPr>
          <w:color w:val="000000"/>
          <w:sz w:val="24"/>
          <w:highlight w:val="none"/>
          <w:u w:val="single"/>
        </w:rPr>
      </w:pPr>
      <w:r>
        <w:rPr>
          <w:color w:val="000000"/>
          <w:sz w:val="24"/>
          <w:highlight w:val="none"/>
          <w:lang w:val="zh-CN"/>
        </w:rPr>
        <w:t>通讯地址：</w:t>
      </w:r>
      <w:r>
        <w:rPr>
          <w:rFonts w:hint="eastAsia"/>
          <w:color w:val="000000"/>
          <w:sz w:val="24"/>
          <w:highlight w:val="none"/>
          <w:u w:val="single"/>
        </w:rPr>
        <w:t xml:space="preserve">          </w:t>
      </w:r>
    </w:p>
    <w:p>
      <w:pPr>
        <w:spacing w:line="360" w:lineRule="auto"/>
        <w:ind w:firstLine="960" w:firstLineChars="400"/>
        <w:rPr>
          <w:color w:val="000000"/>
          <w:sz w:val="24"/>
          <w:highlight w:val="none"/>
          <w:u w:val="single"/>
        </w:rPr>
      </w:pPr>
      <w:r>
        <w:rPr>
          <w:color w:val="000000"/>
          <w:sz w:val="24"/>
          <w:highlight w:val="none"/>
          <w:lang w:val="zh-CN"/>
        </w:rPr>
        <w:t>邮政编码：</w:t>
      </w:r>
      <w:r>
        <w:rPr>
          <w:rFonts w:hint="eastAsia"/>
          <w:color w:val="000000"/>
          <w:sz w:val="24"/>
          <w:highlight w:val="none"/>
          <w:u w:val="single"/>
        </w:rPr>
        <w:t xml:space="preserve">          </w:t>
      </w:r>
      <w:r>
        <w:rPr>
          <w:rFonts w:hint="eastAsia"/>
          <w:color w:val="000000"/>
          <w:sz w:val="24"/>
          <w:highlight w:val="none"/>
        </w:rPr>
        <w:t xml:space="preserve">        </w:t>
      </w:r>
      <w:r>
        <w:rPr>
          <w:color w:val="000000"/>
          <w:sz w:val="24"/>
          <w:highlight w:val="none"/>
          <w:lang w:val="zh-CN"/>
        </w:rPr>
        <w:t>电话：</w:t>
      </w:r>
      <w:r>
        <w:rPr>
          <w:rFonts w:hint="eastAsia"/>
          <w:color w:val="000000"/>
          <w:sz w:val="24"/>
          <w:highlight w:val="none"/>
          <w:u w:val="single"/>
        </w:rPr>
        <w:t xml:space="preserve">      </w:t>
      </w:r>
      <w:r>
        <w:rPr>
          <w:rFonts w:hint="eastAsia"/>
          <w:color w:val="000000"/>
          <w:sz w:val="24"/>
          <w:highlight w:val="none"/>
        </w:rPr>
        <w:t xml:space="preserve">    </w:t>
      </w:r>
      <w:r>
        <w:rPr>
          <w:color w:val="000000"/>
          <w:sz w:val="24"/>
          <w:highlight w:val="none"/>
          <w:lang w:val="zh-CN"/>
        </w:rPr>
        <w:t>电传：</w:t>
      </w:r>
      <w:r>
        <w:rPr>
          <w:rFonts w:hint="eastAsia"/>
          <w:color w:val="000000"/>
          <w:sz w:val="24"/>
          <w:highlight w:val="none"/>
          <w:u w:val="single"/>
        </w:rPr>
        <w:t xml:space="preserve">         </w:t>
      </w:r>
    </w:p>
    <w:p>
      <w:pPr>
        <w:spacing w:before="240" w:line="360" w:lineRule="auto"/>
        <w:ind w:firstLine="960" w:firstLineChars="400"/>
        <w:rPr>
          <w:color w:val="000000"/>
          <w:sz w:val="24"/>
          <w:highlight w:val="none"/>
          <w:u w:val="single"/>
        </w:rPr>
      </w:pPr>
      <w:r>
        <w:rPr>
          <w:color w:val="000000"/>
          <w:sz w:val="24"/>
          <w:highlight w:val="none"/>
          <w:lang w:val="zh-CN"/>
        </w:rPr>
        <w:t>法定代表人</w:t>
      </w:r>
      <w:r>
        <w:rPr>
          <w:color w:val="000000"/>
          <w:sz w:val="24"/>
          <w:highlight w:val="none"/>
        </w:rPr>
        <w:t>、</w:t>
      </w:r>
      <w:r>
        <w:rPr>
          <w:color w:val="000000"/>
          <w:sz w:val="24"/>
          <w:highlight w:val="none"/>
          <w:lang w:val="zh-CN"/>
        </w:rPr>
        <w:t>授权代表身份证复印件</w:t>
      </w:r>
    </w:p>
    <w:tbl>
      <w:tblPr>
        <w:tblStyle w:val="16"/>
        <w:tblW w:w="0" w:type="auto"/>
        <w:tblInd w:w="540" w:type="dxa"/>
        <w:tblLayout w:type="fixed"/>
        <w:tblCellMar>
          <w:top w:w="0" w:type="dxa"/>
          <w:left w:w="108" w:type="dxa"/>
          <w:bottom w:w="0" w:type="dxa"/>
          <w:right w:w="108" w:type="dxa"/>
        </w:tblCellMar>
      </w:tblPr>
      <w:tblGrid>
        <w:gridCol w:w="4081"/>
        <w:gridCol w:w="3915"/>
      </w:tblGrid>
      <w:tr>
        <w:tblPrEx>
          <w:tblCellMar>
            <w:top w:w="0" w:type="dxa"/>
            <w:left w:w="108" w:type="dxa"/>
            <w:bottom w:w="0" w:type="dxa"/>
            <w:right w:w="108" w:type="dxa"/>
          </w:tblCellMar>
        </w:tblPrEx>
        <w:trPr>
          <w:trHeight w:val="2818" w:hRule="atLeast"/>
        </w:trPr>
        <w:tc>
          <w:tcPr>
            <w:tcW w:w="408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color w:val="000000"/>
                <w:szCs w:val="21"/>
                <w:highlight w:val="none"/>
              </w:rPr>
            </w:pPr>
            <w:r>
              <w:rPr>
                <w:color w:val="000000"/>
                <w:szCs w:val="21"/>
                <w:highlight w:val="none"/>
              </w:rPr>
              <w:t>正反复印</w:t>
            </w:r>
          </w:p>
          <w:p>
            <w:pPr>
              <w:spacing w:line="360" w:lineRule="auto"/>
              <w:jc w:val="center"/>
              <w:rPr>
                <w:color w:val="000000"/>
                <w:sz w:val="24"/>
                <w:highlight w:val="none"/>
                <w:lang w:val="zh-CN"/>
              </w:rPr>
            </w:pPr>
          </w:p>
          <w:p>
            <w:pPr>
              <w:spacing w:line="360" w:lineRule="auto"/>
              <w:jc w:val="center"/>
              <w:rPr>
                <w:color w:val="000000"/>
                <w:sz w:val="24"/>
                <w:highlight w:val="none"/>
                <w:u w:val="single"/>
              </w:rPr>
            </w:pPr>
            <w:r>
              <w:rPr>
                <w:color w:val="000000"/>
                <w:sz w:val="24"/>
                <w:highlight w:val="none"/>
                <w:lang w:val="zh-CN"/>
              </w:rPr>
              <w:t>法定代表人身份证复印件</w:t>
            </w:r>
          </w:p>
        </w:tc>
        <w:tc>
          <w:tcPr>
            <w:tcW w:w="391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color w:val="000000"/>
                <w:szCs w:val="21"/>
                <w:highlight w:val="none"/>
              </w:rPr>
            </w:pPr>
            <w:r>
              <w:rPr>
                <w:color w:val="000000"/>
                <w:szCs w:val="21"/>
                <w:highlight w:val="none"/>
              </w:rPr>
              <w:t>正反复印</w:t>
            </w:r>
          </w:p>
          <w:p>
            <w:pPr>
              <w:spacing w:line="360" w:lineRule="auto"/>
              <w:jc w:val="center"/>
              <w:rPr>
                <w:color w:val="000000"/>
                <w:sz w:val="24"/>
                <w:highlight w:val="none"/>
                <w:lang w:val="zh-CN"/>
              </w:rPr>
            </w:pPr>
          </w:p>
          <w:p>
            <w:pPr>
              <w:spacing w:line="360" w:lineRule="auto"/>
              <w:jc w:val="center"/>
              <w:rPr>
                <w:color w:val="000000"/>
                <w:sz w:val="24"/>
                <w:highlight w:val="none"/>
                <w:u w:val="single"/>
              </w:rPr>
            </w:pPr>
            <w:r>
              <w:rPr>
                <w:color w:val="000000"/>
                <w:sz w:val="24"/>
                <w:highlight w:val="none"/>
                <w:lang w:val="zh-CN"/>
              </w:rPr>
              <w:t>授权代表身份证复印件</w:t>
            </w:r>
          </w:p>
        </w:tc>
      </w:tr>
    </w:tbl>
    <w:p>
      <w:pPr>
        <w:ind w:firstLine="480" w:firstLineChars="200"/>
        <w:rPr>
          <w:color w:val="000000"/>
          <w:sz w:val="24"/>
          <w:highlight w:val="none"/>
        </w:rPr>
      </w:pPr>
    </w:p>
    <w:p>
      <w:pPr>
        <w:ind w:firstLine="480" w:firstLineChars="200"/>
        <w:rPr>
          <w:color w:val="000000"/>
          <w:sz w:val="24"/>
          <w:highlight w:val="none"/>
        </w:rPr>
      </w:pPr>
      <w:r>
        <w:rPr>
          <w:color w:val="000000"/>
          <w:sz w:val="24"/>
          <w:highlight w:val="none"/>
        </w:rPr>
        <w:t xml:space="preserve">供 应 商：     （盖章）        </w:t>
      </w:r>
      <w:r>
        <w:rPr>
          <w:rFonts w:hint="eastAsia"/>
          <w:color w:val="000000"/>
          <w:sz w:val="24"/>
          <w:highlight w:val="none"/>
        </w:rPr>
        <w:t xml:space="preserve">    </w:t>
      </w:r>
      <w:r>
        <w:rPr>
          <w:color w:val="000000"/>
          <w:sz w:val="24"/>
          <w:highlight w:val="none"/>
        </w:rPr>
        <w:t>法定代表人</w:t>
      </w:r>
      <w:r>
        <w:rPr>
          <w:rFonts w:hint="eastAsia"/>
          <w:color w:val="000000"/>
          <w:sz w:val="24"/>
          <w:highlight w:val="none"/>
        </w:rPr>
        <w:t>：</w:t>
      </w:r>
      <w:r>
        <w:rPr>
          <w:color w:val="000000"/>
          <w:sz w:val="24"/>
          <w:highlight w:val="none"/>
        </w:rPr>
        <w:t xml:space="preserve">    （签名或盖章）</w:t>
      </w:r>
    </w:p>
    <w:p>
      <w:pPr>
        <w:ind w:firstLine="480" w:firstLineChars="200"/>
        <w:rPr>
          <w:color w:val="000000"/>
          <w:sz w:val="24"/>
          <w:highlight w:val="none"/>
        </w:rPr>
      </w:pPr>
    </w:p>
    <w:p>
      <w:pPr>
        <w:ind w:firstLine="480" w:firstLineChars="200"/>
        <w:rPr>
          <w:color w:val="000000"/>
          <w:sz w:val="24"/>
          <w:highlight w:val="none"/>
        </w:rPr>
      </w:pPr>
    </w:p>
    <w:p>
      <w:pPr>
        <w:ind w:firstLine="480" w:firstLineChars="200"/>
        <w:rPr>
          <w:color w:val="000000"/>
          <w:sz w:val="24"/>
          <w:highlight w:val="none"/>
        </w:rPr>
      </w:pPr>
      <w:r>
        <w:rPr>
          <w:color w:val="000000"/>
          <w:sz w:val="24"/>
          <w:highlight w:val="none"/>
        </w:rPr>
        <w:t>被授权人：   （签名或盖章）        授权日期：    年  月  日</w:t>
      </w:r>
    </w:p>
    <w:p>
      <w:pPr>
        <w:ind w:firstLine="420" w:firstLineChars="200"/>
        <w:rPr>
          <w:bCs/>
          <w:color w:val="000000"/>
          <w:szCs w:val="21"/>
          <w:highlight w:val="none"/>
          <w:lang w:val="zh-CN"/>
        </w:rPr>
      </w:pPr>
    </w:p>
    <w:p>
      <w:pPr>
        <w:ind w:firstLine="420" w:firstLineChars="200"/>
        <w:rPr>
          <w:color w:val="000000"/>
          <w:highlight w:val="none"/>
          <w:lang w:val="zh-CN"/>
        </w:rPr>
      </w:pPr>
      <w:r>
        <w:rPr>
          <w:color w:val="000000"/>
          <w:highlight w:val="none"/>
          <w:lang w:val="zh-CN"/>
        </w:rPr>
        <w:t>说明：本授权有效期自开标之日起不得少于</w:t>
      </w:r>
      <w:r>
        <w:rPr>
          <w:color w:val="000000"/>
          <w:highlight w:val="none"/>
        </w:rPr>
        <w:t>90</w:t>
      </w:r>
      <w:r>
        <w:rPr>
          <w:color w:val="000000"/>
          <w:highlight w:val="none"/>
          <w:lang w:val="zh-CN"/>
        </w:rPr>
        <w:t>天，仅限授权代表参加磋商时提供。</w:t>
      </w:r>
      <w:bookmarkEnd w:id="169"/>
      <w:bookmarkStart w:id="174" w:name="_Toc217446089"/>
    </w:p>
    <w:p>
      <w:pPr>
        <w:keepNext/>
        <w:spacing w:before="240" w:beforeLines="100" w:after="240" w:afterLines="100"/>
        <w:jc w:val="center"/>
        <w:rPr>
          <w:color w:val="000000"/>
          <w:sz w:val="24"/>
          <w:highlight w:val="none"/>
        </w:rPr>
      </w:pPr>
      <w:bookmarkStart w:id="175" w:name="_Toc485883290"/>
      <w:r>
        <w:rPr>
          <w:color w:val="000000"/>
          <w:highlight w:val="none"/>
        </w:rPr>
        <w:br w:type="page"/>
      </w:r>
      <w:r>
        <w:rPr>
          <w:b/>
          <w:bCs/>
          <w:color w:val="000000"/>
          <w:sz w:val="28"/>
          <w:szCs w:val="28"/>
          <w:highlight w:val="none"/>
        </w:rPr>
        <w:t>4、资格证明材料复印件</w:t>
      </w:r>
      <w:bookmarkEnd w:id="175"/>
    </w:p>
    <w:p>
      <w:pPr>
        <w:spacing w:line="360" w:lineRule="auto"/>
        <w:ind w:firstLine="480" w:firstLineChars="200"/>
        <w:rPr>
          <w:sz w:val="24"/>
          <w:szCs w:val="22"/>
          <w:highlight w:val="none"/>
        </w:rPr>
      </w:pPr>
      <w:r>
        <w:rPr>
          <w:color w:val="000000"/>
          <w:kern w:val="0"/>
          <w:sz w:val="24"/>
          <w:highlight w:val="none"/>
        </w:rPr>
        <w:t xml:space="preserve"> </w:t>
      </w:r>
      <w:r>
        <w:rPr>
          <w:rFonts w:hint="eastAsia"/>
          <w:sz w:val="24"/>
          <w:szCs w:val="22"/>
          <w:highlight w:val="none"/>
        </w:rPr>
        <w:t>1、具有独立承担民事责任能力的法人、其他组织或自然人，提供合法有效的营业执照/事业单位法人证书/专业服务机构执业许可证/民办非企业单位登记证书等相关证明，自然人参与的提供其身份证明；</w:t>
      </w:r>
    </w:p>
    <w:p>
      <w:pPr>
        <w:spacing w:line="360" w:lineRule="auto"/>
        <w:ind w:firstLine="480" w:firstLineChars="200"/>
        <w:rPr>
          <w:sz w:val="24"/>
          <w:szCs w:val="22"/>
          <w:highlight w:val="none"/>
        </w:rPr>
      </w:pPr>
      <w:r>
        <w:rPr>
          <w:rFonts w:hint="eastAsia"/>
          <w:sz w:val="24"/>
          <w:szCs w:val="22"/>
          <w:highlight w:val="none"/>
        </w:rPr>
        <w:t>2、供应商应授权合法的人员参加投标：法定代表人直接参加投标，须出具法定代表人身份证；法定代表人授权代表参加投标，须出具法定代表人授权书及授权代表身份证；</w:t>
      </w:r>
    </w:p>
    <w:p>
      <w:pPr>
        <w:spacing w:line="360" w:lineRule="auto"/>
        <w:ind w:firstLine="480" w:firstLineChars="200"/>
        <w:rPr>
          <w:sz w:val="24"/>
          <w:szCs w:val="22"/>
          <w:highlight w:val="none"/>
        </w:rPr>
      </w:pPr>
      <w:r>
        <w:rPr>
          <w:rFonts w:hint="eastAsia"/>
          <w:sz w:val="24"/>
          <w:szCs w:val="22"/>
          <w:highlight w:val="none"/>
        </w:rPr>
        <w:t>3、财务状况报告：提供2020年度的财务审计报告或开户银行出具的资信证明；</w:t>
      </w:r>
    </w:p>
    <w:p>
      <w:pPr>
        <w:spacing w:line="360" w:lineRule="auto"/>
        <w:ind w:firstLine="480" w:firstLineChars="200"/>
        <w:rPr>
          <w:sz w:val="24"/>
          <w:szCs w:val="22"/>
          <w:highlight w:val="none"/>
        </w:rPr>
      </w:pPr>
      <w:r>
        <w:rPr>
          <w:rFonts w:hint="eastAsia"/>
          <w:sz w:val="24"/>
          <w:szCs w:val="22"/>
          <w:highlight w:val="none"/>
        </w:rPr>
        <w:t>4、税收缴纳证明：开标前近六个月至少一个月的纳税证明，依法免税的应提供相关证明材料；</w:t>
      </w:r>
    </w:p>
    <w:p>
      <w:pPr>
        <w:spacing w:line="360" w:lineRule="auto"/>
        <w:ind w:firstLine="480" w:firstLineChars="200"/>
        <w:rPr>
          <w:sz w:val="24"/>
          <w:szCs w:val="22"/>
          <w:highlight w:val="none"/>
        </w:rPr>
      </w:pPr>
      <w:r>
        <w:rPr>
          <w:rFonts w:hint="eastAsia"/>
          <w:sz w:val="24"/>
          <w:szCs w:val="22"/>
          <w:highlight w:val="none"/>
        </w:rPr>
        <w:t>5、社会保障资金缴纳证明：开标前近六个月至少一个月的社会保障资金缴纳凭证/证明，依法不需要缴纳的应提供相关证明材料；</w:t>
      </w:r>
    </w:p>
    <w:p>
      <w:pPr>
        <w:spacing w:line="360" w:lineRule="auto"/>
        <w:ind w:firstLine="480" w:firstLineChars="200"/>
        <w:rPr>
          <w:sz w:val="24"/>
          <w:szCs w:val="22"/>
          <w:highlight w:val="none"/>
        </w:rPr>
      </w:pPr>
      <w:r>
        <w:rPr>
          <w:rFonts w:hint="eastAsia"/>
          <w:sz w:val="24"/>
          <w:szCs w:val="22"/>
          <w:highlight w:val="none"/>
        </w:rPr>
        <w:t xml:space="preserve">6、 供应商应出具参加政府采购活动前3年内在经营活动中没有重大违法记录的书面声明； </w:t>
      </w:r>
    </w:p>
    <w:p>
      <w:pPr>
        <w:spacing w:line="360" w:lineRule="auto"/>
        <w:ind w:firstLine="480" w:firstLineChars="200"/>
        <w:rPr>
          <w:rFonts w:hint="eastAsia"/>
          <w:sz w:val="24"/>
          <w:szCs w:val="22"/>
          <w:highlight w:val="none"/>
        </w:rPr>
      </w:pPr>
      <w:r>
        <w:rPr>
          <w:rFonts w:hint="eastAsia"/>
          <w:sz w:val="24"/>
          <w:szCs w:val="22"/>
          <w:highlight w:val="none"/>
          <w:lang w:val="en-US" w:eastAsia="zh-CN"/>
        </w:rPr>
        <w:t>7</w:t>
      </w:r>
      <w:r>
        <w:rPr>
          <w:rFonts w:hint="eastAsia"/>
          <w:sz w:val="24"/>
          <w:szCs w:val="22"/>
          <w:highlight w:val="none"/>
        </w:rPr>
        <w:t xml:space="preserve">、供应商应在信用中国（www.creditchina.gov.cn）未被列入失信被执行人、重大税收违法案件当事人名单及在中国政府采购网（www.ccgp.gov.cn）未被列入政府采购严重违法失信行为记录名单（处罚期限届满的除外，如相关失信记录已失效，供应商需提供相关证明资料），须提供信用中国及中国政府采购网相应查询结果的网站截图（加盖公章）；         </w:t>
      </w:r>
    </w:p>
    <w:p>
      <w:pPr>
        <w:spacing w:line="360" w:lineRule="auto"/>
        <w:ind w:firstLine="480" w:firstLineChars="200"/>
        <w:rPr>
          <w:rFonts w:hint="eastAsia"/>
          <w:sz w:val="24"/>
          <w:szCs w:val="22"/>
          <w:highlight w:val="none"/>
        </w:rPr>
      </w:pPr>
      <w:r>
        <w:rPr>
          <w:rFonts w:hint="eastAsia"/>
          <w:sz w:val="24"/>
          <w:szCs w:val="22"/>
          <w:highlight w:val="none"/>
          <w:lang w:val="en-US" w:eastAsia="zh-CN"/>
        </w:rPr>
        <w:t>8</w:t>
      </w:r>
      <w:r>
        <w:rPr>
          <w:rFonts w:hint="eastAsia"/>
          <w:sz w:val="24"/>
          <w:szCs w:val="22"/>
          <w:highlight w:val="none"/>
        </w:rPr>
        <w:t>、本项目不接受联合体投标的承诺。</w:t>
      </w:r>
    </w:p>
    <w:p>
      <w:pPr>
        <w:spacing w:line="360" w:lineRule="auto"/>
        <w:rPr>
          <w:color w:val="000000"/>
          <w:sz w:val="24"/>
          <w:highlight w:val="none"/>
        </w:rPr>
      </w:pPr>
      <w:r>
        <w:rPr>
          <w:color w:val="000000"/>
          <w:sz w:val="24"/>
          <w:highlight w:val="none"/>
        </w:rPr>
        <w:t>以上均为复印件，加盖供应商公章。</w:t>
      </w:r>
    </w:p>
    <w:p>
      <w:pPr>
        <w:spacing w:line="360" w:lineRule="auto"/>
        <w:ind w:firstLine="480" w:firstLineChars="200"/>
        <w:rPr>
          <w:color w:val="000000"/>
          <w:sz w:val="24"/>
          <w:highlight w:val="none"/>
        </w:rPr>
      </w:pPr>
      <w:r>
        <w:rPr>
          <w:color w:val="000000"/>
          <w:sz w:val="24"/>
          <w:highlight w:val="none"/>
        </w:rPr>
        <w:t>（以上资格文件格式自拟）</w:t>
      </w:r>
    </w:p>
    <w:p>
      <w:pPr>
        <w:pStyle w:val="9"/>
        <w:adjustRightInd w:val="0"/>
        <w:snapToGrid w:val="0"/>
        <w:spacing w:line="360" w:lineRule="auto"/>
        <w:jc w:val="center"/>
        <w:rPr>
          <w:rFonts w:ascii="Times New Roman" w:hAnsi="Times New Roman"/>
          <w:b/>
          <w:color w:val="000000"/>
          <w:sz w:val="36"/>
          <w:szCs w:val="36"/>
          <w:highlight w:val="none"/>
        </w:rPr>
      </w:pPr>
    </w:p>
    <w:p>
      <w:pPr>
        <w:pStyle w:val="9"/>
        <w:adjustRightInd w:val="0"/>
        <w:snapToGrid w:val="0"/>
        <w:spacing w:line="360" w:lineRule="auto"/>
        <w:jc w:val="center"/>
        <w:rPr>
          <w:rFonts w:ascii="Times New Roman" w:hAnsi="Times New Roman"/>
          <w:b/>
          <w:color w:val="000000"/>
          <w:sz w:val="36"/>
          <w:szCs w:val="36"/>
          <w:highlight w:val="none"/>
        </w:rPr>
      </w:pPr>
    </w:p>
    <w:p>
      <w:pPr>
        <w:pStyle w:val="9"/>
        <w:adjustRightInd w:val="0"/>
        <w:snapToGrid w:val="0"/>
        <w:spacing w:line="360" w:lineRule="auto"/>
        <w:jc w:val="center"/>
        <w:rPr>
          <w:rFonts w:ascii="Times New Roman" w:hAnsi="Times New Roman"/>
          <w:b/>
          <w:color w:val="000000"/>
          <w:sz w:val="36"/>
          <w:szCs w:val="36"/>
          <w:highlight w:val="none"/>
        </w:rPr>
      </w:pPr>
    </w:p>
    <w:p>
      <w:pPr>
        <w:keepNext/>
        <w:spacing w:before="240" w:beforeLines="100" w:after="240" w:afterLines="100" w:line="360" w:lineRule="auto"/>
        <w:rPr>
          <w:b/>
          <w:bCs/>
          <w:color w:val="000000"/>
          <w:sz w:val="28"/>
          <w:szCs w:val="28"/>
          <w:highlight w:val="none"/>
        </w:rPr>
      </w:pPr>
    </w:p>
    <w:p>
      <w:pPr>
        <w:rPr>
          <w:b/>
          <w:bCs/>
          <w:color w:val="000000"/>
          <w:sz w:val="28"/>
          <w:szCs w:val="28"/>
          <w:highlight w:val="none"/>
        </w:rPr>
      </w:pPr>
      <w:r>
        <w:rPr>
          <w:b/>
          <w:bCs/>
          <w:color w:val="000000"/>
          <w:sz w:val="28"/>
          <w:szCs w:val="28"/>
          <w:highlight w:val="none"/>
        </w:rPr>
        <w:br w:type="page"/>
      </w:r>
    </w:p>
    <w:p>
      <w:pPr>
        <w:keepNext/>
        <w:spacing w:before="240" w:beforeLines="100" w:after="240" w:afterLines="100" w:line="360" w:lineRule="auto"/>
        <w:rPr>
          <w:b/>
          <w:bCs/>
          <w:color w:val="000000"/>
          <w:sz w:val="28"/>
          <w:szCs w:val="28"/>
          <w:highlight w:val="none"/>
        </w:rPr>
      </w:pPr>
      <w:r>
        <w:rPr>
          <w:b/>
          <w:bCs/>
          <w:color w:val="000000"/>
          <w:sz w:val="28"/>
          <w:szCs w:val="28"/>
          <w:highlight w:val="none"/>
        </w:rPr>
        <w:t>5、参加政府采购活动前3年内，在经营活动中没有重大违法记录的书面声明</w:t>
      </w:r>
    </w:p>
    <w:p>
      <w:pPr>
        <w:pStyle w:val="7"/>
        <w:spacing w:after="120" w:afterLines="50" w:line="360" w:lineRule="auto"/>
        <w:ind w:firstLine="0" w:firstLineChars="0"/>
        <w:rPr>
          <w:b/>
          <w:color w:val="000000"/>
          <w:sz w:val="24"/>
          <w:szCs w:val="24"/>
          <w:highlight w:val="none"/>
        </w:rPr>
      </w:pPr>
      <w:r>
        <w:rPr>
          <w:b/>
          <w:color w:val="000000"/>
          <w:sz w:val="24"/>
          <w:szCs w:val="24"/>
          <w:highlight w:val="none"/>
        </w:rPr>
        <w:t>致：</w:t>
      </w:r>
      <w:r>
        <w:rPr>
          <w:rFonts w:hint="eastAsia"/>
          <w:b/>
          <w:color w:val="000000"/>
          <w:sz w:val="24"/>
          <w:szCs w:val="24"/>
          <w:highlight w:val="none"/>
        </w:rPr>
        <w:t>陕西中天正略企业运营发展有限公司</w:t>
      </w:r>
    </w:p>
    <w:p>
      <w:pPr>
        <w:spacing w:line="360" w:lineRule="auto"/>
        <w:ind w:firstLine="480" w:firstLineChars="200"/>
        <w:rPr>
          <w:color w:val="000000"/>
          <w:sz w:val="28"/>
          <w:szCs w:val="28"/>
          <w:highlight w:val="none"/>
        </w:rPr>
      </w:pPr>
      <w:r>
        <w:rPr>
          <w:color w:val="000000"/>
          <w:sz w:val="24"/>
          <w:highlight w:val="none"/>
        </w:rPr>
        <w:t>我公司</w:t>
      </w:r>
      <w:r>
        <w:rPr>
          <w:rFonts w:hint="eastAsia"/>
          <w:color w:val="000000"/>
          <w:sz w:val="24"/>
          <w:highlight w:val="none"/>
          <w:u w:val="single"/>
        </w:rPr>
        <w:t xml:space="preserve">         </w:t>
      </w:r>
      <w:r>
        <w:rPr>
          <w:color w:val="000000"/>
          <w:sz w:val="24"/>
          <w:highlight w:val="none"/>
        </w:rPr>
        <w:t>（供应商名称），就参加</w:t>
      </w:r>
      <w:r>
        <w:rPr>
          <w:color w:val="000000"/>
          <w:sz w:val="24"/>
          <w:highlight w:val="none"/>
          <w:u w:val="single"/>
        </w:rPr>
        <w:t xml:space="preserve"> </w:t>
      </w:r>
      <w:r>
        <w:rPr>
          <w:rFonts w:hint="eastAsia"/>
          <w:color w:val="000000"/>
          <w:sz w:val="24"/>
          <w:highlight w:val="none"/>
          <w:u w:val="single"/>
        </w:rPr>
        <w:t xml:space="preserve">                </w:t>
      </w:r>
      <w:r>
        <w:rPr>
          <w:color w:val="000000"/>
          <w:sz w:val="24"/>
          <w:highlight w:val="none"/>
          <w:u w:val="single"/>
        </w:rPr>
        <w:t xml:space="preserve"> </w:t>
      </w:r>
      <w:r>
        <w:rPr>
          <w:color w:val="000000"/>
          <w:sz w:val="24"/>
          <w:highlight w:val="none"/>
        </w:rPr>
        <w:t>采购项目（采购项目编号：</w:t>
      </w:r>
      <w:r>
        <w:rPr>
          <w:rFonts w:hint="eastAsia"/>
          <w:color w:val="000000"/>
          <w:sz w:val="24"/>
          <w:highlight w:val="none"/>
          <w:u w:val="single"/>
        </w:rPr>
        <w:t xml:space="preserve">           </w:t>
      </w:r>
      <w:r>
        <w:rPr>
          <w:color w:val="000000"/>
          <w:sz w:val="24"/>
          <w:highlight w:val="none"/>
        </w:rPr>
        <w:t>）竞争性磋商事宜，在此郑重声明：</w:t>
      </w:r>
    </w:p>
    <w:p>
      <w:pPr>
        <w:pStyle w:val="7"/>
        <w:spacing w:line="360" w:lineRule="auto"/>
        <w:ind w:firstLine="480"/>
        <w:rPr>
          <w:color w:val="000000"/>
          <w:sz w:val="24"/>
          <w:szCs w:val="24"/>
          <w:highlight w:val="none"/>
        </w:rPr>
      </w:pPr>
      <w:r>
        <w:rPr>
          <w:color w:val="000000"/>
          <w:sz w:val="24"/>
          <w:szCs w:val="24"/>
          <w:highlight w:val="none"/>
        </w:rPr>
        <w:t>1、我公司所提交的响应文件全部真实有效；</w:t>
      </w:r>
    </w:p>
    <w:p>
      <w:pPr>
        <w:pStyle w:val="7"/>
        <w:spacing w:line="360" w:lineRule="auto"/>
        <w:ind w:firstLine="480"/>
        <w:rPr>
          <w:color w:val="000000"/>
          <w:sz w:val="24"/>
          <w:szCs w:val="24"/>
          <w:highlight w:val="none"/>
        </w:rPr>
      </w:pPr>
      <w:r>
        <w:rPr>
          <w:color w:val="000000"/>
          <w:sz w:val="24"/>
          <w:szCs w:val="24"/>
          <w:highlight w:val="none"/>
        </w:rPr>
        <w:t>2、我公司近3年来无因安全事故、质量事故、投标违规等不良记录被政府有关部门处罚或仍在处罚期限内的情形存在；</w:t>
      </w:r>
    </w:p>
    <w:p>
      <w:pPr>
        <w:pStyle w:val="7"/>
        <w:spacing w:line="360" w:lineRule="auto"/>
        <w:ind w:firstLine="480"/>
        <w:rPr>
          <w:color w:val="000000"/>
          <w:sz w:val="24"/>
          <w:szCs w:val="24"/>
          <w:highlight w:val="none"/>
        </w:rPr>
      </w:pPr>
      <w:r>
        <w:rPr>
          <w:color w:val="000000"/>
          <w:sz w:val="24"/>
          <w:szCs w:val="24"/>
          <w:highlight w:val="none"/>
        </w:rPr>
        <w:t>3、我公司近3年来无违规违法经营受到责令停产(或停止经营)、吊销生产许可证（或经营许可证）、较大数额罚款等行政处罚的情形存在；</w:t>
      </w:r>
    </w:p>
    <w:p>
      <w:pPr>
        <w:pStyle w:val="7"/>
        <w:spacing w:line="360" w:lineRule="auto"/>
        <w:ind w:firstLine="480"/>
        <w:rPr>
          <w:color w:val="000000"/>
          <w:sz w:val="24"/>
          <w:szCs w:val="24"/>
          <w:highlight w:val="none"/>
        </w:rPr>
      </w:pPr>
      <w:r>
        <w:rPr>
          <w:color w:val="000000"/>
          <w:sz w:val="24"/>
          <w:szCs w:val="24"/>
          <w:highlight w:val="none"/>
        </w:rPr>
        <w:t>4、我公司无企业财产被查封、冻结或处于破产状态或严重亏损状态等情形存在；</w:t>
      </w:r>
    </w:p>
    <w:p>
      <w:pPr>
        <w:pStyle w:val="7"/>
        <w:spacing w:line="360" w:lineRule="auto"/>
        <w:ind w:firstLine="480"/>
        <w:rPr>
          <w:color w:val="000000"/>
          <w:sz w:val="24"/>
          <w:szCs w:val="24"/>
          <w:highlight w:val="none"/>
        </w:rPr>
      </w:pPr>
      <w:r>
        <w:rPr>
          <w:color w:val="000000"/>
          <w:sz w:val="24"/>
          <w:szCs w:val="24"/>
          <w:highlight w:val="none"/>
        </w:rPr>
        <w:t>5、我公司承诺在磋商过程中，保证不予其他单位围标、串标，不出让磋商资格，不采取不正当手段诋毁、排挤其他供应商，不向采购人、采购代理机构、磋商小组成员行贿。</w:t>
      </w:r>
    </w:p>
    <w:p>
      <w:pPr>
        <w:pStyle w:val="7"/>
        <w:spacing w:line="360" w:lineRule="auto"/>
        <w:ind w:firstLine="480"/>
        <w:rPr>
          <w:color w:val="000000"/>
          <w:sz w:val="24"/>
          <w:szCs w:val="24"/>
          <w:highlight w:val="none"/>
        </w:rPr>
      </w:pPr>
      <w:r>
        <w:rPr>
          <w:color w:val="000000"/>
          <w:sz w:val="24"/>
          <w:szCs w:val="24"/>
          <w:highlight w:val="none"/>
        </w:rPr>
        <w:t>6、我公司</w:t>
      </w:r>
      <w:r>
        <w:rPr>
          <w:color w:val="000000"/>
          <w:sz w:val="24"/>
          <w:highlight w:val="none"/>
        </w:rPr>
        <w:t>参加政府采购活动近3年内，在经营活动中没有重大违法记录。</w:t>
      </w:r>
    </w:p>
    <w:p>
      <w:pPr>
        <w:pStyle w:val="7"/>
        <w:spacing w:line="360" w:lineRule="auto"/>
        <w:ind w:firstLine="480"/>
        <w:rPr>
          <w:color w:val="000000"/>
          <w:sz w:val="24"/>
          <w:szCs w:val="24"/>
          <w:highlight w:val="none"/>
        </w:rPr>
      </w:pPr>
      <w:r>
        <w:rPr>
          <w:color w:val="000000"/>
          <w:sz w:val="24"/>
          <w:szCs w:val="24"/>
          <w:highlight w:val="none"/>
        </w:rPr>
        <w:t>以上声明若有违反，一经查实，我公司愿意接受政府有关部门的相应处罚，并愿意承担由此带来的法律后果。</w:t>
      </w:r>
    </w:p>
    <w:p>
      <w:pPr>
        <w:pStyle w:val="7"/>
        <w:spacing w:line="360" w:lineRule="auto"/>
        <w:ind w:firstLine="480"/>
        <w:rPr>
          <w:color w:val="000000"/>
          <w:sz w:val="24"/>
          <w:szCs w:val="24"/>
          <w:highlight w:val="none"/>
        </w:rPr>
      </w:pPr>
    </w:p>
    <w:p>
      <w:pPr>
        <w:pStyle w:val="7"/>
        <w:spacing w:line="360" w:lineRule="auto"/>
        <w:ind w:firstLine="480"/>
        <w:rPr>
          <w:color w:val="000000"/>
          <w:sz w:val="24"/>
          <w:szCs w:val="24"/>
          <w:highlight w:val="none"/>
        </w:rPr>
      </w:pPr>
      <w:r>
        <w:rPr>
          <w:color w:val="000000"/>
          <w:sz w:val="24"/>
          <w:szCs w:val="24"/>
          <w:highlight w:val="none"/>
        </w:rPr>
        <w:t>特此声明！</w:t>
      </w:r>
    </w:p>
    <w:p>
      <w:pPr>
        <w:pStyle w:val="7"/>
        <w:spacing w:line="360" w:lineRule="auto"/>
        <w:ind w:firstLine="480"/>
        <w:rPr>
          <w:color w:val="000000"/>
          <w:sz w:val="24"/>
          <w:szCs w:val="24"/>
          <w:highlight w:val="none"/>
        </w:rPr>
      </w:pPr>
    </w:p>
    <w:p>
      <w:pPr>
        <w:pStyle w:val="7"/>
        <w:spacing w:line="360" w:lineRule="auto"/>
        <w:ind w:firstLine="480"/>
        <w:rPr>
          <w:color w:val="000000"/>
          <w:sz w:val="24"/>
          <w:szCs w:val="24"/>
          <w:highlight w:val="none"/>
        </w:rPr>
      </w:pPr>
      <w:r>
        <w:rPr>
          <w:color w:val="000000"/>
          <w:sz w:val="24"/>
          <w:szCs w:val="24"/>
          <w:highlight w:val="none"/>
        </w:rPr>
        <w:t>声  明  人</w:t>
      </w:r>
      <w:r>
        <w:rPr>
          <w:rFonts w:hint="eastAsia"/>
          <w:color w:val="000000"/>
          <w:sz w:val="24"/>
          <w:szCs w:val="24"/>
          <w:highlight w:val="none"/>
        </w:rPr>
        <w:t>：</w:t>
      </w:r>
      <w:r>
        <w:rPr>
          <w:rFonts w:hint="eastAsia"/>
          <w:color w:val="000000"/>
          <w:sz w:val="24"/>
          <w:szCs w:val="24"/>
          <w:highlight w:val="none"/>
          <w:u w:val="single"/>
        </w:rPr>
        <w:t xml:space="preserve">          </w:t>
      </w:r>
      <w:r>
        <w:rPr>
          <w:rFonts w:hint="eastAsia"/>
          <w:color w:val="000000"/>
          <w:sz w:val="24"/>
          <w:szCs w:val="24"/>
          <w:highlight w:val="none"/>
        </w:rPr>
        <w:t>（</w:t>
      </w:r>
      <w:r>
        <w:rPr>
          <w:color w:val="000000"/>
          <w:sz w:val="24"/>
          <w:szCs w:val="24"/>
          <w:highlight w:val="none"/>
        </w:rPr>
        <w:t>供应商名称、公章</w:t>
      </w:r>
      <w:r>
        <w:rPr>
          <w:rFonts w:hint="eastAsia"/>
          <w:color w:val="000000"/>
          <w:sz w:val="24"/>
          <w:szCs w:val="24"/>
          <w:highlight w:val="none"/>
        </w:rPr>
        <w:t>）</w:t>
      </w:r>
    </w:p>
    <w:p>
      <w:pPr>
        <w:pStyle w:val="7"/>
        <w:spacing w:line="360" w:lineRule="auto"/>
        <w:ind w:firstLine="480"/>
        <w:rPr>
          <w:color w:val="000000"/>
          <w:sz w:val="24"/>
          <w:szCs w:val="24"/>
          <w:highlight w:val="none"/>
        </w:rPr>
      </w:pPr>
      <w:r>
        <w:rPr>
          <w:color w:val="000000"/>
          <w:sz w:val="24"/>
          <w:szCs w:val="24"/>
          <w:highlight w:val="none"/>
        </w:rPr>
        <w:t>法定代表人：</w:t>
      </w:r>
      <w:r>
        <w:rPr>
          <w:rFonts w:hint="eastAsia"/>
          <w:color w:val="000000"/>
          <w:sz w:val="24"/>
          <w:szCs w:val="24"/>
          <w:highlight w:val="none"/>
          <w:u w:val="single"/>
        </w:rPr>
        <w:t xml:space="preserve">         </w:t>
      </w:r>
      <w:r>
        <w:rPr>
          <w:color w:val="000000"/>
          <w:sz w:val="24"/>
          <w:szCs w:val="24"/>
          <w:highlight w:val="none"/>
        </w:rPr>
        <w:t>（签名或盖章）</w:t>
      </w:r>
    </w:p>
    <w:p>
      <w:pPr>
        <w:pStyle w:val="7"/>
        <w:spacing w:line="360" w:lineRule="auto"/>
        <w:ind w:firstLine="480"/>
        <w:rPr>
          <w:color w:val="000000"/>
          <w:sz w:val="24"/>
          <w:szCs w:val="24"/>
          <w:highlight w:val="none"/>
        </w:rPr>
      </w:pPr>
      <w:r>
        <w:rPr>
          <w:color w:val="000000"/>
          <w:sz w:val="24"/>
          <w:szCs w:val="24"/>
          <w:highlight w:val="none"/>
        </w:rPr>
        <w:t>日      期：</w:t>
      </w:r>
      <w:r>
        <w:rPr>
          <w:rFonts w:hint="eastAsia"/>
          <w:color w:val="000000"/>
          <w:sz w:val="24"/>
          <w:szCs w:val="24"/>
          <w:highlight w:val="none"/>
          <w:u w:val="single"/>
        </w:rPr>
        <w:t xml:space="preserve">      </w:t>
      </w:r>
      <w:r>
        <w:rPr>
          <w:rFonts w:hint="eastAsia"/>
          <w:color w:val="000000"/>
          <w:sz w:val="24"/>
          <w:szCs w:val="24"/>
          <w:highlight w:val="none"/>
        </w:rPr>
        <w:t>年</w:t>
      </w:r>
      <w:r>
        <w:rPr>
          <w:rFonts w:hint="eastAsia"/>
          <w:color w:val="000000"/>
          <w:sz w:val="24"/>
          <w:szCs w:val="24"/>
          <w:highlight w:val="none"/>
          <w:u w:val="single"/>
        </w:rPr>
        <w:t xml:space="preserve">    </w:t>
      </w:r>
      <w:r>
        <w:rPr>
          <w:rFonts w:hint="eastAsia"/>
          <w:color w:val="000000"/>
          <w:sz w:val="24"/>
          <w:szCs w:val="24"/>
          <w:highlight w:val="none"/>
        </w:rPr>
        <w:t>月</w:t>
      </w:r>
      <w:r>
        <w:rPr>
          <w:rFonts w:hint="eastAsia"/>
          <w:color w:val="000000"/>
          <w:sz w:val="24"/>
          <w:szCs w:val="24"/>
          <w:highlight w:val="none"/>
          <w:u w:val="single"/>
        </w:rPr>
        <w:t xml:space="preserve">    </w:t>
      </w:r>
      <w:r>
        <w:rPr>
          <w:rFonts w:hint="eastAsia"/>
          <w:color w:val="000000"/>
          <w:sz w:val="24"/>
          <w:szCs w:val="24"/>
          <w:highlight w:val="none"/>
        </w:rPr>
        <w:t>日</w:t>
      </w:r>
      <w:r>
        <w:rPr>
          <w:color w:val="000000"/>
          <w:sz w:val="24"/>
          <w:szCs w:val="24"/>
          <w:highlight w:val="none"/>
        </w:rPr>
        <w:t xml:space="preserve">  </w:t>
      </w:r>
    </w:p>
    <w:p>
      <w:pPr>
        <w:keepNext/>
        <w:spacing w:before="240" w:beforeLines="100" w:after="240" w:afterLines="100"/>
        <w:jc w:val="center"/>
        <w:rPr>
          <w:b/>
          <w:bCs/>
          <w:color w:val="000000"/>
          <w:sz w:val="28"/>
          <w:szCs w:val="28"/>
          <w:highlight w:val="none"/>
        </w:rPr>
      </w:pPr>
      <w:r>
        <w:rPr>
          <w:color w:val="000000"/>
          <w:sz w:val="24"/>
          <w:szCs w:val="24"/>
          <w:highlight w:val="none"/>
        </w:rPr>
        <w:br w:type="page"/>
      </w:r>
      <w:bookmarkEnd w:id="174"/>
      <w:bookmarkStart w:id="176" w:name="_Toc485883292"/>
      <w:r>
        <w:rPr>
          <w:rFonts w:hint="eastAsia"/>
          <w:b/>
          <w:bCs/>
          <w:color w:val="000000"/>
          <w:sz w:val="28"/>
          <w:szCs w:val="28"/>
          <w:highlight w:val="none"/>
        </w:rPr>
        <w:t>6、磋商</w:t>
      </w:r>
      <w:r>
        <w:rPr>
          <w:b/>
          <w:bCs/>
          <w:color w:val="000000"/>
          <w:sz w:val="28"/>
          <w:szCs w:val="28"/>
          <w:highlight w:val="none"/>
        </w:rPr>
        <w:t>保证金缴纳凭证或担保机构出具的保函</w:t>
      </w:r>
    </w:p>
    <w:p>
      <w:pPr>
        <w:tabs>
          <w:tab w:val="left" w:pos="1080"/>
        </w:tabs>
        <w:spacing w:line="360" w:lineRule="auto"/>
        <w:rPr>
          <w:sz w:val="24"/>
          <w:highlight w:val="none"/>
        </w:rPr>
      </w:pPr>
      <w:r>
        <w:rPr>
          <w:rFonts w:hint="eastAsia"/>
          <w:sz w:val="24"/>
          <w:highlight w:val="none"/>
        </w:rPr>
        <w:t>1、</w:t>
      </w:r>
      <w:r>
        <w:rPr>
          <w:sz w:val="24"/>
          <w:highlight w:val="none"/>
        </w:rPr>
        <w:t>投标保证金凭证（复印件）粘贴处</w:t>
      </w:r>
    </w:p>
    <w:p>
      <w:pPr>
        <w:spacing w:line="560" w:lineRule="exact"/>
        <w:rPr>
          <w:sz w:val="24"/>
          <w:highlight w:val="none"/>
        </w:rPr>
      </w:pPr>
      <w:r>
        <w:rPr>
          <w:rFonts w:hint="eastAsia"/>
          <w:sz w:val="24"/>
          <w:highlight w:val="none"/>
        </w:rPr>
        <w:t>2、基础信息：</w:t>
      </w:r>
    </w:p>
    <w:p>
      <w:pPr>
        <w:spacing w:line="560" w:lineRule="exact"/>
        <w:jc w:val="left"/>
        <w:rPr>
          <w:sz w:val="24"/>
          <w:highlight w:val="none"/>
        </w:rPr>
      </w:pPr>
      <w:r>
        <w:rPr>
          <w:rFonts w:hint="eastAsia"/>
          <w:sz w:val="24"/>
          <w:highlight w:val="none"/>
        </w:rPr>
        <w:t>公司名称：</w:t>
      </w:r>
    </w:p>
    <w:p>
      <w:pPr>
        <w:spacing w:line="560" w:lineRule="exact"/>
        <w:jc w:val="left"/>
        <w:rPr>
          <w:sz w:val="24"/>
          <w:highlight w:val="none"/>
        </w:rPr>
      </w:pPr>
      <w:r>
        <w:rPr>
          <w:rFonts w:hint="eastAsia"/>
          <w:sz w:val="24"/>
          <w:highlight w:val="none"/>
        </w:rPr>
        <w:t>开户行名称：</w:t>
      </w:r>
    </w:p>
    <w:p>
      <w:pPr>
        <w:spacing w:line="560" w:lineRule="exact"/>
        <w:jc w:val="left"/>
        <w:rPr>
          <w:sz w:val="24"/>
          <w:highlight w:val="none"/>
        </w:rPr>
      </w:pPr>
      <w:r>
        <w:rPr>
          <w:rFonts w:hint="eastAsia"/>
          <w:sz w:val="24"/>
          <w:highlight w:val="none"/>
        </w:rPr>
        <w:t>行号：</w:t>
      </w:r>
    </w:p>
    <w:p>
      <w:pPr>
        <w:spacing w:line="560" w:lineRule="exact"/>
        <w:jc w:val="left"/>
        <w:rPr>
          <w:sz w:val="24"/>
          <w:highlight w:val="none"/>
        </w:rPr>
      </w:pPr>
      <w:r>
        <w:rPr>
          <w:rFonts w:hint="eastAsia"/>
          <w:sz w:val="24"/>
          <w:highlight w:val="none"/>
        </w:rPr>
        <w:t>账号：</w:t>
      </w:r>
    </w:p>
    <w:p>
      <w:pPr>
        <w:keepNext/>
        <w:spacing w:before="240" w:beforeLines="100" w:after="240" w:afterLines="100"/>
        <w:jc w:val="center"/>
        <w:rPr>
          <w:b/>
          <w:bCs/>
          <w:color w:val="000000"/>
          <w:sz w:val="28"/>
          <w:szCs w:val="28"/>
          <w:highlight w:val="none"/>
        </w:rPr>
      </w:pPr>
      <w:r>
        <w:rPr>
          <w:color w:val="000000"/>
          <w:sz w:val="24"/>
          <w:szCs w:val="24"/>
          <w:highlight w:val="none"/>
        </w:rPr>
        <w:br w:type="page"/>
      </w:r>
      <w:r>
        <w:rPr>
          <w:rFonts w:hint="eastAsia"/>
          <w:b/>
          <w:bCs/>
          <w:color w:val="000000"/>
          <w:sz w:val="28"/>
          <w:szCs w:val="28"/>
          <w:highlight w:val="none"/>
        </w:rPr>
        <w:t>7、</w:t>
      </w:r>
      <w:r>
        <w:rPr>
          <w:b/>
          <w:bCs/>
          <w:color w:val="000000"/>
          <w:sz w:val="28"/>
          <w:szCs w:val="28"/>
          <w:highlight w:val="none"/>
        </w:rPr>
        <w:t>提供政府采购政策产品等证明材料</w:t>
      </w:r>
      <w:bookmarkEnd w:id="176"/>
    </w:p>
    <w:p>
      <w:pPr>
        <w:pStyle w:val="22"/>
        <w:spacing w:line="400" w:lineRule="exact"/>
        <w:rPr>
          <w:rFonts w:ascii="Times New Roman" w:eastAsia="宋体"/>
          <w:b w:val="0"/>
          <w:bCs/>
          <w:color w:val="000000"/>
          <w:sz w:val="24"/>
          <w:szCs w:val="24"/>
          <w:highlight w:val="none"/>
        </w:rPr>
      </w:pPr>
      <w:r>
        <w:rPr>
          <w:rFonts w:ascii="Times New Roman" w:eastAsia="宋体"/>
          <w:b w:val="0"/>
          <w:bCs/>
          <w:color w:val="000000"/>
          <w:sz w:val="24"/>
          <w:szCs w:val="24"/>
          <w:highlight w:val="none"/>
        </w:rPr>
        <w:t>附件1、</w:t>
      </w:r>
    </w:p>
    <w:p>
      <w:pPr>
        <w:pStyle w:val="22"/>
        <w:spacing w:before="120" w:beforeLines="50"/>
        <w:jc w:val="center"/>
        <w:rPr>
          <w:rFonts w:ascii="Times New Roman" w:eastAsia="宋体"/>
          <w:color w:val="000000"/>
          <w:sz w:val="28"/>
          <w:szCs w:val="28"/>
          <w:highlight w:val="none"/>
        </w:rPr>
      </w:pPr>
      <w:r>
        <w:rPr>
          <w:rFonts w:hint="eastAsia" w:ascii="Times New Roman" w:eastAsia="宋体"/>
          <w:color w:val="000000"/>
          <w:sz w:val="28"/>
          <w:szCs w:val="28"/>
          <w:highlight w:val="none"/>
        </w:rPr>
        <w:t>中小企业声明函</w:t>
      </w:r>
    </w:p>
    <w:p>
      <w:pPr>
        <w:pStyle w:val="22"/>
        <w:rPr>
          <w:rFonts w:ascii="Times New Roman" w:eastAsia="宋体"/>
          <w:b w:val="0"/>
          <w:bCs/>
          <w:color w:val="000000"/>
          <w:sz w:val="24"/>
          <w:szCs w:val="24"/>
          <w:highlight w:val="none"/>
        </w:rPr>
      </w:pPr>
      <w:r>
        <w:rPr>
          <w:rFonts w:hint="eastAsia" w:ascii="Times New Roman" w:eastAsia="宋体"/>
          <w:b w:val="0"/>
          <w:bCs/>
          <w:color w:val="000000"/>
          <w:sz w:val="24"/>
          <w:szCs w:val="24"/>
          <w:highlight w:val="none"/>
        </w:rPr>
        <w:t>致：</w:t>
      </w:r>
    </w:p>
    <w:p>
      <w:pPr>
        <w:pStyle w:val="22"/>
        <w:ind w:firstLine="480" w:firstLineChars="200"/>
        <w:rPr>
          <w:rFonts w:ascii="Times New Roman" w:eastAsia="宋体"/>
          <w:b w:val="0"/>
          <w:bCs/>
          <w:color w:val="000000"/>
          <w:sz w:val="24"/>
          <w:szCs w:val="24"/>
          <w:highlight w:val="none"/>
        </w:rPr>
      </w:pPr>
      <w:r>
        <w:rPr>
          <w:rFonts w:hint="eastAsia" w:ascii="Times New Roman" w:eastAsia="宋体"/>
          <w:b w:val="0"/>
          <w:bCs/>
          <w:color w:val="000000"/>
          <w:sz w:val="24"/>
          <w:szCs w:val="24"/>
          <w:highlight w:val="none"/>
        </w:rPr>
        <w:t>本公司郑重声明，根据《政府采购促进中小企业发展暂行办法》（财库[2011]181号）的规定，本公司为______（请填写：中型、小型、微型）企业。即，本公司同时满足以下条件：</w:t>
      </w:r>
    </w:p>
    <w:p>
      <w:pPr>
        <w:pStyle w:val="22"/>
        <w:ind w:firstLine="480" w:firstLineChars="200"/>
        <w:rPr>
          <w:rFonts w:ascii="Times New Roman" w:eastAsia="宋体"/>
          <w:b w:val="0"/>
          <w:bCs/>
          <w:color w:val="000000"/>
          <w:sz w:val="24"/>
          <w:szCs w:val="24"/>
          <w:highlight w:val="none"/>
        </w:rPr>
      </w:pPr>
      <w:r>
        <w:rPr>
          <w:rFonts w:hint="eastAsia" w:ascii="Times New Roman" w:eastAsia="宋体"/>
          <w:b w:val="0"/>
          <w:bCs/>
          <w:color w:val="000000"/>
          <w:sz w:val="24"/>
          <w:szCs w:val="24"/>
          <w:highlight w:val="none"/>
        </w:rPr>
        <w:t>1、根据《工业和信息化部、国家统计局、国家发展和改革委员会、财政部关于印发中小企业划型标准规定的通知》（工信部联企业[2011]300号）规定的划分标准，本公司为______（请填写:小型、微型）企业。</w:t>
      </w:r>
    </w:p>
    <w:p>
      <w:pPr>
        <w:pStyle w:val="22"/>
        <w:ind w:firstLine="480" w:firstLineChars="200"/>
        <w:rPr>
          <w:rFonts w:ascii="Times New Roman" w:eastAsia="宋体"/>
          <w:b w:val="0"/>
          <w:bCs/>
          <w:color w:val="000000"/>
          <w:sz w:val="24"/>
          <w:szCs w:val="24"/>
          <w:highlight w:val="none"/>
        </w:rPr>
      </w:pPr>
      <w:r>
        <w:rPr>
          <w:rFonts w:hint="eastAsia" w:ascii="Times New Roman" w:eastAsia="宋体"/>
          <w:b w:val="0"/>
          <w:bCs/>
          <w:color w:val="000000"/>
          <w:sz w:val="24"/>
          <w:szCs w:val="24"/>
          <w:highlight w:val="none"/>
        </w:rPr>
        <w:t>2、本公司参加______（采购人）的______项目采购活动提供本企业制造的货物，由本企业承担工程、提供服务，或者提供其他______（请填写：小型、微型）企业制造的货物。本条所称货物不包括使用大型企业注册商标的货物。</w:t>
      </w:r>
    </w:p>
    <w:p>
      <w:pPr>
        <w:pStyle w:val="22"/>
        <w:ind w:firstLine="480" w:firstLineChars="200"/>
        <w:rPr>
          <w:rFonts w:ascii="Times New Roman" w:eastAsia="宋体"/>
          <w:b w:val="0"/>
          <w:bCs/>
          <w:color w:val="000000"/>
          <w:sz w:val="24"/>
          <w:szCs w:val="24"/>
          <w:highlight w:val="none"/>
        </w:rPr>
      </w:pPr>
      <w:r>
        <w:rPr>
          <w:rFonts w:hint="eastAsia" w:ascii="Times New Roman" w:eastAsia="宋体"/>
          <w:b w:val="0"/>
          <w:bCs/>
          <w:color w:val="000000"/>
          <w:sz w:val="24"/>
          <w:szCs w:val="24"/>
          <w:highlight w:val="none"/>
        </w:rPr>
        <w:t>本公司对上述声明的真实性负责。如有虚假，将依法承担相应责任。</w:t>
      </w:r>
    </w:p>
    <w:p>
      <w:pPr>
        <w:pStyle w:val="7"/>
        <w:spacing w:line="360" w:lineRule="auto"/>
        <w:ind w:firstLine="480"/>
        <w:rPr>
          <w:color w:val="000000"/>
          <w:sz w:val="24"/>
          <w:szCs w:val="24"/>
          <w:highlight w:val="none"/>
        </w:rPr>
      </w:pPr>
      <w:r>
        <w:rPr>
          <w:color w:val="000000"/>
          <w:sz w:val="24"/>
          <w:szCs w:val="24"/>
          <w:highlight w:val="none"/>
        </w:rPr>
        <w:t>特此声明！</w:t>
      </w:r>
    </w:p>
    <w:p>
      <w:pPr>
        <w:pStyle w:val="7"/>
        <w:spacing w:line="360" w:lineRule="auto"/>
        <w:ind w:firstLine="480"/>
        <w:rPr>
          <w:color w:val="000000"/>
          <w:sz w:val="24"/>
          <w:szCs w:val="24"/>
          <w:highlight w:val="none"/>
        </w:rPr>
      </w:pPr>
    </w:p>
    <w:p>
      <w:pPr>
        <w:pStyle w:val="7"/>
        <w:spacing w:line="360" w:lineRule="auto"/>
        <w:ind w:firstLine="480"/>
        <w:rPr>
          <w:color w:val="000000"/>
          <w:sz w:val="24"/>
          <w:szCs w:val="24"/>
          <w:highlight w:val="none"/>
        </w:rPr>
      </w:pPr>
      <w:r>
        <w:rPr>
          <w:color w:val="000000"/>
          <w:sz w:val="24"/>
          <w:szCs w:val="24"/>
          <w:highlight w:val="none"/>
        </w:rPr>
        <w:t>声  明  人</w:t>
      </w:r>
      <w:r>
        <w:rPr>
          <w:rFonts w:hint="eastAsia"/>
          <w:color w:val="000000"/>
          <w:sz w:val="24"/>
          <w:szCs w:val="24"/>
          <w:highlight w:val="none"/>
        </w:rPr>
        <w:t>：</w:t>
      </w:r>
      <w:r>
        <w:rPr>
          <w:rFonts w:hint="eastAsia"/>
          <w:color w:val="000000"/>
          <w:sz w:val="24"/>
          <w:szCs w:val="24"/>
          <w:highlight w:val="none"/>
          <w:u w:val="single"/>
        </w:rPr>
        <w:t xml:space="preserve">          </w:t>
      </w:r>
      <w:r>
        <w:rPr>
          <w:rFonts w:hint="eastAsia"/>
          <w:color w:val="000000"/>
          <w:sz w:val="24"/>
          <w:szCs w:val="24"/>
          <w:highlight w:val="none"/>
        </w:rPr>
        <w:t>（</w:t>
      </w:r>
      <w:r>
        <w:rPr>
          <w:color w:val="000000"/>
          <w:sz w:val="24"/>
          <w:szCs w:val="24"/>
          <w:highlight w:val="none"/>
        </w:rPr>
        <w:t>供应商名称、公章</w:t>
      </w:r>
      <w:r>
        <w:rPr>
          <w:rFonts w:hint="eastAsia"/>
          <w:color w:val="000000"/>
          <w:sz w:val="24"/>
          <w:szCs w:val="24"/>
          <w:highlight w:val="none"/>
        </w:rPr>
        <w:t>）</w:t>
      </w:r>
    </w:p>
    <w:p>
      <w:pPr>
        <w:pStyle w:val="7"/>
        <w:spacing w:line="360" w:lineRule="auto"/>
        <w:ind w:firstLine="480"/>
        <w:rPr>
          <w:color w:val="000000"/>
          <w:sz w:val="24"/>
          <w:szCs w:val="24"/>
          <w:highlight w:val="none"/>
        </w:rPr>
      </w:pPr>
      <w:r>
        <w:rPr>
          <w:color w:val="000000"/>
          <w:sz w:val="24"/>
          <w:szCs w:val="24"/>
          <w:highlight w:val="none"/>
        </w:rPr>
        <w:t>法定代表人：</w:t>
      </w:r>
      <w:r>
        <w:rPr>
          <w:rFonts w:hint="eastAsia"/>
          <w:color w:val="000000"/>
          <w:sz w:val="24"/>
          <w:szCs w:val="24"/>
          <w:highlight w:val="none"/>
          <w:u w:val="single"/>
        </w:rPr>
        <w:t xml:space="preserve">         </w:t>
      </w:r>
      <w:r>
        <w:rPr>
          <w:color w:val="000000"/>
          <w:sz w:val="24"/>
          <w:szCs w:val="24"/>
          <w:highlight w:val="none"/>
        </w:rPr>
        <w:t>（签名或盖章）</w:t>
      </w:r>
    </w:p>
    <w:p>
      <w:pPr>
        <w:adjustRightInd w:val="0"/>
        <w:snapToGrid w:val="0"/>
        <w:spacing w:line="360" w:lineRule="exact"/>
        <w:ind w:firstLine="480" w:firstLineChars="200"/>
        <w:rPr>
          <w:color w:val="000000"/>
          <w:sz w:val="24"/>
          <w:szCs w:val="24"/>
          <w:highlight w:val="none"/>
        </w:rPr>
      </w:pPr>
      <w:r>
        <w:rPr>
          <w:color w:val="000000"/>
          <w:sz w:val="24"/>
          <w:szCs w:val="24"/>
          <w:highlight w:val="none"/>
        </w:rPr>
        <w:t>日      期：</w:t>
      </w:r>
      <w:r>
        <w:rPr>
          <w:rFonts w:hint="eastAsia"/>
          <w:color w:val="000000"/>
          <w:sz w:val="24"/>
          <w:szCs w:val="24"/>
          <w:highlight w:val="none"/>
          <w:u w:val="single"/>
        </w:rPr>
        <w:t xml:space="preserve">      </w:t>
      </w:r>
      <w:r>
        <w:rPr>
          <w:rFonts w:hint="eastAsia"/>
          <w:color w:val="000000"/>
          <w:sz w:val="24"/>
          <w:szCs w:val="24"/>
          <w:highlight w:val="none"/>
        </w:rPr>
        <w:t>年</w:t>
      </w:r>
      <w:r>
        <w:rPr>
          <w:rFonts w:hint="eastAsia"/>
          <w:color w:val="000000"/>
          <w:sz w:val="24"/>
          <w:szCs w:val="24"/>
          <w:highlight w:val="none"/>
          <w:u w:val="single"/>
        </w:rPr>
        <w:t xml:space="preserve">    </w:t>
      </w:r>
      <w:r>
        <w:rPr>
          <w:rFonts w:hint="eastAsia"/>
          <w:color w:val="000000"/>
          <w:sz w:val="24"/>
          <w:szCs w:val="24"/>
          <w:highlight w:val="none"/>
        </w:rPr>
        <w:t>月</w:t>
      </w:r>
      <w:r>
        <w:rPr>
          <w:rFonts w:hint="eastAsia"/>
          <w:color w:val="000000"/>
          <w:sz w:val="24"/>
          <w:szCs w:val="24"/>
          <w:highlight w:val="none"/>
          <w:u w:val="single"/>
        </w:rPr>
        <w:t xml:space="preserve">    </w:t>
      </w:r>
      <w:r>
        <w:rPr>
          <w:rFonts w:hint="eastAsia"/>
          <w:color w:val="000000"/>
          <w:sz w:val="24"/>
          <w:szCs w:val="24"/>
          <w:highlight w:val="none"/>
        </w:rPr>
        <w:t>日</w:t>
      </w:r>
    </w:p>
    <w:p>
      <w:pPr>
        <w:adjustRightInd w:val="0"/>
        <w:snapToGrid w:val="0"/>
        <w:spacing w:line="360" w:lineRule="exact"/>
        <w:rPr>
          <w:color w:val="000000"/>
          <w:sz w:val="24"/>
          <w:szCs w:val="24"/>
          <w:highlight w:val="none"/>
        </w:rPr>
      </w:pPr>
    </w:p>
    <w:p>
      <w:pPr>
        <w:adjustRightInd w:val="0"/>
        <w:snapToGrid w:val="0"/>
        <w:spacing w:line="360" w:lineRule="exact"/>
        <w:rPr>
          <w:color w:val="000000"/>
          <w:szCs w:val="21"/>
          <w:highlight w:val="none"/>
        </w:rPr>
      </w:pPr>
      <w:r>
        <w:rPr>
          <w:color w:val="000000"/>
          <w:szCs w:val="21"/>
          <w:highlight w:val="none"/>
        </w:rPr>
        <w:t>说明：1、填写前请认真阅读</w:t>
      </w:r>
      <w:r>
        <w:rPr>
          <w:color w:val="000000"/>
          <w:spacing w:val="6"/>
          <w:kern w:val="0"/>
          <w:szCs w:val="21"/>
          <w:highlight w:val="none"/>
        </w:rPr>
        <w:t>《工业和信息化部、国家统计局、国家发展和改革委员会、财政部关于印发中小企业划型标准规定的通知》（工信部联企业[2011]300号）和</w:t>
      </w:r>
      <w:r>
        <w:rPr>
          <w:color w:val="000000"/>
          <w:spacing w:val="6"/>
          <w:szCs w:val="21"/>
          <w:highlight w:val="none"/>
        </w:rPr>
        <w:t>《财政部工业和信息化部</w:t>
      </w:r>
      <w:r>
        <w:rPr>
          <w:bCs/>
          <w:color w:val="000000"/>
          <w:szCs w:val="21"/>
          <w:highlight w:val="none"/>
        </w:rPr>
        <w:t>关于印发＜政府采购促进中小企业发展暂行办法＞的通知》(</w:t>
      </w:r>
      <w:r>
        <w:rPr>
          <w:color w:val="000000"/>
          <w:szCs w:val="21"/>
          <w:highlight w:val="none"/>
        </w:rPr>
        <w:t>财库[2011]181号)相关规定。</w:t>
      </w:r>
    </w:p>
    <w:p>
      <w:pPr>
        <w:adjustRightInd w:val="0"/>
        <w:snapToGrid w:val="0"/>
        <w:spacing w:line="360" w:lineRule="exact"/>
        <w:ind w:firstLine="525" w:firstLineChars="250"/>
        <w:rPr>
          <w:bCs/>
          <w:color w:val="000000"/>
          <w:szCs w:val="21"/>
          <w:highlight w:val="none"/>
        </w:rPr>
      </w:pPr>
      <w:r>
        <w:rPr>
          <w:color w:val="000000"/>
          <w:szCs w:val="21"/>
          <w:highlight w:val="none"/>
        </w:rPr>
        <w:t>2、</w:t>
      </w:r>
      <w:r>
        <w:rPr>
          <w:bCs/>
          <w:color w:val="000000"/>
          <w:szCs w:val="21"/>
          <w:highlight w:val="none"/>
        </w:rPr>
        <w:t>未按上述要求提供、</w:t>
      </w:r>
      <w:r>
        <w:rPr>
          <w:color w:val="000000"/>
          <w:szCs w:val="21"/>
          <w:highlight w:val="none"/>
        </w:rPr>
        <w:t>填写</w:t>
      </w:r>
      <w:r>
        <w:rPr>
          <w:bCs/>
          <w:color w:val="000000"/>
          <w:szCs w:val="21"/>
          <w:highlight w:val="none"/>
        </w:rPr>
        <w:t>的，评审时不予以考虑。</w:t>
      </w:r>
    </w:p>
    <w:p>
      <w:pPr>
        <w:adjustRightInd w:val="0"/>
        <w:snapToGrid w:val="0"/>
        <w:spacing w:line="360" w:lineRule="exact"/>
        <w:ind w:firstLine="525" w:firstLineChars="250"/>
        <w:rPr>
          <w:bCs/>
          <w:color w:val="000000"/>
          <w:szCs w:val="21"/>
          <w:highlight w:val="none"/>
        </w:rPr>
        <w:sectPr>
          <w:pgSz w:w="11907" w:h="16840"/>
          <w:pgMar w:top="1440" w:right="1474" w:bottom="1440" w:left="1474" w:header="851" w:footer="992" w:gutter="0"/>
          <w:cols w:space="720" w:num="1"/>
          <w:docGrid w:linePitch="312" w:charSpace="0"/>
        </w:sectPr>
      </w:pPr>
      <w:r>
        <w:rPr>
          <w:bCs/>
          <w:color w:val="000000"/>
          <w:szCs w:val="21"/>
          <w:highlight w:val="none"/>
        </w:rPr>
        <w:t>3、填写此声明时需同时提供政府相关部门开具的中小企业证明函，未提供评审时不予考虑。</w:t>
      </w:r>
    </w:p>
    <w:p>
      <w:pPr>
        <w:pStyle w:val="22"/>
        <w:spacing w:line="400" w:lineRule="exact"/>
        <w:rPr>
          <w:rFonts w:ascii="Times New Roman" w:eastAsia="宋体"/>
          <w:b w:val="0"/>
          <w:bCs/>
          <w:color w:val="000000"/>
          <w:sz w:val="24"/>
          <w:szCs w:val="24"/>
          <w:highlight w:val="none"/>
        </w:rPr>
      </w:pPr>
      <w:r>
        <w:rPr>
          <w:rFonts w:ascii="Times New Roman" w:eastAsia="宋体"/>
          <w:b w:val="0"/>
          <w:bCs/>
          <w:color w:val="000000"/>
          <w:sz w:val="24"/>
          <w:szCs w:val="24"/>
          <w:highlight w:val="none"/>
        </w:rPr>
        <w:t>附件2：</w:t>
      </w:r>
    </w:p>
    <w:p>
      <w:pPr>
        <w:adjustRightInd w:val="0"/>
        <w:snapToGrid w:val="0"/>
        <w:spacing w:before="50" w:line="360" w:lineRule="auto"/>
        <w:jc w:val="center"/>
        <w:rPr>
          <w:b/>
          <w:bCs/>
          <w:color w:val="000000"/>
          <w:sz w:val="28"/>
          <w:szCs w:val="28"/>
          <w:highlight w:val="none"/>
        </w:rPr>
      </w:pPr>
      <w:r>
        <w:rPr>
          <w:b/>
          <w:color w:val="000000"/>
          <w:sz w:val="28"/>
          <w:szCs w:val="28"/>
          <w:highlight w:val="none"/>
        </w:rPr>
        <w:t>“节能</w:t>
      </w:r>
      <w:r>
        <w:rPr>
          <w:b/>
          <w:bCs/>
          <w:color w:val="000000"/>
          <w:sz w:val="28"/>
          <w:szCs w:val="28"/>
          <w:highlight w:val="none"/>
        </w:rPr>
        <w:t>产品</w:t>
      </w:r>
      <w:r>
        <w:rPr>
          <w:b/>
          <w:color w:val="000000"/>
          <w:sz w:val="28"/>
          <w:szCs w:val="28"/>
          <w:highlight w:val="none"/>
        </w:rPr>
        <w:t>”、“环境标志</w:t>
      </w:r>
      <w:r>
        <w:rPr>
          <w:b/>
          <w:bCs/>
          <w:color w:val="000000"/>
          <w:sz w:val="28"/>
          <w:szCs w:val="28"/>
          <w:highlight w:val="none"/>
        </w:rPr>
        <w:t>产品</w:t>
      </w:r>
      <w:r>
        <w:rPr>
          <w:b/>
          <w:color w:val="000000"/>
          <w:sz w:val="28"/>
          <w:szCs w:val="28"/>
          <w:highlight w:val="none"/>
        </w:rPr>
        <w:t>”证明材料</w:t>
      </w:r>
    </w:p>
    <w:p>
      <w:pPr>
        <w:spacing w:line="360" w:lineRule="auto"/>
        <w:rPr>
          <w:color w:val="000000"/>
          <w:sz w:val="24"/>
          <w:highlight w:val="none"/>
        </w:rPr>
      </w:pPr>
    </w:p>
    <w:p>
      <w:pPr>
        <w:adjustRightInd w:val="0"/>
        <w:snapToGrid w:val="0"/>
        <w:spacing w:line="360" w:lineRule="auto"/>
        <w:ind w:firstLine="600" w:firstLineChars="250"/>
        <w:rPr>
          <w:bCs/>
          <w:color w:val="000000"/>
          <w:sz w:val="24"/>
          <w:szCs w:val="24"/>
          <w:highlight w:val="none"/>
        </w:rPr>
      </w:pPr>
      <w:r>
        <w:rPr>
          <w:rFonts w:hint="eastAsia"/>
          <w:bCs/>
          <w:color w:val="000000"/>
          <w:sz w:val="24"/>
          <w:szCs w:val="24"/>
          <w:highlight w:val="none"/>
        </w:rPr>
        <w:t>说明：1、供应商提供的产品属于下列情形，应按第二章供应商须知第13.2款规定提供相关证明材料(清单或目录所在页复印件)，并在《分项明细报价表》中提供相应数据。</w:t>
      </w:r>
    </w:p>
    <w:p>
      <w:pPr>
        <w:adjustRightInd w:val="0"/>
        <w:snapToGrid w:val="0"/>
        <w:spacing w:line="360" w:lineRule="auto"/>
        <w:ind w:firstLine="600" w:firstLineChars="250"/>
        <w:rPr>
          <w:bCs/>
          <w:color w:val="000000"/>
          <w:sz w:val="24"/>
          <w:szCs w:val="24"/>
          <w:highlight w:val="none"/>
        </w:rPr>
      </w:pPr>
      <w:r>
        <w:rPr>
          <w:rFonts w:hint="eastAsia"/>
          <w:bCs/>
          <w:color w:val="000000"/>
          <w:sz w:val="24"/>
          <w:szCs w:val="24"/>
          <w:highlight w:val="none"/>
        </w:rPr>
        <w:t>（1）符合政府采购强制采购政策的(《节能产品政府采购清单》中标记★符号节能产品及其他强制采购产品)；</w:t>
      </w:r>
    </w:p>
    <w:p>
      <w:pPr>
        <w:adjustRightInd w:val="0"/>
        <w:snapToGrid w:val="0"/>
        <w:spacing w:line="360" w:lineRule="auto"/>
        <w:ind w:firstLine="600" w:firstLineChars="250"/>
        <w:rPr>
          <w:bCs/>
          <w:color w:val="000000"/>
          <w:sz w:val="24"/>
          <w:szCs w:val="24"/>
          <w:highlight w:val="none"/>
        </w:rPr>
      </w:pPr>
      <w:r>
        <w:rPr>
          <w:rFonts w:hint="eastAsia"/>
          <w:bCs/>
          <w:color w:val="000000"/>
          <w:sz w:val="24"/>
          <w:szCs w:val="24"/>
          <w:highlight w:val="none"/>
        </w:rPr>
        <w:t>（2）符合政府采购优先采购政策的(《节能产品政府采购清单》中非标记★符号节能产品，《环境标志产品政府采购清单》中环境标志产品。</w:t>
      </w:r>
    </w:p>
    <w:p>
      <w:pPr>
        <w:adjustRightInd w:val="0"/>
        <w:snapToGrid w:val="0"/>
        <w:spacing w:line="360" w:lineRule="auto"/>
        <w:ind w:firstLine="600" w:firstLineChars="250"/>
        <w:rPr>
          <w:bCs/>
          <w:color w:val="000000"/>
          <w:sz w:val="24"/>
          <w:szCs w:val="24"/>
          <w:highlight w:val="none"/>
        </w:rPr>
      </w:pPr>
      <w:r>
        <w:rPr>
          <w:rFonts w:hint="eastAsia"/>
          <w:bCs/>
          <w:color w:val="000000"/>
          <w:sz w:val="24"/>
          <w:szCs w:val="24"/>
          <w:highlight w:val="none"/>
        </w:rPr>
        <w:t>2、未按上述要求提供、填写的，评审时不予以考虑。</w:t>
      </w:r>
    </w:p>
    <w:p>
      <w:pPr>
        <w:adjustRightInd w:val="0"/>
        <w:snapToGrid w:val="0"/>
        <w:spacing w:line="360" w:lineRule="exact"/>
        <w:ind w:firstLine="525" w:firstLineChars="250"/>
        <w:rPr>
          <w:bCs/>
          <w:color w:val="000000"/>
          <w:szCs w:val="21"/>
          <w:highlight w:val="none"/>
        </w:rPr>
      </w:pPr>
    </w:p>
    <w:p>
      <w:pPr>
        <w:adjustRightInd w:val="0"/>
        <w:snapToGrid w:val="0"/>
        <w:spacing w:line="360" w:lineRule="exact"/>
        <w:ind w:firstLine="525" w:firstLineChars="250"/>
        <w:rPr>
          <w:bCs/>
          <w:color w:val="000000"/>
          <w:szCs w:val="21"/>
          <w:highlight w:val="none"/>
        </w:rPr>
      </w:pPr>
    </w:p>
    <w:p>
      <w:pPr>
        <w:adjustRightInd w:val="0"/>
        <w:snapToGrid w:val="0"/>
        <w:spacing w:line="360" w:lineRule="auto"/>
        <w:rPr>
          <w:b/>
          <w:color w:val="000000"/>
          <w:sz w:val="24"/>
          <w:highlight w:val="none"/>
        </w:rPr>
      </w:pPr>
      <w:r>
        <w:rPr>
          <w:bCs/>
          <w:color w:val="000000"/>
          <w:szCs w:val="21"/>
          <w:highlight w:val="none"/>
        </w:rPr>
        <w:br w:type="page"/>
      </w:r>
      <w:r>
        <w:rPr>
          <w:bCs/>
          <w:color w:val="000000"/>
          <w:sz w:val="24"/>
          <w:szCs w:val="24"/>
          <w:highlight w:val="none"/>
        </w:rPr>
        <w:t>附件3：</w:t>
      </w:r>
    </w:p>
    <w:p>
      <w:pPr>
        <w:wordWrap w:val="0"/>
        <w:topLinePunct/>
        <w:spacing w:line="588" w:lineRule="exact"/>
        <w:jc w:val="center"/>
        <w:rPr>
          <w:b/>
          <w:color w:val="000000"/>
          <w:spacing w:val="6"/>
          <w:sz w:val="28"/>
          <w:szCs w:val="28"/>
          <w:highlight w:val="none"/>
        </w:rPr>
      </w:pPr>
      <w:r>
        <w:rPr>
          <w:b/>
          <w:color w:val="000000"/>
          <w:spacing w:val="6"/>
          <w:sz w:val="28"/>
          <w:szCs w:val="28"/>
          <w:highlight w:val="none"/>
        </w:rPr>
        <w:t>残疾人福利性单位声明函</w:t>
      </w:r>
    </w:p>
    <w:p>
      <w:pPr>
        <w:wordWrap w:val="0"/>
        <w:topLinePunct/>
        <w:spacing w:line="588" w:lineRule="exact"/>
        <w:rPr>
          <w:b/>
          <w:color w:val="000000"/>
          <w:spacing w:val="6"/>
          <w:sz w:val="30"/>
          <w:szCs w:val="30"/>
          <w:highlight w:val="none"/>
        </w:rPr>
      </w:pPr>
    </w:p>
    <w:p>
      <w:pPr>
        <w:wordWrap w:val="0"/>
        <w:topLinePunct/>
        <w:spacing w:line="360" w:lineRule="auto"/>
        <w:ind w:firstLine="480" w:firstLineChars="200"/>
        <w:rPr>
          <w:color w:val="000000"/>
          <w:sz w:val="24"/>
          <w:highlight w:val="none"/>
        </w:rPr>
      </w:pPr>
      <w:r>
        <w:rPr>
          <w:color w:val="000000"/>
          <w:sz w:val="24"/>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wordWrap w:val="0"/>
        <w:topLinePunct/>
        <w:spacing w:line="360" w:lineRule="auto"/>
        <w:ind w:firstLine="480" w:firstLineChars="200"/>
        <w:rPr>
          <w:color w:val="000000"/>
          <w:sz w:val="24"/>
          <w:highlight w:val="none"/>
        </w:rPr>
      </w:pPr>
      <w:r>
        <w:rPr>
          <w:color w:val="000000"/>
          <w:sz w:val="24"/>
          <w:highlight w:val="none"/>
        </w:rPr>
        <w:t>本单位对上述声明的真实性负责。如有虚假，将依法承担相应责任。</w:t>
      </w:r>
    </w:p>
    <w:p>
      <w:pPr>
        <w:wordWrap w:val="0"/>
        <w:topLinePunct/>
        <w:spacing w:line="360" w:lineRule="auto"/>
        <w:ind w:firstLine="504" w:firstLineChars="200"/>
        <w:rPr>
          <w:color w:val="000000"/>
          <w:spacing w:val="6"/>
          <w:sz w:val="24"/>
          <w:highlight w:val="none"/>
        </w:rPr>
      </w:pPr>
    </w:p>
    <w:p>
      <w:pPr>
        <w:wordWrap w:val="0"/>
        <w:topLinePunct/>
        <w:spacing w:line="360" w:lineRule="auto"/>
        <w:ind w:firstLine="504" w:firstLineChars="200"/>
        <w:rPr>
          <w:color w:val="000000"/>
          <w:spacing w:val="6"/>
          <w:sz w:val="24"/>
          <w:highlight w:val="none"/>
        </w:rPr>
      </w:pPr>
    </w:p>
    <w:p>
      <w:pPr>
        <w:tabs>
          <w:tab w:val="left" w:pos="4860"/>
        </w:tabs>
        <w:wordWrap w:val="0"/>
        <w:topLinePunct/>
        <w:spacing w:line="360" w:lineRule="auto"/>
        <w:ind w:right="106" w:firstLine="504" w:firstLineChars="200"/>
        <w:jc w:val="center"/>
        <w:rPr>
          <w:color w:val="000000"/>
          <w:spacing w:val="6"/>
          <w:sz w:val="24"/>
          <w:highlight w:val="none"/>
        </w:rPr>
      </w:pPr>
      <w:r>
        <w:rPr>
          <w:color w:val="000000"/>
          <w:spacing w:val="6"/>
          <w:sz w:val="24"/>
          <w:highlight w:val="none"/>
        </w:rPr>
        <w:t xml:space="preserve">                   单位名称：</w:t>
      </w:r>
      <w:r>
        <w:rPr>
          <w:rFonts w:hint="eastAsia"/>
          <w:color w:val="000000"/>
          <w:spacing w:val="6"/>
          <w:sz w:val="24"/>
          <w:highlight w:val="none"/>
          <w:u w:val="single"/>
        </w:rPr>
        <w:t xml:space="preserve">             </w:t>
      </w:r>
      <w:r>
        <w:rPr>
          <w:color w:val="000000"/>
          <w:spacing w:val="6"/>
          <w:sz w:val="24"/>
          <w:highlight w:val="none"/>
        </w:rPr>
        <w:t>（盖单位章）</w:t>
      </w:r>
    </w:p>
    <w:p>
      <w:pPr>
        <w:tabs>
          <w:tab w:val="left" w:pos="4860"/>
        </w:tabs>
        <w:wordWrap w:val="0"/>
        <w:topLinePunct/>
        <w:spacing w:line="360" w:lineRule="auto"/>
        <w:ind w:right="1560" w:firstLine="504" w:firstLineChars="200"/>
        <w:jc w:val="center"/>
        <w:rPr>
          <w:color w:val="000000"/>
          <w:spacing w:val="6"/>
          <w:sz w:val="24"/>
          <w:highlight w:val="none"/>
        </w:rPr>
      </w:pPr>
    </w:p>
    <w:p>
      <w:pPr>
        <w:tabs>
          <w:tab w:val="left" w:pos="4860"/>
        </w:tabs>
        <w:wordWrap w:val="0"/>
        <w:topLinePunct/>
        <w:spacing w:line="360" w:lineRule="auto"/>
        <w:ind w:right="1560" w:firstLine="504" w:firstLineChars="200"/>
        <w:jc w:val="center"/>
        <w:rPr>
          <w:color w:val="000000"/>
          <w:sz w:val="24"/>
          <w:highlight w:val="none"/>
        </w:rPr>
      </w:pPr>
      <w:r>
        <w:rPr>
          <w:color w:val="000000"/>
          <w:spacing w:val="6"/>
          <w:sz w:val="24"/>
          <w:highlight w:val="none"/>
        </w:rPr>
        <w:t xml:space="preserve">                  </w:t>
      </w:r>
      <w:r>
        <w:rPr>
          <w:rFonts w:hint="eastAsia"/>
          <w:color w:val="000000"/>
          <w:spacing w:val="6"/>
          <w:sz w:val="24"/>
          <w:highlight w:val="none"/>
        </w:rPr>
        <w:t xml:space="preserve">  </w:t>
      </w:r>
      <w:r>
        <w:rPr>
          <w:color w:val="000000"/>
          <w:spacing w:val="6"/>
          <w:sz w:val="24"/>
          <w:highlight w:val="none"/>
        </w:rPr>
        <w:t xml:space="preserve">日  </w:t>
      </w:r>
      <w:r>
        <w:rPr>
          <w:rFonts w:hint="eastAsia"/>
          <w:color w:val="000000"/>
          <w:spacing w:val="6"/>
          <w:sz w:val="24"/>
          <w:highlight w:val="none"/>
        </w:rPr>
        <w:t xml:space="preserve">  </w:t>
      </w:r>
      <w:r>
        <w:rPr>
          <w:color w:val="000000"/>
          <w:spacing w:val="6"/>
          <w:sz w:val="24"/>
          <w:highlight w:val="none"/>
        </w:rPr>
        <w:t>期：</w:t>
      </w:r>
      <w:r>
        <w:rPr>
          <w:color w:val="000000"/>
          <w:spacing w:val="6"/>
          <w:sz w:val="24"/>
          <w:highlight w:val="none"/>
          <w:u w:val="single"/>
        </w:rPr>
        <w:t xml:space="preserve">    </w:t>
      </w:r>
      <w:r>
        <w:rPr>
          <w:color w:val="000000"/>
          <w:spacing w:val="6"/>
          <w:sz w:val="24"/>
          <w:highlight w:val="none"/>
        </w:rPr>
        <w:t>年</w:t>
      </w:r>
      <w:r>
        <w:rPr>
          <w:color w:val="000000"/>
          <w:spacing w:val="6"/>
          <w:sz w:val="24"/>
          <w:highlight w:val="none"/>
          <w:u w:val="single"/>
        </w:rPr>
        <w:t xml:space="preserve">   </w:t>
      </w:r>
      <w:r>
        <w:rPr>
          <w:color w:val="000000"/>
          <w:spacing w:val="6"/>
          <w:sz w:val="24"/>
          <w:highlight w:val="none"/>
        </w:rPr>
        <w:t>月</w:t>
      </w:r>
      <w:r>
        <w:rPr>
          <w:color w:val="000000"/>
          <w:spacing w:val="6"/>
          <w:sz w:val="24"/>
          <w:highlight w:val="none"/>
          <w:u w:val="single"/>
        </w:rPr>
        <w:t xml:space="preserve">  </w:t>
      </w:r>
      <w:r>
        <w:rPr>
          <w:color w:val="000000"/>
          <w:spacing w:val="6"/>
          <w:sz w:val="24"/>
          <w:highlight w:val="none"/>
        </w:rPr>
        <w:t>日</w:t>
      </w:r>
    </w:p>
    <w:p>
      <w:pPr>
        <w:rPr>
          <w:bCs/>
          <w:color w:val="000000"/>
          <w:sz w:val="32"/>
          <w:szCs w:val="32"/>
          <w:highlight w:val="none"/>
        </w:rPr>
      </w:pPr>
      <w:bookmarkStart w:id="177" w:name="_Toc485883294"/>
      <w:r>
        <w:rPr>
          <w:color w:val="000000"/>
          <w:highlight w:val="none"/>
        </w:rPr>
        <w:br w:type="page"/>
      </w:r>
      <w:r>
        <w:rPr>
          <w:rFonts w:hint="eastAsia"/>
          <w:b/>
          <w:bCs/>
          <w:color w:val="000000"/>
          <w:sz w:val="32"/>
          <w:szCs w:val="32"/>
          <w:highlight w:val="none"/>
        </w:rPr>
        <w:t>六</w:t>
      </w:r>
      <w:r>
        <w:rPr>
          <w:b/>
          <w:bCs/>
          <w:color w:val="000000"/>
          <w:sz w:val="32"/>
          <w:szCs w:val="32"/>
          <w:highlight w:val="none"/>
        </w:rPr>
        <w:t>、供应商认为有必要补充说明的事项</w:t>
      </w:r>
      <w:bookmarkEnd w:id="177"/>
    </w:p>
    <w:p>
      <w:pPr>
        <w:pStyle w:val="22"/>
        <w:spacing w:line="400" w:lineRule="exact"/>
        <w:rPr>
          <w:rFonts w:ascii="Times New Roman" w:eastAsia="宋体"/>
          <w:color w:val="000000"/>
          <w:sz w:val="28"/>
          <w:szCs w:val="28"/>
          <w:highlight w:val="none"/>
        </w:rPr>
      </w:pPr>
    </w:p>
    <w:p>
      <w:pPr>
        <w:pStyle w:val="22"/>
        <w:spacing w:line="400" w:lineRule="exact"/>
        <w:rPr>
          <w:rFonts w:ascii="Times New Roman" w:eastAsia="宋体"/>
          <w:color w:val="000000"/>
          <w:sz w:val="24"/>
          <w:szCs w:val="24"/>
          <w:highlight w:val="none"/>
        </w:rPr>
      </w:pPr>
    </w:p>
    <w:p>
      <w:pPr>
        <w:pStyle w:val="22"/>
        <w:spacing w:line="400" w:lineRule="exact"/>
        <w:rPr>
          <w:rFonts w:ascii="Times New Roman" w:eastAsia="宋体"/>
          <w:color w:val="000000"/>
          <w:sz w:val="24"/>
          <w:szCs w:val="24"/>
          <w:highlight w:val="none"/>
        </w:rPr>
      </w:pPr>
    </w:p>
    <w:p>
      <w:pPr>
        <w:pStyle w:val="22"/>
        <w:spacing w:line="400" w:lineRule="exact"/>
        <w:rPr>
          <w:rFonts w:ascii="Times New Roman" w:eastAsia="宋体"/>
          <w:color w:val="000000"/>
          <w:sz w:val="24"/>
          <w:szCs w:val="24"/>
          <w:highlight w:val="none"/>
        </w:rPr>
      </w:pPr>
    </w:p>
    <w:p>
      <w:pPr>
        <w:pStyle w:val="22"/>
        <w:spacing w:line="400" w:lineRule="exact"/>
        <w:rPr>
          <w:rFonts w:ascii="Times New Roman" w:eastAsia="宋体"/>
          <w:color w:val="000000"/>
          <w:sz w:val="24"/>
          <w:szCs w:val="24"/>
          <w:highlight w:val="none"/>
        </w:rPr>
      </w:pPr>
    </w:p>
    <w:p>
      <w:pPr>
        <w:pStyle w:val="22"/>
        <w:spacing w:line="400" w:lineRule="exact"/>
        <w:rPr>
          <w:rFonts w:ascii="Times New Roman" w:eastAsia="宋体"/>
          <w:color w:val="000000"/>
          <w:sz w:val="24"/>
          <w:szCs w:val="24"/>
          <w:highlight w:val="none"/>
        </w:rPr>
      </w:pPr>
    </w:p>
    <w:p>
      <w:pPr>
        <w:pStyle w:val="22"/>
        <w:spacing w:line="400" w:lineRule="exact"/>
        <w:rPr>
          <w:rFonts w:ascii="Times New Roman" w:eastAsia="宋体"/>
          <w:color w:val="000000"/>
          <w:sz w:val="24"/>
          <w:szCs w:val="24"/>
          <w:highlight w:val="none"/>
        </w:rPr>
      </w:pPr>
    </w:p>
    <w:p>
      <w:pPr>
        <w:pStyle w:val="22"/>
        <w:spacing w:line="400" w:lineRule="exact"/>
        <w:rPr>
          <w:rFonts w:ascii="Times New Roman" w:eastAsia="宋体"/>
          <w:color w:val="000000"/>
          <w:sz w:val="24"/>
          <w:szCs w:val="24"/>
          <w:highlight w:val="none"/>
        </w:rPr>
      </w:pPr>
    </w:p>
    <w:p>
      <w:pPr>
        <w:pStyle w:val="22"/>
        <w:spacing w:line="400" w:lineRule="exact"/>
        <w:rPr>
          <w:rFonts w:ascii="Times New Roman" w:eastAsia="宋体"/>
          <w:color w:val="000000"/>
          <w:sz w:val="24"/>
          <w:szCs w:val="24"/>
          <w:highlight w:val="none"/>
        </w:rPr>
      </w:pPr>
    </w:p>
    <w:p>
      <w:pPr>
        <w:pStyle w:val="22"/>
        <w:spacing w:line="400" w:lineRule="exact"/>
        <w:rPr>
          <w:rFonts w:ascii="Times New Roman" w:eastAsia="宋体"/>
          <w:color w:val="000000"/>
          <w:sz w:val="24"/>
          <w:szCs w:val="24"/>
          <w:highlight w:val="none"/>
        </w:rPr>
      </w:pPr>
    </w:p>
    <w:p>
      <w:pPr>
        <w:pStyle w:val="22"/>
        <w:spacing w:line="400" w:lineRule="exact"/>
        <w:rPr>
          <w:rFonts w:ascii="Times New Roman" w:eastAsia="宋体"/>
          <w:color w:val="000000"/>
          <w:highlight w:val="none"/>
        </w:rPr>
      </w:pPr>
    </w:p>
    <w:p>
      <w:pPr>
        <w:spacing w:line="480" w:lineRule="auto"/>
        <w:jc w:val="left"/>
        <w:rPr>
          <w:color w:val="000000"/>
          <w:sz w:val="24"/>
          <w:szCs w:val="24"/>
          <w:highlight w:val="none"/>
        </w:rPr>
      </w:pPr>
    </w:p>
    <w:p/>
    <w:p/>
    <w:sectPr>
      <w:pgSz w:w="11907" w:h="16840"/>
      <w:pgMar w:top="1440" w:right="1474" w:bottom="1440" w:left="147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right" w:y="1"/>
      <w:rPr>
        <w:rStyle w:val="18"/>
      </w:rPr>
    </w:pPr>
    <w:r>
      <w:fldChar w:fldCharType="begin"/>
    </w:r>
    <w:r>
      <w:rPr>
        <w:rStyle w:val="18"/>
      </w:rPr>
      <w:instrText xml:space="preserve">PAGE  </w:instrText>
    </w:r>
    <w:r>
      <w:fldChar w:fldCharType="end"/>
    </w:r>
  </w:p>
  <w:p>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42</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42</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eastAsia" w:eastAsia="宋体"/>
        <w:lang w:eastAsia="zh-CN"/>
      </w:rPr>
    </w:pPr>
    <w:r>
      <w:rPr>
        <w:rFonts w:hint="eastAsia"/>
        <w:szCs w:val="18"/>
      </w:rPr>
      <w:t xml:space="preserve">                    </w:t>
    </w:r>
    <w:r>
      <w:rPr>
        <w:rFonts w:hint="eastAsia"/>
        <w:szCs w:val="18"/>
        <w:lang w:eastAsia="zh-CN"/>
      </w:rPr>
      <w:t>武功县政府门户网站升级改版项目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1890"/>
        <w:tab w:val="left" w:pos="2100"/>
        <w:tab w:val="left" w:pos="7560"/>
      </w:tabs>
      <w:spacing w:line="276" w:lineRule="aut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single" w:color="auto" w:sz="4" w:space="0"/>
      </w:pBdr>
      <w:tabs>
        <w:tab w:val="left" w:pos="1890"/>
        <w:tab w:val="left" w:pos="2100"/>
        <w:tab w:val="left" w:pos="7560"/>
      </w:tabs>
      <w:spacing w:line="276" w:lineRule="auto"/>
      <w:ind w:firstLine="2340" w:firstLineChars="1300"/>
      <w:jc w:val="both"/>
    </w:pPr>
    <w:r>
      <w:rPr>
        <w:rFonts w:hint="eastAsia"/>
        <w:sz w:val="18"/>
        <w:szCs w:val="18"/>
        <w:lang w:eastAsia="zh-CN"/>
      </w:rPr>
      <w:t>武功县政府门户网站升级改版项目</w:t>
    </w:r>
    <w:r>
      <w:rPr>
        <w:rFonts w:hint="eastAsia"/>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C2A0A6"/>
    <w:multiLevelType w:val="singleLevel"/>
    <w:tmpl w:val="D3C2A0A6"/>
    <w:lvl w:ilvl="0" w:tentative="0">
      <w:start w:val="1"/>
      <w:numFmt w:val="chineseCounting"/>
      <w:suff w:val="nothing"/>
      <w:lvlText w:val="%1、"/>
      <w:lvlJc w:val="left"/>
      <w:rPr>
        <w:rFonts w:hint="eastAsia"/>
      </w:rPr>
    </w:lvl>
  </w:abstractNum>
  <w:abstractNum w:abstractNumId="1">
    <w:nsid w:val="22BF683C"/>
    <w:multiLevelType w:val="singleLevel"/>
    <w:tmpl w:val="22BF683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996DBC"/>
    <w:rsid w:val="01211052"/>
    <w:rsid w:val="03FB1CA3"/>
    <w:rsid w:val="19AC7C4D"/>
    <w:rsid w:val="49603A41"/>
    <w:rsid w:val="508D3923"/>
    <w:rsid w:val="61996DBC"/>
    <w:rsid w:val="641942E1"/>
    <w:rsid w:val="79AD6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jc w:val="center"/>
      <w:outlineLvl w:val="0"/>
    </w:pPr>
    <w:rPr>
      <w:rFonts w:ascii="宋体" w:hAnsi="宋体"/>
      <w:b/>
      <w:sz w:val="36"/>
    </w:rPr>
  </w:style>
  <w:style w:type="paragraph" w:styleId="4">
    <w:name w:val="heading 2"/>
    <w:basedOn w:val="1"/>
    <w:next w:val="1"/>
    <w:qFormat/>
    <w:uiPriority w:val="0"/>
    <w:pPr>
      <w:spacing w:line="360" w:lineRule="auto"/>
      <w:jc w:val="center"/>
      <w:outlineLvl w:val="1"/>
    </w:pPr>
    <w:rPr>
      <w:rFonts w:ascii="宋体" w:hAnsi="宋体"/>
      <w:b/>
      <w:sz w:val="24"/>
    </w:rPr>
  </w:style>
  <w:style w:type="paragraph" w:styleId="5">
    <w:name w:val="heading 3"/>
    <w:basedOn w:val="1"/>
    <w:next w:val="1"/>
    <w:qFormat/>
    <w:uiPriority w:val="0"/>
    <w:pPr>
      <w:keepNext/>
      <w:keepLines/>
      <w:autoSpaceDE w:val="0"/>
      <w:autoSpaceDN w:val="0"/>
      <w:adjustRightInd w:val="0"/>
      <w:spacing w:before="360" w:after="120"/>
      <w:jc w:val="left"/>
      <w:outlineLvl w:val="2"/>
    </w:pPr>
    <w:rPr>
      <w:rFonts w:ascii="宋体"/>
      <w:b/>
      <w:kern w:val="0"/>
      <w:sz w:val="24"/>
      <w:u w:val="single"/>
    </w:rPr>
  </w:style>
  <w:style w:type="paragraph" w:styleId="6">
    <w:name w:val="heading 4"/>
    <w:basedOn w:val="1"/>
    <w:next w:val="1"/>
    <w:qFormat/>
    <w:uiPriority w:val="0"/>
    <w:pPr>
      <w:keepNext/>
      <w:outlineLvl w:val="3"/>
    </w:pPr>
    <w:rPr>
      <w:color w:val="FF0000"/>
      <w:sz w:val="28"/>
      <w:u w:val="single"/>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style>
  <w:style w:type="paragraph" w:styleId="7">
    <w:name w:val="Normal Indent"/>
    <w:basedOn w:val="1"/>
    <w:qFormat/>
    <w:uiPriority w:val="0"/>
    <w:pPr>
      <w:ind w:firstLine="420" w:firstLineChars="200"/>
    </w:pPr>
  </w:style>
  <w:style w:type="paragraph" w:styleId="8">
    <w:name w:val="Body Text Indent"/>
    <w:basedOn w:val="1"/>
    <w:next w:val="1"/>
    <w:qFormat/>
    <w:uiPriority w:val="0"/>
    <w:pPr>
      <w:spacing w:after="120"/>
      <w:ind w:left="420" w:leftChars="200"/>
    </w:pPr>
  </w:style>
  <w:style w:type="paragraph" w:styleId="9">
    <w:name w:val="Plain Text"/>
    <w:basedOn w:val="1"/>
    <w:qFormat/>
    <w:uiPriority w:val="0"/>
    <w:rPr>
      <w:rFonts w:ascii="宋体" w:hAnsi="Courier New"/>
    </w:rPr>
  </w:style>
  <w:style w:type="paragraph" w:styleId="10">
    <w:name w:val="Body Text Indent 2"/>
    <w:basedOn w:val="1"/>
    <w:qFormat/>
    <w:uiPriority w:val="0"/>
    <w:pPr>
      <w:spacing w:after="120" w:line="480" w:lineRule="auto"/>
      <w:ind w:left="420" w:leftChars="200"/>
    </w:pPr>
  </w:style>
  <w:style w:type="paragraph" w:styleId="11">
    <w:name w:val="footer"/>
    <w:basedOn w:val="1"/>
    <w:qFormat/>
    <w:uiPriority w:val="99"/>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qFormat/>
    <w:uiPriority w:val="0"/>
    <w:pPr>
      <w:widowControl/>
      <w:jc w:val="left"/>
    </w:pPr>
    <w:rPr>
      <w:kern w:val="0"/>
      <w:sz w:val="20"/>
    </w:rPr>
  </w:style>
  <w:style w:type="paragraph" w:styleId="14">
    <w:name w:val="Body Text Indent 3"/>
    <w:basedOn w:val="1"/>
    <w:qFormat/>
    <w:uiPriority w:val="0"/>
    <w:pPr>
      <w:spacing w:after="120"/>
      <w:ind w:left="420" w:leftChars="200"/>
    </w:pPr>
    <w:rPr>
      <w:sz w:val="16"/>
    </w:rPr>
  </w:style>
  <w:style w:type="paragraph" w:styleId="15">
    <w:name w:val="Normal (Web)"/>
    <w:basedOn w:val="1"/>
    <w:qFormat/>
    <w:uiPriority w:val="0"/>
    <w:pPr>
      <w:widowControl/>
      <w:spacing w:before="100" w:beforeAutospacing="1" w:after="100" w:afterAutospacing="1"/>
      <w:jc w:val="left"/>
    </w:pPr>
    <w:rPr>
      <w:rFonts w:ascii="宋体" w:hAnsi="宋体"/>
      <w:kern w:val="0"/>
      <w:sz w:val="24"/>
    </w:rPr>
  </w:style>
  <w:style w:type="character" w:styleId="18">
    <w:name w:val="page number"/>
    <w:basedOn w:val="17"/>
    <w:qFormat/>
    <w:uiPriority w:val="0"/>
  </w:style>
  <w:style w:type="character" w:styleId="19">
    <w:name w:val="Hyperlink"/>
    <w:qFormat/>
    <w:uiPriority w:val="99"/>
    <w:rPr>
      <w:rFonts w:ascii="微软雅黑" w:hAnsi="微软雅黑" w:eastAsia="微软雅黑" w:cs="微软雅黑"/>
      <w:color w:val="000000"/>
      <w:sz w:val="18"/>
      <w:szCs w:val="18"/>
      <w:u w:val="none"/>
    </w:rPr>
  </w:style>
  <w:style w:type="paragraph" w:customStyle="1" w:styleId="20">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1">
    <w:name w:val="p0"/>
    <w:basedOn w:val="1"/>
    <w:qFormat/>
    <w:uiPriority w:val="0"/>
    <w:pPr>
      <w:widowControl/>
    </w:pPr>
    <w:rPr>
      <w:kern w:val="0"/>
      <w:szCs w:val="21"/>
    </w:rPr>
  </w:style>
  <w:style w:type="paragraph" w:customStyle="1" w:styleId="22">
    <w:name w:val="Char1"/>
    <w:basedOn w:val="1"/>
    <w:qFormat/>
    <w:uiPriority w:val="0"/>
    <w:pPr>
      <w:spacing w:line="360" w:lineRule="auto"/>
    </w:pPr>
    <w:rPr>
      <w:rFonts w:ascii="仿宋_GB2312" w:eastAsia="仿宋_GB2312"/>
      <w:b/>
      <w:sz w:val="32"/>
    </w:rPr>
  </w:style>
  <w:style w:type="paragraph" w:customStyle="1" w:styleId="23">
    <w:name w:val="正文1"/>
    <w:qFormat/>
    <w:uiPriority w:val="0"/>
    <w:pPr>
      <w:widowControl w:val="0"/>
      <w:adjustRightInd w:val="0"/>
      <w:spacing w:line="312" w:lineRule="atLeast"/>
      <w:jc w:val="both"/>
    </w:pPr>
    <w:rPr>
      <w:rFonts w:ascii="宋体" w:hAnsi="Times New Roman" w:eastAsia="宋体" w:cs="Times New Roman"/>
      <w:sz w:val="34"/>
      <w:szCs w:val="22"/>
      <w:lang w:val="en-US" w:eastAsia="zh-CN" w:bidi="ar-SA"/>
    </w:rPr>
  </w:style>
  <w:style w:type="paragraph" w:customStyle="1" w:styleId="24">
    <w:name w:val="样式 首行缩进:  2 字符"/>
    <w:basedOn w:val="1"/>
    <w:qFormat/>
    <w:uiPriority w:val="0"/>
    <w:pPr>
      <w:spacing w:line="400" w:lineRule="exact"/>
      <w:ind w:firstLine="200" w:firstLineChars="200"/>
    </w:pPr>
    <w:rPr>
      <w:rFonts w:ascii="Calibri" w:hAnsi="Calibri" w:cs="宋体"/>
      <w:sz w:val="24"/>
      <w:szCs w:val="22"/>
    </w:rPr>
  </w:style>
  <w:style w:type="paragraph" w:styleId="25">
    <w:name w:val="List Paragraph"/>
    <w:basedOn w:val="1"/>
    <w:qFormat/>
    <w:uiPriority w:val="34"/>
    <w:pPr>
      <w:widowControl/>
      <w:spacing w:line="240" w:lineRule="auto"/>
      <w:ind w:left="720"/>
      <w:contextualSpacing/>
      <w:jc w:val="left"/>
    </w:pPr>
    <w:rPr>
      <w:rFonts w:ascii="Calibri" w:hAnsi="Calibri"/>
      <w:kern w:val="0"/>
      <w:sz w:val="24"/>
      <w:lang w:eastAsia="en-US" w:bidi="en-US"/>
    </w:rPr>
  </w:style>
  <w:style w:type="paragraph" w:customStyle="1" w:styleId="26">
    <w:name w:val="!RepPar_alt+p"/>
    <w:basedOn w:val="1"/>
    <w:qFormat/>
    <w:uiPriority w:val="0"/>
    <w:pPr>
      <w:spacing w:line="360" w:lineRule="auto"/>
      <w:ind w:right="300" w:rightChars="100" w:firstLine="480"/>
      <w:jc w:val="both"/>
    </w:pPr>
    <w:rPr>
      <w:rFonts w:eastAsia="宋体"/>
      <w:kern w:val="0"/>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2021-05-14T01:16:00Z</dcterms:created>
  <dc:creator>侯荣</dc:creator>
  <cp:lastModifiedBy>侯荣</cp:lastModifiedBy>
  <dcterms:modified xsi:type="dcterms:W3CDTF">2021-05-26T01:23:43Z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2EB0113B73A24DDFB77D35D46899188C</vt:lpwstr>
  </property>
</Properties>
</file>