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32"/>
          <w:szCs w:val="32"/>
        </w:rPr>
      </w:pPr>
    </w:p>
    <w:p>
      <w:pPr>
        <w:rPr>
          <w:rFonts w:hint="eastAsia" w:eastAsia="宋体"/>
          <w:b/>
          <w:bCs/>
          <w:sz w:val="36"/>
          <w:szCs w:val="36"/>
          <w:highlight w:val="yellow"/>
          <w:lang w:eastAsia="zh-CN"/>
        </w:rPr>
      </w:pPr>
      <w:r>
        <w:rPr>
          <w:rFonts w:hint="eastAsia"/>
          <w:b/>
          <w:bCs/>
          <w:sz w:val="36"/>
          <w:szCs w:val="36"/>
        </w:rPr>
        <w:t>项目编号</w:t>
      </w:r>
      <w:r>
        <w:rPr>
          <w:b/>
          <w:bCs/>
          <w:sz w:val="36"/>
          <w:szCs w:val="36"/>
        </w:rPr>
        <w:t>:</w:t>
      </w:r>
      <w:r>
        <w:rPr>
          <w:rFonts w:hint="eastAsia"/>
          <w:b/>
          <w:bCs/>
          <w:sz w:val="36"/>
          <w:szCs w:val="36"/>
          <w:lang w:eastAsia="zh-CN"/>
        </w:rPr>
        <w:t>YMD-2019449F</w:t>
      </w:r>
    </w:p>
    <w:p>
      <w:pPr>
        <w:rPr>
          <w:sz w:val="22"/>
        </w:rPr>
      </w:pPr>
    </w:p>
    <w:p>
      <w:pPr>
        <w:rPr>
          <w:sz w:val="22"/>
        </w:rPr>
      </w:pPr>
    </w:p>
    <w:p>
      <w:pPr>
        <w:spacing w:line="780" w:lineRule="auto"/>
        <w:jc w:val="center"/>
        <w:rPr>
          <w:rFonts w:hint="eastAsia" w:eastAsia="宋体"/>
          <w:b/>
          <w:sz w:val="52"/>
          <w:szCs w:val="72"/>
          <w:lang w:eastAsia="zh-CN"/>
        </w:rPr>
      </w:pPr>
      <w:r>
        <w:rPr>
          <w:rFonts w:hint="eastAsia"/>
          <w:b/>
          <w:sz w:val="52"/>
          <w:szCs w:val="72"/>
          <w:lang w:eastAsia="zh-CN"/>
        </w:rPr>
        <w:t>铜川市新区锦绣园小学电子设备采购</w:t>
      </w:r>
    </w:p>
    <w:p>
      <w:pPr>
        <w:pStyle w:val="2"/>
      </w:pPr>
    </w:p>
    <w:p>
      <w:pPr>
        <w:spacing w:line="780" w:lineRule="auto"/>
        <w:jc w:val="center"/>
        <w:rPr>
          <w:b/>
          <w:sz w:val="56"/>
          <w:szCs w:val="88"/>
        </w:rPr>
      </w:pPr>
      <w:r>
        <w:rPr>
          <w:rFonts w:hint="eastAsia"/>
          <w:b/>
          <w:sz w:val="56"/>
          <w:szCs w:val="88"/>
        </w:rPr>
        <w:t>竞</w:t>
      </w:r>
      <w:r>
        <w:rPr>
          <w:b/>
          <w:sz w:val="56"/>
          <w:szCs w:val="88"/>
        </w:rPr>
        <w:t xml:space="preserve"> </w:t>
      </w:r>
      <w:r>
        <w:rPr>
          <w:rFonts w:hint="eastAsia"/>
          <w:b/>
          <w:sz w:val="56"/>
          <w:szCs w:val="88"/>
        </w:rPr>
        <w:t>争</w:t>
      </w:r>
      <w:r>
        <w:rPr>
          <w:b/>
          <w:sz w:val="56"/>
          <w:szCs w:val="88"/>
        </w:rPr>
        <w:t xml:space="preserve"> </w:t>
      </w:r>
      <w:r>
        <w:rPr>
          <w:rFonts w:hint="eastAsia"/>
          <w:b/>
          <w:sz w:val="56"/>
          <w:szCs w:val="88"/>
        </w:rPr>
        <w:t>性</w:t>
      </w:r>
      <w:r>
        <w:rPr>
          <w:b/>
          <w:sz w:val="56"/>
          <w:szCs w:val="88"/>
        </w:rPr>
        <w:t xml:space="preserve"> </w:t>
      </w:r>
      <w:r>
        <w:rPr>
          <w:rFonts w:hint="eastAsia"/>
          <w:b/>
          <w:sz w:val="56"/>
          <w:szCs w:val="88"/>
        </w:rPr>
        <w:t>磋</w:t>
      </w:r>
      <w:r>
        <w:rPr>
          <w:b/>
          <w:sz w:val="56"/>
          <w:szCs w:val="88"/>
        </w:rPr>
        <w:t xml:space="preserve"> </w:t>
      </w:r>
      <w:r>
        <w:rPr>
          <w:rFonts w:hint="eastAsia"/>
          <w:b/>
          <w:sz w:val="56"/>
          <w:szCs w:val="88"/>
        </w:rPr>
        <w:t>商</w:t>
      </w:r>
      <w:r>
        <w:rPr>
          <w:b/>
          <w:sz w:val="56"/>
          <w:szCs w:val="88"/>
        </w:rPr>
        <w:t xml:space="preserve"> </w:t>
      </w:r>
      <w:r>
        <w:rPr>
          <w:rFonts w:hint="eastAsia"/>
          <w:b/>
          <w:sz w:val="56"/>
          <w:szCs w:val="88"/>
        </w:rPr>
        <w:t>文</w:t>
      </w:r>
      <w:r>
        <w:rPr>
          <w:b/>
          <w:sz w:val="56"/>
          <w:szCs w:val="88"/>
        </w:rPr>
        <w:t xml:space="preserve"> </w:t>
      </w:r>
      <w:r>
        <w:rPr>
          <w:rFonts w:hint="eastAsia"/>
          <w:b/>
          <w:sz w:val="56"/>
          <w:szCs w:val="88"/>
        </w:rPr>
        <w:t>件</w:t>
      </w:r>
    </w:p>
    <w:p>
      <w:pPr>
        <w:pStyle w:val="2"/>
        <w:rPr>
          <w:b/>
          <w:sz w:val="56"/>
          <w:szCs w:val="88"/>
        </w:rPr>
      </w:pPr>
    </w:p>
    <w:p>
      <w:pPr>
        <w:rPr>
          <w:b/>
          <w:sz w:val="56"/>
          <w:szCs w:val="88"/>
        </w:rPr>
      </w:pPr>
    </w:p>
    <w:p>
      <w:pPr>
        <w:pStyle w:val="2"/>
      </w:pPr>
    </w:p>
    <w:p>
      <w:pPr>
        <w:spacing w:line="780" w:lineRule="auto"/>
        <w:jc w:val="center"/>
        <w:rPr>
          <w:b/>
          <w:sz w:val="56"/>
          <w:szCs w:val="88"/>
        </w:rPr>
      </w:pPr>
      <w:r>
        <w:drawing>
          <wp:anchor distT="0" distB="0" distL="114300" distR="114300" simplePos="0" relativeHeight="251658240" behindDoc="0" locked="0" layoutInCell="1" allowOverlap="1">
            <wp:simplePos x="0" y="0"/>
            <wp:positionH relativeFrom="page">
              <wp:posOffset>2292350</wp:posOffset>
            </wp:positionH>
            <wp:positionV relativeFrom="page">
              <wp:posOffset>4919980</wp:posOffset>
            </wp:positionV>
            <wp:extent cx="3194685" cy="2343150"/>
            <wp:effectExtent l="0" t="0" r="0" b="0"/>
            <wp:wrapNone/>
            <wp:docPr id="7" name="图片 1" descr="永明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永明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194685" cy="2343150"/>
                    </a:xfrm>
                    <a:prstGeom prst="rect">
                      <a:avLst/>
                    </a:prstGeom>
                    <a:noFill/>
                  </pic:spPr>
                </pic:pic>
              </a:graphicData>
            </a:graphic>
          </wp:anchor>
        </w:drawing>
      </w:r>
    </w:p>
    <w:p>
      <w:pPr>
        <w:spacing w:line="780" w:lineRule="auto"/>
        <w:jc w:val="center"/>
        <w:rPr>
          <w:b/>
          <w:sz w:val="88"/>
          <w:szCs w:val="88"/>
        </w:rPr>
      </w:pPr>
    </w:p>
    <w:p>
      <w:pPr>
        <w:pStyle w:val="2"/>
      </w:pPr>
    </w:p>
    <w:p/>
    <w:p>
      <w:pPr>
        <w:pStyle w:val="2"/>
      </w:pPr>
    </w:p>
    <w:p/>
    <w:p>
      <w:pPr>
        <w:rPr>
          <w:rFonts w:ascii="方正大标宋简体" w:eastAsia="方正大标宋简体"/>
          <w:sz w:val="21"/>
          <w:szCs w:val="21"/>
        </w:rPr>
      </w:pPr>
    </w:p>
    <w:p>
      <w:pPr>
        <w:jc w:val="center"/>
        <w:rPr>
          <w:b/>
          <w:bCs/>
          <w:sz w:val="44"/>
          <w:szCs w:val="44"/>
        </w:rPr>
      </w:pPr>
      <w:r>
        <w:rPr>
          <w:rFonts w:hint="eastAsia"/>
          <w:b/>
          <w:bCs/>
          <w:sz w:val="44"/>
          <w:szCs w:val="44"/>
        </w:rPr>
        <w:t>永明项目管理有限公司</w:t>
      </w:r>
    </w:p>
    <w:p>
      <w:pPr>
        <w:jc w:val="center"/>
        <w:rPr>
          <w:b/>
          <w:bCs/>
          <w:sz w:val="44"/>
          <w:szCs w:val="44"/>
        </w:rPr>
      </w:pPr>
    </w:p>
    <w:p>
      <w:pPr>
        <w:jc w:val="center"/>
        <w:rPr>
          <w:b/>
          <w:bCs/>
          <w:sz w:val="44"/>
          <w:szCs w:val="44"/>
        </w:rPr>
        <w:sectPr>
          <w:footerReference r:id="rId5" w:type="first"/>
          <w:footerReference r:id="rId4" w:type="default"/>
          <w:headerReference r:id="rId3" w:type="even"/>
          <w:pgSz w:w="11906" w:h="16838"/>
          <w:pgMar w:top="1440" w:right="1080" w:bottom="1440" w:left="1080" w:header="1134" w:footer="992" w:gutter="0"/>
          <w:pgNumType w:start="1"/>
          <w:cols w:space="720" w:num="1"/>
          <w:titlePg/>
          <w:docGrid w:type="lines" w:linePitch="327" w:charSpace="0"/>
        </w:sectPr>
      </w:pPr>
      <w:r>
        <w:rPr>
          <w:rFonts w:hint="eastAsia"/>
          <w:b/>
          <w:bCs/>
          <w:sz w:val="44"/>
          <w:szCs w:val="44"/>
        </w:rPr>
        <w:t>二〇一九年六月</w:t>
      </w:r>
    </w:p>
    <w:p>
      <w:pPr>
        <w:jc w:val="center"/>
        <w:rPr>
          <w:rFonts w:ascii="幼圆" w:eastAsia="幼圆"/>
          <w:b/>
          <w:sz w:val="44"/>
          <w:szCs w:val="44"/>
        </w:rPr>
      </w:pPr>
    </w:p>
    <w:p>
      <w:pPr>
        <w:jc w:val="center"/>
        <w:rPr>
          <w:rFonts w:ascii="幼圆" w:eastAsia="幼圆"/>
          <w:b/>
          <w:sz w:val="44"/>
          <w:szCs w:val="44"/>
        </w:rPr>
      </w:pPr>
      <w:r>
        <w:rPr>
          <w:rFonts w:hint="eastAsia" w:ascii="幼圆" w:eastAsia="幼圆"/>
          <w:b/>
          <w:sz w:val="44"/>
          <w:szCs w:val="44"/>
        </w:rPr>
        <w:t>目</w:t>
      </w:r>
      <w:r>
        <w:rPr>
          <w:rFonts w:ascii="幼圆" w:eastAsia="幼圆"/>
          <w:b/>
          <w:sz w:val="44"/>
          <w:szCs w:val="44"/>
        </w:rPr>
        <w:t xml:space="preserve">   </w:t>
      </w:r>
      <w:r>
        <w:rPr>
          <w:rFonts w:hint="eastAsia" w:ascii="幼圆" w:eastAsia="幼圆"/>
          <w:b/>
          <w:sz w:val="44"/>
          <w:szCs w:val="44"/>
        </w:rPr>
        <w:t>录</w:t>
      </w:r>
    </w:p>
    <w:p>
      <w:pPr>
        <w:pStyle w:val="17"/>
        <w:tabs>
          <w:tab w:val="right" w:leader="dot" w:pos="9746"/>
          <w:tab w:val="clear" w:pos="1418"/>
          <w:tab w:val="clear" w:pos="8302"/>
        </w:tabs>
        <w:spacing w:line="480" w:lineRule="auto"/>
        <w:rPr>
          <w:rFonts w:cs="宋体"/>
          <w:sz w:val="32"/>
          <w:szCs w:val="32"/>
        </w:rPr>
      </w:pPr>
      <w:bookmarkStart w:id="0" w:name="_Toc20858"/>
      <w:bookmarkStart w:id="1" w:name="_Toc5293"/>
      <w:bookmarkStart w:id="2" w:name="_Toc389582033"/>
      <w:bookmarkStart w:id="3" w:name="_Toc16218"/>
      <w:bookmarkStart w:id="4" w:name="_Toc426457691"/>
      <w:bookmarkStart w:id="5" w:name="_Toc21518"/>
      <w:bookmarkStart w:id="6" w:name="_Toc20652"/>
      <w:bookmarkStart w:id="7" w:name="_Toc19886"/>
      <w:r>
        <w:rPr>
          <w:rFonts w:cs="宋体"/>
          <w:sz w:val="32"/>
          <w:szCs w:val="32"/>
        </w:rPr>
        <w:fldChar w:fldCharType="begin"/>
      </w:r>
      <w:r>
        <w:rPr>
          <w:rFonts w:cs="宋体"/>
          <w:sz w:val="32"/>
          <w:szCs w:val="32"/>
        </w:rPr>
        <w:instrText xml:space="preserve">TOC \o "1-1" \h \u </w:instrText>
      </w:r>
      <w:r>
        <w:rPr>
          <w:rFonts w:cs="宋体"/>
          <w:sz w:val="32"/>
          <w:szCs w:val="32"/>
        </w:rPr>
        <w:fldChar w:fldCharType="separate"/>
      </w:r>
      <w:r>
        <w:fldChar w:fldCharType="begin"/>
      </w:r>
      <w:r>
        <w:instrText xml:space="preserve"> HYPERLINK \l "_Toc3884" </w:instrText>
      </w:r>
      <w:r>
        <w:fldChar w:fldCharType="separate"/>
      </w:r>
      <w:r>
        <w:rPr>
          <w:rFonts w:hint="eastAsia" w:cs="宋体"/>
          <w:sz w:val="32"/>
          <w:szCs w:val="32"/>
        </w:rPr>
        <w:t>第一章</w:t>
      </w:r>
      <w:r>
        <w:rPr>
          <w:rFonts w:cs="宋体"/>
          <w:sz w:val="32"/>
          <w:szCs w:val="32"/>
        </w:rPr>
        <w:t xml:space="preserve">  </w:t>
      </w:r>
      <w:r>
        <w:rPr>
          <w:rFonts w:hint="eastAsia" w:cs="宋体"/>
          <w:sz w:val="32"/>
          <w:szCs w:val="32"/>
        </w:rPr>
        <w:t>竞争性磋商公告</w:t>
      </w:r>
      <w:r>
        <w:rPr>
          <w:rFonts w:cs="宋体"/>
          <w:sz w:val="32"/>
          <w:szCs w:val="32"/>
        </w:rPr>
        <w:tab/>
      </w:r>
      <w:r>
        <w:rPr>
          <w:rFonts w:cs="宋体"/>
          <w:sz w:val="32"/>
          <w:szCs w:val="32"/>
        </w:rPr>
        <w:fldChar w:fldCharType="begin"/>
      </w:r>
      <w:r>
        <w:rPr>
          <w:rFonts w:cs="宋体"/>
          <w:sz w:val="32"/>
          <w:szCs w:val="32"/>
        </w:rPr>
        <w:instrText xml:space="preserve"> PAGEREF _Toc3884 </w:instrText>
      </w:r>
      <w:r>
        <w:rPr>
          <w:rFonts w:cs="宋体"/>
          <w:sz w:val="32"/>
          <w:szCs w:val="32"/>
        </w:rPr>
        <w:fldChar w:fldCharType="separate"/>
      </w:r>
      <w:r>
        <w:rPr>
          <w:rFonts w:cs="宋体"/>
          <w:sz w:val="32"/>
          <w:szCs w:val="32"/>
        </w:rPr>
        <w:t>3</w:t>
      </w:r>
      <w:r>
        <w:rPr>
          <w:rFonts w:cs="宋体"/>
          <w:sz w:val="32"/>
          <w:szCs w:val="32"/>
        </w:rPr>
        <w:fldChar w:fldCharType="end"/>
      </w:r>
      <w:r>
        <w:rPr>
          <w:rFonts w:cs="宋体"/>
          <w:sz w:val="32"/>
          <w:szCs w:val="32"/>
        </w:rPr>
        <w:fldChar w:fldCharType="end"/>
      </w:r>
    </w:p>
    <w:p>
      <w:pPr>
        <w:pStyle w:val="17"/>
        <w:tabs>
          <w:tab w:val="right" w:leader="dot" w:pos="9746"/>
          <w:tab w:val="clear" w:pos="1418"/>
          <w:tab w:val="clear" w:pos="8302"/>
        </w:tabs>
        <w:spacing w:line="480" w:lineRule="auto"/>
        <w:rPr>
          <w:rFonts w:cs="宋体"/>
          <w:sz w:val="32"/>
          <w:szCs w:val="32"/>
        </w:rPr>
      </w:pPr>
      <w:r>
        <w:fldChar w:fldCharType="begin"/>
      </w:r>
      <w:r>
        <w:instrText xml:space="preserve"> HYPERLINK \l "_Toc17214" </w:instrText>
      </w:r>
      <w:r>
        <w:fldChar w:fldCharType="separate"/>
      </w:r>
      <w:r>
        <w:rPr>
          <w:rFonts w:hint="eastAsia" w:cs="宋体"/>
          <w:sz w:val="32"/>
          <w:szCs w:val="32"/>
        </w:rPr>
        <w:t>第二章</w:t>
      </w:r>
      <w:r>
        <w:rPr>
          <w:rFonts w:cs="宋体"/>
          <w:sz w:val="32"/>
          <w:szCs w:val="32"/>
        </w:rPr>
        <w:t xml:space="preserve">  </w:t>
      </w:r>
      <w:r>
        <w:rPr>
          <w:rFonts w:hint="eastAsia" w:cs="宋体"/>
          <w:sz w:val="32"/>
          <w:szCs w:val="32"/>
        </w:rPr>
        <w:t>供应商须知</w:t>
      </w:r>
      <w:r>
        <w:rPr>
          <w:rFonts w:cs="宋体"/>
          <w:sz w:val="32"/>
          <w:szCs w:val="32"/>
        </w:rPr>
        <w:tab/>
      </w:r>
      <w:r>
        <w:rPr>
          <w:rFonts w:cs="宋体"/>
          <w:sz w:val="32"/>
          <w:szCs w:val="32"/>
        </w:rPr>
        <w:t>5</w:t>
      </w:r>
      <w:r>
        <w:rPr>
          <w:rFonts w:cs="宋体"/>
          <w:sz w:val="32"/>
          <w:szCs w:val="32"/>
        </w:rPr>
        <w:fldChar w:fldCharType="end"/>
      </w:r>
    </w:p>
    <w:p>
      <w:pPr>
        <w:pStyle w:val="17"/>
        <w:tabs>
          <w:tab w:val="right" w:leader="dot" w:pos="9746"/>
          <w:tab w:val="clear" w:pos="1418"/>
          <w:tab w:val="clear" w:pos="8302"/>
        </w:tabs>
        <w:spacing w:line="480" w:lineRule="auto"/>
        <w:rPr>
          <w:rFonts w:cs="宋体"/>
          <w:sz w:val="32"/>
          <w:szCs w:val="32"/>
        </w:rPr>
      </w:pPr>
      <w:r>
        <w:fldChar w:fldCharType="begin"/>
      </w:r>
      <w:r>
        <w:instrText xml:space="preserve"> HYPERLINK \l "_Toc22791" </w:instrText>
      </w:r>
      <w:r>
        <w:fldChar w:fldCharType="separate"/>
      </w:r>
      <w:r>
        <w:rPr>
          <w:rFonts w:hint="eastAsia" w:cs="宋体"/>
          <w:sz w:val="32"/>
          <w:szCs w:val="32"/>
        </w:rPr>
        <w:t>供应商须知前附表</w:t>
      </w:r>
      <w:r>
        <w:rPr>
          <w:rFonts w:cs="宋体"/>
          <w:sz w:val="32"/>
          <w:szCs w:val="32"/>
        </w:rPr>
        <w:tab/>
      </w:r>
      <w:r>
        <w:rPr>
          <w:rFonts w:cs="宋体"/>
          <w:sz w:val="32"/>
          <w:szCs w:val="32"/>
        </w:rPr>
        <w:t>5</w:t>
      </w:r>
      <w:r>
        <w:rPr>
          <w:rFonts w:cs="宋体"/>
          <w:sz w:val="32"/>
          <w:szCs w:val="32"/>
        </w:rPr>
        <w:fldChar w:fldCharType="end"/>
      </w:r>
    </w:p>
    <w:p>
      <w:pPr>
        <w:pStyle w:val="17"/>
        <w:tabs>
          <w:tab w:val="right" w:leader="dot" w:pos="9746"/>
          <w:tab w:val="clear" w:pos="1418"/>
          <w:tab w:val="clear" w:pos="8302"/>
        </w:tabs>
        <w:spacing w:line="480" w:lineRule="auto"/>
        <w:rPr>
          <w:rFonts w:cs="宋体"/>
          <w:sz w:val="32"/>
          <w:szCs w:val="32"/>
        </w:rPr>
      </w:pPr>
      <w:r>
        <w:fldChar w:fldCharType="begin"/>
      </w:r>
      <w:r>
        <w:instrText xml:space="preserve"> HYPERLINK \l "_Toc5088" </w:instrText>
      </w:r>
      <w:r>
        <w:fldChar w:fldCharType="separate"/>
      </w:r>
      <w:r>
        <w:rPr>
          <w:rFonts w:hint="eastAsia" w:cs="宋体"/>
          <w:sz w:val="32"/>
          <w:szCs w:val="32"/>
        </w:rPr>
        <w:t>第三章</w:t>
      </w:r>
      <w:r>
        <w:rPr>
          <w:rFonts w:cs="宋体"/>
          <w:sz w:val="32"/>
          <w:szCs w:val="32"/>
        </w:rPr>
        <w:t xml:space="preserve"> </w:t>
      </w:r>
      <w:r>
        <w:rPr>
          <w:rFonts w:hint="eastAsia" w:cs="宋体"/>
          <w:sz w:val="32"/>
          <w:szCs w:val="32"/>
        </w:rPr>
        <w:t>拟签订的合同文本</w:t>
      </w:r>
      <w:r>
        <w:rPr>
          <w:rFonts w:cs="宋体"/>
          <w:sz w:val="32"/>
          <w:szCs w:val="32"/>
        </w:rPr>
        <w:tab/>
      </w:r>
      <w:r>
        <w:rPr>
          <w:rFonts w:cs="宋体"/>
          <w:sz w:val="32"/>
          <w:szCs w:val="32"/>
        </w:rPr>
        <w:t>2</w:t>
      </w:r>
      <w:r>
        <w:rPr>
          <w:rFonts w:cs="宋体"/>
          <w:sz w:val="32"/>
          <w:szCs w:val="32"/>
        </w:rPr>
        <w:fldChar w:fldCharType="end"/>
      </w:r>
      <w:r>
        <w:rPr>
          <w:rFonts w:cs="宋体"/>
          <w:sz w:val="32"/>
          <w:szCs w:val="32"/>
        </w:rPr>
        <w:t>2</w:t>
      </w:r>
    </w:p>
    <w:p>
      <w:pPr>
        <w:pStyle w:val="17"/>
        <w:tabs>
          <w:tab w:val="right" w:leader="dot" w:pos="9746"/>
          <w:tab w:val="clear" w:pos="1418"/>
          <w:tab w:val="clear" w:pos="8302"/>
        </w:tabs>
        <w:spacing w:line="480" w:lineRule="auto"/>
        <w:rPr>
          <w:rFonts w:cs="宋体"/>
          <w:sz w:val="32"/>
          <w:szCs w:val="32"/>
        </w:rPr>
      </w:pPr>
      <w:r>
        <w:fldChar w:fldCharType="begin"/>
      </w:r>
      <w:r>
        <w:instrText xml:space="preserve"> HYPERLINK \l "_Toc12412" </w:instrText>
      </w:r>
      <w:r>
        <w:fldChar w:fldCharType="separate"/>
      </w:r>
      <w:r>
        <w:rPr>
          <w:rFonts w:hint="eastAsia" w:cs="宋体"/>
          <w:sz w:val="32"/>
          <w:szCs w:val="32"/>
        </w:rPr>
        <w:t>第四章</w:t>
      </w:r>
      <w:r>
        <w:rPr>
          <w:rFonts w:cs="宋体"/>
          <w:sz w:val="32"/>
          <w:szCs w:val="32"/>
        </w:rPr>
        <w:t xml:space="preserve"> </w:t>
      </w:r>
      <w:r>
        <w:rPr>
          <w:rFonts w:hint="eastAsia" w:cs="宋体"/>
          <w:sz w:val="32"/>
          <w:szCs w:val="32"/>
        </w:rPr>
        <w:t>采购内容及技术要求</w:t>
      </w:r>
      <w:r>
        <w:rPr>
          <w:rFonts w:cs="宋体"/>
          <w:sz w:val="32"/>
          <w:szCs w:val="32"/>
        </w:rPr>
        <w:tab/>
      </w:r>
      <w:r>
        <w:rPr>
          <w:rFonts w:cs="宋体"/>
          <w:sz w:val="32"/>
          <w:szCs w:val="32"/>
        </w:rPr>
        <w:t>2</w:t>
      </w:r>
      <w:r>
        <w:rPr>
          <w:rFonts w:cs="宋体"/>
          <w:sz w:val="32"/>
          <w:szCs w:val="32"/>
        </w:rPr>
        <w:fldChar w:fldCharType="end"/>
      </w:r>
      <w:r>
        <w:rPr>
          <w:rFonts w:cs="宋体"/>
          <w:sz w:val="32"/>
          <w:szCs w:val="32"/>
        </w:rPr>
        <w:t>5</w:t>
      </w:r>
    </w:p>
    <w:p>
      <w:pPr>
        <w:pStyle w:val="17"/>
        <w:tabs>
          <w:tab w:val="right" w:leader="dot" w:pos="9746"/>
          <w:tab w:val="clear" w:pos="1418"/>
          <w:tab w:val="clear" w:pos="8302"/>
        </w:tabs>
        <w:spacing w:line="480" w:lineRule="auto"/>
        <w:rPr>
          <w:rFonts w:hint="eastAsia" w:eastAsia="宋体" w:cs="宋体"/>
          <w:sz w:val="32"/>
          <w:szCs w:val="32"/>
          <w:lang w:eastAsia="zh-CN"/>
        </w:rPr>
      </w:pPr>
      <w:r>
        <w:fldChar w:fldCharType="begin"/>
      </w:r>
      <w:r>
        <w:instrText xml:space="preserve"> HYPERLINK \l "_Toc11493" </w:instrText>
      </w:r>
      <w:r>
        <w:fldChar w:fldCharType="separate"/>
      </w:r>
      <w:r>
        <w:rPr>
          <w:rFonts w:hint="eastAsia" w:cs="宋体"/>
          <w:sz w:val="32"/>
          <w:szCs w:val="32"/>
        </w:rPr>
        <w:t>第五章</w:t>
      </w:r>
      <w:r>
        <w:rPr>
          <w:rFonts w:cs="宋体"/>
          <w:sz w:val="32"/>
          <w:szCs w:val="32"/>
        </w:rPr>
        <w:t xml:space="preserve"> </w:t>
      </w:r>
      <w:r>
        <w:rPr>
          <w:rFonts w:hint="eastAsia" w:cs="宋体"/>
          <w:sz w:val="32"/>
          <w:szCs w:val="32"/>
        </w:rPr>
        <w:t>评</w:t>
      </w:r>
      <w:r>
        <w:rPr>
          <w:rFonts w:cs="宋体"/>
          <w:sz w:val="32"/>
          <w:szCs w:val="32"/>
        </w:rPr>
        <w:t xml:space="preserve"> </w:t>
      </w:r>
      <w:r>
        <w:rPr>
          <w:rFonts w:hint="eastAsia" w:cs="宋体"/>
          <w:sz w:val="32"/>
          <w:szCs w:val="32"/>
        </w:rPr>
        <w:t>标</w:t>
      </w:r>
      <w:r>
        <w:rPr>
          <w:rFonts w:cs="宋体"/>
          <w:sz w:val="32"/>
          <w:szCs w:val="32"/>
        </w:rPr>
        <w:t xml:space="preserve"> </w:t>
      </w:r>
      <w:r>
        <w:rPr>
          <w:rFonts w:hint="eastAsia" w:cs="宋体"/>
          <w:sz w:val="32"/>
          <w:szCs w:val="32"/>
        </w:rPr>
        <w:t>方</w:t>
      </w:r>
      <w:r>
        <w:rPr>
          <w:rFonts w:cs="宋体"/>
          <w:sz w:val="32"/>
          <w:szCs w:val="32"/>
        </w:rPr>
        <w:t xml:space="preserve"> </w:t>
      </w:r>
      <w:r>
        <w:rPr>
          <w:rFonts w:hint="eastAsia" w:cs="宋体"/>
          <w:sz w:val="32"/>
          <w:szCs w:val="32"/>
        </w:rPr>
        <w:t>法</w:t>
      </w:r>
      <w:r>
        <w:rPr>
          <w:rFonts w:cs="宋体"/>
          <w:sz w:val="32"/>
          <w:szCs w:val="32"/>
        </w:rPr>
        <w:tab/>
      </w:r>
      <w:r>
        <w:rPr>
          <w:rFonts w:cs="宋体"/>
          <w:sz w:val="32"/>
          <w:szCs w:val="32"/>
        </w:rPr>
        <w:t>3</w:t>
      </w:r>
      <w:r>
        <w:rPr>
          <w:rFonts w:cs="宋体"/>
          <w:sz w:val="32"/>
          <w:szCs w:val="32"/>
        </w:rPr>
        <w:fldChar w:fldCharType="end"/>
      </w:r>
      <w:r>
        <w:rPr>
          <w:rFonts w:hint="eastAsia" w:cs="宋体"/>
          <w:sz w:val="32"/>
          <w:szCs w:val="32"/>
          <w:lang w:val="en-US" w:eastAsia="zh-CN"/>
        </w:rPr>
        <w:t>7</w:t>
      </w:r>
    </w:p>
    <w:p>
      <w:pPr>
        <w:pStyle w:val="17"/>
        <w:tabs>
          <w:tab w:val="right" w:leader="dot" w:pos="9746"/>
          <w:tab w:val="clear" w:pos="1418"/>
          <w:tab w:val="clear" w:pos="8302"/>
        </w:tabs>
        <w:spacing w:line="480" w:lineRule="auto"/>
        <w:rPr>
          <w:rFonts w:hint="eastAsia" w:eastAsia="宋体" w:cs="宋体"/>
          <w:sz w:val="32"/>
          <w:szCs w:val="32"/>
          <w:lang w:val="en-US" w:eastAsia="zh-CN"/>
        </w:rPr>
      </w:pPr>
      <w:r>
        <w:fldChar w:fldCharType="begin"/>
      </w:r>
      <w:r>
        <w:instrText xml:space="preserve"> HYPERLINK \l "_Toc2238" </w:instrText>
      </w:r>
      <w:r>
        <w:fldChar w:fldCharType="separate"/>
      </w:r>
      <w:r>
        <w:rPr>
          <w:rFonts w:hint="eastAsia" w:cs="宋体"/>
          <w:sz w:val="32"/>
          <w:szCs w:val="32"/>
        </w:rPr>
        <w:t>第六章</w:t>
      </w:r>
      <w:r>
        <w:rPr>
          <w:rFonts w:cs="宋体"/>
          <w:sz w:val="32"/>
          <w:szCs w:val="32"/>
        </w:rPr>
        <w:t xml:space="preserve"> </w:t>
      </w:r>
      <w:r>
        <w:rPr>
          <w:rFonts w:hint="eastAsia" w:cs="宋体"/>
          <w:sz w:val="32"/>
          <w:szCs w:val="32"/>
        </w:rPr>
        <w:t>磋商响应文件构成及格式</w:t>
      </w:r>
      <w:r>
        <w:rPr>
          <w:rFonts w:cs="宋体"/>
          <w:sz w:val="32"/>
          <w:szCs w:val="32"/>
        </w:rPr>
        <w:tab/>
      </w:r>
      <w:r>
        <w:rPr>
          <w:rFonts w:hint="eastAsia" w:cs="宋体"/>
          <w:sz w:val="32"/>
          <w:szCs w:val="32"/>
          <w:lang w:val="en-US" w:eastAsia="zh-CN"/>
        </w:rPr>
        <w:t>4</w:t>
      </w:r>
      <w:r>
        <w:rPr>
          <w:rFonts w:cs="宋体"/>
          <w:sz w:val="32"/>
          <w:szCs w:val="32"/>
        </w:rPr>
        <w:fldChar w:fldCharType="end"/>
      </w:r>
      <w:r>
        <w:rPr>
          <w:rFonts w:hint="eastAsia" w:cs="宋体"/>
          <w:sz w:val="32"/>
          <w:szCs w:val="32"/>
          <w:lang w:val="en-US" w:eastAsia="zh-CN"/>
        </w:rPr>
        <w:t>2</w:t>
      </w:r>
    </w:p>
    <w:p>
      <w:pPr>
        <w:pStyle w:val="17"/>
        <w:spacing w:line="480" w:lineRule="auto"/>
      </w:pPr>
      <w:r>
        <w:rPr>
          <w:rFonts w:cs="宋体"/>
          <w:sz w:val="32"/>
          <w:szCs w:val="32"/>
        </w:rPr>
        <w:fldChar w:fldCharType="end"/>
      </w:r>
    </w:p>
    <w:p>
      <w:pPr>
        <w:tabs>
          <w:tab w:val="left" w:pos="525"/>
        </w:tabs>
        <w:spacing w:line="560" w:lineRule="exact"/>
        <w:jc w:val="center"/>
      </w:pPr>
      <w:r>
        <w:br w:type="page"/>
      </w:r>
    </w:p>
    <w:p>
      <w:pPr>
        <w:pStyle w:val="3"/>
        <w:spacing w:line="480" w:lineRule="auto"/>
        <w:jc w:val="center"/>
        <w:rPr>
          <w:rFonts w:ascii="宋体" w:eastAsia="宋体" w:cs="宋体"/>
          <w:sz w:val="36"/>
          <w:szCs w:val="36"/>
        </w:rPr>
      </w:pPr>
      <w:bookmarkStart w:id="8" w:name="_Toc29745"/>
      <w:bookmarkStart w:id="9" w:name="_Toc28504"/>
      <w:bookmarkStart w:id="10" w:name="_Toc31289"/>
      <w:bookmarkStart w:id="11" w:name="_Toc3884"/>
      <w:bookmarkStart w:id="12" w:name="_Toc14138"/>
      <w:r>
        <w:rPr>
          <w:rFonts w:hint="eastAsia" w:ascii="宋体" w:eastAsia="宋体" w:cs="宋体"/>
          <w:sz w:val="36"/>
          <w:szCs w:val="36"/>
        </w:rPr>
        <w:t>第一章</w:t>
      </w:r>
      <w:r>
        <w:rPr>
          <w:rFonts w:ascii="宋体" w:eastAsia="宋体" w:cs="宋体"/>
          <w:sz w:val="36"/>
          <w:szCs w:val="36"/>
        </w:rPr>
        <w:t xml:space="preserve">  </w:t>
      </w:r>
      <w:bookmarkEnd w:id="0"/>
      <w:bookmarkEnd w:id="1"/>
      <w:bookmarkEnd w:id="2"/>
      <w:bookmarkEnd w:id="3"/>
      <w:bookmarkEnd w:id="4"/>
      <w:bookmarkEnd w:id="5"/>
      <w:bookmarkEnd w:id="6"/>
      <w:bookmarkEnd w:id="7"/>
      <w:bookmarkEnd w:id="8"/>
      <w:bookmarkEnd w:id="9"/>
      <w:bookmarkEnd w:id="10"/>
      <w:bookmarkEnd w:id="11"/>
      <w:bookmarkEnd w:id="12"/>
      <w:r>
        <w:rPr>
          <w:rFonts w:hint="eastAsia" w:ascii="宋体" w:eastAsia="宋体" w:cs="宋体"/>
          <w:sz w:val="36"/>
          <w:szCs w:val="36"/>
        </w:rPr>
        <w:t>竞争性磋商公告</w:t>
      </w:r>
    </w:p>
    <w:p>
      <w:pPr>
        <w:widowControl/>
        <w:shd w:val="clear" w:color="auto" w:fill="FFFFFF"/>
        <w:spacing w:line="380" w:lineRule="exact"/>
        <w:ind w:firstLine="480"/>
        <w:rPr>
          <w:rFonts w:hint="eastAsia" w:ascii="宋体" w:hAnsi="宋体" w:cs="宋体"/>
          <w:color w:val="000000"/>
          <w:kern w:val="0"/>
          <w:sz w:val="22"/>
          <w:szCs w:val="24"/>
        </w:rPr>
      </w:pPr>
      <w:r>
        <w:rPr>
          <w:rFonts w:hint="eastAsia" w:ascii="宋体" w:hAnsi="宋体" w:cs="宋体"/>
          <w:color w:val="000000"/>
          <w:kern w:val="0"/>
          <w:sz w:val="22"/>
          <w:szCs w:val="24"/>
        </w:rPr>
        <w:t>永明项目管理有</w:t>
      </w:r>
      <w:r>
        <w:rPr>
          <w:rFonts w:hint="eastAsia"/>
          <w:sz w:val="22"/>
          <w:szCs w:val="32"/>
        </w:rPr>
        <w:t>限公司受</w:t>
      </w:r>
      <w:r>
        <w:rPr>
          <w:rFonts w:hint="eastAsia" w:cs="宋体"/>
          <w:color w:val="000000"/>
          <w:kern w:val="0"/>
          <w:sz w:val="22"/>
          <w:szCs w:val="24"/>
          <w:lang w:eastAsia="zh-CN"/>
        </w:rPr>
        <w:t>铜川市新区锦绣园小学</w:t>
      </w:r>
      <w:r>
        <w:rPr>
          <w:rFonts w:hint="eastAsia" w:ascii="宋体" w:hAnsi="宋体" w:cs="宋体"/>
          <w:color w:val="000000"/>
          <w:kern w:val="0"/>
          <w:sz w:val="22"/>
          <w:szCs w:val="24"/>
        </w:rPr>
        <w:t>的委托，经政府采购管理部门批准，按照政府采购程序，拟就</w:t>
      </w:r>
      <w:r>
        <w:rPr>
          <w:rFonts w:hint="eastAsia" w:cs="宋体"/>
          <w:color w:val="000000"/>
          <w:kern w:val="0"/>
          <w:sz w:val="22"/>
          <w:szCs w:val="24"/>
          <w:lang w:val="en-US" w:eastAsia="zh-CN"/>
        </w:rPr>
        <w:t>铜川市新区锦绣园小学电子设备采购</w:t>
      </w:r>
      <w:r>
        <w:rPr>
          <w:rFonts w:hint="eastAsia" w:ascii="宋体" w:hAnsi="宋体" w:cs="宋体"/>
          <w:color w:val="000000"/>
          <w:kern w:val="0"/>
          <w:sz w:val="22"/>
          <w:szCs w:val="24"/>
        </w:rPr>
        <w:t>进行竞争性磋商采购，欢迎符合资格条件的、有能力提供本项目所需服务的单位参加磋商。</w:t>
      </w:r>
    </w:p>
    <w:p>
      <w:pPr>
        <w:widowControl/>
        <w:shd w:val="clear" w:color="auto" w:fill="FFFFFF"/>
        <w:spacing w:line="380" w:lineRule="exact"/>
        <w:rPr>
          <w:rFonts w:hint="eastAsia" w:ascii="宋体" w:hAnsi="宋体" w:cs="宋体"/>
          <w:color w:val="000000"/>
          <w:kern w:val="0"/>
          <w:sz w:val="22"/>
          <w:szCs w:val="24"/>
        </w:rPr>
      </w:pPr>
      <w:r>
        <w:rPr>
          <w:rFonts w:hint="eastAsia" w:cs="宋体"/>
          <w:color w:val="000000"/>
          <w:kern w:val="0"/>
          <w:sz w:val="22"/>
          <w:szCs w:val="24"/>
          <w:lang w:val="en-US" w:eastAsia="zh-CN"/>
        </w:rPr>
        <w:t>一、</w:t>
      </w:r>
      <w:r>
        <w:rPr>
          <w:rFonts w:hint="eastAsia" w:ascii="宋体" w:hAnsi="宋体" w:cs="宋体"/>
          <w:color w:val="000000"/>
          <w:kern w:val="0"/>
          <w:sz w:val="22"/>
          <w:szCs w:val="24"/>
        </w:rPr>
        <w:t>采购项目名称：</w:t>
      </w:r>
      <w:r>
        <w:rPr>
          <w:rFonts w:hint="eastAsia" w:cs="宋体"/>
          <w:color w:val="000000"/>
          <w:kern w:val="0"/>
          <w:sz w:val="22"/>
          <w:szCs w:val="24"/>
          <w:lang w:val="en-US" w:eastAsia="zh-CN"/>
        </w:rPr>
        <w:t>铜川市新区锦绣园小学电子设备采购</w:t>
      </w:r>
    </w:p>
    <w:p>
      <w:pPr>
        <w:widowControl/>
        <w:numPr>
          <w:ilvl w:val="0"/>
          <w:numId w:val="0"/>
        </w:numPr>
        <w:shd w:val="clear" w:color="auto" w:fill="FFFFFF"/>
        <w:spacing w:line="380" w:lineRule="exact"/>
        <w:rPr>
          <w:rFonts w:hint="eastAsia" w:ascii="宋体" w:hAnsi="宋体" w:cs="宋体" w:eastAsiaTheme="minorEastAsia"/>
          <w:color w:val="000000"/>
          <w:kern w:val="0"/>
          <w:sz w:val="22"/>
          <w:szCs w:val="24"/>
          <w:lang w:eastAsia="zh-CN"/>
        </w:rPr>
      </w:pPr>
      <w:r>
        <w:rPr>
          <w:rFonts w:hint="eastAsia" w:cs="宋体"/>
          <w:color w:val="000000"/>
          <w:kern w:val="0"/>
          <w:sz w:val="22"/>
          <w:szCs w:val="24"/>
          <w:lang w:val="en-US" w:eastAsia="zh-CN"/>
        </w:rPr>
        <w:t>二、</w:t>
      </w:r>
      <w:r>
        <w:rPr>
          <w:rFonts w:hint="eastAsia" w:ascii="宋体" w:hAnsi="宋体" w:cs="宋体"/>
          <w:color w:val="000000"/>
          <w:kern w:val="0"/>
          <w:sz w:val="22"/>
          <w:szCs w:val="24"/>
        </w:rPr>
        <w:t>采购项目编号：YMD-2019449F</w:t>
      </w:r>
    </w:p>
    <w:p>
      <w:pPr>
        <w:spacing w:line="460" w:lineRule="exact"/>
        <w:rPr>
          <w:rFonts w:hint="eastAsia" w:ascii="宋体" w:hAnsi="宋体" w:cs="宋体" w:eastAsiaTheme="minorEastAsia"/>
          <w:sz w:val="22"/>
          <w:szCs w:val="32"/>
          <w:lang w:eastAsia="zh-CN"/>
        </w:rPr>
      </w:pPr>
      <w:r>
        <w:rPr>
          <w:rFonts w:hint="eastAsia" w:ascii="宋体" w:hAnsi="宋体" w:cs="宋体"/>
          <w:sz w:val="22"/>
          <w:szCs w:val="32"/>
        </w:rPr>
        <w:t>三、采购人名称：</w:t>
      </w:r>
      <w:r>
        <w:rPr>
          <w:rFonts w:hint="eastAsia" w:cs="宋体"/>
          <w:color w:val="000000"/>
          <w:kern w:val="0"/>
          <w:sz w:val="22"/>
          <w:szCs w:val="24"/>
          <w:lang w:eastAsia="zh-CN"/>
        </w:rPr>
        <w:t>铜川市新区锦绣园小学</w:t>
      </w:r>
    </w:p>
    <w:p>
      <w:pPr>
        <w:widowControl/>
        <w:shd w:val="clear" w:color="auto" w:fill="FFFFFF"/>
        <w:spacing w:line="380" w:lineRule="exact"/>
        <w:ind w:firstLine="440" w:firstLineChars="200"/>
        <w:rPr>
          <w:rFonts w:hint="default" w:ascii="宋体" w:hAnsi="宋体" w:cs="宋体" w:eastAsiaTheme="minorEastAsia"/>
          <w:sz w:val="22"/>
          <w:szCs w:val="32"/>
          <w:lang w:val="en-US" w:eastAsia="zh-CN"/>
        </w:rPr>
      </w:pPr>
      <w:r>
        <w:rPr>
          <w:rFonts w:hint="eastAsia" w:ascii="宋体" w:hAnsi="宋体" w:cs="宋体"/>
          <w:sz w:val="22"/>
          <w:szCs w:val="32"/>
        </w:rPr>
        <w:t>地址：铜川市</w:t>
      </w:r>
      <w:r>
        <w:rPr>
          <w:rFonts w:hint="eastAsia" w:cs="宋体"/>
          <w:sz w:val="22"/>
          <w:szCs w:val="32"/>
          <w:lang w:val="en-US" w:eastAsia="zh-CN"/>
        </w:rPr>
        <w:t>新区</w:t>
      </w:r>
    </w:p>
    <w:p>
      <w:pPr>
        <w:widowControl/>
        <w:shd w:val="clear" w:color="auto" w:fill="FFFFFF"/>
        <w:spacing w:line="380" w:lineRule="exact"/>
        <w:ind w:firstLine="440" w:firstLineChars="200"/>
        <w:rPr>
          <w:rFonts w:hint="default" w:ascii="宋体" w:hAnsi="宋体" w:cs="宋体" w:eastAsiaTheme="minorEastAsia"/>
          <w:sz w:val="22"/>
          <w:szCs w:val="32"/>
          <w:lang w:val="en-US" w:eastAsia="zh-CN"/>
        </w:rPr>
      </w:pPr>
      <w:r>
        <w:rPr>
          <w:rFonts w:hint="eastAsia" w:ascii="宋体" w:hAnsi="宋体" w:cs="宋体"/>
          <w:sz w:val="22"/>
          <w:szCs w:val="32"/>
        </w:rPr>
        <w:t>联系人</w:t>
      </w:r>
      <w:r>
        <w:rPr>
          <w:rFonts w:hint="eastAsia" w:cs="宋体"/>
          <w:sz w:val="22"/>
          <w:szCs w:val="32"/>
          <w:lang w:eastAsia="zh-CN"/>
        </w:rPr>
        <w:t>：</w:t>
      </w:r>
      <w:r>
        <w:rPr>
          <w:rFonts w:hint="eastAsia" w:cs="宋体"/>
          <w:sz w:val="22"/>
          <w:szCs w:val="32"/>
          <w:lang w:val="en-US" w:eastAsia="zh-CN"/>
        </w:rPr>
        <w:t>段斌</w:t>
      </w:r>
    </w:p>
    <w:p>
      <w:pPr>
        <w:widowControl/>
        <w:shd w:val="clear" w:color="auto" w:fill="FFFFFF"/>
        <w:spacing w:line="380" w:lineRule="exact"/>
        <w:ind w:firstLine="440" w:firstLineChars="200"/>
        <w:rPr>
          <w:rFonts w:hint="default" w:ascii="宋体" w:hAnsi="宋体" w:cs="宋体" w:eastAsiaTheme="minorEastAsia"/>
          <w:sz w:val="22"/>
          <w:szCs w:val="32"/>
          <w:lang w:val="en-US" w:eastAsia="zh-CN"/>
        </w:rPr>
      </w:pPr>
      <w:r>
        <w:rPr>
          <w:rFonts w:hint="eastAsia" w:ascii="宋体" w:hAnsi="宋体" w:cs="宋体"/>
          <w:sz w:val="22"/>
          <w:szCs w:val="32"/>
        </w:rPr>
        <w:t>联系方式：</w:t>
      </w:r>
      <w:r>
        <w:rPr>
          <w:rFonts w:hint="eastAsia" w:cs="宋体"/>
          <w:sz w:val="22"/>
          <w:szCs w:val="32"/>
          <w:lang w:val="en-US" w:eastAsia="zh-CN"/>
        </w:rPr>
        <w:t>18709199961</w:t>
      </w:r>
    </w:p>
    <w:p>
      <w:pPr>
        <w:widowControl/>
        <w:shd w:val="clear" w:color="auto" w:fill="FFFFFF"/>
        <w:spacing w:line="380" w:lineRule="exact"/>
        <w:rPr>
          <w:rFonts w:ascii="宋体" w:hAnsi="宋体" w:cs="宋体"/>
          <w:color w:val="000000"/>
          <w:kern w:val="0"/>
          <w:sz w:val="22"/>
          <w:szCs w:val="24"/>
        </w:rPr>
      </w:pPr>
      <w:r>
        <w:rPr>
          <w:rFonts w:hint="eastAsia" w:ascii="宋体" w:hAnsi="宋体" w:cs="宋体"/>
          <w:color w:val="000000"/>
          <w:kern w:val="0"/>
          <w:sz w:val="22"/>
          <w:szCs w:val="24"/>
        </w:rPr>
        <w:t>四、招标代理机构：永明项目管理有限公司</w:t>
      </w:r>
    </w:p>
    <w:p>
      <w:pPr>
        <w:widowControl/>
        <w:shd w:val="clear" w:color="auto" w:fill="FFFFFF"/>
        <w:spacing w:line="380" w:lineRule="exact"/>
        <w:ind w:firstLine="440" w:firstLineChars="200"/>
        <w:rPr>
          <w:rFonts w:hint="eastAsia" w:ascii="宋体" w:hAnsi="宋体" w:cs="宋体"/>
          <w:color w:val="000000"/>
          <w:kern w:val="0"/>
          <w:sz w:val="22"/>
          <w:szCs w:val="24"/>
        </w:rPr>
      </w:pPr>
      <w:r>
        <w:rPr>
          <w:rFonts w:hint="eastAsia" w:ascii="宋体" w:hAnsi="宋体" w:cs="宋体"/>
          <w:color w:val="000000"/>
          <w:kern w:val="0"/>
          <w:sz w:val="22"/>
          <w:szCs w:val="24"/>
        </w:rPr>
        <w:t>地  址：西安市科技路30号合力紫郡大厦A座16层</w:t>
      </w:r>
    </w:p>
    <w:p>
      <w:pPr>
        <w:widowControl/>
        <w:shd w:val="clear" w:color="auto" w:fill="FFFFFF"/>
        <w:spacing w:line="380" w:lineRule="exact"/>
        <w:ind w:firstLine="440" w:firstLineChars="200"/>
        <w:rPr>
          <w:rFonts w:hint="default" w:ascii="宋体" w:hAnsi="宋体" w:cs="宋体"/>
          <w:color w:val="000000"/>
          <w:kern w:val="0"/>
          <w:sz w:val="22"/>
          <w:szCs w:val="24"/>
          <w:lang w:val="en-US" w:eastAsia="zh-CN"/>
        </w:rPr>
      </w:pPr>
      <w:r>
        <w:rPr>
          <w:rFonts w:hint="eastAsia" w:ascii="宋体" w:hAnsi="宋体" w:cs="宋体"/>
          <w:color w:val="000000"/>
          <w:kern w:val="0"/>
          <w:sz w:val="22"/>
          <w:szCs w:val="24"/>
          <w:lang w:val="en-US" w:eastAsia="zh-CN"/>
        </w:rPr>
        <w:t>联系人：李铎</w:t>
      </w:r>
    </w:p>
    <w:p>
      <w:pPr>
        <w:widowControl/>
        <w:shd w:val="clear" w:color="auto" w:fill="FFFFFF"/>
        <w:spacing w:line="380" w:lineRule="exact"/>
        <w:rPr>
          <w:rFonts w:hint="eastAsia" w:ascii="宋体" w:hAnsi="宋体" w:cs="宋体"/>
          <w:color w:val="000000"/>
          <w:kern w:val="0"/>
          <w:sz w:val="22"/>
          <w:szCs w:val="24"/>
        </w:rPr>
      </w:pPr>
      <w:r>
        <w:rPr>
          <w:rFonts w:hint="eastAsia" w:ascii="宋体" w:hAnsi="宋体" w:cs="宋体"/>
          <w:color w:val="000000"/>
          <w:kern w:val="0"/>
          <w:sz w:val="22"/>
          <w:szCs w:val="24"/>
        </w:rPr>
        <w:t xml:space="preserve">    联系方式：0919-6282272</w:t>
      </w:r>
    </w:p>
    <w:p>
      <w:pPr>
        <w:widowControl/>
        <w:numPr>
          <w:ilvl w:val="0"/>
          <w:numId w:val="0"/>
        </w:numPr>
        <w:shd w:val="clear" w:color="auto" w:fill="FFFFFF"/>
        <w:spacing w:line="380" w:lineRule="exact"/>
        <w:rPr>
          <w:rFonts w:hint="default" w:ascii="宋体" w:hAnsi="宋体" w:cs="宋体" w:eastAsiaTheme="minorEastAsia"/>
          <w:b/>
          <w:bCs/>
          <w:color w:val="000000"/>
          <w:kern w:val="0"/>
          <w:sz w:val="22"/>
          <w:szCs w:val="24"/>
          <w:lang w:val="en-US" w:eastAsia="zh-CN"/>
        </w:rPr>
      </w:pPr>
      <w:r>
        <w:rPr>
          <w:rFonts w:hint="eastAsia" w:cs="宋体"/>
          <w:color w:val="000000"/>
          <w:kern w:val="0"/>
          <w:sz w:val="22"/>
          <w:szCs w:val="24"/>
          <w:lang w:val="en-US" w:eastAsia="zh-CN"/>
        </w:rPr>
        <w:t>五、</w:t>
      </w:r>
      <w:r>
        <w:rPr>
          <w:rFonts w:hint="eastAsia" w:ascii="宋体" w:hAnsi="宋体" w:cs="宋体"/>
          <w:color w:val="000000"/>
          <w:kern w:val="0"/>
          <w:sz w:val="22"/>
          <w:szCs w:val="24"/>
        </w:rPr>
        <w:t>采购内容和要求：</w:t>
      </w:r>
      <w:bookmarkStart w:id="13" w:name="OLE_LINK7"/>
      <w:r>
        <w:rPr>
          <w:rFonts w:hint="eastAsia" w:cs="宋体"/>
          <w:color w:val="000000"/>
          <w:kern w:val="0"/>
          <w:sz w:val="22"/>
          <w:szCs w:val="24"/>
          <w:lang w:val="en-US" w:eastAsia="zh-CN"/>
        </w:rPr>
        <w:t>多媒体电脑</w:t>
      </w:r>
    </w:p>
    <w:p>
      <w:pPr>
        <w:widowControl/>
        <w:shd w:val="clear" w:color="auto" w:fill="FFFFFF"/>
        <w:spacing w:line="380" w:lineRule="exact"/>
        <w:rPr>
          <w:rFonts w:ascii="宋体" w:hAnsi="宋体" w:cs="宋体"/>
          <w:color w:val="000000"/>
          <w:kern w:val="0"/>
          <w:sz w:val="22"/>
          <w:szCs w:val="24"/>
        </w:rPr>
      </w:pPr>
      <w:r>
        <w:rPr>
          <w:rFonts w:hint="eastAsia" w:ascii="宋体" w:hAnsi="宋体" w:cs="宋体"/>
          <w:color w:val="000000"/>
          <w:kern w:val="0"/>
          <w:sz w:val="22"/>
          <w:szCs w:val="24"/>
        </w:rPr>
        <w:t xml:space="preserve">    采购预算：</w:t>
      </w:r>
      <w:r>
        <w:rPr>
          <w:rFonts w:hint="eastAsia" w:cs="宋体"/>
          <w:color w:val="000000"/>
          <w:kern w:val="0"/>
          <w:sz w:val="22"/>
          <w:szCs w:val="24"/>
          <w:lang w:val="en-US" w:eastAsia="zh-CN"/>
        </w:rPr>
        <w:t>473475</w:t>
      </w:r>
      <w:r>
        <w:rPr>
          <w:rFonts w:hint="eastAsia" w:ascii="宋体" w:hAnsi="宋体" w:cs="宋体"/>
          <w:color w:val="000000"/>
          <w:kern w:val="0"/>
          <w:sz w:val="22"/>
          <w:szCs w:val="24"/>
        </w:rPr>
        <w:t>元</w:t>
      </w:r>
      <w:bookmarkEnd w:id="13"/>
    </w:p>
    <w:p>
      <w:pPr>
        <w:widowControl w:val="0"/>
        <w:spacing w:line="400" w:lineRule="exact"/>
        <w:rPr>
          <w:rFonts w:hint="eastAsia" w:ascii="宋体" w:hAnsi="宋体" w:cs="宋体" w:eastAsiaTheme="minorEastAsia"/>
          <w:sz w:val="22"/>
          <w:szCs w:val="32"/>
          <w:lang w:eastAsia="zh-CN"/>
        </w:rPr>
      </w:pPr>
      <w:r>
        <w:rPr>
          <w:rFonts w:hint="eastAsia" w:ascii="宋体" w:hAnsi="宋体" w:cs="宋体"/>
          <w:sz w:val="22"/>
          <w:szCs w:val="32"/>
        </w:rPr>
        <w:t>六、供应商资质要求</w:t>
      </w:r>
      <w:r>
        <w:rPr>
          <w:rFonts w:hint="eastAsia" w:ascii="宋体" w:hAnsi="宋体" w:cs="宋体"/>
          <w:sz w:val="22"/>
          <w:szCs w:val="32"/>
          <w:lang w:eastAsia="zh-CN"/>
        </w:rPr>
        <w:t>：</w:t>
      </w:r>
    </w:p>
    <w:p>
      <w:pPr>
        <w:shd w:val="clear" w:color="auto" w:fill="FFFFFF"/>
        <w:spacing w:line="380" w:lineRule="exact"/>
        <w:ind w:firstLine="440" w:firstLineChars="200"/>
        <w:rPr>
          <w:rFonts w:ascii="宋体" w:hAnsi="宋体" w:cs="宋体"/>
          <w:color w:val="000000"/>
          <w:sz w:val="22"/>
          <w:szCs w:val="24"/>
        </w:rPr>
      </w:pPr>
      <w:r>
        <w:rPr>
          <w:rFonts w:hint="eastAsia" w:ascii="宋体" w:hAnsi="宋体" w:cs="宋体"/>
          <w:color w:val="000000"/>
          <w:sz w:val="22"/>
          <w:szCs w:val="24"/>
        </w:rPr>
        <w:t>1、符合《中华人民共和国政府采购法》第二十二条规定；</w:t>
      </w:r>
    </w:p>
    <w:p>
      <w:pPr>
        <w:spacing w:line="380" w:lineRule="exact"/>
        <w:rPr>
          <w:rFonts w:ascii="宋体" w:hAnsi="宋体" w:cs="宋体"/>
          <w:color w:val="000000"/>
          <w:sz w:val="22"/>
          <w:szCs w:val="24"/>
        </w:rPr>
      </w:pPr>
      <w:r>
        <w:rPr>
          <w:rFonts w:hint="eastAsia" w:ascii="仿宋_GB2312" w:eastAsia="仿宋_GB2312"/>
          <w:sz w:val="22"/>
          <w:szCs w:val="24"/>
        </w:rPr>
        <w:t xml:space="preserve"> </w:t>
      </w:r>
      <w:r>
        <w:rPr>
          <w:rFonts w:hint="eastAsia" w:ascii="宋体" w:hAnsi="宋体" w:cs="宋体"/>
          <w:color w:val="000000"/>
          <w:sz w:val="22"/>
          <w:szCs w:val="24"/>
        </w:rPr>
        <w:t xml:space="preserve">   2、具有独立承担民事责任能力的法人、其他组织或自然人、提供营业执照副本/事业单位法人证书副本、非企业专业服务机构执业许可证副本/自然人身份证；</w:t>
      </w:r>
    </w:p>
    <w:p>
      <w:pPr>
        <w:spacing w:line="380" w:lineRule="exact"/>
        <w:rPr>
          <w:rFonts w:ascii="宋体" w:hAnsi="宋体" w:cs="宋体"/>
          <w:color w:val="FF0000"/>
          <w:sz w:val="22"/>
          <w:szCs w:val="24"/>
        </w:rPr>
      </w:pPr>
      <w:r>
        <w:rPr>
          <w:rFonts w:hint="eastAsia" w:ascii="宋体" w:hAnsi="宋体" w:cs="宋体"/>
          <w:color w:val="000000"/>
          <w:sz w:val="22"/>
          <w:szCs w:val="24"/>
        </w:rPr>
        <w:t xml:space="preserve">    3、供应商应授权合法</w:t>
      </w:r>
      <w:r>
        <w:rPr>
          <w:rFonts w:hint="eastAsia" w:cs="宋体"/>
          <w:color w:val="000000"/>
          <w:sz w:val="22"/>
          <w:szCs w:val="24"/>
          <w:lang w:val="en-US" w:eastAsia="zh-CN"/>
        </w:rPr>
        <w:t>且唯一</w:t>
      </w:r>
      <w:r>
        <w:rPr>
          <w:rFonts w:hint="eastAsia" w:ascii="宋体" w:hAnsi="宋体" w:cs="宋体"/>
          <w:color w:val="000000"/>
          <w:sz w:val="22"/>
          <w:szCs w:val="24"/>
        </w:rPr>
        <w:t>的人员参加</w:t>
      </w:r>
      <w:r>
        <w:rPr>
          <w:rFonts w:hint="eastAsia" w:cs="宋体"/>
          <w:color w:val="000000"/>
          <w:sz w:val="22"/>
          <w:szCs w:val="24"/>
          <w:lang w:val="en-US" w:eastAsia="zh-CN"/>
        </w:rPr>
        <w:t>磋商</w:t>
      </w:r>
      <w:r>
        <w:rPr>
          <w:rFonts w:hint="eastAsia" w:ascii="宋体" w:hAnsi="宋体" w:cs="宋体"/>
          <w:color w:val="000000"/>
          <w:sz w:val="22"/>
          <w:szCs w:val="24"/>
        </w:rPr>
        <w:t>全过程，</w:t>
      </w:r>
      <w:r>
        <w:rPr>
          <w:rFonts w:hint="eastAsia" w:cs="宋体"/>
          <w:color w:val="000000"/>
          <w:sz w:val="22"/>
          <w:szCs w:val="24"/>
          <w:lang w:val="en-US" w:eastAsia="zh-CN"/>
        </w:rPr>
        <w:t>磋商过程中不得更换授权代理人，</w:t>
      </w:r>
      <w:r>
        <w:rPr>
          <w:rFonts w:hint="eastAsia" w:ascii="宋体" w:hAnsi="宋体" w:cs="宋体"/>
          <w:color w:val="000000"/>
          <w:sz w:val="22"/>
          <w:szCs w:val="24"/>
        </w:rPr>
        <w:t>其中法定代表人直接参加</w:t>
      </w:r>
      <w:r>
        <w:rPr>
          <w:rFonts w:hint="eastAsia" w:cs="宋体"/>
          <w:color w:val="000000"/>
          <w:sz w:val="22"/>
          <w:szCs w:val="24"/>
          <w:lang w:eastAsia="zh-CN"/>
        </w:rPr>
        <w:t>磋商</w:t>
      </w:r>
      <w:r>
        <w:rPr>
          <w:rFonts w:hint="eastAsia" w:ascii="宋体" w:hAnsi="宋体" w:cs="宋体"/>
          <w:color w:val="000000"/>
          <w:sz w:val="22"/>
          <w:szCs w:val="24"/>
        </w:rPr>
        <w:t>的，须出具法人身份证，并与营业执照上信息一致。法定代表人授权代表参加</w:t>
      </w:r>
      <w:r>
        <w:rPr>
          <w:rFonts w:hint="eastAsia" w:cs="宋体"/>
          <w:color w:val="000000"/>
          <w:sz w:val="22"/>
          <w:szCs w:val="24"/>
          <w:lang w:eastAsia="zh-CN"/>
        </w:rPr>
        <w:t>磋商</w:t>
      </w:r>
      <w:r>
        <w:rPr>
          <w:rFonts w:hint="eastAsia" w:ascii="宋体" w:hAnsi="宋体" w:cs="宋体"/>
          <w:color w:val="000000"/>
          <w:sz w:val="22"/>
          <w:szCs w:val="24"/>
        </w:rPr>
        <w:t>的，须出具法定代表人授权书及授权代表身份证；</w:t>
      </w:r>
    </w:p>
    <w:p>
      <w:pPr>
        <w:spacing w:line="380" w:lineRule="exact"/>
        <w:ind w:firstLine="440" w:firstLineChars="200"/>
        <w:rPr>
          <w:rFonts w:ascii="宋体" w:hAnsi="宋体" w:cs="宋体"/>
          <w:color w:val="000000"/>
          <w:sz w:val="22"/>
          <w:szCs w:val="24"/>
        </w:rPr>
      </w:pPr>
      <w:r>
        <w:rPr>
          <w:rFonts w:hint="eastAsia" w:ascii="宋体" w:hAnsi="宋体" w:cs="宋体"/>
          <w:color w:val="000000"/>
          <w:sz w:val="22"/>
          <w:szCs w:val="24"/>
        </w:rPr>
        <w:t>4、供应商通过“信用中国”网站(www.creditchina.gov.cn)</w:t>
      </w:r>
      <w:r>
        <w:rPr>
          <w:rFonts w:hint="eastAsia" w:cs="宋体"/>
          <w:color w:val="000000"/>
          <w:sz w:val="22"/>
          <w:szCs w:val="24"/>
          <w:lang w:val="en-US" w:eastAsia="zh-CN"/>
        </w:rPr>
        <w:t>和</w:t>
      </w:r>
      <w:r>
        <w:rPr>
          <w:rFonts w:hint="eastAsia" w:ascii="宋体" w:hAnsi="宋体" w:cs="宋体"/>
          <w:color w:val="000000"/>
          <w:sz w:val="22"/>
          <w:szCs w:val="24"/>
        </w:rPr>
        <w:t>中国政府采购网(www.ccgp.gov.cn) 等查询相关主体信用记录</w:t>
      </w:r>
      <w:r>
        <w:rPr>
          <w:rFonts w:hint="eastAsia" w:cs="宋体"/>
          <w:color w:val="000000"/>
          <w:sz w:val="22"/>
          <w:szCs w:val="24"/>
          <w:lang w:eastAsia="zh-CN"/>
        </w:rPr>
        <w:t>（</w:t>
      </w:r>
      <w:r>
        <w:rPr>
          <w:rFonts w:hint="eastAsia" w:cs="宋体"/>
          <w:color w:val="000000"/>
          <w:sz w:val="22"/>
          <w:szCs w:val="24"/>
          <w:lang w:val="en-US" w:eastAsia="zh-CN"/>
        </w:rPr>
        <w:t>提供网页截图并加盖公章</w:t>
      </w:r>
      <w:r>
        <w:rPr>
          <w:rFonts w:hint="eastAsia" w:cs="宋体"/>
          <w:color w:val="000000"/>
          <w:sz w:val="22"/>
          <w:szCs w:val="24"/>
          <w:lang w:eastAsia="zh-CN"/>
        </w:rPr>
        <w:t>）</w:t>
      </w:r>
      <w:r>
        <w:rPr>
          <w:rFonts w:hint="eastAsia" w:ascii="宋体" w:hAnsi="宋体" w:cs="宋体"/>
          <w:color w:val="000000"/>
          <w:sz w:val="22"/>
          <w:szCs w:val="24"/>
        </w:rPr>
        <w:t>；</w:t>
      </w:r>
    </w:p>
    <w:p>
      <w:pPr>
        <w:spacing w:line="380" w:lineRule="exact"/>
        <w:ind w:firstLine="440" w:firstLineChars="200"/>
        <w:rPr>
          <w:rFonts w:ascii="宋体" w:hAnsi="宋体" w:cs="宋体"/>
          <w:color w:val="000000"/>
          <w:sz w:val="22"/>
          <w:szCs w:val="24"/>
        </w:rPr>
      </w:pPr>
      <w:r>
        <w:rPr>
          <w:rFonts w:hint="eastAsia" w:ascii="宋体" w:hAnsi="宋体" w:cs="宋体"/>
          <w:color w:val="000000"/>
          <w:sz w:val="22"/>
          <w:szCs w:val="24"/>
        </w:rPr>
        <w:t>5、供应商参加本次政府采购活动前3年内在经营活动中没有重大违纪的书面声明；</w:t>
      </w:r>
    </w:p>
    <w:p>
      <w:pPr>
        <w:spacing w:line="380" w:lineRule="exact"/>
        <w:ind w:firstLine="440" w:firstLineChars="200"/>
        <w:rPr>
          <w:rFonts w:hint="eastAsia" w:eastAsiaTheme="minorEastAsia"/>
          <w:b/>
          <w:bCs/>
          <w:sz w:val="22"/>
          <w:szCs w:val="21"/>
          <w:lang w:val="en-US" w:eastAsia="zh-CN"/>
        </w:rPr>
      </w:pPr>
      <w:r>
        <w:rPr>
          <w:rFonts w:hint="eastAsia" w:ascii="宋体" w:hAnsi="宋体" w:cs="宋体"/>
          <w:color w:val="000000"/>
          <w:sz w:val="22"/>
          <w:szCs w:val="24"/>
        </w:rPr>
        <w:t>6、提供</w:t>
      </w:r>
      <w:r>
        <w:rPr>
          <w:rFonts w:hint="eastAsia" w:cs="宋体"/>
          <w:color w:val="000000"/>
          <w:sz w:val="22"/>
          <w:szCs w:val="24"/>
          <w:lang w:val="en-US" w:eastAsia="zh-CN"/>
        </w:rPr>
        <w:t>主要</w:t>
      </w:r>
      <w:r>
        <w:rPr>
          <w:rFonts w:hint="eastAsia" w:ascii="宋体" w:hAnsi="宋体" w:cs="宋体"/>
          <w:color w:val="000000"/>
          <w:sz w:val="22"/>
          <w:szCs w:val="24"/>
        </w:rPr>
        <w:t>产品来源渠道合法的证明文件（包括但不限于销售协议、代理协议、制造商授权书等）；</w:t>
      </w:r>
    </w:p>
    <w:p>
      <w:pPr>
        <w:spacing w:line="380" w:lineRule="exact"/>
        <w:ind w:firstLine="440" w:firstLineChars="200"/>
        <w:rPr>
          <w:rFonts w:ascii="宋体" w:hAnsi="宋体" w:cs="宋体"/>
          <w:color w:val="000000"/>
          <w:sz w:val="22"/>
          <w:szCs w:val="24"/>
        </w:rPr>
      </w:pPr>
      <w:r>
        <w:rPr>
          <w:rFonts w:hint="eastAsia" w:ascii="宋体" w:hAnsi="宋体" w:cs="宋体"/>
          <w:color w:val="000000"/>
          <w:sz w:val="22"/>
          <w:szCs w:val="24"/>
        </w:rPr>
        <w:t>7、磋商保证金交纳凭证或磋商担保函；</w:t>
      </w:r>
    </w:p>
    <w:p>
      <w:pPr>
        <w:widowControl w:val="0"/>
        <w:spacing w:line="400" w:lineRule="exact"/>
        <w:ind w:firstLine="440" w:firstLineChars="200"/>
        <w:rPr>
          <w:rFonts w:hint="eastAsia" w:ascii="宋体" w:hAnsi="宋体" w:cs="宋体" w:eastAsiaTheme="minorEastAsia"/>
          <w:color w:val="000000"/>
          <w:kern w:val="0"/>
          <w:sz w:val="22"/>
          <w:szCs w:val="24"/>
          <w:lang w:eastAsia="zh-CN"/>
        </w:rPr>
      </w:pPr>
      <w:r>
        <w:rPr>
          <w:rFonts w:ascii="宋体" w:hAnsi="宋体" w:cs="宋体"/>
          <w:color w:val="000000"/>
          <w:sz w:val="22"/>
          <w:szCs w:val="24"/>
        </w:rPr>
        <w:t>8</w:t>
      </w:r>
      <w:r>
        <w:rPr>
          <w:rFonts w:hint="eastAsia" w:ascii="宋体" w:hAnsi="宋体" w:cs="宋体"/>
          <w:color w:val="000000"/>
          <w:sz w:val="22"/>
          <w:szCs w:val="24"/>
        </w:rPr>
        <w:t>、本项目不接受联合体磋商</w:t>
      </w:r>
      <w:r>
        <w:rPr>
          <w:rFonts w:hint="eastAsia" w:ascii="宋体" w:hAnsi="宋体" w:cs="宋体"/>
          <w:color w:val="000000"/>
          <w:sz w:val="22"/>
          <w:szCs w:val="24"/>
          <w:lang w:eastAsia="zh-CN"/>
        </w:rPr>
        <w:t>。</w:t>
      </w:r>
    </w:p>
    <w:p>
      <w:pPr>
        <w:numPr>
          <w:ilvl w:val="0"/>
          <w:numId w:val="2"/>
        </w:numPr>
        <w:spacing w:line="380" w:lineRule="exact"/>
        <w:rPr>
          <w:rFonts w:ascii="宋体" w:hAnsi="宋体" w:cs="宋体"/>
          <w:color w:val="000000"/>
          <w:kern w:val="0"/>
          <w:sz w:val="22"/>
          <w:szCs w:val="24"/>
        </w:rPr>
      </w:pPr>
      <w:r>
        <w:rPr>
          <w:rFonts w:hint="eastAsia" w:ascii="宋体" w:hAnsi="宋体" w:cs="宋体"/>
          <w:color w:val="000000"/>
          <w:kern w:val="0"/>
          <w:sz w:val="22"/>
          <w:szCs w:val="24"/>
        </w:rPr>
        <w:t>采购项目需要落实的政府采购政策：</w:t>
      </w:r>
    </w:p>
    <w:p>
      <w:pPr>
        <w:spacing w:line="380" w:lineRule="exact"/>
        <w:ind w:firstLine="440" w:firstLineChars="200"/>
        <w:rPr>
          <w:rFonts w:ascii="宋体" w:hAnsi="宋体" w:cs="宋体"/>
          <w:color w:val="000000"/>
          <w:kern w:val="0"/>
          <w:sz w:val="22"/>
          <w:szCs w:val="24"/>
        </w:rPr>
      </w:pPr>
      <w:r>
        <w:rPr>
          <w:rFonts w:hint="eastAsia" w:ascii="宋体" w:hAnsi="宋体" w:cs="宋体"/>
          <w:color w:val="000000"/>
          <w:kern w:val="0"/>
          <w:sz w:val="22"/>
          <w:szCs w:val="24"/>
        </w:rPr>
        <w:t xml:space="preserve">依据《中华人民共和国政府采购法》和《中华人民共和国政府采购实施条例》的有关规定，落实政府采购政策。 </w:t>
      </w:r>
    </w:p>
    <w:p>
      <w:pPr>
        <w:widowControl/>
        <w:shd w:val="clear" w:color="auto" w:fill="FFFFFF"/>
        <w:spacing w:line="380" w:lineRule="exact"/>
        <w:ind w:firstLine="440" w:firstLineChars="200"/>
        <w:rPr>
          <w:rFonts w:ascii="宋体" w:hAnsi="宋体" w:cs="宋体"/>
          <w:color w:val="000000"/>
          <w:kern w:val="0"/>
          <w:sz w:val="22"/>
          <w:szCs w:val="24"/>
        </w:rPr>
      </w:pPr>
      <w:r>
        <w:rPr>
          <w:rFonts w:hint="eastAsia" w:ascii="宋体" w:hAnsi="宋体" w:cs="宋体"/>
          <w:color w:val="000000"/>
          <w:kern w:val="0"/>
          <w:sz w:val="22"/>
          <w:szCs w:val="24"/>
        </w:rPr>
        <w:t>1、《政府采购促进中小企业发展暂行办法》（财库〔2011〕181号）；</w:t>
      </w:r>
    </w:p>
    <w:p>
      <w:pPr>
        <w:widowControl/>
        <w:shd w:val="clear" w:color="auto" w:fill="FFFFFF"/>
        <w:spacing w:line="380" w:lineRule="exact"/>
        <w:ind w:firstLine="440" w:firstLineChars="200"/>
        <w:rPr>
          <w:rFonts w:ascii="宋体" w:hAnsi="宋体" w:cs="宋体"/>
          <w:color w:val="000000"/>
          <w:kern w:val="0"/>
          <w:sz w:val="22"/>
          <w:szCs w:val="24"/>
        </w:rPr>
      </w:pPr>
      <w:r>
        <w:rPr>
          <w:rFonts w:hint="eastAsia" w:ascii="宋体" w:hAnsi="宋体" w:cs="宋体"/>
          <w:color w:val="000000"/>
          <w:kern w:val="0"/>
          <w:sz w:val="22"/>
          <w:szCs w:val="24"/>
        </w:rPr>
        <w:t xml:space="preserve">2、《财政部司法部关于政府采购支持监狱企业发展有关问题的通知》（财库〔2014〕68号）； </w:t>
      </w:r>
    </w:p>
    <w:p>
      <w:pPr>
        <w:widowControl/>
        <w:shd w:val="clear" w:color="auto" w:fill="FFFFFF"/>
        <w:spacing w:line="380" w:lineRule="exact"/>
        <w:ind w:firstLine="440" w:firstLineChars="200"/>
        <w:rPr>
          <w:rFonts w:ascii="宋体" w:hAnsi="宋体" w:cs="宋体"/>
          <w:color w:val="000000"/>
          <w:kern w:val="0"/>
          <w:sz w:val="22"/>
          <w:szCs w:val="24"/>
        </w:rPr>
      </w:pPr>
      <w:r>
        <w:rPr>
          <w:rFonts w:hint="eastAsia" w:ascii="宋体" w:hAnsi="宋体" w:cs="宋体"/>
          <w:color w:val="000000"/>
          <w:kern w:val="0"/>
          <w:sz w:val="22"/>
          <w:szCs w:val="24"/>
        </w:rPr>
        <w:t xml:space="preserve">3、《国务院办公厅关于建立政府强制采购节能产品制度的通知》（国办发〔2007〕51号）； </w:t>
      </w:r>
    </w:p>
    <w:p>
      <w:pPr>
        <w:widowControl/>
        <w:shd w:val="clear" w:color="auto" w:fill="FFFFFF"/>
        <w:spacing w:line="380" w:lineRule="exact"/>
        <w:ind w:firstLine="440" w:firstLineChars="200"/>
        <w:rPr>
          <w:rFonts w:ascii="宋体" w:hAnsi="宋体" w:cs="宋体"/>
          <w:color w:val="000000"/>
          <w:kern w:val="0"/>
          <w:sz w:val="22"/>
          <w:szCs w:val="24"/>
        </w:rPr>
      </w:pPr>
      <w:r>
        <w:rPr>
          <w:rFonts w:hint="eastAsia" w:ascii="宋体" w:hAnsi="宋体" w:cs="宋体"/>
          <w:color w:val="000000"/>
          <w:kern w:val="0"/>
          <w:sz w:val="22"/>
          <w:szCs w:val="24"/>
        </w:rPr>
        <w:t>4、《环境标志产品政府采购实施的意见》（财库[2006]90号）；</w:t>
      </w:r>
    </w:p>
    <w:p>
      <w:pPr>
        <w:widowControl/>
        <w:shd w:val="clear" w:color="auto" w:fill="FFFFFF"/>
        <w:spacing w:line="380" w:lineRule="exact"/>
        <w:ind w:firstLine="440" w:firstLineChars="200"/>
        <w:rPr>
          <w:rFonts w:ascii="宋体" w:hAnsi="宋体" w:cs="宋体"/>
          <w:color w:val="000000"/>
          <w:kern w:val="0"/>
          <w:sz w:val="22"/>
          <w:szCs w:val="24"/>
        </w:rPr>
      </w:pPr>
      <w:r>
        <w:rPr>
          <w:rFonts w:hint="eastAsia" w:ascii="宋体" w:hAnsi="宋体" w:cs="宋体"/>
          <w:color w:val="000000"/>
          <w:kern w:val="0"/>
          <w:sz w:val="22"/>
          <w:szCs w:val="24"/>
        </w:rPr>
        <w:t>5、《节能产品政府采购实施意见》（财库[2004]185号）；</w:t>
      </w:r>
    </w:p>
    <w:p>
      <w:pPr>
        <w:widowControl/>
        <w:shd w:val="clear" w:color="auto" w:fill="FFFFFF"/>
        <w:spacing w:line="380" w:lineRule="exact"/>
        <w:ind w:firstLine="440" w:firstLineChars="200"/>
        <w:rPr>
          <w:rFonts w:ascii="宋体" w:hAnsi="宋体" w:cs="宋体"/>
          <w:color w:val="000000"/>
          <w:kern w:val="0"/>
          <w:sz w:val="22"/>
          <w:szCs w:val="24"/>
        </w:rPr>
      </w:pPr>
      <w:r>
        <w:rPr>
          <w:rFonts w:hint="eastAsia" w:ascii="宋体" w:hAnsi="宋体" w:cs="宋体"/>
          <w:color w:val="000000"/>
          <w:kern w:val="0"/>
          <w:sz w:val="22"/>
          <w:szCs w:val="24"/>
        </w:rPr>
        <w:t>6、《三部门联合发布关于促进残疾人就业政府采购政策的通知》（财库〔2017〕141号）。</w:t>
      </w:r>
    </w:p>
    <w:p>
      <w:pPr>
        <w:widowControl/>
        <w:shd w:val="clear" w:color="auto" w:fill="FFFFFF"/>
        <w:spacing w:line="380" w:lineRule="exact"/>
        <w:rPr>
          <w:rFonts w:ascii="宋体" w:hAnsi="宋体" w:cs="宋体"/>
          <w:color w:val="auto"/>
          <w:kern w:val="0"/>
          <w:sz w:val="22"/>
          <w:szCs w:val="24"/>
        </w:rPr>
      </w:pPr>
      <w:r>
        <w:rPr>
          <w:rFonts w:hint="eastAsia" w:ascii="宋体" w:hAnsi="宋体" w:cs="宋体"/>
          <w:color w:val="auto"/>
          <w:kern w:val="0"/>
          <w:sz w:val="22"/>
          <w:szCs w:val="24"/>
        </w:rPr>
        <w:t>八、磋商文件发售：</w:t>
      </w:r>
    </w:p>
    <w:p>
      <w:pPr>
        <w:spacing w:line="380" w:lineRule="exact"/>
        <w:ind w:firstLine="440" w:firstLineChars="200"/>
        <w:rPr>
          <w:rFonts w:ascii="宋体" w:hAnsi="宋体" w:cs="宋体"/>
          <w:color w:val="auto"/>
          <w:kern w:val="0"/>
          <w:sz w:val="22"/>
          <w:szCs w:val="24"/>
        </w:rPr>
      </w:pPr>
      <w:r>
        <w:rPr>
          <w:rFonts w:hint="eastAsia" w:ascii="宋体" w:hAnsi="宋体" w:cs="宋体"/>
          <w:color w:val="auto"/>
          <w:kern w:val="0"/>
          <w:sz w:val="22"/>
          <w:szCs w:val="24"/>
        </w:rPr>
        <w:t> 1、发售时间：</w:t>
      </w:r>
      <w:r>
        <w:rPr>
          <w:rFonts w:hint="eastAsia" w:cs="宋体"/>
          <w:color w:val="auto"/>
          <w:kern w:val="0"/>
          <w:sz w:val="22"/>
          <w:szCs w:val="24"/>
          <w:lang w:eastAsia="zh-CN"/>
        </w:rPr>
        <w:t>2019</w:t>
      </w:r>
      <w:r>
        <w:rPr>
          <w:rFonts w:hint="eastAsia" w:ascii="宋体" w:hAnsi="宋体" w:cs="宋体"/>
          <w:color w:val="auto"/>
          <w:kern w:val="0"/>
          <w:sz w:val="22"/>
          <w:szCs w:val="24"/>
        </w:rPr>
        <w:t>年</w:t>
      </w:r>
      <w:r>
        <w:rPr>
          <w:rFonts w:hint="eastAsia" w:cs="宋体"/>
          <w:color w:val="auto"/>
          <w:kern w:val="0"/>
          <w:sz w:val="22"/>
          <w:szCs w:val="24"/>
          <w:lang w:val="en-US" w:eastAsia="zh-CN"/>
        </w:rPr>
        <w:t>6</w:t>
      </w:r>
      <w:r>
        <w:rPr>
          <w:rFonts w:hint="eastAsia" w:ascii="宋体" w:hAnsi="宋体" w:cs="宋体"/>
          <w:color w:val="auto"/>
          <w:kern w:val="0"/>
          <w:sz w:val="22"/>
          <w:szCs w:val="24"/>
        </w:rPr>
        <w:t>月</w:t>
      </w:r>
      <w:r>
        <w:rPr>
          <w:rFonts w:hint="eastAsia" w:cs="宋体"/>
          <w:color w:val="auto"/>
          <w:kern w:val="0"/>
          <w:sz w:val="22"/>
          <w:szCs w:val="24"/>
          <w:lang w:val="en-US" w:eastAsia="zh-CN"/>
        </w:rPr>
        <w:t>17</w:t>
      </w:r>
      <w:r>
        <w:rPr>
          <w:rFonts w:hint="eastAsia" w:ascii="宋体" w:hAnsi="宋体" w:cs="宋体"/>
          <w:color w:val="auto"/>
          <w:kern w:val="0"/>
          <w:sz w:val="22"/>
          <w:szCs w:val="24"/>
        </w:rPr>
        <w:t>日至</w:t>
      </w:r>
      <w:r>
        <w:rPr>
          <w:rFonts w:hint="eastAsia" w:cs="宋体"/>
          <w:color w:val="auto"/>
          <w:kern w:val="0"/>
          <w:sz w:val="22"/>
          <w:szCs w:val="24"/>
          <w:lang w:val="en-US" w:eastAsia="zh-CN"/>
        </w:rPr>
        <w:t>6</w:t>
      </w:r>
      <w:r>
        <w:rPr>
          <w:rFonts w:hint="eastAsia" w:ascii="宋体" w:hAnsi="宋体" w:cs="宋体"/>
          <w:color w:val="auto"/>
          <w:kern w:val="0"/>
          <w:sz w:val="22"/>
          <w:szCs w:val="24"/>
        </w:rPr>
        <w:t>月</w:t>
      </w:r>
      <w:r>
        <w:rPr>
          <w:rFonts w:hint="eastAsia" w:cs="宋体"/>
          <w:color w:val="auto"/>
          <w:kern w:val="0"/>
          <w:sz w:val="22"/>
          <w:szCs w:val="24"/>
          <w:lang w:val="en-US" w:eastAsia="zh-CN"/>
        </w:rPr>
        <w:t>21</w:t>
      </w:r>
      <w:r>
        <w:rPr>
          <w:rFonts w:hint="eastAsia" w:ascii="宋体" w:hAnsi="宋体" w:cs="宋体"/>
          <w:color w:val="auto"/>
          <w:kern w:val="0"/>
          <w:sz w:val="22"/>
          <w:szCs w:val="24"/>
        </w:rPr>
        <w:t>日</w:t>
      </w:r>
      <w:r>
        <w:rPr>
          <w:rFonts w:hint="eastAsia" w:cs="宋体"/>
          <w:color w:val="auto"/>
          <w:kern w:val="0"/>
          <w:sz w:val="22"/>
          <w:szCs w:val="24"/>
          <w:lang w:eastAsia="zh-CN"/>
        </w:rPr>
        <w:t>（</w:t>
      </w:r>
      <w:r>
        <w:rPr>
          <w:rFonts w:hint="eastAsia" w:cs="宋体"/>
          <w:color w:val="auto"/>
          <w:kern w:val="0"/>
          <w:sz w:val="22"/>
          <w:szCs w:val="24"/>
          <w:lang w:val="en-US" w:eastAsia="zh-CN"/>
        </w:rPr>
        <w:t>每天</w:t>
      </w:r>
      <w:r>
        <w:rPr>
          <w:rFonts w:hint="eastAsia" w:ascii="宋体" w:hAnsi="宋体" w:cs="宋体"/>
          <w:color w:val="auto"/>
          <w:kern w:val="0"/>
          <w:sz w:val="22"/>
          <w:szCs w:val="24"/>
        </w:rPr>
        <w:t>9:00-17:00</w:t>
      </w:r>
      <w:r>
        <w:rPr>
          <w:rFonts w:hint="eastAsia" w:cs="宋体"/>
          <w:color w:val="auto"/>
          <w:kern w:val="0"/>
          <w:sz w:val="22"/>
          <w:szCs w:val="24"/>
          <w:lang w:eastAsia="zh-CN"/>
        </w:rPr>
        <w:t>，</w:t>
      </w:r>
      <w:r>
        <w:rPr>
          <w:rFonts w:hint="eastAsia" w:ascii="宋体" w:hAnsi="宋体" w:cs="宋体"/>
          <w:color w:val="auto"/>
          <w:kern w:val="0"/>
          <w:sz w:val="22"/>
          <w:szCs w:val="24"/>
        </w:rPr>
        <w:t>节假日除外</w:t>
      </w:r>
      <w:r>
        <w:rPr>
          <w:rFonts w:hint="eastAsia" w:cs="宋体"/>
          <w:color w:val="auto"/>
          <w:kern w:val="0"/>
          <w:sz w:val="22"/>
          <w:szCs w:val="24"/>
          <w:lang w:eastAsia="zh-CN"/>
        </w:rPr>
        <w:t>）</w:t>
      </w:r>
      <w:r>
        <w:rPr>
          <w:rFonts w:hint="eastAsia" w:ascii="宋体" w:hAnsi="宋体" w:cs="宋体"/>
          <w:color w:val="auto"/>
          <w:kern w:val="0"/>
          <w:sz w:val="22"/>
          <w:szCs w:val="24"/>
        </w:rPr>
        <w:t>。</w:t>
      </w:r>
    </w:p>
    <w:p>
      <w:pPr>
        <w:spacing w:line="380" w:lineRule="exact"/>
        <w:ind w:firstLine="660" w:firstLineChars="300"/>
        <w:rPr>
          <w:rFonts w:ascii="宋体" w:hAnsi="宋体" w:cs="宋体"/>
          <w:color w:val="auto"/>
          <w:kern w:val="0"/>
          <w:sz w:val="22"/>
          <w:szCs w:val="24"/>
        </w:rPr>
      </w:pPr>
      <w:r>
        <w:rPr>
          <w:rFonts w:hint="eastAsia" w:ascii="宋体" w:hAnsi="宋体" w:cs="宋体"/>
          <w:color w:val="auto"/>
          <w:kern w:val="0"/>
          <w:sz w:val="22"/>
          <w:szCs w:val="24"/>
        </w:rPr>
        <w:t>2、发售地点：铜川市耀州区步寿路21号。</w:t>
      </w:r>
    </w:p>
    <w:p>
      <w:pPr>
        <w:widowControl/>
        <w:shd w:val="clear" w:color="auto" w:fill="FFFFFF"/>
        <w:spacing w:line="380" w:lineRule="exact"/>
        <w:ind w:firstLine="440" w:firstLineChars="200"/>
        <w:rPr>
          <w:rFonts w:ascii="宋体" w:hAnsi="宋体" w:cs="宋体"/>
          <w:color w:val="auto"/>
          <w:kern w:val="0"/>
          <w:sz w:val="22"/>
          <w:szCs w:val="24"/>
        </w:rPr>
      </w:pPr>
      <w:r>
        <w:rPr>
          <w:rFonts w:hint="eastAsia" w:ascii="宋体" w:hAnsi="宋体" w:cs="宋体"/>
          <w:color w:val="auto"/>
          <w:kern w:val="0"/>
          <w:sz w:val="22"/>
          <w:szCs w:val="24"/>
        </w:rPr>
        <w:t> 3、文件售价：磋商文件售价500元（人民币），售后不退。购买磋商文件请携带单位介绍信</w:t>
      </w:r>
      <w:r>
        <w:rPr>
          <w:rFonts w:hint="eastAsia" w:cs="宋体"/>
          <w:color w:val="auto"/>
          <w:kern w:val="0"/>
          <w:sz w:val="22"/>
          <w:szCs w:val="24"/>
          <w:lang w:val="en-US" w:eastAsia="zh-CN"/>
        </w:rPr>
        <w:t>原件</w:t>
      </w:r>
      <w:r>
        <w:rPr>
          <w:rFonts w:hint="eastAsia" w:ascii="宋体" w:hAnsi="宋体" w:cs="宋体"/>
          <w:color w:val="auto"/>
          <w:kern w:val="0"/>
          <w:sz w:val="22"/>
          <w:szCs w:val="24"/>
        </w:rPr>
        <w:t>、身份证原件及加盖公章身份证复印件一份。</w:t>
      </w:r>
    </w:p>
    <w:p>
      <w:pPr>
        <w:widowControl/>
        <w:numPr>
          <w:ilvl w:val="0"/>
          <w:numId w:val="3"/>
        </w:numPr>
        <w:shd w:val="clear" w:color="auto" w:fill="FFFFFF"/>
        <w:spacing w:line="380" w:lineRule="exact"/>
        <w:rPr>
          <w:rFonts w:ascii="宋体" w:hAnsi="宋体" w:cs="宋体"/>
          <w:color w:val="auto"/>
          <w:kern w:val="0"/>
          <w:sz w:val="22"/>
          <w:szCs w:val="24"/>
        </w:rPr>
      </w:pPr>
      <w:r>
        <w:rPr>
          <w:rFonts w:hint="eastAsia" w:ascii="宋体" w:hAnsi="宋体" w:cs="宋体"/>
          <w:color w:val="auto"/>
          <w:kern w:val="0"/>
          <w:sz w:val="22"/>
          <w:szCs w:val="24"/>
        </w:rPr>
        <w:t>磋商响应文件递交截止时间及磋商时间和地点：</w:t>
      </w:r>
    </w:p>
    <w:p>
      <w:pPr>
        <w:widowControl/>
        <w:numPr>
          <w:ilvl w:val="0"/>
          <w:numId w:val="4"/>
        </w:numPr>
        <w:shd w:val="clear" w:color="auto" w:fill="FFFFFF"/>
        <w:spacing w:line="380" w:lineRule="exact"/>
        <w:ind w:firstLine="660" w:firstLineChars="300"/>
        <w:rPr>
          <w:rFonts w:ascii="宋体" w:hAnsi="宋体" w:cs="宋体"/>
          <w:color w:val="auto"/>
          <w:kern w:val="0"/>
          <w:sz w:val="22"/>
          <w:szCs w:val="24"/>
        </w:rPr>
      </w:pPr>
      <w:r>
        <w:rPr>
          <w:rFonts w:hint="eastAsia" w:ascii="宋体" w:hAnsi="宋体" w:cs="宋体"/>
          <w:color w:val="auto"/>
          <w:kern w:val="0"/>
          <w:sz w:val="22"/>
          <w:szCs w:val="24"/>
        </w:rPr>
        <w:t>响应文件递交截止时间：</w:t>
      </w:r>
      <w:r>
        <w:rPr>
          <w:rFonts w:hint="eastAsia" w:cs="宋体"/>
          <w:color w:val="auto"/>
          <w:kern w:val="0"/>
          <w:sz w:val="22"/>
          <w:szCs w:val="24"/>
          <w:lang w:eastAsia="zh-CN"/>
        </w:rPr>
        <w:t>2019年</w:t>
      </w:r>
      <w:r>
        <w:rPr>
          <w:rFonts w:hint="eastAsia" w:cs="宋体"/>
          <w:color w:val="auto"/>
          <w:kern w:val="0"/>
          <w:sz w:val="22"/>
          <w:szCs w:val="24"/>
          <w:lang w:val="en-US" w:eastAsia="zh-CN"/>
        </w:rPr>
        <w:t>6月27日15:00</w:t>
      </w:r>
      <w:r>
        <w:rPr>
          <w:rFonts w:hint="eastAsia" w:ascii="宋体" w:hAnsi="宋体" w:cs="宋体"/>
          <w:color w:val="auto"/>
          <w:kern w:val="0"/>
          <w:sz w:val="22"/>
          <w:szCs w:val="24"/>
        </w:rPr>
        <w:t>前。</w:t>
      </w:r>
    </w:p>
    <w:p>
      <w:pPr>
        <w:widowControl/>
        <w:numPr>
          <w:ilvl w:val="0"/>
          <w:numId w:val="4"/>
        </w:numPr>
        <w:shd w:val="clear" w:color="auto" w:fill="FFFFFF"/>
        <w:spacing w:line="380" w:lineRule="exact"/>
        <w:ind w:firstLine="660" w:firstLineChars="300"/>
        <w:rPr>
          <w:rFonts w:ascii="宋体" w:hAnsi="宋体" w:cs="宋体"/>
          <w:color w:val="auto"/>
          <w:kern w:val="0"/>
          <w:sz w:val="22"/>
          <w:szCs w:val="24"/>
        </w:rPr>
      </w:pPr>
      <w:r>
        <w:rPr>
          <w:rFonts w:hint="eastAsia" w:ascii="宋体" w:hAnsi="宋体" w:cs="宋体"/>
          <w:color w:val="auto"/>
          <w:kern w:val="0"/>
          <w:sz w:val="22"/>
          <w:szCs w:val="24"/>
        </w:rPr>
        <w:t>磋商时间：</w:t>
      </w:r>
      <w:r>
        <w:rPr>
          <w:rFonts w:hint="eastAsia" w:cs="宋体"/>
          <w:color w:val="auto"/>
          <w:kern w:val="0"/>
          <w:sz w:val="22"/>
          <w:szCs w:val="24"/>
          <w:lang w:eastAsia="zh-CN"/>
        </w:rPr>
        <w:t>2019年</w:t>
      </w:r>
      <w:r>
        <w:rPr>
          <w:rFonts w:hint="eastAsia" w:cs="宋体"/>
          <w:color w:val="auto"/>
          <w:kern w:val="0"/>
          <w:sz w:val="22"/>
          <w:szCs w:val="24"/>
          <w:lang w:val="en-US" w:eastAsia="zh-CN"/>
        </w:rPr>
        <w:t>6月27日15:00</w:t>
      </w:r>
      <w:r>
        <w:rPr>
          <w:rFonts w:hint="eastAsia" w:ascii="宋体" w:hAnsi="宋体" w:cs="宋体"/>
          <w:color w:val="auto"/>
          <w:kern w:val="0"/>
          <w:sz w:val="22"/>
          <w:szCs w:val="24"/>
        </w:rPr>
        <w:t>整。</w:t>
      </w:r>
    </w:p>
    <w:p>
      <w:pPr>
        <w:spacing w:line="380" w:lineRule="exact"/>
        <w:ind w:firstLine="440" w:firstLineChars="200"/>
        <w:rPr>
          <w:rFonts w:ascii="宋体" w:hAnsi="宋体" w:cs="宋体"/>
          <w:color w:val="auto"/>
          <w:kern w:val="0"/>
          <w:sz w:val="22"/>
          <w:szCs w:val="24"/>
        </w:rPr>
      </w:pPr>
      <w:r>
        <w:rPr>
          <w:rFonts w:hint="eastAsia" w:ascii="宋体" w:hAnsi="宋体" w:cs="宋体"/>
          <w:color w:val="auto"/>
          <w:kern w:val="0"/>
          <w:sz w:val="22"/>
          <w:szCs w:val="24"/>
        </w:rPr>
        <w:t xml:space="preserve">  3、磋商地点：西安市高新区科技路30号合力紫郡大厦</w:t>
      </w:r>
      <w:r>
        <w:rPr>
          <w:rFonts w:hint="eastAsia" w:cs="宋体"/>
          <w:color w:val="auto"/>
          <w:kern w:val="0"/>
          <w:sz w:val="22"/>
          <w:szCs w:val="24"/>
          <w:lang w:val="en-US" w:eastAsia="zh-CN"/>
        </w:rPr>
        <w:t>A</w:t>
      </w:r>
      <w:r>
        <w:rPr>
          <w:rFonts w:hint="eastAsia" w:ascii="宋体" w:hAnsi="宋体" w:cs="宋体"/>
          <w:color w:val="auto"/>
          <w:kern w:val="0"/>
          <w:sz w:val="22"/>
          <w:szCs w:val="24"/>
        </w:rPr>
        <w:t>座</w:t>
      </w:r>
      <w:r>
        <w:rPr>
          <w:rFonts w:hint="eastAsia" w:cs="宋体"/>
          <w:color w:val="auto"/>
          <w:kern w:val="0"/>
          <w:sz w:val="22"/>
          <w:szCs w:val="24"/>
          <w:lang w:val="en-US" w:eastAsia="zh-CN"/>
        </w:rPr>
        <w:t>16</w:t>
      </w:r>
      <w:r>
        <w:rPr>
          <w:rFonts w:hint="eastAsia" w:ascii="宋体" w:hAnsi="宋体" w:cs="宋体"/>
          <w:color w:val="auto"/>
          <w:kern w:val="0"/>
          <w:sz w:val="22"/>
          <w:szCs w:val="24"/>
        </w:rPr>
        <w:t>层开标室。（逾期递交的投标文件恕不接受）</w:t>
      </w:r>
    </w:p>
    <w:p>
      <w:pPr>
        <w:spacing w:line="380" w:lineRule="exact"/>
        <w:rPr>
          <w:rFonts w:ascii="宋体" w:hAnsi="宋体" w:cs="宋体"/>
          <w:color w:val="auto"/>
          <w:kern w:val="0"/>
          <w:sz w:val="22"/>
          <w:szCs w:val="24"/>
        </w:rPr>
      </w:pPr>
      <w:r>
        <w:rPr>
          <w:rFonts w:hint="eastAsia" w:ascii="宋体" w:hAnsi="宋体" w:cs="宋体"/>
          <w:color w:val="auto"/>
          <w:kern w:val="0"/>
          <w:sz w:val="22"/>
          <w:szCs w:val="24"/>
        </w:rPr>
        <w:t>十、其他应说明的事项：</w:t>
      </w:r>
    </w:p>
    <w:p>
      <w:pPr>
        <w:widowControl/>
        <w:shd w:val="clear" w:color="auto" w:fill="FFFFFF"/>
        <w:spacing w:line="380" w:lineRule="exact"/>
        <w:ind w:firstLine="440" w:firstLineChars="200"/>
        <w:rPr>
          <w:rFonts w:ascii="宋体" w:hAnsi="宋体" w:cs="宋体"/>
          <w:color w:val="auto"/>
          <w:kern w:val="0"/>
          <w:sz w:val="22"/>
          <w:szCs w:val="24"/>
        </w:rPr>
      </w:pPr>
      <w:r>
        <w:rPr>
          <w:rFonts w:hint="eastAsia" w:ascii="宋体" w:hAnsi="宋体" w:cs="宋体"/>
          <w:color w:val="auto"/>
          <w:kern w:val="0"/>
          <w:sz w:val="22"/>
          <w:szCs w:val="24"/>
        </w:rPr>
        <w:t>采购项目联系人：李铎</w:t>
      </w:r>
    </w:p>
    <w:p>
      <w:pPr>
        <w:widowControl/>
        <w:shd w:val="clear" w:color="auto" w:fill="FFFFFF"/>
        <w:spacing w:line="380" w:lineRule="exact"/>
        <w:ind w:firstLine="440" w:firstLineChars="200"/>
        <w:rPr>
          <w:rFonts w:hint="eastAsia" w:ascii="宋体" w:hAnsi="宋体" w:cs="宋体"/>
          <w:color w:val="auto"/>
          <w:kern w:val="0"/>
          <w:sz w:val="22"/>
          <w:szCs w:val="24"/>
        </w:rPr>
      </w:pPr>
      <w:r>
        <w:rPr>
          <w:rFonts w:hint="eastAsia" w:ascii="宋体" w:hAnsi="宋体" w:cs="宋体"/>
          <w:color w:val="auto"/>
          <w:kern w:val="0"/>
          <w:sz w:val="22"/>
          <w:szCs w:val="24"/>
        </w:rPr>
        <w:t>联系方式：0919-6282272</w:t>
      </w:r>
    </w:p>
    <w:p>
      <w:pPr>
        <w:widowControl/>
        <w:shd w:val="clear" w:color="auto" w:fill="FFFFFF"/>
        <w:spacing w:line="380" w:lineRule="exact"/>
        <w:rPr>
          <w:rFonts w:ascii="宋体" w:hAnsi="宋体" w:eastAsia="宋体" w:cs="宋体"/>
          <w:color w:val="auto"/>
          <w:kern w:val="0"/>
          <w:sz w:val="22"/>
          <w:szCs w:val="24"/>
        </w:rPr>
      </w:pPr>
    </w:p>
    <w:p>
      <w:pPr>
        <w:pStyle w:val="2"/>
      </w:pPr>
    </w:p>
    <w:p>
      <w:pPr>
        <w:widowControl/>
        <w:shd w:val="clear" w:color="auto" w:fill="FFFFFF"/>
        <w:spacing w:line="380" w:lineRule="exact"/>
        <w:ind w:firstLine="880" w:firstLineChars="400"/>
        <w:rPr>
          <w:rFonts w:ascii="宋体" w:hAnsi="宋体" w:cs="宋体"/>
          <w:color w:val="auto"/>
          <w:kern w:val="0"/>
          <w:sz w:val="22"/>
          <w:szCs w:val="24"/>
        </w:rPr>
      </w:pPr>
    </w:p>
    <w:p>
      <w:pPr>
        <w:jc w:val="right"/>
        <w:rPr>
          <w:rFonts w:hint="eastAsia"/>
          <w:sz w:val="22"/>
          <w:szCs w:val="21"/>
        </w:rPr>
      </w:pPr>
      <w:r>
        <w:rPr>
          <w:rFonts w:hint="eastAsia"/>
          <w:sz w:val="22"/>
          <w:szCs w:val="21"/>
        </w:rPr>
        <w:t>永明项目管理有限公司</w:t>
      </w:r>
    </w:p>
    <w:p>
      <w:pPr>
        <w:jc w:val="right"/>
        <w:rPr>
          <w:sz w:val="22"/>
          <w:szCs w:val="21"/>
        </w:rPr>
      </w:pPr>
      <w:r>
        <w:rPr>
          <w:rFonts w:hint="eastAsia"/>
          <w:sz w:val="22"/>
          <w:szCs w:val="21"/>
          <w:lang w:eastAsia="zh-CN"/>
        </w:rPr>
        <w:t>2019</w:t>
      </w:r>
      <w:r>
        <w:rPr>
          <w:rFonts w:hint="eastAsia"/>
          <w:sz w:val="22"/>
          <w:szCs w:val="21"/>
        </w:rPr>
        <w:t>年</w:t>
      </w:r>
      <w:r>
        <w:rPr>
          <w:rFonts w:hint="eastAsia"/>
          <w:sz w:val="22"/>
          <w:szCs w:val="21"/>
          <w:lang w:val="en-US" w:eastAsia="zh-CN"/>
        </w:rPr>
        <w:t>6</w:t>
      </w:r>
      <w:r>
        <w:rPr>
          <w:rFonts w:hint="eastAsia"/>
          <w:sz w:val="22"/>
          <w:szCs w:val="21"/>
        </w:rPr>
        <w:t>月</w:t>
      </w:r>
      <w:r>
        <w:rPr>
          <w:rFonts w:hint="eastAsia"/>
          <w:sz w:val="22"/>
          <w:szCs w:val="21"/>
          <w:lang w:val="en-US" w:eastAsia="zh-CN"/>
        </w:rPr>
        <w:t>14</w:t>
      </w:r>
      <w:r>
        <w:rPr>
          <w:rFonts w:hint="eastAsia"/>
          <w:sz w:val="22"/>
          <w:szCs w:val="21"/>
        </w:rPr>
        <w:t>日</w:t>
      </w:r>
    </w:p>
    <w:p>
      <w:pPr>
        <w:jc w:val="right"/>
        <w:rPr>
          <w:sz w:val="22"/>
          <w:szCs w:val="21"/>
        </w:rPr>
      </w:pPr>
    </w:p>
    <w:p>
      <w:pPr>
        <w:spacing w:line="360" w:lineRule="auto"/>
        <w:ind w:firstLine="480" w:firstLineChars="200"/>
        <w:jc w:val="right"/>
        <w:rPr>
          <w:color w:val="FF0000"/>
          <w:szCs w:val="24"/>
          <w:highlight w:val="yellow"/>
        </w:rPr>
      </w:pPr>
    </w:p>
    <w:p>
      <w:pPr>
        <w:pStyle w:val="2"/>
      </w:pPr>
    </w:p>
    <w:p>
      <w:pPr>
        <w:spacing w:line="360" w:lineRule="auto"/>
        <w:ind w:firstLine="480" w:firstLineChars="200"/>
        <w:jc w:val="right"/>
        <w:rPr>
          <w:color w:val="FF0000"/>
          <w:szCs w:val="24"/>
          <w:highlight w:val="yellow"/>
        </w:rPr>
      </w:pPr>
    </w:p>
    <w:p>
      <w:pPr>
        <w:spacing w:line="360" w:lineRule="auto"/>
        <w:ind w:firstLine="480" w:firstLineChars="200"/>
        <w:jc w:val="right"/>
        <w:rPr>
          <w:szCs w:val="24"/>
          <w:highlight w:val="yellow"/>
        </w:rPr>
      </w:pPr>
    </w:p>
    <w:p>
      <w:pPr>
        <w:spacing w:line="360" w:lineRule="auto"/>
        <w:ind w:firstLine="480" w:firstLineChars="200"/>
        <w:jc w:val="right"/>
        <w:rPr>
          <w:szCs w:val="24"/>
          <w:highlight w:val="yellow"/>
        </w:rPr>
      </w:pPr>
    </w:p>
    <w:p>
      <w:pPr>
        <w:spacing w:line="360" w:lineRule="auto"/>
        <w:ind w:firstLine="480" w:firstLineChars="200"/>
        <w:jc w:val="right"/>
        <w:rPr>
          <w:szCs w:val="24"/>
          <w:highlight w:val="yellow"/>
        </w:rPr>
      </w:pPr>
    </w:p>
    <w:p>
      <w:pPr>
        <w:spacing w:line="360" w:lineRule="auto"/>
        <w:ind w:firstLine="480" w:firstLineChars="200"/>
        <w:jc w:val="right"/>
        <w:rPr>
          <w:szCs w:val="24"/>
          <w:highlight w:val="yellow"/>
        </w:rPr>
      </w:pPr>
    </w:p>
    <w:p>
      <w:pPr>
        <w:spacing w:line="360" w:lineRule="auto"/>
        <w:ind w:firstLine="480" w:firstLineChars="200"/>
        <w:jc w:val="right"/>
        <w:rPr>
          <w:szCs w:val="24"/>
          <w:highlight w:val="yellow"/>
        </w:rPr>
      </w:pPr>
    </w:p>
    <w:p>
      <w:pPr>
        <w:spacing w:line="360" w:lineRule="auto"/>
        <w:ind w:firstLine="480" w:firstLineChars="200"/>
        <w:jc w:val="right"/>
        <w:rPr>
          <w:szCs w:val="24"/>
          <w:highlight w:val="yellow"/>
        </w:rPr>
      </w:pPr>
    </w:p>
    <w:p>
      <w:pPr>
        <w:spacing w:line="360" w:lineRule="auto"/>
        <w:ind w:firstLine="480" w:firstLineChars="200"/>
        <w:jc w:val="right"/>
        <w:rPr>
          <w:szCs w:val="24"/>
          <w:highlight w:val="yellow"/>
        </w:rPr>
      </w:pPr>
    </w:p>
    <w:p>
      <w:pPr>
        <w:pStyle w:val="2"/>
      </w:pPr>
    </w:p>
    <w:p/>
    <w:p>
      <w:pPr>
        <w:pStyle w:val="2"/>
      </w:pPr>
    </w:p>
    <w:p>
      <w:pPr>
        <w:jc w:val="center"/>
        <w:rPr>
          <w:rStyle w:val="28"/>
          <w:rFonts w:ascii="宋体" w:eastAsia="宋体" w:cs="宋体"/>
          <w:sz w:val="36"/>
          <w:szCs w:val="36"/>
        </w:rPr>
      </w:pPr>
      <w:bookmarkStart w:id="14" w:name="_Toc389582035"/>
      <w:bookmarkStart w:id="15" w:name="_Toc2929"/>
      <w:bookmarkStart w:id="16" w:name="_Toc426457692"/>
      <w:bookmarkStart w:id="17" w:name="_Toc17095"/>
      <w:bookmarkStart w:id="18" w:name="_Toc17394"/>
      <w:bookmarkStart w:id="19" w:name="_Toc17214"/>
      <w:r>
        <w:rPr>
          <w:rStyle w:val="28"/>
          <w:rFonts w:hint="eastAsia" w:ascii="宋体" w:eastAsia="宋体" w:cs="宋体"/>
          <w:sz w:val="36"/>
          <w:szCs w:val="36"/>
        </w:rPr>
        <w:t>第二章</w:t>
      </w:r>
      <w:r>
        <w:rPr>
          <w:rStyle w:val="28"/>
          <w:rFonts w:ascii="宋体" w:eastAsia="宋体" w:cs="宋体"/>
          <w:sz w:val="36"/>
          <w:szCs w:val="36"/>
        </w:rPr>
        <w:t xml:space="preserve">  </w:t>
      </w:r>
      <w:bookmarkEnd w:id="14"/>
      <w:bookmarkEnd w:id="15"/>
      <w:r>
        <w:rPr>
          <w:rStyle w:val="28"/>
          <w:rFonts w:hint="eastAsia" w:ascii="宋体" w:eastAsia="宋体" w:cs="宋体"/>
          <w:sz w:val="36"/>
          <w:szCs w:val="36"/>
        </w:rPr>
        <w:t>供应商须知</w:t>
      </w:r>
      <w:bookmarkEnd w:id="16"/>
    </w:p>
    <w:bookmarkEnd w:id="17"/>
    <w:bookmarkEnd w:id="18"/>
    <w:bookmarkEnd w:id="19"/>
    <w:p>
      <w:pPr>
        <w:pStyle w:val="3"/>
        <w:jc w:val="center"/>
        <w:rPr>
          <w:rFonts w:ascii="宋体" w:eastAsia="宋体" w:cs="宋体"/>
          <w:sz w:val="36"/>
          <w:szCs w:val="36"/>
        </w:rPr>
      </w:pPr>
      <w:bookmarkStart w:id="20" w:name="_Toc426457693"/>
      <w:bookmarkStart w:id="21" w:name="_Toc30222"/>
      <w:bookmarkStart w:id="22" w:name="_Toc11975"/>
      <w:bookmarkStart w:id="23" w:name="_Toc1827"/>
      <w:bookmarkStart w:id="24" w:name="_Toc22791"/>
      <w:r>
        <w:rPr>
          <w:rFonts w:hint="eastAsia" w:ascii="宋体" w:eastAsia="宋体" w:cs="宋体"/>
          <w:sz w:val="36"/>
          <w:szCs w:val="36"/>
        </w:rPr>
        <w:t>供应商须知前附表</w:t>
      </w:r>
      <w:bookmarkEnd w:id="20"/>
      <w:bookmarkEnd w:id="21"/>
      <w:bookmarkEnd w:id="22"/>
      <w:bookmarkEnd w:id="23"/>
      <w:bookmarkEnd w:id="24"/>
    </w:p>
    <w:tbl>
      <w:tblPr>
        <w:tblStyle w:val="21"/>
        <w:tblW w:w="932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90"/>
        <w:gridCol w:w="947"/>
        <w:gridCol w:w="779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499" w:hRule="atLeast"/>
          <w:jc w:val="center"/>
        </w:trPr>
        <w:tc>
          <w:tcPr>
            <w:tcW w:w="590" w:type="dxa"/>
          </w:tcPr>
          <w:p>
            <w:pPr>
              <w:spacing w:before="156" w:beforeLines="50"/>
              <w:jc w:val="center"/>
              <w:rPr>
                <w:b/>
                <w:szCs w:val="24"/>
              </w:rPr>
            </w:pPr>
            <w:r>
              <w:rPr>
                <w:rFonts w:hint="eastAsia"/>
                <w:b/>
                <w:szCs w:val="24"/>
              </w:rPr>
              <w:t>序号</w:t>
            </w:r>
          </w:p>
        </w:tc>
        <w:tc>
          <w:tcPr>
            <w:tcW w:w="947" w:type="dxa"/>
            <w:vAlign w:val="center"/>
          </w:tcPr>
          <w:p>
            <w:pPr>
              <w:spacing w:before="156" w:beforeLines="50"/>
              <w:jc w:val="center"/>
              <w:rPr>
                <w:b/>
                <w:szCs w:val="24"/>
              </w:rPr>
            </w:pPr>
            <w:r>
              <w:rPr>
                <w:rFonts w:hint="eastAsia"/>
                <w:b/>
                <w:szCs w:val="24"/>
              </w:rPr>
              <w:t>条款号</w:t>
            </w:r>
          </w:p>
        </w:tc>
        <w:tc>
          <w:tcPr>
            <w:tcW w:w="7791" w:type="dxa"/>
          </w:tcPr>
          <w:p>
            <w:pPr>
              <w:spacing w:before="156" w:beforeLines="50"/>
              <w:jc w:val="center"/>
              <w:rPr>
                <w:b/>
                <w:szCs w:val="24"/>
              </w:rPr>
            </w:pPr>
            <w:r>
              <w:rPr>
                <w:rFonts w:hint="eastAsia"/>
                <w:b/>
                <w:szCs w:val="24"/>
              </w:rPr>
              <w:t>编</w:t>
            </w:r>
            <w:r>
              <w:rPr>
                <w:b/>
                <w:szCs w:val="24"/>
              </w:rPr>
              <w:t xml:space="preserve"> </w:t>
            </w:r>
            <w:r>
              <w:rPr>
                <w:rFonts w:hint="eastAsia"/>
                <w:b/>
                <w:szCs w:val="24"/>
              </w:rPr>
              <w:t>列</w:t>
            </w:r>
            <w:r>
              <w:rPr>
                <w:b/>
                <w:szCs w:val="24"/>
              </w:rPr>
              <w:t xml:space="preserve"> </w:t>
            </w:r>
            <w:r>
              <w:rPr>
                <w:rFonts w:hint="eastAsia"/>
                <w:b/>
                <w:szCs w:val="24"/>
              </w:rPr>
              <w:t>内</w:t>
            </w:r>
            <w:r>
              <w:rPr>
                <w:b/>
                <w:szCs w:val="24"/>
              </w:rPr>
              <w:t xml:space="preserve"> </w:t>
            </w:r>
            <w:r>
              <w:rPr>
                <w:rFonts w:hint="eastAsia"/>
                <w:b/>
                <w:szCs w:val="24"/>
              </w:rPr>
              <w:t>容</w:t>
            </w:r>
            <w:r>
              <w:rPr>
                <w:b/>
                <w:szCs w:val="24"/>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623" w:hRule="atLeast"/>
          <w:jc w:val="center"/>
        </w:trPr>
        <w:tc>
          <w:tcPr>
            <w:tcW w:w="590" w:type="dxa"/>
            <w:vAlign w:val="center"/>
          </w:tcPr>
          <w:p>
            <w:pPr>
              <w:jc w:val="center"/>
              <w:rPr>
                <w:szCs w:val="24"/>
              </w:rPr>
            </w:pPr>
            <w:r>
              <w:rPr>
                <w:szCs w:val="24"/>
              </w:rPr>
              <w:t>1</w:t>
            </w:r>
          </w:p>
        </w:tc>
        <w:tc>
          <w:tcPr>
            <w:tcW w:w="947" w:type="dxa"/>
            <w:vAlign w:val="center"/>
          </w:tcPr>
          <w:p>
            <w:pPr>
              <w:jc w:val="center"/>
              <w:rPr>
                <w:szCs w:val="24"/>
              </w:rPr>
            </w:pPr>
            <w:r>
              <w:rPr>
                <w:szCs w:val="24"/>
              </w:rPr>
              <w:t>2.1</w:t>
            </w:r>
          </w:p>
        </w:tc>
        <w:tc>
          <w:tcPr>
            <w:tcW w:w="7791" w:type="dxa"/>
          </w:tcPr>
          <w:p>
            <w:pPr>
              <w:spacing w:line="360" w:lineRule="auto"/>
              <w:rPr>
                <w:szCs w:val="24"/>
              </w:rPr>
            </w:pPr>
            <w:r>
              <w:rPr>
                <w:rFonts w:hint="eastAsia"/>
                <w:szCs w:val="24"/>
              </w:rPr>
              <w:t>采购代理机构：永明项目管理有限公司</w:t>
            </w:r>
          </w:p>
          <w:p>
            <w:pPr>
              <w:spacing w:line="360" w:lineRule="auto"/>
              <w:rPr>
                <w:szCs w:val="24"/>
              </w:rPr>
            </w:pPr>
            <w:r>
              <w:rPr>
                <w:rFonts w:hint="eastAsia"/>
                <w:szCs w:val="24"/>
              </w:rPr>
              <w:t>地</w:t>
            </w:r>
            <w:r>
              <w:rPr>
                <w:szCs w:val="24"/>
              </w:rPr>
              <w:t xml:space="preserve">        </w:t>
            </w:r>
            <w:r>
              <w:rPr>
                <w:rFonts w:hint="eastAsia"/>
                <w:szCs w:val="24"/>
              </w:rPr>
              <w:t>址：西安市科技路</w:t>
            </w:r>
            <w:r>
              <w:rPr>
                <w:szCs w:val="24"/>
              </w:rPr>
              <w:t>30</w:t>
            </w:r>
            <w:r>
              <w:rPr>
                <w:rFonts w:hint="eastAsia"/>
                <w:szCs w:val="24"/>
              </w:rPr>
              <w:t>号合力紫郡大厦</w:t>
            </w:r>
            <w:r>
              <w:rPr>
                <w:szCs w:val="24"/>
              </w:rPr>
              <w:t>A</w:t>
            </w:r>
            <w:r>
              <w:rPr>
                <w:rFonts w:hint="eastAsia"/>
                <w:szCs w:val="24"/>
              </w:rPr>
              <w:t>座</w:t>
            </w:r>
            <w:r>
              <w:rPr>
                <w:szCs w:val="24"/>
              </w:rPr>
              <w:t>16</w:t>
            </w:r>
            <w:r>
              <w:rPr>
                <w:rFonts w:hint="eastAsia"/>
                <w:szCs w:val="24"/>
              </w:rPr>
              <w:t>层</w:t>
            </w:r>
          </w:p>
          <w:p>
            <w:pPr>
              <w:spacing w:line="360" w:lineRule="auto"/>
              <w:rPr>
                <w:szCs w:val="24"/>
              </w:rPr>
            </w:pPr>
            <w:r>
              <w:rPr>
                <w:rFonts w:hint="eastAsia"/>
                <w:szCs w:val="24"/>
              </w:rPr>
              <w:t>电</w:t>
            </w:r>
            <w:r>
              <w:rPr>
                <w:szCs w:val="24"/>
              </w:rPr>
              <w:t xml:space="preserve">        </w:t>
            </w:r>
            <w:r>
              <w:rPr>
                <w:rFonts w:hint="eastAsia"/>
                <w:szCs w:val="24"/>
              </w:rPr>
              <w:t>话：</w:t>
            </w:r>
            <w:r>
              <w:rPr>
                <w:szCs w:val="24"/>
              </w:rPr>
              <w:t>0919-6282272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623" w:hRule="atLeast"/>
          <w:jc w:val="center"/>
        </w:trPr>
        <w:tc>
          <w:tcPr>
            <w:tcW w:w="590" w:type="dxa"/>
            <w:vAlign w:val="center"/>
          </w:tcPr>
          <w:p>
            <w:pPr>
              <w:jc w:val="center"/>
              <w:rPr>
                <w:szCs w:val="24"/>
              </w:rPr>
            </w:pPr>
            <w:r>
              <w:rPr>
                <w:szCs w:val="24"/>
              </w:rPr>
              <w:t>2</w:t>
            </w:r>
          </w:p>
        </w:tc>
        <w:tc>
          <w:tcPr>
            <w:tcW w:w="947" w:type="dxa"/>
            <w:vAlign w:val="center"/>
          </w:tcPr>
          <w:p>
            <w:pPr>
              <w:jc w:val="center"/>
              <w:rPr>
                <w:szCs w:val="24"/>
              </w:rPr>
            </w:pPr>
            <w:r>
              <w:rPr>
                <w:szCs w:val="24"/>
              </w:rPr>
              <w:t>3.6</w:t>
            </w:r>
          </w:p>
        </w:tc>
        <w:tc>
          <w:tcPr>
            <w:tcW w:w="7791" w:type="dxa"/>
            <w:vAlign w:val="center"/>
          </w:tcPr>
          <w:p>
            <w:pPr>
              <w:rPr>
                <w:szCs w:val="24"/>
              </w:rPr>
            </w:pPr>
            <w:r>
              <w:rPr>
                <w:rFonts w:hint="eastAsia"/>
                <w:szCs w:val="24"/>
              </w:rPr>
              <w:t>本项目不接受联合体参与磋商。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623" w:hRule="atLeast"/>
          <w:jc w:val="center"/>
        </w:trPr>
        <w:tc>
          <w:tcPr>
            <w:tcW w:w="590" w:type="dxa"/>
            <w:vAlign w:val="center"/>
          </w:tcPr>
          <w:p>
            <w:pPr>
              <w:jc w:val="center"/>
              <w:rPr>
                <w:szCs w:val="24"/>
              </w:rPr>
            </w:pPr>
            <w:r>
              <w:rPr>
                <w:szCs w:val="24"/>
              </w:rPr>
              <w:t>3</w:t>
            </w:r>
          </w:p>
        </w:tc>
        <w:tc>
          <w:tcPr>
            <w:tcW w:w="947" w:type="dxa"/>
            <w:vAlign w:val="center"/>
          </w:tcPr>
          <w:p>
            <w:pPr>
              <w:jc w:val="center"/>
              <w:rPr>
                <w:szCs w:val="24"/>
              </w:rPr>
            </w:pPr>
            <w:r>
              <w:rPr>
                <w:szCs w:val="24"/>
              </w:rPr>
              <w:t>9.3</w:t>
            </w:r>
          </w:p>
        </w:tc>
        <w:tc>
          <w:tcPr>
            <w:tcW w:w="7791" w:type="dxa"/>
            <w:vAlign w:val="center"/>
          </w:tcPr>
          <w:p>
            <w:pPr>
              <w:spacing w:line="360" w:lineRule="auto"/>
              <w:rPr>
                <w:szCs w:val="24"/>
              </w:rPr>
            </w:pPr>
            <w:r>
              <w:rPr>
                <w:rFonts w:hint="eastAsia"/>
                <w:szCs w:val="24"/>
              </w:rPr>
              <w:t>供应商可根据自身的资质情况和经营范围进行投标，任何不完全的投标将按无效投标处理。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90" w:hRule="atLeast"/>
          <w:jc w:val="center"/>
        </w:trPr>
        <w:tc>
          <w:tcPr>
            <w:tcW w:w="590" w:type="dxa"/>
            <w:vAlign w:val="center"/>
          </w:tcPr>
          <w:p>
            <w:pPr>
              <w:spacing w:line="360" w:lineRule="auto"/>
              <w:jc w:val="center"/>
              <w:rPr>
                <w:szCs w:val="24"/>
              </w:rPr>
            </w:pPr>
            <w:r>
              <w:rPr>
                <w:szCs w:val="24"/>
              </w:rPr>
              <w:t>4</w:t>
            </w:r>
          </w:p>
        </w:tc>
        <w:tc>
          <w:tcPr>
            <w:tcW w:w="947" w:type="dxa"/>
            <w:vAlign w:val="center"/>
          </w:tcPr>
          <w:p>
            <w:pPr>
              <w:spacing w:line="360" w:lineRule="auto"/>
              <w:rPr>
                <w:szCs w:val="24"/>
              </w:rPr>
            </w:pPr>
            <w:r>
              <w:rPr>
                <w:szCs w:val="24"/>
              </w:rPr>
              <w:t xml:space="preserve">  </w:t>
            </w:r>
          </w:p>
        </w:tc>
        <w:tc>
          <w:tcPr>
            <w:tcW w:w="7791" w:type="dxa"/>
            <w:vAlign w:val="center"/>
          </w:tcPr>
          <w:p>
            <w:pPr>
              <w:spacing w:line="360" w:lineRule="auto"/>
              <w:rPr>
                <w:color w:val="FF0000"/>
                <w:szCs w:val="24"/>
              </w:rPr>
            </w:pPr>
            <w:r>
              <w:rPr>
                <w:rFonts w:hint="eastAsia"/>
                <w:szCs w:val="24"/>
              </w:rPr>
              <w:t>不组织踏勘现场，自行踏勘。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18" w:hRule="atLeast"/>
          <w:jc w:val="center"/>
        </w:trPr>
        <w:tc>
          <w:tcPr>
            <w:tcW w:w="590" w:type="dxa"/>
            <w:vAlign w:val="center"/>
          </w:tcPr>
          <w:p>
            <w:pPr>
              <w:spacing w:after="156" w:afterLines="50"/>
              <w:jc w:val="center"/>
              <w:rPr>
                <w:szCs w:val="24"/>
              </w:rPr>
            </w:pPr>
            <w:r>
              <w:rPr>
                <w:szCs w:val="24"/>
              </w:rPr>
              <w:t>4</w:t>
            </w:r>
          </w:p>
        </w:tc>
        <w:tc>
          <w:tcPr>
            <w:tcW w:w="947" w:type="dxa"/>
            <w:vAlign w:val="center"/>
          </w:tcPr>
          <w:p>
            <w:pPr>
              <w:spacing w:after="156" w:afterLines="50"/>
              <w:jc w:val="center"/>
              <w:rPr>
                <w:szCs w:val="24"/>
              </w:rPr>
            </w:pPr>
            <w:r>
              <w:rPr>
                <w:szCs w:val="24"/>
              </w:rPr>
              <w:t>11.1</w:t>
            </w:r>
          </w:p>
        </w:tc>
        <w:tc>
          <w:tcPr>
            <w:tcW w:w="7791" w:type="dxa"/>
          </w:tcPr>
          <w:p>
            <w:pPr>
              <w:spacing w:line="500" w:lineRule="exact"/>
              <w:rPr>
                <w:szCs w:val="24"/>
              </w:rPr>
            </w:pPr>
            <w:r>
              <w:rPr>
                <w:rFonts w:hint="eastAsia"/>
                <w:szCs w:val="24"/>
              </w:rPr>
              <w:t>磋商报价：</w:t>
            </w:r>
            <w:bookmarkStart w:id="25" w:name="OLE_LINK11"/>
            <w:r>
              <w:rPr>
                <w:rFonts w:hint="eastAsia"/>
                <w:szCs w:val="24"/>
              </w:rPr>
              <w:t>供应商应在磋商报价表中标明完成本次招标所要求的服务且验收合格的所有费用，包括但不限于所需的人力成本、办公及设备购置费、成果编制费、交通费、调研费、管理费、利润、税金、项目验收涉及的费用等在内的全部费用。供应商漏报或不报，采购人将视为该漏报或不报部分的费用已包括在已报的分项报价中</w:t>
            </w:r>
            <w:bookmarkEnd w:id="25"/>
            <w:r>
              <w:rPr>
                <w:rFonts w:hint="eastAsia"/>
                <w:szCs w:val="24"/>
              </w:rPr>
              <w:t>，如供应商不予认可其磋商响应文件将按无效投标处理。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90" w:hRule="atLeast"/>
          <w:jc w:val="center"/>
        </w:trPr>
        <w:tc>
          <w:tcPr>
            <w:tcW w:w="590" w:type="dxa"/>
            <w:vAlign w:val="center"/>
          </w:tcPr>
          <w:p>
            <w:pPr>
              <w:jc w:val="center"/>
              <w:rPr>
                <w:szCs w:val="24"/>
              </w:rPr>
            </w:pPr>
            <w:r>
              <w:rPr>
                <w:szCs w:val="24"/>
              </w:rPr>
              <w:t>5</w:t>
            </w:r>
          </w:p>
        </w:tc>
        <w:tc>
          <w:tcPr>
            <w:tcW w:w="947" w:type="dxa"/>
            <w:vAlign w:val="center"/>
          </w:tcPr>
          <w:p>
            <w:pPr>
              <w:jc w:val="center"/>
              <w:rPr>
                <w:szCs w:val="24"/>
              </w:rPr>
            </w:pPr>
            <w:r>
              <w:rPr>
                <w:szCs w:val="24"/>
              </w:rPr>
              <w:t>12.1</w:t>
            </w:r>
          </w:p>
        </w:tc>
        <w:tc>
          <w:tcPr>
            <w:tcW w:w="7791" w:type="dxa"/>
          </w:tcPr>
          <w:p>
            <w:pPr>
              <w:spacing w:line="520" w:lineRule="exact"/>
              <w:ind w:firstLine="480" w:firstLineChars="200"/>
              <w:rPr>
                <w:szCs w:val="24"/>
              </w:rPr>
            </w:pPr>
            <w:r>
              <w:rPr>
                <w:rFonts w:hint="eastAsia"/>
                <w:szCs w:val="24"/>
              </w:rPr>
              <w:t>供应商资格要求：</w:t>
            </w:r>
          </w:p>
          <w:p>
            <w:pPr>
              <w:spacing w:line="520" w:lineRule="exact"/>
              <w:ind w:firstLine="480" w:firstLineChars="200"/>
              <w:rPr>
                <w:szCs w:val="24"/>
              </w:rPr>
            </w:pPr>
            <w:r>
              <w:rPr>
                <w:szCs w:val="24"/>
              </w:rPr>
              <w:t>1</w:t>
            </w:r>
            <w:r>
              <w:rPr>
                <w:rFonts w:hint="eastAsia"/>
                <w:szCs w:val="24"/>
              </w:rPr>
              <w:t>、符合《中华人民共和国政府采购法》第二十二条规定；</w:t>
            </w:r>
          </w:p>
          <w:p>
            <w:pPr>
              <w:spacing w:line="520" w:lineRule="exact"/>
              <w:ind w:firstLine="480" w:firstLineChars="200"/>
              <w:rPr>
                <w:szCs w:val="24"/>
              </w:rPr>
            </w:pPr>
            <w:r>
              <w:rPr>
                <w:szCs w:val="24"/>
              </w:rPr>
              <w:t>2</w:t>
            </w:r>
            <w:r>
              <w:rPr>
                <w:rFonts w:hint="eastAsia"/>
                <w:szCs w:val="24"/>
              </w:rPr>
              <w:t>、具有独立承担民事责任能力的法人、其他组织或自然人、提供营业执照副本</w:t>
            </w:r>
            <w:r>
              <w:rPr>
                <w:szCs w:val="24"/>
              </w:rPr>
              <w:t>/</w:t>
            </w:r>
            <w:r>
              <w:rPr>
                <w:rFonts w:hint="eastAsia"/>
                <w:szCs w:val="24"/>
              </w:rPr>
              <w:t>事业单位法人证书副本、非企业专业服务机构执业许可证副本</w:t>
            </w:r>
            <w:r>
              <w:rPr>
                <w:szCs w:val="24"/>
              </w:rPr>
              <w:t>/</w:t>
            </w:r>
            <w:r>
              <w:rPr>
                <w:rFonts w:hint="eastAsia"/>
                <w:szCs w:val="24"/>
              </w:rPr>
              <w:t>自然人身份证；</w:t>
            </w:r>
          </w:p>
          <w:p>
            <w:pPr>
              <w:spacing w:line="520" w:lineRule="exact"/>
              <w:ind w:firstLine="480" w:firstLineChars="200"/>
              <w:rPr>
                <w:szCs w:val="24"/>
              </w:rPr>
            </w:pPr>
            <w:r>
              <w:rPr>
                <w:szCs w:val="24"/>
              </w:rPr>
              <w:t>3</w:t>
            </w:r>
            <w:r>
              <w:rPr>
                <w:rFonts w:hint="eastAsia"/>
                <w:szCs w:val="24"/>
              </w:rPr>
              <w:t>、供应商应授权合法且唯一的人员参加磋商全过程，磋商过程中不得更换授权代理人，其中法定代表人直接参加磋商的，须出具法人身份证，并与营业执照上信息一致。法定代表人授权代表参加磋商的，须出具法定代表人授权书及授权代表身份证；</w:t>
            </w:r>
          </w:p>
          <w:p>
            <w:pPr>
              <w:spacing w:line="520" w:lineRule="exact"/>
              <w:ind w:firstLine="480" w:firstLineChars="200"/>
              <w:rPr>
                <w:szCs w:val="24"/>
              </w:rPr>
            </w:pPr>
            <w:r>
              <w:rPr>
                <w:szCs w:val="24"/>
              </w:rPr>
              <w:t>4</w:t>
            </w:r>
            <w:r>
              <w:rPr>
                <w:rFonts w:hint="eastAsia"/>
                <w:szCs w:val="24"/>
              </w:rPr>
              <w:t>、供应商通过“信用中国”网站</w:t>
            </w:r>
            <w:r>
              <w:rPr>
                <w:szCs w:val="24"/>
              </w:rPr>
              <w:t>(www.creditchina.gov.cn)</w:t>
            </w:r>
            <w:r>
              <w:rPr>
                <w:rFonts w:hint="eastAsia"/>
                <w:szCs w:val="24"/>
              </w:rPr>
              <w:t>和中国政府采购网</w:t>
            </w:r>
            <w:r>
              <w:rPr>
                <w:szCs w:val="24"/>
              </w:rPr>
              <w:t xml:space="preserve">(www.ccgp.gov.cn) </w:t>
            </w:r>
            <w:r>
              <w:rPr>
                <w:rFonts w:hint="eastAsia"/>
                <w:szCs w:val="24"/>
              </w:rPr>
              <w:t>等查询相关主体信用记录（提供网页截图并加盖公章）；</w:t>
            </w:r>
          </w:p>
          <w:p>
            <w:pPr>
              <w:spacing w:line="520" w:lineRule="exact"/>
              <w:ind w:firstLine="480" w:firstLineChars="200"/>
              <w:rPr>
                <w:szCs w:val="24"/>
              </w:rPr>
            </w:pPr>
            <w:r>
              <w:rPr>
                <w:szCs w:val="24"/>
              </w:rPr>
              <w:t>5</w:t>
            </w:r>
            <w:r>
              <w:rPr>
                <w:rFonts w:hint="eastAsia"/>
                <w:szCs w:val="24"/>
              </w:rPr>
              <w:t>、供应商参加本次政府采购活动前</w:t>
            </w:r>
            <w:r>
              <w:rPr>
                <w:szCs w:val="24"/>
              </w:rPr>
              <w:t>3</w:t>
            </w:r>
            <w:r>
              <w:rPr>
                <w:rFonts w:hint="eastAsia"/>
                <w:szCs w:val="24"/>
              </w:rPr>
              <w:t>年内在经营活动中没有重大违纪的书面声明；</w:t>
            </w:r>
          </w:p>
          <w:p>
            <w:pPr>
              <w:spacing w:line="520" w:lineRule="exact"/>
              <w:ind w:firstLine="480" w:firstLineChars="200"/>
              <w:rPr>
                <w:szCs w:val="24"/>
              </w:rPr>
            </w:pPr>
            <w:r>
              <w:rPr>
                <w:szCs w:val="24"/>
              </w:rPr>
              <w:t>6</w:t>
            </w:r>
            <w:r>
              <w:rPr>
                <w:rFonts w:hint="eastAsia"/>
                <w:szCs w:val="24"/>
              </w:rPr>
              <w:t>、提供主要产品来源渠道合法的证明文件（包括但不限于销售协议、代理协议、制造商授权书等）；</w:t>
            </w:r>
          </w:p>
          <w:p>
            <w:pPr>
              <w:spacing w:line="520" w:lineRule="exact"/>
              <w:ind w:firstLine="480" w:firstLineChars="200"/>
              <w:rPr>
                <w:szCs w:val="24"/>
              </w:rPr>
            </w:pPr>
            <w:r>
              <w:rPr>
                <w:szCs w:val="24"/>
              </w:rPr>
              <w:t>7</w:t>
            </w:r>
            <w:r>
              <w:rPr>
                <w:rFonts w:hint="eastAsia"/>
                <w:szCs w:val="24"/>
              </w:rPr>
              <w:t>、磋商保证金交纳凭证或磋商担保函；</w:t>
            </w:r>
          </w:p>
          <w:p>
            <w:pPr>
              <w:spacing w:line="520" w:lineRule="exact"/>
              <w:ind w:firstLine="480" w:firstLineChars="200"/>
              <w:rPr>
                <w:szCs w:val="24"/>
              </w:rPr>
            </w:pPr>
            <w:r>
              <w:rPr>
                <w:szCs w:val="24"/>
              </w:rPr>
              <w:t>8</w:t>
            </w:r>
            <w:r>
              <w:rPr>
                <w:rFonts w:hint="eastAsia"/>
                <w:szCs w:val="24"/>
              </w:rPr>
              <w:t>、本项目不接受联合体磋商。</w:t>
            </w:r>
          </w:p>
          <w:p>
            <w:pPr>
              <w:spacing w:line="520" w:lineRule="exact"/>
              <w:ind w:firstLine="480" w:firstLineChars="200"/>
              <w:rPr>
                <w:szCs w:val="24"/>
              </w:rPr>
            </w:pPr>
            <w:r>
              <w:rPr>
                <w:rFonts w:hint="eastAsia"/>
                <w:szCs w:val="24"/>
              </w:rPr>
              <w:t>以上</w:t>
            </w:r>
            <w:r>
              <w:rPr>
                <w:szCs w:val="24"/>
              </w:rPr>
              <w:t>1-8</w:t>
            </w:r>
            <w:r>
              <w:rPr>
                <w:rFonts w:hint="eastAsia"/>
                <w:szCs w:val="24"/>
              </w:rPr>
              <w:t>项为必备资质，缺一项或某项达不到要求，按无效投标处理。开标当天，上述资格证明文件原件须单独密封，和磋商响应文件于开标前一并递交采购代理机构。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442" w:hRule="atLeast"/>
          <w:jc w:val="center"/>
        </w:trPr>
        <w:tc>
          <w:tcPr>
            <w:tcW w:w="590" w:type="dxa"/>
            <w:vAlign w:val="center"/>
          </w:tcPr>
          <w:p>
            <w:pPr>
              <w:jc w:val="center"/>
              <w:rPr>
                <w:szCs w:val="24"/>
              </w:rPr>
            </w:pPr>
            <w:r>
              <w:rPr>
                <w:szCs w:val="24"/>
              </w:rPr>
              <w:t>6</w:t>
            </w:r>
          </w:p>
        </w:tc>
        <w:tc>
          <w:tcPr>
            <w:tcW w:w="947" w:type="dxa"/>
            <w:vAlign w:val="center"/>
          </w:tcPr>
          <w:p>
            <w:pPr>
              <w:jc w:val="center"/>
              <w:rPr>
                <w:szCs w:val="24"/>
              </w:rPr>
            </w:pPr>
            <w:r>
              <w:rPr>
                <w:szCs w:val="24"/>
              </w:rPr>
              <w:t>14.4</w:t>
            </w:r>
          </w:p>
        </w:tc>
        <w:tc>
          <w:tcPr>
            <w:tcW w:w="7791" w:type="dxa"/>
          </w:tcPr>
          <w:p>
            <w:pPr>
              <w:spacing w:line="520" w:lineRule="exact"/>
              <w:ind w:firstLine="480" w:firstLineChars="200"/>
              <w:rPr>
                <w:szCs w:val="24"/>
              </w:rPr>
            </w:pPr>
            <w:r>
              <w:rPr>
                <w:rFonts w:hint="eastAsia"/>
                <w:szCs w:val="24"/>
              </w:rPr>
              <w:t>本次招标活动供应商需交纳磋商保证金为</w:t>
            </w:r>
            <w:r>
              <w:rPr>
                <w:szCs w:val="24"/>
              </w:rPr>
              <w:t>:</w:t>
            </w:r>
          </w:p>
          <w:p>
            <w:pPr>
              <w:spacing w:line="520" w:lineRule="exact"/>
              <w:ind w:firstLine="480" w:firstLineChars="200"/>
              <w:rPr>
                <w:szCs w:val="24"/>
              </w:rPr>
            </w:pPr>
            <w:r>
              <w:rPr>
                <w:rFonts w:hint="eastAsia"/>
                <w:szCs w:val="24"/>
              </w:rPr>
              <w:t>人民币</w:t>
            </w:r>
            <w:r>
              <w:rPr>
                <w:rFonts w:hint="eastAsia"/>
                <w:szCs w:val="24"/>
                <w:lang w:val="en-US" w:eastAsia="zh-CN"/>
              </w:rPr>
              <w:t>玖</w:t>
            </w:r>
            <w:r>
              <w:rPr>
                <w:rFonts w:hint="eastAsia"/>
                <w:szCs w:val="24"/>
              </w:rPr>
              <w:t>仟元整（￥</w:t>
            </w:r>
            <w:r>
              <w:rPr>
                <w:rFonts w:hint="eastAsia"/>
                <w:szCs w:val="24"/>
                <w:lang w:val="en-US" w:eastAsia="zh-CN"/>
              </w:rPr>
              <w:t>9</w:t>
            </w:r>
            <w:r>
              <w:rPr>
                <w:szCs w:val="24"/>
              </w:rPr>
              <w:t>000.00</w:t>
            </w:r>
            <w:r>
              <w:rPr>
                <w:rFonts w:hint="eastAsia"/>
                <w:szCs w:val="24"/>
              </w:rPr>
              <w:t>元）</w:t>
            </w:r>
          </w:p>
          <w:p>
            <w:pPr>
              <w:spacing w:line="500" w:lineRule="exact"/>
              <w:ind w:firstLine="480" w:firstLineChars="200"/>
              <w:rPr>
                <w:szCs w:val="24"/>
              </w:rPr>
            </w:pPr>
            <w:r>
              <w:rPr>
                <w:rFonts w:hint="eastAsia"/>
                <w:szCs w:val="24"/>
              </w:rPr>
              <w:t>磋商保证金的有效期与磋商有效期一致。担保机构出具的保函的有效期为磋商有效期延长一个月。</w:t>
            </w:r>
          </w:p>
          <w:p>
            <w:pPr>
              <w:spacing w:line="500" w:lineRule="exact"/>
              <w:ind w:firstLine="480"/>
              <w:rPr>
                <w:szCs w:val="24"/>
              </w:rPr>
            </w:pPr>
            <w:r>
              <w:rPr>
                <w:rFonts w:hint="eastAsia"/>
                <w:szCs w:val="24"/>
              </w:rPr>
              <w:t>供应商以银行转账、电汇形式交纳磋商保证金的</w:t>
            </w:r>
            <w:r>
              <w:rPr>
                <w:szCs w:val="24"/>
              </w:rPr>
              <w:t>(</w:t>
            </w:r>
            <w:r>
              <w:rPr>
                <w:rFonts w:hint="eastAsia"/>
                <w:szCs w:val="24"/>
              </w:rPr>
              <w:t>转账时请注明项目编号</w:t>
            </w:r>
            <w:r>
              <w:rPr>
                <w:szCs w:val="24"/>
              </w:rPr>
              <w:t>)</w:t>
            </w:r>
            <w:r>
              <w:rPr>
                <w:rFonts w:hint="eastAsia"/>
                <w:szCs w:val="24"/>
              </w:rPr>
              <w:t>，招标结束之后以转账形式退到供应商的基本账户。</w:t>
            </w:r>
          </w:p>
          <w:p>
            <w:pPr>
              <w:spacing w:line="500" w:lineRule="exact"/>
              <w:ind w:firstLine="480"/>
              <w:rPr>
                <w:szCs w:val="24"/>
              </w:rPr>
            </w:pPr>
            <w:r>
              <w:rPr>
                <w:rFonts w:hint="eastAsia"/>
                <w:szCs w:val="24"/>
              </w:rPr>
              <w:t>供应商以保函形式缴纳磋商保证金的，须在磋商响应文件递交截止时间前将担保机构保函</w:t>
            </w:r>
            <w:r>
              <w:rPr>
                <w:rFonts w:hint="eastAsia"/>
                <w:b/>
                <w:bCs/>
                <w:szCs w:val="24"/>
              </w:rPr>
              <w:t>正本原件</w:t>
            </w:r>
            <w:r>
              <w:rPr>
                <w:rFonts w:hint="eastAsia"/>
                <w:szCs w:val="24"/>
              </w:rPr>
              <w:t>提交至采购代理机构备案，并将保函正本复印件粘贴于磋商文件规定处，招标结束之后在规定时间内将保函正本原件退回。</w:t>
            </w:r>
          </w:p>
          <w:p>
            <w:pPr>
              <w:pStyle w:val="9"/>
              <w:spacing w:line="360" w:lineRule="auto"/>
              <w:rPr>
                <w:sz w:val="24"/>
              </w:rPr>
            </w:pPr>
            <w:r>
              <w:t xml:space="preserve"> </w:t>
            </w:r>
            <w:r>
              <w:rPr>
                <w:sz w:val="24"/>
              </w:rPr>
              <w:t xml:space="preserve">    </w:t>
            </w:r>
            <w:r>
              <w:rPr>
                <w:rFonts w:hint="eastAsia"/>
                <w:sz w:val="24"/>
              </w:rPr>
              <w:t>供应商以银行转账、电汇形式缴纳磋商保证金的截止时间：须在磋商响应文件递交截止前到达采购代理机构指定账户。（缴纳磋商保证金的截止时间：</w:t>
            </w:r>
            <w:r>
              <w:rPr>
                <w:sz w:val="24"/>
              </w:rPr>
              <w:t>2019</w:t>
            </w:r>
            <w:r>
              <w:rPr>
                <w:rFonts w:hint="eastAsia"/>
                <w:sz w:val="24"/>
              </w:rPr>
              <w:t>年</w:t>
            </w:r>
            <w:r>
              <w:rPr>
                <w:sz w:val="24"/>
              </w:rPr>
              <w:t>6</w:t>
            </w:r>
            <w:r>
              <w:rPr>
                <w:rFonts w:hint="eastAsia"/>
                <w:sz w:val="24"/>
              </w:rPr>
              <w:t>月</w:t>
            </w:r>
            <w:r>
              <w:rPr>
                <w:rFonts w:hint="eastAsia"/>
                <w:sz w:val="24"/>
                <w:lang w:val="en-US" w:eastAsia="zh-CN"/>
              </w:rPr>
              <w:t>25</w:t>
            </w:r>
            <w:r>
              <w:rPr>
                <w:rFonts w:hint="eastAsia"/>
                <w:sz w:val="24"/>
              </w:rPr>
              <w:t>日</w:t>
            </w:r>
            <w:r>
              <w:rPr>
                <w:sz w:val="24"/>
              </w:rPr>
              <w:t>12</w:t>
            </w:r>
            <w:r>
              <w:rPr>
                <w:rFonts w:hint="eastAsia"/>
                <w:sz w:val="24"/>
              </w:rPr>
              <w:t>：</w:t>
            </w:r>
            <w:r>
              <w:rPr>
                <w:sz w:val="24"/>
              </w:rPr>
              <w:t>00</w:t>
            </w:r>
            <w:r>
              <w:rPr>
                <w:rFonts w:hint="eastAsia"/>
                <w:sz w:val="24"/>
              </w:rPr>
              <w:t>）磋商保证金到达采购代理机构指定账户后，供应商须与永明项目管理有限公司财务部联系确认到账后（联系电话</w:t>
            </w:r>
            <w:r>
              <w:rPr>
                <w:sz w:val="24"/>
              </w:rPr>
              <w:t>0919-6282272</w:t>
            </w:r>
            <w:r>
              <w:rPr>
                <w:rFonts w:hint="eastAsia"/>
                <w:sz w:val="24"/>
              </w:rPr>
              <w:t>），将转款凭证复印件粘贴于磋商文件规定处。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826" w:hRule="atLeast"/>
          <w:jc w:val="center"/>
        </w:trPr>
        <w:tc>
          <w:tcPr>
            <w:tcW w:w="590" w:type="dxa"/>
            <w:vAlign w:val="center"/>
          </w:tcPr>
          <w:p>
            <w:pPr>
              <w:spacing w:after="156" w:afterLines="50"/>
              <w:jc w:val="center"/>
              <w:rPr>
                <w:szCs w:val="24"/>
              </w:rPr>
            </w:pPr>
            <w:r>
              <w:rPr>
                <w:szCs w:val="24"/>
              </w:rPr>
              <w:t>7</w:t>
            </w:r>
          </w:p>
        </w:tc>
        <w:tc>
          <w:tcPr>
            <w:tcW w:w="947" w:type="dxa"/>
            <w:vAlign w:val="center"/>
          </w:tcPr>
          <w:p>
            <w:pPr>
              <w:spacing w:after="156" w:afterLines="50"/>
              <w:jc w:val="center"/>
              <w:rPr>
                <w:szCs w:val="24"/>
              </w:rPr>
            </w:pPr>
            <w:r>
              <w:rPr>
                <w:szCs w:val="24"/>
              </w:rPr>
              <w:t>16.1</w:t>
            </w:r>
          </w:p>
        </w:tc>
        <w:tc>
          <w:tcPr>
            <w:tcW w:w="7791" w:type="dxa"/>
            <w:vAlign w:val="center"/>
          </w:tcPr>
          <w:p>
            <w:pPr>
              <w:spacing w:line="360" w:lineRule="auto"/>
              <w:rPr>
                <w:szCs w:val="24"/>
              </w:rPr>
            </w:pPr>
            <w:r>
              <w:rPr>
                <w:rFonts w:hint="eastAsia"/>
                <w:szCs w:val="24"/>
              </w:rPr>
              <w:t>正本的份数：壹份；副本的份数：贰份。同时提供与正本内容一致的电子版（</w:t>
            </w:r>
            <w:r>
              <w:rPr>
                <w:szCs w:val="24"/>
              </w:rPr>
              <w:t>U</w:t>
            </w:r>
            <w:r>
              <w:rPr>
                <w:rFonts w:hint="eastAsia"/>
                <w:szCs w:val="24"/>
              </w:rPr>
              <w:t>盘一份），并标供应商全称、项目名称、项目编号，并与磋商响应文件同时递交。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58" w:hRule="atLeast"/>
          <w:jc w:val="center"/>
        </w:trPr>
        <w:tc>
          <w:tcPr>
            <w:tcW w:w="590" w:type="dxa"/>
            <w:vAlign w:val="center"/>
          </w:tcPr>
          <w:p>
            <w:pPr>
              <w:spacing w:after="156" w:afterLines="50"/>
              <w:jc w:val="center"/>
              <w:rPr>
                <w:szCs w:val="24"/>
              </w:rPr>
            </w:pPr>
            <w:r>
              <w:rPr>
                <w:szCs w:val="24"/>
              </w:rPr>
              <w:t>8</w:t>
            </w:r>
          </w:p>
        </w:tc>
        <w:tc>
          <w:tcPr>
            <w:tcW w:w="947" w:type="dxa"/>
            <w:vAlign w:val="center"/>
          </w:tcPr>
          <w:p>
            <w:pPr>
              <w:spacing w:after="156" w:afterLines="50"/>
              <w:jc w:val="center"/>
              <w:rPr>
                <w:szCs w:val="24"/>
              </w:rPr>
            </w:pPr>
            <w:r>
              <w:rPr>
                <w:szCs w:val="24"/>
              </w:rPr>
              <w:t>17.2</w:t>
            </w:r>
          </w:p>
        </w:tc>
        <w:tc>
          <w:tcPr>
            <w:tcW w:w="7791" w:type="dxa"/>
            <w:vAlign w:val="center"/>
          </w:tcPr>
          <w:p>
            <w:pPr>
              <w:spacing w:line="360" w:lineRule="auto"/>
              <w:rPr>
                <w:szCs w:val="24"/>
              </w:rPr>
            </w:pPr>
            <w:r>
              <w:rPr>
                <w:szCs w:val="24"/>
              </w:rPr>
              <w:t>17.2</w:t>
            </w:r>
            <w:r>
              <w:rPr>
                <w:rFonts w:hint="eastAsia"/>
                <w:szCs w:val="24"/>
              </w:rPr>
              <w:t>磋商响应文件正本、所有的副本、电子版本、资格证明文件需分开密封装在单独的封袋中（封袋不得有破损），且在封袋正面标明“正本”“副本”“电子版本”“资格证明文件”字样。封袋应加贴封条，并在封线处加盖供应商公章，封袋正面要粘贴供应商全称、项目名称、编号等标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625" w:hRule="atLeast"/>
          <w:jc w:val="center"/>
        </w:trPr>
        <w:tc>
          <w:tcPr>
            <w:tcW w:w="590" w:type="dxa"/>
            <w:vAlign w:val="center"/>
          </w:tcPr>
          <w:p>
            <w:pPr>
              <w:spacing w:after="156" w:afterLines="50"/>
              <w:jc w:val="center"/>
              <w:rPr>
                <w:szCs w:val="24"/>
              </w:rPr>
            </w:pPr>
            <w:r>
              <w:rPr>
                <w:szCs w:val="24"/>
              </w:rPr>
              <w:t>9</w:t>
            </w:r>
          </w:p>
        </w:tc>
        <w:tc>
          <w:tcPr>
            <w:tcW w:w="947" w:type="dxa"/>
            <w:vAlign w:val="center"/>
          </w:tcPr>
          <w:p>
            <w:pPr>
              <w:spacing w:after="156" w:afterLines="50"/>
              <w:jc w:val="center"/>
              <w:rPr>
                <w:szCs w:val="24"/>
              </w:rPr>
            </w:pPr>
            <w:r>
              <w:rPr>
                <w:szCs w:val="24"/>
              </w:rPr>
              <w:t>18.1</w:t>
            </w:r>
          </w:p>
        </w:tc>
        <w:tc>
          <w:tcPr>
            <w:tcW w:w="7791" w:type="dxa"/>
          </w:tcPr>
          <w:p>
            <w:pPr>
              <w:spacing w:line="360" w:lineRule="auto"/>
              <w:rPr>
                <w:szCs w:val="24"/>
              </w:rPr>
            </w:pPr>
            <w:r>
              <w:rPr>
                <w:rFonts w:hint="eastAsia"/>
                <w:szCs w:val="24"/>
              </w:rPr>
              <w:t>磋商响应文件递交截止时间</w:t>
            </w:r>
            <w:bookmarkStart w:id="26" w:name="OLE_LINK12"/>
            <w:r>
              <w:rPr>
                <w:rFonts w:hint="eastAsia"/>
                <w:szCs w:val="24"/>
              </w:rPr>
              <w:t>：</w:t>
            </w:r>
            <w:bookmarkEnd w:id="26"/>
            <w:r>
              <w:rPr>
                <w:rFonts w:hint="eastAsia"/>
                <w:szCs w:val="24"/>
                <w:lang w:eastAsia="zh-CN"/>
              </w:rPr>
              <w:t>2019年6月27日15:00</w:t>
            </w:r>
            <w:r>
              <w:rPr>
                <w:rFonts w:hint="eastAsia"/>
                <w:szCs w:val="24"/>
              </w:rPr>
              <w:t>（北京时间</w:t>
            </w:r>
            <w:r>
              <w:rPr>
                <w:szCs w:val="24"/>
              </w:rPr>
              <w:t>)</w:t>
            </w:r>
            <w:r>
              <w:rPr>
                <w:rFonts w:hint="eastAsia"/>
                <w:szCs w:val="24"/>
              </w:rPr>
              <w:t>。</w:t>
            </w:r>
          </w:p>
          <w:p>
            <w:pPr>
              <w:spacing w:line="360" w:lineRule="auto"/>
              <w:rPr>
                <w:szCs w:val="24"/>
              </w:rPr>
            </w:pPr>
            <w:r>
              <w:rPr>
                <w:rFonts w:hint="eastAsia"/>
                <w:szCs w:val="24"/>
              </w:rPr>
              <w:t>磋商响应文件递交地址：西安市高新区科技路</w:t>
            </w:r>
            <w:r>
              <w:rPr>
                <w:szCs w:val="24"/>
              </w:rPr>
              <w:t>30</w:t>
            </w:r>
            <w:r>
              <w:rPr>
                <w:rFonts w:hint="eastAsia"/>
                <w:szCs w:val="24"/>
              </w:rPr>
              <w:t>号合力紫郡大厦</w:t>
            </w:r>
            <w:r>
              <w:rPr>
                <w:rFonts w:hint="eastAsia"/>
                <w:szCs w:val="24"/>
                <w:lang w:eastAsia="zh-CN"/>
              </w:rPr>
              <w:t>A座16层开标室</w:t>
            </w:r>
            <w:r>
              <w:rPr>
                <w:rFonts w:hint="eastAsia"/>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935" w:hRule="atLeast"/>
          <w:jc w:val="center"/>
        </w:trPr>
        <w:tc>
          <w:tcPr>
            <w:tcW w:w="590" w:type="dxa"/>
            <w:vAlign w:val="center"/>
          </w:tcPr>
          <w:p>
            <w:pPr>
              <w:spacing w:after="156" w:afterLines="50"/>
              <w:jc w:val="center"/>
              <w:rPr>
                <w:szCs w:val="24"/>
              </w:rPr>
            </w:pPr>
            <w:r>
              <w:rPr>
                <w:szCs w:val="24"/>
              </w:rPr>
              <w:t>10</w:t>
            </w:r>
          </w:p>
        </w:tc>
        <w:tc>
          <w:tcPr>
            <w:tcW w:w="947" w:type="dxa"/>
            <w:vAlign w:val="center"/>
          </w:tcPr>
          <w:p>
            <w:pPr>
              <w:spacing w:after="156" w:afterLines="50"/>
              <w:jc w:val="center"/>
              <w:rPr>
                <w:szCs w:val="24"/>
              </w:rPr>
            </w:pPr>
            <w:r>
              <w:rPr>
                <w:szCs w:val="24"/>
              </w:rPr>
              <w:t>21.1</w:t>
            </w:r>
          </w:p>
        </w:tc>
        <w:tc>
          <w:tcPr>
            <w:tcW w:w="7791" w:type="dxa"/>
          </w:tcPr>
          <w:p>
            <w:pPr>
              <w:spacing w:line="360" w:lineRule="auto"/>
              <w:rPr>
                <w:szCs w:val="24"/>
              </w:rPr>
            </w:pPr>
            <w:r>
              <w:rPr>
                <w:rFonts w:hint="eastAsia"/>
                <w:szCs w:val="24"/>
              </w:rPr>
              <w:t>开标时间：</w:t>
            </w:r>
            <w:r>
              <w:rPr>
                <w:rFonts w:hint="eastAsia"/>
                <w:szCs w:val="24"/>
                <w:lang w:eastAsia="zh-CN"/>
              </w:rPr>
              <w:t>2019年6月27日15:00</w:t>
            </w:r>
            <w:r>
              <w:rPr>
                <w:szCs w:val="24"/>
              </w:rPr>
              <w:t xml:space="preserve"> (</w:t>
            </w:r>
            <w:r>
              <w:rPr>
                <w:rFonts w:hint="eastAsia"/>
                <w:szCs w:val="24"/>
              </w:rPr>
              <w:t>北京时间</w:t>
            </w:r>
            <w:r>
              <w:rPr>
                <w:szCs w:val="24"/>
              </w:rPr>
              <w:t>)</w:t>
            </w:r>
            <w:r>
              <w:rPr>
                <w:rFonts w:hint="eastAsia"/>
                <w:szCs w:val="24"/>
              </w:rPr>
              <w:t>。</w:t>
            </w:r>
          </w:p>
          <w:p>
            <w:pPr>
              <w:spacing w:line="360" w:lineRule="auto"/>
              <w:rPr>
                <w:szCs w:val="24"/>
              </w:rPr>
            </w:pPr>
            <w:r>
              <w:rPr>
                <w:rFonts w:hint="eastAsia"/>
                <w:szCs w:val="24"/>
              </w:rPr>
              <w:t>开标地点：西安市高新区科技路</w:t>
            </w:r>
            <w:r>
              <w:rPr>
                <w:szCs w:val="24"/>
              </w:rPr>
              <w:t>30</w:t>
            </w:r>
            <w:r>
              <w:rPr>
                <w:rFonts w:hint="eastAsia"/>
                <w:szCs w:val="24"/>
              </w:rPr>
              <w:t>号合力紫郡大厦</w:t>
            </w:r>
            <w:r>
              <w:rPr>
                <w:rFonts w:hint="eastAsia"/>
                <w:szCs w:val="24"/>
                <w:lang w:eastAsia="zh-CN"/>
              </w:rPr>
              <w:t>A座16层开标室</w:t>
            </w:r>
            <w:r>
              <w:rPr>
                <w:rFonts w:hint="eastAsia"/>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30" w:hRule="atLeast"/>
          <w:jc w:val="center"/>
        </w:trPr>
        <w:tc>
          <w:tcPr>
            <w:tcW w:w="590" w:type="dxa"/>
            <w:vAlign w:val="center"/>
          </w:tcPr>
          <w:p>
            <w:pPr>
              <w:jc w:val="center"/>
              <w:rPr>
                <w:szCs w:val="24"/>
              </w:rPr>
            </w:pPr>
            <w:r>
              <w:rPr>
                <w:szCs w:val="24"/>
              </w:rPr>
              <w:t>11</w:t>
            </w:r>
          </w:p>
        </w:tc>
        <w:tc>
          <w:tcPr>
            <w:tcW w:w="947" w:type="dxa"/>
            <w:vAlign w:val="center"/>
          </w:tcPr>
          <w:p>
            <w:pPr>
              <w:jc w:val="center"/>
              <w:rPr>
                <w:szCs w:val="24"/>
              </w:rPr>
            </w:pPr>
            <w:r>
              <w:rPr>
                <w:szCs w:val="24"/>
              </w:rPr>
              <w:t>24.1</w:t>
            </w:r>
          </w:p>
        </w:tc>
        <w:tc>
          <w:tcPr>
            <w:tcW w:w="7791" w:type="dxa"/>
            <w:vAlign w:val="center"/>
          </w:tcPr>
          <w:p>
            <w:pPr>
              <w:jc w:val="left"/>
              <w:rPr>
                <w:b/>
                <w:bCs/>
                <w:szCs w:val="24"/>
              </w:rPr>
            </w:pPr>
            <w:r>
              <w:rPr>
                <w:rFonts w:hint="eastAsia"/>
                <w:b/>
                <w:bCs/>
                <w:szCs w:val="24"/>
              </w:rPr>
              <w:t>磋商方法：综合评分法（详见第五章）。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42" w:hRule="atLeast"/>
          <w:jc w:val="center"/>
        </w:trPr>
        <w:tc>
          <w:tcPr>
            <w:tcW w:w="590" w:type="dxa"/>
            <w:vAlign w:val="center"/>
          </w:tcPr>
          <w:p>
            <w:pPr>
              <w:jc w:val="center"/>
              <w:rPr>
                <w:szCs w:val="24"/>
              </w:rPr>
            </w:pPr>
            <w:r>
              <w:rPr>
                <w:szCs w:val="24"/>
              </w:rPr>
              <w:t>12</w:t>
            </w:r>
          </w:p>
        </w:tc>
        <w:tc>
          <w:tcPr>
            <w:tcW w:w="947" w:type="dxa"/>
            <w:vAlign w:val="center"/>
          </w:tcPr>
          <w:p>
            <w:pPr>
              <w:jc w:val="center"/>
              <w:rPr>
                <w:szCs w:val="24"/>
              </w:rPr>
            </w:pPr>
            <w:r>
              <w:rPr>
                <w:szCs w:val="24"/>
              </w:rPr>
              <w:t>29</w:t>
            </w:r>
          </w:p>
        </w:tc>
        <w:tc>
          <w:tcPr>
            <w:tcW w:w="7791" w:type="dxa"/>
            <w:vAlign w:val="center"/>
          </w:tcPr>
          <w:p>
            <w:pPr>
              <w:spacing w:line="520" w:lineRule="exact"/>
              <w:rPr>
                <w:szCs w:val="24"/>
              </w:rPr>
            </w:pPr>
            <w:r>
              <w:rPr>
                <w:rFonts w:hint="eastAsia"/>
                <w:szCs w:val="24"/>
              </w:rPr>
              <w:t>招标代理服务费：</w:t>
            </w:r>
          </w:p>
          <w:p>
            <w:pPr>
              <w:spacing w:line="560" w:lineRule="exact"/>
              <w:ind w:firstLine="480" w:firstLineChars="200"/>
              <w:rPr>
                <w:szCs w:val="24"/>
              </w:rPr>
            </w:pPr>
            <w:r>
              <w:rPr>
                <w:rFonts w:hint="eastAsia"/>
                <w:szCs w:val="24"/>
              </w:rPr>
              <w:t>按照采购按国家计委颁发的《招标代理服务收费管理暂行办法》（计价格</w:t>
            </w:r>
            <w:r>
              <w:rPr>
                <w:szCs w:val="24"/>
              </w:rPr>
              <w:t>[2002]1980</w:t>
            </w:r>
            <w:r>
              <w:rPr>
                <w:rFonts w:hint="eastAsia"/>
                <w:szCs w:val="24"/>
              </w:rPr>
              <w:t>号）和国家发展改革委员会办公厅颁发的《关于招标代理服务收费有关问题的通知》（发改办价格</w:t>
            </w:r>
            <w:r>
              <w:rPr>
                <w:szCs w:val="24"/>
              </w:rPr>
              <w:t>[2003]857</w:t>
            </w:r>
            <w:r>
              <w:rPr>
                <w:rFonts w:hint="eastAsia"/>
                <w:szCs w:val="24"/>
              </w:rPr>
              <w:t>号）的有关规定，以本项目采购预算价为基数按照国家标准计取。中标单位在领取成交通知书前，须向采购代理机构一次性支付招标代理服务费。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trHeight w:val="542" w:hRule="atLeast"/>
          <w:jc w:val="center"/>
        </w:trPr>
        <w:tc>
          <w:tcPr>
            <w:tcW w:w="590" w:type="dxa"/>
            <w:vAlign w:val="center"/>
          </w:tcPr>
          <w:p>
            <w:pPr>
              <w:jc w:val="center"/>
              <w:rPr>
                <w:szCs w:val="24"/>
              </w:rPr>
            </w:pPr>
            <w:r>
              <w:rPr>
                <w:szCs w:val="24"/>
              </w:rPr>
              <w:t>13</w:t>
            </w:r>
          </w:p>
        </w:tc>
        <w:tc>
          <w:tcPr>
            <w:tcW w:w="947" w:type="dxa"/>
            <w:vAlign w:val="center"/>
          </w:tcPr>
          <w:p>
            <w:pPr>
              <w:jc w:val="center"/>
              <w:rPr>
                <w:b/>
                <w:bCs/>
                <w:szCs w:val="24"/>
              </w:rPr>
            </w:pPr>
            <w:r>
              <w:rPr>
                <w:rFonts w:hint="eastAsia"/>
                <w:b/>
                <w:bCs/>
                <w:szCs w:val="24"/>
              </w:rPr>
              <w:t>银行</w:t>
            </w:r>
          </w:p>
          <w:p>
            <w:pPr>
              <w:jc w:val="center"/>
              <w:rPr>
                <w:b/>
                <w:bCs/>
                <w:szCs w:val="24"/>
              </w:rPr>
            </w:pPr>
            <w:r>
              <w:rPr>
                <w:rFonts w:hint="eastAsia"/>
                <w:b/>
                <w:bCs/>
                <w:szCs w:val="24"/>
              </w:rPr>
              <w:t>账户</w:t>
            </w:r>
          </w:p>
          <w:p>
            <w:pPr>
              <w:jc w:val="center"/>
              <w:rPr>
                <w:b/>
                <w:bCs/>
                <w:szCs w:val="24"/>
              </w:rPr>
            </w:pPr>
            <w:r>
              <w:rPr>
                <w:rFonts w:hint="eastAsia"/>
                <w:b/>
                <w:bCs/>
                <w:szCs w:val="24"/>
              </w:rPr>
              <w:t>信息</w:t>
            </w:r>
          </w:p>
        </w:tc>
        <w:tc>
          <w:tcPr>
            <w:tcW w:w="7791" w:type="dxa"/>
            <w:vAlign w:val="center"/>
          </w:tcPr>
          <w:p>
            <w:pPr>
              <w:numPr>
                <w:ilvl w:val="0"/>
                <w:numId w:val="5"/>
              </w:numPr>
              <w:spacing w:line="520" w:lineRule="exact"/>
              <w:rPr>
                <w:b/>
                <w:bCs/>
                <w:szCs w:val="24"/>
              </w:rPr>
            </w:pPr>
            <w:r>
              <w:rPr>
                <w:rFonts w:hint="eastAsia"/>
                <w:b/>
                <w:bCs/>
                <w:szCs w:val="24"/>
              </w:rPr>
              <w:t>保证金账户：</w:t>
            </w:r>
          </w:p>
          <w:p>
            <w:pPr>
              <w:spacing w:line="520" w:lineRule="exact"/>
              <w:rPr>
                <w:szCs w:val="24"/>
              </w:rPr>
            </w:pPr>
            <w:r>
              <w:rPr>
                <w:b/>
                <w:bCs/>
                <w:szCs w:val="24"/>
              </w:rPr>
              <w:t xml:space="preserve"> </w:t>
            </w:r>
            <w:r>
              <w:rPr>
                <w:szCs w:val="24"/>
              </w:rPr>
              <w:t xml:space="preserve"> </w:t>
            </w:r>
            <w:r>
              <w:rPr>
                <w:rFonts w:hint="eastAsia"/>
                <w:szCs w:val="24"/>
              </w:rPr>
              <w:t>户名：永明项目管理有限公司</w:t>
            </w:r>
          </w:p>
          <w:p>
            <w:pPr>
              <w:spacing w:line="520" w:lineRule="exact"/>
              <w:ind w:firstLine="240" w:firstLineChars="100"/>
              <w:rPr>
                <w:szCs w:val="24"/>
              </w:rPr>
            </w:pPr>
            <w:r>
              <w:rPr>
                <w:rFonts w:hint="eastAsia"/>
                <w:szCs w:val="24"/>
              </w:rPr>
              <w:t>开户行：平安银行西安分行</w:t>
            </w:r>
          </w:p>
          <w:p>
            <w:pPr>
              <w:spacing w:line="520" w:lineRule="exact"/>
              <w:ind w:firstLine="240" w:firstLineChars="100"/>
              <w:rPr>
                <w:szCs w:val="24"/>
              </w:rPr>
            </w:pPr>
            <w:r>
              <w:rPr>
                <w:rFonts w:hint="eastAsia"/>
                <w:szCs w:val="24"/>
              </w:rPr>
              <w:t>账号：30205770000328</w:t>
            </w:r>
          </w:p>
          <w:p>
            <w:pPr>
              <w:numPr>
                <w:ilvl w:val="0"/>
                <w:numId w:val="5"/>
              </w:numPr>
              <w:spacing w:line="520" w:lineRule="exact"/>
              <w:rPr>
                <w:b/>
                <w:bCs/>
                <w:szCs w:val="24"/>
              </w:rPr>
            </w:pPr>
            <w:r>
              <w:rPr>
                <w:rFonts w:hint="eastAsia"/>
                <w:b/>
                <w:bCs/>
                <w:szCs w:val="24"/>
              </w:rPr>
              <w:t>招标代理服务费账户：</w:t>
            </w:r>
          </w:p>
          <w:p>
            <w:pPr>
              <w:spacing w:line="520" w:lineRule="exact"/>
              <w:ind w:firstLine="240" w:firstLineChars="100"/>
              <w:rPr>
                <w:szCs w:val="24"/>
              </w:rPr>
            </w:pPr>
            <w:r>
              <w:rPr>
                <w:rFonts w:hint="eastAsia"/>
                <w:szCs w:val="24"/>
              </w:rPr>
              <w:t>户名：永明项目管理有限公司</w:t>
            </w:r>
          </w:p>
          <w:p>
            <w:pPr>
              <w:spacing w:line="520" w:lineRule="exact"/>
              <w:ind w:firstLine="240" w:firstLineChars="100"/>
              <w:rPr>
                <w:szCs w:val="24"/>
              </w:rPr>
            </w:pPr>
            <w:r>
              <w:rPr>
                <w:rFonts w:hint="eastAsia"/>
                <w:szCs w:val="24"/>
              </w:rPr>
              <w:t>开户行：中信银行陕西自贸试验区西安科技路支行</w:t>
            </w:r>
          </w:p>
          <w:p>
            <w:pPr>
              <w:spacing w:line="520" w:lineRule="exact"/>
              <w:ind w:firstLine="240" w:firstLineChars="100"/>
              <w:rPr>
                <w:szCs w:val="24"/>
              </w:rPr>
            </w:pPr>
            <w:r>
              <w:rPr>
                <w:rFonts w:hint="eastAsia"/>
                <w:szCs w:val="24"/>
              </w:rPr>
              <w:t>账号：</w:t>
            </w:r>
            <w:r>
              <w:rPr>
                <w:szCs w:val="24"/>
              </w:rPr>
              <w:t>7252410182600044355</w:t>
            </w:r>
          </w:p>
        </w:tc>
      </w:tr>
    </w:tbl>
    <w:p>
      <w:pPr>
        <w:jc w:val="center"/>
        <w:sectPr>
          <w:footerReference r:id="rId6" w:type="default"/>
          <w:pgSz w:w="11906" w:h="16838"/>
          <w:pgMar w:top="1440" w:right="1080" w:bottom="1440" w:left="1080" w:header="851" w:footer="992" w:gutter="0"/>
          <w:cols w:space="425" w:num="1"/>
          <w:docGrid w:type="lines" w:linePitch="312" w:charSpace="0"/>
        </w:sectPr>
      </w:pPr>
    </w:p>
    <w:p>
      <w:pPr>
        <w:spacing w:before="166" w:beforeLines="50" w:after="166" w:afterLines="50"/>
        <w:jc w:val="center"/>
        <w:rPr>
          <w:sz w:val="32"/>
          <w:szCs w:val="32"/>
        </w:rPr>
      </w:pPr>
      <w:r>
        <w:rPr>
          <w:rFonts w:hint="eastAsia"/>
          <w:b/>
          <w:sz w:val="32"/>
          <w:szCs w:val="32"/>
        </w:rPr>
        <w:t>一</w:t>
      </w:r>
      <w:r>
        <w:rPr>
          <w:b/>
          <w:sz w:val="32"/>
          <w:szCs w:val="32"/>
        </w:rPr>
        <w:t>.</w:t>
      </w:r>
      <w:r>
        <w:rPr>
          <w:rFonts w:hint="eastAsia"/>
          <w:b/>
          <w:sz w:val="32"/>
          <w:szCs w:val="32"/>
        </w:rPr>
        <w:t>总</w:t>
      </w:r>
      <w:r>
        <w:rPr>
          <w:b/>
          <w:sz w:val="32"/>
          <w:szCs w:val="32"/>
        </w:rPr>
        <w:t xml:space="preserve">  </w:t>
      </w:r>
      <w:r>
        <w:rPr>
          <w:rFonts w:hint="eastAsia"/>
          <w:b/>
          <w:sz w:val="32"/>
          <w:szCs w:val="32"/>
        </w:rPr>
        <w:t>则</w:t>
      </w:r>
    </w:p>
    <w:p>
      <w:pPr>
        <w:spacing w:line="520" w:lineRule="exact"/>
        <w:rPr>
          <w:b/>
          <w:szCs w:val="24"/>
        </w:rPr>
      </w:pPr>
      <w:r>
        <w:rPr>
          <w:b/>
          <w:szCs w:val="24"/>
        </w:rPr>
        <w:t>1.</w:t>
      </w:r>
      <w:r>
        <w:rPr>
          <w:rFonts w:hint="eastAsia"/>
          <w:b/>
          <w:szCs w:val="24"/>
        </w:rPr>
        <w:t>资金来源</w:t>
      </w:r>
    </w:p>
    <w:p>
      <w:pPr>
        <w:spacing w:line="520" w:lineRule="exact"/>
        <w:ind w:firstLine="480" w:firstLineChars="200"/>
        <w:rPr>
          <w:szCs w:val="24"/>
        </w:rPr>
      </w:pPr>
      <w:r>
        <w:rPr>
          <w:szCs w:val="24"/>
        </w:rPr>
        <w:t>1.1</w:t>
      </w:r>
      <w:r>
        <w:rPr>
          <w:rFonts w:hint="eastAsia"/>
          <w:szCs w:val="24"/>
        </w:rPr>
        <w:t>本次招标采购资金已落实到位。</w:t>
      </w:r>
    </w:p>
    <w:p>
      <w:pPr>
        <w:numPr>
          <w:ilvl w:val="0"/>
          <w:numId w:val="6"/>
        </w:numPr>
        <w:spacing w:line="520" w:lineRule="exact"/>
        <w:rPr>
          <w:b/>
          <w:szCs w:val="24"/>
        </w:rPr>
      </w:pPr>
      <w:r>
        <w:rPr>
          <w:rFonts w:hint="eastAsia"/>
          <w:b/>
          <w:szCs w:val="24"/>
        </w:rPr>
        <w:t>名词解释</w:t>
      </w:r>
    </w:p>
    <w:p>
      <w:pPr>
        <w:tabs>
          <w:tab w:val="left" w:pos="7665"/>
        </w:tabs>
        <w:spacing w:line="520" w:lineRule="exact"/>
        <w:ind w:firstLine="480" w:firstLineChars="200"/>
        <w:rPr>
          <w:rFonts w:hint="eastAsia" w:eastAsia="宋体"/>
          <w:szCs w:val="24"/>
          <w:lang w:eastAsia="zh-CN"/>
        </w:rPr>
      </w:pPr>
      <w:r>
        <w:t>2.1</w:t>
      </w:r>
      <w:r>
        <w:rPr>
          <w:rFonts w:hint="eastAsia"/>
        </w:rPr>
        <w:t>采购人：</w:t>
      </w:r>
      <w:r>
        <w:rPr>
          <w:rFonts w:hint="eastAsia"/>
          <w:szCs w:val="24"/>
          <w:lang w:eastAsia="zh-CN"/>
        </w:rPr>
        <w:t>铜川市新区锦绣园小学</w:t>
      </w:r>
    </w:p>
    <w:p>
      <w:pPr>
        <w:tabs>
          <w:tab w:val="left" w:pos="7665"/>
        </w:tabs>
        <w:spacing w:line="520" w:lineRule="exact"/>
        <w:ind w:firstLine="480" w:firstLineChars="200"/>
      </w:pPr>
      <w:r>
        <w:t>2.2</w:t>
      </w:r>
      <w:r>
        <w:rPr>
          <w:rFonts w:hint="eastAsia"/>
        </w:rPr>
        <w:t>监督机构：铜川市新区财政局</w:t>
      </w:r>
    </w:p>
    <w:p>
      <w:pPr>
        <w:tabs>
          <w:tab w:val="left" w:pos="7665"/>
        </w:tabs>
        <w:spacing w:line="520" w:lineRule="exact"/>
        <w:ind w:firstLine="480" w:firstLineChars="200"/>
      </w:pPr>
      <w:r>
        <w:t>2.3</w:t>
      </w:r>
      <w:r>
        <w:rPr>
          <w:rFonts w:hint="eastAsia"/>
        </w:rPr>
        <w:t>采购代理机构：永明项目管理有限公司</w:t>
      </w:r>
    </w:p>
    <w:p>
      <w:pPr>
        <w:adjustRightInd w:val="0"/>
        <w:snapToGrid w:val="0"/>
        <w:spacing w:line="520" w:lineRule="exact"/>
        <w:ind w:firstLine="480" w:firstLineChars="200"/>
      </w:pPr>
      <w:r>
        <w:t>2.4</w:t>
      </w:r>
      <w:r>
        <w:rPr>
          <w:rFonts w:hint="eastAsia"/>
        </w:rPr>
        <w:t>供应商：是指响应和符合磋商文件规定资格条件且参与投标竞争的法人、其他组织或者自然人。</w:t>
      </w:r>
    </w:p>
    <w:p>
      <w:pPr>
        <w:adjustRightInd w:val="0"/>
        <w:snapToGrid w:val="0"/>
        <w:spacing w:line="520" w:lineRule="exact"/>
        <w:ind w:firstLine="480" w:firstLineChars="200"/>
      </w:pPr>
      <w:r>
        <w:t>2.5</w:t>
      </w:r>
      <w:r>
        <w:rPr>
          <w:rFonts w:hint="eastAsia"/>
        </w:rPr>
        <w:t>服务是指供应商为满足磋商响应文件要求而提供的服务。</w:t>
      </w:r>
    </w:p>
    <w:p>
      <w:pPr>
        <w:adjustRightInd w:val="0"/>
        <w:snapToGrid w:val="0"/>
        <w:spacing w:line="520" w:lineRule="exact"/>
        <w:ind w:firstLine="480" w:firstLineChars="200"/>
      </w:pPr>
      <w:r>
        <w:t>2.6</w:t>
      </w:r>
      <w:r>
        <w:rPr>
          <w:rFonts w:hint="eastAsia"/>
        </w:rPr>
        <w:t>中小企业是指符合《工业和信息化部、国家统计局、国家发展和改革委员会、财政部关于印发中小企业划型标准规定的通知》（工信部联企业</w:t>
      </w:r>
      <w:r>
        <w:t>[2011]300</w:t>
      </w:r>
      <w:r>
        <w:rPr>
          <w:rFonts w:hint="eastAsia"/>
        </w:rPr>
        <w:t>号）规定的对中小企业的划分标准的企业。</w:t>
      </w:r>
    </w:p>
    <w:p>
      <w:pPr>
        <w:adjustRightInd w:val="0"/>
        <w:snapToGrid w:val="0"/>
        <w:spacing w:line="520" w:lineRule="exact"/>
        <w:ind w:firstLine="480" w:firstLineChars="200"/>
      </w:pPr>
      <w:r>
        <w:t>2.7</w:t>
      </w:r>
      <w:r>
        <w:rPr>
          <w:rFonts w:hint="eastAsia"/>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djustRightInd w:val="0"/>
        <w:snapToGrid w:val="0"/>
        <w:spacing w:line="520" w:lineRule="exact"/>
        <w:ind w:firstLine="480" w:firstLineChars="200"/>
      </w:pPr>
      <w:r>
        <w:t>2.8</w:t>
      </w:r>
      <w:r>
        <w:rPr>
          <w:rFonts w:hint="eastAsia"/>
        </w:rPr>
        <w:t>磋商过程中，如涉及，在同等条件下优先采购具有环境标志、节能、自主创新的产品。（注：环境标志产品是指由财政部、国家环境保护总局颁布的环境标志产品政府采购清单”中的有效期内的产品；节能产品是指由财政部、国家发展改革委颁布的“节能产品政府采购清单”</w:t>
      </w:r>
      <w:r>
        <w:t xml:space="preserve"> </w:t>
      </w:r>
      <w:r>
        <w:rPr>
          <w:rFonts w:hint="eastAsia"/>
        </w:rPr>
        <w:t>中的有效期内的产品。）</w:t>
      </w:r>
    </w:p>
    <w:p>
      <w:pPr>
        <w:adjustRightInd w:val="0"/>
        <w:snapToGrid w:val="0"/>
        <w:spacing w:line="520" w:lineRule="exact"/>
        <w:ind w:firstLine="480" w:firstLineChars="200"/>
      </w:pPr>
      <w:r>
        <w:t>2.9</w:t>
      </w:r>
      <w:r>
        <w:rPr>
          <w:rFonts w:hint="eastAsia"/>
        </w:rPr>
        <w:t>残疾人福利性单位是指符合《三部门联合发布关于促进残疾人就业政府采购政策的通知》财库〔</w:t>
      </w:r>
      <w:r>
        <w:t>2017</w:t>
      </w:r>
      <w:r>
        <w:rPr>
          <w:rFonts w:hint="eastAsia"/>
        </w:rPr>
        <w:t>〕</w:t>
      </w:r>
      <w:r>
        <w:t>141</w:t>
      </w:r>
      <w:r>
        <w:rPr>
          <w:rFonts w:hint="eastAsia"/>
        </w:rPr>
        <w:t>号规定的对残疾人福利性单位划分标准的单位。</w:t>
      </w:r>
    </w:p>
    <w:p>
      <w:pPr>
        <w:spacing w:line="500" w:lineRule="exact"/>
        <w:rPr>
          <w:b/>
          <w:szCs w:val="24"/>
        </w:rPr>
      </w:pPr>
      <w:r>
        <w:rPr>
          <w:b/>
          <w:szCs w:val="24"/>
        </w:rPr>
        <w:t>3.</w:t>
      </w:r>
      <w:r>
        <w:rPr>
          <w:rFonts w:hint="eastAsia"/>
          <w:b/>
          <w:szCs w:val="24"/>
        </w:rPr>
        <w:t>合格的供应商</w:t>
      </w:r>
    </w:p>
    <w:p>
      <w:pPr>
        <w:tabs>
          <w:tab w:val="left" w:pos="851"/>
        </w:tabs>
        <w:spacing w:line="500" w:lineRule="exact"/>
        <w:ind w:firstLine="480" w:firstLineChars="200"/>
        <w:rPr>
          <w:szCs w:val="24"/>
        </w:rPr>
      </w:pPr>
      <w:r>
        <w:rPr>
          <w:szCs w:val="24"/>
        </w:rPr>
        <w:t>3.1</w:t>
      </w:r>
      <w:r>
        <w:rPr>
          <w:rFonts w:hint="eastAsia"/>
          <w:szCs w:val="24"/>
        </w:rPr>
        <w:t>《政府采购法》第二十二条第一款规定的供应商基本资格条件</w:t>
      </w:r>
      <w:r>
        <w:rPr>
          <w:szCs w:val="24"/>
        </w:rPr>
        <w:t>:</w:t>
      </w:r>
    </w:p>
    <w:p>
      <w:pPr>
        <w:spacing w:line="500" w:lineRule="exact"/>
        <w:ind w:firstLine="480" w:firstLineChars="200"/>
        <w:rPr>
          <w:szCs w:val="24"/>
        </w:rPr>
      </w:pPr>
      <w:r>
        <w:rPr>
          <w:szCs w:val="24"/>
        </w:rPr>
        <w:t xml:space="preserve">   </w:t>
      </w:r>
      <w:r>
        <w:rPr>
          <w:rFonts w:hint="eastAsia"/>
          <w:szCs w:val="24"/>
        </w:rPr>
        <w:t>（</w:t>
      </w:r>
      <w:r>
        <w:rPr>
          <w:szCs w:val="24"/>
        </w:rPr>
        <w:t>1</w:t>
      </w:r>
      <w:r>
        <w:rPr>
          <w:rFonts w:hint="eastAsia"/>
          <w:szCs w:val="24"/>
        </w:rPr>
        <w:t>）具有独立承担民事责任的能力；</w:t>
      </w:r>
    </w:p>
    <w:p>
      <w:pPr>
        <w:spacing w:line="500" w:lineRule="exact"/>
        <w:ind w:firstLine="480" w:firstLineChars="200"/>
        <w:rPr>
          <w:szCs w:val="24"/>
        </w:rPr>
      </w:pPr>
      <w:r>
        <w:rPr>
          <w:szCs w:val="24"/>
        </w:rPr>
        <w:t xml:space="preserve">   </w:t>
      </w:r>
      <w:r>
        <w:rPr>
          <w:rFonts w:hint="eastAsia"/>
          <w:szCs w:val="24"/>
        </w:rPr>
        <w:t>（</w:t>
      </w:r>
      <w:r>
        <w:rPr>
          <w:szCs w:val="24"/>
        </w:rPr>
        <w:t>2</w:t>
      </w:r>
      <w:r>
        <w:rPr>
          <w:rFonts w:hint="eastAsia"/>
          <w:szCs w:val="24"/>
        </w:rPr>
        <w:t>）具有良好的商业信誉和健全的财务会计制度；</w:t>
      </w:r>
    </w:p>
    <w:p>
      <w:pPr>
        <w:spacing w:line="500" w:lineRule="exact"/>
        <w:ind w:firstLine="480" w:firstLineChars="200"/>
        <w:rPr>
          <w:szCs w:val="24"/>
        </w:rPr>
      </w:pPr>
      <w:r>
        <w:rPr>
          <w:szCs w:val="24"/>
        </w:rPr>
        <w:t xml:space="preserve">   </w:t>
      </w:r>
      <w:r>
        <w:rPr>
          <w:rFonts w:hint="eastAsia"/>
          <w:szCs w:val="24"/>
        </w:rPr>
        <w:t>（</w:t>
      </w:r>
      <w:r>
        <w:rPr>
          <w:szCs w:val="24"/>
        </w:rPr>
        <w:t>3</w:t>
      </w:r>
      <w:r>
        <w:rPr>
          <w:rFonts w:hint="eastAsia"/>
          <w:szCs w:val="24"/>
        </w:rPr>
        <w:t>）具有履行合同所必需的设备和专业技术能力；</w:t>
      </w:r>
    </w:p>
    <w:p>
      <w:pPr>
        <w:spacing w:line="500" w:lineRule="exact"/>
        <w:ind w:firstLine="480" w:firstLineChars="200"/>
        <w:rPr>
          <w:szCs w:val="24"/>
        </w:rPr>
      </w:pPr>
      <w:r>
        <w:rPr>
          <w:szCs w:val="24"/>
        </w:rPr>
        <w:t xml:space="preserve">   </w:t>
      </w:r>
      <w:r>
        <w:rPr>
          <w:rFonts w:hint="eastAsia"/>
          <w:szCs w:val="24"/>
        </w:rPr>
        <w:t>（</w:t>
      </w:r>
      <w:r>
        <w:rPr>
          <w:szCs w:val="24"/>
        </w:rPr>
        <w:t>4</w:t>
      </w:r>
      <w:r>
        <w:rPr>
          <w:rFonts w:hint="eastAsia"/>
          <w:szCs w:val="24"/>
        </w:rPr>
        <w:t>）有依法缴纳税收和社会保障资金的良好记录；</w:t>
      </w:r>
    </w:p>
    <w:p>
      <w:pPr>
        <w:spacing w:line="500" w:lineRule="exact"/>
        <w:ind w:firstLine="480" w:firstLineChars="200"/>
        <w:rPr>
          <w:szCs w:val="24"/>
        </w:rPr>
      </w:pPr>
      <w:r>
        <w:rPr>
          <w:szCs w:val="24"/>
        </w:rPr>
        <w:t xml:space="preserve">    5</w:t>
      </w:r>
      <w:r>
        <w:rPr>
          <w:rFonts w:hint="eastAsia"/>
          <w:szCs w:val="24"/>
        </w:rPr>
        <w:t>）参加政府采购活动前三年内，在经营活动中没有重大违法记录；</w:t>
      </w:r>
    </w:p>
    <w:p>
      <w:pPr>
        <w:spacing w:line="500" w:lineRule="exact"/>
        <w:ind w:firstLine="480" w:firstLineChars="200"/>
        <w:rPr>
          <w:szCs w:val="24"/>
        </w:rPr>
      </w:pPr>
      <w:r>
        <w:rPr>
          <w:szCs w:val="24"/>
        </w:rPr>
        <w:t xml:space="preserve">    6</w:t>
      </w:r>
      <w:r>
        <w:rPr>
          <w:rFonts w:hint="eastAsia"/>
          <w:szCs w:val="24"/>
        </w:rPr>
        <w:t>）法律、行政法规规定的其他条件；</w:t>
      </w:r>
    </w:p>
    <w:p>
      <w:pPr>
        <w:adjustRightInd w:val="0"/>
        <w:snapToGrid w:val="0"/>
        <w:spacing w:line="520" w:lineRule="exact"/>
        <w:ind w:firstLine="480" w:firstLineChars="200"/>
      </w:pPr>
      <w:r>
        <w:t>3.2</w:t>
      </w:r>
      <w:r>
        <w:rPr>
          <w:rFonts w:hint="eastAsia"/>
        </w:rPr>
        <w:t>根据本次采购项目的特殊要求，规定的供应商特殊条件（见供应商须知前附表）。</w:t>
      </w:r>
    </w:p>
    <w:p>
      <w:pPr>
        <w:adjustRightInd w:val="0"/>
        <w:snapToGrid w:val="0"/>
        <w:spacing w:line="520" w:lineRule="exact"/>
        <w:ind w:firstLine="480" w:firstLineChars="200"/>
      </w:pPr>
      <w:r>
        <w:t>3.3</w:t>
      </w:r>
      <w:r>
        <w:rPr>
          <w:rFonts w:hint="eastAsia"/>
        </w:rPr>
        <w:t>法定代表人为同一人的两个及两个以上的法人，母公司、全资子公司及其控股公司，都不得在同一项目（分包的按包）的货物采购中同时参与投标，否则均为无效投标。</w:t>
      </w:r>
    </w:p>
    <w:p>
      <w:pPr>
        <w:adjustRightInd w:val="0"/>
        <w:snapToGrid w:val="0"/>
        <w:spacing w:line="520" w:lineRule="exact"/>
        <w:ind w:firstLine="480" w:firstLineChars="200"/>
      </w:pPr>
      <w:r>
        <w:t>3.4</w:t>
      </w:r>
      <w:r>
        <w:rPr>
          <w:rFonts w:hint="eastAsia"/>
        </w:rPr>
        <w:t>供应商不得直接或间接地与招标采购单位（包括永明项目管理有限公司及采购人）有任何关联，亦不得是招标采购单位的附属机构。如果供应商在投标中隐瞒了上述关系，一经证实，则该投标无效。</w:t>
      </w:r>
    </w:p>
    <w:p>
      <w:pPr>
        <w:adjustRightInd w:val="0"/>
        <w:snapToGrid w:val="0"/>
        <w:spacing w:line="520" w:lineRule="exact"/>
        <w:ind w:firstLine="480" w:firstLineChars="200"/>
      </w:pPr>
      <w:r>
        <w:t>3.5</w:t>
      </w:r>
      <w:r>
        <w:rPr>
          <w:rFonts w:hint="eastAsia"/>
        </w:rPr>
        <w:t>供应商必须在永明项目管理有限公司购买磋商文件，方可参加投标。磋商文件售后不退。</w:t>
      </w:r>
    </w:p>
    <w:p>
      <w:pPr>
        <w:adjustRightInd w:val="0"/>
        <w:snapToGrid w:val="0"/>
        <w:spacing w:line="520" w:lineRule="exact"/>
        <w:ind w:firstLine="480" w:firstLineChars="200"/>
      </w:pPr>
      <w:bookmarkStart w:id="27" w:name="OLE_LINK33"/>
      <w:r>
        <w:t>3.</w:t>
      </w:r>
      <w:bookmarkEnd w:id="27"/>
      <w:r>
        <w:t>6</w:t>
      </w:r>
      <w:r>
        <w:rPr>
          <w:rFonts w:hint="eastAsia"/>
        </w:rPr>
        <w:t>联合体投标</w:t>
      </w:r>
    </w:p>
    <w:p>
      <w:pPr>
        <w:adjustRightInd w:val="0"/>
        <w:snapToGrid w:val="0"/>
        <w:spacing w:line="520" w:lineRule="exact"/>
        <w:ind w:firstLine="480" w:firstLineChars="200"/>
      </w:pPr>
      <w:r>
        <w:t>3.6.1</w:t>
      </w:r>
      <w:r>
        <w:rPr>
          <w:rFonts w:hint="eastAsia"/>
        </w:rPr>
        <w:t>如果在磋商文件中接受联合体投标（见供应商须知前附表），则两个以上供应商可以组成一个投标联合体，以一个供应商的身份投标。以联合体形式参加投标的，联合体各方均应当符合《中华人民共和国政府采购法》及实施条例规定的条件。采购人根据采购项目的特殊要求规定供应商特定条件的，联合体各方中至少应当有一方符合采购人规定的特定条件。</w:t>
      </w:r>
    </w:p>
    <w:p>
      <w:pPr>
        <w:adjustRightInd w:val="0"/>
        <w:snapToGrid w:val="0"/>
        <w:spacing w:line="520" w:lineRule="exact"/>
        <w:ind w:firstLine="480" w:firstLineChars="200"/>
      </w:pPr>
      <w:r>
        <w:t>3.6.2</w:t>
      </w:r>
      <w:r>
        <w:rPr>
          <w:rFonts w:hint="eastAsia"/>
        </w:rPr>
        <w:t>联合体各方之间应当签订共同投标协议，明确约定联合体各方承担的工作和相应的责任，并将共同投标协议连同磋商响应文件一并提交采购代理机构。联合体各方签订共同投标协议后，不得再以自己名义单独在同一项目中投标，也不得组成新的联合体参加同一项目投标。</w:t>
      </w:r>
    </w:p>
    <w:p>
      <w:pPr>
        <w:adjustRightInd w:val="0"/>
        <w:snapToGrid w:val="0"/>
        <w:spacing w:line="520" w:lineRule="exact"/>
        <w:ind w:firstLine="480" w:firstLineChars="200"/>
      </w:pPr>
      <w:r>
        <w:t>3.6.3</w:t>
      </w:r>
      <w:r>
        <w:rPr>
          <w:rFonts w:hint="eastAsia"/>
        </w:rPr>
        <w:t>联合体各方应当共同与采购人签订采购合同，就采购合同约定的事项对采购人承担连带责任。</w:t>
      </w:r>
    </w:p>
    <w:p>
      <w:pPr>
        <w:adjustRightInd w:val="0"/>
        <w:snapToGrid w:val="0"/>
        <w:spacing w:line="520" w:lineRule="exact"/>
        <w:ind w:firstLine="480" w:firstLineChars="200"/>
      </w:pPr>
      <w:r>
        <w:t>3.7</w:t>
      </w:r>
      <w:r>
        <w:rPr>
          <w:rFonts w:hint="eastAsia"/>
        </w:rPr>
        <w:t>投标费用自理。不论投标的结果如何，供应商均应自行承担所有与参加投标有关的费用。</w:t>
      </w:r>
    </w:p>
    <w:p>
      <w:pPr>
        <w:spacing w:line="500" w:lineRule="exact"/>
        <w:rPr>
          <w:b/>
          <w:szCs w:val="24"/>
        </w:rPr>
      </w:pPr>
      <w:r>
        <w:rPr>
          <w:b/>
          <w:szCs w:val="24"/>
        </w:rPr>
        <w:t>4.</w:t>
      </w:r>
      <w:r>
        <w:rPr>
          <w:rFonts w:hint="eastAsia"/>
          <w:b/>
          <w:szCs w:val="24"/>
        </w:rPr>
        <w:t>投标内容的合格性和合法性</w:t>
      </w:r>
    </w:p>
    <w:p>
      <w:pPr>
        <w:spacing w:line="500" w:lineRule="exact"/>
        <w:ind w:firstLine="480" w:firstLineChars="200"/>
        <w:rPr>
          <w:szCs w:val="24"/>
        </w:rPr>
      </w:pPr>
      <w:r>
        <w:rPr>
          <w:szCs w:val="24"/>
        </w:rPr>
        <w:t>4.1</w:t>
      </w:r>
      <w:r>
        <w:rPr>
          <w:rFonts w:hint="eastAsia"/>
          <w:szCs w:val="24"/>
        </w:rPr>
        <w:t>投标内容应满足磋商文件的要求并应符合国家法律法规、行业管理部门要求的其他强制性标准。</w:t>
      </w:r>
    </w:p>
    <w:p>
      <w:pPr>
        <w:spacing w:line="500" w:lineRule="exact"/>
        <w:rPr>
          <w:b/>
          <w:szCs w:val="24"/>
        </w:rPr>
      </w:pPr>
      <w:r>
        <w:rPr>
          <w:b/>
          <w:szCs w:val="24"/>
        </w:rPr>
        <w:t>5.</w:t>
      </w:r>
      <w:r>
        <w:rPr>
          <w:rFonts w:hint="eastAsia"/>
          <w:b/>
          <w:szCs w:val="24"/>
        </w:rPr>
        <w:t>磋商响应文件内容的真实性</w:t>
      </w:r>
    </w:p>
    <w:p>
      <w:pPr>
        <w:spacing w:line="500" w:lineRule="exact"/>
        <w:ind w:firstLine="480" w:firstLineChars="200"/>
        <w:rPr>
          <w:szCs w:val="24"/>
        </w:rPr>
      </w:pPr>
      <w:r>
        <w:rPr>
          <w:szCs w:val="24"/>
        </w:rPr>
        <w:t>5.1</w:t>
      </w:r>
      <w:r>
        <w:rPr>
          <w:rFonts w:hint="eastAsia"/>
          <w:szCs w:val="24"/>
        </w:rPr>
        <w:t>供应商应保证其磋商响应文件中所提供的所有投标资料、信息是真实的，并且来源于合法的渠道。因磋商响应文件中所提供的投标资料、信息不真实或者其来源不合法而导致的所有法律责任，由供应商自行承担。</w:t>
      </w:r>
    </w:p>
    <w:p>
      <w:pPr>
        <w:adjustRightInd w:val="0"/>
        <w:snapToGrid w:val="0"/>
        <w:spacing w:line="520" w:lineRule="exact"/>
        <w:ind w:firstLine="480" w:firstLineChars="200"/>
      </w:pPr>
    </w:p>
    <w:p>
      <w:pPr>
        <w:jc w:val="center"/>
        <w:rPr>
          <w:b/>
          <w:sz w:val="32"/>
          <w:szCs w:val="32"/>
        </w:rPr>
      </w:pPr>
      <w:bookmarkStart w:id="28" w:name="_Toc363474018"/>
      <w:bookmarkStart w:id="29" w:name="_Toc403077640"/>
      <w:bookmarkStart w:id="30" w:name="_Toc363473973"/>
      <w:r>
        <w:rPr>
          <w:rFonts w:hint="eastAsia"/>
          <w:b/>
          <w:sz w:val="32"/>
          <w:szCs w:val="32"/>
        </w:rPr>
        <w:t>二</w:t>
      </w:r>
      <w:r>
        <w:rPr>
          <w:b/>
          <w:sz w:val="32"/>
          <w:szCs w:val="32"/>
        </w:rPr>
        <w:t>.</w:t>
      </w:r>
      <w:r>
        <w:rPr>
          <w:rFonts w:hint="eastAsia"/>
          <w:b/>
          <w:sz w:val="32"/>
          <w:szCs w:val="32"/>
        </w:rPr>
        <w:t>磋商文件</w:t>
      </w:r>
      <w:bookmarkEnd w:id="28"/>
      <w:bookmarkEnd w:id="29"/>
      <w:bookmarkEnd w:id="30"/>
    </w:p>
    <w:p>
      <w:pPr>
        <w:spacing w:line="500" w:lineRule="exact"/>
        <w:rPr>
          <w:b/>
          <w:szCs w:val="24"/>
        </w:rPr>
      </w:pPr>
      <w:r>
        <w:rPr>
          <w:b/>
          <w:szCs w:val="24"/>
        </w:rPr>
        <w:t>6.</w:t>
      </w:r>
      <w:r>
        <w:rPr>
          <w:rFonts w:hint="eastAsia"/>
          <w:b/>
          <w:szCs w:val="24"/>
        </w:rPr>
        <w:t>磋商文件构成</w:t>
      </w:r>
    </w:p>
    <w:p>
      <w:pPr>
        <w:spacing w:line="500" w:lineRule="exact"/>
        <w:ind w:firstLine="480" w:firstLineChars="200"/>
        <w:rPr>
          <w:szCs w:val="24"/>
        </w:rPr>
      </w:pPr>
      <w:r>
        <w:rPr>
          <w:szCs w:val="24"/>
        </w:rPr>
        <w:t xml:space="preserve">6.1 </w:t>
      </w:r>
      <w:r>
        <w:rPr>
          <w:rFonts w:hint="eastAsia"/>
          <w:szCs w:val="24"/>
        </w:rPr>
        <w:t>磋商文件要求提供的货物、服务，招标程序和合同条件在磋商文件中均有说明。磋商文件共六章，内容如下：</w:t>
      </w:r>
    </w:p>
    <w:p>
      <w:pPr>
        <w:spacing w:line="500" w:lineRule="exact"/>
        <w:ind w:firstLine="480" w:firstLineChars="200"/>
        <w:rPr>
          <w:szCs w:val="24"/>
        </w:rPr>
      </w:pPr>
      <w:r>
        <w:rPr>
          <w:rFonts w:hint="eastAsia"/>
          <w:szCs w:val="24"/>
        </w:rPr>
        <w:t>第一章</w:t>
      </w:r>
      <w:r>
        <w:rPr>
          <w:szCs w:val="24"/>
        </w:rPr>
        <w:t xml:space="preserve"> </w:t>
      </w:r>
      <w:r>
        <w:rPr>
          <w:rFonts w:hint="eastAsia"/>
          <w:szCs w:val="24"/>
        </w:rPr>
        <w:t>招标公告</w:t>
      </w:r>
    </w:p>
    <w:p>
      <w:pPr>
        <w:spacing w:line="500" w:lineRule="exact"/>
        <w:ind w:firstLine="480" w:firstLineChars="200"/>
        <w:rPr>
          <w:szCs w:val="24"/>
        </w:rPr>
      </w:pPr>
      <w:r>
        <w:rPr>
          <w:rFonts w:hint="eastAsia"/>
          <w:szCs w:val="24"/>
        </w:rPr>
        <w:t>第二章</w:t>
      </w:r>
      <w:r>
        <w:rPr>
          <w:szCs w:val="24"/>
        </w:rPr>
        <w:t xml:space="preserve"> </w:t>
      </w:r>
      <w:r>
        <w:rPr>
          <w:rFonts w:hint="eastAsia"/>
          <w:szCs w:val="24"/>
        </w:rPr>
        <w:t>供应商须知</w:t>
      </w:r>
    </w:p>
    <w:p>
      <w:pPr>
        <w:spacing w:line="500" w:lineRule="exact"/>
        <w:ind w:firstLine="480" w:firstLineChars="200"/>
        <w:rPr>
          <w:szCs w:val="24"/>
        </w:rPr>
      </w:pPr>
      <w:r>
        <w:rPr>
          <w:szCs w:val="24"/>
        </w:rPr>
        <w:t xml:space="preserve">   </w:t>
      </w:r>
      <w:r>
        <w:rPr>
          <w:rFonts w:hint="eastAsia"/>
          <w:szCs w:val="24"/>
        </w:rPr>
        <w:t>供应商须知前附表</w:t>
      </w:r>
    </w:p>
    <w:p>
      <w:pPr>
        <w:spacing w:line="500" w:lineRule="exact"/>
        <w:ind w:firstLine="480" w:firstLineChars="200"/>
        <w:rPr>
          <w:szCs w:val="24"/>
        </w:rPr>
      </w:pPr>
      <w:r>
        <w:rPr>
          <w:rFonts w:hint="eastAsia"/>
          <w:szCs w:val="24"/>
        </w:rPr>
        <w:t>第三章</w:t>
      </w:r>
      <w:r>
        <w:rPr>
          <w:szCs w:val="24"/>
        </w:rPr>
        <w:t xml:space="preserve"> </w:t>
      </w:r>
      <w:r>
        <w:rPr>
          <w:rFonts w:hint="eastAsia"/>
          <w:szCs w:val="24"/>
        </w:rPr>
        <w:t>合同条款及格式</w:t>
      </w:r>
    </w:p>
    <w:p>
      <w:pPr>
        <w:spacing w:line="500" w:lineRule="exact"/>
        <w:ind w:firstLine="840" w:firstLineChars="350"/>
        <w:rPr>
          <w:szCs w:val="24"/>
        </w:rPr>
      </w:pPr>
      <w:r>
        <w:rPr>
          <w:rFonts w:hint="eastAsia"/>
          <w:szCs w:val="24"/>
        </w:rPr>
        <w:t>合同条款及格式前附表</w:t>
      </w:r>
    </w:p>
    <w:p>
      <w:pPr>
        <w:spacing w:line="500" w:lineRule="exact"/>
        <w:ind w:firstLine="480" w:firstLineChars="200"/>
        <w:rPr>
          <w:szCs w:val="24"/>
        </w:rPr>
      </w:pPr>
      <w:r>
        <w:rPr>
          <w:rFonts w:hint="eastAsia"/>
          <w:szCs w:val="24"/>
        </w:rPr>
        <w:t>第四章</w:t>
      </w:r>
      <w:r>
        <w:rPr>
          <w:szCs w:val="24"/>
        </w:rPr>
        <w:t xml:space="preserve"> </w:t>
      </w:r>
      <w:r>
        <w:rPr>
          <w:rFonts w:hint="eastAsia"/>
          <w:szCs w:val="24"/>
        </w:rPr>
        <w:t>采购内容及技术要求</w:t>
      </w:r>
    </w:p>
    <w:p>
      <w:pPr>
        <w:spacing w:line="500" w:lineRule="exact"/>
        <w:ind w:firstLine="480" w:firstLineChars="200"/>
        <w:rPr>
          <w:szCs w:val="24"/>
        </w:rPr>
      </w:pPr>
      <w:r>
        <w:rPr>
          <w:rFonts w:hint="eastAsia"/>
          <w:szCs w:val="24"/>
        </w:rPr>
        <w:t>第五章</w:t>
      </w:r>
      <w:r>
        <w:rPr>
          <w:szCs w:val="24"/>
        </w:rPr>
        <w:t xml:space="preserve"> </w:t>
      </w:r>
      <w:r>
        <w:rPr>
          <w:rFonts w:hint="eastAsia"/>
          <w:szCs w:val="24"/>
        </w:rPr>
        <w:t>磋商方法</w:t>
      </w:r>
    </w:p>
    <w:p>
      <w:pPr>
        <w:spacing w:line="500" w:lineRule="exact"/>
        <w:ind w:firstLine="480" w:firstLineChars="200"/>
        <w:rPr>
          <w:szCs w:val="24"/>
        </w:rPr>
      </w:pPr>
      <w:r>
        <w:rPr>
          <w:rFonts w:hint="eastAsia"/>
          <w:szCs w:val="24"/>
        </w:rPr>
        <w:t>第六章</w:t>
      </w:r>
      <w:r>
        <w:rPr>
          <w:szCs w:val="24"/>
        </w:rPr>
        <w:t xml:space="preserve"> </w:t>
      </w:r>
      <w:r>
        <w:rPr>
          <w:rFonts w:hint="eastAsia"/>
          <w:szCs w:val="24"/>
        </w:rPr>
        <w:t>磋商响应文件构成及格式</w:t>
      </w:r>
      <w:r>
        <w:rPr>
          <w:szCs w:val="24"/>
        </w:rPr>
        <w:t xml:space="preserve">  </w:t>
      </w:r>
    </w:p>
    <w:p>
      <w:pPr>
        <w:spacing w:line="500" w:lineRule="exact"/>
        <w:ind w:firstLine="480" w:firstLineChars="200"/>
        <w:rPr>
          <w:szCs w:val="24"/>
        </w:rPr>
      </w:pPr>
      <w:r>
        <w:rPr>
          <w:szCs w:val="24"/>
        </w:rPr>
        <w:t>6.2</w:t>
      </w:r>
      <w:r>
        <w:rPr>
          <w:rFonts w:hint="eastAsia"/>
          <w:szCs w:val="24"/>
        </w:rPr>
        <w:t>供应商应认真阅读磋商文件中所有的事项、格式、条款和规范等要求。如果供应商没有按照磋商文件要求提交全部资料，或者磋商响应文件没有对磋商文件在各方面都做出实质性响应，由此带来不利于供应商的磋商结果，其风险由供应商承担。</w:t>
      </w:r>
    </w:p>
    <w:p>
      <w:pPr>
        <w:spacing w:line="500" w:lineRule="exact"/>
        <w:ind w:firstLine="480" w:firstLineChars="200"/>
        <w:rPr>
          <w:szCs w:val="24"/>
        </w:rPr>
      </w:pPr>
      <w:r>
        <w:rPr>
          <w:szCs w:val="24"/>
        </w:rPr>
        <w:t>6.3</w:t>
      </w:r>
      <w:r>
        <w:rPr>
          <w:rFonts w:hint="eastAsia"/>
          <w:szCs w:val="24"/>
        </w:rPr>
        <w:t>本磋商文件的解释权归永明项目管理有限公司。</w:t>
      </w:r>
    </w:p>
    <w:p>
      <w:pPr>
        <w:spacing w:line="500" w:lineRule="exact"/>
        <w:rPr>
          <w:b/>
          <w:szCs w:val="24"/>
        </w:rPr>
      </w:pPr>
      <w:r>
        <w:rPr>
          <w:b/>
          <w:szCs w:val="24"/>
        </w:rPr>
        <w:t>7.</w:t>
      </w:r>
      <w:r>
        <w:rPr>
          <w:rFonts w:hint="eastAsia"/>
          <w:b/>
          <w:szCs w:val="24"/>
        </w:rPr>
        <w:t>磋商文件的修改和澄清</w:t>
      </w:r>
    </w:p>
    <w:p>
      <w:pPr>
        <w:spacing w:line="500" w:lineRule="exact"/>
        <w:ind w:firstLine="480" w:firstLineChars="200"/>
        <w:rPr>
          <w:szCs w:val="24"/>
        </w:rPr>
      </w:pPr>
      <w:r>
        <w:rPr>
          <w:szCs w:val="24"/>
        </w:rPr>
        <w:t>7.1</w:t>
      </w:r>
      <w:r>
        <w:rPr>
          <w:rFonts w:hint="eastAsia"/>
          <w:szCs w:val="24"/>
        </w:rPr>
        <w:t>在磋商响应文件递交截止时间</w:t>
      </w:r>
      <w:r>
        <w:rPr>
          <w:szCs w:val="24"/>
        </w:rPr>
        <w:t>3</w:t>
      </w:r>
      <w:r>
        <w:rPr>
          <w:rFonts w:hint="eastAsia"/>
          <w:szCs w:val="24"/>
        </w:rPr>
        <w:t>日前，采购代理机构可以视采购具体情况，延长投标截止时间和开标时间并在财政部门指定的媒体上发布变更公告，同时将变更时间书面通知所有磋商文件收受人。</w:t>
      </w:r>
    </w:p>
    <w:p>
      <w:pPr>
        <w:spacing w:line="500" w:lineRule="exact"/>
        <w:ind w:firstLine="480" w:firstLineChars="200"/>
        <w:rPr>
          <w:szCs w:val="24"/>
        </w:rPr>
      </w:pPr>
      <w:r>
        <w:rPr>
          <w:szCs w:val="24"/>
        </w:rPr>
        <w:t>7.2</w:t>
      </w:r>
      <w:r>
        <w:rPr>
          <w:rFonts w:hint="eastAsia"/>
          <w:szCs w:val="24"/>
        </w:rPr>
        <w:t>采购代理机构如果对已发出的磋商文件进行修改，可能影响磋商响应文件编制的，将在磋商文件要求提交磋商响应文件截止时间</w:t>
      </w:r>
      <w:r>
        <w:rPr>
          <w:szCs w:val="24"/>
        </w:rPr>
        <w:t>15</w:t>
      </w:r>
      <w:r>
        <w:rPr>
          <w:rFonts w:hint="eastAsia"/>
          <w:szCs w:val="24"/>
        </w:rPr>
        <w:t>日前，在发布招标公告的财政部门指定媒体上发布变更公告，并以书面形式通知所有获取磋商文件的潜在供应商。该澄清或者修改的内容为磋商文件的组成部分。</w:t>
      </w:r>
      <w:r>
        <w:rPr>
          <w:szCs w:val="24"/>
        </w:rPr>
        <w:t xml:space="preserve"> </w:t>
      </w:r>
    </w:p>
    <w:p>
      <w:pPr>
        <w:spacing w:line="500" w:lineRule="exact"/>
        <w:ind w:firstLine="480" w:firstLineChars="200"/>
        <w:rPr>
          <w:szCs w:val="24"/>
        </w:rPr>
      </w:pPr>
      <w:r>
        <w:rPr>
          <w:szCs w:val="24"/>
        </w:rPr>
        <w:t>7.3</w:t>
      </w:r>
      <w:r>
        <w:rPr>
          <w:rFonts w:hint="eastAsia"/>
          <w:szCs w:val="24"/>
        </w:rPr>
        <w:t>已经购买磋商文件的供应商对磋商文件有疑问的，均应在购买磋商文件后</w:t>
      </w:r>
      <w:r>
        <w:rPr>
          <w:szCs w:val="24"/>
        </w:rPr>
        <w:t>7</w:t>
      </w:r>
      <w:r>
        <w:rPr>
          <w:rFonts w:hint="eastAsia"/>
          <w:szCs w:val="24"/>
        </w:rPr>
        <w:t>个工作日内以书面形式向采购代理机构提出。采购代理机构视情况必要时将书面答复传送给所有磋商文件收受人。</w:t>
      </w:r>
    </w:p>
    <w:p>
      <w:pPr>
        <w:spacing w:line="500" w:lineRule="exact"/>
        <w:ind w:firstLine="480" w:firstLineChars="200"/>
      </w:pPr>
      <w:r>
        <w:rPr>
          <w:szCs w:val="24"/>
        </w:rPr>
        <w:t>7.4</w:t>
      </w:r>
      <w:r>
        <w:rPr>
          <w:rFonts w:hint="eastAsia"/>
        </w:rPr>
        <w:t>供应商在收到上述通知后，应立即向采购代理机构回函确认。</w:t>
      </w:r>
    </w:p>
    <w:p>
      <w:pPr>
        <w:jc w:val="center"/>
        <w:rPr>
          <w:b/>
          <w:sz w:val="32"/>
          <w:szCs w:val="32"/>
        </w:rPr>
      </w:pPr>
      <w:bookmarkStart w:id="31" w:name="_Toc363473974"/>
      <w:bookmarkStart w:id="32" w:name="_Toc363474019"/>
      <w:bookmarkStart w:id="33" w:name="_Toc403077641"/>
      <w:r>
        <w:rPr>
          <w:rFonts w:hint="eastAsia"/>
          <w:b/>
          <w:sz w:val="32"/>
          <w:szCs w:val="32"/>
        </w:rPr>
        <w:t>三</w:t>
      </w:r>
      <w:r>
        <w:rPr>
          <w:b/>
          <w:sz w:val="32"/>
          <w:szCs w:val="32"/>
        </w:rPr>
        <w:t>.</w:t>
      </w:r>
      <w:r>
        <w:rPr>
          <w:rFonts w:hint="eastAsia"/>
          <w:b/>
          <w:sz w:val="32"/>
          <w:szCs w:val="32"/>
        </w:rPr>
        <w:t>磋商响应文件的编制</w:t>
      </w:r>
      <w:bookmarkEnd w:id="31"/>
      <w:bookmarkEnd w:id="32"/>
      <w:bookmarkEnd w:id="33"/>
    </w:p>
    <w:p>
      <w:pPr>
        <w:spacing w:line="500" w:lineRule="exact"/>
        <w:rPr>
          <w:b/>
          <w:szCs w:val="24"/>
        </w:rPr>
      </w:pPr>
      <w:r>
        <w:rPr>
          <w:b/>
          <w:szCs w:val="24"/>
        </w:rPr>
        <w:t xml:space="preserve">8. </w:t>
      </w:r>
      <w:r>
        <w:rPr>
          <w:rFonts w:hint="eastAsia"/>
          <w:b/>
          <w:szCs w:val="24"/>
        </w:rPr>
        <w:t>投标语言和投标货币</w:t>
      </w:r>
    </w:p>
    <w:p>
      <w:pPr>
        <w:spacing w:line="500" w:lineRule="exact"/>
        <w:ind w:firstLine="480" w:firstLineChars="200"/>
        <w:rPr>
          <w:b/>
          <w:szCs w:val="24"/>
        </w:rPr>
      </w:pPr>
      <w:r>
        <w:rPr>
          <w:szCs w:val="24"/>
        </w:rPr>
        <w:t>8.1</w:t>
      </w:r>
      <w:r>
        <w:rPr>
          <w:rFonts w:hint="eastAsia"/>
          <w:szCs w:val="24"/>
        </w:rPr>
        <w:t>供应商提交的磋商响应文件以及供应商与采购代理机构就有关投标的所有来往函电均应使用中文。</w:t>
      </w:r>
    </w:p>
    <w:p>
      <w:pPr>
        <w:spacing w:line="500" w:lineRule="exact"/>
        <w:ind w:firstLine="480" w:firstLineChars="200"/>
        <w:rPr>
          <w:szCs w:val="24"/>
        </w:rPr>
      </w:pPr>
      <w:r>
        <w:rPr>
          <w:szCs w:val="24"/>
        </w:rPr>
        <w:t>8.2</w:t>
      </w:r>
      <w:r>
        <w:rPr>
          <w:rFonts w:hint="eastAsia"/>
          <w:szCs w:val="24"/>
        </w:rPr>
        <w:t>投标应以人民币报价。任何包含非人民币报价的投标将按无效投标处理。</w:t>
      </w:r>
    </w:p>
    <w:p>
      <w:pPr>
        <w:spacing w:line="500" w:lineRule="exact"/>
        <w:rPr>
          <w:b/>
          <w:szCs w:val="24"/>
        </w:rPr>
      </w:pPr>
      <w:r>
        <w:rPr>
          <w:b/>
          <w:szCs w:val="24"/>
        </w:rPr>
        <w:t>9.</w:t>
      </w:r>
      <w:r>
        <w:rPr>
          <w:rFonts w:hint="eastAsia"/>
          <w:b/>
          <w:szCs w:val="24"/>
        </w:rPr>
        <w:t>磋商响应文件的构成</w:t>
      </w:r>
    </w:p>
    <w:p>
      <w:pPr>
        <w:spacing w:line="500" w:lineRule="exact"/>
        <w:ind w:firstLine="480" w:firstLineChars="200"/>
        <w:rPr>
          <w:szCs w:val="24"/>
        </w:rPr>
      </w:pPr>
      <w:r>
        <w:rPr>
          <w:szCs w:val="24"/>
        </w:rPr>
        <w:t xml:space="preserve">9.1 </w:t>
      </w:r>
      <w:r>
        <w:rPr>
          <w:rFonts w:hint="eastAsia"/>
          <w:szCs w:val="24"/>
        </w:rPr>
        <w:t>供应商提交的磋商响应文件应包括下列部分的内容：</w:t>
      </w:r>
    </w:p>
    <w:p>
      <w:pPr>
        <w:spacing w:line="500" w:lineRule="exact"/>
        <w:ind w:firstLine="480" w:firstLineChars="200"/>
        <w:rPr>
          <w:szCs w:val="24"/>
        </w:rPr>
      </w:pPr>
      <w:r>
        <w:rPr>
          <w:rFonts w:hint="eastAsia"/>
          <w:szCs w:val="24"/>
        </w:rPr>
        <w:t>（</w:t>
      </w:r>
      <w:r>
        <w:rPr>
          <w:szCs w:val="24"/>
        </w:rPr>
        <w:t>1</w:t>
      </w:r>
      <w:r>
        <w:rPr>
          <w:rFonts w:hint="eastAsia"/>
          <w:szCs w:val="24"/>
        </w:rPr>
        <w:t>）按照供应商须知的要求和磋商文件规定的格式填写的投标函、磋商报价表、法定代表人授权书。</w:t>
      </w:r>
    </w:p>
    <w:p>
      <w:pPr>
        <w:spacing w:line="500" w:lineRule="exact"/>
        <w:ind w:firstLine="480" w:firstLineChars="200"/>
      </w:pPr>
      <w:r>
        <w:rPr>
          <w:rFonts w:hint="eastAsia"/>
          <w:szCs w:val="24"/>
        </w:rPr>
        <w:t>（</w:t>
      </w:r>
      <w:r>
        <w:rPr>
          <w:szCs w:val="24"/>
        </w:rPr>
        <w:t>2</w:t>
      </w:r>
      <w:r>
        <w:rPr>
          <w:rFonts w:hint="eastAsia"/>
          <w:szCs w:val="24"/>
        </w:rPr>
        <w:t>）按照磋商文件的要求编制的投标方案说明书，内容至少应包括组织实施计划和服务的详细说明。</w:t>
      </w:r>
    </w:p>
    <w:p>
      <w:pPr>
        <w:adjustRightInd w:val="0"/>
        <w:snapToGrid w:val="0"/>
        <w:spacing w:line="520" w:lineRule="exact"/>
        <w:ind w:firstLine="480" w:firstLineChars="200"/>
      </w:pPr>
      <w:r>
        <w:rPr>
          <w:rFonts w:hint="eastAsia"/>
        </w:rPr>
        <w:t>（</w:t>
      </w:r>
      <w:r>
        <w:t>3</w:t>
      </w:r>
      <w:r>
        <w:rPr>
          <w:rFonts w:hint="eastAsia"/>
        </w:rPr>
        <w:t>）按照磋商文件供应商须知前附表的要求提交的资格证明文件；</w:t>
      </w:r>
      <w:r>
        <w:t xml:space="preserve">  </w:t>
      </w:r>
    </w:p>
    <w:p>
      <w:pPr>
        <w:adjustRightInd w:val="0"/>
        <w:snapToGrid w:val="0"/>
        <w:spacing w:line="520" w:lineRule="exact"/>
        <w:ind w:firstLine="480" w:firstLineChars="200"/>
      </w:pPr>
      <w:r>
        <w:rPr>
          <w:rFonts w:hint="eastAsia"/>
        </w:rPr>
        <w:t>（</w:t>
      </w:r>
      <w:r>
        <w:t>4</w:t>
      </w:r>
      <w:r>
        <w:rPr>
          <w:rFonts w:hint="eastAsia"/>
        </w:rPr>
        <w:t>）按照本须知第</w:t>
      </w:r>
      <w:r>
        <w:t>14</w:t>
      </w:r>
      <w:r>
        <w:rPr>
          <w:rFonts w:hint="eastAsia"/>
        </w:rPr>
        <w:t>条要求提交的磋商保证金；</w:t>
      </w:r>
    </w:p>
    <w:p>
      <w:pPr>
        <w:adjustRightInd w:val="0"/>
        <w:snapToGrid w:val="0"/>
        <w:spacing w:line="520" w:lineRule="exact"/>
        <w:ind w:firstLine="480" w:firstLineChars="200"/>
      </w:pPr>
      <w:r>
        <w:rPr>
          <w:rFonts w:hint="eastAsia"/>
        </w:rPr>
        <w:t>（</w:t>
      </w:r>
      <w:r>
        <w:t>5</w:t>
      </w:r>
      <w:r>
        <w:rPr>
          <w:rFonts w:hint="eastAsia"/>
        </w:rPr>
        <w:t>）磋商文件中要求的其他证明文件。</w:t>
      </w:r>
    </w:p>
    <w:p>
      <w:pPr>
        <w:adjustRightInd w:val="0"/>
        <w:snapToGrid w:val="0"/>
        <w:spacing w:line="520" w:lineRule="exact"/>
        <w:ind w:firstLine="480" w:firstLineChars="200"/>
      </w:pPr>
      <w:r>
        <w:t>9.2</w:t>
      </w:r>
      <w:r>
        <w:rPr>
          <w:rFonts w:hint="eastAsia"/>
        </w:rPr>
        <w:t>如果在磋商文件中没有允许提供备选方案，则每个供应商只允许提交一个投标方案，否则，其投标将按照无效投标处理。</w:t>
      </w:r>
    </w:p>
    <w:p>
      <w:pPr>
        <w:adjustRightInd w:val="0"/>
        <w:snapToGrid w:val="0"/>
        <w:spacing w:line="520" w:lineRule="exact"/>
        <w:ind w:firstLine="480" w:firstLineChars="200"/>
      </w:pPr>
      <w:r>
        <w:t>9.3</w:t>
      </w:r>
      <w:r>
        <w:rPr>
          <w:rFonts w:hint="eastAsia"/>
        </w:rPr>
        <w:t>供应商可根据自身的资质情况和经营范围对本次项目进行投标，任何不完全的投标将会被拒绝。</w:t>
      </w:r>
    </w:p>
    <w:p>
      <w:pPr>
        <w:spacing w:line="500" w:lineRule="exact"/>
        <w:rPr>
          <w:b/>
          <w:szCs w:val="24"/>
        </w:rPr>
      </w:pPr>
      <w:r>
        <w:rPr>
          <w:b/>
          <w:szCs w:val="24"/>
        </w:rPr>
        <w:t>10.</w:t>
      </w:r>
      <w:r>
        <w:rPr>
          <w:rFonts w:hint="eastAsia"/>
          <w:b/>
          <w:szCs w:val="24"/>
        </w:rPr>
        <w:t>磋商响应文件格式</w:t>
      </w:r>
    </w:p>
    <w:p>
      <w:pPr>
        <w:adjustRightInd w:val="0"/>
        <w:snapToGrid w:val="0"/>
        <w:spacing w:line="520" w:lineRule="exact"/>
        <w:ind w:firstLine="480" w:firstLineChars="200"/>
      </w:pPr>
      <w:r>
        <w:t xml:space="preserve">10.1 </w:t>
      </w:r>
      <w:r>
        <w:rPr>
          <w:rFonts w:hint="eastAsia"/>
        </w:rPr>
        <w:t>供应商应按照磋商文件中第六章所提供的格式和要求制作磋商响应文件，明确表达投标意愿，详细说明投标方案、承诺及价格。</w:t>
      </w:r>
    </w:p>
    <w:p>
      <w:pPr>
        <w:adjustRightInd w:val="0"/>
        <w:snapToGrid w:val="0"/>
        <w:spacing w:line="520" w:lineRule="exact"/>
        <w:ind w:firstLine="480" w:firstLineChars="200"/>
      </w:pPr>
      <w:r>
        <w:t>10.2</w:t>
      </w:r>
      <w:r>
        <w:rPr>
          <w:rFonts w:hint="eastAsia"/>
        </w:rPr>
        <w:t>按磋商文件第</w:t>
      </w:r>
      <w:r>
        <w:t>9</w:t>
      </w:r>
      <w:r>
        <w:rPr>
          <w:rFonts w:hint="eastAsia"/>
        </w:rPr>
        <w:t>条的内容及要求和第六章提供的格式和要求编写其磋商响应文件，供应商不得缺少或留空任何磋商文件要求填写的表格或提交的资料。</w:t>
      </w:r>
    </w:p>
    <w:p>
      <w:pPr>
        <w:spacing w:line="500" w:lineRule="exact"/>
        <w:rPr>
          <w:b/>
          <w:szCs w:val="24"/>
        </w:rPr>
      </w:pPr>
      <w:r>
        <w:rPr>
          <w:b/>
          <w:szCs w:val="24"/>
        </w:rPr>
        <w:t>11.</w:t>
      </w:r>
      <w:r>
        <w:rPr>
          <w:rFonts w:hint="eastAsia"/>
          <w:b/>
          <w:szCs w:val="24"/>
        </w:rPr>
        <w:t>磋商报价</w:t>
      </w:r>
    </w:p>
    <w:p>
      <w:pPr>
        <w:adjustRightInd w:val="0"/>
        <w:snapToGrid w:val="0"/>
        <w:spacing w:line="520" w:lineRule="exact"/>
        <w:ind w:firstLine="480" w:firstLineChars="200"/>
      </w:pPr>
      <w:r>
        <w:t>11.1</w:t>
      </w:r>
      <w:r>
        <w:rPr>
          <w:rFonts w:hint="eastAsia"/>
        </w:rPr>
        <w:t>供应商应在磋商报价表中标明完成本次招标所要求的服务且验收合格，履行完成合同约定内容的所有费用，包括但不限于所需的人力成本、办公及设备购置费、成果编制费、交通费、调研费、管理费、利润、税金、项目验收涉及的费用等在内的全部费用。供应商漏报或不报，采购人将视为该漏报或不报部分的费用已包括在已报的分项报价中，如供应商不予认可其磋商响应文件将按无效投标处理。</w:t>
      </w:r>
    </w:p>
    <w:p>
      <w:pPr>
        <w:adjustRightInd w:val="0"/>
        <w:snapToGrid w:val="0"/>
        <w:spacing w:line="520" w:lineRule="exact"/>
        <w:ind w:firstLine="480" w:firstLineChars="200"/>
      </w:pPr>
      <w:r>
        <w:t>11.2</w:t>
      </w:r>
      <w:r>
        <w:rPr>
          <w:rFonts w:hint="eastAsia"/>
        </w:rPr>
        <w:t>磋商报价表中标明的价格应为履行合同的固定价格，不得以任何理由予以变更。以可调整的价格提交的磋商响应文件将按无效投标处理。</w:t>
      </w:r>
    </w:p>
    <w:p>
      <w:pPr>
        <w:adjustRightInd w:val="0"/>
        <w:snapToGrid w:val="0"/>
        <w:spacing w:line="520" w:lineRule="exact"/>
        <w:ind w:firstLine="480" w:firstLineChars="200"/>
      </w:pPr>
      <w:r>
        <w:t>11.3</w:t>
      </w:r>
      <w:r>
        <w:rPr>
          <w:rFonts w:hint="eastAsia"/>
        </w:rPr>
        <w:t>磋商报价：总包交钥匙价（精确到小数点后二位）。</w:t>
      </w:r>
    </w:p>
    <w:p>
      <w:pPr>
        <w:spacing w:line="500" w:lineRule="exact"/>
        <w:rPr>
          <w:b/>
          <w:szCs w:val="24"/>
        </w:rPr>
      </w:pPr>
      <w:r>
        <w:rPr>
          <w:b/>
          <w:szCs w:val="24"/>
        </w:rPr>
        <w:t>12.</w:t>
      </w:r>
      <w:r>
        <w:rPr>
          <w:rFonts w:hint="eastAsia"/>
          <w:b/>
          <w:szCs w:val="24"/>
        </w:rPr>
        <w:t>证明供应商合格和资格的文件</w:t>
      </w:r>
    </w:p>
    <w:p>
      <w:pPr>
        <w:spacing w:line="500" w:lineRule="exact"/>
        <w:ind w:firstLine="480" w:firstLineChars="200"/>
        <w:rPr>
          <w:szCs w:val="24"/>
        </w:rPr>
      </w:pPr>
      <w:r>
        <w:rPr>
          <w:szCs w:val="24"/>
        </w:rPr>
        <w:t>12.1</w:t>
      </w:r>
      <w:r>
        <w:rPr>
          <w:rFonts w:hint="eastAsia"/>
          <w:szCs w:val="24"/>
        </w:rPr>
        <w:t>供应商应按照磋商文件“供应商须知前附表”的要求，在磋商响应文件中提交合格的资格证明文件。如果资格证明文件不齐全或不合格的，其投标将按无效投标处理。</w:t>
      </w:r>
    </w:p>
    <w:p>
      <w:pPr>
        <w:adjustRightInd w:val="0"/>
        <w:snapToGrid w:val="0"/>
        <w:spacing w:line="520" w:lineRule="exact"/>
        <w:jc w:val="left"/>
        <w:rPr>
          <w:b/>
          <w:bCs/>
        </w:rPr>
      </w:pPr>
      <w:r>
        <w:rPr>
          <w:b/>
          <w:bCs/>
        </w:rPr>
        <w:t>13.</w:t>
      </w:r>
      <w:r>
        <w:rPr>
          <w:rFonts w:hint="eastAsia"/>
          <w:b/>
          <w:bCs/>
        </w:rPr>
        <w:t>证明服务内容的合格性和符合磋商文件规定的文件</w:t>
      </w:r>
    </w:p>
    <w:p>
      <w:pPr>
        <w:adjustRightInd w:val="0"/>
        <w:snapToGrid w:val="0"/>
        <w:spacing w:line="520" w:lineRule="exact"/>
        <w:ind w:firstLine="480" w:firstLineChars="200"/>
      </w:pPr>
      <w:r>
        <w:t>13.1</w:t>
      </w:r>
      <w:r>
        <w:rPr>
          <w:rFonts w:hint="eastAsia"/>
        </w:rPr>
        <w:t>供应商应在磋商响应文件中提交服务满足磋商文件要求并符合国家法律法规、行业管理部门要求的其他强制性标准的证明文件。缺少证明文件或证明文件不合格的投标，与磋商文件要求有重大偏离的投标，不符合国家法律法规、行业管理部门要求的其他强制性标准的投标将按无效投标处理。</w:t>
      </w:r>
    </w:p>
    <w:p>
      <w:pPr>
        <w:adjustRightInd w:val="0"/>
        <w:snapToGrid w:val="0"/>
        <w:spacing w:line="520" w:lineRule="exact"/>
        <w:ind w:firstLine="480" w:firstLineChars="200"/>
      </w:pPr>
      <w:r>
        <w:t>13.2</w:t>
      </w:r>
      <w:r>
        <w:rPr>
          <w:rFonts w:hint="eastAsia"/>
        </w:rPr>
        <w:t>上述证明文件可以是文字资料、图纸、图片和数据，它包括：</w:t>
      </w:r>
    </w:p>
    <w:p>
      <w:pPr>
        <w:adjustRightInd w:val="0"/>
        <w:snapToGrid w:val="0"/>
        <w:spacing w:line="520" w:lineRule="exact"/>
        <w:ind w:firstLine="480" w:firstLineChars="200"/>
      </w:pPr>
      <w:r>
        <w:t xml:space="preserve">1) </w:t>
      </w:r>
      <w:r>
        <w:rPr>
          <w:rFonts w:hint="eastAsia"/>
        </w:rPr>
        <w:t>服务内容的详细说明；</w:t>
      </w:r>
    </w:p>
    <w:p>
      <w:pPr>
        <w:adjustRightInd w:val="0"/>
        <w:snapToGrid w:val="0"/>
        <w:spacing w:line="520" w:lineRule="exact"/>
        <w:ind w:firstLine="480" w:firstLineChars="200"/>
      </w:pPr>
      <w:r>
        <w:t>2</w:t>
      </w:r>
      <w:r>
        <w:rPr>
          <w:rFonts w:hint="eastAsia"/>
        </w:rPr>
        <w:t>）逐条对磋商文件提出的技术要求和商务要求进行应答，说明所提供的服务对招标的技术和商务要求是否做出了实质性响应并提供支持文件；</w:t>
      </w:r>
    </w:p>
    <w:p>
      <w:pPr>
        <w:adjustRightInd w:val="0"/>
        <w:snapToGrid w:val="0"/>
        <w:spacing w:line="520" w:lineRule="exact"/>
        <w:ind w:firstLine="480" w:firstLineChars="200"/>
      </w:pPr>
      <w:r>
        <w:t xml:space="preserve">3) </w:t>
      </w:r>
      <w:r>
        <w:rPr>
          <w:rFonts w:hint="eastAsia"/>
        </w:rPr>
        <w:t>服务范围和服务内容的详细说明。</w:t>
      </w:r>
    </w:p>
    <w:p>
      <w:pPr>
        <w:spacing w:line="500" w:lineRule="exact"/>
        <w:rPr>
          <w:b/>
          <w:szCs w:val="24"/>
        </w:rPr>
      </w:pPr>
      <w:r>
        <w:rPr>
          <w:b/>
          <w:szCs w:val="24"/>
        </w:rPr>
        <w:t>14.</w:t>
      </w:r>
      <w:r>
        <w:rPr>
          <w:rFonts w:hint="eastAsia"/>
          <w:b/>
          <w:szCs w:val="24"/>
        </w:rPr>
        <w:t>磋商保证金</w:t>
      </w:r>
    </w:p>
    <w:p>
      <w:pPr>
        <w:spacing w:line="500" w:lineRule="exact"/>
        <w:ind w:firstLine="480" w:firstLineChars="200"/>
        <w:rPr>
          <w:szCs w:val="24"/>
        </w:rPr>
      </w:pPr>
      <w:r>
        <w:rPr>
          <w:szCs w:val="24"/>
        </w:rPr>
        <w:t>14.1</w:t>
      </w:r>
      <w:r>
        <w:rPr>
          <w:rFonts w:hint="eastAsia"/>
          <w:szCs w:val="24"/>
        </w:rPr>
        <w:t>供应商在投标时应向永明项目管理有限公司提交“供应商须知前附表”规定数额的磋商保证金</w:t>
      </w:r>
      <w:r>
        <w:rPr>
          <w:szCs w:val="24"/>
        </w:rPr>
        <w:t>,</w:t>
      </w:r>
      <w:r>
        <w:rPr>
          <w:rFonts w:hint="eastAsia"/>
          <w:szCs w:val="24"/>
        </w:rPr>
        <w:t>并作为其投标的一部分。</w:t>
      </w:r>
    </w:p>
    <w:p>
      <w:pPr>
        <w:spacing w:line="500" w:lineRule="exact"/>
        <w:ind w:firstLine="480" w:firstLineChars="200"/>
        <w:rPr>
          <w:szCs w:val="24"/>
        </w:rPr>
      </w:pPr>
      <w:r>
        <w:rPr>
          <w:szCs w:val="24"/>
        </w:rPr>
        <w:t>14.2</w:t>
      </w:r>
      <w:r>
        <w:rPr>
          <w:rFonts w:hint="eastAsia"/>
          <w:szCs w:val="24"/>
        </w:rPr>
        <w:t>磋商保证金是为了保护采购人和采购代理机构免遭因供应商的行为而蒙受损失。招标采购单位在因供应商的行为受到损害时可根据</w:t>
      </w:r>
      <w:r>
        <w:rPr>
          <w:szCs w:val="24"/>
        </w:rPr>
        <w:t>14.8</w:t>
      </w:r>
      <w:r>
        <w:rPr>
          <w:rFonts w:hint="eastAsia"/>
          <w:szCs w:val="24"/>
        </w:rPr>
        <w:t>条的规定没收供应商的磋商保证金。</w:t>
      </w:r>
    </w:p>
    <w:p>
      <w:pPr>
        <w:spacing w:line="500" w:lineRule="exact"/>
        <w:ind w:firstLine="480" w:firstLineChars="200"/>
        <w:rPr>
          <w:szCs w:val="24"/>
        </w:rPr>
      </w:pPr>
      <w:r>
        <w:rPr>
          <w:szCs w:val="24"/>
        </w:rPr>
        <w:t>14.3</w:t>
      </w:r>
      <w:r>
        <w:rPr>
          <w:rFonts w:hint="eastAsia"/>
          <w:szCs w:val="24"/>
        </w:rPr>
        <w:t>磋商保证金可采取“供应商须知前附表”规定的任何一种形式；</w:t>
      </w:r>
    </w:p>
    <w:p>
      <w:pPr>
        <w:spacing w:line="520" w:lineRule="exact"/>
        <w:ind w:firstLine="480" w:firstLineChars="200"/>
        <w:rPr>
          <w:szCs w:val="24"/>
        </w:rPr>
      </w:pPr>
      <w:r>
        <w:rPr>
          <w:szCs w:val="24"/>
        </w:rPr>
        <w:t>14.4</w:t>
      </w:r>
      <w:r>
        <w:rPr>
          <w:rFonts w:hint="eastAsia"/>
          <w:szCs w:val="24"/>
        </w:rPr>
        <w:t>磋商保证金必须按照磋商文件</w:t>
      </w:r>
      <w:r>
        <w:rPr>
          <w:szCs w:val="24"/>
        </w:rPr>
        <w:t xml:space="preserve"> </w:t>
      </w:r>
      <w:r>
        <w:rPr>
          <w:rFonts w:hint="eastAsia"/>
          <w:szCs w:val="24"/>
        </w:rPr>
        <w:t>“供应商须知前附表”中规定的缴纳金额及方式办理。</w:t>
      </w:r>
    </w:p>
    <w:p>
      <w:pPr>
        <w:spacing w:line="500" w:lineRule="exact"/>
        <w:ind w:firstLine="480" w:firstLineChars="200"/>
        <w:rPr>
          <w:szCs w:val="24"/>
        </w:rPr>
      </w:pPr>
      <w:r>
        <w:rPr>
          <w:szCs w:val="24"/>
        </w:rPr>
        <w:t>14.5</w:t>
      </w:r>
      <w:r>
        <w:rPr>
          <w:rFonts w:hint="eastAsia"/>
          <w:szCs w:val="24"/>
        </w:rPr>
        <w:t>开标后经审查，未提交磋商保证金、未按时间提交磋商保证金、磋商保证金金额不足、未将保函正本原件在规定时间内到采购代理机构备案、磋商保证金缴纳凭证复印件或担保机构出具的保函正本复印件未附在磋商响应文件内的投标将按无效投标处理。</w:t>
      </w:r>
    </w:p>
    <w:p>
      <w:pPr>
        <w:spacing w:line="500" w:lineRule="exact"/>
        <w:ind w:firstLine="480" w:firstLineChars="200"/>
        <w:rPr>
          <w:szCs w:val="24"/>
        </w:rPr>
      </w:pPr>
      <w:r>
        <w:rPr>
          <w:szCs w:val="24"/>
        </w:rPr>
        <w:t>14.6</w:t>
      </w:r>
      <w:r>
        <w:rPr>
          <w:rFonts w:hint="eastAsia"/>
          <w:szCs w:val="24"/>
        </w:rPr>
        <w:t>未成交人的磋商保证金，将在成交通知书发出后五个工作日内按原账户退还；成交人的磋商保证金，在采购合同签订并按规定交纳招标代理服务费后五个工作日内退还（</w:t>
      </w:r>
      <w:r>
        <w:rPr>
          <w:rFonts w:hint="eastAsia"/>
          <w:b/>
          <w:bCs/>
          <w:szCs w:val="24"/>
        </w:rPr>
        <w:t>退还时，须向采购代理机构提供采购合同壹份</w:t>
      </w:r>
      <w:r>
        <w:rPr>
          <w:rFonts w:hint="eastAsia"/>
          <w:szCs w:val="24"/>
        </w:rPr>
        <w:t>）</w:t>
      </w:r>
    </w:p>
    <w:p>
      <w:pPr>
        <w:spacing w:line="500" w:lineRule="exact"/>
        <w:ind w:firstLine="480" w:firstLineChars="200"/>
        <w:rPr>
          <w:szCs w:val="24"/>
        </w:rPr>
      </w:pPr>
      <w:r>
        <w:rPr>
          <w:szCs w:val="24"/>
        </w:rPr>
        <w:t>14.7</w:t>
      </w:r>
      <w:r>
        <w:rPr>
          <w:rFonts w:hint="eastAsia"/>
          <w:szCs w:val="24"/>
        </w:rPr>
        <w:t>供应商以担保机构保函形式缴纳磋商保证金的，招标结束之后将担保机构保函正本（原件）退回（退还时间参照</w:t>
      </w:r>
      <w:r>
        <w:rPr>
          <w:szCs w:val="24"/>
        </w:rPr>
        <w:t>14.6</w:t>
      </w:r>
      <w:r>
        <w:rPr>
          <w:rFonts w:hint="eastAsia"/>
          <w:szCs w:val="24"/>
        </w:rPr>
        <w:t>条款）。供应商领取担保机构保函正本原件时需携带法定代表人授权书原件。</w:t>
      </w:r>
    </w:p>
    <w:p>
      <w:pPr>
        <w:spacing w:line="500" w:lineRule="exact"/>
        <w:ind w:firstLine="480" w:firstLineChars="200"/>
        <w:rPr>
          <w:szCs w:val="24"/>
        </w:rPr>
      </w:pPr>
      <w:r>
        <w:rPr>
          <w:szCs w:val="24"/>
        </w:rPr>
        <w:t>14.8</w:t>
      </w:r>
      <w:r>
        <w:rPr>
          <w:rFonts w:hint="eastAsia"/>
          <w:szCs w:val="24"/>
        </w:rPr>
        <w:t>下列任何情况发生时，视为供应商违约，其磋商保证金将被没收：</w:t>
      </w:r>
    </w:p>
    <w:p>
      <w:pPr>
        <w:spacing w:line="500" w:lineRule="exact"/>
        <w:ind w:firstLine="840" w:firstLineChars="350"/>
        <w:rPr>
          <w:szCs w:val="24"/>
        </w:rPr>
      </w:pPr>
      <w:r>
        <w:rPr>
          <w:szCs w:val="24"/>
        </w:rPr>
        <w:t>1)</w:t>
      </w:r>
      <w:r>
        <w:rPr>
          <w:rFonts w:hint="eastAsia"/>
          <w:szCs w:val="24"/>
        </w:rPr>
        <w:t>供应商在递交磋商响应文件截止时间后，撤回磋商响应文件的或者擅自退出招标投标活动的。</w:t>
      </w:r>
    </w:p>
    <w:p>
      <w:pPr>
        <w:spacing w:line="500" w:lineRule="exact"/>
        <w:ind w:firstLine="840" w:firstLineChars="350"/>
        <w:rPr>
          <w:szCs w:val="24"/>
        </w:rPr>
      </w:pPr>
      <w:r>
        <w:rPr>
          <w:szCs w:val="24"/>
        </w:rPr>
        <w:t>2)</w:t>
      </w:r>
      <w:r>
        <w:rPr>
          <w:rFonts w:hint="eastAsia"/>
          <w:szCs w:val="24"/>
        </w:rPr>
        <w:t>供应商中标后放弃中标或未能按规定签订合同、无正当理由不与采购人签订合同的或未能按规定交纳招标代理服务费</w:t>
      </w:r>
      <w:r>
        <w:rPr>
          <w:rFonts w:hint="eastAsia"/>
        </w:rPr>
        <w:t>或由于供应商的原因导致中标无效的。</w:t>
      </w:r>
    </w:p>
    <w:p>
      <w:pPr>
        <w:spacing w:line="500" w:lineRule="exact"/>
        <w:ind w:firstLine="840" w:firstLineChars="350"/>
        <w:rPr>
          <w:szCs w:val="24"/>
        </w:rPr>
      </w:pPr>
      <w:r>
        <w:rPr>
          <w:szCs w:val="24"/>
        </w:rPr>
        <w:t>3</w:t>
      </w:r>
      <w:r>
        <w:rPr>
          <w:rFonts w:hint="eastAsia"/>
          <w:szCs w:val="24"/>
        </w:rPr>
        <w:t>）将中标项目转让给他人，或者在磋商响应文件中未说明，且未经采购机构同意，将中标项目分包给他人的。</w:t>
      </w:r>
    </w:p>
    <w:p>
      <w:pPr>
        <w:spacing w:line="500" w:lineRule="exact"/>
        <w:ind w:firstLine="840" w:firstLineChars="350"/>
        <w:rPr>
          <w:szCs w:val="24"/>
        </w:rPr>
      </w:pPr>
      <w:r>
        <w:rPr>
          <w:szCs w:val="24"/>
        </w:rPr>
        <w:t>4</w:t>
      </w:r>
      <w:r>
        <w:rPr>
          <w:rFonts w:hint="eastAsia"/>
          <w:szCs w:val="24"/>
        </w:rPr>
        <w:t>）供应商在磋商响应文件中提供伪造、套改、虚假资料参加招标投标的。</w:t>
      </w:r>
    </w:p>
    <w:p>
      <w:pPr>
        <w:spacing w:line="500" w:lineRule="exact"/>
        <w:ind w:firstLine="840" w:firstLineChars="350"/>
        <w:rPr>
          <w:szCs w:val="24"/>
        </w:rPr>
      </w:pPr>
      <w:r>
        <w:rPr>
          <w:szCs w:val="24"/>
        </w:rPr>
        <w:t>5</w:t>
      </w:r>
      <w:r>
        <w:rPr>
          <w:rFonts w:hint="eastAsia"/>
          <w:szCs w:val="24"/>
        </w:rPr>
        <w:t>）供应商不按法定程序进行质疑和投诉</w:t>
      </w:r>
      <w:r>
        <w:rPr>
          <w:szCs w:val="24"/>
        </w:rPr>
        <w:t>,</w:t>
      </w:r>
      <w:r>
        <w:rPr>
          <w:rFonts w:hint="eastAsia"/>
          <w:szCs w:val="24"/>
        </w:rPr>
        <w:t>捏造事实，查无实据，造成恶劣影响，导致采购活动无法正常进行的。</w:t>
      </w:r>
    </w:p>
    <w:p>
      <w:pPr>
        <w:spacing w:line="500" w:lineRule="exact"/>
        <w:ind w:firstLine="840" w:firstLineChars="350"/>
        <w:rPr>
          <w:szCs w:val="24"/>
        </w:rPr>
      </w:pPr>
      <w:r>
        <w:t>6</w:t>
      </w:r>
      <w:r>
        <w:rPr>
          <w:rFonts w:hint="eastAsia"/>
        </w:rPr>
        <w:t>）供应商与采购人、其它供应商或者采购代理机构恶意串通的。</w:t>
      </w:r>
    </w:p>
    <w:p>
      <w:pPr>
        <w:spacing w:line="500" w:lineRule="exact"/>
        <w:ind w:firstLine="480" w:firstLineChars="200"/>
        <w:rPr>
          <w:szCs w:val="24"/>
        </w:rPr>
      </w:pPr>
      <w:r>
        <w:rPr>
          <w:szCs w:val="24"/>
        </w:rPr>
        <w:t>14.9</w:t>
      </w:r>
      <w:r>
        <w:rPr>
          <w:rFonts w:hint="eastAsia"/>
          <w:szCs w:val="24"/>
        </w:rPr>
        <w:t>磋商保证金的有效期与磋商有效期一致。担保机构出具的保函有效期为磋商有效期延长一个月。</w:t>
      </w:r>
    </w:p>
    <w:p>
      <w:pPr>
        <w:spacing w:line="500" w:lineRule="exact"/>
        <w:rPr>
          <w:b/>
          <w:szCs w:val="24"/>
        </w:rPr>
      </w:pPr>
      <w:r>
        <w:rPr>
          <w:b/>
          <w:szCs w:val="24"/>
        </w:rPr>
        <w:t>15.</w:t>
      </w:r>
      <w:r>
        <w:rPr>
          <w:rFonts w:hint="eastAsia"/>
          <w:b/>
          <w:szCs w:val="24"/>
        </w:rPr>
        <w:t>磋商有效期</w:t>
      </w:r>
    </w:p>
    <w:p>
      <w:pPr>
        <w:spacing w:line="500" w:lineRule="exact"/>
        <w:ind w:firstLine="480" w:firstLineChars="200"/>
        <w:rPr>
          <w:szCs w:val="24"/>
        </w:rPr>
      </w:pPr>
      <w:r>
        <w:rPr>
          <w:szCs w:val="24"/>
        </w:rPr>
        <w:t>15.1</w:t>
      </w:r>
      <w:r>
        <w:rPr>
          <w:rFonts w:hint="eastAsia"/>
          <w:szCs w:val="24"/>
        </w:rPr>
        <w:t>磋商有效期（含授权有效期）从递交磋商响应文件的截止之日起</w:t>
      </w:r>
      <w:r>
        <w:rPr>
          <w:szCs w:val="24"/>
        </w:rPr>
        <w:t>90</w:t>
      </w:r>
      <w:r>
        <w:rPr>
          <w:rFonts w:hint="eastAsia"/>
          <w:szCs w:val="24"/>
        </w:rPr>
        <w:t>天。磋商响应文件应在磋商有效期内保持有效。磋商有效期不满足规定有效期的磋商响应文件将被视为无效投标而拒绝。</w:t>
      </w:r>
    </w:p>
    <w:p>
      <w:pPr>
        <w:spacing w:line="500" w:lineRule="exact"/>
        <w:ind w:firstLine="480" w:firstLineChars="200"/>
        <w:rPr>
          <w:szCs w:val="24"/>
        </w:rPr>
      </w:pPr>
      <w:r>
        <w:rPr>
          <w:szCs w:val="24"/>
        </w:rPr>
        <w:t>15.2</w:t>
      </w:r>
      <w:r>
        <w:rPr>
          <w:rFonts w:hint="eastAsia"/>
          <w:szCs w:val="24"/>
        </w:rPr>
        <w:t>特殊情况下，在原磋商有效期期满之前，采购代理机构可向供应商提出延长磋商有效期的要求。这种要求与答复均应以书面的形式。供应商可以拒绝采购代理机构的这种要求</w:t>
      </w:r>
      <w:r>
        <w:rPr>
          <w:szCs w:val="24"/>
        </w:rPr>
        <w:t>,</w:t>
      </w:r>
      <w:r>
        <w:rPr>
          <w:rFonts w:hint="eastAsia"/>
          <w:szCs w:val="24"/>
        </w:rPr>
        <w:t>其磋商保证金也不被没收。同意延长的供应商既不能要求也不允许修改其磋商响应文件，但要相应延长其磋商保证金的有效期。在这种情况下，本章第</w:t>
      </w:r>
      <w:r>
        <w:rPr>
          <w:szCs w:val="24"/>
        </w:rPr>
        <w:t>14</w:t>
      </w:r>
      <w:r>
        <w:rPr>
          <w:rFonts w:hint="eastAsia"/>
          <w:szCs w:val="24"/>
        </w:rPr>
        <w:t>条有关磋商保证金的退还和没收的规定将在延长了的有效期内</w:t>
      </w:r>
      <w:r>
        <w:rPr>
          <w:rFonts w:hint="eastAsia"/>
        </w:rPr>
        <w:t>继续有效。</w:t>
      </w:r>
    </w:p>
    <w:p>
      <w:pPr>
        <w:adjustRightInd w:val="0"/>
        <w:snapToGrid w:val="0"/>
        <w:spacing w:line="520" w:lineRule="exact"/>
        <w:rPr>
          <w:b/>
          <w:bCs/>
        </w:rPr>
      </w:pPr>
      <w:r>
        <w:rPr>
          <w:b/>
          <w:bCs/>
        </w:rPr>
        <w:t>16.</w:t>
      </w:r>
      <w:r>
        <w:rPr>
          <w:rFonts w:hint="eastAsia"/>
          <w:b/>
          <w:bCs/>
        </w:rPr>
        <w:t>磋商响应文件的式样和签署</w:t>
      </w:r>
    </w:p>
    <w:p>
      <w:pPr>
        <w:adjustRightInd w:val="0"/>
        <w:snapToGrid w:val="0"/>
        <w:spacing w:line="520" w:lineRule="exact"/>
        <w:ind w:firstLine="480" w:firstLineChars="200"/>
      </w:pPr>
      <w:r>
        <w:t>16.1</w:t>
      </w:r>
      <w:r>
        <w:rPr>
          <w:rFonts w:hint="eastAsia"/>
        </w:rPr>
        <w:t>供应商应按照本章供应商须知的要求</w:t>
      </w:r>
      <w:r>
        <w:t xml:space="preserve">, </w:t>
      </w:r>
      <w:r>
        <w:rPr>
          <w:rFonts w:hint="eastAsia"/>
        </w:rPr>
        <w:t>提交壹份磋商响应文件正本和“供应商须知前附表”中规定数量的副本，每套磋商响应文件封面须清楚地标明“正本”或“副本”。同时提供与正本内容一致的电子版（</w:t>
      </w:r>
      <w:r>
        <w:t>U</w:t>
      </w:r>
      <w:r>
        <w:rPr>
          <w:rFonts w:hint="eastAsia"/>
        </w:rPr>
        <w:t>盘一份）磋商响应文件一份，并标注供应商全称、项目名称、项目编号，与磋商响应文件同时递交。</w:t>
      </w:r>
    </w:p>
    <w:p>
      <w:pPr>
        <w:adjustRightInd w:val="0"/>
        <w:snapToGrid w:val="0"/>
        <w:spacing w:line="520" w:lineRule="exact"/>
        <w:ind w:firstLine="480" w:firstLineChars="200"/>
      </w:pPr>
      <w:r>
        <w:t>16.2</w:t>
      </w:r>
      <w:r>
        <w:rPr>
          <w:rFonts w:hint="eastAsia"/>
        </w:rPr>
        <w:t>磋商响应文件正本需打印或用不褪色的蓝</w:t>
      </w:r>
      <w:r>
        <w:t>(</w:t>
      </w:r>
      <w:r>
        <w:rPr>
          <w:rFonts w:hint="eastAsia"/>
        </w:rPr>
        <w:t>黑</w:t>
      </w:r>
      <w:r>
        <w:t>)</w:t>
      </w:r>
      <w:r>
        <w:rPr>
          <w:rFonts w:hint="eastAsia"/>
        </w:rPr>
        <w:t>色墨水</w:t>
      </w:r>
      <w:r>
        <w:t>(</w:t>
      </w:r>
      <w:r>
        <w:rPr>
          <w:rFonts w:hint="eastAsia"/>
        </w:rPr>
        <w:t>汁</w:t>
      </w:r>
      <w:r>
        <w:t>)</w:t>
      </w:r>
      <w:r>
        <w:rPr>
          <w:rFonts w:hint="eastAsia"/>
        </w:rPr>
        <w:t>书写</w:t>
      </w:r>
      <w:r>
        <w:t>,</w:t>
      </w:r>
      <w:r>
        <w:rPr>
          <w:rFonts w:hint="eastAsia"/>
        </w:rPr>
        <w:t>并由供应商法定代表人或经法定代表人正式授权的代表签字（磋商文件要求磋商响应文件中法定代表人签字处由法定代表人签署，要求授权代表签字处由授权代表签署），若由授权代表签署，须将按磋商文件规定的格式出具的“法定代表人授权书”附在磋商响应文件中，所有要求签字（名）处，均须由签字（名）者本人用不褪色的蓝</w:t>
      </w:r>
      <w:r>
        <w:t>(</w:t>
      </w:r>
      <w:r>
        <w:rPr>
          <w:rFonts w:hint="eastAsia"/>
        </w:rPr>
        <w:t>黑</w:t>
      </w:r>
      <w:r>
        <w:t>)</w:t>
      </w:r>
      <w:r>
        <w:rPr>
          <w:rFonts w:hint="eastAsia"/>
        </w:rPr>
        <w:t>色墨水</w:t>
      </w:r>
      <w:r>
        <w:t>(</w:t>
      </w:r>
      <w:r>
        <w:rPr>
          <w:rFonts w:hint="eastAsia"/>
        </w:rPr>
        <w:t>汁</w:t>
      </w:r>
      <w:r>
        <w:t>)</w:t>
      </w:r>
      <w:r>
        <w:rPr>
          <w:rFonts w:hint="eastAsia"/>
        </w:rPr>
        <w:t>书写，不得用任何形式的图章代替。所有磋商响应文件正本和副本须按第六章规定的顺序编排、并应编制目录、逐页标注连续页码，每一页的正下方清楚标明第几页共几页等字样，并分别胶装成册。</w:t>
      </w:r>
    </w:p>
    <w:p>
      <w:pPr>
        <w:adjustRightInd w:val="0"/>
        <w:snapToGrid w:val="0"/>
        <w:spacing w:line="520" w:lineRule="exact"/>
        <w:ind w:firstLine="480" w:firstLineChars="200"/>
      </w:pPr>
      <w:r>
        <w:t>16.3</w:t>
      </w:r>
      <w:r>
        <w:rPr>
          <w:rFonts w:hint="eastAsia"/>
        </w:rPr>
        <w:t>任何行间插字、涂改和增删，必须由供应商的法定代表人或其授权代表在旁边签字方有效。</w:t>
      </w:r>
    </w:p>
    <w:p>
      <w:pPr>
        <w:adjustRightInd w:val="0"/>
        <w:snapToGrid w:val="0"/>
        <w:spacing w:line="520" w:lineRule="exact"/>
        <w:ind w:firstLine="480" w:firstLineChars="200"/>
      </w:pPr>
      <w:r>
        <w:t>16.4</w:t>
      </w:r>
      <w:r>
        <w:rPr>
          <w:rFonts w:hint="eastAsia"/>
        </w:rPr>
        <w:t>供应商名称应填写全称，磋商响应文件正本必须逐页加盖供应商公章；</w:t>
      </w:r>
    </w:p>
    <w:p>
      <w:pPr>
        <w:adjustRightInd w:val="0"/>
        <w:snapToGrid w:val="0"/>
        <w:spacing w:line="520" w:lineRule="exact"/>
        <w:ind w:firstLine="480" w:firstLineChars="200"/>
      </w:pPr>
      <w:r>
        <w:t>16.5</w:t>
      </w:r>
      <w:r>
        <w:rPr>
          <w:rFonts w:hint="eastAsia"/>
        </w:rPr>
        <w:t>因字迹潦草、表述不清或不按磋商文件格式编制的磋商响应文件，所引起的对供应商不利的后果，由供应商自行负责。</w:t>
      </w:r>
    </w:p>
    <w:p>
      <w:pPr>
        <w:adjustRightInd w:val="0"/>
        <w:snapToGrid w:val="0"/>
        <w:spacing w:line="520" w:lineRule="exact"/>
        <w:ind w:firstLine="480" w:firstLineChars="200"/>
      </w:pPr>
      <w:r>
        <w:t>16.6</w:t>
      </w:r>
      <w:r>
        <w:rPr>
          <w:rFonts w:hint="eastAsia"/>
        </w:rPr>
        <w:t>磋商响应文件的副本、电子版须和正本保持一致。若正本、副本和电子版有不一致的内容，以正本为准。</w:t>
      </w:r>
    </w:p>
    <w:p>
      <w:pPr>
        <w:jc w:val="center"/>
        <w:rPr>
          <w:b/>
          <w:sz w:val="32"/>
          <w:szCs w:val="32"/>
        </w:rPr>
      </w:pPr>
      <w:bookmarkStart w:id="34" w:name="_Toc363473975"/>
      <w:bookmarkStart w:id="35" w:name="_Toc363474020"/>
      <w:bookmarkStart w:id="36" w:name="_Toc403077642"/>
      <w:r>
        <w:rPr>
          <w:rFonts w:hint="eastAsia"/>
          <w:b/>
          <w:sz w:val="32"/>
          <w:szCs w:val="32"/>
        </w:rPr>
        <w:t>四</w:t>
      </w:r>
      <w:r>
        <w:rPr>
          <w:b/>
          <w:sz w:val="32"/>
          <w:szCs w:val="32"/>
        </w:rPr>
        <w:t>.</w:t>
      </w:r>
      <w:r>
        <w:rPr>
          <w:rFonts w:hint="eastAsia"/>
          <w:b/>
          <w:sz w:val="32"/>
          <w:szCs w:val="32"/>
        </w:rPr>
        <w:t>磋商响应文件的递交</w:t>
      </w:r>
      <w:bookmarkEnd w:id="34"/>
      <w:bookmarkEnd w:id="35"/>
      <w:bookmarkEnd w:id="36"/>
    </w:p>
    <w:p>
      <w:pPr>
        <w:spacing w:line="500" w:lineRule="exact"/>
        <w:rPr>
          <w:b/>
          <w:szCs w:val="24"/>
        </w:rPr>
      </w:pPr>
      <w:r>
        <w:rPr>
          <w:b/>
          <w:szCs w:val="24"/>
        </w:rPr>
        <w:t>17.</w:t>
      </w:r>
      <w:r>
        <w:rPr>
          <w:rFonts w:hint="eastAsia"/>
          <w:b/>
          <w:szCs w:val="24"/>
        </w:rPr>
        <w:t>磋商响应文件的密封和标记</w:t>
      </w:r>
    </w:p>
    <w:p>
      <w:pPr>
        <w:spacing w:line="500" w:lineRule="exact"/>
        <w:ind w:firstLine="480" w:firstLineChars="200"/>
        <w:rPr>
          <w:szCs w:val="24"/>
        </w:rPr>
      </w:pPr>
      <w:r>
        <w:rPr>
          <w:szCs w:val="24"/>
        </w:rPr>
        <w:t>17.1</w:t>
      </w:r>
      <w:r>
        <w:rPr>
          <w:rFonts w:hint="eastAsia"/>
          <w:szCs w:val="24"/>
        </w:rPr>
        <w:t>供应商应将磋商响应文件正本、所有的副本、电子版本、资格证明文件分别单独密封装在封袋中（封袋不得有破损），且在封袋正面标明“正本”“副本”“电子版本”“资格证明文件”字样。封袋应加贴封条，并在封线处加盖供应商公章，封袋正面要粘贴供应商全称、项目名称、项目编号等标识。</w:t>
      </w:r>
    </w:p>
    <w:p>
      <w:pPr>
        <w:spacing w:line="500" w:lineRule="exact"/>
        <w:ind w:firstLine="480" w:firstLineChars="200"/>
        <w:rPr>
          <w:szCs w:val="24"/>
        </w:rPr>
      </w:pPr>
      <w:r>
        <w:rPr>
          <w:szCs w:val="24"/>
        </w:rPr>
        <w:t>17.2</w:t>
      </w:r>
      <w:r>
        <w:rPr>
          <w:rFonts w:hint="eastAsia"/>
          <w:szCs w:val="24"/>
        </w:rPr>
        <w:t>外层包装请按以下要求标记：</w:t>
      </w:r>
    </w:p>
    <w:p>
      <w:pPr>
        <w:spacing w:line="500" w:lineRule="exact"/>
        <w:ind w:firstLine="480" w:firstLineChars="200"/>
        <w:rPr>
          <w:szCs w:val="24"/>
        </w:rPr>
      </w:pPr>
      <w:r>
        <w:rPr>
          <w:szCs w:val="24"/>
        </w:rPr>
        <w:t xml:space="preserve">   </w:t>
      </w:r>
      <w:r>
        <w:rPr>
          <w:rFonts w:hint="eastAsia"/>
          <w:szCs w:val="24"/>
        </w:rPr>
        <w:t>（</w:t>
      </w:r>
      <w:r>
        <w:rPr>
          <w:szCs w:val="24"/>
        </w:rPr>
        <w:t xml:space="preserve">1) </w:t>
      </w:r>
      <w:r>
        <w:rPr>
          <w:rFonts w:hint="eastAsia"/>
          <w:szCs w:val="24"/>
        </w:rPr>
        <w:t>供应商的全称；</w:t>
      </w:r>
    </w:p>
    <w:p>
      <w:pPr>
        <w:spacing w:line="500" w:lineRule="exact"/>
        <w:ind w:firstLine="480" w:firstLineChars="200"/>
        <w:rPr>
          <w:szCs w:val="24"/>
        </w:rPr>
      </w:pPr>
      <w:r>
        <w:rPr>
          <w:szCs w:val="24"/>
        </w:rPr>
        <w:t xml:space="preserve">   </w:t>
      </w:r>
      <w:r>
        <w:rPr>
          <w:rFonts w:hint="eastAsia"/>
          <w:szCs w:val="24"/>
        </w:rPr>
        <w:t>（</w:t>
      </w:r>
      <w:r>
        <w:rPr>
          <w:szCs w:val="24"/>
        </w:rPr>
        <w:t xml:space="preserve">2) </w:t>
      </w:r>
      <w:r>
        <w:rPr>
          <w:rFonts w:hint="eastAsia"/>
          <w:szCs w:val="24"/>
        </w:rPr>
        <w:t>投标项目名称、项目编号；</w:t>
      </w:r>
    </w:p>
    <w:p>
      <w:pPr>
        <w:spacing w:line="500" w:lineRule="exact"/>
        <w:ind w:firstLine="480" w:firstLineChars="200"/>
        <w:rPr>
          <w:szCs w:val="24"/>
        </w:rPr>
      </w:pPr>
      <w:r>
        <w:rPr>
          <w:szCs w:val="24"/>
        </w:rPr>
        <w:t xml:space="preserve">   </w:t>
      </w:r>
      <w:r>
        <w:rPr>
          <w:rFonts w:hint="eastAsia"/>
          <w:szCs w:val="24"/>
        </w:rPr>
        <w:t>（</w:t>
      </w:r>
      <w:r>
        <w:rPr>
          <w:szCs w:val="24"/>
        </w:rPr>
        <w:t>3</w:t>
      </w:r>
      <w:r>
        <w:rPr>
          <w:rFonts w:hint="eastAsia"/>
          <w:szCs w:val="24"/>
        </w:rPr>
        <w:t>）正本或副本、电子版本、资格证明文件“请勿在＿＿＿＿＿</w:t>
      </w:r>
      <w:r>
        <w:rPr>
          <w:szCs w:val="24"/>
        </w:rPr>
        <w:t>(</w:t>
      </w:r>
      <w:r>
        <w:rPr>
          <w:rFonts w:hint="eastAsia"/>
          <w:szCs w:val="24"/>
        </w:rPr>
        <w:t>开标时间</w:t>
      </w:r>
      <w:r>
        <w:rPr>
          <w:szCs w:val="24"/>
        </w:rPr>
        <w:t>)</w:t>
      </w:r>
      <w:r>
        <w:rPr>
          <w:rFonts w:hint="eastAsia"/>
          <w:szCs w:val="24"/>
        </w:rPr>
        <w:t>之前启封”。</w:t>
      </w:r>
    </w:p>
    <w:p>
      <w:pPr>
        <w:spacing w:line="500" w:lineRule="exact"/>
        <w:ind w:firstLine="480" w:firstLineChars="200"/>
        <w:rPr>
          <w:szCs w:val="24"/>
        </w:rPr>
      </w:pPr>
      <w:r>
        <w:rPr>
          <w:szCs w:val="24"/>
        </w:rPr>
        <w:t>17.3</w:t>
      </w:r>
      <w:r>
        <w:rPr>
          <w:rFonts w:hint="eastAsia"/>
          <w:szCs w:val="24"/>
        </w:rPr>
        <w:t>如果供应商未对磋商响应文件按上述要求进行完好密封，由此产生的不利后果由供应商自行承担。</w:t>
      </w:r>
    </w:p>
    <w:p>
      <w:pPr>
        <w:spacing w:line="500" w:lineRule="exact"/>
        <w:rPr>
          <w:b/>
          <w:szCs w:val="24"/>
        </w:rPr>
      </w:pPr>
      <w:r>
        <w:rPr>
          <w:b/>
          <w:szCs w:val="24"/>
        </w:rPr>
        <w:t>18</w:t>
      </w:r>
      <w:r>
        <w:rPr>
          <w:rFonts w:hint="eastAsia"/>
          <w:b/>
          <w:szCs w:val="24"/>
        </w:rPr>
        <w:t>．磋商响应文件的递交</w:t>
      </w:r>
    </w:p>
    <w:p>
      <w:pPr>
        <w:spacing w:line="500" w:lineRule="exact"/>
        <w:ind w:firstLine="480" w:firstLineChars="200"/>
        <w:rPr>
          <w:szCs w:val="24"/>
        </w:rPr>
      </w:pPr>
      <w:r>
        <w:rPr>
          <w:szCs w:val="24"/>
        </w:rPr>
        <w:t>18.1</w:t>
      </w:r>
      <w:r>
        <w:rPr>
          <w:rFonts w:hint="eastAsia"/>
          <w:szCs w:val="24"/>
        </w:rPr>
        <w:t>供应商应按照招标公告中规定的时间、地点，在规定的磋商响应文件递交截止时间前将全部磋商响应文件和投标资料递交至采购代理机构磋商响应文件接收人。</w:t>
      </w:r>
    </w:p>
    <w:p>
      <w:pPr>
        <w:spacing w:line="500" w:lineRule="exact"/>
        <w:ind w:firstLine="480" w:firstLineChars="200"/>
        <w:rPr>
          <w:szCs w:val="24"/>
        </w:rPr>
      </w:pPr>
      <w:r>
        <w:rPr>
          <w:szCs w:val="24"/>
        </w:rPr>
        <w:t>18.2</w:t>
      </w:r>
      <w:r>
        <w:rPr>
          <w:rFonts w:hint="eastAsia"/>
          <w:szCs w:val="24"/>
        </w:rPr>
        <w:t>磋商响应文件接收人在磋商文件规定的磋商响应文件递交截止时间前，只负责磋商响应文件的接收、清点、造册登记工作，并请递交人签字确认，对其有效性不负任何责任；</w:t>
      </w:r>
    </w:p>
    <w:p>
      <w:pPr>
        <w:spacing w:line="360" w:lineRule="auto"/>
        <w:ind w:firstLine="480" w:firstLineChars="200"/>
        <w:rPr>
          <w:spacing w:val="-2"/>
        </w:rPr>
      </w:pPr>
      <w:r>
        <w:rPr>
          <w:szCs w:val="24"/>
        </w:rPr>
        <w:t>18.3</w:t>
      </w:r>
      <w:r>
        <w:rPr>
          <w:rFonts w:hint="eastAsia"/>
          <w:szCs w:val="24"/>
        </w:rPr>
        <w:t>无论供应商中标与否，其磋商响应文件</w:t>
      </w:r>
      <w:r>
        <w:rPr>
          <w:rFonts w:hint="eastAsia"/>
        </w:rPr>
        <w:t>恕不退还。</w:t>
      </w:r>
    </w:p>
    <w:p>
      <w:pPr>
        <w:spacing w:line="500" w:lineRule="exact"/>
        <w:rPr>
          <w:b/>
          <w:szCs w:val="24"/>
        </w:rPr>
      </w:pPr>
      <w:r>
        <w:rPr>
          <w:b/>
          <w:szCs w:val="24"/>
        </w:rPr>
        <w:t>19</w:t>
      </w:r>
      <w:r>
        <w:rPr>
          <w:rFonts w:hint="eastAsia"/>
          <w:b/>
          <w:szCs w:val="24"/>
        </w:rPr>
        <w:t>．迟交的磋商响应文件</w:t>
      </w:r>
    </w:p>
    <w:p>
      <w:pPr>
        <w:spacing w:line="500" w:lineRule="exact"/>
        <w:ind w:firstLine="480" w:firstLineChars="200"/>
        <w:rPr>
          <w:szCs w:val="24"/>
        </w:rPr>
      </w:pPr>
      <w:r>
        <w:rPr>
          <w:szCs w:val="24"/>
        </w:rPr>
        <w:t>19.1</w:t>
      </w:r>
      <w:r>
        <w:rPr>
          <w:rFonts w:hint="eastAsia"/>
          <w:szCs w:val="24"/>
        </w:rPr>
        <w:t>按照磋商文件的规定，在递交磋商响应文件的截止时间之后送达的磋商响应文件，为无效磋商响应文件，采购代理机构将拒绝接收。</w:t>
      </w:r>
    </w:p>
    <w:p>
      <w:pPr>
        <w:spacing w:line="500" w:lineRule="exact"/>
        <w:rPr>
          <w:b/>
          <w:szCs w:val="24"/>
        </w:rPr>
      </w:pPr>
      <w:r>
        <w:rPr>
          <w:b/>
          <w:szCs w:val="24"/>
        </w:rPr>
        <w:t>20</w:t>
      </w:r>
      <w:r>
        <w:rPr>
          <w:rFonts w:hint="eastAsia"/>
          <w:b/>
          <w:szCs w:val="24"/>
        </w:rPr>
        <w:t>．投标的修改与撤回</w:t>
      </w:r>
    </w:p>
    <w:p>
      <w:pPr>
        <w:spacing w:line="500" w:lineRule="exact"/>
        <w:ind w:firstLine="480" w:firstLineChars="200"/>
        <w:rPr>
          <w:szCs w:val="24"/>
        </w:rPr>
      </w:pPr>
      <w:r>
        <w:rPr>
          <w:szCs w:val="24"/>
        </w:rPr>
        <w:t xml:space="preserve">20.1 </w:t>
      </w:r>
      <w:r>
        <w:rPr>
          <w:rFonts w:hint="eastAsia"/>
          <w:szCs w:val="24"/>
        </w:rPr>
        <w:t>供应商在递交磋商响应文件后，可以修改或撤回其磋商响应文件，也可以提出价格变动声明，但供应商必须在规定的磋商响应文件递交截止时间之前将修改或撤回或变动价格的书面通知文件递交到采购代理机构。</w:t>
      </w:r>
    </w:p>
    <w:p>
      <w:pPr>
        <w:spacing w:line="500" w:lineRule="exact"/>
        <w:ind w:firstLine="480" w:firstLineChars="200"/>
        <w:rPr>
          <w:szCs w:val="24"/>
        </w:rPr>
      </w:pPr>
      <w:r>
        <w:rPr>
          <w:szCs w:val="24"/>
        </w:rPr>
        <w:t xml:space="preserve">20.2 </w:t>
      </w:r>
      <w:r>
        <w:rPr>
          <w:rFonts w:hint="eastAsia"/>
          <w:szCs w:val="24"/>
        </w:rPr>
        <w:t>供应商的修改或撤回或变动价格的通知应按本须知第</w:t>
      </w:r>
      <w:r>
        <w:rPr>
          <w:szCs w:val="24"/>
        </w:rPr>
        <w:t>17</w:t>
      </w:r>
      <w:r>
        <w:rPr>
          <w:rFonts w:hint="eastAsia"/>
          <w:szCs w:val="24"/>
        </w:rPr>
        <w:t>条的规定编制、密封、标记和递交。</w:t>
      </w:r>
    </w:p>
    <w:p>
      <w:pPr>
        <w:spacing w:line="500" w:lineRule="exact"/>
        <w:ind w:firstLine="480" w:firstLineChars="200"/>
        <w:rPr>
          <w:szCs w:val="24"/>
        </w:rPr>
      </w:pPr>
      <w:r>
        <w:rPr>
          <w:szCs w:val="24"/>
        </w:rPr>
        <w:t xml:space="preserve">20.3 </w:t>
      </w:r>
      <w:r>
        <w:rPr>
          <w:rFonts w:hint="eastAsia"/>
          <w:szCs w:val="24"/>
        </w:rPr>
        <w:t>在磋商响应文件递交截止时间之后，供应商不得对其投标做任何修改或撤回。</w:t>
      </w:r>
    </w:p>
    <w:p>
      <w:pPr>
        <w:adjustRightInd w:val="0"/>
        <w:snapToGrid w:val="0"/>
        <w:spacing w:line="520" w:lineRule="exact"/>
        <w:ind w:firstLine="480" w:firstLineChars="200"/>
      </w:pPr>
    </w:p>
    <w:p>
      <w:pPr>
        <w:jc w:val="center"/>
        <w:rPr>
          <w:b/>
          <w:sz w:val="32"/>
          <w:szCs w:val="32"/>
        </w:rPr>
      </w:pPr>
      <w:bookmarkStart w:id="37" w:name="_Toc363474021"/>
      <w:bookmarkStart w:id="38" w:name="_Toc403077643"/>
      <w:bookmarkStart w:id="39" w:name="_Toc363473976"/>
      <w:r>
        <w:rPr>
          <w:rFonts w:hint="eastAsia"/>
          <w:b/>
          <w:sz w:val="32"/>
          <w:szCs w:val="32"/>
        </w:rPr>
        <w:t>五</w:t>
      </w:r>
      <w:r>
        <w:rPr>
          <w:b/>
          <w:sz w:val="32"/>
          <w:szCs w:val="32"/>
        </w:rPr>
        <w:t>.</w:t>
      </w:r>
      <w:bookmarkEnd w:id="37"/>
      <w:bookmarkEnd w:id="38"/>
      <w:bookmarkEnd w:id="39"/>
      <w:r>
        <w:rPr>
          <w:rFonts w:hint="eastAsia"/>
          <w:b/>
          <w:sz w:val="32"/>
          <w:szCs w:val="32"/>
        </w:rPr>
        <w:t>磋商</w:t>
      </w:r>
    </w:p>
    <w:p>
      <w:pPr>
        <w:spacing w:line="500" w:lineRule="exact"/>
        <w:rPr>
          <w:b/>
          <w:szCs w:val="24"/>
        </w:rPr>
      </w:pPr>
      <w:r>
        <w:rPr>
          <w:b/>
          <w:szCs w:val="24"/>
        </w:rPr>
        <w:t>21.</w:t>
      </w:r>
      <w:r>
        <w:rPr>
          <w:rFonts w:hint="eastAsia"/>
          <w:b/>
          <w:szCs w:val="24"/>
        </w:rPr>
        <w:t>磋商</w:t>
      </w:r>
    </w:p>
    <w:p>
      <w:pPr>
        <w:spacing w:line="500" w:lineRule="exact"/>
        <w:ind w:firstLine="480" w:firstLineChars="200"/>
        <w:rPr>
          <w:szCs w:val="24"/>
        </w:rPr>
      </w:pPr>
      <w:r>
        <w:rPr>
          <w:szCs w:val="24"/>
        </w:rPr>
        <w:t xml:space="preserve">21.1 </w:t>
      </w:r>
      <w:r>
        <w:rPr>
          <w:rFonts w:hint="eastAsia"/>
          <w:szCs w:val="24"/>
        </w:rPr>
        <w:t>采购代理机构在规定的时间和地点组织磋商。开标时所有供应商代表自愿参加，参加开标的代表应签名报到以证明其出席。</w:t>
      </w:r>
    </w:p>
    <w:p>
      <w:pPr>
        <w:spacing w:line="500" w:lineRule="exact"/>
        <w:ind w:firstLine="480" w:firstLineChars="200"/>
        <w:rPr>
          <w:szCs w:val="24"/>
        </w:rPr>
      </w:pPr>
      <w:r>
        <w:rPr>
          <w:szCs w:val="24"/>
        </w:rPr>
        <w:t>21.2</w:t>
      </w:r>
      <w:r>
        <w:rPr>
          <w:rFonts w:hint="eastAsia"/>
          <w:szCs w:val="24"/>
        </w:rPr>
        <w:t>由供应商或者其推选的代表检查磋商响应文件的密封情况。检查完毕后，采购代理机构当众宣读供应商名称、磋商响应文件数量，以及采购代理机构认为合适的其他内容。</w:t>
      </w:r>
    </w:p>
    <w:p>
      <w:pPr>
        <w:spacing w:line="500" w:lineRule="exact"/>
        <w:ind w:firstLine="480" w:firstLineChars="200"/>
        <w:rPr>
          <w:szCs w:val="24"/>
        </w:rPr>
      </w:pPr>
      <w:r>
        <w:rPr>
          <w:szCs w:val="24"/>
        </w:rPr>
        <w:t>21.3</w:t>
      </w:r>
      <w:r>
        <w:rPr>
          <w:rFonts w:hint="eastAsia"/>
          <w:szCs w:val="24"/>
        </w:rPr>
        <w:t>在开标时没有启封和宣读的磋商响应文件将原封退回给供应商。</w:t>
      </w:r>
    </w:p>
    <w:p>
      <w:pPr>
        <w:spacing w:line="500" w:lineRule="exact"/>
        <w:ind w:firstLine="480" w:firstLineChars="200"/>
        <w:rPr>
          <w:b/>
          <w:szCs w:val="24"/>
        </w:rPr>
      </w:pPr>
      <w:r>
        <w:rPr>
          <w:szCs w:val="24"/>
        </w:rPr>
        <w:t>21.4</w:t>
      </w:r>
      <w:r>
        <w:rPr>
          <w:rFonts w:hint="eastAsia"/>
          <w:szCs w:val="24"/>
        </w:rPr>
        <w:t>采购代理机构将做开标记录，存档备查。</w:t>
      </w:r>
    </w:p>
    <w:p>
      <w:pPr>
        <w:spacing w:line="500" w:lineRule="exact"/>
        <w:rPr>
          <w:b/>
          <w:szCs w:val="24"/>
        </w:rPr>
      </w:pPr>
      <w:r>
        <w:rPr>
          <w:b/>
          <w:szCs w:val="24"/>
        </w:rPr>
        <w:t>22</w:t>
      </w:r>
      <w:r>
        <w:rPr>
          <w:rFonts w:hint="eastAsia"/>
          <w:b/>
          <w:szCs w:val="24"/>
        </w:rPr>
        <w:t>．磋商组织及磋商原则</w:t>
      </w:r>
    </w:p>
    <w:p>
      <w:pPr>
        <w:spacing w:line="500" w:lineRule="exact"/>
        <w:ind w:firstLine="480" w:firstLineChars="200"/>
        <w:rPr>
          <w:szCs w:val="24"/>
        </w:rPr>
      </w:pPr>
      <w:r>
        <w:rPr>
          <w:szCs w:val="24"/>
        </w:rPr>
        <w:t>22.1</w:t>
      </w:r>
      <w:r>
        <w:rPr>
          <w:rFonts w:hint="eastAsia"/>
          <w:szCs w:val="24"/>
        </w:rPr>
        <w:t>按照《中华人民共和国政府采购法》及实施条例和《政府采购竞争性磋商采购方式管理暂行办法》财库〔</w:t>
      </w:r>
      <w:r>
        <w:rPr>
          <w:szCs w:val="24"/>
        </w:rPr>
        <w:t>2014</w:t>
      </w:r>
      <w:r>
        <w:rPr>
          <w:rFonts w:hint="eastAsia"/>
          <w:szCs w:val="24"/>
        </w:rPr>
        <w:t>〕</w:t>
      </w:r>
      <w:r>
        <w:rPr>
          <w:szCs w:val="24"/>
        </w:rPr>
        <w:t>214</w:t>
      </w:r>
      <w:r>
        <w:rPr>
          <w:rFonts w:hint="eastAsia"/>
          <w:szCs w:val="24"/>
        </w:rPr>
        <w:t>号的规定，依法组建磋商小组。磋商小组由采购人代表和评审专家组成，成员人数应当为</w:t>
      </w:r>
      <w:r>
        <w:rPr>
          <w:szCs w:val="24"/>
        </w:rPr>
        <w:t>3</w:t>
      </w:r>
      <w:r>
        <w:rPr>
          <w:rFonts w:hint="eastAsia"/>
          <w:szCs w:val="24"/>
        </w:rPr>
        <w:t>人以上单数，其中采购人代表须持有法人授权书。磋商小组按照磋商文件规定的磋商方法独立进行磋商工作。</w:t>
      </w:r>
    </w:p>
    <w:p>
      <w:pPr>
        <w:spacing w:line="500" w:lineRule="exact"/>
        <w:ind w:firstLine="480" w:firstLineChars="200"/>
        <w:rPr>
          <w:szCs w:val="24"/>
        </w:rPr>
      </w:pPr>
      <w:r>
        <w:rPr>
          <w:szCs w:val="24"/>
        </w:rPr>
        <w:t>22.2</w:t>
      </w:r>
      <w:r>
        <w:rPr>
          <w:rFonts w:hint="eastAsia"/>
          <w:szCs w:val="24"/>
        </w:rPr>
        <w:t>磋商文件和磋商响应文件是磋商的依据。在磋商中，不得改变磋商文件中规定的磋商标准、方法和中标条件。供应商不得在开标后使用任何方式对磋商响应文件的实质性内容做任何更改。</w:t>
      </w:r>
    </w:p>
    <w:p>
      <w:pPr>
        <w:spacing w:line="500" w:lineRule="exact"/>
        <w:ind w:firstLine="480" w:firstLineChars="200"/>
        <w:rPr>
          <w:szCs w:val="24"/>
        </w:rPr>
      </w:pPr>
      <w:r>
        <w:rPr>
          <w:szCs w:val="24"/>
        </w:rPr>
        <w:t>22.3</w:t>
      </w:r>
      <w:r>
        <w:rPr>
          <w:rFonts w:hint="eastAsia"/>
          <w:szCs w:val="24"/>
        </w:rPr>
        <w:t>在磋商期间，对磋商响应文件中含义不明确、同类问题表述不一致或者有明显文字和计算错误的内容，磋商小组可以书面形式</w:t>
      </w:r>
      <w:r>
        <w:rPr>
          <w:rFonts w:hint="eastAsia" w:cs="宋体"/>
        </w:rPr>
        <w:t>（由磋商小组专家签字）</w:t>
      </w:r>
      <w:r>
        <w:rPr>
          <w:rFonts w:hint="eastAsia"/>
          <w:szCs w:val="24"/>
        </w:rPr>
        <w:t>要求供应商作出必要的澄清、说明或者纠正。供应商的澄清、说明或者补正应当采用书面形式，由其授权的代表签字，并不得超出磋商响应文件的范围或者改变磋商响应文件的实质性内容。</w:t>
      </w:r>
    </w:p>
    <w:p>
      <w:pPr>
        <w:spacing w:line="500" w:lineRule="exact"/>
        <w:ind w:firstLine="480" w:firstLineChars="200"/>
        <w:rPr>
          <w:szCs w:val="24"/>
        </w:rPr>
      </w:pPr>
      <w:r>
        <w:rPr>
          <w:szCs w:val="24"/>
        </w:rPr>
        <w:t>22.4</w:t>
      </w:r>
      <w:r>
        <w:rPr>
          <w:rFonts w:hint="eastAsia"/>
          <w:szCs w:val="24"/>
        </w:rPr>
        <w:t>如果供应商在澄清规定期限内，未能答复或拒绝答复评委会提出的澄清要求，将由评委会根据其磋商响应文件按最大风险进行磋商。</w:t>
      </w:r>
    </w:p>
    <w:p>
      <w:pPr>
        <w:spacing w:line="500" w:lineRule="exact"/>
        <w:ind w:firstLine="480" w:firstLineChars="200"/>
        <w:rPr>
          <w:szCs w:val="24"/>
        </w:rPr>
      </w:pPr>
      <w:r>
        <w:rPr>
          <w:szCs w:val="24"/>
        </w:rPr>
        <w:t>22.5</w:t>
      </w:r>
      <w:r>
        <w:rPr>
          <w:rFonts w:hint="eastAsia"/>
          <w:szCs w:val="24"/>
        </w:rPr>
        <w:t>磋商响应文件的初审（含资格性、符合性审查）</w:t>
      </w:r>
    </w:p>
    <w:p>
      <w:pPr>
        <w:spacing w:line="500" w:lineRule="exact"/>
        <w:ind w:firstLine="480" w:firstLineChars="200"/>
        <w:rPr>
          <w:szCs w:val="24"/>
        </w:rPr>
      </w:pPr>
      <w:r>
        <w:rPr>
          <w:szCs w:val="24"/>
        </w:rPr>
        <w:t>22.5.1</w:t>
      </w:r>
      <w:r>
        <w:rPr>
          <w:rFonts w:hint="eastAsia"/>
          <w:szCs w:val="24"/>
        </w:rPr>
        <w:t>采购人或采购代理机构将审查资格证明文件是否合格齐全，磋商小组审查磋商响应文件是否完整等。</w:t>
      </w:r>
    </w:p>
    <w:p>
      <w:pPr>
        <w:spacing w:line="500" w:lineRule="exact"/>
        <w:ind w:firstLine="480" w:firstLineChars="200"/>
        <w:rPr>
          <w:szCs w:val="24"/>
        </w:rPr>
      </w:pPr>
      <w:r>
        <w:rPr>
          <w:szCs w:val="24"/>
        </w:rPr>
        <w:t>22.5.2</w:t>
      </w:r>
      <w:r>
        <w:rPr>
          <w:rFonts w:hint="eastAsia"/>
          <w:szCs w:val="24"/>
        </w:rPr>
        <w:t>计算错误将按以下方法更正：</w:t>
      </w:r>
    </w:p>
    <w:p>
      <w:pPr>
        <w:numPr>
          <w:ilvl w:val="0"/>
          <w:numId w:val="7"/>
        </w:numPr>
        <w:spacing w:line="500" w:lineRule="exact"/>
        <w:ind w:firstLine="480" w:firstLineChars="200"/>
        <w:rPr>
          <w:szCs w:val="24"/>
        </w:rPr>
      </w:pPr>
      <w:r>
        <w:rPr>
          <w:rFonts w:hint="eastAsia"/>
          <w:szCs w:val="24"/>
        </w:rPr>
        <w:t>磋商响应文件中磋商一览表</w:t>
      </w:r>
      <w:r>
        <w:rPr>
          <w:szCs w:val="24"/>
        </w:rPr>
        <w:t>(</w:t>
      </w:r>
      <w:r>
        <w:rPr>
          <w:rFonts w:hint="eastAsia"/>
          <w:szCs w:val="24"/>
        </w:rPr>
        <w:t>报价表</w:t>
      </w:r>
      <w:r>
        <w:rPr>
          <w:szCs w:val="24"/>
        </w:rPr>
        <w:t>)</w:t>
      </w:r>
      <w:r>
        <w:rPr>
          <w:rFonts w:hint="eastAsia"/>
          <w:szCs w:val="24"/>
        </w:rPr>
        <w:t>内容与磋商响应文件中相应内容不一致的，以磋商一览表</w:t>
      </w:r>
      <w:r>
        <w:rPr>
          <w:szCs w:val="24"/>
        </w:rPr>
        <w:t>(</w:t>
      </w:r>
      <w:r>
        <w:rPr>
          <w:rFonts w:hint="eastAsia"/>
          <w:szCs w:val="24"/>
        </w:rPr>
        <w:t>报价表</w:t>
      </w:r>
      <w:r>
        <w:rPr>
          <w:szCs w:val="24"/>
        </w:rPr>
        <w:t>)</w:t>
      </w:r>
      <w:r>
        <w:rPr>
          <w:rFonts w:hint="eastAsia"/>
          <w:szCs w:val="24"/>
        </w:rPr>
        <w:t>为准。</w:t>
      </w:r>
    </w:p>
    <w:p>
      <w:pPr>
        <w:numPr>
          <w:ilvl w:val="0"/>
          <w:numId w:val="7"/>
        </w:numPr>
        <w:spacing w:line="500" w:lineRule="exact"/>
        <w:ind w:firstLine="480" w:firstLineChars="200"/>
        <w:rPr>
          <w:szCs w:val="24"/>
        </w:rPr>
      </w:pPr>
      <w:r>
        <w:rPr>
          <w:rFonts w:hint="eastAsia"/>
          <w:szCs w:val="24"/>
        </w:rPr>
        <w:t>磋商响应文件的大写金额和小写金额不一致的，以大写金额为准；</w:t>
      </w:r>
    </w:p>
    <w:p>
      <w:pPr>
        <w:numPr>
          <w:ilvl w:val="0"/>
          <w:numId w:val="7"/>
        </w:numPr>
        <w:spacing w:line="500" w:lineRule="exact"/>
        <w:ind w:firstLine="480" w:firstLineChars="200"/>
        <w:rPr>
          <w:szCs w:val="24"/>
        </w:rPr>
      </w:pPr>
      <w:r>
        <w:rPr>
          <w:rFonts w:hint="eastAsia"/>
          <w:szCs w:val="24"/>
        </w:rPr>
        <w:t>单价金额小数点或者百分比有明显错位的，以磋商一览表的总价为准，并修改单价；</w:t>
      </w:r>
    </w:p>
    <w:p>
      <w:pPr>
        <w:numPr>
          <w:ilvl w:val="0"/>
          <w:numId w:val="7"/>
        </w:numPr>
        <w:spacing w:line="500" w:lineRule="exact"/>
        <w:ind w:firstLine="480" w:firstLineChars="200"/>
        <w:rPr>
          <w:szCs w:val="24"/>
        </w:rPr>
      </w:pPr>
      <w:r>
        <w:rPr>
          <w:rFonts w:hint="eastAsia"/>
          <w:szCs w:val="24"/>
        </w:rPr>
        <w:t>总价金额与按单价汇总金额不一致的，以单价金额计算结果为准；</w:t>
      </w:r>
    </w:p>
    <w:p>
      <w:pPr>
        <w:widowControl/>
        <w:autoSpaceDE w:val="0"/>
        <w:autoSpaceDN w:val="0"/>
        <w:spacing w:line="500" w:lineRule="exact"/>
        <w:ind w:right="51" w:firstLine="482" w:firstLineChars="200"/>
        <w:textAlignment w:val="bottom"/>
        <w:rPr>
          <w:szCs w:val="24"/>
        </w:rPr>
      </w:pPr>
      <w:r>
        <w:rPr>
          <w:rFonts w:hint="eastAsia"/>
          <w:b/>
        </w:rPr>
        <w:t>按上述修正的顺序和方法调整的磋商报价应对供应商具有约束力。如果供应商不接受修正后的价格，其投标将按无效投标处理。</w:t>
      </w:r>
    </w:p>
    <w:p>
      <w:pPr>
        <w:spacing w:line="500" w:lineRule="exact"/>
        <w:ind w:firstLine="480" w:firstLineChars="200"/>
        <w:rPr>
          <w:szCs w:val="24"/>
        </w:rPr>
      </w:pPr>
      <w:r>
        <w:rPr>
          <w:szCs w:val="24"/>
        </w:rPr>
        <w:t>22.5.3</w:t>
      </w:r>
      <w:r>
        <w:rPr>
          <w:rFonts w:hint="eastAsia"/>
          <w:szCs w:val="24"/>
        </w:rPr>
        <w:t>在详细磋商之前，根据本须知第</w:t>
      </w:r>
      <w:r>
        <w:rPr>
          <w:szCs w:val="24"/>
        </w:rPr>
        <w:t>22.5.4</w:t>
      </w:r>
      <w:r>
        <w:rPr>
          <w:rFonts w:hint="eastAsia"/>
          <w:szCs w:val="24"/>
        </w:rPr>
        <w:t>条的规定，磋商小组要审查每份磋商响应文件是否实质上响应了磋商文件的要求。对关键条文的偏离、保留或反对将被认为是实质上的偏离。磋商小组决定投标的响应性只根据磋商响应文件本身的内容，而不寻求外部的证据。</w:t>
      </w:r>
    </w:p>
    <w:p>
      <w:pPr>
        <w:spacing w:line="500" w:lineRule="exact"/>
        <w:ind w:firstLine="480" w:firstLineChars="200"/>
        <w:rPr>
          <w:szCs w:val="24"/>
        </w:rPr>
      </w:pPr>
      <w:r>
        <w:rPr>
          <w:szCs w:val="24"/>
        </w:rPr>
        <w:t>22.5.4</w:t>
      </w:r>
      <w:r>
        <w:rPr>
          <w:rFonts w:hint="eastAsia"/>
          <w:szCs w:val="24"/>
        </w:rPr>
        <w:t>实质上没有响应磋商文件要求的投标将按无效投标处理。供应商不得通过修正或撤销不合要求的偏离从而使其投标成为实质性响应的投标。如发现下列情况之一的，其投标将构成非实质性响应，按无效投标处理：</w:t>
      </w:r>
    </w:p>
    <w:p>
      <w:pPr>
        <w:tabs>
          <w:tab w:val="left" w:pos="1260"/>
        </w:tabs>
        <w:spacing w:line="500" w:lineRule="exact"/>
        <w:ind w:firstLine="480" w:firstLineChars="200"/>
        <w:rPr>
          <w:szCs w:val="24"/>
        </w:rPr>
      </w:pPr>
      <w:r>
        <w:rPr>
          <w:szCs w:val="24"/>
        </w:rPr>
        <w:t>1</w:t>
      </w:r>
      <w:r>
        <w:rPr>
          <w:rFonts w:hint="eastAsia"/>
          <w:szCs w:val="24"/>
        </w:rPr>
        <w:t>）没有按照磋商文件要求提供的磋商响应文件或磋商响应文件构成有重大缺项；</w:t>
      </w:r>
    </w:p>
    <w:p>
      <w:pPr>
        <w:kinsoku w:val="0"/>
        <w:spacing w:line="500" w:lineRule="exact"/>
        <w:ind w:firstLine="480" w:firstLineChars="200"/>
        <w:rPr>
          <w:spacing w:val="-6"/>
        </w:rPr>
      </w:pPr>
      <w:r>
        <w:t>2</w:t>
      </w:r>
      <w:r>
        <w:rPr>
          <w:rFonts w:hint="eastAsia"/>
        </w:rPr>
        <w:t>）磋商响应文件未按磋商文件要求密封、签署、盖章的；</w:t>
      </w:r>
    </w:p>
    <w:p>
      <w:pPr>
        <w:tabs>
          <w:tab w:val="left" w:pos="1260"/>
        </w:tabs>
        <w:spacing w:line="500" w:lineRule="exact"/>
        <w:ind w:firstLine="480" w:firstLineChars="200"/>
        <w:rPr>
          <w:szCs w:val="24"/>
        </w:rPr>
      </w:pPr>
      <w:r>
        <w:rPr>
          <w:szCs w:val="24"/>
        </w:rPr>
        <w:t>3</w:t>
      </w:r>
      <w:r>
        <w:rPr>
          <w:rFonts w:hint="eastAsia"/>
          <w:szCs w:val="24"/>
        </w:rPr>
        <w:t>）供应商未按磋商文件要求提交磋商保证金或保函的；</w:t>
      </w:r>
    </w:p>
    <w:p>
      <w:pPr>
        <w:tabs>
          <w:tab w:val="left" w:pos="1260"/>
        </w:tabs>
        <w:spacing w:line="500" w:lineRule="exact"/>
        <w:ind w:firstLine="480" w:firstLineChars="200"/>
        <w:rPr>
          <w:szCs w:val="24"/>
        </w:rPr>
      </w:pPr>
      <w:r>
        <w:rPr>
          <w:szCs w:val="24"/>
        </w:rPr>
        <w:t>4</w:t>
      </w:r>
      <w:r>
        <w:rPr>
          <w:rFonts w:hint="eastAsia"/>
          <w:szCs w:val="24"/>
        </w:rPr>
        <w:t>）不具备磋商文件中规定的资格要求的；</w:t>
      </w:r>
    </w:p>
    <w:p>
      <w:pPr>
        <w:tabs>
          <w:tab w:val="left" w:pos="1260"/>
        </w:tabs>
        <w:spacing w:line="500" w:lineRule="exact"/>
        <w:ind w:firstLine="480" w:firstLineChars="200"/>
        <w:rPr>
          <w:szCs w:val="24"/>
        </w:rPr>
      </w:pPr>
      <w:r>
        <w:rPr>
          <w:szCs w:val="24"/>
        </w:rPr>
        <w:t>5</w:t>
      </w:r>
      <w:r>
        <w:rPr>
          <w:rFonts w:hint="eastAsia"/>
          <w:szCs w:val="24"/>
        </w:rPr>
        <w:t>）资格证明文件不齐全或无效的，或不符合国家规定的；</w:t>
      </w:r>
    </w:p>
    <w:p>
      <w:pPr>
        <w:tabs>
          <w:tab w:val="left" w:pos="1260"/>
        </w:tabs>
        <w:spacing w:line="500" w:lineRule="exact"/>
        <w:ind w:firstLine="480" w:firstLineChars="200"/>
        <w:rPr>
          <w:szCs w:val="24"/>
        </w:rPr>
      </w:pPr>
      <w:r>
        <w:rPr>
          <w:szCs w:val="24"/>
        </w:rPr>
        <w:t>6</w:t>
      </w:r>
      <w:r>
        <w:rPr>
          <w:rFonts w:hint="eastAsia"/>
          <w:szCs w:val="24"/>
        </w:rPr>
        <w:t>）磋商响应文件无供应商公章、无法定代表人或授权人签章或签章人无法定代表人有效委托书的；</w:t>
      </w:r>
    </w:p>
    <w:p>
      <w:pPr>
        <w:tabs>
          <w:tab w:val="left" w:pos="1260"/>
        </w:tabs>
        <w:spacing w:line="500" w:lineRule="exact"/>
        <w:rPr>
          <w:szCs w:val="24"/>
        </w:rPr>
      </w:pPr>
      <w:r>
        <w:rPr>
          <w:szCs w:val="24"/>
        </w:rPr>
        <w:t xml:space="preserve">    7</w:t>
      </w:r>
      <w:r>
        <w:rPr>
          <w:rFonts w:hint="eastAsia"/>
          <w:szCs w:val="24"/>
        </w:rPr>
        <w:t>）</w:t>
      </w:r>
      <w:r>
        <w:rPr>
          <w:rFonts w:hint="eastAsia"/>
          <w:spacing w:val="-6"/>
        </w:rPr>
        <w:t>无磋商有效期或有效期达不到磋商文件要求的</w:t>
      </w:r>
      <w:r>
        <w:rPr>
          <w:rFonts w:hint="eastAsia"/>
          <w:szCs w:val="24"/>
        </w:rPr>
        <w:t>；</w:t>
      </w:r>
    </w:p>
    <w:p>
      <w:pPr>
        <w:tabs>
          <w:tab w:val="left" w:pos="1260"/>
        </w:tabs>
        <w:spacing w:line="500" w:lineRule="exact"/>
        <w:ind w:firstLine="480" w:firstLineChars="200"/>
        <w:rPr>
          <w:szCs w:val="24"/>
        </w:rPr>
      </w:pPr>
      <w:r>
        <w:rPr>
          <w:szCs w:val="24"/>
        </w:rPr>
        <w:t>8</w:t>
      </w:r>
      <w:r>
        <w:rPr>
          <w:rFonts w:hint="eastAsia"/>
          <w:szCs w:val="24"/>
        </w:rPr>
        <w:t>）供应商在同一份磋商响应文件中，对同一招标项目报有两个或多个报价的；</w:t>
      </w:r>
    </w:p>
    <w:p>
      <w:pPr>
        <w:tabs>
          <w:tab w:val="left" w:pos="1260"/>
        </w:tabs>
        <w:spacing w:line="500" w:lineRule="exact"/>
        <w:ind w:firstLine="480" w:firstLineChars="200"/>
        <w:rPr>
          <w:szCs w:val="24"/>
        </w:rPr>
      </w:pPr>
      <w:r>
        <w:rPr>
          <w:szCs w:val="24"/>
        </w:rPr>
        <w:t>9</w:t>
      </w:r>
      <w:r>
        <w:rPr>
          <w:rFonts w:hint="eastAsia"/>
          <w:szCs w:val="24"/>
        </w:rPr>
        <w:t>）存在有重大缺漏项投项目；</w:t>
      </w:r>
    </w:p>
    <w:p>
      <w:pPr>
        <w:tabs>
          <w:tab w:val="left" w:pos="1260"/>
        </w:tabs>
        <w:spacing w:line="500" w:lineRule="exact"/>
        <w:ind w:firstLine="480" w:firstLineChars="200"/>
        <w:rPr>
          <w:szCs w:val="24"/>
        </w:rPr>
      </w:pPr>
      <w:r>
        <w:rPr>
          <w:szCs w:val="24"/>
        </w:rPr>
        <w:t>10</w:t>
      </w:r>
      <w:r>
        <w:rPr>
          <w:rFonts w:hint="eastAsia"/>
          <w:szCs w:val="24"/>
        </w:rPr>
        <w:t>）供应商有串通投标、以他人名义投标、弄虚作假、行贿等违法行为的；</w:t>
      </w:r>
    </w:p>
    <w:p>
      <w:pPr>
        <w:spacing w:line="500" w:lineRule="exact"/>
        <w:ind w:firstLine="480" w:firstLineChars="200"/>
        <w:rPr>
          <w:szCs w:val="24"/>
        </w:rPr>
      </w:pPr>
      <w:r>
        <w:rPr>
          <w:szCs w:val="24"/>
        </w:rPr>
        <w:t>11</w:t>
      </w:r>
      <w:r>
        <w:rPr>
          <w:rFonts w:hint="eastAsia"/>
          <w:szCs w:val="24"/>
        </w:rPr>
        <w:t>）投标总报价低于成本或者高于磋商文件公布的采购预算或者最高限价的；</w:t>
      </w:r>
    </w:p>
    <w:p>
      <w:pPr>
        <w:pStyle w:val="20"/>
        <w:spacing w:beforeAutospacing="0" w:afterAutospacing="0" w:line="500" w:lineRule="exact"/>
        <w:ind w:firstLine="480" w:firstLineChars="200"/>
        <w:jc w:val="both"/>
        <w:rPr>
          <w:rFonts w:cs="宋体"/>
        </w:rPr>
      </w:pPr>
      <w:r>
        <w:rPr>
          <w:rFonts w:cs="宋体"/>
        </w:rPr>
        <w:t>12</w:t>
      </w:r>
      <w:r>
        <w:rPr>
          <w:rFonts w:hint="eastAsia" w:cs="宋体"/>
        </w:rPr>
        <w:t>）磋商响应文件含有采购人不能接受的附加条件的；</w:t>
      </w:r>
    </w:p>
    <w:p>
      <w:pPr>
        <w:spacing w:line="500" w:lineRule="exact"/>
        <w:ind w:firstLine="480" w:firstLineChars="200"/>
        <w:rPr>
          <w:szCs w:val="24"/>
        </w:rPr>
      </w:pPr>
      <w:r>
        <w:rPr>
          <w:szCs w:val="24"/>
        </w:rPr>
        <w:t>13</w:t>
      </w:r>
      <w:r>
        <w:rPr>
          <w:rFonts w:hint="eastAsia"/>
          <w:szCs w:val="24"/>
        </w:rPr>
        <w:t>）磋商响应文件不符合法律法规要求的；</w:t>
      </w:r>
    </w:p>
    <w:p>
      <w:pPr>
        <w:spacing w:line="500" w:lineRule="exact"/>
        <w:ind w:firstLine="480" w:firstLineChars="200"/>
        <w:rPr>
          <w:szCs w:val="24"/>
        </w:rPr>
      </w:pPr>
      <w:r>
        <w:rPr>
          <w:szCs w:val="24"/>
        </w:rPr>
        <w:t>14</w:t>
      </w:r>
      <w:r>
        <w:rPr>
          <w:rFonts w:hint="eastAsia"/>
          <w:szCs w:val="24"/>
        </w:rPr>
        <w:t>）供应商被列入失信被执行人、重大税收违法案件当事人名单、政府采购严重违法失信行为记录名单及其他不符合《中华人民共和国政府采购法》第二十二条规定条件。</w:t>
      </w:r>
    </w:p>
    <w:p>
      <w:pPr>
        <w:spacing w:line="500" w:lineRule="exact"/>
        <w:ind w:firstLine="480" w:firstLineChars="200"/>
        <w:rPr>
          <w:szCs w:val="24"/>
        </w:rPr>
      </w:pPr>
      <w:r>
        <w:rPr>
          <w:szCs w:val="24"/>
        </w:rPr>
        <w:t>22.6</w:t>
      </w:r>
      <w:r>
        <w:rPr>
          <w:rFonts w:hint="eastAsia"/>
          <w:szCs w:val="24"/>
        </w:rPr>
        <w:t>磋商响应文件的详细评审</w:t>
      </w:r>
    </w:p>
    <w:p>
      <w:pPr>
        <w:spacing w:line="500" w:lineRule="exact"/>
        <w:ind w:firstLine="480" w:firstLineChars="200"/>
        <w:rPr>
          <w:szCs w:val="24"/>
        </w:rPr>
      </w:pPr>
      <w:r>
        <w:rPr>
          <w:szCs w:val="24"/>
        </w:rPr>
        <w:t>22.6.1</w:t>
      </w:r>
      <w:r>
        <w:rPr>
          <w:rFonts w:hint="eastAsia"/>
          <w:szCs w:val="24"/>
        </w:rPr>
        <w:t>磋商小组将按照本须知第</w:t>
      </w:r>
      <w:r>
        <w:rPr>
          <w:szCs w:val="24"/>
        </w:rPr>
        <w:t>22.5.4</w:t>
      </w:r>
      <w:r>
        <w:rPr>
          <w:rFonts w:hint="eastAsia"/>
          <w:szCs w:val="24"/>
        </w:rPr>
        <w:t>条规定，只对确定为实质性响应磋商文件要求的投标进行详细评审。</w:t>
      </w:r>
    </w:p>
    <w:p>
      <w:pPr>
        <w:spacing w:line="500" w:lineRule="exact"/>
        <w:ind w:firstLine="480" w:firstLineChars="200"/>
        <w:rPr>
          <w:szCs w:val="24"/>
        </w:rPr>
      </w:pPr>
      <w:r>
        <w:rPr>
          <w:szCs w:val="24"/>
        </w:rPr>
        <w:t>22.6.2</w:t>
      </w:r>
      <w:r>
        <w:rPr>
          <w:rFonts w:hint="eastAsia"/>
          <w:szCs w:val="24"/>
        </w:rPr>
        <w:t>详细评审按照第五章“磋商方法”的磋商方法进行。</w:t>
      </w:r>
    </w:p>
    <w:p>
      <w:pPr>
        <w:spacing w:line="500" w:lineRule="exact"/>
        <w:ind w:firstLine="480" w:firstLineChars="200"/>
        <w:rPr>
          <w:szCs w:val="24"/>
        </w:rPr>
      </w:pPr>
      <w:r>
        <w:rPr>
          <w:szCs w:val="24"/>
        </w:rPr>
        <w:t>22.7</w:t>
      </w:r>
      <w:r>
        <w:rPr>
          <w:rFonts w:hint="eastAsia"/>
          <w:szCs w:val="24"/>
        </w:rPr>
        <w:t>成交候选人的确定</w:t>
      </w:r>
    </w:p>
    <w:p>
      <w:pPr>
        <w:spacing w:line="500" w:lineRule="exact"/>
        <w:ind w:firstLine="480" w:firstLineChars="200"/>
        <w:rPr>
          <w:szCs w:val="24"/>
        </w:rPr>
      </w:pPr>
      <w:r>
        <w:rPr>
          <w:rFonts w:hint="eastAsia"/>
          <w:szCs w:val="24"/>
        </w:rPr>
        <w:t>磋商小组完成磋商后，向采购人提出书面磋商报告，并推荐三名成交候选人，标明排列顺序。</w:t>
      </w:r>
    </w:p>
    <w:p>
      <w:pPr>
        <w:spacing w:line="500" w:lineRule="exact"/>
        <w:rPr>
          <w:b/>
          <w:szCs w:val="24"/>
        </w:rPr>
      </w:pPr>
      <w:r>
        <w:rPr>
          <w:b/>
          <w:szCs w:val="24"/>
        </w:rPr>
        <w:t>23</w:t>
      </w:r>
      <w:r>
        <w:rPr>
          <w:rFonts w:hint="eastAsia"/>
          <w:b/>
          <w:szCs w:val="24"/>
        </w:rPr>
        <w:t>．磋商过程的保密</w:t>
      </w:r>
    </w:p>
    <w:p>
      <w:pPr>
        <w:spacing w:line="500" w:lineRule="exact"/>
        <w:ind w:firstLine="480" w:firstLineChars="200"/>
        <w:rPr>
          <w:szCs w:val="24"/>
        </w:rPr>
      </w:pPr>
      <w:r>
        <w:rPr>
          <w:szCs w:val="24"/>
        </w:rPr>
        <w:t>23.1</w:t>
      </w:r>
      <w:r>
        <w:rPr>
          <w:rFonts w:hint="eastAsia"/>
          <w:szCs w:val="24"/>
        </w:rPr>
        <w:t>磋商小组成员和与磋商活动有关的工作人员不得泄露有关磋商响应文件的评审和比较、成交候选人的推荐以及与磋商有关的其他情况。</w:t>
      </w:r>
    </w:p>
    <w:p>
      <w:pPr>
        <w:spacing w:line="500" w:lineRule="exact"/>
        <w:ind w:firstLine="480" w:firstLineChars="200"/>
        <w:rPr>
          <w:szCs w:val="24"/>
        </w:rPr>
      </w:pPr>
      <w:r>
        <w:rPr>
          <w:szCs w:val="24"/>
        </w:rPr>
        <w:t>23.2</w:t>
      </w:r>
      <w:r>
        <w:rPr>
          <w:rFonts w:hint="eastAsia"/>
          <w:szCs w:val="24"/>
        </w:rPr>
        <w:t>在磋商过程中，如果供应商试图在磋商响应文件的评审和比较、成交候选人的推荐以及与磋商有关的其他方面，向磋商人、采购人和采购代理机构施加任何影响，其投标应做无效投标处理。</w:t>
      </w:r>
    </w:p>
    <w:p>
      <w:pPr>
        <w:spacing w:line="500" w:lineRule="exact"/>
        <w:rPr>
          <w:b/>
          <w:szCs w:val="24"/>
        </w:rPr>
      </w:pPr>
      <w:r>
        <w:rPr>
          <w:b/>
          <w:szCs w:val="24"/>
        </w:rPr>
        <w:t>24</w:t>
      </w:r>
      <w:r>
        <w:rPr>
          <w:rFonts w:hint="eastAsia"/>
          <w:b/>
          <w:szCs w:val="24"/>
        </w:rPr>
        <w:t>．磋商方法</w:t>
      </w:r>
    </w:p>
    <w:p>
      <w:pPr>
        <w:spacing w:line="500" w:lineRule="exact"/>
        <w:ind w:firstLine="480" w:firstLineChars="200"/>
        <w:rPr>
          <w:szCs w:val="24"/>
        </w:rPr>
      </w:pPr>
      <w:r>
        <w:rPr>
          <w:rFonts w:hint="eastAsia"/>
          <w:szCs w:val="24"/>
        </w:rPr>
        <w:t>综合评分法，即在最大限度地满足磋商文件实质性要求前提下，按照磋商文件中规定的各项因素（包括磋商报价、技术或者服务水平、履约能力、售后服务、对磋商文件的响应程度等）和相应的权重分值进行综合评审后，以总得分最高的供应商作为成交候选人并依次排序。</w:t>
      </w:r>
    </w:p>
    <w:p>
      <w:pPr>
        <w:spacing w:line="500" w:lineRule="exact"/>
        <w:rPr>
          <w:b/>
          <w:szCs w:val="24"/>
        </w:rPr>
      </w:pPr>
      <w:r>
        <w:rPr>
          <w:b/>
          <w:szCs w:val="24"/>
        </w:rPr>
        <w:t>25</w:t>
      </w:r>
      <w:r>
        <w:rPr>
          <w:rFonts w:hint="eastAsia"/>
          <w:b/>
          <w:szCs w:val="24"/>
        </w:rPr>
        <w:t>．磋商程序</w:t>
      </w:r>
    </w:p>
    <w:p>
      <w:pPr>
        <w:spacing w:line="500" w:lineRule="exact"/>
        <w:ind w:firstLine="480" w:firstLineChars="200"/>
        <w:rPr>
          <w:szCs w:val="24"/>
        </w:rPr>
      </w:pPr>
      <w:bookmarkStart w:id="40" w:name="_Toc363473977"/>
      <w:bookmarkStart w:id="41" w:name="_Toc403077644"/>
      <w:bookmarkStart w:id="42" w:name="_Toc363474022"/>
      <w:r>
        <w:rPr>
          <w:szCs w:val="24"/>
        </w:rPr>
        <w:t xml:space="preserve">  </w:t>
      </w:r>
      <w:r>
        <w:rPr>
          <w:rFonts w:hint="eastAsia"/>
          <w:szCs w:val="24"/>
        </w:rPr>
        <w:t>二次报价为最终报价，最终报价后按照磋商文件中规定的各项因素进行综合评审后，在满足磋商文件全部实质性要求前提下，以磋商总得分最高的响应单位作为成交单位的磋商方法。有两个或两个以上最高得分相同，推荐其中报价最低的响应单位为成交候选单位。</w:t>
      </w:r>
    </w:p>
    <w:p>
      <w:pPr>
        <w:rPr>
          <w:b/>
          <w:sz w:val="32"/>
          <w:szCs w:val="32"/>
        </w:rPr>
      </w:pPr>
      <w:r>
        <w:rPr>
          <w:rFonts w:hint="eastAsia"/>
          <w:b/>
          <w:sz w:val="32"/>
          <w:szCs w:val="32"/>
        </w:rPr>
        <w:t>六</w:t>
      </w:r>
      <w:r>
        <w:rPr>
          <w:b/>
          <w:sz w:val="32"/>
          <w:szCs w:val="32"/>
        </w:rPr>
        <w:t>.</w:t>
      </w:r>
      <w:r>
        <w:rPr>
          <w:rFonts w:hint="eastAsia"/>
          <w:b/>
          <w:sz w:val="32"/>
          <w:szCs w:val="32"/>
        </w:rPr>
        <w:t>定标、中标通知与签约</w:t>
      </w:r>
      <w:bookmarkEnd w:id="40"/>
      <w:bookmarkEnd w:id="41"/>
      <w:bookmarkEnd w:id="42"/>
    </w:p>
    <w:p>
      <w:pPr>
        <w:spacing w:line="500" w:lineRule="exact"/>
        <w:rPr>
          <w:b/>
          <w:szCs w:val="24"/>
        </w:rPr>
      </w:pPr>
      <w:r>
        <w:rPr>
          <w:b/>
          <w:szCs w:val="24"/>
        </w:rPr>
        <w:t>26</w:t>
      </w:r>
      <w:r>
        <w:rPr>
          <w:rFonts w:hint="eastAsia"/>
          <w:b/>
          <w:szCs w:val="24"/>
        </w:rPr>
        <w:t>．定标程序</w:t>
      </w:r>
    </w:p>
    <w:p>
      <w:pPr>
        <w:spacing w:line="500" w:lineRule="exact"/>
        <w:ind w:firstLine="480" w:firstLineChars="200"/>
        <w:rPr>
          <w:szCs w:val="24"/>
        </w:rPr>
      </w:pPr>
      <w:r>
        <w:rPr>
          <w:szCs w:val="24"/>
        </w:rPr>
        <w:t>26.1</w:t>
      </w:r>
      <w:r>
        <w:rPr>
          <w:rFonts w:hint="eastAsia"/>
          <w:szCs w:val="24"/>
        </w:rPr>
        <w:t>磋商小组根据磋商方法的规定对供应商进行评审排序，推荐</w:t>
      </w:r>
      <w:r>
        <w:rPr>
          <w:szCs w:val="24"/>
        </w:rPr>
        <w:t>3</w:t>
      </w:r>
      <w:r>
        <w:rPr>
          <w:rFonts w:hint="eastAsia"/>
          <w:szCs w:val="24"/>
        </w:rPr>
        <w:t>名成交候选人，作为磋商结果。磋商结果由磋商小组成员签字确认。</w:t>
      </w:r>
    </w:p>
    <w:p>
      <w:pPr>
        <w:spacing w:line="500" w:lineRule="exact"/>
        <w:ind w:firstLine="480" w:firstLineChars="200"/>
        <w:rPr>
          <w:szCs w:val="24"/>
        </w:rPr>
      </w:pPr>
      <w:r>
        <w:rPr>
          <w:szCs w:val="24"/>
        </w:rPr>
        <w:t>26.2</w:t>
      </w:r>
      <w:r>
        <w:rPr>
          <w:rFonts w:hint="eastAsia"/>
          <w:szCs w:val="24"/>
        </w:rPr>
        <w:t>采购人根据磋商报告中推荐的成交候选人排列顺序，确定相应的成交人。</w:t>
      </w:r>
    </w:p>
    <w:p>
      <w:pPr>
        <w:spacing w:line="500" w:lineRule="exact"/>
        <w:ind w:firstLine="480" w:firstLineChars="200"/>
        <w:rPr>
          <w:szCs w:val="24"/>
        </w:rPr>
      </w:pPr>
      <w:r>
        <w:rPr>
          <w:szCs w:val="24"/>
        </w:rPr>
        <w:t>26.3</w:t>
      </w:r>
      <w:r>
        <w:rPr>
          <w:rFonts w:hint="eastAsia"/>
        </w:rPr>
        <w:t>确定的成交候选人放弃中标、在规定期限内未能签订合同、因不可抗力不能履行合同、不按照磋商文件要求提交履约保证金，或者被查实存在影响中标结果的违法行为等情形，不符合中标条件的，采购人可以按照磋商小组提出的成交候选人名单排序依次确定其他成交候选人为成交人，也可以重新招标</w:t>
      </w:r>
      <w:r>
        <w:rPr>
          <w:rFonts w:hint="eastAsia"/>
          <w:szCs w:val="24"/>
        </w:rPr>
        <w:t>。</w:t>
      </w:r>
    </w:p>
    <w:p>
      <w:pPr>
        <w:spacing w:line="500" w:lineRule="exact"/>
        <w:ind w:firstLine="480" w:firstLineChars="200"/>
        <w:rPr>
          <w:szCs w:val="24"/>
        </w:rPr>
      </w:pPr>
      <w:r>
        <w:rPr>
          <w:szCs w:val="24"/>
        </w:rPr>
        <w:t>26.4</w:t>
      </w:r>
      <w:r>
        <w:rPr>
          <w:rFonts w:hint="eastAsia"/>
          <w:szCs w:val="24"/>
        </w:rPr>
        <w:t>采购人也可以授权磋商小组磋商后直接确定成交人。</w:t>
      </w:r>
    </w:p>
    <w:p>
      <w:pPr>
        <w:spacing w:line="500" w:lineRule="exact"/>
        <w:ind w:firstLine="480" w:firstLineChars="200"/>
        <w:rPr>
          <w:szCs w:val="24"/>
        </w:rPr>
      </w:pPr>
      <w:r>
        <w:rPr>
          <w:szCs w:val="24"/>
        </w:rPr>
        <w:t>26.5</w:t>
      </w:r>
      <w:r>
        <w:rPr>
          <w:rFonts w:hint="eastAsia"/>
          <w:szCs w:val="24"/>
        </w:rPr>
        <w:t>成交人确定之后，中标结果将在财政部门指定的政府采购信息发布媒体上公告。</w:t>
      </w:r>
    </w:p>
    <w:p>
      <w:pPr>
        <w:spacing w:line="500" w:lineRule="exact"/>
        <w:ind w:firstLine="480" w:firstLineChars="200"/>
        <w:rPr>
          <w:szCs w:val="24"/>
        </w:rPr>
      </w:pPr>
      <w:r>
        <w:rPr>
          <w:szCs w:val="24"/>
        </w:rPr>
        <w:t>26.6</w:t>
      </w:r>
      <w:r>
        <w:rPr>
          <w:rFonts w:hint="eastAsia"/>
          <w:szCs w:val="24"/>
        </w:rPr>
        <w:t>供应商或者其他利害关系人对磋商结果有异议的，应当在法律规定的时间内提出。</w:t>
      </w:r>
    </w:p>
    <w:p>
      <w:pPr>
        <w:spacing w:line="500" w:lineRule="exact"/>
        <w:rPr>
          <w:b/>
          <w:szCs w:val="24"/>
        </w:rPr>
      </w:pPr>
      <w:r>
        <w:rPr>
          <w:b/>
          <w:szCs w:val="24"/>
        </w:rPr>
        <w:t>27</w:t>
      </w:r>
      <w:r>
        <w:rPr>
          <w:rFonts w:hint="eastAsia"/>
          <w:b/>
          <w:szCs w:val="24"/>
        </w:rPr>
        <w:t>．中标与落标通知</w:t>
      </w:r>
    </w:p>
    <w:p>
      <w:pPr>
        <w:spacing w:line="500" w:lineRule="exact"/>
        <w:ind w:firstLine="480" w:firstLineChars="200"/>
        <w:rPr>
          <w:szCs w:val="24"/>
        </w:rPr>
      </w:pPr>
      <w:r>
        <w:rPr>
          <w:szCs w:val="24"/>
        </w:rPr>
        <w:t xml:space="preserve">27.1 </w:t>
      </w:r>
      <w:r>
        <w:rPr>
          <w:rFonts w:hint="eastAsia"/>
          <w:szCs w:val="24"/>
        </w:rPr>
        <w:t>采购代理机构向成交人发出《成交通知书》。</w:t>
      </w:r>
      <w:r>
        <w:rPr>
          <w:szCs w:val="24"/>
        </w:rPr>
        <w:t xml:space="preserve"> </w:t>
      </w:r>
    </w:p>
    <w:p>
      <w:pPr>
        <w:spacing w:line="500" w:lineRule="exact"/>
        <w:ind w:firstLine="480" w:firstLineChars="200"/>
        <w:rPr>
          <w:szCs w:val="24"/>
        </w:rPr>
      </w:pPr>
      <w:r>
        <w:rPr>
          <w:szCs w:val="24"/>
        </w:rPr>
        <w:t>27.2</w:t>
      </w:r>
      <w:r>
        <w:rPr>
          <w:rFonts w:hint="eastAsia"/>
          <w:szCs w:val="24"/>
        </w:rPr>
        <w:t>成交通知书对采购人和成交人具有同等法律效力。成交通知书发出之后，采购人改变中标结果，或者成交人放弃中标，应当承担相应的法律责任。</w:t>
      </w:r>
    </w:p>
    <w:p>
      <w:pPr>
        <w:spacing w:line="500" w:lineRule="exact"/>
        <w:rPr>
          <w:b/>
          <w:szCs w:val="24"/>
        </w:rPr>
      </w:pPr>
      <w:r>
        <w:rPr>
          <w:b/>
          <w:szCs w:val="24"/>
        </w:rPr>
        <w:t xml:space="preserve">28. </w:t>
      </w:r>
      <w:r>
        <w:rPr>
          <w:rFonts w:hint="eastAsia"/>
          <w:b/>
          <w:szCs w:val="24"/>
        </w:rPr>
        <w:t>中标合同的签订</w:t>
      </w:r>
    </w:p>
    <w:p>
      <w:pPr>
        <w:spacing w:line="500" w:lineRule="exact"/>
        <w:ind w:firstLine="480" w:firstLineChars="200"/>
        <w:rPr>
          <w:szCs w:val="24"/>
        </w:rPr>
      </w:pPr>
      <w:r>
        <w:rPr>
          <w:szCs w:val="24"/>
        </w:rPr>
        <w:t>28.1</w:t>
      </w:r>
      <w:r>
        <w:rPr>
          <w:rFonts w:hint="eastAsia"/>
          <w:szCs w:val="24"/>
        </w:rPr>
        <w:t>采购人应当自成交通知书发出之日起三十日内，按照磋商文件和成交人磋商响应文件（包括磋商中形成的澄清文件）的约定，与成交人签订书面合同。所签订的合同不得对磋商文件和成交人的磋商响应文件（包括磋商中形成的澄清文件）作实质性修改。</w:t>
      </w:r>
    </w:p>
    <w:p>
      <w:pPr>
        <w:spacing w:line="500" w:lineRule="exact"/>
        <w:ind w:firstLine="480" w:firstLineChars="200"/>
        <w:rPr>
          <w:szCs w:val="24"/>
        </w:rPr>
      </w:pPr>
      <w:r>
        <w:rPr>
          <w:szCs w:val="24"/>
        </w:rPr>
        <w:t>28.2</w:t>
      </w:r>
      <w:r>
        <w:rPr>
          <w:rFonts w:hint="eastAsia"/>
          <w:szCs w:val="24"/>
        </w:rPr>
        <w:t>采购人自采购合同签订之日起七个工作日内，将采购合同副本报同级人民政府财政部门备案。</w:t>
      </w:r>
    </w:p>
    <w:p>
      <w:pPr>
        <w:spacing w:line="500" w:lineRule="exact"/>
        <w:rPr>
          <w:b/>
          <w:szCs w:val="24"/>
        </w:rPr>
      </w:pPr>
      <w:r>
        <w:rPr>
          <w:b/>
          <w:szCs w:val="24"/>
        </w:rPr>
        <w:t>29</w:t>
      </w:r>
      <w:r>
        <w:rPr>
          <w:rFonts w:hint="eastAsia"/>
          <w:b/>
          <w:szCs w:val="24"/>
        </w:rPr>
        <w:t>．招标代理服务费</w:t>
      </w:r>
    </w:p>
    <w:p>
      <w:pPr>
        <w:spacing w:line="600" w:lineRule="exact"/>
        <w:ind w:firstLine="480" w:firstLineChars="200"/>
        <w:rPr>
          <w:szCs w:val="24"/>
        </w:rPr>
      </w:pPr>
      <w:r>
        <w:rPr>
          <w:szCs w:val="24"/>
        </w:rPr>
        <w:t>29.1</w:t>
      </w:r>
      <w:r>
        <w:rPr>
          <w:rFonts w:hint="eastAsia"/>
          <w:szCs w:val="24"/>
        </w:rPr>
        <w:t>按国家计委颁发的《招标代理服务收费管理暂行办法》（计价格</w:t>
      </w:r>
      <w:r>
        <w:rPr>
          <w:szCs w:val="24"/>
        </w:rPr>
        <w:t>[2002]1980</w:t>
      </w:r>
      <w:r>
        <w:rPr>
          <w:rFonts w:hint="eastAsia"/>
          <w:szCs w:val="24"/>
        </w:rPr>
        <w:t>号）和国家发展改革委员会办公厅颁发的《关于招标代理服务收费有关问题的通知》（发改办价格</w:t>
      </w:r>
      <w:r>
        <w:rPr>
          <w:szCs w:val="24"/>
        </w:rPr>
        <w:t>[2003]857</w:t>
      </w:r>
      <w:r>
        <w:rPr>
          <w:rFonts w:hint="eastAsia"/>
          <w:szCs w:val="24"/>
        </w:rPr>
        <w:t>号）的有关规定，以本项目采购预算价为基数按照国家标准计取。</w:t>
      </w:r>
    </w:p>
    <w:p>
      <w:pPr>
        <w:spacing w:line="600" w:lineRule="exact"/>
        <w:ind w:firstLine="480" w:firstLineChars="200"/>
        <w:rPr>
          <w:szCs w:val="24"/>
        </w:rPr>
      </w:pPr>
      <w:r>
        <w:rPr>
          <w:szCs w:val="24"/>
        </w:rPr>
        <w:t>29</w:t>
      </w:r>
      <w:r>
        <w:t>.2</w:t>
      </w:r>
      <w:r>
        <w:rPr>
          <w:rFonts w:hint="eastAsia"/>
          <w:szCs w:val="24"/>
        </w:rPr>
        <w:t>成交人承担招标代理服务费，成交人在领取成交通知书前，须向采购代理机构一次性支付招标代理服务费。</w:t>
      </w:r>
    </w:p>
    <w:p>
      <w:pPr>
        <w:numPr>
          <w:ilvl w:val="0"/>
          <w:numId w:val="8"/>
        </w:numPr>
        <w:spacing w:line="600" w:lineRule="exact"/>
        <w:rPr>
          <w:rFonts w:cs="宋体"/>
          <w:b/>
          <w:bCs/>
          <w:szCs w:val="24"/>
        </w:rPr>
      </w:pPr>
      <w:r>
        <w:rPr>
          <w:rFonts w:hint="eastAsia" w:cs="宋体"/>
          <w:b/>
          <w:bCs/>
          <w:szCs w:val="24"/>
        </w:rPr>
        <w:t>质疑</w:t>
      </w:r>
    </w:p>
    <w:p>
      <w:pPr>
        <w:spacing w:line="500" w:lineRule="exact"/>
        <w:ind w:right="12" w:firstLine="480"/>
        <w:rPr>
          <w:rFonts w:cs="宋体"/>
          <w:szCs w:val="24"/>
        </w:rPr>
      </w:pPr>
      <w:r>
        <w:rPr>
          <w:rFonts w:cs="宋体"/>
          <w:szCs w:val="24"/>
        </w:rPr>
        <w:t>30.1</w:t>
      </w:r>
      <w:r>
        <w:rPr>
          <w:rFonts w:hint="eastAsia" w:cs="宋体"/>
          <w:szCs w:val="24"/>
        </w:rPr>
        <w:t>供应商认为磋商文件、招标过程、中标结果使自己的权益受到损害的，可以在知道或者应知其权益受到损害之日起</w:t>
      </w:r>
      <w:r>
        <w:rPr>
          <w:rFonts w:cs="宋体"/>
          <w:szCs w:val="24"/>
        </w:rPr>
        <w:t>7</w:t>
      </w:r>
      <w:r>
        <w:rPr>
          <w:rFonts w:hint="eastAsia" w:cs="宋体"/>
          <w:szCs w:val="24"/>
        </w:rPr>
        <w:t>个工作日内，以书面形式向采购人、采购代理机构提出质疑。</w:t>
      </w:r>
    </w:p>
    <w:p>
      <w:pPr>
        <w:spacing w:line="500" w:lineRule="exact"/>
        <w:ind w:right="12" w:firstLine="480"/>
        <w:rPr>
          <w:rStyle w:val="24"/>
          <w:rFonts w:cs="宋体"/>
          <w:bCs w:val="0"/>
          <w:szCs w:val="24"/>
          <w:shd w:val="clear" w:color="auto" w:fill="FFFFFF"/>
        </w:rPr>
      </w:pPr>
      <w:r>
        <w:rPr>
          <w:rFonts w:cs="宋体"/>
          <w:szCs w:val="24"/>
        </w:rPr>
        <w:t>30.2</w:t>
      </w:r>
      <w:r>
        <w:rPr>
          <w:rFonts w:hint="eastAsia" w:cs="宋体"/>
          <w:szCs w:val="24"/>
        </w:rPr>
        <w:t>供应商必须在法定质疑期内一次性提出针对同一采购程序环节的质疑。</w:t>
      </w:r>
    </w:p>
    <w:p>
      <w:pPr>
        <w:spacing w:line="500" w:lineRule="exact"/>
        <w:ind w:left="3" w:firstLine="518" w:firstLineChars="216"/>
        <w:rPr>
          <w:rStyle w:val="24"/>
          <w:rFonts w:cs="宋体"/>
          <w:b w:val="0"/>
          <w:szCs w:val="24"/>
          <w:shd w:val="clear" w:color="auto" w:fill="FFFFFF"/>
        </w:rPr>
      </w:pPr>
      <w:r>
        <w:rPr>
          <w:rStyle w:val="24"/>
          <w:rFonts w:cs="宋体"/>
          <w:b w:val="0"/>
          <w:szCs w:val="24"/>
          <w:shd w:val="clear" w:color="auto" w:fill="FFFFFF"/>
        </w:rPr>
        <w:t>30.3</w:t>
      </w:r>
      <w:r>
        <w:rPr>
          <w:rStyle w:val="24"/>
          <w:rFonts w:hint="eastAsia" w:cs="宋体"/>
          <w:b w:val="0"/>
          <w:szCs w:val="24"/>
          <w:shd w:val="clear" w:color="auto" w:fill="FFFFFF"/>
        </w:rPr>
        <w:t>供应商可以委托代理人进行质疑。代理人提出质疑的，应当提交授权委托书。授权委托书应当载明代理人的姓名或者名称、代理事项、具体权限、期限和相关事项。供应商为自然人的，应当由本人签字；供应商为法人或者其他组织的，应当由法定代表人、主要负责人签字或者盖章，并加盖公章。</w:t>
      </w:r>
    </w:p>
    <w:p>
      <w:pPr>
        <w:spacing w:line="500" w:lineRule="exact"/>
        <w:ind w:left="3" w:firstLine="518" w:firstLineChars="216"/>
        <w:rPr>
          <w:rStyle w:val="24"/>
          <w:rFonts w:cs="宋体"/>
          <w:b w:val="0"/>
          <w:szCs w:val="24"/>
          <w:shd w:val="clear" w:color="auto" w:fill="FFFFFF"/>
        </w:rPr>
      </w:pPr>
      <w:r>
        <w:rPr>
          <w:rStyle w:val="24"/>
          <w:rFonts w:cs="宋体"/>
          <w:b w:val="0"/>
          <w:szCs w:val="24"/>
          <w:shd w:val="clear" w:color="auto" w:fill="FFFFFF"/>
        </w:rPr>
        <w:t>30.4</w:t>
      </w:r>
      <w:r>
        <w:rPr>
          <w:rStyle w:val="24"/>
          <w:rFonts w:hint="eastAsia" w:cs="宋体"/>
          <w:b w:val="0"/>
          <w:szCs w:val="24"/>
          <w:shd w:val="clear" w:color="auto" w:fill="FFFFFF"/>
        </w:rPr>
        <w:t>以联合体形式参加政府采购活动的，其质疑应当由组成联合体的所有供应商共同提出。</w:t>
      </w:r>
    </w:p>
    <w:p>
      <w:pPr>
        <w:spacing w:line="500" w:lineRule="exact"/>
        <w:ind w:right="12" w:firstLine="480" w:firstLineChars="200"/>
        <w:rPr>
          <w:rFonts w:cs="宋体"/>
          <w:szCs w:val="24"/>
        </w:rPr>
      </w:pPr>
      <w:r>
        <w:rPr>
          <w:rFonts w:cs="宋体"/>
          <w:szCs w:val="24"/>
        </w:rPr>
        <w:t>30.5</w:t>
      </w:r>
      <w:r>
        <w:rPr>
          <w:rFonts w:hint="eastAsia" w:cs="宋体"/>
          <w:szCs w:val="24"/>
        </w:rPr>
        <w:t>供应商提出质疑应当提交质疑函和必要的证明材料。质疑函应当包括下列内容：</w:t>
      </w:r>
    </w:p>
    <w:p>
      <w:pPr>
        <w:spacing w:line="500" w:lineRule="exact"/>
        <w:ind w:right="12" w:firstLine="480" w:firstLineChars="200"/>
        <w:rPr>
          <w:rFonts w:cs="宋体"/>
          <w:szCs w:val="24"/>
        </w:rPr>
      </w:pPr>
      <w:r>
        <w:rPr>
          <w:rFonts w:cs="宋体"/>
          <w:szCs w:val="24"/>
        </w:rPr>
        <w:t>30.5.1</w:t>
      </w:r>
      <w:r>
        <w:rPr>
          <w:rFonts w:hint="eastAsia" w:cs="宋体"/>
          <w:szCs w:val="24"/>
        </w:rPr>
        <w:t>供应商的姓名或者名称、地址、邮编、联系人及联系电话；</w:t>
      </w:r>
    </w:p>
    <w:p>
      <w:pPr>
        <w:spacing w:line="500" w:lineRule="exact"/>
        <w:ind w:right="12" w:firstLine="480" w:firstLineChars="200"/>
        <w:rPr>
          <w:rFonts w:cs="宋体"/>
          <w:szCs w:val="24"/>
        </w:rPr>
      </w:pPr>
      <w:r>
        <w:rPr>
          <w:rFonts w:cs="宋体"/>
          <w:szCs w:val="24"/>
        </w:rPr>
        <w:t>30.5.2</w:t>
      </w:r>
      <w:r>
        <w:rPr>
          <w:rFonts w:hint="eastAsia" w:cs="宋体"/>
          <w:szCs w:val="24"/>
        </w:rPr>
        <w:t>质疑项目的名称、编号；</w:t>
      </w:r>
    </w:p>
    <w:p>
      <w:pPr>
        <w:spacing w:line="500" w:lineRule="exact"/>
        <w:ind w:right="12" w:firstLine="480" w:firstLineChars="200"/>
        <w:rPr>
          <w:rFonts w:cs="宋体"/>
          <w:szCs w:val="24"/>
        </w:rPr>
      </w:pPr>
      <w:r>
        <w:rPr>
          <w:rFonts w:cs="宋体"/>
          <w:szCs w:val="24"/>
        </w:rPr>
        <w:t>30.5.3</w:t>
      </w:r>
      <w:r>
        <w:rPr>
          <w:rFonts w:hint="eastAsia" w:cs="宋体"/>
          <w:szCs w:val="24"/>
        </w:rPr>
        <w:t>具体、明确的质疑事项和与质疑事项相关的请求；</w:t>
      </w:r>
    </w:p>
    <w:p>
      <w:pPr>
        <w:spacing w:line="500" w:lineRule="exact"/>
        <w:ind w:right="12" w:firstLine="480" w:firstLineChars="200"/>
        <w:rPr>
          <w:rFonts w:cs="宋体"/>
          <w:szCs w:val="24"/>
        </w:rPr>
      </w:pPr>
      <w:r>
        <w:rPr>
          <w:rFonts w:cs="宋体"/>
          <w:szCs w:val="24"/>
        </w:rPr>
        <w:t>30.5.4</w:t>
      </w:r>
      <w:r>
        <w:rPr>
          <w:rFonts w:hint="eastAsia" w:cs="宋体"/>
          <w:szCs w:val="24"/>
        </w:rPr>
        <w:t>事实依据；</w:t>
      </w:r>
    </w:p>
    <w:p>
      <w:pPr>
        <w:spacing w:line="500" w:lineRule="exact"/>
        <w:ind w:right="12" w:firstLine="480" w:firstLineChars="200"/>
        <w:rPr>
          <w:rFonts w:cs="宋体"/>
          <w:szCs w:val="24"/>
        </w:rPr>
      </w:pPr>
      <w:r>
        <w:rPr>
          <w:rFonts w:cs="宋体"/>
          <w:szCs w:val="24"/>
        </w:rPr>
        <w:t>30.5.5</w:t>
      </w:r>
      <w:r>
        <w:rPr>
          <w:rFonts w:hint="eastAsia" w:cs="宋体"/>
          <w:szCs w:val="24"/>
        </w:rPr>
        <w:t>必要的法律依据；</w:t>
      </w:r>
    </w:p>
    <w:p>
      <w:pPr>
        <w:spacing w:line="500" w:lineRule="exact"/>
        <w:ind w:right="12" w:firstLine="480" w:firstLineChars="200"/>
        <w:rPr>
          <w:rStyle w:val="24"/>
          <w:rFonts w:cs="宋体"/>
          <w:b w:val="0"/>
          <w:szCs w:val="24"/>
          <w:shd w:val="clear" w:color="auto" w:fill="FFFFFF"/>
        </w:rPr>
      </w:pPr>
      <w:r>
        <w:rPr>
          <w:rFonts w:cs="宋体"/>
          <w:szCs w:val="24"/>
        </w:rPr>
        <w:t>30.5.6</w:t>
      </w:r>
      <w:r>
        <w:rPr>
          <w:rFonts w:hint="eastAsia" w:cs="宋体"/>
          <w:szCs w:val="24"/>
        </w:rPr>
        <w:t>提出质疑的日期。</w:t>
      </w:r>
    </w:p>
    <w:p>
      <w:pPr>
        <w:widowControl/>
        <w:spacing w:line="360" w:lineRule="auto"/>
        <w:ind w:firstLine="480" w:firstLineChars="200"/>
      </w:pPr>
      <w:r>
        <w:t>30.6</w:t>
      </w:r>
      <w:r>
        <w:rPr>
          <w:rFonts w:hint="eastAsia"/>
        </w:rPr>
        <w:t>有下列情形之一的，属于无效质疑，采购代理机构和采购人不予受理：</w:t>
      </w:r>
    </w:p>
    <w:p>
      <w:pPr>
        <w:widowControl/>
        <w:spacing w:line="360" w:lineRule="auto"/>
        <w:ind w:firstLine="480" w:firstLineChars="200"/>
      </w:pPr>
      <w:r>
        <w:t>30.6.1</w:t>
      </w:r>
      <w:r>
        <w:rPr>
          <w:rFonts w:hint="eastAsia"/>
        </w:rPr>
        <w:t>质疑供应商不是参与本次政府采购项目的供应商；</w:t>
      </w:r>
    </w:p>
    <w:p>
      <w:pPr>
        <w:widowControl/>
        <w:spacing w:line="360" w:lineRule="auto"/>
        <w:ind w:firstLine="480" w:firstLineChars="200"/>
      </w:pPr>
      <w:r>
        <w:t>30.6.2</w:t>
      </w:r>
      <w:r>
        <w:rPr>
          <w:rFonts w:hint="eastAsia"/>
        </w:rPr>
        <w:t>质疑供应商与质疑事项不存在利害关系的；</w:t>
      </w:r>
    </w:p>
    <w:p>
      <w:pPr>
        <w:widowControl/>
        <w:spacing w:line="360" w:lineRule="auto"/>
        <w:ind w:firstLine="480" w:firstLineChars="200"/>
      </w:pPr>
      <w:r>
        <w:t>30.6.3</w:t>
      </w:r>
      <w:r>
        <w:rPr>
          <w:rFonts w:hint="eastAsia"/>
        </w:rPr>
        <w:t>未在法定期限内提出质疑的；</w:t>
      </w:r>
    </w:p>
    <w:p>
      <w:pPr>
        <w:widowControl/>
        <w:spacing w:line="360" w:lineRule="auto"/>
        <w:ind w:firstLine="480" w:firstLineChars="200"/>
      </w:pPr>
      <w:r>
        <w:t>30.6.4</w:t>
      </w:r>
      <w:r>
        <w:rPr>
          <w:rFonts w:hint="eastAsia"/>
        </w:rPr>
        <w:t>质疑未以书面形式提出，或质疑函主要内容构成不完整的；</w:t>
      </w:r>
    </w:p>
    <w:p>
      <w:pPr>
        <w:widowControl/>
        <w:spacing w:line="360" w:lineRule="auto"/>
        <w:ind w:firstLine="480" w:firstLineChars="200"/>
      </w:pPr>
      <w:r>
        <w:t>30.6.5</w:t>
      </w:r>
      <w:r>
        <w:rPr>
          <w:rFonts w:hint="eastAsia"/>
        </w:rPr>
        <w:t>应当提交授权书而未提交的；</w:t>
      </w:r>
    </w:p>
    <w:p>
      <w:pPr>
        <w:widowControl/>
        <w:spacing w:line="360" w:lineRule="auto"/>
        <w:ind w:firstLine="480" w:firstLineChars="200"/>
      </w:pPr>
      <w:r>
        <w:t>30.6.6</w:t>
      </w:r>
      <w:r>
        <w:rPr>
          <w:rFonts w:hint="eastAsia"/>
        </w:rPr>
        <w:t>以非法手段取得证据、材料的；</w:t>
      </w:r>
    </w:p>
    <w:p>
      <w:pPr>
        <w:widowControl/>
        <w:spacing w:line="360" w:lineRule="auto"/>
        <w:ind w:firstLine="480" w:firstLineChars="200"/>
      </w:pPr>
      <w:r>
        <w:t>30.6.7</w:t>
      </w:r>
      <w:r>
        <w:rPr>
          <w:rFonts w:hint="eastAsia"/>
        </w:rPr>
        <w:t>质疑答复后，同一质疑人就同一事项或同一采购程序环节再次提出质疑的；</w:t>
      </w:r>
    </w:p>
    <w:p>
      <w:pPr>
        <w:widowControl/>
        <w:spacing w:line="360" w:lineRule="auto"/>
        <w:ind w:firstLine="480" w:firstLineChars="200"/>
        <w:rPr>
          <w:rStyle w:val="24"/>
          <w:rFonts w:cs="宋体"/>
          <w:b w:val="0"/>
          <w:szCs w:val="24"/>
          <w:shd w:val="clear" w:color="auto" w:fill="FFFFFF"/>
        </w:rPr>
      </w:pPr>
      <w:r>
        <w:t>30.6.8</w:t>
      </w:r>
      <w:r>
        <w:rPr>
          <w:rFonts w:hint="eastAsia"/>
        </w:rPr>
        <w:t>不符合法律、法规、规章和政府采购监管机构规定的其他条件的。</w:t>
      </w:r>
    </w:p>
    <w:p>
      <w:pPr>
        <w:spacing w:line="500" w:lineRule="exact"/>
        <w:ind w:right="12"/>
        <w:rPr>
          <w:rFonts w:cs="宋体"/>
          <w:szCs w:val="24"/>
        </w:rPr>
      </w:pPr>
      <w:r>
        <w:rPr>
          <w:rFonts w:cs="宋体"/>
          <w:szCs w:val="24"/>
        </w:rPr>
        <w:t xml:space="preserve">    30.7</w:t>
      </w:r>
      <w:r>
        <w:rPr>
          <w:rFonts w:hint="eastAsia" w:cs="宋体"/>
          <w:szCs w:val="24"/>
        </w:rPr>
        <w:t>质疑答复</w:t>
      </w:r>
    </w:p>
    <w:p>
      <w:pPr>
        <w:pStyle w:val="41"/>
        <w:spacing w:line="500" w:lineRule="exact"/>
        <w:ind w:firstLine="480"/>
        <w:jc w:val="left"/>
        <w:rPr>
          <w:rFonts w:cs="宋体"/>
          <w:szCs w:val="24"/>
        </w:rPr>
      </w:pPr>
      <w:r>
        <w:rPr>
          <w:rFonts w:cs="宋体"/>
          <w:szCs w:val="24"/>
        </w:rPr>
        <w:t>30.7.1</w:t>
      </w:r>
      <w:r>
        <w:rPr>
          <w:rFonts w:hint="eastAsia" w:cs="宋体"/>
          <w:szCs w:val="24"/>
        </w:rPr>
        <w:t>采购人或采购代理机构在收到质疑函后</w:t>
      </w:r>
      <w:r>
        <w:rPr>
          <w:rFonts w:cs="宋体"/>
          <w:szCs w:val="24"/>
        </w:rPr>
        <w:t>7</w:t>
      </w:r>
      <w:r>
        <w:rPr>
          <w:rFonts w:hint="eastAsia" w:cs="宋体"/>
          <w:szCs w:val="24"/>
        </w:rPr>
        <w:t>个工作日内作出答复，并以书面形式通知质疑供应商和其他有关供应商。</w:t>
      </w:r>
    </w:p>
    <w:p>
      <w:pPr>
        <w:pStyle w:val="41"/>
        <w:spacing w:line="500" w:lineRule="exact"/>
        <w:ind w:firstLine="480" w:firstLineChars="0"/>
        <w:jc w:val="left"/>
        <w:rPr>
          <w:rFonts w:cs="宋体"/>
          <w:szCs w:val="24"/>
        </w:rPr>
      </w:pPr>
      <w:r>
        <w:rPr>
          <w:szCs w:val="24"/>
        </w:rPr>
        <w:t>30.7.2</w:t>
      </w:r>
      <w:r>
        <w:rPr>
          <w:rFonts w:hint="eastAsia"/>
          <w:szCs w:val="24"/>
        </w:rPr>
        <w:t>质疑供应商对采购人、采购代理机构的答复不满意，或者采购人、采购代理机构未在规定时间内作出答复的，可以在答复期满后</w:t>
      </w:r>
      <w:r>
        <w:rPr>
          <w:szCs w:val="24"/>
        </w:rPr>
        <w:t>15</w:t>
      </w:r>
      <w:r>
        <w:rPr>
          <w:rFonts w:hint="eastAsia"/>
          <w:szCs w:val="24"/>
        </w:rPr>
        <w:t>个工作日内向同级财政局提起投诉。</w:t>
      </w:r>
    </w:p>
    <w:p>
      <w:pPr>
        <w:pStyle w:val="41"/>
        <w:spacing w:line="500" w:lineRule="exact"/>
        <w:ind w:firstLine="480" w:firstLineChars="0"/>
        <w:jc w:val="left"/>
        <w:rPr>
          <w:rFonts w:cs="宋体"/>
          <w:szCs w:val="24"/>
        </w:rPr>
      </w:pPr>
      <w:r>
        <w:rPr>
          <w:rFonts w:cs="宋体"/>
          <w:szCs w:val="24"/>
        </w:rPr>
        <w:t>30.8</w:t>
      </w:r>
      <w:r>
        <w:rPr>
          <w:rFonts w:hint="eastAsia" w:cs="宋体"/>
          <w:szCs w:val="24"/>
        </w:rPr>
        <w:t>其他需要说明的事项</w:t>
      </w:r>
    </w:p>
    <w:p>
      <w:pPr>
        <w:pStyle w:val="41"/>
        <w:spacing w:line="500" w:lineRule="exact"/>
        <w:ind w:firstLine="480" w:firstLineChars="0"/>
        <w:jc w:val="left"/>
        <w:rPr>
          <w:rFonts w:cs="宋体"/>
          <w:szCs w:val="24"/>
        </w:rPr>
      </w:pPr>
      <w:r>
        <w:rPr>
          <w:rFonts w:cs="宋体"/>
          <w:szCs w:val="24"/>
        </w:rPr>
        <w:t>30.8.1</w:t>
      </w:r>
      <w:r>
        <w:rPr>
          <w:rFonts w:hint="eastAsia" w:cs="宋体"/>
          <w:szCs w:val="24"/>
        </w:rPr>
        <w:t>接收质疑函的方式：书面形式</w:t>
      </w:r>
    </w:p>
    <w:p>
      <w:pPr>
        <w:pStyle w:val="41"/>
        <w:spacing w:line="500" w:lineRule="exact"/>
        <w:ind w:firstLine="480" w:firstLineChars="0"/>
        <w:jc w:val="left"/>
        <w:rPr>
          <w:rFonts w:cs="宋体"/>
          <w:szCs w:val="24"/>
        </w:rPr>
      </w:pPr>
      <w:r>
        <w:rPr>
          <w:rFonts w:cs="宋体"/>
          <w:szCs w:val="24"/>
        </w:rPr>
        <w:t>30.8.2</w:t>
      </w:r>
      <w:r>
        <w:rPr>
          <w:rFonts w:hint="eastAsia" w:cs="宋体"/>
          <w:szCs w:val="24"/>
        </w:rPr>
        <w:t>联系部门：永明项目管理有限公司</w:t>
      </w:r>
    </w:p>
    <w:p>
      <w:pPr>
        <w:pStyle w:val="41"/>
        <w:spacing w:line="500" w:lineRule="exact"/>
        <w:ind w:firstLine="480" w:firstLineChars="0"/>
        <w:jc w:val="left"/>
        <w:rPr>
          <w:rFonts w:cs="宋体"/>
          <w:szCs w:val="24"/>
        </w:rPr>
      </w:pPr>
      <w:r>
        <w:rPr>
          <w:rFonts w:cs="宋体"/>
          <w:szCs w:val="24"/>
        </w:rPr>
        <w:t>30.8.3</w:t>
      </w:r>
      <w:r>
        <w:rPr>
          <w:rFonts w:hint="eastAsia" w:cs="宋体"/>
          <w:szCs w:val="24"/>
        </w:rPr>
        <w:t>联系电话：</w:t>
      </w:r>
      <w:r>
        <w:rPr>
          <w:rFonts w:cs="宋体"/>
          <w:szCs w:val="24"/>
        </w:rPr>
        <w:t>0919-6282722</w:t>
      </w:r>
    </w:p>
    <w:p>
      <w:pPr>
        <w:pStyle w:val="41"/>
        <w:spacing w:line="500" w:lineRule="exact"/>
        <w:ind w:firstLine="480" w:firstLineChars="0"/>
        <w:jc w:val="left"/>
        <w:rPr>
          <w:szCs w:val="24"/>
        </w:rPr>
      </w:pPr>
      <w:r>
        <w:rPr>
          <w:rFonts w:cs="宋体"/>
          <w:szCs w:val="24"/>
        </w:rPr>
        <w:t>30.8.4</w:t>
      </w:r>
      <w:r>
        <w:rPr>
          <w:rFonts w:hint="eastAsia" w:cs="宋体"/>
          <w:szCs w:val="24"/>
        </w:rPr>
        <w:t>通讯地址：</w:t>
      </w:r>
      <w:r>
        <w:rPr>
          <w:rFonts w:hint="eastAsia"/>
          <w:szCs w:val="24"/>
        </w:rPr>
        <w:t>铜川市耀州区步寿路</w:t>
      </w:r>
      <w:r>
        <w:rPr>
          <w:szCs w:val="24"/>
        </w:rPr>
        <w:t>21</w:t>
      </w:r>
      <w:r>
        <w:rPr>
          <w:rFonts w:hint="eastAsia"/>
          <w:szCs w:val="24"/>
        </w:rPr>
        <w:t>号</w:t>
      </w:r>
    </w:p>
    <w:p>
      <w:pPr>
        <w:spacing w:line="500" w:lineRule="exact"/>
        <w:rPr>
          <w:b/>
          <w:bCs/>
          <w:szCs w:val="24"/>
        </w:rPr>
      </w:pPr>
      <w:r>
        <w:rPr>
          <w:b/>
          <w:bCs/>
          <w:szCs w:val="24"/>
        </w:rPr>
        <w:t>31.</w:t>
      </w:r>
      <w:r>
        <w:rPr>
          <w:rFonts w:hint="eastAsia"/>
          <w:b/>
          <w:bCs/>
          <w:szCs w:val="24"/>
        </w:rPr>
        <w:t>其他</w:t>
      </w:r>
    </w:p>
    <w:p>
      <w:pPr>
        <w:spacing w:line="500" w:lineRule="exact"/>
        <w:ind w:firstLine="480" w:firstLineChars="200"/>
        <w:rPr>
          <w:szCs w:val="24"/>
        </w:rPr>
      </w:pPr>
      <w:r>
        <w:rPr>
          <w:szCs w:val="24"/>
        </w:rPr>
        <w:t>31.1</w:t>
      </w:r>
      <w:r>
        <w:rPr>
          <w:rFonts w:hint="eastAsia"/>
          <w:szCs w:val="24"/>
        </w:rPr>
        <w:t>开标后，如果供应商的报价超过了磋商文件公布的采购预算或者最高限价的，采购人不能支付的，应予无效投标处理。如果供应商的报价均超过了采购预算，采购人不能支付的，根据《中华人民共和国政府采购法》的规定，应予废标。废标后，报告同级人民政府财政部门同意，重新组织招标或采用其他方式继续采购。</w:t>
      </w:r>
    </w:p>
    <w:p>
      <w:pPr>
        <w:spacing w:line="600" w:lineRule="exact"/>
        <w:ind w:firstLine="480" w:firstLineChars="200"/>
        <w:rPr>
          <w:szCs w:val="24"/>
        </w:rPr>
      </w:pPr>
      <w:r>
        <w:rPr>
          <w:szCs w:val="24"/>
        </w:rPr>
        <w:t>31.2</w:t>
      </w:r>
      <w:r>
        <w:rPr>
          <w:rFonts w:hint="eastAsia"/>
          <w:szCs w:val="24"/>
        </w:rPr>
        <w:t>磋商响应文件递交截止时间后，提交磋商响应文件的供应商不足</w:t>
      </w:r>
      <w:r>
        <w:rPr>
          <w:szCs w:val="24"/>
        </w:rPr>
        <w:t>3</w:t>
      </w:r>
      <w:r>
        <w:rPr>
          <w:rFonts w:hint="eastAsia"/>
          <w:szCs w:val="24"/>
        </w:rPr>
        <w:t>家或通过资格审查或符合性审查的供应商不足</w:t>
      </w:r>
      <w:r>
        <w:rPr>
          <w:szCs w:val="24"/>
        </w:rPr>
        <w:t>3</w:t>
      </w:r>
      <w:r>
        <w:rPr>
          <w:rFonts w:hint="eastAsia"/>
          <w:szCs w:val="24"/>
        </w:rPr>
        <w:t>家，按废标处理。</w:t>
      </w:r>
      <w:r>
        <w:rPr>
          <w:szCs w:val="24"/>
        </w:rPr>
        <w:t xml:space="preserve"> </w:t>
      </w:r>
    </w:p>
    <w:p>
      <w:pPr>
        <w:spacing w:line="600" w:lineRule="exact"/>
        <w:ind w:firstLine="480" w:firstLineChars="200"/>
        <w:rPr>
          <w:szCs w:val="24"/>
        </w:rPr>
      </w:pPr>
    </w:p>
    <w:p>
      <w:pPr>
        <w:spacing w:line="600" w:lineRule="exact"/>
        <w:rPr>
          <w:szCs w:val="24"/>
        </w:rPr>
      </w:pPr>
    </w:p>
    <w:p>
      <w:pPr>
        <w:spacing w:line="600" w:lineRule="exact"/>
        <w:rPr>
          <w:szCs w:val="24"/>
        </w:rPr>
      </w:pPr>
    </w:p>
    <w:p>
      <w:pPr>
        <w:spacing w:line="600" w:lineRule="exact"/>
        <w:rPr>
          <w:szCs w:val="24"/>
        </w:rPr>
      </w:pPr>
    </w:p>
    <w:p>
      <w:pPr>
        <w:spacing w:line="600" w:lineRule="exact"/>
        <w:rPr>
          <w:szCs w:val="24"/>
        </w:rPr>
      </w:pPr>
    </w:p>
    <w:p>
      <w:pPr>
        <w:spacing w:line="600" w:lineRule="exact"/>
        <w:rPr>
          <w:szCs w:val="24"/>
        </w:rPr>
      </w:pPr>
    </w:p>
    <w:p>
      <w:pPr>
        <w:spacing w:line="600" w:lineRule="exact"/>
        <w:rPr>
          <w:szCs w:val="24"/>
        </w:rPr>
      </w:pPr>
    </w:p>
    <w:p>
      <w:pPr>
        <w:spacing w:line="600" w:lineRule="exact"/>
        <w:rPr>
          <w:szCs w:val="24"/>
        </w:rPr>
      </w:pPr>
    </w:p>
    <w:p>
      <w:pPr>
        <w:pStyle w:val="3"/>
        <w:numPr>
          <w:ilvl w:val="0"/>
          <w:numId w:val="9"/>
        </w:numPr>
        <w:jc w:val="center"/>
        <w:rPr>
          <w:rFonts w:ascii="宋体" w:eastAsia="宋体" w:cs="宋体"/>
          <w:sz w:val="36"/>
          <w:szCs w:val="36"/>
        </w:rPr>
      </w:pPr>
      <w:r>
        <w:rPr>
          <w:rFonts w:hint="eastAsia" w:ascii="宋体" w:eastAsia="宋体" w:cs="宋体"/>
          <w:sz w:val="36"/>
          <w:szCs w:val="36"/>
        </w:rPr>
        <w:t>拟签订的合同文本</w:t>
      </w:r>
    </w:p>
    <w:p>
      <w:pPr>
        <w:pStyle w:val="4"/>
        <w:rPr>
          <w:color w:val="FF0000"/>
        </w:rPr>
      </w:pPr>
    </w:p>
    <w:p>
      <w:pPr>
        <w:rPr>
          <w:color w:val="FF0000"/>
        </w:rPr>
      </w:pPr>
    </w:p>
    <w:p>
      <w:pPr>
        <w:pStyle w:val="4"/>
        <w:rPr>
          <w:color w:val="FF0000"/>
        </w:rPr>
      </w:pPr>
    </w:p>
    <w:p>
      <w:pPr>
        <w:spacing w:line="600" w:lineRule="auto"/>
      </w:pPr>
      <w:bookmarkStart w:id="43" w:name="_Toc332903857"/>
      <w:r>
        <w:rPr>
          <w:b/>
          <w:szCs w:val="24"/>
        </w:rPr>
        <w:t xml:space="preserve">                    </w:t>
      </w:r>
      <w:r>
        <w:rPr>
          <w:b/>
          <w:szCs w:val="24"/>
          <w:u w:val="single"/>
        </w:rPr>
        <w:t xml:space="preserve">                     </w:t>
      </w:r>
      <w:r>
        <w:rPr>
          <w:rFonts w:hint="eastAsia"/>
          <w:b/>
          <w:szCs w:val="24"/>
          <w:u w:val="single"/>
        </w:rPr>
        <w:t>项目采购合同</w:t>
      </w:r>
      <w:r>
        <w:tab/>
      </w:r>
    </w:p>
    <w:bookmarkEnd w:id="43"/>
    <w:p>
      <w:pPr>
        <w:spacing w:line="400" w:lineRule="exact"/>
        <w:ind w:firstLine="843" w:firstLineChars="300"/>
        <w:rPr>
          <w:sz w:val="28"/>
          <w:szCs w:val="28"/>
        </w:rPr>
      </w:pPr>
      <w:r>
        <w:rPr>
          <w:rFonts w:hint="eastAsia"/>
          <w:b/>
          <w:sz w:val="28"/>
          <w:szCs w:val="28"/>
        </w:rPr>
        <w:t>购货单位</w:t>
      </w:r>
      <w:r>
        <w:rPr>
          <w:rFonts w:hint="eastAsia"/>
          <w:sz w:val="28"/>
          <w:szCs w:val="28"/>
        </w:rPr>
        <w:t>：</w:t>
      </w:r>
      <w:r>
        <w:rPr>
          <w:sz w:val="28"/>
          <w:szCs w:val="28"/>
          <w:u w:val="single"/>
        </w:rPr>
        <w:t xml:space="preserve">             </w:t>
      </w:r>
      <w:r>
        <w:rPr>
          <w:rFonts w:hint="eastAsia"/>
          <w:sz w:val="28"/>
          <w:szCs w:val="28"/>
        </w:rPr>
        <w:t>（以下简称甲方）</w:t>
      </w:r>
    </w:p>
    <w:p>
      <w:pPr>
        <w:spacing w:line="400" w:lineRule="exact"/>
        <w:ind w:firstLine="422" w:firstLineChars="150"/>
        <w:rPr>
          <w:sz w:val="28"/>
          <w:szCs w:val="28"/>
        </w:rPr>
      </w:pPr>
      <w:r>
        <w:rPr>
          <w:b/>
          <w:sz w:val="28"/>
          <w:szCs w:val="28"/>
        </w:rPr>
        <w:t xml:space="preserve">   </w:t>
      </w:r>
      <w:r>
        <w:rPr>
          <w:rFonts w:hint="eastAsia"/>
          <w:b/>
          <w:sz w:val="28"/>
          <w:szCs w:val="28"/>
        </w:rPr>
        <w:t>供货单位</w:t>
      </w:r>
      <w:r>
        <w:rPr>
          <w:rFonts w:hint="eastAsia"/>
          <w:sz w:val="28"/>
          <w:szCs w:val="28"/>
        </w:rPr>
        <w:t>：</w:t>
      </w:r>
      <w:r>
        <w:rPr>
          <w:sz w:val="28"/>
          <w:szCs w:val="28"/>
          <w:u w:val="single"/>
        </w:rPr>
        <w:t xml:space="preserve">             </w:t>
      </w:r>
      <w:r>
        <w:rPr>
          <w:rFonts w:hint="eastAsia"/>
          <w:sz w:val="28"/>
          <w:szCs w:val="28"/>
        </w:rPr>
        <w:t>（以下简称乙方）</w:t>
      </w:r>
    </w:p>
    <w:p>
      <w:pPr>
        <w:spacing w:line="400" w:lineRule="exact"/>
        <w:ind w:firstLine="482" w:firstLineChars="200"/>
      </w:pPr>
      <w:r>
        <w:rPr>
          <w:rFonts w:hint="eastAsia"/>
          <w:b/>
        </w:rPr>
        <w:t>综述：</w:t>
      </w:r>
      <w:r>
        <w:rPr>
          <w:rFonts w:hint="eastAsia"/>
        </w:rPr>
        <w:t>甲、乙双方经友好协商，订立本合同，本次购销货物用于</w:t>
      </w:r>
      <w:r>
        <w:rPr>
          <w:u w:val="single"/>
        </w:rPr>
        <w:t xml:space="preserve">     </w:t>
      </w:r>
      <w:r>
        <w:t xml:space="preserve"> </w:t>
      </w:r>
      <w:r>
        <w:rPr>
          <w:rFonts w:hint="eastAsia"/>
        </w:rPr>
        <w:t>，不得用作它途，现就货物买、卖及其他各项事宜达约定如下：</w:t>
      </w:r>
    </w:p>
    <w:p>
      <w:pPr>
        <w:spacing w:line="400" w:lineRule="exact"/>
        <w:rPr>
          <w:b/>
        </w:rPr>
      </w:pPr>
      <w:r>
        <w:rPr>
          <w:rFonts w:hint="eastAsia"/>
          <w:b/>
        </w:rPr>
        <w:t>一、甲方向乙方购买产品的名称、型号、规格、数量及价格如表所列（含税，含运费）：</w:t>
      </w:r>
    </w:p>
    <w:tbl>
      <w:tblPr>
        <w:tblStyle w:val="21"/>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1817"/>
        <w:gridCol w:w="1333"/>
        <w:gridCol w:w="1260"/>
        <w:gridCol w:w="945"/>
        <w:gridCol w:w="1470"/>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trPr>
        <w:tc>
          <w:tcPr>
            <w:tcW w:w="843" w:type="dxa"/>
            <w:vAlign w:val="center"/>
          </w:tcPr>
          <w:p>
            <w:pPr>
              <w:spacing w:line="400" w:lineRule="exact"/>
              <w:jc w:val="center"/>
              <w:rPr>
                <w:bCs/>
              </w:rPr>
            </w:pPr>
            <w:r>
              <w:rPr>
                <w:rFonts w:hint="eastAsia"/>
                <w:bCs/>
              </w:rPr>
              <w:t>序号</w:t>
            </w:r>
          </w:p>
        </w:tc>
        <w:tc>
          <w:tcPr>
            <w:tcW w:w="1817" w:type="dxa"/>
            <w:vAlign w:val="center"/>
          </w:tcPr>
          <w:p>
            <w:pPr>
              <w:spacing w:line="400" w:lineRule="exact"/>
              <w:jc w:val="center"/>
              <w:rPr>
                <w:bCs/>
              </w:rPr>
            </w:pPr>
            <w:r>
              <w:rPr>
                <w:rFonts w:hint="eastAsia"/>
                <w:bCs/>
              </w:rPr>
              <w:t>产品名称</w:t>
            </w:r>
          </w:p>
        </w:tc>
        <w:tc>
          <w:tcPr>
            <w:tcW w:w="1333" w:type="dxa"/>
            <w:vAlign w:val="center"/>
          </w:tcPr>
          <w:p>
            <w:pPr>
              <w:spacing w:line="400" w:lineRule="exact"/>
              <w:jc w:val="center"/>
              <w:rPr>
                <w:bCs/>
              </w:rPr>
            </w:pPr>
            <w:r>
              <w:rPr>
                <w:rFonts w:hint="eastAsia"/>
                <w:bCs/>
              </w:rPr>
              <w:t>型号</w:t>
            </w:r>
          </w:p>
        </w:tc>
        <w:tc>
          <w:tcPr>
            <w:tcW w:w="1260" w:type="dxa"/>
            <w:vAlign w:val="center"/>
          </w:tcPr>
          <w:p>
            <w:pPr>
              <w:spacing w:line="400" w:lineRule="exact"/>
              <w:jc w:val="center"/>
              <w:rPr>
                <w:bCs/>
              </w:rPr>
            </w:pPr>
            <w:r>
              <w:rPr>
                <w:rFonts w:hint="eastAsia"/>
                <w:bCs/>
              </w:rPr>
              <w:t>规格</w:t>
            </w:r>
          </w:p>
        </w:tc>
        <w:tc>
          <w:tcPr>
            <w:tcW w:w="945" w:type="dxa"/>
            <w:vAlign w:val="center"/>
          </w:tcPr>
          <w:p>
            <w:pPr>
              <w:spacing w:line="400" w:lineRule="exact"/>
              <w:jc w:val="center"/>
              <w:rPr>
                <w:bCs/>
              </w:rPr>
            </w:pPr>
            <w:r>
              <w:rPr>
                <w:rFonts w:hint="eastAsia"/>
                <w:bCs/>
              </w:rPr>
              <w:t>数量</w:t>
            </w:r>
          </w:p>
        </w:tc>
        <w:tc>
          <w:tcPr>
            <w:tcW w:w="1470" w:type="dxa"/>
            <w:vAlign w:val="center"/>
          </w:tcPr>
          <w:p>
            <w:pPr>
              <w:spacing w:line="400" w:lineRule="exact"/>
              <w:jc w:val="center"/>
              <w:rPr>
                <w:bCs/>
              </w:rPr>
            </w:pPr>
            <w:r>
              <w:rPr>
                <w:rFonts w:hint="eastAsia"/>
                <w:bCs/>
              </w:rPr>
              <w:t>单价（元）</w:t>
            </w:r>
          </w:p>
        </w:tc>
        <w:tc>
          <w:tcPr>
            <w:tcW w:w="1575" w:type="dxa"/>
            <w:vAlign w:val="center"/>
          </w:tcPr>
          <w:p>
            <w:pPr>
              <w:spacing w:line="400" w:lineRule="exact"/>
              <w:jc w:val="center"/>
              <w:rPr>
                <w:bCs/>
              </w:rPr>
            </w:pPr>
            <w:r>
              <w:rPr>
                <w:rFonts w:hint="eastAsia"/>
                <w:bCs/>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trPr>
        <w:tc>
          <w:tcPr>
            <w:tcW w:w="9243" w:type="dxa"/>
            <w:gridSpan w:val="7"/>
            <w:vAlign w:val="center"/>
          </w:tcPr>
          <w:p>
            <w:pPr>
              <w:spacing w:line="400" w:lineRule="exact"/>
              <w:jc w:val="center"/>
              <w:rPr>
                <w:bCs/>
              </w:rPr>
            </w:pPr>
            <w:r>
              <w:rPr>
                <w:rFonts w:hint="eastAsia"/>
                <w:b/>
              </w:rPr>
              <w:t>见，（附表一）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9243" w:type="dxa"/>
            <w:gridSpan w:val="7"/>
            <w:vAlign w:val="center"/>
          </w:tcPr>
          <w:p>
            <w:pPr>
              <w:spacing w:line="400" w:lineRule="exact"/>
              <w:jc w:val="center"/>
              <w:rPr>
                <w:bCs/>
              </w:rPr>
            </w:pPr>
            <w:r>
              <w:rPr>
                <w:rFonts w:hint="eastAsia" w:cs="宋体"/>
                <w:b/>
                <w:color w:val="000000"/>
                <w:szCs w:val="24"/>
              </w:rPr>
              <w:t>大写合计：</w:t>
            </w:r>
            <w:r>
              <w:rPr>
                <w:rFonts w:cs="宋体"/>
                <w:b/>
                <w:color w:val="000000"/>
                <w:szCs w:val="24"/>
              </w:rPr>
              <w:t xml:space="preserve">                  </w:t>
            </w:r>
            <w:r>
              <w:rPr>
                <w:rFonts w:hint="eastAsia" w:cs="宋体"/>
                <w:b/>
                <w:color w:val="000000"/>
                <w:szCs w:val="24"/>
              </w:rPr>
              <w:t>小写：</w:t>
            </w:r>
          </w:p>
        </w:tc>
      </w:tr>
    </w:tbl>
    <w:p>
      <w:pPr>
        <w:spacing w:line="400" w:lineRule="exact"/>
        <w:rPr>
          <w:b/>
        </w:rPr>
      </w:pPr>
      <w:r>
        <w:rPr>
          <w:rFonts w:hint="eastAsia"/>
          <w:b/>
        </w:rPr>
        <w:t>二、付款及结算：</w:t>
      </w:r>
    </w:p>
    <w:p>
      <w:pPr>
        <w:spacing w:line="400" w:lineRule="exact"/>
        <w:ind w:firstLine="480" w:firstLineChars="200"/>
      </w:pPr>
      <w:r>
        <w:t>1.</w:t>
      </w:r>
      <w:r>
        <w:rPr>
          <w:rFonts w:hint="eastAsia"/>
        </w:rPr>
        <w:t>经双方协商，本协议涉及之全部货款，选择以下第</w:t>
      </w:r>
      <w:r>
        <w:rPr>
          <w:u w:val="single"/>
        </w:rPr>
        <w:t xml:space="preserve">   1.1     </w:t>
      </w:r>
      <w:r>
        <w:rPr>
          <w:rFonts w:hint="eastAsia"/>
        </w:rPr>
        <w:t>条之约定履行。</w:t>
      </w:r>
    </w:p>
    <w:p>
      <w:pPr>
        <w:spacing w:line="400" w:lineRule="exact"/>
        <w:ind w:firstLine="480" w:firstLineChars="200"/>
      </w:pPr>
      <w:r>
        <w:t>1.1</w:t>
      </w:r>
      <w:r>
        <w:rPr>
          <w:rFonts w:hint="eastAsia"/>
        </w:rPr>
        <w:t>甲方于本合同签订后实施项目，项目施工完毕验收合格后</w:t>
      </w:r>
      <w:r>
        <w:t>10</w:t>
      </w:r>
      <w:r>
        <w:rPr>
          <w:rFonts w:hint="eastAsia"/>
        </w:rPr>
        <w:t>个工作日内一次付清余款。质保期：</w:t>
      </w:r>
      <w:r>
        <w:rPr>
          <w:rFonts w:hint="eastAsia"/>
          <w:b/>
          <w:u w:val="single"/>
        </w:rPr>
        <w:t>质保一年</w:t>
      </w:r>
      <w:r>
        <w:rPr>
          <w:b/>
          <w:u w:val="single"/>
        </w:rPr>
        <w:t xml:space="preserve">     </w:t>
      </w:r>
      <w:r>
        <w:rPr>
          <w:rFonts w:hint="eastAsia"/>
        </w:rPr>
        <w:t>。</w:t>
      </w:r>
    </w:p>
    <w:p>
      <w:pPr>
        <w:spacing w:line="400" w:lineRule="exact"/>
        <w:ind w:firstLine="480" w:firstLineChars="200"/>
      </w:pPr>
      <w:r>
        <w:t>2.</w:t>
      </w:r>
      <w:r>
        <w:rPr>
          <w:rFonts w:hint="eastAsia"/>
        </w:rPr>
        <w:t>付款方式：</w:t>
      </w:r>
      <w:r>
        <w:rPr>
          <w:u w:val="single"/>
        </w:rPr>
        <w:t xml:space="preserve">  </w:t>
      </w:r>
      <w:r>
        <w:rPr>
          <w:rFonts w:hint="eastAsia"/>
          <w:u w:val="single"/>
        </w:rPr>
        <w:t>转账</w:t>
      </w:r>
      <w:r>
        <w:rPr>
          <w:u w:val="single"/>
        </w:rPr>
        <w:t xml:space="preserve">   </w:t>
      </w:r>
      <w:r>
        <w:rPr>
          <w:rFonts w:hint="eastAsia"/>
        </w:rPr>
        <w:t>。</w:t>
      </w:r>
    </w:p>
    <w:p>
      <w:pPr>
        <w:spacing w:line="400" w:lineRule="exact"/>
        <w:ind w:firstLine="480" w:firstLineChars="200"/>
        <w:rPr>
          <w:b/>
          <w:bCs/>
        </w:rPr>
      </w:pPr>
      <w:r>
        <w:t>3.</w:t>
      </w:r>
      <w:r>
        <w:rPr>
          <w:rFonts w:hint="eastAsia"/>
        </w:rPr>
        <w:t>结算方式：</w:t>
      </w:r>
      <w:r>
        <w:rPr>
          <w:rFonts w:hint="eastAsia"/>
          <w:b/>
          <w:bCs/>
        </w:rPr>
        <w:t>甲乙双方签订购销合同，在安装调试完成甲方验收合格后，乙方向甲方开具余款发票，甲方收到发票后甲方向乙方支付余款。</w:t>
      </w:r>
    </w:p>
    <w:p>
      <w:pPr>
        <w:spacing w:line="400" w:lineRule="exact"/>
      </w:pPr>
      <w:r>
        <w:rPr>
          <w:rFonts w:hint="eastAsia"/>
          <w:b/>
        </w:rPr>
        <w:t>三、交货地点日期</w:t>
      </w:r>
      <w:r>
        <w:rPr>
          <w:rFonts w:hint="eastAsia"/>
        </w:rPr>
        <w:t>：</w:t>
      </w:r>
    </w:p>
    <w:p>
      <w:pPr>
        <w:spacing w:line="400" w:lineRule="exact"/>
        <w:ind w:firstLine="480" w:firstLineChars="200"/>
      </w:pPr>
      <w:r>
        <w:rPr>
          <w:rFonts w:hint="eastAsia"/>
        </w:rPr>
        <w:t>本协议签订并生效之日起</w:t>
      </w:r>
      <w:r>
        <w:rPr>
          <w:u w:val="single"/>
        </w:rPr>
        <w:t xml:space="preserve"> 10</w:t>
      </w:r>
      <w:r>
        <w:rPr>
          <w:rFonts w:hint="eastAsia"/>
          <w:u w:val="single"/>
        </w:rPr>
        <w:t>个日历日内</w:t>
      </w:r>
      <w:r>
        <w:rPr>
          <w:u w:val="single"/>
        </w:rPr>
        <w:t xml:space="preserve"> </w:t>
      </w:r>
      <w:r>
        <w:rPr>
          <w:rFonts w:hint="eastAsia"/>
        </w:rPr>
        <w:t>完成供货；在甲方指定交货地点，交由乙方指定收货人和物流货运公司。</w:t>
      </w:r>
    </w:p>
    <w:p>
      <w:pPr>
        <w:spacing w:line="400" w:lineRule="exact"/>
        <w:ind w:firstLine="480" w:firstLineChars="200"/>
        <w:jc w:val="left"/>
        <w:rPr>
          <w:u w:val="single"/>
        </w:rPr>
      </w:pPr>
      <w:r>
        <w:t>1.</w:t>
      </w:r>
      <w:r>
        <w:rPr>
          <w:rFonts w:hint="eastAsia"/>
        </w:rPr>
        <w:t>甲方指定交货地点</w:t>
      </w:r>
      <w:r>
        <w:rPr>
          <w:rFonts w:hint="eastAsia"/>
          <w:u w:val="single"/>
        </w:rPr>
        <w:t>：</w:t>
      </w:r>
      <w:r>
        <w:rPr>
          <w:b/>
          <w:szCs w:val="24"/>
          <w:u w:val="single"/>
        </w:rPr>
        <w:t xml:space="preserve">             </w:t>
      </w:r>
    </w:p>
    <w:p>
      <w:pPr>
        <w:spacing w:line="400" w:lineRule="exact"/>
        <w:ind w:firstLine="480" w:firstLineChars="200"/>
      </w:pPr>
      <w:r>
        <w:t>2.</w:t>
      </w:r>
      <w:r>
        <w:rPr>
          <w:rFonts w:hint="eastAsia"/>
        </w:rPr>
        <w:t>甲方提货方式：经协商一致：乙方代发货，乙方负责接货。</w:t>
      </w:r>
    </w:p>
    <w:p>
      <w:pPr>
        <w:spacing w:line="400" w:lineRule="exact"/>
      </w:pPr>
      <w:r>
        <w:rPr>
          <w:rFonts w:hint="eastAsia"/>
          <w:b/>
        </w:rPr>
        <w:t>四、货物交付及风险转移</w:t>
      </w:r>
    </w:p>
    <w:p>
      <w:pPr>
        <w:spacing w:line="400" w:lineRule="exact"/>
        <w:ind w:left="547" w:leftChars="228"/>
      </w:pPr>
      <w:r>
        <w:rPr>
          <w:rFonts w:hint="eastAsia"/>
        </w:rPr>
        <w:t>本合同中所涉及的所有货物，乙方安排卸货到甲方指定地点，甲乙双方清点数量无误，所有货物视作此时已交付甲方，该货物的法律权利和风险随即发生转移。</w:t>
      </w:r>
    </w:p>
    <w:p>
      <w:pPr>
        <w:spacing w:line="400" w:lineRule="exact"/>
      </w:pPr>
      <w:r>
        <w:rPr>
          <w:rFonts w:hint="eastAsia"/>
          <w:b/>
        </w:rPr>
        <w:t>五、运费</w:t>
      </w:r>
      <w:r>
        <w:rPr>
          <w:rFonts w:hint="eastAsia"/>
        </w:rPr>
        <w:t>：由乙方自行承担，双方另有书面约定的除外。</w:t>
      </w:r>
    </w:p>
    <w:p>
      <w:pPr>
        <w:spacing w:line="400" w:lineRule="exact"/>
      </w:pPr>
      <w:r>
        <w:rPr>
          <w:rFonts w:hint="eastAsia"/>
          <w:b/>
        </w:rPr>
        <w:t>六、包装方式</w:t>
      </w:r>
    </w:p>
    <w:p>
      <w:pPr>
        <w:spacing w:line="400" w:lineRule="exact"/>
        <w:ind w:firstLine="480" w:firstLineChars="200"/>
      </w:pPr>
      <w:r>
        <w:rPr>
          <w:rFonts w:hint="eastAsia"/>
        </w:rPr>
        <w:t>以乙方产品包装方式为准。</w:t>
      </w:r>
    </w:p>
    <w:p>
      <w:pPr>
        <w:spacing w:line="400" w:lineRule="exact"/>
        <w:ind w:left="482" w:hanging="482" w:hangingChars="200"/>
        <w:rPr>
          <w:b/>
        </w:rPr>
      </w:pPr>
      <w:r>
        <w:rPr>
          <w:rFonts w:hint="eastAsia"/>
          <w:b/>
        </w:rPr>
        <w:t>七、</w:t>
      </w:r>
      <w:r>
        <w:t>1.</w:t>
      </w:r>
      <w:r>
        <w:rPr>
          <w:rFonts w:hint="eastAsia"/>
        </w:rPr>
        <w:t>货到甲方指定收货点后，乙方安装调试完毕后邀请甲方验收，甲方收到乙方货物后</w:t>
      </w:r>
      <w:r>
        <w:t>5</w:t>
      </w:r>
      <w:r>
        <w:rPr>
          <w:rFonts w:hint="eastAsia"/>
        </w:rPr>
        <w:t>日内安排时间同乙方在项目地点进行验收，按照合同清单，清点数量等进行验收。</w:t>
      </w:r>
    </w:p>
    <w:p>
      <w:pPr>
        <w:spacing w:line="400" w:lineRule="exact"/>
        <w:ind w:firstLine="480" w:firstLineChars="200"/>
        <w:rPr>
          <w:b/>
        </w:rPr>
      </w:pPr>
      <w:r>
        <w:t>2.</w:t>
      </w:r>
      <w:r>
        <w:rPr>
          <w:rFonts w:hint="eastAsia"/>
        </w:rPr>
        <w:t>验收以验收报告为准，验收报告结果为：</w:t>
      </w:r>
      <w:r>
        <w:rPr>
          <w:rFonts w:hint="eastAsia"/>
          <w:b/>
          <w:u w:val="single"/>
        </w:rPr>
        <w:t>合格</w:t>
      </w:r>
      <w:r>
        <w:rPr>
          <w:rFonts w:hint="eastAsia"/>
        </w:rPr>
        <w:t>和</w:t>
      </w:r>
      <w:r>
        <w:rPr>
          <w:rFonts w:hint="eastAsia"/>
          <w:b/>
          <w:u w:val="single"/>
        </w:rPr>
        <w:t>不合格</w:t>
      </w:r>
      <w:r>
        <w:t xml:space="preserve"> </w:t>
      </w:r>
      <w:r>
        <w:rPr>
          <w:rFonts w:hint="eastAsia"/>
        </w:rPr>
        <w:t>两种结果。</w:t>
      </w:r>
    </w:p>
    <w:p>
      <w:pPr>
        <w:spacing w:line="400" w:lineRule="exact"/>
        <w:rPr>
          <w:b/>
        </w:rPr>
      </w:pPr>
      <w:r>
        <w:rPr>
          <w:rFonts w:hint="eastAsia"/>
          <w:b/>
        </w:rPr>
        <w:t>八、质量保证及售后服务</w:t>
      </w:r>
    </w:p>
    <w:p>
      <w:pPr>
        <w:spacing w:line="400" w:lineRule="exact"/>
        <w:ind w:firstLine="480" w:firstLineChars="200"/>
      </w:pPr>
      <w:r>
        <w:t>1.</w:t>
      </w:r>
      <w:r>
        <w:rPr>
          <w:rFonts w:hint="eastAsia"/>
        </w:rPr>
        <w:t>货品在经甲方拆封后，如非产品质量所导致的问题，乙方不承担退、换货责任。</w:t>
      </w:r>
    </w:p>
    <w:p>
      <w:pPr>
        <w:spacing w:line="400" w:lineRule="exact"/>
        <w:ind w:left="547" w:leftChars="228"/>
        <w:rPr>
          <w:rFonts w:cs="宋体"/>
        </w:rPr>
      </w:pPr>
      <w:r>
        <w:rPr>
          <w:rFonts w:cs="宋体"/>
        </w:rPr>
        <w:t>2.</w:t>
      </w:r>
      <w:r>
        <w:rPr>
          <w:rFonts w:hint="eastAsia" w:cs="宋体"/>
        </w:rPr>
        <w:t>在质保期内，设备出现质量问题，乙方予以免费维修、更换。质保期后，如需维修，乙方只收取材料的成本费，若因甲方原因出现的故障，乙方也应积极响应，全力支持解决，费用由甲方承担。</w:t>
      </w:r>
    </w:p>
    <w:p>
      <w:pPr>
        <w:spacing w:line="400" w:lineRule="exact"/>
        <w:ind w:firstLine="480" w:firstLineChars="200"/>
        <w:rPr>
          <w:rFonts w:cs="宋体"/>
        </w:rPr>
      </w:pPr>
      <w:r>
        <w:rPr>
          <w:rFonts w:cs="宋体"/>
        </w:rPr>
        <w:t>3.</w:t>
      </w:r>
      <w:r>
        <w:rPr>
          <w:rFonts w:hint="eastAsia" w:cs="宋体"/>
        </w:rPr>
        <w:t>乙方应确保所有带电设备安全运行。</w:t>
      </w:r>
    </w:p>
    <w:p>
      <w:pPr>
        <w:spacing w:line="400" w:lineRule="exact"/>
        <w:ind w:left="547" w:leftChars="228"/>
        <w:rPr>
          <w:b/>
        </w:rPr>
      </w:pPr>
      <w:r>
        <w:rPr>
          <w:rFonts w:cs="宋体"/>
        </w:rPr>
        <w:t>4.</w:t>
      </w:r>
      <w:r>
        <w:rPr>
          <w:rFonts w:hint="eastAsia" w:cs="宋体"/>
        </w:rPr>
        <w:t>乙方必须提供优质的设备售后服务，要对讲解员进行专业培训，以保证甲方设备正常运行。设备出现故障时</w:t>
      </w:r>
      <w:r>
        <w:rPr>
          <w:rFonts w:cs="宋体"/>
        </w:rPr>
        <w:t xml:space="preserve"> </w:t>
      </w:r>
      <w:r>
        <w:rPr>
          <w:rFonts w:hint="eastAsia" w:cs="宋体"/>
        </w:rPr>
        <w:t>应在</w:t>
      </w:r>
      <w:r>
        <w:rPr>
          <w:rFonts w:cs="宋体"/>
        </w:rPr>
        <w:t>2</w:t>
      </w:r>
      <w:r>
        <w:rPr>
          <w:rFonts w:hint="eastAsia" w:cs="宋体"/>
        </w:rPr>
        <w:t>小时内响应，并在</w:t>
      </w:r>
      <w:r>
        <w:rPr>
          <w:rFonts w:cs="宋体"/>
        </w:rPr>
        <w:t>36</w:t>
      </w:r>
      <w:r>
        <w:rPr>
          <w:rFonts w:hint="eastAsia" w:cs="宋体"/>
        </w:rPr>
        <w:t>小时内到达现场解决问题。</w:t>
      </w:r>
    </w:p>
    <w:p>
      <w:pPr>
        <w:spacing w:line="400" w:lineRule="exact"/>
        <w:rPr>
          <w:b/>
        </w:rPr>
      </w:pPr>
      <w:r>
        <w:rPr>
          <w:rFonts w:hint="eastAsia"/>
          <w:b/>
        </w:rPr>
        <w:t>九、安装</w:t>
      </w:r>
    </w:p>
    <w:p>
      <w:pPr>
        <w:spacing w:line="400" w:lineRule="exact"/>
        <w:rPr>
          <w:b/>
        </w:rPr>
      </w:pPr>
      <w:r>
        <w:rPr>
          <w:b/>
        </w:rPr>
        <w:t xml:space="preserve">   </w:t>
      </w:r>
      <w:r>
        <w:rPr>
          <w:bCs/>
        </w:rPr>
        <w:t xml:space="preserve">  </w:t>
      </w:r>
      <w:r>
        <w:rPr>
          <w:rFonts w:hint="eastAsia"/>
          <w:bCs/>
        </w:rPr>
        <w:t>甲方为乙方提供所需场地，且在设备到位后按乙方技术要求布线供电，后由乙方负责安装调试直至项目完成验收合格，</w:t>
      </w:r>
    </w:p>
    <w:p>
      <w:pPr>
        <w:spacing w:line="400" w:lineRule="exact"/>
        <w:rPr>
          <w:b/>
        </w:rPr>
      </w:pPr>
      <w:r>
        <w:rPr>
          <w:rFonts w:hint="eastAsia"/>
          <w:b/>
        </w:rPr>
        <w:t>十、合同的订立</w:t>
      </w:r>
    </w:p>
    <w:p>
      <w:pPr>
        <w:spacing w:line="400" w:lineRule="exact"/>
        <w:ind w:firstLine="480" w:firstLineChars="200"/>
        <w:rPr>
          <w:b/>
        </w:rPr>
      </w:pPr>
      <w:r>
        <w:rPr>
          <w:rFonts w:hint="eastAsia"/>
        </w:rPr>
        <w:t>合同双方应以书面、传真的形式订立本合同。如双方以传真形式确认订货的，收件方在收到对方附有公章或合同章的传真件后，加盖本方公章回传真给对方后，本合同即生效。双方均需在当日将本方盖有公章或合同章的原件以快递或信函的方式发送给对方。</w:t>
      </w:r>
    </w:p>
    <w:p>
      <w:pPr>
        <w:spacing w:line="400" w:lineRule="exact"/>
        <w:rPr>
          <w:b/>
        </w:rPr>
      </w:pPr>
      <w:r>
        <w:rPr>
          <w:rFonts w:hint="eastAsia"/>
          <w:b/>
        </w:rPr>
        <w:t>十一、违约责任</w:t>
      </w:r>
    </w:p>
    <w:p>
      <w:pPr>
        <w:spacing w:line="400" w:lineRule="exact"/>
        <w:ind w:firstLine="480" w:firstLineChars="200"/>
      </w:pPr>
      <w:r>
        <w:rPr>
          <w:rFonts w:hint="eastAsia"/>
        </w:rPr>
        <w:t>本协议所有订立之事项，未经双方书面确认，双方不得单方变更或解除；如因单方变更本合同约定事项或解除本合同，给另一方造成的一切经济损失，由违约方承担赔偿责任。甲方造成串货或擅自改变交易货物用途的，应按合同总价的</w:t>
      </w:r>
      <w:r>
        <w:t>50%</w:t>
      </w:r>
      <w:r>
        <w:rPr>
          <w:rFonts w:hint="eastAsia"/>
        </w:rPr>
        <w:t>向乙方赔偿，不足以弥补乙方损失的，由甲方补足。</w:t>
      </w:r>
    </w:p>
    <w:p>
      <w:pPr>
        <w:spacing w:line="400" w:lineRule="exact"/>
        <w:rPr>
          <w:b/>
        </w:rPr>
      </w:pPr>
      <w:r>
        <w:rPr>
          <w:rFonts w:hint="eastAsia"/>
          <w:b/>
        </w:rPr>
        <w:t>十二、争议及解决</w:t>
      </w:r>
    </w:p>
    <w:p>
      <w:pPr>
        <w:spacing w:line="400" w:lineRule="exact"/>
        <w:ind w:firstLine="480" w:firstLineChars="200"/>
      </w:pPr>
      <w:r>
        <w:rPr>
          <w:rFonts w:hint="eastAsia"/>
        </w:rPr>
        <w:t>双方在本合同履行期间若发生争议，应友好协商解决。协商不成，提交乙方所在地有管辖权的人民法院裁决。</w:t>
      </w:r>
    </w:p>
    <w:p>
      <w:pPr>
        <w:spacing w:line="400" w:lineRule="exact"/>
        <w:rPr>
          <w:b/>
        </w:rPr>
      </w:pPr>
      <w:r>
        <w:rPr>
          <w:rFonts w:hint="eastAsia"/>
          <w:b/>
        </w:rPr>
        <w:t>十三、开户行及账号</w:t>
      </w:r>
    </w:p>
    <w:p>
      <w:pPr>
        <w:spacing w:line="400" w:lineRule="exact"/>
      </w:pPr>
      <w:r>
        <w:rPr>
          <w:rFonts w:hint="eastAsia"/>
        </w:rPr>
        <w:t>开</w:t>
      </w:r>
      <w:r>
        <w:t xml:space="preserve"> </w:t>
      </w:r>
      <w:r>
        <w:rPr>
          <w:rFonts w:hint="eastAsia"/>
        </w:rPr>
        <w:t>户</w:t>
      </w:r>
      <w:r>
        <w:t xml:space="preserve"> </w:t>
      </w:r>
      <w:r>
        <w:rPr>
          <w:rFonts w:hint="eastAsia"/>
        </w:rPr>
        <w:t>名：</w:t>
      </w:r>
      <w:r>
        <w:t xml:space="preserve"> </w:t>
      </w:r>
    </w:p>
    <w:p>
      <w:pPr>
        <w:spacing w:line="400" w:lineRule="exact"/>
      </w:pPr>
      <w:r>
        <w:rPr>
          <w:rFonts w:hint="eastAsia"/>
        </w:rPr>
        <w:t>开</w:t>
      </w:r>
      <w:r>
        <w:t xml:space="preserve"> </w:t>
      </w:r>
      <w:r>
        <w:rPr>
          <w:rFonts w:hint="eastAsia"/>
        </w:rPr>
        <w:t>户</w:t>
      </w:r>
      <w:r>
        <w:t xml:space="preserve"> </w:t>
      </w:r>
      <w:r>
        <w:rPr>
          <w:rFonts w:hint="eastAsia"/>
        </w:rPr>
        <w:t>行：</w:t>
      </w:r>
    </w:p>
    <w:p>
      <w:pPr>
        <w:spacing w:line="400" w:lineRule="exact"/>
      </w:pPr>
      <w:r>
        <w:rPr>
          <w:rFonts w:hint="eastAsia"/>
        </w:rPr>
        <w:t>开户账号：</w:t>
      </w:r>
    </w:p>
    <w:p>
      <w:pPr>
        <w:spacing w:line="400" w:lineRule="exact"/>
        <w:ind w:firstLine="360" w:firstLineChars="150"/>
      </w:pPr>
      <w:r>
        <w:rPr>
          <w:rFonts w:hint="eastAsia"/>
        </w:rPr>
        <w:t>上述账号为乙方唯一合法收款账户。如有变更，以乙方书面通知为准。</w:t>
      </w:r>
    </w:p>
    <w:p>
      <w:pPr>
        <w:spacing w:line="400" w:lineRule="exact"/>
        <w:rPr>
          <w:b/>
          <w:u w:val="single"/>
        </w:rPr>
      </w:pPr>
      <w:r>
        <w:rPr>
          <w:rFonts w:hint="eastAsia"/>
          <w:b/>
        </w:rPr>
        <w:t>十四、其他约定：</w:t>
      </w:r>
    </w:p>
    <w:p>
      <w:pPr>
        <w:spacing w:line="400" w:lineRule="exact"/>
        <w:rPr>
          <w:u w:val="single"/>
        </w:rPr>
      </w:pPr>
      <w:r>
        <w:rPr>
          <w:u w:val="single"/>
        </w:rPr>
        <w:t xml:space="preserve">  </w:t>
      </w:r>
      <w:r>
        <w:rPr>
          <w:rFonts w:hint="eastAsia"/>
          <w:u w:val="single"/>
        </w:rPr>
        <w:t>暂无</w:t>
      </w:r>
      <w:r>
        <w:rPr>
          <w:u w:val="single"/>
        </w:rPr>
        <w:t xml:space="preserve">                                                                </w:t>
      </w:r>
    </w:p>
    <w:p>
      <w:pPr>
        <w:pStyle w:val="2"/>
        <w:rPr>
          <w:u w:val="single"/>
        </w:rPr>
      </w:pPr>
    </w:p>
    <w:p>
      <w:pPr>
        <w:pStyle w:val="2"/>
        <w:rPr>
          <w:u w:val="single"/>
        </w:rPr>
      </w:pPr>
    </w:p>
    <w:p>
      <w:pPr>
        <w:spacing w:line="400" w:lineRule="exact"/>
        <w:rPr>
          <w:b/>
        </w:rPr>
      </w:pPr>
      <w:r>
        <w:rPr>
          <w:rFonts w:hint="eastAsia"/>
          <w:b/>
        </w:rPr>
        <w:t>十五、本协议一式三份经双方签字和盖章后生效。甲方二份留存，乙方一份具同等效力。</w:t>
      </w:r>
    </w:p>
    <w:p>
      <w:pPr>
        <w:spacing w:line="400" w:lineRule="exact"/>
        <w:ind w:firstLine="360" w:firstLineChars="150"/>
      </w:pPr>
    </w:p>
    <w:p>
      <w:pPr>
        <w:spacing w:line="400" w:lineRule="exact"/>
        <w:ind w:firstLine="360" w:firstLineChars="150"/>
      </w:pPr>
      <w:r>
        <w:rPr>
          <w:rFonts w:hint="eastAsia"/>
        </w:rPr>
        <w:t>甲方：</w:t>
      </w:r>
      <w:r>
        <w:t xml:space="preserve">                            </w:t>
      </w:r>
      <w:r>
        <w:rPr>
          <w:rFonts w:hint="eastAsia"/>
        </w:rPr>
        <w:t>乙方：</w:t>
      </w:r>
      <w:r>
        <w:t xml:space="preserve">                          </w:t>
      </w:r>
    </w:p>
    <w:p>
      <w:pPr>
        <w:spacing w:line="400" w:lineRule="exact"/>
        <w:ind w:firstLine="360" w:firstLineChars="150"/>
      </w:pPr>
      <w:r>
        <w:rPr>
          <w:rFonts w:hint="eastAsia"/>
        </w:rPr>
        <w:t>（加盖公章）</w:t>
      </w:r>
      <w:r>
        <w:t xml:space="preserve">                       </w:t>
      </w:r>
      <w:r>
        <w:rPr>
          <w:rFonts w:hint="eastAsia"/>
        </w:rPr>
        <w:t>（加盖公章）</w:t>
      </w:r>
    </w:p>
    <w:p>
      <w:pPr>
        <w:spacing w:line="400" w:lineRule="exact"/>
        <w:ind w:firstLine="360" w:firstLineChars="150"/>
      </w:pPr>
    </w:p>
    <w:p>
      <w:pPr>
        <w:spacing w:line="400" w:lineRule="exact"/>
        <w:ind w:firstLine="360" w:firstLineChars="150"/>
      </w:pPr>
      <w:r>
        <w:rPr>
          <w:rFonts w:hint="eastAsia"/>
        </w:rPr>
        <w:t>签约代表：</w:t>
      </w:r>
      <w:r>
        <w:t xml:space="preserve">                        </w:t>
      </w:r>
      <w:r>
        <w:rPr>
          <w:rFonts w:hint="eastAsia"/>
        </w:rPr>
        <w:t>签约代表：</w:t>
      </w:r>
      <w:r>
        <w:t xml:space="preserve">                      </w:t>
      </w:r>
    </w:p>
    <w:p>
      <w:pPr>
        <w:spacing w:line="400" w:lineRule="exact"/>
        <w:ind w:firstLine="360" w:firstLineChars="150"/>
      </w:pPr>
    </w:p>
    <w:p>
      <w:pPr>
        <w:spacing w:line="400" w:lineRule="exact"/>
        <w:ind w:firstLine="360" w:firstLineChars="150"/>
      </w:pPr>
      <w:r>
        <w:rPr>
          <w:rFonts w:hint="eastAsia"/>
        </w:rPr>
        <w:t>签约日期：</w:t>
      </w:r>
      <w:r>
        <w:t xml:space="preserve">                        </w:t>
      </w:r>
      <w:r>
        <w:rPr>
          <w:rFonts w:hint="eastAsia"/>
        </w:rPr>
        <w:t>签约日期：</w:t>
      </w:r>
      <w:r>
        <w:t xml:space="preserve">                      </w:t>
      </w:r>
    </w:p>
    <w:p>
      <w:pPr>
        <w:spacing w:line="400" w:lineRule="exact"/>
        <w:ind w:firstLine="360" w:firstLineChars="150"/>
      </w:pPr>
    </w:p>
    <w:p>
      <w:pPr>
        <w:spacing w:line="400" w:lineRule="exact"/>
        <w:ind w:firstLine="360" w:firstLineChars="150"/>
      </w:pPr>
      <w:r>
        <w:rPr>
          <w:rFonts w:hint="eastAsia"/>
        </w:rPr>
        <w:t>电</w:t>
      </w:r>
      <w:r>
        <w:t xml:space="preserve">   </w:t>
      </w:r>
      <w:r>
        <w:rPr>
          <w:rFonts w:hint="eastAsia"/>
        </w:rPr>
        <w:t>话：</w:t>
      </w:r>
      <w:r>
        <w:t xml:space="preserve">                         </w:t>
      </w:r>
      <w:r>
        <w:rPr>
          <w:rFonts w:hint="eastAsia"/>
        </w:rPr>
        <w:t>电</w:t>
      </w:r>
      <w:r>
        <w:t xml:space="preserve">    </w:t>
      </w:r>
      <w:r>
        <w:rPr>
          <w:rFonts w:hint="eastAsia"/>
        </w:rPr>
        <w:t>话：</w:t>
      </w:r>
      <w:r>
        <w:t xml:space="preserve">                      </w:t>
      </w:r>
    </w:p>
    <w:p>
      <w:pPr>
        <w:widowControl/>
        <w:shd w:val="clear" w:color="auto" w:fill="FFFFFF"/>
        <w:spacing w:line="400" w:lineRule="exact"/>
        <w:jc w:val="left"/>
        <w:rPr>
          <w:rFonts w:cs="宋体"/>
          <w:sz w:val="28"/>
          <w:szCs w:val="28"/>
          <w:u w:val="single"/>
        </w:rPr>
      </w:pPr>
    </w:p>
    <w:p>
      <w:pPr>
        <w:rPr>
          <w:color w:val="FF0000"/>
        </w:rPr>
      </w:pPr>
    </w:p>
    <w:p>
      <w:pPr>
        <w:pStyle w:val="4"/>
        <w:rPr>
          <w:color w:val="FF0000"/>
        </w:rPr>
      </w:pPr>
    </w:p>
    <w:p/>
    <w:p>
      <w:pPr>
        <w:pStyle w:val="4"/>
      </w:pPr>
    </w:p>
    <w:p/>
    <w:p>
      <w:pPr>
        <w:pStyle w:val="4"/>
      </w:pPr>
    </w:p>
    <w:p/>
    <w:p/>
    <w:p>
      <w:pPr>
        <w:pStyle w:val="4"/>
      </w:pPr>
    </w:p>
    <w:p/>
    <w:p>
      <w:pPr>
        <w:pStyle w:val="4"/>
      </w:pPr>
    </w:p>
    <w:p/>
    <w:p/>
    <w:p/>
    <w:p/>
    <w:p/>
    <w:p>
      <w:pPr>
        <w:pStyle w:val="4"/>
      </w:pPr>
    </w:p>
    <w:p/>
    <w:p>
      <w:pPr>
        <w:pStyle w:val="4"/>
      </w:pPr>
    </w:p>
    <w:p/>
    <w:p>
      <w:pPr>
        <w:pStyle w:val="4"/>
      </w:pPr>
    </w:p>
    <w:p/>
    <w:p>
      <w:pPr>
        <w:pStyle w:val="2"/>
      </w:pPr>
    </w:p>
    <w:p>
      <w:pPr>
        <w:pStyle w:val="2"/>
      </w:pPr>
    </w:p>
    <w:p>
      <w:pPr>
        <w:pStyle w:val="2"/>
      </w:pPr>
    </w:p>
    <w:p>
      <w:pPr>
        <w:pStyle w:val="2"/>
      </w:pPr>
    </w:p>
    <w:p>
      <w:pPr>
        <w:pStyle w:val="2"/>
      </w:pPr>
    </w:p>
    <w:p>
      <w:pPr>
        <w:pStyle w:val="4"/>
      </w:pPr>
    </w:p>
    <w:p/>
    <w:p>
      <w:pPr>
        <w:pStyle w:val="3"/>
        <w:jc w:val="center"/>
      </w:pPr>
      <w:bookmarkStart w:id="44" w:name="_Toc19246"/>
      <w:bookmarkStart w:id="45" w:name="_Toc31520"/>
      <w:bookmarkStart w:id="46" w:name="_Toc19199"/>
      <w:bookmarkStart w:id="47" w:name="_Toc26595"/>
      <w:bookmarkStart w:id="48" w:name="_Toc14095"/>
      <w:bookmarkStart w:id="49" w:name="_Toc9153"/>
      <w:bookmarkStart w:id="50" w:name="_Toc29888"/>
      <w:bookmarkStart w:id="51" w:name="_Toc7771"/>
      <w:bookmarkStart w:id="52" w:name="_Toc12412"/>
      <w:bookmarkStart w:id="53" w:name="_Toc8333"/>
      <w:bookmarkStart w:id="54" w:name="_Toc389582037"/>
      <w:r>
        <w:rPr>
          <w:rFonts w:hint="eastAsia" w:ascii="宋体" w:eastAsia="宋体" w:cs="宋体"/>
          <w:sz w:val="36"/>
          <w:szCs w:val="36"/>
        </w:rPr>
        <w:t>第四章</w:t>
      </w:r>
      <w:r>
        <w:rPr>
          <w:rFonts w:ascii="宋体" w:eastAsia="宋体" w:cs="宋体"/>
          <w:sz w:val="36"/>
          <w:szCs w:val="36"/>
        </w:rPr>
        <w:t xml:space="preserve">   </w:t>
      </w:r>
      <w:r>
        <w:rPr>
          <w:rFonts w:hint="eastAsia" w:ascii="宋体" w:eastAsia="宋体" w:cs="宋体"/>
          <w:sz w:val="36"/>
          <w:szCs w:val="36"/>
        </w:rPr>
        <w:t>采购内容及技术要求</w:t>
      </w:r>
      <w:bookmarkEnd w:id="44"/>
      <w:bookmarkEnd w:id="45"/>
      <w:bookmarkEnd w:id="46"/>
      <w:bookmarkEnd w:id="47"/>
      <w:bookmarkEnd w:id="48"/>
      <w:bookmarkEnd w:id="49"/>
      <w:bookmarkEnd w:id="50"/>
      <w:bookmarkEnd w:id="51"/>
      <w:bookmarkEnd w:id="52"/>
      <w:bookmarkEnd w:id="53"/>
      <w:bookmarkEnd w:id="54"/>
      <w:bookmarkStart w:id="55" w:name="_Toc12061"/>
    </w:p>
    <w:p>
      <w:pPr>
        <w:jc w:val="center"/>
        <w:rPr>
          <w:rFonts w:cs="宋体"/>
          <w:b/>
          <w:szCs w:val="24"/>
        </w:rPr>
      </w:pPr>
      <w:r>
        <w:rPr>
          <w:rFonts w:hint="eastAsia" w:cs="宋体"/>
          <w:b/>
          <w:szCs w:val="24"/>
          <w:lang w:eastAsia="zh-CN"/>
        </w:rPr>
        <w:t>铜川市新区锦绣园小学电子设备采购</w:t>
      </w:r>
      <w:r>
        <w:rPr>
          <w:rFonts w:hint="eastAsia" w:cs="宋体"/>
          <w:b/>
          <w:szCs w:val="24"/>
        </w:rPr>
        <w:t>清单</w:t>
      </w:r>
    </w:p>
    <w:tbl>
      <w:tblPr>
        <w:tblStyle w:val="21"/>
        <w:tblW w:w="10740" w:type="dxa"/>
        <w:jc w:val="center"/>
        <w:tblInd w:w="0" w:type="dxa"/>
        <w:shd w:val="clear" w:color="auto" w:fill="auto"/>
        <w:tblLayout w:type="fixed"/>
        <w:tblCellMar>
          <w:top w:w="0" w:type="dxa"/>
          <w:left w:w="0" w:type="dxa"/>
          <w:bottom w:w="0" w:type="dxa"/>
          <w:right w:w="0" w:type="dxa"/>
        </w:tblCellMar>
      </w:tblPr>
      <w:tblGrid>
        <w:gridCol w:w="854"/>
        <w:gridCol w:w="1057"/>
        <w:gridCol w:w="7637"/>
        <w:gridCol w:w="615"/>
        <w:gridCol w:w="577"/>
      </w:tblGrid>
      <w:tr>
        <w:tblPrEx>
          <w:tblLayout w:type="fixed"/>
          <w:tblCellMar>
            <w:top w:w="0" w:type="dxa"/>
            <w:left w:w="0" w:type="dxa"/>
            <w:bottom w:w="0" w:type="dxa"/>
            <w:right w:w="0" w:type="dxa"/>
          </w:tblCellMar>
        </w:tblPrEx>
        <w:trPr>
          <w:trHeight w:val="23" w:hRule="atLeast"/>
          <w:jc w:val="center"/>
        </w:trPr>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bookmarkStart w:id="56" w:name="_Toc13297"/>
            <w:bookmarkStart w:id="57" w:name="_Toc11493"/>
            <w:r>
              <w:rPr>
                <w:rFonts w:hint="eastAsia" w:ascii="宋体" w:hAnsi="宋体" w:eastAsia="宋体" w:cs="宋体"/>
                <w:b/>
                <w:i w:val="0"/>
                <w:color w:val="000000"/>
                <w:kern w:val="0"/>
                <w:sz w:val="24"/>
                <w:szCs w:val="24"/>
                <w:u w:val="none"/>
                <w:lang w:val="en-US" w:eastAsia="zh-CN" w:bidi="ar"/>
              </w:rPr>
              <w:t>类别</w:t>
            </w: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名称</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主要技术参数要求</w:t>
            </w: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单位</w:t>
            </w:r>
          </w:p>
        </w:tc>
        <w:tc>
          <w:tcPr>
            <w:tcW w:w="5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数量</w:t>
            </w:r>
          </w:p>
        </w:tc>
      </w:tr>
      <w:tr>
        <w:tblPrEx>
          <w:shd w:val="clear" w:color="auto" w:fill="auto"/>
          <w:tblLayout w:type="fixed"/>
          <w:tblCellMar>
            <w:top w:w="0" w:type="dxa"/>
            <w:left w:w="0" w:type="dxa"/>
            <w:bottom w:w="0" w:type="dxa"/>
            <w:right w:w="0" w:type="dxa"/>
          </w:tblCellMar>
        </w:tblPrEx>
        <w:trPr>
          <w:trHeight w:val="23" w:hRule="atLeast"/>
          <w:jc w:val="center"/>
        </w:trPr>
        <w:tc>
          <w:tcPr>
            <w:tcW w:w="8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多媒体</w:t>
            </w: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86寸智慧教室互动黑板</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产品正面须显示为一个由三块拼接而成的平面普通黑板，整个黑板平面满足白板笔、无尘粉笔与普通粉笔书写的功能。整个黑板结构须为无推拉式，可实现整块黑板在同一平面书写。黑板两侧书写模块支持磁性吸附功能，方便纸质文件的张贴展示；模块化设计，拆卸方便;整体外观尺寸：宽度≥4000mm ，高度≥1200mm ，厚度≤95mm。</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2、智能黑板核心采用86英寸液晶显示屏，对比度:4000:1，亮度:450cd/㎡，响应速度:8ms，单屏物理分辨率:3840*2160</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3、智能黑板产品采用国内最先进的投射式电容触控技术，手指轻触式多点（不小于10点触控）互动体验；多点书写技术：能在 Windows 自带画图软件中实现多点书写；触摸屏满足连接 Windows 操作系统（Win 7、Win8）的电脑外部设备时正常无障碍使用。连续响应速度≤10ms。触摸有效识别≤5毫米。</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4、智慧黑板触控膜能够符合欧盟指令2011/65/EU(ROHS)及其修订指令（EU）2015/863相关检测标准。（提供复印件加盖原厂公章）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智慧黑板支持HDMI、VGA、TV、window等多种信号源模式下支持全屏开关、窗口一键下移功能；智能黑板支持手势滑动、遥控器、物理按键三种方式切换不同信号源，互为备份、互相独立，方便、高效；智慧黑板产品的遥控器具有遥控器、鼠标功能（启动鼠标功能，遥控器起到鼠标作用）、键盘功能（开启键盘功能，当windows系统出现问题、需要在安全模式或者DOS模式下维修，此时黑板触摸不起作用，遥控器可代替键盘协助系统修复）；为方便黑板显示画面共享，产品支持PC模式下HDMI信号输出功能，简单易用；智慧黑板支持无线MIC功能，智慧黑板整机具有无线MIC接收功能，可以将无线MIC音频输出到内置音箱；智慧黑板整机支持无线MIC和本机声音混音功能；可以同时录制MIC和本机电脑音频；（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智能互动黑板触控玻璃具有国家玻璃质量监督检验中心出具的并盖有CMA、CNAS章的碎片状态、耐热冲击性能检验报告（要求要求委托单位和生产单位一致，否则无效）；智能互动黑板触控玻璃具有符合GB11614-2009《平板玻璃》标准中优等品的技术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7、智慧互动黑板产品具有静电放电抗扰度试验（符合GB/T 17626.2-2006）、浪涌抗扰度试验（符合GB/T 17626.5-2008）,电瞬变快速脉冲群扰度试验（符合GB/T 17626.4-2008）。（提供复印件加盖原厂公章）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8、★要求互动黑板CCC、节能证书的申请人、制造商、生产厂为同一企业，拒绝OEM产品。（提供复印件加盖原厂公章）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9、接口要求：HDMI≥3；VGA≥1；Touch≥1；USB≥7；RS232≥1;Audio Out≥1；RJ45≥1，整机具备至少 3 路前置USB 接口（其中至少 1路 USB3.0，2路USB2.0）。</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10、内置PC：采用模块化、可维护、插拔式结构设计；配置不低于Intel I5处理器，内存：不低于8G DDR4；硬盘： 不低于256G-SSD 固态硬盘，自带windows10操作系统；内置有线网卡，支持无线WiFi：IEEE 802.11n/b/g 标准，保证足够的信号强度；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11、★丰富的显色指数：智慧黑板具备良好的色彩显示效果，符合SJ/T11292规定，通过色域覆盖率检测，色域覆盖值≥130%；提供国家级检测报告，复印件加盖原厂公章;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12、★健康护眼防蓝光：智慧黑板通过蓝光危害检测，无蓝光危害，蓝光透过率≤66%，提供CNAS公章的国家级检测报告，复印件加盖原厂公章；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13、★散热性能：显示模组长寿命设计，具有快速散热和延缓光学黄化的性能，智慧黑板整机模组热扩散系数≥50mm²/S。测试标准满足：ASTME1461-13.实验温度50℃-90℃。（提供具有CMA、CNAS机构认可的权威实验室出具的检测报告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14、维护通用性：电源模块与核心驱动模块独立抽插，智慧黑板的电源模块可独立插拔，核心驱动模块可独立插拔，强弱电分离。为防止粉笔灰吸附，智慧黑板喇叭内置朝下，功率≥2x15w;(提供国家级检测报告，复印件加盖原厂公章)，黑板可实现本地化服务，可通过插拔即可完成有源器件的更换。</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15、智能亮度调节：智慧黑板可通过触控菜单快捷设置白天、夜晚两种亮度模式，以达到在不同光照环境下的最佳显示效果。(提供国家级检测报告，复印件加盖原厂公章)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16、OSD触控菜单：产品支持OSD触控菜单功能，实现黑板信号源切换、windows系统快捷还原、AP网络快捷还原、快捷关闭电源等功能，无需实体按键，在任意显示通道下均可通过手势在屏幕上调取该触摸菜单，方便用户操作；(提供国家级检测报告，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17、易用防误触：PPT课件批注功能，PPT全屏播放时可自动开启工具菜单，手指误碰到黑板不会自动翻页，需点击对应的翻页键翻页，可将批注保存在PPT上。(提供国家级检测报告，复印件加盖原厂公章）；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配套智慧教学软件功能要求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1、软件支持智能文字、图形、公式识别。全屏中英文数字混合书写智能识别，支持智能图形识别，可以画任何规则和不规则二维图形，演示教学：如随意的五角形。</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2、微课录制，支持录屏功能，并且可以选择保存路径，保存格式是avi格式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3、具有白板漫游功能，支持缩略图导航功能。</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4、页面添加，点击加号图标可进行页面添加，可以添加多页。支持页面预览，并且可以选择预览模式进行对比讲解，支持二分屏、四分屏、横向、纵向对比等。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5、视频展台，能够无缝对接视频展台，并可以批注，擦除，旋转画面，更改分辨率等；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6、多媒体工具，可从软件中导入图片然后进行批注；导入PPT时可以进行全屏播放；播放视频时可以进行批注讲解、擦除操作。并且打开文件后再关闭会有缩略图呈现，可再次打开。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7、保存退出工具，可以保存白板当前所有书写内容，并且能够从软件中再次打开复习。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8、撤销恢复工具，具有撤销恢复功能。</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9、支持白板与桌面模式切换，桌面模式下，白板软件将最小化并保留浮动功能栏，可对当前桌面内容进行书写，同时可以点击擦除转换为橡皮模式擦除笔迹；可以截图和截屏，保存至本地或者保存到白板中</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10、白板软件支持界面锁定，锁定后软件所有功能将不能使用，防止误操作；支持幕布，放大镜，聚光灯、时钟、日历等基础工具；</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11、具有板中板功能，可书写，擦除，添加页面，保存内容。</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12、图形工具，具有多种二维三维图形，直尺、三角尺、量角器、圆规等，并且可以自行选择图形线条粗细和颜色</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13、背景颜色，可选择多种颜色背景及图片，并可自定义添加。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14、书写工具，擦除工具，具有多种书写笔，笔的大小、颜色、图案都可以自行选择；具有任意、区域、对象、清屏、手势五种擦除方式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配套无线快拍仪</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1.像素：500万（分辨率2592*1944）；</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2.帧数：无线720P和1080P不低于25帧/秒；</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3.最大拍摄幅面：A4幅面，图像色彩 RGB24位真彩，拍摄速度≤1秒</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4.拍摄镜头旋转角度可达270度：90度可拍摄文稿；180度可拍摄课堂活动，用作简易的录播系统；270度可录制微课。</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 连接方式：支持无线WIFI多点连接，无线传输频率150M/S</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 光源：自然光、LED灯补光;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 为方便收纳管理，智慧黑板具备无线快拍仪的收纳结构设计；</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8．快拍仪与黑板同一品牌。（提供3c证书复印件加盖原厂公章）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配套移动教学软件</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1)软件服务端要求安装在黑板内置的windows系统中，非运行在Android等其他运行环境,交互性好，操作直观方便。软件需多语言支持，方便外教教师使用，支持的语言至少为：中文、英文等。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2)移动端可通过软件方式实现连接，不采用插入外接设备，教师无需考虑接收端设备的保管问题。</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3)要求可通过无线网络连接实现同屏传输，轻松搭建可用一般路由器、WiFi热点或直接接入学校原有网络中；</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4)投屏端支持IOS移动端，安卓移动端投屏显示，视频播放流畅无延时、卡顿现象。</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5)兼容IOS端音视频传输协议，IOS端音视频播放可直接通过黑板端的音箱输出声音，达到移动端教学素材实时在教室中分享播放的要求。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6)支持直播功能，满足实物展示教学、理科实验等操作教学，实现边讲解边在黑板端显示观看的功能；</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需具有移动展台功能，教师可方便将课本、试卷等实物通过移动设备拍照上传至大屏讲解，照片数量不受限制，可自动排布显示，实现照片墙的效果；选择某一张照片，可以通过手势控制缩放、旋转、移动、剪切、标注、擦除等操作。</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8)可通过移动设备远程控制智慧黑板，实现鼠标移动、单击、双击、左右键等功能；也可打开文件并远端直接编辑文件。</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无需外网的情况下，教师即可在自己的平板上直接录制微课，做到“随时、随地”录微课；微课内容需包括课件内容、原笔迹板书、教师讲解视频、教师讲解语音。课件需支持视频、图片、pdf等数字媒体文件。微课格式需要为标准的流媒体格式，如mp4等，方便网络传输、观看。微课录制完毕，可以一键回看，以便确认微课录制效果。</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10)教师可以一键将课堂教学内容录制成标准的视频文件，包括黑板板书、大屏图像、课堂实况、教师语音等；方便学生课后复习及未能即时听课的学生听课使用。</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11)教师可以在移动设备上直接批注大屏内容，需支持视频动态批注。</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12)教师可将移动设备上PPT的文件直接在大屏上打开，无需拷贝文件至大屏电脑，并全屏播放，也可在移动设备端关闭全屏播放及关闭PPT文件。 教师可以通过手势左右滑动控制PPT上下翻页，也可以通过按键控制PPT上下翻页；移动设备端需有当前PPT全部页面的缩略图显示，大屏上不显示，教师可以通过选择缩略图页面快速将大屏PPT翻页至指定页面。PPT页面可以配合画笔功能，做到随时标注讲解；播放PPT时，无需退出PPT即穿插可播放音视频文件，方便教师讲课。PPT页面可以通过截图方式截取重点至画板中讲解，并可保存为课堂笔记。PPT页面如遇文字较小，可以配合放大镜功能，做到多级别放大，方便后排学生观看。</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13)可轻松播放移动设备上的所有教学文件，包括ppt、word、pdf、图片、音频、视频等，并可通过移动设备端控制播放，包括全屏、快进、快退、停止等。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14)需支持电子白板功能，具备铅笔、荧光笔、激光笔、魔法笔、排刷、图案刷等多种书写笔模式。需提供三角形、正方形、圆形、椭圆、多边形、平行线、箭头线、虚线等图形绘图工具。需可插入图片、PPT、word等文件进行讲解，并可直接保存为图片、pdf等文件。支持手势漫游、手势擦除、手势缩放等功能。</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15)需支持鼠标指针大小、形状可选择设置，并可自定义鼠标形状，解决后排学生经常看不清鼠标指针的问题。</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16)具备基本辅助工具，包括荧光笔、聚光灯、放大镜等。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17）移动设备端软件可扫描二维码自动下载，并自动提示新版本升级或自动检查升级至最新版。</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配套集控管理软件</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 软件功能：后台控制端采用B/S架构设计，可在Windows、Linux、Android、IOS等多种不同的操作系统上通过网页浏览器登陆进行操作，可控制在互联网内的智慧黑板设备，</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 使用集中管理控制系统的学校拥有学校账号，该学校设备只需接入互联网，并在受控端使用账号进行设备注册，管理员即可在后台对设备进行远程管理。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 支持按照设备安装的年级、班级，设置教室受控端的名称，方便管理员对应管理。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 登录模式：分为4种管理员登录模式，总管理员、区域管理员、学校管理员、老师。</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 远程设备控制：在控制端网页可对已连接的设备进行实时控制，包括关机、U盘禁用、一键还原等功能，</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6) 统计：真实地图查看学校的分布情况，查看全国或某个区域内学校和黑板总数，以及在线离线数。每个学校用一个小红旗标注。点击小红旗可以选择查看学校的名称、黑板总数、在线数。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 区域监看：学校数量和黑板数量变化趋势图、常用软件使用前10名、学校活跃排名、最近一个月的黑板在线数量。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 设备信息查看：可在控制端网页查看互动黑板的基本信息，如：系统、cpu、硬盘、内存等信息。</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 远程画面：在控制端网页可实时查看已连接并处于开机状态下的智能黑板当前桌面画面。</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10) 消息推送：在控制端选择一台或多台互动黑板发送走马灯文字信息、屏幕常驻信息和公告，可设置文字字体、大小、颜色，播放时间。</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11) 权限分配：学校管理员可以给老师分配可管理的智能黑板。</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12) 公告：学校管理员在在控制端向一个或多个智能黑板推送图文通知。</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13) 文件推送：可推送视频、图片、ppt、word等文件到指定黑板,可设置是否下载后自动打开。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14) 锁屏：学校管理员在控制端设置锁屏时段，如“周一至周五中午12点至14点” 智慧黑板处于锁屏状态，键盘鼠标等无法使用。（背景图片是否可以换学校自己的图片）</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15) 定时关机：学校管理员在主控端设置自动关机时间，如“周一至周五18点”，智慧黑板关机。（关机前有60秒的提示）</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16) 自定义分组：例如新建跬步楼组，可以将安装在这个楼里的智慧黑板，添加进这个分组。</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17) 校园监看：可以查看周、月黑板每天在线数量。黑板运行时间。（数据导出，用电量）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18) 课程表：在控网页制端可以向一台或多台黑板发送课程表，并在客户端设置是否按照课程表时间开关屏幕。</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19) 图片展播：老师登录网页控制端向智能黑板发送一组图片。互动黑板客户端进行轮播展示。</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20) 资源管理及共享：老师和学校管理员可上传资源到服务器，老师可在智慧黑板端登录后下载、上传文件。</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21)  日志管理：记录平台操作历史，方便管理员进行管理；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22) 与智慧黑板同一品牌，提供软件检测报告和著作权证书（复印件加盖原厂公章）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产品质量要求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1、所投智慧黑板生产厂家需符合ISO9001:2015质量管理体系要求（覆盖的产品及其过程需包含智能互动黑板产品）、需符合GB/T 24001-2016/ISO 14001：2015 环境管理体系要求（覆盖的产品及其过程需包含智能互动黑板产品），需符合GB/T28001-2011/OHSAS 18001：2007 职业健康安全管理体系要求（覆盖的产品及其过程需包含智能互动黑板产品）。（提供复印件加盖原厂公章）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2、所投智慧黑板产品获得中国环境标志产品十环Ⅰ型证书，产品名称需体现智慧教室互动黑板。（提供复印件加盖原厂公章）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3、所投智慧黑板整机具备 CB 认证、 CE 认证和 ROHS 认证。（提供复印件加盖原厂公章）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4、所投智慧黑板整机（非某一部件）具有高新技术产品认定证书。（提供复印件加盖原厂公章）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shd w:val="clear" w:color="auto" w:fill="auto"/>
          <w:tblLayout w:type="fixed"/>
          <w:tblCellMar>
            <w:top w:w="0" w:type="dxa"/>
            <w:left w:w="0" w:type="dxa"/>
            <w:bottom w:w="0" w:type="dxa"/>
            <w:right w:w="0" w:type="dxa"/>
          </w:tblCellMar>
        </w:tblPrEx>
        <w:trPr>
          <w:trHeight w:val="23" w:hRule="atLeast"/>
          <w:jc w:val="center"/>
        </w:trPr>
        <w:tc>
          <w:tcPr>
            <w:tcW w:w="85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计算机教室</w:t>
            </w: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交换机</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交换容量：32G；包转发率：24Mpps：16个10/100/1000Base-T以太网电接口；</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MAC地址表：8K；</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shd w:val="clear" w:color="auto" w:fill="auto"/>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双人电脑桌椅</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课桌尺寸：长1200mm、宽*600、高750mm；课椅尺寸：长380mm、宽240mm、高450mm；</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r>
      <w:tr>
        <w:tblPrEx>
          <w:shd w:val="clear" w:color="auto" w:fill="auto"/>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单人电脑桌椅</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课桌尺寸：长60mm、宽*600、高750mm；课椅尺寸：长380mm、宽240mm、高450mm；</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台式机（多媒体教学）</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品牌台式机-四核3.8GHz/4GB-DDR4内存/500G硬盘 /19.5寸显示器</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r>
      <w:tr>
        <w:tblPrEx>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RJ45网线</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Style w:val="49"/>
                <w:lang w:val="en-US" w:eastAsia="zh-CN" w:bidi="ar"/>
              </w:rPr>
              <w:t>规格：超五类8芯双绞线;材质：无氧园铜;导体直径：0.50</w:t>
            </w:r>
            <w:r>
              <w:rPr>
                <w:rStyle w:val="50"/>
                <w:lang w:val="en-US" w:eastAsia="zh-CN" w:bidi="ar"/>
              </w:rPr>
              <w:t>±</w:t>
            </w:r>
            <w:r>
              <w:rPr>
                <w:rStyle w:val="49"/>
                <w:lang w:val="en-US" w:eastAsia="zh-CN" w:bidi="ar"/>
              </w:rPr>
              <w:t>0.008mm；长度：305m</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箱</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shd w:val="clear" w:color="auto" w:fill="auto"/>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3*4平方电源线</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4平方毫米；导体材99.99无氧铜；环保聚氯乙烯绝缘材质；外皮厚度0.7mm；标准长度：100米（±0.5m）；额定电压≥450V；</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米</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r>
      <w:tr>
        <w:tblPrEx>
          <w:shd w:val="clear" w:color="auto" w:fill="auto"/>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8位电源插座</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公牛插座带独立开关/八位/电流10A/额定功率2500W；</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r>
      <w:tr>
        <w:tblPrEx>
          <w:shd w:val="clear" w:color="auto" w:fill="auto"/>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网络教学软件</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系统支持：Windows XP、Win7、Win8、Win10；</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教师演示：将「教师机」的屏幕图象内容同步广播到网络上的「学生机」上；</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学生示范：随时点播学生机进入「教师机」角色，向其他学生进行示范操作；黑屏肃静：可以将指定或全部电脑的鼠标和键盘锁定，使学生集中精神听讲； 语音教学：网上语音广播、两人交谈、多方讨论和语音监听等多种模式，体会沟通无极限；</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网络影院：网络上同步播放VCD/MPEG/MP3/AVI/WAV/MOV/RM/RMVB等多媒体视频节目；屏幕监视：对教室里的任何学生机进行屏幕图象监视，并可以同屏监视、循环监视；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遥控辅导：直接操作学生机进行远程控制，可以用于管理，也可以进行手把手教学；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网络考试：无纸化考试，网上在线考试达到的高效率和方便性是传统考试望尘莫及的；</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网络考试：班级统一考试、在线模拟考试和自测、制作和分发试卷、自动阅卷和评分；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试卷分享：可以与其他用户分享和交换试卷；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屏幕录制：学生可以录制上课内容以便课后温习，老师可以提前制作课件或教材；</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屏幕回放：除单机回放外，更强大的是支持网络回放，录制的画面可以自动网络播放；</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提交作业：配合教师机的"文件传输"功能，实现了学生作业的网上分发与提交；</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电子教鞭：可以直接在屏幕上绘画各种图形标记，进行「圈圈点点」；</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黑板白板：黑板与白板功能已经可以取代传统黑板了；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电子抢答：帮助学生在趣味竞赛中学习，并协助教师及时检验学习效果，发现问题；</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电子点名：协助教师进行课堂考勤</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台式机</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r>
      <w:tr>
        <w:tblPrEx>
          <w:shd w:val="clear" w:color="auto" w:fill="auto"/>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辅材辅料</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线管、扎线、胶带、水晶头等辅材辅料</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批</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线路改造</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现有座椅位置迁移，以确保容纳新增的15个位置；涉及桌椅重新排放、需要的线路改位，所引起的线材+辅材+人工等费用</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座位数</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r>
      <w:tr>
        <w:tblPrEx>
          <w:shd w:val="clear" w:color="auto" w:fill="auto"/>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布线施工费</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网线布设，从机柜新增交换机至每一计算机</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端口</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r>
      <w:tr>
        <w:tblPrEx>
          <w:shd w:val="clear" w:color="auto" w:fill="auto"/>
          <w:tblLayout w:type="fixed"/>
          <w:tblCellMar>
            <w:top w:w="0" w:type="dxa"/>
            <w:left w:w="0" w:type="dxa"/>
            <w:bottom w:w="0" w:type="dxa"/>
            <w:right w:w="0" w:type="dxa"/>
          </w:tblCellMar>
        </w:tblPrEx>
        <w:trPr>
          <w:trHeight w:val="23" w:hRule="atLeast"/>
          <w:jc w:val="center"/>
        </w:trPr>
        <w:tc>
          <w:tcPr>
            <w:tcW w:w="85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办公设备</w:t>
            </w: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台式机（教室办公）</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台式机-四核3.8GHz/8GB-DDR4内存/1TB硬盘 /21.5寸显示器</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r>
      <w:tr>
        <w:tblPrEx>
          <w:shd w:val="clear" w:color="auto" w:fill="auto"/>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笔记本</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笔记本-I5/8G/500G/14寸屏</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移动式投影幕布</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亮度(流明)：3500；分辨率：1024X768dpi；投影距离：0.89米 to 10.95 米；VGA/hdmi接口；移动式幕布：比例4：3，投影尺寸：120英寸</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r>
        <w:tblPrEx>
          <w:shd w:val="clear" w:color="auto" w:fill="auto"/>
          <w:tblLayout w:type="fixed"/>
          <w:tblCellMar>
            <w:top w:w="0" w:type="dxa"/>
            <w:left w:w="0" w:type="dxa"/>
            <w:bottom w:w="0" w:type="dxa"/>
            <w:right w:w="0" w:type="dxa"/>
          </w:tblCellMar>
        </w:tblPrEx>
        <w:trPr>
          <w:trHeight w:val="23" w:hRule="atLeast"/>
          <w:jc w:val="center"/>
        </w:trPr>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10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70寸触控一体机</w:t>
            </w:r>
          </w:p>
        </w:tc>
        <w:tc>
          <w:tcPr>
            <w:tcW w:w="76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1、产品正面须显示为一个平面普通黑板，整个黑板平面满足白板笔、无尘粉笔与普通粉笔书写的功能。模块化设计，拆卸方便;整体外观尺寸：宽度≥2000mm ，高度≥1200mm ，厚度≤95mm。</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2、智能黑板核心采用70英寸液晶显示屏，对比度:4000:1，亮度:450cd/㎡，响应速度:8ms，单屏物理分辨率:1920*1080</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3、智能黑板产品采用国内最先进的投射式电容触控技术，手指轻触式多点（不小于10点触控）互动体验；多点书写技术：能在 Windows 自带画图软件中实现多点书写；触摸屏满足连接 Windows 操作系统（Win 7、Win8）的电脑外部设备时正常无障碍使用。连续响应速度≤10ms。触摸有效识别≤5毫米。</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4、智慧黑板触控膜能够符合欧盟指令2011/65/EU(ROHS)及其修订指令（EU）2015/863相关检测标准。（提供复印件加盖原厂公章）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智慧黑板支持HDMI、VGA、TV、window等多种信号源模式下支持全屏开关、窗口一键下移功能；智能黑板支持手势滑动、遥控器、物理按键三种方式切换不同信号源，互为备份、互相独立，方便、高效；智慧黑板产品的遥控器具有遥控器、鼠标功能（启动鼠标功能，遥控器起到鼠标作用）、键盘功能（开启键盘功能，当windows系统出现问题、需要在安全模式或者DOS模式下维修，此时黑板触摸不起作用，遥控器可代替键盘协助系统修复）；为方便黑板显示画面共享，产品支持PC模式下HDMI信号输出功能，简单易用；智慧黑板支持无线MIC功能，智慧黑板整机具有无线MIC接收功能，可以将无线MIC音频输出到内置音箱；智慧黑板整机支持无线MIC和本机声音混音功能；可以同时录制MIC和本机电脑音频；（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智能互动黑板触控玻璃具有国家玻璃质量监督检验中心出具的并盖有CMA、CNAS章的碎片状态、耐热冲击、抗磨性能检验报告（要求要求委托单位和生产单位一致，否则无效）；智能互动黑板触控玻璃具有符合GB11614-2009《平板玻璃》标准中优等品的技术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7、智慧互动黑板产品具有静电放电抗扰度试验（符合GB/T 17626.2-2006）、浪涌抗扰度试验（符合GB/T 17626.5-2008）,电瞬变快速脉冲群扰度试验（符合GB/T 17626.4-2008）。（提供复印件加盖原厂公章）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8、★要求互动黑板CCC、节能证书的申请人、制造商、生产厂为同一企业，拒绝OEM产品。（提供复印件加盖原厂公章）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9、接口要求：HDMI≥3；VGA≥1；Touch≥1；USB≥7；RS232≥1;Audio Out≥1；RJ45≥1，整机具备至少 3 路前置USB 接口（其中至少 1路 USB3.0，2路USB2.0）。</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10、内置PC：采用模块化、可维护、插拔式结构设计；配置不低于Intel I5处理器，内存：不低于8G DDR4；硬盘： 不低于256G-SSD 固态硬盘，自带windows10操作系统；内置有线网卡，支持无线WiFi：IEEE 802.11n/b/g 标准，保证足够的信号强度；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11、★丰富的显色指数：智慧黑板具备良好的色彩显示效果，符合SJ/T11292规定，通过色域覆盖率检测，色域覆盖值≥100%；提供国家级检测报告，复印件加盖原厂公章;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12、★健康护眼防蓝光：智慧黑板通过蓝光危害检测，无蓝光危害，蓝光透过率≤66%，提供CNAS公章的国家级检测报告，复印件加盖原厂公章；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13、★散热性能：显示模组长寿命设计，具有快速散热和延缓光学黄化的性能，智慧黑板整机模组热扩散系数≥50mm²/S。测试标准满足：ASTME1461-13.实验温度50℃-90℃。（提供具有CMA、CNAS机构认可的权威实验室出具的检测报告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14、维护通用性：电源模块与核心驱动模块独立抽插，智慧黑板的电源模块可独立插拔，核心驱动模块可独立插拔，强弱电分离。为防止粉笔灰吸附，智慧黑板喇叭内置朝下，功率≥2x15w;(提供国家级检测报告，复印件加盖原厂公章)，黑板可实现本地化服务，可通过插拔即可完成有源器件的更换。</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15、智能亮度调节：智慧黑板可通过触控菜单快捷设置白天、夜晚两种亮度模式，以达到在不同光照环境下的最佳显示效果。(提供国家级检测报告，复印件加盖原厂公章)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16、OSD触控菜单：产品支持OSD触控菜单功能，实现黑板信号源切换、windows系统快捷还原、AP网络快捷还原、快捷关闭电源等功能，无需实体按键，在任意显示通道下均可通过手势在屏幕上调取该触摸菜单，方便用户操作；(提供国家级检测报告，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17、易用防误触：PPT课件批注功能，PPT全屏播放时可自动开启工具菜单，手指误碰到黑板不会自动翻页，需点击对应的翻页键翻页，可将批注保存在PPT上。(提供国家级检测报告，复印件加盖原厂公章）；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配套智能无线麦克风</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1、无线麦克风可实现与互动黑板内置音箱智能开机自动配对连接，配对方式：自动扫瞄、配对、锁定,具备近距离优先连接机制，不允许使用外置音箱实现对接扩声；</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 技术参数要求：接收频率：2402 - 2482MHz（81信道），调制方法：GFSK，频率响应：50 Hz ~18 KHz。</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3、具备噪声及回音消除功能，在立体声音量最大时无噪声、无电流声、无回音及无共振；静音接收时，在麦克风音量最大时无噪声及电流声(距离音箱30公分内)；</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4、音量在距离音箱3米时高于70 db且不啸叫（采用硬件分量移频技术，非DSP移频处理，充分保证产品音质还原性）；</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5、音质清晰，人声穿透力强（现场测试同等拾音距离、同等音量、同等听音距离，人声清晰度要高于同类产品）；</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6、使用不限教室数量，无对频、多套使用时串频现象；</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7、具有强大抗干扰功能（WiFi、蓝牙、Zigbee等同等频段或不同频段数字干扰源），同槽布线，对220V强电信号具有抗干扰作用（无电流噪音）；</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配套智慧教学软件功能要求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1、软件支持智能文字、图形、公式识别。全屏中英文数字混合书写智能识别，支持智能图形识别，可以画任何规则和不规则二维图形，演示教学：如随意的五角形。</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2、微课录制，支持录屏功能，并且可以选择保存路径，保存格式是avi格式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3、具有白板漫游功能，支持缩略图导航功能。</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4、页面添加，点击加号图标可进行页面添加，可以添加多页。支持页面预览，并且可以选择预览模式进行对比讲解，支持二分屏、四分屏、横向、纵向对比等。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5、视频展台，能够无缝对接视频展台，并可以批注，擦除，旋转画面，更改分辨率等；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6、多媒体工具，可从软件中导入图片然后进行批注；导入PPT时可以进行全屏播放；播放视频时可以进行批注讲解、擦除操作。并且打开文件后再关闭会有缩略图呈现，可再次打开。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7、保存退出工具，可以保存白板当前所有书写内容，并且能够从软件中再次打开复习。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8、撤销恢复工具，具有撤销恢复功能。</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9、支持白板与桌面模式切换，桌面模式下，白板软件将最小化并保留浮动功能栏，可对当前桌面内容进行书写，同时可以点击擦除转换为橡皮模式擦除笔迹；可以截图和截屏，保存至本地或者保存到白板中</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10、白板软件支持界面锁定，锁定后软件所有功能将不能使用，防止误操作；支持幕布，放大镜，聚光灯、时钟、日历等基础工具；</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11、具有板中板功能，可书写，擦除，添加页面，保存内容。</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12、图形工具，具有多种二维三维图形，直尺、三角尺、量角器、圆规等，并且可以自行选择图形线条粗细和颜色</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13、背景颜色，可选择多种颜色背景及图片，并可自定义添加。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14、书写工具，擦除工具，具有多种书写笔，笔的大小、颜色、图案都可以自行选择；具有任意、区域、对象、清屏、手势五种擦除方式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配套移动教学软件</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1)软件服务端要求安装在黑板内置的windows系统中，非运行在Android等其他运行环境,交互性好，操作直观方便。软件需多语言支持，方便外教教师使用，支持的语言至少为：中文、英文等。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2)移动端可通过软件方式实现连接，不采用插入外接设备，教师无需考虑接收端设备的保管问题。</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3)要求可通过无线网络连接实现同屏传输，轻松搭建可用一般路由器、WiFi热点或直接接入学校原有网络中；</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4)投屏端支持IOS移动端，安卓移动端投屏显示，视频播放流畅无延时、卡顿现象。</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5)兼容IOS端音视频传输协议，IOS端音视频播放可直接通过黑板端的音箱输出声音，达到移动端教学素材实时在教室中分享播放的要求。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6)支持直播功能，满足实物展示教学、理科实验等操作教学，实现边讲解边在黑板端显示观看的功能；</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需具有移动展台功能，教师可方便将课本、试卷等实物通过移动设备拍照上传至大屏讲解，照片数量不受限制，可自动排布显示，实现照片墙的效果；选择某一张照片，可以通过手势控制缩放、旋转、移动、剪切、标注、擦除等操作。</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8)可通过移动设备远程控制智慧黑板，实现鼠标移动、单击、双击、左右键等功能；也可打开文件并远端直接编辑文件。</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无需外网的情况下，教师即可在自己的平板上直接录制微课，做到“随时、随地”录微课；微课内容需包括课件内容、原笔迹板书、教师讲解视频、教师讲解语音。课件需支持视频、图片、pdf等数字媒体文件。微课格式需要为标准的流媒体格式，如mp4等，方便网络传输、观看。微课录制完毕，可以一键回看，以便确认微课录制效果。</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10)教师可以一键将课堂教学内容录制成标准的视频文件，包括黑板板书、大屏图像、课堂实况、教师语音等；方便学生课后复习及未能即时听课的学生听课使用。</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11)教师可以在移动设备上直接批注大屏内容，需支持视频动态批注。</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12)教师可将移动设备上PPT的文件直接在大屏上打开，无需拷贝文件至大屏电脑，并全屏播放，也可在移动设备端关闭全屏播放及关闭PPT文件。 教师可以通过手势左右滑动控制PPT上下翻页，也可以通过按键控制PPT上下翻页；移动设备端需有当前PPT全部页面的缩略图显示，大屏上不显示，教师可以通过选择缩略图页面快速将大屏PPT翻页至指定页面。PPT页面可以配合画笔功能，做到随时标注讲解；播放PPT时，无需退出PPT即穿插可播放音视频文件，方便教师讲课。PPT页面可以通过截图方式截取重点至画板中讲解，并可保存为课堂笔记。PPT页面如遇文字较小，可以配合放大镜功能，做到多级别放大，方便后排学生观看。</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13)可轻松播放移动设备上的所有教学文件，包括ppt、word、pdf、图片、音频、视频等，并可通过移动设备端控制播放，包括全屏、快进、快退、停止等。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14)需支持电子白板功能，具备铅笔、荧光笔、激光笔、魔法笔、排刷、图案刷等多种书写笔模式。需提供三角形、正方形、圆形、椭圆、多边形、平行线、箭头线、虚线等图形绘图工具。需可插入图片、PPT、word等文件进行讲解，并可直接保存为图片、pdf等文件。支持手势漫游、手势擦除、手势缩放等功能。</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15)需支持鼠标指针大小、形状可选择设置，并可自定义鼠标形状，解决后排学生经常看不清鼠标指针的问题。</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16)具备基本辅助工具，包括荧光笔、聚光灯、放大镜等。</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17）移动设备端软件可扫描二维码自动下载，并自动提示新版本升级或自动检查升级至最新版。</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18）支持Android手机、安卓PAD、苹果手机、苹果PAD、MAC、win系统平板及笔记本等实现投屏；同时支持6画面对比显示，画面之前可以任意拖曳切换显示顺序，也可双击全屏放大任一投屏者画面。</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配套集控管理软件</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 软件功能：后台控制端采用B/S架构设计，可在Windows、Linux、Android、IOS等多种不同的操作系统上通过网页浏览器登陆进行操作，可控制在互联网内的智慧黑板设备，</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 使用集中管理控制系统的学校拥有学校账号，该学校设备只需接入互联网，并在受控端使用账号进行设备注册，管理员即可在后台对设备进行远程管理。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 支持按照设备安装的年级、班级，设置教室受控端的名称，方便管理员对应管理。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 登录模式：分为4种管理员登录模式，总管理员、区域管理员、学校管理员、老师。</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5) 远程设备控制：在控制端网页可对已连接的设备进行实时控制，包括关机、U盘禁用、一键还原等功能，</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 xml:space="preserve">6) 统计：真实地图查看学校的分布情况，查看全国或某个区域内学校和黑板总数，以及在线离线数。每个学校用一个小红旗标注。点击小红旗可以选择查看学校的名称、黑板总数、在线数。 </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7) 区域监看：学校数量和黑板数量变化趋势图、常用软件使用前10名、学校活跃排名、最近一个月的黑板在线数量。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8) 设备信息查看：可在控制端网页查看互动黑板的基本信息，如：系统、cpu、硬盘、内存等信息。</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9) 远程画面：在控制端网页可实时查看已连接并处于开机状态下的智能黑板当前桌面画面。</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10) 消息推送：在控制端选择一台或多台互动黑板发送走马灯文字信息、屏幕常驻信息和公告，可设置文字字体、大小、颜色，播放时间。</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11) 权限分配：学校管理员可以给老师分配可管理的智能黑板。</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12) 公告：学校管理员在在控制端向一个或多个智能黑板推送图文通知。</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13) 文件推送：可推送视频、图片、ppt、word等文件到指定黑板,可设置是否下载后自动打开。</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14) 锁屏：学校管理员在控制端设置锁屏时段，如“周一至周五中午12点至14点” 智慧黑板处于锁屏状态，键盘鼠标等无法使用。（背景图片是否可以换学校自己的图片）</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15) 定时关机：学校管理员在主控端设置自动关机时间，如“周一至周五18点”，智慧黑板关机。（关机前有60秒的提示）</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16) 自定义分组：例如新建跬步楼组，可以将安装在这个楼里的智慧黑板，添加进这个分组。</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17) 校园监看：可以查看周、月黑板每天在线数量。黑板运行时间。（数据导出，用电量）</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18) 课程表：在控网页制端可以向一台或多台黑板发送课程表，并在客户端设置是否按照课程表时间开关屏幕。</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19) 图片展播：老师登录网页控制端向智能黑板发送一组图片。互动黑板客户端进行轮播展示。</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20) 资源管理及共享：老师和学校管理员可上传资源到服务器，老师可在智慧黑板端登录后下载、上传文件。</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21)  日志管理：记录平台操作历史，方便管理员进行管理；</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22) 与智慧黑板同一品牌，提供软件检测报告和著作权证书（复印件加盖原厂公章）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产品质量要求</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1、所投智慧黑板生产厂家需符合ISO9001:2015质量管理体系要求（覆盖的产品及其过程需包含智能互动黑板产品）、需符合GB/T 24001-2016/ISO 14001：2015 环境管理体系要求（覆盖的产品及其过程需包含智能互动黑板产品），需符合GB/T28001-2011/OHSAS 18001：2007 职业健康安全管理体系要求（覆盖的产品及其过程需包含智能互动黑板产品）。（提供复印件加盖原厂公章）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2、所投智慧黑板产品获得中国环境标志产品十环Ⅰ型证书，产品名称需体现智慧教室互动黑板。（提供复印件加盖原厂公章）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3、所投智慧黑板整机具备 CB 认证、 CE 认证和 ROHS 认证。（提供复印件加盖原厂公章）</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5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r>
    </w:tbl>
    <w:p/>
    <w:p>
      <w:pPr>
        <w:pStyle w:val="3"/>
        <w:jc w:val="center"/>
        <w:rPr>
          <w:rFonts w:hint="eastAsia" w:ascii="宋体" w:eastAsia="宋体" w:cs="宋体"/>
          <w:sz w:val="36"/>
          <w:szCs w:val="36"/>
        </w:rPr>
      </w:pPr>
    </w:p>
    <w:p>
      <w:pPr>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3"/>
        <w:jc w:val="center"/>
        <w:rPr>
          <w:rFonts w:ascii="宋体" w:eastAsia="宋体" w:cs="宋体"/>
          <w:sz w:val="36"/>
          <w:szCs w:val="36"/>
        </w:rPr>
      </w:pPr>
      <w:r>
        <w:rPr>
          <w:rFonts w:hint="eastAsia" w:ascii="宋体" w:eastAsia="宋体" w:cs="宋体"/>
          <w:sz w:val="36"/>
          <w:szCs w:val="36"/>
        </w:rPr>
        <w:t>第五章</w:t>
      </w:r>
      <w:r>
        <w:rPr>
          <w:rFonts w:ascii="宋体" w:eastAsia="宋体" w:cs="宋体"/>
          <w:sz w:val="36"/>
          <w:szCs w:val="36"/>
        </w:rPr>
        <w:t xml:space="preserve"> </w:t>
      </w:r>
      <w:r>
        <w:rPr>
          <w:rFonts w:hint="eastAsia" w:ascii="宋体" w:eastAsia="宋体" w:cs="宋体"/>
          <w:sz w:val="36"/>
          <w:szCs w:val="36"/>
        </w:rPr>
        <w:t>评</w:t>
      </w:r>
      <w:r>
        <w:rPr>
          <w:rFonts w:ascii="宋体" w:eastAsia="宋体" w:cs="宋体"/>
          <w:sz w:val="36"/>
          <w:szCs w:val="36"/>
        </w:rPr>
        <w:t xml:space="preserve"> </w:t>
      </w:r>
      <w:r>
        <w:rPr>
          <w:rFonts w:hint="eastAsia" w:ascii="宋体" w:eastAsia="宋体" w:cs="宋体"/>
          <w:sz w:val="36"/>
          <w:szCs w:val="36"/>
        </w:rPr>
        <w:t>标</w:t>
      </w:r>
      <w:r>
        <w:rPr>
          <w:rFonts w:ascii="宋体" w:eastAsia="宋体" w:cs="宋体"/>
          <w:sz w:val="36"/>
          <w:szCs w:val="36"/>
        </w:rPr>
        <w:t xml:space="preserve"> </w:t>
      </w:r>
      <w:r>
        <w:rPr>
          <w:rFonts w:hint="eastAsia" w:ascii="宋体" w:eastAsia="宋体" w:cs="宋体"/>
          <w:sz w:val="36"/>
          <w:szCs w:val="36"/>
        </w:rPr>
        <w:t>方</w:t>
      </w:r>
      <w:r>
        <w:rPr>
          <w:rFonts w:ascii="宋体" w:eastAsia="宋体" w:cs="宋体"/>
          <w:sz w:val="36"/>
          <w:szCs w:val="36"/>
        </w:rPr>
        <w:t xml:space="preserve"> </w:t>
      </w:r>
      <w:r>
        <w:rPr>
          <w:rFonts w:hint="eastAsia" w:ascii="宋体" w:eastAsia="宋体" w:cs="宋体"/>
          <w:sz w:val="36"/>
          <w:szCs w:val="36"/>
        </w:rPr>
        <w:t>法</w:t>
      </w:r>
      <w:bookmarkEnd w:id="55"/>
      <w:bookmarkEnd w:id="56"/>
      <w:bookmarkEnd w:id="57"/>
    </w:p>
    <w:p>
      <w:pPr>
        <w:rPr>
          <w:b/>
          <w:sz w:val="28"/>
          <w:szCs w:val="28"/>
        </w:rPr>
      </w:pPr>
      <w:bookmarkStart w:id="58" w:name="_Toc363463332"/>
      <w:r>
        <w:rPr>
          <w:rFonts w:hint="eastAsia"/>
          <w:b/>
          <w:sz w:val="28"/>
          <w:szCs w:val="28"/>
        </w:rPr>
        <w:t>一．磋商方法</w:t>
      </w:r>
      <w:bookmarkEnd w:id="58"/>
    </w:p>
    <w:p>
      <w:pPr>
        <w:spacing w:line="600" w:lineRule="exact"/>
        <w:ind w:firstLine="496" w:firstLineChars="200"/>
        <w:jc w:val="left"/>
        <w:rPr>
          <w:spacing w:val="4"/>
          <w:szCs w:val="24"/>
        </w:rPr>
      </w:pPr>
      <w:r>
        <w:rPr>
          <w:rFonts w:hint="eastAsia"/>
          <w:spacing w:val="4"/>
          <w:szCs w:val="24"/>
        </w:rPr>
        <w:t>按照</w:t>
      </w:r>
      <w:r>
        <w:rPr>
          <w:rFonts w:hint="eastAsia"/>
        </w:rPr>
        <w:t>《中华人民共和国政府采购法》及实施条例和</w:t>
      </w:r>
      <w:r>
        <w:rPr>
          <w:rFonts w:hint="eastAsia"/>
          <w:spacing w:val="4"/>
          <w:szCs w:val="24"/>
        </w:rPr>
        <w:t>《政府采购竞争性磋商采购方式管理暂行办法》财库〔</w:t>
      </w:r>
      <w:r>
        <w:rPr>
          <w:spacing w:val="4"/>
          <w:szCs w:val="24"/>
        </w:rPr>
        <w:t>2014</w:t>
      </w:r>
      <w:r>
        <w:rPr>
          <w:rFonts w:hint="eastAsia"/>
          <w:spacing w:val="4"/>
          <w:szCs w:val="24"/>
        </w:rPr>
        <w:t>〕</w:t>
      </w:r>
      <w:r>
        <w:rPr>
          <w:spacing w:val="4"/>
          <w:szCs w:val="24"/>
        </w:rPr>
        <w:t>214</w:t>
      </w:r>
      <w:r>
        <w:rPr>
          <w:rFonts w:hint="eastAsia"/>
          <w:spacing w:val="4"/>
          <w:szCs w:val="24"/>
        </w:rPr>
        <w:t>号的规定，本次磋商采用</w:t>
      </w:r>
      <w:r>
        <w:rPr>
          <w:rFonts w:hint="eastAsia"/>
          <w:b/>
          <w:spacing w:val="4"/>
          <w:szCs w:val="24"/>
        </w:rPr>
        <w:t>综合评分法</w:t>
      </w:r>
      <w:r>
        <w:rPr>
          <w:rFonts w:hint="eastAsia"/>
          <w:spacing w:val="4"/>
          <w:szCs w:val="24"/>
        </w:rPr>
        <w:t>，即在最大限度地满足磋商文件实质性要求前提下，按照磋商文件中规定的各项因素和相应的权重分值进行综合评审后，以总得分最高的供应商作为成交候选人并依次排序（最低报价不是中标的唯一标准）。</w:t>
      </w:r>
    </w:p>
    <w:p>
      <w:pPr>
        <w:numPr>
          <w:ilvl w:val="0"/>
          <w:numId w:val="10"/>
        </w:numPr>
        <w:rPr>
          <w:b/>
          <w:sz w:val="28"/>
          <w:szCs w:val="28"/>
        </w:rPr>
      </w:pPr>
      <w:bookmarkStart w:id="59" w:name="_Toc363463333"/>
      <w:r>
        <w:rPr>
          <w:rFonts w:hint="eastAsia"/>
          <w:b/>
          <w:sz w:val="28"/>
          <w:szCs w:val="28"/>
        </w:rPr>
        <w:t>磋商程序</w:t>
      </w:r>
      <w:bookmarkEnd w:id="59"/>
    </w:p>
    <w:p>
      <w:pPr>
        <w:spacing w:line="520" w:lineRule="exact"/>
        <w:rPr>
          <w:b/>
        </w:rPr>
      </w:pPr>
      <w:r>
        <w:rPr>
          <w:b/>
        </w:rPr>
        <w:t>1.</w:t>
      </w:r>
      <w:r>
        <w:rPr>
          <w:rFonts w:hint="eastAsia"/>
          <w:b/>
        </w:rPr>
        <w:t>本采购项目磋商按照下列工作程序进行</w:t>
      </w:r>
      <w:r>
        <w:rPr>
          <w:rFonts w:hint="eastAsia"/>
          <w:bCs/>
        </w:rPr>
        <w:t>（在上一步评审中被认定无效投标者，不进入下一步的评审）</w:t>
      </w:r>
      <w:r>
        <w:rPr>
          <w:rFonts w:hint="eastAsia"/>
          <w:b/>
        </w:rPr>
        <w:t>。</w:t>
      </w:r>
    </w:p>
    <w:p>
      <w:pPr>
        <w:spacing w:line="520" w:lineRule="exact"/>
        <w:ind w:firstLine="495"/>
      </w:pPr>
      <w:r>
        <w:rPr>
          <w:rFonts w:hint="eastAsia"/>
        </w:rPr>
        <w:t>（</w:t>
      </w:r>
      <w:r>
        <w:t>1</w:t>
      </w:r>
      <w:r>
        <w:rPr>
          <w:rFonts w:hint="eastAsia"/>
        </w:rPr>
        <w:t>）磋商响应文件初审；</w:t>
      </w:r>
    </w:p>
    <w:p>
      <w:pPr>
        <w:spacing w:line="520" w:lineRule="exact"/>
        <w:ind w:firstLine="495"/>
      </w:pPr>
      <w:r>
        <w:rPr>
          <w:rFonts w:hint="eastAsia"/>
        </w:rPr>
        <w:t>（</w:t>
      </w:r>
      <w:r>
        <w:t>2</w:t>
      </w:r>
      <w:r>
        <w:rPr>
          <w:rFonts w:hint="eastAsia"/>
        </w:rPr>
        <w:t>）澄清有关问题；</w:t>
      </w:r>
    </w:p>
    <w:p>
      <w:pPr>
        <w:spacing w:line="520" w:lineRule="exact"/>
        <w:ind w:firstLine="495"/>
      </w:pPr>
      <w:r>
        <w:rPr>
          <w:rFonts w:hint="eastAsia"/>
        </w:rPr>
        <w:t>（</w:t>
      </w:r>
      <w:r>
        <w:t>3</w:t>
      </w:r>
      <w:r>
        <w:rPr>
          <w:rFonts w:hint="eastAsia"/>
        </w:rPr>
        <w:t>）比较与评价；</w:t>
      </w:r>
    </w:p>
    <w:p>
      <w:pPr>
        <w:spacing w:line="520" w:lineRule="exact"/>
        <w:ind w:firstLine="495"/>
      </w:pPr>
      <w:r>
        <w:rPr>
          <w:rFonts w:hint="eastAsia"/>
        </w:rPr>
        <w:t>（</w:t>
      </w:r>
      <w:r>
        <w:t>4</w:t>
      </w:r>
      <w:r>
        <w:rPr>
          <w:rFonts w:hint="eastAsia"/>
        </w:rPr>
        <w:t>）推荐成交候选人名单；</w:t>
      </w:r>
    </w:p>
    <w:p>
      <w:pPr>
        <w:spacing w:line="520" w:lineRule="exact"/>
        <w:ind w:firstLine="495"/>
      </w:pPr>
      <w:r>
        <w:rPr>
          <w:rFonts w:hint="eastAsia"/>
        </w:rPr>
        <w:t>（</w:t>
      </w:r>
      <w:r>
        <w:t>5</w:t>
      </w:r>
      <w:r>
        <w:rPr>
          <w:rFonts w:hint="eastAsia"/>
        </w:rPr>
        <w:t>）编写磋商报告。</w:t>
      </w:r>
    </w:p>
    <w:p>
      <w:pPr>
        <w:spacing w:before="166" w:beforeLines="50" w:after="166" w:afterLines="50" w:line="520" w:lineRule="exact"/>
        <w:rPr>
          <w:b/>
        </w:rPr>
      </w:pPr>
      <w:r>
        <w:rPr>
          <w:b/>
        </w:rPr>
        <w:t>2.</w:t>
      </w:r>
      <w:r>
        <w:rPr>
          <w:rFonts w:hint="eastAsia"/>
          <w:b/>
        </w:rPr>
        <w:t>磋商响应文件初审</w:t>
      </w:r>
    </w:p>
    <w:p>
      <w:pPr>
        <w:tabs>
          <w:tab w:val="left" w:pos="0"/>
        </w:tabs>
        <w:adjustRightInd w:val="0"/>
        <w:snapToGrid w:val="0"/>
        <w:spacing w:line="520" w:lineRule="exact"/>
        <w:ind w:firstLine="472" w:firstLineChars="196"/>
      </w:pPr>
      <w:r>
        <w:rPr>
          <w:b/>
          <w:bCs/>
        </w:rPr>
        <w:t>2.1</w:t>
      </w:r>
      <w:r>
        <w:rPr>
          <w:rFonts w:hint="eastAsia"/>
          <w:b/>
          <w:bCs/>
        </w:rPr>
        <w:t>资格性审查。</w:t>
      </w:r>
      <w:r>
        <w:rPr>
          <w:rFonts w:hint="eastAsia"/>
        </w:rPr>
        <w:t>采购人或者采购代理机构将依据磋商响应文件，按照磋商文件第二章供应商须知前附表</w:t>
      </w:r>
      <w:r>
        <w:t>12.1</w:t>
      </w:r>
      <w:r>
        <w:rPr>
          <w:rFonts w:hint="eastAsia"/>
        </w:rPr>
        <w:t>条所述资格要求进行资格性审查，如果供应商不满足磋商文件所规定的资格要求或提供资格证明文件不全</w:t>
      </w:r>
      <w:r>
        <w:t>,</w:t>
      </w:r>
      <w:r>
        <w:rPr>
          <w:rFonts w:hint="eastAsia"/>
        </w:rPr>
        <w:t>将被视为未实质性响应磋商文件。</w:t>
      </w:r>
    </w:p>
    <w:p>
      <w:pPr>
        <w:tabs>
          <w:tab w:val="left" w:pos="0"/>
        </w:tabs>
        <w:adjustRightInd w:val="0"/>
        <w:snapToGrid w:val="0"/>
        <w:spacing w:line="520" w:lineRule="exact"/>
        <w:ind w:firstLine="472" w:firstLineChars="196"/>
      </w:pPr>
      <w:r>
        <w:rPr>
          <w:b/>
          <w:bCs/>
        </w:rPr>
        <w:t>2.2</w:t>
      </w:r>
      <w:r>
        <w:rPr>
          <w:rFonts w:hint="eastAsia"/>
          <w:b/>
          <w:bCs/>
        </w:rPr>
        <w:t>符合性审查。</w:t>
      </w:r>
      <w:r>
        <w:rPr>
          <w:rFonts w:hint="eastAsia"/>
        </w:rPr>
        <w:t>磋商小组从磋商响应文件的完整性、有效性和对磋商文件的响应程度进行审查，以确定其是否对磋商文件实质性内容作出响应。</w:t>
      </w:r>
    </w:p>
    <w:p>
      <w:pPr>
        <w:tabs>
          <w:tab w:val="left" w:pos="851"/>
        </w:tabs>
        <w:spacing w:line="600" w:lineRule="exact"/>
        <w:ind w:firstLine="496" w:firstLineChars="200"/>
        <w:rPr>
          <w:spacing w:val="4"/>
          <w:szCs w:val="24"/>
        </w:rPr>
      </w:pPr>
      <w:r>
        <w:rPr>
          <w:spacing w:val="4"/>
          <w:szCs w:val="24"/>
        </w:rPr>
        <w:t>2.2.1</w:t>
      </w:r>
      <w:r>
        <w:rPr>
          <w:rFonts w:hint="eastAsia"/>
        </w:rPr>
        <w:t>磋商响应文件的完整性。磋商响应文件构成是否有重大缺项；是否按照磋商文件要求的格式编写磋商响应文件。</w:t>
      </w:r>
    </w:p>
    <w:p>
      <w:pPr>
        <w:tabs>
          <w:tab w:val="left" w:pos="851"/>
        </w:tabs>
        <w:spacing w:line="600" w:lineRule="exact"/>
        <w:ind w:firstLine="496" w:firstLineChars="200"/>
        <w:rPr>
          <w:spacing w:val="4"/>
          <w:szCs w:val="24"/>
        </w:rPr>
      </w:pPr>
      <w:r>
        <w:rPr>
          <w:spacing w:val="4"/>
          <w:szCs w:val="24"/>
        </w:rPr>
        <w:t>2.2.2</w:t>
      </w:r>
      <w:r>
        <w:rPr>
          <w:rFonts w:hint="eastAsia"/>
          <w:spacing w:val="4"/>
          <w:szCs w:val="24"/>
        </w:rPr>
        <w:t>磋商响应文件的有效性。磋商响应文件的签署、加盖印章是否合格、有效；磋商有效期是否满足磋商文件规定。</w:t>
      </w:r>
    </w:p>
    <w:p>
      <w:pPr>
        <w:tabs>
          <w:tab w:val="left" w:pos="851"/>
        </w:tabs>
        <w:spacing w:line="600" w:lineRule="exact"/>
        <w:ind w:firstLine="496" w:firstLineChars="200"/>
        <w:rPr>
          <w:szCs w:val="24"/>
        </w:rPr>
      </w:pPr>
      <w:r>
        <w:rPr>
          <w:spacing w:val="4"/>
          <w:szCs w:val="24"/>
        </w:rPr>
        <w:t>2.2.3</w:t>
      </w:r>
      <w:r>
        <w:rPr>
          <w:rFonts w:hint="eastAsia"/>
          <w:spacing w:val="4"/>
          <w:szCs w:val="24"/>
        </w:rPr>
        <w:t>磋商响应文件的响应性。磋商方案是否有重大缺漏项、偏离</w:t>
      </w:r>
      <w:r>
        <w:rPr>
          <w:rFonts w:hint="eastAsia"/>
          <w:szCs w:val="24"/>
        </w:rPr>
        <w:t>。</w:t>
      </w:r>
    </w:p>
    <w:p>
      <w:pPr>
        <w:tabs>
          <w:tab w:val="left" w:pos="851"/>
        </w:tabs>
        <w:spacing w:line="600" w:lineRule="exact"/>
        <w:ind w:firstLine="480" w:firstLineChars="200"/>
        <w:rPr>
          <w:szCs w:val="24"/>
        </w:rPr>
      </w:pPr>
      <w:r>
        <w:rPr>
          <w:rFonts w:cs="宋体"/>
          <w:szCs w:val="24"/>
        </w:rPr>
        <w:t>2.2.4</w:t>
      </w:r>
      <w:r>
        <w:rPr>
          <w:rFonts w:hint="eastAsia" w:cs="宋体"/>
          <w:szCs w:val="24"/>
        </w:rPr>
        <w:t>报价是否超过采购预算。</w:t>
      </w:r>
    </w:p>
    <w:p>
      <w:pPr>
        <w:tabs>
          <w:tab w:val="left" w:pos="0"/>
        </w:tabs>
        <w:adjustRightInd w:val="0"/>
        <w:snapToGrid w:val="0"/>
        <w:spacing w:line="520" w:lineRule="exact"/>
        <w:ind w:firstLine="482" w:firstLineChars="200"/>
        <w:rPr>
          <w:b/>
          <w:bCs/>
        </w:rPr>
      </w:pPr>
      <w:r>
        <w:rPr>
          <w:b/>
          <w:bCs/>
        </w:rPr>
        <w:t>2.3</w:t>
      </w:r>
      <w:r>
        <w:rPr>
          <w:rFonts w:hint="eastAsia"/>
          <w:b/>
          <w:bCs/>
        </w:rPr>
        <w:t>在资格性、符合性审查时未通过的，不得进入评审环节。</w:t>
      </w:r>
    </w:p>
    <w:p>
      <w:pPr>
        <w:spacing w:line="600" w:lineRule="exact"/>
        <w:ind w:firstLine="120" w:firstLineChars="50"/>
        <w:rPr>
          <w:b/>
          <w:szCs w:val="24"/>
        </w:rPr>
      </w:pPr>
      <w:r>
        <w:rPr>
          <w:rFonts w:hint="eastAsia"/>
          <w:b/>
          <w:szCs w:val="24"/>
        </w:rPr>
        <w:t>三、政策性扣减</w:t>
      </w:r>
    </w:p>
    <w:p>
      <w:pPr>
        <w:spacing w:line="600" w:lineRule="exact"/>
        <w:ind w:firstLine="482" w:firstLineChars="200"/>
        <w:rPr>
          <w:b/>
          <w:szCs w:val="24"/>
        </w:rPr>
      </w:pPr>
      <w:r>
        <w:rPr>
          <w:b/>
          <w:szCs w:val="24"/>
        </w:rPr>
        <w:t>1</w:t>
      </w:r>
      <w:r>
        <w:rPr>
          <w:rFonts w:hint="eastAsia"/>
          <w:b/>
          <w:szCs w:val="24"/>
        </w:rPr>
        <w:t>、政策性扣减范围</w:t>
      </w:r>
    </w:p>
    <w:p>
      <w:pPr>
        <w:spacing w:line="600" w:lineRule="exact"/>
        <w:ind w:firstLine="480" w:firstLineChars="200"/>
        <w:rPr>
          <w:szCs w:val="24"/>
        </w:rPr>
      </w:pPr>
      <w:r>
        <w:rPr>
          <w:szCs w:val="24"/>
        </w:rPr>
        <w:t>1.1</w:t>
      </w:r>
      <w:r>
        <w:rPr>
          <w:rFonts w:hint="eastAsia"/>
          <w:szCs w:val="24"/>
        </w:rPr>
        <w:t>供应商符合小型、微型企业或监狱企业、残疾人福利性单位条件的，其磋商报价价格评审时将按相应比例进行扣减。</w:t>
      </w:r>
    </w:p>
    <w:p>
      <w:pPr>
        <w:spacing w:line="600" w:lineRule="exact"/>
        <w:ind w:firstLine="480" w:firstLineChars="200"/>
        <w:rPr>
          <w:szCs w:val="24"/>
        </w:rPr>
      </w:pPr>
      <w:r>
        <w:rPr>
          <w:szCs w:val="24"/>
        </w:rPr>
        <w:t>1.2</w:t>
      </w:r>
      <w:r>
        <w:rPr>
          <w:rFonts w:hint="eastAsia"/>
          <w:szCs w:val="24"/>
        </w:rPr>
        <w:t>依照</w:t>
      </w:r>
      <w:r>
        <w:rPr>
          <w:szCs w:val="24"/>
        </w:rPr>
        <w:t>&lt;</w:t>
      </w:r>
      <w:r>
        <w:rPr>
          <w:rFonts w:hint="eastAsia"/>
          <w:szCs w:val="24"/>
        </w:rPr>
        <w:t>关于印发《政府采购促进中小企业发展暂行办法》的通知</w:t>
      </w:r>
      <w:r>
        <w:rPr>
          <w:szCs w:val="24"/>
        </w:rPr>
        <w:t>&gt;</w:t>
      </w:r>
      <w:r>
        <w:rPr>
          <w:rFonts w:hint="eastAsia"/>
          <w:szCs w:val="24"/>
        </w:rPr>
        <w:t>（财库〔</w:t>
      </w:r>
      <w:r>
        <w:rPr>
          <w:szCs w:val="24"/>
        </w:rPr>
        <w:t>2011</w:t>
      </w:r>
      <w:r>
        <w:rPr>
          <w:rFonts w:hint="eastAsia"/>
          <w:szCs w:val="24"/>
        </w:rPr>
        <w:t>〕</w:t>
      </w:r>
      <w:r>
        <w:rPr>
          <w:szCs w:val="24"/>
        </w:rPr>
        <w:t>181</w:t>
      </w:r>
      <w:r>
        <w:rPr>
          <w:rFonts w:hint="eastAsia"/>
          <w:szCs w:val="24"/>
        </w:rPr>
        <w:t>号）的规定，小型、微型企业应当同时符合以下条件：</w:t>
      </w:r>
    </w:p>
    <w:p>
      <w:pPr>
        <w:spacing w:line="600" w:lineRule="exact"/>
        <w:ind w:firstLine="480" w:firstLineChars="200"/>
        <w:rPr>
          <w:szCs w:val="24"/>
        </w:rPr>
      </w:pPr>
      <w:r>
        <w:rPr>
          <w:szCs w:val="24"/>
        </w:rPr>
        <w:t>1.2.1</w:t>
      </w:r>
      <w:r>
        <w:rPr>
          <w:rFonts w:hint="eastAsia"/>
          <w:szCs w:val="24"/>
        </w:rPr>
        <w:t>符合中小企业划分标准（中小企业划分标准是指国务院有关部门根据企业从业人员、营业收入、资产总额等指标制定的中小企业划型标准（工信部联企业〔</w:t>
      </w:r>
      <w:r>
        <w:rPr>
          <w:szCs w:val="24"/>
        </w:rPr>
        <w:t>2011</w:t>
      </w:r>
      <w:r>
        <w:rPr>
          <w:rFonts w:hint="eastAsia"/>
          <w:szCs w:val="24"/>
        </w:rPr>
        <w:t>〕</w:t>
      </w:r>
      <w:r>
        <w:rPr>
          <w:szCs w:val="24"/>
        </w:rPr>
        <w:t>300</w:t>
      </w:r>
      <w:r>
        <w:rPr>
          <w:rFonts w:hint="eastAsia"/>
          <w:szCs w:val="24"/>
        </w:rPr>
        <w:t>号））。</w:t>
      </w:r>
    </w:p>
    <w:p>
      <w:pPr>
        <w:spacing w:line="600" w:lineRule="exact"/>
        <w:ind w:firstLine="480" w:firstLineChars="200"/>
        <w:rPr>
          <w:szCs w:val="24"/>
        </w:rPr>
      </w:pPr>
      <w:r>
        <w:rPr>
          <w:szCs w:val="24"/>
        </w:rPr>
        <w:t>1.2.2</w:t>
      </w:r>
      <w:r>
        <w:rPr>
          <w:rFonts w:hint="eastAsia"/>
          <w:szCs w:val="24"/>
        </w:rPr>
        <w:t>提供本企业制造的货物、承担的工程或者服务，或者提供其他中小企业制造的货物，不包括提供或使用大型企业注册商标的货物。</w:t>
      </w:r>
    </w:p>
    <w:p>
      <w:pPr>
        <w:spacing w:line="600" w:lineRule="exact"/>
        <w:ind w:firstLine="480" w:firstLineChars="200"/>
        <w:rPr>
          <w:szCs w:val="24"/>
        </w:rPr>
      </w:pPr>
      <w:r>
        <w:rPr>
          <w:szCs w:val="24"/>
        </w:rPr>
        <w:t>1.2.3</w:t>
      </w:r>
      <w:r>
        <w:rPr>
          <w:rFonts w:hint="eastAsia"/>
          <w:szCs w:val="24"/>
        </w:rPr>
        <w:t>小型、微型企业提供中型企业制造的货物的，视同为中型企业；小型、微型、中型企业提供大型企业制造的货物的，视同为大型企业。</w:t>
      </w:r>
    </w:p>
    <w:p>
      <w:pPr>
        <w:spacing w:line="560" w:lineRule="exact"/>
        <w:ind w:firstLine="480" w:firstLineChars="200"/>
        <w:rPr>
          <w:rFonts w:cs="宋体"/>
          <w:szCs w:val="24"/>
        </w:rPr>
      </w:pPr>
      <w:r>
        <w:rPr>
          <w:rFonts w:cs="宋体"/>
          <w:szCs w:val="24"/>
        </w:rPr>
        <w:t>1.3</w:t>
      </w:r>
      <w:r>
        <w:rPr>
          <w:rFonts w:hint="eastAsia" w:cs="宋体"/>
          <w:szCs w:val="24"/>
        </w:rPr>
        <w:t>监狱企业参加政府采购活动时，应当提供由省级以上监狱管理局、戒毒管理局</w:t>
      </w:r>
      <w:r>
        <w:rPr>
          <w:rFonts w:cs="宋体"/>
          <w:szCs w:val="24"/>
        </w:rPr>
        <w:t>(</w:t>
      </w:r>
      <w:r>
        <w:rPr>
          <w:rFonts w:hint="eastAsia" w:cs="宋体"/>
          <w:szCs w:val="24"/>
        </w:rPr>
        <w:t>含新疆生产建设兵团</w:t>
      </w:r>
      <w:r>
        <w:rPr>
          <w:rFonts w:cs="宋体"/>
          <w:szCs w:val="24"/>
        </w:rPr>
        <w:t>)</w:t>
      </w:r>
      <w:r>
        <w:rPr>
          <w:rFonts w:hint="eastAsia" w:cs="宋体"/>
          <w:szCs w:val="24"/>
        </w:rPr>
        <w:t>出具的属于监狱企业的证明文件。</w:t>
      </w:r>
      <w:r>
        <w:rPr>
          <w:rFonts w:hint="eastAsia"/>
        </w:rPr>
        <w:t>监狱企业参加政府采购活动时，视同小型、微型企业。</w:t>
      </w:r>
    </w:p>
    <w:p>
      <w:pPr>
        <w:spacing w:line="560" w:lineRule="exact"/>
        <w:ind w:firstLine="480" w:firstLineChars="200"/>
        <w:rPr>
          <w:rFonts w:cs="宋体"/>
          <w:szCs w:val="24"/>
        </w:rPr>
      </w:pPr>
      <w:r>
        <w:rPr>
          <w:rFonts w:cs="宋体"/>
          <w:szCs w:val="24"/>
        </w:rPr>
        <w:t>1.4</w:t>
      </w:r>
      <w:r>
        <w:rPr>
          <w:rFonts w:hint="eastAsia" w:cs="宋体"/>
          <w:szCs w:val="24"/>
        </w:rPr>
        <w:t>符合条件的残疾人福利性单位在参加政府采购活动时，应当提供本通知规定的《残疾人福利性单位声明函》，并对声明的真实性负责。残疾人福利性单位</w:t>
      </w:r>
      <w:r>
        <w:rPr>
          <w:rFonts w:hint="eastAsia"/>
        </w:rPr>
        <w:t>参加政府采购活动时，视同小型、微型企业；</w:t>
      </w:r>
      <w:r>
        <w:rPr>
          <w:rFonts w:hint="eastAsia" w:cs="宋体"/>
          <w:szCs w:val="24"/>
        </w:rPr>
        <w:t>残疾人福利性单位属于小型、微型企业的，不重复享受政策。</w:t>
      </w:r>
    </w:p>
    <w:p>
      <w:pPr>
        <w:spacing w:line="600" w:lineRule="exact"/>
        <w:ind w:firstLine="482" w:firstLineChars="200"/>
        <w:rPr>
          <w:b/>
          <w:szCs w:val="24"/>
        </w:rPr>
      </w:pPr>
      <w:r>
        <w:rPr>
          <w:b/>
          <w:szCs w:val="24"/>
        </w:rPr>
        <w:t>2</w:t>
      </w:r>
      <w:r>
        <w:rPr>
          <w:rFonts w:hint="eastAsia"/>
          <w:b/>
          <w:szCs w:val="24"/>
        </w:rPr>
        <w:t>、政策性扣减方式：</w:t>
      </w:r>
    </w:p>
    <w:p>
      <w:pPr>
        <w:spacing w:line="600" w:lineRule="exact"/>
        <w:ind w:firstLine="480" w:firstLineChars="200"/>
        <w:rPr>
          <w:szCs w:val="24"/>
        </w:rPr>
      </w:pPr>
      <w:r>
        <w:rPr>
          <w:szCs w:val="24"/>
        </w:rPr>
        <w:t>2.1</w:t>
      </w:r>
      <w:r>
        <w:rPr>
          <w:rFonts w:hint="eastAsia"/>
          <w:szCs w:val="24"/>
        </w:rPr>
        <w:t>供应商为非联合体参与投标的情况：</w:t>
      </w:r>
    </w:p>
    <w:p>
      <w:pPr>
        <w:spacing w:line="600" w:lineRule="exact"/>
        <w:ind w:firstLine="480" w:firstLineChars="200"/>
        <w:rPr>
          <w:szCs w:val="24"/>
        </w:rPr>
      </w:pPr>
      <w:r>
        <w:rPr>
          <w:szCs w:val="24"/>
        </w:rPr>
        <w:t>2.1.1</w:t>
      </w:r>
      <w:r>
        <w:rPr>
          <w:rFonts w:hint="eastAsia"/>
          <w:szCs w:val="24"/>
        </w:rPr>
        <w:t>在磋商报价的基础上，小型企业或达到小型企业划分标准的监狱企业（或残疾人福利性单位），按“磋商报价×</w:t>
      </w:r>
      <w:r>
        <w:rPr>
          <w:szCs w:val="24"/>
        </w:rPr>
        <w:t>6%</w:t>
      </w:r>
      <w:r>
        <w:rPr>
          <w:rFonts w:hint="eastAsia"/>
          <w:szCs w:val="24"/>
        </w:rPr>
        <w:t>”进行扣减；</w:t>
      </w:r>
    </w:p>
    <w:p>
      <w:pPr>
        <w:spacing w:line="600" w:lineRule="exact"/>
        <w:ind w:firstLine="480" w:firstLineChars="200"/>
        <w:rPr>
          <w:szCs w:val="24"/>
        </w:rPr>
      </w:pPr>
      <w:r>
        <w:rPr>
          <w:szCs w:val="24"/>
        </w:rPr>
        <w:t>2.1.2</w:t>
      </w:r>
      <w:r>
        <w:rPr>
          <w:rFonts w:hint="eastAsia"/>
          <w:szCs w:val="24"/>
        </w:rPr>
        <w:t>在磋商报价的基础上，注册资金在十五万元以上的微型企业或注册资金在十五万元以上达到微型企业划分标准的监狱企业（或残疾人福利性单位），按“磋商报价×</w:t>
      </w:r>
      <w:r>
        <w:rPr>
          <w:szCs w:val="24"/>
        </w:rPr>
        <w:t>8%</w:t>
      </w:r>
      <w:r>
        <w:rPr>
          <w:rFonts w:hint="eastAsia"/>
          <w:szCs w:val="24"/>
        </w:rPr>
        <w:t>”进行扣减；</w:t>
      </w:r>
    </w:p>
    <w:p>
      <w:pPr>
        <w:spacing w:line="600" w:lineRule="exact"/>
        <w:ind w:firstLine="480" w:firstLineChars="200"/>
        <w:rPr>
          <w:szCs w:val="24"/>
        </w:rPr>
      </w:pPr>
      <w:r>
        <w:rPr>
          <w:szCs w:val="24"/>
        </w:rPr>
        <w:t>2.1.3</w:t>
      </w:r>
      <w:r>
        <w:rPr>
          <w:rFonts w:hint="eastAsia"/>
          <w:szCs w:val="24"/>
        </w:rPr>
        <w:t>在磋商报价的基础上，注册资金在十五万元以下的微型企业或注册资金在十五万元以下达到微型企业划分标准的监狱企业（或残疾人福利性单位），按“磋商报价×</w:t>
      </w:r>
      <w:r>
        <w:rPr>
          <w:szCs w:val="24"/>
        </w:rPr>
        <w:t>10%</w:t>
      </w:r>
      <w:r>
        <w:rPr>
          <w:rFonts w:hint="eastAsia"/>
          <w:szCs w:val="24"/>
        </w:rPr>
        <w:t>”进行扣减。</w:t>
      </w:r>
    </w:p>
    <w:p>
      <w:pPr>
        <w:spacing w:line="600" w:lineRule="exact"/>
        <w:ind w:firstLine="480" w:firstLineChars="200"/>
        <w:rPr>
          <w:szCs w:val="24"/>
        </w:rPr>
      </w:pPr>
      <w:r>
        <w:rPr>
          <w:szCs w:val="24"/>
        </w:rPr>
        <w:t>2.2</w:t>
      </w:r>
      <w:r>
        <w:rPr>
          <w:rFonts w:hint="eastAsia"/>
          <w:szCs w:val="24"/>
        </w:rPr>
        <w:t>供应商为联合体参与投标且联合协议中约定小型或微型企业的协议合同金额占到联合体协议合同总金额</w:t>
      </w:r>
      <w:r>
        <w:rPr>
          <w:szCs w:val="24"/>
        </w:rPr>
        <w:t>30</w:t>
      </w:r>
      <w:r>
        <w:rPr>
          <w:rFonts w:hint="eastAsia"/>
          <w:szCs w:val="24"/>
        </w:rPr>
        <w:t>％以上的情况：</w:t>
      </w:r>
    </w:p>
    <w:p>
      <w:pPr>
        <w:spacing w:line="600" w:lineRule="exact"/>
        <w:ind w:firstLine="480" w:firstLineChars="200"/>
        <w:rPr>
          <w:szCs w:val="24"/>
        </w:rPr>
      </w:pPr>
      <w:r>
        <w:rPr>
          <w:szCs w:val="24"/>
        </w:rPr>
        <w:t>2.2.1</w:t>
      </w:r>
      <w:r>
        <w:rPr>
          <w:rFonts w:hint="eastAsia"/>
          <w:szCs w:val="24"/>
        </w:rPr>
        <w:t>在磋商报价的基础上，与小型企业或达到小型企业划分标准的监狱企业（或残疾人福利性单位）联合的，按“磋商报价×</w:t>
      </w:r>
      <w:r>
        <w:rPr>
          <w:szCs w:val="24"/>
        </w:rPr>
        <w:t>2%</w:t>
      </w:r>
      <w:r>
        <w:rPr>
          <w:rFonts w:hint="eastAsia"/>
          <w:szCs w:val="24"/>
        </w:rPr>
        <w:t>”进行扣减；</w:t>
      </w:r>
    </w:p>
    <w:p>
      <w:pPr>
        <w:spacing w:line="600" w:lineRule="exact"/>
        <w:ind w:firstLine="480" w:firstLineChars="200"/>
        <w:rPr>
          <w:szCs w:val="24"/>
        </w:rPr>
      </w:pPr>
      <w:r>
        <w:rPr>
          <w:szCs w:val="24"/>
        </w:rPr>
        <w:t>2.2.2</w:t>
      </w:r>
      <w:r>
        <w:rPr>
          <w:rFonts w:hint="eastAsia"/>
          <w:szCs w:val="24"/>
        </w:rPr>
        <w:t>在磋商报价的基础上，与微型企业达或到微型企业划分标准的监狱企业（或残疾人福利性单位）联合的，按“磋商报价×</w:t>
      </w:r>
      <w:r>
        <w:rPr>
          <w:szCs w:val="24"/>
        </w:rPr>
        <w:t>3%</w:t>
      </w:r>
      <w:r>
        <w:rPr>
          <w:rFonts w:hint="eastAsia"/>
          <w:szCs w:val="24"/>
        </w:rPr>
        <w:t>”进行扣减。</w:t>
      </w:r>
    </w:p>
    <w:p>
      <w:pPr>
        <w:spacing w:line="600" w:lineRule="exact"/>
        <w:ind w:firstLine="480" w:firstLineChars="200"/>
        <w:rPr>
          <w:szCs w:val="24"/>
        </w:rPr>
      </w:pPr>
      <w:r>
        <w:rPr>
          <w:szCs w:val="24"/>
        </w:rPr>
        <w:t>2.2.3</w:t>
      </w:r>
      <w:r>
        <w:rPr>
          <w:rFonts w:hint="eastAsia"/>
          <w:szCs w:val="24"/>
        </w:rPr>
        <w:t>在磋商报价的基础上，同时与小型、微型企业或达到小型、微型企业划分标准的监狱企业（或残疾人福利性单位）组成两家以上的联合体的，仅按照“磋商报价×</w:t>
      </w:r>
      <w:r>
        <w:rPr>
          <w:szCs w:val="24"/>
        </w:rPr>
        <w:t>3%</w:t>
      </w:r>
      <w:r>
        <w:rPr>
          <w:rFonts w:hint="eastAsia"/>
          <w:szCs w:val="24"/>
        </w:rPr>
        <w:t>”进行扣减，不累计扣减。</w:t>
      </w:r>
    </w:p>
    <w:p>
      <w:pPr>
        <w:spacing w:line="600" w:lineRule="exact"/>
        <w:ind w:firstLine="120" w:firstLineChars="50"/>
        <w:rPr>
          <w:b/>
          <w:szCs w:val="24"/>
        </w:rPr>
        <w:sectPr>
          <w:footerReference r:id="rId7" w:type="default"/>
          <w:pgSz w:w="11906" w:h="16838"/>
          <w:pgMar w:top="1440" w:right="1080" w:bottom="1440" w:left="1080" w:header="1134" w:footer="992" w:gutter="0"/>
          <w:cols w:space="720" w:num="1"/>
          <w:docGrid w:type="lines" w:linePitch="333" w:charSpace="0"/>
        </w:sectPr>
      </w:pPr>
      <w:r>
        <w:rPr>
          <w:rFonts w:hint="eastAsia"/>
          <w:b/>
          <w:szCs w:val="24"/>
        </w:rPr>
        <w:t>三、磋商因素及权重分值表</w:t>
      </w:r>
    </w:p>
    <w:tbl>
      <w:tblPr>
        <w:tblStyle w:val="21"/>
        <w:tblW w:w="9864" w:type="dxa"/>
        <w:tblInd w:w="0" w:type="dxa"/>
        <w:tblLayout w:type="fixed"/>
        <w:tblCellMar>
          <w:top w:w="0" w:type="dxa"/>
          <w:left w:w="108" w:type="dxa"/>
          <w:bottom w:w="0" w:type="dxa"/>
          <w:right w:w="108" w:type="dxa"/>
        </w:tblCellMar>
      </w:tblPr>
      <w:tblGrid>
        <w:gridCol w:w="1540"/>
        <w:gridCol w:w="1569"/>
        <w:gridCol w:w="6755"/>
      </w:tblGrid>
      <w:tr>
        <w:tblPrEx>
          <w:tblLayout w:type="fixed"/>
          <w:tblCellMar>
            <w:top w:w="0" w:type="dxa"/>
            <w:left w:w="108" w:type="dxa"/>
            <w:bottom w:w="0" w:type="dxa"/>
            <w:right w:w="108" w:type="dxa"/>
          </w:tblCellMar>
        </w:tblPrEx>
        <w:trPr>
          <w:trHeight w:val="644" w:hRule="atLeast"/>
        </w:trPr>
        <w:tc>
          <w:tcPr>
            <w:tcW w:w="1540" w:type="dxa"/>
            <w:tcBorders>
              <w:top w:val="single" w:color="auto" w:sz="8" w:space="0"/>
              <w:left w:val="single" w:color="auto" w:sz="8" w:space="0"/>
              <w:bottom w:val="single" w:color="auto" w:sz="8" w:space="0"/>
              <w:right w:val="single" w:color="auto" w:sz="8" w:space="0"/>
            </w:tcBorders>
            <w:noWrap w:val="0"/>
            <w:vAlign w:val="center"/>
          </w:tcPr>
          <w:p>
            <w:pPr>
              <w:widowControl/>
              <w:jc w:val="center"/>
              <w:rPr>
                <w:rFonts w:cs="宋体"/>
                <w:color w:val="auto"/>
                <w:szCs w:val="21"/>
              </w:rPr>
            </w:pPr>
            <w:r>
              <w:rPr>
                <w:rFonts w:hint="eastAsia" w:cs="宋体"/>
                <w:color w:val="auto"/>
                <w:szCs w:val="21"/>
              </w:rPr>
              <w:t>项别及分值</w:t>
            </w:r>
          </w:p>
          <w:p>
            <w:pPr>
              <w:widowControl/>
              <w:jc w:val="center"/>
              <w:rPr>
                <w:rFonts w:cs="宋体"/>
                <w:color w:val="auto"/>
                <w:szCs w:val="21"/>
              </w:rPr>
            </w:pPr>
            <w:r>
              <w:rPr>
                <w:rFonts w:hint="eastAsia" w:cs="宋体"/>
                <w:color w:val="auto"/>
                <w:szCs w:val="21"/>
              </w:rPr>
              <w:t>（</w:t>
            </w:r>
            <w:r>
              <w:rPr>
                <w:rFonts w:cs="宋体"/>
                <w:color w:val="auto"/>
                <w:szCs w:val="21"/>
              </w:rPr>
              <w:t>100</w:t>
            </w:r>
            <w:r>
              <w:rPr>
                <w:rFonts w:hint="eastAsia" w:cs="宋体"/>
                <w:color w:val="auto"/>
                <w:szCs w:val="21"/>
              </w:rPr>
              <w:t>）</w:t>
            </w:r>
          </w:p>
        </w:tc>
        <w:tc>
          <w:tcPr>
            <w:tcW w:w="8324" w:type="dxa"/>
            <w:gridSpan w:val="2"/>
            <w:tcBorders>
              <w:top w:val="single" w:color="auto" w:sz="8" w:space="0"/>
              <w:left w:val="single" w:color="auto" w:sz="8" w:space="0"/>
              <w:bottom w:val="single" w:color="000000" w:sz="8" w:space="0"/>
              <w:right w:val="single" w:color="000000" w:sz="8" w:space="0"/>
            </w:tcBorders>
            <w:noWrap w:val="0"/>
            <w:vAlign w:val="center"/>
          </w:tcPr>
          <w:p>
            <w:pPr>
              <w:widowControl/>
              <w:jc w:val="center"/>
              <w:rPr>
                <w:rFonts w:cs="宋体"/>
                <w:color w:val="auto"/>
                <w:szCs w:val="21"/>
              </w:rPr>
            </w:pPr>
            <w:r>
              <w:rPr>
                <w:rFonts w:hint="eastAsia" w:cs="宋体"/>
                <w:color w:val="auto"/>
                <w:szCs w:val="21"/>
              </w:rPr>
              <w:t>评审要素</w:t>
            </w:r>
          </w:p>
        </w:tc>
      </w:tr>
      <w:tr>
        <w:tblPrEx>
          <w:tblLayout w:type="fixed"/>
          <w:tblCellMar>
            <w:top w:w="0" w:type="dxa"/>
            <w:left w:w="108" w:type="dxa"/>
            <w:bottom w:w="0" w:type="dxa"/>
            <w:right w:w="108" w:type="dxa"/>
          </w:tblCellMar>
        </w:tblPrEx>
        <w:trPr>
          <w:trHeight w:val="1469" w:hRule="atLeast"/>
        </w:trPr>
        <w:tc>
          <w:tcPr>
            <w:tcW w:w="1540" w:type="dxa"/>
            <w:tcBorders>
              <w:top w:val="nil"/>
              <w:left w:val="single" w:color="auto" w:sz="8" w:space="0"/>
              <w:bottom w:val="single" w:color="auto" w:sz="4" w:space="0"/>
              <w:right w:val="single" w:color="auto" w:sz="8" w:space="0"/>
            </w:tcBorders>
            <w:noWrap w:val="0"/>
            <w:vAlign w:val="center"/>
          </w:tcPr>
          <w:p>
            <w:pPr>
              <w:widowControl/>
              <w:jc w:val="center"/>
              <w:rPr>
                <w:rFonts w:cs="宋体"/>
                <w:color w:val="auto"/>
                <w:szCs w:val="21"/>
              </w:rPr>
            </w:pPr>
            <w:r>
              <w:rPr>
                <w:rFonts w:hint="eastAsia" w:cs="宋体"/>
                <w:color w:val="auto"/>
                <w:szCs w:val="21"/>
              </w:rPr>
              <w:t>报价得分</w:t>
            </w:r>
          </w:p>
          <w:p>
            <w:pPr>
              <w:widowControl/>
              <w:jc w:val="center"/>
              <w:rPr>
                <w:rFonts w:ascii="等线" w:hAnsi="等线" w:eastAsia="等线" w:cs="宋体"/>
                <w:color w:val="auto"/>
                <w:sz w:val="22"/>
              </w:rPr>
            </w:pPr>
            <w:r>
              <w:rPr>
                <w:rFonts w:hint="eastAsia" w:cs="宋体"/>
                <w:color w:val="auto"/>
                <w:szCs w:val="21"/>
              </w:rPr>
              <w:t>（</w:t>
            </w:r>
            <w:r>
              <w:rPr>
                <w:rFonts w:cs="宋体"/>
                <w:color w:val="auto"/>
                <w:szCs w:val="21"/>
              </w:rPr>
              <w:t>30</w:t>
            </w:r>
            <w:r>
              <w:rPr>
                <w:rFonts w:hint="eastAsia" w:cs="宋体"/>
                <w:color w:val="auto"/>
                <w:szCs w:val="21"/>
              </w:rPr>
              <w:t>）</w:t>
            </w:r>
          </w:p>
        </w:tc>
        <w:tc>
          <w:tcPr>
            <w:tcW w:w="8324" w:type="dxa"/>
            <w:gridSpan w:val="2"/>
            <w:tcBorders>
              <w:top w:val="single" w:color="auto" w:sz="8" w:space="0"/>
              <w:left w:val="nil"/>
              <w:bottom w:val="single" w:color="auto" w:sz="8" w:space="0"/>
              <w:right w:val="single" w:color="000000" w:sz="8" w:space="0"/>
            </w:tcBorders>
            <w:noWrap w:val="0"/>
            <w:vAlign w:val="center"/>
          </w:tcPr>
          <w:p>
            <w:pPr>
              <w:rPr>
                <w:color w:val="auto"/>
              </w:rPr>
            </w:pPr>
            <w:r>
              <w:rPr>
                <w:color w:val="auto"/>
              </w:rPr>
              <w:t>1</w:t>
            </w:r>
            <w:r>
              <w:rPr>
                <w:rFonts w:hint="eastAsia"/>
                <w:color w:val="auto"/>
              </w:rPr>
              <w:t>、经初审合格的磋商响应文件，其磋商二次报价为有效报价。对符合政策性扣减的有效磋商报价进行政策性扣减，并依据扣减后的价格（评审价格）进行价格评审。</w:t>
            </w:r>
          </w:p>
          <w:p>
            <w:pPr>
              <w:rPr>
                <w:color w:val="auto"/>
              </w:rPr>
            </w:pPr>
            <w:r>
              <w:rPr>
                <w:color w:val="auto"/>
              </w:rPr>
              <w:t>2</w:t>
            </w:r>
            <w:r>
              <w:rPr>
                <w:rFonts w:hint="eastAsia"/>
                <w:color w:val="auto"/>
              </w:rPr>
              <w:t>、有效最低报价为基准价得</w:t>
            </w:r>
            <w:r>
              <w:rPr>
                <w:color w:val="auto"/>
              </w:rPr>
              <w:t>30</w:t>
            </w:r>
            <w:r>
              <w:rPr>
                <w:rFonts w:hint="eastAsia"/>
                <w:color w:val="auto"/>
              </w:rPr>
              <w:t>分。</w:t>
            </w:r>
          </w:p>
          <w:p>
            <w:pPr>
              <w:rPr>
                <w:color w:val="auto"/>
              </w:rPr>
            </w:pPr>
            <w:r>
              <w:rPr>
                <w:color w:val="auto"/>
              </w:rPr>
              <w:t>3</w:t>
            </w:r>
            <w:r>
              <w:rPr>
                <w:rFonts w:hint="eastAsia"/>
                <w:color w:val="auto"/>
              </w:rPr>
              <w:t>、按（有效最低报价</w:t>
            </w:r>
            <w:r>
              <w:rPr>
                <w:color w:val="auto"/>
              </w:rPr>
              <w:t>/</w:t>
            </w:r>
            <w:r>
              <w:rPr>
                <w:rFonts w:hint="eastAsia"/>
                <w:color w:val="auto"/>
              </w:rPr>
              <w:t>有效磋商报价）×</w:t>
            </w:r>
            <w:r>
              <w:rPr>
                <w:color w:val="auto"/>
              </w:rPr>
              <w:t>30</w:t>
            </w:r>
            <w:r>
              <w:rPr>
                <w:rFonts w:hint="eastAsia"/>
                <w:color w:val="auto"/>
              </w:rPr>
              <w:t>的公式计算其得分。</w:t>
            </w:r>
          </w:p>
          <w:p>
            <w:pPr>
              <w:rPr>
                <w:color w:val="auto"/>
              </w:rPr>
            </w:pPr>
            <w:r>
              <w:rPr>
                <w:color w:val="auto"/>
              </w:rPr>
              <w:t>4</w:t>
            </w:r>
            <w:r>
              <w:rPr>
                <w:rFonts w:hint="eastAsia"/>
                <w:color w:val="auto"/>
              </w:rPr>
              <w:t>、磋商报价不完整的，不进入磋商标准价的计算，本项得</w:t>
            </w:r>
            <w:r>
              <w:rPr>
                <w:color w:val="auto"/>
              </w:rPr>
              <w:t>0</w:t>
            </w:r>
            <w:r>
              <w:rPr>
                <w:rFonts w:hint="eastAsia"/>
                <w:color w:val="auto"/>
              </w:rPr>
              <w:t>分。</w:t>
            </w:r>
          </w:p>
          <w:p>
            <w:pPr>
              <w:widowControl/>
              <w:rPr>
                <w:rFonts w:cs="宋体"/>
                <w:color w:val="auto"/>
                <w:szCs w:val="21"/>
              </w:rPr>
            </w:pPr>
            <w:r>
              <w:rPr>
                <w:color w:val="auto"/>
              </w:rPr>
              <w:t>5</w:t>
            </w:r>
            <w:r>
              <w:rPr>
                <w:rFonts w:hint="eastAsia"/>
                <w:color w:val="auto"/>
              </w:rPr>
              <w:t>、经评委一致认定，供应商的投标总报价低于公认市场成本，或超过采购预算</w:t>
            </w:r>
            <w:r>
              <w:rPr>
                <w:color w:val="auto"/>
              </w:rPr>
              <w:t>,</w:t>
            </w:r>
            <w:r>
              <w:rPr>
                <w:rFonts w:hint="eastAsia"/>
                <w:color w:val="auto"/>
              </w:rPr>
              <w:t>其投标将被拒绝。</w:t>
            </w:r>
          </w:p>
        </w:tc>
      </w:tr>
      <w:tr>
        <w:tblPrEx>
          <w:tblLayout w:type="fixed"/>
          <w:tblCellMar>
            <w:top w:w="0" w:type="dxa"/>
            <w:left w:w="108" w:type="dxa"/>
            <w:bottom w:w="0" w:type="dxa"/>
            <w:right w:w="108" w:type="dxa"/>
          </w:tblCellMar>
        </w:tblPrEx>
        <w:trPr>
          <w:trHeight w:val="822" w:hRule="atLeast"/>
        </w:trPr>
        <w:tc>
          <w:tcPr>
            <w:tcW w:w="1540" w:type="dxa"/>
            <w:vMerge w:val="restart"/>
            <w:tcBorders>
              <w:top w:val="single" w:color="auto" w:sz="4" w:space="0"/>
              <w:left w:val="single" w:color="auto" w:sz="8" w:space="0"/>
              <w:bottom w:val="single" w:color="auto" w:sz="4" w:space="0"/>
              <w:right w:val="single" w:color="auto" w:sz="8" w:space="0"/>
            </w:tcBorders>
            <w:noWrap w:val="0"/>
            <w:vAlign w:val="center"/>
          </w:tcPr>
          <w:p>
            <w:pPr>
              <w:widowControl/>
              <w:rPr>
                <w:rFonts w:cs="宋体"/>
                <w:color w:val="auto"/>
                <w:szCs w:val="21"/>
              </w:rPr>
            </w:pPr>
            <w:r>
              <w:rPr>
                <w:rFonts w:hint="eastAsia" w:cs="宋体"/>
                <w:color w:val="auto"/>
                <w:szCs w:val="21"/>
              </w:rPr>
              <w:t>技术部分</w:t>
            </w:r>
          </w:p>
          <w:p>
            <w:pPr>
              <w:widowControl/>
              <w:rPr>
                <w:rFonts w:cs="宋体"/>
                <w:color w:val="auto"/>
                <w:szCs w:val="21"/>
              </w:rPr>
            </w:pPr>
            <w:r>
              <w:rPr>
                <w:rFonts w:hint="eastAsia" w:cs="宋体"/>
                <w:color w:val="auto"/>
                <w:szCs w:val="21"/>
              </w:rPr>
              <w:t>（</w:t>
            </w:r>
            <w:r>
              <w:rPr>
                <w:rFonts w:cs="宋体"/>
                <w:color w:val="auto"/>
                <w:szCs w:val="21"/>
              </w:rPr>
              <w:t>50</w:t>
            </w:r>
            <w:r>
              <w:rPr>
                <w:rFonts w:hint="eastAsia" w:cs="宋体"/>
                <w:color w:val="auto"/>
                <w:szCs w:val="21"/>
              </w:rPr>
              <w:t>分）</w:t>
            </w:r>
          </w:p>
          <w:p>
            <w:pPr>
              <w:widowControl/>
              <w:jc w:val="left"/>
              <w:rPr>
                <w:rFonts w:ascii="等线" w:hAnsi="等线" w:eastAsia="等线" w:cs="宋体"/>
                <w:color w:val="auto"/>
                <w:sz w:val="22"/>
              </w:rPr>
            </w:pPr>
            <w:r>
              <w:rPr>
                <w:rFonts w:hint="eastAsia" w:ascii="等线" w:hAnsi="等线" w:eastAsia="等线" w:cs="宋体"/>
                <w:color w:val="auto"/>
                <w:sz w:val="22"/>
              </w:rPr>
              <w:t>　</w:t>
            </w:r>
          </w:p>
          <w:p>
            <w:pPr>
              <w:widowControl/>
              <w:jc w:val="left"/>
              <w:rPr>
                <w:rFonts w:ascii="等线" w:hAnsi="等线" w:eastAsia="等线" w:cs="宋体"/>
                <w:color w:val="auto"/>
                <w:sz w:val="22"/>
              </w:rPr>
            </w:pPr>
            <w:r>
              <w:rPr>
                <w:rFonts w:hint="eastAsia" w:ascii="等线" w:hAnsi="等线" w:eastAsia="等线" w:cs="宋体"/>
                <w:color w:val="auto"/>
                <w:sz w:val="22"/>
              </w:rPr>
              <w:t>　</w:t>
            </w:r>
          </w:p>
          <w:p>
            <w:pPr>
              <w:widowControl/>
              <w:jc w:val="left"/>
              <w:rPr>
                <w:rFonts w:ascii="等线" w:hAnsi="等线" w:eastAsia="等线" w:cs="宋体"/>
                <w:color w:val="auto"/>
                <w:sz w:val="22"/>
              </w:rPr>
            </w:pPr>
            <w:r>
              <w:rPr>
                <w:rFonts w:hint="eastAsia" w:ascii="等线" w:hAnsi="等线" w:eastAsia="等线" w:cs="宋体"/>
                <w:color w:val="auto"/>
                <w:sz w:val="22"/>
              </w:rPr>
              <w:t>　</w:t>
            </w:r>
          </w:p>
          <w:p>
            <w:pPr>
              <w:widowControl/>
              <w:jc w:val="left"/>
              <w:rPr>
                <w:rFonts w:ascii="等线" w:hAnsi="等线" w:eastAsia="等线" w:cs="宋体"/>
                <w:color w:val="auto"/>
                <w:sz w:val="22"/>
              </w:rPr>
            </w:pPr>
            <w:r>
              <w:rPr>
                <w:rFonts w:hint="eastAsia" w:ascii="等线" w:hAnsi="等线" w:eastAsia="等线" w:cs="宋体"/>
                <w:color w:val="auto"/>
                <w:sz w:val="22"/>
              </w:rPr>
              <w:t>　</w:t>
            </w:r>
          </w:p>
        </w:tc>
        <w:tc>
          <w:tcPr>
            <w:tcW w:w="1569" w:type="dxa"/>
            <w:tcBorders>
              <w:top w:val="nil"/>
              <w:left w:val="single" w:color="auto" w:sz="8" w:space="0"/>
              <w:bottom w:val="single" w:color="000000" w:sz="8" w:space="0"/>
              <w:right w:val="single" w:color="auto" w:sz="8" w:space="0"/>
            </w:tcBorders>
            <w:noWrap w:val="0"/>
            <w:vAlign w:val="center"/>
          </w:tcPr>
          <w:p>
            <w:pPr>
              <w:spacing w:line="400" w:lineRule="exact"/>
              <w:rPr>
                <w:rFonts w:cs="宋体"/>
                <w:color w:val="auto"/>
                <w:szCs w:val="21"/>
              </w:rPr>
            </w:pPr>
            <w:r>
              <w:rPr>
                <w:rFonts w:hint="eastAsia" w:cs="宋体"/>
                <w:color w:val="auto"/>
                <w:szCs w:val="21"/>
              </w:rPr>
              <w:t>技术参数指标（</w:t>
            </w:r>
            <w:r>
              <w:rPr>
                <w:rFonts w:cs="宋体"/>
                <w:color w:val="auto"/>
                <w:szCs w:val="21"/>
              </w:rPr>
              <w:t>30</w:t>
            </w:r>
            <w:r>
              <w:rPr>
                <w:rFonts w:hint="eastAsia" w:cs="宋体"/>
                <w:color w:val="auto"/>
                <w:szCs w:val="21"/>
              </w:rPr>
              <w:t>分）</w:t>
            </w:r>
          </w:p>
        </w:tc>
        <w:tc>
          <w:tcPr>
            <w:tcW w:w="6755" w:type="dxa"/>
            <w:tcBorders>
              <w:top w:val="nil"/>
              <w:left w:val="nil"/>
              <w:bottom w:val="single" w:color="auto" w:sz="8" w:space="0"/>
              <w:right w:val="single" w:color="auto" w:sz="8" w:space="0"/>
            </w:tcBorders>
            <w:noWrap w:val="0"/>
            <w:vAlign w:val="center"/>
          </w:tcPr>
          <w:p>
            <w:pPr>
              <w:widowControl/>
              <w:rPr>
                <w:rFonts w:cs="宋体"/>
                <w:color w:val="auto"/>
                <w:szCs w:val="21"/>
              </w:rPr>
            </w:pPr>
            <w:r>
              <w:rPr>
                <w:rFonts w:hint="eastAsia" w:cs="宋体"/>
                <w:color w:val="auto"/>
                <w:szCs w:val="21"/>
              </w:rPr>
              <w:t>完全响应技术参数指标、功能的，基准分为</w:t>
            </w:r>
            <w:r>
              <w:rPr>
                <w:rFonts w:cs="宋体"/>
                <w:color w:val="auto"/>
                <w:szCs w:val="21"/>
              </w:rPr>
              <w:t>30</w:t>
            </w:r>
            <w:r>
              <w:rPr>
                <w:rFonts w:hint="eastAsia" w:cs="宋体"/>
                <w:color w:val="auto"/>
                <w:szCs w:val="21"/>
              </w:rPr>
              <w:t>分；★项为必须满足项</w:t>
            </w:r>
            <w:r>
              <w:rPr>
                <w:rFonts w:cs="宋体"/>
                <w:color w:val="auto"/>
                <w:szCs w:val="21"/>
              </w:rPr>
              <w:t>,</w:t>
            </w:r>
            <w:r>
              <w:rPr>
                <w:rFonts w:hint="eastAsia" w:cs="宋体"/>
                <w:color w:val="auto"/>
                <w:szCs w:val="21"/>
              </w:rPr>
              <w:t>非★项若有一项不满足减</w:t>
            </w:r>
            <w:r>
              <w:rPr>
                <w:rFonts w:cs="宋体"/>
                <w:color w:val="auto"/>
                <w:szCs w:val="21"/>
              </w:rPr>
              <w:t>2</w:t>
            </w:r>
            <w:r>
              <w:rPr>
                <w:rFonts w:hint="eastAsia" w:cs="宋体"/>
                <w:color w:val="auto"/>
                <w:szCs w:val="21"/>
              </w:rPr>
              <w:t>分，减至</w:t>
            </w:r>
            <w:r>
              <w:rPr>
                <w:rFonts w:cs="宋体"/>
                <w:color w:val="auto"/>
                <w:szCs w:val="21"/>
              </w:rPr>
              <w:t>0</w:t>
            </w:r>
            <w:r>
              <w:rPr>
                <w:rFonts w:hint="eastAsia" w:cs="宋体"/>
                <w:color w:val="auto"/>
                <w:szCs w:val="21"/>
              </w:rPr>
              <w:t>分为止。</w:t>
            </w:r>
          </w:p>
        </w:tc>
      </w:tr>
      <w:tr>
        <w:tblPrEx>
          <w:tblLayout w:type="fixed"/>
          <w:tblCellMar>
            <w:top w:w="0" w:type="dxa"/>
            <w:left w:w="108" w:type="dxa"/>
            <w:bottom w:w="0" w:type="dxa"/>
            <w:right w:w="108" w:type="dxa"/>
          </w:tblCellMar>
        </w:tblPrEx>
        <w:trPr>
          <w:trHeight w:val="588" w:hRule="atLeast"/>
        </w:trPr>
        <w:tc>
          <w:tcPr>
            <w:tcW w:w="1540" w:type="dxa"/>
            <w:vMerge w:val="continue"/>
            <w:tcBorders>
              <w:top w:val="single" w:color="auto" w:sz="4" w:space="0"/>
              <w:left w:val="single" w:color="auto" w:sz="8" w:space="0"/>
              <w:bottom w:val="single" w:color="auto" w:sz="4" w:space="0"/>
              <w:right w:val="single" w:color="auto" w:sz="8" w:space="0"/>
            </w:tcBorders>
            <w:noWrap w:val="0"/>
            <w:vAlign w:val="center"/>
          </w:tcPr>
          <w:p>
            <w:pPr>
              <w:widowControl/>
              <w:jc w:val="left"/>
              <w:rPr>
                <w:rFonts w:ascii="等线" w:hAnsi="等线" w:eastAsia="等线" w:cs="宋体"/>
                <w:color w:val="auto"/>
                <w:sz w:val="22"/>
              </w:rPr>
            </w:pPr>
          </w:p>
        </w:tc>
        <w:tc>
          <w:tcPr>
            <w:tcW w:w="1569" w:type="dxa"/>
            <w:tcBorders>
              <w:top w:val="nil"/>
              <w:left w:val="nil"/>
              <w:bottom w:val="single" w:color="auto" w:sz="8" w:space="0"/>
              <w:right w:val="single" w:color="auto" w:sz="8" w:space="0"/>
            </w:tcBorders>
            <w:noWrap w:val="0"/>
            <w:vAlign w:val="center"/>
          </w:tcPr>
          <w:p>
            <w:pPr>
              <w:spacing w:line="400" w:lineRule="exact"/>
              <w:rPr>
                <w:rFonts w:cs="宋体"/>
                <w:color w:val="auto"/>
                <w:szCs w:val="21"/>
              </w:rPr>
            </w:pPr>
            <w:r>
              <w:rPr>
                <w:rFonts w:hint="eastAsia" w:cs="宋体"/>
                <w:color w:val="auto"/>
                <w:szCs w:val="21"/>
              </w:rPr>
              <w:t>产品品牌</w:t>
            </w:r>
          </w:p>
          <w:p>
            <w:pPr>
              <w:widowControl/>
              <w:rPr>
                <w:rFonts w:cs="宋体"/>
                <w:color w:val="auto"/>
                <w:szCs w:val="21"/>
              </w:rPr>
            </w:pPr>
            <w:r>
              <w:rPr>
                <w:rFonts w:hint="eastAsia" w:cs="宋体"/>
                <w:color w:val="auto"/>
                <w:szCs w:val="21"/>
              </w:rPr>
              <w:t>（</w:t>
            </w:r>
            <w:r>
              <w:rPr>
                <w:rFonts w:cs="宋体"/>
                <w:color w:val="auto"/>
                <w:szCs w:val="21"/>
              </w:rPr>
              <w:t>11</w:t>
            </w:r>
            <w:r>
              <w:rPr>
                <w:rFonts w:hint="eastAsia" w:cs="宋体"/>
                <w:color w:val="auto"/>
                <w:szCs w:val="21"/>
              </w:rPr>
              <w:t>分）</w:t>
            </w:r>
          </w:p>
        </w:tc>
        <w:tc>
          <w:tcPr>
            <w:tcW w:w="6755" w:type="dxa"/>
            <w:tcBorders>
              <w:top w:val="nil"/>
              <w:left w:val="nil"/>
              <w:bottom w:val="single" w:color="auto" w:sz="8" w:space="0"/>
              <w:right w:val="single" w:color="auto" w:sz="8" w:space="0"/>
            </w:tcBorders>
            <w:noWrap w:val="0"/>
            <w:vAlign w:val="center"/>
          </w:tcPr>
          <w:p>
            <w:pPr>
              <w:spacing w:line="330" w:lineRule="exact"/>
              <w:rPr>
                <w:rFonts w:cs="宋体"/>
                <w:color w:val="auto"/>
                <w:szCs w:val="21"/>
              </w:rPr>
            </w:pPr>
            <w:r>
              <w:rPr>
                <w:rFonts w:cs="宋体"/>
                <w:color w:val="auto"/>
                <w:szCs w:val="21"/>
              </w:rPr>
              <w:t>1</w:t>
            </w:r>
            <w:r>
              <w:rPr>
                <w:rFonts w:hint="eastAsia" w:cs="宋体"/>
                <w:color w:val="auto"/>
                <w:szCs w:val="21"/>
              </w:rPr>
              <w:t>、投</w:t>
            </w:r>
            <w:r>
              <w:rPr>
                <w:rFonts w:hint="eastAsia" w:ascii="宋体" w:hAnsi="宋体" w:cs="宋体"/>
                <w:color w:val="auto"/>
                <w:szCs w:val="21"/>
              </w:rPr>
              <w:t>标智慧教室互动黑板产品型号入围中央电教馆“2019年数字校园综合解决方案测试合</w:t>
            </w:r>
            <w:r>
              <w:rPr>
                <w:rFonts w:hint="eastAsia" w:cs="宋体"/>
                <w:color w:val="auto"/>
                <w:szCs w:val="21"/>
              </w:rPr>
              <w:t>格名单”，得</w:t>
            </w:r>
            <w:r>
              <w:rPr>
                <w:rFonts w:cs="宋体"/>
                <w:color w:val="auto"/>
                <w:szCs w:val="21"/>
              </w:rPr>
              <w:t>2</w:t>
            </w:r>
            <w:r>
              <w:rPr>
                <w:rFonts w:hint="eastAsia" w:cs="宋体"/>
                <w:color w:val="auto"/>
                <w:szCs w:val="21"/>
              </w:rPr>
              <w:t>分（提供证明文件复印件加盖原厂公章）</w:t>
            </w:r>
            <w:r>
              <w:rPr>
                <w:rFonts w:hint="eastAsia" w:cs="宋体"/>
                <w:color w:val="auto"/>
                <w:szCs w:val="21"/>
                <w:lang w:val="zh-CN"/>
              </w:rPr>
              <w:t>；</w:t>
            </w:r>
          </w:p>
          <w:p>
            <w:pPr>
              <w:spacing w:line="330" w:lineRule="exact"/>
              <w:rPr>
                <w:rFonts w:cs="宋体"/>
                <w:color w:val="auto"/>
                <w:szCs w:val="21"/>
              </w:rPr>
            </w:pPr>
            <w:r>
              <w:rPr>
                <w:rFonts w:cs="宋体"/>
                <w:color w:val="auto"/>
                <w:szCs w:val="21"/>
              </w:rPr>
              <w:t>2</w:t>
            </w:r>
            <w:r>
              <w:rPr>
                <w:rFonts w:hint="eastAsia" w:cs="宋体"/>
                <w:color w:val="auto"/>
                <w:szCs w:val="21"/>
              </w:rPr>
              <w:t>、智慧黑板制造商生产的智慧黑板产品具有国家认定备案的企业标准体系证明文件，能够在国家权威网站查询，得</w:t>
            </w:r>
            <w:r>
              <w:rPr>
                <w:rFonts w:cs="宋体"/>
                <w:color w:val="auto"/>
                <w:szCs w:val="21"/>
              </w:rPr>
              <w:t>2</w:t>
            </w:r>
            <w:r>
              <w:rPr>
                <w:rFonts w:hint="eastAsia" w:cs="宋体"/>
                <w:color w:val="auto"/>
                <w:szCs w:val="21"/>
              </w:rPr>
              <w:t>分（开标现场提供相关证明文件及网站截图加盖原厂公章）</w:t>
            </w:r>
          </w:p>
          <w:p>
            <w:pPr>
              <w:spacing w:line="330" w:lineRule="exact"/>
              <w:rPr>
                <w:rFonts w:cs="宋体"/>
                <w:color w:val="auto"/>
                <w:szCs w:val="21"/>
              </w:rPr>
            </w:pPr>
            <w:r>
              <w:rPr>
                <w:rFonts w:cs="宋体"/>
                <w:color w:val="auto"/>
                <w:szCs w:val="21"/>
              </w:rPr>
              <w:t>3</w:t>
            </w:r>
            <w:r>
              <w:rPr>
                <w:rFonts w:hint="eastAsia" w:cs="宋体"/>
                <w:color w:val="auto"/>
                <w:szCs w:val="21"/>
              </w:rPr>
              <w:t>、提供智慧互动黑板厂家第三方检测并具有</w:t>
            </w:r>
            <w:r>
              <w:rPr>
                <w:rFonts w:cs="宋体"/>
                <w:color w:val="auto"/>
                <w:szCs w:val="21"/>
              </w:rPr>
              <w:t>CNAS</w:t>
            </w:r>
            <w:r>
              <w:rPr>
                <w:rFonts w:hint="eastAsia" w:cs="宋体"/>
                <w:color w:val="auto"/>
                <w:szCs w:val="21"/>
              </w:rPr>
              <w:t>资质公章的检测报告，以证明产品在触摸性能（电容式触控），触摸点数（≥</w:t>
            </w:r>
            <w:r>
              <w:rPr>
                <w:rFonts w:cs="宋体"/>
                <w:color w:val="auto"/>
                <w:szCs w:val="21"/>
              </w:rPr>
              <w:t>10</w:t>
            </w:r>
            <w:r>
              <w:rPr>
                <w:rFonts w:hint="eastAsia" w:cs="宋体"/>
                <w:color w:val="auto"/>
                <w:szCs w:val="21"/>
              </w:rPr>
              <w:t>点），粉笔书写功能，外观、平整性等方面性能优异，满足招标性能的，提供得</w:t>
            </w:r>
            <w:r>
              <w:rPr>
                <w:rFonts w:cs="宋体"/>
                <w:color w:val="auto"/>
                <w:szCs w:val="21"/>
              </w:rPr>
              <w:t>2</w:t>
            </w:r>
            <w:r>
              <w:rPr>
                <w:rFonts w:hint="eastAsia" w:cs="宋体"/>
                <w:color w:val="auto"/>
                <w:szCs w:val="21"/>
              </w:rPr>
              <w:t>分，开标现场提供复印件加盖原厂公章。</w:t>
            </w:r>
          </w:p>
          <w:p>
            <w:pPr>
              <w:spacing w:line="330" w:lineRule="exact"/>
              <w:rPr>
                <w:rFonts w:cs="宋体"/>
                <w:color w:val="auto"/>
                <w:szCs w:val="21"/>
              </w:rPr>
            </w:pPr>
            <w:r>
              <w:rPr>
                <w:rFonts w:cs="宋体"/>
                <w:color w:val="auto"/>
                <w:szCs w:val="21"/>
              </w:rPr>
              <w:t>4</w:t>
            </w:r>
            <w:r>
              <w:rPr>
                <w:rFonts w:hint="eastAsia" w:cs="宋体"/>
                <w:color w:val="auto"/>
                <w:szCs w:val="21"/>
              </w:rPr>
              <w:t>、为保证设备用电安全，产品具备智能黑板电能管理系统（提供国家权威机构出具的认证证书复印件加盖原厂公章）得</w:t>
            </w:r>
            <w:r>
              <w:rPr>
                <w:rFonts w:cs="宋体"/>
                <w:color w:val="auto"/>
                <w:szCs w:val="21"/>
              </w:rPr>
              <w:t>2</w:t>
            </w:r>
            <w:r>
              <w:rPr>
                <w:rFonts w:hint="eastAsia" w:cs="宋体"/>
                <w:color w:val="auto"/>
                <w:szCs w:val="21"/>
              </w:rPr>
              <w:t>分。</w:t>
            </w:r>
          </w:p>
          <w:p>
            <w:pPr>
              <w:spacing w:line="330" w:lineRule="exact"/>
              <w:rPr>
                <w:rFonts w:cs="宋体"/>
                <w:color w:val="auto"/>
                <w:szCs w:val="21"/>
              </w:rPr>
            </w:pPr>
            <w:r>
              <w:rPr>
                <w:rFonts w:cs="宋体"/>
                <w:color w:val="auto"/>
                <w:szCs w:val="21"/>
              </w:rPr>
              <w:t>5</w:t>
            </w:r>
            <w:r>
              <w:rPr>
                <w:rFonts w:hint="eastAsia" w:cs="宋体"/>
                <w:color w:val="auto"/>
                <w:szCs w:val="21"/>
              </w:rPr>
              <w:t>、智慧互动黑板制造商具备权威第三方机构</w:t>
            </w:r>
            <w:r>
              <w:rPr>
                <w:rFonts w:cs="宋体"/>
                <w:color w:val="auto"/>
                <w:szCs w:val="21"/>
              </w:rPr>
              <w:t>IDC</w:t>
            </w:r>
            <w:r>
              <w:rPr>
                <w:rFonts w:hint="eastAsia" w:cs="宋体"/>
                <w:color w:val="auto"/>
                <w:szCs w:val="21"/>
              </w:rPr>
              <w:t>或</w:t>
            </w:r>
            <w:r>
              <w:rPr>
                <w:rFonts w:cs="宋体"/>
                <w:color w:val="auto"/>
                <w:szCs w:val="21"/>
              </w:rPr>
              <w:t>AVC</w:t>
            </w:r>
            <w:r>
              <w:rPr>
                <w:rFonts w:hint="eastAsia" w:cs="宋体"/>
                <w:color w:val="auto"/>
                <w:szCs w:val="21"/>
              </w:rPr>
              <w:t>数据证明</w:t>
            </w:r>
            <w:r>
              <w:rPr>
                <w:rFonts w:cs="宋体"/>
                <w:color w:val="auto"/>
                <w:szCs w:val="21"/>
              </w:rPr>
              <w:t>2017</w:t>
            </w:r>
            <w:r>
              <w:rPr>
                <w:rFonts w:hint="eastAsia" w:cs="宋体"/>
                <w:color w:val="auto"/>
                <w:szCs w:val="21"/>
              </w:rPr>
              <w:t>年或</w:t>
            </w:r>
            <w:r>
              <w:rPr>
                <w:rFonts w:cs="宋体"/>
                <w:color w:val="auto"/>
                <w:szCs w:val="21"/>
              </w:rPr>
              <w:t>2018</w:t>
            </w:r>
            <w:r>
              <w:rPr>
                <w:rFonts w:hint="eastAsia" w:cs="宋体"/>
                <w:color w:val="auto"/>
                <w:szCs w:val="21"/>
              </w:rPr>
              <w:t>年全年电子黑板市场占有率排名第一名的，得</w:t>
            </w:r>
            <w:r>
              <w:rPr>
                <w:rFonts w:cs="宋体"/>
                <w:color w:val="auto"/>
                <w:szCs w:val="21"/>
              </w:rPr>
              <w:t>3</w:t>
            </w:r>
            <w:r>
              <w:rPr>
                <w:rFonts w:hint="eastAsia" w:cs="宋体"/>
                <w:color w:val="auto"/>
                <w:szCs w:val="21"/>
              </w:rPr>
              <w:t>分；第二名，得</w:t>
            </w:r>
            <w:r>
              <w:rPr>
                <w:rFonts w:cs="宋体"/>
                <w:color w:val="auto"/>
                <w:szCs w:val="21"/>
              </w:rPr>
              <w:t>2</w:t>
            </w:r>
            <w:r>
              <w:rPr>
                <w:rFonts w:hint="eastAsia" w:cs="宋体"/>
                <w:color w:val="auto"/>
                <w:szCs w:val="21"/>
              </w:rPr>
              <w:t>分；第三名，得</w:t>
            </w:r>
            <w:r>
              <w:rPr>
                <w:rFonts w:cs="宋体"/>
                <w:color w:val="auto"/>
                <w:szCs w:val="21"/>
              </w:rPr>
              <w:t>1</w:t>
            </w:r>
            <w:r>
              <w:rPr>
                <w:rFonts w:hint="eastAsia" w:cs="宋体"/>
                <w:color w:val="auto"/>
                <w:szCs w:val="21"/>
              </w:rPr>
              <w:t>分（提供复印件加盖原厂公章）。</w:t>
            </w:r>
          </w:p>
        </w:tc>
      </w:tr>
      <w:tr>
        <w:tblPrEx>
          <w:tblLayout w:type="fixed"/>
          <w:tblCellMar>
            <w:top w:w="0" w:type="dxa"/>
            <w:left w:w="108" w:type="dxa"/>
            <w:bottom w:w="0" w:type="dxa"/>
            <w:right w:w="108" w:type="dxa"/>
          </w:tblCellMar>
        </w:tblPrEx>
        <w:trPr>
          <w:trHeight w:val="588" w:hRule="atLeast"/>
        </w:trPr>
        <w:tc>
          <w:tcPr>
            <w:tcW w:w="1540" w:type="dxa"/>
            <w:vMerge w:val="continue"/>
            <w:tcBorders>
              <w:top w:val="single" w:color="auto" w:sz="4" w:space="0"/>
              <w:left w:val="single" w:color="auto" w:sz="8" w:space="0"/>
              <w:bottom w:val="single" w:color="auto" w:sz="4" w:space="0"/>
              <w:right w:val="single" w:color="auto" w:sz="8" w:space="0"/>
            </w:tcBorders>
            <w:noWrap w:val="0"/>
            <w:vAlign w:val="center"/>
          </w:tcPr>
          <w:p>
            <w:pPr>
              <w:widowControl/>
              <w:jc w:val="left"/>
              <w:rPr>
                <w:rFonts w:ascii="等线" w:hAnsi="等线" w:eastAsia="等线" w:cs="宋体"/>
                <w:color w:val="auto"/>
                <w:sz w:val="22"/>
              </w:rPr>
            </w:pPr>
          </w:p>
        </w:tc>
        <w:tc>
          <w:tcPr>
            <w:tcW w:w="1569" w:type="dxa"/>
            <w:tcBorders>
              <w:top w:val="nil"/>
              <w:left w:val="nil"/>
              <w:bottom w:val="single" w:color="auto" w:sz="8" w:space="0"/>
              <w:right w:val="single" w:color="auto" w:sz="8" w:space="0"/>
            </w:tcBorders>
            <w:noWrap w:val="0"/>
            <w:vAlign w:val="center"/>
          </w:tcPr>
          <w:p>
            <w:pPr>
              <w:spacing w:line="400" w:lineRule="exact"/>
              <w:rPr>
                <w:rFonts w:cs="宋体"/>
                <w:color w:val="auto"/>
                <w:szCs w:val="21"/>
              </w:rPr>
            </w:pPr>
            <w:r>
              <w:rPr>
                <w:rFonts w:hint="eastAsia" w:cs="宋体"/>
                <w:color w:val="auto"/>
                <w:szCs w:val="21"/>
              </w:rPr>
              <w:t>产品功能质量（</w:t>
            </w:r>
            <w:r>
              <w:rPr>
                <w:rFonts w:cs="宋体"/>
                <w:color w:val="auto"/>
                <w:szCs w:val="21"/>
              </w:rPr>
              <w:t>9</w:t>
            </w:r>
            <w:r>
              <w:rPr>
                <w:rFonts w:hint="eastAsia" w:cs="宋体"/>
                <w:color w:val="auto"/>
                <w:szCs w:val="21"/>
              </w:rPr>
              <w:t>分）</w:t>
            </w:r>
          </w:p>
        </w:tc>
        <w:tc>
          <w:tcPr>
            <w:tcW w:w="6755" w:type="dxa"/>
            <w:tcBorders>
              <w:top w:val="nil"/>
              <w:left w:val="nil"/>
              <w:bottom w:val="single" w:color="auto" w:sz="8" w:space="0"/>
              <w:right w:val="single" w:color="auto" w:sz="8" w:space="0"/>
            </w:tcBorders>
            <w:noWrap w:val="0"/>
            <w:vAlign w:val="top"/>
          </w:tcPr>
          <w:p>
            <w:pPr>
              <w:spacing w:line="330" w:lineRule="exact"/>
              <w:rPr>
                <w:rFonts w:cs="宋体"/>
                <w:color w:val="auto"/>
                <w:szCs w:val="21"/>
              </w:rPr>
            </w:pPr>
            <w:r>
              <w:rPr>
                <w:rFonts w:cs="宋体"/>
                <w:color w:val="auto"/>
                <w:szCs w:val="21"/>
              </w:rPr>
              <w:t>1</w:t>
            </w:r>
            <w:r>
              <w:rPr>
                <w:rFonts w:hint="eastAsia" w:cs="宋体"/>
                <w:color w:val="auto"/>
                <w:szCs w:val="21"/>
              </w:rPr>
              <w:t>、智慧黑板触控玻璃具有国家玻璃质量监督检验中心出具的防飞溅试验报告，具有防飞溅功能，玻璃破碎不能溅出伤人（提供具有</w:t>
            </w:r>
            <w:r>
              <w:rPr>
                <w:rFonts w:cs="宋体"/>
                <w:color w:val="auto"/>
                <w:szCs w:val="21"/>
              </w:rPr>
              <w:t>CMA</w:t>
            </w:r>
            <w:r>
              <w:rPr>
                <w:rFonts w:hint="eastAsia" w:cs="宋体"/>
                <w:color w:val="auto"/>
                <w:szCs w:val="21"/>
              </w:rPr>
              <w:t>、</w:t>
            </w:r>
            <w:r>
              <w:rPr>
                <w:rFonts w:cs="宋体"/>
                <w:color w:val="auto"/>
                <w:szCs w:val="21"/>
              </w:rPr>
              <w:t>CNAS</w:t>
            </w:r>
            <w:r>
              <w:rPr>
                <w:rFonts w:hint="eastAsia" w:cs="宋体"/>
                <w:color w:val="auto"/>
                <w:szCs w:val="21"/>
              </w:rPr>
              <w:t>机构认可的权威实验室出具的检测报告复印件加盖原厂公章，委托单位与生产单位须一致），得</w:t>
            </w:r>
            <w:r>
              <w:rPr>
                <w:rFonts w:cs="宋体"/>
                <w:color w:val="auto"/>
                <w:szCs w:val="21"/>
              </w:rPr>
              <w:t>3</w:t>
            </w:r>
            <w:r>
              <w:rPr>
                <w:rFonts w:hint="eastAsia" w:cs="宋体"/>
                <w:color w:val="auto"/>
                <w:szCs w:val="21"/>
              </w:rPr>
              <w:t>分。</w:t>
            </w:r>
          </w:p>
          <w:p>
            <w:pPr>
              <w:spacing w:line="330" w:lineRule="exact"/>
              <w:rPr>
                <w:rFonts w:cs="宋体"/>
                <w:color w:val="auto"/>
                <w:szCs w:val="21"/>
              </w:rPr>
            </w:pPr>
            <w:r>
              <w:rPr>
                <w:rFonts w:cs="宋体"/>
                <w:color w:val="auto"/>
                <w:szCs w:val="21"/>
              </w:rPr>
              <w:t>2</w:t>
            </w:r>
            <w:r>
              <w:rPr>
                <w:rFonts w:hint="eastAsia" w:cs="宋体"/>
                <w:color w:val="auto"/>
                <w:szCs w:val="21"/>
              </w:rPr>
              <w:t>、智慧黑板具有自带无线</w:t>
            </w:r>
            <w:r>
              <w:rPr>
                <w:rFonts w:cs="宋体"/>
                <w:color w:val="auto"/>
                <w:szCs w:val="21"/>
              </w:rPr>
              <w:t>AP</w:t>
            </w:r>
            <w:r>
              <w:rPr>
                <w:rFonts w:hint="eastAsia" w:cs="宋体"/>
                <w:color w:val="auto"/>
                <w:szCs w:val="21"/>
              </w:rPr>
              <w:t>网络共享功能，满足支持不低于</w:t>
            </w:r>
            <w:r>
              <w:rPr>
                <w:rFonts w:cs="宋体"/>
                <w:color w:val="auto"/>
                <w:szCs w:val="21"/>
              </w:rPr>
              <w:t>20</w:t>
            </w:r>
            <w:r>
              <w:rPr>
                <w:rFonts w:hint="eastAsia" w:cs="宋体"/>
                <w:color w:val="auto"/>
                <w:szCs w:val="21"/>
              </w:rPr>
              <w:t>个用户终端在线网络连接，不得附加额外无线</w:t>
            </w:r>
            <w:r>
              <w:rPr>
                <w:rFonts w:cs="宋体"/>
                <w:color w:val="auto"/>
                <w:szCs w:val="21"/>
              </w:rPr>
              <w:t>AP</w:t>
            </w:r>
            <w:r>
              <w:rPr>
                <w:rFonts w:hint="eastAsia" w:cs="宋体"/>
                <w:color w:val="auto"/>
                <w:szCs w:val="21"/>
              </w:rPr>
              <w:t>网络设备或者热点软件来实现，高度集成化。（提供具有</w:t>
            </w:r>
            <w:r>
              <w:rPr>
                <w:rFonts w:cs="宋体"/>
                <w:color w:val="auto"/>
                <w:szCs w:val="21"/>
              </w:rPr>
              <w:t>CNAS</w:t>
            </w:r>
            <w:r>
              <w:rPr>
                <w:rFonts w:hint="eastAsia" w:cs="宋体"/>
                <w:color w:val="auto"/>
                <w:szCs w:val="21"/>
              </w:rPr>
              <w:t>机构认可的权威实验室出具的检测报告复印件加盖原厂公章），得</w:t>
            </w:r>
            <w:r>
              <w:rPr>
                <w:rFonts w:cs="宋体"/>
                <w:color w:val="auto"/>
                <w:szCs w:val="21"/>
              </w:rPr>
              <w:t>2</w:t>
            </w:r>
            <w:r>
              <w:rPr>
                <w:rFonts w:hint="eastAsia" w:cs="宋体"/>
                <w:color w:val="auto"/>
                <w:szCs w:val="21"/>
              </w:rPr>
              <w:t>分；</w:t>
            </w:r>
          </w:p>
          <w:p>
            <w:pPr>
              <w:widowControl/>
              <w:spacing w:line="330" w:lineRule="exact"/>
              <w:rPr>
                <w:rFonts w:hint="eastAsia" w:ascii="宋体" w:hAnsi="宋体" w:cs="宋体"/>
                <w:color w:val="auto"/>
                <w:szCs w:val="21"/>
              </w:rPr>
            </w:pPr>
            <w:r>
              <w:rPr>
                <w:rFonts w:cs="宋体"/>
                <w:color w:val="auto"/>
                <w:szCs w:val="21"/>
              </w:rPr>
              <w:t>3</w:t>
            </w:r>
            <w:r>
              <w:rPr>
                <w:rFonts w:hint="eastAsia" w:cs="宋体"/>
                <w:color w:val="auto"/>
                <w:szCs w:val="21"/>
              </w:rPr>
              <w:t>、白板软件可以与无线快拍仪无缝对接、流畅度高，实现锁定画面、选择、画笔、橡皮、截屏、拍照、分辨率设置、摄像头切换、发送、返回和退出等功能。白板软件的内容可以通过扫描二维码将课件下载，方便在其他课堂使用。（提供第三方机</w:t>
            </w:r>
            <w:r>
              <w:rPr>
                <w:rFonts w:hint="eastAsia" w:ascii="宋体" w:hAnsi="宋体" w:cs="宋体"/>
                <w:color w:val="auto"/>
                <w:szCs w:val="21"/>
              </w:rPr>
              <w:t>构出具的检测报告加盖原厂公章），得2分；</w:t>
            </w:r>
          </w:p>
          <w:p>
            <w:pPr>
              <w:widowControl/>
              <w:spacing w:line="330" w:lineRule="exact"/>
              <w:rPr>
                <w:rFonts w:cs="宋体"/>
                <w:color w:val="auto"/>
                <w:szCs w:val="21"/>
              </w:rPr>
            </w:pPr>
            <w:r>
              <w:rPr>
                <w:rFonts w:hint="eastAsia" w:ascii="宋体" w:hAnsi="宋体" w:cs="宋体"/>
                <w:color w:val="auto"/>
                <w:szCs w:val="21"/>
              </w:rPr>
              <w:t>4、所投智慧教室互动黑板产品具备一键还原，支持通过菜单进行Windows系统一键还原功能，不论Windows系统是否处于关闭还是开启状态，均可以</w:t>
            </w:r>
            <w:r>
              <w:rPr>
                <w:rFonts w:hint="eastAsia" w:cs="宋体"/>
                <w:color w:val="auto"/>
                <w:szCs w:val="21"/>
              </w:rPr>
              <w:t>进行一键还原；提供第三方权威机构出具的检测报告复印件加盖原厂公章，得</w:t>
            </w:r>
            <w:r>
              <w:rPr>
                <w:rFonts w:cs="宋体"/>
                <w:color w:val="auto"/>
                <w:szCs w:val="21"/>
              </w:rPr>
              <w:t>2</w:t>
            </w:r>
            <w:r>
              <w:rPr>
                <w:rFonts w:hint="eastAsia" w:cs="宋体"/>
                <w:color w:val="auto"/>
                <w:szCs w:val="21"/>
              </w:rPr>
              <w:t>分</w:t>
            </w:r>
          </w:p>
        </w:tc>
      </w:tr>
      <w:tr>
        <w:tblPrEx>
          <w:tblLayout w:type="fixed"/>
          <w:tblCellMar>
            <w:top w:w="0" w:type="dxa"/>
            <w:left w:w="108" w:type="dxa"/>
            <w:bottom w:w="0" w:type="dxa"/>
            <w:right w:w="108" w:type="dxa"/>
          </w:tblCellMar>
        </w:tblPrEx>
        <w:trPr>
          <w:trHeight w:val="300" w:hRule="atLeast"/>
        </w:trPr>
        <w:tc>
          <w:tcPr>
            <w:tcW w:w="1540" w:type="dxa"/>
            <w:vMerge w:val="restart"/>
            <w:tcBorders>
              <w:top w:val="single" w:color="auto" w:sz="4" w:space="0"/>
              <w:left w:val="single" w:color="auto" w:sz="8" w:space="0"/>
              <w:right w:val="single" w:color="auto" w:sz="8" w:space="0"/>
            </w:tcBorders>
            <w:noWrap w:val="0"/>
            <w:vAlign w:val="center"/>
          </w:tcPr>
          <w:p>
            <w:pPr>
              <w:widowControl/>
              <w:jc w:val="left"/>
              <w:rPr>
                <w:rFonts w:ascii="等线" w:hAnsi="等线" w:eastAsia="等线" w:cs="宋体"/>
                <w:color w:val="auto"/>
                <w:sz w:val="22"/>
              </w:rPr>
            </w:pPr>
            <w:r>
              <w:rPr>
                <w:rFonts w:hint="eastAsia" w:ascii="等线" w:hAnsi="等线" w:eastAsia="等线" w:cs="宋体"/>
                <w:color w:val="auto"/>
                <w:sz w:val="22"/>
              </w:rPr>
              <w:t>　</w:t>
            </w:r>
          </w:p>
          <w:p>
            <w:pPr>
              <w:widowControl/>
              <w:rPr>
                <w:rFonts w:cs="宋体"/>
                <w:color w:val="auto"/>
                <w:szCs w:val="21"/>
              </w:rPr>
            </w:pPr>
            <w:r>
              <w:rPr>
                <w:rFonts w:hint="eastAsia" w:cs="宋体"/>
                <w:color w:val="auto"/>
                <w:szCs w:val="21"/>
              </w:rPr>
              <w:t>商务方案</w:t>
            </w:r>
          </w:p>
          <w:p>
            <w:pPr>
              <w:widowControl/>
              <w:rPr>
                <w:rFonts w:cs="宋体"/>
                <w:color w:val="auto"/>
                <w:szCs w:val="21"/>
              </w:rPr>
            </w:pPr>
            <w:r>
              <w:rPr>
                <w:rFonts w:hint="eastAsia" w:cs="宋体"/>
                <w:color w:val="auto"/>
                <w:szCs w:val="21"/>
              </w:rPr>
              <w:t>（</w:t>
            </w:r>
            <w:r>
              <w:rPr>
                <w:rFonts w:cs="宋体"/>
                <w:color w:val="auto"/>
                <w:szCs w:val="21"/>
              </w:rPr>
              <w:t>20</w:t>
            </w:r>
            <w:r>
              <w:rPr>
                <w:rFonts w:hint="eastAsia" w:cs="宋体"/>
                <w:color w:val="auto"/>
                <w:szCs w:val="21"/>
              </w:rPr>
              <w:t>分）</w:t>
            </w:r>
          </w:p>
          <w:p>
            <w:pPr>
              <w:widowControl/>
              <w:jc w:val="left"/>
              <w:rPr>
                <w:rFonts w:ascii="等线" w:hAnsi="等线" w:eastAsia="等线" w:cs="宋体"/>
                <w:color w:val="auto"/>
                <w:sz w:val="22"/>
              </w:rPr>
            </w:pPr>
            <w:r>
              <w:rPr>
                <w:rFonts w:hint="eastAsia" w:ascii="等线" w:hAnsi="等线" w:eastAsia="等线" w:cs="宋体"/>
                <w:color w:val="auto"/>
                <w:sz w:val="22"/>
              </w:rPr>
              <w:t>　</w:t>
            </w:r>
          </w:p>
        </w:tc>
        <w:tc>
          <w:tcPr>
            <w:tcW w:w="1569" w:type="dxa"/>
            <w:tcBorders>
              <w:top w:val="nil"/>
              <w:left w:val="nil"/>
              <w:bottom w:val="single" w:color="auto" w:sz="8" w:space="0"/>
              <w:right w:val="single" w:color="auto" w:sz="8" w:space="0"/>
            </w:tcBorders>
            <w:noWrap w:val="0"/>
            <w:vAlign w:val="center"/>
          </w:tcPr>
          <w:p>
            <w:pPr>
              <w:widowControl/>
              <w:rPr>
                <w:rFonts w:cs="宋体"/>
                <w:color w:val="auto"/>
                <w:szCs w:val="21"/>
              </w:rPr>
            </w:pPr>
            <w:r>
              <w:rPr>
                <w:rFonts w:cs="宋体"/>
                <w:color w:val="auto"/>
                <w:szCs w:val="21"/>
              </w:rPr>
              <w:t>4</w:t>
            </w:r>
            <w:r>
              <w:rPr>
                <w:rFonts w:hint="eastAsia" w:cs="宋体"/>
                <w:color w:val="auto"/>
                <w:szCs w:val="21"/>
              </w:rPr>
              <w:t>分</w:t>
            </w:r>
          </w:p>
        </w:tc>
        <w:tc>
          <w:tcPr>
            <w:tcW w:w="6755" w:type="dxa"/>
            <w:tcBorders>
              <w:top w:val="nil"/>
              <w:left w:val="nil"/>
              <w:bottom w:val="single" w:color="auto" w:sz="8" w:space="0"/>
              <w:right w:val="single" w:color="auto" w:sz="8" w:space="0"/>
            </w:tcBorders>
            <w:noWrap w:val="0"/>
            <w:vAlign w:val="center"/>
          </w:tcPr>
          <w:p>
            <w:pPr>
              <w:widowControl/>
              <w:rPr>
                <w:rFonts w:cs="宋体"/>
                <w:color w:val="auto"/>
                <w:szCs w:val="21"/>
              </w:rPr>
            </w:pPr>
            <w:r>
              <w:rPr>
                <w:rFonts w:hint="eastAsia" w:cs="宋体"/>
                <w:color w:val="auto"/>
                <w:szCs w:val="21"/>
              </w:rPr>
              <w:t>提供供应商的</w:t>
            </w:r>
            <w:r>
              <w:rPr>
                <w:rFonts w:cs="宋体"/>
                <w:color w:val="auto"/>
                <w:szCs w:val="21"/>
              </w:rPr>
              <w:t>2017</w:t>
            </w:r>
            <w:r>
              <w:rPr>
                <w:rFonts w:hint="eastAsia" w:cs="宋体"/>
                <w:color w:val="auto"/>
                <w:szCs w:val="21"/>
              </w:rPr>
              <w:t>年</w:t>
            </w:r>
            <w:r>
              <w:rPr>
                <w:rFonts w:cs="宋体"/>
                <w:color w:val="auto"/>
                <w:szCs w:val="21"/>
              </w:rPr>
              <w:t>3</w:t>
            </w:r>
            <w:r>
              <w:rPr>
                <w:rFonts w:hint="eastAsia" w:cs="宋体"/>
                <w:color w:val="auto"/>
                <w:szCs w:val="21"/>
              </w:rPr>
              <w:t>月</w:t>
            </w:r>
            <w:r>
              <w:rPr>
                <w:rFonts w:cs="宋体"/>
                <w:color w:val="auto"/>
                <w:szCs w:val="21"/>
              </w:rPr>
              <w:t>1</w:t>
            </w:r>
            <w:r>
              <w:rPr>
                <w:rFonts w:hint="eastAsia" w:cs="宋体"/>
                <w:color w:val="auto"/>
                <w:szCs w:val="21"/>
              </w:rPr>
              <w:t>日至今类似项目业绩合同，能够提供得</w:t>
            </w:r>
            <w:r>
              <w:rPr>
                <w:rFonts w:cs="宋体"/>
                <w:color w:val="auto"/>
                <w:szCs w:val="21"/>
              </w:rPr>
              <w:t>4</w:t>
            </w:r>
            <w:r>
              <w:rPr>
                <w:rFonts w:hint="eastAsia" w:cs="宋体"/>
                <w:color w:val="auto"/>
                <w:szCs w:val="21"/>
              </w:rPr>
              <w:t>分，不能提供得</w:t>
            </w:r>
            <w:r>
              <w:rPr>
                <w:rFonts w:cs="宋体"/>
                <w:color w:val="auto"/>
                <w:szCs w:val="21"/>
              </w:rPr>
              <w:t>0</w:t>
            </w:r>
            <w:r>
              <w:rPr>
                <w:rFonts w:hint="eastAsia" w:cs="宋体"/>
                <w:color w:val="auto"/>
                <w:szCs w:val="21"/>
              </w:rPr>
              <w:t>分；</w:t>
            </w:r>
          </w:p>
        </w:tc>
      </w:tr>
      <w:tr>
        <w:tblPrEx>
          <w:tblLayout w:type="fixed"/>
          <w:tblCellMar>
            <w:top w:w="0" w:type="dxa"/>
            <w:left w:w="108" w:type="dxa"/>
            <w:bottom w:w="0" w:type="dxa"/>
            <w:right w:w="108" w:type="dxa"/>
          </w:tblCellMar>
        </w:tblPrEx>
        <w:trPr>
          <w:trHeight w:val="300" w:hRule="atLeast"/>
        </w:trPr>
        <w:tc>
          <w:tcPr>
            <w:tcW w:w="1540" w:type="dxa"/>
            <w:vMerge w:val="continue"/>
            <w:tcBorders>
              <w:top w:val="single" w:color="auto" w:sz="4" w:space="0"/>
              <w:left w:val="single" w:color="auto" w:sz="8" w:space="0"/>
              <w:right w:val="single" w:color="auto" w:sz="8" w:space="0"/>
            </w:tcBorders>
            <w:noWrap w:val="0"/>
            <w:vAlign w:val="center"/>
          </w:tcPr>
          <w:p>
            <w:pPr>
              <w:widowControl/>
              <w:jc w:val="left"/>
              <w:rPr>
                <w:rFonts w:ascii="等线" w:hAnsi="等线" w:eastAsia="等线" w:cs="宋体"/>
                <w:color w:val="auto"/>
                <w:sz w:val="22"/>
              </w:rPr>
            </w:pPr>
          </w:p>
        </w:tc>
        <w:tc>
          <w:tcPr>
            <w:tcW w:w="1569" w:type="dxa"/>
            <w:tcBorders>
              <w:top w:val="nil"/>
              <w:left w:val="nil"/>
              <w:bottom w:val="single" w:color="auto" w:sz="8" w:space="0"/>
              <w:right w:val="single" w:color="auto" w:sz="8" w:space="0"/>
            </w:tcBorders>
            <w:noWrap w:val="0"/>
            <w:vAlign w:val="center"/>
          </w:tcPr>
          <w:p>
            <w:pPr>
              <w:widowControl/>
              <w:rPr>
                <w:rFonts w:cs="宋体"/>
                <w:color w:val="auto"/>
                <w:szCs w:val="21"/>
              </w:rPr>
            </w:pPr>
            <w:r>
              <w:rPr>
                <w:rFonts w:cs="宋体"/>
                <w:color w:val="auto"/>
                <w:szCs w:val="21"/>
              </w:rPr>
              <w:t>6</w:t>
            </w:r>
            <w:r>
              <w:rPr>
                <w:rFonts w:hint="eastAsia" w:cs="宋体"/>
                <w:color w:val="auto"/>
                <w:szCs w:val="21"/>
              </w:rPr>
              <w:t>分</w:t>
            </w:r>
          </w:p>
        </w:tc>
        <w:tc>
          <w:tcPr>
            <w:tcW w:w="6755" w:type="dxa"/>
            <w:tcBorders>
              <w:top w:val="nil"/>
              <w:left w:val="nil"/>
              <w:bottom w:val="single" w:color="auto" w:sz="8" w:space="0"/>
              <w:right w:val="single" w:color="auto" w:sz="8" w:space="0"/>
            </w:tcBorders>
            <w:noWrap w:val="0"/>
            <w:vAlign w:val="center"/>
          </w:tcPr>
          <w:p>
            <w:pPr>
              <w:widowControl/>
              <w:rPr>
                <w:rFonts w:cs="宋体"/>
                <w:color w:val="auto"/>
                <w:szCs w:val="21"/>
              </w:rPr>
            </w:pPr>
            <w:r>
              <w:rPr>
                <w:rFonts w:hint="eastAsia" w:cs="宋体"/>
                <w:color w:val="auto"/>
                <w:szCs w:val="21"/>
              </w:rPr>
              <w:t>供货保证和实施计划：针对本项目提供详备的供货组织计划和施工组织计划，根据响应程度计</w:t>
            </w:r>
            <w:r>
              <w:rPr>
                <w:rFonts w:cs="宋体"/>
                <w:color w:val="auto"/>
                <w:szCs w:val="21"/>
              </w:rPr>
              <w:t>1-6</w:t>
            </w:r>
            <w:r>
              <w:rPr>
                <w:rFonts w:hint="eastAsia" w:cs="宋体"/>
                <w:color w:val="auto"/>
                <w:szCs w:val="21"/>
              </w:rPr>
              <w:t>分。</w:t>
            </w:r>
          </w:p>
        </w:tc>
      </w:tr>
      <w:tr>
        <w:tblPrEx>
          <w:tblLayout w:type="fixed"/>
          <w:tblCellMar>
            <w:top w:w="0" w:type="dxa"/>
            <w:left w:w="108" w:type="dxa"/>
            <w:bottom w:w="0" w:type="dxa"/>
            <w:right w:w="108" w:type="dxa"/>
          </w:tblCellMar>
        </w:tblPrEx>
        <w:trPr>
          <w:trHeight w:val="300" w:hRule="atLeast"/>
        </w:trPr>
        <w:tc>
          <w:tcPr>
            <w:tcW w:w="1540" w:type="dxa"/>
            <w:vMerge w:val="continue"/>
            <w:tcBorders>
              <w:top w:val="single" w:color="auto" w:sz="4" w:space="0"/>
              <w:left w:val="single" w:color="auto" w:sz="8" w:space="0"/>
              <w:right w:val="single" w:color="auto" w:sz="8" w:space="0"/>
            </w:tcBorders>
            <w:noWrap w:val="0"/>
            <w:vAlign w:val="center"/>
          </w:tcPr>
          <w:p>
            <w:pPr>
              <w:widowControl/>
              <w:jc w:val="left"/>
              <w:rPr>
                <w:rFonts w:ascii="等线" w:hAnsi="等线" w:eastAsia="等线" w:cs="宋体"/>
                <w:color w:val="auto"/>
                <w:sz w:val="22"/>
              </w:rPr>
            </w:pPr>
          </w:p>
        </w:tc>
        <w:tc>
          <w:tcPr>
            <w:tcW w:w="1569" w:type="dxa"/>
            <w:tcBorders>
              <w:top w:val="nil"/>
              <w:left w:val="nil"/>
              <w:bottom w:val="single" w:color="auto" w:sz="8" w:space="0"/>
              <w:right w:val="single" w:color="auto" w:sz="8" w:space="0"/>
            </w:tcBorders>
            <w:noWrap w:val="0"/>
            <w:vAlign w:val="center"/>
          </w:tcPr>
          <w:p>
            <w:pPr>
              <w:widowControl/>
              <w:rPr>
                <w:rFonts w:cs="宋体"/>
                <w:color w:val="auto"/>
                <w:szCs w:val="21"/>
              </w:rPr>
            </w:pPr>
            <w:r>
              <w:rPr>
                <w:rFonts w:cs="宋体"/>
                <w:color w:val="auto"/>
                <w:szCs w:val="21"/>
              </w:rPr>
              <w:t>6</w:t>
            </w:r>
            <w:r>
              <w:rPr>
                <w:rFonts w:hint="eastAsia" w:cs="宋体"/>
                <w:color w:val="auto"/>
                <w:szCs w:val="21"/>
              </w:rPr>
              <w:t>分</w:t>
            </w:r>
          </w:p>
        </w:tc>
        <w:tc>
          <w:tcPr>
            <w:tcW w:w="6755" w:type="dxa"/>
            <w:tcBorders>
              <w:top w:val="nil"/>
              <w:left w:val="nil"/>
              <w:bottom w:val="single" w:color="auto" w:sz="8" w:space="0"/>
              <w:right w:val="single" w:color="auto" w:sz="8" w:space="0"/>
            </w:tcBorders>
            <w:noWrap w:val="0"/>
            <w:vAlign w:val="center"/>
          </w:tcPr>
          <w:p>
            <w:pPr>
              <w:widowControl/>
              <w:rPr>
                <w:rFonts w:cs="宋体"/>
                <w:color w:val="auto"/>
                <w:szCs w:val="21"/>
              </w:rPr>
            </w:pPr>
            <w:r>
              <w:rPr>
                <w:rFonts w:hint="eastAsia" w:cs="宋体"/>
                <w:color w:val="auto"/>
                <w:szCs w:val="21"/>
              </w:rPr>
              <w:t>售后服务方案：针对本项目及采购人实际需求提供详细具体可行的有针对性的售后服务措施承诺，具有可行的技术培训措施，保证使用单位能熟练操作维护和正常使用，根据响应程度计</w:t>
            </w:r>
            <w:r>
              <w:rPr>
                <w:rFonts w:cs="宋体"/>
                <w:color w:val="auto"/>
                <w:szCs w:val="21"/>
              </w:rPr>
              <w:t>1-6</w:t>
            </w:r>
            <w:r>
              <w:rPr>
                <w:rFonts w:hint="eastAsia" w:cs="宋体"/>
                <w:color w:val="auto"/>
                <w:szCs w:val="21"/>
              </w:rPr>
              <w:t>分。</w:t>
            </w:r>
          </w:p>
        </w:tc>
      </w:tr>
      <w:tr>
        <w:tblPrEx>
          <w:tblLayout w:type="fixed"/>
          <w:tblCellMar>
            <w:top w:w="0" w:type="dxa"/>
            <w:left w:w="108" w:type="dxa"/>
            <w:bottom w:w="0" w:type="dxa"/>
            <w:right w:w="108" w:type="dxa"/>
          </w:tblCellMar>
        </w:tblPrEx>
        <w:trPr>
          <w:trHeight w:val="588" w:hRule="atLeast"/>
        </w:trPr>
        <w:tc>
          <w:tcPr>
            <w:tcW w:w="1540" w:type="dxa"/>
            <w:vMerge w:val="continue"/>
            <w:tcBorders>
              <w:left w:val="single" w:color="auto" w:sz="8" w:space="0"/>
              <w:right w:val="single" w:color="auto" w:sz="8" w:space="0"/>
            </w:tcBorders>
            <w:noWrap w:val="0"/>
            <w:vAlign w:val="center"/>
          </w:tcPr>
          <w:p>
            <w:pPr>
              <w:widowControl/>
              <w:rPr>
                <w:rFonts w:cs="宋体"/>
                <w:color w:val="auto"/>
                <w:szCs w:val="21"/>
              </w:rPr>
            </w:pPr>
          </w:p>
        </w:tc>
        <w:tc>
          <w:tcPr>
            <w:tcW w:w="1569" w:type="dxa"/>
            <w:tcBorders>
              <w:top w:val="nil"/>
              <w:left w:val="nil"/>
              <w:bottom w:val="single" w:color="auto" w:sz="8" w:space="0"/>
              <w:right w:val="single" w:color="auto" w:sz="8" w:space="0"/>
            </w:tcBorders>
            <w:noWrap w:val="0"/>
            <w:vAlign w:val="center"/>
          </w:tcPr>
          <w:p>
            <w:pPr>
              <w:widowControl/>
              <w:rPr>
                <w:rFonts w:cs="宋体"/>
                <w:color w:val="auto"/>
                <w:szCs w:val="21"/>
              </w:rPr>
            </w:pPr>
            <w:r>
              <w:rPr>
                <w:rFonts w:cs="宋体"/>
                <w:color w:val="auto"/>
                <w:szCs w:val="21"/>
              </w:rPr>
              <w:t>4</w:t>
            </w:r>
            <w:r>
              <w:rPr>
                <w:rFonts w:hint="eastAsia" w:cs="宋体"/>
                <w:color w:val="auto"/>
                <w:szCs w:val="21"/>
              </w:rPr>
              <w:t>分</w:t>
            </w:r>
          </w:p>
        </w:tc>
        <w:tc>
          <w:tcPr>
            <w:tcW w:w="6755" w:type="dxa"/>
            <w:tcBorders>
              <w:top w:val="nil"/>
              <w:left w:val="nil"/>
              <w:bottom w:val="single" w:color="auto" w:sz="8" w:space="0"/>
              <w:right w:val="single" w:color="auto" w:sz="8" w:space="0"/>
            </w:tcBorders>
            <w:noWrap w:val="0"/>
            <w:vAlign w:val="center"/>
          </w:tcPr>
          <w:p>
            <w:pPr>
              <w:widowControl/>
              <w:rPr>
                <w:rFonts w:cs="宋体"/>
                <w:color w:val="auto"/>
                <w:szCs w:val="21"/>
              </w:rPr>
            </w:pPr>
            <w:r>
              <w:rPr>
                <w:rFonts w:hint="eastAsia" w:cs="宋体"/>
                <w:color w:val="auto"/>
                <w:szCs w:val="21"/>
              </w:rPr>
              <w:t>培训措施：负责为采购人培训操作人员，并有完整的培训方案，列出详细的培训内容、培训方式等说明，按其响应程度计</w:t>
            </w:r>
            <w:r>
              <w:rPr>
                <w:rFonts w:cs="宋体"/>
                <w:color w:val="auto"/>
                <w:szCs w:val="21"/>
              </w:rPr>
              <w:t>1</w:t>
            </w:r>
            <w:r>
              <w:rPr>
                <w:rFonts w:hint="eastAsia" w:cs="宋体"/>
                <w:color w:val="auto"/>
                <w:szCs w:val="21"/>
              </w:rPr>
              <w:t>～</w:t>
            </w:r>
            <w:r>
              <w:rPr>
                <w:rFonts w:cs="宋体"/>
                <w:color w:val="auto"/>
                <w:szCs w:val="21"/>
              </w:rPr>
              <w:t>4</w:t>
            </w:r>
            <w:r>
              <w:rPr>
                <w:rFonts w:hint="eastAsia" w:cs="宋体"/>
                <w:color w:val="auto"/>
                <w:szCs w:val="21"/>
              </w:rPr>
              <w:t>分。</w:t>
            </w:r>
          </w:p>
        </w:tc>
      </w:tr>
      <w:tr>
        <w:tblPrEx>
          <w:tblLayout w:type="fixed"/>
          <w:tblCellMar>
            <w:top w:w="0" w:type="dxa"/>
            <w:left w:w="108" w:type="dxa"/>
            <w:bottom w:w="0" w:type="dxa"/>
            <w:right w:w="108" w:type="dxa"/>
          </w:tblCellMar>
        </w:tblPrEx>
        <w:trPr>
          <w:trHeight w:val="600" w:hRule="atLeast"/>
        </w:trPr>
        <w:tc>
          <w:tcPr>
            <w:tcW w:w="9864" w:type="dxa"/>
            <w:gridSpan w:val="3"/>
            <w:tcBorders>
              <w:top w:val="single" w:color="auto" w:sz="8" w:space="0"/>
              <w:left w:val="single" w:color="auto" w:sz="8" w:space="0"/>
              <w:bottom w:val="single" w:color="auto" w:sz="8" w:space="0"/>
              <w:right w:val="single" w:color="000000" w:sz="8" w:space="0"/>
            </w:tcBorders>
            <w:noWrap w:val="0"/>
            <w:vAlign w:val="center"/>
          </w:tcPr>
          <w:p>
            <w:pPr>
              <w:widowControl/>
              <w:rPr>
                <w:rFonts w:cs="宋体"/>
                <w:color w:val="auto"/>
                <w:szCs w:val="21"/>
              </w:rPr>
            </w:pPr>
            <w:r>
              <w:rPr>
                <w:rFonts w:cs="宋体"/>
                <w:color w:val="auto"/>
                <w:szCs w:val="21"/>
              </w:rPr>
              <w:t>1</w:t>
            </w:r>
            <w:r>
              <w:rPr>
                <w:rFonts w:hint="eastAsia" w:cs="宋体"/>
                <w:color w:val="auto"/>
                <w:szCs w:val="21"/>
              </w:rPr>
              <w:t>、本一览表各种计算数字“四舍五入”保留小数点后两位，第三位四舍五入。</w:t>
            </w:r>
          </w:p>
          <w:p>
            <w:pPr>
              <w:widowControl/>
              <w:rPr>
                <w:rFonts w:cs="宋体"/>
                <w:color w:val="auto"/>
                <w:szCs w:val="21"/>
              </w:rPr>
            </w:pPr>
            <w:r>
              <w:rPr>
                <w:rFonts w:cs="宋体"/>
                <w:color w:val="auto"/>
                <w:szCs w:val="21"/>
              </w:rPr>
              <w:t>2</w:t>
            </w:r>
            <w:r>
              <w:rPr>
                <w:rFonts w:hint="eastAsia" w:cs="宋体"/>
                <w:color w:val="auto"/>
                <w:szCs w:val="21"/>
              </w:rPr>
              <w:t>、磋商小组成员的赋分超过分值界限或未按本表规定赋分的，则该成员的打分作废，不计入汇总分。</w:t>
            </w:r>
          </w:p>
          <w:p>
            <w:pPr>
              <w:widowControl/>
              <w:rPr>
                <w:rFonts w:cs="宋体"/>
                <w:color w:val="auto"/>
                <w:szCs w:val="21"/>
              </w:rPr>
            </w:pPr>
            <w:r>
              <w:rPr>
                <w:rFonts w:cs="宋体"/>
                <w:color w:val="auto"/>
                <w:szCs w:val="21"/>
              </w:rPr>
              <w:t>3</w:t>
            </w:r>
            <w:r>
              <w:rPr>
                <w:rFonts w:hint="eastAsia" w:cs="宋体"/>
                <w:color w:val="auto"/>
                <w:szCs w:val="21"/>
              </w:rPr>
              <w:t>、各磋商小组成员必须按照本评审要素据实打分。凡打分不符合本评审要素要求者，均按无效打分对待。</w:t>
            </w:r>
          </w:p>
          <w:p>
            <w:pPr>
              <w:widowControl/>
              <w:rPr>
                <w:rFonts w:cs="宋体"/>
                <w:color w:val="auto"/>
                <w:szCs w:val="21"/>
              </w:rPr>
            </w:pPr>
            <w:r>
              <w:rPr>
                <w:rFonts w:cs="宋体"/>
                <w:color w:val="auto"/>
                <w:szCs w:val="21"/>
              </w:rPr>
              <w:t>4</w:t>
            </w:r>
            <w:r>
              <w:rPr>
                <w:rFonts w:hint="eastAsia" w:cs="宋体"/>
                <w:color w:val="auto"/>
                <w:szCs w:val="21"/>
              </w:rPr>
              <w:t>、汇总报价得分、技术得分、商务得分的总和，按得分由高至低的排序推荐三名候选成交供应商。</w:t>
            </w:r>
          </w:p>
          <w:p>
            <w:pPr>
              <w:widowControl/>
              <w:rPr>
                <w:rFonts w:cs="宋体"/>
                <w:color w:val="auto"/>
                <w:szCs w:val="21"/>
              </w:rPr>
            </w:pPr>
            <w:r>
              <w:rPr>
                <w:rFonts w:cs="宋体"/>
                <w:color w:val="auto"/>
                <w:szCs w:val="21"/>
              </w:rPr>
              <w:t>5</w:t>
            </w:r>
            <w:r>
              <w:rPr>
                <w:rFonts w:hint="eastAsia" w:cs="宋体"/>
                <w:color w:val="auto"/>
                <w:szCs w:val="21"/>
              </w:rPr>
              <w:t>、若得分相同的，按投标报价由低到高顺序排列；得分且投标报价相同并列的，投标文件满足招标文件全部实质性要求，且按照评审因素的量化指标评审得分最高的投标人为排名第一的中标候选人。</w:t>
            </w:r>
          </w:p>
          <w:p>
            <w:pPr>
              <w:widowControl/>
              <w:rPr>
                <w:rFonts w:cs="宋体"/>
                <w:color w:val="auto"/>
                <w:szCs w:val="21"/>
              </w:rPr>
            </w:pPr>
            <w:r>
              <w:rPr>
                <w:rFonts w:cs="宋体"/>
                <w:color w:val="auto"/>
                <w:szCs w:val="21"/>
              </w:rPr>
              <w:t>6</w:t>
            </w:r>
            <w:r>
              <w:rPr>
                <w:rFonts w:hint="eastAsia" w:cs="宋体"/>
                <w:color w:val="auto"/>
                <w:szCs w:val="21"/>
              </w:rPr>
              <w:t>、磋商小组成员对评审报告有异议的，应当在评审报告上签署不同意见，并说明理由，否则视为同意。对拒绝说明理由的，须报政府采购监管部门处理，并将其评审情况如实计入考核表。</w:t>
            </w:r>
          </w:p>
        </w:tc>
      </w:tr>
    </w:tbl>
    <w:p>
      <w:pPr>
        <w:spacing w:line="360" w:lineRule="auto"/>
        <w:rPr>
          <w:b/>
          <w:spacing w:val="4"/>
          <w:szCs w:val="24"/>
        </w:rPr>
      </w:pPr>
      <w:bookmarkStart w:id="137" w:name="_GoBack"/>
      <w:bookmarkEnd w:id="137"/>
      <w:r>
        <w:rPr>
          <w:rFonts w:hint="eastAsia"/>
          <w:b/>
          <w:spacing w:val="4"/>
          <w:szCs w:val="24"/>
        </w:rPr>
        <w:t>四、定标：</w:t>
      </w:r>
    </w:p>
    <w:p>
      <w:pPr>
        <w:spacing w:line="360" w:lineRule="auto"/>
        <w:rPr>
          <w:rFonts w:cs="宋体"/>
          <w:b/>
          <w:color w:val="FF0000"/>
          <w:sz w:val="28"/>
          <w:szCs w:val="28"/>
        </w:rPr>
      </w:pPr>
      <w:r>
        <w:rPr>
          <w:spacing w:val="4"/>
          <w:szCs w:val="24"/>
        </w:rPr>
        <w:t>1</w:t>
      </w:r>
      <w:r>
        <w:rPr>
          <w:rFonts w:hint="eastAsia"/>
          <w:spacing w:val="4"/>
          <w:szCs w:val="24"/>
        </w:rPr>
        <w:t>、磋商结果由全体</w:t>
      </w:r>
      <w:r>
        <w:rPr>
          <w:rFonts w:hint="eastAsia"/>
          <w:szCs w:val="24"/>
        </w:rPr>
        <w:t>磋商小组成员</w:t>
      </w:r>
      <w:r>
        <w:rPr>
          <w:rFonts w:hint="eastAsia"/>
          <w:spacing w:val="4"/>
          <w:szCs w:val="24"/>
        </w:rPr>
        <w:t>签字确认。</w:t>
      </w:r>
    </w:p>
    <w:p>
      <w:pPr>
        <w:pStyle w:val="2"/>
      </w:pPr>
      <w:r>
        <w:t>2</w:t>
      </w:r>
      <w:r>
        <w:rPr>
          <w:rFonts w:hint="eastAsia"/>
        </w:rPr>
        <w:t>、采购人根据磋商报告中推荐的成交候选人排列顺序确定供应商，以复函通知采购代理机构。</w:t>
      </w:r>
    </w:p>
    <w:p>
      <w:pPr>
        <w:pStyle w:val="2"/>
        <w:sectPr>
          <w:pgSz w:w="11906" w:h="16838"/>
          <w:pgMar w:top="1440" w:right="1080" w:bottom="1440" w:left="1080" w:header="851" w:footer="992" w:gutter="0"/>
          <w:cols w:space="425" w:num="1"/>
          <w:docGrid w:type="lines" w:linePitch="312" w:charSpace="0"/>
        </w:sectPr>
      </w:pPr>
    </w:p>
    <w:p>
      <w:pPr>
        <w:pStyle w:val="3"/>
        <w:jc w:val="center"/>
        <w:rPr>
          <w:rFonts w:ascii="宋体" w:eastAsia="宋体" w:cs="宋体"/>
          <w:sz w:val="36"/>
          <w:szCs w:val="36"/>
        </w:rPr>
      </w:pPr>
      <w:bookmarkStart w:id="60" w:name="_Toc1813"/>
      <w:bookmarkStart w:id="61" w:name="_Toc16437"/>
      <w:bookmarkStart w:id="62" w:name="_Toc2238"/>
      <w:bookmarkStart w:id="63" w:name="_Toc9937"/>
      <w:bookmarkStart w:id="64" w:name="_Toc363474025"/>
      <w:r>
        <w:rPr>
          <w:rFonts w:hint="eastAsia" w:ascii="宋体" w:eastAsia="宋体" w:cs="宋体"/>
          <w:sz w:val="36"/>
          <w:szCs w:val="36"/>
        </w:rPr>
        <w:t>第六章</w:t>
      </w:r>
      <w:r>
        <w:rPr>
          <w:rFonts w:ascii="宋体" w:eastAsia="宋体" w:cs="宋体"/>
          <w:sz w:val="36"/>
          <w:szCs w:val="36"/>
        </w:rPr>
        <w:t xml:space="preserve"> </w:t>
      </w:r>
      <w:r>
        <w:rPr>
          <w:rFonts w:hint="eastAsia" w:ascii="宋体" w:eastAsia="宋体" w:cs="宋体"/>
          <w:sz w:val="36"/>
          <w:szCs w:val="36"/>
        </w:rPr>
        <w:t>磋商响应文件构成及格式</w:t>
      </w:r>
      <w:bookmarkEnd w:id="60"/>
      <w:bookmarkEnd w:id="61"/>
      <w:bookmarkEnd w:id="62"/>
      <w:bookmarkEnd w:id="63"/>
      <w:bookmarkEnd w:id="64"/>
    </w:p>
    <w:p/>
    <w:p>
      <w:pPr>
        <w:rPr>
          <w:rFonts w:hint="eastAsia" w:eastAsia="宋体"/>
          <w:b/>
          <w:sz w:val="32"/>
          <w:szCs w:val="32"/>
          <w:highlight w:val="yellow"/>
          <w:lang w:eastAsia="zh-CN"/>
        </w:rPr>
      </w:pPr>
      <w:r>
        <w:rPr>
          <w:rFonts w:hint="eastAsia"/>
          <w:b/>
          <w:sz w:val="32"/>
          <w:szCs w:val="32"/>
        </w:rPr>
        <w:t>项目编号：</w:t>
      </w:r>
      <w:r>
        <w:rPr>
          <w:rFonts w:hint="eastAsia"/>
          <w:b/>
          <w:sz w:val="32"/>
          <w:szCs w:val="32"/>
          <w:lang w:eastAsia="zh-CN"/>
        </w:rPr>
        <w:t>YMD-2019449F</w:t>
      </w:r>
    </w:p>
    <w:p>
      <w:pPr>
        <w:jc w:val="right"/>
        <w:rPr>
          <w:b/>
          <w:sz w:val="32"/>
          <w:szCs w:val="32"/>
        </w:rPr>
      </w:pPr>
      <w:r>
        <w:rPr>
          <w:rFonts w:hint="eastAsia"/>
          <w:b/>
          <w:sz w:val="32"/>
          <w:szCs w:val="32"/>
        </w:rPr>
        <w:t>（正本或副本）</w:t>
      </w:r>
    </w:p>
    <w:p>
      <w:pPr>
        <w:rPr>
          <w:b/>
          <w:sz w:val="32"/>
          <w:szCs w:val="32"/>
        </w:rPr>
      </w:pPr>
    </w:p>
    <w:p>
      <w:pPr>
        <w:jc w:val="center"/>
        <w:rPr>
          <w:rFonts w:hint="eastAsia"/>
          <w:b/>
          <w:sz w:val="52"/>
          <w:szCs w:val="52"/>
          <w:lang w:eastAsia="zh-CN"/>
        </w:rPr>
      </w:pPr>
      <w:r>
        <w:rPr>
          <w:rFonts w:hint="eastAsia"/>
          <w:b/>
          <w:sz w:val="52"/>
          <w:szCs w:val="52"/>
          <w:lang w:eastAsia="zh-CN"/>
        </w:rPr>
        <w:t>铜川市新区锦绣园小学电子设备</w:t>
      </w:r>
    </w:p>
    <w:p>
      <w:pPr>
        <w:jc w:val="center"/>
        <w:rPr>
          <w:rFonts w:hint="eastAsia" w:eastAsia="宋体"/>
          <w:b/>
          <w:sz w:val="52"/>
          <w:szCs w:val="52"/>
          <w:lang w:eastAsia="zh-CN"/>
        </w:rPr>
      </w:pPr>
      <w:r>
        <w:rPr>
          <w:rFonts w:hint="eastAsia"/>
          <w:b/>
          <w:sz w:val="52"/>
          <w:szCs w:val="52"/>
          <w:lang w:eastAsia="zh-CN"/>
        </w:rPr>
        <w:t>采购</w:t>
      </w:r>
    </w:p>
    <w:p>
      <w:pPr>
        <w:jc w:val="center"/>
        <w:rPr>
          <w:b/>
          <w:sz w:val="52"/>
          <w:szCs w:val="52"/>
        </w:rPr>
      </w:pPr>
    </w:p>
    <w:p>
      <w:pPr>
        <w:jc w:val="center"/>
        <w:rPr>
          <w:b/>
          <w:sz w:val="52"/>
          <w:szCs w:val="52"/>
        </w:rPr>
      </w:pPr>
    </w:p>
    <w:p>
      <w:pPr>
        <w:rPr>
          <w:b/>
          <w:sz w:val="48"/>
          <w:szCs w:val="48"/>
        </w:rPr>
      </w:pPr>
    </w:p>
    <w:p>
      <w:pPr>
        <w:jc w:val="center"/>
        <w:rPr>
          <w:b/>
          <w:sz w:val="72"/>
          <w:szCs w:val="72"/>
        </w:rPr>
      </w:pPr>
      <w:r>
        <w:rPr>
          <w:rFonts w:hint="eastAsia"/>
          <w:b/>
          <w:sz w:val="72"/>
          <w:szCs w:val="72"/>
        </w:rPr>
        <w:t>磋商响应文件</w:t>
      </w:r>
    </w:p>
    <w:p>
      <w:pPr>
        <w:jc w:val="center"/>
        <w:rPr>
          <w:b/>
          <w:sz w:val="36"/>
          <w:szCs w:val="36"/>
        </w:rPr>
      </w:pPr>
    </w:p>
    <w:p>
      <w:pPr>
        <w:rPr>
          <w:b/>
          <w:sz w:val="36"/>
          <w:szCs w:val="36"/>
        </w:rPr>
      </w:pPr>
    </w:p>
    <w:p>
      <w:pPr>
        <w:rPr>
          <w:b/>
          <w:sz w:val="36"/>
          <w:szCs w:val="36"/>
        </w:rPr>
      </w:pPr>
    </w:p>
    <w:p>
      <w:pPr>
        <w:rPr>
          <w:b/>
          <w:sz w:val="36"/>
          <w:szCs w:val="36"/>
        </w:rPr>
      </w:pPr>
    </w:p>
    <w:p>
      <w:pPr>
        <w:tabs>
          <w:tab w:val="center" w:pos="5346"/>
        </w:tabs>
        <w:spacing w:line="720" w:lineRule="auto"/>
        <w:jc w:val="center"/>
        <w:rPr>
          <w:b/>
          <w:sz w:val="32"/>
          <w:szCs w:val="32"/>
        </w:rPr>
      </w:pPr>
      <w:r>
        <w:rPr>
          <w:b/>
          <w:sz w:val="32"/>
          <w:szCs w:val="32"/>
        </w:rPr>
        <w:t xml:space="preserve"> </w:t>
      </w:r>
      <w:r>
        <w:rPr>
          <w:rFonts w:hint="eastAsia"/>
          <w:b/>
          <w:sz w:val="32"/>
          <w:szCs w:val="32"/>
        </w:rPr>
        <w:t>供应商名称（公章）</w:t>
      </w:r>
    </w:p>
    <w:p>
      <w:pPr>
        <w:tabs>
          <w:tab w:val="center" w:pos="5346"/>
        </w:tabs>
        <w:spacing w:line="720" w:lineRule="auto"/>
        <w:jc w:val="center"/>
        <w:rPr>
          <w:b/>
          <w:sz w:val="32"/>
          <w:szCs w:val="32"/>
        </w:rPr>
      </w:pPr>
    </w:p>
    <w:p>
      <w:pPr>
        <w:spacing w:line="720" w:lineRule="auto"/>
        <w:jc w:val="center"/>
        <w:rPr>
          <w:b/>
          <w:bCs/>
          <w:spacing w:val="4"/>
          <w:sz w:val="30"/>
          <w:szCs w:val="30"/>
        </w:rPr>
      </w:pPr>
      <w:r>
        <w:rPr>
          <w:rFonts w:hint="eastAsia"/>
          <w:b/>
          <w:sz w:val="32"/>
          <w:szCs w:val="32"/>
        </w:rPr>
        <w:t>二〇一九年</w:t>
      </w:r>
      <w:r>
        <w:rPr>
          <w:b/>
          <w:sz w:val="32"/>
          <w:szCs w:val="32"/>
        </w:rPr>
        <w:t xml:space="preserve">   </w:t>
      </w:r>
      <w:r>
        <w:rPr>
          <w:rFonts w:hint="eastAsia"/>
          <w:b/>
          <w:sz w:val="32"/>
          <w:szCs w:val="32"/>
        </w:rPr>
        <w:t>月</w:t>
      </w:r>
      <w:r>
        <w:rPr>
          <w:b/>
          <w:sz w:val="32"/>
          <w:szCs w:val="32"/>
        </w:rPr>
        <w:t xml:space="preserve">  </w:t>
      </w:r>
      <w:r>
        <w:rPr>
          <w:rFonts w:hint="eastAsia"/>
          <w:b/>
          <w:sz w:val="32"/>
          <w:szCs w:val="32"/>
        </w:rPr>
        <w:t>日</w:t>
      </w:r>
      <w:r>
        <w:rPr>
          <w:b/>
          <w:sz w:val="36"/>
          <w:szCs w:val="36"/>
        </w:rPr>
        <w:br w:type="page"/>
      </w:r>
    </w:p>
    <w:p>
      <w:pPr>
        <w:jc w:val="center"/>
        <w:rPr>
          <w:b/>
          <w:bCs/>
          <w:sz w:val="28"/>
          <w:szCs w:val="28"/>
        </w:rPr>
      </w:pPr>
      <w:bookmarkStart w:id="65" w:name="_Toc363474026"/>
      <w:bookmarkStart w:id="66" w:name="_Toc16598"/>
      <w:bookmarkStart w:id="67" w:name="_Toc403077647"/>
      <w:bookmarkStart w:id="68" w:name="_Toc9450"/>
      <w:bookmarkStart w:id="69" w:name="_Toc426457699"/>
      <w:bookmarkStart w:id="70" w:name="_Toc20244"/>
      <w:bookmarkStart w:id="71" w:name="_Toc7083"/>
      <w:r>
        <w:rPr>
          <w:rFonts w:hint="eastAsia"/>
          <w:b/>
          <w:bCs/>
          <w:sz w:val="28"/>
          <w:szCs w:val="28"/>
        </w:rPr>
        <w:t>目</w:t>
      </w:r>
      <w:r>
        <w:rPr>
          <w:b/>
          <w:bCs/>
          <w:sz w:val="28"/>
          <w:szCs w:val="28"/>
        </w:rPr>
        <w:t xml:space="preserve">    </w:t>
      </w:r>
      <w:r>
        <w:rPr>
          <w:rFonts w:hint="eastAsia"/>
          <w:b/>
          <w:bCs/>
          <w:sz w:val="28"/>
          <w:szCs w:val="28"/>
        </w:rPr>
        <w:t>录</w:t>
      </w:r>
      <w:bookmarkEnd w:id="65"/>
      <w:bookmarkEnd w:id="66"/>
      <w:bookmarkEnd w:id="67"/>
      <w:bookmarkEnd w:id="68"/>
      <w:bookmarkEnd w:id="69"/>
      <w:bookmarkEnd w:id="70"/>
      <w:bookmarkEnd w:id="71"/>
    </w:p>
    <w:p/>
    <w:p>
      <w:pPr>
        <w:numPr>
          <w:ilvl w:val="0"/>
          <w:numId w:val="11"/>
        </w:numPr>
        <w:tabs>
          <w:tab w:val="left" w:pos="1418"/>
          <w:tab w:val="clear" w:pos="2482"/>
        </w:tabs>
        <w:spacing w:line="720" w:lineRule="auto"/>
        <w:ind w:left="1701"/>
        <w:rPr>
          <w:spacing w:val="4"/>
          <w:szCs w:val="24"/>
        </w:rPr>
      </w:pPr>
      <w:r>
        <w:rPr>
          <w:rFonts w:hint="eastAsia"/>
          <w:spacing w:val="4"/>
          <w:szCs w:val="24"/>
        </w:rPr>
        <w:t>磋商函</w:t>
      </w:r>
    </w:p>
    <w:p>
      <w:pPr>
        <w:numPr>
          <w:ilvl w:val="0"/>
          <w:numId w:val="11"/>
        </w:numPr>
        <w:tabs>
          <w:tab w:val="left" w:pos="1418"/>
          <w:tab w:val="clear" w:pos="2482"/>
        </w:tabs>
        <w:spacing w:line="720" w:lineRule="auto"/>
        <w:ind w:left="1701"/>
        <w:rPr>
          <w:spacing w:val="4"/>
          <w:szCs w:val="24"/>
        </w:rPr>
      </w:pPr>
      <w:r>
        <w:rPr>
          <w:rFonts w:hint="eastAsia"/>
          <w:spacing w:val="4"/>
          <w:szCs w:val="24"/>
        </w:rPr>
        <w:t>法人代表授权书</w:t>
      </w:r>
    </w:p>
    <w:p>
      <w:pPr>
        <w:numPr>
          <w:ilvl w:val="0"/>
          <w:numId w:val="11"/>
        </w:numPr>
        <w:tabs>
          <w:tab w:val="left" w:pos="1418"/>
          <w:tab w:val="clear" w:pos="2482"/>
        </w:tabs>
        <w:spacing w:line="720" w:lineRule="auto"/>
        <w:ind w:left="1701"/>
        <w:rPr>
          <w:spacing w:val="4"/>
          <w:szCs w:val="24"/>
        </w:rPr>
      </w:pPr>
      <w:r>
        <w:rPr>
          <w:rFonts w:hint="eastAsia"/>
          <w:spacing w:val="4"/>
          <w:szCs w:val="24"/>
        </w:rPr>
        <w:t>磋商保证金</w:t>
      </w:r>
    </w:p>
    <w:p>
      <w:pPr>
        <w:numPr>
          <w:ilvl w:val="0"/>
          <w:numId w:val="11"/>
        </w:numPr>
        <w:tabs>
          <w:tab w:val="left" w:pos="1418"/>
          <w:tab w:val="clear" w:pos="2482"/>
        </w:tabs>
        <w:spacing w:line="720" w:lineRule="auto"/>
        <w:ind w:left="1701"/>
        <w:rPr>
          <w:spacing w:val="4"/>
          <w:szCs w:val="24"/>
        </w:rPr>
      </w:pPr>
      <w:r>
        <w:rPr>
          <w:rFonts w:hint="eastAsia"/>
          <w:spacing w:val="4"/>
          <w:szCs w:val="24"/>
        </w:rPr>
        <w:t>磋商报价表</w:t>
      </w:r>
    </w:p>
    <w:p>
      <w:pPr>
        <w:numPr>
          <w:ilvl w:val="0"/>
          <w:numId w:val="11"/>
        </w:numPr>
        <w:tabs>
          <w:tab w:val="left" w:pos="1418"/>
          <w:tab w:val="clear" w:pos="2482"/>
        </w:tabs>
        <w:spacing w:line="720" w:lineRule="auto"/>
        <w:ind w:left="1701"/>
        <w:rPr>
          <w:spacing w:val="4"/>
          <w:szCs w:val="24"/>
        </w:rPr>
      </w:pPr>
      <w:r>
        <w:rPr>
          <w:rFonts w:hint="eastAsia"/>
          <w:szCs w:val="24"/>
        </w:rPr>
        <w:t>磋商案说明书</w:t>
      </w:r>
    </w:p>
    <w:p>
      <w:pPr>
        <w:numPr>
          <w:ilvl w:val="0"/>
          <w:numId w:val="11"/>
        </w:numPr>
        <w:tabs>
          <w:tab w:val="left" w:pos="1418"/>
          <w:tab w:val="clear" w:pos="2482"/>
        </w:tabs>
        <w:spacing w:line="720" w:lineRule="auto"/>
        <w:ind w:left="1701"/>
        <w:rPr>
          <w:spacing w:val="4"/>
          <w:szCs w:val="24"/>
        </w:rPr>
      </w:pPr>
      <w:r>
        <w:rPr>
          <w:rFonts w:hint="eastAsia"/>
          <w:szCs w:val="24"/>
        </w:rPr>
        <w:t>商务响应说明书</w:t>
      </w:r>
    </w:p>
    <w:p>
      <w:pPr>
        <w:numPr>
          <w:ilvl w:val="0"/>
          <w:numId w:val="11"/>
        </w:numPr>
        <w:tabs>
          <w:tab w:val="left" w:pos="1701"/>
          <w:tab w:val="clear" w:pos="2482"/>
        </w:tabs>
        <w:spacing w:line="720" w:lineRule="auto"/>
        <w:ind w:left="1418" w:hanging="567"/>
        <w:rPr>
          <w:spacing w:val="4"/>
          <w:szCs w:val="24"/>
        </w:rPr>
      </w:pPr>
      <w:r>
        <w:rPr>
          <w:rFonts w:hint="eastAsia"/>
          <w:spacing w:val="4"/>
          <w:szCs w:val="24"/>
        </w:rPr>
        <w:t>陕西省政府采购供应商拒绝政府采购领域商业贿赂承诺书</w:t>
      </w:r>
    </w:p>
    <w:p>
      <w:pPr>
        <w:tabs>
          <w:tab w:val="left" w:pos="1418"/>
        </w:tabs>
        <w:spacing w:line="720" w:lineRule="auto"/>
        <w:ind w:firstLine="960" w:firstLineChars="400"/>
        <w:jc w:val="left"/>
        <w:rPr>
          <w:spacing w:val="4"/>
          <w:szCs w:val="24"/>
        </w:rPr>
      </w:pPr>
      <w:r>
        <w:rPr>
          <w:rFonts w:cs="宋体"/>
          <w:szCs w:val="24"/>
        </w:rPr>
        <w:t>(</w:t>
      </w:r>
      <w:r>
        <w:rPr>
          <w:rFonts w:hint="eastAsia" w:cs="宋体"/>
          <w:szCs w:val="24"/>
        </w:rPr>
        <w:t>八）</w:t>
      </w:r>
      <w:r>
        <w:rPr>
          <w:rFonts w:cs="宋体"/>
          <w:szCs w:val="24"/>
        </w:rPr>
        <w:t xml:space="preserve"> </w:t>
      </w:r>
      <w:r>
        <w:rPr>
          <w:rFonts w:hint="eastAsia"/>
          <w:szCs w:val="24"/>
        </w:rPr>
        <w:t>资格证明文件</w:t>
      </w:r>
    </w:p>
    <w:p>
      <w:pPr>
        <w:spacing w:line="480" w:lineRule="auto"/>
        <w:ind w:firstLine="1574" w:firstLineChars="635"/>
        <w:rPr>
          <w:spacing w:val="4"/>
          <w:szCs w:val="24"/>
        </w:rPr>
      </w:pPr>
    </w:p>
    <w:p>
      <w:pPr>
        <w:spacing w:line="480" w:lineRule="auto"/>
        <w:ind w:left="105"/>
        <w:rPr>
          <w:spacing w:val="4"/>
          <w:szCs w:val="24"/>
        </w:rPr>
      </w:pPr>
    </w:p>
    <w:p>
      <w:pPr>
        <w:pStyle w:val="5"/>
        <w:spacing w:before="312" w:beforeLines="100"/>
      </w:pPr>
      <w:r>
        <w:rPr>
          <w:sz w:val="28"/>
        </w:rPr>
        <w:br w:type="page"/>
      </w:r>
      <w:bookmarkStart w:id="72" w:name="_Toc363474027"/>
      <w:bookmarkStart w:id="73" w:name="_Toc403077648"/>
      <w:bookmarkStart w:id="74" w:name="_Toc24466"/>
      <w:bookmarkStart w:id="75" w:name="_Toc426457700"/>
      <w:bookmarkStart w:id="76" w:name="_Toc26920"/>
      <w:bookmarkStart w:id="77" w:name="_Toc23216"/>
      <w:bookmarkStart w:id="78" w:name="_Toc32444"/>
      <w:bookmarkStart w:id="79" w:name="_Toc8370"/>
      <w:r>
        <w:rPr>
          <w:rFonts w:hint="eastAsia"/>
          <w:sz w:val="32"/>
          <w:szCs w:val="32"/>
        </w:rPr>
        <w:t>一</w:t>
      </w:r>
      <w:bookmarkEnd w:id="72"/>
      <w:bookmarkEnd w:id="73"/>
      <w:r>
        <w:rPr>
          <w:rFonts w:hint="eastAsia"/>
          <w:sz w:val="32"/>
          <w:szCs w:val="32"/>
        </w:rPr>
        <w:t>、磋商函</w:t>
      </w:r>
      <w:bookmarkEnd w:id="74"/>
      <w:bookmarkEnd w:id="75"/>
      <w:bookmarkEnd w:id="76"/>
      <w:bookmarkEnd w:id="77"/>
      <w:bookmarkEnd w:id="78"/>
      <w:bookmarkEnd w:id="79"/>
    </w:p>
    <w:p>
      <w:pPr>
        <w:spacing w:line="560" w:lineRule="exact"/>
        <w:jc w:val="left"/>
        <w:rPr>
          <w:spacing w:val="4"/>
          <w:szCs w:val="24"/>
        </w:rPr>
      </w:pPr>
      <w:r>
        <w:rPr>
          <w:rFonts w:hint="eastAsia"/>
          <w:b/>
          <w:spacing w:val="4"/>
          <w:szCs w:val="24"/>
        </w:rPr>
        <w:t>致：采购人</w:t>
      </w:r>
      <w:r>
        <w:rPr>
          <w:b/>
          <w:spacing w:val="4"/>
          <w:szCs w:val="24"/>
        </w:rPr>
        <w:t>/</w:t>
      </w:r>
      <w:r>
        <w:rPr>
          <w:rFonts w:hint="eastAsia"/>
          <w:b/>
          <w:spacing w:val="4"/>
          <w:szCs w:val="24"/>
        </w:rPr>
        <w:t>采购代理机构</w:t>
      </w:r>
    </w:p>
    <w:p>
      <w:pPr>
        <w:spacing w:line="520" w:lineRule="exact"/>
        <w:ind w:firstLine="496" w:firstLineChars="200"/>
        <w:rPr>
          <w:spacing w:val="4"/>
        </w:rPr>
      </w:pPr>
      <w:r>
        <w:rPr>
          <w:rFonts w:hint="eastAsia"/>
          <w:spacing w:val="4"/>
        </w:rPr>
        <w:t>根据贵方“</w:t>
      </w:r>
      <w:r>
        <w:rPr>
          <w:spacing w:val="4"/>
        </w:rPr>
        <w:t xml:space="preserve"> </w:t>
      </w:r>
      <w:r>
        <w:rPr>
          <w:spacing w:val="4"/>
          <w:u w:val="single"/>
        </w:rPr>
        <w:t xml:space="preserve">                     </w:t>
      </w:r>
      <w:r>
        <w:rPr>
          <w:rFonts w:hint="eastAsia"/>
          <w:spacing w:val="4"/>
        </w:rPr>
        <w:t>”项目的投标邀请</w:t>
      </w:r>
      <w:r>
        <w:rPr>
          <w:spacing w:val="4"/>
          <w:u w:val="single"/>
        </w:rPr>
        <w:t>(</w:t>
      </w:r>
      <w:r>
        <w:rPr>
          <w:rFonts w:hint="eastAsia"/>
          <w:spacing w:val="4"/>
          <w:u w:val="single"/>
        </w:rPr>
        <w:t>编号：</w:t>
      </w:r>
      <w:r>
        <w:rPr>
          <w:spacing w:val="4"/>
          <w:u w:val="single"/>
        </w:rPr>
        <w:t xml:space="preserve">        )</w:t>
      </w:r>
      <w:r>
        <w:rPr>
          <w:rFonts w:hint="eastAsia"/>
          <w:spacing w:val="4"/>
        </w:rPr>
        <w:t>，签字代表</w:t>
      </w:r>
      <w:r>
        <w:rPr>
          <w:rFonts w:hint="eastAsia"/>
          <w:spacing w:val="4"/>
          <w:u w:val="single"/>
        </w:rPr>
        <w:t>（全名、职务）</w:t>
      </w:r>
      <w:r>
        <w:rPr>
          <w:rFonts w:hint="eastAsia"/>
          <w:spacing w:val="4"/>
        </w:rPr>
        <w:t>经正式授权并代表供应商</w:t>
      </w:r>
      <w:r>
        <w:rPr>
          <w:spacing w:val="4"/>
          <w:u w:val="single"/>
        </w:rPr>
        <w:t>(</w:t>
      </w:r>
      <w:r>
        <w:rPr>
          <w:rFonts w:hint="eastAsia"/>
          <w:spacing w:val="4"/>
          <w:u w:val="single"/>
        </w:rPr>
        <w:t>供应商名称、地址</w:t>
      </w:r>
      <w:r>
        <w:rPr>
          <w:spacing w:val="4"/>
          <w:u w:val="single"/>
        </w:rPr>
        <w:t>)</w:t>
      </w:r>
      <w:r>
        <w:rPr>
          <w:spacing w:val="4"/>
        </w:rPr>
        <w:t xml:space="preserve"> </w:t>
      </w:r>
      <w:r>
        <w:rPr>
          <w:rFonts w:hint="eastAsia"/>
          <w:spacing w:val="4"/>
        </w:rPr>
        <w:t>提交磋商响应文件正本壹份、副本一式</w:t>
      </w:r>
      <w:r>
        <w:rPr>
          <w:spacing w:val="4"/>
          <w:u w:val="single"/>
        </w:rPr>
        <w:t xml:space="preserve">  </w:t>
      </w:r>
      <w:r>
        <w:rPr>
          <w:rFonts w:hint="eastAsia"/>
          <w:spacing w:val="4"/>
        </w:rPr>
        <w:t>份、电子版本</w:t>
      </w:r>
      <w:r>
        <w:rPr>
          <w:spacing w:val="4"/>
          <w:u w:val="single"/>
        </w:rPr>
        <w:t xml:space="preserve">   </w:t>
      </w:r>
      <w:r>
        <w:rPr>
          <w:rFonts w:hint="eastAsia"/>
          <w:spacing w:val="4"/>
        </w:rPr>
        <w:t>份。并提交磋商保证金，金额为</w:t>
      </w:r>
      <w:r>
        <w:rPr>
          <w:spacing w:val="4"/>
          <w:u w:val="single"/>
        </w:rPr>
        <w:t xml:space="preserve">            </w:t>
      </w:r>
      <w:r>
        <w:rPr>
          <w:spacing w:val="4"/>
        </w:rPr>
        <w:t xml:space="preserve"> </w:t>
      </w:r>
      <w:r>
        <w:rPr>
          <w:rFonts w:hint="eastAsia"/>
          <w:spacing w:val="4"/>
        </w:rPr>
        <w:t>。</w:t>
      </w:r>
    </w:p>
    <w:p>
      <w:pPr>
        <w:spacing w:line="520" w:lineRule="exact"/>
        <w:ind w:left="624" w:leftChars="251" w:hanging="22" w:hangingChars="9"/>
        <w:jc w:val="left"/>
        <w:rPr>
          <w:spacing w:val="4"/>
        </w:rPr>
      </w:pPr>
      <w:r>
        <w:rPr>
          <w:rFonts w:hint="eastAsia"/>
          <w:spacing w:val="4"/>
        </w:rPr>
        <w:t>我方承诺如下：</w:t>
      </w:r>
    </w:p>
    <w:p>
      <w:pPr>
        <w:numPr>
          <w:ilvl w:val="0"/>
          <w:numId w:val="12"/>
        </w:numPr>
        <w:tabs>
          <w:tab w:val="left" w:pos="2160"/>
        </w:tabs>
        <w:spacing w:line="520" w:lineRule="exact"/>
        <w:ind w:left="0" w:firstLine="0"/>
        <w:jc w:val="left"/>
        <w:rPr>
          <w:spacing w:val="4"/>
        </w:rPr>
      </w:pPr>
      <w:r>
        <w:rPr>
          <w:rFonts w:hint="eastAsia"/>
          <w:spacing w:val="4"/>
        </w:rPr>
        <w:t>投标总价为</w:t>
      </w:r>
      <w:r>
        <w:rPr>
          <w:spacing w:val="4"/>
        </w:rPr>
        <w:t xml:space="preserve"> </w:t>
      </w:r>
      <w:r>
        <w:rPr>
          <w:spacing w:val="4"/>
          <w:u w:val="single"/>
        </w:rPr>
        <w:t xml:space="preserve">        </w:t>
      </w:r>
      <w:r>
        <w:rPr>
          <w:rFonts w:hint="eastAsia"/>
          <w:spacing w:val="4"/>
        </w:rPr>
        <w:t>（人民币</w:t>
      </w:r>
      <w:r>
        <w:rPr>
          <w:spacing w:val="4"/>
          <w:u w:val="single"/>
        </w:rPr>
        <w:t xml:space="preserve">         </w:t>
      </w:r>
      <w:r>
        <w:rPr>
          <w:rFonts w:hint="eastAsia"/>
          <w:spacing w:val="4"/>
        </w:rPr>
        <w:t>）、（用文字和数字表示的投标总价）。</w:t>
      </w:r>
    </w:p>
    <w:p>
      <w:pPr>
        <w:numPr>
          <w:ilvl w:val="0"/>
          <w:numId w:val="12"/>
        </w:numPr>
        <w:tabs>
          <w:tab w:val="left" w:pos="2160"/>
        </w:tabs>
        <w:spacing w:line="520" w:lineRule="exact"/>
        <w:ind w:left="0" w:firstLine="0"/>
        <w:jc w:val="left"/>
        <w:rPr>
          <w:spacing w:val="4"/>
        </w:rPr>
      </w:pPr>
      <w:r>
        <w:rPr>
          <w:rFonts w:hint="eastAsia"/>
          <w:spacing w:val="4"/>
        </w:rPr>
        <w:t>如果中标，我们根据磋商文件的规定，履行合同的责任和义务。</w:t>
      </w:r>
    </w:p>
    <w:p>
      <w:pPr>
        <w:numPr>
          <w:ilvl w:val="0"/>
          <w:numId w:val="12"/>
        </w:numPr>
        <w:tabs>
          <w:tab w:val="left" w:pos="2160"/>
        </w:tabs>
        <w:spacing w:line="520" w:lineRule="exact"/>
        <w:ind w:left="0" w:firstLine="0"/>
        <w:jc w:val="left"/>
        <w:rPr>
          <w:spacing w:val="4"/>
        </w:rPr>
      </w:pPr>
      <w:r>
        <w:rPr>
          <w:rFonts w:hint="eastAsia"/>
          <w:spacing w:val="4"/>
        </w:rPr>
        <w:t>我们已详细阅读和审核全部磋商文件（含修改部分，如有的话）及有关附件，我们知道必须放弃提出含糊不清或误解的问题的权利。</w:t>
      </w:r>
    </w:p>
    <w:p>
      <w:pPr>
        <w:numPr>
          <w:ilvl w:val="0"/>
          <w:numId w:val="12"/>
        </w:numPr>
        <w:tabs>
          <w:tab w:val="left" w:pos="2160"/>
        </w:tabs>
        <w:spacing w:line="520" w:lineRule="exact"/>
        <w:ind w:left="0" w:firstLine="0"/>
        <w:jc w:val="left"/>
        <w:rPr>
          <w:spacing w:val="4"/>
        </w:rPr>
      </w:pPr>
      <w:r>
        <w:rPr>
          <w:rFonts w:hint="eastAsia"/>
          <w:spacing w:val="4"/>
        </w:rPr>
        <w:t>我们同意在磋商有效期内（</w:t>
      </w:r>
      <w:r>
        <w:rPr>
          <w:rFonts w:hint="eastAsia"/>
          <w:spacing w:val="4"/>
          <w:u w:val="single"/>
        </w:rPr>
        <w:t>自开标之日起</w:t>
      </w:r>
      <w:r>
        <w:rPr>
          <w:spacing w:val="4"/>
          <w:u w:val="single"/>
        </w:rPr>
        <w:t xml:space="preserve">  </w:t>
      </w:r>
      <w:r>
        <w:rPr>
          <w:rFonts w:hint="eastAsia"/>
          <w:spacing w:val="4"/>
          <w:u w:val="single"/>
        </w:rPr>
        <w:t>天</w:t>
      </w:r>
      <w:r>
        <w:rPr>
          <w:rFonts w:hint="eastAsia"/>
          <w:spacing w:val="4"/>
        </w:rPr>
        <w:t>），本投标函对我方具有约束力。</w:t>
      </w:r>
    </w:p>
    <w:p>
      <w:pPr>
        <w:numPr>
          <w:ilvl w:val="0"/>
          <w:numId w:val="12"/>
        </w:numPr>
        <w:tabs>
          <w:tab w:val="left" w:pos="2160"/>
        </w:tabs>
        <w:spacing w:line="520" w:lineRule="exact"/>
        <w:ind w:left="0" w:firstLine="0"/>
        <w:jc w:val="left"/>
        <w:rPr>
          <w:spacing w:val="4"/>
        </w:rPr>
      </w:pPr>
      <w:r>
        <w:rPr>
          <w:rFonts w:hint="eastAsia"/>
          <w:spacing w:val="4"/>
        </w:rPr>
        <w:t>如果在开标后规定的磋商有效期内撤回投标，我们的磋商保证金可被贵方没收。</w:t>
      </w:r>
    </w:p>
    <w:p>
      <w:pPr>
        <w:numPr>
          <w:ilvl w:val="0"/>
          <w:numId w:val="12"/>
        </w:numPr>
        <w:tabs>
          <w:tab w:val="left" w:pos="2160"/>
        </w:tabs>
        <w:spacing w:line="520" w:lineRule="exact"/>
        <w:ind w:left="0" w:firstLine="0"/>
        <w:jc w:val="left"/>
        <w:rPr>
          <w:spacing w:val="4"/>
        </w:rPr>
      </w:pPr>
      <w:r>
        <w:rPr>
          <w:rFonts w:hint="eastAsia"/>
          <w:spacing w:val="4"/>
        </w:rPr>
        <w:t>同意提供贵方可能另外要求的与本投标有关的任何证据和资料。</w:t>
      </w:r>
      <w:r>
        <w:rPr>
          <w:spacing w:val="4"/>
        </w:rPr>
        <w:t xml:space="preserve"> </w:t>
      </w:r>
    </w:p>
    <w:p>
      <w:pPr>
        <w:numPr>
          <w:ilvl w:val="0"/>
          <w:numId w:val="12"/>
        </w:numPr>
        <w:tabs>
          <w:tab w:val="left" w:pos="2160"/>
        </w:tabs>
        <w:spacing w:line="520" w:lineRule="exact"/>
        <w:ind w:left="0" w:firstLine="0"/>
        <w:jc w:val="left"/>
        <w:rPr>
          <w:spacing w:val="4"/>
        </w:rPr>
      </w:pPr>
      <w:r>
        <w:rPr>
          <w:rFonts w:hint="eastAsia"/>
          <w:spacing w:val="4"/>
        </w:rPr>
        <w:t>我们同意，如果中标，向永明项目管理有限公司交纳招标代理服务费。</w:t>
      </w:r>
    </w:p>
    <w:p>
      <w:pPr>
        <w:numPr>
          <w:ilvl w:val="0"/>
          <w:numId w:val="12"/>
        </w:numPr>
        <w:tabs>
          <w:tab w:val="left" w:pos="2160"/>
        </w:tabs>
        <w:spacing w:line="520" w:lineRule="exact"/>
        <w:ind w:left="0" w:firstLine="0"/>
        <w:jc w:val="left"/>
        <w:rPr>
          <w:spacing w:val="4"/>
        </w:rPr>
      </w:pPr>
      <w:r>
        <w:rPr>
          <w:rFonts w:hint="eastAsia"/>
          <w:spacing w:val="4"/>
        </w:rPr>
        <w:t>与本投标有关的一切正式往来通讯为：</w:t>
      </w:r>
    </w:p>
    <w:p>
      <w:pPr>
        <w:spacing w:line="520" w:lineRule="exact"/>
        <w:ind w:firstLine="1240" w:firstLineChars="500"/>
        <w:jc w:val="left"/>
        <w:rPr>
          <w:spacing w:val="4"/>
        </w:rPr>
      </w:pPr>
      <w:r>
        <w:rPr>
          <w:rFonts w:hint="eastAsia"/>
          <w:spacing w:val="4"/>
        </w:rPr>
        <w:t>联系地址：</w:t>
      </w:r>
    </w:p>
    <w:p>
      <w:pPr>
        <w:spacing w:line="520" w:lineRule="exact"/>
        <w:ind w:firstLine="1240" w:firstLineChars="500"/>
        <w:jc w:val="left"/>
        <w:rPr>
          <w:spacing w:val="4"/>
        </w:rPr>
      </w:pPr>
      <w:r>
        <w:rPr>
          <w:rFonts w:hint="eastAsia"/>
          <w:spacing w:val="4"/>
        </w:rPr>
        <w:t>邮政编码：</w:t>
      </w:r>
    </w:p>
    <w:p>
      <w:pPr>
        <w:spacing w:line="520" w:lineRule="exact"/>
        <w:ind w:firstLine="1240" w:firstLineChars="500"/>
        <w:jc w:val="left"/>
        <w:rPr>
          <w:spacing w:val="4"/>
        </w:rPr>
      </w:pPr>
      <w:r>
        <w:rPr>
          <w:rFonts w:hint="eastAsia"/>
          <w:spacing w:val="4"/>
        </w:rPr>
        <w:t>电</w:t>
      </w:r>
      <w:r>
        <w:rPr>
          <w:spacing w:val="4"/>
        </w:rPr>
        <w:t xml:space="preserve">    </w:t>
      </w:r>
      <w:r>
        <w:rPr>
          <w:rFonts w:hint="eastAsia"/>
          <w:spacing w:val="4"/>
        </w:rPr>
        <w:t>话：</w:t>
      </w:r>
    </w:p>
    <w:p>
      <w:pPr>
        <w:spacing w:line="520" w:lineRule="exact"/>
        <w:ind w:firstLine="1240" w:firstLineChars="500"/>
        <w:jc w:val="left"/>
        <w:rPr>
          <w:spacing w:val="4"/>
        </w:rPr>
      </w:pPr>
      <w:r>
        <w:rPr>
          <w:rFonts w:hint="eastAsia"/>
          <w:spacing w:val="4"/>
        </w:rPr>
        <w:t>传</w:t>
      </w:r>
      <w:r>
        <w:rPr>
          <w:spacing w:val="4"/>
        </w:rPr>
        <w:t xml:space="preserve">    </w:t>
      </w:r>
      <w:r>
        <w:rPr>
          <w:rFonts w:hint="eastAsia"/>
          <w:spacing w:val="4"/>
        </w:rPr>
        <w:t>真：</w:t>
      </w:r>
    </w:p>
    <w:p>
      <w:pPr>
        <w:spacing w:line="520" w:lineRule="exact"/>
        <w:ind w:firstLine="1240" w:firstLineChars="500"/>
        <w:jc w:val="left"/>
        <w:rPr>
          <w:spacing w:val="4"/>
        </w:rPr>
      </w:pPr>
      <w:r>
        <w:rPr>
          <w:rFonts w:hint="eastAsia"/>
          <w:spacing w:val="4"/>
        </w:rPr>
        <w:t>供应商名称（盖章）：</w:t>
      </w:r>
    </w:p>
    <w:p>
      <w:pPr>
        <w:spacing w:line="520" w:lineRule="exact"/>
        <w:ind w:firstLine="1240" w:firstLineChars="500"/>
        <w:jc w:val="left"/>
        <w:rPr>
          <w:spacing w:val="4"/>
        </w:rPr>
      </w:pPr>
      <w:r>
        <w:rPr>
          <w:rFonts w:hint="eastAsia"/>
          <w:spacing w:val="4"/>
        </w:rPr>
        <w:t>供应商法人代表签字或盖章：</w:t>
      </w:r>
    </w:p>
    <w:p>
      <w:pPr>
        <w:spacing w:line="520" w:lineRule="exact"/>
        <w:ind w:firstLine="1240" w:firstLineChars="500"/>
        <w:jc w:val="left"/>
        <w:rPr>
          <w:spacing w:val="4"/>
        </w:rPr>
      </w:pPr>
      <w:r>
        <w:rPr>
          <w:rFonts w:hint="eastAsia"/>
          <w:spacing w:val="4"/>
        </w:rPr>
        <w:t>日</w:t>
      </w:r>
      <w:r>
        <w:rPr>
          <w:spacing w:val="4"/>
        </w:rPr>
        <w:t xml:space="preserve">    </w:t>
      </w:r>
      <w:r>
        <w:rPr>
          <w:rFonts w:hint="eastAsia"/>
          <w:spacing w:val="4"/>
        </w:rPr>
        <w:t>期：</w:t>
      </w:r>
    </w:p>
    <w:p>
      <w:pPr>
        <w:pStyle w:val="5"/>
        <w:spacing w:before="312" w:beforeLines="100"/>
        <w:rPr>
          <w:sz w:val="32"/>
          <w:szCs w:val="32"/>
        </w:rPr>
      </w:pPr>
      <w:r>
        <w:rPr>
          <w:sz w:val="28"/>
        </w:rPr>
        <w:br w:type="page"/>
      </w:r>
      <w:bookmarkStart w:id="80" w:name="_Toc6086"/>
      <w:bookmarkStart w:id="81" w:name="_Toc24985"/>
      <w:bookmarkStart w:id="82" w:name="_Toc20430"/>
      <w:bookmarkStart w:id="83" w:name="_Toc426457701"/>
      <w:bookmarkStart w:id="84" w:name="_Toc18471"/>
      <w:bookmarkStart w:id="85" w:name="_Toc403077649"/>
      <w:bookmarkStart w:id="86" w:name="_Toc15114"/>
      <w:bookmarkStart w:id="87" w:name="_Toc363474028"/>
      <w:r>
        <w:rPr>
          <w:rFonts w:hint="eastAsia"/>
          <w:sz w:val="32"/>
          <w:szCs w:val="32"/>
        </w:rPr>
        <w:t>二、法人代表授权书</w:t>
      </w:r>
      <w:bookmarkEnd w:id="80"/>
      <w:bookmarkEnd w:id="81"/>
      <w:bookmarkEnd w:id="82"/>
      <w:bookmarkEnd w:id="83"/>
      <w:bookmarkEnd w:id="84"/>
      <w:bookmarkEnd w:id="85"/>
      <w:bookmarkEnd w:id="86"/>
      <w:bookmarkEnd w:id="87"/>
    </w:p>
    <w:p>
      <w:pPr>
        <w:rPr>
          <w:b/>
          <w:bCs/>
          <w:szCs w:val="32"/>
        </w:rPr>
      </w:pPr>
      <w:r>
        <w:t xml:space="preserve">      </w:t>
      </w:r>
      <w:r>
        <w:rPr>
          <w:szCs w:val="32"/>
        </w:rPr>
        <w:t xml:space="preserve"> </w:t>
      </w:r>
    </w:p>
    <w:p>
      <w:pPr>
        <w:spacing w:line="560" w:lineRule="exact"/>
        <w:jc w:val="left"/>
        <w:rPr>
          <w:spacing w:val="4"/>
          <w:szCs w:val="24"/>
        </w:rPr>
      </w:pPr>
      <w:r>
        <w:rPr>
          <w:rFonts w:hint="eastAsia"/>
          <w:b/>
          <w:spacing w:val="4"/>
          <w:szCs w:val="24"/>
        </w:rPr>
        <w:t>致：采购人</w:t>
      </w:r>
      <w:r>
        <w:rPr>
          <w:b/>
          <w:spacing w:val="4"/>
          <w:szCs w:val="24"/>
        </w:rPr>
        <w:t>/</w:t>
      </w:r>
      <w:r>
        <w:rPr>
          <w:rFonts w:hint="eastAsia"/>
          <w:b/>
          <w:spacing w:val="4"/>
          <w:szCs w:val="24"/>
        </w:rPr>
        <w:t>采购代理机构</w:t>
      </w:r>
    </w:p>
    <w:p>
      <w:pPr>
        <w:spacing w:line="560" w:lineRule="exact"/>
        <w:ind w:firstLine="480" w:firstLineChars="200"/>
        <w:jc w:val="left"/>
        <w:rPr>
          <w:spacing w:val="4"/>
          <w:szCs w:val="24"/>
        </w:rPr>
      </w:pPr>
      <w:r>
        <w:rPr>
          <w:rFonts w:hint="eastAsia"/>
          <w:szCs w:val="24"/>
        </w:rPr>
        <w:t>本授权书声明：注册于（</w:t>
      </w:r>
      <w:r>
        <w:rPr>
          <w:szCs w:val="24"/>
          <w:u w:val="single"/>
        </w:rPr>
        <w:t xml:space="preserve"> </w:t>
      </w:r>
      <w:r>
        <w:rPr>
          <w:rFonts w:hint="eastAsia"/>
          <w:szCs w:val="24"/>
          <w:u w:val="single"/>
        </w:rPr>
        <w:t>工商行政管理局名称）之（委托单位全称）</w:t>
      </w:r>
      <w:r>
        <w:rPr>
          <w:szCs w:val="24"/>
          <w:u w:val="single"/>
        </w:rPr>
        <w:t xml:space="preserve"> </w:t>
      </w:r>
      <w:r>
        <w:rPr>
          <w:rFonts w:hint="eastAsia"/>
          <w:szCs w:val="24"/>
        </w:rPr>
        <w:t>的法定代表人</w:t>
      </w:r>
      <w:r>
        <w:rPr>
          <w:rFonts w:hint="eastAsia"/>
          <w:szCs w:val="24"/>
          <w:u w:val="single"/>
        </w:rPr>
        <w:t>（姓名、性别）</w:t>
      </w:r>
      <w:r>
        <w:rPr>
          <w:rFonts w:hint="eastAsia"/>
          <w:szCs w:val="24"/>
        </w:rPr>
        <w:t>授权</w:t>
      </w:r>
      <w:r>
        <w:rPr>
          <w:rFonts w:hint="eastAsia"/>
        </w:rPr>
        <w:t>本公司的</w:t>
      </w:r>
      <w:r>
        <w:rPr>
          <w:rFonts w:hint="eastAsia"/>
          <w:szCs w:val="24"/>
          <w:u w:val="single"/>
        </w:rPr>
        <w:t>（被授权人姓名、性别、职务）</w:t>
      </w:r>
      <w:r>
        <w:rPr>
          <w:rFonts w:hint="eastAsia"/>
          <w:szCs w:val="24"/>
        </w:rPr>
        <w:t>为合法代理人，就贵方组织的有关</w:t>
      </w:r>
      <w:r>
        <w:rPr>
          <w:rFonts w:hint="eastAsia"/>
          <w:szCs w:val="24"/>
          <w:u w:val="single"/>
        </w:rPr>
        <w:t>（招标项目名称）</w:t>
      </w:r>
      <w:r>
        <w:rPr>
          <w:rFonts w:hint="eastAsia"/>
          <w:szCs w:val="24"/>
        </w:rPr>
        <w:t>（项目编号：</w:t>
      </w:r>
      <w:r>
        <w:rPr>
          <w:szCs w:val="24"/>
          <w:u w:val="single"/>
        </w:rPr>
        <w:t xml:space="preserve">                 </w:t>
      </w:r>
      <w:r>
        <w:rPr>
          <w:rFonts w:hint="eastAsia"/>
          <w:szCs w:val="24"/>
        </w:rPr>
        <w:t>）的投标、洽谈、执行等具体事务，签署全部有关投标文件、文书、协议、合同，本公司对被授权人在本项目中的签名承担全部法律责任。</w:t>
      </w:r>
      <w:r>
        <w:rPr>
          <w:rFonts w:hint="eastAsia"/>
          <w:spacing w:val="4"/>
          <w:szCs w:val="24"/>
        </w:rPr>
        <w:t>我公司对被授权人的签名负全部责任。</w:t>
      </w:r>
    </w:p>
    <w:p>
      <w:pPr>
        <w:spacing w:line="560" w:lineRule="exact"/>
        <w:ind w:firstLine="480" w:firstLineChars="200"/>
        <w:jc w:val="left"/>
        <w:rPr>
          <w:szCs w:val="24"/>
        </w:rPr>
      </w:pPr>
      <w:r>
        <w:rPr>
          <w:rFonts w:hint="eastAsia"/>
          <w:szCs w:val="24"/>
        </w:rPr>
        <w:t>本授权书自开标大会之日起计算有效期为</w:t>
      </w:r>
      <w:r>
        <w:rPr>
          <w:szCs w:val="24"/>
        </w:rPr>
        <w:t xml:space="preserve">    </w:t>
      </w:r>
      <w:r>
        <w:rPr>
          <w:rFonts w:hint="eastAsia"/>
          <w:szCs w:val="24"/>
        </w:rPr>
        <w:t>天。</w:t>
      </w:r>
    </w:p>
    <w:tbl>
      <w:tblPr>
        <w:tblStyle w:val="21"/>
        <w:tblW w:w="84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3"/>
        <w:gridCol w:w="4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54" w:hRule="atLeast"/>
          <w:jc w:val="center"/>
        </w:trPr>
        <w:tc>
          <w:tcPr>
            <w:tcW w:w="4213" w:type="dxa"/>
            <w:shd w:val="clear" w:color="auto" w:fill="E0E0E0"/>
            <w:vAlign w:val="center"/>
          </w:tcPr>
          <w:p>
            <w:pPr>
              <w:pStyle w:val="12"/>
              <w:snapToGrid w:val="0"/>
              <w:spacing w:line="500" w:lineRule="exact"/>
              <w:jc w:val="center"/>
              <w:rPr>
                <w:rFonts w:hAnsi="宋体"/>
                <w:szCs w:val="24"/>
                <w:shd w:val="pct10" w:color="auto" w:fill="FFFFFF"/>
              </w:rPr>
            </w:pPr>
            <w:r>
              <w:rPr>
                <w:rFonts w:hint="eastAsia" w:hAnsi="宋体"/>
                <w:szCs w:val="24"/>
                <w:shd w:val="pct10" w:color="auto" w:fill="FFFFFF"/>
              </w:rPr>
              <w:t>法定代表人身份证复印件（</w:t>
            </w:r>
            <w:r>
              <w:rPr>
                <w:rFonts w:hint="eastAsia" w:hAnsi="宋体" w:cs="Arial"/>
              </w:rPr>
              <w:t>粘贴处</w:t>
            </w:r>
            <w:r>
              <w:rPr>
                <w:rFonts w:hint="eastAsia" w:hAnsi="宋体"/>
                <w:szCs w:val="24"/>
                <w:shd w:val="pct10" w:color="auto" w:fill="FFFFFF"/>
              </w:rPr>
              <w:t>）</w:t>
            </w:r>
          </w:p>
        </w:tc>
        <w:tc>
          <w:tcPr>
            <w:tcW w:w="4213" w:type="dxa"/>
            <w:shd w:val="clear" w:color="auto" w:fill="E0E0E0"/>
            <w:vAlign w:val="center"/>
          </w:tcPr>
          <w:p>
            <w:pPr>
              <w:pStyle w:val="12"/>
              <w:snapToGrid w:val="0"/>
              <w:spacing w:line="500" w:lineRule="exact"/>
              <w:jc w:val="center"/>
              <w:rPr>
                <w:rFonts w:hAnsi="宋体"/>
                <w:szCs w:val="24"/>
                <w:shd w:val="pct10" w:color="auto" w:fill="FFFFFF"/>
              </w:rPr>
            </w:pPr>
            <w:r>
              <w:rPr>
                <w:rFonts w:hint="eastAsia" w:hAnsi="宋体"/>
                <w:szCs w:val="24"/>
                <w:shd w:val="pct10" w:color="auto" w:fill="FFFFFF"/>
              </w:rPr>
              <w:t>被授权人身份证复印件（</w:t>
            </w:r>
            <w:r>
              <w:rPr>
                <w:rFonts w:hint="eastAsia" w:hAnsi="宋体" w:cs="Arial"/>
              </w:rPr>
              <w:t>粘贴处</w:t>
            </w:r>
            <w:r>
              <w:rPr>
                <w:rFonts w:hint="eastAsia" w:hAnsi="宋体"/>
                <w:szCs w:val="24"/>
                <w:shd w:val="pct10"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2" w:hRule="atLeast"/>
          <w:jc w:val="center"/>
        </w:trPr>
        <w:tc>
          <w:tcPr>
            <w:tcW w:w="4213" w:type="dxa"/>
            <w:shd w:val="clear" w:color="auto" w:fill="E0E0E0"/>
            <w:vAlign w:val="center"/>
          </w:tcPr>
          <w:p>
            <w:pPr>
              <w:pStyle w:val="12"/>
              <w:snapToGrid w:val="0"/>
              <w:spacing w:line="500" w:lineRule="exact"/>
              <w:jc w:val="center"/>
              <w:rPr>
                <w:rFonts w:hAnsi="宋体"/>
                <w:szCs w:val="24"/>
                <w:shd w:val="pct10" w:color="auto" w:fill="FFFFFF"/>
              </w:rPr>
            </w:pPr>
            <w:r>
              <w:rPr>
                <w:rFonts w:hint="eastAsia" w:hAnsi="宋体"/>
                <w:szCs w:val="24"/>
                <w:shd w:val="pct10" w:color="auto" w:fill="FFFFFF"/>
              </w:rPr>
              <w:t>法定代表人身份证复印件（</w:t>
            </w:r>
            <w:r>
              <w:rPr>
                <w:rFonts w:hint="eastAsia" w:hAnsi="宋体" w:cs="Arial"/>
              </w:rPr>
              <w:t>粘贴处</w:t>
            </w:r>
            <w:r>
              <w:rPr>
                <w:rFonts w:hint="eastAsia" w:hAnsi="宋体"/>
                <w:szCs w:val="24"/>
                <w:shd w:val="pct10" w:color="auto" w:fill="FFFFFF"/>
              </w:rPr>
              <w:t>）</w:t>
            </w:r>
          </w:p>
        </w:tc>
        <w:tc>
          <w:tcPr>
            <w:tcW w:w="4213" w:type="dxa"/>
            <w:shd w:val="clear" w:color="auto" w:fill="E0E0E0"/>
            <w:vAlign w:val="center"/>
          </w:tcPr>
          <w:p>
            <w:pPr>
              <w:pStyle w:val="12"/>
              <w:snapToGrid w:val="0"/>
              <w:spacing w:line="500" w:lineRule="exact"/>
              <w:jc w:val="center"/>
              <w:rPr>
                <w:rFonts w:hAnsi="宋体"/>
                <w:szCs w:val="24"/>
                <w:shd w:val="pct10" w:color="auto" w:fill="FFFFFF"/>
              </w:rPr>
            </w:pPr>
            <w:r>
              <w:rPr>
                <w:rFonts w:hint="eastAsia" w:hAnsi="宋体"/>
                <w:szCs w:val="24"/>
                <w:shd w:val="pct10" w:color="auto" w:fill="FFFFFF"/>
              </w:rPr>
              <w:t>被授权人身份证复印件（</w:t>
            </w:r>
            <w:r>
              <w:rPr>
                <w:rFonts w:hint="eastAsia" w:hAnsi="宋体" w:cs="Arial"/>
              </w:rPr>
              <w:t>粘贴处</w:t>
            </w:r>
            <w:r>
              <w:rPr>
                <w:rFonts w:hint="eastAsia" w:hAnsi="宋体"/>
                <w:szCs w:val="24"/>
                <w:shd w:val="pct10" w:color="auto" w:fill="FFFFFF"/>
              </w:rPr>
              <w:t>）</w:t>
            </w:r>
          </w:p>
        </w:tc>
      </w:tr>
    </w:tbl>
    <w:p>
      <w:pPr>
        <w:pStyle w:val="12"/>
        <w:spacing w:line="500" w:lineRule="exact"/>
        <w:ind w:firstLine="960" w:firstLineChars="400"/>
        <w:rPr>
          <w:rFonts w:hAnsi="宋体"/>
          <w:szCs w:val="24"/>
        </w:rPr>
      </w:pPr>
      <w:bookmarkStart w:id="88" w:name="_Toc4146"/>
      <w:bookmarkStart w:id="89" w:name="_Toc283035117"/>
      <w:bookmarkStart w:id="90" w:name="_Toc283035204"/>
      <w:bookmarkStart w:id="91" w:name="_Toc282530019"/>
      <w:bookmarkStart w:id="92" w:name="_Toc19169"/>
      <w:bookmarkStart w:id="93" w:name="_Toc283035600"/>
      <w:bookmarkStart w:id="94" w:name="_Toc324414285"/>
      <w:bookmarkStart w:id="95" w:name="_Toc24298"/>
      <w:bookmarkStart w:id="96" w:name="_Toc25246"/>
      <w:bookmarkStart w:id="97" w:name="_Toc363474029"/>
      <w:bookmarkStart w:id="98" w:name="_Toc16920"/>
      <w:bookmarkStart w:id="99" w:name="_Toc22382"/>
      <w:bookmarkStart w:id="100" w:name="_Toc426457702"/>
      <w:bookmarkStart w:id="101" w:name="_Toc403077650"/>
      <w:bookmarkStart w:id="102" w:name="_Toc4873"/>
      <w:r>
        <w:rPr>
          <w:rFonts w:hint="eastAsia" w:hAnsi="宋体"/>
          <w:szCs w:val="24"/>
        </w:rPr>
        <w:t>委托单位（公章）：</w:t>
      </w:r>
      <w:r>
        <w:rPr>
          <w:rFonts w:hAnsi="宋体"/>
          <w:szCs w:val="24"/>
          <w:u w:val="single"/>
        </w:rPr>
        <w:t xml:space="preserve">                 </w:t>
      </w:r>
      <w:r>
        <w:rPr>
          <w:rFonts w:hAnsi="宋体"/>
          <w:szCs w:val="24"/>
        </w:rPr>
        <w:t xml:space="preserve">    </w:t>
      </w:r>
    </w:p>
    <w:p>
      <w:pPr>
        <w:pStyle w:val="12"/>
        <w:spacing w:line="500" w:lineRule="exact"/>
        <w:ind w:firstLine="960" w:firstLineChars="400"/>
        <w:rPr>
          <w:rFonts w:hAnsi="宋体"/>
          <w:szCs w:val="24"/>
        </w:rPr>
      </w:pPr>
      <w:r>
        <w:rPr>
          <w:rFonts w:hint="eastAsia" w:hAnsi="宋体"/>
          <w:szCs w:val="24"/>
        </w:rPr>
        <w:t>法定代表人（签字或盖章）：</w:t>
      </w:r>
      <w:r>
        <w:rPr>
          <w:rFonts w:hAnsi="宋体"/>
          <w:szCs w:val="24"/>
          <w:u w:val="single"/>
        </w:rPr>
        <w:t xml:space="preserve">              </w:t>
      </w:r>
    </w:p>
    <w:p>
      <w:pPr>
        <w:pStyle w:val="12"/>
        <w:spacing w:line="500" w:lineRule="exact"/>
        <w:ind w:firstLine="960" w:firstLineChars="400"/>
        <w:rPr>
          <w:rFonts w:hAnsi="宋体"/>
          <w:szCs w:val="24"/>
        </w:rPr>
      </w:pPr>
      <w:r>
        <w:rPr>
          <w:rFonts w:hint="eastAsia" w:hAnsi="宋体"/>
          <w:szCs w:val="24"/>
        </w:rPr>
        <w:t>被授权人（签字）：</w:t>
      </w:r>
      <w:r>
        <w:rPr>
          <w:rFonts w:hAnsi="宋体"/>
          <w:szCs w:val="24"/>
          <w:u w:val="single"/>
        </w:rPr>
        <w:t xml:space="preserve">             </w:t>
      </w:r>
      <w:r>
        <w:rPr>
          <w:rFonts w:hint="eastAsia" w:hAnsi="宋体"/>
          <w:szCs w:val="24"/>
        </w:rPr>
        <w:t>性别：</w:t>
      </w:r>
      <w:r>
        <w:rPr>
          <w:rFonts w:hAnsi="宋体"/>
          <w:szCs w:val="24"/>
          <w:u w:val="single"/>
        </w:rPr>
        <w:t xml:space="preserve">            </w:t>
      </w:r>
      <w:r>
        <w:rPr>
          <w:rFonts w:hint="eastAsia" w:hAnsi="宋体"/>
          <w:szCs w:val="24"/>
        </w:rPr>
        <w:t>职务：</w:t>
      </w:r>
      <w:r>
        <w:rPr>
          <w:rFonts w:hAnsi="宋体"/>
          <w:szCs w:val="24"/>
          <w:u w:val="single"/>
        </w:rPr>
        <w:t xml:space="preserve">           </w:t>
      </w:r>
    </w:p>
    <w:p>
      <w:pPr>
        <w:pStyle w:val="12"/>
        <w:spacing w:line="500" w:lineRule="exact"/>
        <w:ind w:firstLine="960" w:firstLineChars="400"/>
        <w:rPr>
          <w:rFonts w:hAnsi="宋体"/>
          <w:szCs w:val="24"/>
          <w:u w:val="single"/>
        </w:rPr>
      </w:pPr>
      <w:r>
        <w:rPr>
          <w:rFonts w:hint="eastAsia" w:hAnsi="宋体"/>
          <w:szCs w:val="24"/>
        </w:rPr>
        <w:t>联系地址：</w:t>
      </w:r>
      <w:r>
        <w:rPr>
          <w:rFonts w:hAnsi="宋体"/>
          <w:szCs w:val="24"/>
          <w:u w:val="single"/>
        </w:rPr>
        <w:t xml:space="preserve">                                                       </w:t>
      </w:r>
    </w:p>
    <w:p>
      <w:pPr>
        <w:pStyle w:val="12"/>
        <w:spacing w:line="500" w:lineRule="exact"/>
        <w:ind w:firstLine="960" w:firstLineChars="400"/>
        <w:rPr>
          <w:rFonts w:hAnsi="宋体"/>
          <w:szCs w:val="24"/>
          <w:u w:val="single"/>
        </w:rPr>
      </w:pPr>
      <w:r>
        <w:rPr>
          <w:rFonts w:hint="eastAsia" w:hAnsi="宋体"/>
          <w:szCs w:val="24"/>
        </w:rPr>
        <w:t>联系电话：</w:t>
      </w:r>
      <w:r>
        <w:rPr>
          <w:rFonts w:hAnsi="宋体"/>
          <w:szCs w:val="24"/>
          <w:u w:val="single"/>
        </w:rPr>
        <w:t xml:space="preserve">                      </w:t>
      </w:r>
      <w:r>
        <w:rPr>
          <w:rFonts w:hint="eastAsia" w:hAnsi="宋体"/>
          <w:szCs w:val="24"/>
        </w:rPr>
        <w:t>传真：</w:t>
      </w:r>
      <w:r>
        <w:rPr>
          <w:rFonts w:hAnsi="宋体"/>
          <w:szCs w:val="24"/>
          <w:u w:val="single"/>
        </w:rPr>
        <w:t xml:space="preserve">                           </w:t>
      </w:r>
    </w:p>
    <w:p>
      <w:pPr>
        <w:pStyle w:val="5"/>
        <w:spacing w:before="312" w:beforeLines="100"/>
        <w:rPr>
          <w:sz w:val="32"/>
          <w:szCs w:val="32"/>
        </w:rPr>
      </w:pPr>
      <w:r>
        <w:rPr>
          <w:rFonts w:hint="eastAsia"/>
          <w:sz w:val="32"/>
          <w:szCs w:val="32"/>
        </w:rPr>
        <w:t>三、</w:t>
      </w:r>
      <w:bookmarkEnd w:id="88"/>
      <w:bookmarkEnd w:id="89"/>
      <w:bookmarkEnd w:id="90"/>
      <w:bookmarkEnd w:id="91"/>
      <w:bookmarkEnd w:id="92"/>
      <w:bookmarkEnd w:id="93"/>
      <w:r>
        <w:rPr>
          <w:rFonts w:hint="eastAsia"/>
          <w:sz w:val="32"/>
          <w:szCs w:val="32"/>
        </w:rPr>
        <w:t>磋商保证金</w:t>
      </w:r>
      <w:bookmarkEnd w:id="94"/>
      <w:bookmarkEnd w:id="95"/>
      <w:bookmarkEnd w:id="96"/>
      <w:bookmarkEnd w:id="97"/>
      <w:bookmarkEnd w:id="98"/>
      <w:bookmarkEnd w:id="99"/>
      <w:bookmarkEnd w:id="100"/>
      <w:bookmarkEnd w:id="101"/>
      <w:bookmarkEnd w:id="102"/>
    </w:p>
    <w:p/>
    <w:p/>
    <w:p>
      <w:pPr>
        <w:rPr>
          <w:b/>
          <w:sz w:val="28"/>
          <w:szCs w:val="28"/>
          <w:u w:val="single"/>
        </w:rPr>
      </w:pPr>
    </w:p>
    <w:p>
      <w:pPr>
        <w:spacing w:before="312" w:beforeLines="100"/>
        <w:ind w:firstLine="1265" w:firstLineChars="450"/>
        <w:rPr>
          <w:b/>
          <w:sz w:val="28"/>
          <w:szCs w:val="28"/>
          <w:u w:val="single"/>
        </w:rPr>
      </w:pPr>
      <w:bookmarkStart w:id="103" w:name="_Toc403077651"/>
      <w:bookmarkStart w:id="104" w:name="_Toc363474030"/>
      <w:r>
        <w:rPr>
          <w:rFonts w:hint="eastAsia"/>
          <w:b/>
          <w:sz w:val="28"/>
          <w:szCs w:val="28"/>
          <w:u w:val="single"/>
        </w:rPr>
        <w:t>本页附磋商保证金缴纳凭证复印件或投标保函复印件</w:t>
      </w:r>
      <w:bookmarkStart w:id="105" w:name="_Toc426457703"/>
    </w:p>
    <w:p>
      <w:pPr>
        <w:spacing w:before="312" w:beforeLines="100"/>
        <w:rPr>
          <w:b/>
          <w:sz w:val="28"/>
          <w:szCs w:val="28"/>
          <w:u w:val="single"/>
        </w:rPr>
      </w:pPr>
    </w:p>
    <w:p>
      <w:pPr>
        <w:spacing w:before="312" w:beforeLines="100"/>
        <w:rPr>
          <w:b/>
          <w:sz w:val="28"/>
          <w:szCs w:val="28"/>
          <w:u w:val="single"/>
        </w:rPr>
      </w:pPr>
    </w:p>
    <w:p>
      <w:pPr>
        <w:spacing w:before="312" w:beforeLines="100"/>
        <w:rPr>
          <w:b/>
          <w:sz w:val="28"/>
          <w:szCs w:val="28"/>
          <w:u w:val="single"/>
        </w:rPr>
      </w:pPr>
    </w:p>
    <w:p>
      <w:pPr>
        <w:spacing w:before="312" w:beforeLines="100"/>
        <w:rPr>
          <w:b/>
          <w:sz w:val="28"/>
          <w:szCs w:val="28"/>
          <w:u w:val="single"/>
        </w:rPr>
      </w:pPr>
    </w:p>
    <w:p>
      <w:pPr>
        <w:spacing w:before="312" w:beforeLines="100"/>
        <w:rPr>
          <w:b/>
          <w:sz w:val="28"/>
          <w:szCs w:val="28"/>
          <w:u w:val="single"/>
        </w:rPr>
      </w:pPr>
    </w:p>
    <w:p>
      <w:pPr>
        <w:spacing w:before="312" w:beforeLines="100"/>
        <w:rPr>
          <w:b/>
          <w:sz w:val="28"/>
          <w:szCs w:val="28"/>
          <w:u w:val="single"/>
        </w:rPr>
      </w:pPr>
    </w:p>
    <w:p>
      <w:pPr>
        <w:spacing w:before="312" w:beforeLines="100"/>
        <w:rPr>
          <w:b/>
          <w:sz w:val="28"/>
          <w:szCs w:val="28"/>
          <w:u w:val="single"/>
        </w:rPr>
      </w:pPr>
    </w:p>
    <w:p>
      <w:pPr>
        <w:spacing w:before="312" w:beforeLines="100"/>
        <w:rPr>
          <w:b/>
          <w:sz w:val="28"/>
          <w:szCs w:val="28"/>
          <w:u w:val="single"/>
        </w:rPr>
      </w:pPr>
    </w:p>
    <w:p>
      <w:pPr>
        <w:spacing w:before="312" w:beforeLines="100"/>
        <w:rPr>
          <w:b/>
          <w:sz w:val="28"/>
          <w:szCs w:val="28"/>
          <w:u w:val="single"/>
        </w:rPr>
      </w:pPr>
    </w:p>
    <w:p>
      <w:pPr>
        <w:spacing w:before="312" w:beforeLines="100"/>
        <w:rPr>
          <w:b/>
          <w:sz w:val="28"/>
          <w:szCs w:val="28"/>
          <w:u w:val="single"/>
        </w:rPr>
      </w:pPr>
    </w:p>
    <w:p>
      <w:pPr>
        <w:spacing w:before="312" w:beforeLines="100"/>
        <w:rPr>
          <w:b/>
          <w:sz w:val="28"/>
          <w:szCs w:val="28"/>
          <w:u w:val="single"/>
        </w:rPr>
      </w:pPr>
    </w:p>
    <w:p>
      <w:pPr>
        <w:spacing w:before="312" w:beforeLines="100"/>
        <w:rPr>
          <w:b/>
          <w:sz w:val="28"/>
          <w:szCs w:val="28"/>
          <w:u w:val="single"/>
        </w:rPr>
      </w:pPr>
    </w:p>
    <w:p>
      <w:pPr>
        <w:spacing w:before="312" w:beforeLines="100"/>
        <w:jc w:val="center"/>
        <w:outlineLvl w:val="2"/>
        <w:rPr>
          <w:b/>
          <w:bCs/>
          <w:sz w:val="32"/>
          <w:szCs w:val="32"/>
        </w:rPr>
      </w:pPr>
      <w:bookmarkStart w:id="106" w:name="_Toc21934"/>
      <w:bookmarkStart w:id="107" w:name="_Toc18650"/>
      <w:bookmarkStart w:id="108" w:name="_Toc4311"/>
      <w:bookmarkStart w:id="109" w:name="_Toc27268"/>
      <w:bookmarkStart w:id="110" w:name="_Toc27664"/>
      <w:r>
        <w:rPr>
          <w:rFonts w:hint="eastAsia"/>
          <w:b/>
          <w:bCs/>
          <w:sz w:val="32"/>
          <w:szCs w:val="32"/>
        </w:rPr>
        <w:t>四、磋商报价表</w:t>
      </w:r>
      <w:bookmarkEnd w:id="103"/>
      <w:bookmarkEnd w:id="104"/>
      <w:bookmarkEnd w:id="105"/>
      <w:bookmarkEnd w:id="106"/>
      <w:bookmarkEnd w:id="107"/>
      <w:bookmarkEnd w:id="108"/>
      <w:bookmarkEnd w:id="109"/>
      <w:bookmarkEnd w:id="110"/>
    </w:p>
    <w:p>
      <w:pPr>
        <w:jc w:val="center"/>
        <w:rPr>
          <w:b/>
          <w:sz w:val="30"/>
          <w:szCs w:val="30"/>
        </w:rPr>
      </w:pPr>
      <w:r>
        <w:rPr>
          <w:b/>
          <w:sz w:val="30"/>
          <w:szCs w:val="30"/>
        </w:rPr>
        <w:t>4.1</w:t>
      </w:r>
      <w:r>
        <w:rPr>
          <w:rFonts w:hint="eastAsia"/>
          <w:b/>
          <w:sz w:val="30"/>
          <w:szCs w:val="30"/>
        </w:rPr>
        <w:t>磋商一览表</w:t>
      </w:r>
    </w:p>
    <w:p>
      <w:pPr>
        <w:jc w:val="left"/>
        <w:rPr>
          <w:bCs/>
          <w:szCs w:val="24"/>
        </w:rPr>
      </w:pPr>
      <w:r>
        <w:rPr>
          <w:rFonts w:hint="eastAsia"/>
          <w:bCs/>
          <w:szCs w:val="24"/>
        </w:rPr>
        <w:t>项目名称：</w:t>
      </w:r>
    </w:p>
    <w:p>
      <w:pPr>
        <w:jc w:val="left"/>
        <w:rPr>
          <w:bCs/>
          <w:szCs w:val="24"/>
        </w:rPr>
      </w:pPr>
      <w:r>
        <w:rPr>
          <w:rFonts w:hint="eastAsia"/>
          <w:bCs/>
          <w:szCs w:val="24"/>
        </w:rPr>
        <w:t>项目编号：</w:t>
      </w:r>
    </w:p>
    <w:tbl>
      <w:tblPr>
        <w:tblStyle w:val="21"/>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1"/>
        <w:gridCol w:w="2835"/>
        <w:gridCol w:w="26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6" w:hRule="atLeast"/>
          <w:jc w:val="center"/>
        </w:trPr>
        <w:tc>
          <w:tcPr>
            <w:tcW w:w="4501" w:type="dxa"/>
            <w:vAlign w:val="center"/>
          </w:tcPr>
          <w:p>
            <w:pPr>
              <w:jc w:val="center"/>
              <w:rPr>
                <w:szCs w:val="24"/>
              </w:rPr>
            </w:pPr>
            <w:r>
              <w:rPr>
                <w:rFonts w:hint="eastAsia"/>
                <w:szCs w:val="24"/>
              </w:rPr>
              <w:t>投标总报价</w:t>
            </w:r>
          </w:p>
          <w:p>
            <w:pPr>
              <w:jc w:val="center"/>
              <w:rPr>
                <w:szCs w:val="24"/>
              </w:rPr>
            </w:pPr>
            <w:r>
              <w:t>(</w:t>
            </w:r>
            <w:r>
              <w:rPr>
                <w:rFonts w:hint="eastAsia"/>
              </w:rPr>
              <w:t>元</w:t>
            </w:r>
            <w:r>
              <w:t>)</w:t>
            </w:r>
          </w:p>
        </w:tc>
        <w:tc>
          <w:tcPr>
            <w:tcW w:w="2835" w:type="dxa"/>
            <w:vAlign w:val="center"/>
          </w:tcPr>
          <w:p>
            <w:pPr>
              <w:jc w:val="center"/>
              <w:rPr>
                <w:szCs w:val="24"/>
              </w:rPr>
            </w:pPr>
            <w:r>
              <w:rPr>
                <w:rFonts w:hint="eastAsia"/>
                <w:szCs w:val="24"/>
              </w:rPr>
              <w:t>保证金</w:t>
            </w:r>
            <w:r>
              <w:rPr>
                <w:szCs w:val="24"/>
              </w:rPr>
              <w:t>/</w:t>
            </w:r>
            <w:r>
              <w:rPr>
                <w:rFonts w:hint="eastAsia"/>
                <w:szCs w:val="24"/>
              </w:rPr>
              <w:t>保函</w:t>
            </w:r>
          </w:p>
          <w:p>
            <w:pPr>
              <w:jc w:val="center"/>
              <w:rPr>
                <w:szCs w:val="24"/>
              </w:rPr>
            </w:pPr>
            <w:r>
              <w:rPr>
                <w:rFonts w:hint="eastAsia"/>
                <w:szCs w:val="24"/>
              </w:rPr>
              <w:t>（有</w:t>
            </w:r>
            <w:r>
              <w:rPr>
                <w:szCs w:val="24"/>
              </w:rPr>
              <w:t>/</w:t>
            </w:r>
            <w:r>
              <w:rPr>
                <w:rFonts w:hint="eastAsia"/>
                <w:szCs w:val="24"/>
              </w:rPr>
              <w:t>无）</w:t>
            </w:r>
          </w:p>
        </w:tc>
        <w:tc>
          <w:tcPr>
            <w:tcW w:w="2626" w:type="dxa"/>
            <w:vAlign w:val="center"/>
          </w:tcPr>
          <w:p>
            <w:pPr>
              <w:jc w:val="center"/>
              <w:rPr>
                <w:szCs w:val="24"/>
              </w:rPr>
            </w:pPr>
            <w:r>
              <w:rPr>
                <w:rFonts w:hint="eastAsia"/>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jc w:val="center"/>
        </w:trPr>
        <w:tc>
          <w:tcPr>
            <w:tcW w:w="4501" w:type="dxa"/>
            <w:vAlign w:val="center"/>
          </w:tcPr>
          <w:p>
            <w:pPr>
              <w:jc w:val="center"/>
              <w:rPr>
                <w:szCs w:val="24"/>
              </w:rPr>
            </w:pPr>
          </w:p>
        </w:tc>
        <w:tc>
          <w:tcPr>
            <w:tcW w:w="2835" w:type="dxa"/>
            <w:vAlign w:val="center"/>
          </w:tcPr>
          <w:p>
            <w:pPr>
              <w:jc w:val="center"/>
              <w:rPr>
                <w:szCs w:val="24"/>
              </w:rPr>
            </w:pPr>
          </w:p>
        </w:tc>
        <w:tc>
          <w:tcPr>
            <w:tcW w:w="2626" w:type="dxa"/>
          </w:tcPr>
          <w:p>
            <w:pPr>
              <w:jc w:val="center"/>
              <w:rPr>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jc w:val="center"/>
        </w:trPr>
        <w:tc>
          <w:tcPr>
            <w:tcW w:w="9962" w:type="dxa"/>
            <w:gridSpan w:val="3"/>
            <w:vAlign w:val="center"/>
          </w:tcPr>
          <w:p>
            <w:pPr>
              <w:spacing w:line="500" w:lineRule="exact"/>
              <w:rPr>
                <w:szCs w:val="24"/>
              </w:rPr>
            </w:pPr>
            <w:r>
              <w:rPr>
                <w:rFonts w:hint="eastAsia"/>
              </w:rPr>
              <w:t>投标总报价：人民币（大写）</w:t>
            </w:r>
            <w:r>
              <w:t xml:space="preserve">                           </w:t>
            </w:r>
            <w:r>
              <w:rPr>
                <w:rFonts w:hint="eastAsia"/>
              </w:rPr>
              <w:t>￥</w:t>
            </w:r>
            <w:r>
              <w:t xml:space="preserve">        </w:t>
            </w:r>
            <w:r>
              <w:rPr>
                <w:rFonts w:hint="eastAsia"/>
                <w:b/>
                <w:bCs/>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jc w:val="center"/>
        </w:trPr>
        <w:tc>
          <w:tcPr>
            <w:tcW w:w="9962" w:type="dxa"/>
            <w:gridSpan w:val="3"/>
            <w:vAlign w:val="center"/>
          </w:tcPr>
          <w:p>
            <w:pPr>
              <w:spacing w:line="500" w:lineRule="exact"/>
              <w:rPr>
                <w:szCs w:val="24"/>
              </w:rPr>
            </w:pPr>
            <w:r>
              <w:rPr>
                <w:rFonts w:hint="eastAsia"/>
              </w:rPr>
              <w:t>备注：表内报价内容以</w:t>
            </w:r>
            <w:r>
              <w:rPr>
                <w:rFonts w:hint="eastAsia"/>
                <w:b/>
                <w:bCs/>
              </w:rPr>
              <w:t>元</w:t>
            </w:r>
            <w:r>
              <w:rPr>
                <w:rFonts w:hint="eastAsia"/>
              </w:rPr>
              <w:t>为单位。</w:t>
            </w:r>
          </w:p>
        </w:tc>
      </w:tr>
    </w:tbl>
    <w:p>
      <w:pPr>
        <w:tabs>
          <w:tab w:val="left" w:pos="7200"/>
          <w:tab w:val="left" w:pos="8504"/>
        </w:tabs>
        <w:spacing w:line="360" w:lineRule="auto"/>
        <w:ind w:right="-1"/>
      </w:pPr>
    </w:p>
    <w:p>
      <w:pPr>
        <w:spacing w:line="120" w:lineRule="exact"/>
      </w:pPr>
    </w:p>
    <w:p>
      <w:pPr>
        <w:spacing w:line="480" w:lineRule="auto"/>
        <w:ind w:right="617" w:rightChars="257"/>
        <w:jc w:val="left"/>
      </w:pPr>
      <w:r>
        <w:rPr>
          <w:rFonts w:hint="eastAsia"/>
        </w:rPr>
        <w:t>供应商名称：</w:t>
      </w:r>
      <w:r>
        <w:rPr>
          <w:u w:val="single"/>
        </w:rPr>
        <w:t xml:space="preserve">      </w:t>
      </w:r>
      <w:r>
        <w:rPr>
          <w:rFonts w:hint="eastAsia"/>
          <w:u w:val="single"/>
        </w:rPr>
        <w:t>（加盖单位公章）</w:t>
      </w:r>
      <w:r>
        <w:rPr>
          <w:u w:val="single"/>
        </w:rPr>
        <w:t xml:space="preserve">      </w:t>
      </w:r>
    </w:p>
    <w:p>
      <w:pPr>
        <w:spacing w:line="480" w:lineRule="auto"/>
        <w:ind w:right="617" w:rightChars="257"/>
        <w:jc w:val="left"/>
      </w:pPr>
    </w:p>
    <w:p>
      <w:pPr>
        <w:spacing w:line="480" w:lineRule="auto"/>
        <w:ind w:right="617" w:rightChars="257"/>
        <w:jc w:val="left"/>
      </w:pPr>
      <w:r>
        <w:rPr>
          <w:rFonts w:hint="eastAsia"/>
        </w:rPr>
        <w:t>法定代表人签字或盖章：</w:t>
      </w:r>
    </w:p>
    <w:p>
      <w:pPr>
        <w:spacing w:line="480" w:lineRule="auto"/>
        <w:ind w:right="617" w:rightChars="257"/>
        <w:jc w:val="left"/>
      </w:pPr>
    </w:p>
    <w:p>
      <w:pPr>
        <w:spacing w:line="480" w:lineRule="auto"/>
        <w:ind w:right="617" w:rightChars="257"/>
      </w:pPr>
      <w:r>
        <w:rPr>
          <w:rFonts w:hint="eastAsia"/>
        </w:rPr>
        <w:t>日</w:t>
      </w:r>
      <w:r>
        <w:t xml:space="preserve">    </w:t>
      </w:r>
      <w:r>
        <w:rPr>
          <w:rFonts w:hint="eastAsia"/>
        </w:rPr>
        <w:t>期：</w:t>
      </w:r>
    </w:p>
    <w:p>
      <w:pPr>
        <w:adjustRightInd w:val="0"/>
        <w:snapToGrid w:val="0"/>
        <w:spacing w:line="440" w:lineRule="exact"/>
        <w:jc w:val="left"/>
      </w:pPr>
      <w:r>
        <w:br w:type="page"/>
      </w:r>
      <w:bookmarkStart w:id="111" w:name="_Toc25601"/>
      <w:bookmarkStart w:id="112" w:name="_Toc31649"/>
      <w:bookmarkStart w:id="113" w:name="_Toc9206"/>
      <w:bookmarkStart w:id="114" w:name="_Toc8513"/>
      <w:bookmarkStart w:id="115" w:name="_Toc15012"/>
    </w:p>
    <w:p>
      <w:pPr>
        <w:pStyle w:val="5"/>
        <w:spacing w:before="312" w:beforeLines="100"/>
        <w:rPr>
          <w:b w:val="0"/>
        </w:rPr>
      </w:pPr>
      <w:r>
        <w:rPr>
          <w:rFonts w:hint="eastAsia"/>
          <w:sz w:val="32"/>
          <w:szCs w:val="32"/>
        </w:rPr>
        <w:t>五、磋商方案说明书</w:t>
      </w:r>
      <w:bookmarkEnd w:id="111"/>
      <w:bookmarkEnd w:id="112"/>
      <w:bookmarkEnd w:id="113"/>
      <w:bookmarkEnd w:id="114"/>
      <w:bookmarkEnd w:id="115"/>
      <w:r>
        <w:rPr>
          <w:rFonts w:hint="eastAsia"/>
          <w:sz w:val="32"/>
          <w:szCs w:val="32"/>
        </w:rPr>
        <w:t>（格式自拟）</w:t>
      </w:r>
    </w:p>
    <w:p>
      <w:pPr>
        <w:spacing w:after="120" w:line="440" w:lineRule="exact"/>
        <w:rPr>
          <w:b/>
          <w:szCs w:val="24"/>
        </w:rPr>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257175</wp:posOffset>
                </wp:positionV>
                <wp:extent cx="5867400" cy="0"/>
                <wp:effectExtent l="0" t="0" r="0" b="0"/>
                <wp:wrapNone/>
                <wp:docPr id="6" name="直线 6"/>
                <wp:cNvGraphicFramePr/>
                <a:graphic xmlns:a="http://schemas.openxmlformats.org/drawingml/2006/main">
                  <a:graphicData uri="http://schemas.microsoft.com/office/word/2010/wordprocessingShape">
                    <wps:wsp>
                      <wps:cNvCnPr/>
                      <wps:spPr>
                        <a:xfrm>
                          <a:off x="0" y="0"/>
                          <a:ext cx="58674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6" o:spid="_x0000_s1026" o:spt="20" style="position:absolute;left:0pt;margin-left:0pt;margin-top:20.25pt;height:0pt;width:462pt;z-index:251659264;mso-width-relative:page;mso-height-relative:page;" filled="f" stroked="t" coordsize="21600,21600" o:gfxdata="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bGUOMNMAAAAGAQAADwAAAAAAAAABACAAAAAiAAAAZHJzL2Rvd25yZXYueG1s&#10;UEsBAhQAFAAAAAgAh07iQBz1Gb3EAQAAgQMAAA4AAAAAAAAAAQAgAAAAIgEAAGRycy9lMm9Eb2Mu&#10;eG1sUEsFBgAAAAAGAAYAWQEAAFgFAAAAAA==&#10;">
                <v:fill on="f" focussize="0,0"/>
                <v:stroke color="#000000" joinstyle="round"/>
                <v:imagedata o:title=""/>
                <o:lock v:ext="edit" aspectratio="f"/>
              </v:line>
            </w:pict>
          </mc:Fallback>
        </mc:AlternateContent>
      </w:r>
    </w:p>
    <w:p>
      <w:pPr>
        <w:spacing w:line="500" w:lineRule="exact"/>
        <w:ind w:firstLine="480" w:firstLineChars="200"/>
        <w:rPr>
          <w:szCs w:val="24"/>
        </w:rPr>
      </w:pPr>
      <w:r>
        <w:rPr>
          <w:rFonts w:hint="eastAsia"/>
          <w:szCs w:val="24"/>
        </w:rPr>
        <w:t>按照磋商文件的要求编制磋商方案说明书，并在每小节末尾处加盖单位公章，并由法定代表人和委托代理人签字，磋商方案说明书至少应包含以下内容：</w:t>
      </w:r>
    </w:p>
    <w:p>
      <w:pPr>
        <w:spacing w:line="500" w:lineRule="exact"/>
        <w:ind w:firstLine="480" w:firstLineChars="200"/>
        <w:rPr>
          <w:szCs w:val="24"/>
        </w:rPr>
      </w:pPr>
    </w:p>
    <w:p>
      <w:pPr>
        <w:numPr>
          <w:ilvl w:val="0"/>
          <w:numId w:val="13"/>
        </w:numPr>
        <w:kinsoku w:val="0"/>
        <w:spacing w:line="500" w:lineRule="exact"/>
        <w:rPr>
          <w:szCs w:val="24"/>
        </w:rPr>
      </w:pPr>
      <w:r>
        <w:rPr>
          <w:rFonts w:hint="eastAsia"/>
          <w:szCs w:val="24"/>
          <w:lang w:val="zh-CN"/>
        </w:rPr>
        <w:t>首轮报价明细表（</w:t>
      </w:r>
      <w:r>
        <w:rPr>
          <w:rFonts w:hint="eastAsia"/>
          <w:szCs w:val="24"/>
        </w:rPr>
        <w:t>格式自拟</w:t>
      </w:r>
      <w:r>
        <w:rPr>
          <w:rFonts w:hint="eastAsia"/>
          <w:szCs w:val="24"/>
          <w:lang w:val="zh-CN"/>
        </w:rPr>
        <w:t>）</w:t>
      </w:r>
    </w:p>
    <w:p>
      <w:pPr>
        <w:numPr>
          <w:ilvl w:val="0"/>
          <w:numId w:val="13"/>
        </w:numPr>
        <w:kinsoku w:val="0"/>
        <w:spacing w:line="500" w:lineRule="exact"/>
        <w:rPr>
          <w:szCs w:val="24"/>
          <w:lang w:val="zh-CN"/>
        </w:rPr>
      </w:pPr>
      <w:r>
        <w:rPr>
          <w:rFonts w:hint="eastAsia"/>
          <w:szCs w:val="24"/>
          <w:lang w:val="zh-CN"/>
        </w:rPr>
        <w:t>技术</w:t>
      </w:r>
      <w:r>
        <w:rPr>
          <w:rFonts w:hint="eastAsia"/>
          <w:szCs w:val="24"/>
        </w:rPr>
        <w:t>规格</w:t>
      </w:r>
      <w:r>
        <w:rPr>
          <w:rFonts w:hint="eastAsia"/>
          <w:szCs w:val="24"/>
          <w:lang w:val="zh-CN"/>
        </w:rPr>
        <w:t>偏离表（</w:t>
      </w:r>
      <w:r>
        <w:rPr>
          <w:rFonts w:hint="eastAsia"/>
          <w:szCs w:val="24"/>
        </w:rPr>
        <w:t>格式自拟</w:t>
      </w:r>
      <w:r>
        <w:rPr>
          <w:rFonts w:hint="eastAsia"/>
          <w:szCs w:val="24"/>
          <w:lang w:val="zh-CN"/>
        </w:rPr>
        <w:t>）</w:t>
      </w:r>
    </w:p>
    <w:p>
      <w:pPr>
        <w:numPr>
          <w:ilvl w:val="0"/>
          <w:numId w:val="13"/>
        </w:numPr>
        <w:kinsoku w:val="0"/>
        <w:spacing w:line="500" w:lineRule="exact"/>
        <w:rPr>
          <w:szCs w:val="24"/>
          <w:lang w:val="zh-CN"/>
        </w:rPr>
      </w:pPr>
      <w:r>
        <w:rPr>
          <w:rFonts w:hint="eastAsia"/>
          <w:szCs w:val="24"/>
        </w:rPr>
        <w:t>技术详细方案</w:t>
      </w:r>
      <w:r>
        <w:rPr>
          <w:rFonts w:hint="eastAsia"/>
          <w:szCs w:val="24"/>
          <w:lang w:val="zh-CN"/>
        </w:rPr>
        <w:t>（</w:t>
      </w:r>
      <w:r>
        <w:rPr>
          <w:rFonts w:hint="eastAsia"/>
          <w:szCs w:val="24"/>
        </w:rPr>
        <w:t>格式自拟</w:t>
      </w:r>
      <w:r>
        <w:rPr>
          <w:rFonts w:hint="eastAsia"/>
          <w:szCs w:val="24"/>
          <w:lang w:val="zh-CN"/>
        </w:rPr>
        <w:t>）</w:t>
      </w:r>
    </w:p>
    <w:p>
      <w:pPr>
        <w:numPr>
          <w:ilvl w:val="0"/>
          <w:numId w:val="13"/>
        </w:numPr>
        <w:kinsoku w:val="0"/>
        <w:spacing w:line="500" w:lineRule="exact"/>
        <w:rPr>
          <w:szCs w:val="24"/>
          <w:lang w:val="zh-CN"/>
        </w:rPr>
      </w:pPr>
      <w:r>
        <w:rPr>
          <w:rFonts w:hint="eastAsia"/>
          <w:szCs w:val="24"/>
        </w:rPr>
        <w:t>商务详细方案</w:t>
      </w:r>
      <w:r>
        <w:rPr>
          <w:rFonts w:hint="eastAsia"/>
          <w:szCs w:val="24"/>
          <w:lang w:val="zh-CN"/>
        </w:rPr>
        <w:t>（</w:t>
      </w:r>
      <w:r>
        <w:rPr>
          <w:rFonts w:hint="eastAsia"/>
          <w:szCs w:val="24"/>
        </w:rPr>
        <w:t>格式自拟</w:t>
      </w:r>
      <w:r>
        <w:rPr>
          <w:rFonts w:hint="eastAsia"/>
          <w:szCs w:val="24"/>
          <w:lang w:val="zh-CN"/>
        </w:rPr>
        <w:t>）</w:t>
      </w:r>
    </w:p>
    <w:p/>
    <w:p/>
    <w:p/>
    <w:p/>
    <w:p>
      <w:bookmarkStart w:id="116" w:name="_Toc426457713"/>
      <w:bookmarkStart w:id="117" w:name="_Toc4016"/>
      <w:bookmarkStart w:id="118" w:name="_Toc12205"/>
      <w:bookmarkStart w:id="119" w:name="_Toc5691"/>
      <w:bookmarkStart w:id="120" w:name="_Toc363474032"/>
      <w:bookmarkStart w:id="121" w:name="_Toc31203"/>
      <w:bookmarkStart w:id="122" w:name="_Toc403077655"/>
      <w:bookmarkStart w:id="123" w:name="_Toc18976"/>
    </w:p>
    <w:p/>
    <w:p/>
    <w:p/>
    <w:p/>
    <w:p>
      <w:pPr>
        <w:pStyle w:val="5"/>
        <w:spacing w:before="312" w:beforeLines="100"/>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pStyle w:val="5"/>
        <w:spacing w:before="312" w:beforeLines="100"/>
        <w:rPr>
          <w:sz w:val="32"/>
          <w:szCs w:val="32"/>
        </w:rPr>
      </w:pPr>
      <w:r>
        <w:rPr>
          <w:rFonts w:hint="eastAsia"/>
          <w:sz w:val="32"/>
          <w:szCs w:val="32"/>
        </w:rPr>
        <w:t>六、商务响应说明书</w:t>
      </w:r>
      <w:bookmarkEnd w:id="116"/>
      <w:bookmarkEnd w:id="117"/>
      <w:bookmarkEnd w:id="118"/>
      <w:bookmarkEnd w:id="119"/>
      <w:bookmarkEnd w:id="120"/>
      <w:bookmarkEnd w:id="121"/>
      <w:bookmarkEnd w:id="122"/>
      <w:bookmarkEnd w:id="123"/>
      <w:r>
        <w:rPr>
          <w:rFonts w:hint="eastAsia"/>
          <w:sz w:val="32"/>
          <w:szCs w:val="32"/>
        </w:rPr>
        <w:t>（格式自拟）</w:t>
      </w:r>
    </w:p>
    <w:p>
      <w:pPr>
        <w:spacing w:after="120" w:line="440" w:lineRule="exact"/>
        <w:rPr>
          <w:szCs w:val="24"/>
        </w:rPr>
      </w:pPr>
    </w:p>
    <w:p>
      <w:pPr>
        <w:spacing w:after="120" w:line="440" w:lineRule="exact"/>
        <w:rPr>
          <w:szCs w:val="24"/>
        </w:rPr>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257175</wp:posOffset>
                </wp:positionV>
                <wp:extent cx="5665470" cy="0"/>
                <wp:effectExtent l="0" t="0" r="0" b="0"/>
                <wp:wrapNone/>
                <wp:docPr id="5" name="直线 5"/>
                <wp:cNvGraphicFramePr/>
                <a:graphic xmlns:a="http://schemas.openxmlformats.org/drawingml/2006/main">
                  <a:graphicData uri="http://schemas.microsoft.com/office/word/2010/wordprocessingShape">
                    <wps:wsp>
                      <wps:cNvCnPr/>
                      <wps:spPr>
                        <a:xfrm>
                          <a:off x="0" y="0"/>
                          <a:ext cx="566547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5" o:spid="_x0000_s1026" o:spt="20" style="position:absolute;left:0pt;margin-left:0pt;margin-top:20.25pt;height:0pt;width:446.1pt;z-index:251660288;mso-width-relative:page;mso-height-relative:page;" filled="f" stroked="t" coordsize="21600,21600" o:gfxdata="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YQHt/UAAAABgEAAA8AAAAAAAAAAQAgAAAAIgAAAGRycy9kb3ducmV2Lnht&#10;bFBLAQIUABQAAAAIAIdO4kC9xEiwxAEAAIEDAAAOAAAAAAAAAAEAIAAAACMBAABkcnMvZTJvRG9j&#10;LnhtbFBLBQYAAAAABgAGAFkBAABZBQAAAAA=&#10;">
                <v:fill on="f" focussize="0,0"/>
                <v:stroke color="#000000" joinstyle="round"/>
                <v:imagedata o:title=""/>
                <o:lock v:ext="edit" aspectratio="f"/>
              </v:line>
            </w:pict>
          </mc:Fallback>
        </mc:AlternateContent>
      </w:r>
      <w:r>
        <w:rPr>
          <w:rFonts w:hint="eastAsia"/>
          <w:szCs w:val="24"/>
        </w:rPr>
        <w:t>按照磋商文件的商务要求编制商务响应说明书，格式不限。但</w:t>
      </w:r>
      <w:r>
        <w:rPr>
          <w:rFonts w:hint="eastAsia"/>
          <w:b/>
          <w:szCs w:val="24"/>
        </w:rPr>
        <w:t>内容至少应包括如下：</w:t>
      </w:r>
    </w:p>
    <w:p>
      <w:pPr>
        <w:spacing w:line="440" w:lineRule="exact"/>
        <w:jc w:val="center"/>
        <w:rPr>
          <w:sz w:val="36"/>
          <w:szCs w:val="36"/>
        </w:rPr>
      </w:pPr>
    </w:p>
    <w:p>
      <w:pPr>
        <w:numPr>
          <w:ilvl w:val="0"/>
          <w:numId w:val="14"/>
        </w:numPr>
        <w:tabs>
          <w:tab w:val="left" w:pos="709"/>
        </w:tabs>
        <w:spacing w:line="600" w:lineRule="exact"/>
        <w:ind w:left="600" w:leftChars="250"/>
        <w:rPr>
          <w:szCs w:val="24"/>
        </w:rPr>
      </w:pPr>
      <w:r>
        <w:rPr>
          <w:rFonts w:hint="eastAsia"/>
          <w:szCs w:val="24"/>
        </w:rPr>
        <w:t>磋商报价所包含的全部供应内容；</w:t>
      </w:r>
    </w:p>
    <w:p>
      <w:pPr>
        <w:numPr>
          <w:ilvl w:val="0"/>
          <w:numId w:val="14"/>
        </w:numPr>
        <w:tabs>
          <w:tab w:val="left" w:pos="709"/>
        </w:tabs>
        <w:spacing w:line="600" w:lineRule="exact"/>
        <w:ind w:left="600" w:leftChars="250"/>
        <w:rPr>
          <w:szCs w:val="24"/>
        </w:rPr>
      </w:pPr>
      <w:r>
        <w:rPr>
          <w:rFonts w:hint="eastAsia"/>
          <w:szCs w:val="24"/>
        </w:rPr>
        <w:t>磋商报价所包含的全部服务内容；</w:t>
      </w:r>
    </w:p>
    <w:p>
      <w:pPr>
        <w:tabs>
          <w:tab w:val="left" w:pos="709"/>
        </w:tabs>
        <w:spacing w:line="600" w:lineRule="exact"/>
        <w:ind w:left="600" w:leftChars="250"/>
        <w:rPr>
          <w:szCs w:val="24"/>
        </w:rPr>
      </w:pPr>
      <w:r>
        <w:rPr>
          <w:szCs w:val="24"/>
        </w:rPr>
        <w:t>3.</w:t>
      </w:r>
      <w:r>
        <w:rPr>
          <w:rFonts w:hint="eastAsia"/>
          <w:szCs w:val="24"/>
        </w:rPr>
        <w:t>对服务地点、验收、服务承诺、付款方式、合同条款等投标响应；</w:t>
      </w:r>
    </w:p>
    <w:p>
      <w:pPr>
        <w:tabs>
          <w:tab w:val="left" w:pos="709"/>
        </w:tabs>
        <w:spacing w:line="600" w:lineRule="exact"/>
        <w:ind w:firstLine="566" w:firstLineChars="236"/>
        <w:rPr>
          <w:szCs w:val="24"/>
        </w:rPr>
      </w:pPr>
      <w:r>
        <w:rPr>
          <w:szCs w:val="24"/>
        </w:rPr>
        <w:t>4.</w:t>
      </w:r>
      <w:r>
        <w:rPr>
          <w:rFonts w:hint="eastAsia"/>
          <w:szCs w:val="24"/>
        </w:rPr>
        <w:t>磋商文件中要求的其它内容。</w:t>
      </w:r>
    </w:p>
    <w:p>
      <w:pPr>
        <w:spacing w:line="360" w:lineRule="auto"/>
        <w:ind w:left="600" w:leftChars="250"/>
        <w:rPr>
          <w:b/>
          <w:bCs/>
          <w:sz w:val="28"/>
          <w:szCs w:val="28"/>
        </w:rPr>
      </w:pPr>
    </w:p>
    <w:p>
      <w:pPr>
        <w:spacing w:line="440" w:lineRule="exact"/>
        <w:ind w:left="3725" w:leftChars="1552"/>
        <w:rPr>
          <w:szCs w:val="24"/>
        </w:rPr>
      </w:pPr>
      <w:r>
        <w:rPr>
          <w:rFonts w:hint="eastAsia"/>
          <w:szCs w:val="24"/>
        </w:rPr>
        <w:t>法定代表人</w:t>
      </w:r>
      <w:r>
        <w:rPr>
          <w:szCs w:val="24"/>
        </w:rPr>
        <w:t>/</w:t>
      </w:r>
      <w:r>
        <w:rPr>
          <w:rFonts w:hint="eastAsia"/>
          <w:szCs w:val="24"/>
        </w:rPr>
        <w:t>或被授权人签字：</w:t>
      </w:r>
    </w:p>
    <w:p>
      <w:pPr>
        <w:spacing w:line="440" w:lineRule="exact"/>
        <w:ind w:left="3725" w:leftChars="1552"/>
        <w:rPr>
          <w:szCs w:val="24"/>
        </w:rPr>
      </w:pPr>
    </w:p>
    <w:p>
      <w:pPr>
        <w:spacing w:line="440" w:lineRule="exact"/>
        <w:ind w:left="3725" w:leftChars="1552"/>
        <w:rPr>
          <w:szCs w:val="24"/>
        </w:rPr>
      </w:pPr>
      <w:r>
        <w:rPr>
          <w:rFonts w:hint="eastAsia"/>
          <w:szCs w:val="24"/>
        </w:rPr>
        <w:t>公</w:t>
      </w:r>
      <w:r>
        <w:rPr>
          <w:szCs w:val="24"/>
        </w:rPr>
        <w:t xml:space="preserve">      </w:t>
      </w:r>
      <w:r>
        <w:rPr>
          <w:rFonts w:hint="eastAsia"/>
          <w:szCs w:val="24"/>
        </w:rPr>
        <w:t>章：</w:t>
      </w:r>
    </w:p>
    <w:p>
      <w:pPr>
        <w:spacing w:line="440" w:lineRule="exact"/>
        <w:ind w:left="3725" w:leftChars="1552" w:firstLine="5668" w:firstLineChars="2362"/>
        <w:rPr>
          <w:szCs w:val="24"/>
        </w:rPr>
      </w:pPr>
    </w:p>
    <w:p>
      <w:pPr>
        <w:spacing w:line="440" w:lineRule="exact"/>
        <w:ind w:left="3725" w:leftChars="1552"/>
        <w:rPr>
          <w:szCs w:val="24"/>
        </w:rPr>
      </w:pPr>
      <w:r>
        <w:rPr>
          <w:rFonts w:hint="eastAsia"/>
          <w:szCs w:val="24"/>
        </w:rPr>
        <w:t>日</w:t>
      </w:r>
      <w:r>
        <w:rPr>
          <w:szCs w:val="24"/>
        </w:rPr>
        <w:t xml:space="preserve">      </w:t>
      </w:r>
      <w:r>
        <w:rPr>
          <w:rFonts w:hint="eastAsia"/>
          <w:szCs w:val="24"/>
        </w:rPr>
        <w:t>期：</w:t>
      </w:r>
    </w:p>
    <w:p>
      <w:pPr>
        <w:jc w:val="center"/>
        <w:outlineLvl w:val="2"/>
      </w:pPr>
      <w:r>
        <w:br w:type="page"/>
      </w:r>
      <w:bookmarkStart w:id="124" w:name="_Toc403077656"/>
      <w:bookmarkStart w:id="125" w:name="_Toc426457714"/>
      <w:bookmarkStart w:id="126" w:name="_Toc363474033"/>
    </w:p>
    <w:p>
      <w:pPr>
        <w:jc w:val="center"/>
        <w:outlineLvl w:val="2"/>
        <w:rPr>
          <w:b/>
          <w:bCs/>
          <w:sz w:val="30"/>
          <w:szCs w:val="30"/>
        </w:rPr>
      </w:pPr>
      <w:bookmarkStart w:id="127" w:name="_Toc6081"/>
      <w:bookmarkStart w:id="128" w:name="_Toc81"/>
      <w:bookmarkStart w:id="129" w:name="_Toc12783"/>
      <w:bookmarkStart w:id="130" w:name="_Toc16347"/>
      <w:bookmarkStart w:id="131" w:name="_Toc21127"/>
      <w:r>
        <w:rPr>
          <w:rFonts w:hint="eastAsia"/>
          <w:b/>
          <w:bCs/>
          <w:sz w:val="30"/>
          <w:szCs w:val="30"/>
        </w:rPr>
        <w:t>七、陕西省政府采购供应商拒绝政府采购领域商业贿赂承诺书</w:t>
      </w:r>
      <w:bookmarkEnd w:id="124"/>
      <w:bookmarkEnd w:id="125"/>
      <w:bookmarkEnd w:id="126"/>
      <w:bookmarkEnd w:id="127"/>
      <w:bookmarkEnd w:id="128"/>
      <w:bookmarkEnd w:id="129"/>
      <w:bookmarkEnd w:id="130"/>
      <w:bookmarkEnd w:id="131"/>
    </w:p>
    <w:p>
      <w:pPr>
        <w:widowControl/>
        <w:spacing w:line="408" w:lineRule="auto"/>
        <w:ind w:left="274" w:leftChars="114" w:firstLine="470" w:firstLineChars="196"/>
        <w:jc w:val="left"/>
        <w:rPr>
          <w:rFonts w:cs="宋体"/>
        </w:rPr>
      </w:pPr>
    </w:p>
    <w:p>
      <w:pPr>
        <w:widowControl/>
        <w:spacing w:line="408" w:lineRule="auto"/>
        <w:ind w:left="274" w:leftChars="114" w:firstLine="470" w:firstLineChars="196"/>
        <w:jc w:val="left"/>
        <w:rPr>
          <w:rFonts w:cs="宋体"/>
        </w:rPr>
      </w:pPr>
      <w:r>
        <w:rPr>
          <w:rFonts w:hint="eastAsia" w:cs="宋体"/>
        </w:rPr>
        <w:t>为响应党中央、国务院关于治理政府采购领域商业贿赂行为的号召，我公司在此庄严承诺：</w:t>
      </w:r>
      <w:r>
        <w:rPr>
          <w:rFonts w:cs="宋体"/>
        </w:rPr>
        <w:br w:type="textWrapping"/>
      </w:r>
      <w:r>
        <w:rPr>
          <w:rFonts w:cs="宋体"/>
        </w:rPr>
        <w:t>1</w:t>
      </w:r>
      <w:r>
        <w:rPr>
          <w:rFonts w:hint="eastAsia" w:cs="宋体"/>
        </w:rPr>
        <w:t>、在参与政府采购活动中遵纪守法、诚信经营、公平竞标。</w:t>
      </w:r>
      <w:r>
        <w:rPr>
          <w:rFonts w:cs="宋体"/>
        </w:rPr>
        <w:br w:type="textWrapping"/>
      </w:r>
      <w:r>
        <w:rPr>
          <w:rFonts w:cs="宋体"/>
        </w:rPr>
        <w:t>2</w:t>
      </w:r>
      <w:r>
        <w:rPr>
          <w:rFonts w:hint="eastAsia" w:cs="宋体"/>
        </w:rPr>
        <w:t>、不向政府采购人、采购代理机构和政府采购评审专家进行任何形式的商业贿赂以谋取交易机会。</w:t>
      </w:r>
      <w:r>
        <w:rPr>
          <w:rFonts w:cs="宋体"/>
        </w:rPr>
        <w:br w:type="textWrapping"/>
      </w:r>
      <w:r>
        <w:rPr>
          <w:rFonts w:cs="宋体"/>
        </w:rPr>
        <w:t>3</w:t>
      </w:r>
      <w:r>
        <w:rPr>
          <w:rFonts w:hint="eastAsia" w:cs="宋体"/>
        </w:rPr>
        <w:t>、不向政府采购代理机构和采购人提供虚假资质文件或采用虚假应标方式参与政府采购市场竞争并谋取中标、成交。</w:t>
      </w:r>
      <w:r>
        <w:rPr>
          <w:rFonts w:cs="宋体"/>
        </w:rPr>
        <w:br w:type="textWrapping"/>
      </w:r>
      <w:r>
        <w:rPr>
          <w:rFonts w:cs="宋体"/>
        </w:rPr>
        <w:t>4</w:t>
      </w:r>
      <w:r>
        <w:rPr>
          <w:rFonts w:hint="eastAsia" w:cs="宋体"/>
        </w:rPr>
        <w:t>、不采取“围标、陪标”等商业欺诈手段获得政府采购定单。</w:t>
      </w:r>
      <w:r>
        <w:rPr>
          <w:rFonts w:cs="宋体"/>
        </w:rPr>
        <w:br w:type="textWrapping"/>
      </w:r>
      <w:r>
        <w:rPr>
          <w:rFonts w:cs="宋体"/>
        </w:rPr>
        <w:t>5</w:t>
      </w:r>
      <w:r>
        <w:rPr>
          <w:rFonts w:hint="eastAsia" w:cs="宋体"/>
        </w:rPr>
        <w:t>、不采取不正当手段诋毁、排挤其他供应商。</w:t>
      </w:r>
      <w:r>
        <w:rPr>
          <w:rFonts w:cs="宋体"/>
        </w:rPr>
        <w:br w:type="textWrapping"/>
      </w:r>
      <w:r>
        <w:rPr>
          <w:rFonts w:cs="宋体"/>
        </w:rPr>
        <w:t>6</w:t>
      </w:r>
      <w:r>
        <w:rPr>
          <w:rFonts w:hint="eastAsia" w:cs="宋体"/>
        </w:rPr>
        <w:t>、不在提供商品和服务时“偷梁换柱、以次充好”损害采购人的合法权益。</w:t>
      </w:r>
      <w:r>
        <w:rPr>
          <w:rFonts w:cs="宋体"/>
        </w:rPr>
        <w:br w:type="textWrapping"/>
      </w:r>
      <w:r>
        <w:rPr>
          <w:rFonts w:cs="宋体"/>
        </w:rPr>
        <w:t>7</w:t>
      </w:r>
      <w:r>
        <w:rPr>
          <w:rFonts w:hint="eastAsia" w:cs="宋体"/>
        </w:rPr>
        <w:t>、不与采购人、采购代理机构政府采购评审专家或其它供应商恶意串通，进行质疑和投诉，维护政府采购市场秩序。</w:t>
      </w:r>
      <w:r>
        <w:rPr>
          <w:rFonts w:cs="宋体"/>
        </w:rPr>
        <w:br w:type="textWrapping"/>
      </w:r>
      <w:r>
        <w:rPr>
          <w:rFonts w:cs="宋体"/>
        </w:rPr>
        <w:t>8</w:t>
      </w:r>
      <w:r>
        <w:rPr>
          <w:rFonts w:hint="eastAsia" w:cs="宋体"/>
        </w:rPr>
        <w:t>、尊重和接受政府采购监督管理部门的监督和政府采购代理机构招标采购要求，承担因违约行为给采购人造成的损失。</w:t>
      </w:r>
      <w:r>
        <w:rPr>
          <w:rFonts w:cs="宋体"/>
        </w:rPr>
        <w:br w:type="textWrapping"/>
      </w:r>
      <w:r>
        <w:rPr>
          <w:rFonts w:cs="宋体"/>
        </w:rPr>
        <w:t>9</w:t>
      </w:r>
      <w:r>
        <w:rPr>
          <w:rFonts w:hint="eastAsia" w:cs="宋体"/>
        </w:rPr>
        <w:t>、不发生其他有悖于政府采购公开、公平、公正和诚信原则的行为。</w:t>
      </w:r>
      <w:r>
        <w:rPr>
          <w:rFonts w:cs="宋体"/>
        </w:rPr>
        <w:br w:type="textWrapping"/>
      </w:r>
    </w:p>
    <w:p>
      <w:pPr>
        <w:widowControl/>
        <w:spacing w:line="408" w:lineRule="auto"/>
        <w:ind w:left="274" w:leftChars="114"/>
        <w:jc w:val="left"/>
        <w:rPr>
          <w:rFonts w:cs="宋体"/>
        </w:rPr>
      </w:pPr>
      <w:r>
        <w:rPr>
          <w:rFonts w:hint="eastAsia" w:cs="宋体"/>
        </w:rPr>
        <w:t>承诺单位：（盖章）</w:t>
      </w:r>
      <w:r>
        <w:rPr>
          <w:rFonts w:cs="宋体"/>
        </w:rPr>
        <w:br w:type="textWrapping"/>
      </w:r>
      <w:r>
        <w:rPr>
          <w:rFonts w:hint="eastAsia" w:cs="宋体"/>
        </w:rPr>
        <w:t>全权代表：（</w:t>
      </w:r>
      <w:r>
        <w:rPr>
          <w:rFonts w:hint="eastAsia"/>
          <w:szCs w:val="24"/>
        </w:rPr>
        <w:t>签字</w:t>
      </w:r>
      <w:r>
        <w:rPr>
          <w:rFonts w:hint="eastAsia" w:cs="宋体"/>
        </w:rPr>
        <w:t>）</w:t>
      </w:r>
      <w:r>
        <w:rPr>
          <w:rFonts w:cs="宋体"/>
        </w:rPr>
        <w:br w:type="textWrapping"/>
      </w:r>
      <w:r>
        <w:rPr>
          <w:rFonts w:hint="eastAsia" w:cs="宋体"/>
        </w:rPr>
        <w:t>地</w:t>
      </w:r>
      <w:r>
        <w:rPr>
          <w:rFonts w:cs="宋体"/>
        </w:rPr>
        <w:t>  </w:t>
      </w:r>
      <w:r>
        <w:rPr>
          <w:rFonts w:hint="eastAsia" w:cs="宋体"/>
        </w:rPr>
        <w:t>址：</w:t>
      </w:r>
      <w:r>
        <w:rPr>
          <w:rFonts w:cs="宋体"/>
        </w:rPr>
        <w:t>                        </w:t>
      </w:r>
    </w:p>
    <w:p>
      <w:pPr>
        <w:widowControl/>
        <w:spacing w:line="408" w:lineRule="auto"/>
        <w:ind w:left="274" w:leftChars="114"/>
        <w:jc w:val="left"/>
        <w:rPr>
          <w:rFonts w:cs="宋体"/>
        </w:rPr>
      </w:pPr>
      <w:r>
        <w:rPr>
          <w:rFonts w:hint="eastAsia" w:cs="宋体"/>
        </w:rPr>
        <w:t>邮</w:t>
      </w:r>
      <w:r>
        <w:rPr>
          <w:rFonts w:cs="宋体"/>
        </w:rPr>
        <w:t>  </w:t>
      </w:r>
      <w:r>
        <w:rPr>
          <w:rFonts w:hint="eastAsia" w:cs="宋体"/>
        </w:rPr>
        <w:t>编：</w:t>
      </w:r>
      <w:r>
        <w:rPr>
          <w:rFonts w:cs="宋体"/>
        </w:rPr>
        <w:br w:type="textWrapping"/>
      </w:r>
      <w:r>
        <w:rPr>
          <w:rFonts w:hint="eastAsia" w:cs="宋体"/>
        </w:rPr>
        <w:t>电</w:t>
      </w:r>
      <w:r>
        <w:rPr>
          <w:rFonts w:cs="宋体"/>
        </w:rPr>
        <w:t>  </w:t>
      </w:r>
      <w:r>
        <w:rPr>
          <w:rFonts w:hint="eastAsia" w:cs="宋体"/>
        </w:rPr>
        <w:t>话：</w:t>
      </w:r>
      <w:r>
        <w:rPr>
          <w:rFonts w:cs="宋体"/>
        </w:rPr>
        <w:t xml:space="preserve">                                                                 </w:t>
      </w:r>
    </w:p>
    <w:p>
      <w:pPr>
        <w:widowControl/>
        <w:spacing w:line="408" w:lineRule="auto"/>
        <w:ind w:left="274" w:leftChars="114"/>
        <w:jc w:val="center"/>
        <w:rPr>
          <w:sz w:val="32"/>
          <w:szCs w:val="32"/>
        </w:rPr>
      </w:pPr>
      <w:r>
        <w:rPr>
          <w:rFonts w:cs="宋体"/>
        </w:rPr>
        <w:t xml:space="preserve">                             </w:t>
      </w:r>
      <w:r>
        <w:rPr>
          <w:rFonts w:hint="eastAsia" w:cs="宋体"/>
          <w:lang w:val="en-US" w:eastAsia="zh-CN"/>
        </w:rPr>
        <w:t xml:space="preserve">  </w:t>
      </w:r>
      <w:r>
        <w:rPr>
          <w:rFonts w:hint="eastAsia" w:cs="宋体"/>
        </w:rPr>
        <w:t>二〇一</w:t>
      </w:r>
      <w:r>
        <w:rPr>
          <w:rFonts w:hint="eastAsia" w:cs="宋体"/>
          <w:lang w:val="en-US" w:eastAsia="zh-CN"/>
        </w:rPr>
        <w:t>九</w:t>
      </w:r>
      <w:r>
        <w:rPr>
          <w:rFonts w:hint="eastAsia" w:cs="宋体"/>
        </w:rPr>
        <w:t>年</w:t>
      </w:r>
      <w:r>
        <w:rPr>
          <w:rFonts w:cs="宋体"/>
        </w:rPr>
        <w:t>  </w:t>
      </w:r>
      <w:r>
        <w:rPr>
          <w:rFonts w:hint="eastAsia" w:cs="宋体"/>
        </w:rPr>
        <w:t>月</w:t>
      </w:r>
      <w:r>
        <w:rPr>
          <w:rFonts w:cs="宋体"/>
        </w:rPr>
        <w:t>  </w:t>
      </w:r>
      <w:r>
        <w:rPr>
          <w:rFonts w:hint="eastAsia" w:cs="宋体"/>
        </w:rPr>
        <w:t>日</w:t>
      </w:r>
      <w:r>
        <w:br w:type="page"/>
      </w:r>
      <w:bookmarkStart w:id="132" w:name="_Toc27037"/>
      <w:bookmarkStart w:id="133" w:name="_Toc10595"/>
      <w:bookmarkStart w:id="134" w:name="_Toc426457715"/>
      <w:bookmarkStart w:id="135" w:name="_Toc363474034"/>
      <w:bookmarkStart w:id="136" w:name="_Toc403077657"/>
      <w:r>
        <w:rPr>
          <w:rFonts w:hint="eastAsia"/>
          <w:b/>
          <w:bCs/>
          <w:sz w:val="32"/>
          <w:szCs w:val="32"/>
        </w:rPr>
        <w:t>八、资格证明文件</w:t>
      </w:r>
      <w:bookmarkEnd w:id="132"/>
      <w:bookmarkEnd w:id="133"/>
      <w:bookmarkEnd w:id="134"/>
      <w:bookmarkEnd w:id="135"/>
      <w:bookmarkEnd w:id="136"/>
      <w:r>
        <w:rPr>
          <w:rFonts w:hint="eastAsia"/>
          <w:b/>
          <w:bCs/>
          <w:sz w:val="32"/>
          <w:szCs w:val="32"/>
        </w:rPr>
        <w:t>（格式自拟）</w:t>
      </w:r>
    </w:p>
    <w:p>
      <w:pPr>
        <w:spacing w:before="240" w:line="360" w:lineRule="auto"/>
        <w:ind w:firstLine="480" w:firstLineChars="200"/>
        <w:rPr>
          <w:szCs w:val="24"/>
        </w:rPr>
      </w:pPr>
      <w:r>
        <w:rPr>
          <w:rFonts w:hint="eastAsia"/>
          <w:szCs w:val="24"/>
        </w:rPr>
        <w:t>供应商应按照磋商文件的要求准备至磋商响应文件中。至少应包括以下内容：</w:t>
      </w:r>
    </w:p>
    <w:p>
      <w:pPr>
        <w:spacing w:before="240" w:line="360" w:lineRule="auto"/>
        <w:ind w:left="273"/>
        <w:rPr>
          <w:szCs w:val="24"/>
        </w:rPr>
      </w:pPr>
      <w:r>
        <w:rPr>
          <w:szCs w:val="24"/>
        </w:rPr>
        <w:t>1</w:t>
      </w:r>
      <w:r>
        <w:rPr>
          <w:rFonts w:hint="eastAsia"/>
          <w:szCs w:val="24"/>
        </w:rPr>
        <w:t>、供应商的基本情况介绍；</w:t>
      </w:r>
    </w:p>
    <w:p>
      <w:pPr>
        <w:spacing w:before="240" w:line="360" w:lineRule="auto"/>
        <w:ind w:left="273"/>
        <w:rPr>
          <w:szCs w:val="24"/>
        </w:rPr>
      </w:pPr>
      <w:r>
        <w:rPr>
          <w:szCs w:val="24"/>
        </w:rPr>
        <w:t>2</w:t>
      </w:r>
      <w:r>
        <w:rPr>
          <w:rFonts w:hint="eastAsia"/>
          <w:szCs w:val="24"/>
        </w:rPr>
        <w:t>、供应商资格证明文件（见供应商须知前附表）；</w:t>
      </w:r>
    </w:p>
    <w:p>
      <w:pPr>
        <w:spacing w:before="240" w:line="360" w:lineRule="auto"/>
        <w:ind w:left="273"/>
        <w:rPr>
          <w:szCs w:val="24"/>
        </w:rPr>
      </w:pPr>
      <w:r>
        <w:rPr>
          <w:szCs w:val="24"/>
        </w:rPr>
        <w:t>3</w:t>
      </w:r>
      <w:r>
        <w:rPr>
          <w:rFonts w:hint="eastAsia"/>
          <w:szCs w:val="24"/>
        </w:rPr>
        <w:t>、磋商文件要求的其他文件或承诺；</w:t>
      </w:r>
    </w:p>
    <w:p>
      <w:pPr>
        <w:spacing w:before="240" w:line="360" w:lineRule="auto"/>
        <w:ind w:left="273"/>
        <w:rPr>
          <w:szCs w:val="24"/>
        </w:rPr>
      </w:pPr>
      <w:r>
        <w:rPr>
          <w:szCs w:val="24"/>
        </w:rPr>
        <w:t>4</w:t>
      </w:r>
      <w:r>
        <w:rPr>
          <w:rFonts w:hint="eastAsia"/>
          <w:szCs w:val="24"/>
        </w:rPr>
        <w:t>、其他可以证明供应商实力的文件。</w:t>
      </w:r>
    </w:p>
    <w:p>
      <w:pPr>
        <w:spacing w:before="240" w:line="360" w:lineRule="auto"/>
        <w:rPr>
          <w:szCs w:val="24"/>
        </w:rPr>
      </w:pPr>
    </w:p>
    <w:p>
      <w:pPr>
        <w:spacing w:before="240" w:line="360" w:lineRule="auto"/>
        <w:rPr>
          <w:szCs w:val="24"/>
        </w:rPr>
      </w:pPr>
    </w:p>
    <w:p>
      <w:pPr>
        <w:spacing w:before="240" w:line="360" w:lineRule="auto"/>
        <w:rPr>
          <w:szCs w:val="24"/>
        </w:rPr>
      </w:pPr>
    </w:p>
    <w:p>
      <w:pPr>
        <w:spacing w:before="240" w:line="360" w:lineRule="auto"/>
        <w:rPr>
          <w:szCs w:val="24"/>
        </w:rPr>
      </w:pPr>
    </w:p>
    <w:p>
      <w:pPr>
        <w:spacing w:before="240" w:line="360" w:lineRule="auto"/>
        <w:rPr>
          <w:szCs w:val="24"/>
        </w:rPr>
      </w:pPr>
    </w:p>
    <w:p>
      <w:pPr>
        <w:spacing w:before="240" w:line="360" w:lineRule="auto"/>
        <w:rPr>
          <w:szCs w:val="24"/>
        </w:rPr>
      </w:pPr>
    </w:p>
    <w:p>
      <w:pPr>
        <w:spacing w:before="240" w:line="360" w:lineRule="auto"/>
        <w:rPr>
          <w:szCs w:val="24"/>
        </w:rPr>
      </w:pPr>
    </w:p>
    <w:p>
      <w:pPr>
        <w:spacing w:before="240" w:line="360" w:lineRule="auto"/>
        <w:rPr>
          <w:szCs w:val="24"/>
        </w:rPr>
      </w:pPr>
    </w:p>
    <w:p>
      <w:pPr>
        <w:spacing w:before="240" w:line="360" w:lineRule="auto"/>
        <w:rPr>
          <w:szCs w:val="24"/>
        </w:rPr>
      </w:pPr>
    </w:p>
    <w:p>
      <w:pPr>
        <w:spacing w:before="240" w:line="360" w:lineRule="auto"/>
        <w:rPr>
          <w:szCs w:val="24"/>
        </w:rPr>
      </w:pPr>
    </w:p>
    <w:p>
      <w:pPr>
        <w:spacing w:before="240" w:line="360" w:lineRule="auto"/>
        <w:rPr>
          <w:szCs w:val="24"/>
        </w:rPr>
      </w:pPr>
    </w:p>
    <w:p>
      <w:pPr>
        <w:rPr>
          <w:b/>
          <w:bCs/>
          <w:szCs w:val="24"/>
        </w:rPr>
      </w:pPr>
    </w:p>
    <w:p>
      <w:pPr>
        <w:keepLines/>
        <w:pageBreakBefore/>
        <w:spacing w:before="100" w:beforeAutospacing="1" w:after="156" w:afterLines="50" w:line="360" w:lineRule="auto"/>
        <w:rPr>
          <w:b/>
          <w:sz w:val="28"/>
          <w:szCs w:val="28"/>
        </w:rPr>
      </w:pPr>
      <w:r>
        <w:rPr>
          <w:rFonts w:hint="eastAsia"/>
          <w:b/>
          <w:sz w:val="28"/>
          <w:szCs w:val="28"/>
        </w:rPr>
        <w:t>附件：（如用）</w:t>
      </w:r>
      <w:r>
        <w:rPr>
          <w:b/>
          <w:sz w:val="28"/>
          <w:szCs w:val="28"/>
        </w:rPr>
        <w:t xml:space="preserve">    </w:t>
      </w:r>
    </w:p>
    <w:p>
      <w:pPr>
        <w:pStyle w:val="4"/>
        <w:jc w:val="center"/>
      </w:pPr>
      <w:r>
        <w:rPr>
          <w:rFonts w:hint="eastAsia"/>
        </w:rPr>
        <w:t>中小企业声明函</w:t>
      </w:r>
    </w:p>
    <w:p>
      <w:pPr>
        <w:tabs>
          <w:tab w:val="left" w:pos="1620"/>
          <w:tab w:val="left" w:pos="1800"/>
        </w:tabs>
        <w:spacing w:line="500" w:lineRule="exact"/>
        <w:ind w:firstLine="480" w:firstLineChars="200"/>
        <w:rPr>
          <w:szCs w:val="24"/>
        </w:rPr>
      </w:pPr>
      <w:r>
        <w:rPr>
          <w:rFonts w:hint="eastAsia"/>
          <w:szCs w:val="24"/>
        </w:rPr>
        <w:t>本公司郑重声明，根据《政府采购促进中小企业发展暂行办法》</w:t>
      </w:r>
      <w:r>
        <w:rPr>
          <w:szCs w:val="24"/>
        </w:rPr>
        <w:t>(</w:t>
      </w:r>
      <w:r>
        <w:rPr>
          <w:rFonts w:hint="eastAsia"/>
          <w:szCs w:val="24"/>
        </w:rPr>
        <w:t>财库【</w:t>
      </w:r>
      <w:r>
        <w:rPr>
          <w:szCs w:val="24"/>
        </w:rPr>
        <w:t>2011</w:t>
      </w:r>
      <w:r>
        <w:rPr>
          <w:rFonts w:hint="eastAsia"/>
          <w:szCs w:val="24"/>
        </w:rPr>
        <w:t>】</w:t>
      </w:r>
      <w:r>
        <w:rPr>
          <w:szCs w:val="24"/>
        </w:rPr>
        <w:t>181</w:t>
      </w:r>
      <w:r>
        <w:rPr>
          <w:rFonts w:hint="eastAsia"/>
          <w:szCs w:val="24"/>
        </w:rPr>
        <w:t>号）的规定，本公司为</w:t>
      </w:r>
      <w:r>
        <w:rPr>
          <w:szCs w:val="24"/>
          <w:u w:val="single"/>
        </w:rPr>
        <w:t xml:space="preserve">        </w:t>
      </w:r>
      <w:r>
        <w:rPr>
          <w:szCs w:val="24"/>
        </w:rPr>
        <w:t>(</w:t>
      </w:r>
      <w:r>
        <w:rPr>
          <w:rFonts w:hint="eastAsia"/>
          <w:szCs w:val="24"/>
        </w:rPr>
        <w:t>请填写：中型、小型、微型）企业。即，本公司同时满足以下条件：</w:t>
      </w:r>
    </w:p>
    <w:p>
      <w:pPr>
        <w:numPr>
          <w:ilvl w:val="0"/>
          <w:numId w:val="15"/>
        </w:numPr>
        <w:tabs>
          <w:tab w:val="left" w:pos="1620"/>
          <w:tab w:val="left" w:pos="1800"/>
        </w:tabs>
        <w:spacing w:line="500" w:lineRule="exact"/>
        <w:ind w:firstLine="480" w:firstLineChars="200"/>
        <w:rPr>
          <w:szCs w:val="24"/>
        </w:rPr>
      </w:pPr>
      <w:r>
        <w:rPr>
          <w:rFonts w:hint="eastAsia"/>
          <w:szCs w:val="24"/>
        </w:rPr>
        <w:t>根据《工业和信息化部、国家统计局、国家发展和改革委员会、财政部关于印发中小企业划分标准规定的通知》（工信部联企业【</w:t>
      </w:r>
      <w:r>
        <w:rPr>
          <w:szCs w:val="24"/>
        </w:rPr>
        <w:t>2011</w:t>
      </w:r>
      <w:r>
        <w:rPr>
          <w:rFonts w:hint="eastAsia"/>
          <w:szCs w:val="24"/>
        </w:rPr>
        <w:t>】</w:t>
      </w:r>
      <w:r>
        <w:rPr>
          <w:szCs w:val="24"/>
        </w:rPr>
        <w:t>300</w:t>
      </w:r>
      <w:r>
        <w:rPr>
          <w:rFonts w:hint="eastAsia"/>
          <w:szCs w:val="24"/>
        </w:rPr>
        <w:t>号）规定的划分标准，本公司为</w:t>
      </w:r>
      <w:r>
        <w:rPr>
          <w:szCs w:val="24"/>
          <w:u w:val="single"/>
        </w:rPr>
        <w:t xml:space="preserve">         </w:t>
      </w:r>
      <w:r>
        <w:rPr>
          <w:rFonts w:hint="eastAsia"/>
          <w:szCs w:val="24"/>
        </w:rPr>
        <w:t>（请填写：中型、小型、微型）企业。</w:t>
      </w:r>
    </w:p>
    <w:p>
      <w:pPr>
        <w:numPr>
          <w:ilvl w:val="0"/>
          <w:numId w:val="15"/>
        </w:numPr>
        <w:tabs>
          <w:tab w:val="left" w:pos="1620"/>
          <w:tab w:val="left" w:pos="1800"/>
        </w:tabs>
        <w:spacing w:line="500" w:lineRule="exact"/>
        <w:ind w:firstLine="480" w:firstLineChars="200"/>
        <w:rPr>
          <w:szCs w:val="24"/>
        </w:rPr>
      </w:pPr>
      <w:r>
        <w:rPr>
          <w:rFonts w:hint="eastAsia"/>
          <w:szCs w:val="24"/>
        </w:rPr>
        <w:t>本公司参加</w:t>
      </w:r>
      <w:r>
        <w:rPr>
          <w:szCs w:val="24"/>
          <w:u w:val="single"/>
        </w:rPr>
        <w:t xml:space="preserve">             </w:t>
      </w:r>
      <w:r>
        <w:rPr>
          <w:rFonts w:hint="eastAsia"/>
          <w:szCs w:val="24"/>
        </w:rPr>
        <w:t>单位的</w:t>
      </w:r>
      <w:r>
        <w:rPr>
          <w:szCs w:val="24"/>
          <w:u w:val="single"/>
        </w:rPr>
        <w:t xml:space="preserve">            </w:t>
      </w:r>
      <w:r>
        <w:rPr>
          <w:rFonts w:hint="eastAsia"/>
          <w:szCs w:val="24"/>
        </w:rPr>
        <w:t>项目采购活动提供本企业制造的货物，由本企业提供服务，或者提供其他</w:t>
      </w:r>
      <w:r>
        <w:rPr>
          <w:szCs w:val="24"/>
          <w:u w:val="single"/>
        </w:rPr>
        <w:t xml:space="preserve">        </w:t>
      </w:r>
      <w:r>
        <w:rPr>
          <w:szCs w:val="24"/>
        </w:rPr>
        <w:t>(</w:t>
      </w:r>
      <w:r>
        <w:rPr>
          <w:rFonts w:hint="eastAsia"/>
          <w:szCs w:val="24"/>
        </w:rPr>
        <w:t>请填写：中型、小型、微型）企业制造的货物。本条所称货物不包括使用大型企业注册商标的货物。</w:t>
      </w:r>
    </w:p>
    <w:p>
      <w:pPr>
        <w:tabs>
          <w:tab w:val="left" w:pos="1620"/>
          <w:tab w:val="left" w:pos="1800"/>
        </w:tabs>
        <w:spacing w:line="500" w:lineRule="exact"/>
        <w:ind w:firstLine="480"/>
        <w:rPr>
          <w:szCs w:val="24"/>
        </w:rPr>
      </w:pPr>
      <w:r>
        <w:rPr>
          <w:szCs w:val="24"/>
        </w:rPr>
        <w:t>3</w:t>
      </w:r>
      <w:r>
        <w:rPr>
          <w:rFonts w:hint="eastAsia"/>
          <w:szCs w:val="24"/>
        </w:rPr>
        <w:t>、本公司属于</w:t>
      </w:r>
      <w:r>
        <w:rPr>
          <w:szCs w:val="24"/>
          <w:u w:val="single"/>
        </w:rPr>
        <w:t xml:space="preserve">       </w:t>
      </w:r>
      <w:r>
        <w:rPr>
          <w:rFonts w:hint="eastAsia"/>
          <w:szCs w:val="24"/>
        </w:rPr>
        <w:t>行业，有从业人员</w:t>
      </w:r>
      <w:r>
        <w:rPr>
          <w:szCs w:val="24"/>
          <w:u w:val="single"/>
        </w:rPr>
        <w:t xml:space="preserve">     </w:t>
      </w:r>
      <w:r>
        <w:rPr>
          <w:rFonts w:hint="eastAsia"/>
          <w:szCs w:val="24"/>
        </w:rPr>
        <w:t>人，最近一年营业收入为</w:t>
      </w:r>
      <w:r>
        <w:rPr>
          <w:szCs w:val="24"/>
          <w:u w:val="single"/>
        </w:rPr>
        <w:t xml:space="preserve">         </w:t>
      </w:r>
      <w:r>
        <w:rPr>
          <w:rFonts w:hint="eastAsia"/>
          <w:szCs w:val="24"/>
        </w:rPr>
        <w:t>元。</w:t>
      </w:r>
    </w:p>
    <w:p>
      <w:pPr>
        <w:tabs>
          <w:tab w:val="left" w:pos="1620"/>
          <w:tab w:val="left" w:pos="1800"/>
        </w:tabs>
        <w:spacing w:line="500" w:lineRule="exact"/>
        <w:ind w:firstLine="480"/>
        <w:rPr>
          <w:szCs w:val="24"/>
        </w:rPr>
      </w:pPr>
      <w:r>
        <w:rPr>
          <w:rFonts w:hint="eastAsia"/>
          <w:szCs w:val="24"/>
        </w:rPr>
        <w:t>本公司对上述声明的真实性负责。如有虚假，将依法承担相应责任。</w:t>
      </w:r>
    </w:p>
    <w:p>
      <w:pPr>
        <w:tabs>
          <w:tab w:val="left" w:pos="1620"/>
          <w:tab w:val="left" w:pos="1800"/>
        </w:tabs>
        <w:spacing w:line="500" w:lineRule="exact"/>
        <w:ind w:firstLine="480"/>
        <w:rPr>
          <w:szCs w:val="24"/>
        </w:rPr>
      </w:pPr>
    </w:p>
    <w:p>
      <w:pPr>
        <w:tabs>
          <w:tab w:val="left" w:pos="1620"/>
          <w:tab w:val="left" w:pos="1800"/>
        </w:tabs>
        <w:spacing w:line="500" w:lineRule="exact"/>
        <w:rPr>
          <w:szCs w:val="24"/>
        </w:rPr>
      </w:pPr>
      <w:r>
        <w:rPr>
          <w:szCs w:val="24"/>
        </w:rPr>
        <w:t xml:space="preserve">                                          </w:t>
      </w:r>
      <w:r>
        <w:rPr>
          <w:rFonts w:hint="eastAsia"/>
          <w:szCs w:val="24"/>
        </w:rPr>
        <w:t>单位名称（公章）：</w:t>
      </w:r>
      <w:r>
        <w:rPr>
          <w:szCs w:val="24"/>
          <w:u w:val="single"/>
        </w:rPr>
        <w:t xml:space="preserve">                </w:t>
      </w:r>
    </w:p>
    <w:p>
      <w:pPr>
        <w:tabs>
          <w:tab w:val="left" w:pos="1620"/>
          <w:tab w:val="left" w:pos="1800"/>
        </w:tabs>
        <w:spacing w:line="500" w:lineRule="exact"/>
        <w:rPr>
          <w:szCs w:val="24"/>
          <w:u w:val="single"/>
        </w:rPr>
      </w:pPr>
      <w:r>
        <w:rPr>
          <w:szCs w:val="24"/>
        </w:rPr>
        <w:t xml:space="preserve">                                           </w:t>
      </w:r>
      <w:r>
        <w:rPr>
          <w:rFonts w:hint="eastAsia"/>
          <w:szCs w:val="24"/>
        </w:rPr>
        <w:t>日</w:t>
      </w:r>
      <w:r>
        <w:rPr>
          <w:szCs w:val="24"/>
        </w:rPr>
        <w:t xml:space="preserve">   </w:t>
      </w:r>
      <w:r>
        <w:rPr>
          <w:rFonts w:hint="eastAsia"/>
          <w:szCs w:val="24"/>
        </w:rPr>
        <w:t>期：</w:t>
      </w:r>
      <w:r>
        <w:rPr>
          <w:szCs w:val="24"/>
          <w:u w:val="single"/>
        </w:rPr>
        <w:t xml:space="preserve">                        </w:t>
      </w:r>
    </w:p>
    <w:p>
      <w:pPr>
        <w:tabs>
          <w:tab w:val="left" w:pos="1620"/>
          <w:tab w:val="left" w:pos="1800"/>
        </w:tabs>
        <w:spacing w:line="500" w:lineRule="exact"/>
        <w:rPr>
          <w:szCs w:val="24"/>
        </w:rPr>
      </w:pPr>
    </w:p>
    <w:p>
      <w:pPr>
        <w:tabs>
          <w:tab w:val="left" w:pos="1620"/>
          <w:tab w:val="left" w:pos="1800"/>
        </w:tabs>
        <w:spacing w:line="500" w:lineRule="exact"/>
        <w:ind w:firstLine="480" w:firstLineChars="200"/>
        <w:rPr>
          <w:szCs w:val="24"/>
        </w:rPr>
      </w:pPr>
      <w:r>
        <w:rPr>
          <w:rFonts w:hint="eastAsia"/>
          <w:szCs w:val="24"/>
        </w:rPr>
        <w:t>备注：</w:t>
      </w:r>
      <w:r>
        <w:rPr>
          <w:szCs w:val="24"/>
        </w:rPr>
        <w:t>1</w:t>
      </w:r>
      <w:r>
        <w:rPr>
          <w:rFonts w:hint="eastAsia"/>
          <w:szCs w:val="24"/>
        </w:rPr>
        <w:t>、填写前请认真阅读工业和信息化部、国家统计局、国家发展和改革委员会、财政部关于印发中小企业划分标准规定的通知》（工信部联企业【</w:t>
      </w:r>
      <w:r>
        <w:rPr>
          <w:szCs w:val="24"/>
        </w:rPr>
        <w:t>2011</w:t>
      </w:r>
      <w:r>
        <w:rPr>
          <w:rFonts w:hint="eastAsia"/>
          <w:szCs w:val="24"/>
        </w:rPr>
        <w:t>】</w:t>
      </w:r>
      <w:r>
        <w:rPr>
          <w:szCs w:val="24"/>
        </w:rPr>
        <w:t>300</w:t>
      </w:r>
      <w:r>
        <w:rPr>
          <w:rFonts w:hint="eastAsia"/>
          <w:szCs w:val="24"/>
        </w:rPr>
        <w:t>号）和《财政部</w:t>
      </w:r>
      <w:r>
        <w:rPr>
          <w:szCs w:val="24"/>
        </w:rPr>
        <w:t xml:space="preserve">  </w:t>
      </w:r>
      <w:r>
        <w:rPr>
          <w:rFonts w:hint="eastAsia"/>
          <w:szCs w:val="24"/>
        </w:rPr>
        <w:t>工业和信息化部关于印发政府采购促进中小企业发展暂行办法的通知》（财库【</w:t>
      </w:r>
      <w:r>
        <w:rPr>
          <w:szCs w:val="24"/>
        </w:rPr>
        <w:t>2011</w:t>
      </w:r>
      <w:r>
        <w:rPr>
          <w:rFonts w:hint="eastAsia"/>
          <w:szCs w:val="24"/>
        </w:rPr>
        <w:t>】</w:t>
      </w:r>
      <w:r>
        <w:rPr>
          <w:szCs w:val="24"/>
        </w:rPr>
        <w:t>181</w:t>
      </w:r>
      <w:r>
        <w:rPr>
          <w:rFonts w:hint="eastAsia"/>
          <w:szCs w:val="24"/>
        </w:rPr>
        <w:t>号）相关规定。</w:t>
      </w:r>
    </w:p>
    <w:p>
      <w:pPr>
        <w:tabs>
          <w:tab w:val="left" w:pos="1620"/>
          <w:tab w:val="left" w:pos="1800"/>
        </w:tabs>
        <w:spacing w:line="480" w:lineRule="auto"/>
        <w:ind w:firstLine="480"/>
        <w:rPr>
          <w:b/>
          <w:sz w:val="28"/>
          <w:szCs w:val="28"/>
        </w:rPr>
      </w:pPr>
      <w:r>
        <w:rPr>
          <w:szCs w:val="24"/>
        </w:rPr>
        <w:t>2</w:t>
      </w:r>
      <w:r>
        <w:rPr>
          <w:rFonts w:hint="eastAsia"/>
          <w:szCs w:val="24"/>
        </w:rPr>
        <w:t>、投标供应商认为其为小型或微型企业的应提交本函，并明确企业类型并提供最近年度经审计的财务报表，否则评审时不能享受相应的价格扣除。</w:t>
      </w:r>
      <w:r>
        <w:rPr>
          <w:b/>
          <w:sz w:val="28"/>
          <w:szCs w:val="28"/>
        </w:rPr>
        <w:br w:type="page"/>
      </w:r>
      <w:r>
        <w:rPr>
          <w:rFonts w:hint="eastAsia"/>
          <w:b/>
          <w:sz w:val="28"/>
          <w:szCs w:val="28"/>
        </w:rPr>
        <w:t>附件：（如用）</w:t>
      </w:r>
    </w:p>
    <w:p>
      <w:pPr>
        <w:spacing w:before="100" w:beforeAutospacing="1" w:after="156" w:afterLines="50" w:line="360" w:lineRule="auto"/>
        <w:jc w:val="center"/>
        <w:rPr>
          <w:b/>
          <w:sz w:val="28"/>
          <w:szCs w:val="28"/>
        </w:rPr>
      </w:pPr>
      <w:r>
        <w:rPr>
          <w:rFonts w:hint="eastAsia"/>
          <w:b/>
          <w:sz w:val="28"/>
          <w:szCs w:val="28"/>
        </w:rPr>
        <w:t>磋商担保函</w:t>
      </w:r>
    </w:p>
    <w:p>
      <w:pPr>
        <w:rPr>
          <w:rFonts w:ascii="仿宋_GB2312" w:hAnsi="仿宋_GB2312" w:eastAsia="仿宋_GB2312"/>
          <w:szCs w:val="32"/>
        </w:rPr>
      </w:pPr>
      <w:r>
        <w:rPr>
          <w:rFonts w:ascii="仿宋_GB2312" w:hAnsi="仿宋_GB2312" w:eastAsia="仿宋_GB2312"/>
          <w:szCs w:val="32"/>
        </w:rPr>
        <w:t xml:space="preserve">                                         </w:t>
      </w:r>
    </w:p>
    <w:p>
      <w:pPr>
        <w:jc w:val="center"/>
        <w:rPr>
          <w:rFonts w:ascii="仿宋_GB2312" w:hAnsi="仿宋_GB2312" w:eastAsia="仿宋_GB2312"/>
          <w:szCs w:val="32"/>
        </w:rPr>
      </w:pPr>
      <w:r>
        <w:rPr>
          <w:rFonts w:ascii="仿宋_GB2312" w:hAnsi="仿宋_GB2312" w:eastAsia="仿宋_GB2312"/>
          <w:szCs w:val="32"/>
        </w:rPr>
        <w:t xml:space="preserve">                     </w:t>
      </w:r>
      <w:r>
        <w:rPr>
          <w:szCs w:val="24"/>
        </w:rPr>
        <w:t xml:space="preserve">         </w:t>
      </w:r>
      <w:r>
        <w:rPr>
          <w:rFonts w:hint="eastAsia"/>
          <w:szCs w:val="24"/>
        </w:rPr>
        <w:t>编号：</w:t>
      </w:r>
      <w:r>
        <w:rPr>
          <w:szCs w:val="24"/>
        </w:rPr>
        <w:t xml:space="preserve"> </w:t>
      </w:r>
    </w:p>
    <w:p>
      <w:pPr>
        <w:rPr>
          <w:rFonts w:ascii="仿宋_GB2312" w:hAnsi="仿宋_GB2312" w:eastAsia="仿宋_GB2312"/>
          <w:szCs w:val="32"/>
          <w:u w:val="single"/>
        </w:rPr>
      </w:pPr>
    </w:p>
    <w:p>
      <w:pPr>
        <w:spacing w:line="360" w:lineRule="auto"/>
        <w:rPr>
          <w:szCs w:val="24"/>
        </w:rPr>
      </w:pPr>
      <w:r>
        <w:rPr>
          <w:szCs w:val="24"/>
        </w:rPr>
        <w:t>___________________</w:t>
      </w:r>
      <w:r>
        <w:rPr>
          <w:rFonts w:hint="eastAsia"/>
          <w:szCs w:val="24"/>
        </w:rPr>
        <w:t>（采购人或采购代理机构）：</w:t>
      </w:r>
      <w:r>
        <w:rPr>
          <w:szCs w:val="24"/>
        </w:rPr>
        <w:t xml:space="preserve"> </w:t>
      </w:r>
    </w:p>
    <w:p>
      <w:pPr>
        <w:spacing w:line="360" w:lineRule="auto"/>
        <w:jc w:val="left"/>
        <w:rPr>
          <w:szCs w:val="24"/>
        </w:rPr>
      </w:pPr>
      <w:r>
        <w:rPr>
          <w:szCs w:val="24"/>
        </w:rPr>
        <w:t xml:space="preserve">    </w:t>
      </w:r>
      <w:r>
        <w:rPr>
          <w:rFonts w:hint="eastAsia"/>
          <w:szCs w:val="24"/>
        </w:rPr>
        <w:t>鉴于</w:t>
      </w:r>
      <w:r>
        <w:rPr>
          <w:szCs w:val="24"/>
        </w:rPr>
        <w:t>_______________</w:t>
      </w:r>
      <w:r>
        <w:rPr>
          <w:rFonts w:hint="eastAsia"/>
          <w:szCs w:val="24"/>
        </w:rPr>
        <w:t>（以下简称“供应商”）拟参加编号为</w:t>
      </w:r>
      <w:r>
        <w:rPr>
          <w:szCs w:val="24"/>
        </w:rPr>
        <w:t>___________</w:t>
      </w:r>
      <w:r>
        <w:rPr>
          <w:rFonts w:hint="eastAsia"/>
          <w:szCs w:val="24"/>
        </w:rPr>
        <w:t>的</w:t>
      </w:r>
      <w:r>
        <w:rPr>
          <w:szCs w:val="24"/>
        </w:rPr>
        <w:t>_______</w:t>
      </w:r>
      <w:r>
        <w:rPr>
          <w:rFonts w:hint="eastAsia"/>
          <w:szCs w:val="24"/>
        </w:rPr>
        <w:t>项目</w:t>
      </w:r>
      <w:r>
        <w:rPr>
          <w:szCs w:val="24"/>
          <w:u w:val="single"/>
        </w:rPr>
        <w:t xml:space="preserve">      </w:t>
      </w:r>
      <w:r>
        <w:rPr>
          <w:rFonts w:hint="eastAsia"/>
          <w:szCs w:val="24"/>
        </w:rPr>
        <w:t>（以下简称“本项目”）投标，根据本项目磋商文件，供应商参加投标时应向你方交纳磋商保证金，且可以投标担保函的形式交纳磋商保证金。应供应商的申请，我方以保证的方式向你方提供如下磋商保证金担保：</w:t>
      </w:r>
      <w:r>
        <w:rPr>
          <w:szCs w:val="24"/>
        </w:rPr>
        <w:t xml:space="preserve"> </w:t>
      </w:r>
    </w:p>
    <w:p>
      <w:pPr>
        <w:spacing w:line="360" w:lineRule="auto"/>
        <w:rPr>
          <w:b/>
          <w:szCs w:val="24"/>
        </w:rPr>
      </w:pPr>
      <w:r>
        <w:rPr>
          <w:szCs w:val="24"/>
        </w:rPr>
        <w:t xml:space="preserve">   </w:t>
      </w:r>
      <w:r>
        <w:rPr>
          <w:b/>
          <w:szCs w:val="24"/>
        </w:rPr>
        <w:t xml:space="preserve"> </w:t>
      </w:r>
      <w:r>
        <w:rPr>
          <w:rFonts w:hint="eastAsia"/>
          <w:b/>
          <w:szCs w:val="24"/>
        </w:rPr>
        <w:t>一、保证责任的情形及保证金额</w:t>
      </w:r>
      <w:r>
        <w:rPr>
          <w:b/>
          <w:szCs w:val="24"/>
        </w:rPr>
        <w:t xml:space="preserve"> </w:t>
      </w:r>
    </w:p>
    <w:p>
      <w:pPr>
        <w:spacing w:line="360" w:lineRule="auto"/>
        <w:rPr>
          <w:szCs w:val="24"/>
        </w:rPr>
      </w:pPr>
      <w:r>
        <w:rPr>
          <w:szCs w:val="24"/>
        </w:rPr>
        <w:t xml:space="preserve">   </w:t>
      </w:r>
      <w:r>
        <w:rPr>
          <w:rFonts w:hint="eastAsia"/>
          <w:szCs w:val="24"/>
        </w:rPr>
        <w:t>（一）在供应商出现下列情形之一时，我方承担保证责任：</w:t>
      </w:r>
      <w:r>
        <w:rPr>
          <w:szCs w:val="24"/>
        </w:rPr>
        <w:t xml:space="preserve"> </w:t>
      </w:r>
    </w:p>
    <w:p>
      <w:pPr>
        <w:spacing w:line="360" w:lineRule="auto"/>
        <w:rPr>
          <w:szCs w:val="24"/>
        </w:rPr>
      </w:pPr>
      <w:r>
        <w:rPr>
          <w:szCs w:val="24"/>
        </w:rPr>
        <w:t xml:space="preserve">    1</w:t>
      </w:r>
      <w:r>
        <w:rPr>
          <w:rFonts w:hint="eastAsia"/>
          <w:szCs w:val="24"/>
        </w:rPr>
        <w:t>．中标后供应商无正当理由不与采购人或者采购代理机构签订《政府采购合同》；</w:t>
      </w:r>
      <w:r>
        <w:rPr>
          <w:szCs w:val="24"/>
        </w:rPr>
        <w:t xml:space="preserve"> </w:t>
      </w:r>
    </w:p>
    <w:p>
      <w:pPr>
        <w:spacing w:line="360" w:lineRule="auto"/>
        <w:rPr>
          <w:szCs w:val="24"/>
        </w:rPr>
      </w:pPr>
      <w:r>
        <w:rPr>
          <w:szCs w:val="24"/>
        </w:rPr>
        <w:t xml:space="preserve">    2</w:t>
      </w:r>
      <w:r>
        <w:rPr>
          <w:rFonts w:hint="eastAsia"/>
          <w:szCs w:val="24"/>
        </w:rPr>
        <w:t>．磋商文件规定的供应商应当缴纳保证金的其他情形。</w:t>
      </w:r>
      <w:r>
        <w:rPr>
          <w:szCs w:val="24"/>
        </w:rPr>
        <w:t xml:space="preserve"> </w:t>
      </w:r>
    </w:p>
    <w:p>
      <w:pPr>
        <w:spacing w:line="360" w:lineRule="auto"/>
        <w:jc w:val="left"/>
        <w:rPr>
          <w:szCs w:val="24"/>
        </w:rPr>
      </w:pPr>
      <w:r>
        <w:rPr>
          <w:szCs w:val="24"/>
        </w:rPr>
        <w:t xml:space="preserve">  </w:t>
      </w:r>
      <w:r>
        <w:rPr>
          <w:rFonts w:hint="eastAsia"/>
          <w:szCs w:val="24"/>
        </w:rPr>
        <w:t>（二）我方承担保证责任的最高金额为人民币</w:t>
      </w:r>
      <w:r>
        <w:rPr>
          <w:szCs w:val="24"/>
        </w:rPr>
        <w:t>______</w:t>
      </w:r>
      <w:r>
        <w:rPr>
          <w:rFonts w:hint="eastAsia"/>
          <w:szCs w:val="24"/>
        </w:rPr>
        <w:t>元（大写</w:t>
      </w:r>
      <w:r>
        <w:rPr>
          <w:szCs w:val="24"/>
        </w:rPr>
        <w:t>_________________</w:t>
      </w:r>
      <w:r>
        <w:rPr>
          <w:rFonts w:hint="eastAsia"/>
          <w:szCs w:val="24"/>
        </w:rPr>
        <w:t>），即本项目</w:t>
      </w:r>
      <w:r>
        <w:rPr>
          <w:szCs w:val="24"/>
          <w:u w:val="single"/>
        </w:rPr>
        <w:t xml:space="preserve">     </w:t>
      </w:r>
      <w:r>
        <w:rPr>
          <w:rFonts w:hint="eastAsia"/>
          <w:szCs w:val="24"/>
        </w:rPr>
        <w:t>的磋商保证金金额。</w:t>
      </w:r>
      <w:r>
        <w:rPr>
          <w:szCs w:val="24"/>
        </w:rPr>
        <w:t xml:space="preserve"> </w:t>
      </w:r>
    </w:p>
    <w:p>
      <w:pPr>
        <w:spacing w:line="360" w:lineRule="auto"/>
        <w:rPr>
          <w:b/>
          <w:szCs w:val="24"/>
        </w:rPr>
      </w:pPr>
      <w:r>
        <w:rPr>
          <w:szCs w:val="24"/>
        </w:rPr>
        <w:t xml:space="preserve">   </w:t>
      </w:r>
      <w:r>
        <w:rPr>
          <w:b/>
          <w:szCs w:val="24"/>
        </w:rPr>
        <w:t xml:space="preserve"> </w:t>
      </w:r>
      <w:r>
        <w:rPr>
          <w:rFonts w:hint="eastAsia"/>
          <w:b/>
          <w:szCs w:val="24"/>
        </w:rPr>
        <w:t>二、保证的方式及保证期间</w:t>
      </w:r>
      <w:r>
        <w:rPr>
          <w:b/>
          <w:szCs w:val="24"/>
        </w:rPr>
        <w:t xml:space="preserve"> </w:t>
      </w:r>
    </w:p>
    <w:p>
      <w:pPr>
        <w:spacing w:line="360" w:lineRule="auto"/>
        <w:rPr>
          <w:szCs w:val="24"/>
        </w:rPr>
      </w:pPr>
      <w:r>
        <w:rPr>
          <w:szCs w:val="24"/>
        </w:rPr>
        <w:t xml:space="preserve">    </w:t>
      </w:r>
      <w:r>
        <w:rPr>
          <w:rFonts w:hint="eastAsia"/>
          <w:szCs w:val="24"/>
        </w:rPr>
        <w:t>我方保证的方式为：连带责任保证。</w:t>
      </w:r>
      <w:r>
        <w:rPr>
          <w:szCs w:val="24"/>
        </w:rPr>
        <w:t xml:space="preserve"> </w:t>
      </w:r>
    </w:p>
    <w:p>
      <w:pPr>
        <w:spacing w:line="360" w:lineRule="auto"/>
        <w:rPr>
          <w:szCs w:val="24"/>
        </w:rPr>
      </w:pPr>
      <w:r>
        <w:rPr>
          <w:szCs w:val="24"/>
        </w:rPr>
        <w:t xml:space="preserve">    </w:t>
      </w:r>
      <w:r>
        <w:rPr>
          <w:rFonts w:hint="eastAsia"/>
          <w:szCs w:val="24"/>
        </w:rPr>
        <w:t>我方的保证期间为：自本保函生效之日起</w:t>
      </w:r>
      <w:r>
        <w:rPr>
          <w:szCs w:val="24"/>
        </w:rPr>
        <w:t>______</w:t>
      </w:r>
      <w:r>
        <w:rPr>
          <w:rFonts w:hint="eastAsia"/>
          <w:szCs w:val="24"/>
        </w:rPr>
        <w:t>个月止。</w:t>
      </w:r>
      <w:r>
        <w:rPr>
          <w:szCs w:val="24"/>
        </w:rPr>
        <w:t xml:space="preserve"> </w:t>
      </w:r>
    </w:p>
    <w:p>
      <w:pPr>
        <w:spacing w:line="360" w:lineRule="auto"/>
        <w:rPr>
          <w:b/>
          <w:szCs w:val="24"/>
        </w:rPr>
      </w:pPr>
      <w:r>
        <w:rPr>
          <w:szCs w:val="24"/>
        </w:rPr>
        <w:t xml:space="preserve">   </w:t>
      </w:r>
      <w:r>
        <w:rPr>
          <w:b/>
          <w:szCs w:val="24"/>
        </w:rPr>
        <w:t xml:space="preserve"> </w:t>
      </w:r>
      <w:r>
        <w:rPr>
          <w:rFonts w:hint="eastAsia"/>
          <w:b/>
          <w:szCs w:val="24"/>
        </w:rPr>
        <w:t>三、承担保证责任的程序</w:t>
      </w:r>
      <w:r>
        <w:rPr>
          <w:b/>
          <w:szCs w:val="24"/>
        </w:rPr>
        <w:t xml:space="preserve"> </w:t>
      </w:r>
    </w:p>
    <w:p>
      <w:pPr>
        <w:spacing w:line="360" w:lineRule="auto"/>
        <w:rPr>
          <w:szCs w:val="24"/>
        </w:rPr>
      </w:pPr>
      <w:r>
        <w:rPr>
          <w:szCs w:val="24"/>
        </w:rPr>
        <w:t xml:space="preserve">    1</w:t>
      </w:r>
      <w:r>
        <w:rPr>
          <w:rFonts w:hint="eastAsia"/>
          <w:szCs w:val="24"/>
        </w:rPr>
        <w:t>．你方要求我方承担保证责任的，应在本保函保证期间内向我方发出书面索赔通知。索赔通知应写明要求索赔的金额，支付款项应到达的账号，并附有证明供应商发生我方应承担保证责任情形的事实材料。</w:t>
      </w:r>
      <w:r>
        <w:rPr>
          <w:szCs w:val="24"/>
        </w:rPr>
        <w:t xml:space="preserve"> </w:t>
      </w:r>
    </w:p>
    <w:p>
      <w:pPr>
        <w:spacing w:line="360" w:lineRule="auto"/>
        <w:rPr>
          <w:szCs w:val="24"/>
        </w:rPr>
      </w:pPr>
      <w:r>
        <w:rPr>
          <w:szCs w:val="24"/>
        </w:rPr>
        <w:t xml:space="preserve">    2</w:t>
      </w:r>
      <w:r>
        <w:rPr>
          <w:rFonts w:hint="eastAsia"/>
          <w:szCs w:val="24"/>
        </w:rPr>
        <w:t>．我方在收到索赔通知及相关证明材料后，在</w:t>
      </w:r>
      <w:r>
        <w:rPr>
          <w:szCs w:val="24"/>
        </w:rPr>
        <w:t>_____</w:t>
      </w:r>
      <w:r>
        <w:rPr>
          <w:rFonts w:hint="eastAsia"/>
          <w:szCs w:val="24"/>
        </w:rPr>
        <w:t>个工作日内进行审查，符合应承担保证责任情形的，我方应按照你方的要求代供应商向你方支付磋商保证金。</w:t>
      </w:r>
      <w:r>
        <w:rPr>
          <w:szCs w:val="24"/>
        </w:rPr>
        <w:t xml:space="preserve"> </w:t>
      </w:r>
    </w:p>
    <w:p>
      <w:pPr>
        <w:spacing w:line="360" w:lineRule="auto"/>
        <w:rPr>
          <w:b/>
          <w:szCs w:val="24"/>
        </w:rPr>
      </w:pPr>
      <w:r>
        <w:rPr>
          <w:b/>
          <w:szCs w:val="24"/>
        </w:rPr>
        <w:t xml:space="preserve">    </w:t>
      </w:r>
      <w:r>
        <w:rPr>
          <w:rFonts w:hint="eastAsia"/>
          <w:b/>
          <w:szCs w:val="24"/>
        </w:rPr>
        <w:t>四、保证责任的终止</w:t>
      </w:r>
      <w:r>
        <w:rPr>
          <w:b/>
          <w:szCs w:val="24"/>
        </w:rPr>
        <w:t xml:space="preserve"> </w:t>
      </w:r>
    </w:p>
    <w:p>
      <w:pPr>
        <w:spacing w:line="360" w:lineRule="auto"/>
        <w:rPr>
          <w:szCs w:val="24"/>
        </w:rPr>
      </w:pPr>
      <w:r>
        <w:rPr>
          <w:szCs w:val="24"/>
        </w:rPr>
        <w:t xml:space="preserve">    1</w:t>
      </w:r>
      <w:r>
        <w:rPr>
          <w:rFonts w:hint="eastAsia"/>
          <w:szCs w:val="24"/>
        </w:rPr>
        <w:t>．保证期间届满你方未向我方书面主张保证责任的，自保证期间届满次日起，我方保证责任自动终止。</w:t>
      </w:r>
      <w:r>
        <w:rPr>
          <w:szCs w:val="24"/>
        </w:rPr>
        <w:t xml:space="preserve"> </w:t>
      </w:r>
    </w:p>
    <w:p>
      <w:pPr>
        <w:spacing w:line="360" w:lineRule="auto"/>
        <w:rPr>
          <w:szCs w:val="24"/>
        </w:rPr>
      </w:pPr>
      <w:r>
        <w:rPr>
          <w:szCs w:val="24"/>
        </w:rPr>
        <w:t xml:space="preserve">    2</w:t>
      </w:r>
      <w:r>
        <w:rPr>
          <w:rFonts w:hint="eastAsia"/>
          <w:szCs w:val="24"/>
        </w:rPr>
        <w:t>．我方按照本保函向你方履行了保证责任后，自我方向你方支付款项（支付款项从我方账户划出）之日起，保证责任终止。</w:t>
      </w:r>
      <w:r>
        <w:rPr>
          <w:szCs w:val="24"/>
        </w:rPr>
        <w:t xml:space="preserve"> </w:t>
      </w:r>
    </w:p>
    <w:p>
      <w:pPr>
        <w:spacing w:line="360" w:lineRule="auto"/>
        <w:rPr>
          <w:szCs w:val="24"/>
        </w:rPr>
      </w:pPr>
      <w:r>
        <w:rPr>
          <w:szCs w:val="24"/>
        </w:rPr>
        <w:t xml:space="preserve">    3</w:t>
      </w:r>
      <w:r>
        <w:rPr>
          <w:rFonts w:hint="eastAsia"/>
          <w:szCs w:val="24"/>
        </w:rPr>
        <w:t>．按照法律法规的规定或出现我方保证责任终止的其它情形的，我方在本保函项下的保证责任亦终止。</w:t>
      </w:r>
      <w:r>
        <w:rPr>
          <w:szCs w:val="24"/>
        </w:rPr>
        <w:t xml:space="preserve"> </w:t>
      </w:r>
    </w:p>
    <w:p>
      <w:pPr>
        <w:spacing w:line="360" w:lineRule="auto"/>
        <w:rPr>
          <w:b/>
          <w:szCs w:val="24"/>
        </w:rPr>
      </w:pPr>
      <w:r>
        <w:rPr>
          <w:b/>
          <w:szCs w:val="24"/>
        </w:rPr>
        <w:t xml:space="preserve">    </w:t>
      </w:r>
      <w:r>
        <w:rPr>
          <w:rFonts w:hint="eastAsia"/>
          <w:b/>
          <w:szCs w:val="24"/>
        </w:rPr>
        <w:t>五、免责条款</w:t>
      </w:r>
      <w:r>
        <w:rPr>
          <w:b/>
          <w:szCs w:val="24"/>
        </w:rPr>
        <w:t xml:space="preserve"> </w:t>
      </w:r>
    </w:p>
    <w:p>
      <w:pPr>
        <w:spacing w:line="360" w:lineRule="auto"/>
        <w:rPr>
          <w:szCs w:val="24"/>
        </w:rPr>
      </w:pPr>
      <w:r>
        <w:rPr>
          <w:szCs w:val="24"/>
        </w:rPr>
        <w:t xml:space="preserve">    1</w:t>
      </w:r>
      <w:r>
        <w:rPr>
          <w:rFonts w:hint="eastAsia"/>
          <w:szCs w:val="24"/>
        </w:rPr>
        <w:t>．依照法律规定或你方与供应商的另行约定，全部或者部分免除供应商磋商保证金义务时，我方亦免除相应的保证责任。</w:t>
      </w:r>
      <w:r>
        <w:rPr>
          <w:szCs w:val="24"/>
        </w:rPr>
        <w:t xml:space="preserve"> </w:t>
      </w:r>
    </w:p>
    <w:p>
      <w:pPr>
        <w:spacing w:line="360" w:lineRule="auto"/>
        <w:rPr>
          <w:szCs w:val="24"/>
        </w:rPr>
      </w:pPr>
      <w:r>
        <w:rPr>
          <w:szCs w:val="24"/>
        </w:rPr>
        <w:t xml:space="preserve">    2</w:t>
      </w:r>
      <w:r>
        <w:rPr>
          <w:rFonts w:hint="eastAsia"/>
          <w:szCs w:val="24"/>
        </w:rPr>
        <w:t>．因你方原因致使供应商发生本保函第一条第（一）款约定情形的，我方不承担保证责任。</w:t>
      </w:r>
      <w:r>
        <w:rPr>
          <w:szCs w:val="24"/>
        </w:rPr>
        <w:t xml:space="preserve"> </w:t>
      </w:r>
    </w:p>
    <w:p>
      <w:pPr>
        <w:spacing w:line="360" w:lineRule="auto"/>
        <w:rPr>
          <w:szCs w:val="24"/>
        </w:rPr>
      </w:pPr>
      <w:r>
        <w:rPr>
          <w:szCs w:val="24"/>
        </w:rPr>
        <w:t xml:space="preserve">    3</w:t>
      </w:r>
      <w:r>
        <w:rPr>
          <w:rFonts w:hint="eastAsia"/>
          <w:szCs w:val="24"/>
        </w:rPr>
        <w:t>．因不可抗力造成供应商发生本保函第一条约定情形的，我方不承担保证责任。</w:t>
      </w:r>
      <w:r>
        <w:rPr>
          <w:szCs w:val="24"/>
        </w:rPr>
        <w:t xml:space="preserve"> </w:t>
      </w:r>
    </w:p>
    <w:p>
      <w:pPr>
        <w:spacing w:line="360" w:lineRule="auto"/>
        <w:rPr>
          <w:szCs w:val="24"/>
        </w:rPr>
      </w:pPr>
      <w:r>
        <w:rPr>
          <w:szCs w:val="24"/>
        </w:rPr>
        <w:t xml:space="preserve">    4</w:t>
      </w:r>
      <w:r>
        <w:rPr>
          <w:rFonts w:hint="eastAsia"/>
          <w:szCs w:val="24"/>
        </w:rPr>
        <w:t>．你方或其他有权机关对磋商文件进行任何澄清或修改，加重我方保证责任的，我方对加重部分不承担保证责任，但该澄清或修改经我方事先书面同意的除外。</w:t>
      </w:r>
      <w:r>
        <w:rPr>
          <w:szCs w:val="24"/>
        </w:rPr>
        <w:t xml:space="preserve"> </w:t>
      </w:r>
    </w:p>
    <w:p>
      <w:pPr>
        <w:spacing w:line="360" w:lineRule="auto"/>
        <w:rPr>
          <w:b/>
          <w:szCs w:val="24"/>
        </w:rPr>
      </w:pPr>
      <w:r>
        <w:rPr>
          <w:szCs w:val="24"/>
        </w:rPr>
        <w:t xml:space="preserve">   </w:t>
      </w:r>
      <w:r>
        <w:rPr>
          <w:b/>
          <w:szCs w:val="24"/>
        </w:rPr>
        <w:t xml:space="preserve"> </w:t>
      </w:r>
      <w:r>
        <w:rPr>
          <w:rFonts w:hint="eastAsia"/>
          <w:b/>
          <w:szCs w:val="24"/>
        </w:rPr>
        <w:t>六、争议的解决</w:t>
      </w:r>
      <w:r>
        <w:rPr>
          <w:b/>
          <w:szCs w:val="24"/>
        </w:rPr>
        <w:t xml:space="preserve"> </w:t>
      </w:r>
    </w:p>
    <w:p>
      <w:pPr>
        <w:spacing w:line="360" w:lineRule="auto"/>
        <w:rPr>
          <w:szCs w:val="24"/>
        </w:rPr>
      </w:pPr>
      <w:r>
        <w:rPr>
          <w:szCs w:val="24"/>
        </w:rPr>
        <w:t xml:space="preserve">    </w:t>
      </w:r>
      <w:r>
        <w:rPr>
          <w:rFonts w:hint="eastAsia"/>
          <w:szCs w:val="24"/>
        </w:rPr>
        <w:t>因本保函发生的纠纷，由你我双方协商解决，协商不成的，通过诉讼程序解决，诉讼管辖地法院为</w:t>
      </w:r>
      <w:r>
        <w:rPr>
          <w:szCs w:val="24"/>
        </w:rPr>
        <w:t>________________</w:t>
      </w:r>
      <w:r>
        <w:rPr>
          <w:rFonts w:hint="eastAsia"/>
          <w:szCs w:val="24"/>
        </w:rPr>
        <w:t>法院。</w:t>
      </w:r>
      <w:r>
        <w:rPr>
          <w:szCs w:val="24"/>
        </w:rPr>
        <w:t xml:space="preserve"> </w:t>
      </w:r>
    </w:p>
    <w:p>
      <w:pPr>
        <w:spacing w:line="360" w:lineRule="auto"/>
        <w:rPr>
          <w:b/>
          <w:szCs w:val="24"/>
        </w:rPr>
      </w:pPr>
      <w:r>
        <w:rPr>
          <w:b/>
          <w:szCs w:val="24"/>
        </w:rPr>
        <w:t xml:space="preserve">    </w:t>
      </w:r>
      <w:r>
        <w:rPr>
          <w:rFonts w:hint="eastAsia"/>
          <w:b/>
          <w:szCs w:val="24"/>
        </w:rPr>
        <w:t>七、保函的生效</w:t>
      </w:r>
      <w:r>
        <w:rPr>
          <w:b/>
          <w:szCs w:val="24"/>
        </w:rPr>
        <w:t xml:space="preserve"> </w:t>
      </w:r>
    </w:p>
    <w:p>
      <w:pPr>
        <w:spacing w:line="360" w:lineRule="auto"/>
        <w:rPr>
          <w:szCs w:val="24"/>
        </w:rPr>
      </w:pPr>
      <w:r>
        <w:rPr>
          <w:szCs w:val="24"/>
        </w:rPr>
        <w:t xml:space="preserve">    </w:t>
      </w:r>
      <w:r>
        <w:rPr>
          <w:rFonts w:hint="eastAsia"/>
          <w:szCs w:val="24"/>
        </w:rPr>
        <w:t>本保函自我方加盖公章之日起生效。</w:t>
      </w:r>
      <w:r>
        <w:rPr>
          <w:szCs w:val="24"/>
        </w:rPr>
        <w:t xml:space="preserve"> </w:t>
      </w:r>
    </w:p>
    <w:p>
      <w:pPr>
        <w:spacing w:line="360" w:lineRule="auto"/>
        <w:rPr>
          <w:szCs w:val="24"/>
        </w:rPr>
      </w:pPr>
      <w:r>
        <w:rPr>
          <w:szCs w:val="24"/>
        </w:rPr>
        <w:t xml:space="preserve">                             </w:t>
      </w:r>
    </w:p>
    <w:p>
      <w:pPr>
        <w:spacing w:line="360" w:lineRule="auto"/>
        <w:rPr>
          <w:szCs w:val="24"/>
        </w:rPr>
      </w:pPr>
    </w:p>
    <w:p>
      <w:pPr>
        <w:spacing w:line="360" w:lineRule="auto"/>
        <w:rPr>
          <w:szCs w:val="24"/>
        </w:rPr>
      </w:pPr>
      <w:r>
        <w:rPr>
          <w:szCs w:val="24"/>
        </w:rPr>
        <w:t xml:space="preserve">                                </w:t>
      </w:r>
    </w:p>
    <w:p>
      <w:pPr>
        <w:spacing w:line="360" w:lineRule="auto"/>
        <w:rPr>
          <w:szCs w:val="24"/>
        </w:rPr>
      </w:pPr>
    </w:p>
    <w:p>
      <w:pPr>
        <w:spacing w:line="360" w:lineRule="auto"/>
        <w:ind w:right="640" w:firstLine="3840" w:firstLineChars="1600"/>
        <w:rPr>
          <w:szCs w:val="24"/>
        </w:rPr>
      </w:pPr>
      <w:r>
        <w:rPr>
          <w:rFonts w:hint="eastAsia"/>
          <w:szCs w:val="24"/>
        </w:rPr>
        <w:t>保证人：（公章）</w:t>
      </w:r>
    </w:p>
    <w:p>
      <w:pPr>
        <w:spacing w:line="360" w:lineRule="auto"/>
        <w:ind w:right="640"/>
        <w:rPr>
          <w:szCs w:val="24"/>
        </w:rPr>
      </w:pPr>
      <w:r>
        <w:rPr>
          <w:szCs w:val="24"/>
        </w:rPr>
        <w:t xml:space="preserve">                                </w:t>
      </w:r>
      <w:r>
        <w:rPr>
          <w:rFonts w:hint="eastAsia"/>
          <w:szCs w:val="24"/>
        </w:rPr>
        <w:t>年</w:t>
      </w:r>
      <w:r>
        <w:rPr>
          <w:szCs w:val="24"/>
        </w:rPr>
        <w:t xml:space="preserve">   </w:t>
      </w:r>
      <w:r>
        <w:rPr>
          <w:rFonts w:hint="eastAsia"/>
          <w:szCs w:val="24"/>
        </w:rPr>
        <w:t>月</w:t>
      </w:r>
      <w:r>
        <w:rPr>
          <w:szCs w:val="24"/>
        </w:rPr>
        <w:t xml:space="preserve">   </w:t>
      </w:r>
      <w:r>
        <w:rPr>
          <w:rFonts w:hint="eastAsia"/>
          <w:szCs w:val="24"/>
        </w:rPr>
        <w:t>日</w:t>
      </w:r>
    </w:p>
    <w:p>
      <w:pPr>
        <w:spacing w:line="500" w:lineRule="exact"/>
        <w:ind w:firstLine="480" w:firstLineChars="200"/>
        <w:rPr>
          <w:szCs w:val="24"/>
        </w:rPr>
      </w:pPr>
    </w:p>
    <w:p/>
    <w:p>
      <w:pPr>
        <w:spacing w:line="520" w:lineRule="exact"/>
        <w:ind w:right="480"/>
        <w:jc w:val="both"/>
        <w:rPr>
          <w:szCs w:val="2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方正大标宋简体">
    <w:altName w:val="宋体"/>
    <w:panose1 w:val="00000000000000000000"/>
    <w:charset w:val="86"/>
    <w:family w:val="auto"/>
    <w:pitch w:val="default"/>
    <w:sig w:usb0="00000000" w:usb1="00000000" w:usb2="00000010" w:usb3="00000000" w:csb0="00040000" w:csb1="00000000"/>
  </w:font>
  <w:font w:name="幼圆">
    <w:panose1 w:val="0201050906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Text Box 1"/>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15"/>
                          </w:pPr>
                          <w:r>
                            <w:fldChar w:fldCharType="begin"/>
                          </w:r>
                          <w:r>
                            <w:instrText xml:space="preserve"> PAGE  \* MERGEFORMAT </w:instrText>
                          </w:r>
                          <w:r>
                            <w:fldChar w:fldCharType="separate"/>
                          </w:r>
                          <w:r>
                            <w:t>0</w:t>
                          </w:r>
                          <w: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OqXm5zwAAAAUBAAAPAAAAAAAAAAEAIAAAACIA&#10;AABkcnMvZG93bnJldi54bWxQSwECFAAUAAAACACHTuJAl+tYJNkBAAC1AwAADgAAAAAAAAABACAA&#10;AAAeAQAAZHJzL2Uyb0RvYy54bWxQSwUGAAAAAAYABgBZAQAAaQU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57785" cy="131445"/>
              <wp:effectExtent l="0" t="0" r="635" b="0"/>
              <wp:wrapNone/>
              <wp:docPr id="3" name="Text Box 2"/>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15"/>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top:0pt;height:10.35pt;width:4.55pt;mso-position-horizontal:center;mso-position-horizontal-relative:margin;mso-wrap-style:none;z-index:251662336;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4vdRNAAAAACAQAADwAAAAAAAAAB&#10;ACAAAAAiAAAAZHJzL2Rvd25yZXYueG1sUEsBAhQAFAAAAAgAh07iQMTn533fAQAAsgMAAA4AAAAA&#10;AAAAAQAgAAAAHwEAAGRycy9lMm9Eb2MueG1sUEsFBgAAAAAGAAYAWQEAAHAFA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1"/>
        <w:szCs w:val="21"/>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57785" cy="131445"/>
              <wp:effectExtent l="0" t="2540" r="635" b="0"/>
              <wp:wrapNone/>
              <wp:docPr id="2" name="Text Box 3"/>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15"/>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Text Box 3" o:spid="_x0000_s1026" o:spt="202" type="#_x0000_t202" style="position:absolute;left:0pt;margin-top:0pt;height:10.35pt;width:4.55pt;mso-position-horizontal:center;mso-position-horizontal-relative:margin;mso-wrap-style:none;z-index:25166438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4vdRNAAAAACAQAADwAAAAAAAAAB&#10;ACAAAAAiAAAAZHJzL2Rvd25yZXYueG1sUEsBAhQAFAAAAAgAh07iQCQctjzfAQAAsgMAAA4AAAAA&#10;AAAAAQAgAAAAHwEAAGRycy9lMm9Eb2MueG1sUEsFBgAAAAAGAAYAWQEAAHAFA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rPr>
        <w:sz w:val="18"/>
        <w:szCs w:val="18"/>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7785" cy="131445"/>
              <wp:effectExtent l="0" t="0" r="635" b="3175"/>
              <wp:wrapNone/>
              <wp:docPr id="1" name="Text Box 4"/>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15"/>
                          </w:pPr>
                          <w:r>
                            <w:fldChar w:fldCharType="begin"/>
                          </w:r>
                          <w:r>
                            <w:instrText xml:space="preserve"> PAGE  \* MERGEFORMAT </w:instrText>
                          </w:r>
                          <w:r>
                            <w:fldChar w:fldCharType="separate"/>
                          </w:r>
                          <w:r>
                            <w:t>8</w:t>
                          </w:r>
                          <w:r>
                            <w:fldChar w:fldCharType="end"/>
                          </w:r>
                        </w:p>
                      </w:txbxContent>
                    </wps:txbx>
                    <wps:bodyPr rot="0" vert="horz" wrap="none" lIns="0" tIns="0" rIns="0" bIns="0" anchor="t" anchorCtr="0" upright="1">
                      <a:spAutoFit/>
                    </wps:bodyPr>
                  </wps:wsp>
                </a:graphicData>
              </a:graphic>
            </wp:anchor>
          </w:drawing>
        </mc:Choice>
        <mc:Fallback>
          <w:pict>
            <v:shape id="Text Box 4" o:spid="_x0000_s1026" o:spt="202" type="#_x0000_t202" style="position:absolute;left:0pt;margin-top:0pt;height:10.35pt;width:4.55pt;mso-position-horizontal:center;mso-position-horizontal-relative:margin;mso-wrap-style:none;z-index:251666432;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Pi91E0AAAAAIBAAAPAAAAAAAAAAEA&#10;IAAAACIAAABkcnMvZG93bnJldi54bWxQSwECFAAUAAAACACHTuJA9Jelqt4BAACyAwAADgAAAAAA&#10;AAABACAAAAAfAQAAZHJzL2Uyb0RvYy54bWxQSwUGAAAAAAYABgBZAQAAbwUAAAAA&#10;">
              <v:fill on="f" focussize="0,0"/>
              <v:stroke on="f"/>
              <v:imagedata o:title=""/>
              <o:lock v:ext="edit" aspectratio="f"/>
              <v:textbox inset="0mm,0mm,0mm,0mm" style="mso-fit-shape-to-text:t;">
                <w:txbxContent>
                  <w:p>
                    <w:pPr>
                      <w:pStyle w:val="15"/>
                    </w:pPr>
                    <w:r>
                      <w:fldChar w:fldCharType="begin"/>
                    </w:r>
                    <w:r>
                      <w:instrText xml:space="preserve"> PAGE  \* MERGEFORMAT </w:instrText>
                    </w:r>
                    <w:r>
                      <w:fldChar w:fldCharType="separate"/>
                    </w:r>
                    <w: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5646"/>
      </w:tabs>
      <w:rPr>
        <w:sz w:val="18"/>
        <w:szCs w:val="18"/>
      </w:rPr>
    </w:pPr>
    <w:r>
      <w:rPr>
        <w:rFonts w:hint="eastAsia"/>
        <w:sz w:val="18"/>
        <w:szCs w:val="18"/>
      </w:rPr>
      <w:t>陕</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54ECB6"/>
    <w:multiLevelType w:val="singleLevel"/>
    <w:tmpl w:val="5354ECB6"/>
    <w:lvl w:ilvl="0" w:tentative="0">
      <w:start w:val="1"/>
      <w:numFmt w:val="decimal"/>
      <w:suff w:val="nothing"/>
      <w:lvlText w:val="%1、"/>
      <w:lvlJc w:val="left"/>
      <w:rPr>
        <w:rFonts w:cs="Times New Roman"/>
      </w:rPr>
    </w:lvl>
  </w:abstractNum>
  <w:abstractNum w:abstractNumId="1">
    <w:nsid w:val="53EC41AD"/>
    <w:multiLevelType w:val="singleLevel"/>
    <w:tmpl w:val="53EC41AD"/>
    <w:lvl w:ilvl="0" w:tentative="0">
      <w:start w:val="1"/>
      <w:numFmt w:val="decimal"/>
      <w:lvlText w:val="（%1）"/>
      <w:lvlJc w:val="left"/>
      <w:pPr>
        <w:tabs>
          <w:tab w:val="left" w:pos="720"/>
        </w:tabs>
        <w:ind w:left="720" w:hanging="720"/>
      </w:pPr>
      <w:rPr>
        <w:rFonts w:hint="eastAsia" w:cs="Times New Roman"/>
      </w:rPr>
    </w:lvl>
  </w:abstractNum>
  <w:abstractNum w:abstractNumId="2">
    <w:nsid w:val="58491446"/>
    <w:multiLevelType w:val="singleLevel"/>
    <w:tmpl w:val="58491446"/>
    <w:lvl w:ilvl="0" w:tentative="0">
      <w:start w:val="1"/>
      <w:numFmt w:val="decimal"/>
      <w:suff w:val="nothing"/>
      <w:lvlText w:val="%1."/>
      <w:lvlJc w:val="left"/>
      <w:rPr>
        <w:rFonts w:cs="Times New Roman"/>
      </w:rPr>
    </w:lvl>
  </w:abstractNum>
  <w:abstractNum w:abstractNumId="3">
    <w:nsid w:val="58491603"/>
    <w:multiLevelType w:val="singleLevel"/>
    <w:tmpl w:val="58491603"/>
    <w:lvl w:ilvl="0" w:tentative="0">
      <w:start w:val="1"/>
      <w:numFmt w:val="decimal"/>
      <w:suff w:val="nothing"/>
      <w:lvlText w:val="%1、"/>
      <w:lvlJc w:val="left"/>
      <w:rPr>
        <w:rFonts w:cs="Times New Roman"/>
      </w:rPr>
    </w:lvl>
  </w:abstractNum>
  <w:abstractNum w:abstractNumId="4">
    <w:nsid w:val="58F83C01"/>
    <w:multiLevelType w:val="singleLevel"/>
    <w:tmpl w:val="58F83C01"/>
    <w:lvl w:ilvl="0" w:tentative="0">
      <w:start w:val="3"/>
      <w:numFmt w:val="chineseCounting"/>
      <w:suff w:val="space"/>
      <w:lvlText w:val="第%1章"/>
      <w:lvlJc w:val="left"/>
      <w:rPr>
        <w:rFonts w:cs="Times New Roman"/>
      </w:rPr>
    </w:lvl>
  </w:abstractNum>
  <w:abstractNum w:abstractNumId="5">
    <w:nsid w:val="590049E8"/>
    <w:multiLevelType w:val="singleLevel"/>
    <w:tmpl w:val="590049E8"/>
    <w:lvl w:ilvl="0" w:tentative="0">
      <w:start w:val="30"/>
      <w:numFmt w:val="decimal"/>
      <w:suff w:val="nothing"/>
      <w:lvlText w:val="%1."/>
      <w:lvlJc w:val="left"/>
      <w:rPr>
        <w:rFonts w:cs="Times New Roman"/>
      </w:rPr>
    </w:lvl>
  </w:abstractNum>
  <w:abstractNum w:abstractNumId="6">
    <w:nsid w:val="59B2460E"/>
    <w:multiLevelType w:val="singleLevel"/>
    <w:tmpl w:val="59B2460E"/>
    <w:lvl w:ilvl="0" w:tentative="0">
      <w:start w:val="2"/>
      <w:numFmt w:val="decimal"/>
      <w:suff w:val="nothing"/>
      <w:lvlText w:val="%1."/>
      <w:lvlJc w:val="left"/>
      <w:rPr>
        <w:rFonts w:cs="Times New Roman"/>
      </w:rPr>
    </w:lvl>
  </w:abstractNum>
  <w:abstractNum w:abstractNumId="7">
    <w:nsid w:val="59B25AF4"/>
    <w:multiLevelType w:val="singleLevel"/>
    <w:tmpl w:val="59B25AF4"/>
    <w:lvl w:ilvl="0" w:tentative="0">
      <w:start w:val="1"/>
      <w:numFmt w:val="decimal"/>
      <w:suff w:val="nothing"/>
      <w:lvlText w:val="（%1）"/>
      <w:lvlJc w:val="left"/>
      <w:rPr>
        <w:rFonts w:cs="Times New Roman"/>
      </w:rPr>
    </w:lvl>
  </w:abstractNum>
  <w:abstractNum w:abstractNumId="8">
    <w:nsid w:val="59B25D79"/>
    <w:multiLevelType w:val="singleLevel"/>
    <w:tmpl w:val="59B25D79"/>
    <w:lvl w:ilvl="0" w:tentative="0">
      <w:start w:val="2"/>
      <w:numFmt w:val="chineseCounting"/>
      <w:suff w:val="nothing"/>
      <w:lvlText w:val="%1．"/>
      <w:lvlJc w:val="left"/>
      <w:rPr>
        <w:rFonts w:cs="Times New Roman"/>
      </w:rPr>
    </w:lvl>
  </w:abstractNum>
  <w:abstractNum w:abstractNumId="9">
    <w:nsid w:val="59E1B4EC"/>
    <w:multiLevelType w:val="singleLevel"/>
    <w:tmpl w:val="59E1B4EC"/>
    <w:lvl w:ilvl="0" w:tentative="0">
      <w:start w:val="7"/>
      <w:numFmt w:val="chineseCounting"/>
      <w:suff w:val="nothing"/>
      <w:lvlText w:val="%1、"/>
      <w:lvlJc w:val="left"/>
      <w:rPr>
        <w:rFonts w:cs="Times New Roman"/>
      </w:rPr>
    </w:lvl>
  </w:abstractNum>
  <w:abstractNum w:abstractNumId="10">
    <w:nsid w:val="59E1B69F"/>
    <w:multiLevelType w:val="singleLevel"/>
    <w:tmpl w:val="59E1B69F"/>
    <w:lvl w:ilvl="0" w:tentative="0">
      <w:start w:val="9"/>
      <w:numFmt w:val="chineseCounting"/>
      <w:suff w:val="nothing"/>
      <w:lvlText w:val="%1、"/>
      <w:lvlJc w:val="left"/>
      <w:rPr>
        <w:rFonts w:cs="Times New Roman"/>
      </w:rPr>
    </w:lvl>
  </w:abstractNum>
  <w:abstractNum w:abstractNumId="11">
    <w:nsid w:val="59E1B6AF"/>
    <w:multiLevelType w:val="singleLevel"/>
    <w:tmpl w:val="59E1B6AF"/>
    <w:lvl w:ilvl="0" w:tentative="0">
      <w:start w:val="1"/>
      <w:numFmt w:val="decimal"/>
      <w:suff w:val="nothing"/>
      <w:lvlText w:val="%1、"/>
      <w:lvlJc w:val="left"/>
      <w:rPr>
        <w:rFonts w:cs="Times New Roman"/>
      </w:rPr>
    </w:lvl>
  </w:abstractNum>
  <w:abstractNum w:abstractNumId="12">
    <w:nsid w:val="5AE89E2D"/>
    <w:multiLevelType w:val="singleLevel"/>
    <w:tmpl w:val="5AE89E2D"/>
    <w:lvl w:ilvl="0" w:tentative="0">
      <w:start w:val="1"/>
      <w:numFmt w:val="decimal"/>
      <w:suff w:val="nothing"/>
      <w:lvlText w:val="%1、"/>
      <w:lvlJc w:val="left"/>
      <w:rPr>
        <w:rFonts w:cs="Times New Roman"/>
      </w:rPr>
    </w:lvl>
  </w:abstractNum>
  <w:abstractNum w:abstractNumId="13">
    <w:nsid w:val="656D6133"/>
    <w:multiLevelType w:val="multilevel"/>
    <w:tmpl w:val="656D6133"/>
    <w:lvl w:ilvl="0" w:tentative="0">
      <w:start w:val="1"/>
      <w:numFmt w:val="chineseCountingThousand"/>
      <w:suff w:val="nothing"/>
      <w:lvlText w:val="第%1部分"/>
      <w:lvlJc w:val="center"/>
      <w:pPr>
        <w:ind w:firstLine="288"/>
      </w:pPr>
      <w:rPr>
        <w:rFonts w:hint="eastAsia" w:cs="Times New Roman"/>
        <w:sz w:val="28"/>
        <w:szCs w:val="28"/>
      </w:rPr>
    </w:lvl>
    <w:lvl w:ilvl="1" w:tentative="0">
      <w:start w:val="1"/>
      <w:numFmt w:val="chineseCountingThousand"/>
      <w:suff w:val="nothing"/>
      <w:lvlText w:val="%2、"/>
      <w:lvlJc w:val="left"/>
      <w:pPr>
        <w:ind w:left="1083" w:firstLine="177"/>
      </w:pPr>
      <w:rPr>
        <w:rFonts w:hint="eastAsia" w:ascii="仿宋_GB2312" w:hAnsi="宋体" w:eastAsia="仿宋_GB2312" w:cs="Times New Roman"/>
        <w:sz w:val="32"/>
        <w:szCs w:val="32"/>
      </w:rPr>
    </w:lvl>
    <w:lvl w:ilvl="2" w:tentative="0">
      <w:start w:val="1"/>
      <w:numFmt w:val="chineseCountingThousand"/>
      <w:suff w:val="nothing"/>
      <w:lvlText w:val="(%3)"/>
      <w:lvlJc w:val="left"/>
      <w:rPr>
        <w:rFonts w:hint="default" w:ascii="Times New Roman" w:hAnsi="Times New Roman" w:eastAsia="宋体" w:cs="Times New Roman"/>
        <w:b/>
        <w:i w:val="0"/>
        <w:spacing w:val="0"/>
        <w:w w:val="100"/>
        <w:position w:val="0"/>
        <w:sz w:val="21"/>
        <w:szCs w:val="21"/>
      </w:rPr>
    </w:lvl>
    <w:lvl w:ilvl="3" w:tentative="0">
      <w:start w:val="1"/>
      <w:numFmt w:val="decimal"/>
      <w:pStyle w:val="6"/>
      <w:suff w:val="nothing"/>
      <w:lvlText w:val="%4、"/>
      <w:lvlJc w:val="left"/>
      <w:rPr>
        <w:rFonts w:hint="eastAsia" w:cs="Times New Roman"/>
      </w:rPr>
    </w:lvl>
    <w:lvl w:ilvl="4" w:tentative="0">
      <w:start w:val="1"/>
      <w:numFmt w:val="upperLetter"/>
      <w:suff w:val="nothing"/>
      <w:lvlText w:val="%5、"/>
      <w:lvlJc w:val="left"/>
      <w:rPr>
        <w:rFonts w:hint="eastAsia" w:cs="Times New Roman"/>
      </w:rPr>
    </w:lvl>
    <w:lvl w:ilvl="5" w:tentative="0">
      <w:start w:val="1"/>
      <w:numFmt w:val="none"/>
      <w:suff w:val="nothing"/>
      <w:lvlText w:val=""/>
      <w:lvlJc w:val="left"/>
      <w:rPr>
        <w:rFonts w:hint="eastAsia" w:cs="Times New Roman"/>
      </w:rPr>
    </w:lvl>
    <w:lvl w:ilvl="6" w:tentative="0">
      <w:start w:val="1"/>
      <w:numFmt w:val="none"/>
      <w:suff w:val="nothing"/>
      <w:lvlText w:val=""/>
      <w:lvlJc w:val="left"/>
      <w:rPr>
        <w:rFonts w:hint="eastAsia" w:cs="Times New Roman"/>
      </w:rPr>
    </w:lvl>
    <w:lvl w:ilvl="7" w:tentative="0">
      <w:start w:val="1"/>
      <w:numFmt w:val="none"/>
      <w:suff w:val="nothing"/>
      <w:lvlText w:val=""/>
      <w:lvlJc w:val="left"/>
      <w:rPr>
        <w:rFonts w:hint="eastAsia" w:cs="Times New Roman"/>
      </w:rPr>
    </w:lvl>
    <w:lvl w:ilvl="8" w:tentative="0">
      <w:start w:val="1"/>
      <w:numFmt w:val="none"/>
      <w:suff w:val="nothing"/>
      <w:lvlText w:val=""/>
      <w:lvlJc w:val="left"/>
      <w:rPr>
        <w:rFonts w:hint="eastAsia" w:cs="Times New Roman"/>
      </w:rPr>
    </w:lvl>
  </w:abstractNum>
  <w:abstractNum w:abstractNumId="14">
    <w:nsid w:val="76C11B24"/>
    <w:multiLevelType w:val="multilevel"/>
    <w:tmpl w:val="76C11B24"/>
    <w:lvl w:ilvl="0" w:tentative="0">
      <w:start w:val="1"/>
      <w:numFmt w:val="japaneseCounting"/>
      <w:lvlText w:val="（%1）"/>
      <w:lvlJc w:val="left"/>
      <w:pPr>
        <w:tabs>
          <w:tab w:val="left" w:pos="2482"/>
        </w:tabs>
        <w:ind w:left="2482" w:hanging="870"/>
      </w:pPr>
      <w:rPr>
        <w:rFonts w:hint="default" w:cs="Times New Roman"/>
      </w:rPr>
    </w:lvl>
    <w:lvl w:ilvl="1" w:tentative="0">
      <w:start w:val="1"/>
      <w:numFmt w:val="lowerLetter"/>
      <w:lvlText w:val="%2)"/>
      <w:lvlJc w:val="left"/>
      <w:pPr>
        <w:tabs>
          <w:tab w:val="left" w:pos="2452"/>
        </w:tabs>
        <w:ind w:left="2452" w:hanging="420"/>
      </w:pPr>
      <w:rPr>
        <w:rFonts w:cs="Times New Roman"/>
      </w:rPr>
    </w:lvl>
    <w:lvl w:ilvl="2" w:tentative="0">
      <w:start w:val="1"/>
      <w:numFmt w:val="lowerRoman"/>
      <w:lvlText w:val="%3."/>
      <w:lvlJc w:val="right"/>
      <w:pPr>
        <w:tabs>
          <w:tab w:val="left" w:pos="2872"/>
        </w:tabs>
        <w:ind w:left="2872" w:hanging="420"/>
      </w:pPr>
      <w:rPr>
        <w:rFonts w:cs="Times New Roman"/>
      </w:rPr>
    </w:lvl>
    <w:lvl w:ilvl="3" w:tentative="0">
      <w:start w:val="1"/>
      <w:numFmt w:val="decimal"/>
      <w:lvlText w:val="%4."/>
      <w:lvlJc w:val="left"/>
      <w:pPr>
        <w:tabs>
          <w:tab w:val="left" w:pos="3292"/>
        </w:tabs>
        <w:ind w:left="3292" w:hanging="420"/>
      </w:pPr>
      <w:rPr>
        <w:rFonts w:cs="Times New Roman"/>
      </w:rPr>
    </w:lvl>
    <w:lvl w:ilvl="4" w:tentative="0">
      <w:start w:val="1"/>
      <w:numFmt w:val="lowerLetter"/>
      <w:lvlText w:val="%5)"/>
      <w:lvlJc w:val="left"/>
      <w:pPr>
        <w:tabs>
          <w:tab w:val="left" w:pos="3712"/>
        </w:tabs>
        <w:ind w:left="3712" w:hanging="420"/>
      </w:pPr>
      <w:rPr>
        <w:rFonts w:cs="Times New Roman"/>
      </w:rPr>
    </w:lvl>
    <w:lvl w:ilvl="5" w:tentative="0">
      <w:start w:val="1"/>
      <w:numFmt w:val="lowerRoman"/>
      <w:lvlText w:val="%6."/>
      <w:lvlJc w:val="right"/>
      <w:pPr>
        <w:tabs>
          <w:tab w:val="left" w:pos="4132"/>
        </w:tabs>
        <w:ind w:left="4132" w:hanging="420"/>
      </w:pPr>
      <w:rPr>
        <w:rFonts w:cs="Times New Roman"/>
      </w:rPr>
    </w:lvl>
    <w:lvl w:ilvl="6" w:tentative="0">
      <w:start w:val="1"/>
      <w:numFmt w:val="decimal"/>
      <w:lvlText w:val="%7."/>
      <w:lvlJc w:val="left"/>
      <w:pPr>
        <w:tabs>
          <w:tab w:val="left" w:pos="4552"/>
        </w:tabs>
        <w:ind w:left="4552" w:hanging="420"/>
      </w:pPr>
      <w:rPr>
        <w:rFonts w:cs="Times New Roman"/>
      </w:rPr>
    </w:lvl>
    <w:lvl w:ilvl="7" w:tentative="0">
      <w:start w:val="1"/>
      <w:numFmt w:val="lowerLetter"/>
      <w:lvlText w:val="%8)"/>
      <w:lvlJc w:val="left"/>
      <w:pPr>
        <w:tabs>
          <w:tab w:val="left" w:pos="4972"/>
        </w:tabs>
        <w:ind w:left="4972" w:hanging="420"/>
      </w:pPr>
      <w:rPr>
        <w:rFonts w:cs="Times New Roman"/>
      </w:rPr>
    </w:lvl>
    <w:lvl w:ilvl="8" w:tentative="0">
      <w:start w:val="1"/>
      <w:numFmt w:val="lowerRoman"/>
      <w:lvlText w:val="%9."/>
      <w:lvlJc w:val="right"/>
      <w:pPr>
        <w:tabs>
          <w:tab w:val="left" w:pos="5392"/>
        </w:tabs>
        <w:ind w:left="5392" w:hanging="420"/>
      </w:pPr>
      <w:rPr>
        <w:rFonts w:cs="Times New Roman"/>
      </w:rPr>
    </w:lvl>
  </w:abstractNum>
  <w:num w:numId="1">
    <w:abstractNumId w:val="13"/>
  </w:num>
  <w:num w:numId="2">
    <w:abstractNumId w:val="9"/>
  </w:num>
  <w:num w:numId="3">
    <w:abstractNumId w:val="10"/>
  </w:num>
  <w:num w:numId="4">
    <w:abstractNumId w:val="11"/>
  </w:num>
  <w:num w:numId="5">
    <w:abstractNumId w:val="0"/>
  </w:num>
  <w:num w:numId="6">
    <w:abstractNumId w:val="6"/>
  </w:num>
  <w:num w:numId="7">
    <w:abstractNumId w:val="7"/>
  </w:num>
  <w:num w:numId="8">
    <w:abstractNumId w:val="5"/>
  </w:num>
  <w:num w:numId="9">
    <w:abstractNumId w:val="4"/>
  </w:num>
  <w:num w:numId="10">
    <w:abstractNumId w:val="8"/>
  </w:num>
  <w:num w:numId="11">
    <w:abstractNumId w:val="14"/>
  </w:num>
  <w:num w:numId="12">
    <w:abstractNumId w:val="1"/>
  </w:num>
  <w:num w:numId="13">
    <w:abstractNumId w:val="12"/>
  </w:num>
  <w:num w:numId="14">
    <w:abstractNumId w:val="2"/>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B59B5"/>
    <w:rsid w:val="00003276"/>
    <w:rsid w:val="0000470C"/>
    <w:rsid w:val="000074E7"/>
    <w:rsid w:val="00010CA4"/>
    <w:rsid w:val="00014401"/>
    <w:rsid w:val="0001508C"/>
    <w:rsid w:val="000155B5"/>
    <w:rsid w:val="00015798"/>
    <w:rsid w:val="0001730E"/>
    <w:rsid w:val="00023A4F"/>
    <w:rsid w:val="00026BB1"/>
    <w:rsid w:val="00026D54"/>
    <w:rsid w:val="00027AED"/>
    <w:rsid w:val="00032107"/>
    <w:rsid w:val="000326C1"/>
    <w:rsid w:val="00032BDB"/>
    <w:rsid w:val="00040E38"/>
    <w:rsid w:val="00042881"/>
    <w:rsid w:val="00043FC6"/>
    <w:rsid w:val="000444F5"/>
    <w:rsid w:val="00046A80"/>
    <w:rsid w:val="000534E8"/>
    <w:rsid w:val="000536C4"/>
    <w:rsid w:val="00054783"/>
    <w:rsid w:val="0006038C"/>
    <w:rsid w:val="00060D9A"/>
    <w:rsid w:val="000610FF"/>
    <w:rsid w:val="00063B2E"/>
    <w:rsid w:val="00065F62"/>
    <w:rsid w:val="00066187"/>
    <w:rsid w:val="00066381"/>
    <w:rsid w:val="0007028D"/>
    <w:rsid w:val="0007149B"/>
    <w:rsid w:val="0007324D"/>
    <w:rsid w:val="00076E50"/>
    <w:rsid w:val="00081D71"/>
    <w:rsid w:val="00082BC4"/>
    <w:rsid w:val="0008595D"/>
    <w:rsid w:val="00087927"/>
    <w:rsid w:val="00096E07"/>
    <w:rsid w:val="000A31E2"/>
    <w:rsid w:val="000A422D"/>
    <w:rsid w:val="000A6B01"/>
    <w:rsid w:val="000A7D5F"/>
    <w:rsid w:val="000B03A3"/>
    <w:rsid w:val="000B3136"/>
    <w:rsid w:val="000B3D4B"/>
    <w:rsid w:val="000B75C4"/>
    <w:rsid w:val="000C35DB"/>
    <w:rsid w:val="000C6A5E"/>
    <w:rsid w:val="000D366B"/>
    <w:rsid w:val="000D7562"/>
    <w:rsid w:val="000D777A"/>
    <w:rsid w:val="000F0085"/>
    <w:rsid w:val="000F2A73"/>
    <w:rsid w:val="000F6CB5"/>
    <w:rsid w:val="001038C4"/>
    <w:rsid w:val="00106CE1"/>
    <w:rsid w:val="00107C1C"/>
    <w:rsid w:val="00113261"/>
    <w:rsid w:val="001148D0"/>
    <w:rsid w:val="001164E8"/>
    <w:rsid w:val="00117DA0"/>
    <w:rsid w:val="00117F38"/>
    <w:rsid w:val="00120B3E"/>
    <w:rsid w:val="00122CB8"/>
    <w:rsid w:val="00125BC7"/>
    <w:rsid w:val="00126479"/>
    <w:rsid w:val="001301C6"/>
    <w:rsid w:val="00132402"/>
    <w:rsid w:val="00132D0C"/>
    <w:rsid w:val="00135894"/>
    <w:rsid w:val="00141F32"/>
    <w:rsid w:val="00145864"/>
    <w:rsid w:val="00150A1E"/>
    <w:rsid w:val="00150E66"/>
    <w:rsid w:val="001534E5"/>
    <w:rsid w:val="001564C1"/>
    <w:rsid w:val="00156995"/>
    <w:rsid w:val="00156BF8"/>
    <w:rsid w:val="00162A29"/>
    <w:rsid w:val="00163E1D"/>
    <w:rsid w:val="00164188"/>
    <w:rsid w:val="00164730"/>
    <w:rsid w:val="001651DE"/>
    <w:rsid w:val="0016797F"/>
    <w:rsid w:val="001709E5"/>
    <w:rsid w:val="0017134F"/>
    <w:rsid w:val="00171BA7"/>
    <w:rsid w:val="001772B7"/>
    <w:rsid w:val="001806D8"/>
    <w:rsid w:val="00182883"/>
    <w:rsid w:val="00187AD9"/>
    <w:rsid w:val="00196C32"/>
    <w:rsid w:val="001A0078"/>
    <w:rsid w:val="001A4DA1"/>
    <w:rsid w:val="001B2DF4"/>
    <w:rsid w:val="001C0233"/>
    <w:rsid w:val="001C0FA5"/>
    <w:rsid w:val="001C1F43"/>
    <w:rsid w:val="001C5E4D"/>
    <w:rsid w:val="001D0972"/>
    <w:rsid w:val="001D5FF5"/>
    <w:rsid w:val="001D74DD"/>
    <w:rsid w:val="001E0D27"/>
    <w:rsid w:val="001E37B3"/>
    <w:rsid w:val="001E37CF"/>
    <w:rsid w:val="001E4DED"/>
    <w:rsid w:val="001E6CCA"/>
    <w:rsid w:val="001F3B17"/>
    <w:rsid w:val="001F4307"/>
    <w:rsid w:val="001F6934"/>
    <w:rsid w:val="001F750C"/>
    <w:rsid w:val="00210555"/>
    <w:rsid w:val="00214BF4"/>
    <w:rsid w:val="00214D45"/>
    <w:rsid w:val="00220E83"/>
    <w:rsid w:val="00221033"/>
    <w:rsid w:val="0022235F"/>
    <w:rsid w:val="00222B2C"/>
    <w:rsid w:val="002240F0"/>
    <w:rsid w:val="00225144"/>
    <w:rsid w:val="00227C99"/>
    <w:rsid w:val="00233B48"/>
    <w:rsid w:val="00235B6C"/>
    <w:rsid w:val="00236669"/>
    <w:rsid w:val="002400E1"/>
    <w:rsid w:val="00250FF9"/>
    <w:rsid w:val="00252EB2"/>
    <w:rsid w:val="00255B5D"/>
    <w:rsid w:val="0025620B"/>
    <w:rsid w:val="00264C5F"/>
    <w:rsid w:val="00266E90"/>
    <w:rsid w:val="00270B5F"/>
    <w:rsid w:val="00272CB6"/>
    <w:rsid w:val="00275822"/>
    <w:rsid w:val="00276EA6"/>
    <w:rsid w:val="00277863"/>
    <w:rsid w:val="00284485"/>
    <w:rsid w:val="002864D6"/>
    <w:rsid w:val="0029606A"/>
    <w:rsid w:val="0029642D"/>
    <w:rsid w:val="002966A3"/>
    <w:rsid w:val="002A197C"/>
    <w:rsid w:val="002A52E6"/>
    <w:rsid w:val="002A65A3"/>
    <w:rsid w:val="002A707D"/>
    <w:rsid w:val="002B08AD"/>
    <w:rsid w:val="002B6A4E"/>
    <w:rsid w:val="002C063B"/>
    <w:rsid w:val="002C1006"/>
    <w:rsid w:val="002C234A"/>
    <w:rsid w:val="002C7162"/>
    <w:rsid w:val="002C7169"/>
    <w:rsid w:val="002C7673"/>
    <w:rsid w:val="002D0300"/>
    <w:rsid w:val="002D3A91"/>
    <w:rsid w:val="002E1B64"/>
    <w:rsid w:val="002E2A56"/>
    <w:rsid w:val="002E6787"/>
    <w:rsid w:val="002E6CE2"/>
    <w:rsid w:val="002F46DC"/>
    <w:rsid w:val="00305E2B"/>
    <w:rsid w:val="00306EEE"/>
    <w:rsid w:val="003071C4"/>
    <w:rsid w:val="00311F4A"/>
    <w:rsid w:val="00312592"/>
    <w:rsid w:val="00316372"/>
    <w:rsid w:val="0031724C"/>
    <w:rsid w:val="003179FA"/>
    <w:rsid w:val="00320987"/>
    <w:rsid w:val="00320C49"/>
    <w:rsid w:val="00326E3C"/>
    <w:rsid w:val="003278D3"/>
    <w:rsid w:val="003309C2"/>
    <w:rsid w:val="003422F1"/>
    <w:rsid w:val="00346C65"/>
    <w:rsid w:val="003523B1"/>
    <w:rsid w:val="00355EF2"/>
    <w:rsid w:val="00363567"/>
    <w:rsid w:val="0037064A"/>
    <w:rsid w:val="003708D6"/>
    <w:rsid w:val="003713A2"/>
    <w:rsid w:val="003768B7"/>
    <w:rsid w:val="00386331"/>
    <w:rsid w:val="00390335"/>
    <w:rsid w:val="003903DE"/>
    <w:rsid w:val="00390921"/>
    <w:rsid w:val="00391F59"/>
    <w:rsid w:val="003925C4"/>
    <w:rsid w:val="003943B1"/>
    <w:rsid w:val="00397014"/>
    <w:rsid w:val="003A2310"/>
    <w:rsid w:val="003A6E0A"/>
    <w:rsid w:val="003B68FA"/>
    <w:rsid w:val="003C299C"/>
    <w:rsid w:val="003C4A63"/>
    <w:rsid w:val="003D11CC"/>
    <w:rsid w:val="003D262E"/>
    <w:rsid w:val="003E03CE"/>
    <w:rsid w:val="003E2BD1"/>
    <w:rsid w:val="003E7FC1"/>
    <w:rsid w:val="003F1C88"/>
    <w:rsid w:val="00400994"/>
    <w:rsid w:val="00401468"/>
    <w:rsid w:val="004030E1"/>
    <w:rsid w:val="00412CD3"/>
    <w:rsid w:val="00415785"/>
    <w:rsid w:val="004347CB"/>
    <w:rsid w:val="00441E82"/>
    <w:rsid w:val="00443545"/>
    <w:rsid w:val="00445274"/>
    <w:rsid w:val="0044758D"/>
    <w:rsid w:val="00447894"/>
    <w:rsid w:val="004518BF"/>
    <w:rsid w:val="0045417C"/>
    <w:rsid w:val="00457F6D"/>
    <w:rsid w:val="0046521E"/>
    <w:rsid w:val="00465CEB"/>
    <w:rsid w:val="0046742C"/>
    <w:rsid w:val="004709A1"/>
    <w:rsid w:val="00470C56"/>
    <w:rsid w:val="00473778"/>
    <w:rsid w:val="00473E9C"/>
    <w:rsid w:val="00477044"/>
    <w:rsid w:val="00483A3A"/>
    <w:rsid w:val="004843E4"/>
    <w:rsid w:val="004843F5"/>
    <w:rsid w:val="0048697F"/>
    <w:rsid w:val="004960D8"/>
    <w:rsid w:val="004A201D"/>
    <w:rsid w:val="004A2D45"/>
    <w:rsid w:val="004A505F"/>
    <w:rsid w:val="004A6FE9"/>
    <w:rsid w:val="004B2560"/>
    <w:rsid w:val="004B4B52"/>
    <w:rsid w:val="004B5C68"/>
    <w:rsid w:val="004B75FE"/>
    <w:rsid w:val="004C733B"/>
    <w:rsid w:val="004D1226"/>
    <w:rsid w:val="004D653E"/>
    <w:rsid w:val="004D77AB"/>
    <w:rsid w:val="004E0C9F"/>
    <w:rsid w:val="004E23DE"/>
    <w:rsid w:val="004E2F88"/>
    <w:rsid w:val="004E6C39"/>
    <w:rsid w:val="004E6F9A"/>
    <w:rsid w:val="004F1D20"/>
    <w:rsid w:val="004F6741"/>
    <w:rsid w:val="004F6AD1"/>
    <w:rsid w:val="004F7D40"/>
    <w:rsid w:val="005010C5"/>
    <w:rsid w:val="0050518E"/>
    <w:rsid w:val="00506E1F"/>
    <w:rsid w:val="0051241C"/>
    <w:rsid w:val="00512D8C"/>
    <w:rsid w:val="00514E85"/>
    <w:rsid w:val="00514F6A"/>
    <w:rsid w:val="0051516A"/>
    <w:rsid w:val="0052613D"/>
    <w:rsid w:val="00530396"/>
    <w:rsid w:val="00542DB7"/>
    <w:rsid w:val="005440DE"/>
    <w:rsid w:val="0054602E"/>
    <w:rsid w:val="0055320B"/>
    <w:rsid w:val="00554D5B"/>
    <w:rsid w:val="0055503D"/>
    <w:rsid w:val="00555755"/>
    <w:rsid w:val="00555828"/>
    <w:rsid w:val="00557570"/>
    <w:rsid w:val="00557A83"/>
    <w:rsid w:val="0056111B"/>
    <w:rsid w:val="005633C4"/>
    <w:rsid w:val="00564502"/>
    <w:rsid w:val="005742ED"/>
    <w:rsid w:val="0057441E"/>
    <w:rsid w:val="005760D6"/>
    <w:rsid w:val="0058007C"/>
    <w:rsid w:val="00587F93"/>
    <w:rsid w:val="00590A16"/>
    <w:rsid w:val="00591F20"/>
    <w:rsid w:val="005A206E"/>
    <w:rsid w:val="005A7E63"/>
    <w:rsid w:val="005B13E9"/>
    <w:rsid w:val="005B35E9"/>
    <w:rsid w:val="005B4B0C"/>
    <w:rsid w:val="005B6C3F"/>
    <w:rsid w:val="005B78C6"/>
    <w:rsid w:val="005C3275"/>
    <w:rsid w:val="005C3CF7"/>
    <w:rsid w:val="005C4C0B"/>
    <w:rsid w:val="005C5D2A"/>
    <w:rsid w:val="005D32B7"/>
    <w:rsid w:val="005D530B"/>
    <w:rsid w:val="005D5756"/>
    <w:rsid w:val="005E1317"/>
    <w:rsid w:val="005E1C15"/>
    <w:rsid w:val="005E2227"/>
    <w:rsid w:val="005E338B"/>
    <w:rsid w:val="005F0453"/>
    <w:rsid w:val="005F11F4"/>
    <w:rsid w:val="005F19D3"/>
    <w:rsid w:val="00602C0D"/>
    <w:rsid w:val="00607D3D"/>
    <w:rsid w:val="00611F3E"/>
    <w:rsid w:val="00617538"/>
    <w:rsid w:val="00617659"/>
    <w:rsid w:val="0062030C"/>
    <w:rsid w:val="0062208A"/>
    <w:rsid w:val="00631851"/>
    <w:rsid w:val="00632ACF"/>
    <w:rsid w:val="00646F1B"/>
    <w:rsid w:val="00655099"/>
    <w:rsid w:val="00656A4F"/>
    <w:rsid w:val="00656F96"/>
    <w:rsid w:val="0065705F"/>
    <w:rsid w:val="0065790F"/>
    <w:rsid w:val="00660776"/>
    <w:rsid w:val="0066174C"/>
    <w:rsid w:val="00663BC6"/>
    <w:rsid w:val="00665C66"/>
    <w:rsid w:val="00671778"/>
    <w:rsid w:val="00672C3F"/>
    <w:rsid w:val="00675F0C"/>
    <w:rsid w:val="006760C7"/>
    <w:rsid w:val="00676342"/>
    <w:rsid w:val="00676EAC"/>
    <w:rsid w:val="00681726"/>
    <w:rsid w:val="00686E05"/>
    <w:rsid w:val="00690FBA"/>
    <w:rsid w:val="00696014"/>
    <w:rsid w:val="00697264"/>
    <w:rsid w:val="006A1BC6"/>
    <w:rsid w:val="006A2825"/>
    <w:rsid w:val="006A4945"/>
    <w:rsid w:val="006A494C"/>
    <w:rsid w:val="006A6E44"/>
    <w:rsid w:val="006C3DFE"/>
    <w:rsid w:val="006C437C"/>
    <w:rsid w:val="006C4724"/>
    <w:rsid w:val="006D0833"/>
    <w:rsid w:val="006D19DC"/>
    <w:rsid w:val="006D3E8D"/>
    <w:rsid w:val="006D4AFC"/>
    <w:rsid w:val="006E00CC"/>
    <w:rsid w:val="006E0898"/>
    <w:rsid w:val="006E327D"/>
    <w:rsid w:val="006E7BC9"/>
    <w:rsid w:val="006F1439"/>
    <w:rsid w:val="006F2774"/>
    <w:rsid w:val="006F3041"/>
    <w:rsid w:val="006F52BA"/>
    <w:rsid w:val="00702627"/>
    <w:rsid w:val="00705814"/>
    <w:rsid w:val="00705984"/>
    <w:rsid w:val="00714C20"/>
    <w:rsid w:val="00722FF2"/>
    <w:rsid w:val="0072355E"/>
    <w:rsid w:val="0072422C"/>
    <w:rsid w:val="00732BDB"/>
    <w:rsid w:val="00740230"/>
    <w:rsid w:val="00741C3B"/>
    <w:rsid w:val="00745185"/>
    <w:rsid w:val="00745B0D"/>
    <w:rsid w:val="007475D3"/>
    <w:rsid w:val="00752E11"/>
    <w:rsid w:val="007604AC"/>
    <w:rsid w:val="007643AE"/>
    <w:rsid w:val="00767661"/>
    <w:rsid w:val="007679EF"/>
    <w:rsid w:val="007742A3"/>
    <w:rsid w:val="00780442"/>
    <w:rsid w:val="00782A7E"/>
    <w:rsid w:val="00783861"/>
    <w:rsid w:val="0079187D"/>
    <w:rsid w:val="00791AB9"/>
    <w:rsid w:val="00793F1B"/>
    <w:rsid w:val="00797691"/>
    <w:rsid w:val="007B32A4"/>
    <w:rsid w:val="007B3806"/>
    <w:rsid w:val="007B455D"/>
    <w:rsid w:val="007C1B09"/>
    <w:rsid w:val="007C679D"/>
    <w:rsid w:val="007D1AD8"/>
    <w:rsid w:val="007D33FD"/>
    <w:rsid w:val="007D7D3E"/>
    <w:rsid w:val="007E0F63"/>
    <w:rsid w:val="007E1749"/>
    <w:rsid w:val="007E5325"/>
    <w:rsid w:val="007F1CC6"/>
    <w:rsid w:val="007F6AE4"/>
    <w:rsid w:val="007F7AEC"/>
    <w:rsid w:val="00802A03"/>
    <w:rsid w:val="00806AD1"/>
    <w:rsid w:val="00816B74"/>
    <w:rsid w:val="00821D59"/>
    <w:rsid w:val="008268FC"/>
    <w:rsid w:val="008276CE"/>
    <w:rsid w:val="00827A19"/>
    <w:rsid w:val="00840C7C"/>
    <w:rsid w:val="00842AF5"/>
    <w:rsid w:val="00846AD2"/>
    <w:rsid w:val="00847329"/>
    <w:rsid w:val="00850EA0"/>
    <w:rsid w:val="00851B95"/>
    <w:rsid w:val="00855247"/>
    <w:rsid w:val="00855AB4"/>
    <w:rsid w:val="008572A8"/>
    <w:rsid w:val="008618ED"/>
    <w:rsid w:val="00862305"/>
    <w:rsid w:val="00863BEF"/>
    <w:rsid w:val="008664E5"/>
    <w:rsid w:val="00866798"/>
    <w:rsid w:val="0087297F"/>
    <w:rsid w:val="00872DF4"/>
    <w:rsid w:val="008917DF"/>
    <w:rsid w:val="00891DE3"/>
    <w:rsid w:val="008A5DB5"/>
    <w:rsid w:val="008A7B63"/>
    <w:rsid w:val="008B3C5F"/>
    <w:rsid w:val="008B5D40"/>
    <w:rsid w:val="008B652B"/>
    <w:rsid w:val="008C0866"/>
    <w:rsid w:val="008C1006"/>
    <w:rsid w:val="008C105D"/>
    <w:rsid w:val="008C556C"/>
    <w:rsid w:val="008D02E9"/>
    <w:rsid w:val="008D1C7B"/>
    <w:rsid w:val="008D5EE7"/>
    <w:rsid w:val="008D606A"/>
    <w:rsid w:val="008D71EB"/>
    <w:rsid w:val="008E0B40"/>
    <w:rsid w:val="008E4B2F"/>
    <w:rsid w:val="008E72E6"/>
    <w:rsid w:val="008F2E47"/>
    <w:rsid w:val="00900CD6"/>
    <w:rsid w:val="009031A7"/>
    <w:rsid w:val="009047FB"/>
    <w:rsid w:val="00905823"/>
    <w:rsid w:val="00912BF8"/>
    <w:rsid w:val="00913411"/>
    <w:rsid w:val="00913C65"/>
    <w:rsid w:val="009146BE"/>
    <w:rsid w:val="00916C27"/>
    <w:rsid w:val="00917067"/>
    <w:rsid w:val="009220AD"/>
    <w:rsid w:val="009220C4"/>
    <w:rsid w:val="00923FE3"/>
    <w:rsid w:val="009240A6"/>
    <w:rsid w:val="00936D77"/>
    <w:rsid w:val="00940024"/>
    <w:rsid w:val="0094009A"/>
    <w:rsid w:val="009429EC"/>
    <w:rsid w:val="00946565"/>
    <w:rsid w:val="00950D6F"/>
    <w:rsid w:val="00952288"/>
    <w:rsid w:val="00953096"/>
    <w:rsid w:val="00957D4C"/>
    <w:rsid w:val="00960CE0"/>
    <w:rsid w:val="009613BE"/>
    <w:rsid w:val="0096202A"/>
    <w:rsid w:val="00963CB0"/>
    <w:rsid w:val="0096428D"/>
    <w:rsid w:val="0096564A"/>
    <w:rsid w:val="00971C9E"/>
    <w:rsid w:val="009744AC"/>
    <w:rsid w:val="00974A53"/>
    <w:rsid w:val="00974B6D"/>
    <w:rsid w:val="00975A9F"/>
    <w:rsid w:val="009776A4"/>
    <w:rsid w:val="009803B3"/>
    <w:rsid w:val="00981030"/>
    <w:rsid w:val="009831C2"/>
    <w:rsid w:val="00983E84"/>
    <w:rsid w:val="00984BB1"/>
    <w:rsid w:val="009850EE"/>
    <w:rsid w:val="009906D3"/>
    <w:rsid w:val="00990ECE"/>
    <w:rsid w:val="00992012"/>
    <w:rsid w:val="009936AE"/>
    <w:rsid w:val="009A069C"/>
    <w:rsid w:val="009A51EC"/>
    <w:rsid w:val="009A5FDF"/>
    <w:rsid w:val="009B0C1A"/>
    <w:rsid w:val="009C356F"/>
    <w:rsid w:val="009D010E"/>
    <w:rsid w:val="009D1806"/>
    <w:rsid w:val="009E030F"/>
    <w:rsid w:val="009E4011"/>
    <w:rsid w:val="009E6E9F"/>
    <w:rsid w:val="009E7A6B"/>
    <w:rsid w:val="009F0471"/>
    <w:rsid w:val="009F1611"/>
    <w:rsid w:val="009F1FF9"/>
    <w:rsid w:val="00A01EB4"/>
    <w:rsid w:val="00A05996"/>
    <w:rsid w:val="00A069BA"/>
    <w:rsid w:val="00A10401"/>
    <w:rsid w:val="00A120D8"/>
    <w:rsid w:val="00A12698"/>
    <w:rsid w:val="00A171F7"/>
    <w:rsid w:val="00A22B06"/>
    <w:rsid w:val="00A2300C"/>
    <w:rsid w:val="00A234E9"/>
    <w:rsid w:val="00A26A14"/>
    <w:rsid w:val="00A2708E"/>
    <w:rsid w:val="00A33231"/>
    <w:rsid w:val="00A35F4F"/>
    <w:rsid w:val="00A3672D"/>
    <w:rsid w:val="00A4471C"/>
    <w:rsid w:val="00A44A54"/>
    <w:rsid w:val="00A467BB"/>
    <w:rsid w:val="00A53561"/>
    <w:rsid w:val="00A5503F"/>
    <w:rsid w:val="00A63256"/>
    <w:rsid w:val="00A65427"/>
    <w:rsid w:val="00A65E3F"/>
    <w:rsid w:val="00A70414"/>
    <w:rsid w:val="00A759F0"/>
    <w:rsid w:val="00A81467"/>
    <w:rsid w:val="00A81E7F"/>
    <w:rsid w:val="00A8418B"/>
    <w:rsid w:val="00A8431F"/>
    <w:rsid w:val="00A84C3B"/>
    <w:rsid w:val="00A8794D"/>
    <w:rsid w:val="00A87F92"/>
    <w:rsid w:val="00A90572"/>
    <w:rsid w:val="00A9114A"/>
    <w:rsid w:val="00A97409"/>
    <w:rsid w:val="00A97667"/>
    <w:rsid w:val="00AA56CF"/>
    <w:rsid w:val="00AB0B9C"/>
    <w:rsid w:val="00AB0ECF"/>
    <w:rsid w:val="00AB7A9C"/>
    <w:rsid w:val="00AC12E8"/>
    <w:rsid w:val="00AC17B5"/>
    <w:rsid w:val="00AC335C"/>
    <w:rsid w:val="00AC3CD3"/>
    <w:rsid w:val="00AC6618"/>
    <w:rsid w:val="00AC70E1"/>
    <w:rsid w:val="00AD3F1B"/>
    <w:rsid w:val="00AD4A93"/>
    <w:rsid w:val="00AD7478"/>
    <w:rsid w:val="00AE4B1C"/>
    <w:rsid w:val="00AF138E"/>
    <w:rsid w:val="00AF1F69"/>
    <w:rsid w:val="00AF47EE"/>
    <w:rsid w:val="00B037EE"/>
    <w:rsid w:val="00B07025"/>
    <w:rsid w:val="00B078CD"/>
    <w:rsid w:val="00B10498"/>
    <w:rsid w:val="00B10790"/>
    <w:rsid w:val="00B1194F"/>
    <w:rsid w:val="00B119DA"/>
    <w:rsid w:val="00B1671F"/>
    <w:rsid w:val="00B17590"/>
    <w:rsid w:val="00B179DB"/>
    <w:rsid w:val="00B24DEA"/>
    <w:rsid w:val="00B32469"/>
    <w:rsid w:val="00B32BC0"/>
    <w:rsid w:val="00B364A3"/>
    <w:rsid w:val="00B36E8D"/>
    <w:rsid w:val="00B42DF0"/>
    <w:rsid w:val="00B44941"/>
    <w:rsid w:val="00B535D4"/>
    <w:rsid w:val="00B53A65"/>
    <w:rsid w:val="00B53C68"/>
    <w:rsid w:val="00B56131"/>
    <w:rsid w:val="00B57886"/>
    <w:rsid w:val="00B638A6"/>
    <w:rsid w:val="00B638C6"/>
    <w:rsid w:val="00B65BA1"/>
    <w:rsid w:val="00B67FF7"/>
    <w:rsid w:val="00B72664"/>
    <w:rsid w:val="00B734F1"/>
    <w:rsid w:val="00B825AD"/>
    <w:rsid w:val="00B8358A"/>
    <w:rsid w:val="00B85A23"/>
    <w:rsid w:val="00B93C3E"/>
    <w:rsid w:val="00BA164E"/>
    <w:rsid w:val="00BA485E"/>
    <w:rsid w:val="00BB52D9"/>
    <w:rsid w:val="00BC10E8"/>
    <w:rsid w:val="00BC2982"/>
    <w:rsid w:val="00BC37A8"/>
    <w:rsid w:val="00BC74A7"/>
    <w:rsid w:val="00BC791E"/>
    <w:rsid w:val="00BC7EBC"/>
    <w:rsid w:val="00BD056A"/>
    <w:rsid w:val="00BD091E"/>
    <w:rsid w:val="00BD0C4E"/>
    <w:rsid w:val="00BD2E64"/>
    <w:rsid w:val="00BD43A6"/>
    <w:rsid w:val="00BD4689"/>
    <w:rsid w:val="00BD4A88"/>
    <w:rsid w:val="00BD6844"/>
    <w:rsid w:val="00BE09F5"/>
    <w:rsid w:val="00BE438A"/>
    <w:rsid w:val="00BE6595"/>
    <w:rsid w:val="00BF1E19"/>
    <w:rsid w:val="00BF26B8"/>
    <w:rsid w:val="00BF7105"/>
    <w:rsid w:val="00C0171B"/>
    <w:rsid w:val="00C0524A"/>
    <w:rsid w:val="00C10089"/>
    <w:rsid w:val="00C13DB4"/>
    <w:rsid w:val="00C14186"/>
    <w:rsid w:val="00C1450B"/>
    <w:rsid w:val="00C14E15"/>
    <w:rsid w:val="00C21E4B"/>
    <w:rsid w:val="00C24909"/>
    <w:rsid w:val="00C25611"/>
    <w:rsid w:val="00C3043E"/>
    <w:rsid w:val="00C32A4C"/>
    <w:rsid w:val="00C360AB"/>
    <w:rsid w:val="00C46942"/>
    <w:rsid w:val="00C51121"/>
    <w:rsid w:val="00C60A07"/>
    <w:rsid w:val="00C637EB"/>
    <w:rsid w:val="00C65EE0"/>
    <w:rsid w:val="00C6604B"/>
    <w:rsid w:val="00C8036A"/>
    <w:rsid w:val="00C80486"/>
    <w:rsid w:val="00C8072D"/>
    <w:rsid w:val="00C83FEB"/>
    <w:rsid w:val="00C90224"/>
    <w:rsid w:val="00C91F97"/>
    <w:rsid w:val="00CA0E6C"/>
    <w:rsid w:val="00CA62A0"/>
    <w:rsid w:val="00CB18A6"/>
    <w:rsid w:val="00CB4238"/>
    <w:rsid w:val="00CB4766"/>
    <w:rsid w:val="00CB58A5"/>
    <w:rsid w:val="00CB76C3"/>
    <w:rsid w:val="00CB78F5"/>
    <w:rsid w:val="00CC3F90"/>
    <w:rsid w:val="00CD16BA"/>
    <w:rsid w:val="00CD254F"/>
    <w:rsid w:val="00CD58A7"/>
    <w:rsid w:val="00CD59C4"/>
    <w:rsid w:val="00CE0B36"/>
    <w:rsid w:val="00CE1374"/>
    <w:rsid w:val="00CE152C"/>
    <w:rsid w:val="00CE5E40"/>
    <w:rsid w:val="00CE7A43"/>
    <w:rsid w:val="00CF099A"/>
    <w:rsid w:val="00CF1F49"/>
    <w:rsid w:val="00CF38ED"/>
    <w:rsid w:val="00CF479D"/>
    <w:rsid w:val="00D00622"/>
    <w:rsid w:val="00D04027"/>
    <w:rsid w:val="00D0654A"/>
    <w:rsid w:val="00D13AB2"/>
    <w:rsid w:val="00D15CA3"/>
    <w:rsid w:val="00D203CD"/>
    <w:rsid w:val="00D20C0A"/>
    <w:rsid w:val="00D219A4"/>
    <w:rsid w:val="00D30002"/>
    <w:rsid w:val="00D3187B"/>
    <w:rsid w:val="00D31965"/>
    <w:rsid w:val="00D42CA2"/>
    <w:rsid w:val="00D46C5E"/>
    <w:rsid w:val="00D524C8"/>
    <w:rsid w:val="00D55ACD"/>
    <w:rsid w:val="00D56F99"/>
    <w:rsid w:val="00D6066A"/>
    <w:rsid w:val="00D64DB0"/>
    <w:rsid w:val="00D70E2F"/>
    <w:rsid w:val="00D75435"/>
    <w:rsid w:val="00D826F1"/>
    <w:rsid w:val="00D844CF"/>
    <w:rsid w:val="00D93DCA"/>
    <w:rsid w:val="00D9666A"/>
    <w:rsid w:val="00D96A28"/>
    <w:rsid w:val="00D97096"/>
    <w:rsid w:val="00DA0D37"/>
    <w:rsid w:val="00DA1255"/>
    <w:rsid w:val="00DA167C"/>
    <w:rsid w:val="00DA2724"/>
    <w:rsid w:val="00DA3FF9"/>
    <w:rsid w:val="00DA46D0"/>
    <w:rsid w:val="00DD0697"/>
    <w:rsid w:val="00DD59FB"/>
    <w:rsid w:val="00DD64BB"/>
    <w:rsid w:val="00DE1C32"/>
    <w:rsid w:val="00DE58A9"/>
    <w:rsid w:val="00DE7F48"/>
    <w:rsid w:val="00DF19F7"/>
    <w:rsid w:val="00DF605A"/>
    <w:rsid w:val="00DF6674"/>
    <w:rsid w:val="00E04361"/>
    <w:rsid w:val="00E047F4"/>
    <w:rsid w:val="00E10C45"/>
    <w:rsid w:val="00E1198F"/>
    <w:rsid w:val="00E20B45"/>
    <w:rsid w:val="00E251FE"/>
    <w:rsid w:val="00E35BC7"/>
    <w:rsid w:val="00E37ECC"/>
    <w:rsid w:val="00E43311"/>
    <w:rsid w:val="00E44D84"/>
    <w:rsid w:val="00E4503F"/>
    <w:rsid w:val="00E523DA"/>
    <w:rsid w:val="00E527D3"/>
    <w:rsid w:val="00E52A3D"/>
    <w:rsid w:val="00E57796"/>
    <w:rsid w:val="00E62CA7"/>
    <w:rsid w:val="00E62FBD"/>
    <w:rsid w:val="00E7423B"/>
    <w:rsid w:val="00E7797A"/>
    <w:rsid w:val="00E807E2"/>
    <w:rsid w:val="00E832A7"/>
    <w:rsid w:val="00E83A35"/>
    <w:rsid w:val="00E842D3"/>
    <w:rsid w:val="00E90A76"/>
    <w:rsid w:val="00E93157"/>
    <w:rsid w:val="00E94011"/>
    <w:rsid w:val="00EA491F"/>
    <w:rsid w:val="00EA5D13"/>
    <w:rsid w:val="00EB02ED"/>
    <w:rsid w:val="00EB2437"/>
    <w:rsid w:val="00EB2F1A"/>
    <w:rsid w:val="00EB3011"/>
    <w:rsid w:val="00EB370D"/>
    <w:rsid w:val="00EB4335"/>
    <w:rsid w:val="00EC2746"/>
    <w:rsid w:val="00ED43FA"/>
    <w:rsid w:val="00ED5E5E"/>
    <w:rsid w:val="00ED735F"/>
    <w:rsid w:val="00EE4D4C"/>
    <w:rsid w:val="00EE7877"/>
    <w:rsid w:val="00EF1461"/>
    <w:rsid w:val="00EF17E5"/>
    <w:rsid w:val="00EF24EB"/>
    <w:rsid w:val="00EF26FB"/>
    <w:rsid w:val="00EF2EAA"/>
    <w:rsid w:val="00EF5141"/>
    <w:rsid w:val="00F01135"/>
    <w:rsid w:val="00F027D2"/>
    <w:rsid w:val="00F038C6"/>
    <w:rsid w:val="00F06A71"/>
    <w:rsid w:val="00F102ED"/>
    <w:rsid w:val="00F107B6"/>
    <w:rsid w:val="00F11936"/>
    <w:rsid w:val="00F12462"/>
    <w:rsid w:val="00F17E00"/>
    <w:rsid w:val="00F244D3"/>
    <w:rsid w:val="00F3105E"/>
    <w:rsid w:val="00F315BE"/>
    <w:rsid w:val="00F319D2"/>
    <w:rsid w:val="00F325B4"/>
    <w:rsid w:val="00F341AF"/>
    <w:rsid w:val="00F354A4"/>
    <w:rsid w:val="00F43CEB"/>
    <w:rsid w:val="00F475A9"/>
    <w:rsid w:val="00F47A5C"/>
    <w:rsid w:val="00F56867"/>
    <w:rsid w:val="00F57E87"/>
    <w:rsid w:val="00F62BF5"/>
    <w:rsid w:val="00F66172"/>
    <w:rsid w:val="00F670F8"/>
    <w:rsid w:val="00F71C38"/>
    <w:rsid w:val="00F74304"/>
    <w:rsid w:val="00F81105"/>
    <w:rsid w:val="00F82535"/>
    <w:rsid w:val="00F86A97"/>
    <w:rsid w:val="00F87983"/>
    <w:rsid w:val="00F92609"/>
    <w:rsid w:val="00F94072"/>
    <w:rsid w:val="00F947F0"/>
    <w:rsid w:val="00F94A6A"/>
    <w:rsid w:val="00FA0C56"/>
    <w:rsid w:val="00FA1D20"/>
    <w:rsid w:val="00FA2292"/>
    <w:rsid w:val="00FA6185"/>
    <w:rsid w:val="00FB09B0"/>
    <w:rsid w:val="00FB47D3"/>
    <w:rsid w:val="00FB4AA8"/>
    <w:rsid w:val="00FB6C08"/>
    <w:rsid w:val="00FC155D"/>
    <w:rsid w:val="00FC2395"/>
    <w:rsid w:val="00FC517A"/>
    <w:rsid w:val="00FC7F44"/>
    <w:rsid w:val="00FD24D3"/>
    <w:rsid w:val="00FD2D2D"/>
    <w:rsid w:val="00FD46CF"/>
    <w:rsid w:val="00FE1795"/>
    <w:rsid w:val="00FE1814"/>
    <w:rsid w:val="00FE29C5"/>
    <w:rsid w:val="00FE2DCC"/>
    <w:rsid w:val="00FE4F42"/>
    <w:rsid w:val="00FE6888"/>
    <w:rsid w:val="00FF0260"/>
    <w:rsid w:val="00FF24B7"/>
    <w:rsid w:val="00FF28AA"/>
    <w:rsid w:val="00FF3E2E"/>
    <w:rsid w:val="00FF584A"/>
    <w:rsid w:val="00FF684F"/>
    <w:rsid w:val="01086055"/>
    <w:rsid w:val="012016A8"/>
    <w:rsid w:val="01380993"/>
    <w:rsid w:val="01682973"/>
    <w:rsid w:val="01696B7F"/>
    <w:rsid w:val="016B246F"/>
    <w:rsid w:val="018F1236"/>
    <w:rsid w:val="0192685E"/>
    <w:rsid w:val="01AB0592"/>
    <w:rsid w:val="01B86542"/>
    <w:rsid w:val="01BC2300"/>
    <w:rsid w:val="01BF02EB"/>
    <w:rsid w:val="01C93D37"/>
    <w:rsid w:val="01DB3F29"/>
    <w:rsid w:val="01EB091B"/>
    <w:rsid w:val="020F02BB"/>
    <w:rsid w:val="020F627F"/>
    <w:rsid w:val="0220438B"/>
    <w:rsid w:val="02221FD5"/>
    <w:rsid w:val="02254B29"/>
    <w:rsid w:val="0279078A"/>
    <w:rsid w:val="028D3BCD"/>
    <w:rsid w:val="029475BA"/>
    <w:rsid w:val="02D43987"/>
    <w:rsid w:val="02F150F3"/>
    <w:rsid w:val="02F367C9"/>
    <w:rsid w:val="031D4E1A"/>
    <w:rsid w:val="032C7F4F"/>
    <w:rsid w:val="03425B67"/>
    <w:rsid w:val="03540D96"/>
    <w:rsid w:val="0363050C"/>
    <w:rsid w:val="03823759"/>
    <w:rsid w:val="03840E17"/>
    <w:rsid w:val="038A43E7"/>
    <w:rsid w:val="0395305E"/>
    <w:rsid w:val="03A56742"/>
    <w:rsid w:val="03B20F04"/>
    <w:rsid w:val="03C70B4A"/>
    <w:rsid w:val="03C91FB0"/>
    <w:rsid w:val="03D0789D"/>
    <w:rsid w:val="03D82585"/>
    <w:rsid w:val="04330383"/>
    <w:rsid w:val="045B7BFC"/>
    <w:rsid w:val="04700BE4"/>
    <w:rsid w:val="04755559"/>
    <w:rsid w:val="0480072A"/>
    <w:rsid w:val="04A424A3"/>
    <w:rsid w:val="04BC783B"/>
    <w:rsid w:val="04EB6C23"/>
    <w:rsid w:val="04F217BD"/>
    <w:rsid w:val="04FF44AD"/>
    <w:rsid w:val="053266CC"/>
    <w:rsid w:val="056D000B"/>
    <w:rsid w:val="05702F54"/>
    <w:rsid w:val="058F3D29"/>
    <w:rsid w:val="059C0426"/>
    <w:rsid w:val="05B46FCA"/>
    <w:rsid w:val="05D04D27"/>
    <w:rsid w:val="05F6657F"/>
    <w:rsid w:val="05F94C23"/>
    <w:rsid w:val="061A7AE6"/>
    <w:rsid w:val="063D4C7F"/>
    <w:rsid w:val="0660706E"/>
    <w:rsid w:val="0680565E"/>
    <w:rsid w:val="06AB353C"/>
    <w:rsid w:val="070F6D94"/>
    <w:rsid w:val="074B476E"/>
    <w:rsid w:val="077F5965"/>
    <w:rsid w:val="077F7DBD"/>
    <w:rsid w:val="0790183F"/>
    <w:rsid w:val="07A1108D"/>
    <w:rsid w:val="07A32870"/>
    <w:rsid w:val="07C54CEF"/>
    <w:rsid w:val="07D75AC7"/>
    <w:rsid w:val="07E1693E"/>
    <w:rsid w:val="07ED2FDC"/>
    <w:rsid w:val="07F03112"/>
    <w:rsid w:val="08242132"/>
    <w:rsid w:val="08380A36"/>
    <w:rsid w:val="083E4A78"/>
    <w:rsid w:val="0865479E"/>
    <w:rsid w:val="08672674"/>
    <w:rsid w:val="087A4EC7"/>
    <w:rsid w:val="087D73A5"/>
    <w:rsid w:val="088266F9"/>
    <w:rsid w:val="088B00D5"/>
    <w:rsid w:val="088F3B6C"/>
    <w:rsid w:val="0897622D"/>
    <w:rsid w:val="089B7630"/>
    <w:rsid w:val="08AF1B0C"/>
    <w:rsid w:val="08BD36DE"/>
    <w:rsid w:val="08C52C99"/>
    <w:rsid w:val="08CD0E44"/>
    <w:rsid w:val="08DE1839"/>
    <w:rsid w:val="08F41CB5"/>
    <w:rsid w:val="092D14F8"/>
    <w:rsid w:val="09354085"/>
    <w:rsid w:val="093E27DB"/>
    <w:rsid w:val="09484065"/>
    <w:rsid w:val="09484B62"/>
    <w:rsid w:val="09953476"/>
    <w:rsid w:val="09965F78"/>
    <w:rsid w:val="09996360"/>
    <w:rsid w:val="09C43C5C"/>
    <w:rsid w:val="09C90C0E"/>
    <w:rsid w:val="09D924C7"/>
    <w:rsid w:val="09D94F02"/>
    <w:rsid w:val="09EA14A4"/>
    <w:rsid w:val="09ED1BE8"/>
    <w:rsid w:val="0A182C66"/>
    <w:rsid w:val="0A3432F0"/>
    <w:rsid w:val="0A460E8C"/>
    <w:rsid w:val="0A4B1A26"/>
    <w:rsid w:val="0A5D3342"/>
    <w:rsid w:val="0A603938"/>
    <w:rsid w:val="0A8318B0"/>
    <w:rsid w:val="0AB62F6A"/>
    <w:rsid w:val="0AB671D0"/>
    <w:rsid w:val="0AC50AAA"/>
    <w:rsid w:val="0ACE7F6A"/>
    <w:rsid w:val="0AE36062"/>
    <w:rsid w:val="0B0000DF"/>
    <w:rsid w:val="0B196F31"/>
    <w:rsid w:val="0B21242E"/>
    <w:rsid w:val="0B236834"/>
    <w:rsid w:val="0B343506"/>
    <w:rsid w:val="0B506E25"/>
    <w:rsid w:val="0B5D4524"/>
    <w:rsid w:val="0B5E02B4"/>
    <w:rsid w:val="0B5F7981"/>
    <w:rsid w:val="0B803CD9"/>
    <w:rsid w:val="0B865D9C"/>
    <w:rsid w:val="0B8B1154"/>
    <w:rsid w:val="0B8C272C"/>
    <w:rsid w:val="0B915DC8"/>
    <w:rsid w:val="0B944AA9"/>
    <w:rsid w:val="0B9E357F"/>
    <w:rsid w:val="0BAB2270"/>
    <w:rsid w:val="0BCF1D9E"/>
    <w:rsid w:val="0BD960DB"/>
    <w:rsid w:val="0BFB67F0"/>
    <w:rsid w:val="0C0F0954"/>
    <w:rsid w:val="0C121197"/>
    <w:rsid w:val="0C6249BD"/>
    <w:rsid w:val="0C890050"/>
    <w:rsid w:val="0C9A77AF"/>
    <w:rsid w:val="0CA2381F"/>
    <w:rsid w:val="0CA24111"/>
    <w:rsid w:val="0D26675D"/>
    <w:rsid w:val="0D302307"/>
    <w:rsid w:val="0D6400C8"/>
    <w:rsid w:val="0D6B406C"/>
    <w:rsid w:val="0D740F28"/>
    <w:rsid w:val="0D7F7899"/>
    <w:rsid w:val="0D9E7DE6"/>
    <w:rsid w:val="0DC3365C"/>
    <w:rsid w:val="0DD62925"/>
    <w:rsid w:val="0DE70D59"/>
    <w:rsid w:val="0E3F4E5B"/>
    <w:rsid w:val="0E541DB9"/>
    <w:rsid w:val="0E7411F0"/>
    <w:rsid w:val="0E875516"/>
    <w:rsid w:val="0E9C1765"/>
    <w:rsid w:val="0ECC60EA"/>
    <w:rsid w:val="0EEA68CD"/>
    <w:rsid w:val="0F2539E2"/>
    <w:rsid w:val="0F370C9D"/>
    <w:rsid w:val="0F916715"/>
    <w:rsid w:val="0F9C119F"/>
    <w:rsid w:val="0FAF0245"/>
    <w:rsid w:val="0FB16FF5"/>
    <w:rsid w:val="0FDE781A"/>
    <w:rsid w:val="10037595"/>
    <w:rsid w:val="105D1E98"/>
    <w:rsid w:val="106A55F9"/>
    <w:rsid w:val="107D090C"/>
    <w:rsid w:val="10866864"/>
    <w:rsid w:val="108C16A7"/>
    <w:rsid w:val="1095198A"/>
    <w:rsid w:val="10951A06"/>
    <w:rsid w:val="10CB7B96"/>
    <w:rsid w:val="10E34FEE"/>
    <w:rsid w:val="11035167"/>
    <w:rsid w:val="110D4303"/>
    <w:rsid w:val="111763D0"/>
    <w:rsid w:val="111A2157"/>
    <w:rsid w:val="112C4EF8"/>
    <w:rsid w:val="11344985"/>
    <w:rsid w:val="11482F2D"/>
    <w:rsid w:val="114A334E"/>
    <w:rsid w:val="116C3D27"/>
    <w:rsid w:val="117D5E9A"/>
    <w:rsid w:val="11AF6224"/>
    <w:rsid w:val="11C95D99"/>
    <w:rsid w:val="11CF61B3"/>
    <w:rsid w:val="11D90C3B"/>
    <w:rsid w:val="11DE0464"/>
    <w:rsid w:val="11F41B2E"/>
    <w:rsid w:val="12160B75"/>
    <w:rsid w:val="1219051A"/>
    <w:rsid w:val="12263D73"/>
    <w:rsid w:val="12320478"/>
    <w:rsid w:val="127F3163"/>
    <w:rsid w:val="12960B04"/>
    <w:rsid w:val="129E04A8"/>
    <w:rsid w:val="129F7A34"/>
    <w:rsid w:val="12AA1AC4"/>
    <w:rsid w:val="12D50C4F"/>
    <w:rsid w:val="12FD3284"/>
    <w:rsid w:val="13137B0D"/>
    <w:rsid w:val="13161C41"/>
    <w:rsid w:val="131D6699"/>
    <w:rsid w:val="134C5F41"/>
    <w:rsid w:val="134E413D"/>
    <w:rsid w:val="1357268E"/>
    <w:rsid w:val="1386447A"/>
    <w:rsid w:val="139034B1"/>
    <w:rsid w:val="139C2123"/>
    <w:rsid w:val="13A70CC8"/>
    <w:rsid w:val="13B84ADD"/>
    <w:rsid w:val="13F9041B"/>
    <w:rsid w:val="14036FA4"/>
    <w:rsid w:val="141049D4"/>
    <w:rsid w:val="141E72F5"/>
    <w:rsid w:val="14222785"/>
    <w:rsid w:val="14260AD7"/>
    <w:rsid w:val="142B3829"/>
    <w:rsid w:val="14471065"/>
    <w:rsid w:val="145338BA"/>
    <w:rsid w:val="149470A9"/>
    <w:rsid w:val="14A71EB0"/>
    <w:rsid w:val="14B02BA4"/>
    <w:rsid w:val="14C03E5E"/>
    <w:rsid w:val="14C822DF"/>
    <w:rsid w:val="14D00E40"/>
    <w:rsid w:val="14D86E0D"/>
    <w:rsid w:val="14E34B97"/>
    <w:rsid w:val="14EC4509"/>
    <w:rsid w:val="14FB4600"/>
    <w:rsid w:val="152479C5"/>
    <w:rsid w:val="152D5AFC"/>
    <w:rsid w:val="153519EA"/>
    <w:rsid w:val="153C58A2"/>
    <w:rsid w:val="15545CF9"/>
    <w:rsid w:val="159537DE"/>
    <w:rsid w:val="15AB2488"/>
    <w:rsid w:val="15E3667E"/>
    <w:rsid w:val="15F202D4"/>
    <w:rsid w:val="15FC768D"/>
    <w:rsid w:val="161A1F65"/>
    <w:rsid w:val="161A4383"/>
    <w:rsid w:val="16302020"/>
    <w:rsid w:val="16536AA6"/>
    <w:rsid w:val="16624CB5"/>
    <w:rsid w:val="166B19B0"/>
    <w:rsid w:val="16792767"/>
    <w:rsid w:val="167F5181"/>
    <w:rsid w:val="16896BAB"/>
    <w:rsid w:val="16DF7E2F"/>
    <w:rsid w:val="16F22EBB"/>
    <w:rsid w:val="1706007D"/>
    <w:rsid w:val="170612BD"/>
    <w:rsid w:val="170A34A4"/>
    <w:rsid w:val="17136564"/>
    <w:rsid w:val="17185598"/>
    <w:rsid w:val="17432733"/>
    <w:rsid w:val="17765006"/>
    <w:rsid w:val="177A72ED"/>
    <w:rsid w:val="177B4E56"/>
    <w:rsid w:val="17A352AC"/>
    <w:rsid w:val="17B12EA3"/>
    <w:rsid w:val="17B43B76"/>
    <w:rsid w:val="17CC735C"/>
    <w:rsid w:val="17F1193A"/>
    <w:rsid w:val="18024038"/>
    <w:rsid w:val="1814679B"/>
    <w:rsid w:val="184E42BF"/>
    <w:rsid w:val="188A1599"/>
    <w:rsid w:val="18A32C4A"/>
    <w:rsid w:val="18AB79F0"/>
    <w:rsid w:val="18C90BC1"/>
    <w:rsid w:val="18CE1A23"/>
    <w:rsid w:val="18D275AA"/>
    <w:rsid w:val="18F00B87"/>
    <w:rsid w:val="19062596"/>
    <w:rsid w:val="1912098C"/>
    <w:rsid w:val="19152FE6"/>
    <w:rsid w:val="192D1D3D"/>
    <w:rsid w:val="19320B86"/>
    <w:rsid w:val="19357E65"/>
    <w:rsid w:val="19410B71"/>
    <w:rsid w:val="19490F7D"/>
    <w:rsid w:val="194A5B81"/>
    <w:rsid w:val="195F5F8D"/>
    <w:rsid w:val="1974250C"/>
    <w:rsid w:val="19856ADC"/>
    <w:rsid w:val="199211CB"/>
    <w:rsid w:val="19B373E1"/>
    <w:rsid w:val="19C76225"/>
    <w:rsid w:val="19D112F6"/>
    <w:rsid w:val="19D923C4"/>
    <w:rsid w:val="19DC3FF9"/>
    <w:rsid w:val="19EB755C"/>
    <w:rsid w:val="19F141F9"/>
    <w:rsid w:val="19FD2831"/>
    <w:rsid w:val="1A2866D0"/>
    <w:rsid w:val="1A630109"/>
    <w:rsid w:val="1A7351E2"/>
    <w:rsid w:val="1A7B12CF"/>
    <w:rsid w:val="1A804531"/>
    <w:rsid w:val="1A946818"/>
    <w:rsid w:val="1A9A7EDB"/>
    <w:rsid w:val="1AAB019B"/>
    <w:rsid w:val="1ABC3D0E"/>
    <w:rsid w:val="1AC26816"/>
    <w:rsid w:val="1AD5366F"/>
    <w:rsid w:val="1ADE09D2"/>
    <w:rsid w:val="1AEE042A"/>
    <w:rsid w:val="1B071574"/>
    <w:rsid w:val="1B0C7C48"/>
    <w:rsid w:val="1B1439D5"/>
    <w:rsid w:val="1B1A2080"/>
    <w:rsid w:val="1B4968A9"/>
    <w:rsid w:val="1B4C2C7E"/>
    <w:rsid w:val="1B4D3A65"/>
    <w:rsid w:val="1B5B71A7"/>
    <w:rsid w:val="1B6B4553"/>
    <w:rsid w:val="1B8A0E67"/>
    <w:rsid w:val="1BBC5EAF"/>
    <w:rsid w:val="1BC112AE"/>
    <w:rsid w:val="1BCA7E8F"/>
    <w:rsid w:val="1BCB0CC3"/>
    <w:rsid w:val="1BCF100A"/>
    <w:rsid w:val="1BDA0AF0"/>
    <w:rsid w:val="1C2E50FE"/>
    <w:rsid w:val="1C3271C4"/>
    <w:rsid w:val="1C3F6A86"/>
    <w:rsid w:val="1C5A044C"/>
    <w:rsid w:val="1C9567D2"/>
    <w:rsid w:val="1CCF32E0"/>
    <w:rsid w:val="1CCF5DDF"/>
    <w:rsid w:val="1CED1CF3"/>
    <w:rsid w:val="1D06451E"/>
    <w:rsid w:val="1D0B540B"/>
    <w:rsid w:val="1D343713"/>
    <w:rsid w:val="1D4D778C"/>
    <w:rsid w:val="1D571EC3"/>
    <w:rsid w:val="1D9648F6"/>
    <w:rsid w:val="1DB3234D"/>
    <w:rsid w:val="1DBE038F"/>
    <w:rsid w:val="1DC77796"/>
    <w:rsid w:val="1DE92B4D"/>
    <w:rsid w:val="1DEF5D84"/>
    <w:rsid w:val="1DF64BB2"/>
    <w:rsid w:val="1DFE7B66"/>
    <w:rsid w:val="1E016028"/>
    <w:rsid w:val="1E0644DB"/>
    <w:rsid w:val="1E114A37"/>
    <w:rsid w:val="1E1F4531"/>
    <w:rsid w:val="1E356887"/>
    <w:rsid w:val="1E3D1C2B"/>
    <w:rsid w:val="1E461E42"/>
    <w:rsid w:val="1E5E2D1F"/>
    <w:rsid w:val="1E5E7924"/>
    <w:rsid w:val="1E72237A"/>
    <w:rsid w:val="1E7D37A6"/>
    <w:rsid w:val="1E884A3B"/>
    <w:rsid w:val="1EAB47D6"/>
    <w:rsid w:val="1EAC4AF7"/>
    <w:rsid w:val="1ED75521"/>
    <w:rsid w:val="1EDC21FE"/>
    <w:rsid w:val="1EE6611C"/>
    <w:rsid w:val="1EF80207"/>
    <w:rsid w:val="1F002D68"/>
    <w:rsid w:val="1F046701"/>
    <w:rsid w:val="1F046FB2"/>
    <w:rsid w:val="1F0B060D"/>
    <w:rsid w:val="1F472E90"/>
    <w:rsid w:val="1F4A1246"/>
    <w:rsid w:val="1F6037C4"/>
    <w:rsid w:val="1F772BEF"/>
    <w:rsid w:val="1F79277F"/>
    <w:rsid w:val="1FB57BBF"/>
    <w:rsid w:val="1FC57D07"/>
    <w:rsid w:val="1FDC413D"/>
    <w:rsid w:val="1FF53A66"/>
    <w:rsid w:val="20025597"/>
    <w:rsid w:val="20131B0D"/>
    <w:rsid w:val="201B2251"/>
    <w:rsid w:val="202B0A23"/>
    <w:rsid w:val="20324E51"/>
    <w:rsid w:val="20623DE5"/>
    <w:rsid w:val="20650CC9"/>
    <w:rsid w:val="2067450A"/>
    <w:rsid w:val="20716229"/>
    <w:rsid w:val="20776065"/>
    <w:rsid w:val="208D641E"/>
    <w:rsid w:val="20A40CF3"/>
    <w:rsid w:val="20A82DC9"/>
    <w:rsid w:val="20E14D97"/>
    <w:rsid w:val="20EC00AB"/>
    <w:rsid w:val="20FA0845"/>
    <w:rsid w:val="20FC45B0"/>
    <w:rsid w:val="212127BC"/>
    <w:rsid w:val="212C292F"/>
    <w:rsid w:val="21396714"/>
    <w:rsid w:val="213A62D1"/>
    <w:rsid w:val="21872F1D"/>
    <w:rsid w:val="218C35CE"/>
    <w:rsid w:val="21923EE6"/>
    <w:rsid w:val="21981E47"/>
    <w:rsid w:val="21991C98"/>
    <w:rsid w:val="21A75DA2"/>
    <w:rsid w:val="21A95848"/>
    <w:rsid w:val="21B56CF6"/>
    <w:rsid w:val="21C72918"/>
    <w:rsid w:val="21CF0CB5"/>
    <w:rsid w:val="21E17984"/>
    <w:rsid w:val="21FC652C"/>
    <w:rsid w:val="22154FE3"/>
    <w:rsid w:val="22206A68"/>
    <w:rsid w:val="227501FE"/>
    <w:rsid w:val="2277703B"/>
    <w:rsid w:val="22877D9B"/>
    <w:rsid w:val="22984CC3"/>
    <w:rsid w:val="22C063E5"/>
    <w:rsid w:val="22D82D7C"/>
    <w:rsid w:val="231865CE"/>
    <w:rsid w:val="2331478A"/>
    <w:rsid w:val="23527C9E"/>
    <w:rsid w:val="2381261D"/>
    <w:rsid w:val="238D7968"/>
    <w:rsid w:val="239C451C"/>
    <w:rsid w:val="23AA7FB1"/>
    <w:rsid w:val="23D71421"/>
    <w:rsid w:val="240E5979"/>
    <w:rsid w:val="24102ADE"/>
    <w:rsid w:val="242A7C29"/>
    <w:rsid w:val="243739B8"/>
    <w:rsid w:val="244A3744"/>
    <w:rsid w:val="244D0B74"/>
    <w:rsid w:val="244E5F90"/>
    <w:rsid w:val="245A4B94"/>
    <w:rsid w:val="24707A2A"/>
    <w:rsid w:val="24721380"/>
    <w:rsid w:val="24987F09"/>
    <w:rsid w:val="24A34B33"/>
    <w:rsid w:val="24B3031D"/>
    <w:rsid w:val="24B853A3"/>
    <w:rsid w:val="24D67C19"/>
    <w:rsid w:val="24EC07C5"/>
    <w:rsid w:val="24EE73F5"/>
    <w:rsid w:val="24F743FB"/>
    <w:rsid w:val="25186193"/>
    <w:rsid w:val="255D1ECE"/>
    <w:rsid w:val="25681059"/>
    <w:rsid w:val="2587434F"/>
    <w:rsid w:val="25983464"/>
    <w:rsid w:val="25B2345C"/>
    <w:rsid w:val="25BC6FA2"/>
    <w:rsid w:val="25EF1FE5"/>
    <w:rsid w:val="25F14748"/>
    <w:rsid w:val="261F15F8"/>
    <w:rsid w:val="26461462"/>
    <w:rsid w:val="26465759"/>
    <w:rsid w:val="26541C81"/>
    <w:rsid w:val="265750BD"/>
    <w:rsid w:val="266C7B57"/>
    <w:rsid w:val="266F56D0"/>
    <w:rsid w:val="26730A5C"/>
    <w:rsid w:val="26764FFB"/>
    <w:rsid w:val="26A3104D"/>
    <w:rsid w:val="26A37B59"/>
    <w:rsid w:val="26B458EB"/>
    <w:rsid w:val="26BE39D5"/>
    <w:rsid w:val="26DD31D0"/>
    <w:rsid w:val="26DF7E74"/>
    <w:rsid w:val="26F3480E"/>
    <w:rsid w:val="26F64B07"/>
    <w:rsid w:val="273457B7"/>
    <w:rsid w:val="273E7058"/>
    <w:rsid w:val="275205E2"/>
    <w:rsid w:val="2752772D"/>
    <w:rsid w:val="27603624"/>
    <w:rsid w:val="27674034"/>
    <w:rsid w:val="277F719B"/>
    <w:rsid w:val="27824CC4"/>
    <w:rsid w:val="2785009A"/>
    <w:rsid w:val="278C6236"/>
    <w:rsid w:val="27AF70A0"/>
    <w:rsid w:val="2804797E"/>
    <w:rsid w:val="280A2250"/>
    <w:rsid w:val="28106783"/>
    <w:rsid w:val="28111223"/>
    <w:rsid w:val="28274558"/>
    <w:rsid w:val="282F3DDB"/>
    <w:rsid w:val="28310A4A"/>
    <w:rsid w:val="2837707A"/>
    <w:rsid w:val="28467F9B"/>
    <w:rsid w:val="284E364C"/>
    <w:rsid w:val="286332EC"/>
    <w:rsid w:val="286F36D0"/>
    <w:rsid w:val="288366E1"/>
    <w:rsid w:val="288C5607"/>
    <w:rsid w:val="288D1745"/>
    <w:rsid w:val="28924D22"/>
    <w:rsid w:val="28A55D7B"/>
    <w:rsid w:val="28B15BDA"/>
    <w:rsid w:val="28D43D1F"/>
    <w:rsid w:val="28FB533D"/>
    <w:rsid w:val="290D395B"/>
    <w:rsid w:val="291D2F91"/>
    <w:rsid w:val="291D5A52"/>
    <w:rsid w:val="29274F66"/>
    <w:rsid w:val="293262CF"/>
    <w:rsid w:val="295B18E2"/>
    <w:rsid w:val="295B3F98"/>
    <w:rsid w:val="297D2205"/>
    <w:rsid w:val="29A85A88"/>
    <w:rsid w:val="29B2577E"/>
    <w:rsid w:val="29C05DA8"/>
    <w:rsid w:val="29D14B89"/>
    <w:rsid w:val="29FE16B6"/>
    <w:rsid w:val="2A6754A9"/>
    <w:rsid w:val="2A7908A1"/>
    <w:rsid w:val="2A8B4D66"/>
    <w:rsid w:val="2A9D51CF"/>
    <w:rsid w:val="2AAE3DB7"/>
    <w:rsid w:val="2AB3269C"/>
    <w:rsid w:val="2ACF3366"/>
    <w:rsid w:val="2AD64503"/>
    <w:rsid w:val="2ADA671F"/>
    <w:rsid w:val="2ADB15F0"/>
    <w:rsid w:val="2ADE3C68"/>
    <w:rsid w:val="2AF53FD9"/>
    <w:rsid w:val="2B085D9C"/>
    <w:rsid w:val="2B117849"/>
    <w:rsid w:val="2B1B1295"/>
    <w:rsid w:val="2B295021"/>
    <w:rsid w:val="2B4C1CD7"/>
    <w:rsid w:val="2B676E78"/>
    <w:rsid w:val="2B790227"/>
    <w:rsid w:val="2B90006C"/>
    <w:rsid w:val="2B966672"/>
    <w:rsid w:val="2BBB538E"/>
    <w:rsid w:val="2BD25E58"/>
    <w:rsid w:val="2BD40F13"/>
    <w:rsid w:val="2BE42CB1"/>
    <w:rsid w:val="2BE47459"/>
    <w:rsid w:val="2BE5263E"/>
    <w:rsid w:val="2BF54A2D"/>
    <w:rsid w:val="2BFE234F"/>
    <w:rsid w:val="2C006534"/>
    <w:rsid w:val="2C070C04"/>
    <w:rsid w:val="2C0F0157"/>
    <w:rsid w:val="2C1849FE"/>
    <w:rsid w:val="2C210A13"/>
    <w:rsid w:val="2C2210D6"/>
    <w:rsid w:val="2C272598"/>
    <w:rsid w:val="2C282B1B"/>
    <w:rsid w:val="2C283EE4"/>
    <w:rsid w:val="2C3D42DE"/>
    <w:rsid w:val="2C47540D"/>
    <w:rsid w:val="2C584577"/>
    <w:rsid w:val="2C6175D2"/>
    <w:rsid w:val="2C703BA0"/>
    <w:rsid w:val="2C7049B2"/>
    <w:rsid w:val="2C8E4DF2"/>
    <w:rsid w:val="2C8E5943"/>
    <w:rsid w:val="2CC10C46"/>
    <w:rsid w:val="2CC5667A"/>
    <w:rsid w:val="2CCE2D14"/>
    <w:rsid w:val="2CD62DB7"/>
    <w:rsid w:val="2CEF6258"/>
    <w:rsid w:val="2D0D104C"/>
    <w:rsid w:val="2D152F36"/>
    <w:rsid w:val="2D194A1D"/>
    <w:rsid w:val="2D35008E"/>
    <w:rsid w:val="2D402B86"/>
    <w:rsid w:val="2D485B93"/>
    <w:rsid w:val="2D5748EA"/>
    <w:rsid w:val="2D640B99"/>
    <w:rsid w:val="2D676CD5"/>
    <w:rsid w:val="2D6E0ED8"/>
    <w:rsid w:val="2D734073"/>
    <w:rsid w:val="2DA85AF4"/>
    <w:rsid w:val="2DA965C7"/>
    <w:rsid w:val="2DAF239E"/>
    <w:rsid w:val="2DF412BA"/>
    <w:rsid w:val="2DFC13B9"/>
    <w:rsid w:val="2E114BD5"/>
    <w:rsid w:val="2E2B5BF1"/>
    <w:rsid w:val="2E3314BE"/>
    <w:rsid w:val="2E433618"/>
    <w:rsid w:val="2E514568"/>
    <w:rsid w:val="2E692F55"/>
    <w:rsid w:val="2ED63C5A"/>
    <w:rsid w:val="2EFA61E0"/>
    <w:rsid w:val="2EFD6EAE"/>
    <w:rsid w:val="2F0133D0"/>
    <w:rsid w:val="2F0947C0"/>
    <w:rsid w:val="2F220059"/>
    <w:rsid w:val="2F2410F5"/>
    <w:rsid w:val="2F3441A9"/>
    <w:rsid w:val="2F4A10A6"/>
    <w:rsid w:val="2F505437"/>
    <w:rsid w:val="2F661879"/>
    <w:rsid w:val="2F663140"/>
    <w:rsid w:val="2F7C2A48"/>
    <w:rsid w:val="2F8C6C74"/>
    <w:rsid w:val="2F9F07AA"/>
    <w:rsid w:val="2FBE59D5"/>
    <w:rsid w:val="2FD03B77"/>
    <w:rsid w:val="2FD5545A"/>
    <w:rsid w:val="2FF860B9"/>
    <w:rsid w:val="30011E23"/>
    <w:rsid w:val="300B7165"/>
    <w:rsid w:val="30145FD8"/>
    <w:rsid w:val="30161891"/>
    <w:rsid w:val="302417F1"/>
    <w:rsid w:val="304625CA"/>
    <w:rsid w:val="30542B64"/>
    <w:rsid w:val="309A0EE9"/>
    <w:rsid w:val="309E06C3"/>
    <w:rsid w:val="30AB67EC"/>
    <w:rsid w:val="30AE3A3A"/>
    <w:rsid w:val="30B459E1"/>
    <w:rsid w:val="30E9342C"/>
    <w:rsid w:val="31054BBF"/>
    <w:rsid w:val="313A4609"/>
    <w:rsid w:val="31584345"/>
    <w:rsid w:val="31682F5E"/>
    <w:rsid w:val="318D7A90"/>
    <w:rsid w:val="318F0545"/>
    <w:rsid w:val="318F5592"/>
    <w:rsid w:val="3195017D"/>
    <w:rsid w:val="319B4972"/>
    <w:rsid w:val="31C27726"/>
    <w:rsid w:val="321D0A84"/>
    <w:rsid w:val="32240960"/>
    <w:rsid w:val="324C4823"/>
    <w:rsid w:val="32546F32"/>
    <w:rsid w:val="32762B13"/>
    <w:rsid w:val="327D7DD0"/>
    <w:rsid w:val="32982FCD"/>
    <w:rsid w:val="329E2211"/>
    <w:rsid w:val="32B0362F"/>
    <w:rsid w:val="32CC7DDB"/>
    <w:rsid w:val="32DC74F8"/>
    <w:rsid w:val="33100E5E"/>
    <w:rsid w:val="331E6A49"/>
    <w:rsid w:val="333101B3"/>
    <w:rsid w:val="334E1E0D"/>
    <w:rsid w:val="3358685A"/>
    <w:rsid w:val="336E2F5E"/>
    <w:rsid w:val="337A4289"/>
    <w:rsid w:val="33823EB8"/>
    <w:rsid w:val="339B67F7"/>
    <w:rsid w:val="33C17F62"/>
    <w:rsid w:val="33F65144"/>
    <w:rsid w:val="340457AF"/>
    <w:rsid w:val="343D1F5C"/>
    <w:rsid w:val="344A025D"/>
    <w:rsid w:val="347F2F77"/>
    <w:rsid w:val="349C79F1"/>
    <w:rsid w:val="34C042A7"/>
    <w:rsid w:val="34C10463"/>
    <w:rsid w:val="34C81F8A"/>
    <w:rsid w:val="34DD70D6"/>
    <w:rsid w:val="34FB69AC"/>
    <w:rsid w:val="350208C9"/>
    <w:rsid w:val="3503514C"/>
    <w:rsid w:val="350530D4"/>
    <w:rsid w:val="353548C5"/>
    <w:rsid w:val="35362D81"/>
    <w:rsid w:val="35937FA3"/>
    <w:rsid w:val="35CF7582"/>
    <w:rsid w:val="35D0027F"/>
    <w:rsid w:val="35E93B58"/>
    <w:rsid w:val="360C4BB0"/>
    <w:rsid w:val="361574E2"/>
    <w:rsid w:val="36315FF3"/>
    <w:rsid w:val="365155FD"/>
    <w:rsid w:val="36665626"/>
    <w:rsid w:val="366C5D0C"/>
    <w:rsid w:val="367A4749"/>
    <w:rsid w:val="36955406"/>
    <w:rsid w:val="36B467C0"/>
    <w:rsid w:val="36CB6C4C"/>
    <w:rsid w:val="36D342E4"/>
    <w:rsid w:val="37233EAC"/>
    <w:rsid w:val="372679C0"/>
    <w:rsid w:val="372707A0"/>
    <w:rsid w:val="37397379"/>
    <w:rsid w:val="373A5653"/>
    <w:rsid w:val="373C3BBA"/>
    <w:rsid w:val="373F15A6"/>
    <w:rsid w:val="3749701B"/>
    <w:rsid w:val="375C44A6"/>
    <w:rsid w:val="376B544C"/>
    <w:rsid w:val="376F32F3"/>
    <w:rsid w:val="377128DF"/>
    <w:rsid w:val="37954799"/>
    <w:rsid w:val="379D580D"/>
    <w:rsid w:val="37A17B1A"/>
    <w:rsid w:val="37AB3AD6"/>
    <w:rsid w:val="37AF144E"/>
    <w:rsid w:val="37F36F75"/>
    <w:rsid w:val="3802516F"/>
    <w:rsid w:val="380434C6"/>
    <w:rsid w:val="38265073"/>
    <w:rsid w:val="382D098D"/>
    <w:rsid w:val="383160F7"/>
    <w:rsid w:val="3848361F"/>
    <w:rsid w:val="385025D6"/>
    <w:rsid w:val="38507674"/>
    <w:rsid w:val="385349AD"/>
    <w:rsid w:val="38551DB9"/>
    <w:rsid w:val="3869073F"/>
    <w:rsid w:val="38967E3E"/>
    <w:rsid w:val="38A33A13"/>
    <w:rsid w:val="38AC305F"/>
    <w:rsid w:val="38B772A3"/>
    <w:rsid w:val="38C937C7"/>
    <w:rsid w:val="38F90DD9"/>
    <w:rsid w:val="38FC4B50"/>
    <w:rsid w:val="39011C9D"/>
    <w:rsid w:val="39023F40"/>
    <w:rsid w:val="390343AA"/>
    <w:rsid w:val="39226346"/>
    <w:rsid w:val="39244E13"/>
    <w:rsid w:val="392D59F3"/>
    <w:rsid w:val="392E2FB2"/>
    <w:rsid w:val="39324ABA"/>
    <w:rsid w:val="393C637B"/>
    <w:rsid w:val="394F29D0"/>
    <w:rsid w:val="39640004"/>
    <w:rsid w:val="3967672E"/>
    <w:rsid w:val="398E411B"/>
    <w:rsid w:val="398E73D0"/>
    <w:rsid w:val="39B82828"/>
    <w:rsid w:val="39C37B2F"/>
    <w:rsid w:val="39C74B71"/>
    <w:rsid w:val="39FB6980"/>
    <w:rsid w:val="3A0C7A33"/>
    <w:rsid w:val="3A174D2D"/>
    <w:rsid w:val="3A24392A"/>
    <w:rsid w:val="3A251439"/>
    <w:rsid w:val="3A4425FF"/>
    <w:rsid w:val="3A5A38E5"/>
    <w:rsid w:val="3A5D52F1"/>
    <w:rsid w:val="3A7025D9"/>
    <w:rsid w:val="3A7C2A7E"/>
    <w:rsid w:val="3AA64BC7"/>
    <w:rsid w:val="3AAD7088"/>
    <w:rsid w:val="3AAE0BC9"/>
    <w:rsid w:val="3ACB5ED6"/>
    <w:rsid w:val="3AF431C7"/>
    <w:rsid w:val="3B1E6E0A"/>
    <w:rsid w:val="3B501CFA"/>
    <w:rsid w:val="3B5506AE"/>
    <w:rsid w:val="3B550FAD"/>
    <w:rsid w:val="3B6F74B2"/>
    <w:rsid w:val="3B93062A"/>
    <w:rsid w:val="3B98407E"/>
    <w:rsid w:val="3BA170D5"/>
    <w:rsid w:val="3BCE111E"/>
    <w:rsid w:val="3BCF46FF"/>
    <w:rsid w:val="3BEA71CE"/>
    <w:rsid w:val="3BEC44DD"/>
    <w:rsid w:val="3C0B052D"/>
    <w:rsid w:val="3C0E0923"/>
    <w:rsid w:val="3C1E3F64"/>
    <w:rsid w:val="3C2C2BC2"/>
    <w:rsid w:val="3C354068"/>
    <w:rsid w:val="3C451DF1"/>
    <w:rsid w:val="3C486CAB"/>
    <w:rsid w:val="3C4D0B86"/>
    <w:rsid w:val="3C4E752E"/>
    <w:rsid w:val="3C57492C"/>
    <w:rsid w:val="3C5B40FA"/>
    <w:rsid w:val="3C770F20"/>
    <w:rsid w:val="3CAC793B"/>
    <w:rsid w:val="3CD2340D"/>
    <w:rsid w:val="3CE00C2E"/>
    <w:rsid w:val="3CFD7F5B"/>
    <w:rsid w:val="3D031D66"/>
    <w:rsid w:val="3D061F3D"/>
    <w:rsid w:val="3D202206"/>
    <w:rsid w:val="3D2B643A"/>
    <w:rsid w:val="3D2D040A"/>
    <w:rsid w:val="3D584A05"/>
    <w:rsid w:val="3D6A0EAE"/>
    <w:rsid w:val="3D705983"/>
    <w:rsid w:val="3D8B67D5"/>
    <w:rsid w:val="3D8F16FE"/>
    <w:rsid w:val="3DB8701A"/>
    <w:rsid w:val="3DBA2ACE"/>
    <w:rsid w:val="3DCA6F9F"/>
    <w:rsid w:val="3DD31268"/>
    <w:rsid w:val="3DEB50AE"/>
    <w:rsid w:val="3E013712"/>
    <w:rsid w:val="3E186E52"/>
    <w:rsid w:val="3E187056"/>
    <w:rsid w:val="3E3166B6"/>
    <w:rsid w:val="3E337F92"/>
    <w:rsid w:val="3E8172A5"/>
    <w:rsid w:val="3EAD51B7"/>
    <w:rsid w:val="3EB4048A"/>
    <w:rsid w:val="3EB831C6"/>
    <w:rsid w:val="3EC5231B"/>
    <w:rsid w:val="3EC764B4"/>
    <w:rsid w:val="3ECD5038"/>
    <w:rsid w:val="3ED05A4C"/>
    <w:rsid w:val="3EE11564"/>
    <w:rsid w:val="3EF9496A"/>
    <w:rsid w:val="3F1110B2"/>
    <w:rsid w:val="3F204C92"/>
    <w:rsid w:val="3F211F39"/>
    <w:rsid w:val="3F316626"/>
    <w:rsid w:val="3F327012"/>
    <w:rsid w:val="3F40061F"/>
    <w:rsid w:val="3F44229C"/>
    <w:rsid w:val="3F4E078B"/>
    <w:rsid w:val="3F4E28D8"/>
    <w:rsid w:val="3F7838AA"/>
    <w:rsid w:val="3F992C31"/>
    <w:rsid w:val="3FD93058"/>
    <w:rsid w:val="3FEA3EDF"/>
    <w:rsid w:val="3FF63D63"/>
    <w:rsid w:val="3FF67B2E"/>
    <w:rsid w:val="400D7C22"/>
    <w:rsid w:val="401B7504"/>
    <w:rsid w:val="404C4B3C"/>
    <w:rsid w:val="405B1847"/>
    <w:rsid w:val="40905358"/>
    <w:rsid w:val="40914A8A"/>
    <w:rsid w:val="40961D2A"/>
    <w:rsid w:val="40A9404E"/>
    <w:rsid w:val="40D044A5"/>
    <w:rsid w:val="40E23C25"/>
    <w:rsid w:val="40E30194"/>
    <w:rsid w:val="40FA6998"/>
    <w:rsid w:val="410B1F12"/>
    <w:rsid w:val="41281893"/>
    <w:rsid w:val="4135685B"/>
    <w:rsid w:val="41443B4C"/>
    <w:rsid w:val="41467A11"/>
    <w:rsid w:val="41474F36"/>
    <w:rsid w:val="414F0F64"/>
    <w:rsid w:val="41713AC6"/>
    <w:rsid w:val="417B5A0A"/>
    <w:rsid w:val="418A4408"/>
    <w:rsid w:val="41AB529E"/>
    <w:rsid w:val="41D66CFD"/>
    <w:rsid w:val="41E260D0"/>
    <w:rsid w:val="41EA00E1"/>
    <w:rsid w:val="42071430"/>
    <w:rsid w:val="42150FF6"/>
    <w:rsid w:val="422B4295"/>
    <w:rsid w:val="42352798"/>
    <w:rsid w:val="424342B9"/>
    <w:rsid w:val="424759B0"/>
    <w:rsid w:val="426406E6"/>
    <w:rsid w:val="4278540E"/>
    <w:rsid w:val="42842A56"/>
    <w:rsid w:val="428E45FB"/>
    <w:rsid w:val="42DB4006"/>
    <w:rsid w:val="42DE1148"/>
    <w:rsid w:val="42EB49FB"/>
    <w:rsid w:val="42FF3C2A"/>
    <w:rsid w:val="43767937"/>
    <w:rsid w:val="43BC6B5A"/>
    <w:rsid w:val="43D875BA"/>
    <w:rsid w:val="43EE2B84"/>
    <w:rsid w:val="43EE7400"/>
    <w:rsid w:val="43F10450"/>
    <w:rsid w:val="440170ED"/>
    <w:rsid w:val="442D0EB8"/>
    <w:rsid w:val="443008DE"/>
    <w:rsid w:val="443813AD"/>
    <w:rsid w:val="444C2CFD"/>
    <w:rsid w:val="44642E7E"/>
    <w:rsid w:val="44663D99"/>
    <w:rsid w:val="44867424"/>
    <w:rsid w:val="4487293F"/>
    <w:rsid w:val="44A55765"/>
    <w:rsid w:val="44B42435"/>
    <w:rsid w:val="44C918C8"/>
    <w:rsid w:val="44D76801"/>
    <w:rsid w:val="44DC43C3"/>
    <w:rsid w:val="44FF0F61"/>
    <w:rsid w:val="45545D33"/>
    <w:rsid w:val="455D2D9B"/>
    <w:rsid w:val="45650855"/>
    <w:rsid w:val="4566105B"/>
    <w:rsid w:val="45723C55"/>
    <w:rsid w:val="45765BFD"/>
    <w:rsid w:val="45887F2C"/>
    <w:rsid w:val="45A50BA9"/>
    <w:rsid w:val="45AF1B7B"/>
    <w:rsid w:val="45C409AF"/>
    <w:rsid w:val="45CB67E3"/>
    <w:rsid w:val="45E27D7D"/>
    <w:rsid w:val="45F47EBD"/>
    <w:rsid w:val="45FB3715"/>
    <w:rsid w:val="46134B53"/>
    <w:rsid w:val="464853E8"/>
    <w:rsid w:val="464C6DDD"/>
    <w:rsid w:val="46524891"/>
    <w:rsid w:val="46723498"/>
    <w:rsid w:val="469D44C5"/>
    <w:rsid w:val="46A21784"/>
    <w:rsid w:val="46AB2133"/>
    <w:rsid w:val="46B9138C"/>
    <w:rsid w:val="46F954A4"/>
    <w:rsid w:val="47077798"/>
    <w:rsid w:val="472D34C3"/>
    <w:rsid w:val="47537F8A"/>
    <w:rsid w:val="475D2C86"/>
    <w:rsid w:val="478025C5"/>
    <w:rsid w:val="47833CF1"/>
    <w:rsid w:val="47927E86"/>
    <w:rsid w:val="479E3DB5"/>
    <w:rsid w:val="47C03701"/>
    <w:rsid w:val="47CB7A7D"/>
    <w:rsid w:val="47DC3778"/>
    <w:rsid w:val="480F11CF"/>
    <w:rsid w:val="482B3918"/>
    <w:rsid w:val="48325E92"/>
    <w:rsid w:val="48642AB2"/>
    <w:rsid w:val="48775314"/>
    <w:rsid w:val="488A0BFF"/>
    <w:rsid w:val="489E2DCA"/>
    <w:rsid w:val="48A565A4"/>
    <w:rsid w:val="48B347F6"/>
    <w:rsid w:val="48BE26DA"/>
    <w:rsid w:val="48C42E21"/>
    <w:rsid w:val="48F2089A"/>
    <w:rsid w:val="490B20A0"/>
    <w:rsid w:val="49357DCD"/>
    <w:rsid w:val="493770E4"/>
    <w:rsid w:val="494A7138"/>
    <w:rsid w:val="494F2700"/>
    <w:rsid w:val="4983098F"/>
    <w:rsid w:val="4988625E"/>
    <w:rsid w:val="498A570C"/>
    <w:rsid w:val="49AE36FC"/>
    <w:rsid w:val="49B268B6"/>
    <w:rsid w:val="49BE2787"/>
    <w:rsid w:val="49D36799"/>
    <w:rsid w:val="49EA32D5"/>
    <w:rsid w:val="4A04223F"/>
    <w:rsid w:val="4A0B1F00"/>
    <w:rsid w:val="4A10784C"/>
    <w:rsid w:val="4A133E9E"/>
    <w:rsid w:val="4A136940"/>
    <w:rsid w:val="4A41100D"/>
    <w:rsid w:val="4A4403CF"/>
    <w:rsid w:val="4A4D2F5C"/>
    <w:rsid w:val="4A56149B"/>
    <w:rsid w:val="4A63196B"/>
    <w:rsid w:val="4A6B403C"/>
    <w:rsid w:val="4A7122D5"/>
    <w:rsid w:val="4A873D49"/>
    <w:rsid w:val="4A9F5114"/>
    <w:rsid w:val="4AB6018E"/>
    <w:rsid w:val="4AB655EF"/>
    <w:rsid w:val="4ABC5675"/>
    <w:rsid w:val="4ADA1D6D"/>
    <w:rsid w:val="4B08360C"/>
    <w:rsid w:val="4B213144"/>
    <w:rsid w:val="4B4B766D"/>
    <w:rsid w:val="4B4D3992"/>
    <w:rsid w:val="4B6C276E"/>
    <w:rsid w:val="4B7F2AF6"/>
    <w:rsid w:val="4BA5197D"/>
    <w:rsid w:val="4BA87C0D"/>
    <w:rsid w:val="4BA92F1A"/>
    <w:rsid w:val="4BB62928"/>
    <w:rsid w:val="4BDE49FB"/>
    <w:rsid w:val="4BEC3B24"/>
    <w:rsid w:val="4C144DF1"/>
    <w:rsid w:val="4C170B51"/>
    <w:rsid w:val="4C1A04F0"/>
    <w:rsid w:val="4C417073"/>
    <w:rsid w:val="4C976B14"/>
    <w:rsid w:val="4CAF3AFB"/>
    <w:rsid w:val="4CB84554"/>
    <w:rsid w:val="4CB93EAF"/>
    <w:rsid w:val="4CEC71F6"/>
    <w:rsid w:val="4CF47508"/>
    <w:rsid w:val="4D126E69"/>
    <w:rsid w:val="4D304B90"/>
    <w:rsid w:val="4D356DB3"/>
    <w:rsid w:val="4D3D1A7E"/>
    <w:rsid w:val="4D4D0DB7"/>
    <w:rsid w:val="4D53409E"/>
    <w:rsid w:val="4D9F7557"/>
    <w:rsid w:val="4DA56062"/>
    <w:rsid w:val="4DB0393E"/>
    <w:rsid w:val="4DBD1D78"/>
    <w:rsid w:val="4DCA7BBA"/>
    <w:rsid w:val="4DE24B0C"/>
    <w:rsid w:val="4DE33B73"/>
    <w:rsid w:val="4DE9133D"/>
    <w:rsid w:val="4E0404F4"/>
    <w:rsid w:val="4E0C700C"/>
    <w:rsid w:val="4E114F3A"/>
    <w:rsid w:val="4E1F41AB"/>
    <w:rsid w:val="4E371FF6"/>
    <w:rsid w:val="4E6A66F7"/>
    <w:rsid w:val="4E84166B"/>
    <w:rsid w:val="4E9814C9"/>
    <w:rsid w:val="4E9C5E2A"/>
    <w:rsid w:val="4ECF0D5C"/>
    <w:rsid w:val="4ED03FA3"/>
    <w:rsid w:val="4EE8649E"/>
    <w:rsid w:val="4F0E7C2E"/>
    <w:rsid w:val="4F177ED0"/>
    <w:rsid w:val="4F1A048C"/>
    <w:rsid w:val="4F1A4B70"/>
    <w:rsid w:val="4F705228"/>
    <w:rsid w:val="4F7473AB"/>
    <w:rsid w:val="4F817ADE"/>
    <w:rsid w:val="4FAF181D"/>
    <w:rsid w:val="4FBF2CC5"/>
    <w:rsid w:val="4FC4060E"/>
    <w:rsid w:val="4FD75E06"/>
    <w:rsid w:val="4FFB61B3"/>
    <w:rsid w:val="50087577"/>
    <w:rsid w:val="503E2C37"/>
    <w:rsid w:val="503E7DA0"/>
    <w:rsid w:val="50570B8B"/>
    <w:rsid w:val="508C08CD"/>
    <w:rsid w:val="50946DB5"/>
    <w:rsid w:val="50B13A35"/>
    <w:rsid w:val="50B20CC2"/>
    <w:rsid w:val="50C71661"/>
    <w:rsid w:val="50F6061B"/>
    <w:rsid w:val="50F83A0D"/>
    <w:rsid w:val="50FE65AE"/>
    <w:rsid w:val="5106395B"/>
    <w:rsid w:val="510B57FF"/>
    <w:rsid w:val="510C472A"/>
    <w:rsid w:val="51300C52"/>
    <w:rsid w:val="514D32BB"/>
    <w:rsid w:val="51564663"/>
    <w:rsid w:val="51590620"/>
    <w:rsid w:val="5166341A"/>
    <w:rsid w:val="517540BC"/>
    <w:rsid w:val="517A1492"/>
    <w:rsid w:val="51BC79D4"/>
    <w:rsid w:val="51C57C4A"/>
    <w:rsid w:val="51C717E0"/>
    <w:rsid w:val="51CB3008"/>
    <w:rsid w:val="51F445FF"/>
    <w:rsid w:val="520D5E2A"/>
    <w:rsid w:val="52185731"/>
    <w:rsid w:val="522E6A91"/>
    <w:rsid w:val="52586E42"/>
    <w:rsid w:val="52624CB8"/>
    <w:rsid w:val="52661D06"/>
    <w:rsid w:val="526627A4"/>
    <w:rsid w:val="528331DB"/>
    <w:rsid w:val="52B152D4"/>
    <w:rsid w:val="52D143F5"/>
    <w:rsid w:val="52D61FFA"/>
    <w:rsid w:val="52DC0D54"/>
    <w:rsid w:val="52F10220"/>
    <w:rsid w:val="53004660"/>
    <w:rsid w:val="530E2B2E"/>
    <w:rsid w:val="53310A93"/>
    <w:rsid w:val="534057EC"/>
    <w:rsid w:val="53482E63"/>
    <w:rsid w:val="534F1C5C"/>
    <w:rsid w:val="53550AA8"/>
    <w:rsid w:val="537458B0"/>
    <w:rsid w:val="537626AF"/>
    <w:rsid w:val="538D6182"/>
    <w:rsid w:val="53993CAD"/>
    <w:rsid w:val="53A13884"/>
    <w:rsid w:val="53A3672B"/>
    <w:rsid w:val="53C458F2"/>
    <w:rsid w:val="53C95B6F"/>
    <w:rsid w:val="53D235AE"/>
    <w:rsid w:val="53DC04BD"/>
    <w:rsid w:val="53E760D8"/>
    <w:rsid w:val="53EA699A"/>
    <w:rsid w:val="5400566D"/>
    <w:rsid w:val="540F340E"/>
    <w:rsid w:val="540F7ECC"/>
    <w:rsid w:val="54352859"/>
    <w:rsid w:val="5450558C"/>
    <w:rsid w:val="54606396"/>
    <w:rsid w:val="54842757"/>
    <w:rsid w:val="54992021"/>
    <w:rsid w:val="54D73F0D"/>
    <w:rsid w:val="551E2A75"/>
    <w:rsid w:val="552E7BAB"/>
    <w:rsid w:val="553C1B3D"/>
    <w:rsid w:val="553E6C54"/>
    <w:rsid w:val="554E01E6"/>
    <w:rsid w:val="556939CA"/>
    <w:rsid w:val="557B4C39"/>
    <w:rsid w:val="558D33A4"/>
    <w:rsid w:val="55C62B3A"/>
    <w:rsid w:val="55D24AEB"/>
    <w:rsid w:val="560A5295"/>
    <w:rsid w:val="560C18AA"/>
    <w:rsid w:val="560F7E47"/>
    <w:rsid w:val="562404D7"/>
    <w:rsid w:val="56245751"/>
    <w:rsid w:val="564C5089"/>
    <w:rsid w:val="565E20E4"/>
    <w:rsid w:val="56617E4F"/>
    <w:rsid w:val="568E7FB8"/>
    <w:rsid w:val="569E2A98"/>
    <w:rsid w:val="56AA2CBA"/>
    <w:rsid w:val="56AC79C0"/>
    <w:rsid w:val="56DF1220"/>
    <w:rsid w:val="56E4460C"/>
    <w:rsid w:val="56F75300"/>
    <w:rsid w:val="570518BB"/>
    <w:rsid w:val="57182B6C"/>
    <w:rsid w:val="5737769C"/>
    <w:rsid w:val="576630B0"/>
    <w:rsid w:val="57735E9D"/>
    <w:rsid w:val="577932F2"/>
    <w:rsid w:val="577A2CA4"/>
    <w:rsid w:val="579D74BE"/>
    <w:rsid w:val="57CE4012"/>
    <w:rsid w:val="57EF5D2C"/>
    <w:rsid w:val="57FA2717"/>
    <w:rsid w:val="58182C66"/>
    <w:rsid w:val="583B5D9B"/>
    <w:rsid w:val="58582F55"/>
    <w:rsid w:val="58785230"/>
    <w:rsid w:val="58885D02"/>
    <w:rsid w:val="58901948"/>
    <w:rsid w:val="589505C3"/>
    <w:rsid w:val="58984C70"/>
    <w:rsid w:val="58CA488C"/>
    <w:rsid w:val="58D00F6C"/>
    <w:rsid w:val="58D27FF9"/>
    <w:rsid w:val="590449E5"/>
    <w:rsid w:val="590621A4"/>
    <w:rsid w:val="591302FE"/>
    <w:rsid w:val="59566793"/>
    <w:rsid w:val="59576365"/>
    <w:rsid w:val="595A7956"/>
    <w:rsid w:val="59670CFA"/>
    <w:rsid w:val="596917E0"/>
    <w:rsid w:val="596D5C2C"/>
    <w:rsid w:val="59747AC4"/>
    <w:rsid w:val="597E7EED"/>
    <w:rsid w:val="59844E85"/>
    <w:rsid w:val="59A71909"/>
    <w:rsid w:val="59A931FF"/>
    <w:rsid w:val="59B51E5A"/>
    <w:rsid w:val="59C27B41"/>
    <w:rsid w:val="59F15590"/>
    <w:rsid w:val="5A1F5A5F"/>
    <w:rsid w:val="5A257B6D"/>
    <w:rsid w:val="5A2B2357"/>
    <w:rsid w:val="5A3400CA"/>
    <w:rsid w:val="5A4B162E"/>
    <w:rsid w:val="5A4E333D"/>
    <w:rsid w:val="5A654E47"/>
    <w:rsid w:val="5A666720"/>
    <w:rsid w:val="5A7B05DD"/>
    <w:rsid w:val="5A877637"/>
    <w:rsid w:val="5A887578"/>
    <w:rsid w:val="5A927EF3"/>
    <w:rsid w:val="5A9A0F9F"/>
    <w:rsid w:val="5AA2419B"/>
    <w:rsid w:val="5AB719F5"/>
    <w:rsid w:val="5AC46C7D"/>
    <w:rsid w:val="5AD55370"/>
    <w:rsid w:val="5AE8747A"/>
    <w:rsid w:val="5AF55FA3"/>
    <w:rsid w:val="5B04675E"/>
    <w:rsid w:val="5B2A625A"/>
    <w:rsid w:val="5B3D16B9"/>
    <w:rsid w:val="5B3F7747"/>
    <w:rsid w:val="5B533078"/>
    <w:rsid w:val="5B533209"/>
    <w:rsid w:val="5B5D1FD3"/>
    <w:rsid w:val="5B67656B"/>
    <w:rsid w:val="5B7A3895"/>
    <w:rsid w:val="5B894B35"/>
    <w:rsid w:val="5BBA1165"/>
    <w:rsid w:val="5BC0477C"/>
    <w:rsid w:val="5BC306B8"/>
    <w:rsid w:val="5BCD31A7"/>
    <w:rsid w:val="5C0E7463"/>
    <w:rsid w:val="5C0F26B4"/>
    <w:rsid w:val="5C4B51AE"/>
    <w:rsid w:val="5C587B89"/>
    <w:rsid w:val="5C6C4F79"/>
    <w:rsid w:val="5C7B61BC"/>
    <w:rsid w:val="5C9D3F94"/>
    <w:rsid w:val="5CAD6B66"/>
    <w:rsid w:val="5CBD09F5"/>
    <w:rsid w:val="5CC31FF6"/>
    <w:rsid w:val="5CC3323B"/>
    <w:rsid w:val="5CE7060B"/>
    <w:rsid w:val="5CE94DB1"/>
    <w:rsid w:val="5CEC3999"/>
    <w:rsid w:val="5CF81210"/>
    <w:rsid w:val="5CFF4C80"/>
    <w:rsid w:val="5D013303"/>
    <w:rsid w:val="5D106E26"/>
    <w:rsid w:val="5D32426E"/>
    <w:rsid w:val="5D4C270B"/>
    <w:rsid w:val="5D4D4FBA"/>
    <w:rsid w:val="5D563890"/>
    <w:rsid w:val="5D6C55F8"/>
    <w:rsid w:val="5D884794"/>
    <w:rsid w:val="5D937F5C"/>
    <w:rsid w:val="5DB5644E"/>
    <w:rsid w:val="5DC4147B"/>
    <w:rsid w:val="5DCE231F"/>
    <w:rsid w:val="5DE54922"/>
    <w:rsid w:val="5DEA17FE"/>
    <w:rsid w:val="5DEE116C"/>
    <w:rsid w:val="5DEE796B"/>
    <w:rsid w:val="5DF025A9"/>
    <w:rsid w:val="5DF9454D"/>
    <w:rsid w:val="5E222F76"/>
    <w:rsid w:val="5E300741"/>
    <w:rsid w:val="5E400AA8"/>
    <w:rsid w:val="5E496214"/>
    <w:rsid w:val="5E582B09"/>
    <w:rsid w:val="5E652E84"/>
    <w:rsid w:val="5E6F5C57"/>
    <w:rsid w:val="5E7319FF"/>
    <w:rsid w:val="5E825C25"/>
    <w:rsid w:val="5E8C0A4D"/>
    <w:rsid w:val="5E914461"/>
    <w:rsid w:val="5E9C09DD"/>
    <w:rsid w:val="5EC97F2D"/>
    <w:rsid w:val="5EEF7A39"/>
    <w:rsid w:val="5EFC5748"/>
    <w:rsid w:val="5F0827CA"/>
    <w:rsid w:val="5F0B1451"/>
    <w:rsid w:val="5F0D6862"/>
    <w:rsid w:val="5F0E735E"/>
    <w:rsid w:val="5F2D166B"/>
    <w:rsid w:val="5F395A12"/>
    <w:rsid w:val="5F400FED"/>
    <w:rsid w:val="5F4C466F"/>
    <w:rsid w:val="5F5476E7"/>
    <w:rsid w:val="5F6C6AB4"/>
    <w:rsid w:val="5FBF186C"/>
    <w:rsid w:val="5FC522C7"/>
    <w:rsid w:val="5FD23A7D"/>
    <w:rsid w:val="5FE5359D"/>
    <w:rsid w:val="600B1044"/>
    <w:rsid w:val="60107875"/>
    <w:rsid w:val="60114338"/>
    <w:rsid w:val="60131833"/>
    <w:rsid w:val="60383A52"/>
    <w:rsid w:val="60403212"/>
    <w:rsid w:val="6045439A"/>
    <w:rsid w:val="604A5F45"/>
    <w:rsid w:val="605B6737"/>
    <w:rsid w:val="605F1498"/>
    <w:rsid w:val="60852161"/>
    <w:rsid w:val="608A6942"/>
    <w:rsid w:val="609F5D01"/>
    <w:rsid w:val="60EA7E6C"/>
    <w:rsid w:val="60EB7BBF"/>
    <w:rsid w:val="60F43860"/>
    <w:rsid w:val="60F55DBE"/>
    <w:rsid w:val="60F95F09"/>
    <w:rsid w:val="61091284"/>
    <w:rsid w:val="61180ACA"/>
    <w:rsid w:val="611C4789"/>
    <w:rsid w:val="612A017E"/>
    <w:rsid w:val="613F2F39"/>
    <w:rsid w:val="615C46E0"/>
    <w:rsid w:val="61634C96"/>
    <w:rsid w:val="616C3AE2"/>
    <w:rsid w:val="617F0438"/>
    <w:rsid w:val="61907FF7"/>
    <w:rsid w:val="61987B63"/>
    <w:rsid w:val="61B41FAE"/>
    <w:rsid w:val="61C706C0"/>
    <w:rsid w:val="61F8284B"/>
    <w:rsid w:val="624C1919"/>
    <w:rsid w:val="6272637D"/>
    <w:rsid w:val="627C3388"/>
    <w:rsid w:val="629650AF"/>
    <w:rsid w:val="62A04EC9"/>
    <w:rsid w:val="62AA7757"/>
    <w:rsid w:val="62B86D0C"/>
    <w:rsid w:val="62CC3890"/>
    <w:rsid w:val="62E36587"/>
    <w:rsid w:val="62F438BC"/>
    <w:rsid w:val="62F64A9F"/>
    <w:rsid w:val="63111A7E"/>
    <w:rsid w:val="631A0066"/>
    <w:rsid w:val="63321EF8"/>
    <w:rsid w:val="6344541B"/>
    <w:rsid w:val="635A3ADF"/>
    <w:rsid w:val="636B3BD7"/>
    <w:rsid w:val="63784413"/>
    <w:rsid w:val="637A242C"/>
    <w:rsid w:val="63813A80"/>
    <w:rsid w:val="638272E7"/>
    <w:rsid w:val="63886CE2"/>
    <w:rsid w:val="63890A81"/>
    <w:rsid w:val="639B74AC"/>
    <w:rsid w:val="63A25126"/>
    <w:rsid w:val="63A65E6D"/>
    <w:rsid w:val="63B75197"/>
    <w:rsid w:val="63C95B3C"/>
    <w:rsid w:val="63D34F66"/>
    <w:rsid w:val="63D967EC"/>
    <w:rsid w:val="63E166F5"/>
    <w:rsid w:val="63EA639C"/>
    <w:rsid w:val="640850FB"/>
    <w:rsid w:val="640D2B1C"/>
    <w:rsid w:val="64127D41"/>
    <w:rsid w:val="64285DB8"/>
    <w:rsid w:val="64374911"/>
    <w:rsid w:val="646A602F"/>
    <w:rsid w:val="64785DA6"/>
    <w:rsid w:val="647C01EB"/>
    <w:rsid w:val="649526E4"/>
    <w:rsid w:val="64CD2485"/>
    <w:rsid w:val="64DA20AE"/>
    <w:rsid w:val="64E17253"/>
    <w:rsid w:val="64EF1CB9"/>
    <w:rsid w:val="64F826DE"/>
    <w:rsid w:val="650832B7"/>
    <w:rsid w:val="65100274"/>
    <w:rsid w:val="65706E98"/>
    <w:rsid w:val="65731608"/>
    <w:rsid w:val="65814E55"/>
    <w:rsid w:val="65873BB8"/>
    <w:rsid w:val="65963B2E"/>
    <w:rsid w:val="65A64D6E"/>
    <w:rsid w:val="65B34800"/>
    <w:rsid w:val="65B80F06"/>
    <w:rsid w:val="65C95B8A"/>
    <w:rsid w:val="65FE3BA7"/>
    <w:rsid w:val="660655F2"/>
    <w:rsid w:val="66176C1F"/>
    <w:rsid w:val="66215B71"/>
    <w:rsid w:val="662432A0"/>
    <w:rsid w:val="663A471E"/>
    <w:rsid w:val="664E4CA2"/>
    <w:rsid w:val="665008DD"/>
    <w:rsid w:val="66644A39"/>
    <w:rsid w:val="668E4C07"/>
    <w:rsid w:val="669F358F"/>
    <w:rsid w:val="66B00CFC"/>
    <w:rsid w:val="66B31D3E"/>
    <w:rsid w:val="66BB73FA"/>
    <w:rsid w:val="66D82FCD"/>
    <w:rsid w:val="66EB3FBE"/>
    <w:rsid w:val="67214995"/>
    <w:rsid w:val="673878EB"/>
    <w:rsid w:val="674D2529"/>
    <w:rsid w:val="675106E7"/>
    <w:rsid w:val="6759779F"/>
    <w:rsid w:val="67675840"/>
    <w:rsid w:val="67802050"/>
    <w:rsid w:val="67A142E0"/>
    <w:rsid w:val="67CD1342"/>
    <w:rsid w:val="67D40782"/>
    <w:rsid w:val="67E61177"/>
    <w:rsid w:val="67F53908"/>
    <w:rsid w:val="681B4976"/>
    <w:rsid w:val="68232E0F"/>
    <w:rsid w:val="68295D07"/>
    <w:rsid w:val="6877796C"/>
    <w:rsid w:val="689F71AF"/>
    <w:rsid w:val="68C463FD"/>
    <w:rsid w:val="68E11C62"/>
    <w:rsid w:val="68E44533"/>
    <w:rsid w:val="68EF40A2"/>
    <w:rsid w:val="68F202F1"/>
    <w:rsid w:val="68F27309"/>
    <w:rsid w:val="693707D4"/>
    <w:rsid w:val="69471A42"/>
    <w:rsid w:val="696B58F0"/>
    <w:rsid w:val="69935AFD"/>
    <w:rsid w:val="69A7651C"/>
    <w:rsid w:val="69AB2864"/>
    <w:rsid w:val="69B31DBB"/>
    <w:rsid w:val="69BB729C"/>
    <w:rsid w:val="69BE61AF"/>
    <w:rsid w:val="69C41AC3"/>
    <w:rsid w:val="69F01E90"/>
    <w:rsid w:val="69F44FDF"/>
    <w:rsid w:val="69F5730A"/>
    <w:rsid w:val="6A135E24"/>
    <w:rsid w:val="6A260C3E"/>
    <w:rsid w:val="6A6433C2"/>
    <w:rsid w:val="6A707EAA"/>
    <w:rsid w:val="6A725C56"/>
    <w:rsid w:val="6A7A5B09"/>
    <w:rsid w:val="6A7C528A"/>
    <w:rsid w:val="6A875BAD"/>
    <w:rsid w:val="6A8F313B"/>
    <w:rsid w:val="6A907A65"/>
    <w:rsid w:val="6A96059C"/>
    <w:rsid w:val="6AA35D6F"/>
    <w:rsid w:val="6AA52A5D"/>
    <w:rsid w:val="6ABC44F7"/>
    <w:rsid w:val="6AD024F6"/>
    <w:rsid w:val="6AD6601A"/>
    <w:rsid w:val="6AE7699E"/>
    <w:rsid w:val="6AE90F03"/>
    <w:rsid w:val="6AF826B8"/>
    <w:rsid w:val="6B025D7E"/>
    <w:rsid w:val="6B0C1D3F"/>
    <w:rsid w:val="6B0D5197"/>
    <w:rsid w:val="6B381AC7"/>
    <w:rsid w:val="6B436952"/>
    <w:rsid w:val="6B580B8E"/>
    <w:rsid w:val="6B580C89"/>
    <w:rsid w:val="6B5A7F07"/>
    <w:rsid w:val="6B5B64FD"/>
    <w:rsid w:val="6B5C6D44"/>
    <w:rsid w:val="6B612F9D"/>
    <w:rsid w:val="6B876DB2"/>
    <w:rsid w:val="6BA6766E"/>
    <w:rsid w:val="6BBC151E"/>
    <w:rsid w:val="6BCC39C5"/>
    <w:rsid w:val="6BEE1BCC"/>
    <w:rsid w:val="6BFB4850"/>
    <w:rsid w:val="6C0274FB"/>
    <w:rsid w:val="6C154525"/>
    <w:rsid w:val="6C264382"/>
    <w:rsid w:val="6C2E0F31"/>
    <w:rsid w:val="6C3030E6"/>
    <w:rsid w:val="6C4413F9"/>
    <w:rsid w:val="6C5E0FAE"/>
    <w:rsid w:val="6C63056E"/>
    <w:rsid w:val="6C6D07CA"/>
    <w:rsid w:val="6C6F106F"/>
    <w:rsid w:val="6C7A45A9"/>
    <w:rsid w:val="6C866254"/>
    <w:rsid w:val="6C9650AB"/>
    <w:rsid w:val="6CD924AC"/>
    <w:rsid w:val="6CEF100A"/>
    <w:rsid w:val="6CF8631A"/>
    <w:rsid w:val="6D1A158C"/>
    <w:rsid w:val="6D1D3D08"/>
    <w:rsid w:val="6D226859"/>
    <w:rsid w:val="6D3345AB"/>
    <w:rsid w:val="6D561210"/>
    <w:rsid w:val="6D575527"/>
    <w:rsid w:val="6D6C44A0"/>
    <w:rsid w:val="6D813350"/>
    <w:rsid w:val="6D953FE1"/>
    <w:rsid w:val="6D974EE2"/>
    <w:rsid w:val="6DC7798C"/>
    <w:rsid w:val="6DD80E35"/>
    <w:rsid w:val="6DDB40ED"/>
    <w:rsid w:val="6DE52F97"/>
    <w:rsid w:val="6DF22106"/>
    <w:rsid w:val="6E090124"/>
    <w:rsid w:val="6E1501DB"/>
    <w:rsid w:val="6E17263F"/>
    <w:rsid w:val="6E5309F3"/>
    <w:rsid w:val="6E5F571B"/>
    <w:rsid w:val="6E626660"/>
    <w:rsid w:val="6E670D07"/>
    <w:rsid w:val="6E8E5C14"/>
    <w:rsid w:val="6E95116B"/>
    <w:rsid w:val="6E9B601B"/>
    <w:rsid w:val="6EAC45B9"/>
    <w:rsid w:val="6EAF694F"/>
    <w:rsid w:val="6EBD0B64"/>
    <w:rsid w:val="6ECD7D25"/>
    <w:rsid w:val="6EE81F83"/>
    <w:rsid w:val="6EEA4414"/>
    <w:rsid w:val="6EF743F0"/>
    <w:rsid w:val="6F28169E"/>
    <w:rsid w:val="6F3047D7"/>
    <w:rsid w:val="6F306B1A"/>
    <w:rsid w:val="6F483467"/>
    <w:rsid w:val="6F4B59B5"/>
    <w:rsid w:val="6F612A6D"/>
    <w:rsid w:val="6F6C6096"/>
    <w:rsid w:val="6F772C1A"/>
    <w:rsid w:val="6F9A6D51"/>
    <w:rsid w:val="6F9F7BCE"/>
    <w:rsid w:val="6FA766AE"/>
    <w:rsid w:val="6FBF420D"/>
    <w:rsid w:val="6FC25C54"/>
    <w:rsid w:val="6FE041F3"/>
    <w:rsid w:val="6FEC1ECE"/>
    <w:rsid w:val="6FF116CC"/>
    <w:rsid w:val="6FF460D2"/>
    <w:rsid w:val="700A142F"/>
    <w:rsid w:val="700B2CD9"/>
    <w:rsid w:val="70185C1B"/>
    <w:rsid w:val="70916656"/>
    <w:rsid w:val="70A2251C"/>
    <w:rsid w:val="70A50E9A"/>
    <w:rsid w:val="70F32848"/>
    <w:rsid w:val="71114C81"/>
    <w:rsid w:val="712C486B"/>
    <w:rsid w:val="71870625"/>
    <w:rsid w:val="71BC0415"/>
    <w:rsid w:val="71DF21F0"/>
    <w:rsid w:val="71ED3881"/>
    <w:rsid w:val="71F06918"/>
    <w:rsid w:val="72003C56"/>
    <w:rsid w:val="721E456B"/>
    <w:rsid w:val="72217D04"/>
    <w:rsid w:val="72232A2B"/>
    <w:rsid w:val="722A4E07"/>
    <w:rsid w:val="72395D52"/>
    <w:rsid w:val="724131A5"/>
    <w:rsid w:val="724915B2"/>
    <w:rsid w:val="7254710C"/>
    <w:rsid w:val="728959DA"/>
    <w:rsid w:val="729975BD"/>
    <w:rsid w:val="729D2092"/>
    <w:rsid w:val="72A5466A"/>
    <w:rsid w:val="72A55C69"/>
    <w:rsid w:val="72A961A1"/>
    <w:rsid w:val="72C80885"/>
    <w:rsid w:val="72DF3C7F"/>
    <w:rsid w:val="73202454"/>
    <w:rsid w:val="73325029"/>
    <w:rsid w:val="733356CB"/>
    <w:rsid w:val="734B7C2A"/>
    <w:rsid w:val="7361552A"/>
    <w:rsid w:val="73623901"/>
    <w:rsid w:val="73D34034"/>
    <w:rsid w:val="73D94493"/>
    <w:rsid w:val="73DB568B"/>
    <w:rsid w:val="73E073BF"/>
    <w:rsid w:val="73FF4E6E"/>
    <w:rsid w:val="74161F34"/>
    <w:rsid w:val="74513E69"/>
    <w:rsid w:val="74562F64"/>
    <w:rsid w:val="745E78FB"/>
    <w:rsid w:val="746056E3"/>
    <w:rsid w:val="74737E3C"/>
    <w:rsid w:val="747402D6"/>
    <w:rsid w:val="749B3954"/>
    <w:rsid w:val="74B53FA3"/>
    <w:rsid w:val="74C0793E"/>
    <w:rsid w:val="74D07A42"/>
    <w:rsid w:val="74EE295F"/>
    <w:rsid w:val="75026C72"/>
    <w:rsid w:val="75370F9F"/>
    <w:rsid w:val="759B5421"/>
    <w:rsid w:val="759C31C7"/>
    <w:rsid w:val="75B47504"/>
    <w:rsid w:val="75B85859"/>
    <w:rsid w:val="75C92B80"/>
    <w:rsid w:val="75DA282E"/>
    <w:rsid w:val="75E03B66"/>
    <w:rsid w:val="75F83427"/>
    <w:rsid w:val="760F685B"/>
    <w:rsid w:val="761E161D"/>
    <w:rsid w:val="76251491"/>
    <w:rsid w:val="76293A13"/>
    <w:rsid w:val="762F2D4F"/>
    <w:rsid w:val="76355397"/>
    <w:rsid w:val="76417535"/>
    <w:rsid w:val="764F426E"/>
    <w:rsid w:val="765C523E"/>
    <w:rsid w:val="76646674"/>
    <w:rsid w:val="768629F8"/>
    <w:rsid w:val="768B4670"/>
    <w:rsid w:val="76A630CE"/>
    <w:rsid w:val="76CF2407"/>
    <w:rsid w:val="76D469E0"/>
    <w:rsid w:val="76D97970"/>
    <w:rsid w:val="76E457E5"/>
    <w:rsid w:val="76F02BC8"/>
    <w:rsid w:val="77084A90"/>
    <w:rsid w:val="7721694D"/>
    <w:rsid w:val="77220B83"/>
    <w:rsid w:val="7732070E"/>
    <w:rsid w:val="77331784"/>
    <w:rsid w:val="776D006A"/>
    <w:rsid w:val="77933C2C"/>
    <w:rsid w:val="77A63F9E"/>
    <w:rsid w:val="77B33F3C"/>
    <w:rsid w:val="77B97308"/>
    <w:rsid w:val="77D524E4"/>
    <w:rsid w:val="77D71E8E"/>
    <w:rsid w:val="77E36B6F"/>
    <w:rsid w:val="77E86CAF"/>
    <w:rsid w:val="780C0F57"/>
    <w:rsid w:val="782E148D"/>
    <w:rsid w:val="7830181F"/>
    <w:rsid w:val="78445437"/>
    <w:rsid w:val="784D5274"/>
    <w:rsid w:val="785050D1"/>
    <w:rsid w:val="78520882"/>
    <w:rsid w:val="786C7AA5"/>
    <w:rsid w:val="7877522B"/>
    <w:rsid w:val="78B65EA6"/>
    <w:rsid w:val="78BF027A"/>
    <w:rsid w:val="78D20E44"/>
    <w:rsid w:val="78DE0F42"/>
    <w:rsid w:val="78E602E1"/>
    <w:rsid w:val="78E81EFB"/>
    <w:rsid w:val="78F01F65"/>
    <w:rsid w:val="790874FA"/>
    <w:rsid w:val="790B5DEC"/>
    <w:rsid w:val="791041A9"/>
    <w:rsid w:val="79900B9B"/>
    <w:rsid w:val="799A409E"/>
    <w:rsid w:val="799E1384"/>
    <w:rsid w:val="799F641D"/>
    <w:rsid w:val="79A10EE1"/>
    <w:rsid w:val="79A71BAB"/>
    <w:rsid w:val="79A94559"/>
    <w:rsid w:val="79DB1F05"/>
    <w:rsid w:val="79E106FA"/>
    <w:rsid w:val="79E116F5"/>
    <w:rsid w:val="79E5207F"/>
    <w:rsid w:val="7A074E84"/>
    <w:rsid w:val="7A081D3D"/>
    <w:rsid w:val="7A0B24DA"/>
    <w:rsid w:val="7A0B4705"/>
    <w:rsid w:val="7A236DAC"/>
    <w:rsid w:val="7A2C2816"/>
    <w:rsid w:val="7A480164"/>
    <w:rsid w:val="7A5875F1"/>
    <w:rsid w:val="7A75745A"/>
    <w:rsid w:val="7A975294"/>
    <w:rsid w:val="7A992739"/>
    <w:rsid w:val="7AAD0272"/>
    <w:rsid w:val="7AB72BC3"/>
    <w:rsid w:val="7ABA197B"/>
    <w:rsid w:val="7AC122DD"/>
    <w:rsid w:val="7AC94713"/>
    <w:rsid w:val="7ACA3C4F"/>
    <w:rsid w:val="7ACE3C1E"/>
    <w:rsid w:val="7B023224"/>
    <w:rsid w:val="7B0435FA"/>
    <w:rsid w:val="7B2B459A"/>
    <w:rsid w:val="7B2F4FBE"/>
    <w:rsid w:val="7B3C4630"/>
    <w:rsid w:val="7B3C60AC"/>
    <w:rsid w:val="7B4045B4"/>
    <w:rsid w:val="7B4803F2"/>
    <w:rsid w:val="7B707514"/>
    <w:rsid w:val="7B724848"/>
    <w:rsid w:val="7BA415F7"/>
    <w:rsid w:val="7BBA27F4"/>
    <w:rsid w:val="7BD331B5"/>
    <w:rsid w:val="7BF0238A"/>
    <w:rsid w:val="7BFC2C2A"/>
    <w:rsid w:val="7C0F4539"/>
    <w:rsid w:val="7C186C5C"/>
    <w:rsid w:val="7C373515"/>
    <w:rsid w:val="7C3B263F"/>
    <w:rsid w:val="7C520929"/>
    <w:rsid w:val="7C7611E0"/>
    <w:rsid w:val="7C7A5C15"/>
    <w:rsid w:val="7C7D4B73"/>
    <w:rsid w:val="7C827B79"/>
    <w:rsid w:val="7CA46C29"/>
    <w:rsid w:val="7CAD44A8"/>
    <w:rsid w:val="7CC9163D"/>
    <w:rsid w:val="7CD075D3"/>
    <w:rsid w:val="7CDE71FA"/>
    <w:rsid w:val="7CDF3402"/>
    <w:rsid w:val="7CDF4684"/>
    <w:rsid w:val="7D027AF4"/>
    <w:rsid w:val="7D337159"/>
    <w:rsid w:val="7D35583A"/>
    <w:rsid w:val="7D426189"/>
    <w:rsid w:val="7D6D604F"/>
    <w:rsid w:val="7D7C179E"/>
    <w:rsid w:val="7D8A75D0"/>
    <w:rsid w:val="7DAA0C3D"/>
    <w:rsid w:val="7DD04E5B"/>
    <w:rsid w:val="7DDC4445"/>
    <w:rsid w:val="7E03652D"/>
    <w:rsid w:val="7E142F08"/>
    <w:rsid w:val="7E3020B5"/>
    <w:rsid w:val="7E3F7A01"/>
    <w:rsid w:val="7E405067"/>
    <w:rsid w:val="7E430F8B"/>
    <w:rsid w:val="7E471469"/>
    <w:rsid w:val="7E551839"/>
    <w:rsid w:val="7E5F6DE8"/>
    <w:rsid w:val="7E7379D7"/>
    <w:rsid w:val="7E9347EC"/>
    <w:rsid w:val="7EBA2467"/>
    <w:rsid w:val="7EBC2378"/>
    <w:rsid w:val="7EBC239A"/>
    <w:rsid w:val="7EEB6884"/>
    <w:rsid w:val="7EF174A1"/>
    <w:rsid w:val="7EFC3FBF"/>
    <w:rsid w:val="7EFD6B0C"/>
    <w:rsid w:val="7F0679C1"/>
    <w:rsid w:val="7F1C674C"/>
    <w:rsid w:val="7F21538F"/>
    <w:rsid w:val="7F2F3BED"/>
    <w:rsid w:val="7F3240C4"/>
    <w:rsid w:val="7F3B7246"/>
    <w:rsid w:val="7F3D4821"/>
    <w:rsid w:val="7F4B7958"/>
    <w:rsid w:val="7F5C6E25"/>
    <w:rsid w:val="7F62440D"/>
    <w:rsid w:val="7F6663D6"/>
    <w:rsid w:val="7F692F29"/>
    <w:rsid w:val="7F7D2767"/>
    <w:rsid w:val="7F862A45"/>
    <w:rsid w:val="7F9E275C"/>
    <w:rsid w:val="7F9E7C0D"/>
    <w:rsid w:val="7FAC3E7F"/>
    <w:rsid w:val="7FBB4642"/>
    <w:rsid w:val="7FE07042"/>
    <w:rsid w:val="7FEF0221"/>
    <w:rsid w:val="7FF57D8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qFormat="1" w:uiPriority="0" w:semiHidden="0"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name="Body Text Indent 2"/>
    <w:lsdException w:qFormat="1" w:unhideWhenUsed="0" w:uiPriority="99" w:semiHidden="0" w:name="Body Text Indent 3"/>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0"/>
      <w:sz w:val="24"/>
      <w:szCs w:val="22"/>
      <w:lang w:val="en-US" w:eastAsia="zh-CN" w:bidi="ar-SA"/>
    </w:rPr>
  </w:style>
  <w:style w:type="paragraph" w:styleId="3">
    <w:name w:val="heading 1"/>
    <w:basedOn w:val="1"/>
    <w:next w:val="1"/>
    <w:link w:val="28"/>
    <w:qFormat/>
    <w:uiPriority w:val="99"/>
    <w:pPr>
      <w:keepNext/>
      <w:outlineLvl w:val="0"/>
    </w:pPr>
    <w:rPr>
      <w:rFonts w:ascii="仿宋_GB2312" w:eastAsia="仿宋_GB2312"/>
      <w:b/>
      <w:kern w:val="2"/>
      <w:sz w:val="32"/>
      <w:szCs w:val="20"/>
    </w:rPr>
  </w:style>
  <w:style w:type="paragraph" w:styleId="4">
    <w:name w:val="heading 2"/>
    <w:basedOn w:val="1"/>
    <w:next w:val="1"/>
    <w:link w:val="29"/>
    <w:qFormat/>
    <w:uiPriority w:val="99"/>
    <w:pPr>
      <w:keepNext/>
      <w:keepLines/>
      <w:widowControl/>
      <w:ind w:left="284"/>
      <w:jc w:val="left"/>
      <w:outlineLvl w:val="1"/>
    </w:pPr>
    <w:rPr>
      <w:rFonts w:ascii="Arial" w:hAnsi="Arial"/>
      <w:b/>
      <w:bCs/>
      <w:sz w:val="28"/>
      <w:szCs w:val="32"/>
    </w:rPr>
  </w:style>
  <w:style w:type="paragraph" w:styleId="5">
    <w:name w:val="heading 3"/>
    <w:basedOn w:val="1"/>
    <w:next w:val="1"/>
    <w:link w:val="30"/>
    <w:qFormat/>
    <w:uiPriority w:val="99"/>
    <w:pPr>
      <w:keepNext/>
      <w:spacing w:beforeLines="200" w:line="400" w:lineRule="exact"/>
      <w:jc w:val="center"/>
      <w:outlineLvl w:val="2"/>
    </w:pPr>
    <w:rPr>
      <w:rFonts w:ascii="Times New Roman"/>
      <w:b/>
      <w:bCs/>
      <w:kern w:val="2"/>
      <w:szCs w:val="24"/>
    </w:rPr>
  </w:style>
  <w:style w:type="paragraph" w:styleId="6">
    <w:name w:val="heading 4"/>
    <w:basedOn w:val="1"/>
    <w:next w:val="1"/>
    <w:link w:val="31"/>
    <w:qFormat/>
    <w:uiPriority w:val="99"/>
    <w:pPr>
      <w:keepNext/>
      <w:keepLines/>
      <w:numPr>
        <w:ilvl w:val="3"/>
        <w:numId w:val="1"/>
      </w:numPr>
      <w:spacing w:before="280" w:after="290" w:line="376" w:lineRule="atLeast"/>
      <w:outlineLvl w:val="3"/>
    </w:pPr>
    <w:rPr>
      <w:rFonts w:ascii="Arial" w:hAnsi="Arial" w:eastAsia="黑体"/>
      <w:b/>
      <w:bCs/>
      <w:sz w:val="28"/>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link w:val="33"/>
    <w:qFormat/>
    <w:uiPriority w:val="99"/>
  </w:style>
  <w:style w:type="paragraph" w:styleId="7">
    <w:name w:val="Normal Indent"/>
    <w:basedOn w:val="1"/>
    <w:qFormat/>
    <w:uiPriority w:val="99"/>
    <w:pPr>
      <w:spacing w:line="300" w:lineRule="auto"/>
      <w:ind w:firstLine="420" w:firstLineChars="200"/>
    </w:pPr>
    <w:rPr>
      <w:rFonts w:ascii="Times New Roman"/>
      <w:kern w:val="2"/>
      <w:sz w:val="21"/>
      <w:szCs w:val="24"/>
    </w:rPr>
  </w:style>
  <w:style w:type="paragraph" w:styleId="8">
    <w:name w:val="toa heading"/>
    <w:basedOn w:val="1"/>
    <w:next w:val="1"/>
    <w:unhideWhenUsed/>
    <w:qFormat/>
    <w:locked/>
    <w:uiPriority w:val="0"/>
    <w:pPr>
      <w:spacing w:before="120" w:beforeLines="0" w:beforeAutospacing="0"/>
    </w:pPr>
    <w:rPr>
      <w:rFonts w:ascii="Arial" w:hAnsi="Arial"/>
      <w:sz w:val="24"/>
    </w:rPr>
  </w:style>
  <w:style w:type="paragraph" w:styleId="9">
    <w:name w:val="annotation text"/>
    <w:basedOn w:val="1"/>
    <w:link w:val="32"/>
    <w:qFormat/>
    <w:uiPriority w:val="99"/>
    <w:pPr>
      <w:jc w:val="left"/>
    </w:pPr>
    <w:rPr>
      <w:rFonts w:ascii="Times New Roman"/>
      <w:kern w:val="2"/>
      <w:sz w:val="21"/>
      <w:szCs w:val="24"/>
    </w:rPr>
  </w:style>
  <w:style w:type="paragraph" w:styleId="10">
    <w:name w:val="Body Text Indent"/>
    <w:basedOn w:val="1"/>
    <w:link w:val="34"/>
    <w:qFormat/>
    <w:uiPriority w:val="99"/>
    <w:pPr>
      <w:widowControl/>
      <w:ind w:firstLine="652" w:firstLineChars="233"/>
    </w:pPr>
    <w:rPr>
      <w:rFonts w:ascii="Times New Roman"/>
      <w:sz w:val="28"/>
    </w:rPr>
  </w:style>
  <w:style w:type="paragraph" w:styleId="11">
    <w:name w:val="toc 3"/>
    <w:basedOn w:val="1"/>
    <w:next w:val="1"/>
    <w:qFormat/>
    <w:uiPriority w:val="99"/>
    <w:pPr>
      <w:ind w:left="840" w:leftChars="400"/>
    </w:pPr>
  </w:style>
  <w:style w:type="paragraph" w:styleId="12">
    <w:name w:val="Plain Text"/>
    <w:basedOn w:val="1"/>
    <w:link w:val="35"/>
    <w:qFormat/>
    <w:uiPriority w:val="99"/>
    <w:rPr>
      <w:rFonts w:hAnsi="Courier New" w:cs="Courier New"/>
      <w:szCs w:val="21"/>
    </w:rPr>
  </w:style>
  <w:style w:type="paragraph" w:styleId="13">
    <w:name w:val="Date"/>
    <w:basedOn w:val="1"/>
    <w:next w:val="1"/>
    <w:link w:val="36"/>
    <w:qFormat/>
    <w:uiPriority w:val="99"/>
    <w:rPr>
      <w:rFonts w:ascii="Times New Roman"/>
      <w:kern w:val="2"/>
      <w:sz w:val="28"/>
    </w:rPr>
  </w:style>
  <w:style w:type="paragraph" w:styleId="14">
    <w:name w:val="Body Text Indent 2"/>
    <w:basedOn w:val="1"/>
    <w:link w:val="37"/>
    <w:semiHidden/>
    <w:qFormat/>
    <w:uiPriority w:val="99"/>
    <w:pPr>
      <w:spacing w:after="120" w:line="480" w:lineRule="auto"/>
      <w:ind w:left="420" w:leftChars="200"/>
    </w:pPr>
  </w:style>
  <w:style w:type="paragraph" w:styleId="15">
    <w:name w:val="footer"/>
    <w:basedOn w:val="1"/>
    <w:link w:val="38"/>
    <w:qFormat/>
    <w:uiPriority w:val="99"/>
    <w:pPr>
      <w:tabs>
        <w:tab w:val="center" w:pos="4153"/>
        <w:tab w:val="right" w:pos="8306"/>
      </w:tabs>
      <w:snapToGrid w:val="0"/>
      <w:jc w:val="left"/>
    </w:pPr>
    <w:rPr>
      <w:rFonts w:ascii="Times New Roman"/>
      <w:kern w:val="2"/>
      <w:sz w:val="18"/>
      <w:szCs w:val="18"/>
    </w:rPr>
  </w:style>
  <w:style w:type="paragraph" w:styleId="16">
    <w:name w:val="header"/>
    <w:basedOn w:val="1"/>
    <w:link w:val="39"/>
    <w:qFormat/>
    <w:uiPriority w:val="99"/>
    <w:pPr>
      <w:pBdr>
        <w:bottom w:val="single" w:color="auto" w:sz="6" w:space="1"/>
      </w:pBdr>
      <w:tabs>
        <w:tab w:val="center" w:pos="4153"/>
        <w:tab w:val="right" w:pos="8306"/>
      </w:tabs>
      <w:snapToGrid w:val="0"/>
      <w:jc w:val="center"/>
    </w:pPr>
    <w:rPr>
      <w:rFonts w:ascii="Times New Roman"/>
      <w:kern w:val="2"/>
      <w:sz w:val="18"/>
      <w:szCs w:val="18"/>
    </w:rPr>
  </w:style>
  <w:style w:type="paragraph" w:styleId="17">
    <w:name w:val="toc 1"/>
    <w:basedOn w:val="1"/>
    <w:next w:val="1"/>
    <w:qFormat/>
    <w:uiPriority w:val="99"/>
    <w:pPr>
      <w:tabs>
        <w:tab w:val="left" w:pos="1418"/>
        <w:tab w:val="right" w:leader="dot" w:pos="8302"/>
      </w:tabs>
      <w:spacing w:line="960" w:lineRule="auto"/>
    </w:pPr>
  </w:style>
  <w:style w:type="paragraph" w:styleId="18">
    <w:name w:val="Body Text Indent 3"/>
    <w:basedOn w:val="1"/>
    <w:link w:val="40"/>
    <w:qFormat/>
    <w:uiPriority w:val="99"/>
    <w:pPr>
      <w:spacing w:line="410" w:lineRule="exact"/>
      <w:ind w:left="619" w:leftChars="295" w:firstLine="390" w:firstLineChars="179"/>
    </w:pPr>
    <w:rPr>
      <w:spacing w:val="4"/>
      <w:kern w:val="2"/>
      <w:sz w:val="21"/>
    </w:rPr>
  </w:style>
  <w:style w:type="paragraph" w:styleId="19">
    <w:name w:val="toc 2"/>
    <w:basedOn w:val="1"/>
    <w:next w:val="1"/>
    <w:qFormat/>
    <w:uiPriority w:val="99"/>
    <w:pPr>
      <w:tabs>
        <w:tab w:val="right" w:leader="dot" w:pos="8302"/>
      </w:tabs>
      <w:spacing w:line="960" w:lineRule="auto"/>
      <w:ind w:left="420" w:leftChars="200"/>
    </w:pPr>
  </w:style>
  <w:style w:type="paragraph" w:styleId="20">
    <w:name w:val="Normal (Web)"/>
    <w:basedOn w:val="1"/>
    <w:qFormat/>
    <w:uiPriority w:val="99"/>
    <w:pPr>
      <w:widowControl/>
      <w:spacing w:beforeAutospacing="1" w:afterAutospacing="1"/>
      <w:jc w:val="left"/>
    </w:pPr>
    <w:rPr>
      <w:szCs w:val="24"/>
    </w:rPr>
  </w:style>
  <w:style w:type="table" w:styleId="22">
    <w:name w:val="Table Grid"/>
    <w:basedOn w:val="21"/>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4">
    <w:name w:val="Strong"/>
    <w:basedOn w:val="23"/>
    <w:qFormat/>
    <w:uiPriority w:val="99"/>
    <w:rPr>
      <w:rFonts w:cs="Times New Roman"/>
      <w:b/>
      <w:bCs/>
    </w:rPr>
  </w:style>
  <w:style w:type="character" w:styleId="25">
    <w:name w:val="page number"/>
    <w:basedOn w:val="23"/>
    <w:qFormat/>
    <w:uiPriority w:val="99"/>
    <w:rPr>
      <w:rFonts w:cs="Times New Roman"/>
    </w:rPr>
  </w:style>
  <w:style w:type="character" w:styleId="26">
    <w:name w:val="FollowedHyperlink"/>
    <w:basedOn w:val="23"/>
    <w:qFormat/>
    <w:uiPriority w:val="99"/>
    <w:rPr>
      <w:rFonts w:ascii="宋体" w:hAnsi="宋体" w:eastAsia="宋体" w:cs="宋体"/>
      <w:color w:val="000000"/>
      <w:sz w:val="14"/>
      <w:szCs w:val="14"/>
      <w:u w:val="none"/>
    </w:rPr>
  </w:style>
  <w:style w:type="character" w:styleId="27">
    <w:name w:val="Hyperlink"/>
    <w:basedOn w:val="23"/>
    <w:qFormat/>
    <w:uiPriority w:val="99"/>
    <w:rPr>
      <w:rFonts w:ascii="宋体" w:hAnsi="宋体" w:eastAsia="宋体" w:cs="Times New Roman"/>
      <w:color w:val="000000"/>
      <w:sz w:val="18"/>
      <w:u w:val="none"/>
    </w:rPr>
  </w:style>
  <w:style w:type="character" w:customStyle="1" w:styleId="28">
    <w:name w:val="标题 1 字符"/>
    <w:basedOn w:val="23"/>
    <w:link w:val="3"/>
    <w:qFormat/>
    <w:locked/>
    <w:uiPriority w:val="99"/>
    <w:rPr>
      <w:rFonts w:ascii="仿宋_GB2312" w:hAnsi="宋体" w:eastAsia="仿宋_GB2312"/>
      <w:b/>
      <w:kern w:val="2"/>
      <w:sz w:val="32"/>
    </w:rPr>
  </w:style>
  <w:style w:type="character" w:customStyle="1" w:styleId="29">
    <w:name w:val="标题 2 字符"/>
    <w:basedOn w:val="23"/>
    <w:link w:val="4"/>
    <w:semiHidden/>
    <w:qFormat/>
    <w:uiPriority w:val="9"/>
    <w:rPr>
      <w:rFonts w:asciiTheme="majorHAnsi" w:hAnsiTheme="majorHAnsi" w:eastAsiaTheme="majorEastAsia" w:cstheme="majorBidi"/>
      <w:b/>
      <w:bCs/>
      <w:kern w:val="0"/>
      <w:sz w:val="32"/>
      <w:szCs w:val="32"/>
    </w:rPr>
  </w:style>
  <w:style w:type="character" w:customStyle="1" w:styleId="30">
    <w:name w:val="标题 3 字符"/>
    <w:basedOn w:val="23"/>
    <w:link w:val="5"/>
    <w:semiHidden/>
    <w:qFormat/>
    <w:uiPriority w:val="9"/>
    <w:rPr>
      <w:rFonts w:ascii="宋体" w:hAnsi="宋体"/>
      <w:b/>
      <w:bCs/>
      <w:kern w:val="0"/>
      <w:sz w:val="32"/>
      <w:szCs w:val="32"/>
    </w:rPr>
  </w:style>
  <w:style w:type="character" w:customStyle="1" w:styleId="31">
    <w:name w:val="标题 4 字符"/>
    <w:basedOn w:val="23"/>
    <w:link w:val="6"/>
    <w:semiHidden/>
    <w:qFormat/>
    <w:uiPriority w:val="9"/>
    <w:rPr>
      <w:rFonts w:asciiTheme="majorHAnsi" w:hAnsiTheme="majorHAnsi" w:eastAsiaTheme="majorEastAsia" w:cstheme="majorBidi"/>
      <w:b/>
      <w:bCs/>
      <w:kern w:val="0"/>
      <w:sz w:val="28"/>
      <w:szCs w:val="28"/>
    </w:rPr>
  </w:style>
  <w:style w:type="character" w:customStyle="1" w:styleId="32">
    <w:name w:val="批注文字 字符"/>
    <w:basedOn w:val="23"/>
    <w:link w:val="9"/>
    <w:qFormat/>
    <w:locked/>
    <w:uiPriority w:val="99"/>
    <w:rPr>
      <w:rFonts w:hAnsi="Calibri" w:eastAsia="宋体" w:cs="Times New Roman"/>
      <w:kern w:val="2"/>
      <w:sz w:val="24"/>
      <w:szCs w:val="24"/>
    </w:rPr>
  </w:style>
  <w:style w:type="character" w:customStyle="1" w:styleId="33">
    <w:name w:val="正文文本 字符"/>
    <w:basedOn w:val="23"/>
    <w:link w:val="2"/>
    <w:semiHidden/>
    <w:qFormat/>
    <w:uiPriority w:val="99"/>
    <w:rPr>
      <w:rFonts w:ascii="宋体" w:hAnsi="宋体"/>
      <w:kern w:val="0"/>
      <w:sz w:val="24"/>
    </w:rPr>
  </w:style>
  <w:style w:type="character" w:customStyle="1" w:styleId="34">
    <w:name w:val="正文文本缩进 字符"/>
    <w:basedOn w:val="23"/>
    <w:link w:val="10"/>
    <w:semiHidden/>
    <w:qFormat/>
    <w:uiPriority w:val="99"/>
    <w:rPr>
      <w:rFonts w:ascii="宋体" w:hAnsi="宋体"/>
      <w:kern w:val="0"/>
      <w:sz w:val="24"/>
    </w:rPr>
  </w:style>
  <w:style w:type="character" w:customStyle="1" w:styleId="35">
    <w:name w:val="纯文本 字符"/>
    <w:basedOn w:val="23"/>
    <w:link w:val="12"/>
    <w:semiHidden/>
    <w:qFormat/>
    <w:uiPriority w:val="99"/>
    <w:rPr>
      <w:rFonts w:ascii="宋体" w:hAnsi="Courier New" w:cs="Courier New"/>
      <w:kern w:val="0"/>
      <w:szCs w:val="21"/>
    </w:rPr>
  </w:style>
  <w:style w:type="character" w:customStyle="1" w:styleId="36">
    <w:name w:val="日期 字符"/>
    <w:basedOn w:val="23"/>
    <w:link w:val="13"/>
    <w:semiHidden/>
    <w:qFormat/>
    <w:uiPriority w:val="99"/>
    <w:rPr>
      <w:rFonts w:ascii="宋体" w:hAnsi="宋体"/>
      <w:kern w:val="0"/>
      <w:sz w:val="24"/>
    </w:rPr>
  </w:style>
  <w:style w:type="character" w:customStyle="1" w:styleId="37">
    <w:name w:val="正文文本缩进 2 字符"/>
    <w:basedOn w:val="23"/>
    <w:link w:val="14"/>
    <w:semiHidden/>
    <w:qFormat/>
    <w:locked/>
    <w:uiPriority w:val="99"/>
    <w:rPr>
      <w:rFonts w:ascii="宋体" w:hAnsi="Calibri" w:eastAsia="宋体" w:cs="Times New Roman"/>
      <w:sz w:val="22"/>
      <w:szCs w:val="22"/>
    </w:rPr>
  </w:style>
  <w:style w:type="character" w:customStyle="1" w:styleId="38">
    <w:name w:val="页脚 字符"/>
    <w:basedOn w:val="23"/>
    <w:link w:val="15"/>
    <w:semiHidden/>
    <w:qFormat/>
    <w:uiPriority w:val="99"/>
    <w:rPr>
      <w:rFonts w:ascii="宋体" w:hAnsi="宋体"/>
      <w:kern w:val="0"/>
      <w:sz w:val="18"/>
      <w:szCs w:val="18"/>
    </w:rPr>
  </w:style>
  <w:style w:type="character" w:customStyle="1" w:styleId="39">
    <w:name w:val="页眉 字符"/>
    <w:basedOn w:val="23"/>
    <w:link w:val="16"/>
    <w:semiHidden/>
    <w:qFormat/>
    <w:uiPriority w:val="99"/>
    <w:rPr>
      <w:rFonts w:ascii="宋体" w:hAnsi="宋体"/>
      <w:kern w:val="0"/>
      <w:sz w:val="18"/>
      <w:szCs w:val="18"/>
    </w:rPr>
  </w:style>
  <w:style w:type="character" w:customStyle="1" w:styleId="40">
    <w:name w:val="正文文本缩进 3 字符"/>
    <w:basedOn w:val="23"/>
    <w:link w:val="18"/>
    <w:semiHidden/>
    <w:qFormat/>
    <w:uiPriority w:val="99"/>
    <w:rPr>
      <w:rFonts w:ascii="宋体" w:hAnsi="宋体"/>
      <w:kern w:val="0"/>
      <w:sz w:val="16"/>
      <w:szCs w:val="16"/>
    </w:rPr>
  </w:style>
  <w:style w:type="paragraph" w:customStyle="1" w:styleId="41">
    <w:name w:val="列出段落1"/>
    <w:basedOn w:val="1"/>
    <w:qFormat/>
    <w:uiPriority w:val="99"/>
    <w:pPr>
      <w:ind w:firstLine="420" w:firstLineChars="200"/>
    </w:pPr>
  </w:style>
  <w:style w:type="paragraph" w:customStyle="1" w:styleId="42">
    <w:name w:val="列出段落11"/>
    <w:basedOn w:val="1"/>
    <w:qFormat/>
    <w:uiPriority w:val="99"/>
    <w:pPr>
      <w:ind w:firstLine="420" w:firstLineChars="200"/>
    </w:pPr>
    <w:rPr>
      <w:rFonts w:ascii="Calibri" w:hAnsi="Calibri"/>
    </w:rPr>
  </w:style>
  <w:style w:type="paragraph" w:styleId="43">
    <w:name w:val="List Paragraph"/>
    <w:basedOn w:val="1"/>
    <w:qFormat/>
    <w:uiPriority w:val="99"/>
    <w:pPr>
      <w:ind w:firstLine="420" w:firstLineChars="200"/>
    </w:pPr>
  </w:style>
  <w:style w:type="character" w:customStyle="1" w:styleId="44">
    <w:name w:val="font41"/>
    <w:basedOn w:val="23"/>
    <w:qFormat/>
    <w:uiPriority w:val="99"/>
    <w:rPr>
      <w:rFonts w:ascii="宋体" w:hAnsi="宋体" w:eastAsia="宋体" w:cs="宋体"/>
      <w:b/>
      <w:color w:val="000000"/>
      <w:sz w:val="18"/>
      <w:szCs w:val="18"/>
      <w:u w:val="none"/>
    </w:rPr>
  </w:style>
  <w:style w:type="character" w:customStyle="1" w:styleId="45">
    <w:name w:val="font81"/>
    <w:basedOn w:val="23"/>
    <w:qFormat/>
    <w:uiPriority w:val="99"/>
    <w:rPr>
      <w:rFonts w:ascii="宋体" w:hAnsi="宋体" w:eastAsia="宋体" w:cs="宋体"/>
      <w:color w:val="000000"/>
      <w:sz w:val="18"/>
      <w:szCs w:val="18"/>
      <w:u w:val="none"/>
    </w:rPr>
  </w:style>
  <w:style w:type="paragraph" w:customStyle="1" w:styleId="46">
    <w:name w:val="p0"/>
    <w:basedOn w:val="1"/>
    <w:qFormat/>
    <w:uiPriority w:val="99"/>
    <w:pPr>
      <w:widowControl/>
    </w:pPr>
    <w:rPr>
      <w:rFonts w:cs="宋体"/>
      <w:szCs w:val="21"/>
    </w:rPr>
  </w:style>
  <w:style w:type="character" w:customStyle="1" w:styleId="47">
    <w:name w:val="font61"/>
    <w:basedOn w:val="23"/>
    <w:qFormat/>
    <w:uiPriority w:val="99"/>
    <w:rPr>
      <w:rFonts w:ascii="宋体" w:hAnsi="宋体" w:eastAsia="宋体" w:cs="宋体"/>
      <w:color w:val="000000"/>
      <w:sz w:val="21"/>
      <w:szCs w:val="21"/>
      <w:u w:val="none"/>
    </w:rPr>
  </w:style>
  <w:style w:type="paragraph" w:customStyle="1" w:styleId="48">
    <w:name w:val="列表段落1"/>
    <w:basedOn w:val="1"/>
    <w:qFormat/>
    <w:uiPriority w:val="34"/>
    <w:pPr>
      <w:ind w:firstLine="420" w:firstLineChars="200"/>
    </w:pPr>
    <w:rPr>
      <w:rFonts w:ascii="Times New Roman" w:hAnsi="Times New Roman"/>
      <w:kern w:val="2"/>
      <w:sz w:val="21"/>
      <w:szCs w:val="20"/>
    </w:rPr>
  </w:style>
  <w:style w:type="character" w:customStyle="1" w:styleId="49">
    <w:name w:val="font21"/>
    <w:basedOn w:val="23"/>
    <w:qFormat/>
    <w:uiPriority w:val="0"/>
    <w:rPr>
      <w:rFonts w:hint="eastAsia" w:ascii="宋体" w:hAnsi="宋体" w:eastAsia="宋体" w:cs="宋体"/>
      <w:color w:val="000000"/>
      <w:sz w:val="22"/>
      <w:szCs w:val="22"/>
      <w:u w:val="none"/>
    </w:rPr>
  </w:style>
  <w:style w:type="character" w:customStyle="1" w:styleId="50">
    <w:name w:val="font01"/>
    <w:basedOn w:val="23"/>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42C7C2-E6A3-4B11-BCC3-226B8CCDF76D}">
  <ds:schemaRefs/>
</ds:datastoreItem>
</file>

<file path=docProps/app.xml><?xml version="1.0" encoding="utf-8"?>
<Properties xmlns="http://schemas.openxmlformats.org/officeDocument/2006/extended-properties" xmlns:vt="http://schemas.openxmlformats.org/officeDocument/2006/docPropsVTypes">
  <Template>Normal</Template>
  <Pages>52</Pages>
  <Words>4660</Words>
  <Characters>26565</Characters>
  <Lines>221</Lines>
  <Paragraphs>62</Paragraphs>
  <TotalTime>0</TotalTime>
  <ScaleCrop>false</ScaleCrop>
  <LinksUpToDate>false</LinksUpToDate>
  <CharactersWithSpaces>31163</CharactersWithSpaces>
  <Application>WPS Office_11.1.0.8765_F1E327BC-269C-435d-A152-05C5408002CA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2019-06-05T07:15:00Z</dcterms:created>
  <dc:creator>Administrator</dc:creator>
  <cp:lastModifiedBy>朱丹妮</cp:lastModifiedBy>
  <cp:lastPrinted>2019-04-23T00:55:00Z</cp:lastPrinted>
  <dcterms:modified xsi:type="dcterms:W3CDTF">2019-06-18T01:48:54Z</dcterms:modified>
  <dc:title>项目编号:SXHXZB2017-ZC-GK1210</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2052-11.1.0.8765</vt:lpwstr>
  </property>
</Properties>
</file>