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40" w:lineRule="auto"/>
        <w:jc w:val="center"/>
        <w:rPr>
          <w:color w:val="auto"/>
          <w:sz w:val="52"/>
          <w:szCs w:val="52"/>
        </w:rPr>
      </w:pPr>
    </w:p>
    <w:p>
      <w:pPr>
        <w:spacing w:line="240" w:lineRule="auto"/>
        <w:jc w:val="center"/>
        <w:rPr>
          <w:color w:val="auto"/>
          <w:sz w:val="52"/>
          <w:szCs w:val="52"/>
        </w:rPr>
      </w:pPr>
    </w:p>
    <w:p>
      <w:pPr>
        <w:spacing w:line="240" w:lineRule="auto"/>
        <w:jc w:val="center"/>
        <w:rPr>
          <w:color w:val="auto"/>
          <w:sz w:val="52"/>
          <w:szCs w:val="52"/>
        </w:rPr>
      </w:pPr>
    </w:p>
    <w:p>
      <w:pPr>
        <w:spacing w:line="240" w:lineRule="auto"/>
        <w:jc w:val="center"/>
        <w:rPr>
          <w:color w:val="auto"/>
          <w:sz w:val="52"/>
          <w:szCs w:val="52"/>
        </w:rPr>
      </w:pPr>
      <w:r>
        <w:rPr>
          <w:rFonts w:hint="eastAsia"/>
          <w:color w:val="auto"/>
          <w:sz w:val="52"/>
          <w:szCs w:val="52"/>
        </w:rPr>
        <w:t>陕西省省</w:t>
      </w:r>
      <w:r>
        <w:rPr>
          <w:color w:val="auto"/>
          <w:sz w:val="52"/>
          <w:szCs w:val="52"/>
        </w:rPr>
        <w:t>级单位政府采购中心</w:t>
      </w:r>
    </w:p>
    <w:p>
      <w:pPr>
        <w:spacing w:line="240" w:lineRule="auto"/>
        <w:jc w:val="center"/>
        <w:rPr>
          <w:rFonts w:ascii="黑体" w:hAnsi="黑体" w:eastAsia="黑体" w:cs="黑体"/>
          <w:bCs/>
          <w:color w:val="auto"/>
          <w:sz w:val="96"/>
          <w:szCs w:val="96"/>
        </w:rPr>
      </w:pPr>
      <w:r>
        <w:rPr>
          <w:rFonts w:hint="eastAsia" w:ascii="宋体" w:hAnsi="宋体" w:eastAsia="宋体" w:cs="宋体"/>
          <w:b/>
          <w:color w:val="auto"/>
          <w:kern w:val="0"/>
          <w:sz w:val="96"/>
          <w:szCs w:val="96"/>
        </w:rPr>
        <w:t>竞争性磋商文件</w:t>
      </w:r>
    </w:p>
    <w:p>
      <w:pPr>
        <w:spacing w:line="240" w:lineRule="auto"/>
        <w:jc w:val="center"/>
        <w:rPr>
          <w:color w:val="auto"/>
          <w:sz w:val="36"/>
          <w:szCs w:val="36"/>
        </w:rPr>
      </w:pPr>
    </w:p>
    <w:p>
      <w:pPr>
        <w:pStyle w:val="22"/>
        <w:ind w:firstLine="183"/>
        <w:rPr>
          <w:color w:val="auto"/>
        </w:rPr>
      </w:pPr>
    </w:p>
    <w:p>
      <w:pPr>
        <w:pStyle w:val="52"/>
        <w:ind w:firstLine="727"/>
        <w:rPr>
          <w:color w:val="auto"/>
          <w:sz w:val="36"/>
          <w:szCs w:val="36"/>
        </w:rPr>
      </w:pPr>
    </w:p>
    <w:p>
      <w:pPr>
        <w:pStyle w:val="52"/>
        <w:spacing w:line="240" w:lineRule="auto"/>
        <w:ind w:right="424" w:rightChars="150" w:firstLine="727"/>
        <w:rPr>
          <w:color w:val="auto"/>
          <w:sz w:val="36"/>
          <w:szCs w:val="36"/>
        </w:rPr>
      </w:pPr>
    </w:p>
    <w:p>
      <w:pPr>
        <w:spacing w:line="240" w:lineRule="auto"/>
        <w:ind w:left="2539" w:leftChars="256" w:right="707" w:rightChars="250" w:hanging="1815" w:hangingChars="500"/>
        <w:rPr>
          <w:rFonts w:hint="eastAsia"/>
          <w:b/>
          <w:bCs/>
          <w:color w:val="auto"/>
          <w:sz w:val="36"/>
          <w:szCs w:val="36"/>
          <w:u w:val="none"/>
          <w:lang w:val="en-US" w:eastAsia="zh-CN"/>
        </w:rPr>
      </w:pPr>
      <w:r>
        <w:rPr>
          <w:b/>
          <w:bCs/>
          <w:color w:val="auto"/>
          <w:sz w:val="36"/>
          <w:szCs w:val="36"/>
        </w:rPr>
        <w:t>项目名称：</w:t>
      </w:r>
      <w:bookmarkStart w:id="0" w:name="_Hlk511210231"/>
      <w:r>
        <w:rPr>
          <w:rFonts w:hint="eastAsia"/>
          <w:b/>
          <w:bCs/>
          <w:color w:val="auto"/>
          <w:sz w:val="36"/>
          <w:szCs w:val="36"/>
          <w:u w:val="none"/>
          <w:lang w:val="en-US" w:eastAsia="zh-CN"/>
        </w:rPr>
        <w:t>西北大学新闻传播学院多功能</w:t>
      </w:r>
    </w:p>
    <w:p>
      <w:pPr>
        <w:spacing w:line="240" w:lineRule="auto"/>
        <w:ind w:left="2535" w:leftChars="896" w:right="707" w:rightChars="250" w:firstLine="0" w:firstLineChars="0"/>
        <w:rPr>
          <w:rFonts w:hint="default" w:eastAsia="华文仿宋"/>
          <w:b/>
          <w:bCs/>
          <w:color w:val="auto"/>
          <w:sz w:val="36"/>
          <w:szCs w:val="36"/>
          <w:u w:val="none"/>
          <w:lang w:val="en-US" w:eastAsia="zh-CN"/>
        </w:rPr>
      </w:pPr>
      <w:r>
        <w:rPr>
          <w:rFonts w:hint="eastAsia"/>
          <w:b/>
          <w:bCs/>
          <w:color w:val="auto"/>
          <w:sz w:val="36"/>
          <w:szCs w:val="36"/>
          <w:u w:val="none"/>
          <w:lang w:val="en-US" w:eastAsia="zh-CN"/>
        </w:rPr>
        <w:t>报告厅工程</w:t>
      </w:r>
    </w:p>
    <w:bookmarkEnd w:id="0"/>
    <w:p>
      <w:pPr>
        <w:spacing w:line="240" w:lineRule="auto"/>
        <w:ind w:right="707" w:rightChars="250" w:firstLine="726" w:firstLineChars="200"/>
        <w:rPr>
          <w:b/>
          <w:bCs/>
          <w:color w:val="auto"/>
          <w:sz w:val="36"/>
          <w:szCs w:val="36"/>
          <w:u w:val="none"/>
        </w:rPr>
      </w:pPr>
      <w:r>
        <w:rPr>
          <w:rFonts w:hint="eastAsia"/>
          <w:b/>
          <w:bCs/>
          <w:color w:val="auto"/>
          <w:sz w:val="36"/>
          <w:szCs w:val="36"/>
          <w:u w:val="none"/>
        </w:rPr>
        <w:t>项目编号：</w:t>
      </w:r>
      <w:r>
        <w:rPr>
          <w:rFonts w:hint="eastAsia" w:ascii="仿宋" w:hAnsi="仿宋" w:eastAsia="仿宋" w:cs="仿宋"/>
          <w:b/>
          <w:bCs/>
          <w:color w:val="auto"/>
          <w:sz w:val="36"/>
          <w:szCs w:val="36"/>
          <w:u w:val="none"/>
          <w:lang w:val="en-US" w:eastAsia="zh-CN"/>
        </w:rPr>
        <w:t xml:space="preserve">SJ-2020-000089-4  </w:t>
      </w:r>
      <w:r>
        <w:rPr>
          <w:rFonts w:hint="eastAsia" w:ascii="仿宋" w:hAnsi="仿宋" w:eastAsia="仿宋" w:cs="仿宋"/>
          <w:b/>
          <w:bCs/>
          <w:color w:val="auto"/>
          <w:sz w:val="36"/>
          <w:szCs w:val="36"/>
          <w:u w:val="none"/>
        </w:rPr>
        <w:t xml:space="preserve"> </w:t>
      </w:r>
      <w:r>
        <w:rPr>
          <w:rFonts w:hint="eastAsia"/>
          <w:b/>
          <w:bCs/>
          <w:color w:val="auto"/>
          <w:sz w:val="36"/>
          <w:szCs w:val="36"/>
          <w:u w:val="none"/>
        </w:rPr>
        <w:t xml:space="preserve">           </w:t>
      </w:r>
    </w:p>
    <w:p>
      <w:pPr>
        <w:spacing w:line="240" w:lineRule="auto"/>
        <w:ind w:right="707" w:rightChars="250" w:firstLine="726" w:firstLineChars="200"/>
        <w:rPr>
          <w:b/>
          <w:bCs/>
          <w:color w:val="auto"/>
          <w:sz w:val="36"/>
          <w:szCs w:val="36"/>
          <w:u w:val="none"/>
        </w:rPr>
      </w:pPr>
      <w:r>
        <w:rPr>
          <w:rFonts w:hint="eastAsia"/>
          <w:b/>
          <w:bCs/>
          <w:color w:val="auto"/>
          <w:sz w:val="36"/>
          <w:szCs w:val="36"/>
          <w:u w:val="none"/>
        </w:rPr>
        <w:t>采 购 人：</w:t>
      </w:r>
      <w:r>
        <w:rPr>
          <w:rFonts w:hint="eastAsia"/>
          <w:b/>
          <w:bCs/>
          <w:color w:val="auto"/>
          <w:sz w:val="36"/>
          <w:szCs w:val="36"/>
          <w:u w:val="none"/>
          <w:lang w:val="en-US" w:eastAsia="zh-CN"/>
        </w:rPr>
        <w:t>西北大学</w:t>
      </w:r>
      <w:r>
        <w:rPr>
          <w:rFonts w:hint="eastAsia"/>
          <w:b/>
          <w:bCs/>
          <w:color w:val="auto"/>
          <w:sz w:val="36"/>
          <w:szCs w:val="36"/>
          <w:u w:val="none"/>
        </w:rPr>
        <w:t xml:space="preserve">            </w:t>
      </w:r>
    </w:p>
    <w:p>
      <w:pPr>
        <w:spacing w:line="240" w:lineRule="auto"/>
        <w:ind w:right="707" w:rightChars="250" w:firstLine="726" w:firstLineChars="200"/>
        <w:rPr>
          <w:color w:val="auto"/>
          <w:sz w:val="36"/>
          <w:szCs w:val="36"/>
        </w:rPr>
      </w:pPr>
      <w:r>
        <w:rPr>
          <w:rFonts w:hint="eastAsia"/>
          <w:b/>
          <w:bCs/>
          <w:color w:val="auto"/>
          <w:sz w:val="36"/>
          <w:szCs w:val="36"/>
          <w:u w:val="none"/>
        </w:rPr>
        <w:t xml:space="preserve">采购代理机构：陕西省省级单位政府采购中心    </w:t>
      </w:r>
      <w:r>
        <w:rPr>
          <w:rFonts w:hint="eastAsia"/>
          <w:b/>
          <w:bCs/>
          <w:color w:val="auto"/>
          <w:sz w:val="36"/>
          <w:szCs w:val="36"/>
        </w:rPr>
        <w:t xml:space="preserve"> </w:t>
      </w:r>
      <w:r>
        <w:rPr>
          <w:rFonts w:hint="eastAsia"/>
          <w:color w:val="auto"/>
          <w:sz w:val="36"/>
          <w:szCs w:val="36"/>
        </w:rPr>
        <w:t xml:space="preserve">      </w:t>
      </w:r>
    </w:p>
    <w:p>
      <w:pPr>
        <w:spacing w:line="240" w:lineRule="auto"/>
        <w:ind w:right="424" w:rightChars="150" w:firstLine="726" w:firstLineChars="200"/>
        <w:rPr>
          <w:color w:val="auto"/>
          <w:sz w:val="36"/>
          <w:szCs w:val="36"/>
        </w:rPr>
      </w:pPr>
    </w:p>
    <w:p>
      <w:pPr>
        <w:spacing w:line="240" w:lineRule="auto"/>
        <w:jc w:val="center"/>
        <w:rPr>
          <w:color w:val="auto"/>
          <w:sz w:val="36"/>
          <w:szCs w:val="36"/>
        </w:rPr>
      </w:pPr>
    </w:p>
    <w:p>
      <w:pPr>
        <w:spacing w:line="240" w:lineRule="auto"/>
        <w:ind w:firstLine="2904" w:firstLineChars="800"/>
        <w:rPr>
          <w:rFonts w:ascii="黑体" w:hAnsi="黑体" w:eastAsia="黑体"/>
          <w:color w:val="auto"/>
          <w:sz w:val="44"/>
          <w:szCs w:val="44"/>
        </w:rPr>
      </w:pPr>
      <w:r>
        <w:rPr>
          <w:rFonts w:hint="eastAsia" w:ascii="仿宋" w:hAnsi="仿宋" w:eastAsia="仿宋" w:cs="仿宋"/>
          <w:b/>
          <w:bCs/>
          <w:color w:val="auto"/>
          <w:sz w:val="36"/>
          <w:szCs w:val="36"/>
        </w:rPr>
        <w:t>2020</w:t>
      </w:r>
      <w:r>
        <w:rPr>
          <w:rFonts w:hint="eastAsia"/>
          <w:b/>
          <w:bCs/>
          <w:color w:val="auto"/>
          <w:sz w:val="36"/>
          <w:szCs w:val="36"/>
        </w:rPr>
        <w:t>年</w:t>
      </w:r>
      <w:r>
        <w:rPr>
          <w:rFonts w:hint="eastAsia" w:ascii="仿宋" w:hAnsi="仿宋" w:eastAsia="仿宋" w:cs="仿宋"/>
          <w:b/>
          <w:bCs/>
          <w:color w:val="auto"/>
          <w:sz w:val="36"/>
          <w:szCs w:val="36"/>
          <w:lang w:val="en-US" w:eastAsia="zh-CN"/>
        </w:rPr>
        <w:t>9</w:t>
      </w:r>
      <w:r>
        <w:rPr>
          <w:rFonts w:hint="eastAsia"/>
          <w:b/>
          <w:bCs/>
          <w:color w:val="auto"/>
          <w:sz w:val="36"/>
          <w:szCs w:val="36"/>
        </w:rPr>
        <w:t>月</w:t>
      </w:r>
      <w:r>
        <w:rPr>
          <w:rFonts w:hint="eastAsia"/>
          <w:b/>
          <w:bCs/>
          <w:color w:val="auto"/>
          <w:sz w:val="36"/>
          <w:szCs w:val="36"/>
          <w:lang w:val="en-US" w:eastAsia="zh-CN"/>
        </w:rPr>
        <w:t>10</w:t>
      </w:r>
      <w:r>
        <w:rPr>
          <w:rFonts w:hint="eastAsia"/>
          <w:b/>
          <w:bCs/>
          <w:color w:val="auto"/>
          <w:sz w:val="36"/>
          <w:szCs w:val="36"/>
        </w:rPr>
        <w:t>日</w:t>
      </w:r>
      <w:bookmarkStart w:id="1" w:name="_Toc10222_WPSOffice_Level1"/>
      <w:bookmarkStart w:id="2" w:name="_Toc30102_WPSOffice_Level1"/>
      <w:bookmarkStart w:id="3" w:name="_Toc30340_WPSOffice_Level1"/>
    </w:p>
    <w:p>
      <w:pPr>
        <w:pStyle w:val="17"/>
        <w:tabs>
          <w:tab w:val="right" w:leader="dot" w:pos="9072"/>
        </w:tabs>
        <w:spacing w:before="190" w:beforeLines="50" w:after="190" w:afterLines="50" w:line="500" w:lineRule="exact"/>
        <w:jc w:val="center"/>
        <w:rPr>
          <w:rFonts w:ascii="黑体" w:hAnsi="黑体" w:eastAsia="黑体"/>
          <w:color w:val="auto"/>
          <w:sz w:val="44"/>
          <w:szCs w:val="44"/>
        </w:rPr>
        <w:sectPr>
          <w:footerReference r:id="rId3" w:type="default"/>
          <w:pgSz w:w="11906" w:h="16838"/>
          <w:pgMar w:top="1417" w:right="1417" w:bottom="1417" w:left="1417" w:header="850" w:footer="992" w:gutter="0"/>
          <w:pgNumType w:fmt="decimal" w:start="1"/>
          <w:cols w:space="720" w:num="1"/>
          <w:docGrid w:type="linesAndChars" w:linePitch="381" w:charSpace="704"/>
        </w:sectPr>
      </w:pPr>
    </w:p>
    <w:p>
      <w:pPr>
        <w:pStyle w:val="17"/>
        <w:tabs>
          <w:tab w:val="right" w:leader="dot" w:pos="9072"/>
        </w:tabs>
        <w:spacing w:before="190" w:beforeLines="50" w:after="190" w:afterLines="50" w:line="500" w:lineRule="exact"/>
        <w:jc w:val="center"/>
        <w:rPr>
          <w:rFonts w:ascii="黑体" w:hAnsi="黑体" w:eastAsia="黑体"/>
          <w:color w:val="auto"/>
          <w:sz w:val="44"/>
          <w:szCs w:val="44"/>
        </w:rPr>
      </w:pPr>
      <w:r>
        <w:rPr>
          <w:rFonts w:hint="eastAsia" w:ascii="黑体" w:hAnsi="黑体" w:eastAsia="黑体"/>
          <w:color w:val="auto"/>
          <w:sz w:val="44"/>
          <w:szCs w:val="44"/>
        </w:rPr>
        <w:t>目  录</w:t>
      </w:r>
    </w:p>
    <w:p>
      <w:pPr>
        <w:pStyle w:val="17"/>
        <w:tabs>
          <w:tab w:val="right" w:leader="dot" w:pos="9072"/>
        </w:tabs>
        <w:rPr>
          <w:rFonts w:hint="eastAsia" w:ascii="黑体" w:hAnsi="黑体" w:eastAsia="黑体" w:cs="黑体"/>
          <w:sz w:val="28"/>
          <w:szCs w:val="28"/>
        </w:rPr>
      </w:pPr>
      <w:r>
        <w:rPr>
          <w:rFonts w:hint="eastAsia" w:ascii="黑体" w:hAnsi="黑体" w:eastAsia="黑体" w:cs="黑体"/>
          <w:color w:val="auto"/>
          <w:sz w:val="32"/>
          <w:szCs w:val="32"/>
        </w:rPr>
        <w:fldChar w:fldCharType="begin"/>
      </w:r>
      <w:r>
        <w:rPr>
          <w:rFonts w:hint="eastAsia" w:ascii="黑体" w:hAnsi="黑体" w:eastAsia="黑体" w:cs="黑体"/>
          <w:color w:val="auto"/>
          <w:sz w:val="32"/>
          <w:szCs w:val="32"/>
        </w:rPr>
        <w:instrText xml:space="preserve">TOC \o "1-2" \h \u </w:instrText>
      </w:r>
      <w:r>
        <w:rPr>
          <w:rFonts w:hint="eastAsia" w:ascii="黑体" w:hAnsi="黑体" w:eastAsia="黑体" w:cs="黑体"/>
          <w:color w:val="auto"/>
          <w:sz w:val="32"/>
          <w:szCs w:val="32"/>
        </w:rPr>
        <w:fldChar w:fldCharType="separate"/>
      </w:r>
      <w:r>
        <w:rPr>
          <w:rFonts w:hint="eastAsia" w:ascii="黑体" w:hAnsi="黑体" w:eastAsia="黑体" w:cs="黑体"/>
          <w:color w:val="auto"/>
          <w:sz w:val="28"/>
          <w:szCs w:val="28"/>
        </w:rPr>
        <w:fldChar w:fldCharType="begin"/>
      </w:r>
      <w:r>
        <w:rPr>
          <w:rFonts w:hint="eastAsia" w:ascii="黑体" w:hAnsi="黑体" w:eastAsia="黑体" w:cs="黑体"/>
          <w:sz w:val="28"/>
          <w:szCs w:val="28"/>
        </w:rPr>
        <w:instrText xml:space="preserve"> HYPERLINK \l _Toc26573 </w:instrText>
      </w:r>
      <w:r>
        <w:rPr>
          <w:rFonts w:hint="eastAsia" w:ascii="黑体" w:hAnsi="黑体" w:eastAsia="黑体" w:cs="黑体"/>
          <w:sz w:val="28"/>
          <w:szCs w:val="28"/>
        </w:rPr>
        <w:fldChar w:fldCharType="separate"/>
      </w:r>
      <w:r>
        <w:rPr>
          <w:rFonts w:hint="eastAsia" w:ascii="黑体" w:hAnsi="黑体" w:eastAsia="黑体" w:cs="黑体"/>
          <w:sz w:val="28"/>
          <w:szCs w:val="28"/>
        </w:rPr>
        <w:t>第一章  磋商邀请函</w:t>
      </w:r>
      <w:r>
        <w:rPr>
          <w:rFonts w:hint="eastAsia" w:ascii="黑体" w:hAnsi="黑体" w:eastAsia="黑体" w:cs="黑体"/>
          <w:sz w:val="28"/>
          <w:szCs w:val="28"/>
        </w:rPr>
        <w:tab/>
      </w:r>
      <w:r>
        <w:rPr>
          <w:rFonts w:hint="eastAsia" w:ascii="黑体" w:hAnsi="黑体" w:eastAsia="黑体" w:cs="黑体"/>
          <w:sz w:val="28"/>
          <w:szCs w:val="28"/>
        </w:rPr>
        <w:fldChar w:fldCharType="begin"/>
      </w:r>
      <w:r>
        <w:rPr>
          <w:rFonts w:hint="eastAsia" w:ascii="黑体" w:hAnsi="黑体" w:eastAsia="黑体" w:cs="黑体"/>
          <w:sz w:val="28"/>
          <w:szCs w:val="28"/>
        </w:rPr>
        <w:instrText xml:space="preserve"> PAGEREF _Toc26573 </w:instrText>
      </w:r>
      <w:r>
        <w:rPr>
          <w:rFonts w:hint="eastAsia" w:ascii="黑体" w:hAnsi="黑体" w:eastAsia="黑体" w:cs="黑体"/>
          <w:sz w:val="28"/>
          <w:szCs w:val="28"/>
        </w:rPr>
        <w:fldChar w:fldCharType="separate"/>
      </w:r>
      <w:r>
        <w:rPr>
          <w:rFonts w:hint="eastAsia" w:ascii="黑体" w:hAnsi="黑体" w:eastAsia="黑体" w:cs="黑体"/>
          <w:sz w:val="28"/>
          <w:szCs w:val="28"/>
        </w:rPr>
        <w:t>1</w:t>
      </w:r>
      <w:r>
        <w:rPr>
          <w:rFonts w:hint="eastAsia" w:ascii="黑体" w:hAnsi="黑体" w:eastAsia="黑体" w:cs="黑体"/>
          <w:sz w:val="28"/>
          <w:szCs w:val="28"/>
        </w:rPr>
        <w:fldChar w:fldCharType="end"/>
      </w:r>
      <w:r>
        <w:rPr>
          <w:rFonts w:hint="eastAsia" w:ascii="黑体" w:hAnsi="黑体" w:eastAsia="黑体" w:cs="黑体"/>
          <w:color w:val="auto"/>
          <w:sz w:val="28"/>
          <w:szCs w:val="28"/>
        </w:rPr>
        <w:fldChar w:fldCharType="end"/>
      </w:r>
    </w:p>
    <w:p>
      <w:pPr>
        <w:pStyle w:val="17"/>
        <w:tabs>
          <w:tab w:val="right" w:leader="dot" w:pos="9072"/>
        </w:tabs>
        <w:rPr>
          <w:rFonts w:hint="eastAsia" w:ascii="黑体" w:hAnsi="黑体" w:eastAsia="黑体" w:cs="黑体"/>
          <w:sz w:val="28"/>
          <w:szCs w:val="28"/>
        </w:rPr>
      </w:pPr>
      <w:r>
        <w:rPr>
          <w:rFonts w:hint="eastAsia" w:ascii="黑体" w:hAnsi="黑体" w:eastAsia="黑体" w:cs="黑体"/>
          <w:color w:val="auto"/>
          <w:sz w:val="28"/>
          <w:szCs w:val="28"/>
        </w:rPr>
        <w:fldChar w:fldCharType="begin"/>
      </w:r>
      <w:r>
        <w:rPr>
          <w:rFonts w:hint="eastAsia" w:ascii="黑体" w:hAnsi="黑体" w:eastAsia="黑体" w:cs="黑体"/>
          <w:sz w:val="28"/>
          <w:szCs w:val="28"/>
        </w:rPr>
        <w:instrText xml:space="preserve"> HYPERLINK \l _Toc27498 </w:instrText>
      </w:r>
      <w:r>
        <w:rPr>
          <w:rFonts w:hint="eastAsia" w:ascii="黑体" w:hAnsi="黑体" w:eastAsia="黑体" w:cs="黑体"/>
          <w:sz w:val="28"/>
          <w:szCs w:val="28"/>
        </w:rPr>
        <w:fldChar w:fldCharType="separate"/>
      </w:r>
      <w:r>
        <w:rPr>
          <w:rFonts w:hint="eastAsia" w:ascii="黑体" w:hAnsi="黑体" w:eastAsia="黑体" w:cs="黑体"/>
          <w:bCs/>
          <w:sz w:val="28"/>
          <w:szCs w:val="28"/>
        </w:rPr>
        <w:t>第二章  供应商须知</w:t>
      </w:r>
      <w:r>
        <w:rPr>
          <w:rFonts w:hint="eastAsia" w:ascii="黑体" w:hAnsi="黑体" w:eastAsia="黑体" w:cs="黑体"/>
          <w:sz w:val="28"/>
          <w:szCs w:val="28"/>
        </w:rPr>
        <w:tab/>
      </w:r>
      <w:r>
        <w:rPr>
          <w:rFonts w:hint="eastAsia" w:ascii="黑体" w:hAnsi="黑体" w:eastAsia="黑体" w:cs="黑体"/>
          <w:sz w:val="28"/>
          <w:szCs w:val="28"/>
        </w:rPr>
        <w:fldChar w:fldCharType="begin"/>
      </w:r>
      <w:r>
        <w:rPr>
          <w:rFonts w:hint="eastAsia" w:ascii="黑体" w:hAnsi="黑体" w:eastAsia="黑体" w:cs="黑体"/>
          <w:sz w:val="28"/>
          <w:szCs w:val="28"/>
        </w:rPr>
        <w:instrText xml:space="preserve"> PAGEREF _Toc27498 </w:instrText>
      </w:r>
      <w:r>
        <w:rPr>
          <w:rFonts w:hint="eastAsia" w:ascii="黑体" w:hAnsi="黑体" w:eastAsia="黑体" w:cs="黑体"/>
          <w:sz w:val="28"/>
          <w:szCs w:val="28"/>
        </w:rPr>
        <w:fldChar w:fldCharType="separate"/>
      </w:r>
      <w:r>
        <w:rPr>
          <w:rFonts w:hint="eastAsia" w:ascii="黑体" w:hAnsi="黑体" w:eastAsia="黑体" w:cs="黑体"/>
          <w:sz w:val="28"/>
          <w:szCs w:val="28"/>
        </w:rPr>
        <w:t>7</w:t>
      </w:r>
      <w:r>
        <w:rPr>
          <w:rFonts w:hint="eastAsia" w:ascii="黑体" w:hAnsi="黑体" w:eastAsia="黑体" w:cs="黑体"/>
          <w:sz w:val="28"/>
          <w:szCs w:val="28"/>
        </w:rPr>
        <w:fldChar w:fldCharType="end"/>
      </w:r>
      <w:r>
        <w:rPr>
          <w:rFonts w:hint="eastAsia" w:ascii="黑体" w:hAnsi="黑体" w:eastAsia="黑体" w:cs="黑体"/>
          <w:color w:val="auto"/>
          <w:sz w:val="28"/>
          <w:szCs w:val="28"/>
        </w:rPr>
        <w:fldChar w:fldCharType="end"/>
      </w:r>
    </w:p>
    <w:p>
      <w:pPr>
        <w:pStyle w:val="18"/>
        <w:tabs>
          <w:tab w:val="right" w:leader="dot" w:pos="9072"/>
        </w:tabs>
        <w:rPr>
          <w:rFonts w:hint="eastAsia" w:ascii="黑体" w:hAnsi="黑体" w:eastAsia="黑体" w:cs="黑体"/>
          <w:sz w:val="28"/>
          <w:szCs w:val="28"/>
        </w:rPr>
      </w:pPr>
      <w:r>
        <w:rPr>
          <w:rFonts w:hint="eastAsia" w:ascii="黑体" w:hAnsi="黑体" w:eastAsia="黑体" w:cs="黑体"/>
          <w:color w:val="auto"/>
          <w:sz w:val="28"/>
          <w:szCs w:val="28"/>
        </w:rPr>
        <w:fldChar w:fldCharType="begin"/>
      </w:r>
      <w:r>
        <w:rPr>
          <w:rFonts w:hint="eastAsia" w:ascii="黑体" w:hAnsi="黑体" w:eastAsia="黑体" w:cs="黑体"/>
          <w:sz w:val="28"/>
          <w:szCs w:val="28"/>
        </w:rPr>
        <w:instrText xml:space="preserve"> HYPERLINK \l _Toc30026 </w:instrText>
      </w:r>
      <w:r>
        <w:rPr>
          <w:rFonts w:hint="eastAsia" w:ascii="黑体" w:hAnsi="黑体" w:eastAsia="黑体" w:cs="黑体"/>
          <w:sz w:val="28"/>
          <w:szCs w:val="28"/>
        </w:rPr>
        <w:fldChar w:fldCharType="separate"/>
      </w:r>
      <w:r>
        <w:rPr>
          <w:rFonts w:hint="eastAsia" w:ascii="黑体" w:hAnsi="黑体" w:eastAsia="黑体" w:cs="黑体"/>
          <w:sz w:val="28"/>
          <w:szCs w:val="28"/>
        </w:rPr>
        <w:t>一、定义</w:t>
      </w:r>
      <w:r>
        <w:rPr>
          <w:rFonts w:hint="eastAsia" w:ascii="黑体" w:hAnsi="黑体" w:eastAsia="黑体" w:cs="黑体"/>
          <w:sz w:val="28"/>
          <w:szCs w:val="28"/>
        </w:rPr>
        <w:tab/>
      </w:r>
      <w:r>
        <w:rPr>
          <w:rFonts w:hint="eastAsia" w:ascii="黑体" w:hAnsi="黑体" w:eastAsia="黑体" w:cs="黑体"/>
          <w:sz w:val="28"/>
          <w:szCs w:val="28"/>
        </w:rPr>
        <w:fldChar w:fldCharType="begin"/>
      </w:r>
      <w:r>
        <w:rPr>
          <w:rFonts w:hint="eastAsia" w:ascii="黑体" w:hAnsi="黑体" w:eastAsia="黑体" w:cs="黑体"/>
          <w:sz w:val="28"/>
          <w:szCs w:val="28"/>
        </w:rPr>
        <w:instrText xml:space="preserve"> PAGEREF _Toc30026 </w:instrText>
      </w:r>
      <w:r>
        <w:rPr>
          <w:rFonts w:hint="eastAsia" w:ascii="黑体" w:hAnsi="黑体" w:eastAsia="黑体" w:cs="黑体"/>
          <w:sz w:val="28"/>
          <w:szCs w:val="28"/>
        </w:rPr>
        <w:fldChar w:fldCharType="separate"/>
      </w:r>
      <w:r>
        <w:rPr>
          <w:rFonts w:hint="eastAsia" w:ascii="黑体" w:hAnsi="黑体" w:eastAsia="黑体" w:cs="黑体"/>
          <w:sz w:val="28"/>
          <w:szCs w:val="28"/>
        </w:rPr>
        <w:t>7</w:t>
      </w:r>
      <w:r>
        <w:rPr>
          <w:rFonts w:hint="eastAsia" w:ascii="黑体" w:hAnsi="黑体" w:eastAsia="黑体" w:cs="黑体"/>
          <w:sz w:val="28"/>
          <w:szCs w:val="28"/>
        </w:rPr>
        <w:fldChar w:fldCharType="end"/>
      </w:r>
      <w:r>
        <w:rPr>
          <w:rFonts w:hint="eastAsia" w:ascii="黑体" w:hAnsi="黑体" w:eastAsia="黑体" w:cs="黑体"/>
          <w:color w:val="auto"/>
          <w:sz w:val="28"/>
          <w:szCs w:val="28"/>
        </w:rPr>
        <w:fldChar w:fldCharType="end"/>
      </w:r>
    </w:p>
    <w:p>
      <w:pPr>
        <w:pStyle w:val="18"/>
        <w:tabs>
          <w:tab w:val="right" w:leader="dot" w:pos="9072"/>
        </w:tabs>
        <w:rPr>
          <w:rFonts w:hint="eastAsia" w:ascii="黑体" w:hAnsi="黑体" w:eastAsia="黑体" w:cs="黑体"/>
          <w:sz w:val="28"/>
          <w:szCs w:val="28"/>
        </w:rPr>
      </w:pPr>
      <w:r>
        <w:rPr>
          <w:rFonts w:hint="eastAsia" w:ascii="黑体" w:hAnsi="黑体" w:eastAsia="黑体" w:cs="黑体"/>
          <w:color w:val="auto"/>
          <w:sz w:val="28"/>
          <w:szCs w:val="28"/>
        </w:rPr>
        <w:fldChar w:fldCharType="begin"/>
      </w:r>
      <w:r>
        <w:rPr>
          <w:rFonts w:hint="eastAsia" w:ascii="黑体" w:hAnsi="黑体" w:eastAsia="黑体" w:cs="黑体"/>
          <w:sz w:val="28"/>
          <w:szCs w:val="28"/>
        </w:rPr>
        <w:instrText xml:space="preserve"> HYPERLINK \l _Toc16371 </w:instrText>
      </w:r>
      <w:r>
        <w:rPr>
          <w:rFonts w:hint="eastAsia" w:ascii="黑体" w:hAnsi="黑体" w:eastAsia="黑体" w:cs="黑体"/>
          <w:sz w:val="28"/>
          <w:szCs w:val="28"/>
        </w:rPr>
        <w:fldChar w:fldCharType="separate"/>
      </w:r>
      <w:r>
        <w:rPr>
          <w:rFonts w:hint="eastAsia" w:ascii="黑体" w:hAnsi="黑体" w:eastAsia="黑体" w:cs="黑体"/>
          <w:sz w:val="28"/>
          <w:szCs w:val="28"/>
        </w:rPr>
        <w:t>二、供应商注意事项</w:t>
      </w:r>
      <w:r>
        <w:rPr>
          <w:rFonts w:hint="eastAsia" w:ascii="黑体" w:hAnsi="黑体" w:eastAsia="黑体" w:cs="黑体"/>
          <w:sz w:val="28"/>
          <w:szCs w:val="28"/>
        </w:rPr>
        <w:tab/>
      </w:r>
      <w:r>
        <w:rPr>
          <w:rFonts w:hint="eastAsia" w:ascii="黑体" w:hAnsi="黑体" w:eastAsia="黑体" w:cs="黑体"/>
          <w:sz w:val="28"/>
          <w:szCs w:val="28"/>
        </w:rPr>
        <w:fldChar w:fldCharType="begin"/>
      </w:r>
      <w:r>
        <w:rPr>
          <w:rFonts w:hint="eastAsia" w:ascii="黑体" w:hAnsi="黑体" w:eastAsia="黑体" w:cs="黑体"/>
          <w:sz w:val="28"/>
          <w:szCs w:val="28"/>
        </w:rPr>
        <w:instrText xml:space="preserve"> PAGEREF _Toc16371 </w:instrText>
      </w:r>
      <w:r>
        <w:rPr>
          <w:rFonts w:hint="eastAsia" w:ascii="黑体" w:hAnsi="黑体" w:eastAsia="黑体" w:cs="黑体"/>
          <w:sz w:val="28"/>
          <w:szCs w:val="28"/>
        </w:rPr>
        <w:fldChar w:fldCharType="separate"/>
      </w:r>
      <w:r>
        <w:rPr>
          <w:rFonts w:hint="eastAsia" w:ascii="黑体" w:hAnsi="黑体" w:eastAsia="黑体" w:cs="黑体"/>
          <w:sz w:val="28"/>
          <w:szCs w:val="28"/>
        </w:rPr>
        <w:t>7</w:t>
      </w:r>
      <w:r>
        <w:rPr>
          <w:rFonts w:hint="eastAsia" w:ascii="黑体" w:hAnsi="黑体" w:eastAsia="黑体" w:cs="黑体"/>
          <w:sz w:val="28"/>
          <w:szCs w:val="28"/>
        </w:rPr>
        <w:fldChar w:fldCharType="end"/>
      </w:r>
      <w:r>
        <w:rPr>
          <w:rFonts w:hint="eastAsia" w:ascii="黑体" w:hAnsi="黑体" w:eastAsia="黑体" w:cs="黑体"/>
          <w:color w:val="auto"/>
          <w:sz w:val="28"/>
          <w:szCs w:val="28"/>
        </w:rPr>
        <w:fldChar w:fldCharType="end"/>
      </w:r>
    </w:p>
    <w:p>
      <w:pPr>
        <w:pStyle w:val="18"/>
        <w:tabs>
          <w:tab w:val="right" w:leader="dot" w:pos="9072"/>
        </w:tabs>
        <w:rPr>
          <w:rFonts w:hint="eastAsia" w:ascii="黑体" w:hAnsi="黑体" w:eastAsia="黑体" w:cs="黑体"/>
          <w:sz w:val="28"/>
          <w:szCs w:val="28"/>
        </w:rPr>
      </w:pPr>
      <w:r>
        <w:rPr>
          <w:rFonts w:hint="eastAsia" w:ascii="黑体" w:hAnsi="黑体" w:eastAsia="黑体" w:cs="黑体"/>
          <w:color w:val="auto"/>
          <w:sz w:val="28"/>
          <w:szCs w:val="28"/>
        </w:rPr>
        <w:fldChar w:fldCharType="begin"/>
      </w:r>
      <w:r>
        <w:rPr>
          <w:rFonts w:hint="eastAsia" w:ascii="黑体" w:hAnsi="黑体" w:eastAsia="黑体" w:cs="黑体"/>
          <w:sz w:val="28"/>
          <w:szCs w:val="28"/>
        </w:rPr>
        <w:instrText xml:space="preserve"> HYPERLINK \l _Toc29639 </w:instrText>
      </w:r>
      <w:r>
        <w:rPr>
          <w:rFonts w:hint="eastAsia" w:ascii="黑体" w:hAnsi="黑体" w:eastAsia="黑体" w:cs="黑体"/>
          <w:sz w:val="28"/>
          <w:szCs w:val="28"/>
        </w:rPr>
        <w:fldChar w:fldCharType="separate"/>
      </w:r>
      <w:r>
        <w:rPr>
          <w:rFonts w:hint="eastAsia" w:ascii="黑体" w:hAnsi="黑体" w:eastAsia="黑体" w:cs="黑体"/>
          <w:sz w:val="28"/>
          <w:szCs w:val="28"/>
        </w:rPr>
        <w:t>三、磋商文件</w:t>
      </w:r>
      <w:r>
        <w:rPr>
          <w:rFonts w:hint="eastAsia" w:ascii="黑体" w:hAnsi="黑体" w:eastAsia="黑体" w:cs="黑体"/>
          <w:sz w:val="28"/>
          <w:szCs w:val="28"/>
        </w:rPr>
        <w:tab/>
      </w:r>
      <w:r>
        <w:rPr>
          <w:rFonts w:hint="eastAsia" w:ascii="黑体" w:hAnsi="黑体" w:eastAsia="黑体" w:cs="黑体"/>
          <w:sz w:val="28"/>
          <w:szCs w:val="28"/>
        </w:rPr>
        <w:fldChar w:fldCharType="begin"/>
      </w:r>
      <w:r>
        <w:rPr>
          <w:rFonts w:hint="eastAsia" w:ascii="黑体" w:hAnsi="黑体" w:eastAsia="黑体" w:cs="黑体"/>
          <w:sz w:val="28"/>
          <w:szCs w:val="28"/>
        </w:rPr>
        <w:instrText xml:space="preserve"> PAGEREF _Toc29639 </w:instrText>
      </w:r>
      <w:r>
        <w:rPr>
          <w:rFonts w:hint="eastAsia" w:ascii="黑体" w:hAnsi="黑体" w:eastAsia="黑体" w:cs="黑体"/>
          <w:sz w:val="28"/>
          <w:szCs w:val="28"/>
        </w:rPr>
        <w:fldChar w:fldCharType="separate"/>
      </w:r>
      <w:r>
        <w:rPr>
          <w:rFonts w:hint="eastAsia" w:ascii="黑体" w:hAnsi="黑体" w:eastAsia="黑体" w:cs="黑体"/>
          <w:sz w:val="28"/>
          <w:szCs w:val="28"/>
        </w:rPr>
        <w:t>14</w:t>
      </w:r>
      <w:r>
        <w:rPr>
          <w:rFonts w:hint="eastAsia" w:ascii="黑体" w:hAnsi="黑体" w:eastAsia="黑体" w:cs="黑体"/>
          <w:sz w:val="28"/>
          <w:szCs w:val="28"/>
        </w:rPr>
        <w:fldChar w:fldCharType="end"/>
      </w:r>
      <w:r>
        <w:rPr>
          <w:rFonts w:hint="eastAsia" w:ascii="黑体" w:hAnsi="黑体" w:eastAsia="黑体" w:cs="黑体"/>
          <w:color w:val="auto"/>
          <w:sz w:val="28"/>
          <w:szCs w:val="28"/>
        </w:rPr>
        <w:fldChar w:fldCharType="end"/>
      </w:r>
    </w:p>
    <w:p>
      <w:pPr>
        <w:pStyle w:val="18"/>
        <w:tabs>
          <w:tab w:val="right" w:leader="dot" w:pos="9072"/>
        </w:tabs>
        <w:rPr>
          <w:rFonts w:hint="eastAsia" w:ascii="黑体" w:hAnsi="黑体" w:eastAsia="黑体" w:cs="黑体"/>
          <w:sz w:val="28"/>
          <w:szCs w:val="28"/>
        </w:rPr>
      </w:pPr>
      <w:r>
        <w:rPr>
          <w:rFonts w:hint="eastAsia" w:ascii="黑体" w:hAnsi="黑体" w:eastAsia="黑体" w:cs="黑体"/>
          <w:color w:val="auto"/>
          <w:sz w:val="28"/>
          <w:szCs w:val="28"/>
        </w:rPr>
        <w:fldChar w:fldCharType="begin"/>
      </w:r>
      <w:r>
        <w:rPr>
          <w:rFonts w:hint="eastAsia" w:ascii="黑体" w:hAnsi="黑体" w:eastAsia="黑体" w:cs="黑体"/>
          <w:sz w:val="28"/>
          <w:szCs w:val="28"/>
        </w:rPr>
        <w:instrText xml:space="preserve"> HYPERLINK \l _Toc30419 </w:instrText>
      </w:r>
      <w:r>
        <w:rPr>
          <w:rFonts w:hint="eastAsia" w:ascii="黑体" w:hAnsi="黑体" w:eastAsia="黑体" w:cs="黑体"/>
          <w:sz w:val="28"/>
          <w:szCs w:val="28"/>
        </w:rPr>
        <w:fldChar w:fldCharType="separate"/>
      </w:r>
      <w:r>
        <w:rPr>
          <w:rFonts w:hint="eastAsia" w:ascii="黑体" w:hAnsi="黑体" w:eastAsia="黑体" w:cs="黑体"/>
          <w:sz w:val="28"/>
          <w:szCs w:val="28"/>
        </w:rPr>
        <w:t>四、磋商保证金</w:t>
      </w:r>
      <w:r>
        <w:rPr>
          <w:rFonts w:hint="eastAsia" w:ascii="黑体" w:hAnsi="黑体" w:eastAsia="黑体" w:cs="黑体"/>
          <w:sz w:val="28"/>
          <w:szCs w:val="28"/>
        </w:rPr>
        <w:tab/>
      </w:r>
      <w:r>
        <w:rPr>
          <w:rFonts w:hint="eastAsia" w:ascii="黑体" w:hAnsi="黑体" w:eastAsia="黑体" w:cs="黑体"/>
          <w:sz w:val="28"/>
          <w:szCs w:val="28"/>
        </w:rPr>
        <w:fldChar w:fldCharType="begin"/>
      </w:r>
      <w:r>
        <w:rPr>
          <w:rFonts w:hint="eastAsia" w:ascii="黑体" w:hAnsi="黑体" w:eastAsia="黑体" w:cs="黑体"/>
          <w:sz w:val="28"/>
          <w:szCs w:val="28"/>
        </w:rPr>
        <w:instrText xml:space="preserve"> PAGEREF _Toc30419 </w:instrText>
      </w:r>
      <w:r>
        <w:rPr>
          <w:rFonts w:hint="eastAsia" w:ascii="黑体" w:hAnsi="黑体" w:eastAsia="黑体" w:cs="黑体"/>
          <w:sz w:val="28"/>
          <w:szCs w:val="28"/>
        </w:rPr>
        <w:fldChar w:fldCharType="separate"/>
      </w:r>
      <w:r>
        <w:rPr>
          <w:rFonts w:hint="eastAsia" w:ascii="黑体" w:hAnsi="黑体" w:eastAsia="黑体" w:cs="黑体"/>
          <w:sz w:val="28"/>
          <w:szCs w:val="28"/>
        </w:rPr>
        <w:t>15</w:t>
      </w:r>
      <w:r>
        <w:rPr>
          <w:rFonts w:hint="eastAsia" w:ascii="黑体" w:hAnsi="黑体" w:eastAsia="黑体" w:cs="黑体"/>
          <w:sz w:val="28"/>
          <w:szCs w:val="28"/>
        </w:rPr>
        <w:fldChar w:fldCharType="end"/>
      </w:r>
      <w:r>
        <w:rPr>
          <w:rFonts w:hint="eastAsia" w:ascii="黑体" w:hAnsi="黑体" w:eastAsia="黑体" w:cs="黑体"/>
          <w:color w:val="auto"/>
          <w:sz w:val="28"/>
          <w:szCs w:val="28"/>
        </w:rPr>
        <w:fldChar w:fldCharType="end"/>
      </w:r>
    </w:p>
    <w:p>
      <w:pPr>
        <w:pStyle w:val="18"/>
        <w:tabs>
          <w:tab w:val="right" w:leader="dot" w:pos="9072"/>
        </w:tabs>
        <w:rPr>
          <w:rFonts w:hint="eastAsia" w:ascii="黑体" w:hAnsi="黑体" w:eastAsia="黑体" w:cs="黑体"/>
          <w:sz w:val="28"/>
          <w:szCs w:val="28"/>
        </w:rPr>
      </w:pPr>
      <w:r>
        <w:rPr>
          <w:rFonts w:hint="eastAsia" w:ascii="黑体" w:hAnsi="黑体" w:eastAsia="黑体" w:cs="黑体"/>
          <w:color w:val="auto"/>
          <w:sz w:val="28"/>
          <w:szCs w:val="28"/>
        </w:rPr>
        <w:fldChar w:fldCharType="begin"/>
      </w:r>
      <w:r>
        <w:rPr>
          <w:rFonts w:hint="eastAsia" w:ascii="黑体" w:hAnsi="黑体" w:eastAsia="黑体" w:cs="黑体"/>
          <w:sz w:val="28"/>
          <w:szCs w:val="28"/>
        </w:rPr>
        <w:instrText xml:space="preserve"> HYPERLINK \l _Toc17482 </w:instrText>
      </w:r>
      <w:r>
        <w:rPr>
          <w:rFonts w:hint="eastAsia" w:ascii="黑体" w:hAnsi="黑体" w:eastAsia="黑体" w:cs="黑体"/>
          <w:sz w:val="28"/>
          <w:szCs w:val="28"/>
        </w:rPr>
        <w:fldChar w:fldCharType="separate"/>
      </w:r>
      <w:r>
        <w:rPr>
          <w:rFonts w:hint="eastAsia" w:ascii="黑体" w:hAnsi="黑体" w:eastAsia="黑体" w:cs="黑体"/>
          <w:sz w:val="28"/>
          <w:szCs w:val="28"/>
        </w:rPr>
        <w:t>五、磋商报价</w:t>
      </w:r>
      <w:r>
        <w:rPr>
          <w:rFonts w:hint="eastAsia" w:ascii="黑体" w:hAnsi="黑体" w:eastAsia="黑体" w:cs="黑体"/>
          <w:sz w:val="28"/>
          <w:szCs w:val="28"/>
        </w:rPr>
        <w:tab/>
      </w:r>
      <w:r>
        <w:rPr>
          <w:rFonts w:hint="eastAsia" w:ascii="黑体" w:hAnsi="黑体" w:eastAsia="黑体" w:cs="黑体"/>
          <w:sz w:val="28"/>
          <w:szCs w:val="28"/>
        </w:rPr>
        <w:fldChar w:fldCharType="begin"/>
      </w:r>
      <w:r>
        <w:rPr>
          <w:rFonts w:hint="eastAsia" w:ascii="黑体" w:hAnsi="黑体" w:eastAsia="黑体" w:cs="黑体"/>
          <w:sz w:val="28"/>
          <w:szCs w:val="28"/>
        </w:rPr>
        <w:instrText xml:space="preserve"> PAGEREF _Toc17482 </w:instrText>
      </w:r>
      <w:r>
        <w:rPr>
          <w:rFonts w:hint="eastAsia" w:ascii="黑体" w:hAnsi="黑体" w:eastAsia="黑体" w:cs="黑体"/>
          <w:sz w:val="28"/>
          <w:szCs w:val="28"/>
        </w:rPr>
        <w:fldChar w:fldCharType="separate"/>
      </w:r>
      <w:r>
        <w:rPr>
          <w:rFonts w:hint="eastAsia" w:ascii="黑体" w:hAnsi="黑体" w:eastAsia="黑体" w:cs="黑体"/>
          <w:sz w:val="28"/>
          <w:szCs w:val="28"/>
        </w:rPr>
        <w:t>16</w:t>
      </w:r>
      <w:r>
        <w:rPr>
          <w:rFonts w:hint="eastAsia" w:ascii="黑体" w:hAnsi="黑体" w:eastAsia="黑体" w:cs="黑体"/>
          <w:sz w:val="28"/>
          <w:szCs w:val="28"/>
        </w:rPr>
        <w:fldChar w:fldCharType="end"/>
      </w:r>
      <w:r>
        <w:rPr>
          <w:rFonts w:hint="eastAsia" w:ascii="黑体" w:hAnsi="黑体" w:eastAsia="黑体" w:cs="黑体"/>
          <w:color w:val="auto"/>
          <w:sz w:val="28"/>
          <w:szCs w:val="28"/>
        </w:rPr>
        <w:fldChar w:fldCharType="end"/>
      </w:r>
    </w:p>
    <w:p>
      <w:pPr>
        <w:pStyle w:val="18"/>
        <w:tabs>
          <w:tab w:val="right" w:leader="dot" w:pos="9072"/>
        </w:tabs>
        <w:rPr>
          <w:rFonts w:hint="eastAsia" w:ascii="黑体" w:hAnsi="黑体" w:eastAsia="黑体" w:cs="黑体"/>
          <w:sz w:val="28"/>
          <w:szCs w:val="28"/>
        </w:rPr>
      </w:pPr>
      <w:r>
        <w:rPr>
          <w:rFonts w:hint="eastAsia" w:ascii="黑体" w:hAnsi="黑体" w:eastAsia="黑体" w:cs="黑体"/>
          <w:color w:val="auto"/>
          <w:sz w:val="28"/>
          <w:szCs w:val="28"/>
        </w:rPr>
        <w:fldChar w:fldCharType="begin"/>
      </w:r>
      <w:r>
        <w:rPr>
          <w:rFonts w:hint="eastAsia" w:ascii="黑体" w:hAnsi="黑体" w:eastAsia="黑体" w:cs="黑体"/>
          <w:sz w:val="28"/>
          <w:szCs w:val="28"/>
        </w:rPr>
        <w:instrText xml:space="preserve"> HYPERLINK \l _Toc387 </w:instrText>
      </w:r>
      <w:r>
        <w:rPr>
          <w:rFonts w:hint="eastAsia" w:ascii="黑体" w:hAnsi="黑体" w:eastAsia="黑体" w:cs="黑体"/>
          <w:sz w:val="28"/>
          <w:szCs w:val="28"/>
        </w:rPr>
        <w:fldChar w:fldCharType="separate"/>
      </w:r>
      <w:r>
        <w:rPr>
          <w:rFonts w:hint="eastAsia" w:ascii="黑体" w:hAnsi="黑体" w:eastAsia="黑体" w:cs="黑体"/>
          <w:sz w:val="28"/>
          <w:szCs w:val="28"/>
        </w:rPr>
        <w:t>六、响应文件</w:t>
      </w:r>
      <w:r>
        <w:rPr>
          <w:rFonts w:hint="eastAsia" w:ascii="黑体" w:hAnsi="黑体" w:eastAsia="黑体" w:cs="黑体"/>
          <w:sz w:val="28"/>
          <w:szCs w:val="28"/>
        </w:rPr>
        <w:tab/>
      </w:r>
      <w:r>
        <w:rPr>
          <w:rFonts w:hint="eastAsia" w:ascii="黑体" w:hAnsi="黑体" w:eastAsia="黑体" w:cs="黑体"/>
          <w:sz w:val="28"/>
          <w:szCs w:val="28"/>
        </w:rPr>
        <w:fldChar w:fldCharType="begin"/>
      </w:r>
      <w:r>
        <w:rPr>
          <w:rFonts w:hint="eastAsia" w:ascii="黑体" w:hAnsi="黑体" w:eastAsia="黑体" w:cs="黑体"/>
          <w:sz w:val="28"/>
          <w:szCs w:val="28"/>
        </w:rPr>
        <w:instrText xml:space="preserve"> PAGEREF _Toc387 </w:instrText>
      </w:r>
      <w:r>
        <w:rPr>
          <w:rFonts w:hint="eastAsia" w:ascii="黑体" w:hAnsi="黑体" w:eastAsia="黑体" w:cs="黑体"/>
          <w:sz w:val="28"/>
          <w:szCs w:val="28"/>
        </w:rPr>
        <w:fldChar w:fldCharType="separate"/>
      </w:r>
      <w:r>
        <w:rPr>
          <w:rFonts w:hint="eastAsia" w:ascii="黑体" w:hAnsi="黑体" w:eastAsia="黑体" w:cs="黑体"/>
          <w:sz w:val="28"/>
          <w:szCs w:val="28"/>
        </w:rPr>
        <w:t>17</w:t>
      </w:r>
      <w:r>
        <w:rPr>
          <w:rFonts w:hint="eastAsia" w:ascii="黑体" w:hAnsi="黑体" w:eastAsia="黑体" w:cs="黑体"/>
          <w:sz w:val="28"/>
          <w:szCs w:val="28"/>
        </w:rPr>
        <w:fldChar w:fldCharType="end"/>
      </w:r>
      <w:r>
        <w:rPr>
          <w:rFonts w:hint="eastAsia" w:ascii="黑体" w:hAnsi="黑体" w:eastAsia="黑体" w:cs="黑体"/>
          <w:color w:val="auto"/>
          <w:sz w:val="28"/>
          <w:szCs w:val="28"/>
        </w:rPr>
        <w:fldChar w:fldCharType="end"/>
      </w:r>
    </w:p>
    <w:p>
      <w:pPr>
        <w:pStyle w:val="18"/>
        <w:tabs>
          <w:tab w:val="right" w:leader="dot" w:pos="9072"/>
        </w:tabs>
        <w:rPr>
          <w:rFonts w:hint="eastAsia" w:ascii="黑体" w:hAnsi="黑体" w:eastAsia="黑体" w:cs="黑体"/>
          <w:sz w:val="28"/>
          <w:szCs w:val="28"/>
        </w:rPr>
      </w:pPr>
      <w:r>
        <w:rPr>
          <w:rFonts w:hint="eastAsia" w:ascii="黑体" w:hAnsi="黑体" w:eastAsia="黑体" w:cs="黑体"/>
          <w:color w:val="auto"/>
          <w:sz w:val="28"/>
          <w:szCs w:val="28"/>
        </w:rPr>
        <w:fldChar w:fldCharType="begin"/>
      </w:r>
      <w:r>
        <w:rPr>
          <w:rFonts w:hint="eastAsia" w:ascii="黑体" w:hAnsi="黑体" w:eastAsia="黑体" w:cs="黑体"/>
          <w:sz w:val="28"/>
          <w:szCs w:val="28"/>
        </w:rPr>
        <w:instrText xml:space="preserve"> HYPERLINK \l _Toc7343 </w:instrText>
      </w:r>
      <w:r>
        <w:rPr>
          <w:rFonts w:hint="eastAsia" w:ascii="黑体" w:hAnsi="黑体" w:eastAsia="黑体" w:cs="黑体"/>
          <w:sz w:val="28"/>
          <w:szCs w:val="28"/>
        </w:rPr>
        <w:fldChar w:fldCharType="separate"/>
      </w:r>
      <w:r>
        <w:rPr>
          <w:rFonts w:hint="eastAsia" w:ascii="黑体" w:hAnsi="黑体" w:eastAsia="黑体" w:cs="黑体"/>
          <w:sz w:val="28"/>
          <w:szCs w:val="28"/>
        </w:rPr>
        <w:t>七、组织开标</w:t>
      </w:r>
      <w:r>
        <w:rPr>
          <w:rFonts w:hint="eastAsia" w:ascii="黑体" w:hAnsi="黑体" w:eastAsia="黑体" w:cs="黑体"/>
          <w:sz w:val="28"/>
          <w:szCs w:val="28"/>
        </w:rPr>
        <w:tab/>
      </w:r>
      <w:r>
        <w:rPr>
          <w:rFonts w:hint="eastAsia" w:ascii="黑体" w:hAnsi="黑体" w:eastAsia="黑体" w:cs="黑体"/>
          <w:sz w:val="28"/>
          <w:szCs w:val="28"/>
        </w:rPr>
        <w:fldChar w:fldCharType="begin"/>
      </w:r>
      <w:r>
        <w:rPr>
          <w:rFonts w:hint="eastAsia" w:ascii="黑体" w:hAnsi="黑体" w:eastAsia="黑体" w:cs="黑体"/>
          <w:sz w:val="28"/>
          <w:szCs w:val="28"/>
        </w:rPr>
        <w:instrText xml:space="preserve"> PAGEREF _Toc7343 </w:instrText>
      </w:r>
      <w:r>
        <w:rPr>
          <w:rFonts w:hint="eastAsia" w:ascii="黑体" w:hAnsi="黑体" w:eastAsia="黑体" w:cs="黑体"/>
          <w:sz w:val="28"/>
          <w:szCs w:val="28"/>
        </w:rPr>
        <w:fldChar w:fldCharType="separate"/>
      </w:r>
      <w:r>
        <w:rPr>
          <w:rFonts w:hint="eastAsia" w:ascii="黑体" w:hAnsi="黑体" w:eastAsia="黑体" w:cs="黑体"/>
          <w:sz w:val="28"/>
          <w:szCs w:val="28"/>
        </w:rPr>
        <w:t>18</w:t>
      </w:r>
      <w:r>
        <w:rPr>
          <w:rFonts w:hint="eastAsia" w:ascii="黑体" w:hAnsi="黑体" w:eastAsia="黑体" w:cs="黑体"/>
          <w:sz w:val="28"/>
          <w:szCs w:val="28"/>
        </w:rPr>
        <w:fldChar w:fldCharType="end"/>
      </w:r>
      <w:r>
        <w:rPr>
          <w:rFonts w:hint="eastAsia" w:ascii="黑体" w:hAnsi="黑体" w:eastAsia="黑体" w:cs="黑体"/>
          <w:color w:val="auto"/>
          <w:sz w:val="28"/>
          <w:szCs w:val="28"/>
        </w:rPr>
        <w:fldChar w:fldCharType="end"/>
      </w:r>
    </w:p>
    <w:p>
      <w:pPr>
        <w:pStyle w:val="18"/>
        <w:tabs>
          <w:tab w:val="right" w:leader="dot" w:pos="9072"/>
        </w:tabs>
        <w:rPr>
          <w:rFonts w:hint="eastAsia" w:ascii="黑体" w:hAnsi="黑体" w:eastAsia="黑体" w:cs="黑体"/>
          <w:sz w:val="28"/>
          <w:szCs w:val="28"/>
        </w:rPr>
      </w:pPr>
      <w:r>
        <w:rPr>
          <w:rFonts w:hint="eastAsia" w:ascii="黑体" w:hAnsi="黑体" w:eastAsia="黑体" w:cs="黑体"/>
          <w:color w:val="auto"/>
          <w:sz w:val="28"/>
          <w:szCs w:val="28"/>
        </w:rPr>
        <w:fldChar w:fldCharType="begin"/>
      </w:r>
      <w:r>
        <w:rPr>
          <w:rFonts w:hint="eastAsia" w:ascii="黑体" w:hAnsi="黑体" w:eastAsia="黑体" w:cs="黑体"/>
          <w:sz w:val="28"/>
          <w:szCs w:val="28"/>
        </w:rPr>
        <w:instrText xml:space="preserve"> HYPERLINK \l _Toc18322 </w:instrText>
      </w:r>
      <w:r>
        <w:rPr>
          <w:rFonts w:hint="eastAsia" w:ascii="黑体" w:hAnsi="黑体" w:eastAsia="黑体" w:cs="黑体"/>
          <w:sz w:val="28"/>
          <w:szCs w:val="28"/>
        </w:rPr>
        <w:fldChar w:fldCharType="separate"/>
      </w:r>
      <w:r>
        <w:rPr>
          <w:rFonts w:hint="eastAsia" w:ascii="黑体" w:hAnsi="黑体" w:eastAsia="黑体" w:cs="黑体"/>
          <w:sz w:val="28"/>
          <w:szCs w:val="28"/>
        </w:rPr>
        <w:t>八、组织评审</w:t>
      </w:r>
      <w:r>
        <w:rPr>
          <w:rFonts w:hint="eastAsia" w:ascii="黑体" w:hAnsi="黑体" w:eastAsia="黑体" w:cs="黑体"/>
          <w:sz w:val="28"/>
          <w:szCs w:val="28"/>
        </w:rPr>
        <w:tab/>
      </w:r>
      <w:r>
        <w:rPr>
          <w:rFonts w:hint="eastAsia" w:ascii="黑体" w:hAnsi="黑体" w:eastAsia="黑体" w:cs="黑体"/>
          <w:sz w:val="28"/>
          <w:szCs w:val="28"/>
        </w:rPr>
        <w:fldChar w:fldCharType="begin"/>
      </w:r>
      <w:r>
        <w:rPr>
          <w:rFonts w:hint="eastAsia" w:ascii="黑体" w:hAnsi="黑体" w:eastAsia="黑体" w:cs="黑体"/>
          <w:sz w:val="28"/>
          <w:szCs w:val="28"/>
        </w:rPr>
        <w:instrText xml:space="preserve"> PAGEREF _Toc18322 </w:instrText>
      </w:r>
      <w:r>
        <w:rPr>
          <w:rFonts w:hint="eastAsia" w:ascii="黑体" w:hAnsi="黑体" w:eastAsia="黑体" w:cs="黑体"/>
          <w:sz w:val="28"/>
          <w:szCs w:val="28"/>
        </w:rPr>
        <w:fldChar w:fldCharType="separate"/>
      </w:r>
      <w:r>
        <w:rPr>
          <w:rFonts w:hint="eastAsia" w:ascii="黑体" w:hAnsi="黑体" w:eastAsia="黑体" w:cs="黑体"/>
          <w:sz w:val="28"/>
          <w:szCs w:val="28"/>
        </w:rPr>
        <w:t>20</w:t>
      </w:r>
      <w:r>
        <w:rPr>
          <w:rFonts w:hint="eastAsia" w:ascii="黑体" w:hAnsi="黑体" w:eastAsia="黑体" w:cs="黑体"/>
          <w:sz w:val="28"/>
          <w:szCs w:val="28"/>
        </w:rPr>
        <w:fldChar w:fldCharType="end"/>
      </w:r>
      <w:r>
        <w:rPr>
          <w:rFonts w:hint="eastAsia" w:ascii="黑体" w:hAnsi="黑体" w:eastAsia="黑体" w:cs="黑体"/>
          <w:color w:val="auto"/>
          <w:sz w:val="28"/>
          <w:szCs w:val="28"/>
        </w:rPr>
        <w:fldChar w:fldCharType="end"/>
      </w:r>
    </w:p>
    <w:p>
      <w:pPr>
        <w:pStyle w:val="18"/>
        <w:tabs>
          <w:tab w:val="right" w:leader="dot" w:pos="9072"/>
        </w:tabs>
        <w:rPr>
          <w:rFonts w:hint="eastAsia" w:ascii="黑体" w:hAnsi="黑体" w:eastAsia="黑体" w:cs="黑体"/>
          <w:sz w:val="28"/>
          <w:szCs w:val="28"/>
        </w:rPr>
      </w:pPr>
      <w:r>
        <w:rPr>
          <w:rFonts w:hint="eastAsia" w:ascii="黑体" w:hAnsi="黑体" w:eastAsia="黑体" w:cs="黑体"/>
          <w:color w:val="auto"/>
          <w:sz w:val="28"/>
          <w:szCs w:val="28"/>
        </w:rPr>
        <w:fldChar w:fldCharType="begin"/>
      </w:r>
      <w:r>
        <w:rPr>
          <w:rFonts w:hint="eastAsia" w:ascii="黑体" w:hAnsi="黑体" w:eastAsia="黑体" w:cs="黑体"/>
          <w:sz w:val="28"/>
          <w:szCs w:val="28"/>
        </w:rPr>
        <w:instrText xml:space="preserve"> HYPERLINK \l _Toc13030 </w:instrText>
      </w:r>
      <w:r>
        <w:rPr>
          <w:rFonts w:hint="eastAsia" w:ascii="黑体" w:hAnsi="黑体" w:eastAsia="黑体" w:cs="黑体"/>
          <w:sz w:val="28"/>
          <w:szCs w:val="28"/>
        </w:rPr>
        <w:fldChar w:fldCharType="separate"/>
      </w:r>
      <w:r>
        <w:rPr>
          <w:rFonts w:hint="eastAsia" w:ascii="黑体" w:hAnsi="黑体" w:eastAsia="黑体" w:cs="黑体"/>
          <w:sz w:val="28"/>
          <w:szCs w:val="28"/>
        </w:rPr>
        <w:t>九、成交</w:t>
      </w:r>
      <w:r>
        <w:rPr>
          <w:rFonts w:hint="eastAsia" w:ascii="黑体" w:hAnsi="黑体" w:eastAsia="黑体" w:cs="黑体"/>
          <w:sz w:val="28"/>
          <w:szCs w:val="28"/>
        </w:rPr>
        <w:tab/>
      </w:r>
      <w:r>
        <w:rPr>
          <w:rFonts w:hint="eastAsia" w:ascii="黑体" w:hAnsi="黑体" w:eastAsia="黑体" w:cs="黑体"/>
          <w:sz w:val="28"/>
          <w:szCs w:val="28"/>
        </w:rPr>
        <w:fldChar w:fldCharType="begin"/>
      </w:r>
      <w:r>
        <w:rPr>
          <w:rFonts w:hint="eastAsia" w:ascii="黑体" w:hAnsi="黑体" w:eastAsia="黑体" w:cs="黑体"/>
          <w:sz w:val="28"/>
          <w:szCs w:val="28"/>
        </w:rPr>
        <w:instrText xml:space="preserve"> PAGEREF _Toc13030 </w:instrText>
      </w:r>
      <w:r>
        <w:rPr>
          <w:rFonts w:hint="eastAsia" w:ascii="黑体" w:hAnsi="黑体" w:eastAsia="黑体" w:cs="黑体"/>
          <w:sz w:val="28"/>
          <w:szCs w:val="28"/>
        </w:rPr>
        <w:fldChar w:fldCharType="separate"/>
      </w:r>
      <w:r>
        <w:rPr>
          <w:rFonts w:hint="eastAsia" w:ascii="黑体" w:hAnsi="黑体" w:eastAsia="黑体" w:cs="黑体"/>
          <w:sz w:val="28"/>
          <w:szCs w:val="28"/>
        </w:rPr>
        <w:t>31</w:t>
      </w:r>
      <w:r>
        <w:rPr>
          <w:rFonts w:hint="eastAsia" w:ascii="黑体" w:hAnsi="黑体" w:eastAsia="黑体" w:cs="黑体"/>
          <w:sz w:val="28"/>
          <w:szCs w:val="28"/>
        </w:rPr>
        <w:fldChar w:fldCharType="end"/>
      </w:r>
      <w:r>
        <w:rPr>
          <w:rFonts w:hint="eastAsia" w:ascii="黑体" w:hAnsi="黑体" w:eastAsia="黑体" w:cs="黑体"/>
          <w:color w:val="auto"/>
          <w:sz w:val="28"/>
          <w:szCs w:val="28"/>
        </w:rPr>
        <w:fldChar w:fldCharType="end"/>
      </w:r>
    </w:p>
    <w:p>
      <w:pPr>
        <w:pStyle w:val="18"/>
        <w:tabs>
          <w:tab w:val="right" w:leader="dot" w:pos="9072"/>
        </w:tabs>
        <w:rPr>
          <w:rFonts w:hint="eastAsia" w:ascii="黑体" w:hAnsi="黑体" w:eastAsia="黑体" w:cs="黑体"/>
          <w:sz w:val="28"/>
          <w:szCs w:val="28"/>
        </w:rPr>
      </w:pPr>
      <w:r>
        <w:rPr>
          <w:rFonts w:hint="eastAsia" w:ascii="黑体" w:hAnsi="黑体" w:eastAsia="黑体" w:cs="黑体"/>
          <w:color w:val="auto"/>
          <w:sz w:val="28"/>
          <w:szCs w:val="28"/>
        </w:rPr>
        <w:fldChar w:fldCharType="begin"/>
      </w:r>
      <w:r>
        <w:rPr>
          <w:rFonts w:hint="eastAsia" w:ascii="黑体" w:hAnsi="黑体" w:eastAsia="黑体" w:cs="黑体"/>
          <w:sz w:val="28"/>
          <w:szCs w:val="28"/>
        </w:rPr>
        <w:instrText xml:space="preserve"> HYPERLINK \l _Toc18788 </w:instrText>
      </w:r>
      <w:r>
        <w:rPr>
          <w:rFonts w:hint="eastAsia" w:ascii="黑体" w:hAnsi="黑体" w:eastAsia="黑体" w:cs="黑体"/>
          <w:sz w:val="28"/>
          <w:szCs w:val="28"/>
        </w:rPr>
        <w:fldChar w:fldCharType="separate"/>
      </w:r>
      <w:r>
        <w:rPr>
          <w:rFonts w:hint="eastAsia" w:ascii="黑体" w:hAnsi="黑体" w:eastAsia="黑体" w:cs="黑体"/>
          <w:sz w:val="28"/>
          <w:szCs w:val="28"/>
        </w:rPr>
        <w:t>十、签订</w:t>
      </w:r>
      <w:r>
        <w:rPr>
          <w:rFonts w:hint="eastAsia" w:ascii="黑体" w:hAnsi="黑体" w:eastAsia="黑体" w:cs="黑体"/>
          <w:kern w:val="0"/>
          <w:sz w:val="28"/>
          <w:szCs w:val="28"/>
        </w:rPr>
        <w:t>政府采购合同</w:t>
      </w:r>
      <w:r>
        <w:rPr>
          <w:rFonts w:hint="eastAsia" w:ascii="黑体" w:hAnsi="黑体" w:eastAsia="黑体" w:cs="黑体"/>
          <w:sz w:val="28"/>
          <w:szCs w:val="28"/>
        </w:rPr>
        <w:tab/>
      </w:r>
      <w:r>
        <w:rPr>
          <w:rFonts w:hint="eastAsia" w:ascii="黑体" w:hAnsi="黑体" w:eastAsia="黑体" w:cs="黑体"/>
          <w:sz w:val="28"/>
          <w:szCs w:val="28"/>
        </w:rPr>
        <w:fldChar w:fldCharType="begin"/>
      </w:r>
      <w:r>
        <w:rPr>
          <w:rFonts w:hint="eastAsia" w:ascii="黑体" w:hAnsi="黑体" w:eastAsia="黑体" w:cs="黑体"/>
          <w:sz w:val="28"/>
          <w:szCs w:val="28"/>
        </w:rPr>
        <w:instrText xml:space="preserve"> PAGEREF _Toc18788 </w:instrText>
      </w:r>
      <w:r>
        <w:rPr>
          <w:rFonts w:hint="eastAsia" w:ascii="黑体" w:hAnsi="黑体" w:eastAsia="黑体" w:cs="黑体"/>
          <w:sz w:val="28"/>
          <w:szCs w:val="28"/>
        </w:rPr>
        <w:fldChar w:fldCharType="separate"/>
      </w:r>
      <w:r>
        <w:rPr>
          <w:rFonts w:hint="eastAsia" w:ascii="黑体" w:hAnsi="黑体" w:eastAsia="黑体" w:cs="黑体"/>
          <w:sz w:val="28"/>
          <w:szCs w:val="28"/>
        </w:rPr>
        <w:t>31</w:t>
      </w:r>
      <w:r>
        <w:rPr>
          <w:rFonts w:hint="eastAsia" w:ascii="黑体" w:hAnsi="黑体" w:eastAsia="黑体" w:cs="黑体"/>
          <w:sz w:val="28"/>
          <w:szCs w:val="28"/>
        </w:rPr>
        <w:fldChar w:fldCharType="end"/>
      </w:r>
      <w:r>
        <w:rPr>
          <w:rFonts w:hint="eastAsia" w:ascii="黑体" w:hAnsi="黑体" w:eastAsia="黑体" w:cs="黑体"/>
          <w:color w:val="auto"/>
          <w:sz w:val="28"/>
          <w:szCs w:val="28"/>
        </w:rPr>
        <w:fldChar w:fldCharType="end"/>
      </w:r>
    </w:p>
    <w:p>
      <w:pPr>
        <w:pStyle w:val="18"/>
        <w:tabs>
          <w:tab w:val="right" w:leader="dot" w:pos="9072"/>
        </w:tabs>
        <w:rPr>
          <w:rFonts w:hint="eastAsia" w:ascii="黑体" w:hAnsi="黑体" w:eastAsia="黑体" w:cs="黑体"/>
          <w:sz w:val="28"/>
          <w:szCs w:val="28"/>
        </w:rPr>
      </w:pPr>
      <w:r>
        <w:rPr>
          <w:rFonts w:hint="eastAsia" w:ascii="黑体" w:hAnsi="黑体" w:eastAsia="黑体" w:cs="黑体"/>
          <w:color w:val="auto"/>
          <w:sz w:val="28"/>
          <w:szCs w:val="28"/>
        </w:rPr>
        <w:fldChar w:fldCharType="begin"/>
      </w:r>
      <w:r>
        <w:rPr>
          <w:rFonts w:hint="eastAsia" w:ascii="黑体" w:hAnsi="黑体" w:eastAsia="黑体" w:cs="黑体"/>
          <w:sz w:val="28"/>
          <w:szCs w:val="28"/>
        </w:rPr>
        <w:instrText xml:space="preserve"> HYPERLINK \l _Toc26408 </w:instrText>
      </w:r>
      <w:r>
        <w:rPr>
          <w:rFonts w:hint="eastAsia" w:ascii="黑体" w:hAnsi="黑体" w:eastAsia="黑体" w:cs="黑体"/>
          <w:sz w:val="28"/>
          <w:szCs w:val="28"/>
        </w:rPr>
        <w:fldChar w:fldCharType="separate"/>
      </w:r>
      <w:r>
        <w:rPr>
          <w:rFonts w:hint="eastAsia" w:ascii="黑体" w:hAnsi="黑体" w:eastAsia="黑体" w:cs="黑体"/>
          <w:sz w:val="28"/>
          <w:szCs w:val="28"/>
        </w:rPr>
        <w:t>十一、其他</w:t>
      </w:r>
      <w:r>
        <w:rPr>
          <w:rFonts w:hint="eastAsia" w:ascii="黑体" w:hAnsi="黑体" w:eastAsia="黑体" w:cs="黑体"/>
          <w:sz w:val="28"/>
          <w:szCs w:val="28"/>
        </w:rPr>
        <w:tab/>
      </w:r>
      <w:r>
        <w:rPr>
          <w:rFonts w:hint="eastAsia" w:ascii="黑体" w:hAnsi="黑体" w:eastAsia="黑体" w:cs="黑体"/>
          <w:sz w:val="28"/>
          <w:szCs w:val="28"/>
        </w:rPr>
        <w:fldChar w:fldCharType="begin"/>
      </w:r>
      <w:r>
        <w:rPr>
          <w:rFonts w:hint="eastAsia" w:ascii="黑体" w:hAnsi="黑体" w:eastAsia="黑体" w:cs="黑体"/>
          <w:sz w:val="28"/>
          <w:szCs w:val="28"/>
        </w:rPr>
        <w:instrText xml:space="preserve"> PAGEREF _Toc26408 </w:instrText>
      </w:r>
      <w:r>
        <w:rPr>
          <w:rFonts w:hint="eastAsia" w:ascii="黑体" w:hAnsi="黑体" w:eastAsia="黑体" w:cs="黑体"/>
          <w:sz w:val="28"/>
          <w:szCs w:val="28"/>
        </w:rPr>
        <w:fldChar w:fldCharType="separate"/>
      </w:r>
      <w:r>
        <w:rPr>
          <w:rFonts w:hint="eastAsia" w:ascii="黑体" w:hAnsi="黑体" w:eastAsia="黑体" w:cs="黑体"/>
          <w:sz w:val="28"/>
          <w:szCs w:val="28"/>
        </w:rPr>
        <w:t>32</w:t>
      </w:r>
      <w:r>
        <w:rPr>
          <w:rFonts w:hint="eastAsia" w:ascii="黑体" w:hAnsi="黑体" w:eastAsia="黑体" w:cs="黑体"/>
          <w:sz w:val="28"/>
          <w:szCs w:val="28"/>
        </w:rPr>
        <w:fldChar w:fldCharType="end"/>
      </w:r>
      <w:r>
        <w:rPr>
          <w:rFonts w:hint="eastAsia" w:ascii="黑体" w:hAnsi="黑体" w:eastAsia="黑体" w:cs="黑体"/>
          <w:color w:val="auto"/>
          <w:sz w:val="28"/>
          <w:szCs w:val="28"/>
        </w:rPr>
        <w:fldChar w:fldCharType="end"/>
      </w:r>
    </w:p>
    <w:p>
      <w:pPr>
        <w:pStyle w:val="18"/>
        <w:tabs>
          <w:tab w:val="right" w:leader="dot" w:pos="9072"/>
        </w:tabs>
        <w:rPr>
          <w:rFonts w:hint="eastAsia" w:ascii="黑体" w:hAnsi="黑体" w:eastAsia="黑体" w:cs="黑体"/>
          <w:sz w:val="28"/>
          <w:szCs w:val="28"/>
        </w:rPr>
      </w:pPr>
      <w:r>
        <w:rPr>
          <w:rFonts w:hint="eastAsia" w:ascii="黑体" w:hAnsi="黑体" w:eastAsia="黑体" w:cs="黑体"/>
          <w:color w:val="auto"/>
          <w:sz w:val="28"/>
          <w:szCs w:val="28"/>
        </w:rPr>
        <w:fldChar w:fldCharType="begin"/>
      </w:r>
      <w:r>
        <w:rPr>
          <w:rFonts w:hint="eastAsia" w:ascii="黑体" w:hAnsi="黑体" w:eastAsia="黑体" w:cs="黑体"/>
          <w:sz w:val="28"/>
          <w:szCs w:val="28"/>
        </w:rPr>
        <w:instrText xml:space="preserve"> HYPERLINK \l _Toc27151 </w:instrText>
      </w:r>
      <w:r>
        <w:rPr>
          <w:rFonts w:hint="eastAsia" w:ascii="黑体" w:hAnsi="黑体" w:eastAsia="黑体" w:cs="黑体"/>
          <w:sz w:val="28"/>
          <w:szCs w:val="28"/>
        </w:rPr>
        <w:fldChar w:fldCharType="separate"/>
      </w:r>
      <w:r>
        <w:rPr>
          <w:rFonts w:hint="eastAsia" w:ascii="黑体" w:hAnsi="黑体" w:eastAsia="黑体" w:cs="黑体"/>
          <w:sz w:val="28"/>
          <w:szCs w:val="28"/>
        </w:rPr>
        <w:t>十二、采购代理服务费：免费</w:t>
      </w:r>
      <w:r>
        <w:rPr>
          <w:rFonts w:hint="eastAsia" w:ascii="黑体" w:hAnsi="黑体" w:eastAsia="黑体" w:cs="黑体"/>
          <w:sz w:val="28"/>
          <w:szCs w:val="28"/>
        </w:rPr>
        <w:tab/>
      </w:r>
      <w:r>
        <w:rPr>
          <w:rFonts w:hint="eastAsia" w:ascii="黑体" w:hAnsi="黑体" w:eastAsia="黑体" w:cs="黑体"/>
          <w:sz w:val="28"/>
          <w:szCs w:val="28"/>
        </w:rPr>
        <w:fldChar w:fldCharType="begin"/>
      </w:r>
      <w:r>
        <w:rPr>
          <w:rFonts w:hint="eastAsia" w:ascii="黑体" w:hAnsi="黑体" w:eastAsia="黑体" w:cs="黑体"/>
          <w:sz w:val="28"/>
          <w:szCs w:val="28"/>
        </w:rPr>
        <w:instrText xml:space="preserve"> PAGEREF _Toc27151 </w:instrText>
      </w:r>
      <w:r>
        <w:rPr>
          <w:rFonts w:hint="eastAsia" w:ascii="黑体" w:hAnsi="黑体" w:eastAsia="黑体" w:cs="黑体"/>
          <w:sz w:val="28"/>
          <w:szCs w:val="28"/>
        </w:rPr>
        <w:fldChar w:fldCharType="separate"/>
      </w:r>
      <w:r>
        <w:rPr>
          <w:rFonts w:hint="eastAsia" w:ascii="黑体" w:hAnsi="黑体" w:eastAsia="黑体" w:cs="黑体"/>
          <w:sz w:val="28"/>
          <w:szCs w:val="28"/>
        </w:rPr>
        <w:t>33</w:t>
      </w:r>
      <w:r>
        <w:rPr>
          <w:rFonts w:hint="eastAsia" w:ascii="黑体" w:hAnsi="黑体" w:eastAsia="黑体" w:cs="黑体"/>
          <w:sz w:val="28"/>
          <w:szCs w:val="28"/>
        </w:rPr>
        <w:fldChar w:fldCharType="end"/>
      </w:r>
      <w:r>
        <w:rPr>
          <w:rFonts w:hint="eastAsia" w:ascii="黑体" w:hAnsi="黑体" w:eastAsia="黑体" w:cs="黑体"/>
          <w:color w:val="auto"/>
          <w:sz w:val="28"/>
          <w:szCs w:val="28"/>
        </w:rPr>
        <w:fldChar w:fldCharType="end"/>
      </w:r>
    </w:p>
    <w:p>
      <w:pPr>
        <w:pStyle w:val="17"/>
        <w:tabs>
          <w:tab w:val="right" w:leader="dot" w:pos="9072"/>
        </w:tabs>
        <w:rPr>
          <w:rFonts w:hint="eastAsia" w:ascii="黑体" w:hAnsi="黑体" w:eastAsia="黑体" w:cs="黑体"/>
          <w:sz w:val="28"/>
          <w:szCs w:val="28"/>
        </w:rPr>
      </w:pPr>
      <w:r>
        <w:rPr>
          <w:rFonts w:hint="eastAsia" w:ascii="黑体" w:hAnsi="黑体" w:eastAsia="黑体" w:cs="黑体"/>
          <w:color w:val="auto"/>
          <w:sz w:val="28"/>
          <w:szCs w:val="28"/>
        </w:rPr>
        <w:fldChar w:fldCharType="begin"/>
      </w:r>
      <w:r>
        <w:rPr>
          <w:rFonts w:hint="eastAsia" w:ascii="黑体" w:hAnsi="黑体" w:eastAsia="黑体" w:cs="黑体"/>
          <w:sz w:val="28"/>
          <w:szCs w:val="28"/>
        </w:rPr>
        <w:instrText xml:space="preserve"> HYPERLINK \l _Toc3316 </w:instrText>
      </w:r>
      <w:r>
        <w:rPr>
          <w:rFonts w:hint="eastAsia" w:ascii="黑体" w:hAnsi="黑体" w:eastAsia="黑体" w:cs="黑体"/>
          <w:sz w:val="28"/>
          <w:szCs w:val="28"/>
        </w:rPr>
        <w:fldChar w:fldCharType="separate"/>
      </w:r>
      <w:r>
        <w:rPr>
          <w:rFonts w:hint="eastAsia" w:ascii="黑体" w:hAnsi="黑体" w:eastAsia="黑体" w:cs="黑体"/>
          <w:bCs/>
          <w:sz w:val="28"/>
          <w:szCs w:val="28"/>
        </w:rPr>
        <w:t>第三章  磋商内容及采购要求</w:t>
      </w:r>
      <w:r>
        <w:rPr>
          <w:rFonts w:hint="eastAsia" w:ascii="黑体" w:hAnsi="黑体" w:eastAsia="黑体" w:cs="黑体"/>
          <w:sz w:val="28"/>
          <w:szCs w:val="28"/>
        </w:rPr>
        <w:tab/>
      </w:r>
      <w:r>
        <w:rPr>
          <w:rFonts w:hint="eastAsia" w:ascii="黑体" w:hAnsi="黑体" w:eastAsia="黑体" w:cs="黑体"/>
          <w:sz w:val="28"/>
          <w:szCs w:val="28"/>
        </w:rPr>
        <w:fldChar w:fldCharType="begin"/>
      </w:r>
      <w:r>
        <w:rPr>
          <w:rFonts w:hint="eastAsia" w:ascii="黑体" w:hAnsi="黑体" w:eastAsia="黑体" w:cs="黑体"/>
          <w:sz w:val="28"/>
          <w:szCs w:val="28"/>
        </w:rPr>
        <w:instrText xml:space="preserve"> PAGEREF _Toc3316 </w:instrText>
      </w:r>
      <w:r>
        <w:rPr>
          <w:rFonts w:hint="eastAsia" w:ascii="黑体" w:hAnsi="黑体" w:eastAsia="黑体" w:cs="黑体"/>
          <w:sz w:val="28"/>
          <w:szCs w:val="28"/>
        </w:rPr>
        <w:fldChar w:fldCharType="separate"/>
      </w:r>
      <w:r>
        <w:rPr>
          <w:rFonts w:hint="eastAsia" w:ascii="黑体" w:hAnsi="黑体" w:eastAsia="黑体" w:cs="黑体"/>
          <w:sz w:val="28"/>
          <w:szCs w:val="28"/>
        </w:rPr>
        <w:t>34</w:t>
      </w:r>
      <w:r>
        <w:rPr>
          <w:rFonts w:hint="eastAsia" w:ascii="黑体" w:hAnsi="黑体" w:eastAsia="黑体" w:cs="黑体"/>
          <w:sz w:val="28"/>
          <w:szCs w:val="28"/>
        </w:rPr>
        <w:fldChar w:fldCharType="end"/>
      </w:r>
      <w:r>
        <w:rPr>
          <w:rFonts w:hint="eastAsia" w:ascii="黑体" w:hAnsi="黑体" w:eastAsia="黑体" w:cs="黑体"/>
          <w:color w:val="auto"/>
          <w:sz w:val="28"/>
          <w:szCs w:val="28"/>
        </w:rPr>
        <w:fldChar w:fldCharType="end"/>
      </w:r>
    </w:p>
    <w:p>
      <w:pPr>
        <w:pStyle w:val="17"/>
        <w:tabs>
          <w:tab w:val="right" w:leader="dot" w:pos="9072"/>
        </w:tabs>
        <w:rPr>
          <w:rFonts w:hint="eastAsia" w:ascii="黑体" w:hAnsi="黑体" w:eastAsia="黑体" w:cs="黑体"/>
          <w:sz w:val="28"/>
          <w:szCs w:val="28"/>
        </w:rPr>
      </w:pPr>
      <w:r>
        <w:rPr>
          <w:rFonts w:hint="eastAsia" w:ascii="黑体" w:hAnsi="黑体" w:eastAsia="黑体" w:cs="黑体"/>
          <w:color w:val="auto"/>
          <w:sz w:val="28"/>
          <w:szCs w:val="28"/>
        </w:rPr>
        <w:fldChar w:fldCharType="begin"/>
      </w:r>
      <w:r>
        <w:rPr>
          <w:rFonts w:hint="eastAsia" w:ascii="黑体" w:hAnsi="黑体" w:eastAsia="黑体" w:cs="黑体"/>
          <w:sz w:val="28"/>
          <w:szCs w:val="28"/>
        </w:rPr>
        <w:instrText xml:space="preserve"> HYPERLINK \l _Toc29294 </w:instrText>
      </w:r>
      <w:r>
        <w:rPr>
          <w:rFonts w:hint="eastAsia" w:ascii="黑体" w:hAnsi="黑体" w:eastAsia="黑体" w:cs="黑体"/>
          <w:sz w:val="28"/>
          <w:szCs w:val="28"/>
        </w:rPr>
        <w:fldChar w:fldCharType="separate"/>
      </w:r>
      <w:r>
        <w:rPr>
          <w:rFonts w:hint="eastAsia" w:ascii="黑体" w:hAnsi="黑体" w:eastAsia="黑体" w:cs="黑体"/>
          <w:bCs/>
          <w:sz w:val="28"/>
          <w:szCs w:val="28"/>
        </w:rPr>
        <w:t>第四章  合同基本条款</w:t>
      </w:r>
      <w:r>
        <w:rPr>
          <w:rFonts w:hint="eastAsia" w:ascii="黑体" w:hAnsi="黑体" w:eastAsia="黑体" w:cs="黑体"/>
          <w:sz w:val="28"/>
          <w:szCs w:val="28"/>
        </w:rPr>
        <w:tab/>
      </w:r>
      <w:r>
        <w:rPr>
          <w:rFonts w:hint="eastAsia" w:ascii="黑体" w:hAnsi="黑体" w:eastAsia="黑体" w:cs="黑体"/>
          <w:sz w:val="28"/>
          <w:szCs w:val="28"/>
        </w:rPr>
        <w:fldChar w:fldCharType="begin"/>
      </w:r>
      <w:r>
        <w:rPr>
          <w:rFonts w:hint="eastAsia" w:ascii="黑体" w:hAnsi="黑体" w:eastAsia="黑体" w:cs="黑体"/>
          <w:sz w:val="28"/>
          <w:szCs w:val="28"/>
        </w:rPr>
        <w:instrText xml:space="preserve"> PAGEREF _Toc29294 </w:instrText>
      </w:r>
      <w:r>
        <w:rPr>
          <w:rFonts w:hint="eastAsia" w:ascii="黑体" w:hAnsi="黑体" w:eastAsia="黑体" w:cs="黑体"/>
          <w:sz w:val="28"/>
          <w:szCs w:val="28"/>
        </w:rPr>
        <w:fldChar w:fldCharType="separate"/>
      </w:r>
      <w:r>
        <w:rPr>
          <w:rFonts w:hint="eastAsia" w:ascii="黑体" w:hAnsi="黑体" w:eastAsia="黑体" w:cs="黑体"/>
          <w:sz w:val="28"/>
          <w:szCs w:val="28"/>
        </w:rPr>
        <w:t>129</w:t>
      </w:r>
      <w:r>
        <w:rPr>
          <w:rFonts w:hint="eastAsia" w:ascii="黑体" w:hAnsi="黑体" w:eastAsia="黑体" w:cs="黑体"/>
          <w:sz w:val="28"/>
          <w:szCs w:val="28"/>
        </w:rPr>
        <w:fldChar w:fldCharType="end"/>
      </w:r>
      <w:r>
        <w:rPr>
          <w:rFonts w:hint="eastAsia" w:ascii="黑体" w:hAnsi="黑体" w:eastAsia="黑体" w:cs="黑体"/>
          <w:color w:val="auto"/>
          <w:sz w:val="28"/>
          <w:szCs w:val="28"/>
        </w:rPr>
        <w:fldChar w:fldCharType="end"/>
      </w:r>
    </w:p>
    <w:p>
      <w:pPr>
        <w:pStyle w:val="18"/>
        <w:tabs>
          <w:tab w:val="right" w:leader="dot" w:pos="9072"/>
        </w:tabs>
        <w:rPr>
          <w:rFonts w:hint="eastAsia" w:ascii="黑体" w:hAnsi="黑体" w:eastAsia="黑体" w:cs="黑体"/>
          <w:sz w:val="28"/>
          <w:szCs w:val="28"/>
        </w:rPr>
      </w:pPr>
      <w:r>
        <w:rPr>
          <w:rFonts w:hint="eastAsia" w:ascii="黑体" w:hAnsi="黑体" w:eastAsia="黑体" w:cs="黑体"/>
          <w:color w:val="auto"/>
          <w:sz w:val="28"/>
          <w:szCs w:val="28"/>
        </w:rPr>
        <w:fldChar w:fldCharType="begin"/>
      </w:r>
      <w:r>
        <w:rPr>
          <w:rFonts w:hint="eastAsia" w:ascii="黑体" w:hAnsi="黑体" w:eastAsia="黑体" w:cs="黑体"/>
          <w:sz w:val="28"/>
          <w:szCs w:val="28"/>
        </w:rPr>
        <w:instrText xml:space="preserve"> HYPERLINK \l _Toc17826 </w:instrText>
      </w:r>
      <w:r>
        <w:rPr>
          <w:rFonts w:hint="eastAsia" w:ascii="黑体" w:hAnsi="黑体" w:eastAsia="黑体" w:cs="黑体"/>
          <w:sz w:val="28"/>
          <w:szCs w:val="28"/>
        </w:rPr>
        <w:fldChar w:fldCharType="separate"/>
      </w:r>
      <w:r>
        <w:rPr>
          <w:rFonts w:hint="eastAsia" w:ascii="黑体" w:hAnsi="黑体" w:eastAsia="黑体" w:cs="黑体"/>
          <w:sz w:val="28"/>
          <w:szCs w:val="28"/>
        </w:rPr>
        <w:t>一、</w:t>
      </w:r>
      <w:r>
        <w:rPr>
          <w:rFonts w:hint="eastAsia" w:ascii="黑体" w:hAnsi="黑体" w:eastAsia="黑体" w:cs="黑体"/>
          <w:sz w:val="28"/>
          <w:szCs w:val="28"/>
          <w:lang w:val="en-US" w:eastAsia="zh-CN"/>
        </w:rPr>
        <w:t>施工</w:t>
      </w:r>
      <w:r>
        <w:rPr>
          <w:rFonts w:hint="eastAsia" w:ascii="黑体" w:hAnsi="黑体" w:eastAsia="黑体" w:cs="黑体"/>
          <w:sz w:val="28"/>
          <w:szCs w:val="28"/>
        </w:rPr>
        <w:t>条件</w:t>
      </w:r>
      <w:r>
        <w:rPr>
          <w:rFonts w:hint="eastAsia" w:ascii="黑体" w:hAnsi="黑体" w:eastAsia="黑体" w:cs="黑体"/>
          <w:sz w:val="28"/>
          <w:szCs w:val="28"/>
        </w:rPr>
        <w:tab/>
      </w:r>
      <w:r>
        <w:rPr>
          <w:rFonts w:hint="eastAsia" w:ascii="黑体" w:hAnsi="黑体" w:eastAsia="黑体" w:cs="黑体"/>
          <w:sz w:val="28"/>
          <w:szCs w:val="28"/>
        </w:rPr>
        <w:fldChar w:fldCharType="begin"/>
      </w:r>
      <w:r>
        <w:rPr>
          <w:rFonts w:hint="eastAsia" w:ascii="黑体" w:hAnsi="黑体" w:eastAsia="黑体" w:cs="黑体"/>
          <w:sz w:val="28"/>
          <w:szCs w:val="28"/>
        </w:rPr>
        <w:instrText xml:space="preserve"> PAGEREF _Toc17826 </w:instrText>
      </w:r>
      <w:r>
        <w:rPr>
          <w:rFonts w:hint="eastAsia" w:ascii="黑体" w:hAnsi="黑体" w:eastAsia="黑体" w:cs="黑体"/>
          <w:sz w:val="28"/>
          <w:szCs w:val="28"/>
        </w:rPr>
        <w:fldChar w:fldCharType="separate"/>
      </w:r>
      <w:r>
        <w:rPr>
          <w:rFonts w:hint="eastAsia" w:ascii="黑体" w:hAnsi="黑体" w:eastAsia="黑体" w:cs="黑体"/>
          <w:sz w:val="28"/>
          <w:szCs w:val="28"/>
        </w:rPr>
        <w:t>129</w:t>
      </w:r>
      <w:r>
        <w:rPr>
          <w:rFonts w:hint="eastAsia" w:ascii="黑体" w:hAnsi="黑体" w:eastAsia="黑体" w:cs="黑体"/>
          <w:sz w:val="28"/>
          <w:szCs w:val="28"/>
        </w:rPr>
        <w:fldChar w:fldCharType="end"/>
      </w:r>
      <w:r>
        <w:rPr>
          <w:rFonts w:hint="eastAsia" w:ascii="黑体" w:hAnsi="黑体" w:eastAsia="黑体" w:cs="黑体"/>
          <w:color w:val="auto"/>
          <w:sz w:val="28"/>
          <w:szCs w:val="28"/>
        </w:rPr>
        <w:fldChar w:fldCharType="end"/>
      </w:r>
    </w:p>
    <w:p>
      <w:pPr>
        <w:pStyle w:val="18"/>
        <w:tabs>
          <w:tab w:val="right" w:leader="dot" w:pos="9072"/>
        </w:tabs>
        <w:rPr>
          <w:rFonts w:hint="eastAsia" w:ascii="黑体" w:hAnsi="黑体" w:eastAsia="黑体" w:cs="黑体"/>
          <w:sz w:val="28"/>
          <w:szCs w:val="28"/>
        </w:rPr>
      </w:pPr>
      <w:r>
        <w:rPr>
          <w:rFonts w:hint="eastAsia" w:ascii="黑体" w:hAnsi="黑体" w:eastAsia="黑体" w:cs="黑体"/>
          <w:color w:val="auto"/>
          <w:sz w:val="28"/>
          <w:szCs w:val="28"/>
        </w:rPr>
        <w:fldChar w:fldCharType="begin"/>
      </w:r>
      <w:r>
        <w:rPr>
          <w:rFonts w:hint="eastAsia" w:ascii="黑体" w:hAnsi="黑体" w:eastAsia="黑体" w:cs="黑体"/>
          <w:sz w:val="28"/>
          <w:szCs w:val="28"/>
        </w:rPr>
        <w:instrText xml:space="preserve"> HYPERLINK \l _Toc7309 </w:instrText>
      </w:r>
      <w:r>
        <w:rPr>
          <w:rFonts w:hint="eastAsia" w:ascii="黑体" w:hAnsi="黑体" w:eastAsia="黑体" w:cs="黑体"/>
          <w:sz w:val="28"/>
          <w:szCs w:val="28"/>
        </w:rPr>
        <w:fldChar w:fldCharType="separate"/>
      </w:r>
      <w:r>
        <w:rPr>
          <w:rFonts w:hint="eastAsia" w:ascii="黑体" w:hAnsi="黑体" w:eastAsia="黑体" w:cs="黑体"/>
          <w:sz w:val="28"/>
          <w:szCs w:val="28"/>
        </w:rPr>
        <w:t>二、合同价款</w:t>
      </w:r>
      <w:r>
        <w:rPr>
          <w:rFonts w:hint="eastAsia" w:ascii="黑体" w:hAnsi="黑体" w:eastAsia="黑体" w:cs="黑体"/>
          <w:sz w:val="28"/>
          <w:szCs w:val="28"/>
        </w:rPr>
        <w:tab/>
      </w:r>
      <w:r>
        <w:rPr>
          <w:rFonts w:hint="eastAsia" w:ascii="黑体" w:hAnsi="黑体" w:eastAsia="黑体" w:cs="黑体"/>
          <w:sz w:val="28"/>
          <w:szCs w:val="28"/>
        </w:rPr>
        <w:fldChar w:fldCharType="begin"/>
      </w:r>
      <w:r>
        <w:rPr>
          <w:rFonts w:hint="eastAsia" w:ascii="黑体" w:hAnsi="黑体" w:eastAsia="黑体" w:cs="黑体"/>
          <w:sz w:val="28"/>
          <w:szCs w:val="28"/>
        </w:rPr>
        <w:instrText xml:space="preserve"> PAGEREF _Toc7309 </w:instrText>
      </w:r>
      <w:r>
        <w:rPr>
          <w:rFonts w:hint="eastAsia" w:ascii="黑体" w:hAnsi="黑体" w:eastAsia="黑体" w:cs="黑体"/>
          <w:sz w:val="28"/>
          <w:szCs w:val="28"/>
        </w:rPr>
        <w:fldChar w:fldCharType="separate"/>
      </w:r>
      <w:r>
        <w:rPr>
          <w:rFonts w:hint="eastAsia" w:ascii="黑体" w:hAnsi="黑体" w:eastAsia="黑体" w:cs="黑体"/>
          <w:sz w:val="28"/>
          <w:szCs w:val="28"/>
        </w:rPr>
        <w:t>129</w:t>
      </w:r>
      <w:r>
        <w:rPr>
          <w:rFonts w:hint="eastAsia" w:ascii="黑体" w:hAnsi="黑体" w:eastAsia="黑体" w:cs="黑体"/>
          <w:sz w:val="28"/>
          <w:szCs w:val="28"/>
        </w:rPr>
        <w:fldChar w:fldCharType="end"/>
      </w:r>
      <w:r>
        <w:rPr>
          <w:rFonts w:hint="eastAsia" w:ascii="黑体" w:hAnsi="黑体" w:eastAsia="黑体" w:cs="黑体"/>
          <w:color w:val="auto"/>
          <w:sz w:val="28"/>
          <w:szCs w:val="28"/>
        </w:rPr>
        <w:fldChar w:fldCharType="end"/>
      </w:r>
    </w:p>
    <w:p>
      <w:pPr>
        <w:pStyle w:val="18"/>
        <w:tabs>
          <w:tab w:val="right" w:leader="dot" w:pos="9072"/>
        </w:tabs>
        <w:rPr>
          <w:rFonts w:hint="eastAsia" w:ascii="黑体" w:hAnsi="黑体" w:eastAsia="黑体" w:cs="黑体"/>
          <w:sz w:val="28"/>
          <w:szCs w:val="28"/>
        </w:rPr>
      </w:pPr>
      <w:r>
        <w:rPr>
          <w:rFonts w:hint="eastAsia" w:ascii="黑体" w:hAnsi="黑体" w:eastAsia="黑体" w:cs="黑体"/>
          <w:color w:val="auto"/>
          <w:sz w:val="28"/>
          <w:szCs w:val="28"/>
        </w:rPr>
        <w:fldChar w:fldCharType="begin"/>
      </w:r>
      <w:r>
        <w:rPr>
          <w:rFonts w:hint="eastAsia" w:ascii="黑体" w:hAnsi="黑体" w:eastAsia="黑体" w:cs="黑体"/>
          <w:sz w:val="28"/>
          <w:szCs w:val="28"/>
        </w:rPr>
        <w:instrText xml:space="preserve"> HYPERLINK \l _Toc15272 </w:instrText>
      </w:r>
      <w:r>
        <w:rPr>
          <w:rFonts w:hint="eastAsia" w:ascii="黑体" w:hAnsi="黑体" w:eastAsia="黑体" w:cs="黑体"/>
          <w:sz w:val="28"/>
          <w:szCs w:val="28"/>
        </w:rPr>
        <w:fldChar w:fldCharType="separate"/>
      </w:r>
      <w:r>
        <w:rPr>
          <w:rFonts w:hint="eastAsia" w:ascii="黑体" w:hAnsi="黑体" w:eastAsia="黑体" w:cs="黑体"/>
          <w:sz w:val="28"/>
          <w:szCs w:val="28"/>
        </w:rPr>
        <w:t>三、款项结算</w:t>
      </w:r>
      <w:r>
        <w:rPr>
          <w:rFonts w:hint="eastAsia" w:ascii="黑体" w:hAnsi="黑体" w:eastAsia="黑体" w:cs="黑体"/>
          <w:sz w:val="28"/>
          <w:szCs w:val="28"/>
        </w:rPr>
        <w:tab/>
      </w:r>
      <w:r>
        <w:rPr>
          <w:rFonts w:hint="eastAsia" w:ascii="黑体" w:hAnsi="黑体" w:eastAsia="黑体" w:cs="黑体"/>
          <w:sz w:val="28"/>
          <w:szCs w:val="28"/>
        </w:rPr>
        <w:fldChar w:fldCharType="begin"/>
      </w:r>
      <w:r>
        <w:rPr>
          <w:rFonts w:hint="eastAsia" w:ascii="黑体" w:hAnsi="黑体" w:eastAsia="黑体" w:cs="黑体"/>
          <w:sz w:val="28"/>
          <w:szCs w:val="28"/>
        </w:rPr>
        <w:instrText xml:space="preserve"> PAGEREF _Toc15272 </w:instrText>
      </w:r>
      <w:r>
        <w:rPr>
          <w:rFonts w:hint="eastAsia" w:ascii="黑体" w:hAnsi="黑体" w:eastAsia="黑体" w:cs="黑体"/>
          <w:sz w:val="28"/>
          <w:szCs w:val="28"/>
        </w:rPr>
        <w:fldChar w:fldCharType="separate"/>
      </w:r>
      <w:r>
        <w:rPr>
          <w:rFonts w:hint="eastAsia" w:ascii="黑体" w:hAnsi="黑体" w:eastAsia="黑体" w:cs="黑体"/>
          <w:sz w:val="28"/>
          <w:szCs w:val="28"/>
        </w:rPr>
        <w:t>129</w:t>
      </w:r>
      <w:r>
        <w:rPr>
          <w:rFonts w:hint="eastAsia" w:ascii="黑体" w:hAnsi="黑体" w:eastAsia="黑体" w:cs="黑体"/>
          <w:sz w:val="28"/>
          <w:szCs w:val="28"/>
        </w:rPr>
        <w:fldChar w:fldCharType="end"/>
      </w:r>
      <w:r>
        <w:rPr>
          <w:rFonts w:hint="eastAsia" w:ascii="黑体" w:hAnsi="黑体" w:eastAsia="黑体" w:cs="黑体"/>
          <w:color w:val="auto"/>
          <w:sz w:val="28"/>
          <w:szCs w:val="28"/>
        </w:rPr>
        <w:fldChar w:fldCharType="end"/>
      </w:r>
    </w:p>
    <w:p>
      <w:pPr>
        <w:pStyle w:val="18"/>
        <w:tabs>
          <w:tab w:val="right" w:leader="dot" w:pos="9072"/>
        </w:tabs>
        <w:rPr>
          <w:rFonts w:hint="eastAsia" w:ascii="黑体" w:hAnsi="黑体" w:eastAsia="黑体" w:cs="黑体"/>
          <w:sz w:val="28"/>
          <w:szCs w:val="28"/>
        </w:rPr>
      </w:pPr>
      <w:r>
        <w:rPr>
          <w:rFonts w:hint="eastAsia" w:ascii="黑体" w:hAnsi="黑体" w:eastAsia="黑体" w:cs="黑体"/>
          <w:color w:val="auto"/>
          <w:sz w:val="28"/>
          <w:szCs w:val="28"/>
        </w:rPr>
        <w:fldChar w:fldCharType="begin"/>
      </w:r>
      <w:r>
        <w:rPr>
          <w:rFonts w:hint="eastAsia" w:ascii="黑体" w:hAnsi="黑体" w:eastAsia="黑体" w:cs="黑体"/>
          <w:sz w:val="28"/>
          <w:szCs w:val="28"/>
        </w:rPr>
        <w:instrText xml:space="preserve"> HYPERLINK \l _Toc29299 </w:instrText>
      </w:r>
      <w:r>
        <w:rPr>
          <w:rFonts w:hint="eastAsia" w:ascii="黑体" w:hAnsi="黑体" w:eastAsia="黑体" w:cs="黑体"/>
          <w:sz w:val="28"/>
          <w:szCs w:val="28"/>
        </w:rPr>
        <w:fldChar w:fldCharType="separate"/>
      </w:r>
      <w:r>
        <w:rPr>
          <w:rFonts w:hint="eastAsia" w:ascii="黑体" w:hAnsi="黑体" w:eastAsia="黑体" w:cs="黑体"/>
          <w:sz w:val="28"/>
          <w:szCs w:val="28"/>
          <w:lang w:val="en-US" w:eastAsia="zh-CN"/>
        </w:rPr>
        <w:t>四、运输</w:t>
      </w:r>
      <w:r>
        <w:rPr>
          <w:rFonts w:hint="eastAsia" w:ascii="黑体" w:hAnsi="黑体" w:eastAsia="黑体" w:cs="黑体"/>
          <w:sz w:val="28"/>
          <w:szCs w:val="28"/>
        </w:rPr>
        <w:tab/>
      </w:r>
      <w:r>
        <w:rPr>
          <w:rFonts w:hint="eastAsia" w:ascii="黑体" w:hAnsi="黑体" w:eastAsia="黑体" w:cs="黑体"/>
          <w:sz w:val="28"/>
          <w:szCs w:val="28"/>
        </w:rPr>
        <w:fldChar w:fldCharType="begin"/>
      </w:r>
      <w:r>
        <w:rPr>
          <w:rFonts w:hint="eastAsia" w:ascii="黑体" w:hAnsi="黑体" w:eastAsia="黑体" w:cs="黑体"/>
          <w:sz w:val="28"/>
          <w:szCs w:val="28"/>
        </w:rPr>
        <w:instrText xml:space="preserve"> PAGEREF _Toc29299 </w:instrText>
      </w:r>
      <w:r>
        <w:rPr>
          <w:rFonts w:hint="eastAsia" w:ascii="黑体" w:hAnsi="黑体" w:eastAsia="黑体" w:cs="黑体"/>
          <w:sz w:val="28"/>
          <w:szCs w:val="28"/>
        </w:rPr>
        <w:fldChar w:fldCharType="separate"/>
      </w:r>
      <w:r>
        <w:rPr>
          <w:rFonts w:hint="eastAsia" w:ascii="黑体" w:hAnsi="黑体" w:eastAsia="黑体" w:cs="黑体"/>
          <w:sz w:val="28"/>
          <w:szCs w:val="28"/>
        </w:rPr>
        <w:t>129</w:t>
      </w:r>
      <w:r>
        <w:rPr>
          <w:rFonts w:hint="eastAsia" w:ascii="黑体" w:hAnsi="黑体" w:eastAsia="黑体" w:cs="黑体"/>
          <w:sz w:val="28"/>
          <w:szCs w:val="28"/>
        </w:rPr>
        <w:fldChar w:fldCharType="end"/>
      </w:r>
      <w:r>
        <w:rPr>
          <w:rFonts w:hint="eastAsia" w:ascii="黑体" w:hAnsi="黑体" w:eastAsia="黑体" w:cs="黑体"/>
          <w:color w:val="auto"/>
          <w:sz w:val="28"/>
          <w:szCs w:val="28"/>
        </w:rPr>
        <w:fldChar w:fldCharType="end"/>
      </w:r>
    </w:p>
    <w:p>
      <w:pPr>
        <w:pStyle w:val="18"/>
        <w:tabs>
          <w:tab w:val="right" w:leader="dot" w:pos="9072"/>
        </w:tabs>
        <w:rPr>
          <w:rFonts w:hint="eastAsia" w:ascii="黑体" w:hAnsi="黑体" w:eastAsia="黑体" w:cs="黑体"/>
          <w:sz w:val="28"/>
          <w:szCs w:val="28"/>
        </w:rPr>
      </w:pPr>
      <w:r>
        <w:rPr>
          <w:rFonts w:hint="eastAsia" w:ascii="黑体" w:hAnsi="黑体" w:eastAsia="黑体" w:cs="黑体"/>
          <w:color w:val="auto"/>
          <w:sz w:val="28"/>
          <w:szCs w:val="28"/>
        </w:rPr>
        <w:fldChar w:fldCharType="begin"/>
      </w:r>
      <w:r>
        <w:rPr>
          <w:rFonts w:hint="eastAsia" w:ascii="黑体" w:hAnsi="黑体" w:eastAsia="黑体" w:cs="黑体"/>
          <w:sz w:val="28"/>
          <w:szCs w:val="28"/>
        </w:rPr>
        <w:instrText xml:space="preserve"> HYPERLINK \l _Toc21168 </w:instrText>
      </w:r>
      <w:r>
        <w:rPr>
          <w:rFonts w:hint="eastAsia" w:ascii="黑体" w:hAnsi="黑体" w:eastAsia="黑体" w:cs="黑体"/>
          <w:sz w:val="28"/>
          <w:szCs w:val="28"/>
        </w:rPr>
        <w:fldChar w:fldCharType="separate"/>
      </w:r>
      <w:r>
        <w:rPr>
          <w:rFonts w:hint="eastAsia" w:ascii="黑体" w:hAnsi="黑体" w:eastAsia="黑体" w:cs="黑体"/>
          <w:sz w:val="28"/>
          <w:szCs w:val="28"/>
        </w:rPr>
        <w:t>五、验收</w:t>
      </w:r>
      <w:r>
        <w:rPr>
          <w:rFonts w:hint="eastAsia" w:ascii="黑体" w:hAnsi="黑体" w:eastAsia="黑体" w:cs="黑体"/>
          <w:sz w:val="28"/>
          <w:szCs w:val="28"/>
        </w:rPr>
        <w:tab/>
      </w:r>
      <w:r>
        <w:rPr>
          <w:rFonts w:hint="eastAsia" w:ascii="黑体" w:hAnsi="黑体" w:eastAsia="黑体" w:cs="黑体"/>
          <w:sz w:val="28"/>
          <w:szCs w:val="28"/>
        </w:rPr>
        <w:fldChar w:fldCharType="begin"/>
      </w:r>
      <w:r>
        <w:rPr>
          <w:rFonts w:hint="eastAsia" w:ascii="黑体" w:hAnsi="黑体" w:eastAsia="黑体" w:cs="黑体"/>
          <w:sz w:val="28"/>
          <w:szCs w:val="28"/>
        </w:rPr>
        <w:instrText xml:space="preserve"> PAGEREF _Toc21168 </w:instrText>
      </w:r>
      <w:r>
        <w:rPr>
          <w:rFonts w:hint="eastAsia" w:ascii="黑体" w:hAnsi="黑体" w:eastAsia="黑体" w:cs="黑体"/>
          <w:sz w:val="28"/>
          <w:szCs w:val="28"/>
        </w:rPr>
        <w:fldChar w:fldCharType="separate"/>
      </w:r>
      <w:r>
        <w:rPr>
          <w:rFonts w:hint="eastAsia" w:ascii="黑体" w:hAnsi="黑体" w:eastAsia="黑体" w:cs="黑体"/>
          <w:sz w:val="28"/>
          <w:szCs w:val="28"/>
        </w:rPr>
        <w:t>129</w:t>
      </w:r>
      <w:r>
        <w:rPr>
          <w:rFonts w:hint="eastAsia" w:ascii="黑体" w:hAnsi="黑体" w:eastAsia="黑体" w:cs="黑体"/>
          <w:sz w:val="28"/>
          <w:szCs w:val="28"/>
        </w:rPr>
        <w:fldChar w:fldCharType="end"/>
      </w:r>
      <w:r>
        <w:rPr>
          <w:rFonts w:hint="eastAsia" w:ascii="黑体" w:hAnsi="黑体" w:eastAsia="黑体" w:cs="黑体"/>
          <w:color w:val="auto"/>
          <w:sz w:val="28"/>
          <w:szCs w:val="28"/>
        </w:rPr>
        <w:fldChar w:fldCharType="end"/>
      </w:r>
    </w:p>
    <w:p>
      <w:pPr>
        <w:pStyle w:val="18"/>
        <w:tabs>
          <w:tab w:val="right" w:leader="dot" w:pos="9072"/>
        </w:tabs>
        <w:rPr>
          <w:rFonts w:hint="eastAsia" w:ascii="黑体" w:hAnsi="黑体" w:eastAsia="黑体" w:cs="黑体"/>
          <w:sz w:val="28"/>
          <w:szCs w:val="28"/>
        </w:rPr>
      </w:pPr>
      <w:r>
        <w:rPr>
          <w:rFonts w:hint="eastAsia" w:ascii="黑体" w:hAnsi="黑体" w:eastAsia="黑体" w:cs="黑体"/>
          <w:color w:val="auto"/>
          <w:sz w:val="28"/>
          <w:szCs w:val="28"/>
        </w:rPr>
        <w:fldChar w:fldCharType="begin"/>
      </w:r>
      <w:r>
        <w:rPr>
          <w:rFonts w:hint="eastAsia" w:ascii="黑体" w:hAnsi="黑体" w:eastAsia="黑体" w:cs="黑体"/>
          <w:sz w:val="28"/>
          <w:szCs w:val="28"/>
        </w:rPr>
        <w:instrText xml:space="preserve"> HYPERLINK \l _Toc12255 </w:instrText>
      </w:r>
      <w:r>
        <w:rPr>
          <w:rFonts w:hint="eastAsia" w:ascii="黑体" w:hAnsi="黑体" w:eastAsia="黑体" w:cs="黑体"/>
          <w:sz w:val="28"/>
          <w:szCs w:val="28"/>
        </w:rPr>
        <w:fldChar w:fldCharType="separate"/>
      </w:r>
      <w:r>
        <w:rPr>
          <w:rFonts w:hint="eastAsia" w:ascii="黑体" w:hAnsi="黑体" w:eastAsia="黑体" w:cs="黑体"/>
          <w:sz w:val="28"/>
          <w:szCs w:val="28"/>
          <w:lang w:val="en-US" w:eastAsia="zh-CN"/>
        </w:rPr>
        <w:t>六、质量保修</w:t>
      </w:r>
      <w:r>
        <w:rPr>
          <w:rFonts w:hint="eastAsia" w:ascii="黑体" w:hAnsi="黑体" w:eastAsia="黑体" w:cs="黑体"/>
          <w:sz w:val="28"/>
          <w:szCs w:val="28"/>
        </w:rPr>
        <w:tab/>
      </w:r>
      <w:r>
        <w:rPr>
          <w:rFonts w:hint="eastAsia" w:ascii="黑体" w:hAnsi="黑体" w:eastAsia="黑体" w:cs="黑体"/>
          <w:sz w:val="28"/>
          <w:szCs w:val="28"/>
        </w:rPr>
        <w:fldChar w:fldCharType="begin"/>
      </w:r>
      <w:r>
        <w:rPr>
          <w:rFonts w:hint="eastAsia" w:ascii="黑体" w:hAnsi="黑体" w:eastAsia="黑体" w:cs="黑体"/>
          <w:sz w:val="28"/>
          <w:szCs w:val="28"/>
        </w:rPr>
        <w:instrText xml:space="preserve"> PAGEREF _Toc12255 </w:instrText>
      </w:r>
      <w:r>
        <w:rPr>
          <w:rFonts w:hint="eastAsia" w:ascii="黑体" w:hAnsi="黑体" w:eastAsia="黑体" w:cs="黑体"/>
          <w:sz w:val="28"/>
          <w:szCs w:val="28"/>
        </w:rPr>
        <w:fldChar w:fldCharType="separate"/>
      </w:r>
      <w:r>
        <w:rPr>
          <w:rFonts w:hint="eastAsia" w:ascii="黑体" w:hAnsi="黑体" w:eastAsia="黑体" w:cs="黑体"/>
          <w:sz w:val="28"/>
          <w:szCs w:val="28"/>
        </w:rPr>
        <w:t>130</w:t>
      </w:r>
      <w:r>
        <w:rPr>
          <w:rFonts w:hint="eastAsia" w:ascii="黑体" w:hAnsi="黑体" w:eastAsia="黑体" w:cs="黑体"/>
          <w:sz w:val="28"/>
          <w:szCs w:val="28"/>
        </w:rPr>
        <w:fldChar w:fldCharType="end"/>
      </w:r>
      <w:r>
        <w:rPr>
          <w:rFonts w:hint="eastAsia" w:ascii="黑体" w:hAnsi="黑体" w:eastAsia="黑体" w:cs="黑体"/>
          <w:color w:val="auto"/>
          <w:sz w:val="28"/>
          <w:szCs w:val="28"/>
        </w:rPr>
        <w:fldChar w:fldCharType="end"/>
      </w:r>
    </w:p>
    <w:p>
      <w:pPr>
        <w:pStyle w:val="18"/>
        <w:tabs>
          <w:tab w:val="right" w:leader="dot" w:pos="9072"/>
        </w:tabs>
        <w:rPr>
          <w:rFonts w:hint="eastAsia" w:ascii="黑体" w:hAnsi="黑体" w:eastAsia="黑体" w:cs="黑体"/>
          <w:sz w:val="28"/>
          <w:szCs w:val="28"/>
        </w:rPr>
      </w:pPr>
      <w:r>
        <w:rPr>
          <w:rFonts w:hint="eastAsia" w:ascii="黑体" w:hAnsi="黑体" w:eastAsia="黑体" w:cs="黑体"/>
          <w:color w:val="auto"/>
          <w:sz w:val="28"/>
          <w:szCs w:val="28"/>
        </w:rPr>
        <w:fldChar w:fldCharType="begin"/>
      </w:r>
      <w:r>
        <w:rPr>
          <w:rFonts w:hint="eastAsia" w:ascii="黑体" w:hAnsi="黑体" w:eastAsia="黑体" w:cs="黑体"/>
          <w:sz w:val="28"/>
          <w:szCs w:val="28"/>
        </w:rPr>
        <w:instrText xml:space="preserve"> HYPERLINK \l _Toc31648 </w:instrText>
      </w:r>
      <w:r>
        <w:rPr>
          <w:rFonts w:hint="eastAsia" w:ascii="黑体" w:hAnsi="黑体" w:eastAsia="黑体" w:cs="黑体"/>
          <w:sz w:val="28"/>
          <w:szCs w:val="28"/>
        </w:rPr>
        <w:fldChar w:fldCharType="separate"/>
      </w:r>
      <w:r>
        <w:rPr>
          <w:rFonts w:hint="eastAsia" w:ascii="黑体" w:hAnsi="黑体" w:eastAsia="黑体" w:cs="黑体"/>
          <w:sz w:val="28"/>
          <w:szCs w:val="28"/>
          <w:lang w:val="en-US" w:eastAsia="zh-CN"/>
        </w:rPr>
        <w:t>七、违约责任</w:t>
      </w:r>
      <w:r>
        <w:rPr>
          <w:rFonts w:hint="eastAsia" w:ascii="黑体" w:hAnsi="黑体" w:eastAsia="黑体" w:cs="黑体"/>
          <w:sz w:val="28"/>
          <w:szCs w:val="28"/>
        </w:rPr>
        <w:tab/>
      </w:r>
      <w:r>
        <w:rPr>
          <w:rFonts w:hint="eastAsia" w:ascii="黑体" w:hAnsi="黑体" w:eastAsia="黑体" w:cs="黑体"/>
          <w:sz w:val="28"/>
          <w:szCs w:val="28"/>
        </w:rPr>
        <w:fldChar w:fldCharType="begin"/>
      </w:r>
      <w:r>
        <w:rPr>
          <w:rFonts w:hint="eastAsia" w:ascii="黑体" w:hAnsi="黑体" w:eastAsia="黑体" w:cs="黑体"/>
          <w:sz w:val="28"/>
          <w:szCs w:val="28"/>
        </w:rPr>
        <w:instrText xml:space="preserve"> PAGEREF _Toc31648 </w:instrText>
      </w:r>
      <w:r>
        <w:rPr>
          <w:rFonts w:hint="eastAsia" w:ascii="黑体" w:hAnsi="黑体" w:eastAsia="黑体" w:cs="黑体"/>
          <w:sz w:val="28"/>
          <w:szCs w:val="28"/>
        </w:rPr>
        <w:fldChar w:fldCharType="separate"/>
      </w:r>
      <w:r>
        <w:rPr>
          <w:rFonts w:hint="eastAsia" w:ascii="黑体" w:hAnsi="黑体" w:eastAsia="黑体" w:cs="黑体"/>
          <w:sz w:val="28"/>
          <w:szCs w:val="28"/>
        </w:rPr>
        <w:t>130</w:t>
      </w:r>
      <w:r>
        <w:rPr>
          <w:rFonts w:hint="eastAsia" w:ascii="黑体" w:hAnsi="黑体" w:eastAsia="黑体" w:cs="黑体"/>
          <w:sz w:val="28"/>
          <w:szCs w:val="28"/>
        </w:rPr>
        <w:fldChar w:fldCharType="end"/>
      </w:r>
      <w:r>
        <w:rPr>
          <w:rFonts w:hint="eastAsia" w:ascii="黑体" w:hAnsi="黑体" w:eastAsia="黑体" w:cs="黑体"/>
          <w:color w:val="auto"/>
          <w:sz w:val="28"/>
          <w:szCs w:val="28"/>
        </w:rPr>
        <w:fldChar w:fldCharType="end"/>
      </w:r>
    </w:p>
    <w:p>
      <w:pPr>
        <w:pStyle w:val="18"/>
        <w:tabs>
          <w:tab w:val="right" w:leader="dot" w:pos="9072"/>
        </w:tabs>
        <w:rPr>
          <w:rFonts w:hint="eastAsia" w:ascii="黑体" w:hAnsi="黑体" w:eastAsia="黑体" w:cs="黑体"/>
          <w:sz w:val="28"/>
          <w:szCs w:val="28"/>
        </w:rPr>
      </w:pPr>
      <w:r>
        <w:rPr>
          <w:rFonts w:hint="eastAsia" w:ascii="黑体" w:hAnsi="黑体" w:eastAsia="黑体" w:cs="黑体"/>
          <w:color w:val="auto"/>
          <w:sz w:val="28"/>
          <w:szCs w:val="28"/>
        </w:rPr>
        <w:fldChar w:fldCharType="begin"/>
      </w:r>
      <w:r>
        <w:rPr>
          <w:rFonts w:hint="eastAsia" w:ascii="黑体" w:hAnsi="黑体" w:eastAsia="黑体" w:cs="黑体"/>
          <w:sz w:val="28"/>
          <w:szCs w:val="28"/>
        </w:rPr>
        <w:instrText xml:space="preserve"> HYPERLINK \l _Toc15862 </w:instrText>
      </w:r>
      <w:r>
        <w:rPr>
          <w:rFonts w:hint="eastAsia" w:ascii="黑体" w:hAnsi="黑体" w:eastAsia="黑体" w:cs="黑体"/>
          <w:sz w:val="28"/>
          <w:szCs w:val="28"/>
        </w:rPr>
        <w:fldChar w:fldCharType="separate"/>
      </w:r>
      <w:r>
        <w:rPr>
          <w:rFonts w:hint="eastAsia" w:ascii="黑体" w:hAnsi="黑体" w:eastAsia="黑体" w:cs="黑体"/>
          <w:sz w:val="28"/>
          <w:szCs w:val="28"/>
        </w:rPr>
        <w:t>七、争议解决</w:t>
      </w:r>
      <w:r>
        <w:rPr>
          <w:rFonts w:hint="eastAsia" w:ascii="黑体" w:hAnsi="黑体" w:eastAsia="黑体" w:cs="黑体"/>
          <w:sz w:val="28"/>
          <w:szCs w:val="28"/>
        </w:rPr>
        <w:tab/>
      </w:r>
      <w:r>
        <w:rPr>
          <w:rFonts w:hint="eastAsia" w:ascii="黑体" w:hAnsi="黑体" w:eastAsia="黑体" w:cs="黑体"/>
          <w:sz w:val="28"/>
          <w:szCs w:val="28"/>
        </w:rPr>
        <w:fldChar w:fldCharType="begin"/>
      </w:r>
      <w:r>
        <w:rPr>
          <w:rFonts w:hint="eastAsia" w:ascii="黑体" w:hAnsi="黑体" w:eastAsia="黑体" w:cs="黑体"/>
          <w:sz w:val="28"/>
          <w:szCs w:val="28"/>
        </w:rPr>
        <w:instrText xml:space="preserve"> PAGEREF _Toc15862 </w:instrText>
      </w:r>
      <w:r>
        <w:rPr>
          <w:rFonts w:hint="eastAsia" w:ascii="黑体" w:hAnsi="黑体" w:eastAsia="黑体" w:cs="黑体"/>
          <w:sz w:val="28"/>
          <w:szCs w:val="28"/>
        </w:rPr>
        <w:fldChar w:fldCharType="separate"/>
      </w:r>
      <w:r>
        <w:rPr>
          <w:rFonts w:hint="eastAsia" w:ascii="黑体" w:hAnsi="黑体" w:eastAsia="黑体" w:cs="黑体"/>
          <w:sz w:val="28"/>
          <w:szCs w:val="28"/>
        </w:rPr>
        <w:t>131</w:t>
      </w:r>
      <w:r>
        <w:rPr>
          <w:rFonts w:hint="eastAsia" w:ascii="黑体" w:hAnsi="黑体" w:eastAsia="黑体" w:cs="黑体"/>
          <w:sz w:val="28"/>
          <w:szCs w:val="28"/>
        </w:rPr>
        <w:fldChar w:fldCharType="end"/>
      </w:r>
      <w:r>
        <w:rPr>
          <w:rFonts w:hint="eastAsia" w:ascii="黑体" w:hAnsi="黑体" w:eastAsia="黑体" w:cs="黑体"/>
          <w:color w:val="auto"/>
          <w:sz w:val="28"/>
          <w:szCs w:val="28"/>
        </w:rPr>
        <w:fldChar w:fldCharType="end"/>
      </w:r>
    </w:p>
    <w:p>
      <w:pPr>
        <w:pStyle w:val="18"/>
        <w:tabs>
          <w:tab w:val="right" w:leader="dot" w:pos="9072"/>
        </w:tabs>
        <w:rPr>
          <w:rFonts w:hint="eastAsia" w:ascii="黑体" w:hAnsi="黑体" w:eastAsia="黑体" w:cs="黑体"/>
          <w:sz w:val="28"/>
          <w:szCs w:val="28"/>
        </w:rPr>
      </w:pPr>
      <w:r>
        <w:rPr>
          <w:rFonts w:hint="eastAsia" w:ascii="黑体" w:hAnsi="黑体" w:eastAsia="黑体" w:cs="黑体"/>
          <w:color w:val="auto"/>
          <w:sz w:val="28"/>
          <w:szCs w:val="28"/>
        </w:rPr>
        <w:fldChar w:fldCharType="begin"/>
      </w:r>
      <w:r>
        <w:rPr>
          <w:rFonts w:hint="eastAsia" w:ascii="黑体" w:hAnsi="黑体" w:eastAsia="黑体" w:cs="黑体"/>
          <w:sz w:val="28"/>
          <w:szCs w:val="28"/>
        </w:rPr>
        <w:instrText xml:space="preserve"> HYPERLINK \l _Toc8792 </w:instrText>
      </w:r>
      <w:r>
        <w:rPr>
          <w:rFonts w:hint="eastAsia" w:ascii="黑体" w:hAnsi="黑体" w:eastAsia="黑体" w:cs="黑体"/>
          <w:sz w:val="28"/>
          <w:szCs w:val="28"/>
        </w:rPr>
        <w:fldChar w:fldCharType="separate"/>
      </w:r>
      <w:r>
        <w:rPr>
          <w:rFonts w:hint="eastAsia" w:ascii="黑体" w:hAnsi="黑体" w:eastAsia="黑体" w:cs="黑体"/>
          <w:sz w:val="28"/>
          <w:szCs w:val="28"/>
        </w:rPr>
        <w:t>八、合同生效及其他</w:t>
      </w:r>
      <w:r>
        <w:rPr>
          <w:rFonts w:hint="eastAsia" w:ascii="黑体" w:hAnsi="黑体" w:eastAsia="黑体" w:cs="黑体"/>
          <w:sz w:val="28"/>
          <w:szCs w:val="28"/>
        </w:rPr>
        <w:tab/>
      </w:r>
      <w:r>
        <w:rPr>
          <w:rFonts w:hint="eastAsia" w:ascii="黑体" w:hAnsi="黑体" w:eastAsia="黑体" w:cs="黑体"/>
          <w:sz w:val="28"/>
          <w:szCs w:val="28"/>
        </w:rPr>
        <w:fldChar w:fldCharType="begin"/>
      </w:r>
      <w:r>
        <w:rPr>
          <w:rFonts w:hint="eastAsia" w:ascii="黑体" w:hAnsi="黑体" w:eastAsia="黑体" w:cs="黑体"/>
          <w:sz w:val="28"/>
          <w:szCs w:val="28"/>
        </w:rPr>
        <w:instrText xml:space="preserve"> PAGEREF _Toc8792 </w:instrText>
      </w:r>
      <w:r>
        <w:rPr>
          <w:rFonts w:hint="eastAsia" w:ascii="黑体" w:hAnsi="黑体" w:eastAsia="黑体" w:cs="黑体"/>
          <w:sz w:val="28"/>
          <w:szCs w:val="28"/>
        </w:rPr>
        <w:fldChar w:fldCharType="separate"/>
      </w:r>
      <w:r>
        <w:rPr>
          <w:rFonts w:hint="eastAsia" w:ascii="黑体" w:hAnsi="黑体" w:eastAsia="黑体" w:cs="黑体"/>
          <w:sz w:val="28"/>
          <w:szCs w:val="28"/>
        </w:rPr>
        <w:t>131</w:t>
      </w:r>
      <w:r>
        <w:rPr>
          <w:rFonts w:hint="eastAsia" w:ascii="黑体" w:hAnsi="黑体" w:eastAsia="黑体" w:cs="黑体"/>
          <w:sz w:val="28"/>
          <w:szCs w:val="28"/>
        </w:rPr>
        <w:fldChar w:fldCharType="end"/>
      </w:r>
      <w:r>
        <w:rPr>
          <w:rFonts w:hint="eastAsia" w:ascii="黑体" w:hAnsi="黑体" w:eastAsia="黑体" w:cs="黑体"/>
          <w:color w:val="auto"/>
          <w:sz w:val="28"/>
          <w:szCs w:val="28"/>
        </w:rPr>
        <w:fldChar w:fldCharType="end"/>
      </w:r>
    </w:p>
    <w:p>
      <w:pPr>
        <w:pStyle w:val="17"/>
        <w:tabs>
          <w:tab w:val="right" w:leader="dot" w:pos="9072"/>
        </w:tabs>
        <w:rPr>
          <w:rFonts w:hint="eastAsia" w:ascii="黑体" w:hAnsi="黑体" w:eastAsia="黑体" w:cs="黑体"/>
          <w:sz w:val="28"/>
          <w:szCs w:val="28"/>
        </w:rPr>
      </w:pPr>
      <w:r>
        <w:rPr>
          <w:rFonts w:hint="eastAsia" w:ascii="黑体" w:hAnsi="黑体" w:eastAsia="黑体" w:cs="黑体"/>
          <w:color w:val="auto"/>
          <w:sz w:val="28"/>
          <w:szCs w:val="28"/>
        </w:rPr>
        <w:fldChar w:fldCharType="begin"/>
      </w:r>
      <w:r>
        <w:rPr>
          <w:rFonts w:hint="eastAsia" w:ascii="黑体" w:hAnsi="黑体" w:eastAsia="黑体" w:cs="黑体"/>
          <w:sz w:val="28"/>
          <w:szCs w:val="28"/>
        </w:rPr>
        <w:instrText xml:space="preserve"> HYPERLINK \l _Toc24181 </w:instrText>
      </w:r>
      <w:r>
        <w:rPr>
          <w:rFonts w:hint="eastAsia" w:ascii="黑体" w:hAnsi="黑体" w:eastAsia="黑体" w:cs="黑体"/>
          <w:sz w:val="28"/>
          <w:szCs w:val="28"/>
        </w:rPr>
        <w:fldChar w:fldCharType="separate"/>
      </w:r>
      <w:r>
        <w:rPr>
          <w:rFonts w:hint="eastAsia" w:ascii="黑体" w:hAnsi="黑体" w:eastAsia="黑体" w:cs="黑体"/>
          <w:bCs/>
          <w:sz w:val="28"/>
          <w:szCs w:val="28"/>
        </w:rPr>
        <w:t>第五章  响应文件构成及格式</w:t>
      </w:r>
      <w:r>
        <w:rPr>
          <w:rFonts w:hint="eastAsia" w:ascii="黑体" w:hAnsi="黑体" w:eastAsia="黑体" w:cs="黑体"/>
          <w:sz w:val="28"/>
          <w:szCs w:val="28"/>
        </w:rPr>
        <w:tab/>
      </w:r>
      <w:r>
        <w:rPr>
          <w:rFonts w:hint="eastAsia" w:ascii="黑体" w:hAnsi="黑体" w:eastAsia="黑体" w:cs="黑体"/>
          <w:sz w:val="28"/>
          <w:szCs w:val="28"/>
        </w:rPr>
        <w:fldChar w:fldCharType="begin"/>
      </w:r>
      <w:r>
        <w:rPr>
          <w:rFonts w:hint="eastAsia" w:ascii="黑体" w:hAnsi="黑体" w:eastAsia="黑体" w:cs="黑体"/>
          <w:sz w:val="28"/>
          <w:szCs w:val="28"/>
        </w:rPr>
        <w:instrText xml:space="preserve"> PAGEREF _Toc24181 </w:instrText>
      </w:r>
      <w:r>
        <w:rPr>
          <w:rFonts w:hint="eastAsia" w:ascii="黑体" w:hAnsi="黑体" w:eastAsia="黑体" w:cs="黑体"/>
          <w:sz w:val="28"/>
          <w:szCs w:val="28"/>
        </w:rPr>
        <w:fldChar w:fldCharType="separate"/>
      </w:r>
      <w:r>
        <w:rPr>
          <w:rFonts w:hint="eastAsia" w:ascii="黑体" w:hAnsi="黑体" w:eastAsia="黑体" w:cs="黑体"/>
          <w:sz w:val="28"/>
          <w:szCs w:val="28"/>
        </w:rPr>
        <w:t>132</w:t>
      </w:r>
      <w:r>
        <w:rPr>
          <w:rFonts w:hint="eastAsia" w:ascii="黑体" w:hAnsi="黑体" w:eastAsia="黑体" w:cs="黑体"/>
          <w:sz w:val="28"/>
          <w:szCs w:val="28"/>
        </w:rPr>
        <w:fldChar w:fldCharType="end"/>
      </w:r>
      <w:r>
        <w:rPr>
          <w:rFonts w:hint="eastAsia" w:ascii="黑体" w:hAnsi="黑体" w:eastAsia="黑体" w:cs="黑体"/>
          <w:color w:val="auto"/>
          <w:sz w:val="28"/>
          <w:szCs w:val="28"/>
        </w:rPr>
        <w:fldChar w:fldCharType="end"/>
      </w:r>
    </w:p>
    <w:p>
      <w:pPr>
        <w:pStyle w:val="17"/>
        <w:tabs>
          <w:tab w:val="right" w:leader="dot" w:pos="9072"/>
        </w:tabs>
        <w:ind w:firstLine="566" w:firstLineChars="200"/>
        <w:rPr>
          <w:rFonts w:hint="eastAsia" w:ascii="黑体" w:hAnsi="黑体" w:eastAsia="黑体" w:cs="黑体"/>
          <w:sz w:val="28"/>
          <w:szCs w:val="28"/>
        </w:rPr>
      </w:pPr>
      <w:r>
        <w:rPr>
          <w:rFonts w:hint="eastAsia" w:ascii="黑体" w:hAnsi="黑体" w:eastAsia="黑体" w:cs="黑体"/>
          <w:color w:val="auto"/>
          <w:sz w:val="28"/>
          <w:szCs w:val="28"/>
        </w:rPr>
        <w:fldChar w:fldCharType="begin"/>
      </w:r>
      <w:r>
        <w:rPr>
          <w:rFonts w:hint="eastAsia" w:ascii="黑体" w:hAnsi="黑体" w:eastAsia="黑体" w:cs="黑体"/>
          <w:sz w:val="28"/>
          <w:szCs w:val="28"/>
        </w:rPr>
        <w:instrText xml:space="preserve"> HYPERLINK \l _Toc17561 </w:instrText>
      </w:r>
      <w:r>
        <w:rPr>
          <w:rFonts w:hint="eastAsia" w:ascii="黑体" w:hAnsi="黑体" w:eastAsia="黑体" w:cs="黑体"/>
          <w:sz w:val="28"/>
          <w:szCs w:val="28"/>
        </w:rPr>
        <w:fldChar w:fldCharType="separate"/>
      </w:r>
      <w:r>
        <w:rPr>
          <w:rFonts w:hint="eastAsia" w:ascii="黑体" w:hAnsi="黑体" w:eastAsia="黑体" w:cs="黑体"/>
          <w:bCs/>
          <w:sz w:val="28"/>
          <w:szCs w:val="28"/>
        </w:rPr>
        <w:t>第一部分  资格证明文件</w:t>
      </w:r>
      <w:r>
        <w:rPr>
          <w:rFonts w:hint="eastAsia" w:ascii="黑体" w:hAnsi="黑体" w:eastAsia="黑体" w:cs="黑体"/>
          <w:sz w:val="28"/>
          <w:szCs w:val="28"/>
        </w:rPr>
        <w:tab/>
      </w:r>
      <w:r>
        <w:rPr>
          <w:rFonts w:hint="eastAsia" w:ascii="黑体" w:hAnsi="黑体" w:eastAsia="黑体" w:cs="黑体"/>
          <w:sz w:val="28"/>
          <w:szCs w:val="28"/>
        </w:rPr>
        <w:fldChar w:fldCharType="begin"/>
      </w:r>
      <w:r>
        <w:rPr>
          <w:rFonts w:hint="eastAsia" w:ascii="黑体" w:hAnsi="黑体" w:eastAsia="黑体" w:cs="黑体"/>
          <w:sz w:val="28"/>
          <w:szCs w:val="28"/>
        </w:rPr>
        <w:instrText xml:space="preserve"> PAGEREF _Toc17561 </w:instrText>
      </w:r>
      <w:r>
        <w:rPr>
          <w:rFonts w:hint="eastAsia" w:ascii="黑体" w:hAnsi="黑体" w:eastAsia="黑体" w:cs="黑体"/>
          <w:sz w:val="28"/>
          <w:szCs w:val="28"/>
        </w:rPr>
        <w:fldChar w:fldCharType="separate"/>
      </w:r>
      <w:r>
        <w:rPr>
          <w:rFonts w:hint="eastAsia" w:ascii="黑体" w:hAnsi="黑体" w:eastAsia="黑体" w:cs="黑体"/>
          <w:sz w:val="28"/>
          <w:szCs w:val="28"/>
        </w:rPr>
        <w:t>135</w:t>
      </w:r>
      <w:r>
        <w:rPr>
          <w:rFonts w:hint="eastAsia" w:ascii="黑体" w:hAnsi="黑体" w:eastAsia="黑体" w:cs="黑体"/>
          <w:sz w:val="28"/>
          <w:szCs w:val="28"/>
        </w:rPr>
        <w:fldChar w:fldCharType="end"/>
      </w:r>
      <w:r>
        <w:rPr>
          <w:rFonts w:hint="eastAsia" w:ascii="黑体" w:hAnsi="黑体" w:eastAsia="黑体" w:cs="黑体"/>
          <w:color w:val="auto"/>
          <w:sz w:val="28"/>
          <w:szCs w:val="28"/>
        </w:rPr>
        <w:fldChar w:fldCharType="end"/>
      </w:r>
    </w:p>
    <w:p>
      <w:pPr>
        <w:pStyle w:val="18"/>
        <w:tabs>
          <w:tab w:val="right" w:leader="dot" w:pos="9072"/>
        </w:tabs>
        <w:rPr>
          <w:rFonts w:hint="eastAsia" w:ascii="黑体" w:hAnsi="黑体" w:eastAsia="黑体" w:cs="黑体"/>
          <w:sz w:val="28"/>
          <w:szCs w:val="28"/>
        </w:rPr>
      </w:pPr>
      <w:r>
        <w:rPr>
          <w:rFonts w:hint="eastAsia" w:ascii="黑体" w:hAnsi="黑体" w:eastAsia="黑体" w:cs="黑体"/>
          <w:color w:val="auto"/>
          <w:sz w:val="28"/>
          <w:szCs w:val="28"/>
        </w:rPr>
        <w:fldChar w:fldCharType="begin"/>
      </w:r>
      <w:r>
        <w:rPr>
          <w:rFonts w:hint="eastAsia" w:ascii="黑体" w:hAnsi="黑体" w:eastAsia="黑体" w:cs="黑体"/>
          <w:sz w:val="28"/>
          <w:szCs w:val="28"/>
        </w:rPr>
        <w:instrText xml:space="preserve"> HYPERLINK \l _Toc8772 </w:instrText>
      </w:r>
      <w:r>
        <w:rPr>
          <w:rFonts w:hint="eastAsia" w:ascii="黑体" w:hAnsi="黑体" w:eastAsia="黑体" w:cs="黑体"/>
          <w:sz w:val="28"/>
          <w:szCs w:val="28"/>
        </w:rPr>
        <w:fldChar w:fldCharType="separate"/>
      </w:r>
      <w:r>
        <w:rPr>
          <w:rFonts w:hint="eastAsia" w:ascii="黑体" w:hAnsi="黑体" w:eastAsia="黑体" w:cs="黑体"/>
          <w:sz w:val="28"/>
          <w:szCs w:val="28"/>
        </w:rPr>
        <w:t>第二部分  符合性证明文件</w:t>
      </w:r>
      <w:r>
        <w:rPr>
          <w:rFonts w:hint="eastAsia" w:ascii="黑体" w:hAnsi="黑体" w:eastAsia="黑体" w:cs="黑体"/>
          <w:sz w:val="28"/>
          <w:szCs w:val="28"/>
        </w:rPr>
        <w:tab/>
      </w:r>
      <w:r>
        <w:rPr>
          <w:rFonts w:hint="eastAsia" w:ascii="黑体" w:hAnsi="黑体" w:eastAsia="黑体" w:cs="黑体"/>
          <w:sz w:val="28"/>
          <w:szCs w:val="28"/>
        </w:rPr>
        <w:fldChar w:fldCharType="begin"/>
      </w:r>
      <w:r>
        <w:rPr>
          <w:rFonts w:hint="eastAsia" w:ascii="黑体" w:hAnsi="黑体" w:eastAsia="黑体" w:cs="黑体"/>
          <w:sz w:val="28"/>
          <w:szCs w:val="28"/>
        </w:rPr>
        <w:instrText xml:space="preserve"> PAGEREF _Toc8772 </w:instrText>
      </w:r>
      <w:r>
        <w:rPr>
          <w:rFonts w:hint="eastAsia" w:ascii="黑体" w:hAnsi="黑体" w:eastAsia="黑体" w:cs="黑体"/>
          <w:sz w:val="28"/>
          <w:szCs w:val="28"/>
        </w:rPr>
        <w:fldChar w:fldCharType="separate"/>
      </w:r>
      <w:r>
        <w:rPr>
          <w:rFonts w:hint="eastAsia" w:ascii="黑体" w:hAnsi="黑体" w:eastAsia="黑体" w:cs="黑体"/>
          <w:sz w:val="28"/>
          <w:szCs w:val="28"/>
        </w:rPr>
        <w:t>139</w:t>
      </w:r>
      <w:r>
        <w:rPr>
          <w:rFonts w:hint="eastAsia" w:ascii="黑体" w:hAnsi="黑体" w:eastAsia="黑体" w:cs="黑体"/>
          <w:sz w:val="28"/>
          <w:szCs w:val="28"/>
        </w:rPr>
        <w:fldChar w:fldCharType="end"/>
      </w:r>
      <w:r>
        <w:rPr>
          <w:rFonts w:hint="eastAsia" w:ascii="黑体" w:hAnsi="黑体" w:eastAsia="黑体" w:cs="黑体"/>
          <w:color w:val="auto"/>
          <w:sz w:val="28"/>
          <w:szCs w:val="28"/>
        </w:rPr>
        <w:fldChar w:fldCharType="end"/>
      </w:r>
    </w:p>
    <w:p>
      <w:pPr>
        <w:pStyle w:val="18"/>
        <w:tabs>
          <w:tab w:val="right" w:leader="dot" w:pos="9072"/>
        </w:tabs>
        <w:rPr>
          <w:rFonts w:hint="eastAsia" w:ascii="黑体" w:hAnsi="黑体" w:eastAsia="黑体" w:cs="黑体"/>
          <w:sz w:val="32"/>
          <w:szCs w:val="32"/>
        </w:rPr>
      </w:pPr>
      <w:r>
        <w:rPr>
          <w:rFonts w:hint="eastAsia" w:ascii="黑体" w:hAnsi="黑体" w:eastAsia="黑体" w:cs="黑体"/>
          <w:color w:val="auto"/>
          <w:sz w:val="28"/>
          <w:szCs w:val="28"/>
        </w:rPr>
        <w:fldChar w:fldCharType="begin"/>
      </w:r>
      <w:r>
        <w:rPr>
          <w:rFonts w:hint="eastAsia" w:ascii="黑体" w:hAnsi="黑体" w:eastAsia="黑体" w:cs="黑体"/>
          <w:sz w:val="28"/>
          <w:szCs w:val="28"/>
        </w:rPr>
        <w:instrText xml:space="preserve"> HYPERLINK \l _Toc16711 </w:instrText>
      </w:r>
      <w:r>
        <w:rPr>
          <w:rFonts w:hint="eastAsia" w:ascii="黑体" w:hAnsi="黑体" w:eastAsia="黑体" w:cs="黑体"/>
          <w:sz w:val="28"/>
          <w:szCs w:val="28"/>
        </w:rPr>
        <w:fldChar w:fldCharType="separate"/>
      </w:r>
      <w:r>
        <w:rPr>
          <w:rFonts w:hint="eastAsia" w:ascii="黑体" w:hAnsi="黑体" w:eastAsia="黑体" w:cs="黑体"/>
          <w:bCs w:val="0"/>
          <w:sz w:val="28"/>
          <w:szCs w:val="28"/>
        </w:rPr>
        <w:t>第三部分  响应方案</w:t>
      </w:r>
      <w:r>
        <w:rPr>
          <w:rFonts w:hint="eastAsia" w:ascii="黑体" w:hAnsi="黑体" w:eastAsia="黑体" w:cs="黑体"/>
          <w:sz w:val="28"/>
          <w:szCs w:val="28"/>
        </w:rPr>
        <w:tab/>
      </w:r>
      <w:r>
        <w:rPr>
          <w:rFonts w:hint="eastAsia" w:ascii="黑体" w:hAnsi="黑体" w:eastAsia="黑体" w:cs="黑体"/>
          <w:sz w:val="28"/>
          <w:szCs w:val="28"/>
        </w:rPr>
        <w:fldChar w:fldCharType="begin"/>
      </w:r>
      <w:r>
        <w:rPr>
          <w:rFonts w:hint="eastAsia" w:ascii="黑体" w:hAnsi="黑体" w:eastAsia="黑体" w:cs="黑体"/>
          <w:sz w:val="28"/>
          <w:szCs w:val="28"/>
        </w:rPr>
        <w:instrText xml:space="preserve"> PAGEREF _Toc16711 </w:instrText>
      </w:r>
      <w:r>
        <w:rPr>
          <w:rFonts w:hint="eastAsia" w:ascii="黑体" w:hAnsi="黑体" w:eastAsia="黑体" w:cs="黑体"/>
          <w:sz w:val="28"/>
          <w:szCs w:val="28"/>
        </w:rPr>
        <w:fldChar w:fldCharType="separate"/>
      </w:r>
      <w:r>
        <w:rPr>
          <w:rFonts w:hint="eastAsia" w:ascii="黑体" w:hAnsi="黑体" w:eastAsia="黑体" w:cs="黑体"/>
          <w:sz w:val="28"/>
          <w:szCs w:val="28"/>
        </w:rPr>
        <w:t>148</w:t>
      </w:r>
      <w:r>
        <w:rPr>
          <w:rFonts w:hint="eastAsia" w:ascii="黑体" w:hAnsi="黑体" w:eastAsia="黑体" w:cs="黑体"/>
          <w:sz w:val="28"/>
          <w:szCs w:val="28"/>
        </w:rPr>
        <w:fldChar w:fldCharType="end"/>
      </w:r>
      <w:r>
        <w:rPr>
          <w:rFonts w:hint="eastAsia" w:ascii="黑体" w:hAnsi="黑体" w:eastAsia="黑体" w:cs="黑体"/>
          <w:color w:val="auto"/>
          <w:sz w:val="28"/>
          <w:szCs w:val="28"/>
        </w:rPr>
        <w:fldChar w:fldCharType="end"/>
      </w:r>
    </w:p>
    <w:p>
      <w:pPr>
        <w:pStyle w:val="18"/>
        <w:tabs>
          <w:tab w:val="right" w:leader="dot" w:pos="9072"/>
        </w:tabs>
        <w:ind w:left="567"/>
        <w:rPr>
          <w:rFonts w:ascii="黑体" w:hAnsi="黑体" w:eastAsia="黑体"/>
          <w:color w:val="auto"/>
          <w:szCs w:val="32"/>
        </w:rPr>
      </w:pPr>
      <w:r>
        <w:rPr>
          <w:rFonts w:hint="eastAsia" w:ascii="黑体" w:hAnsi="黑体" w:eastAsia="黑体" w:cs="黑体"/>
          <w:color w:val="auto"/>
          <w:sz w:val="32"/>
          <w:szCs w:val="32"/>
        </w:rPr>
        <w:fldChar w:fldCharType="end"/>
      </w:r>
    </w:p>
    <w:p>
      <w:pPr>
        <w:rPr>
          <w:color w:val="auto"/>
        </w:rPr>
      </w:pPr>
    </w:p>
    <w:p>
      <w:pPr>
        <w:pStyle w:val="3"/>
        <w:spacing w:line="500" w:lineRule="exact"/>
        <w:rPr>
          <w:rFonts w:ascii="黑体" w:hAnsi="黑体" w:eastAsia="黑体"/>
          <w:b w:val="0"/>
          <w:color w:val="auto"/>
          <w:sz w:val="32"/>
          <w:szCs w:val="32"/>
        </w:rPr>
        <w:sectPr>
          <w:footerReference r:id="rId4" w:type="default"/>
          <w:pgSz w:w="11906" w:h="16838"/>
          <w:pgMar w:top="1417" w:right="1417" w:bottom="1417" w:left="1417" w:header="850" w:footer="992" w:gutter="0"/>
          <w:pgNumType w:fmt="decimal" w:start="1"/>
          <w:cols w:space="720" w:num="1"/>
          <w:docGrid w:type="linesAndChars" w:linePitch="381" w:charSpace="704"/>
        </w:sectPr>
      </w:pPr>
    </w:p>
    <w:p>
      <w:pPr>
        <w:pStyle w:val="3"/>
        <w:spacing w:line="500" w:lineRule="exact"/>
        <w:rPr>
          <w:rFonts w:ascii="黑体" w:hAnsi="黑体" w:eastAsia="黑体"/>
          <w:b w:val="0"/>
          <w:color w:val="auto"/>
          <w:sz w:val="32"/>
          <w:szCs w:val="32"/>
        </w:rPr>
      </w:pPr>
      <w:bookmarkStart w:id="4" w:name="_Toc26573"/>
      <w:r>
        <w:rPr>
          <w:rFonts w:ascii="黑体" w:hAnsi="黑体" w:eastAsia="黑体"/>
          <w:b w:val="0"/>
          <w:color w:val="auto"/>
          <w:sz w:val="32"/>
          <w:szCs w:val="32"/>
        </w:rPr>
        <w:t xml:space="preserve">第一章  </w:t>
      </w:r>
      <w:r>
        <w:rPr>
          <w:rFonts w:hint="eastAsia" w:ascii="黑体" w:hAnsi="黑体" w:eastAsia="黑体"/>
          <w:b w:val="0"/>
          <w:color w:val="auto"/>
          <w:sz w:val="32"/>
          <w:szCs w:val="32"/>
        </w:rPr>
        <w:t>磋商</w:t>
      </w:r>
      <w:r>
        <w:rPr>
          <w:rFonts w:ascii="黑体" w:hAnsi="黑体" w:eastAsia="黑体"/>
          <w:b w:val="0"/>
          <w:color w:val="auto"/>
          <w:sz w:val="32"/>
          <w:szCs w:val="32"/>
        </w:rPr>
        <w:t>邀请函</w:t>
      </w:r>
      <w:bookmarkEnd w:id="1"/>
      <w:bookmarkEnd w:id="2"/>
      <w:bookmarkEnd w:id="3"/>
      <w:bookmarkEnd w:id="4"/>
    </w:p>
    <w:p>
      <w:pPr>
        <w:pStyle w:val="45"/>
        <w:spacing w:line="500" w:lineRule="exact"/>
        <w:ind w:firstLine="567"/>
        <w:rPr>
          <w:rFonts w:ascii="华文仿宋" w:hAnsi="华文仿宋" w:cs="华文仿宋"/>
          <w:color w:val="auto"/>
        </w:rPr>
      </w:pPr>
      <w:r>
        <w:rPr>
          <w:rFonts w:hint="eastAsia" w:ascii="华文仿宋" w:hAnsi="华文仿宋" w:cs="华文仿宋"/>
          <w:color w:val="auto"/>
        </w:rPr>
        <w:t>陕西省省级单位政府采购中心受</w:t>
      </w:r>
      <w:r>
        <w:rPr>
          <w:rFonts w:hint="eastAsia" w:ascii="华文仿宋" w:hAnsi="华文仿宋" w:cs="华文仿宋"/>
          <w:b/>
          <w:bCs/>
          <w:color w:val="auto"/>
          <w:lang w:val="en-US" w:eastAsia="zh-CN"/>
        </w:rPr>
        <w:t>西北大学</w:t>
      </w:r>
      <w:r>
        <w:rPr>
          <w:rFonts w:hint="eastAsia" w:ascii="华文仿宋" w:hAnsi="华文仿宋" w:cs="华文仿宋"/>
          <w:color w:val="auto"/>
        </w:rPr>
        <w:t>的委托，经政府采购管理部门批准，按照政府采购程序，对</w:t>
      </w:r>
      <w:r>
        <w:rPr>
          <w:rFonts w:hint="eastAsia" w:ascii="华文仿宋" w:hAnsi="华文仿宋" w:cs="华文仿宋"/>
          <w:color w:val="auto"/>
          <w:lang w:val="en-US" w:eastAsia="zh-CN"/>
        </w:rPr>
        <w:t>西北大学新闻传播学院多功能报告厅工程项目</w:t>
      </w:r>
      <w:r>
        <w:rPr>
          <w:rFonts w:hint="eastAsia" w:ascii="华文仿宋" w:hAnsi="华文仿宋" w:cs="华文仿宋"/>
          <w:color w:val="auto"/>
        </w:rPr>
        <w:t>进行</w:t>
      </w:r>
      <w:r>
        <w:rPr>
          <w:rFonts w:hint="eastAsia" w:ascii="华文仿宋" w:hAnsi="华文仿宋" w:cs="华文仿宋"/>
          <w:b/>
          <w:bCs/>
          <w:color w:val="auto"/>
        </w:rPr>
        <w:t>竞争性磋商</w:t>
      </w:r>
      <w:r>
        <w:rPr>
          <w:rFonts w:hint="eastAsia" w:ascii="华文仿宋" w:hAnsi="华文仿宋" w:cs="华文仿宋"/>
          <w:color w:val="auto"/>
        </w:rPr>
        <w:t>，欢迎符合资格条件的、有能力提供本项目所需服务的供应商参加磋商。</w:t>
      </w:r>
    </w:p>
    <w:p>
      <w:pPr>
        <w:spacing w:line="500" w:lineRule="exact"/>
        <w:ind w:left="566" w:leftChars="200" w:firstLine="0" w:firstLineChars="0"/>
        <w:rPr>
          <w:rFonts w:hint="default" w:ascii="华文仿宋" w:hAnsi="华文仿宋" w:eastAsia="华文仿宋" w:cs="华文仿宋"/>
          <w:color w:val="auto"/>
          <w:u w:val="single"/>
          <w:lang w:val="en-US" w:eastAsia="zh-CN"/>
        </w:rPr>
      </w:pPr>
      <w:bookmarkStart w:id="5" w:name="_Toc6471"/>
      <w:bookmarkStart w:id="6" w:name="_Toc8775_WPSOffice_Level2"/>
      <w:bookmarkStart w:id="7" w:name="_Toc15046_WPSOffice_Level2"/>
      <w:bookmarkStart w:id="8" w:name="_Toc22804_WPSOffice_Level2"/>
      <w:r>
        <w:rPr>
          <w:rFonts w:hint="eastAsia"/>
          <w:b/>
          <w:bCs/>
          <w:color w:val="auto"/>
        </w:rPr>
        <w:t>一、项目名称：</w:t>
      </w:r>
      <w:bookmarkEnd w:id="5"/>
      <w:bookmarkEnd w:id="6"/>
      <w:bookmarkEnd w:id="7"/>
      <w:bookmarkEnd w:id="8"/>
      <w:r>
        <w:rPr>
          <w:rFonts w:hint="eastAsia" w:ascii="华文仿宋" w:hAnsi="华文仿宋" w:eastAsia="华文仿宋" w:cs="华文仿宋"/>
          <w:b w:val="0"/>
          <w:bCs w:val="0"/>
          <w:color w:val="auto"/>
          <w:sz w:val="28"/>
          <w:szCs w:val="28"/>
          <w:u w:val="none"/>
        </w:rPr>
        <w:t>西北大学新闻传播学院多功能报告厅工程</w:t>
      </w:r>
    </w:p>
    <w:p>
      <w:pPr>
        <w:spacing w:line="500" w:lineRule="exact"/>
        <w:ind w:firstLine="567"/>
        <w:rPr>
          <w:rFonts w:hint="eastAsia" w:ascii="仿宋" w:hAnsi="仿宋" w:eastAsia="仿宋" w:cs="仿宋"/>
          <w:b w:val="0"/>
          <w:bCs w:val="0"/>
          <w:color w:val="auto"/>
        </w:rPr>
      </w:pPr>
      <w:bookmarkStart w:id="9" w:name="_Toc7698"/>
      <w:bookmarkStart w:id="10" w:name="_Toc619_WPSOffice_Level2"/>
      <w:bookmarkStart w:id="11" w:name="_Toc181_WPSOffice_Level2"/>
      <w:bookmarkStart w:id="12" w:name="_Toc28286_WPSOffice_Level2"/>
      <w:r>
        <w:rPr>
          <w:rFonts w:hint="eastAsia"/>
          <w:b/>
          <w:bCs/>
          <w:color w:val="auto"/>
        </w:rPr>
        <w:t>二、项目编号：</w:t>
      </w:r>
      <w:bookmarkEnd w:id="9"/>
      <w:bookmarkEnd w:id="10"/>
      <w:bookmarkEnd w:id="11"/>
      <w:bookmarkEnd w:id="12"/>
      <w:bookmarkStart w:id="13" w:name="_Toc23148_WPSOffice_Level2"/>
      <w:bookmarkStart w:id="14" w:name="_Toc7884"/>
      <w:bookmarkStart w:id="15" w:name="_Toc22627_WPSOffice_Level2"/>
      <w:bookmarkStart w:id="16" w:name="_Toc8221_WPSOffice_Level2"/>
      <w:r>
        <w:rPr>
          <w:rFonts w:hint="eastAsia" w:ascii="仿宋" w:hAnsi="仿宋" w:eastAsia="仿宋" w:cs="仿宋"/>
          <w:b w:val="0"/>
          <w:bCs w:val="0"/>
          <w:color w:val="auto"/>
          <w:sz w:val="28"/>
          <w:szCs w:val="28"/>
        </w:rPr>
        <w:t>SJ-2020-0000</w:t>
      </w:r>
      <w:r>
        <w:rPr>
          <w:rFonts w:hint="eastAsia" w:ascii="仿宋" w:hAnsi="仿宋" w:eastAsia="仿宋" w:cs="仿宋"/>
          <w:b w:val="0"/>
          <w:bCs w:val="0"/>
          <w:color w:val="auto"/>
          <w:sz w:val="28"/>
          <w:szCs w:val="28"/>
          <w:lang w:val="en-US" w:eastAsia="zh-CN"/>
        </w:rPr>
        <w:t>89</w:t>
      </w:r>
      <w:r>
        <w:rPr>
          <w:rFonts w:hint="eastAsia" w:ascii="仿宋" w:hAnsi="仿宋" w:eastAsia="仿宋" w:cs="仿宋"/>
          <w:b w:val="0"/>
          <w:bCs w:val="0"/>
          <w:color w:val="auto"/>
          <w:sz w:val="28"/>
          <w:szCs w:val="28"/>
        </w:rPr>
        <w:t>-4</w:t>
      </w:r>
    </w:p>
    <w:p>
      <w:pPr>
        <w:spacing w:line="500" w:lineRule="exact"/>
        <w:ind w:firstLine="566" w:firstLineChars="200"/>
        <w:rPr>
          <w:rFonts w:ascii="华文仿宋" w:hAnsi="华文仿宋" w:cs="华文仿宋"/>
          <w:color w:val="auto"/>
        </w:rPr>
      </w:pPr>
      <w:r>
        <w:rPr>
          <w:rFonts w:hint="eastAsia"/>
          <w:b/>
          <w:bCs/>
          <w:color w:val="auto"/>
        </w:rPr>
        <w:t>三、采购人：</w:t>
      </w:r>
      <w:bookmarkEnd w:id="13"/>
      <w:bookmarkEnd w:id="14"/>
      <w:bookmarkEnd w:id="15"/>
      <w:bookmarkEnd w:id="16"/>
      <w:r>
        <w:rPr>
          <w:rFonts w:hint="eastAsia" w:ascii="华文仿宋" w:hAnsi="华文仿宋" w:cs="华文仿宋"/>
          <w:color w:val="auto"/>
          <w:lang w:val="en-US" w:eastAsia="zh-CN"/>
        </w:rPr>
        <w:t>西北大学</w:t>
      </w:r>
    </w:p>
    <w:p>
      <w:pPr>
        <w:pStyle w:val="42"/>
        <w:spacing w:line="500" w:lineRule="exact"/>
        <w:rPr>
          <w:rFonts w:hint="eastAsia" w:ascii="华文仿宋" w:hAnsi="华文仿宋" w:cs="华文仿宋"/>
          <w:color w:val="auto"/>
        </w:rPr>
      </w:pPr>
      <w:r>
        <w:rPr>
          <w:rFonts w:hint="eastAsia" w:ascii="华文仿宋" w:hAnsi="华文仿宋" w:cs="华文仿宋"/>
          <w:color w:val="auto"/>
        </w:rPr>
        <w:t>地址：</w:t>
      </w:r>
      <w:r>
        <w:rPr>
          <w:rFonts w:hint="eastAsia" w:ascii="华文仿宋" w:hAnsi="华文仿宋" w:eastAsia="华文仿宋" w:cs="华文仿宋"/>
          <w:color w:val="000000"/>
          <w:sz w:val="28"/>
          <w:lang w:eastAsia="zh-CN"/>
        </w:rPr>
        <w:t>西安市长安区学府大街一号</w:t>
      </w:r>
    </w:p>
    <w:p>
      <w:pPr>
        <w:pStyle w:val="42"/>
        <w:spacing w:line="500" w:lineRule="exact"/>
        <w:rPr>
          <w:rFonts w:hint="eastAsia" w:ascii="华文仿宋" w:hAnsi="华文仿宋" w:eastAsia="华文仿宋" w:cs="华文仿宋"/>
          <w:color w:val="auto"/>
          <w:lang w:val="en-US" w:eastAsia="zh-CN"/>
        </w:rPr>
      </w:pPr>
      <w:r>
        <w:rPr>
          <w:rFonts w:hint="eastAsia" w:ascii="华文仿宋" w:hAnsi="华文仿宋" w:cs="华文仿宋"/>
          <w:color w:val="auto"/>
        </w:rPr>
        <w:t>联系人：</w:t>
      </w:r>
      <w:r>
        <w:rPr>
          <w:rFonts w:hint="eastAsia" w:ascii="华文仿宋" w:hAnsi="华文仿宋" w:cs="华文仿宋"/>
          <w:color w:val="auto"/>
          <w:lang w:val="en-US" w:eastAsia="zh-CN"/>
        </w:rPr>
        <w:t>杨</w:t>
      </w:r>
      <w:r>
        <w:rPr>
          <w:rFonts w:hint="eastAsia" w:ascii="华文仿宋" w:hAnsi="华文仿宋" w:cs="华文仿宋"/>
          <w:color w:val="auto"/>
          <w:lang w:eastAsia="zh-CN"/>
        </w:rPr>
        <w:t>老师</w:t>
      </w:r>
    </w:p>
    <w:p>
      <w:pPr>
        <w:pStyle w:val="42"/>
        <w:spacing w:line="500" w:lineRule="exact"/>
        <w:rPr>
          <w:rFonts w:hint="eastAsia" w:ascii="仿宋" w:hAnsi="仿宋" w:eastAsia="仿宋" w:cs="仿宋"/>
          <w:color w:val="auto"/>
          <w:lang w:val="en-US" w:eastAsia="zh-CN"/>
        </w:rPr>
      </w:pPr>
      <w:r>
        <w:rPr>
          <w:rFonts w:hint="eastAsia" w:ascii="华文仿宋" w:hAnsi="华文仿宋" w:cs="华文仿宋"/>
          <w:color w:val="auto"/>
        </w:rPr>
        <w:t>联系方式：</w:t>
      </w:r>
      <w:r>
        <w:rPr>
          <w:rFonts w:hint="eastAsia" w:ascii="仿宋" w:hAnsi="仿宋" w:eastAsia="仿宋" w:cs="仿宋"/>
          <w:color w:val="000000"/>
          <w:sz w:val="28"/>
          <w:lang w:val="en-US" w:eastAsia="zh-CN"/>
        </w:rPr>
        <w:t>029-88308108</w:t>
      </w:r>
    </w:p>
    <w:p>
      <w:pPr>
        <w:tabs>
          <w:tab w:val="left" w:pos="1620"/>
        </w:tabs>
        <w:snapToGrid w:val="0"/>
        <w:spacing w:line="500" w:lineRule="exact"/>
        <w:ind w:firstLine="566" w:firstLineChars="200"/>
        <w:rPr>
          <w:rFonts w:ascii="华文仿宋" w:hAnsi="华文仿宋" w:cs="华文仿宋"/>
          <w:color w:val="auto"/>
        </w:rPr>
      </w:pPr>
      <w:bookmarkStart w:id="17" w:name="_Toc15035"/>
      <w:bookmarkStart w:id="18" w:name="_Toc17483_WPSOffice_Level2"/>
      <w:bookmarkStart w:id="19" w:name="_Toc21690_WPSOffice_Level2"/>
      <w:bookmarkStart w:id="20" w:name="_Toc15994_WPSOffice_Level2"/>
      <w:r>
        <w:rPr>
          <w:rFonts w:hint="eastAsia"/>
          <w:b/>
          <w:bCs/>
          <w:color w:val="auto"/>
        </w:rPr>
        <w:t>四、采购代理机构：</w:t>
      </w:r>
      <w:bookmarkEnd w:id="17"/>
      <w:r>
        <w:rPr>
          <w:rFonts w:hint="eastAsia" w:ascii="华文仿宋" w:hAnsi="华文仿宋" w:cs="华文仿宋"/>
          <w:color w:val="auto"/>
          <w:lang w:val="zh-CN"/>
        </w:rPr>
        <w:t>陕西省省级单位政府采购中心</w:t>
      </w:r>
      <w:bookmarkEnd w:id="18"/>
      <w:bookmarkEnd w:id="19"/>
      <w:bookmarkEnd w:id="20"/>
    </w:p>
    <w:p>
      <w:pPr>
        <w:tabs>
          <w:tab w:val="left" w:pos="1620"/>
        </w:tabs>
        <w:snapToGrid w:val="0"/>
        <w:spacing w:line="500" w:lineRule="exact"/>
        <w:ind w:firstLine="1132" w:firstLineChars="400"/>
        <w:rPr>
          <w:rFonts w:ascii="华文仿宋" w:hAnsi="华文仿宋" w:cs="华文仿宋"/>
          <w:color w:val="auto"/>
          <w:kern w:val="0"/>
        </w:rPr>
      </w:pPr>
      <w:r>
        <w:rPr>
          <w:rFonts w:hint="eastAsia" w:ascii="华文仿宋" w:hAnsi="华文仿宋" w:cs="华文仿宋"/>
          <w:color w:val="auto"/>
          <w:kern w:val="0"/>
        </w:rPr>
        <w:t>地址：</w:t>
      </w:r>
      <w:r>
        <w:rPr>
          <w:rFonts w:hint="eastAsia" w:ascii="华文仿宋" w:hAnsi="华文仿宋" w:cs="华文仿宋"/>
          <w:color w:val="auto"/>
        </w:rPr>
        <w:t>西安市碑林区长安北路14号</w:t>
      </w:r>
    </w:p>
    <w:p>
      <w:pPr>
        <w:tabs>
          <w:tab w:val="left" w:pos="1620"/>
        </w:tabs>
        <w:snapToGrid w:val="0"/>
        <w:spacing w:line="500" w:lineRule="exact"/>
        <w:ind w:firstLine="1132" w:firstLineChars="400"/>
        <w:rPr>
          <w:rFonts w:ascii="华文仿宋" w:hAnsi="华文仿宋" w:cs="华文仿宋"/>
          <w:color w:val="auto"/>
          <w:kern w:val="0"/>
        </w:rPr>
      </w:pPr>
      <w:r>
        <w:rPr>
          <w:rFonts w:hint="eastAsia" w:ascii="华文仿宋" w:hAnsi="华文仿宋" w:cs="华文仿宋"/>
          <w:color w:val="auto"/>
          <w:kern w:val="0"/>
        </w:rPr>
        <w:t>联系人：</w:t>
      </w:r>
      <w:r>
        <w:rPr>
          <w:rFonts w:hint="eastAsia" w:ascii="华文仿宋" w:hAnsi="华文仿宋" w:cs="华文仿宋"/>
          <w:color w:val="auto"/>
          <w:lang w:val="en-US" w:eastAsia="zh-CN"/>
        </w:rPr>
        <w:t>陈</w:t>
      </w:r>
      <w:r>
        <w:rPr>
          <w:rFonts w:hint="eastAsia" w:ascii="华文仿宋" w:hAnsi="华文仿宋" w:cs="华文仿宋"/>
          <w:color w:val="auto"/>
        </w:rPr>
        <w:t xml:space="preserve">老师 </w:t>
      </w:r>
      <w:r>
        <w:rPr>
          <w:rFonts w:hint="eastAsia" w:ascii="华文仿宋" w:hAnsi="华文仿宋" w:cs="华文仿宋"/>
          <w:color w:val="auto"/>
          <w:kern w:val="0"/>
        </w:rPr>
        <w:t xml:space="preserve"> </w:t>
      </w:r>
    </w:p>
    <w:p>
      <w:pPr>
        <w:tabs>
          <w:tab w:val="left" w:pos="1620"/>
        </w:tabs>
        <w:snapToGrid w:val="0"/>
        <w:spacing w:line="500" w:lineRule="exact"/>
        <w:ind w:firstLine="1132" w:firstLineChars="400"/>
        <w:rPr>
          <w:rFonts w:hint="eastAsia" w:ascii="仿宋" w:hAnsi="仿宋" w:eastAsia="仿宋" w:cs="仿宋"/>
          <w:color w:val="auto"/>
          <w:lang w:val="en-US"/>
        </w:rPr>
      </w:pPr>
      <w:r>
        <w:rPr>
          <w:rFonts w:hint="eastAsia" w:ascii="华文仿宋" w:hAnsi="华文仿宋" w:cs="华文仿宋"/>
          <w:color w:val="auto"/>
          <w:kern w:val="0"/>
        </w:rPr>
        <w:t>联系方式：</w:t>
      </w:r>
      <w:r>
        <w:rPr>
          <w:rFonts w:hint="eastAsia" w:ascii="仿宋" w:hAnsi="仿宋" w:eastAsia="仿宋" w:cs="仿宋"/>
          <w:color w:val="auto"/>
        </w:rPr>
        <w:t>029-8866</w:t>
      </w:r>
      <w:r>
        <w:rPr>
          <w:rFonts w:hint="eastAsia" w:ascii="仿宋" w:hAnsi="仿宋" w:eastAsia="仿宋" w:cs="仿宋"/>
          <w:color w:val="auto"/>
          <w:lang w:val="en-US"/>
        </w:rPr>
        <w:t>1294</w:t>
      </w:r>
    </w:p>
    <w:p>
      <w:pPr>
        <w:tabs>
          <w:tab w:val="left" w:pos="1620"/>
        </w:tabs>
        <w:snapToGrid w:val="0"/>
        <w:spacing w:line="500" w:lineRule="exact"/>
        <w:ind w:firstLine="566" w:firstLineChars="200"/>
        <w:rPr>
          <w:b/>
          <w:bCs/>
          <w:color w:val="auto"/>
        </w:rPr>
      </w:pPr>
      <w:bookmarkStart w:id="21" w:name="_Toc31311_WPSOffice_Level2"/>
      <w:bookmarkStart w:id="22" w:name="_Toc30103_WPSOffice_Level2"/>
      <w:bookmarkStart w:id="23" w:name="_Toc29947_WPSOffice_Level2"/>
      <w:bookmarkStart w:id="24" w:name="_Toc27211"/>
      <w:r>
        <w:rPr>
          <w:rFonts w:hint="eastAsia"/>
          <w:b/>
          <w:bCs/>
          <w:color w:val="auto"/>
        </w:rPr>
        <w:t>五、磋商内容和要求</w:t>
      </w:r>
      <w:bookmarkEnd w:id="21"/>
      <w:bookmarkEnd w:id="22"/>
      <w:bookmarkEnd w:id="23"/>
      <w:bookmarkEnd w:id="24"/>
    </w:p>
    <w:p>
      <w:pPr>
        <w:keepNext w:val="0"/>
        <w:keepLines w:val="0"/>
        <w:pageBreakBefore w:val="0"/>
        <w:widowControl/>
        <w:kinsoku/>
        <w:wordWrap/>
        <w:overflowPunct/>
        <w:topLinePunct w:val="0"/>
        <w:autoSpaceDE/>
        <w:autoSpaceDN/>
        <w:bidi w:val="0"/>
        <w:adjustRightInd/>
        <w:snapToGrid/>
        <w:spacing w:line="500" w:lineRule="exact"/>
        <w:ind w:left="566" w:leftChars="200" w:firstLine="566" w:firstLineChars="200"/>
        <w:textAlignment w:val="auto"/>
        <w:rPr>
          <w:rFonts w:hint="eastAsia" w:ascii="华文仿宋" w:hAnsi="华文仿宋" w:eastAsia="华文仿宋" w:cs="华文仿宋"/>
          <w:color w:val="auto"/>
          <w:kern w:val="2"/>
          <w:sz w:val="28"/>
          <w:szCs w:val="28"/>
          <w:lang w:val="en-US"/>
        </w:rPr>
      </w:pPr>
      <w:r>
        <w:rPr>
          <w:rFonts w:hint="eastAsia" w:ascii="华文仿宋" w:hAnsi="华文仿宋" w:cs="华文仿宋"/>
          <w:color w:val="auto"/>
        </w:rPr>
        <w:t>磋商内容</w:t>
      </w:r>
      <w:r>
        <w:rPr>
          <w:rFonts w:hint="eastAsia" w:ascii="华文仿宋" w:hAnsi="华文仿宋" w:cs="华文仿宋"/>
          <w:color w:val="auto"/>
          <w:lang w:eastAsia="zh-CN"/>
        </w:rPr>
        <w:t>：</w:t>
      </w:r>
      <w:r>
        <w:rPr>
          <w:rFonts w:hint="eastAsia" w:ascii="华文仿宋" w:hAnsi="华文仿宋" w:cs="华文仿宋"/>
          <w:color w:val="auto"/>
          <w:lang w:val="en-US" w:eastAsia="zh-CN"/>
        </w:rPr>
        <w:t>西北大学新闻传播学院多功能报告厅工程，</w:t>
      </w:r>
      <w:r>
        <w:rPr>
          <w:rFonts w:hint="eastAsia" w:ascii="华文仿宋" w:hAnsi="华文仿宋" w:eastAsia="华文仿宋" w:cs="华文仿宋"/>
          <w:color w:val="000000"/>
          <w:kern w:val="2"/>
          <w:sz w:val="28"/>
          <w:szCs w:val="28"/>
        </w:rPr>
        <w:t>内容主要包括以声学设计指导声光电配置、声光电系统工程建设（含音响等设备）；负1层的接待大厅、过道、贵宾室、茶水室、更衣室、化妆教室、报告厅兼演艺厅（舞台与观众席）、控制室、道具储物间以及1层的多功能会议室、办公室等区域精装修工程</w:t>
      </w:r>
      <w:r>
        <w:rPr>
          <w:rFonts w:hint="eastAsia" w:ascii="华文仿宋" w:hAnsi="华文仿宋" w:cs="华文仿宋"/>
          <w:color w:val="auto"/>
          <w:kern w:val="2"/>
          <w:sz w:val="28"/>
          <w:szCs w:val="28"/>
          <w:lang w:eastAsia="zh-CN"/>
        </w:rPr>
        <w:t>。</w:t>
      </w:r>
    </w:p>
    <w:p>
      <w:pPr>
        <w:spacing w:line="500" w:lineRule="exact"/>
        <w:ind w:firstLine="566" w:firstLineChars="200"/>
        <w:rPr>
          <w:rFonts w:hint="default" w:eastAsia="华文仿宋"/>
          <w:color w:val="auto"/>
          <w:lang w:val="en-US" w:eastAsia="zh-CN"/>
        </w:rPr>
      </w:pPr>
      <w:bookmarkStart w:id="25" w:name="_Toc3118_WPSOffice_Level2"/>
      <w:bookmarkStart w:id="26" w:name="_Toc12629_WPSOffice_Level2"/>
      <w:bookmarkStart w:id="27" w:name="_Toc30835"/>
      <w:bookmarkStart w:id="28" w:name="_Toc12339_WPSOffice_Level2"/>
      <w:r>
        <w:rPr>
          <w:rFonts w:hint="eastAsia"/>
          <w:b/>
          <w:bCs/>
          <w:color w:val="auto"/>
        </w:rPr>
        <w:t>六、项目性质</w:t>
      </w:r>
      <w:r>
        <w:rPr>
          <w:rFonts w:hint="eastAsia"/>
          <w:color w:val="auto"/>
        </w:rPr>
        <w:t>：</w:t>
      </w:r>
      <w:bookmarkEnd w:id="25"/>
      <w:bookmarkEnd w:id="26"/>
      <w:bookmarkEnd w:id="27"/>
      <w:bookmarkEnd w:id="28"/>
      <w:r>
        <w:rPr>
          <w:rFonts w:hint="eastAsia"/>
          <w:b/>
          <w:bCs/>
          <w:color w:val="auto"/>
          <w:highlight w:val="none"/>
          <w:lang w:val="en-US" w:eastAsia="zh-CN"/>
        </w:rPr>
        <w:t>财政拨款</w:t>
      </w:r>
    </w:p>
    <w:p>
      <w:pPr>
        <w:keepNext w:val="0"/>
        <w:keepLines w:val="0"/>
        <w:pageBreakBefore w:val="0"/>
        <w:widowControl/>
        <w:kinsoku/>
        <w:wordWrap/>
        <w:overflowPunct/>
        <w:topLinePunct w:val="0"/>
        <w:autoSpaceDE/>
        <w:autoSpaceDN/>
        <w:bidi w:val="0"/>
        <w:adjustRightInd/>
        <w:snapToGrid/>
        <w:spacing w:line="500" w:lineRule="exact"/>
        <w:ind w:firstLine="566" w:firstLineChars="200"/>
        <w:textAlignment w:val="auto"/>
        <w:rPr>
          <w:rFonts w:ascii="华文仿宋" w:hAnsi="华文仿宋" w:cs="华文仿宋"/>
          <w:color w:val="auto"/>
        </w:rPr>
      </w:pPr>
      <w:bookmarkStart w:id="29" w:name="_Toc30539_WPSOffice_Level2"/>
      <w:bookmarkStart w:id="30" w:name="_Toc11840_WPSOffice_Level2"/>
      <w:bookmarkStart w:id="31" w:name="_Toc21454_WPSOffice_Level2"/>
      <w:bookmarkStart w:id="32" w:name="_Toc17056"/>
      <w:r>
        <w:rPr>
          <w:rFonts w:hint="eastAsia"/>
          <w:b/>
          <w:bCs/>
          <w:color w:val="auto"/>
        </w:rPr>
        <w:t>七、采购预算：</w:t>
      </w:r>
      <w:bookmarkEnd w:id="29"/>
      <w:bookmarkEnd w:id="30"/>
      <w:bookmarkEnd w:id="31"/>
      <w:r>
        <w:rPr>
          <w:rFonts w:hint="eastAsia" w:ascii="仿宋" w:hAnsi="仿宋" w:eastAsia="仿宋" w:cs="仿宋"/>
          <w:b/>
          <w:bCs/>
          <w:color w:val="auto"/>
          <w:lang w:val="en-US" w:eastAsia="zh-CN"/>
        </w:rPr>
        <w:t>268.63</w:t>
      </w:r>
      <w:r>
        <w:rPr>
          <w:rFonts w:hint="eastAsia"/>
          <w:b/>
          <w:bCs/>
          <w:color w:val="auto"/>
        </w:rPr>
        <w:t>万元</w:t>
      </w:r>
      <w:bookmarkEnd w:id="32"/>
    </w:p>
    <w:p>
      <w:pPr>
        <w:spacing w:line="500" w:lineRule="exact"/>
        <w:ind w:firstLine="566" w:firstLineChars="200"/>
        <w:rPr>
          <w:b/>
          <w:bCs/>
          <w:color w:val="auto"/>
        </w:rPr>
      </w:pPr>
      <w:bookmarkStart w:id="33" w:name="_Toc25753"/>
      <w:bookmarkStart w:id="34" w:name="_Toc6459_WPSOffice_Level2"/>
      <w:bookmarkStart w:id="35" w:name="_Toc9917_WPSOffice_Level2"/>
      <w:bookmarkStart w:id="36" w:name="_Toc14570_WPSOffice_Level2"/>
      <w:r>
        <w:rPr>
          <w:rFonts w:hint="eastAsia"/>
          <w:b/>
          <w:bCs/>
          <w:color w:val="auto"/>
        </w:rPr>
        <w:t>八、供应商资格要求</w:t>
      </w:r>
      <w:bookmarkEnd w:id="33"/>
      <w:bookmarkEnd w:id="34"/>
      <w:bookmarkEnd w:id="35"/>
      <w:bookmarkEnd w:id="36"/>
    </w:p>
    <w:p>
      <w:pPr>
        <w:spacing w:line="500" w:lineRule="exact"/>
        <w:ind w:firstLine="566" w:firstLineChars="200"/>
        <w:rPr>
          <w:rFonts w:ascii="华文仿宋" w:hAnsi="华文仿宋" w:cs="华文仿宋"/>
          <w:color w:val="auto"/>
        </w:rPr>
      </w:pPr>
      <w:r>
        <w:rPr>
          <w:rFonts w:hint="eastAsia" w:ascii="华文仿宋" w:hAnsi="华文仿宋" w:cs="华文仿宋"/>
          <w:color w:val="auto"/>
        </w:rPr>
        <w:t>符合《中华人民共和国政府采购法》第二十二条的规定，并提供下列材料：</w:t>
      </w:r>
    </w:p>
    <w:p>
      <w:pPr>
        <w:spacing w:line="500" w:lineRule="exact"/>
        <w:ind w:firstLine="566" w:firstLineChars="200"/>
        <w:rPr>
          <w:rFonts w:ascii="华文仿宋" w:hAnsi="华文仿宋" w:cs="华文仿宋"/>
          <w:color w:val="auto"/>
        </w:rPr>
      </w:pPr>
      <w:r>
        <w:rPr>
          <w:rFonts w:hint="eastAsia" w:ascii="仿宋" w:hAnsi="仿宋" w:eastAsia="仿宋" w:cs="仿宋"/>
          <w:color w:val="auto"/>
        </w:rPr>
        <w:t>1</w:t>
      </w:r>
      <w:r>
        <w:rPr>
          <w:rFonts w:hint="eastAsia" w:ascii="华文仿宋" w:hAnsi="华文仿宋" w:cs="华文仿宋"/>
          <w:color w:val="auto"/>
        </w:rPr>
        <w:t>、营业执照等主体资格证明文件：提供有效存续的企业营业执照（副本）/事业单位法人证书/专业服务机构执业许可证/民办非企业单位登记证书。</w:t>
      </w:r>
    </w:p>
    <w:p>
      <w:pPr>
        <w:spacing w:line="500" w:lineRule="exact"/>
        <w:ind w:firstLine="566" w:firstLineChars="200"/>
        <w:rPr>
          <w:rFonts w:ascii="华文仿宋" w:hAnsi="华文仿宋" w:cs="华文仿宋"/>
          <w:color w:val="auto"/>
        </w:rPr>
      </w:pPr>
      <w:r>
        <w:rPr>
          <w:rFonts w:hint="eastAsia" w:ascii="仿宋" w:hAnsi="仿宋" w:eastAsia="仿宋" w:cs="仿宋"/>
          <w:color w:val="auto"/>
        </w:rPr>
        <w:t>2</w:t>
      </w:r>
      <w:r>
        <w:rPr>
          <w:rFonts w:hint="eastAsia" w:ascii="华文仿宋" w:hAnsi="华文仿宋" w:cs="华文仿宋"/>
          <w:color w:val="auto"/>
        </w:rPr>
        <w:t>、财务状况报告：提供</w:t>
      </w:r>
      <w:r>
        <w:rPr>
          <w:rFonts w:hint="eastAsia" w:ascii="仿宋" w:hAnsi="仿宋" w:eastAsia="仿宋" w:cs="仿宋"/>
          <w:color w:val="auto"/>
        </w:rPr>
        <w:t>2019</w:t>
      </w:r>
      <w:r>
        <w:rPr>
          <w:rFonts w:hint="eastAsia" w:ascii="华文仿宋" w:hAnsi="华文仿宋" w:cs="华文仿宋"/>
          <w:color w:val="auto"/>
        </w:rPr>
        <w:t>年度经审计的财务会计报告（包括审计报告、资产负债表、利润表、现金流量表、所有者权益变动表及其附注，成立时间至提交响应文件截止时间不足一年的可提供成立后任意时段的资产负债表），或其开标前三个月内基本存款账户开户银行出具的资信证明，或信用担保机构出具的投标担保函。（以上三种形式的资料提供任何一种即可）。</w:t>
      </w:r>
    </w:p>
    <w:p>
      <w:pPr>
        <w:spacing w:line="500" w:lineRule="exact"/>
        <w:ind w:firstLine="566" w:firstLineChars="200"/>
        <w:rPr>
          <w:rFonts w:ascii="华文仿宋" w:hAnsi="华文仿宋" w:cs="华文仿宋"/>
          <w:color w:val="auto"/>
        </w:rPr>
      </w:pPr>
      <w:r>
        <w:rPr>
          <w:rFonts w:hint="eastAsia" w:ascii="仿宋" w:hAnsi="仿宋" w:eastAsia="仿宋" w:cs="仿宋"/>
          <w:color w:val="auto"/>
        </w:rPr>
        <w:t>3</w:t>
      </w:r>
      <w:r>
        <w:rPr>
          <w:rFonts w:hint="eastAsia" w:ascii="华文仿宋" w:hAnsi="华文仿宋" w:cs="华文仿宋"/>
          <w:color w:val="auto"/>
        </w:rPr>
        <w:t>、社保缴纳证明：</w:t>
      </w:r>
      <w:r>
        <w:rPr>
          <w:rFonts w:hint="eastAsia" w:ascii="华文仿宋" w:hAnsi="华文仿宋" w:cs="华文仿宋"/>
          <w:color w:val="auto"/>
          <w:lang w:eastAsia="zh-CN"/>
        </w:rPr>
        <w:t>提供已缴存的</w:t>
      </w:r>
      <w:r>
        <w:rPr>
          <w:rFonts w:hint="eastAsia" w:ascii="仿宋" w:hAnsi="仿宋" w:eastAsia="仿宋" w:cs="仿宋"/>
          <w:color w:val="auto"/>
        </w:rPr>
        <w:t>2019</w:t>
      </w:r>
      <w:r>
        <w:rPr>
          <w:rFonts w:hint="eastAsia" w:ascii="华文仿宋" w:hAnsi="华文仿宋" w:cs="华文仿宋"/>
          <w:color w:val="auto"/>
        </w:rPr>
        <w:t>年</w:t>
      </w:r>
      <w:r>
        <w:rPr>
          <w:rFonts w:hint="eastAsia" w:ascii="仿宋" w:hAnsi="仿宋" w:eastAsia="仿宋" w:cs="仿宋"/>
          <w:color w:val="auto"/>
          <w:lang w:val="en-US" w:eastAsia="zh-CN"/>
        </w:rPr>
        <w:t>7</w:t>
      </w:r>
      <w:r>
        <w:rPr>
          <w:rFonts w:hint="eastAsia" w:ascii="华文仿宋" w:hAnsi="华文仿宋" w:cs="华文仿宋"/>
          <w:color w:val="auto"/>
        </w:rPr>
        <w:t>月</w:t>
      </w:r>
      <w:r>
        <w:rPr>
          <w:rFonts w:hint="eastAsia" w:ascii="仿宋" w:hAnsi="仿宋" w:eastAsia="仿宋" w:cs="仿宋"/>
          <w:color w:val="auto"/>
        </w:rPr>
        <w:t>1</w:t>
      </w:r>
      <w:r>
        <w:rPr>
          <w:rFonts w:hint="eastAsia" w:ascii="华文仿宋" w:hAnsi="华文仿宋" w:cs="华文仿宋"/>
          <w:color w:val="auto"/>
        </w:rPr>
        <w:t>日以来至少一个月的社会保障资金缴存单据或社保机构开具的社会保险参保缴费情况证明。依法不需要缴纳社会保障资金的供应商应提供相关文件证明。</w:t>
      </w:r>
    </w:p>
    <w:p>
      <w:pPr>
        <w:spacing w:line="500" w:lineRule="exact"/>
        <w:ind w:firstLine="566" w:firstLineChars="200"/>
        <w:rPr>
          <w:rFonts w:ascii="华文仿宋" w:hAnsi="华文仿宋" w:cs="华文仿宋"/>
          <w:color w:val="auto"/>
        </w:rPr>
      </w:pPr>
      <w:r>
        <w:rPr>
          <w:rFonts w:hint="eastAsia" w:ascii="仿宋" w:hAnsi="仿宋" w:eastAsia="仿宋" w:cs="仿宋"/>
          <w:color w:val="auto"/>
        </w:rPr>
        <w:t>4</w:t>
      </w:r>
      <w:r>
        <w:rPr>
          <w:rFonts w:hint="eastAsia" w:ascii="华文仿宋" w:hAnsi="华文仿宋" w:cs="华文仿宋"/>
          <w:color w:val="auto"/>
        </w:rPr>
        <w:t>、税收缴纳证明：</w:t>
      </w:r>
      <w:r>
        <w:rPr>
          <w:rFonts w:hint="eastAsia" w:ascii="华文仿宋" w:hAnsi="华文仿宋" w:cs="华文仿宋"/>
          <w:color w:val="auto"/>
          <w:lang w:eastAsia="zh-CN"/>
        </w:rPr>
        <w:t>提供已</w:t>
      </w:r>
      <w:r>
        <w:rPr>
          <w:rFonts w:hint="eastAsia" w:ascii="华文仿宋" w:hAnsi="华文仿宋" w:cs="华文仿宋"/>
          <w:color w:val="auto"/>
          <w:lang w:val="en-US" w:eastAsia="zh-CN"/>
        </w:rPr>
        <w:t>缴纳</w:t>
      </w:r>
      <w:r>
        <w:rPr>
          <w:rFonts w:hint="eastAsia" w:ascii="华文仿宋" w:hAnsi="华文仿宋" w:cs="华文仿宋"/>
          <w:color w:val="auto"/>
          <w:lang w:eastAsia="zh-CN"/>
        </w:rPr>
        <w:t>的</w:t>
      </w:r>
      <w:r>
        <w:rPr>
          <w:rFonts w:hint="eastAsia" w:ascii="仿宋" w:hAnsi="仿宋" w:eastAsia="仿宋" w:cs="仿宋"/>
          <w:color w:val="auto"/>
        </w:rPr>
        <w:t>2019</w:t>
      </w:r>
      <w:r>
        <w:rPr>
          <w:rFonts w:hint="eastAsia" w:ascii="华文仿宋" w:hAnsi="华文仿宋" w:cs="华文仿宋"/>
          <w:color w:val="auto"/>
        </w:rPr>
        <w:t>年</w:t>
      </w:r>
      <w:r>
        <w:rPr>
          <w:rFonts w:hint="eastAsia" w:ascii="仿宋" w:hAnsi="仿宋" w:eastAsia="仿宋" w:cs="仿宋"/>
          <w:color w:val="auto"/>
          <w:lang w:val="en-US" w:eastAsia="zh-CN"/>
        </w:rPr>
        <w:t>7</w:t>
      </w:r>
      <w:r>
        <w:rPr>
          <w:rFonts w:hint="eastAsia" w:ascii="华文仿宋" w:hAnsi="华文仿宋" w:cs="华文仿宋"/>
          <w:color w:val="auto"/>
        </w:rPr>
        <w:t>月</w:t>
      </w:r>
      <w:r>
        <w:rPr>
          <w:rFonts w:hint="eastAsia" w:ascii="仿宋" w:hAnsi="仿宋" w:eastAsia="仿宋" w:cs="仿宋"/>
          <w:color w:val="auto"/>
        </w:rPr>
        <w:t>1</w:t>
      </w:r>
      <w:r>
        <w:rPr>
          <w:rFonts w:hint="eastAsia" w:ascii="华文仿宋" w:hAnsi="华文仿宋" w:cs="华文仿宋"/>
          <w:color w:val="auto"/>
        </w:rPr>
        <w:t>日以来至少一个月的纳税证明或完税证明（提供增值税、企业所得税至少一种），纳税证明或完税证明上应有代收机构或税务机关的公章或业务专用章。依法免税的供应商应提供相关文件证明。</w:t>
      </w:r>
    </w:p>
    <w:p>
      <w:pPr>
        <w:spacing w:line="500" w:lineRule="exact"/>
        <w:ind w:firstLine="566" w:firstLineChars="200"/>
        <w:rPr>
          <w:rFonts w:ascii="华文仿宋" w:hAnsi="华文仿宋" w:cs="华文仿宋"/>
          <w:color w:val="auto"/>
        </w:rPr>
      </w:pPr>
      <w:r>
        <w:rPr>
          <w:rFonts w:hint="eastAsia" w:ascii="仿宋" w:hAnsi="仿宋" w:eastAsia="仿宋" w:cs="仿宋"/>
          <w:color w:val="auto"/>
        </w:rPr>
        <w:t>5</w:t>
      </w:r>
      <w:r>
        <w:rPr>
          <w:rFonts w:hint="eastAsia" w:ascii="华文仿宋" w:hAnsi="华文仿宋" w:cs="华文仿宋"/>
          <w:color w:val="auto"/>
        </w:rPr>
        <w:t>、书面声明（信用记录）：参加本次政府采购活动前</w:t>
      </w:r>
      <w:r>
        <w:rPr>
          <w:rFonts w:hint="eastAsia" w:ascii="仿宋" w:hAnsi="仿宋" w:eastAsia="仿宋" w:cs="仿宋"/>
          <w:color w:val="auto"/>
        </w:rPr>
        <w:t>3</w:t>
      </w:r>
      <w:r>
        <w:rPr>
          <w:rFonts w:hint="eastAsia" w:ascii="华文仿宋" w:hAnsi="华文仿宋" w:cs="华文仿宋"/>
          <w:color w:val="auto"/>
        </w:rPr>
        <w:t>年内在经营活动中没有重大违纪，以及未被列入失信被执行人或重大税收违法案件当事人名单、政府采购严重违法失信行为记录名单的书面声明。</w:t>
      </w:r>
    </w:p>
    <w:p>
      <w:pPr>
        <w:spacing w:line="500" w:lineRule="exact"/>
        <w:ind w:firstLine="486" w:firstLineChars="200"/>
        <w:rPr>
          <w:rFonts w:hint="eastAsia" w:ascii="华文仿宋" w:hAnsi="华文仿宋" w:cs="华文仿宋"/>
          <w:color w:val="auto"/>
        </w:rPr>
      </w:pPr>
      <w:r>
        <w:rPr>
          <w:rFonts w:hint="eastAsia" w:ascii="仿宋" w:hAnsi="仿宋" w:eastAsia="仿宋" w:cs="仿宋"/>
          <w:color w:val="auto"/>
          <w:sz w:val="24"/>
          <w:szCs w:val="24"/>
        </w:rPr>
        <w:t>6</w:t>
      </w:r>
      <w:r>
        <w:rPr>
          <w:rFonts w:hint="eastAsia" w:ascii="华文仿宋" w:hAnsi="华文仿宋" w:cs="华文仿宋"/>
          <w:color w:val="auto"/>
          <w:sz w:val="24"/>
          <w:szCs w:val="24"/>
        </w:rPr>
        <w:t>、</w:t>
      </w:r>
      <w:r>
        <w:rPr>
          <w:rFonts w:hint="eastAsia" w:ascii="华文仿宋" w:hAnsi="华文仿宋" w:cs="华文仿宋"/>
          <w:color w:val="auto"/>
        </w:rPr>
        <w:t>法定代表人授权委托书：法定代表人参加投标的，须提供本人身份证复印件（附在资格证明文件中）；法定代表人授权他人参加投标的，须提供法定代表人授权委托书（原件附在资格证明文件中）。磋商文件中凡是需要法定代表人盖章之处，非法人单位的负责人均参照执行。</w:t>
      </w:r>
    </w:p>
    <w:p>
      <w:pPr>
        <w:spacing w:line="500" w:lineRule="exact"/>
        <w:ind w:firstLine="566" w:firstLineChars="200"/>
      </w:pPr>
      <w:r>
        <w:rPr>
          <w:rFonts w:hint="eastAsia" w:ascii="华文仿宋" w:hAnsi="华文仿宋" w:cs="华文仿宋"/>
          <w:b/>
        </w:rPr>
        <w:t>7、特定资格要求：</w:t>
      </w:r>
      <w:r>
        <w:rPr>
          <w:rFonts w:hint="eastAsia" w:ascii="华文仿宋" w:hAnsi="华文仿宋" w:cs="华文仿宋"/>
          <w:sz w:val="28"/>
          <w:szCs w:val="28"/>
          <w:lang w:val="en-US" w:eastAsia="zh-CN"/>
        </w:rPr>
        <w:t>供应商应具备</w:t>
      </w:r>
      <w:r>
        <w:rPr>
          <w:rFonts w:hint="eastAsia" w:ascii="华文仿宋" w:hAnsi="华文仿宋" w:eastAsia="华文仿宋" w:cs="华文仿宋"/>
          <w:sz w:val="28"/>
          <w:szCs w:val="28"/>
        </w:rPr>
        <w:t>建筑工程施工总承包三级及以上资质或建筑装修装饰工程专业承包二级及以上资质，同时具备电子与智能化工程专业承包二级及以上资质及建筑机电安装工程专业承包三级及以上资质，并具备有效的安全生产许可证</w:t>
      </w:r>
      <w:r>
        <w:rPr>
          <w:rFonts w:hint="eastAsia" w:ascii="华文仿宋" w:hAnsi="华文仿宋" w:cs="华文仿宋"/>
          <w:sz w:val="28"/>
          <w:szCs w:val="28"/>
          <w:lang w:eastAsia="zh-CN"/>
        </w:rPr>
        <w:t>。</w:t>
      </w:r>
    </w:p>
    <w:p>
      <w:pPr>
        <w:spacing w:line="500" w:lineRule="exact"/>
        <w:ind w:firstLine="566" w:firstLineChars="200"/>
        <w:rPr>
          <w:rFonts w:ascii="华文仿宋" w:hAnsi="华文仿宋" w:cs="华文仿宋"/>
          <w:b/>
          <w:bCs/>
          <w:color w:val="auto"/>
        </w:rPr>
      </w:pPr>
      <w:r>
        <w:rPr>
          <w:rFonts w:hint="eastAsia" w:ascii="华文仿宋" w:hAnsi="华文仿宋" w:cs="华文仿宋"/>
          <w:b/>
          <w:bCs/>
          <w:color w:val="auto"/>
        </w:rPr>
        <w:t>本项目</w:t>
      </w:r>
      <w:r>
        <w:rPr>
          <w:rFonts w:hint="eastAsia" w:ascii="华文仿宋" w:hAnsi="华文仿宋" w:cs="华文仿宋"/>
          <w:b/>
          <w:bCs/>
          <w:color w:val="auto"/>
          <w:kern w:val="0"/>
        </w:rPr>
        <w:t>不接受</w:t>
      </w:r>
      <w:r>
        <w:rPr>
          <w:rFonts w:hint="eastAsia" w:ascii="华文仿宋" w:hAnsi="华文仿宋" w:cs="华文仿宋"/>
          <w:b/>
          <w:bCs/>
          <w:color w:val="auto"/>
        </w:rPr>
        <w:t>联合体响应。</w:t>
      </w:r>
    </w:p>
    <w:p>
      <w:pPr>
        <w:spacing w:line="240" w:lineRule="auto"/>
        <w:ind w:firstLine="426" w:firstLineChars="200"/>
        <w:rPr>
          <w:rFonts w:ascii="宋体" w:hAnsi="宋体" w:eastAsia="宋体" w:cs="宋体"/>
          <w:color w:val="auto"/>
          <w:sz w:val="21"/>
          <w:szCs w:val="21"/>
        </w:rPr>
      </w:pPr>
      <w:bookmarkStart w:id="37" w:name="_Toc8666"/>
      <w:bookmarkStart w:id="38" w:name="_Toc31685_WPSOffice_Level2"/>
      <w:bookmarkStart w:id="39" w:name="_Toc8219_WPSOffice_Level2"/>
      <w:bookmarkStart w:id="40" w:name="_Toc30876_WPSOffice_Level2"/>
      <w:r>
        <w:rPr>
          <w:rFonts w:hint="eastAsia" w:ascii="宋体" w:hAnsi="宋体" w:eastAsia="宋体" w:cs="宋体"/>
          <w:color w:val="auto"/>
          <w:sz w:val="21"/>
          <w:szCs w:val="21"/>
        </w:rPr>
        <w:t>备注：</w:t>
      </w:r>
      <w:r>
        <w:rPr>
          <w:rFonts w:hint="eastAsia" w:ascii="仿宋" w:hAnsi="仿宋" w:eastAsia="仿宋" w:cs="仿宋"/>
          <w:color w:val="auto"/>
          <w:sz w:val="21"/>
          <w:szCs w:val="21"/>
        </w:rPr>
        <w:t>1</w:t>
      </w:r>
      <w:r>
        <w:rPr>
          <w:rFonts w:hint="eastAsia" w:ascii="宋体" w:hAnsi="宋体" w:eastAsia="宋体" w:cs="宋体"/>
          <w:color w:val="auto"/>
          <w:sz w:val="21"/>
          <w:szCs w:val="21"/>
        </w:rPr>
        <w:t>、以上资格要求均为必备资格，需提供相关证明文件并加盖公章，缺少其中任何一项，其响应文件视为无效文件。《供应商书面声明函》《法定代表人授权委托书》应按磋商文件第五章第一部分给定的格式填写。</w:t>
      </w:r>
    </w:p>
    <w:p>
      <w:pPr>
        <w:spacing w:line="240" w:lineRule="auto"/>
        <w:ind w:firstLine="426" w:firstLineChars="200"/>
        <w:rPr>
          <w:rFonts w:ascii="宋体" w:hAnsi="宋体" w:eastAsia="宋体" w:cs="宋体"/>
          <w:color w:val="auto"/>
          <w:sz w:val="21"/>
          <w:szCs w:val="21"/>
        </w:rPr>
      </w:pPr>
      <w:r>
        <w:rPr>
          <w:rFonts w:hint="eastAsia" w:ascii="仿宋" w:hAnsi="仿宋" w:eastAsia="仿宋" w:cs="仿宋"/>
          <w:color w:val="auto"/>
          <w:sz w:val="21"/>
          <w:szCs w:val="21"/>
        </w:rPr>
        <w:t>2</w:t>
      </w:r>
      <w:r>
        <w:rPr>
          <w:rFonts w:hint="eastAsia" w:ascii="宋体" w:hAnsi="宋体" w:eastAsia="宋体" w:cs="宋体"/>
          <w:color w:val="auto"/>
          <w:sz w:val="21"/>
          <w:szCs w:val="21"/>
        </w:rPr>
        <w:t>、分支机构参与投标时，响应文件中应附法人出具的授权书。法人只能授权一家分支机构参与投标，且不能与分支机构同时参与投标。分支机构须提供自己的资格要求证明文件。</w:t>
      </w:r>
    </w:p>
    <w:p>
      <w:pPr>
        <w:spacing w:line="240" w:lineRule="auto"/>
        <w:ind w:firstLine="426" w:firstLineChars="200"/>
        <w:rPr>
          <w:rFonts w:ascii="宋体" w:hAnsi="宋体" w:eastAsia="宋体" w:cs="宋体"/>
          <w:color w:val="auto"/>
          <w:sz w:val="21"/>
          <w:szCs w:val="21"/>
        </w:rPr>
      </w:pPr>
      <w:r>
        <w:rPr>
          <w:rFonts w:hint="eastAsia" w:ascii="仿宋" w:hAnsi="仿宋" w:eastAsia="仿宋" w:cs="仿宋"/>
          <w:color w:val="auto"/>
          <w:sz w:val="21"/>
          <w:szCs w:val="21"/>
        </w:rPr>
        <w:t>3</w:t>
      </w:r>
      <w:r>
        <w:rPr>
          <w:rFonts w:hint="eastAsia" w:ascii="宋体" w:hAnsi="宋体" w:eastAsia="宋体" w:cs="宋体"/>
          <w:color w:val="auto"/>
          <w:sz w:val="21"/>
          <w:szCs w:val="21"/>
        </w:rPr>
        <w:t>、事业单位法人参与投标可不提供财务状况报告、社会保障资金缴纳证明及税收缴纳证明。</w:t>
      </w:r>
    </w:p>
    <w:p>
      <w:pPr>
        <w:spacing w:line="240" w:lineRule="auto"/>
        <w:ind w:firstLine="426" w:firstLineChars="200"/>
        <w:rPr>
          <w:rFonts w:hint="eastAsia"/>
          <w:b/>
          <w:bCs/>
          <w:color w:val="auto"/>
        </w:rPr>
      </w:pPr>
      <w:r>
        <w:rPr>
          <w:rFonts w:hint="eastAsia" w:ascii="仿宋" w:hAnsi="仿宋" w:eastAsia="仿宋" w:cs="仿宋"/>
          <w:color w:val="auto"/>
          <w:sz w:val="21"/>
          <w:szCs w:val="21"/>
        </w:rPr>
        <w:t>4</w:t>
      </w:r>
      <w:r>
        <w:rPr>
          <w:rFonts w:hint="eastAsia" w:ascii="宋体" w:hAnsi="宋体" w:eastAsia="宋体" w:cs="宋体"/>
          <w:color w:val="auto"/>
          <w:sz w:val="21"/>
          <w:szCs w:val="21"/>
        </w:rPr>
        <w:t>、单位负责人为同一人或存在直接控股、管理关系的不同单位，不得同时参加本项目投标活动。</w:t>
      </w:r>
    </w:p>
    <w:p>
      <w:pPr>
        <w:spacing w:line="500" w:lineRule="exact"/>
        <w:ind w:firstLine="566" w:firstLineChars="200"/>
        <w:jc w:val="left"/>
        <w:rPr>
          <w:b/>
          <w:bCs/>
          <w:color w:val="auto"/>
        </w:rPr>
      </w:pPr>
      <w:r>
        <w:rPr>
          <w:rFonts w:hint="eastAsia"/>
          <w:b/>
          <w:bCs/>
          <w:color w:val="auto"/>
        </w:rPr>
        <w:t>九、执行的其他政府采购政策</w:t>
      </w:r>
      <w:bookmarkEnd w:id="37"/>
      <w:bookmarkEnd w:id="38"/>
      <w:bookmarkEnd w:id="39"/>
    </w:p>
    <w:p>
      <w:pPr>
        <w:spacing w:line="500" w:lineRule="exact"/>
        <w:ind w:firstLine="566" w:firstLineChars="200"/>
        <w:rPr>
          <w:rFonts w:ascii="华文仿宋" w:hAnsi="华文仿宋" w:cs="华文仿宋"/>
          <w:color w:val="auto"/>
        </w:rPr>
      </w:pPr>
      <w:bookmarkStart w:id="41" w:name="_Toc20141_WPSOffice_Level2"/>
      <w:bookmarkStart w:id="42" w:name="_Toc30400_WPSOffice_Level2"/>
      <w:bookmarkStart w:id="43" w:name="_Toc21125"/>
      <w:r>
        <w:rPr>
          <w:rFonts w:hint="eastAsia" w:ascii="华文仿宋" w:hAnsi="华文仿宋" w:cs="华文仿宋"/>
          <w:color w:val="auto"/>
        </w:rPr>
        <w:t>1、《关于在政府采购活动中查询及使用信用记录有关问题的通知》（财库</w:t>
      </w:r>
      <w:r>
        <w:rPr>
          <w:rFonts w:hint="eastAsia" w:ascii="仿宋" w:hAnsi="仿宋" w:eastAsia="仿宋" w:cs="仿宋"/>
          <w:color w:val="auto"/>
        </w:rPr>
        <w:t>〔2016〕125</w:t>
      </w:r>
      <w:r>
        <w:rPr>
          <w:rFonts w:hint="eastAsia" w:ascii="华文仿宋" w:hAnsi="华文仿宋" w:cs="华文仿宋"/>
          <w:color w:val="auto"/>
        </w:rPr>
        <w:t>号）。</w:t>
      </w:r>
    </w:p>
    <w:p>
      <w:pPr>
        <w:spacing w:line="500" w:lineRule="exact"/>
        <w:ind w:firstLine="566" w:firstLineChars="200"/>
        <w:rPr>
          <w:rFonts w:ascii="华文仿宋" w:hAnsi="华文仿宋" w:cs="华文仿宋"/>
          <w:color w:val="auto"/>
        </w:rPr>
      </w:pPr>
      <w:r>
        <w:rPr>
          <w:rFonts w:hint="eastAsia" w:ascii="华文仿宋" w:hAnsi="华文仿宋" w:cs="华文仿宋"/>
          <w:color w:val="auto"/>
        </w:rPr>
        <w:t>2、《政府采购促进中小企业发展暂行办法》（财库</w:t>
      </w:r>
      <w:r>
        <w:rPr>
          <w:rFonts w:hint="eastAsia" w:ascii="仿宋" w:hAnsi="仿宋" w:eastAsia="仿宋" w:cs="仿宋"/>
          <w:color w:val="auto"/>
        </w:rPr>
        <w:t>〔2011〕181</w:t>
      </w:r>
      <w:r>
        <w:rPr>
          <w:rFonts w:hint="eastAsia" w:ascii="华文仿宋" w:hAnsi="华文仿宋" w:cs="华文仿宋"/>
          <w:color w:val="auto"/>
        </w:rPr>
        <w:t>号）、《关于政府采购支持监狱企业发展有关问题的通知》（财库</w:t>
      </w:r>
      <w:r>
        <w:rPr>
          <w:rFonts w:hint="eastAsia" w:ascii="仿宋" w:hAnsi="仿宋" w:eastAsia="仿宋" w:cs="仿宋"/>
          <w:color w:val="auto"/>
        </w:rPr>
        <w:t>〔2014〕68</w:t>
      </w:r>
      <w:r>
        <w:rPr>
          <w:rFonts w:hint="eastAsia" w:ascii="华文仿宋" w:hAnsi="华文仿宋" w:cs="华文仿宋"/>
          <w:color w:val="auto"/>
        </w:rPr>
        <w:t>号）以及《关于促进残疾人就业政府采购政策的通知》（财库</w:t>
      </w:r>
      <w:r>
        <w:rPr>
          <w:rFonts w:hint="eastAsia" w:ascii="仿宋" w:hAnsi="仿宋" w:eastAsia="仿宋" w:cs="仿宋"/>
          <w:color w:val="auto"/>
        </w:rPr>
        <w:t>〔2017〕141</w:t>
      </w:r>
      <w:r>
        <w:rPr>
          <w:rFonts w:hint="eastAsia" w:ascii="华文仿宋" w:hAnsi="华文仿宋" w:cs="华文仿宋"/>
          <w:color w:val="auto"/>
        </w:rPr>
        <w:t>号）。</w:t>
      </w:r>
    </w:p>
    <w:p>
      <w:pPr>
        <w:spacing w:line="500" w:lineRule="exact"/>
        <w:ind w:firstLine="566" w:firstLineChars="200"/>
        <w:rPr>
          <w:rFonts w:ascii="华文仿宋" w:hAnsi="华文仿宋" w:cs="华文仿宋"/>
          <w:color w:val="auto"/>
        </w:rPr>
      </w:pPr>
      <w:r>
        <w:rPr>
          <w:rFonts w:hint="eastAsia" w:ascii="华文仿宋" w:hAnsi="华文仿宋" w:cs="华文仿宋"/>
          <w:color w:val="auto"/>
        </w:rPr>
        <w:t>3、财政部、国家发展改革委《关于印发〈节能产品政府采购实施意见〉的通知》（财库</w:t>
      </w:r>
      <w:r>
        <w:rPr>
          <w:rFonts w:hint="eastAsia" w:ascii="仿宋" w:hAnsi="仿宋" w:eastAsia="仿宋" w:cs="仿宋"/>
          <w:color w:val="auto"/>
        </w:rPr>
        <w:t>〔2004〕185</w:t>
      </w:r>
      <w:r>
        <w:rPr>
          <w:rFonts w:hint="eastAsia" w:ascii="华文仿宋" w:hAnsi="华文仿宋" w:cs="华文仿宋"/>
          <w:color w:val="auto"/>
        </w:rPr>
        <w:t>号）、财政部、国家环保总局联合印发《关于环境标志产品政府采购实施的意见》（财库</w:t>
      </w:r>
      <w:r>
        <w:rPr>
          <w:rFonts w:hint="eastAsia" w:ascii="仿宋" w:hAnsi="仿宋" w:eastAsia="仿宋" w:cs="仿宋"/>
          <w:color w:val="auto"/>
        </w:rPr>
        <w:t>〔2006〕90</w:t>
      </w:r>
      <w:r>
        <w:rPr>
          <w:rFonts w:hint="eastAsia" w:ascii="华文仿宋" w:hAnsi="华文仿宋" w:cs="华文仿宋"/>
          <w:color w:val="auto"/>
        </w:rPr>
        <w:t>号）、国务院办公厅《关于建立政府强制采购节能产品制度的通知》（国办发</w:t>
      </w:r>
      <w:r>
        <w:rPr>
          <w:rFonts w:hint="eastAsia" w:ascii="仿宋" w:hAnsi="仿宋" w:eastAsia="仿宋" w:cs="仿宋"/>
          <w:color w:val="auto"/>
        </w:rPr>
        <w:t>〔2007〕51</w:t>
      </w:r>
      <w:r>
        <w:rPr>
          <w:rFonts w:hint="eastAsia" w:ascii="华文仿宋" w:hAnsi="华文仿宋" w:cs="华文仿宋"/>
          <w:color w:val="auto"/>
        </w:rPr>
        <w:t>号）、财政部、国家发改委、生态环境部、市场监督总局联合印发《关于调整优化节能产品、环境标志产品政府采购执行机制的通知》（财库</w:t>
      </w:r>
      <w:r>
        <w:rPr>
          <w:rFonts w:ascii="宋体" w:hAnsi="宋体" w:eastAsia="宋体" w:cs="宋体"/>
          <w:color w:val="auto"/>
        </w:rPr>
        <w:t>〔</w:t>
      </w:r>
      <w:r>
        <w:rPr>
          <w:rFonts w:hint="eastAsia" w:ascii="仿宋" w:hAnsi="仿宋" w:eastAsia="仿宋" w:cs="仿宋"/>
          <w:color w:val="auto"/>
        </w:rPr>
        <w:t>2019</w:t>
      </w:r>
      <w:r>
        <w:rPr>
          <w:rFonts w:ascii="宋体" w:hAnsi="宋体" w:eastAsia="宋体" w:cs="宋体"/>
          <w:color w:val="auto"/>
        </w:rPr>
        <w:t>〕</w:t>
      </w:r>
      <w:r>
        <w:rPr>
          <w:rFonts w:hint="eastAsia" w:ascii="仿宋" w:hAnsi="仿宋" w:eastAsia="仿宋" w:cs="仿宋"/>
          <w:color w:val="auto"/>
        </w:rPr>
        <w:t>9</w:t>
      </w:r>
      <w:r>
        <w:rPr>
          <w:rFonts w:hint="eastAsia" w:ascii="华文仿宋" w:hAnsi="华文仿宋" w:cs="华文仿宋"/>
          <w:color w:val="auto"/>
        </w:rPr>
        <w:t>号</w:t>
      </w:r>
      <w:r>
        <w:rPr>
          <w:rFonts w:ascii="宋体" w:hAnsi="宋体" w:eastAsia="宋体" w:cs="宋体"/>
          <w:color w:val="auto"/>
        </w:rPr>
        <w:t>）</w:t>
      </w:r>
      <w:r>
        <w:rPr>
          <w:rFonts w:hint="eastAsia" w:ascii="华文仿宋" w:hAnsi="华文仿宋" w:cs="华文仿宋"/>
          <w:color w:val="auto"/>
        </w:rPr>
        <w:t>。</w:t>
      </w:r>
    </w:p>
    <w:p>
      <w:pPr>
        <w:spacing w:line="500" w:lineRule="exact"/>
        <w:ind w:firstLine="566" w:firstLineChars="200"/>
        <w:rPr>
          <w:rFonts w:ascii="华文仿宋" w:hAnsi="华文仿宋" w:cs="华文仿宋"/>
          <w:color w:val="auto"/>
        </w:rPr>
      </w:pPr>
      <w:r>
        <w:rPr>
          <w:rFonts w:hint="eastAsia" w:ascii="仿宋" w:hAnsi="仿宋" w:eastAsia="仿宋" w:cs="仿宋"/>
          <w:color w:val="auto"/>
        </w:rPr>
        <w:t>4</w:t>
      </w:r>
      <w:r>
        <w:rPr>
          <w:rFonts w:hint="eastAsia" w:ascii="华文仿宋" w:hAnsi="华文仿宋" w:cs="华文仿宋"/>
          <w:color w:val="auto"/>
        </w:rPr>
        <w:t>、详见《供应商须知》中“落实的政府采购政策”有关内容。</w:t>
      </w:r>
    </w:p>
    <w:p>
      <w:pPr>
        <w:spacing w:line="500" w:lineRule="exact"/>
        <w:ind w:firstLine="566" w:firstLineChars="200"/>
        <w:rPr>
          <w:b/>
          <w:bCs/>
          <w:color w:val="auto"/>
        </w:rPr>
      </w:pPr>
      <w:r>
        <w:rPr>
          <w:rFonts w:hint="eastAsia"/>
          <w:b/>
          <w:bCs/>
          <w:color w:val="auto"/>
        </w:rPr>
        <w:t>十、</w:t>
      </w:r>
      <w:bookmarkEnd w:id="40"/>
      <w:bookmarkEnd w:id="41"/>
      <w:bookmarkEnd w:id="42"/>
      <w:bookmarkEnd w:id="43"/>
      <w:r>
        <w:rPr>
          <w:rFonts w:hint="eastAsia"/>
          <w:b/>
          <w:bCs/>
          <w:color w:val="auto"/>
        </w:rPr>
        <w:t>磋商文件获取方式及公告期限</w:t>
      </w:r>
    </w:p>
    <w:p>
      <w:pPr>
        <w:wordWrap w:val="0"/>
        <w:spacing w:line="500" w:lineRule="exact"/>
        <w:ind w:firstLine="566" w:firstLineChars="200"/>
        <w:rPr>
          <w:rFonts w:ascii="仿宋" w:hAnsi="仿宋" w:eastAsia="仿宋" w:cs="仿宋"/>
          <w:bCs/>
          <w:color w:val="auto"/>
        </w:rPr>
      </w:pPr>
      <w:bookmarkStart w:id="44" w:name="_Toc26982_WPSOffice_Level2"/>
      <w:bookmarkStart w:id="45" w:name="_Toc26863_WPSOffice_Level2"/>
      <w:bookmarkStart w:id="46" w:name="_Toc27420_WPSOffice_Level2"/>
      <w:bookmarkStart w:id="47" w:name="_Toc20847"/>
      <w:r>
        <w:rPr>
          <w:rFonts w:hint="eastAsia" w:ascii="仿宋" w:hAnsi="仿宋" w:eastAsia="仿宋" w:cs="仿宋"/>
          <w:bCs/>
          <w:color w:val="auto"/>
        </w:rPr>
        <w:t>１、</w:t>
      </w:r>
      <w:r>
        <w:rPr>
          <w:rFonts w:hint="eastAsia" w:ascii="华文仿宋" w:hAnsi="华文仿宋" w:cs="华文仿宋"/>
          <w:bCs/>
          <w:color w:val="auto"/>
        </w:rPr>
        <w:t>获取方式：供应商可登录全国公共资源交易平台（陕西省）（http://www.sxggzyjy.cn/），选择“电子交易平台—陕西政府采购交易系统—企业端”进行登录，登录后选择“交易乙方”身份进入供应商界面后，选择有意向的项目点击“我要投标”，参与投标活动。然后即可在〖我的项目〗中点击“项目流程&gt;交易文件下载”免费下载电子磋商文件</w:t>
      </w:r>
      <w:r>
        <w:rPr>
          <w:rFonts w:hint="eastAsia" w:ascii="华文仿宋" w:hAnsi="华文仿宋" w:eastAsia="华文仿宋" w:cs="华文仿宋"/>
          <w:color w:val="auto"/>
          <w:highlight w:val="none"/>
        </w:rPr>
        <w:t>（*.SXSZF）</w:t>
      </w:r>
      <w:r>
        <w:rPr>
          <w:rFonts w:hint="eastAsia" w:ascii="华文仿宋" w:hAnsi="华文仿宋" w:cs="华文仿宋"/>
          <w:bCs/>
          <w:color w:val="auto"/>
        </w:rPr>
        <w:t>。</w:t>
      </w:r>
    </w:p>
    <w:p>
      <w:pPr>
        <w:spacing w:line="500" w:lineRule="exact"/>
        <w:ind w:firstLine="566" w:firstLineChars="200"/>
        <w:rPr>
          <w:rFonts w:ascii="华文仿宋" w:hAnsi="华文仿宋" w:cs="华文仿宋"/>
          <w:bCs/>
          <w:color w:val="auto"/>
        </w:rPr>
      </w:pPr>
      <w:r>
        <w:rPr>
          <w:rFonts w:hint="eastAsia" w:ascii="仿宋" w:hAnsi="仿宋" w:eastAsia="仿宋" w:cs="仿宋"/>
          <w:bCs/>
          <w:color w:val="auto"/>
        </w:rPr>
        <w:t>2、</w:t>
      </w:r>
      <w:r>
        <w:rPr>
          <w:rFonts w:hint="eastAsia" w:ascii="华文仿宋" w:hAnsi="华文仿宋" w:cs="华文仿宋"/>
          <w:bCs/>
          <w:color w:val="auto"/>
        </w:rPr>
        <w:t>获取时间：采购公告发布后至开标前</w:t>
      </w:r>
    </w:p>
    <w:p>
      <w:pPr>
        <w:spacing w:line="500" w:lineRule="exact"/>
        <w:ind w:firstLine="566" w:firstLineChars="200"/>
        <w:rPr>
          <w:rFonts w:ascii="华文仿宋" w:hAnsi="华文仿宋" w:cs="华文仿宋"/>
          <w:bCs/>
          <w:color w:val="auto"/>
        </w:rPr>
      </w:pPr>
      <w:r>
        <w:rPr>
          <w:rFonts w:hint="eastAsia" w:ascii="仿宋" w:hAnsi="仿宋" w:eastAsia="仿宋" w:cs="仿宋"/>
          <w:bCs/>
          <w:color w:val="auto"/>
        </w:rPr>
        <w:t>3、</w:t>
      </w:r>
      <w:r>
        <w:rPr>
          <w:rFonts w:hint="eastAsia" w:ascii="华文仿宋" w:hAnsi="华文仿宋" w:cs="华文仿宋"/>
          <w:bCs/>
          <w:color w:val="auto"/>
        </w:rPr>
        <w:t>供应商初次使用交易平台，须先完成诚信入库登记、数字认证证书（CA锁）认证及企业信息绑定。相关操作流程详见全国公共资源交易平台（陕西省）网站〖首页·〉服务指南·〉下载专区〗中的《陕西省公共资源交易中心政府采购项目投标指南》。</w:t>
      </w:r>
    </w:p>
    <w:p>
      <w:pPr>
        <w:wordWrap w:val="0"/>
        <w:spacing w:line="500" w:lineRule="exact"/>
        <w:ind w:firstLine="566" w:firstLineChars="200"/>
        <w:rPr>
          <w:rFonts w:hint="eastAsia" w:ascii="华文仿宋" w:hAnsi="华文仿宋" w:cs="华文仿宋"/>
          <w:bCs/>
          <w:color w:val="auto"/>
        </w:rPr>
      </w:pPr>
      <w:r>
        <w:rPr>
          <w:rFonts w:hint="eastAsia" w:ascii="仿宋" w:hAnsi="仿宋" w:eastAsia="仿宋" w:cs="仿宋"/>
          <w:bCs/>
          <w:color w:val="auto"/>
        </w:rPr>
        <w:t>４、</w:t>
      </w:r>
      <w:r>
        <w:rPr>
          <w:rFonts w:hint="eastAsia" w:ascii="华文仿宋" w:hAnsi="华文仿宋" w:cs="华文仿宋"/>
          <w:bCs/>
          <w:color w:val="auto"/>
        </w:rPr>
        <w:t>数字认证证书（CA锁）办理流程可参照https://www.snca.com.cn/notice/show/533.html，现场办理地址：西安市长安北路14号省公共资源交易中心一楼办理大厅3、4号窗口，咨询电话：</w:t>
      </w:r>
      <w:r>
        <w:rPr>
          <w:rFonts w:hint="eastAsia" w:ascii="仿宋" w:hAnsi="仿宋" w:eastAsia="仿宋" w:cs="仿宋"/>
          <w:bCs/>
          <w:color w:val="auto"/>
        </w:rPr>
        <w:t>029-88661241</w:t>
      </w:r>
      <w:r>
        <w:rPr>
          <w:rFonts w:hint="eastAsia" w:ascii="华文仿宋" w:hAnsi="华文仿宋" w:cs="华文仿宋"/>
          <w:bCs/>
          <w:color w:val="auto"/>
        </w:rPr>
        <w:t>。疫情期间数字认证证书（CA锁）新办及续费可使用网上受理邮寄领取的方式办理，详见http://www.sxggzyjy.cn/xwzx/002002/20200218/79d68d76-7e82-44b0-8b8b-cb07d0658787.html。</w:t>
      </w:r>
    </w:p>
    <w:p>
      <w:pPr>
        <w:pStyle w:val="22"/>
        <w:spacing w:line="500" w:lineRule="exact"/>
        <w:ind w:firstLine="566" w:firstLineChars="200"/>
        <w:rPr>
          <w:color w:val="0000FF"/>
        </w:rPr>
      </w:pPr>
      <w:r>
        <w:rPr>
          <w:rFonts w:hint="eastAsia" w:ascii="华文仿宋" w:hAnsi="华文仿宋" w:cs="华文仿宋"/>
          <w:bCs/>
          <w:color w:val="auto"/>
          <w:sz w:val="28"/>
          <w:szCs w:val="28"/>
          <w:highlight w:val="none"/>
        </w:rPr>
        <w:t>5、招标文件的公告期限：</w:t>
      </w:r>
      <w:r>
        <w:rPr>
          <w:rFonts w:ascii="仿宋" w:hAnsi="仿宋" w:eastAsia="仿宋" w:cs="仿宋"/>
          <w:bCs/>
          <w:color w:val="auto"/>
          <w:sz w:val="28"/>
          <w:szCs w:val="28"/>
          <w:highlight w:val="none"/>
        </w:rPr>
        <w:t>2020年</w:t>
      </w:r>
      <w:r>
        <w:rPr>
          <w:rFonts w:hint="eastAsia" w:ascii="仿宋" w:hAnsi="仿宋" w:eastAsia="仿宋" w:cs="仿宋"/>
          <w:bCs/>
          <w:color w:val="auto"/>
          <w:sz w:val="28"/>
          <w:szCs w:val="28"/>
          <w:highlight w:val="none"/>
          <w:lang w:val="en-US" w:eastAsia="zh-CN"/>
        </w:rPr>
        <w:t>9</w:t>
      </w:r>
      <w:r>
        <w:rPr>
          <w:rFonts w:ascii="仿宋" w:hAnsi="仿宋" w:eastAsia="仿宋" w:cs="仿宋"/>
          <w:bCs/>
          <w:color w:val="auto"/>
          <w:sz w:val="28"/>
          <w:szCs w:val="28"/>
          <w:highlight w:val="none"/>
        </w:rPr>
        <w:t>月</w:t>
      </w:r>
      <w:r>
        <w:rPr>
          <w:rFonts w:hint="eastAsia" w:ascii="仿宋" w:hAnsi="仿宋" w:eastAsia="仿宋" w:cs="仿宋"/>
          <w:bCs/>
          <w:color w:val="auto"/>
          <w:sz w:val="28"/>
          <w:szCs w:val="28"/>
          <w:highlight w:val="none"/>
          <w:lang w:val="en-US" w:eastAsia="zh-CN"/>
        </w:rPr>
        <w:t>15</w:t>
      </w:r>
      <w:r>
        <w:rPr>
          <w:rFonts w:ascii="仿宋" w:hAnsi="仿宋" w:eastAsia="仿宋" w:cs="仿宋"/>
          <w:bCs/>
          <w:color w:val="auto"/>
          <w:sz w:val="28"/>
          <w:szCs w:val="28"/>
          <w:highlight w:val="none"/>
        </w:rPr>
        <w:t>日</w:t>
      </w:r>
      <w:r>
        <w:rPr>
          <w:rFonts w:hint="eastAsia" w:ascii="仿宋" w:hAnsi="仿宋" w:eastAsia="仿宋" w:cs="仿宋"/>
          <w:bCs/>
          <w:color w:val="auto"/>
          <w:sz w:val="28"/>
          <w:szCs w:val="28"/>
          <w:highlight w:val="none"/>
        </w:rPr>
        <w:t>至2020年</w:t>
      </w:r>
      <w:r>
        <w:rPr>
          <w:rFonts w:hint="eastAsia" w:ascii="仿宋" w:hAnsi="仿宋" w:eastAsia="仿宋" w:cs="仿宋"/>
          <w:bCs/>
          <w:color w:val="auto"/>
          <w:sz w:val="28"/>
          <w:szCs w:val="28"/>
          <w:highlight w:val="none"/>
          <w:lang w:val="en-US" w:eastAsia="zh-CN"/>
        </w:rPr>
        <w:t>9</w:t>
      </w:r>
      <w:r>
        <w:rPr>
          <w:rFonts w:hint="eastAsia" w:ascii="仿宋" w:hAnsi="仿宋" w:eastAsia="仿宋" w:cs="仿宋"/>
          <w:bCs/>
          <w:color w:val="auto"/>
          <w:sz w:val="28"/>
          <w:szCs w:val="28"/>
          <w:highlight w:val="none"/>
        </w:rPr>
        <w:t>月</w:t>
      </w:r>
      <w:r>
        <w:rPr>
          <w:rFonts w:hint="eastAsia" w:ascii="仿宋" w:hAnsi="仿宋" w:eastAsia="仿宋" w:cs="仿宋"/>
          <w:bCs/>
          <w:color w:val="auto"/>
          <w:sz w:val="28"/>
          <w:szCs w:val="28"/>
          <w:highlight w:val="none"/>
          <w:lang w:val="en-US" w:eastAsia="zh-CN"/>
        </w:rPr>
        <w:t>21</w:t>
      </w:r>
      <w:r>
        <w:rPr>
          <w:rFonts w:hint="eastAsia" w:ascii="仿宋" w:hAnsi="仿宋" w:eastAsia="仿宋" w:cs="仿宋"/>
          <w:bCs/>
          <w:color w:val="auto"/>
          <w:sz w:val="28"/>
          <w:szCs w:val="28"/>
          <w:highlight w:val="none"/>
        </w:rPr>
        <w:t>日</w:t>
      </w:r>
    </w:p>
    <w:p>
      <w:pPr>
        <w:spacing w:line="500" w:lineRule="exact"/>
        <w:ind w:firstLine="566" w:firstLineChars="200"/>
        <w:rPr>
          <w:b/>
          <w:bCs/>
          <w:color w:val="auto"/>
        </w:rPr>
      </w:pPr>
      <w:r>
        <w:rPr>
          <w:rFonts w:hint="eastAsia"/>
          <w:b/>
          <w:bCs/>
          <w:color w:val="auto"/>
        </w:rPr>
        <w:t>十一、交纳磋商保证金</w:t>
      </w:r>
      <w:bookmarkEnd w:id="44"/>
      <w:bookmarkEnd w:id="45"/>
      <w:bookmarkEnd w:id="46"/>
      <w:bookmarkEnd w:id="47"/>
    </w:p>
    <w:p>
      <w:pPr>
        <w:autoSpaceDE w:val="0"/>
        <w:autoSpaceDN w:val="0"/>
        <w:adjustRightInd w:val="0"/>
        <w:snapToGrid w:val="0"/>
        <w:spacing w:line="500" w:lineRule="exact"/>
        <w:ind w:firstLine="566" w:firstLineChars="200"/>
        <w:rPr>
          <w:rFonts w:ascii="华文仿宋" w:hAnsi="华文仿宋" w:cs="华文仿宋"/>
          <w:color w:val="auto"/>
        </w:rPr>
      </w:pPr>
      <w:r>
        <w:rPr>
          <w:rFonts w:hint="eastAsia" w:ascii="华文仿宋" w:hAnsi="华文仿宋" w:cs="华文仿宋"/>
          <w:color w:val="auto"/>
          <w:lang w:val="zh-CN"/>
        </w:rPr>
        <w:t>供应商应在响应文件提交截止</w:t>
      </w:r>
      <w:r>
        <w:rPr>
          <w:rFonts w:hint="eastAsia" w:ascii="华文仿宋" w:hAnsi="华文仿宋" w:cs="华文仿宋"/>
          <w:color w:val="auto"/>
        </w:rPr>
        <w:t>时间</w:t>
      </w:r>
      <w:r>
        <w:rPr>
          <w:rFonts w:hint="eastAsia" w:ascii="华文仿宋" w:hAnsi="华文仿宋" w:cs="华文仿宋"/>
          <w:color w:val="auto"/>
          <w:lang w:val="zh-CN"/>
        </w:rPr>
        <w:t>前向陕西省</w:t>
      </w:r>
      <w:r>
        <w:rPr>
          <w:rFonts w:hint="eastAsia" w:ascii="华文仿宋" w:hAnsi="华文仿宋" w:cs="华文仿宋"/>
          <w:color w:val="auto"/>
          <w:lang w:val="en-US" w:eastAsia="zh-CN"/>
        </w:rPr>
        <w:t>公共资源交易</w:t>
      </w:r>
      <w:r>
        <w:rPr>
          <w:rFonts w:hint="eastAsia" w:ascii="华文仿宋" w:hAnsi="华文仿宋" w:cs="华文仿宋"/>
          <w:color w:val="auto"/>
          <w:lang w:val="zh-CN"/>
        </w:rPr>
        <w:t>中心</w:t>
      </w:r>
      <w:r>
        <w:rPr>
          <w:rFonts w:hint="eastAsia" w:ascii="仿宋" w:hAnsi="仿宋" w:eastAsia="仿宋" w:cs="仿宋"/>
          <w:color w:val="auto"/>
        </w:rPr>
        <w:t>一次性足额</w:t>
      </w:r>
      <w:r>
        <w:rPr>
          <w:rFonts w:hint="eastAsia" w:ascii="华文仿宋" w:hAnsi="华文仿宋" w:cs="华文仿宋"/>
          <w:color w:val="auto"/>
          <w:lang w:val="zh-CN"/>
        </w:rPr>
        <w:t>交纳</w:t>
      </w:r>
      <w:r>
        <w:rPr>
          <w:rFonts w:hint="eastAsia" w:ascii="华文仿宋" w:hAnsi="华文仿宋" w:cs="华文仿宋"/>
          <w:b/>
          <w:bCs/>
          <w:color w:val="auto"/>
          <w:lang w:val="en-US" w:eastAsia="zh-CN"/>
        </w:rPr>
        <w:t>伍</w:t>
      </w:r>
      <w:r>
        <w:rPr>
          <w:rFonts w:hint="eastAsia" w:ascii="华文仿宋" w:hAnsi="华文仿宋" w:cs="华文仿宋"/>
          <w:b/>
          <w:bCs/>
          <w:color w:val="auto"/>
          <w:lang w:val="zh-CN" w:eastAsia="zh-CN"/>
        </w:rPr>
        <w:t>万元整</w:t>
      </w:r>
      <w:r>
        <w:rPr>
          <w:rFonts w:hint="eastAsia" w:ascii="华文仿宋" w:hAnsi="华文仿宋" w:cs="华文仿宋"/>
          <w:b/>
          <w:bCs/>
          <w:color w:val="auto"/>
        </w:rPr>
        <w:t>（</w:t>
      </w:r>
      <w:r>
        <w:rPr>
          <w:rFonts w:hint="eastAsia" w:ascii="仿宋" w:hAnsi="仿宋" w:eastAsia="仿宋"/>
          <w:b/>
          <w:bCs/>
          <w:color w:val="auto"/>
          <w:lang w:val="zh-CN"/>
        </w:rPr>
        <w:t>￥</w:t>
      </w:r>
      <w:r>
        <w:rPr>
          <w:rFonts w:hint="eastAsia" w:ascii="仿宋" w:hAnsi="仿宋" w:eastAsia="仿宋" w:cs="仿宋"/>
          <w:b/>
          <w:bCs/>
          <w:color w:val="auto"/>
          <w:kern w:val="2"/>
          <w:sz w:val="28"/>
          <w:szCs w:val="28"/>
          <w:lang w:val="en-US" w:eastAsia="zh-CN" w:bidi="ar-SA"/>
        </w:rPr>
        <w:t>50000</w:t>
      </w:r>
      <w:r>
        <w:rPr>
          <w:rFonts w:hint="eastAsia" w:ascii="华文仿宋" w:hAnsi="华文仿宋" w:cs="华文仿宋"/>
          <w:b/>
          <w:bCs/>
          <w:color w:val="auto"/>
        </w:rPr>
        <w:t>元）</w:t>
      </w:r>
      <w:r>
        <w:rPr>
          <w:rFonts w:hint="eastAsia" w:ascii="华文仿宋" w:hAnsi="华文仿宋" w:cs="华文仿宋"/>
          <w:b w:val="0"/>
          <w:bCs w:val="0"/>
          <w:color w:val="auto"/>
          <w:lang w:eastAsia="zh-CN"/>
        </w:rPr>
        <w:t>的</w:t>
      </w:r>
      <w:r>
        <w:rPr>
          <w:rFonts w:hint="eastAsia" w:ascii="华文仿宋" w:hAnsi="华文仿宋" w:cs="华文仿宋"/>
          <w:color w:val="auto"/>
          <w:lang w:val="zh-CN"/>
        </w:rPr>
        <w:t>磋商保证金。保证金应当采用转账、网上银行支付或者银行出具的保函等非现金形式交纳。保证金以转账、网上银行支付等方式交纳的，应</w:t>
      </w:r>
      <w:r>
        <w:rPr>
          <w:rFonts w:hint="eastAsia" w:ascii="仿宋" w:hAnsi="仿宋" w:eastAsia="仿宋" w:cs="仿宋"/>
          <w:color w:val="auto"/>
        </w:rPr>
        <w:t>一次性足额</w:t>
      </w:r>
      <w:r>
        <w:rPr>
          <w:rFonts w:hint="eastAsia" w:ascii="华文仿宋" w:hAnsi="华文仿宋" w:cs="华文仿宋"/>
          <w:color w:val="auto"/>
          <w:lang w:val="zh-CN"/>
        </w:rPr>
        <w:t>交纳，到账时间以陕西省公共资源交易中心开户银行确认的收款时间为准；</w:t>
      </w:r>
      <w:r>
        <w:rPr>
          <w:rFonts w:hint="eastAsia" w:ascii="华文仿宋" w:hAnsi="华文仿宋" w:cs="华文仿宋"/>
          <w:lang w:val="zh-CN"/>
        </w:rPr>
        <w:t>保证金以纸质银行保函方式交纳的，供应商应在开标前将保函提交给采购人，由采购人对保函的真伪及相关内容进行核实并确认，到账时间以采购人开具回执时间为准；</w:t>
      </w:r>
      <w:r>
        <w:rPr>
          <w:rFonts w:hint="eastAsia" w:ascii="华文仿宋" w:hAnsi="华文仿宋" w:cs="华文仿宋"/>
          <w:color w:val="auto"/>
          <w:lang w:val="zh-CN"/>
        </w:rPr>
        <w:t>保证金以电子保函方式交纳的，供应商应在电子保函系统中提交申请（目前支持招商银行），到账时间以银行开具的电子保函时间为准。</w:t>
      </w:r>
    </w:p>
    <w:p>
      <w:pPr>
        <w:adjustRightInd w:val="0"/>
        <w:snapToGrid w:val="0"/>
        <w:spacing w:line="500" w:lineRule="exact"/>
        <w:ind w:firstLine="566" w:firstLineChars="200"/>
        <w:rPr>
          <w:rFonts w:ascii="华文仿宋" w:hAnsi="华文仿宋" w:cs="华文仿宋"/>
          <w:b/>
          <w:bCs/>
          <w:color w:val="auto"/>
        </w:rPr>
      </w:pPr>
      <w:r>
        <w:rPr>
          <w:rFonts w:hint="eastAsia" w:ascii="华文仿宋" w:hAnsi="华文仿宋" w:cs="华文仿宋"/>
          <w:b/>
          <w:bCs/>
          <w:color w:val="auto"/>
        </w:rPr>
        <w:t>开户银行：</w:t>
      </w:r>
      <w:r>
        <w:rPr>
          <w:rFonts w:hint="eastAsia" w:ascii="华文仿宋" w:hAnsi="华文仿宋" w:eastAsia="华文仿宋" w:cs="华文仿宋"/>
          <w:b/>
          <w:bCs/>
          <w:color w:val="auto"/>
          <w:sz w:val="28"/>
          <w:szCs w:val="28"/>
        </w:rPr>
        <w:t>长安银行西安长安北路小微支行</w:t>
      </w:r>
    </w:p>
    <w:p>
      <w:pPr>
        <w:adjustRightInd w:val="0"/>
        <w:snapToGrid w:val="0"/>
        <w:spacing w:line="500" w:lineRule="exact"/>
        <w:ind w:firstLine="566" w:firstLineChars="200"/>
        <w:rPr>
          <w:rFonts w:hint="eastAsia" w:ascii="华文仿宋" w:hAnsi="华文仿宋" w:cs="华文仿宋"/>
          <w:b/>
          <w:bCs/>
          <w:color w:val="auto"/>
          <w:lang w:val="zh-CN"/>
        </w:rPr>
      </w:pPr>
      <w:r>
        <w:rPr>
          <w:rFonts w:hint="eastAsia" w:ascii="华文仿宋" w:hAnsi="华文仿宋" w:cs="华文仿宋"/>
          <w:b/>
          <w:bCs/>
          <w:color w:val="auto"/>
        </w:rPr>
        <w:t>账户名称</w:t>
      </w:r>
      <w:r>
        <w:rPr>
          <w:rFonts w:hint="eastAsia" w:ascii="华文仿宋" w:hAnsi="华文仿宋" w:cs="华文仿宋"/>
          <w:color w:val="auto"/>
        </w:rPr>
        <w:t>：</w:t>
      </w:r>
      <w:r>
        <w:rPr>
          <w:rFonts w:hint="eastAsia" w:ascii="华文仿宋" w:hAnsi="华文仿宋" w:cs="华文仿宋"/>
          <w:b/>
          <w:bCs/>
          <w:color w:val="auto"/>
          <w:lang w:val="zh-CN"/>
        </w:rPr>
        <w:t>陕西省公共资源交易中心（资金性质：交易保证金专户）</w:t>
      </w:r>
    </w:p>
    <w:p>
      <w:pPr>
        <w:pStyle w:val="15"/>
        <w:spacing w:line="500" w:lineRule="exact"/>
        <w:ind w:firstLine="849" w:firstLineChars="300"/>
        <w:rPr>
          <w:rFonts w:hint="eastAsia" w:ascii="仿宋" w:hAnsi="仿宋" w:eastAsia="仿宋" w:cs="仿宋"/>
          <w:b/>
          <w:bCs/>
          <w:color w:val="auto"/>
          <w:sz w:val="28"/>
          <w:szCs w:val="28"/>
          <w:lang w:val="zh-CN"/>
        </w:rPr>
      </w:pPr>
      <w:r>
        <w:rPr>
          <w:rFonts w:hint="eastAsia" w:ascii="华文仿宋" w:hAnsi="华文仿宋" w:cs="华文仿宋"/>
          <w:b/>
          <w:bCs/>
          <w:color w:val="auto"/>
          <w:sz w:val="28"/>
          <w:lang w:val="zh-CN"/>
        </w:rPr>
        <w:t>子账号：</w:t>
      </w:r>
      <w:r>
        <w:rPr>
          <w:rFonts w:hint="eastAsia" w:ascii="仿宋" w:hAnsi="仿宋" w:eastAsia="仿宋" w:cs="仿宋"/>
          <w:b/>
          <w:bCs/>
          <w:color w:val="auto"/>
          <w:sz w:val="28"/>
          <w:szCs w:val="28"/>
        </w:rPr>
        <w:t>80691050142888888802524</w:t>
      </w:r>
    </w:p>
    <w:p>
      <w:pPr>
        <w:autoSpaceDE w:val="0"/>
        <w:autoSpaceDN w:val="0"/>
        <w:adjustRightInd w:val="0"/>
        <w:snapToGrid w:val="0"/>
        <w:ind w:firstLine="426" w:firstLineChars="200"/>
        <w:rPr>
          <w:rFonts w:ascii="宋体" w:hAnsi="宋体" w:eastAsia="宋体" w:cs="宋体"/>
          <w:b/>
          <w:bCs/>
          <w:color w:val="auto"/>
          <w:sz w:val="21"/>
          <w:szCs w:val="21"/>
        </w:rPr>
      </w:pPr>
      <w:r>
        <w:rPr>
          <w:rFonts w:hint="eastAsia" w:ascii="宋体" w:hAnsi="宋体" w:eastAsia="宋体" w:cs="宋体"/>
          <w:b/>
          <w:bCs/>
          <w:color w:val="auto"/>
          <w:sz w:val="21"/>
          <w:szCs w:val="21"/>
          <w:lang w:val="en-US" w:eastAsia="zh-CN"/>
        </w:rPr>
        <w:t>备</w:t>
      </w:r>
      <w:r>
        <w:rPr>
          <w:rFonts w:hint="eastAsia" w:ascii="宋体" w:hAnsi="宋体" w:eastAsia="宋体" w:cs="宋体"/>
          <w:b/>
          <w:bCs/>
          <w:color w:val="auto"/>
          <w:sz w:val="21"/>
          <w:szCs w:val="21"/>
        </w:rPr>
        <w:t>注：</w:t>
      </w:r>
      <w:r>
        <w:rPr>
          <w:rFonts w:hint="eastAsia" w:ascii="仿宋" w:hAnsi="仿宋" w:eastAsia="仿宋" w:cs="仿宋"/>
          <w:b/>
          <w:bCs/>
          <w:color w:val="auto"/>
          <w:sz w:val="21"/>
          <w:szCs w:val="21"/>
        </w:rPr>
        <w:t>1</w:t>
      </w:r>
      <w:r>
        <w:rPr>
          <w:rFonts w:hint="eastAsia" w:ascii="宋体" w:hAnsi="宋体" w:eastAsia="宋体" w:cs="宋体"/>
          <w:b/>
          <w:bCs/>
          <w:color w:val="auto"/>
          <w:sz w:val="21"/>
          <w:szCs w:val="21"/>
        </w:rPr>
        <w:t>、账户名称“</w:t>
      </w:r>
      <w:r>
        <w:rPr>
          <w:rFonts w:hint="eastAsia" w:ascii="宋体" w:hAnsi="宋体" w:eastAsia="宋体" w:cs="宋体"/>
          <w:b/>
          <w:bCs/>
          <w:color w:val="auto"/>
          <w:sz w:val="21"/>
          <w:szCs w:val="21"/>
          <w:u w:val="single"/>
        </w:rPr>
        <w:t>陕西省公共资源交易中心（资金性质：交易保证金专户）</w:t>
      </w:r>
      <w:r>
        <w:rPr>
          <w:rFonts w:hint="eastAsia" w:ascii="宋体" w:hAnsi="宋体" w:eastAsia="宋体" w:cs="宋体"/>
          <w:b/>
          <w:bCs/>
          <w:color w:val="auto"/>
          <w:sz w:val="21"/>
          <w:szCs w:val="21"/>
        </w:rPr>
        <w:t>”要用全称，包含括号里的内容，标点符号为中文字符；</w:t>
      </w:r>
    </w:p>
    <w:p>
      <w:pPr>
        <w:pStyle w:val="10"/>
        <w:numPr>
          <w:ilvl w:val="0"/>
          <w:numId w:val="1"/>
        </w:numPr>
        <w:ind w:firstLine="426" w:firstLineChars="200"/>
        <w:rPr>
          <w:rFonts w:hint="eastAsia" w:ascii="宋体" w:hAnsi="宋体" w:eastAsia="宋体" w:cs="宋体"/>
          <w:b/>
          <w:bCs/>
          <w:color w:val="auto"/>
          <w:sz w:val="21"/>
          <w:szCs w:val="21"/>
        </w:rPr>
      </w:pPr>
      <w:r>
        <w:rPr>
          <w:rFonts w:hint="eastAsia" w:ascii="宋体" w:hAnsi="宋体" w:eastAsia="宋体" w:cs="宋体"/>
          <w:b/>
          <w:bCs/>
          <w:color w:val="auto"/>
          <w:sz w:val="21"/>
          <w:szCs w:val="21"/>
        </w:rPr>
        <w:t>项目如分标段，各标段应严格按照对应的子帐号交纳投标保证金，由于供应商自身原因造成保证金交纳错误的将被视为未按照竞争性磋商文件要求交纳保证金。</w:t>
      </w:r>
    </w:p>
    <w:p>
      <w:pPr>
        <w:numPr>
          <w:ilvl w:val="0"/>
          <w:numId w:val="2"/>
        </w:numPr>
        <w:ind w:firstLine="426" w:firstLineChars="200"/>
        <w:rPr>
          <w:rFonts w:hint="eastAsia" w:ascii="宋体" w:hAnsi="宋体" w:eastAsia="宋体" w:cs="宋体"/>
          <w:b/>
          <w:bCs/>
          <w:color w:val="auto"/>
          <w:sz w:val="21"/>
          <w:szCs w:val="21"/>
        </w:rPr>
      </w:pPr>
      <w:r>
        <w:rPr>
          <w:rFonts w:hint="eastAsia" w:ascii="宋体" w:hAnsi="宋体" w:eastAsia="宋体" w:cs="宋体"/>
          <w:b/>
          <w:bCs/>
          <w:color w:val="auto"/>
          <w:sz w:val="21"/>
          <w:szCs w:val="21"/>
        </w:rPr>
        <w:t>电子保函操作手册详见</w:t>
      </w:r>
    </w:p>
    <w:p>
      <w:pPr>
        <w:numPr>
          <w:ilvl w:val="-1"/>
          <w:numId w:val="0"/>
        </w:numPr>
        <w:ind w:firstLine="426" w:firstLineChars="200"/>
        <w:rPr>
          <w:rFonts w:hint="eastAsia" w:ascii="宋体" w:hAnsi="宋体" w:eastAsia="宋体" w:cs="宋体"/>
          <w:b/>
          <w:bCs/>
          <w:color w:val="auto"/>
          <w:sz w:val="21"/>
          <w:szCs w:val="21"/>
        </w:rPr>
      </w:pPr>
      <w:r>
        <w:rPr>
          <w:rFonts w:hint="eastAsia" w:ascii="宋体" w:hAnsi="宋体" w:eastAsia="宋体" w:cs="宋体"/>
          <w:b/>
          <w:bCs/>
          <w:color w:val="auto"/>
          <w:sz w:val="21"/>
          <w:szCs w:val="21"/>
        </w:rPr>
        <w:t>http://www.sxggzyjy.cn/xwzx/002002/20200527/2cad1083-c76c-465c-beb0-017de9f5bf4e.html。</w:t>
      </w:r>
    </w:p>
    <w:p>
      <w:pPr>
        <w:autoSpaceDE w:val="0"/>
        <w:autoSpaceDN w:val="0"/>
        <w:adjustRightInd w:val="0"/>
        <w:snapToGrid w:val="0"/>
        <w:spacing w:line="500" w:lineRule="exact"/>
        <w:ind w:firstLine="566" w:firstLineChars="200"/>
        <w:rPr>
          <w:rFonts w:hint="eastAsia" w:ascii="华文仿宋" w:hAnsi="华文仿宋" w:eastAsia="华文仿宋" w:cs="华文仿宋"/>
          <w:color w:val="auto"/>
          <w:sz w:val="28"/>
          <w:szCs w:val="28"/>
          <w:highlight w:val="none"/>
        </w:rPr>
      </w:pPr>
      <w:r>
        <w:rPr>
          <w:rFonts w:hint="eastAsia" w:ascii="华文仿宋" w:hAnsi="华文仿宋" w:eastAsia="华文仿宋" w:cs="华文仿宋"/>
          <w:color w:val="auto"/>
          <w:sz w:val="28"/>
          <w:szCs w:val="28"/>
          <w:highlight w:val="none"/>
        </w:rPr>
        <w:t>中心财务处联系方式：</w:t>
      </w:r>
      <w:r>
        <w:rPr>
          <w:rFonts w:hint="eastAsia" w:ascii="仿宋" w:hAnsi="仿宋" w:eastAsia="仿宋" w:cs="仿宋"/>
          <w:color w:val="auto"/>
          <w:sz w:val="28"/>
          <w:szCs w:val="28"/>
          <w:highlight w:val="none"/>
        </w:rPr>
        <w:t>029-88661327    029-88661348</w:t>
      </w:r>
    </w:p>
    <w:p>
      <w:pPr>
        <w:autoSpaceDE w:val="0"/>
        <w:autoSpaceDN w:val="0"/>
        <w:adjustRightInd w:val="0"/>
        <w:snapToGrid w:val="0"/>
        <w:spacing w:line="500" w:lineRule="exact"/>
        <w:ind w:firstLine="566" w:firstLineChars="200"/>
        <w:rPr>
          <w:rFonts w:hint="eastAsia" w:ascii="华文仿宋" w:hAnsi="华文仿宋" w:cs="华文仿宋"/>
          <w:color w:val="auto"/>
          <w:highlight w:val="none"/>
        </w:rPr>
      </w:pPr>
      <w:r>
        <w:rPr>
          <w:rFonts w:hint="eastAsia" w:ascii="华文仿宋" w:hAnsi="华文仿宋" w:eastAsia="华文仿宋" w:cs="华文仿宋"/>
          <w:color w:val="auto"/>
          <w:sz w:val="28"/>
          <w:szCs w:val="28"/>
          <w:highlight w:val="none"/>
        </w:rPr>
        <w:t>长安银行联系方式：</w:t>
      </w:r>
      <w:r>
        <w:rPr>
          <w:rFonts w:hint="eastAsia" w:ascii="仿宋" w:hAnsi="仿宋" w:eastAsia="仿宋" w:cs="仿宋"/>
          <w:color w:val="auto"/>
          <w:sz w:val="28"/>
          <w:szCs w:val="28"/>
          <w:highlight w:val="none"/>
        </w:rPr>
        <w:t>029-82565233    029-82565160</w:t>
      </w:r>
    </w:p>
    <w:p>
      <w:pPr>
        <w:autoSpaceDE w:val="0"/>
        <w:autoSpaceDN w:val="0"/>
        <w:adjustRightInd w:val="0"/>
        <w:snapToGrid w:val="0"/>
        <w:spacing w:line="500" w:lineRule="exact"/>
        <w:ind w:firstLine="566" w:firstLineChars="200"/>
        <w:rPr>
          <w:rFonts w:ascii="华文仿宋" w:hAnsi="华文仿宋" w:cs="华文仿宋"/>
          <w:color w:val="auto"/>
        </w:rPr>
      </w:pPr>
      <w:r>
        <w:rPr>
          <w:rFonts w:hint="eastAsia" w:ascii="华文仿宋" w:hAnsi="华文仿宋" w:cs="华文仿宋"/>
          <w:color w:val="auto"/>
        </w:rPr>
        <w:t>详见磋商文件第二章“磋商保证金”有关内容。</w:t>
      </w:r>
    </w:p>
    <w:p>
      <w:pPr>
        <w:keepNext w:val="0"/>
        <w:keepLines w:val="0"/>
        <w:pageBreakBefore w:val="0"/>
        <w:widowControl/>
        <w:kinsoku/>
        <w:wordWrap/>
        <w:overflowPunct/>
        <w:topLinePunct w:val="0"/>
        <w:autoSpaceDE/>
        <w:autoSpaceDN/>
        <w:bidi w:val="0"/>
        <w:adjustRightInd/>
        <w:snapToGrid/>
        <w:spacing w:line="500" w:lineRule="exact"/>
        <w:ind w:firstLine="566" w:firstLineChars="200"/>
        <w:textAlignment w:val="auto"/>
        <w:rPr>
          <w:color w:val="auto"/>
        </w:rPr>
      </w:pPr>
      <w:bookmarkStart w:id="48" w:name="_Toc32026"/>
      <w:bookmarkStart w:id="49" w:name="_Toc26192_WPSOffice_Level2"/>
      <w:bookmarkStart w:id="50" w:name="_Toc9412_WPSOffice_Level2"/>
      <w:bookmarkStart w:id="51" w:name="_Toc21337_WPSOffice_Level2"/>
      <w:r>
        <w:rPr>
          <w:rFonts w:hint="eastAsia"/>
          <w:b/>
          <w:bCs/>
          <w:color w:val="auto"/>
        </w:rPr>
        <w:t>十</w:t>
      </w:r>
      <w:r>
        <w:rPr>
          <w:rFonts w:hint="eastAsia"/>
          <w:b/>
          <w:bCs/>
          <w:color w:val="auto"/>
          <w:lang w:val="en-US" w:eastAsia="zh-CN"/>
        </w:rPr>
        <w:t>二</w:t>
      </w:r>
      <w:r>
        <w:rPr>
          <w:rFonts w:hint="eastAsia"/>
          <w:b/>
          <w:bCs/>
          <w:color w:val="auto"/>
        </w:rPr>
        <w:t>、</w:t>
      </w:r>
      <w:r>
        <w:rPr>
          <w:b/>
          <w:color w:val="auto"/>
        </w:rPr>
        <w:t>提交</w:t>
      </w:r>
      <w:r>
        <w:rPr>
          <w:rFonts w:hint="eastAsia"/>
          <w:b/>
          <w:color w:val="auto"/>
        </w:rPr>
        <w:t>响应</w:t>
      </w:r>
      <w:r>
        <w:rPr>
          <w:b/>
          <w:color w:val="auto"/>
        </w:rPr>
        <w:t>文件截止时间及</w:t>
      </w:r>
      <w:r>
        <w:rPr>
          <w:rFonts w:hint="eastAsia"/>
          <w:b/>
          <w:color w:val="auto"/>
        </w:rPr>
        <w:t>开标</w:t>
      </w:r>
      <w:r>
        <w:rPr>
          <w:b/>
          <w:color w:val="auto"/>
        </w:rPr>
        <w:t>时间和地点</w:t>
      </w:r>
    </w:p>
    <w:p>
      <w:pPr>
        <w:spacing w:line="500" w:lineRule="exact"/>
        <w:ind w:firstLine="566" w:firstLineChars="200"/>
        <w:rPr>
          <w:bCs/>
          <w:color w:val="auto"/>
        </w:rPr>
      </w:pPr>
      <w:r>
        <w:rPr>
          <w:rFonts w:hint="eastAsia" w:ascii="仿宋" w:hAnsi="仿宋" w:eastAsia="仿宋" w:cs="仿宋"/>
          <w:color w:val="auto"/>
        </w:rPr>
        <w:t>1</w:t>
      </w:r>
      <w:r>
        <w:rPr>
          <w:rFonts w:hint="eastAsia"/>
          <w:color w:val="auto"/>
        </w:rPr>
        <w:t>、提交响应文件：</w:t>
      </w:r>
      <w:r>
        <w:rPr>
          <w:rFonts w:hint="eastAsia"/>
          <w:bCs/>
          <w:color w:val="auto"/>
        </w:rPr>
        <w:t>本次投标需提交电子响应文件一份。</w:t>
      </w:r>
    </w:p>
    <w:p>
      <w:pPr>
        <w:spacing w:line="500" w:lineRule="exact"/>
        <w:ind w:firstLine="566" w:firstLineChars="200"/>
        <w:rPr>
          <w:color w:val="auto"/>
        </w:rPr>
      </w:pPr>
      <w:r>
        <w:rPr>
          <w:rFonts w:hint="eastAsia"/>
          <w:color w:val="auto"/>
        </w:rPr>
        <w:t xml:space="preserve">电子响应文件（*.SXSTF）可于提交响应文件截止时间前任意时段登录全国公共资源交易平台（陕西省）网站进行提交，逾期系统将拒绝接收。  </w:t>
      </w:r>
    </w:p>
    <w:p>
      <w:pPr>
        <w:spacing w:line="500" w:lineRule="exact"/>
        <w:ind w:firstLine="566" w:firstLineChars="200"/>
        <w:rPr>
          <w:color w:val="0000FF"/>
        </w:rPr>
      </w:pPr>
      <w:r>
        <w:rPr>
          <w:rFonts w:hint="eastAsia" w:ascii="仿宋" w:hAnsi="仿宋" w:eastAsia="仿宋" w:cs="仿宋"/>
          <w:color w:val="auto"/>
        </w:rPr>
        <w:t>2</w:t>
      </w:r>
      <w:r>
        <w:rPr>
          <w:rFonts w:hint="eastAsia"/>
          <w:color w:val="auto"/>
        </w:rPr>
        <w:t>、提交响应文件截止时间：</w:t>
      </w:r>
      <w:r>
        <w:rPr>
          <w:rFonts w:hint="eastAsia" w:ascii="仿宋" w:hAnsi="仿宋" w:eastAsia="仿宋" w:cs="仿宋"/>
          <w:color w:val="auto"/>
          <w:lang w:val="zh-CN"/>
        </w:rPr>
        <w:t>2020</w:t>
      </w:r>
      <w:r>
        <w:rPr>
          <w:rFonts w:hint="eastAsia"/>
          <w:color w:val="auto"/>
        </w:rPr>
        <w:t>年</w:t>
      </w:r>
      <w:r>
        <w:rPr>
          <w:rFonts w:hint="eastAsia" w:ascii="仿宋" w:hAnsi="仿宋" w:eastAsia="仿宋" w:cs="仿宋"/>
          <w:color w:val="auto"/>
          <w:u w:val="none"/>
          <w:lang w:val="en-US" w:eastAsia="zh-CN"/>
        </w:rPr>
        <w:t>9</w:t>
      </w:r>
      <w:r>
        <w:rPr>
          <w:rFonts w:hint="eastAsia"/>
          <w:color w:val="auto"/>
          <w:u w:val="none"/>
        </w:rPr>
        <w:t>月</w:t>
      </w:r>
      <w:r>
        <w:rPr>
          <w:rFonts w:hint="eastAsia" w:ascii="仿宋" w:hAnsi="仿宋" w:eastAsia="仿宋" w:cs="仿宋"/>
          <w:color w:val="auto"/>
          <w:u w:val="none"/>
          <w:lang w:val="en-US" w:eastAsia="zh-CN"/>
        </w:rPr>
        <w:t>29</w:t>
      </w:r>
      <w:r>
        <w:rPr>
          <w:rFonts w:hint="eastAsia"/>
          <w:color w:val="auto"/>
        </w:rPr>
        <w:t>日</w:t>
      </w:r>
      <w:r>
        <w:rPr>
          <w:rFonts w:hint="eastAsia" w:ascii="仿宋" w:hAnsi="仿宋" w:eastAsia="仿宋" w:cs="仿宋"/>
          <w:color w:val="auto"/>
          <w:lang w:val="zh-CN"/>
        </w:rPr>
        <w:t>9:</w:t>
      </w:r>
      <w:r>
        <w:rPr>
          <w:rFonts w:hint="eastAsia" w:ascii="仿宋" w:hAnsi="仿宋" w:eastAsia="仿宋" w:cs="仿宋"/>
          <w:color w:val="auto"/>
        </w:rPr>
        <w:t>30</w:t>
      </w:r>
      <w:r>
        <w:rPr>
          <w:rFonts w:hint="eastAsia" w:ascii="仿宋" w:hAnsi="仿宋" w:eastAsia="仿宋" w:cs="仿宋"/>
          <w:color w:val="0000FF"/>
          <w:lang w:val="zh-CN"/>
        </w:rPr>
        <w:t xml:space="preserve"> </w:t>
      </w:r>
    </w:p>
    <w:p>
      <w:pPr>
        <w:spacing w:line="500" w:lineRule="exact"/>
        <w:ind w:firstLine="566" w:firstLineChars="200"/>
        <w:rPr>
          <w:color w:val="auto"/>
        </w:rPr>
      </w:pPr>
      <w:r>
        <w:rPr>
          <w:rFonts w:hint="eastAsia" w:ascii="仿宋" w:hAnsi="仿宋" w:eastAsia="仿宋" w:cs="仿宋"/>
          <w:color w:val="auto"/>
        </w:rPr>
        <w:t>3</w:t>
      </w:r>
      <w:r>
        <w:rPr>
          <w:rFonts w:hint="eastAsia"/>
          <w:color w:val="auto"/>
        </w:rPr>
        <w:t>、开标时间：同提交响应文件截止时间。</w:t>
      </w:r>
    </w:p>
    <w:p>
      <w:pPr>
        <w:spacing w:line="500" w:lineRule="exact"/>
        <w:ind w:left="849" w:leftChars="200" w:hanging="283" w:hangingChars="100"/>
        <w:rPr>
          <w:bCs/>
          <w:color w:val="auto"/>
        </w:rPr>
      </w:pPr>
      <w:r>
        <w:rPr>
          <w:rFonts w:hint="eastAsia" w:ascii="仿宋" w:hAnsi="仿宋" w:eastAsia="仿宋" w:cs="仿宋"/>
          <w:color w:val="auto"/>
        </w:rPr>
        <w:t>4</w:t>
      </w:r>
      <w:r>
        <w:rPr>
          <w:rFonts w:hint="eastAsia"/>
          <w:color w:val="auto"/>
        </w:rPr>
        <w:t>、开标地点：</w:t>
      </w:r>
      <w:r>
        <w:rPr>
          <w:rFonts w:hint="eastAsia"/>
          <w:bCs/>
          <w:color w:val="auto"/>
        </w:rPr>
        <w:t>西安市碑林区长安北路</w:t>
      </w:r>
      <w:r>
        <w:rPr>
          <w:rFonts w:hint="eastAsia" w:ascii="仿宋" w:hAnsi="仿宋" w:eastAsia="仿宋" w:cs="仿宋"/>
          <w:bCs/>
          <w:color w:val="auto"/>
        </w:rPr>
        <w:t>14</w:t>
      </w:r>
      <w:r>
        <w:rPr>
          <w:rFonts w:hint="eastAsia"/>
          <w:bCs/>
          <w:color w:val="auto"/>
        </w:rPr>
        <w:t>号陕西省公共资源交易中</w:t>
      </w:r>
    </w:p>
    <w:p>
      <w:pPr>
        <w:spacing w:line="500" w:lineRule="exact"/>
        <w:ind w:left="847" w:hanging="845" w:hangingChars="299"/>
        <w:rPr>
          <w:bCs/>
          <w:color w:val="auto"/>
        </w:rPr>
      </w:pPr>
      <w:r>
        <w:rPr>
          <w:rFonts w:hint="eastAsia"/>
          <w:bCs/>
          <w:color w:val="auto"/>
        </w:rPr>
        <w:t>心</w:t>
      </w:r>
      <w:r>
        <w:rPr>
          <w:rFonts w:hint="eastAsia" w:ascii="仿宋" w:hAnsi="仿宋" w:eastAsia="仿宋" w:cs="仿宋"/>
          <w:bCs/>
          <w:color w:val="auto"/>
        </w:rPr>
        <w:t>410</w:t>
      </w:r>
      <w:r>
        <w:rPr>
          <w:rFonts w:hint="eastAsia"/>
          <w:bCs/>
          <w:color w:val="auto"/>
        </w:rPr>
        <w:t>室。</w:t>
      </w:r>
    </w:p>
    <w:p>
      <w:pPr>
        <w:spacing w:line="500" w:lineRule="exact"/>
        <w:ind w:firstLine="566" w:firstLineChars="200"/>
        <w:rPr>
          <w:b/>
          <w:bCs/>
          <w:color w:val="auto"/>
        </w:rPr>
      </w:pPr>
      <w:r>
        <w:rPr>
          <w:rFonts w:hint="eastAsia"/>
          <w:b/>
          <w:bCs/>
          <w:color w:val="auto"/>
        </w:rPr>
        <w:t>十</w:t>
      </w:r>
      <w:r>
        <w:rPr>
          <w:rFonts w:hint="eastAsia"/>
          <w:b/>
          <w:bCs/>
          <w:color w:val="auto"/>
          <w:lang w:val="en-US" w:eastAsia="zh-CN"/>
        </w:rPr>
        <w:t>三</w:t>
      </w:r>
      <w:r>
        <w:rPr>
          <w:rFonts w:hint="eastAsia"/>
          <w:b/>
          <w:bCs/>
          <w:color w:val="auto"/>
        </w:rPr>
        <w:t>、采购代理机构收费标准：免费</w:t>
      </w:r>
      <w:bookmarkEnd w:id="48"/>
      <w:bookmarkEnd w:id="49"/>
      <w:bookmarkEnd w:id="50"/>
      <w:bookmarkEnd w:id="51"/>
    </w:p>
    <w:p>
      <w:pPr>
        <w:spacing w:line="500" w:lineRule="exact"/>
        <w:ind w:firstLine="566" w:firstLineChars="200"/>
        <w:rPr>
          <w:b/>
          <w:bCs/>
          <w:color w:val="auto"/>
        </w:rPr>
      </w:pPr>
      <w:bookmarkStart w:id="52" w:name="_Toc17917"/>
      <w:bookmarkStart w:id="53" w:name="_Toc10758_WPSOffice_Level2"/>
      <w:bookmarkStart w:id="54" w:name="_Toc14110_WPSOffice_Level2"/>
      <w:bookmarkStart w:id="55" w:name="_Toc22849_WPSOffice_Level2"/>
      <w:bookmarkStart w:id="56" w:name="_Toc20005"/>
      <w:r>
        <w:rPr>
          <w:rFonts w:hint="eastAsia"/>
          <w:b/>
          <w:bCs/>
          <w:color w:val="auto"/>
        </w:rPr>
        <w:t>十</w:t>
      </w:r>
      <w:r>
        <w:rPr>
          <w:rFonts w:hint="eastAsia"/>
          <w:b/>
          <w:bCs/>
          <w:color w:val="auto"/>
          <w:lang w:val="en-US" w:eastAsia="zh-CN"/>
        </w:rPr>
        <w:t>四</w:t>
      </w:r>
      <w:r>
        <w:rPr>
          <w:rFonts w:hint="eastAsia"/>
          <w:b/>
          <w:bCs/>
          <w:color w:val="auto"/>
        </w:rPr>
        <w:t>、公告期自发布之日起三个工作日。</w:t>
      </w:r>
      <w:bookmarkEnd w:id="52"/>
      <w:bookmarkEnd w:id="53"/>
      <w:bookmarkEnd w:id="54"/>
      <w:bookmarkEnd w:id="55"/>
      <w:bookmarkEnd w:id="56"/>
    </w:p>
    <w:p>
      <w:pPr>
        <w:spacing w:line="500" w:lineRule="exact"/>
        <w:ind w:firstLine="566" w:firstLineChars="200"/>
        <w:rPr>
          <w:b/>
          <w:bCs/>
          <w:color w:val="auto"/>
        </w:rPr>
      </w:pPr>
      <w:bookmarkStart w:id="57" w:name="_Toc21905_WPSOffice_Level2"/>
      <w:bookmarkStart w:id="58" w:name="_Toc15469"/>
      <w:bookmarkStart w:id="59" w:name="_Toc6573"/>
      <w:r>
        <w:rPr>
          <w:rFonts w:hint="eastAsia"/>
          <w:b/>
          <w:bCs/>
          <w:color w:val="auto"/>
        </w:rPr>
        <w:t>十</w:t>
      </w:r>
      <w:r>
        <w:rPr>
          <w:rFonts w:hint="eastAsia"/>
          <w:b/>
          <w:bCs/>
          <w:color w:val="auto"/>
          <w:lang w:val="en-US" w:eastAsia="zh-CN"/>
        </w:rPr>
        <w:t>五</w:t>
      </w:r>
      <w:r>
        <w:rPr>
          <w:rFonts w:hint="eastAsia"/>
          <w:b/>
          <w:bCs/>
          <w:color w:val="auto"/>
        </w:rPr>
        <w:t>、系统平台技术支持：</w:t>
      </w:r>
      <w:r>
        <w:rPr>
          <w:rFonts w:hint="eastAsia" w:ascii="仿宋" w:hAnsi="仿宋" w:eastAsia="仿宋" w:cs="仿宋"/>
          <w:b/>
          <w:bCs/>
          <w:color w:val="auto"/>
        </w:rPr>
        <w:t>4009280095、4009980000</w:t>
      </w:r>
      <w:bookmarkEnd w:id="57"/>
      <w:bookmarkEnd w:id="58"/>
      <w:bookmarkEnd w:id="59"/>
    </w:p>
    <w:p>
      <w:pPr>
        <w:spacing w:line="500" w:lineRule="exact"/>
        <w:ind w:firstLine="566" w:firstLineChars="200"/>
        <w:rPr>
          <w:rFonts w:ascii="宋体" w:hAnsi="宋体" w:eastAsia="宋体" w:cs="宋体"/>
          <w:b/>
          <w:bCs/>
          <w:color w:val="auto"/>
        </w:rPr>
      </w:pPr>
      <w:r>
        <w:rPr>
          <w:rFonts w:hint="eastAsia" w:ascii="宋体" w:hAnsi="宋体" w:eastAsia="宋体" w:cs="宋体"/>
          <w:b/>
          <w:bCs/>
          <w:color w:val="auto"/>
        </w:rPr>
        <w:t>特别提醒：</w:t>
      </w:r>
    </w:p>
    <w:p>
      <w:pPr>
        <w:spacing w:line="500" w:lineRule="exact"/>
        <w:ind w:firstLine="426" w:firstLineChars="200"/>
        <w:rPr>
          <w:rFonts w:ascii="宋体" w:hAnsi="宋体" w:eastAsia="宋体" w:cs="宋体"/>
          <w:b/>
          <w:bCs/>
          <w:color w:val="auto"/>
          <w:sz w:val="21"/>
          <w:szCs w:val="21"/>
        </w:rPr>
      </w:pPr>
      <w:r>
        <w:rPr>
          <w:rFonts w:hint="eastAsia" w:ascii="宋体" w:hAnsi="宋体" w:eastAsia="宋体" w:cs="宋体"/>
          <w:b/>
          <w:bCs/>
          <w:color w:val="auto"/>
          <w:sz w:val="21"/>
          <w:szCs w:val="21"/>
        </w:rPr>
        <w:t>1、本项目采用电子化投标方式。投标人须使用数字认证证书（CA锁）对电子响应文件进行签章、加密、递交及开标时解密等相关招投标事宜。开标</w:t>
      </w:r>
      <w:r>
        <w:rPr>
          <w:rFonts w:hint="eastAsia" w:ascii="宋体" w:hAnsi="宋体" w:eastAsia="宋体" w:cs="宋体"/>
          <w:b/>
          <w:bCs/>
          <w:color w:val="auto"/>
          <w:sz w:val="21"/>
          <w:szCs w:val="21"/>
          <w:lang w:eastAsia="zh-CN"/>
        </w:rPr>
        <w:t>时，陕西省省级单位政府采购中心现场工作人员将根据项目投标人数约定解密时长，供应商应在规定时间内，使用电子响应文件加密时所用的数字认证证书（</w:t>
      </w:r>
      <w:r>
        <w:rPr>
          <w:rFonts w:hint="eastAsia" w:ascii="宋体" w:hAnsi="宋体" w:eastAsia="宋体" w:cs="宋体"/>
          <w:b/>
          <w:bCs/>
          <w:color w:val="auto"/>
          <w:sz w:val="21"/>
          <w:szCs w:val="21"/>
          <w:lang w:val="en-US" w:eastAsia="zh-CN"/>
        </w:rPr>
        <w:t>CA锁</w:t>
      </w:r>
      <w:r>
        <w:rPr>
          <w:rFonts w:hint="eastAsia" w:ascii="宋体" w:hAnsi="宋体" w:eastAsia="宋体" w:cs="宋体"/>
          <w:b/>
          <w:bCs/>
          <w:color w:val="auto"/>
          <w:sz w:val="21"/>
          <w:szCs w:val="21"/>
          <w:lang w:eastAsia="zh-CN"/>
        </w:rPr>
        <w:t>）在开标室的解密机上自行解密电子响应文件。如因供应商自身原因（如迟到、未携带数字认证证书等原因）未在规定时间内解密的，视为投标无效。</w:t>
      </w:r>
    </w:p>
    <w:p>
      <w:pPr>
        <w:spacing w:line="500" w:lineRule="exact"/>
        <w:ind w:firstLine="426" w:firstLineChars="200"/>
        <w:rPr>
          <w:rFonts w:ascii="宋体" w:hAnsi="宋体" w:eastAsia="宋体" w:cs="宋体"/>
          <w:b/>
          <w:bCs/>
          <w:color w:val="auto"/>
          <w:sz w:val="21"/>
          <w:szCs w:val="21"/>
        </w:rPr>
      </w:pPr>
      <w:r>
        <w:rPr>
          <w:rFonts w:ascii="宋体" w:hAnsi="宋体" w:eastAsia="宋体" w:cs="宋体"/>
          <w:b/>
          <w:bCs/>
          <w:color w:val="auto"/>
          <w:sz w:val="21"/>
          <w:szCs w:val="21"/>
        </w:rPr>
        <w:t>2</w:t>
      </w:r>
      <w:r>
        <w:rPr>
          <w:rFonts w:hint="eastAsia" w:ascii="宋体" w:hAnsi="宋体" w:eastAsia="宋体" w:cs="宋体"/>
          <w:b/>
          <w:bCs/>
          <w:color w:val="auto"/>
          <w:sz w:val="21"/>
          <w:szCs w:val="21"/>
        </w:rPr>
        <w:t>、制作电子响应文件。投标人须在“全国公共资源交易中心平台（陕西省）（http://www.sxggzyjy.cn/）”的“服务指南”栏目“下载专区”中，免费下载“陕西省公共资源交易平台政府采购电子标书制作工具(V8.0.0.2)”，并升级至最新版本，使用该客户端制作电子响应文件，制作扩展名为“.SXSTF”的电子响应文件。”</w:t>
      </w:r>
    </w:p>
    <w:p>
      <w:pPr>
        <w:wordWrap w:val="0"/>
        <w:spacing w:line="500" w:lineRule="exact"/>
        <w:ind w:firstLine="426" w:firstLineChars="200"/>
        <w:rPr>
          <w:rFonts w:ascii="宋体" w:hAnsi="宋体" w:eastAsia="宋体" w:cs="宋体"/>
          <w:b/>
          <w:bCs/>
          <w:color w:val="auto"/>
          <w:sz w:val="21"/>
          <w:szCs w:val="21"/>
        </w:rPr>
      </w:pPr>
      <w:r>
        <w:rPr>
          <w:rFonts w:ascii="宋体" w:hAnsi="宋体" w:eastAsia="宋体" w:cs="宋体"/>
          <w:b/>
          <w:bCs/>
          <w:color w:val="auto"/>
          <w:sz w:val="21"/>
          <w:szCs w:val="21"/>
        </w:rPr>
        <w:t>3</w:t>
      </w:r>
      <w:r>
        <w:rPr>
          <w:rFonts w:hint="eastAsia" w:ascii="宋体" w:hAnsi="宋体" w:eastAsia="宋体" w:cs="宋体"/>
          <w:b/>
          <w:bCs/>
          <w:color w:val="auto"/>
          <w:sz w:val="21"/>
          <w:szCs w:val="21"/>
        </w:rPr>
        <w:t>、递交电子响应文件。登录全国公共资源交易中心平台（陕西省）（http://www.sxggzyjy.cn/），选择“电子交易平台—陕西政府采购交易系统—企业端”进行登录，登录后选择“交易乙方”身份进入，进入菜单“采购业务—我的项目——项目流程——上传响应文件”，上传加密的电子响应文件。上传成功后，电子化平台将予以记录。</w:t>
      </w:r>
    </w:p>
    <w:p>
      <w:pPr>
        <w:pStyle w:val="22"/>
        <w:spacing w:line="500" w:lineRule="exact"/>
        <w:ind w:firstLine="426" w:firstLineChars="200"/>
        <w:rPr>
          <w:color w:val="auto"/>
        </w:rPr>
      </w:pPr>
      <w:r>
        <w:rPr>
          <w:rFonts w:hint="eastAsia" w:ascii="宋体" w:hAnsi="宋体" w:eastAsia="宋体" w:cs="宋体"/>
          <w:b/>
          <w:bCs/>
          <w:color w:val="auto"/>
          <w:sz w:val="21"/>
          <w:szCs w:val="21"/>
        </w:rPr>
        <w:t>4、</w:t>
      </w:r>
      <w:r>
        <w:rPr>
          <w:rFonts w:hint="eastAsia" w:ascii="宋体" w:hAnsi="宋体" w:eastAsia="宋体" w:cs="宋体"/>
          <w:b/>
          <w:bCs/>
          <w:color w:val="auto"/>
          <w:sz w:val="21"/>
          <w:szCs w:val="21"/>
          <w:highlight w:val="none"/>
        </w:rPr>
        <w:t>评审过程中，磋商小组要求投标人提交多轮（最后）磋商报价时，投标人须登录全国公共资源交易平台（陕西省）在交易系统中提交多轮（最后）报价，并用数字认证证书（CA锁）签章。</w:t>
      </w:r>
    </w:p>
    <w:p>
      <w:pPr>
        <w:pStyle w:val="3"/>
        <w:jc w:val="center"/>
        <w:rPr>
          <w:rFonts w:ascii="黑体" w:hAnsi="黑体" w:eastAsia="黑体"/>
          <w:color w:val="auto"/>
          <w:sz w:val="32"/>
          <w:szCs w:val="32"/>
        </w:rPr>
      </w:pPr>
      <w:r>
        <w:rPr>
          <w:color w:val="auto"/>
        </w:rPr>
        <w:br w:type="page"/>
      </w:r>
      <w:bookmarkStart w:id="60" w:name="_Toc15046_WPSOffice_Level1"/>
      <w:bookmarkStart w:id="61" w:name="_Toc19337_WPSOffice_Level1"/>
      <w:bookmarkStart w:id="62" w:name="_Toc22804_WPSOffice_Level1"/>
      <w:bookmarkStart w:id="63" w:name="_Toc495012770"/>
      <w:bookmarkStart w:id="64" w:name="_Toc495014953"/>
      <w:bookmarkStart w:id="65" w:name="_Toc495014610"/>
      <w:bookmarkStart w:id="66" w:name="_Toc27498"/>
      <w:bookmarkStart w:id="67" w:name="_Toc445306492"/>
      <w:bookmarkStart w:id="68" w:name="_Toc495014584"/>
      <w:bookmarkStart w:id="69" w:name="_Toc495012820"/>
      <w:bookmarkStart w:id="70" w:name="_Toc495014648"/>
      <w:bookmarkStart w:id="71" w:name="_Toc495014919"/>
      <w:r>
        <w:rPr>
          <w:rFonts w:ascii="黑体" w:hAnsi="黑体" w:eastAsia="黑体"/>
          <w:b w:val="0"/>
          <w:bCs/>
          <w:color w:val="auto"/>
          <w:sz w:val="32"/>
          <w:szCs w:val="32"/>
        </w:rPr>
        <w:t xml:space="preserve">第二章  </w:t>
      </w:r>
      <w:r>
        <w:rPr>
          <w:rFonts w:hint="eastAsia" w:ascii="黑体" w:hAnsi="黑体" w:eastAsia="黑体"/>
          <w:b w:val="0"/>
          <w:bCs/>
          <w:color w:val="auto"/>
          <w:sz w:val="32"/>
          <w:szCs w:val="32"/>
        </w:rPr>
        <w:t>供应商</w:t>
      </w:r>
      <w:r>
        <w:rPr>
          <w:rFonts w:ascii="黑体" w:hAnsi="黑体" w:eastAsia="黑体"/>
          <w:b w:val="0"/>
          <w:bCs/>
          <w:color w:val="auto"/>
          <w:sz w:val="32"/>
          <w:szCs w:val="32"/>
        </w:rPr>
        <w:t>须知</w:t>
      </w:r>
      <w:bookmarkEnd w:id="60"/>
      <w:bookmarkEnd w:id="61"/>
      <w:bookmarkEnd w:id="62"/>
      <w:bookmarkEnd w:id="63"/>
      <w:bookmarkEnd w:id="64"/>
      <w:bookmarkEnd w:id="65"/>
      <w:bookmarkEnd w:id="66"/>
      <w:bookmarkEnd w:id="67"/>
      <w:bookmarkEnd w:id="68"/>
      <w:bookmarkEnd w:id="69"/>
      <w:bookmarkEnd w:id="70"/>
      <w:bookmarkEnd w:id="71"/>
    </w:p>
    <w:p>
      <w:pPr>
        <w:pStyle w:val="4"/>
        <w:spacing w:line="500" w:lineRule="exact"/>
        <w:ind w:firstLine="566" w:firstLineChars="200"/>
        <w:rPr>
          <w:color w:val="auto"/>
          <w:sz w:val="28"/>
          <w:szCs w:val="28"/>
        </w:rPr>
      </w:pPr>
      <w:bookmarkStart w:id="72" w:name="_Toc24451_WPSOffice_Level2"/>
      <w:bookmarkStart w:id="73" w:name="_Toc18466_WPSOffice_Level2"/>
      <w:bookmarkStart w:id="74" w:name="_Toc3858_WPSOffice_Level2"/>
      <w:bookmarkStart w:id="75" w:name="_Toc30026"/>
      <w:r>
        <w:rPr>
          <w:rFonts w:hint="eastAsia"/>
          <w:color w:val="auto"/>
          <w:sz w:val="28"/>
          <w:szCs w:val="28"/>
        </w:rPr>
        <w:t>一、定义</w:t>
      </w:r>
      <w:bookmarkEnd w:id="72"/>
      <w:bookmarkEnd w:id="73"/>
      <w:bookmarkEnd w:id="74"/>
      <w:bookmarkEnd w:id="75"/>
    </w:p>
    <w:p>
      <w:pPr>
        <w:spacing w:line="500" w:lineRule="exact"/>
        <w:ind w:firstLine="566" w:firstLineChars="200"/>
        <w:rPr>
          <w:rFonts w:hint="eastAsia" w:ascii="华文仿宋" w:hAnsi="华文仿宋" w:cs="华文仿宋"/>
          <w:color w:val="auto"/>
          <w:lang w:val="en-US" w:eastAsia="zh-CN"/>
        </w:rPr>
      </w:pPr>
      <w:bookmarkStart w:id="76" w:name="_Toc11840_WPSOffice_Level3"/>
      <w:r>
        <w:rPr>
          <w:rFonts w:hint="eastAsia" w:ascii="华文仿宋" w:hAnsi="华文仿宋" w:cs="华文仿宋"/>
          <w:color w:val="auto"/>
        </w:rPr>
        <w:t>（一）采 购 人：</w:t>
      </w:r>
      <w:bookmarkEnd w:id="76"/>
      <w:bookmarkStart w:id="77" w:name="_Toc9917_WPSOffice_Level3"/>
      <w:r>
        <w:rPr>
          <w:rFonts w:hint="eastAsia" w:ascii="华文仿宋" w:hAnsi="华文仿宋" w:cs="华文仿宋"/>
          <w:color w:val="auto"/>
          <w:lang w:val="en-US" w:eastAsia="zh-CN"/>
        </w:rPr>
        <w:t>西北大学</w:t>
      </w:r>
    </w:p>
    <w:p>
      <w:pPr>
        <w:spacing w:line="500" w:lineRule="exact"/>
        <w:ind w:firstLine="566" w:firstLineChars="200"/>
        <w:rPr>
          <w:rFonts w:ascii="华文仿宋" w:hAnsi="华文仿宋" w:cs="华文仿宋"/>
          <w:color w:val="auto"/>
        </w:rPr>
      </w:pPr>
      <w:r>
        <w:rPr>
          <w:rFonts w:hint="eastAsia" w:ascii="华文仿宋" w:hAnsi="华文仿宋" w:cs="华文仿宋"/>
          <w:color w:val="auto"/>
        </w:rPr>
        <w:t>（二）监督机构：陕西省财政厅</w:t>
      </w:r>
      <w:bookmarkEnd w:id="77"/>
    </w:p>
    <w:p>
      <w:pPr>
        <w:spacing w:line="500" w:lineRule="exact"/>
        <w:ind w:firstLine="566" w:firstLineChars="200"/>
        <w:rPr>
          <w:rFonts w:ascii="华文仿宋" w:hAnsi="华文仿宋" w:cs="华文仿宋"/>
          <w:color w:val="auto"/>
        </w:rPr>
      </w:pPr>
      <w:bookmarkStart w:id="78" w:name="_Toc8219_WPSOffice_Level3"/>
      <w:r>
        <w:rPr>
          <w:rFonts w:hint="eastAsia" w:ascii="华文仿宋" w:hAnsi="华文仿宋" w:cs="华文仿宋"/>
          <w:color w:val="auto"/>
        </w:rPr>
        <w:t>（三）集中采购机构：陕西省省级单位政府采购中心</w:t>
      </w:r>
      <w:bookmarkEnd w:id="78"/>
    </w:p>
    <w:p>
      <w:pPr>
        <w:spacing w:line="500" w:lineRule="exact"/>
        <w:ind w:firstLine="566" w:firstLineChars="200"/>
        <w:rPr>
          <w:rFonts w:ascii="华文仿宋" w:hAnsi="华文仿宋" w:cs="华文仿宋"/>
          <w:color w:val="auto"/>
        </w:rPr>
      </w:pPr>
      <w:bookmarkStart w:id="79" w:name="_Toc20141_WPSOffice_Level3"/>
      <w:r>
        <w:rPr>
          <w:rFonts w:hint="eastAsia" w:ascii="华文仿宋" w:hAnsi="华文仿宋" w:cs="华文仿宋"/>
          <w:color w:val="auto"/>
        </w:rPr>
        <w:t>（四）供应商：</w:t>
      </w:r>
      <w:r>
        <w:rPr>
          <w:rFonts w:hint="eastAsia"/>
          <w:color w:val="auto"/>
        </w:rPr>
        <w:t>拟向采购人提供货物、工程或者服务的法人、其他组织或者自然人</w:t>
      </w:r>
      <w:bookmarkEnd w:id="79"/>
    </w:p>
    <w:p>
      <w:pPr>
        <w:pStyle w:val="4"/>
        <w:spacing w:line="500" w:lineRule="exact"/>
        <w:ind w:firstLine="566" w:firstLineChars="200"/>
        <w:rPr>
          <w:rFonts w:ascii="华文仿宋" w:hAnsi="华文仿宋" w:cs="华文仿宋"/>
          <w:color w:val="auto"/>
          <w:sz w:val="28"/>
          <w:szCs w:val="28"/>
        </w:rPr>
      </w:pPr>
      <w:bookmarkStart w:id="80" w:name="_Toc11745_WPSOffice_Level2"/>
      <w:bookmarkStart w:id="81" w:name="_Toc27278_WPSOffice_Level2"/>
      <w:bookmarkStart w:id="82" w:name="_Toc20906_WPSOffice_Level2"/>
      <w:bookmarkStart w:id="83" w:name="_Toc16371"/>
      <w:r>
        <w:rPr>
          <w:rFonts w:hint="eastAsia" w:ascii="华文仿宋" w:hAnsi="华文仿宋" w:cs="华文仿宋"/>
          <w:color w:val="auto"/>
          <w:sz w:val="28"/>
          <w:szCs w:val="28"/>
        </w:rPr>
        <w:t>二、供应商注意事项</w:t>
      </w:r>
      <w:bookmarkEnd w:id="80"/>
      <w:bookmarkEnd w:id="81"/>
      <w:bookmarkEnd w:id="82"/>
      <w:bookmarkEnd w:id="83"/>
    </w:p>
    <w:p>
      <w:pPr>
        <w:spacing w:line="500" w:lineRule="exact"/>
        <w:ind w:firstLine="566" w:firstLineChars="200"/>
        <w:rPr>
          <w:b/>
          <w:bCs/>
          <w:color w:val="auto"/>
        </w:rPr>
      </w:pPr>
      <w:bookmarkStart w:id="84" w:name="_Toc21291"/>
      <w:bookmarkStart w:id="85" w:name="_Toc26982_WPSOffice_Level3"/>
      <w:r>
        <w:rPr>
          <w:rFonts w:hint="eastAsia"/>
          <w:b/>
          <w:bCs/>
          <w:color w:val="auto"/>
        </w:rPr>
        <w:t>（一）询问</w:t>
      </w:r>
      <w:bookmarkEnd w:id="84"/>
      <w:bookmarkEnd w:id="85"/>
    </w:p>
    <w:p>
      <w:pPr>
        <w:spacing w:line="500" w:lineRule="exact"/>
        <w:ind w:firstLine="566" w:firstLineChars="200"/>
        <w:rPr>
          <w:rFonts w:ascii="华文仿宋" w:hAnsi="华文仿宋" w:cs="华文仿宋"/>
          <w:color w:val="auto"/>
        </w:rPr>
      </w:pPr>
      <w:r>
        <w:rPr>
          <w:rFonts w:hint="eastAsia" w:ascii="华文仿宋" w:hAnsi="华文仿宋" w:cs="华文仿宋"/>
          <w:color w:val="auto"/>
        </w:rPr>
        <w:t>供应商对政府采购活动事项有疑问的，可以向采购人或陕西省省级单位政府采购中心提出询问。采购人或陕西省省级单位政府采购中心将在3个工作日内对供应商依法提出的询问做出答复。询问内容超出采购人对陕西省省级单位政府采购中心委托授权范围的，供应商应当向采购人提出。</w:t>
      </w:r>
    </w:p>
    <w:p>
      <w:pPr>
        <w:spacing w:line="500" w:lineRule="exact"/>
        <w:ind w:firstLine="566" w:firstLineChars="200"/>
        <w:rPr>
          <w:rFonts w:ascii="华文仿宋" w:hAnsi="华文仿宋" w:cs="华文仿宋"/>
          <w:b/>
          <w:color w:val="auto"/>
        </w:rPr>
      </w:pPr>
      <w:bookmarkStart w:id="86" w:name="_Toc669_WPSOffice_Level3"/>
      <w:r>
        <w:rPr>
          <w:rFonts w:hint="eastAsia" w:ascii="华文仿宋" w:hAnsi="华文仿宋" w:cs="华文仿宋"/>
          <w:b/>
          <w:color w:val="auto"/>
        </w:rPr>
        <w:t>（二）现场踏勘及标前答疑会</w:t>
      </w:r>
      <w:bookmarkEnd w:id="86"/>
    </w:p>
    <w:p>
      <w:pPr>
        <w:spacing w:line="500" w:lineRule="exact"/>
        <w:ind w:firstLine="566" w:firstLineChars="200"/>
        <w:rPr>
          <w:rFonts w:ascii="华文仿宋" w:hAnsi="华文仿宋" w:cs="华文仿宋"/>
          <w:bCs/>
          <w:color w:val="auto"/>
        </w:rPr>
      </w:pPr>
      <w:r>
        <w:rPr>
          <w:rFonts w:hint="eastAsia" w:ascii="华文仿宋" w:hAnsi="华文仿宋" w:cs="华文仿宋"/>
          <w:bCs/>
          <w:color w:val="auto"/>
        </w:rPr>
        <w:t>对于有计划举行项目现场踏勘和标前答疑会的，潜在供应商的项目主要负责人等须按时出席。需要答疑的问题各供应商可以口头或书面形式做出。采购代理机构、采购人将共同对各供应商提出的问题进行答复，并对供应商书面提出的问题形成答疑纪要，在网上发布公告。答疑纪要与磋商文件中不一致的内容，以答疑纪要为准。凡未参加现场踏勘和标前答疑的供应商，由此造成的偏差由各供应商自行负责。</w:t>
      </w:r>
    </w:p>
    <w:p>
      <w:pPr>
        <w:spacing w:line="500" w:lineRule="exact"/>
        <w:ind w:firstLine="566" w:firstLineChars="200"/>
        <w:rPr>
          <w:rFonts w:hint="eastAsia" w:ascii="华文仿宋" w:hAnsi="华文仿宋" w:cs="华文仿宋"/>
          <w:b/>
          <w:color w:val="auto"/>
        </w:rPr>
      </w:pPr>
      <w:r>
        <w:rPr>
          <w:rFonts w:hint="eastAsia" w:ascii="华文仿宋" w:hAnsi="华文仿宋" w:cs="华文仿宋"/>
          <w:b/>
          <w:color w:val="auto"/>
        </w:rPr>
        <w:t>本项目不组织集中踏勘和标前答疑。</w:t>
      </w:r>
    </w:p>
    <w:p>
      <w:pPr>
        <w:spacing w:line="500" w:lineRule="exact"/>
        <w:ind w:firstLine="566" w:firstLineChars="200"/>
        <w:rPr>
          <w:rFonts w:hint="eastAsia" w:ascii="华文仿宋" w:hAnsi="华文仿宋" w:cs="华文仿宋"/>
          <w:b/>
          <w:color w:val="auto"/>
          <w:lang w:val="en-US" w:eastAsia="zh-CN"/>
        </w:rPr>
      </w:pPr>
      <w:r>
        <w:rPr>
          <w:rFonts w:hint="eastAsia" w:ascii="华文仿宋" w:hAnsi="华文仿宋" w:cs="华文仿宋"/>
          <w:b/>
          <w:color w:val="auto"/>
          <w:lang w:val="en-US" w:eastAsia="zh-CN"/>
        </w:rPr>
        <w:t>如供应商有需要可自行踏勘，联系方式如下：</w:t>
      </w:r>
    </w:p>
    <w:p>
      <w:pPr>
        <w:pStyle w:val="42"/>
        <w:spacing w:line="500" w:lineRule="exact"/>
        <w:ind w:left="0" w:leftChars="0" w:firstLine="566" w:firstLineChars="200"/>
        <w:rPr>
          <w:rFonts w:hint="default" w:ascii="华文仿宋" w:hAnsi="华文仿宋" w:eastAsia="华文仿宋" w:cs="华文仿宋"/>
          <w:b/>
          <w:color w:val="auto"/>
          <w:kern w:val="2"/>
          <w:sz w:val="28"/>
          <w:szCs w:val="28"/>
          <w:lang w:val="en-US" w:eastAsia="zh-CN" w:bidi="ar-SA"/>
        </w:rPr>
      </w:pPr>
      <w:r>
        <w:rPr>
          <w:rFonts w:hint="eastAsia" w:ascii="华文仿宋" w:hAnsi="华文仿宋" w:eastAsia="华文仿宋" w:cs="华文仿宋"/>
          <w:b/>
          <w:color w:val="auto"/>
          <w:kern w:val="2"/>
          <w:sz w:val="28"/>
          <w:szCs w:val="28"/>
          <w:lang w:val="en-US" w:eastAsia="zh-CN" w:bidi="ar-SA"/>
        </w:rPr>
        <w:t>现场踏勘地点：西安市长安区学府大街一号</w:t>
      </w:r>
    </w:p>
    <w:p>
      <w:pPr>
        <w:spacing w:line="500" w:lineRule="exact"/>
        <w:ind w:firstLine="566" w:firstLineChars="200"/>
        <w:rPr>
          <w:rFonts w:hint="eastAsia" w:ascii="华文仿宋" w:hAnsi="华文仿宋" w:cs="华文仿宋"/>
          <w:b/>
          <w:color w:val="auto"/>
        </w:rPr>
      </w:pPr>
      <w:r>
        <w:rPr>
          <w:rFonts w:hint="eastAsia" w:ascii="华文仿宋" w:hAnsi="华文仿宋" w:cs="华文仿宋"/>
          <w:b/>
          <w:color w:val="auto"/>
          <w:lang w:val="en-US" w:eastAsia="zh-CN"/>
        </w:rPr>
        <w:t>联系人：</w:t>
      </w:r>
      <w:r>
        <w:rPr>
          <w:rFonts w:hint="eastAsia" w:ascii="华文仿宋" w:hAnsi="华文仿宋" w:cs="华文仿宋"/>
          <w:b/>
          <w:color w:val="auto"/>
        </w:rPr>
        <w:t>杨老师</w:t>
      </w:r>
      <w:r>
        <w:rPr>
          <w:rFonts w:hint="eastAsia" w:ascii="华文仿宋" w:hAnsi="华文仿宋" w:cs="华文仿宋"/>
          <w:b/>
          <w:color w:val="auto"/>
          <w:lang w:val="en-US" w:eastAsia="zh-CN"/>
        </w:rPr>
        <w:t xml:space="preserve">        联系电话：</w:t>
      </w:r>
      <w:bookmarkStart w:id="87" w:name="_Toc9412_WPSOffice_Level3"/>
      <w:r>
        <w:rPr>
          <w:rFonts w:hint="eastAsia" w:ascii="仿宋" w:hAnsi="仿宋" w:eastAsia="仿宋" w:cs="仿宋"/>
          <w:b/>
          <w:color w:val="auto"/>
          <w:lang w:val="en-US" w:eastAsia="zh-CN"/>
        </w:rPr>
        <w:t>029-</w:t>
      </w:r>
      <w:r>
        <w:rPr>
          <w:rFonts w:hint="eastAsia" w:ascii="仿宋" w:hAnsi="仿宋" w:eastAsia="仿宋" w:cs="仿宋"/>
          <w:b/>
          <w:color w:val="auto"/>
        </w:rPr>
        <w:t>88308108</w:t>
      </w:r>
    </w:p>
    <w:p>
      <w:pPr>
        <w:spacing w:line="500" w:lineRule="exact"/>
        <w:ind w:firstLine="566" w:firstLineChars="200"/>
        <w:rPr>
          <w:rFonts w:ascii="华文仿宋" w:hAnsi="华文仿宋" w:cs="华文仿宋"/>
          <w:b/>
          <w:color w:val="auto"/>
        </w:rPr>
      </w:pPr>
      <w:r>
        <w:rPr>
          <w:rFonts w:hint="eastAsia" w:ascii="华文仿宋" w:hAnsi="华文仿宋" w:cs="华文仿宋"/>
          <w:b/>
          <w:color w:val="auto"/>
        </w:rPr>
        <w:t>（三）质疑和投诉</w:t>
      </w:r>
      <w:bookmarkEnd w:id="87"/>
    </w:p>
    <w:p>
      <w:pPr>
        <w:spacing w:line="500" w:lineRule="exact"/>
        <w:ind w:firstLine="566" w:firstLineChars="200"/>
        <w:contextualSpacing/>
        <w:rPr>
          <w:rFonts w:ascii="华文仿宋" w:hAnsi="华文仿宋" w:cs="华文仿宋"/>
          <w:color w:val="auto"/>
        </w:rPr>
      </w:pPr>
      <w:r>
        <w:rPr>
          <w:rFonts w:hint="eastAsia" w:ascii="华文仿宋" w:hAnsi="华文仿宋" w:cs="华文仿宋"/>
          <w:color w:val="auto"/>
        </w:rPr>
        <w:t>供应商如果认为采购文件中涉及的采购需求（包括供应商资格条件、评审要素及分值设置、采购内容和要求、合同条款等）使自身的合法权益受到损害，可以在采购文件公告期限届满之日起7个工作日内，以书面形式向采购人提出质疑；供应商如果认为采购程序、采购过程或成交结果使自身的合法权益受到损害，可以在知道或者应知其权益受到损害之日起7个工作日内，以书面形式向陕西省省级单位政府采购中心提出质疑。</w:t>
      </w:r>
    </w:p>
    <w:p>
      <w:pPr>
        <w:spacing w:line="500" w:lineRule="exact"/>
        <w:ind w:firstLine="566" w:firstLineChars="200"/>
        <w:contextualSpacing/>
        <w:rPr>
          <w:rFonts w:ascii="华文仿宋" w:hAnsi="华文仿宋" w:cs="华文仿宋"/>
          <w:color w:val="auto"/>
        </w:rPr>
      </w:pPr>
      <w:r>
        <w:rPr>
          <w:rFonts w:hint="eastAsia" w:ascii="华文仿宋" w:hAnsi="华文仿宋" w:cs="华文仿宋"/>
          <w:color w:val="auto"/>
        </w:rPr>
        <w:t>1、供应商提出质疑应当提交质疑函和必要的证明材料，并按财政部《质疑函范本》给定的格式进行填写，范本下载详见【财政部国库司（gks.mof.gov.cn）】网站〖首页•〉政府采购管理〗栏目中的《政府采购供应商质疑函范本》。</w:t>
      </w:r>
    </w:p>
    <w:p>
      <w:pPr>
        <w:spacing w:line="500" w:lineRule="exact"/>
        <w:ind w:firstLine="566" w:firstLineChars="200"/>
        <w:contextualSpacing/>
        <w:rPr>
          <w:rFonts w:ascii="华文仿宋" w:hAnsi="华文仿宋" w:cs="华文仿宋"/>
          <w:color w:val="auto"/>
        </w:rPr>
      </w:pPr>
      <w:r>
        <w:rPr>
          <w:rFonts w:hint="eastAsia" w:ascii="华文仿宋" w:hAnsi="华文仿宋" w:cs="华文仿宋"/>
          <w:color w:val="auto"/>
        </w:rPr>
        <w:t>《政府采购供应商质疑函范本》链接地址：</w:t>
      </w:r>
    </w:p>
    <w:p>
      <w:pPr>
        <w:spacing w:line="500" w:lineRule="exact"/>
        <w:ind w:firstLine="566" w:firstLineChars="200"/>
        <w:contextualSpacing/>
        <w:rPr>
          <w:rFonts w:ascii="华文仿宋" w:hAnsi="华文仿宋" w:cs="华文仿宋"/>
          <w:color w:val="auto"/>
        </w:rPr>
      </w:pPr>
      <w:r>
        <w:rPr>
          <w:rFonts w:hint="eastAsia" w:ascii="华文仿宋" w:hAnsi="华文仿宋" w:cs="华文仿宋"/>
          <w:color w:val="auto"/>
        </w:rPr>
        <w:t>http://gks.mof.gov.cn/zhengfucaigouguanli/201802/t20180201_2804589.html</w:t>
      </w:r>
    </w:p>
    <w:p>
      <w:pPr>
        <w:spacing w:line="500" w:lineRule="exact"/>
        <w:ind w:firstLine="566" w:firstLineChars="200"/>
        <w:contextualSpacing/>
        <w:rPr>
          <w:rFonts w:ascii="华文仿宋" w:hAnsi="华文仿宋" w:cs="华文仿宋"/>
          <w:color w:val="auto"/>
        </w:rPr>
      </w:pPr>
      <w:r>
        <w:rPr>
          <w:rFonts w:hint="eastAsia" w:ascii="仿宋" w:hAnsi="仿宋" w:eastAsia="仿宋" w:cs="仿宋"/>
          <w:color w:val="auto"/>
        </w:rPr>
        <w:t>2</w:t>
      </w:r>
      <w:r>
        <w:rPr>
          <w:rFonts w:hint="eastAsia" w:ascii="华文仿宋" w:hAnsi="华文仿宋" w:cs="华文仿宋"/>
          <w:color w:val="auto"/>
        </w:rPr>
        <w:t>、质疑人为自然人的，应当由本人签字；质疑人为法人或者其他组织的，应当由法定代表人、主要负责人，或者其授权代表签字或者盖章，并加盖公章。授权代表办理质疑事项时，除提交质疑函外，还应当提交授权委托书及授权代表的有效身份证明，授权委托书应当载明委托代理的具体权限和事项。</w:t>
      </w:r>
    </w:p>
    <w:p>
      <w:pPr>
        <w:spacing w:line="500" w:lineRule="exact"/>
        <w:ind w:firstLine="566" w:firstLineChars="200"/>
        <w:contextualSpacing/>
        <w:rPr>
          <w:rFonts w:ascii="华文仿宋" w:hAnsi="华文仿宋" w:cs="华文仿宋"/>
          <w:color w:val="auto"/>
        </w:rPr>
      </w:pPr>
      <w:r>
        <w:rPr>
          <w:rFonts w:hint="eastAsia" w:ascii="仿宋" w:hAnsi="仿宋" w:eastAsia="仿宋" w:cs="仿宋"/>
          <w:color w:val="auto"/>
        </w:rPr>
        <w:t>3</w:t>
      </w:r>
      <w:r>
        <w:rPr>
          <w:rFonts w:hint="eastAsia" w:ascii="华文仿宋" w:hAnsi="华文仿宋" w:cs="华文仿宋"/>
          <w:color w:val="auto"/>
        </w:rPr>
        <w:t>、在法定质疑期内，针对同一采购程序环节的质疑应当一次性提出。采购代理机构或采购人将在收到书面质疑后</w:t>
      </w:r>
      <w:r>
        <w:rPr>
          <w:rFonts w:hint="eastAsia" w:ascii="仿宋" w:hAnsi="仿宋" w:eastAsia="仿宋" w:cs="仿宋"/>
          <w:color w:val="auto"/>
        </w:rPr>
        <w:t>7</w:t>
      </w:r>
      <w:r>
        <w:rPr>
          <w:rFonts w:hint="eastAsia" w:ascii="华文仿宋" w:hAnsi="华文仿宋" w:cs="华文仿宋"/>
          <w:color w:val="auto"/>
        </w:rPr>
        <w:t>个工作日内做出答复，并以书面形式通知质疑人和其他有关供应商。</w:t>
      </w:r>
    </w:p>
    <w:p>
      <w:pPr>
        <w:spacing w:line="500" w:lineRule="exact"/>
        <w:ind w:firstLine="566" w:firstLineChars="200"/>
        <w:contextualSpacing/>
        <w:rPr>
          <w:rFonts w:ascii="华文仿宋" w:hAnsi="华文仿宋" w:cs="华文仿宋"/>
          <w:color w:val="auto"/>
        </w:rPr>
      </w:pPr>
      <w:r>
        <w:rPr>
          <w:rFonts w:hint="eastAsia" w:ascii="仿宋" w:hAnsi="仿宋" w:eastAsia="仿宋" w:cs="仿宋"/>
          <w:color w:val="auto"/>
        </w:rPr>
        <w:t>4</w:t>
      </w:r>
      <w:r>
        <w:rPr>
          <w:rFonts w:hint="eastAsia" w:ascii="华文仿宋" w:hAnsi="华文仿宋" w:cs="华文仿宋"/>
          <w:color w:val="auto"/>
        </w:rPr>
        <w:t>、有下列情形之一的，属于无效质疑，陕西省省级单位政府采购中心和采购人不予受理：</w:t>
      </w:r>
    </w:p>
    <w:p>
      <w:pPr>
        <w:spacing w:line="500" w:lineRule="exact"/>
        <w:ind w:firstLine="566" w:firstLineChars="200"/>
        <w:contextualSpacing/>
        <w:rPr>
          <w:rFonts w:ascii="华文仿宋" w:hAnsi="华文仿宋" w:cs="华文仿宋"/>
          <w:color w:val="auto"/>
        </w:rPr>
      </w:pPr>
      <w:r>
        <w:rPr>
          <w:rFonts w:hint="eastAsia" w:ascii="华文仿宋" w:hAnsi="华文仿宋" w:cs="华文仿宋"/>
          <w:color w:val="auto"/>
        </w:rPr>
        <w:t>（</w:t>
      </w:r>
      <w:r>
        <w:rPr>
          <w:rFonts w:hint="eastAsia" w:ascii="仿宋" w:hAnsi="仿宋" w:eastAsia="仿宋" w:cs="仿宋"/>
          <w:color w:val="auto"/>
        </w:rPr>
        <w:t>1</w:t>
      </w:r>
      <w:r>
        <w:rPr>
          <w:rFonts w:hint="eastAsia" w:ascii="华文仿宋" w:hAnsi="华文仿宋" w:cs="华文仿宋"/>
          <w:color w:val="auto"/>
        </w:rPr>
        <w:t>）质疑人不是参与本次政府采购项目的供应商或潜在供应商；</w:t>
      </w:r>
    </w:p>
    <w:p>
      <w:pPr>
        <w:spacing w:line="500" w:lineRule="exact"/>
        <w:ind w:firstLine="566" w:firstLineChars="200"/>
        <w:contextualSpacing/>
        <w:rPr>
          <w:rFonts w:ascii="华文仿宋" w:hAnsi="华文仿宋" w:cs="华文仿宋"/>
          <w:color w:val="auto"/>
        </w:rPr>
      </w:pPr>
      <w:r>
        <w:rPr>
          <w:rFonts w:hint="eastAsia" w:ascii="华文仿宋" w:hAnsi="华文仿宋" w:cs="华文仿宋"/>
          <w:color w:val="auto"/>
        </w:rPr>
        <w:t>（</w:t>
      </w:r>
      <w:r>
        <w:rPr>
          <w:rFonts w:hint="eastAsia" w:ascii="仿宋" w:hAnsi="仿宋" w:eastAsia="仿宋" w:cs="仿宋"/>
          <w:color w:val="auto"/>
        </w:rPr>
        <w:t>2</w:t>
      </w:r>
      <w:r>
        <w:rPr>
          <w:rFonts w:hint="eastAsia" w:ascii="华文仿宋" w:hAnsi="华文仿宋" w:cs="华文仿宋"/>
          <w:color w:val="auto"/>
        </w:rPr>
        <w:t>）质疑人与质疑事项不存在利害关系的；</w:t>
      </w:r>
    </w:p>
    <w:p>
      <w:pPr>
        <w:spacing w:line="500" w:lineRule="exact"/>
        <w:ind w:firstLine="566" w:firstLineChars="200"/>
        <w:contextualSpacing/>
        <w:rPr>
          <w:rFonts w:ascii="华文仿宋" w:hAnsi="华文仿宋" w:cs="华文仿宋"/>
          <w:color w:val="auto"/>
        </w:rPr>
      </w:pPr>
      <w:r>
        <w:rPr>
          <w:rFonts w:hint="eastAsia" w:ascii="华文仿宋" w:hAnsi="华文仿宋" w:cs="华文仿宋"/>
          <w:color w:val="auto"/>
        </w:rPr>
        <w:t>（</w:t>
      </w:r>
      <w:r>
        <w:rPr>
          <w:rFonts w:hint="eastAsia" w:ascii="仿宋" w:hAnsi="仿宋" w:eastAsia="仿宋" w:cs="仿宋"/>
          <w:color w:val="auto"/>
        </w:rPr>
        <w:t>3</w:t>
      </w:r>
      <w:r>
        <w:rPr>
          <w:rFonts w:hint="eastAsia" w:ascii="华文仿宋" w:hAnsi="华文仿宋" w:cs="华文仿宋"/>
          <w:color w:val="auto"/>
        </w:rPr>
        <w:t>）未在法定期限内提出质疑的；</w:t>
      </w:r>
    </w:p>
    <w:p>
      <w:pPr>
        <w:spacing w:line="500" w:lineRule="exact"/>
        <w:ind w:firstLine="566" w:firstLineChars="200"/>
        <w:contextualSpacing/>
        <w:rPr>
          <w:rFonts w:ascii="华文仿宋" w:hAnsi="华文仿宋" w:cs="华文仿宋"/>
          <w:color w:val="auto"/>
        </w:rPr>
      </w:pPr>
      <w:r>
        <w:rPr>
          <w:rFonts w:hint="eastAsia" w:ascii="华文仿宋" w:hAnsi="华文仿宋" w:cs="华文仿宋"/>
          <w:color w:val="auto"/>
        </w:rPr>
        <w:t>（</w:t>
      </w:r>
      <w:r>
        <w:rPr>
          <w:rFonts w:hint="eastAsia" w:ascii="仿宋" w:hAnsi="仿宋" w:eastAsia="仿宋" w:cs="仿宋"/>
          <w:color w:val="auto"/>
        </w:rPr>
        <w:t>4</w:t>
      </w:r>
      <w:r>
        <w:rPr>
          <w:rFonts w:hint="eastAsia" w:ascii="华文仿宋" w:hAnsi="华文仿宋" w:cs="华文仿宋"/>
          <w:color w:val="auto"/>
        </w:rPr>
        <w:t>）质疑未以书面形式提出，或质疑函主要内容构成不完整的，或缺乏必要的证明材料及证明材料不完整的；</w:t>
      </w:r>
    </w:p>
    <w:p>
      <w:pPr>
        <w:spacing w:line="500" w:lineRule="exact"/>
        <w:ind w:firstLine="566" w:firstLineChars="200"/>
        <w:contextualSpacing/>
        <w:rPr>
          <w:rFonts w:ascii="华文仿宋" w:hAnsi="华文仿宋" w:cs="华文仿宋"/>
          <w:color w:val="auto"/>
        </w:rPr>
      </w:pPr>
      <w:r>
        <w:rPr>
          <w:rFonts w:hint="eastAsia" w:ascii="华文仿宋" w:hAnsi="华文仿宋" w:cs="华文仿宋"/>
          <w:color w:val="auto"/>
        </w:rPr>
        <w:t>（</w:t>
      </w:r>
      <w:r>
        <w:rPr>
          <w:rFonts w:hint="eastAsia" w:ascii="仿宋" w:hAnsi="仿宋" w:eastAsia="仿宋" w:cs="仿宋"/>
          <w:color w:val="auto"/>
        </w:rPr>
        <w:t>5</w:t>
      </w:r>
      <w:r>
        <w:rPr>
          <w:rFonts w:hint="eastAsia" w:ascii="华文仿宋" w:hAnsi="华文仿宋" w:cs="华文仿宋"/>
          <w:color w:val="auto"/>
        </w:rPr>
        <w:t>）质疑函没有合法有效的签字、盖章或授权的；</w:t>
      </w:r>
    </w:p>
    <w:p>
      <w:pPr>
        <w:spacing w:line="500" w:lineRule="exact"/>
        <w:ind w:firstLine="566" w:firstLineChars="200"/>
        <w:contextualSpacing/>
        <w:rPr>
          <w:rFonts w:ascii="华文仿宋" w:hAnsi="华文仿宋" w:cs="华文仿宋"/>
          <w:color w:val="auto"/>
        </w:rPr>
      </w:pPr>
      <w:r>
        <w:rPr>
          <w:rFonts w:hint="eastAsia" w:ascii="华文仿宋" w:hAnsi="华文仿宋" w:cs="华文仿宋"/>
          <w:color w:val="auto"/>
        </w:rPr>
        <w:t>（</w:t>
      </w:r>
      <w:r>
        <w:rPr>
          <w:rFonts w:hint="eastAsia" w:ascii="仿宋" w:hAnsi="仿宋" w:eastAsia="仿宋" w:cs="仿宋"/>
          <w:color w:val="auto"/>
        </w:rPr>
        <w:t>6</w:t>
      </w:r>
      <w:r>
        <w:rPr>
          <w:rFonts w:hint="eastAsia" w:ascii="华文仿宋" w:hAnsi="华文仿宋" w:cs="华文仿宋"/>
          <w:color w:val="auto"/>
        </w:rPr>
        <w:t>）以非法手段取得证据、材料的；</w:t>
      </w:r>
    </w:p>
    <w:p>
      <w:pPr>
        <w:spacing w:line="500" w:lineRule="exact"/>
        <w:ind w:firstLine="566" w:firstLineChars="200"/>
        <w:contextualSpacing/>
        <w:rPr>
          <w:rFonts w:ascii="华文仿宋" w:hAnsi="华文仿宋" w:cs="华文仿宋"/>
          <w:color w:val="auto"/>
        </w:rPr>
      </w:pPr>
      <w:r>
        <w:rPr>
          <w:rFonts w:hint="eastAsia" w:ascii="华文仿宋" w:hAnsi="华文仿宋" w:cs="华文仿宋"/>
          <w:color w:val="auto"/>
        </w:rPr>
        <w:t>（</w:t>
      </w:r>
      <w:r>
        <w:rPr>
          <w:rFonts w:hint="eastAsia" w:ascii="仿宋" w:hAnsi="仿宋" w:eastAsia="仿宋" w:cs="仿宋"/>
          <w:color w:val="auto"/>
        </w:rPr>
        <w:t>7</w:t>
      </w:r>
      <w:r>
        <w:rPr>
          <w:rFonts w:hint="eastAsia" w:ascii="华文仿宋" w:hAnsi="华文仿宋" w:cs="华文仿宋"/>
          <w:color w:val="auto"/>
        </w:rPr>
        <w:t>）质疑答复后，同一质疑人就同一事项再次提出质疑的；</w:t>
      </w:r>
    </w:p>
    <w:p>
      <w:pPr>
        <w:spacing w:line="500" w:lineRule="exact"/>
        <w:ind w:firstLine="566" w:firstLineChars="200"/>
        <w:contextualSpacing/>
        <w:rPr>
          <w:rFonts w:ascii="华文仿宋" w:hAnsi="华文仿宋" w:cs="华文仿宋"/>
          <w:color w:val="auto"/>
        </w:rPr>
      </w:pPr>
      <w:r>
        <w:rPr>
          <w:rFonts w:hint="eastAsia" w:ascii="华文仿宋" w:hAnsi="华文仿宋" w:cs="华文仿宋"/>
          <w:color w:val="auto"/>
        </w:rPr>
        <w:t>（</w:t>
      </w:r>
      <w:r>
        <w:rPr>
          <w:rFonts w:hint="eastAsia" w:ascii="仿宋" w:hAnsi="仿宋" w:eastAsia="仿宋" w:cs="仿宋"/>
          <w:color w:val="auto"/>
        </w:rPr>
        <w:t>8</w:t>
      </w:r>
      <w:r>
        <w:rPr>
          <w:rFonts w:hint="eastAsia" w:ascii="华文仿宋" w:hAnsi="华文仿宋" w:cs="华文仿宋"/>
          <w:color w:val="auto"/>
        </w:rPr>
        <w:t>）不符合法律、法规、规章和政府采购监管机构规定的其他条件的。</w:t>
      </w:r>
    </w:p>
    <w:p>
      <w:pPr>
        <w:spacing w:line="500" w:lineRule="exact"/>
        <w:ind w:firstLine="566" w:firstLineChars="200"/>
        <w:contextualSpacing/>
        <w:rPr>
          <w:rFonts w:ascii="华文仿宋" w:hAnsi="华文仿宋" w:cs="华文仿宋"/>
          <w:color w:val="auto"/>
        </w:rPr>
      </w:pPr>
      <w:r>
        <w:rPr>
          <w:rFonts w:hint="eastAsia" w:ascii="仿宋" w:hAnsi="仿宋" w:eastAsia="仿宋" w:cs="仿宋"/>
          <w:color w:val="auto"/>
        </w:rPr>
        <w:t>5</w:t>
      </w:r>
      <w:r>
        <w:rPr>
          <w:rFonts w:hint="eastAsia" w:ascii="华文仿宋" w:hAnsi="华文仿宋" w:cs="华文仿宋"/>
          <w:color w:val="auto"/>
        </w:rPr>
        <w:t>、质疑人对陕西省省级单位政府采购中心或采购人的答复不满意，以及陕西省省级单位政府采购中心或采购人未在规定时间内做出答复的，可以在答复期满后</w:t>
      </w:r>
      <w:r>
        <w:rPr>
          <w:rFonts w:hint="eastAsia" w:ascii="仿宋" w:hAnsi="仿宋" w:eastAsia="仿宋" w:cs="仿宋"/>
          <w:color w:val="auto"/>
        </w:rPr>
        <w:t>15</w:t>
      </w:r>
      <w:r>
        <w:rPr>
          <w:rFonts w:hint="eastAsia" w:ascii="华文仿宋" w:hAnsi="华文仿宋" w:cs="华文仿宋"/>
          <w:color w:val="auto"/>
        </w:rPr>
        <w:t>个工作日内向政府采购监管机构提出投诉。</w:t>
      </w:r>
    </w:p>
    <w:p>
      <w:pPr>
        <w:spacing w:line="500" w:lineRule="exact"/>
        <w:ind w:firstLine="566" w:firstLineChars="200"/>
        <w:rPr>
          <w:rFonts w:ascii="华文仿宋" w:hAnsi="华文仿宋" w:cs="华文仿宋"/>
          <w:color w:val="auto"/>
        </w:rPr>
      </w:pPr>
      <w:r>
        <w:rPr>
          <w:rFonts w:hint="eastAsia" w:ascii="仿宋" w:hAnsi="仿宋" w:eastAsia="仿宋" w:cs="仿宋"/>
          <w:color w:val="auto"/>
        </w:rPr>
        <w:t>6</w:t>
      </w:r>
      <w:r>
        <w:rPr>
          <w:rFonts w:hint="eastAsia" w:ascii="华文仿宋" w:hAnsi="华文仿宋" w:cs="华文仿宋"/>
          <w:color w:val="auto"/>
        </w:rPr>
        <w:t>、供应商投诉的事项不得超出已质疑事项的范围。</w:t>
      </w:r>
    </w:p>
    <w:p>
      <w:pPr>
        <w:spacing w:line="500" w:lineRule="exact"/>
        <w:ind w:firstLine="566" w:firstLineChars="200"/>
        <w:rPr>
          <w:rFonts w:ascii="华文仿宋" w:hAnsi="华文仿宋" w:cs="华文仿宋"/>
          <w:b/>
          <w:color w:val="auto"/>
        </w:rPr>
      </w:pPr>
      <w:r>
        <w:rPr>
          <w:rFonts w:hint="eastAsia" w:ascii="仿宋" w:hAnsi="仿宋" w:eastAsia="仿宋" w:cs="仿宋"/>
          <w:color w:val="auto"/>
        </w:rPr>
        <w:t>7</w:t>
      </w:r>
      <w:r>
        <w:rPr>
          <w:rFonts w:hint="eastAsia" w:ascii="华文仿宋" w:hAnsi="华文仿宋" w:cs="华文仿宋"/>
          <w:color w:val="auto"/>
        </w:rPr>
        <w:t>、</w:t>
      </w:r>
      <w:r>
        <w:rPr>
          <w:rFonts w:hint="eastAsia" w:ascii="华文仿宋" w:hAnsi="华文仿宋" w:cs="华文仿宋"/>
          <w:b/>
          <w:color w:val="auto"/>
        </w:rPr>
        <w:t>对捏造事实、提供虚假材料进行质疑、投诉的行为予以严肃处理：</w:t>
      </w:r>
    </w:p>
    <w:p>
      <w:pPr>
        <w:spacing w:line="500" w:lineRule="exact"/>
        <w:ind w:firstLine="566" w:firstLineChars="200"/>
        <w:rPr>
          <w:rFonts w:ascii="华文仿宋" w:hAnsi="华文仿宋" w:cs="华文仿宋"/>
          <w:color w:val="auto"/>
        </w:rPr>
      </w:pPr>
      <w:r>
        <w:rPr>
          <w:rFonts w:hint="eastAsia"/>
          <w:color w:val="auto"/>
        </w:rPr>
        <w:t>依据《中华人民共和国政府采购法》及其实施条例、《政府采购竞争性磋商采购方式管理暂行办法》及有关问题的补充通知、《政府采购质疑和投诉办法》等法律法规文件的规定，供应商质疑、投诉应当有明确的请求和必要的证明材料。</w:t>
      </w:r>
      <w:r>
        <w:rPr>
          <w:rFonts w:hint="eastAsia"/>
          <w:b/>
          <w:bCs/>
          <w:color w:val="auto"/>
        </w:rPr>
        <w:t>投诉人在全国范围内十二个月内三次以上投诉查无实据的，由财政部门列入不良行为记录名单</w:t>
      </w:r>
      <w:r>
        <w:rPr>
          <w:rFonts w:hint="eastAsia"/>
          <w:color w:val="auto"/>
        </w:rPr>
        <w:t>。对于捏造事实、提供虚假材料或者以非法手段取得证明材料进行投诉的，财政部门应当予以驳回，并将其列入不良行为记录名单，禁止其一至三年内参加政府采购活动。</w:t>
      </w:r>
    </w:p>
    <w:p>
      <w:pPr>
        <w:spacing w:line="500" w:lineRule="exact"/>
        <w:ind w:firstLine="566" w:firstLineChars="200"/>
        <w:rPr>
          <w:rFonts w:ascii="华文仿宋" w:hAnsi="华文仿宋" w:cs="华文仿宋"/>
          <w:b/>
          <w:color w:val="auto"/>
        </w:rPr>
      </w:pPr>
      <w:r>
        <w:rPr>
          <w:rFonts w:hint="eastAsia" w:ascii="华文仿宋" w:hAnsi="华文仿宋" w:cs="华文仿宋"/>
          <w:color w:val="auto"/>
        </w:rPr>
        <w:t>8、</w:t>
      </w:r>
      <w:r>
        <w:rPr>
          <w:rFonts w:hint="eastAsia" w:ascii="华文仿宋" w:hAnsi="华文仿宋" w:cs="华文仿宋"/>
          <w:b/>
          <w:color w:val="auto"/>
        </w:rPr>
        <w:t>对捏造事实诬告陷害他人、诽谤他人的法律适用：</w:t>
      </w:r>
    </w:p>
    <w:p>
      <w:pPr>
        <w:spacing w:line="500" w:lineRule="exact"/>
        <w:ind w:firstLine="566" w:firstLineChars="200"/>
        <w:rPr>
          <w:rFonts w:ascii="华文仿宋" w:hAnsi="华文仿宋" w:cs="华文仿宋"/>
          <w:color w:val="auto"/>
        </w:rPr>
      </w:pPr>
      <w:r>
        <w:rPr>
          <w:rFonts w:hint="eastAsia" w:ascii="华文仿宋" w:hAnsi="华文仿宋" w:cs="华文仿宋"/>
          <w:color w:val="auto"/>
        </w:rPr>
        <w:t>《中华人民共和国刑法》第243条【诬告陷害罪】捏造事实诬告陷害他人，意图使他人受刑事追究，情节严重的，处三年以下有期徒刑、拘役或者管制；造成严重后果的，处三年以上十年以下有期徒刑。</w:t>
      </w:r>
    </w:p>
    <w:p>
      <w:pPr>
        <w:spacing w:line="500" w:lineRule="exact"/>
        <w:ind w:firstLine="566" w:firstLineChars="200"/>
        <w:rPr>
          <w:rFonts w:ascii="华文仿宋" w:hAnsi="华文仿宋" w:cs="华文仿宋"/>
          <w:color w:val="auto"/>
        </w:rPr>
      </w:pPr>
      <w:r>
        <w:rPr>
          <w:rFonts w:hint="eastAsia" w:ascii="华文仿宋" w:hAnsi="华文仿宋" w:cs="华文仿宋"/>
          <w:color w:val="auto"/>
        </w:rPr>
        <w:t>《中华人民共和国刑法》第246条【侮辱罪、诽谤罪】以暴力或者其他方法公然侮辱他人或者捏造事实诽谤他人，情节严重的，处三年以下有期徒刑、拘役、管制或者剥夺政治权利。</w:t>
      </w:r>
    </w:p>
    <w:p>
      <w:pPr>
        <w:spacing w:line="500" w:lineRule="exact"/>
        <w:ind w:firstLine="566" w:firstLineChars="200"/>
        <w:contextualSpacing/>
        <w:rPr>
          <w:rFonts w:ascii="仿宋" w:hAnsi="仿宋" w:eastAsia="仿宋"/>
          <w:color w:val="auto"/>
        </w:rPr>
      </w:pPr>
      <w:r>
        <w:rPr>
          <w:rFonts w:hint="eastAsia" w:ascii="仿宋" w:hAnsi="仿宋" w:eastAsia="仿宋" w:cs="Times New Roman"/>
          <w:color w:val="auto"/>
        </w:rPr>
        <w:t>9、质疑函递交地址：陕西省公共资源交易中心交易受理处</w:t>
      </w:r>
    </w:p>
    <w:p>
      <w:pPr>
        <w:spacing w:line="500" w:lineRule="exact"/>
        <w:ind w:firstLine="566" w:firstLineChars="200"/>
        <w:contextualSpacing/>
        <w:rPr>
          <w:rFonts w:ascii="仿宋" w:hAnsi="仿宋" w:eastAsia="仿宋"/>
          <w:color w:val="auto"/>
        </w:rPr>
      </w:pPr>
      <w:r>
        <w:rPr>
          <w:rFonts w:hint="eastAsia" w:ascii="仿宋" w:hAnsi="仿宋" w:eastAsia="仿宋"/>
          <w:color w:val="auto"/>
        </w:rPr>
        <w:t>联系电话：</w:t>
      </w:r>
      <w:r>
        <w:rPr>
          <w:rFonts w:ascii="仿宋" w:hAnsi="仿宋" w:eastAsia="仿宋"/>
          <w:color w:val="auto"/>
        </w:rPr>
        <w:t>029-88661258</w:t>
      </w:r>
    </w:p>
    <w:p>
      <w:pPr>
        <w:pStyle w:val="42"/>
        <w:spacing w:line="500" w:lineRule="exact"/>
        <w:ind w:firstLine="566" w:firstLineChars="200"/>
        <w:contextualSpacing/>
        <w:rPr>
          <w:rFonts w:ascii="仿宋" w:hAnsi="仿宋" w:eastAsia="仿宋"/>
          <w:color w:val="auto"/>
        </w:rPr>
      </w:pPr>
      <w:r>
        <w:rPr>
          <w:rFonts w:hint="eastAsia" w:ascii="仿宋" w:hAnsi="仿宋" w:eastAsia="仿宋"/>
          <w:color w:val="auto"/>
        </w:rPr>
        <w:t>投诉书递交地址：</w:t>
      </w:r>
      <w:r>
        <w:rPr>
          <w:rFonts w:hint="eastAsia"/>
          <w:color w:val="auto"/>
        </w:rPr>
        <w:t>西安市莲湖区冰窖巷</w:t>
      </w:r>
      <w:r>
        <w:rPr>
          <w:color w:val="auto"/>
        </w:rPr>
        <w:t>6</w:t>
      </w:r>
      <w:r>
        <w:rPr>
          <w:rFonts w:hint="eastAsia"/>
          <w:color w:val="auto"/>
        </w:rPr>
        <w:t>号</w:t>
      </w:r>
      <w:r>
        <w:rPr>
          <w:rFonts w:hint="eastAsia" w:ascii="仿宋" w:hAnsi="仿宋" w:eastAsia="仿宋"/>
          <w:color w:val="auto"/>
        </w:rPr>
        <w:t>陕西省财政厅</w:t>
      </w:r>
      <w:r>
        <w:rPr>
          <w:rFonts w:ascii="仿宋" w:hAnsi="仿宋" w:eastAsia="仿宋"/>
          <w:color w:val="auto"/>
        </w:rPr>
        <w:t>509</w:t>
      </w:r>
      <w:r>
        <w:rPr>
          <w:rFonts w:hint="eastAsia" w:ascii="仿宋" w:hAnsi="仿宋" w:eastAsia="仿宋"/>
          <w:color w:val="auto"/>
        </w:rPr>
        <w:t>室</w:t>
      </w:r>
    </w:p>
    <w:p>
      <w:pPr>
        <w:spacing w:line="500" w:lineRule="exact"/>
        <w:ind w:firstLine="566" w:firstLineChars="200"/>
        <w:contextualSpacing/>
        <w:rPr>
          <w:rFonts w:ascii="华文仿宋" w:hAnsi="华文仿宋" w:cs="华文仿宋"/>
          <w:color w:val="auto"/>
        </w:rPr>
      </w:pPr>
      <w:r>
        <w:rPr>
          <w:rFonts w:hint="eastAsia" w:ascii="仿宋" w:hAnsi="仿宋" w:eastAsia="仿宋"/>
          <w:color w:val="auto"/>
        </w:rPr>
        <w:t>联系电话：</w:t>
      </w:r>
      <w:r>
        <w:rPr>
          <w:rFonts w:ascii="仿宋" w:hAnsi="仿宋" w:eastAsia="仿宋"/>
          <w:color w:val="auto"/>
        </w:rPr>
        <w:t>029-68936154</w:t>
      </w:r>
    </w:p>
    <w:p>
      <w:pPr>
        <w:spacing w:line="500" w:lineRule="exact"/>
        <w:ind w:firstLine="566" w:firstLineChars="200"/>
        <w:rPr>
          <w:rFonts w:ascii="华文仿宋" w:hAnsi="华文仿宋" w:cs="华文仿宋"/>
          <w:b/>
          <w:color w:val="auto"/>
        </w:rPr>
      </w:pPr>
      <w:bookmarkStart w:id="88" w:name="_Toc14110_WPSOffice_Level3"/>
      <w:r>
        <w:rPr>
          <w:rFonts w:hint="eastAsia" w:ascii="华文仿宋" w:hAnsi="华文仿宋" w:cs="华文仿宋"/>
          <w:b/>
          <w:color w:val="auto"/>
        </w:rPr>
        <w:t>（四）关于信用记录的查询和使用</w:t>
      </w:r>
    </w:p>
    <w:p>
      <w:pPr>
        <w:wordWrap w:val="0"/>
        <w:spacing w:line="500" w:lineRule="exact"/>
        <w:ind w:firstLine="566" w:firstLineChars="200"/>
        <w:rPr>
          <w:rFonts w:ascii="华文仿宋" w:hAnsi="华文仿宋" w:cs="华文仿宋"/>
          <w:color w:val="auto"/>
        </w:rPr>
      </w:pPr>
      <w:r>
        <w:rPr>
          <w:rFonts w:hint="eastAsia" w:ascii="仿宋" w:hAnsi="仿宋" w:eastAsia="仿宋" w:cs="仿宋"/>
          <w:color w:val="auto"/>
        </w:rPr>
        <w:t>1、</w:t>
      </w:r>
      <w:r>
        <w:rPr>
          <w:rFonts w:hint="eastAsia" w:ascii="华文仿宋" w:hAnsi="华文仿宋" w:cs="华文仿宋"/>
          <w:color w:val="auto"/>
        </w:rPr>
        <w:t>磋商小组将在资格审查阶段通过【</w:t>
      </w:r>
      <w:r>
        <w:rPr>
          <w:color w:val="auto"/>
        </w:rPr>
        <w:fldChar w:fldCharType="begin"/>
      </w:r>
      <w:r>
        <w:rPr>
          <w:color w:val="auto"/>
        </w:rPr>
        <w:instrText xml:space="preserve"> HYPERLINK "http://www.creditchina.gov.cn" </w:instrText>
      </w:r>
      <w:r>
        <w:rPr>
          <w:color w:val="auto"/>
        </w:rPr>
        <w:fldChar w:fldCharType="separate"/>
      </w:r>
      <w:r>
        <w:rPr>
          <w:rStyle w:val="34"/>
          <w:rFonts w:hint="eastAsia" w:ascii="华文仿宋" w:hAnsi="华文仿宋" w:cs="华文仿宋"/>
          <w:color w:val="auto"/>
          <w:sz w:val="28"/>
        </w:rPr>
        <w:t>信用中国</w:t>
      </w:r>
      <w:r>
        <w:rPr>
          <w:rStyle w:val="34"/>
          <w:rFonts w:hint="eastAsia" w:ascii="华文仿宋" w:hAnsi="华文仿宋" w:cs="华文仿宋"/>
          <w:color w:val="auto"/>
          <w:sz w:val="28"/>
        </w:rPr>
        <w:fldChar w:fldCharType="end"/>
      </w:r>
      <w:r>
        <w:rPr>
          <w:rFonts w:hint="eastAsia" w:ascii="华文仿宋" w:hAnsi="华文仿宋" w:cs="华文仿宋"/>
          <w:color w:val="auto"/>
        </w:rPr>
        <w:t>（www.creditchina.gov.cn）】、【</w:t>
      </w:r>
      <w:r>
        <w:rPr>
          <w:color w:val="auto"/>
        </w:rPr>
        <w:fldChar w:fldCharType="begin"/>
      </w:r>
      <w:r>
        <w:rPr>
          <w:color w:val="auto"/>
        </w:rPr>
        <w:instrText xml:space="preserve"> HYPERLINK "http://www.ccgp.gov.cn/cr/list" </w:instrText>
      </w:r>
      <w:r>
        <w:rPr>
          <w:color w:val="auto"/>
        </w:rPr>
        <w:fldChar w:fldCharType="separate"/>
      </w:r>
      <w:r>
        <w:rPr>
          <w:rStyle w:val="34"/>
          <w:rFonts w:hint="eastAsia" w:ascii="华文仿宋" w:hAnsi="华文仿宋" w:cs="华文仿宋"/>
          <w:color w:val="auto"/>
          <w:sz w:val="28"/>
        </w:rPr>
        <w:t>中国政府采购网</w:t>
      </w:r>
      <w:r>
        <w:rPr>
          <w:rStyle w:val="34"/>
          <w:rFonts w:hint="eastAsia" w:ascii="华文仿宋" w:hAnsi="华文仿宋" w:cs="华文仿宋"/>
          <w:color w:val="auto"/>
          <w:sz w:val="28"/>
        </w:rPr>
        <w:fldChar w:fldCharType="end"/>
      </w:r>
      <w:r>
        <w:rPr>
          <w:rFonts w:hint="eastAsia" w:ascii="华文仿宋" w:hAnsi="华文仿宋" w:cs="华文仿宋"/>
          <w:color w:val="auto"/>
        </w:rPr>
        <w:t>（www.ccgp.gov.cn）】网站对响应文件中的《供应商书面声明函》的信用情况进行甄别。对列入失信被执行人、重大税收违法案件当事人名单、政府采购严重违法失信行为记录名单及其他不符合《中华人民共和国政府采购法》第二十二条规定条件的供应商，根据《关于在政府采购活动中查询及使用信用记录有关问题的通知》（财库</w:t>
      </w:r>
      <w:r>
        <w:rPr>
          <w:rFonts w:hint="eastAsia" w:ascii="仿宋" w:hAnsi="仿宋" w:eastAsia="仿宋" w:cs="仿宋"/>
          <w:color w:val="auto"/>
        </w:rPr>
        <w:t>〔2016〕125号）</w:t>
      </w:r>
      <w:r>
        <w:rPr>
          <w:rFonts w:hint="eastAsia" w:ascii="华文仿宋" w:hAnsi="华文仿宋" w:cs="华文仿宋"/>
          <w:color w:val="auto"/>
        </w:rPr>
        <w:t>的第二条第（三）款规定，其投标或成交资格将被取消。</w:t>
      </w:r>
    </w:p>
    <w:p>
      <w:pPr>
        <w:spacing w:line="500" w:lineRule="exact"/>
        <w:ind w:firstLine="566" w:firstLineChars="200"/>
        <w:rPr>
          <w:rFonts w:ascii="华文仿宋" w:hAnsi="华文仿宋" w:cs="华文仿宋"/>
          <w:color w:val="auto"/>
        </w:rPr>
      </w:pPr>
      <w:r>
        <w:rPr>
          <w:rFonts w:hint="eastAsia" w:ascii="仿宋" w:hAnsi="仿宋" w:eastAsia="仿宋" w:cs="仿宋"/>
          <w:color w:val="auto"/>
        </w:rPr>
        <w:t>2、</w:t>
      </w:r>
      <w:r>
        <w:rPr>
          <w:rFonts w:hint="eastAsia" w:ascii="华文仿宋" w:hAnsi="华文仿宋" w:cs="华文仿宋"/>
          <w:color w:val="auto"/>
        </w:rPr>
        <w:t>供应商在参加政府采购活动前</w:t>
      </w:r>
      <w:r>
        <w:rPr>
          <w:rFonts w:hint="eastAsia" w:ascii="仿宋" w:hAnsi="仿宋" w:eastAsia="仿宋" w:cs="仿宋"/>
          <w:color w:val="auto"/>
        </w:rPr>
        <w:t>3</w:t>
      </w:r>
      <w:r>
        <w:rPr>
          <w:rFonts w:hint="eastAsia" w:ascii="华文仿宋" w:hAnsi="华文仿宋" w:cs="华文仿宋"/>
          <w:color w:val="auto"/>
        </w:rPr>
        <w:t>年内因违法经营被禁止在一定期限内参加政府采购活动，期限届满的，可以参加政府采购活动的，但供应商应提供相关证明材料。</w:t>
      </w:r>
    </w:p>
    <w:p>
      <w:pPr>
        <w:spacing w:line="500" w:lineRule="exact"/>
        <w:ind w:firstLine="566" w:firstLineChars="200"/>
        <w:rPr>
          <w:rFonts w:ascii="华文仿宋" w:hAnsi="华文仿宋" w:cs="华文仿宋"/>
          <w:color w:val="auto"/>
        </w:rPr>
      </w:pPr>
      <w:r>
        <w:rPr>
          <w:rFonts w:hint="eastAsia" w:ascii="仿宋" w:hAnsi="仿宋" w:eastAsia="仿宋" w:cs="仿宋"/>
          <w:color w:val="auto"/>
        </w:rPr>
        <w:t>3、</w:t>
      </w:r>
      <w:r>
        <w:rPr>
          <w:rFonts w:hint="eastAsia" w:ascii="华文仿宋" w:hAnsi="华文仿宋" w:cs="华文仿宋"/>
          <w:color w:val="auto"/>
        </w:rPr>
        <w:t>供应商信用记录查询的时间段为“磋商公告发布之日（含当日）至提交响应文件截止之日（不含当日）”。信用记录查询的结果，可以纸质截图或将截图保存至电子介质的形式留存。供应商未如实填报《供应商书面声明函》的，视为“供应商提供虚假材料谋取中标、成交的”行为。</w:t>
      </w:r>
    </w:p>
    <w:p>
      <w:pPr>
        <w:spacing w:line="500" w:lineRule="exact"/>
        <w:ind w:firstLine="566" w:firstLineChars="200"/>
        <w:rPr>
          <w:rFonts w:ascii="华文仿宋" w:hAnsi="华文仿宋" w:cs="华文仿宋"/>
          <w:b/>
          <w:color w:val="auto"/>
        </w:rPr>
      </w:pPr>
      <w:r>
        <w:rPr>
          <w:rFonts w:hint="eastAsia" w:ascii="仿宋" w:hAnsi="仿宋" w:eastAsia="仿宋" w:cs="仿宋"/>
          <w:color w:val="auto"/>
        </w:rPr>
        <w:t>4、</w:t>
      </w:r>
      <w:r>
        <w:rPr>
          <w:rFonts w:hint="eastAsia" w:ascii="华文仿宋" w:hAnsi="华文仿宋" w:cs="华文仿宋"/>
          <w:color w:val="auto"/>
        </w:rPr>
        <w:t>两个以上的自然人、法人或者其他组织组成一个联合体，以一个供应商的身份共同参加政府采购活动的，应当对所有联合体成员进行信用记录查询，联合体成员存在不良信用记录的，视同联合体存在不良信用记录。</w:t>
      </w:r>
    </w:p>
    <w:p>
      <w:pPr>
        <w:spacing w:line="500" w:lineRule="exact"/>
        <w:ind w:firstLine="566" w:firstLineChars="200"/>
        <w:rPr>
          <w:rFonts w:ascii="华文仿宋" w:hAnsi="华文仿宋" w:cs="华文仿宋"/>
          <w:b/>
          <w:color w:val="auto"/>
        </w:rPr>
      </w:pPr>
      <w:r>
        <w:rPr>
          <w:rFonts w:hint="eastAsia" w:ascii="华文仿宋" w:hAnsi="华文仿宋" w:cs="华文仿宋"/>
          <w:b/>
          <w:color w:val="auto"/>
        </w:rPr>
        <w:t>（五）落实的政府采购政策</w:t>
      </w:r>
      <w:bookmarkEnd w:id="88"/>
    </w:p>
    <w:p>
      <w:pPr>
        <w:spacing w:line="500" w:lineRule="exact"/>
        <w:ind w:firstLine="566" w:firstLineChars="200"/>
        <w:rPr>
          <w:rFonts w:ascii="仿宋" w:hAnsi="仿宋" w:eastAsia="仿宋" w:cs="仿宋"/>
          <w:color w:val="auto"/>
        </w:rPr>
      </w:pPr>
      <w:r>
        <w:rPr>
          <w:rFonts w:hint="eastAsia" w:ascii="仿宋" w:hAnsi="仿宋" w:eastAsia="仿宋" w:cs="仿宋"/>
          <w:color w:val="auto"/>
        </w:rPr>
        <w:t>1</w:t>
      </w:r>
      <w:r>
        <w:rPr>
          <w:rFonts w:hint="eastAsia" w:ascii="华文仿宋" w:hAnsi="华文仿宋" w:cs="华文仿宋"/>
          <w:color w:val="auto"/>
        </w:rPr>
        <w:t>、根据《</w:t>
      </w:r>
      <w:bookmarkStart w:id="89" w:name="OLE_LINK2"/>
      <w:bookmarkStart w:id="90" w:name="OLE_LINK3"/>
      <w:bookmarkStart w:id="91" w:name="OLE_LINK1"/>
      <w:r>
        <w:rPr>
          <w:rFonts w:hint="eastAsia" w:ascii="华文仿宋" w:hAnsi="华文仿宋" w:cs="华文仿宋"/>
          <w:color w:val="auto"/>
        </w:rPr>
        <w:t>政府采购促进中小企业发展暂行办法</w:t>
      </w:r>
      <w:bookmarkEnd w:id="89"/>
      <w:bookmarkEnd w:id="90"/>
      <w:bookmarkEnd w:id="91"/>
      <w:r>
        <w:rPr>
          <w:rFonts w:hint="eastAsia" w:ascii="华文仿宋" w:hAnsi="华文仿宋" w:cs="华文仿宋"/>
          <w:color w:val="auto"/>
        </w:rPr>
        <w:t>》（财库〔</w:t>
      </w:r>
      <w:r>
        <w:rPr>
          <w:rFonts w:hint="eastAsia" w:ascii="仿宋" w:hAnsi="仿宋" w:eastAsia="仿宋" w:cs="仿宋"/>
          <w:color w:val="auto"/>
        </w:rPr>
        <w:t>2011</w:t>
      </w:r>
      <w:r>
        <w:rPr>
          <w:rFonts w:hint="eastAsia" w:ascii="华文仿宋" w:hAnsi="华文仿宋" w:cs="华文仿宋"/>
          <w:color w:val="auto"/>
        </w:rPr>
        <w:t>〕</w:t>
      </w:r>
      <w:r>
        <w:rPr>
          <w:rFonts w:hint="eastAsia" w:ascii="仿宋" w:hAnsi="仿宋" w:eastAsia="仿宋" w:cs="仿宋"/>
          <w:color w:val="auto"/>
        </w:rPr>
        <w:t>181</w:t>
      </w:r>
      <w:r>
        <w:rPr>
          <w:rFonts w:hint="eastAsia" w:ascii="华文仿宋" w:hAnsi="华文仿宋" w:cs="华文仿宋"/>
          <w:color w:val="auto"/>
        </w:rPr>
        <w:t>号）的有关规定，小微企业提供本企业制造的货物、承担的工程或者服务，或者提供其他小微企业制造的货物（不包括使用大型、中型企业注册商标的货物）参与政府采购活动时对小型和微型企业产品的价格给予</w:t>
      </w:r>
      <w:r>
        <w:rPr>
          <w:rFonts w:hint="eastAsia" w:ascii="仿宋" w:hAnsi="仿宋" w:eastAsia="仿宋" w:cs="仿宋"/>
          <w:color w:val="auto"/>
        </w:rPr>
        <w:t>6</w:t>
      </w:r>
      <w:r>
        <w:rPr>
          <w:rFonts w:hint="eastAsia" w:ascii="华文仿宋" w:hAnsi="华文仿宋" w:cs="华文仿宋"/>
          <w:color w:val="auto"/>
        </w:rPr>
        <w:t>%-</w:t>
      </w:r>
      <w:r>
        <w:rPr>
          <w:rFonts w:hint="eastAsia" w:ascii="仿宋" w:hAnsi="仿宋" w:eastAsia="仿宋" w:cs="仿宋"/>
          <w:color w:val="auto"/>
        </w:rPr>
        <w:t>10</w:t>
      </w:r>
      <w:r>
        <w:rPr>
          <w:rFonts w:hint="eastAsia" w:ascii="华文仿宋" w:hAnsi="华文仿宋" w:cs="华文仿宋"/>
          <w:color w:val="auto"/>
        </w:rPr>
        <w:t>%的价格扣除，用扣除后的价格参与评审。</w:t>
      </w:r>
      <w:r>
        <w:rPr>
          <w:rFonts w:hint="eastAsia" w:ascii="仿宋" w:hAnsi="仿宋" w:eastAsia="仿宋" w:cs="仿宋"/>
          <w:color w:val="auto"/>
        </w:rPr>
        <w:t>同时，依据该办法第二条第三款规定小型、微型企业所投报的产品如果部分由中大型企业生产或提供的，将不享受政府采购价格扣除优惠政策。</w:t>
      </w:r>
    </w:p>
    <w:p>
      <w:pPr>
        <w:spacing w:line="500" w:lineRule="exact"/>
        <w:ind w:firstLine="566" w:firstLineChars="200"/>
        <w:rPr>
          <w:rFonts w:ascii="华文仿宋" w:hAnsi="华文仿宋" w:cs="华文仿宋"/>
          <w:strike/>
          <w:dstrike w:val="0"/>
          <w:color w:val="auto"/>
        </w:rPr>
      </w:pPr>
      <w:r>
        <w:rPr>
          <w:rFonts w:hint="eastAsia" w:ascii="华文仿宋" w:hAnsi="华文仿宋" w:cs="华文仿宋"/>
          <w:strike w:val="0"/>
          <w:dstrike w:val="0"/>
          <w:color w:val="auto"/>
        </w:rPr>
        <w:t>联合体投标的，若大中型企业法人与小型、微型企业组成联合体投标时，联合协议中约定，小型、微型企业的协议合同金额占到联合体协议合同总金额</w:t>
      </w:r>
      <w:r>
        <w:rPr>
          <w:rFonts w:hint="eastAsia" w:ascii="仿宋" w:hAnsi="仿宋" w:eastAsia="仿宋" w:cs="仿宋"/>
          <w:strike w:val="0"/>
          <w:dstrike w:val="0"/>
          <w:color w:val="auto"/>
        </w:rPr>
        <w:t>30</w:t>
      </w:r>
      <w:r>
        <w:rPr>
          <w:rFonts w:hint="eastAsia" w:ascii="华文仿宋" w:hAnsi="华文仿宋" w:cs="华文仿宋"/>
          <w:strike w:val="0"/>
          <w:dstrike w:val="0"/>
          <w:color w:val="auto"/>
        </w:rPr>
        <w:t>%以上的，可给予联合体</w:t>
      </w:r>
      <w:r>
        <w:rPr>
          <w:rFonts w:hint="eastAsia" w:ascii="仿宋" w:hAnsi="仿宋" w:eastAsia="仿宋" w:cs="仿宋"/>
          <w:strike w:val="0"/>
          <w:dstrike w:val="0"/>
          <w:color w:val="auto"/>
        </w:rPr>
        <w:t>2</w:t>
      </w:r>
      <w:r>
        <w:rPr>
          <w:rFonts w:hint="eastAsia" w:ascii="华文仿宋" w:hAnsi="华文仿宋" w:cs="华文仿宋"/>
          <w:strike w:val="0"/>
          <w:dstrike w:val="0"/>
          <w:color w:val="auto"/>
        </w:rPr>
        <w:t>%-</w:t>
      </w:r>
      <w:r>
        <w:rPr>
          <w:rFonts w:hint="eastAsia" w:ascii="仿宋" w:hAnsi="仿宋" w:eastAsia="仿宋" w:cs="仿宋"/>
          <w:strike w:val="0"/>
          <w:dstrike w:val="0"/>
          <w:color w:val="auto"/>
        </w:rPr>
        <w:t>3</w:t>
      </w:r>
      <w:r>
        <w:rPr>
          <w:rFonts w:hint="eastAsia" w:ascii="华文仿宋" w:hAnsi="华文仿宋" w:cs="华文仿宋"/>
          <w:strike w:val="0"/>
          <w:dstrike w:val="0"/>
          <w:color w:val="auto"/>
        </w:rPr>
        <w:t>%的价格扣除；联合体各方均为小型、微型企业的，联合体视同为小型、微型企业；组成联合体的大中型企业和其他自然人、法人或者其他组织，与小型、微型企业之间不得存在投资关系。</w:t>
      </w:r>
    </w:p>
    <w:p>
      <w:pPr>
        <w:spacing w:line="500" w:lineRule="exact"/>
        <w:ind w:firstLine="566" w:firstLineChars="200"/>
        <w:rPr>
          <w:rFonts w:ascii="华文仿宋" w:hAnsi="华文仿宋" w:cs="华文仿宋"/>
          <w:color w:val="auto"/>
        </w:rPr>
      </w:pPr>
      <w:r>
        <w:rPr>
          <w:rFonts w:hint="eastAsia" w:ascii="华文仿宋" w:hAnsi="华文仿宋" w:cs="华文仿宋"/>
          <w:color w:val="auto"/>
        </w:rPr>
        <w:t>参加政府采购活动的中小企业应提供《中小企业声明函》原件。未提供上述声明函原件的，不能享受磋商文件规定的价格扣除，但不影响响应文件的有效性。实际价格扣除比例以本章组织评审中《评审要素及分值一览表》中的约定为准。</w:t>
      </w:r>
    </w:p>
    <w:p>
      <w:pPr>
        <w:spacing w:line="500" w:lineRule="exact"/>
        <w:ind w:firstLine="566" w:firstLineChars="200"/>
        <w:rPr>
          <w:rFonts w:ascii="华文仿宋" w:hAnsi="华文仿宋" w:cs="华文仿宋"/>
          <w:color w:val="auto"/>
        </w:rPr>
      </w:pPr>
      <w:r>
        <w:rPr>
          <w:rFonts w:hint="eastAsia" w:ascii="仿宋" w:hAnsi="仿宋" w:eastAsia="仿宋" w:cs="仿宋"/>
          <w:color w:val="auto"/>
        </w:rPr>
        <w:t>2</w:t>
      </w:r>
      <w:r>
        <w:rPr>
          <w:rFonts w:hint="eastAsia" w:ascii="华文仿宋" w:hAnsi="华文仿宋" w:cs="华文仿宋"/>
          <w:color w:val="auto"/>
        </w:rPr>
        <w:t>、</w:t>
      </w:r>
      <w:r>
        <w:rPr>
          <w:rFonts w:hint="eastAsia" w:ascii="华文仿宋" w:hAnsi="华文仿宋" w:cs="华文仿宋"/>
          <w:color w:val="auto"/>
          <w:lang w:val="zh-CN"/>
        </w:rPr>
        <w:t>监狱企业应符合《财政部</w:t>
      </w:r>
      <w:r>
        <w:rPr>
          <w:rFonts w:hint="eastAsia" w:ascii="华文仿宋" w:hAnsi="华文仿宋" w:cs="华文仿宋"/>
          <w:color w:val="auto"/>
        </w:rPr>
        <w:t xml:space="preserve"> 司法部关于政府采购支持监狱企业发展有关问题的通知》--财库[</w:t>
      </w:r>
      <w:r>
        <w:rPr>
          <w:rFonts w:hint="eastAsia" w:ascii="仿宋" w:hAnsi="仿宋" w:eastAsia="仿宋" w:cs="仿宋"/>
          <w:color w:val="auto"/>
        </w:rPr>
        <w:t>2014</w:t>
      </w:r>
      <w:r>
        <w:rPr>
          <w:rFonts w:hint="eastAsia" w:ascii="华文仿宋" w:hAnsi="华文仿宋" w:cs="华文仿宋"/>
          <w:color w:val="auto"/>
        </w:rPr>
        <w:t>]</w:t>
      </w:r>
      <w:r>
        <w:rPr>
          <w:rFonts w:hint="eastAsia" w:ascii="仿宋" w:hAnsi="仿宋" w:eastAsia="仿宋" w:cs="仿宋"/>
          <w:color w:val="auto"/>
        </w:rPr>
        <w:t>68</w:t>
      </w:r>
      <w:r>
        <w:rPr>
          <w:rFonts w:hint="eastAsia" w:ascii="华文仿宋" w:hAnsi="华文仿宋" w:cs="华文仿宋"/>
          <w:color w:val="auto"/>
        </w:rPr>
        <w:t>号文件规定</w:t>
      </w:r>
      <w:r>
        <w:rPr>
          <w:rFonts w:hint="eastAsia" w:ascii="华文仿宋" w:hAnsi="华文仿宋" w:cs="华文仿宋"/>
          <w:color w:val="auto"/>
          <w:lang w:val="zh-CN"/>
        </w:rPr>
        <w:t>，并提供由省级以上监狱管理局、戒毒管理局(含新疆生产建设兵团)出具的属于监狱企业的证明文件复印件，监狱和戒毒企业</w:t>
      </w:r>
      <w:r>
        <w:rPr>
          <w:rFonts w:hint="eastAsia" w:ascii="华文仿宋" w:hAnsi="华文仿宋" w:cs="华文仿宋"/>
          <w:color w:val="auto"/>
        </w:rPr>
        <w:t>视同小型、微型企业。</w:t>
      </w:r>
    </w:p>
    <w:p>
      <w:pPr>
        <w:spacing w:line="500" w:lineRule="exact"/>
        <w:ind w:firstLine="566" w:firstLineChars="200"/>
        <w:rPr>
          <w:rFonts w:ascii="华文仿宋" w:hAnsi="华文仿宋" w:cs="华文仿宋"/>
          <w:color w:val="auto"/>
        </w:rPr>
      </w:pPr>
      <w:r>
        <w:rPr>
          <w:rFonts w:hint="eastAsia" w:ascii="仿宋" w:hAnsi="仿宋" w:eastAsia="仿宋" w:cs="仿宋"/>
          <w:color w:val="auto"/>
        </w:rPr>
        <w:t>3</w:t>
      </w:r>
      <w:r>
        <w:rPr>
          <w:rFonts w:hint="eastAsia" w:ascii="华文仿宋" w:hAnsi="华文仿宋" w:cs="华文仿宋"/>
          <w:color w:val="auto"/>
        </w:rPr>
        <w:t>、根据财政部、民政部、中国残疾人联合会下发的《关于促进残疾人就业政府采购政策的通知》（财库〔</w:t>
      </w:r>
      <w:r>
        <w:rPr>
          <w:rFonts w:hint="eastAsia" w:ascii="仿宋" w:hAnsi="仿宋" w:eastAsia="仿宋" w:cs="仿宋"/>
          <w:color w:val="auto"/>
        </w:rPr>
        <w:t>2017</w:t>
      </w:r>
      <w:r>
        <w:rPr>
          <w:rFonts w:hint="eastAsia" w:ascii="华文仿宋" w:hAnsi="华文仿宋" w:cs="华文仿宋"/>
          <w:color w:val="auto"/>
        </w:rPr>
        <w:t>〕</w:t>
      </w:r>
      <w:r>
        <w:rPr>
          <w:rFonts w:hint="eastAsia" w:ascii="仿宋" w:hAnsi="仿宋" w:eastAsia="仿宋" w:cs="仿宋"/>
          <w:color w:val="auto"/>
        </w:rPr>
        <w:t>141</w:t>
      </w:r>
      <w:r>
        <w:rPr>
          <w:rFonts w:hint="eastAsia" w:ascii="华文仿宋" w:hAnsi="华文仿宋" w:cs="华文仿宋"/>
          <w:color w:val="auto"/>
        </w:rPr>
        <w:t>号）的规定，残疾人福利性单位提供本单位制造的货物、承担的工程或者服务（以下简称产品），或者提供其他残疾人福利性单位制造的货物（不包括使用非残疾人福利性单位注册商标的货物）参与政府采购活动时，视同小型、微型企业，享受预留份额、评审中价格扣除等促进中小企业发展的政府采购政策。残疾人福利性单位属于小型、微型企业的，不重复享受政策。</w:t>
      </w:r>
    </w:p>
    <w:p>
      <w:pPr>
        <w:spacing w:line="500" w:lineRule="exact"/>
        <w:ind w:firstLine="566" w:firstLineChars="200"/>
        <w:rPr>
          <w:rFonts w:ascii="华文仿宋" w:hAnsi="华文仿宋" w:cs="华文仿宋"/>
          <w:color w:val="auto"/>
        </w:rPr>
      </w:pPr>
      <w:r>
        <w:rPr>
          <w:rFonts w:hint="eastAsia" w:ascii="华文仿宋" w:hAnsi="华文仿宋" w:cs="华文仿宋"/>
          <w:color w:val="auto"/>
        </w:rPr>
        <w:t>参加政府采购活动的残疾人单位应提供《残疾人福利性单位声明函》原件。未提供上述声明函原件，不能享受磋商文件规定的价格扣除，但不影响响应文件的有效性。</w:t>
      </w:r>
    </w:p>
    <w:p>
      <w:pPr>
        <w:spacing w:line="500" w:lineRule="exact"/>
        <w:ind w:firstLine="566" w:firstLineChars="200"/>
        <w:rPr>
          <w:rFonts w:ascii="华文仿宋" w:hAnsi="华文仿宋" w:cs="华文仿宋"/>
          <w:color w:val="auto"/>
          <w:kern w:val="0"/>
        </w:rPr>
      </w:pPr>
      <w:r>
        <w:rPr>
          <w:rFonts w:hint="eastAsia" w:ascii="仿宋" w:hAnsi="仿宋" w:eastAsia="仿宋" w:cs="仿宋"/>
          <w:color w:val="auto"/>
          <w:kern w:val="0"/>
        </w:rPr>
        <w:t>4</w:t>
      </w:r>
      <w:r>
        <w:rPr>
          <w:rFonts w:hint="eastAsia" w:ascii="华文仿宋" w:hAnsi="华文仿宋" w:cs="华文仿宋"/>
          <w:color w:val="auto"/>
          <w:kern w:val="0"/>
        </w:rPr>
        <w:t>、根据财政部、国家发展改革委《关于印发〈节能产品政府采购实施意见〉的通知》（财库〔</w:t>
      </w:r>
      <w:r>
        <w:rPr>
          <w:rFonts w:hint="eastAsia" w:ascii="仿宋" w:hAnsi="仿宋" w:eastAsia="仿宋" w:cs="仿宋"/>
          <w:color w:val="auto"/>
          <w:kern w:val="0"/>
        </w:rPr>
        <w:t>2004</w:t>
      </w:r>
      <w:r>
        <w:rPr>
          <w:rFonts w:hint="eastAsia" w:ascii="华文仿宋" w:hAnsi="华文仿宋" w:cs="华文仿宋"/>
          <w:color w:val="auto"/>
          <w:kern w:val="0"/>
        </w:rPr>
        <w:t>〕</w:t>
      </w:r>
      <w:r>
        <w:rPr>
          <w:rFonts w:hint="eastAsia" w:ascii="仿宋" w:hAnsi="仿宋" w:eastAsia="仿宋" w:cs="仿宋"/>
          <w:color w:val="auto"/>
          <w:kern w:val="0"/>
        </w:rPr>
        <w:t>185</w:t>
      </w:r>
      <w:r>
        <w:rPr>
          <w:rFonts w:hint="eastAsia" w:ascii="华文仿宋" w:hAnsi="华文仿宋" w:cs="华文仿宋"/>
          <w:color w:val="auto"/>
          <w:kern w:val="0"/>
        </w:rPr>
        <w:t>号）规定“政府采购属于节能产品品目清单的，在技术、服务等指标同等条件下，应当优先采购节能清单所列的节能产品。”</w:t>
      </w:r>
    </w:p>
    <w:p>
      <w:pPr>
        <w:spacing w:line="500" w:lineRule="exact"/>
        <w:ind w:firstLine="566" w:firstLineChars="200"/>
        <w:rPr>
          <w:rFonts w:ascii="华文仿宋" w:hAnsi="华文仿宋" w:cs="华文仿宋"/>
          <w:color w:val="auto"/>
          <w:kern w:val="0"/>
        </w:rPr>
      </w:pPr>
      <w:r>
        <w:rPr>
          <w:rFonts w:hint="eastAsia" w:ascii="仿宋" w:hAnsi="仿宋" w:eastAsia="仿宋" w:cs="仿宋"/>
          <w:color w:val="auto"/>
          <w:kern w:val="0"/>
        </w:rPr>
        <w:t>5</w:t>
      </w:r>
      <w:r>
        <w:rPr>
          <w:rFonts w:hint="eastAsia" w:ascii="华文仿宋" w:hAnsi="华文仿宋" w:cs="华文仿宋"/>
          <w:color w:val="auto"/>
          <w:kern w:val="0"/>
        </w:rPr>
        <w:t>、根据财政部、国家环保总局联合印发《关于环境标志产品政府采购实施的意见》（财库〔</w:t>
      </w:r>
      <w:r>
        <w:rPr>
          <w:rFonts w:hint="eastAsia" w:ascii="仿宋" w:hAnsi="仿宋" w:eastAsia="仿宋" w:cs="仿宋"/>
          <w:color w:val="auto"/>
          <w:kern w:val="0"/>
        </w:rPr>
        <w:t>2006</w:t>
      </w:r>
      <w:r>
        <w:rPr>
          <w:rFonts w:hint="eastAsia" w:ascii="华文仿宋" w:hAnsi="华文仿宋" w:cs="华文仿宋"/>
          <w:color w:val="auto"/>
          <w:kern w:val="0"/>
        </w:rPr>
        <w:t>〕</w:t>
      </w:r>
      <w:r>
        <w:rPr>
          <w:rFonts w:hint="eastAsia" w:ascii="仿宋" w:hAnsi="仿宋" w:eastAsia="仿宋" w:cs="仿宋"/>
          <w:color w:val="auto"/>
          <w:kern w:val="0"/>
        </w:rPr>
        <w:t>90</w:t>
      </w:r>
      <w:r>
        <w:rPr>
          <w:rFonts w:hint="eastAsia" w:ascii="华文仿宋" w:hAnsi="华文仿宋" w:cs="华文仿宋"/>
          <w:color w:val="auto"/>
          <w:kern w:val="0"/>
        </w:rPr>
        <w:t>号）规定“采购人采购的产品属于环境标志产品政府采购清单中品目的，在性能、技术、服务等指标同等条件下，应当优先采购清单中的产品”。</w:t>
      </w:r>
    </w:p>
    <w:p>
      <w:pPr>
        <w:spacing w:line="500" w:lineRule="exact"/>
        <w:ind w:firstLine="566" w:firstLineChars="200"/>
        <w:rPr>
          <w:color w:val="auto"/>
        </w:rPr>
      </w:pPr>
      <w:bookmarkStart w:id="92" w:name="_Toc3858_WPSOffice_Level3"/>
      <w:r>
        <w:rPr>
          <w:rFonts w:hint="eastAsia" w:ascii="仿宋" w:hAnsi="仿宋" w:eastAsia="仿宋" w:cs="仿宋"/>
          <w:color w:val="auto"/>
          <w:kern w:val="0"/>
        </w:rPr>
        <w:t>6</w:t>
      </w:r>
      <w:r>
        <w:rPr>
          <w:rFonts w:hint="eastAsia" w:ascii="华文仿宋" w:hAnsi="华文仿宋" w:cs="华文仿宋"/>
          <w:color w:val="auto"/>
          <w:kern w:val="0"/>
        </w:rPr>
        <w:t>、根据财政部、国家发改委、生态环境部、市场监管总局联合印发《关于调整优化节能产品、环境标志产品政府采购执行机制的通知》（财库〔</w:t>
      </w:r>
      <w:r>
        <w:rPr>
          <w:rFonts w:hint="eastAsia" w:ascii="仿宋" w:hAnsi="仿宋" w:eastAsia="仿宋" w:cs="仿宋"/>
          <w:color w:val="auto"/>
          <w:kern w:val="0"/>
        </w:rPr>
        <w:t>2019</w:t>
      </w:r>
      <w:r>
        <w:rPr>
          <w:rFonts w:hint="eastAsia" w:ascii="华文仿宋" w:hAnsi="华文仿宋" w:cs="华文仿宋"/>
          <w:color w:val="auto"/>
          <w:kern w:val="0"/>
        </w:rPr>
        <w:t>〕</w:t>
      </w:r>
      <w:r>
        <w:rPr>
          <w:rFonts w:hint="eastAsia" w:ascii="仿宋" w:hAnsi="仿宋" w:eastAsia="仿宋" w:cs="仿宋"/>
          <w:color w:val="auto"/>
          <w:kern w:val="0"/>
        </w:rPr>
        <w:t>9</w:t>
      </w:r>
      <w:r>
        <w:rPr>
          <w:rFonts w:hint="eastAsia" w:ascii="华文仿宋" w:hAnsi="华文仿宋" w:cs="华文仿宋"/>
          <w:color w:val="auto"/>
          <w:kern w:val="0"/>
        </w:rPr>
        <w:t>号）有关要求，采购人拟采购的产品属于品目清单范围的，采购人及其委托的采购代理机构应当依据国家确定的认证机构出具的、处于有效期之内的节能产品、环境标志产品认证证书，对获得证书的产品实施政府优先采购或强制采购。</w:t>
      </w:r>
    </w:p>
    <w:p>
      <w:pPr>
        <w:spacing w:line="500" w:lineRule="exact"/>
        <w:ind w:firstLine="566" w:firstLineChars="200"/>
        <w:rPr>
          <w:rFonts w:ascii="华文仿宋" w:hAnsi="华文仿宋" w:cs="华文仿宋"/>
          <w:color w:val="auto"/>
          <w:kern w:val="0"/>
        </w:rPr>
      </w:pPr>
      <w:r>
        <w:rPr>
          <w:rFonts w:hint="eastAsia" w:ascii="仿宋" w:hAnsi="仿宋" w:eastAsia="仿宋" w:cs="仿宋"/>
          <w:color w:val="auto"/>
          <w:kern w:val="0"/>
        </w:rPr>
        <w:t>7</w:t>
      </w:r>
      <w:r>
        <w:rPr>
          <w:rFonts w:hint="eastAsia" w:ascii="华文仿宋" w:hAnsi="华文仿宋" w:cs="华文仿宋"/>
          <w:color w:val="auto"/>
          <w:kern w:val="0"/>
        </w:rPr>
        <w:t>、根据国务院办公厅《关于建立政府强制采购节能产品制度的通知》（国办发〔</w:t>
      </w:r>
      <w:r>
        <w:rPr>
          <w:rFonts w:hint="eastAsia" w:ascii="仿宋" w:hAnsi="仿宋" w:eastAsia="仿宋" w:cs="仿宋"/>
          <w:color w:val="auto"/>
          <w:kern w:val="0"/>
        </w:rPr>
        <w:t>2007</w:t>
      </w:r>
      <w:r>
        <w:rPr>
          <w:rFonts w:hint="eastAsia" w:ascii="华文仿宋" w:hAnsi="华文仿宋" w:cs="华文仿宋"/>
          <w:color w:val="auto"/>
          <w:kern w:val="0"/>
        </w:rPr>
        <w:t>〕</w:t>
      </w:r>
      <w:r>
        <w:rPr>
          <w:rFonts w:hint="eastAsia" w:ascii="仿宋" w:hAnsi="仿宋" w:eastAsia="仿宋" w:cs="仿宋"/>
          <w:color w:val="auto"/>
          <w:kern w:val="0"/>
        </w:rPr>
        <w:t>51</w:t>
      </w:r>
      <w:r>
        <w:rPr>
          <w:rFonts w:hint="eastAsia" w:ascii="华文仿宋" w:hAnsi="华文仿宋" w:cs="华文仿宋"/>
          <w:color w:val="auto"/>
          <w:kern w:val="0"/>
        </w:rPr>
        <w:t>号）有关要求，采购人需购买的产品属于政府强制采购节能产品范围应当在清单之内采购。节能清单中无对应细化分类且节能清单中的产品确实无法满足工作需要的，允许在节能清单之外采购。</w:t>
      </w:r>
    </w:p>
    <w:p>
      <w:pPr>
        <w:spacing w:line="500" w:lineRule="exact"/>
        <w:ind w:firstLine="566" w:firstLineChars="200"/>
        <w:rPr>
          <w:rFonts w:ascii="华文仿宋" w:hAnsi="华文仿宋" w:cs="华文仿宋"/>
          <w:b/>
          <w:strike w:val="0"/>
          <w:dstrike w:val="0"/>
          <w:color w:val="auto"/>
          <w:kern w:val="0"/>
        </w:rPr>
      </w:pPr>
      <w:r>
        <w:rPr>
          <w:rFonts w:hint="eastAsia" w:ascii="华文仿宋" w:hAnsi="华文仿宋" w:cs="华文仿宋"/>
          <w:b/>
          <w:strike w:val="0"/>
          <w:dstrike w:val="0"/>
          <w:color w:val="auto"/>
          <w:kern w:val="0"/>
        </w:rPr>
        <w:t>（六）关于产品和服务</w:t>
      </w:r>
      <w:bookmarkEnd w:id="92"/>
    </w:p>
    <w:p>
      <w:pPr>
        <w:spacing w:line="500" w:lineRule="exact"/>
        <w:ind w:firstLine="566" w:firstLineChars="200"/>
        <w:rPr>
          <w:rFonts w:ascii="华文仿宋" w:hAnsi="华文仿宋" w:cs="华文仿宋"/>
          <w:bCs/>
          <w:strike w:val="0"/>
          <w:dstrike w:val="0"/>
          <w:color w:val="auto"/>
        </w:rPr>
      </w:pPr>
      <w:r>
        <w:rPr>
          <w:rFonts w:hint="eastAsia" w:ascii="仿宋" w:hAnsi="仿宋" w:eastAsia="仿宋" w:cs="仿宋"/>
          <w:bCs/>
          <w:strike w:val="0"/>
          <w:dstrike w:val="0"/>
          <w:color w:val="auto"/>
        </w:rPr>
        <w:t>1</w:t>
      </w:r>
      <w:r>
        <w:rPr>
          <w:rFonts w:hint="eastAsia" w:ascii="华文仿宋" w:hAnsi="华文仿宋" w:cs="华文仿宋"/>
          <w:bCs/>
          <w:strike w:val="0"/>
          <w:dstrike w:val="0"/>
          <w:color w:val="auto"/>
        </w:rPr>
        <w:t>、所有产品必须具有在中国境内法定许可的生产及销售资格，且为全新原厂制造，其核心关键部分为近</w:t>
      </w:r>
      <w:r>
        <w:rPr>
          <w:rFonts w:hint="eastAsia" w:ascii="仿宋" w:hAnsi="仿宋" w:eastAsia="仿宋" w:cs="仿宋"/>
          <w:bCs/>
          <w:strike w:val="0"/>
          <w:dstrike w:val="0"/>
          <w:color w:val="auto"/>
        </w:rPr>
        <w:t>10</w:t>
      </w:r>
      <w:r>
        <w:rPr>
          <w:rFonts w:hint="eastAsia" w:ascii="华文仿宋" w:hAnsi="华文仿宋" w:cs="华文仿宋"/>
          <w:bCs/>
          <w:strike w:val="0"/>
          <w:dstrike w:val="0"/>
          <w:color w:val="auto"/>
        </w:rPr>
        <w:t>个月内所生产的非淘汰类产品；属于《中华人民共和国实施强制性产品认证的产品目录》的产品，就不能提供超出此目录范畴外的替代品，此外，还须同时具备国家认监委颁布《中国强制认证》（CCC认证）。</w:t>
      </w:r>
    </w:p>
    <w:p>
      <w:pPr>
        <w:spacing w:line="500" w:lineRule="exact"/>
        <w:ind w:firstLine="566" w:firstLineChars="200"/>
        <w:rPr>
          <w:rFonts w:ascii="华文仿宋" w:hAnsi="华文仿宋" w:cs="华文仿宋"/>
          <w:bCs/>
          <w:strike w:val="0"/>
          <w:dstrike w:val="0"/>
          <w:color w:val="auto"/>
        </w:rPr>
      </w:pPr>
      <w:r>
        <w:rPr>
          <w:rFonts w:hint="eastAsia" w:ascii="仿宋" w:hAnsi="仿宋" w:eastAsia="仿宋" w:cs="仿宋"/>
          <w:bCs/>
          <w:strike w:val="0"/>
          <w:dstrike w:val="0"/>
          <w:color w:val="auto"/>
        </w:rPr>
        <w:t>2</w:t>
      </w:r>
      <w:r>
        <w:rPr>
          <w:rFonts w:hint="eastAsia" w:ascii="华文仿宋" w:hAnsi="华文仿宋" w:cs="华文仿宋"/>
          <w:bCs/>
          <w:strike w:val="0"/>
          <w:dstrike w:val="0"/>
          <w:color w:val="auto"/>
        </w:rPr>
        <w:t>、采购的产品属于政府采购节能产品、环境标志产品品目清单范围的，投标人需提供国家确定的认证机构出具的、处于有效期之内的节能产品、环境标志产品认证证书，对获得证书的产品实施政府优先采购或强制采购。</w:t>
      </w:r>
    </w:p>
    <w:p>
      <w:pPr>
        <w:spacing w:line="500" w:lineRule="exact"/>
        <w:ind w:firstLine="566" w:firstLineChars="200"/>
        <w:rPr>
          <w:rFonts w:ascii="华文仿宋" w:hAnsi="华文仿宋" w:cs="华文仿宋"/>
          <w:bCs/>
          <w:strike w:val="0"/>
          <w:dstrike w:val="0"/>
          <w:color w:val="auto"/>
        </w:rPr>
      </w:pPr>
      <w:r>
        <w:rPr>
          <w:rFonts w:hint="eastAsia" w:ascii="仿宋" w:hAnsi="仿宋" w:eastAsia="仿宋" w:cs="仿宋"/>
          <w:bCs/>
          <w:strike w:val="0"/>
          <w:dstrike w:val="0"/>
          <w:color w:val="auto"/>
        </w:rPr>
        <w:t>3</w:t>
      </w:r>
      <w:r>
        <w:rPr>
          <w:rFonts w:hint="eastAsia" w:ascii="华文仿宋" w:hAnsi="华文仿宋" w:cs="华文仿宋"/>
          <w:bCs/>
          <w:strike w:val="0"/>
          <w:dstrike w:val="0"/>
          <w:color w:val="auto"/>
        </w:rPr>
        <w:t>、主机设备要有标准配置清单，使用操作及安全须知等重要资料应附有中文说明；国内制造的产品必须同时具备出厂合格证和相关检测报告。购置的计算机设备必须配有正版合法的经委托人认可的操作系统和软件。</w:t>
      </w:r>
    </w:p>
    <w:p>
      <w:pPr>
        <w:spacing w:line="500" w:lineRule="exact"/>
        <w:ind w:firstLine="566" w:firstLineChars="200"/>
        <w:rPr>
          <w:rFonts w:ascii="华文仿宋" w:hAnsi="华文仿宋" w:cs="华文仿宋"/>
          <w:bCs/>
          <w:strike w:val="0"/>
          <w:dstrike w:val="0"/>
          <w:color w:val="auto"/>
        </w:rPr>
      </w:pPr>
      <w:r>
        <w:rPr>
          <w:rFonts w:hint="eastAsia" w:ascii="仿宋" w:hAnsi="仿宋" w:eastAsia="仿宋" w:cs="仿宋"/>
          <w:bCs/>
          <w:strike w:val="0"/>
          <w:dstrike w:val="0"/>
          <w:color w:val="auto"/>
        </w:rPr>
        <w:t>4</w:t>
      </w:r>
      <w:r>
        <w:rPr>
          <w:rFonts w:hint="eastAsia" w:ascii="华文仿宋" w:hAnsi="华文仿宋" w:cs="华文仿宋"/>
          <w:bCs/>
          <w:strike w:val="0"/>
          <w:dstrike w:val="0"/>
          <w:color w:val="auto"/>
        </w:rPr>
        <w:t>、信息安全产品应当获得国家信息安全认证，并可提供由中国信息安全认证中心按照国家标准认证颁发的有效认证证书。</w:t>
      </w:r>
    </w:p>
    <w:p>
      <w:pPr>
        <w:spacing w:line="500" w:lineRule="exact"/>
        <w:ind w:firstLine="566" w:firstLineChars="200"/>
        <w:rPr>
          <w:rFonts w:ascii="华文仿宋" w:hAnsi="华文仿宋" w:cs="华文仿宋"/>
          <w:bCs/>
          <w:strike w:val="0"/>
          <w:dstrike w:val="0"/>
          <w:color w:val="auto"/>
        </w:rPr>
      </w:pPr>
      <w:r>
        <w:rPr>
          <w:rFonts w:hint="eastAsia" w:ascii="仿宋" w:hAnsi="仿宋" w:eastAsia="仿宋" w:cs="仿宋"/>
          <w:bCs/>
          <w:strike w:val="0"/>
          <w:dstrike w:val="0"/>
          <w:color w:val="auto"/>
        </w:rPr>
        <w:t>5</w:t>
      </w:r>
      <w:r>
        <w:rPr>
          <w:rFonts w:hint="eastAsia" w:ascii="华文仿宋" w:hAnsi="华文仿宋" w:cs="华文仿宋"/>
          <w:bCs/>
          <w:strike w:val="0"/>
          <w:dstrike w:val="0"/>
          <w:color w:val="auto"/>
        </w:rPr>
        <w:t>、根据《政府采购进口产品管理办法》（财库〔</w:t>
      </w:r>
      <w:r>
        <w:rPr>
          <w:rFonts w:hint="eastAsia" w:ascii="仿宋" w:hAnsi="仿宋" w:eastAsia="仿宋" w:cs="仿宋"/>
          <w:bCs/>
          <w:strike w:val="0"/>
          <w:dstrike w:val="0"/>
          <w:color w:val="auto"/>
        </w:rPr>
        <w:t>2007</w:t>
      </w:r>
      <w:r>
        <w:rPr>
          <w:rFonts w:hint="eastAsia" w:ascii="华文仿宋" w:hAnsi="华文仿宋" w:cs="华文仿宋"/>
          <w:bCs/>
          <w:strike w:val="0"/>
          <w:dstrike w:val="0"/>
          <w:color w:val="auto"/>
        </w:rPr>
        <w:t>〕</w:t>
      </w:r>
      <w:r>
        <w:rPr>
          <w:rFonts w:hint="eastAsia" w:ascii="仿宋" w:hAnsi="仿宋" w:eastAsia="仿宋" w:cs="仿宋"/>
          <w:bCs/>
          <w:strike w:val="0"/>
          <w:dstrike w:val="0"/>
          <w:color w:val="auto"/>
        </w:rPr>
        <w:t>119</w:t>
      </w:r>
      <w:r>
        <w:rPr>
          <w:rFonts w:hint="eastAsia" w:ascii="华文仿宋" w:hAnsi="华文仿宋" w:cs="华文仿宋"/>
          <w:bCs/>
          <w:strike w:val="0"/>
          <w:dstrike w:val="0"/>
          <w:color w:val="auto"/>
        </w:rPr>
        <w:t>号）与《关于政府采购进口产品管理有关问题的通知》（财办库〔200</w:t>
      </w:r>
      <w:r>
        <w:rPr>
          <w:rFonts w:ascii="华文仿宋" w:hAnsi="华文仿宋" w:cs="华文仿宋"/>
          <w:bCs/>
          <w:strike w:val="0"/>
          <w:dstrike w:val="0"/>
          <w:color w:val="auto"/>
        </w:rPr>
        <w:t>8</w:t>
      </w:r>
      <w:r>
        <w:rPr>
          <w:rFonts w:hint="eastAsia" w:ascii="华文仿宋" w:hAnsi="华文仿宋" w:cs="华文仿宋"/>
          <w:bCs/>
          <w:strike w:val="0"/>
          <w:dstrike w:val="0"/>
          <w:color w:val="auto"/>
        </w:rPr>
        <w:t>〕</w:t>
      </w:r>
      <w:r>
        <w:rPr>
          <w:rFonts w:hint="eastAsia" w:ascii="仿宋" w:hAnsi="仿宋" w:eastAsia="仿宋" w:cs="仿宋"/>
          <w:bCs/>
          <w:strike w:val="0"/>
          <w:dstrike w:val="0"/>
          <w:color w:val="auto"/>
        </w:rPr>
        <w:t>248</w:t>
      </w:r>
      <w:r>
        <w:rPr>
          <w:rFonts w:hint="eastAsia" w:ascii="华文仿宋" w:hAnsi="华文仿宋" w:cs="华文仿宋"/>
          <w:bCs/>
          <w:strike w:val="0"/>
          <w:dstrike w:val="0"/>
          <w:color w:val="auto"/>
        </w:rPr>
        <w:t>号）的有关规定，未经核准同意，投标人投标时必须提供本国产品，投标人以进口产品参与投标的，将作无效投标处理。</w:t>
      </w:r>
    </w:p>
    <w:p>
      <w:pPr>
        <w:spacing w:line="500" w:lineRule="exact"/>
        <w:ind w:firstLine="566" w:firstLineChars="200"/>
        <w:rPr>
          <w:rFonts w:ascii="华文仿宋" w:hAnsi="华文仿宋" w:cs="华文仿宋"/>
          <w:bCs/>
          <w:strike w:val="0"/>
          <w:dstrike w:val="0"/>
          <w:color w:val="auto"/>
        </w:rPr>
      </w:pPr>
      <w:r>
        <w:rPr>
          <w:rFonts w:hint="eastAsia" w:ascii="仿宋" w:hAnsi="仿宋" w:eastAsia="仿宋" w:cs="仿宋"/>
          <w:bCs/>
          <w:strike w:val="0"/>
          <w:dstrike w:val="0"/>
          <w:color w:val="auto"/>
        </w:rPr>
        <w:t>6</w:t>
      </w:r>
      <w:r>
        <w:rPr>
          <w:rFonts w:hint="eastAsia" w:ascii="华文仿宋" w:hAnsi="华文仿宋" w:cs="华文仿宋"/>
          <w:bCs/>
          <w:strike w:val="0"/>
          <w:dstrike w:val="0"/>
          <w:color w:val="auto"/>
        </w:rPr>
        <w:t>、如采购文件中已说明，经政府采购管理部门审核同意，允许部分或全部产品采购进口产品，投标人既可提供本国产品，也可以提供进口产品。在提供的进口产品中，优先采购向我国企业转让技术、与我国企业签订消化吸收再创新方案的供应商的进口产品。进口产品必须同时具备原产地证明、中国商检证明及合法进货渠道全套单证。</w:t>
      </w:r>
    </w:p>
    <w:p>
      <w:pPr>
        <w:spacing w:line="500" w:lineRule="exact"/>
        <w:ind w:firstLine="566" w:firstLineChars="200"/>
        <w:rPr>
          <w:rFonts w:ascii="华文仿宋" w:hAnsi="华文仿宋" w:cs="华文仿宋"/>
          <w:b/>
          <w:strike w:val="0"/>
          <w:dstrike w:val="0"/>
          <w:color w:val="auto"/>
        </w:rPr>
      </w:pPr>
      <w:bookmarkStart w:id="93" w:name="_Toc11745_WPSOffice_Level3"/>
      <w:r>
        <w:rPr>
          <w:rFonts w:hint="eastAsia" w:ascii="华文仿宋" w:hAnsi="华文仿宋" w:cs="华文仿宋"/>
          <w:b/>
          <w:strike w:val="0"/>
          <w:dstrike w:val="0"/>
          <w:color w:val="auto"/>
        </w:rPr>
        <w:t>（七）关于同一品牌产品的处理</w:t>
      </w:r>
    </w:p>
    <w:p>
      <w:pPr>
        <w:spacing w:line="500" w:lineRule="exact"/>
        <w:ind w:firstLine="566" w:firstLineChars="200"/>
        <w:rPr>
          <w:rFonts w:ascii="仿宋" w:hAnsi="仿宋" w:eastAsia="仿宋" w:cs="仿宋"/>
          <w:bCs/>
          <w:strike w:val="0"/>
          <w:dstrike w:val="0"/>
          <w:color w:val="auto"/>
        </w:rPr>
      </w:pPr>
      <w:r>
        <w:rPr>
          <w:rFonts w:hint="eastAsia" w:ascii="仿宋" w:hAnsi="仿宋" w:eastAsia="仿宋" w:cs="仿宋"/>
          <w:bCs/>
          <w:strike w:val="0"/>
          <w:dstrike w:val="0"/>
          <w:color w:val="auto"/>
        </w:rPr>
        <w:t>1、提供相同品牌产品且通过资格审查、符合性审查的不同供应商参加同一合同项下投标的，按一家供应商计算，评审后得分最高的同品牌供应商获得成交供应商推荐资格；评审得分相同的，由采购人或者采购人委托磋商小组按照磋商文件规定的方式确定一个供应商获得成交供应商推荐资格，磋商文件未规定的采取随机抽取方式确定，其他同品牌供应商不作为成交候选人。</w:t>
      </w:r>
    </w:p>
    <w:p>
      <w:pPr>
        <w:spacing w:line="500" w:lineRule="exact"/>
        <w:ind w:firstLine="566" w:firstLineChars="200"/>
        <w:rPr>
          <w:rFonts w:ascii="仿宋" w:hAnsi="仿宋" w:eastAsia="仿宋" w:cs="仿宋"/>
          <w:bCs/>
          <w:strike w:val="0"/>
          <w:dstrike w:val="0"/>
          <w:color w:val="auto"/>
        </w:rPr>
      </w:pPr>
      <w:r>
        <w:rPr>
          <w:rFonts w:hint="eastAsia" w:ascii="仿宋" w:hAnsi="仿宋" w:eastAsia="仿宋" w:cs="仿宋"/>
          <w:bCs/>
          <w:strike w:val="0"/>
          <w:dstrike w:val="0"/>
          <w:color w:val="auto"/>
        </w:rPr>
        <w:t>2、非单一产品采购项目，采购人将根据采购项目技术构成、产品价格比重等因素确定核心产品（可能不止一种），并在磋商文件中载明。多家供应商提供的核心产品有部分采用或全部采用相同品牌的，按一家供应商计算。</w:t>
      </w:r>
    </w:p>
    <w:p>
      <w:pPr>
        <w:spacing w:line="500" w:lineRule="exact"/>
        <w:ind w:firstLine="566" w:firstLineChars="200"/>
        <w:rPr>
          <w:rFonts w:ascii="华文仿宋" w:hAnsi="华文仿宋" w:cs="华文仿宋"/>
          <w:b/>
          <w:strike w:val="0"/>
          <w:dstrike w:val="0"/>
          <w:color w:val="auto"/>
        </w:rPr>
      </w:pPr>
      <w:r>
        <w:rPr>
          <w:rFonts w:hint="eastAsia" w:ascii="华文仿宋" w:hAnsi="华文仿宋" w:cs="华文仿宋"/>
          <w:b/>
          <w:strike w:val="0"/>
          <w:dstrike w:val="0"/>
          <w:color w:val="auto"/>
        </w:rPr>
        <w:t>（八）知识产权与保密事项</w:t>
      </w:r>
      <w:bookmarkEnd w:id="93"/>
    </w:p>
    <w:p>
      <w:pPr>
        <w:spacing w:line="500" w:lineRule="exact"/>
        <w:ind w:firstLine="566" w:firstLineChars="200"/>
        <w:rPr>
          <w:rFonts w:ascii="华文仿宋" w:hAnsi="华文仿宋" w:cs="华文仿宋"/>
          <w:bCs/>
          <w:strike w:val="0"/>
          <w:dstrike w:val="0"/>
          <w:color w:val="auto"/>
        </w:rPr>
      </w:pPr>
      <w:r>
        <w:rPr>
          <w:rFonts w:hint="eastAsia" w:ascii="华文仿宋" w:hAnsi="华文仿宋" w:cs="华文仿宋"/>
          <w:bCs/>
          <w:strike w:val="0"/>
          <w:dstrike w:val="0"/>
          <w:color w:val="auto"/>
        </w:rPr>
        <w:t>1、所有涉及知识产权的产品及设计，供应商必须确保委托人、采购人拥有其合法的、不受限制的无偿使用权，并免受任何侵权诉讼或索偿，否则，由此产生的一切经济损失和法律责任由供应商承担。</w:t>
      </w:r>
    </w:p>
    <w:p>
      <w:pPr>
        <w:spacing w:line="500" w:lineRule="exact"/>
        <w:ind w:firstLine="566" w:firstLineChars="200"/>
        <w:rPr>
          <w:rFonts w:ascii="华文仿宋" w:hAnsi="华文仿宋" w:cs="华文仿宋"/>
          <w:bCs/>
          <w:strike w:val="0"/>
          <w:dstrike w:val="0"/>
          <w:color w:val="auto"/>
        </w:rPr>
      </w:pPr>
      <w:r>
        <w:rPr>
          <w:rFonts w:hint="eastAsia"/>
          <w:bCs/>
          <w:strike w:val="0"/>
          <w:dstrike w:val="0"/>
          <w:color w:val="auto"/>
        </w:rPr>
        <w:t>2、由采购人向供应商提供的用户需求书、图纸、样品、模型、模件和所有资料，供应商获得后，应对其保密。除非采购人同意，供应商不得向第三方透露或将其用于本次投标以外的任何用途。响应文件开启后，若采购人有要求，供应商人须归还采购人认为需保密的文件和资料，并销毁所有相应的备份文件及资料。</w:t>
      </w:r>
    </w:p>
    <w:p>
      <w:pPr>
        <w:spacing w:line="500" w:lineRule="exact"/>
        <w:ind w:firstLine="566" w:firstLineChars="200"/>
        <w:rPr>
          <w:rFonts w:ascii="华文仿宋" w:hAnsi="华文仿宋" w:cs="华文仿宋"/>
          <w:color w:val="auto"/>
        </w:rPr>
      </w:pPr>
      <w:bookmarkStart w:id="94" w:name="_Toc17240_WPSOffice_Level3"/>
      <w:r>
        <w:rPr>
          <w:rFonts w:hint="eastAsia" w:ascii="华文仿宋" w:hAnsi="华文仿宋" w:cs="华文仿宋"/>
          <w:b/>
          <w:color w:val="auto"/>
        </w:rPr>
        <w:t>（九）供应商的投标费用自理</w:t>
      </w:r>
      <w:bookmarkEnd w:id="94"/>
    </w:p>
    <w:p>
      <w:pPr>
        <w:pStyle w:val="4"/>
        <w:spacing w:line="500" w:lineRule="exact"/>
        <w:ind w:firstLine="566" w:firstLineChars="200"/>
        <w:rPr>
          <w:rFonts w:ascii="华文仿宋" w:hAnsi="华文仿宋" w:cs="华文仿宋"/>
          <w:color w:val="auto"/>
          <w:sz w:val="28"/>
          <w:szCs w:val="28"/>
        </w:rPr>
      </w:pPr>
      <w:bookmarkStart w:id="95" w:name="_Toc8798_WPSOffice_Level2"/>
      <w:bookmarkStart w:id="96" w:name="_Toc29639"/>
      <w:bookmarkStart w:id="97" w:name="_Toc10768_WPSOffice_Level2"/>
      <w:bookmarkStart w:id="98" w:name="_Toc17868_WPSOffice_Level2"/>
      <w:r>
        <w:rPr>
          <w:rFonts w:hint="eastAsia" w:ascii="华文仿宋" w:hAnsi="华文仿宋" w:cs="华文仿宋"/>
          <w:color w:val="auto"/>
          <w:sz w:val="28"/>
          <w:szCs w:val="28"/>
        </w:rPr>
        <w:t>三、磋商文件</w:t>
      </w:r>
      <w:bookmarkEnd w:id="95"/>
      <w:bookmarkEnd w:id="96"/>
      <w:bookmarkEnd w:id="97"/>
      <w:bookmarkEnd w:id="98"/>
    </w:p>
    <w:p>
      <w:pPr>
        <w:spacing w:line="500" w:lineRule="exact"/>
        <w:ind w:firstLine="566" w:firstLineChars="200"/>
        <w:rPr>
          <w:rFonts w:ascii="华文仿宋" w:hAnsi="华文仿宋" w:cs="华文仿宋"/>
          <w:b/>
          <w:color w:val="auto"/>
        </w:rPr>
      </w:pPr>
      <w:bookmarkStart w:id="99" w:name="_Toc20873_WPSOffice_Level3"/>
      <w:r>
        <w:rPr>
          <w:rFonts w:hint="eastAsia" w:ascii="华文仿宋" w:hAnsi="华文仿宋" w:cs="华文仿宋"/>
          <w:b/>
          <w:color w:val="auto"/>
        </w:rPr>
        <w:t>（一）磋商文件包括下列内容</w:t>
      </w:r>
      <w:bookmarkEnd w:id="99"/>
    </w:p>
    <w:p>
      <w:pPr>
        <w:spacing w:line="500" w:lineRule="exact"/>
        <w:ind w:firstLine="566" w:firstLineChars="200"/>
        <w:rPr>
          <w:rFonts w:ascii="华文仿宋" w:hAnsi="华文仿宋" w:cs="华文仿宋"/>
          <w:color w:val="auto"/>
        </w:rPr>
      </w:pPr>
      <w:r>
        <w:rPr>
          <w:rFonts w:hint="eastAsia" w:ascii="华文仿宋" w:hAnsi="华文仿宋" w:cs="华文仿宋"/>
          <w:color w:val="auto"/>
        </w:rPr>
        <w:t>第一章　磋商邀请函</w:t>
      </w:r>
    </w:p>
    <w:p>
      <w:pPr>
        <w:spacing w:line="500" w:lineRule="exact"/>
        <w:ind w:firstLine="566" w:firstLineChars="200"/>
        <w:rPr>
          <w:rFonts w:ascii="华文仿宋" w:hAnsi="华文仿宋" w:cs="华文仿宋"/>
          <w:color w:val="auto"/>
        </w:rPr>
      </w:pPr>
      <w:r>
        <w:rPr>
          <w:rFonts w:hint="eastAsia" w:ascii="华文仿宋" w:hAnsi="华文仿宋" w:cs="华文仿宋"/>
          <w:color w:val="auto"/>
        </w:rPr>
        <w:t>第二章　供应商须知</w:t>
      </w:r>
    </w:p>
    <w:p>
      <w:pPr>
        <w:spacing w:line="500" w:lineRule="exact"/>
        <w:ind w:firstLine="566" w:firstLineChars="200"/>
        <w:rPr>
          <w:rFonts w:ascii="华文仿宋" w:hAnsi="华文仿宋" w:cs="华文仿宋"/>
          <w:bCs/>
          <w:color w:val="auto"/>
        </w:rPr>
      </w:pPr>
      <w:bookmarkStart w:id="100" w:name="_Toc20041_WPSOffice_Level3"/>
      <w:r>
        <w:rPr>
          <w:rFonts w:hint="eastAsia" w:ascii="华文仿宋" w:hAnsi="华文仿宋" w:cs="华文仿宋"/>
          <w:bCs/>
          <w:color w:val="auto"/>
        </w:rPr>
        <w:t>第三章　磋商内容及采购要求</w:t>
      </w:r>
    </w:p>
    <w:p>
      <w:pPr>
        <w:spacing w:line="500" w:lineRule="exact"/>
        <w:ind w:firstLine="566" w:firstLineChars="200"/>
        <w:rPr>
          <w:rFonts w:ascii="华文仿宋" w:hAnsi="华文仿宋" w:cs="华文仿宋"/>
          <w:bCs/>
          <w:color w:val="auto"/>
        </w:rPr>
      </w:pPr>
      <w:r>
        <w:rPr>
          <w:rFonts w:hint="eastAsia" w:ascii="华文仿宋" w:hAnsi="华文仿宋" w:cs="华文仿宋"/>
          <w:bCs/>
          <w:color w:val="auto"/>
        </w:rPr>
        <w:t>第四章　合同基本条款</w:t>
      </w:r>
    </w:p>
    <w:p>
      <w:pPr>
        <w:spacing w:line="500" w:lineRule="exact"/>
        <w:ind w:firstLine="566" w:firstLineChars="200"/>
        <w:rPr>
          <w:rFonts w:ascii="华文仿宋" w:hAnsi="华文仿宋" w:cs="华文仿宋"/>
          <w:bCs/>
          <w:color w:val="auto"/>
        </w:rPr>
      </w:pPr>
      <w:r>
        <w:rPr>
          <w:rFonts w:hint="eastAsia" w:ascii="华文仿宋" w:hAnsi="华文仿宋" w:cs="华文仿宋"/>
          <w:bCs/>
          <w:color w:val="auto"/>
        </w:rPr>
        <w:t>第五章　响应文件构成及格式</w:t>
      </w:r>
    </w:p>
    <w:p>
      <w:pPr>
        <w:spacing w:line="500" w:lineRule="exact"/>
        <w:ind w:firstLine="566" w:firstLineChars="200"/>
        <w:rPr>
          <w:rFonts w:ascii="华文仿宋" w:hAnsi="华文仿宋" w:cs="华文仿宋"/>
          <w:b/>
          <w:color w:val="auto"/>
        </w:rPr>
      </w:pPr>
      <w:r>
        <w:rPr>
          <w:rFonts w:hint="eastAsia" w:ascii="华文仿宋" w:hAnsi="华文仿宋" w:cs="华文仿宋"/>
          <w:b/>
          <w:color w:val="auto"/>
        </w:rPr>
        <w:t>（二）磋商文件的检查及阅读</w:t>
      </w:r>
      <w:bookmarkEnd w:id="100"/>
    </w:p>
    <w:p>
      <w:pPr>
        <w:spacing w:line="500" w:lineRule="exact"/>
        <w:ind w:firstLine="566" w:firstLineChars="200"/>
        <w:rPr>
          <w:rFonts w:ascii="华文仿宋" w:hAnsi="华文仿宋" w:cs="华文仿宋"/>
          <w:color w:val="auto"/>
        </w:rPr>
      </w:pPr>
      <w:r>
        <w:rPr>
          <w:rFonts w:hint="eastAsia" w:ascii="华文仿宋" w:hAnsi="华文仿宋" w:cs="华文仿宋"/>
          <w:color w:val="auto"/>
        </w:rPr>
        <w:t>供应商下载磋商文件后应仔细阅读检查磋商文件中的所有内容，按照磋商文件中所列事项、条款、规范要求及格式，在响应文件中对磋商文件做出全面的响</w:t>
      </w:r>
      <w:r>
        <w:rPr>
          <w:rFonts w:hint="eastAsia" w:ascii="华文仿宋" w:hAnsi="华文仿宋" w:cs="华文仿宋"/>
          <w:color w:val="auto"/>
          <w:w w:val="1"/>
        </w:rPr>
        <w:t xml:space="preserve"> </w:t>
      </w:r>
      <w:r>
        <w:rPr>
          <w:rFonts w:hint="eastAsia" w:ascii="华文仿宋" w:hAnsi="华文仿宋" w:cs="华文仿宋"/>
          <w:color w:val="auto"/>
        </w:rPr>
        <w:t>应，并按磋商文件的要求提交全部资料。</w:t>
      </w:r>
    </w:p>
    <w:p>
      <w:pPr>
        <w:spacing w:line="500" w:lineRule="exact"/>
        <w:ind w:firstLine="566" w:firstLineChars="200"/>
        <w:rPr>
          <w:rFonts w:ascii="华文仿宋" w:hAnsi="华文仿宋" w:cs="华文仿宋"/>
          <w:color w:val="auto"/>
        </w:rPr>
      </w:pPr>
      <w:r>
        <w:rPr>
          <w:rFonts w:hint="eastAsia" w:ascii="华文仿宋" w:hAnsi="华文仿宋" w:cs="华文仿宋"/>
          <w:color w:val="auto"/>
        </w:rPr>
        <w:t>项目废标后重新组织磋商的，陕西省省级单位政府采购中心将重新编制、发布新版磋商文件，供应商应按新版磋商文件重新编制响应文件。原磋商文件及响应文件失效。</w:t>
      </w:r>
    </w:p>
    <w:p>
      <w:pPr>
        <w:spacing w:line="500" w:lineRule="exact"/>
        <w:ind w:firstLine="566" w:firstLineChars="200"/>
        <w:rPr>
          <w:rFonts w:ascii="华文仿宋" w:hAnsi="华文仿宋" w:cs="华文仿宋"/>
          <w:b/>
          <w:bCs/>
          <w:color w:val="auto"/>
        </w:rPr>
      </w:pPr>
      <w:r>
        <w:rPr>
          <w:rFonts w:hint="eastAsia" w:ascii="华文仿宋" w:hAnsi="华文仿宋" w:cs="华文仿宋"/>
          <w:b/>
          <w:bCs/>
          <w:color w:val="auto"/>
        </w:rPr>
        <w:t>响应文件封面、响应函以及法定代表人授权委托书三处的项目名称、项目编号、标段（如有）应当与最新发布的磋商文件保持一致，否则将被视为无效响应文件。</w:t>
      </w:r>
    </w:p>
    <w:p>
      <w:pPr>
        <w:spacing w:line="500" w:lineRule="exact"/>
        <w:ind w:firstLine="566" w:firstLineChars="200"/>
        <w:rPr>
          <w:rFonts w:ascii="华文仿宋" w:hAnsi="华文仿宋" w:cs="华文仿宋"/>
          <w:b/>
          <w:color w:val="auto"/>
        </w:rPr>
      </w:pPr>
      <w:bookmarkStart w:id="101" w:name="_Toc12798_WPSOffice_Level3"/>
      <w:r>
        <w:rPr>
          <w:rFonts w:hint="eastAsia" w:ascii="华文仿宋" w:hAnsi="华文仿宋" w:cs="华文仿宋"/>
          <w:b/>
          <w:color w:val="auto"/>
        </w:rPr>
        <w:t>（三）磋商文件的修改、澄清</w:t>
      </w:r>
      <w:bookmarkEnd w:id="101"/>
    </w:p>
    <w:p>
      <w:pPr>
        <w:spacing w:line="500" w:lineRule="exact"/>
        <w:ind w:firstLine="566" w:firstLineChars="200"/>
        <w:rPr>
          <w:rFonts w:ascii="华文仿宋" w:hAnsi="华文仿宋" w:cs="华文仿宋"/>
          <w:color w:val="auto"/>
        </w:rPr>
      </w:pPr>
      <w:r>
        <w:rPr>
          <w:rFonts w:hint="eastAsia" w:ascii="华文仿宋" w:hAnsi="华文仿宋" w:cs="华文仿宋"/>
          <w:color w:val="auto"/>
        </w:rPr>
        <w:t>1、在提交响应文件截止之日前，陕西省省级单位政府采购中心可对已发出的磋商文件进行必要的澄清或者修改，澄清或者修改的内容作为磋商文件的组成部分。澄清或者修改的内容可能影响响应文件编制的，陕西省省级单位政府采购中心将在提交响应文件截止之日至少</w:t>
      </w:r>
      <w:r>
        <w:rPr>
          <w:rFonts w:hint="eastAsia" w:ascii="仿宋" w:hAnsi="仿宋" w:eastAsia="仿宋" w:cs="仿宋"/>
          <w:color w:val="auto"/>
        </w:rPr>
        <w:t>5</w:t>
      </w:r>
      <w:r>
        <w:rPr>
          <w:rFonts w:hint="eastAsia" w:ascii="华文仿宋" w:hAnsi="华文仿宋" w:cs="华文仿宋"/>
          <w:color w:val="auto"/>
        </w:rPr>
        <w:t>日前，在财政部门指定的政府采购信息发布媒体上</w:t>
      </w:r>
      <w:r>
        <w:rPr>
          <w:rFonts w:hint="eastAsia" w:ascii="华文仿宋" w:hAnsi="华文仿宋" w:cs="华文仿宋"/>
          <w:b/>
          <w:bCs/>
          <w:color w:val="auto"/>
        </w:rPr>
        <w:t>发布更正公告</w:t>
      </w:r>
      <w:r>
        <w:rPr>
          <w:rFonts w:hint="eastAsia" w:ascii="华文仿宋" w:hAnsi="华文仿宋" w:cs="华文仿宋"/>
          <w:color w:val="auto"/>
        </w:rPr>
        <w:t>；不足</w:t>
      </w:r>
      <w:r>
        <w:rPr>
          <w:rFonts w:hint="eastAsia" w:ascii="仿宋" w:hAnsi="仿宋" w:eastAsia="仿宋" w:cs="仿宋"/>
          <w:color w:val="auto"/>
        </w:rPr>
        <w:t>5</w:t>
      </w:r>
      <w:r>
        <w:rPr>
          <w:rFonts w:hint="eastAsia" w:ascii="华文仿宋" w:hAnsi="华文仿宋" w:cs="华文仿宋"/>
          <w:color w:val="auto"/>
        </w:rPr>
        <w:t>日，陕西省省级单位政府采购中心将顺延提交响应文件的截止时间。</w:t>
      </w:r>
    </w:p>
    <w:p>
      <w:pPr>
        <w:spacing w:line="500" w:lineRule="exact"/>
        <w:ind w:firstLine="566" w:firstLineChars="200"/>
        <w:rPr>
          <w:rFonts w:ascii="华文仿宋" w:hAnsi="华文仿宋" w:cs="华文仿宋"/>
          <w:color w:val="auto"/>
        </w:rPr>
      </w:pPr>
      <w:r>
        <w:rPr>
          <w:rFonts w:hint="eastAsia" w:ascii="华文仿宋" w:hAnsi="华文仿宋" w:cs="华文仿宋"/>
          <w:color w:val="auto"/>
        </w:rPr>
        <w:t>2、供应商对磋商文件提出质疑的，应在磋商文件公告期限届满之日起7个工作日内以书面形式提出，采购人或陕西省省级单位政府采购中心以书面形式予以答复；在此之后提出的针对磋商文件的质疑为无效质疑。答复的内容可能影响响应文件编制的，陕西省省级单位政府采购中心将在财政部门指定的政府采购信息发布媒体上</w:t>
      </w:r>
      <w:r>
        <w:rPr>
          <w:rFonts w:hint="eastAsia" w:ascii="华文仿宋" w:hAnsi="华文仿宋" w:cs="华文仿宋"/>
          <w:b/>
          <w:bCs/>
          <w:color w:val="auto"/>
        </w:rPr>
        <w:t>发布更正公告</w:t>
      </w:r>
      <w:r>
        <w:rPr>
          <w:rFonts w:hint="eastAsia" w:ascii="华文仿宋" w:hAnsi="华文仿宋" w:cs="华文仿宋"/>
          <w:color w:val="auto"/>
        </w:rPr>
        <w:t>。</w:t>
      </w:r>
    </w:p>
    <w:p>
      <w:pPr>
        <w:spacing w:line="500" w:lineRule="exact"/>
        <w:ind w:firstLine="566" w:firstLineChars="200"/>
        <w:rPr>
          <w:rFonts w:ascii="华文仿宋" w:hAnsi="华文仿宋" w:cs="华文仿宋"/>
          <w:color w:val="auto"/>
        </w:rPr>
      </w:pPr>
      <w:r>
        <w:rPr>
          <w:rFonts w:hint="eastAsia" w:ascii="华文仿宋" w:hAnsi="华文仿宋" w:cs="华文仿宋"/>
          <w:color w:val="auto"/>
        </w:rPr>
        <w:t>3、各供应商在提交响应文件截止时间之前，应随时关注下列地址发布的变更公告，也可登录全国公共资源交易平台（陕西省）政府采购交易系统查看左上角的信息提醒，陕西省省级单位政府采购中心</w:t>
      </w:r>
      <w:r>
        <w:rPr>
          <w:rFonts w:hint="eastAsia" w:ascii="华文仿宋" w:hAnsi="华文仿宋" w:cs="华文仿宋"/>
          <w:b/>
          <w:bCs/>
          <w:color w:val="auto"/>
        </w:rPr>
        <w:t>不再单独通知，因供应商未及时关注所造成的一切后果由供应商自行承担：</w:t>
      </w:r>
    </w:p>
    <w:p>
      <w:pPr>
        <w:wordWrap w:val="0"/>
        <w:spacing w:line="500" w:lineRule="exact"/>
        <w:ind w:firstLine="566" w:firstLineChars="200"/>
        <w:rPr>
          <w:rFonts w:ascii="华文仿宋" w:hAnsi="华文仿宋" w:cs="华文仿宋"/>
          <w:color w:val="auto"/>
        </w:rPr>
      </w:pPr>
      <w:r>
        <w:rPr>
          <w:rFonts w:hint="eastAsia" w:ascii="华文仿宋" w:hAnsi="华文仿宋" w:cs="华文仿宋"/>
          <w:color w:val="auto"/>
        </w:rPr>
        <w:t>（1）【</w:t>
      </w:r>
      <w:r>
        <w:rPr>
          <w:color w:val="auto"/>
        </w:rPr>
        <w:fldChar w:fldCharType="begin"/>
      </w:r>
      <w:r>
        <w:rPr>
          <w:color w:val="auto"/>
        </w:rPr>
        <w:instrText xml:space="preserve"> HYPERLINK "http://www.ccgp-shaanxi.gov.cn/" </w:instrText>
      </w:r>
      <w:r>
        <w:rPr>
          <w:color w:val="auto"/>
        </w:rPr>
        <w:fldChar w:fldCharType="separate"/>
      </w:r>
      <w:r>
        <w:rPr>
          <w:rStyle w:val="34"/>
          <w:rFonts w:hint="eastAsia" w:ascii="华文仿宋" w:hAnsi="华文仿宋" w:cs="华文仿宋"/>
          <w:color w:val="auto"/>
          <w:sz w:val="28"/>
          <w:szCs w:val="28"/>
        </w:rPr>
        <w:t>陕西省政府采购网</w:t>
      </w:r>
      <w:r>
        <w:rPr>
          <w:rStyle w:val="34"/>
          <w:rFonts w:hint="eastAsia" w:ascii="华文仿宋" w:hAnsi="华文仿宋" w:cs="华文仿宋"/>
          <w:color w:val="auto"/>
          <w:sz w:val="28"/>
          <w:szCs w:val="28"/>
        </w:rPr>
        <w:fldChar w:fldCharType="end"/>
      </w:r>
      <w:r>
        <w:rPr>
          <w:rFonts w:hint="eastAsia" w:ascii="华文仿宋" w:hAnsi="华文仿宋" w:cs="华文仿宋"/>
          <w:color w:val="auto"/>
        </w:rPr>
        <w:t>（www.ccgp-shaanxi.gov.cn）】中的〖首页·〉省级公告·〉更正公告〗；</w:t>
      </w:r>
    </w:p>
    <w:p>
      <w:pPr>
        <w:wordWrap w:val="0"/>
        <w:spacing w:line="500" w:lineRule="exact"/>
        <w:ind w:firstLine="566" w:firstLineChars="200"/>
        <w:rPr>
          <w:rFonts w:ascii="华文仿宋" w:hAnsi="华文仿宋" w:cs="华文仿宋"/>
          <w:color w:val="auto"/>
        </w:rPr>
      </w:pPr>
      <w:r>
        <w:rPr>
          <w:rFonts w:hint="eastAsia" w:ascii="华文仿宋" w:hAnsi="华文仿宋" w:cs="华文仿宋"/>
          <w:color w:val="auto"/>
        </w:rPr>
        <w:t>（2）【全国公共资源交易平台（陕西省）</w:t>
      </w:r>
      <w:r>
        <w:rPr>
          <w:rFonts w:hint="eastAsia" w:ascii="华文仿宋" w:hAnsi="华文仿宋" w:cs="华文仿宋"/>
          <w:color w:val="auto"/>
          <w:kern w:val="0"/>
        </w:rPr>
        <w:t>（http://www.sxggzyjy.cn/）</w:t>
      </w:r>
      <w:r>
        <w:rPr>
          <w:rFonts w:hint="eastAsia" w:ascii="华文仿宋" w:hAnsi="华文仿宋" w:cs="华文仿宋"/>
          <w:color w:val="auto"/>
        </w:rPr>
        <w:t>】中的〖首页·〉交易大厅·〉政府采购〗</w:t>
      </w:r>
      <w:r>
        <w:rPr>
          <w:rFonts w:hint="eastAsia" w:ascii="华文仿宋" w:hAnsi="华文仿宋" w:cs="华文仿宋"/>
          <w:color w:val="auto"/>
          <w:lang w:eastAsia="zh-CN"/>
        </w:rPr>
        <w:t>。</w:t>
      </w:r>
    </w:p>
    <w:p>
      <w:pPr>
        <w:spacing w:line="500" w:lineRule="exact"/>
        <w:ind w:firstLine="566" w:firstLineChars="200"/>
        <w:rPr>
          <w:rFonts w:ascii="华文仿宋" w:hAnsi="华文仿宋" w:cs="华文仿宋"/>
          <w:b/>
          <w:color w:val="auto"/>
        </w:rPr>
      </w:pPr>
      <w:bookmarkStart w:id="102" w:name="_Toc18733_WPSOffice_Level3"/>
      <w:r>
        <w:rPr>
          <w:rFonts w:hint="eastAsia" w:ascii="华文仿宋" w:hAnsi="华文仿宋" w:cs="华文仿宋"/>
          <w:b/>
          <w:color w:val="auto"/>
        </w:rPr>
        <w:t>（四）磋商文件的解释权归陕西省省级单位政府采购中心。</w:t>
      </w:r>
      <w:bookmarkEnd w:id="102"/>
    </w:p>
    <w:p>
      <w:pPr>
        <w:pStyle w:val="4"/>
        <w:spacing w:line="500" w:lineRule="exact"/>
        <w:ind w:firstLine="566" w:firstLineChars="200"/>
        <w:rPr>
          <w:rFonts w:ascii="华文仿宋" w:hAnsi="华文仿宋" w:cs="华文仿宋"/>
          <w:color w:val="auto"/>
          <w:sz w:val="28"/>
          <w:szCs w:val="28"/>
        </w:rPr>
      </w:pPr>
      <w:bookmarkStart w:id="103" w:name="_Toc17240_WPSOffice_Level2"/>
      <w:bookmarkStart w:id="104" w:name="_Toc16980_WPSOffice_Level2"/>
      <w:bookmarkStart w:id="105" w:name="_Toc30419"/>
      <w:bookmarkStart w:id="106" w:name="_Toc21288_WPSOffice_Level2"/>
      <w:r>
        <w:rPr>
          <w:rFonts w:hint="eastAsia" w:ascii="华文仿宋" w:hAnsi="华文仿宋" w:cs="华文仿宋"/>
          <w:color w:val="auto"/>
          <w:sz w:val="28"/>
          <w:szCs w:val="28"/>
        </w:rPr>
        <w:t>四、磋商保证金</w:t>
      </w:r>
      <w:bookmarkEnd w:id="103"/>
      <w:bookmarkEnd w:id="104"/>
      <w:bookmarkEnd w:id="105"/>
      <w:bookmarkEnd w:id="106"/>
    </w:p>
    <w:p>
      <w:pPr>
        <w:autoSpaceDE w:val="0"/>
        <w:autoSpaceDN w:val="0"/>
        <w:adjustRightInd w:val="0"/>
        <w:snapToGrid w:val="0"/>
        <w:spacing w:line="500" w:lineRule="exact"/>
        <w:ind w:firstLine="566" w:firstLineChars="200"/>
        <w:rPr>
          <w:rFonts w:ascii="华文仿宋" w:hAnsi="华文仿宋" w:cs="华文仿宋"/>
          <w:b/>
          <w:color w:val="auto"/>
        </w:rPr>
      </w:pPr>
      <w:bookmarkStart w:id="107" w:name="_Toc31566_WPSOffice_Level3"/>
      <w:r>
        <w:rPr>
          <w:rFonts w:hint="eastAsia" w:ascii="华文仿宋" w:hAnsi="华文仿宋" w:cs="华文仿宋"/>
          <w:b/>
          <w:color w:val="auto"/>
        </w:rPr>
        <w:t>（一）</w:t>
      </w:r>
      <w:r>
        <w:rPr>
          <w:rFonts w:hint="eastAsia" w:ascii="华文仿宋" w:hAnsi="华文仿宋" w:cs="华文仿宋"/>
          <w:b/>
          <w:color w:val="auto"/>
          <w:lang w:val="zh-CN"/>
        </w:rPr>
        <w:t>磋商保证金的</w:t>
      </w:r>
      <w:r>
        <w:rPr>
          <w:rFonts w:hint="eastAsia" w:ascii="华文仿宋" w:hAnsi="华文仿宋" w:cs="华文仿宋"/>
          <w:b/>
          <w:color w:val="auto"/>
        </w:rPr>
        <w:t>交</w:t>
      </w:r>
      <w:r>
        <w:rPr>
          <w:rFonts w:hint="eastAsia" w:ascii="华文仿宋" w:hAnsi="华文仿宋" w:cs="华文仿宋"/>
          <w:b/>
          <w:color w:val="auto"/>
          <w:lang w:val="zh-CN"/>
        </w:rPr>
        <w:t>纳</w:t>
      </w:r>
    </w:p>
    <w:p>
      <w:pPr>
        <w:spacing w:line="500" w:lineRule="exact"/>
        <w:ind w:firstLine="566" w:firstLineChars="200"/>
        <w:rPr>
          <w:rFonts w:ascii="华文仿宋" w:hAnsi="华文仿宋" w:cs="华文仿宋"/>
          <w:color w:val="auto"/>
        </w:rPr>
      </w:pPr>
      <w:r>
        <w:rPr>
          <w:rFonts w:hint="eastAsia" w:ascii="华文仿宋" w:hAnsi="华文仿宋" w:cs="华文仿宋"/>
          <w:color w:val="auto"/>
        </w:rPr>
        <w:t>1、供应商应按磋商文件第一章要求交纳磋商保证金。</w:t>
      </w:r>
      <w:r>
        <w:rPr>
          <w:rFonts w:hint="eastAsia" w:ascii="华文仿宋" w:hAnsi="华文仿宋" w:cs="华文仿宋"/>
          <w:color w:val="auto"/>
          <w:lang w:val="zh-CN"/>
        </w:rPr>
        <w:t>联系电话：</w:t>
      </w:r>
      <w:r>
        <w:rPr>
          <w:rFonts w:hint="eastAsia" w:ascii="仿宋" w:hAnsi="仿宋" w:eastAsia="仿宋" w:cs="仿宋"/>
          <w:color w:val="auto"/>
          <w:lang w:val="zh-CN"/>
        </w:rPr>
        <w:t>029-</w:t>
      </w:r>
      <w:r>
        <w:rPr>
          <w:rFonts w:hint="eastAsia" w:ascii="仿宋" w:hAnsi="仿宋" w:eastAsia="仿宋" w:cs="仿宋"/>
          <w:color w:val="auto"/>
        </w:rPr>
        <w:t>88661348</w:t>
      </w:r>
    </w:p>
    <w:p>
      <w:pPr>
        <w:autoSpaceDE w:val="0"/>
        <w:autoSpaceDN w:val="0"/>
        <w:adjustRightInd w:val="0"/>
        <w:snapToGrid w:val="0"/>
        <w:spacing w:line="500" w:lineRule="exact"/>
        <w:ind w:firstLine="566" w:firstLineChars="200"/>
        <w:rPr>
          <w:rFonts w:hint="eastAsia" w:ascii="华文仿宋" w:hAnsi="华文仿宋" w:cs="华文仿宋"/>
          <w:color w:val="auto"/>
          <w:lang w:val="en-US" w:eastAsia="zh-CN"/>
        </w:rPr>
      </w:pPr>
      <w:r>
        <w:rPr>
          <w:rFonts w:hint="eastAsia" w:ascii="华文仿宋" w:hAnsi="华文仿宋" w:cs="华文仿宋"/>
          <w:color w:val="auto"/>
        </w:rPr>
        <w:t>2、</w:t>
      </w:r>
      <w:r>
        <w:rPr>
          <w:rFonts w:hint="eastAsia" w:ascii="华文仿宋" w:hAnsi="华文仿宋" w:eastAsia="华文仿宋" w:cs="华文仿宋"/>
          <w:color w:val="auto"/>
          <w:kern w:val="2"/>
          <w:sz w:val="28"/>
          <w:szCs w:val="28"/>
          <w:lang w:val="zh-CN" w:eastAsia="zh-CN" w:bidi="ar-SA"/>
        </w:rPr>
        <w:t>以纸质银行保函方式交纳保证金的，各供应商须将采购人开具的保函回执复印件（加盖供应商公章）附在响应文件中，否则视为无效响应。</w:t>
      </w:r>
    </w:p>
    <w:p>
      <w:pPr>
        <w:autoSpaceDE w:val="0"/>
        <w:autoSpaceDN w:val="0"/>
        <w:adjustRightInd w:val="0"/>
        <w:snapToGrid w:val="0"/>
        <w:spacing w:line="500" w:lineRule="exact"/>
        <w:ind w:firstLine="566" w:firstLineChars="200"/>
        <w:rPr>
          <w:rFonts w:ascii="华文仿宋" w:hAnsi="华文仿宋" w:cs="华文仿宋"/>
          <w:color w:val="auto"/>
          <w:lang w:val="zh-CN"/>
        </w:rPr>
      </w:pPr>
      <w:r>
        <w:rPr>
          <w:rFonts w:hint="eastAsia" w:ascii="华文仿宋" w:hAnsi="华文仿宋" w:cs="华文仿宋"/>
          <w:color w:val="auto"/>
          <w:lang w:val="en-US" w:eastAsia="zh-CN"/>
        </w:rPr>
        <w:t>3</w:t>
      </w:r>
      <w:r>
        <w:rPr>
          <w:rFonts w:hint="eastAsia" w:ascii="华文仿宋" w:hAnsi="华文仿宋" w:cs="华文仿宋"/>
          <w:color w:val="auto"/>
          <w:lang w:val="zh-CN"/>
        </w:rPr>
        <w:t>、</w:t>
      </w:r>
      <w:r>
        <w:rPr>
          <w:rFonts w:hint="eastAsia" w:ascii="华文仿宋" w:hAnsi="华文仿宋" w:cs="华文仿宋"/>
          <w:color w:val="auto"/>
        </w:rPr>
        <w:t>项目废标后重新组织磋商的，保证金会退回原项目投标供应商账户，供应商需按照新的磋商文件要求</w:t>
      </w:r>
      <w:r>
        <w:rPr>
          <w:rFonts w:hint="eastAsia" w:ascii="华文仿宋" w:hAnsi="华文仿宋" w:cs="华文仿宋"/>
          <w:b/>
          <w:bCs/>
          <w:color w:val="auto"/>
        </w:rPr>
        <w:t>重新交纳保证金</w:t>
      </w:r>
      <w:r>
        <w:rPr>
          <w:rFonts w:hint="eastAsia" w:ascii="华文仿宋" w:hAnsi="华文仿宋" w:cs="华文仿宋"/>
          <w:color w:val="auto"/>
        </w:rPr>
        <w:t>。</w:t>
      </w:r>
    </w:p>
    <w:p>
      <w:pPr>
        <w:spacing w:line="500" w:lineRule="exact"/>
        <w:ind w:firstLine="566" w:firstLineChars="200"/>
        <w:rPr>
          <w:rFonts w:ascii="华文仿宋" w:hAnsi="华文仿宋" w:cs="华文仿宋"/>
          <w:color w:val="auto"/>
          <w:lang w:val="zh-CN"/>
        </w:rPr>
      </w:pPr>
      <w:r>
        <w:rPr>
          <w:rFonts w:hint="eastAsia" w:ascii="华文仿宋" w:hAnsi="华文仿宋" w:cs="华文仿宋"/>
          <w:b/>
          <w:color w:val="auto"/>
        </w:rPr>
        <w:t>（二）磋商保证金的退还</w:t>
      </w:r>
      <w:bookmarkEnd w:id="107"/>
    </w:p>
    <w:p>
      <w:pPr>
        <w:spacing w:line="500" w:lineRule="exact"/>
        <w:ind w:firstLine="566" w:firstLineChars="200"/>
        <w:rPr>
          <w:rFonts w:ascii="华文仿宋" w:hAnsi="华文仿宋" w:cs="华文仿宋"/>
          <w:color w:val="auto"/>
          <w:lang w:val="zh-CN"/>
        </w:rPr>
      </w:pPr>
      <w:r>
        <w:rPr>
          <w:rFonts w:hint="eastAsia" w:ascii="仿宋" w:hAnsi="仿宋" w:eastAsia="仿宋" w:cs="仿宋"/>
          <w:color w:val="auto"/>
        </w:rPr>
        <w:t>1</w:t>
      </w:r>
      <w:r>
        <w:rPr>
          <w:rFonts w:hint="eastAsia" w:ascii="华文仿宋" w:hAnsi="华文仿宋" w:cs="华文仿宋"/>
          <w:color w:val="auto"/>
          <w:lang w:val="zh-CN"/>
        </w:rPr>
        <w:t>、自成交通知书发出之日起</w:t>
      </w:r>
      <w:r>
        <w:rPr>
          <w:rFonts w:hint="eastAsia" w:ascii="仿宋" w:hAnsi="仿宋" w:eastAsia="仿宋" w:cs="仿宋"/>
          <w:color w:val="auto"/>
          <w:lang w:val="zh-CN"/>
        </w:rPr>
        <w:t>5</w:t>
      </w:r>
      <w:r>
        <w:rPr>
          <w:rFonts w:hint="eastAsia" w:ascii="华文仿宋" w:hAnsi="华文仿宋" w:cs="华文仿宋"/>
          <w:color w:val="auto"/>
          <w:lang w:val="zh-CN"/>
        </w:rPr>
        <w:t>个工作日内退还未成交供应商的磋商保证金，自采购合同签订之日起</w:t>
      </w:r>
      <w:r>
        <w:rPr>
          <w:rFonts w:hint="eastAsia" w:ascii="仿宋" w:hAnsi="仿宋" w:eastAsia="仿宋" w:cs="仿宋"/>
          <w:color w:val="auto"/>
          <w:lang w:val="zh-CN"/>
        </w:rPr>
        <w:t>5</w:t>
      </w:r>
      <w:r>
        <w:rPr>
          <w:rFonts w:hint="eastAsia" w:ascii="华文仿宋" w:hAnsi="华文仿宋" w:cs="华文仿宋"/>
          <w:color w:val="auto"/>
          <w:lang w:val="zh-CN"/>
        </w:rPr>
        <w:t>个工作日内退还成交供应商的磋商保证金。采购项目废标或终止的，磋商保证金自废标或终止公告发布之日起5个工作日内退还。</w:t>
      </w:r>
    </w:p>
    <w:p>
      <w:pPr>
        <w:spacing w:line="500" w:lineRule="exact"/>
        <w:ind w:firstLine="566" w:firstLineChars="200"/>
        <w:rPr>
          <w:rFonts w:hint="eastAsia" w:ascii="仿宋" w:hAnsi="仿宋" w:eastAsia="仿宋" w:cs="仿宋"/>
          <w:color w:val="auto"/>
        </w:rPr>
      </w:pPr>
      <w:r>
        <w:rPr>
          <w:rFonts w:hint="eastAsia" w:ascii="仿宋" w:hAnsi="仿宋" w:eastAsia="仿宋" w:cs="仿宋"/>
          <w:color w:val="auto"/>
          <w:lang w:val="zh-CN"/>
        </w:rPr>
        <w:t>2</w:t>
      </w:r>
      <w:r>
        <w:rPr>
          <w:rFonts w:hint="eastAsia" w:ascii="华文仿宋" w:hAnsi="华文仿宋" w:cs="华文仿宋"/>
          <w:color w:val="auto"/>
          <w:lang w:val="zh-CN"/>
        </w:rPr>
        <w:t>、采用银行转账方式交纳的，陕西省公共资源交易中心财务部门将按原交纳路径退还；采用银行保函方式交纳的，供应商须携带交纳时开具的回执前往采购人处换取银行保函，供应商自行向保函开具机构申请办理撤销或注销；采用电子保函方式交纳的，供应商可在电子保函系统中申请</w:t>
      </w:r>
      <w:r>
        <w:rPr>
          <w:rFonts w:hint="eastAsia" w:ascii="华文仿宋" w:hAnsi="华文仿宋" w:cs="华文仿宋"/>
          <w:color w:val="auto"/>
          <w:lang w:val="en-US" w:eastAsia="zh-CN"/>
        </w:rPr>
        <w:t>撤销</w:t>
      </w:r>
      <w:r>
        <w:rPr>
          <w:rFonts w:hint="eastAsia" w:ascii="华文仿宋" w:hAnsi="华文仿宋" w:cs="华文仿宋"/>
          <w:color w:val="auto"/>
          <w:lang w:val="zh-CN"/>
        </w:rPr>
        <w:t>。</w:t>
      </w:r>
    </w:p>
    <w:p>
      <w:pPr>
        <w:spacing w:line="500" w:lineRule="exact"/>
        <w:ind w:firstLine="566" w:firstLineChars="200"/>
        <w:rPr>
          <w:rFonts w:ascii="华文仿宋" w:hAnsi="华文仿宋" w:cs="华文仿宋"/>
          <w:color w:val="auto"/>
          <w:lang w:val="zh-CN"/>
        </w:rPr>
      </w:pPr>
      <w:r>
        <w:rPr>
          <w:rFonts w:hint="eastAsia" w:ascii="仿宋" w:hAnsi="仿宋" w:eastAsia="仿宋" w:cs="仿宋"/>
          <w:color w:val="auto"/>
        </w:rPr>
        <w:t>3</w:t>
      </w:r>
      <w:r>
        <w:rPr>
          <w:rFonts w:hint="eastAsia" w:ascii="华文仿宋" w:hAnsi="华文仿宋" w:cs="华文仿宋"/>
          <w:color w:val="auto"/>
          <w:lang w:val="zh-CN"/>
        </w:rPr>
        <w:t>、供应商有下列情形之一的，不予退还其交纳的磋商保证金：</w:t>
      </w:r>
    </w:p>
    <w:p>
      <w:pPr>
        <w:spacing w:line="500" w:lineRule="exact"/>
        <w:ind w:firstLine="566" w:firstLineChars="200"/>
        <w:contextualSpacing/>
        <w:rPr>
          <w:rFonts w:ascii="华文仿宋" w:hAnsi="华文仿宋" w:cs="华文仿宋"/>
          <w:color w:val="auto"/>
        </w:rPr>
      </w:pPr>
      <w:r>
        <w:rPr>
          <w:rFonts w:hint="eastAsia" w:ascii="华文仿宋" w:hAnsi="华文仿宋" w:cs="华文仿宋"/>
          <w:color w:val="auto"/>
        </w:rPr>
        <w:t>（</w:t>
      </w:r>
      <w:r>
        <w:rPr>
          <w:rFonts w:hint="eastAsia" w:ascii="仿宋" w:hAnsi="仿宋" w:eastAsia="仿宋" w:cs="仿宋"/>
          <w:color w:val="auto"/>
        </w:rPr>
        <w:t>1</w:t>
      </w:r>
      <w:r>
        <w:rPr>
          <w:rFonts w:hint="eastAsia" w:ascii="华文仿宋" w:hAnsi="华文仿宋" w:cs="华文仿宋"/>
          <w:color w:val="auto"/>
        </w:rPr>
        <w:t>）供应商在提交响应文件截止时间后撤回响应文件的；</w:t>
      </w:r>
    </w:p>
    <w:p>
      <w:pPr>
        <w:spacing w:line="500" w:lineRule="exact"/>
        <w:ind w:firstLine="566" w:firstLineChars="200"/>
        <w:contextualSpacing/>
        <w:rPr>
          <w:rFonts w:ascii="华文仿宋" w:hAnsi="华文仿宋" w:cs="华文仿宋"/>
          <w:color w:val="auto"/>
        </w:rPr>
      </w:pPr>
      <w:r>
        <w:rPr>
          <w:rFonts w:hint="eastAsia" w:ascii="华文仿宋" w:hAnsi="华文仿宋" w:cs="华文仿宋"/>
          <w:color w:val="auto"/>
        </w:rPr>
        <w:t>（</w:t>
      </w:r>
      <w:r>
        <w:rPr>
          <w:rFonts w:hint="eastAsia" w:ascii="仿宋" w:hAnsi="仿宋" w:eastAsia="仿宋" w:cs="仿宋"/>
          <w:color w:val="auto"/>
        </w:rPr>
        <w:t>2</w:t>
      </w:r>
      <w:r>
        <w:rPr>
          <w:rFonts w:hint="eastAsia" w:ascii="华文仿宋" w:hAnsi="华文仿宋" w:cs="华文仿宋"/>
          <w:color w:val="auto"/>
        </w:rPr>
        <w:t>）供应商在响应文件中提供虚假材料的；</w:t>
      </w:r>
    </w:p>
    <w:p>
      <w:pPr>
        <w:spacing w:line="500" w:lineRule="exact"/>
        <w:ind w:firstLine="566" w:firstLineChars="200"/>
        <w:contextualSpacing/>
        <w:rPr>
          <w:rFonts w:ascii="华文仿宋" w:hAnsi="华文仿宋" w:cs="华文仿宋"/>
          <w:color w:val="auto"/>
        </w:rPr>
      </w:pPr>
      <w:r>
        <w:rPr>
          <w:rFonts w:hint="eastAsia" w:ascii="华文仿宋" w:hAnsi="华文仿宋" w:cs="华文仿宋"/>
          <w:color w:val="auto"/>
        </w:rPr>
        <w:t>（</w:t>
      </w:r>
      <w:r>
        <w:rPr>
          <w:rFonts w:hint="eastAsia" w:ascii="仿宋" w:hAnsi="仿宋" w:eastAsia="仿宋" w:cs="仿宋"/>
          <w:color w:val="auto"/>
        </w:rPr>
        <w:t>3</w:t>
      </w:r>
      <w:r>
        <w:rPr>
          <w:rFonts w:hint="eastAsia" w:ascii="华文仿宋" w:hAnsi="华文仿宋" w:cs="华文仿宋"/>
          <w:color w:val="auto"/>
        </w:rPr>
        <w:t>）除因不可抗力或</w:t>
      </w:r>
      <w:r>
        <w:rPr>
          <w:rFonts w:hint="eastAsia" w:ascii="华文仿宋" w:hAnsi="华文仿宋" w:cs="华文仿宋"/>
          <w:color w:val="auto"/>
          <w:lang w:val="en-US" w:eastAsia="zh-CN"/>
        </w:rPr>
        <w:t>磋商</w:t>
      </w:r>
      <w:r>
        <w:rPr>
          <w:rFonts w:hint="eastAsia" w:ascii="华文仿宋" w:hAnsi="华文仿宋" w:cs="华文仿宋"/>
          <w:color w:val="auto"/>
        </w:rPr>
        <w:t>文件认可的情形以外，成交供应商不与采购人签订合同的；</w:t>
      </w:r>
    </w:p>
    <w:p>
      <w:pPr>
        <w:spacing w:line="500" w:lineRule="exact"/>
        <w:ind w:firstLine="566" w:firstLineChars="200"/>
        <w:contextualSpacing/>
        <w:rPr>
          <w:rFonts w:ascii="华文仿宋" w:hAnsi="华文仿宋" w:cs="华文仿宋"/>
          <w:color w:val="auto"/>
        </w:rPr>
      </w:pPr>
      <w:r>
        <w:rPr>
          <w:rFonts w:hint="eastAsia" w:ascii="华文仿宋" w:hAnsi="华文仿宋" w:cs="华文仿宋"/>
          <w:color w:val="auto"/>
        </w:rPr>
        <w:t>（</w:t>
      </w:r>
      <w:r>
        <w:rPr>
          <w:rFonts w:hint="eastAsia" w:ascii="仿宋" w:hAnsi="仿宋" w:eastAsia="仿宋" w:cs="仿宋"/>
          <w:color w:val="auto"/>
        </w:rPr>
        <w:t>4</w:t>
      </w:r>
      <w:r>
        <w:rPr>
          <w:rFonts w:hint="eastAsia" w:ascii="华文仿宋" w:hAnsi="华文仿宋" w:cs="华文仿宋"/>
          <w:color w:val="auto"/>
        </w:rPr>
        <w:t>）供应商与采购人、其他供应商或者采购代理机构恶意串通的；</w:t>
      </w:r>
    </w:p>
    <w:p>
      <w:pPr>
        <w:spacing w:line="500" w:lineRule="exact"/>
        <w:ind w:firstLine="566" w:firstLineChars="200"/>
        <w:contextualSpacing/>
        <w:rPr>
          <w:rFonts w:ascii="华文仿宋" w:hAnsi="华文仿宋" w:cs="华文仿宋"/>
          <w:color w:val="auto"/>
        </w:rPr>
      </w:pPr>
      <w:r>
        <w:rPr>
          <w:rFonts w:hint="eastAsia" w:ascii="华文仿宋" w:hAnsi="华文仿宋" w:cs="华文仿宋"/>
          <w:color w:val="auto"/>
        </w:rPr>
        <w:t>（</w:t>
      </w:r>
      <w:r>
        <w:rPr>
          <w:rFonts w:hint="eastAsia" w:ascii="仿宋" w:hAnsi="仿宋" w:eastAsia="仿宋" w:cs="仿宋"/>
          <w:color w:val="auto"/>
        </w:rPr>
        <w:t>5</w:t>
      </w:r>
      <w:r>
        <w:rPr>
          <w:rFonts w:hint="eastAsia" w:ascii="华文仿宋" w:hAnsi="华文仿宋" w:cs="华文仿宋"/>
          <w:color w:val="auto"/>
        </w:rPr>
        <w:t>）磋商文件规定的其他情形。</w:t>
      </w:r>
    </w:p>
    <w:p>
      <w:pPr>
        <w:pStyle w:val="4"/>
        <w:spacing w:line="500" w:lineRule="exact"/>
        <w:ind w:firstLine="566" w:firstLineChars="200"/>
        <w:rPr>
          <w:rFonts w:ascii="华文仿宋" w:hAnsi="华文仿宋" w:cs="华文仿宋"/>
          <w:color w:val="auto"/>
          <w:sz w:val="28"/>
          <w:szCs w:val="28"/>
        </w:rPr>
      </w:pPr>
      <w:bookmarkStart w:id="108" w:name="_Toc19768_WPSOffice_Level2"/>
      <w:bookmarkStart w:id="109" w:name="_Toc17482"/>
      <w:bookmarkStart w:id="110" w:name="_Toc22501_WPSOffice_Level2"/>
      <w:bookmarkStart w:id="111" w:name="_Toc20873_WPSOffice_Level2"/>
      <w:r>
        <w:rPr>
          <w:rFonts w:hint="eastAsia" w:ascii="华文仿宋" w:hAnsi="华文仿宋" w:cs="华文仿宋"/>
          <w:color w:val="auto"/>
          <w:sz w:val="28"/>
          <w:szCs w:val="28"/>
        </w:rPr>
        <w:t>五、磋商报价</w:t>
      </w:r>
      <w:bookmarkEnd w:id="108"/>
      <w:bookmarkEnd w:id="109"/>
      <w:bookmarkEnd w:id="110"/>
      <w:bookmarkEnd w:id="111"/>
    </w:p>
    <w:p>
      <w:pPr>
        <w:spacing w:line="500" w:lineRule="exact"/>
        <w:ind w:firstLine="566" w:firstLineChars="200"/>
        <w:rPr>
          <w:rFonts w:ascii="华文仿宋" w:hAnsi="华文仿宋" w:cs="华文仿宋"/>
          <w:color w:val="auto"/>
        </w:rPr>
      </w:pPr>
      <w:r>
        <w:rPr>
          <w:rFonts w:hint="eastAsia" w:ascii="仿宋" w:hAnsi="仿宋" w:eastAsia="仿宋" w:cs="仿宋"/>
          <w:color w:val="auto"/>
        </w:rPr>
        <w:t>磋商报价是供应商响应招标项目要求的全部工作内容的价格体现，包括完成采购内容所需的直接费、间接费、利润、税金及其它相关的一切费用。</w:t>
      </w:r>
      <w:r>
        <w:rPr>
          <w:rFonts w:hint="eastAsia" w:ascii="华文仿宋" w:hAnsi="华文仿宋" w:cs="华文仿宋"/>
          <w:color w:val="auto"/>
        </w:rPr>
        <w:t>供应商在报价时应充分考虑所有可能发生的费用，</w:t>
      </w:r>
      <w:r>
        <w:rPr>
          <w:rFonts w:hint="eastAsia" w:ascii="华文仿宋" w:hAnsi="华文仿宋" w:cs="华文仿宋"/>
          <w:color w:val="auto"/>
          <w:lang w:val="zh-CN"/>
        </w:rPr>
        <w:t>磋商</w:t>
      </w:r>
      <w:r>
        <w:rPr>
          <w:rFonts w:hint="eastAsia" w:ascii="华文仿宋" w:hAnsi="华文仿宋" w:cs="华文仿宋"/>
          <w:color w:val="auto"/>
        </w:rPr>
        <w:t>文件未列明，而供应商认为应当计取的费用均应列入报价中。报价时不论是否计取，采购人均按已计取对待。</w:t>
      </w:r>
    </w:p>
    <w:p>
      <w:pPr>
        <w:numPr>
          <w:ilvl w:val="0"/>
          <w:numId w:val="3"/>
        </w:numPr>
        <w:spacing w:line="500" w:lineRule="exact"/>
        <w:ind w:firstLine="566" w:firstLineChars="200"/>
        <w:rPr>
          <w:color w:val="auto"/>
        </w:rPr>
      </w:pPr>
      <w:r>
        <w:rPr>
          <w:rFonts w:hint="eastAsia" w:ascii="华文仿宋" w:hAnsi="华文仿宋" w:cs="华文仿宋"/>
          <w:color w:val="auto"/>
        </w:rPr>
        <w:t>供应商</w:t>
      </w:r>
      <w:r>
        <w:rPr>
          <w:rFonts w:hint="eastAsia" w:ascii="仿宋" w:hAnsi="仿宋" w:eastAsia="仿宋" w:cs="仿宋"/>
          <w:color w:val="auto"/>
        </w:rPr>
        <w:t>应按照《响应文件构成及格式》中《第一次磋商报价表》中的相关要求填写需要响应的内容。</w:t>
      </w:r>
    </w:p>
    <w:p>
      <w:pPr>
        <w:numPr>
          <w:ilvl w:val="0"/>
          <w:numId w:val="3"/>
        </w:numPr>
        <w:spacing w:line="500" w:lineRule="exact"/>
        <w:ind w:firstLine="566" w:firstLineChars="200"/>
        <w:rPr>
          <w:b/>
          <w:bCs/>
          <w:color w:val="auto"/>
        </w:rPr>
      </w:pPr>
      <w:r>
        <w:rPr>
          <w:rFonts w:hint="eastAsia"/>
          <w:b/>
          <w:bCs/>
          <w:color w:val="auto"/>
        </w:rPr>
        <w:t>磋商报价采取多轮报价的办法，最后报价作为计算价格分值的依据。</w:t>
      </w:r>
      <w:r>
        <w:rPr>
          <w:rFonts w:hint="eastAsia" w:ascii="仿宋" w:hAnsi="仿宋" w:eastAsia="仿宋"/>
          <w:b/>
          <w:bCs/>
          <w:color w:val="auto"/>
        </w:rPr>
        <w:t>供应商应在磋商当天，磋商小组规定的报价时间内，使用制作标书的</w:t>
      </w:r>
      <w:r>
        <w:rPr>
          <w:rFonts w:hint="eastAsia" w:ascii="仿宋" w:hAnsi="仿宋" w:eastAsia="仿宋" w:cs="仿宋"/>
          <w:b/>
          <w:bCs/>
          <w:color w:val="auto"/>
        </w:rPr>
        <w:t>数字认证证书（CA锁）</w:t>
      </w:r>
      <w:r>
        <w:rPr>
          <w:rFonts w:hint="eastAsia" w:ascii="仿宋" w:hAnsi="仿宋" w:eastAsia="仿宋"/>
          <w:b/>
          <w:bCs/>
          <w:color w:val="auto"/>
        </w:rPr>
        <w:t>登录</w:t>
      </w:r>
      <w:r>
        <w:rPr>
          <w:rFonts w:hint="eastAsia" w:ascii="仿宋" w:hAnsi="仿宋" w:eastAsia="仿宋" w:cs="仿宋"/>
          <w:b/>
          <w:bCs/>
          <w:color w:val="auto"/>
        </w:rPr>
        <w:t>全国公共资源交易平台（陕西省）网站〖首页·〉电子交易平台·〉企业端〗后</w:t>
      </w:r>
      <w:r>
        <w:rPr>
          <w:rFonts w:hint="eastAsia" w:ascii="仿宋" w:hAnsi="仿宋" w:eastAsia="仿宋"/>
          <w:b/>
          <w:bCs/>
          <w:color w:val="auto"/>
        </w:rPr>
        <w:t>，</w:t>
      </w:r>
      <w:r>
        <w:rPr>
          <w:rFonts w:hint="eastAsia" w:ascii="仿宋" w:hAnsi="仿宋" w:eastAsia="仿宋" w:cs="仿宋"/>
          <w:b/>
          <w:bCs/>
          <w:color w:val="auto"/>
        </w:rPr>
        <w:t>在〖我的项目〗下找到</w:t>
      </w:r>
      <w:r>
        <w:rPr>
          <w:rFonts w:hint="eastAsia" w:ascii="仿宋" w:hAnsi="仿宋" w:eastAsia="仿宋"/>
          <w:b/>
          <w:bCs/>
          <w:color w:val="auto"/>
        </w:rPr>
        <w:t>本次磋商的项目，填写最后报价表，签章并提交。</w:t>
      </w:r>
    </w:p>
    <w:p>
      <w:pPr>
        <w:numPr>
          <w:ilvl w:val="0"/>
          <w:numId w:val="3"/>
        </w:numPr>
        <w:spacing w:line="500" w:lineRule="exact"/>
        <w:ind w:firstLine="566" w:firstLineChars="200"/>
        <w:rPr>
          <w:b/>
          <w:bCs/>
          <w:color w:val="auto"/>
        </w:rPr>
      </w:pPr>
      <w:r>
        <w:rPr>
          <w:rFonts w:hint="eastAsia" w:ascii="仿宋" w:hAnsi="仿宋" w:eastAsia="仿宋"/>
          <w:b/>
          <w:bCs/>
          <w:color w:val="auto"/>
        </w:rPr>
        <w:t>如采购内容无实质性变更，各供应商的报价应逐次降低</w:t>
      </w:r>
      <w:r>
        <w:rPr>
          <w:rFonts w:hint="eastAsia" w:ascii="仿宋" w:hAnsi="仿宋" w:eastAsia="仿宋"/>
          <w:b/>
          <w:bCs/>
          <w:color w:val="auto"/>
          <w:lang w:eastAsia="zh-CN"/>
        </w:rPr>
        <w:t>。</w:t>
      </w:r>
      <w:r>
        <w:rPr>
          <w:rFonts w:hint="eastAsia" w:ascii="仿宋" w:hAnsi="仿宋" w:eastAsia="仿宋"/>
          <w:b/>
          <w:bCs/>
          <w:color w:val="auto"/>
        </w:rPr>
        <w:t>本次报价超过</w:t>
      </w:r>
      <w:r>
        <w:rPr>
          <w:rFonts w:hint="eastAsia" w:ascii="仿宋" w:hAnsi="仿宋" w:eastAsia="仿宋"/>
          <w:b/>
          <w:bCs/>
          <w:color w:val="auto"/>
          <w:lang w:eastAsia="zh-CN"/>
        </w:rPr>
        <w:t>采购预算或磋商文件规定的最高限价的，按无效投标处理；本次报价超过上次报价但未超过采购预算或磋商文件规定的最高限价的，</w:t>
      </w:r>
      <w:r>
        <w:rPr>
          <w:rFonts w:hint="eastAsia" w:ascii="仿宋" w:hAnsi="仿宋" w:eastAsia="仿宋"/>
          <w:b/>
          <w:bCs/>
          <w:color w:val="auto"/>
        </w:rPr>
        <w:t>或在规定时间内最后报价提交不成功的均为无效报价</w:t>
      </w:r>
      <w:r>
        <w:rPr>
          <w:rFonts w:hint="eastAsia" w:ascii="仿宋" w:hAnsi="仿宋" w:eastAsia="仿宋"/>
          <w:b/>
          <w:bCs/>
          <w:color w:val="auto"/>
          <w:lang w:eastAsia="zh-CN"/>
        </w:rPr>
        <w:t>，磋商小组在综合比较与评价时将使用上一轮有效报价进行报价评审。</w:t>
      </w:r>
    </w:p>
    <w:p>
      <w:pPr>
        <w:spacing w:line="500" w:lineRule="exact"/>
        <w:ind w:firstLine="566" w:firstLineChars="200"/>
        <w:rPr>
          <w:rFonts w:ascii="华文仿宋" w:hAnsi="华文仿宋" w:cs="华文仿宋"/>
          <w:color w:val="auto"/>
        </w:rPr>
      </w:pPr>
      <w:r>
        <w:rPr>
          <w:rFonts w:hint="eastAsia" w:ascii="华文仿宋" w:hAnsi="华文仿宋" w:cs="华文仿宋"/>
          <w:color w:val="auto"/>
        </w:rPr>
        <w:t>（</w:t>
      </w:r>
      <w:r>
        <w:rPr>
          <w:rFonts w:hint="eastAsia" w:ascii="华文仿宋" w:hAnsi="华文仿宋" w:cs="华文仿宋"/>
          <w:color w:val="auto"/>
          <w:lang w:eastAsia="zh-CN"/>
        </w:rPr>
        <w:t>四</w:t>
      </w:r>
      <w:r>
        <w:rPr>
          <w:rFonts w:hint="eastAsia" w:ascii="华文仿宋" w:hAnsi="华文仿宋" w:cs="华文仿宋"/>
          <w:color w:val="auto"/>
        </w:rPr>
        <w:t>）</w:t>
      </w:r>
      <w:r>
        <w:rPr>
          <w:rFonts w:hint="eastAsia" w:ascii="华文仿宋" w:hAnsi="华文仿宋" w:cs="华文仿宋"/>
          <w:color w:val="auto"/>
          <w:lang w:val="zh-CN"/>
        </w:rPr>
        <w:t>磋商</w:t>
      </w:r>
      <w:r>
        <w:rPr>
          <w:rFonts w:hint="eastAsia" w:ascii="华文仿宋" w:hAnsi="华文仿宋" w:cs="华文仿宋"/>
          <w:color w:val="auto"/>
        </w:rPr>
        <w:t>报价货币：</w:t>
      </w:r>
      <w:r>
        <w:rPr>
          <w:rFonts w:hint="eastAsia" w:ascii="华文仿宋" w:hAnsi="华文仿宋" w:cs="华文仿宋"/>
          <w:b/>
          <w:color w:val="auto"/>
        </w:rPr>
        <w:t>人民币</w:t>
      </w:r>
      <w:r>
        <w:rPr>
          <w:rFonts w:hint="eastAsia" w:ascii="华文仿宋" w:hAnsi="华文仿宋" w:cs="华文仿宋"/>
          <w:color w:val="auto"/>
        </w:rPr>
        <w:t>；</w:t>
      </w:r>
      <w:r>
        <w:rPr>
          <w:rFonts w:hint="eastAsia" w:ascii="华文仿宋" w:hAnsi="华文仿宋" w:cs="华文仿宋"/>
          <w:b/>
          <w:bCs/>
          <w:color w:val="auto"/>
        </w:rPr>
        <w:t>单位：元</w:t>
      </w:r>
      <w:r>
        <w:rPr>
          <w:rFonts w:hint="eastAsia" w:ascii="华文仿宋" w:hAnsi="华文仿宋" w:cs="华文仿宋"/>
          <w:bCs/>
          <w:color w:val="auto"/>
        </w:rPr>
        <w:t>，</w:t>
      </w:r>
      <w:r>
        <w:rPr>
          <w:rFonts w:hint="eastAsia" w:ascii="华文仿宋" w:hAnsi="华文仿宋" w:cs="华文仿宋"/>
          <w:b/>
          <w:color w:val="auto"/>
        </w:rPr>
        <w:t>保留到元</w:t>
      </w:r>
      <w:r>
        <w:rPr>
          <w:rFonts w:hint="eastAsia" w:ascii="华文仿宋" w:hAnsi="华文仿宋" w:cs="华文仿宋"/>
          <w:bCs/>
          <w:color w:val="auto"/>
        </w:rPr>
        <w:t>。</w:t>
      </w:r>
    </w:p>
    <w:p>
      <w:pPr>
        <w:spacing w:line="500" w:lineRule="exact"/>
        <w:ind w:firstLine="566" w:firstLineChars="200"/>
        <w:rPr>
          <w:rFonts w:ascii="华文仿宋" w:hAnsi="华文仿宋" w:cs="华文仿宋"/>
          <w:color w:val="auto"/>
        </w:rPr>
      </w:pPr>
      <w:r>
        <w:rPr>
          <w:rFonts w:hint="eastAsia" w:ascii="华文仿宋" w:hAnsi="华文仿宋" w:cs="华文仿宋"/>
          <w:color w:val="auto"/>
        </w:rPr>
        <w:t>（</w:t>
      </w:r>
      <w:r>
        <w:rPr>
          <w:rFonts w:hint="eastAsia" w:ascii="华文仿宋" w:hAnsi="华文仿宋" w:cs="华文仿宋"/>
          <w:color w:val="auto"/>
          <w:lang w:eastAsia="zh-CN"/>
        </w:rPr>
        <w:t>五</w:t>
      </w:r>
      <w:r>
        <w:rPr>
          <w:rFonts w:hint="eastAsia" w:ascii="华文仿宋" w:hAnsi="华文仿宋" w:cs="华文仿宋"/>
          <w:color w:val="auto"/>
        </w:rPr>
        <w:t>）磋商报价大小写不一致的以大写为准。</w:t>
      </w:r>
    </w:p>
    <w:p>
      <w:pPr>
        <w:spacing w:line="500" w:lineRule="exact"/>
        <w:ind w:firstLine="566" w:firstLineChars="200"/>
        <w:rPr>
          <w:rFonts w:ascii="华文仿宋" w:hAnsi="华文仿宋" w:cs="华文仿宋"/>
          <w:color w:val="auto"/>
        </w:rPr>
      </w:pPr>
      <w:r>
        <w:rPr>
          <w:rFonts w:hint="eastAsia" w:ascii="华文仿宋" w:hAnsi="华文仿宋" w:cs="华文仿宋"/>
          <w:color w:val="auto"/>
        </w:rPr>
        <w:t>（</w:t>
      </w:r>
      <w:r>
        <w:rPr>
          <w:rFonts w:hint="eastAsia" w:ascii="华文仿宋" w:hAnsi="华文仿宋" w:cs="华文仿宋"/>
          <w:color w:val="auto"/>
          <w:lang w:eastAsia="zh-CN"/>
        </w:rPr>
        <w:t>六</w:t>
      </w:r>
      <w:r>
        <w:rPr>
          <w:rFonts w:hint="eastAsia" w:ascii="华文仿宋" w:hAnsi="华文仿宋" w:cs="华文仿宋"/>
          <w:color w:val="auto"/>
        </w:rPr>
        <w:t>）因供应商对磋商文件理解不透、误解、疏漏或对市场行情了解不清造成的后果和风险，均由供应商自己负责。</w:t>
      </w:r>
    </w:p>
    <w:p>
      <w:pPr>
        <w:pStyle w:val="4"/>
        <w:spacing w:line="500" w:lineRule="exact"/>
        <w:ind w:firstLine="566" w:firstLineChars="200"/>
        <w:rPr>
          <w:rFonts w:ascii="华文仿宋" w:hAnsi="华文仿宋" w:cs="华文仿宋"/>
          <w:color w:val="auto"/>
          <w:sz w:val="28"/>
          <w:szCs w:val="28"/>
        </w:rPr>
      </w:pPr>
      <w:bookmarkStart w:id="112" w:name="_Toc29669_WPSOffice_Level2"/>
      <w:bookmarkStart w:id="113" w:name="_Toc14959_WPSOffice_Level2"/>
      <w:bookmarkStart w:id="114" w:name="_Toc20041_WPSOffice_Level2"/>
      <w:bookmarkStart w:id="115" w:name="_Toc387"/>
      <w:r>
        <w:rPr>
          <w:rFonts w:hint="eastAsia" w:ascii="华文仿宋" w:hAnsi="华文仿宋" w:cs="华文仿宋"/>
          <w:color w:val="auto"/>
          <w:sz w:val="28"/>
          <w:szCs w:val="28"/>
        </w:rPr>
        <w:t>六、响应文件</w:t>
      </w:r>
      <w:bookmarkEnd w:id="112"/>
      <w:bookmarkEnd w:id="113"/>
      <w:bookmarkEnd w:id="114"/>
      <w:bookmarkEnd w:id="115"/>
    </w:p>
    <w:p>
      <w:pPr>
        <w:spacing w:line="500" w:lineRule="exact"/>
        <w:ind w:firstLine="566" w:firstLineChars="200"/>
        <w:rPr>
          <w:rFonts w:ascii="仿宋" w:hAnsi="仿宋" w:eastAsia="仿宋" w:cs="仿宋"/>
          <w:b/>
          <w:bCs/>
          <w:color w:val="auto"/>
        </w:rPr>
      </w:pPr>
      <w:bookmarkStart w:id="116" w:name="_Toc30535_WPSOffice_Level2"/>
      <w:bookmarkStart w:id="117" w:name="_Toc18733_WPSOffice_Level2"/>
      <w:bookmarkStart w:id="118" w:name="_Toc7898_WPSOffice_Level2"/>
      <w:r>
        <w:rPr>
          <w:rFonts w:hint="eastAsia" w:ascii="仿宋" w:hAnsi="仿宋" w:eastAsia="仿宋" w:cs="仿宋"/>
          <w:b/>
          <w:bCs/>
          <w:color w:val="auto"/>
        </w:rPr>
        <w:t>（一）响应文件形式</w:t>
      </w:r>
    </w:p>
    <w:p>
      <w:pPr>
        <w:spacing w:line="500" w:lineRule="exact"/>
        <w:ind w:firstLine="566" w:firstLineChars="200"/>
        <w:rPr>
          <w:rFonts w:ascii="仿宋" w:hAnsi="仿宋" w:eastAsia="仿宋" w:cs="仿宋"/>
          <w:color w:val="auto"/>
        </w:rPr>
      </w:pPr>
      <w:r>
        <w:rPr>
          <w:rFonts w:hint="eastAsia" w:ascii="仿宋" w:hAnsi="仿宋" w:eastAsia="仿宋" w:cs="仿宋"/>
          <w:color w:val="auto"/>
        </w:rPr>
        <w:t>本项目采用电子响应文件的形式。</w:t>
      </w:r>
    </w:p>
    <w:p>
      <w:pPr>
        <w:spacing w:line="500" w:lineRule="exact"/>
        <w:ind w:firstLine="566" w:firstLineChars="200"/>
        <w:rPr>
          <w:rFonts w:ascii="仿宋" w:hAnsi="仿宋" w:eastAsia="仿宋" w:cs="仿宋"/>
          <w:color w:val="auto"/>
        </w:rPr>
      </w:pPr>
      <w:r>
        <w:rPr>
          <w:rFonts w:hint="eastAsia" w:ascii="仿宋" w:hAnsi="仿宋" w:eastAsia="仿宋" w:cs="仿宋"/>
          <w:color w:val="auto"/>
        </w:rPr>
        <w:t>编制电子响应文件时，应使用最新发布的电子磋商文件及专用制作工具进行编制。并使用数字认证证书（CA锁）对电子响应文件进行签署、加密、递交及磋商时解密等相关操作。</w:t>
      </w:r>
    </w:p>
    <w:p>
      <w:pPr>
        <w:spacing w:line="500" w:lineRule="exact"/>
        <w:ind w:firstLine="566" w:firstLineChars="200"/>
        <w:rPr>
          <w:rFonts w:ascii="仿宋" w:hAnsi="仿宋" w:eastAsia="仿宋" w:cs="仿宋"/>
          <w:color w:val="auto"/>
        </w:rPr>
      </w:pPr>
      <w:r>
        <w:rPr>
          <w:rFonts w:hint="eastAsia" w:ascii="仿宋" w:hAnsi="仿宋" w:eastAsia="仿宋" w:cs="仿宋"/>
          <w:color w:val="auto"/>
        </w:rPr>
        <w:t>1、电子磋商文件下载。供应商登录全国公共资源交易平台（陕西省）网站〖首页·〉电子交易平台·〉企业端〗后，在〖招标公告/出让公告〗模块中选择项目</w:t>
      </w:r>
      <w:r>
        <w:rPr>
          <w:rFonts w:hint="eastAsia" w:ascii="仿宋" w:hAnsi="仿宋" w:eastAsia="仿宋" w:cs="仿宋"/>
          <w:bCs/>
          <w:color w:val="auto"/>
        </w:rPr>
        <w:t>点击“我要投标”，参与投标活动。然后即可</w:t>
      </w:r>
      <w:r>
        <w:rPr>
          <w:rFonts w:hint="eastAsia" w:ascii="仿宋" w:hAnsi="仿宋" w:eastAsia="仿宋" w:cs="仿宋"/>
          <w:color w:val="auto"/>
        </w:rPr>
        <w:t>在〖我的项目〗中点击“项目流程&gt;交易文件下载”下载电子磋商文件（*.SXSZF）。</w:t>
      </w:r>
    </w:p>
    <w:p>
      <w:pPr>
        <w:spacing w:line="500" w:lineRule="exact"/>
        <w:ind w:firstLine="566" w:firstLineChars="200"/>
        <w:rPr>
          <w:rFonts w:ascii="仿宋" w:hAnsi="仿宋" w:eastAsia="仿宋" w:cs="仿宋"/>
          <w:color w:val="auto"/>
        </w:rPr>
      </w:pPr>
      <w:r>
        <w:rPr>
          <w:rFonts w:hint="eastAsia" w:ascii="仿宋" w:hAnsi="仿宋" w:eastAsia="仿宋" w:cs="仿宋"/>
          <w:color w:val="auto"/>
        </w:rPr>
        <w:t>注意：该项目如有变更文件，则应点击“项目流程&gt;答疑文件下载”下载更新后的电子磋商文件（*.SXSCF），使用旧版电子磋商文件制作的电子响应文件，系统将拒绝接收。</w:t>
      </w:r>
    </w:p>
    <w:p>
      <w:pPr>
        <w:numPr>
          <w:ilvl w:val="0"/>
          <w:numId w:val="4"/>
        </w:numPr>
        <w:spacing w:line="500" w:lineRule="exact"/>
        <w:ind w:firstLine="566" w:firstLineChars="200"/>
        <w:rPr>
          <w:rFonts w:ascii="仿宋" w:hAnsi="仿宋" w:eastAsia="仿宋" w:cs="仿宋"/>
          <w:color w:val="auto"/>
        </w:rPr>
      </w:pPr>
      <w:r>
        <w:rPr>
          <w:rFonts w:hint="eastAsia" w:ascii="仿宋" w:hAnsi="仿宋" w:eastAsia="仿宋" w:cs="仿宋"/>
          <w:color w:val="auto"/>
        </w:rPr>
        <w:t>电子磋商文件需要使用专用软件打开、浏览。供应商可在全国公共资源交易平台（陕西省）网站〖首页·〉服务指南·〉下载专区〗免费下载“陕西省公共资源交易平台政府采购电子标书制作工具(V8.0.0.2)”，并升级至最新版本，使用该客户端可以打开电子磋商文件。软件操作手册详见全国公共资源交易平台（陕西省）网站〖首页·〉服务指南·〉下载专区〗中的《陕西省公共资源交易（政府采购类）响应文件制作软件操作手册》。</w:t>
      </w:r>
    </w:p>
    <w:p>
      <w:pPr>
        <w:numPr>
          <w:ilvl w:val="0"/>
          <w:numId w:val="4"/>
        </w:numPr>
        <w:spacing w:line="500" w:lineRule="exact"/>
        <w:ind w:firstLine="566" w:firstLineChars="200"/>
        <w:rPr>
          <w:rFonts w:ascii="仿宋" w:hAnsi="仿宋" w:eastAsia="仿宋" w:cs="仿宋"/>
          <w:color w:val="auto"/>
        </w:rPr>
      </w:pPr>
      <w:r>
        <w:rPr>
          <w:rFonts w:hint="eastAsia" w:ascii="仿宋" w:hAnsi="仿宋" w:eastAsia="仿宋" w:cs="仿宋"/>
          <w:color w:val="auto"/>
        </w:rPr>
        <w:t>制作电子响应文件。电子响应文件同样需要使用上述软件进行编制。在编制过程中，如有技术性问题，请先翻阅操作手册，或致电软件开发商。技术支持热线：4009280095、4009980000</w:t>
      </w:r>
    </w:p>
    <w:p>
      <w:pPr>
        <w:spacing w:line="500" w:lineRule="exact"/>
        <w:ind w:firstLine="566" w:firstLineChars="200"/>
        <w:rPr>
          <w:rFonts w:hint="eastAsia" w:ascii="仿宋" w:hAnsi="仿宋" w:eastAsia="仿宋" w:cs="仿宋"/>
          <w:b/>
          <w:color w:val="auto"/>
        </w:rPr>
      </w:pPr>
    </w:p>
    <w:p>
      <w:pPr>
        <w:spacing w:line="500" w:lineRule="exact"/>
        <w:ind w:firstLine="566" w:firstLineChars="200"/>
        <w:rPr>
          <w:rFonts w:hint="eastAsia" w:ascii="仿宋" w:hAnsi="仿宋" w:eastAsia="仿宋" w:cs="仿宋"/>
          <w:b/>
          <w:color w:val="auto"/>
        </w:rPr>
      </w:pPr>
    </w:p>
    <w:p>
      <w:pPr>
        <w:spacing w:line="500" w:lineRule="exact"/>
        <w:ind w:firstLine="566" w:firstLineChars="200"/>
        <w:rPr>
          <w:rFonts w:hint="eastAsia" w:ascii="仿宋" w:hAnsi="仿宋" w:eastAsia="仿宋" w:cs="仿宋"/>
          <w:color w:val="auto"/>
        </w:rPr>
      </w:pPr>
      <w:r>
        <w:rPr>
          <w:rFonts w:hint="eastAsia" w:ascii="仿宋" w:hAnsi="仿宋" w:eastAsia="仿宋" w:cs="仿宋"/>
          <w:b/>
          <w:color w:val="auto"/>
        </w:rPr>
        <w:t>（二）</w:t>
      </w:r>
      <w:r>
        <w:rPr>
          <w:rFonts w:hint="eastAsia" w:ascii="仿宋" w:hAnsi="仿宋" w:eastAsia="仿宋" w:cs="仿宋"/>
          <w:b/>
          <w:bCs/>
          <w:color w:val="auto"/>
        </w:rPr>
        <w:t>响应文件</w:t>
      </w:r>
      <w:r>
        <w:rPr>
          <w:rFonts w:hint="eastAsia" w:ascii="仿宋" w:hAnsi="仿宋" w:eastAsia="仿宋" w:cs="仿宋"/>
          <w:b/>
          <w:bCs/>
          <w:color w:val="auto"/>
          <w:lang w:val="en-US" w:eastAsia="zh-CN"/>
        </w:rPr>
        <w:t>语言及</w:t>
      </w:r>
      <w:r>
        <w:rPr>
          <w:rFonts w:hint="eastAsia" w:ascii="仿宋" w:hAnsi="仿宋" w:eastAsia="仿宋" w:cs="仿宋"/>
          <w:b/>
          <w:bCs/>
          <w:color w:val="auto"/>
        </w:rPr>
        <w:t>有效期</w:t>
      </w:r>
    </w:p>
    <w:p>
      <w:pPr>
        <w:keepNext w:val="0"/>
        <w:keepLines w:val="0"/>
        <w:pageBreakBefore w:val="0"/>
        <w:widowControl/>
        <w:kinsoku/>
        <w:wordWrap/>
        <w:overflowPunct/>
        <w:topLinePunct w:val="0"/>
        <w:autoSpaceDE/>
        <w:autoSpaceDN/>
        <w:bidi w:val="0"/>
        <w:adjustRightInd/>
        <w:snapToGrid/>
        <w:spacing w:line="500" w:lineRule="exact"/>
        <w:ind w:firstLine="566" w:firstLineChars="200"/>
        <w:textAlignment w:val="auto"/>
        <w:rPr>
          <w:rFonts w:hint="eastAsia" w:ascii="华文仿宋" w:hAnsi="华文仿宋" w:eastAsia="华文仿宋" w:cs="华文仿宋"/>
          <w:color w:val="auto"/>
        </w:rPr>
      </w:pPr>
      <w:r>
        <w:rPr>
          <w:rFonts w:hint="eastAsia" w:ascii="仿宋" w:hAnsi="仿宋" w:eastAsia="仿宋" w:cs="仿宋"/>
          <w:color w:val="auto"/>
        </w:rPr>
        <w:t>1、</w:t>
      </w:r>
      <w:r>
        <w:rPr>
          <w:rFonts w:hint="eastAsia" w:ascii="华文仿宋" w:hAnsi="华文仿宋" w:eastAsia="华文仿宋" w:cs="华文仿宋"/>
          <w:color w:val="auto"/>
          <w:lang w:val="en-US" w:eastAsia="zh-CN"/>
        </w:rPr>
        <w:t>响应</w:t>
      </w:r>
      <w:r>
        <w:rPr>
          <w:rFonts w:hint="eastAsia" w:ascii="华文仿宋" w:hAnsi="华文仿宋" w:cs="华文仿宋"/>
          <w:color w:val="auto"/>
          <w:lang w:val="en-US" w:eastAsia="zh-CN"/>
        </w:rPr>
        <w:t>活动</w:t>
      </w:r>
      <w:r>
        <w:rPr>
          <w:rFonts w:hint="eastAsia" w:ascii="华文仿宋" w:hAnsi="华文仿宋" w:eastAsia="华文仿宋" w:cs="华文仿宋"/>
          <w:color w:val="auto"/>
        </w:rPr>
        <w:t>的所有文件、资料、函电文均使用简体中文，确需提交用其他语言形成的资料，必须翻译成简体中文，如有差异，以简体中文为准。</w:t>
      </w:r>
    </w:p>
    <w:p>
      <w:pPr>
        <w:keepNext w:val="0"/>
        <w:keepLines w:val="0"/>
        <w:pageBreakBefore w:val="0"/>
        <w:widowControl/>
        <w:kinsoku/>
        <w:wordWrap/>
        <w:overflowPunct/>
        <w:topLinePunct w:val="0"/>
        <w:autoSpaceDE/>
        <w:autoSpaceDN/>
        <w:bidi w:val="0"/>
        <w:adjustRightInd/>
        <w:snapToGrid/>
        <w:spacing w:line="500" w:lineRule="exact"/>
        <w:ind w:firstLine="566" w:firstLineChars="200"/>
        <w:textAlignment w:val="auto"/>
        <w:rPr>
          <w:rFonts w:ascii="仿宋" w:hAnsi="仿宋" w:eastAsia="仿宋" w:cs="仿宋"/>
          <w:color w:val="auto"/>
        </w:rPr>
      </w:pPr>
      <w:r>
        <w:rPr>
          <w:rFonts w:hint="eastAsia" w:ascii="仿宋" w:hAnsi="仿宋" w:eastAsia="仿宋" w:cs="仿宋"/>
          <w:color w:val="auto"/>
          <w:lang w:val="en-US" w:eastAsia="zh-CN"/>
        </w:rPr>
        <w:t>2、</w:t>
      </w:r>
      <w:r>
        <w:rPr>
          <w:rFonts w:hint="eastAsia" w:ascii="仿宋" w:hAnsi="仿宋" w:eastAsia="仿宋" w:cs="仿宋"/>
          <w:color w:val="auto"/>
        </w:rPr>
        <w:t>响应文件有效期为</w:t>
      </w:r>
      <w:r>
        <w:rPr>
          <w:rFonts w:hint="eastAsia" w:ascii="仿宋" w:hAnsi="仿宋" w:eastAsia="仿宋" w:cs="仿宋"/>
          <w:b/>
          <w:bCs/>
          <w:color w:val="auto"/>
        </w:rPr>
        <w:t>自响应文件开启之日起90个日历日</w:t>
      </w:r>
      <w:r>
        <w:rPr>
          <w:rFonts w:hint="eastAsia" w:ascii="仿宋" w:hAnsi="仿宋" w:eastAsia="仿宋" w:cs="仿宋"/>
          <w:color w:val="auto"/>
        </w:rPr>
        <w:t>。如成交，延长至合同执行完毕时止。</w:t>
      </w:r>
    </w:p>
    <w:p>
      <w:pPr>
        <w:ind w:firstLine="566" w:firstLineChars="200"/>
        <w:rPr>
          <w:rFonts w:ascii="仿宋" w:hAnsi="仿宋" w:eastAsia="仿宋" w:cs="仿宋"/>
          <w:b/>
          <w:color w:val="auto"/>
        </w:rPr>
      </w:pPr>
      <w:r>
        <w:rPr>
          <w:rFonts w:hint="eastAsia" w:ascii="仿宋" w:hAnsi="仿宋" w:eastAsia="仿宋" w:cs="仿宋"/>
          <w:b/>
          <w:color w:val="auto"/>
        </w:rPr>
        <w:t>（三）响应文件的提交</w:t>
      </w:r>
    </w:p>
    <w:p>
      <w:pPr>
        <w:spacing w:line="500" w:lineRule="exact"/>
        <w:ind w:firstLine="566" w:firstLineChars="200"/>
        <w:rPr>
          <w:color w:val="auto"/>
        </w:rPr>
      </w:pPr>
      <w:r>
        <w:rPr>
          <w:rFonts w:hint="eastAsia"/>
          <w:color w:val="auto"/>
        </w:rPr>
        <w:t>电子响应文件可于提交响应文件截止时间前任意时段登录全国公共资源交易平台（陕西省）网站“电子交易平台&gt;企业端”进行提交，逾期系统将拒绝接收。提交时，供应商应登录全国公共资源交易中心平台（陕西省），选择“首页&gt;电子交易平台&gt;企业端&gt;我的项目”，点击“项目流程”，在打开的“项目管理”对话框中选择“上传响应文件”，上传加密的电子响应文件（*.SXSTF）。上传成功后，电子化平台将予以记录。</w:t>
      </w:r>
    </w:p>
    <w:p>
      <w:pPr>
        <w:spacing w:line="500" w:lineRule="exact"/>
        <w:ind w:firstLine="566" w:firstLineChars="200"/>
        <w:rPr>
          <w:rFonts w:ascii="仿宋" w:hAnsi="仿宋" w:eastAsia="仿宋" w:cs="仿宋"/>
          <w:b/>
          <w:color w:val="auto"/>
        </w:rPr>
      </w:pPr>
      <w:bookmarkStart w:id="119" w:name="_Toc15608"/>
      <w:bookmarkStart w:id="120" w:name="_Toc24468"/>
      <w:bookmarkStart w:id="121" w:name="_Toc6095"/>
      <w:r>
        <w:rPr>
          <w:rFonts w:hint="eastAsia" w:ascii="仿宋" w:hAnsi="仿宋" w:eastAsia="仿宋" w:cs="仿宋"/>
          <w:b/>
          <w:color w:val="auto"/>
        </w:rPr>
        <w:t>（四）响应文件的补充、修改和撤回</w:t>
      </w:r>
      <w:bookmarkEnd w:id="119"/>
      <w:bookmarkEnd w:id="120"/>
      <w:bookmarkEnd w:id="121"/>
    </w:p>
    <w:p>
      <w:pPr>
        <w:spacing w:line="500" w:lineRule="exact"/>
        <w:ind w:firstLine="566" w:firstLineChars="200"/>
        <w:rPr>
          <w:rFonts w:ascii="华文仿宋" w:hAnsi="华文仿宋" w:cs="华文仿宋"/>
          <w:color w:val="auto"/>
        </w:rPr>
      </w:pPr>
      <w:r>
        <w:rPr>
          <w:rFonts w:hint="eastAsia" w:ascii="仿宋" w:hAnsi="仿宋" w:eastAsia="仿宋" w:cs="仿宋"/>
          <w:color w:val="auto"/>
        </w:rPr>
        <w:t>1、</w:t>
      </w:r>
      <w:r>
        <w:rPr>
          <w:rFonts w:hint="eastAsia" w:ascii="华文仿宋" w:hAnsi="华文仿宋" w:cs="华文仿宋"/>
          <w:color w:val="auto"/>
        </w:rPr>
        <w:t>供应商在递交</w:t>
      </w:r>
      <w:r>
        <w:rPr>
          <w:rFonts w:hint="eastAsia" w:ascii="华文仿宋" w:hAnsi="华文仿宋" w:cs="华文仿宋"/>
          <w:color w:val="auto"/>
          <w:highlight w:val="none"/>
          <w:lang w:eastAsia="zh-CN"/>
        </w:rPr>
        <w:t>电子</w:t>
      </w:r>
      <w:r>
        <w:rPr>
          <w:rFonts w:hint="eastAsia" w:ascii="华文仿宋" w:hAnsi="华文仿宋" w:cs="华文仿宋"/>
          <w:color w:val="auto"/>
        </w:rPr>
        <w:t>响应文件后，且在提交</w:t>
      </w:r>
      <w:r>
        <w:rPr>
          <w:rFonts w:hint="eastAsia" w:ascii="华文仿宋" w:hAnsi="华文仿宋" w:cs="华文仿宋"/>
          <w:color w:val="auto"/>
          <w:highlight w:val="none"/>
          <w:lang w:eastAsia="zh-CN"/>
        </w:rPr>
        <w:t>电子</w:t>
      </w:r>
      <w:r>
        <w:rPr>
          <w:rFonts w:hint="eastAsia" w:ascii="华文仿宋" w:hAnsi="华文仿宋" w:cs="华文仿宋"/>
          <w:color w:val="auto"/>
        </w:rPr>
        <w:t>响应文件截止时间前，可以对所提交的响应文件进行补充、修改或撤回。</w:t>
      </w:r>
    </w:p>
    <w:p>
      <w:pPr>
        <w:spacing w:line="500" w:lineRule="exact"/>
        <w:ind w:firstLine="566" w:firstLineChars="200"/>
        <w:rPr>
          <w:color w:val="auto"/>
        </w:rPr>
      </w:pPr>
      <w:r>
        <w:rPr>
          <w:rFonts w:hint="eastAsia" w:ascii="仿宋" w:hAnsi="仿宋" w:eastAsia="仿宋" w:cs="仿宋"/>
          <w:color w:val="auto"/>
        </w:rPr>
        <w:t>2、</w:t>
      </w:r>
      <w:r>
        <w:rPr>
          <w:rFonts w:hint="eastAsia"/>
          <w:color w:val="auto"/>
        </w:rPr>
        <w:t>对电子响应文件进行补充、修改的，应先从电子交易平台上撤回旧版，再重新提交新版。</w:t>
      </w:r>
    </w:p>
    <w:p>
      <w:pPr>
        <w:spacing w:line="500" w:lineRule="exact"/>
        <w:ind w:firstLine="566" w:firstLineChars="200"/>
        <w:rPr>
          <w:rFonts w:ascii="仿宋" w:hAnsi="仿宋" w:eastAsia="仿宋" w:cs="仿宋"/>
          <w:color w:val="auto"/>
        </w:rPr>
      </w:pPr>
      <w:r>
        <w:rPr>
          <w:rFonts w:hint="eastAsia" w:ascii="仿宋" w:hAnsi="仿宋" w:eastAsia="仿宋" w:cs="仿宋"/>
          <w:color w:val="auto"/>
        </w:rPr>
        <w:t>3、</w:t>
      </w:r>
      <w:r>
        <w:rPr>
          <w:rFonts w:hint="eastAsia" w:ascii="华文仿宋" w:hAnsi="华文仿宋" w:cs="华文仿宋"/>
          <w:color w:val="auto"/>
          <w:highlight w:val="none"/>
          <w:lang w:eastAsia="zh-CN"/>
        </w:rPr>
        <w:t>电子</w:t>
      </w:r>
      <w:r>
        <w:rPr>
          <w:rFonts w:hint="eastAsia" w:ascii="华文仿宋" w:hAnsi="华文仿宋" w:cs="华文仿宋"/>
          <w:color w:val="auto"/>
        </w:rPr>
        <w:t>响应文件提交截止时间后，供应商不得对其</w:t>
      </w:r>
      <w:r>
        <w:rPr>
          <w:rFonts w:hint="eastAsia" w:ascii="华文仿宋" w:hAnsi="华文仿宋" w:cs="华文仿宋"/>
          <w:color w:val="auto"/>
          <w:highlight w:val="none"/>
          <w:lang w:eastAsia="zh-CN"/>
        </w:rPr>
        <w:t>电子</w:t>
      </w:r>
      <w:r>
        <w:rPr>
          <w:rFonts w:hint="eastAsia" w:ascii="华文仿宋" w:hAnsi="华文仿宋" w:cs="华文仿宋"/>
          <w:color w:val="auto"/>
        </w:rPr>
        <w:t>响应文件做任何修改。</w:t>
      </w:r>
    </w:p>
    <w:p>
      <w:pPr>
        <w:spacing w:line="500" w:lineRule="exact"/>
        <w:ind w:firstLine="566" w:firstLineChars="200"/>
        <w:rPr>
          <w:rFonts w:ascii="华文仿宋" w:hAnsi="华文仿宋" w:cs="华文仿宋"/>
          <w:color w:val="auto"/>
        </w:rPr>
      </w:pPr>
      <w:r>
        <w:rPr>
          <w:rFonts w:hint="eastAsia" w:ascii="仿宋" w:hAnsi="仿宋" w:eastAsia="仿宋" w:cs="仿宋"/>
          <w:color w:val="auto"/>
        </w:rPr>
        <w:t>4、</w:t>
      </w:r>
      <w:r>
        <w:rPr>
          <w:rFonts w:hint="eastAsia" w:ascii="华文仿宋" w:hAnsi="华文仿宋" w:cs="华文仿宋"/>
          <w:color w:val="auto"/>
        </w:rPr>
        <w:t>供应商在提交</w:t>
      </w:r>
      <w:r>
        <w:rPr>
          <w:rFonts w:hint="eastAsia" w:ascii="华文仿宋" w:hAnsi="华文仿宋" w:cs="华文仿宋"/>
          <w:color w:val="auto"/>
          <w:highlight w:val="none"/>
          <w:lang w:eastAsia="zh-CN"/>
        </w:rPr>
        <w:t>电子</w:t>
      </w:r>
      <w:r>
        <w:rPr>
          <w:rFonts w:hint="eastAsia" w:ascii="华文仿宋" w:hAnsi="华文仿宋" w:cs="华文仿宋"/>
          <w:color w:val="auto"/>
        </w:rPr>
        <w:t>响应文件截止时间后撤回</w:t>
      </w:r>
      <w:r>
        <w:rPr>
          <w:rFonts w:hint="eastAsia" w:ascii="华文仿宋" w:hAnsi="华文仿宋" w:cs="华文仿宋"/>
          <w:color w:val="auto"/>
          <w:highlight w:val="none"/>
          <w:lang w:eastAsia="zh-CN"/>
        </w:rPr>
        <w:t>电子</w:t>
      </w:r>
      <w:r>
        <w:rPr>
          <w:rFonts w:hint="eastAsia" w:ascii="华文仿宋" w:hAnsi="华文仿宋" w:cs="华文仿宋"/>
          <w:color w:val="auto"/>
        </w:rPr>
        <w:t>响应文件的，磋商保证金不予退还。</w:t>
      </w:r>
    </w:p>
    <w:p>
      <w:pPr>
        <w:spacing w:line="500" w:lineRule="exact"/>
        <w:ind w:firstLine="566" w:firstLineChars="200"/>
        <w:rPr>
          <w:rFonts w:ascii="仿宋" w:hAnsi="仿宋" w:eastAsia="仿宋" w:cs="仿宋"/>
          <w:color w:val="auto"/>
        </w:rPr>
      </w:pPr>
      <w:r>
        <w:rPr>
          <w:rFonts w:hint="eastAsia" w:ascii="仿宋" w:hAnsi="仿宋" w:eastAsia="仿宋" w:cs="仿宋"/>
          <w:b/>
          <w:color w:val="auto"/>
        </w:rPr>
        <w:t>（五）供应商提交响应文件时，出现下列情况之一的，其响应文件将被拒绝接收：</w:t>
      </w:r>
    </w:p>
    <w:p>
      <w:pPr>
        <w:spacing w:line="500" w:lineRule="exact"/>
        <w:ind w:firstLine="566" w:firstLineChars="200"/>
        <w:rPr>
          <w:color w:val="auto"/>
        </w:rPr>
      </w:pPr>
      <w:r>
        <w:rPr>
          <w:rFonts w:hint="eastAsia"/>
          <w:color w:val="auto"/>
        </w:rPr>
        <w:t>1、逾期提交电子响应文件的；</w:t>
      </w:r>
    </w:p>
    <w:p>
      <w:pPr>
        <w:spacing w:line="500" w:lineRule="exact"/>
        <w:ind w:firstLine="566" w:firstLineChars="200"/>
        <w:rPr>
          <w:color w:val="auto"/>
        </w:rPr>
      </w:pPr>
      <w:r>
        <w:rPr>
          <w:rFonts w:hint="eastAsia"/>
          <w:color w:val="auto"/>
        </w:rPr>
        <w:t>2、提交的响应文件与本项目不相符的。</w:t>
      </w:r>
    </w:p>
    <w:p>
      <w:pPr>
        <w:pStyle w:val="4"/>
        <w:spacing w:line="500" w:lineRule="exact"/>
        <w:ind w:firstLine="566" w:firstLineChars="200"/>
        <w:rPr>
          <w:rFonts w:ascii="华文仿宋" w:hAnsi="华文仿宋" w:cs="华文仿宋"/>
          <w:color w:val="auto"/>
          <w:sz w:val="28"/>
          <w:szCs w:val="28"/>
        </w:rPr>
      </w:pPr>
      <w:bookmarkStart w:id="122" w:name="_Toc595"/>
      <w:bookmarkStart w:id="123" w:name="_Toc10744"/>
      <w:bookmarkStart w:id="124" w:name="_Toc6837"/>
      <w:bookmarkStart w:id="125" w:name="_Toc7343"/>
      <w:r>
        <w:rPr>
          <w:rFonts w:hint="eastAsia" w:ascii="华文仿宋" w:hAnsi="华文仿宋" w:cs="华文仿宋"/>
          <w:color w:val="auto"/>
          <w:sz w:val="28"/>
          <w:szCs w:val="28"/>
        </w:rPr>
        <w:t>七、组织开标</w:t>
      </w:r>
      <w:bookmarkEnd w:id="122"/>
      <w:bookmarkEnd w:id="123"/>
      <w:bookmarkEnd w:id="124"/>
      <w:bookmarkEnd w:id="125"/>
    </w:p>
    <w:p>
      <w:pPr>
        <w:spacing w:line="500" w:lineRule="exact"/>
        <w:ind w:firstLine="566" w:firstLineChars="200"/>
        <w:rPr>
          <w:color w:val="auto"/>
        </w:rPr>
      </w:pPr>
      <w:r>
        <w:rPr>
          <w:color w:val="auto"/>
        </w:rPr>
        <w:t>（一）</w:t>
      </w:r>
      <w:r>
        <w:rPr>
          <w:rFonts w:hint="eastAsia"/>
          <w:color w:val="auto"/>
        </w:rPr>
        <w:t>陕西省省级单位政府采购中心</w:t>
      </w:r>
      <w:r>
        <w:rPr>
          <w:color w:val="auto"/>
        </w:rPr>
        <w:t>组织</w:t>
      </w:r>
      <w:r>
        <w:rPr>
          <w:rFonts w:hint="eastAsia"/>
          <w:color w:val="auto"/>
        </w:rPr>
        <w:t>开标、评审</w:t>
      </w:r>
      <w:r>
        <w:rPr>
          <w:color w:val="auto"/>
        </w:rPr>
        <w:t>工作，整个过程受政府采购监管机构的监督、管理。</w:t>
      </w:r>
    </w:p>
    <w:p>
      <w:pPr>
        <w:wordWrap w:val="0"/>
        <w:spacing w:line="500" w:lineRule="exact"/>
        <w:ind w:firstLine="566" w:firstLineChars="200"/>
        <w:rPr>
          <w:b/>
          <w:bCs/>
          <w:color w:val="auto"/>
        </w:rPr>
      </w:pPr>
      <w:r>
        <w:rPr>
          <w:b/>
          <w:bCs/>
          <w:color w:val="auto"/>
        </w:rPr>
        <w:t>（二）</w:t>
      </w:r>
      <w:r>
        <w:rPr>
          <w:rFonts w:hint="eastAsia"/>
          <w:b/>
          <w:bCs/>
          <w:color w:val="auto"/>
          <w:highlight w:val="none"/>
        </w:rPr>
        <w:t>陕西省省级单位政府采购中心</w:t>
      </w:r>
      <w:r>
        <w:rPr>
          <w:b/>
          <w:bCs/>
          <w:color w:val="auto"/>
          <w:highlight w:val="none"/>
        </w:rPr>
        <w:t>在</w:t>
      </w:r>
      <w:r>
        <w:rPr>
          <w:rFonts w:hint="eastAsia"/>
          <w:b/>
          <w:bCs/>
          <w:color w:val="auto"/>
          <w:highlight w:val="none"/>
        </w:rPr>
        <w:t>磋商文件</w:t>
      </w:r>
      <w:r>
        <w:rPr>
          <w:b/>
          <w:bCs/>
          <w:color w:val="auto"/>
          <w:highlight w:val="none"/>
        </w:rPr>
        <w:t>规定的时间和地点组织开标，</w:t>
      </w:r>
      <w:r>
        <w:rPr>
          <w:rFonts w:hint="eastAsia"/>
          <w:b/>
          <w:bCs/>
          <w:color w:val="auto"/>
          <w:highlight w:val="none"/>
        </w:rPr>
        <w:t>供应商须派法定代表人或授权代表参加，并签名报到。法定代表人参加的，须出示本人身份证原件；授权代表参加的，须出示法定代表人授权委托书（原件，按《响应文件构成及格式》中给定格式填写）和授权代表的身份证原件。</w:t>
      </w:r>
    </w:p>
    <w:p>
      <w:pPr>
        <w:spacing w:line="500" w:lineRule="exact"/>
        <w:ind w:firstLine="566" w:firstLineChars="200"/>
        <w:rPr>
          <w:color w:val="auto"/>
        </w:rPr>
      </w:pPr>
      <w:r>
        <w:rPr>
          <w:rFonts w:hint="eastAsia"/>
          <w:color w:val="auto"/>
        </w:rPr>
        <w:t>投标供应商不足</w:t>
      </w:r>
      <w:r>
        <w:rPr>
          <w:rFonts w:hint="eastAsia" w:ascii="仿宋" w:hAnsi="仿宋" w:eastAsia="仿宋" w:cs="仿宋"/>
          <w:color w:val="auto"/>
        </w:rPr>
        <w:t>3</w:t>
      </w:r>
      <w:r>
        <w:rPr>
          <w:rFonts w:hint="eastAsia"/>
          <w:color w:val="auto"/>
        </w:rPr>
        <w:t>家的，不得开标。</w:t>
      </w:r>
    </w:p>
    <w:p>
      <w:pPr>
        <w:numPr>
          <w:ilvl w:val="0"/>
          <w:numId w:val="0"/>
        </w:numPr>
        <w:spacing w:line="500" w:lineRule="exact"/>
        <w:ind w:firstLine="566" w:firstLineChars="200"/>
        <w:rPr>
          <w:rFonts w:hint="eastAsia" w:eastAsia="华文仿宋"/>
          <w:color w:val="auto"/>
          <w:highlight w:val="none"/>
          <w:lang w:eastAsia="zh-CN"/>
        </w:rPr>
      </w:pPr>
      <w:r>
        <w:rPr>
          <w:color w:val="auto"/>
        </w:rPr>
        <w:t>（</w:t>
      </w:r>
      <w:r>
        <w:rPr>
          <w:rFonts w:hint="eastAsia"/>
          <w:color w:val="auto"/>
        </w:rPr>
        <w:t>三</w:t>
      </w:r>
      <w:r>
        <w:rPr>
          <w:color w:val="auto"/>
        </w:rPr>
        <w:t>）</w:t>
      </w:r>
      <w:r>
        <w:rPr>
          <w:rFonts w:hint="eastAsia"/>
          <w:color w:val="auto"/>
          <w:highlight w:val="none"/>
        </w:rPr>
        <w:t>开标时，</w:t>
      </w:r>
      <w:r>
        <w:rPr>
          <w:rFonts w:hint="eastAsia"/>
          <w:color w:val="auto"/>
          <w:highlight w:val="none"/>
          <w:lang w:eastAsia="zh-CN"/>
        </w:rPr>
        <w:t>陕西省省级单位采购中心现场工作人员将根据项目投标人数约定解密时长，</w:t>
      </w:r>
      <w:r>
        <w:rPr>
          <w:rFonts w:hint="eastAsia"/>
          <w:color w:val="auto"/>
          <w:highlight w:val="none"/>
        </w:rPr>
        <w:t>供应商</w:t>
      </w:r>
      <w:r>
        <w:rPr>
          <w:rFonts w:hint="eastAsia"/>
          <w:color w:val="auto"/>
          <w:highlight w:val="none"/>
          <w:lang w:eastAsia="zh-CN"/>
        </w:rPr>
        <w:t>应在规定时间内，</w:t>
      </w:r>
      <w:r>
        <w:rPr>
          <w:rFonts w:hint="eastAsia"/>
          <w:color w:val="auto"/>
          <w:highlight w:val="none"/>
        </w:rPr>
        <w:t>使用电子响应文件加密时所用的数字认证证书（CA锁）在开标室的解密机上自行解密电子响应文件。</w:t>
      </w:r>
      <w:r>
        <w:rPr>
          <w:rFonts w:hint="eastAsia"/>
          <w:color w:val="auto"/>
          <w:highlight w:val="none"/>
          <w:lang w:eastAsia="zh-CN"/>
        </w:rPr>
        <w:t>未在规定时间内解密的，视为投标无效。</w:t>
      </w:r>
    </w:p>
    <w:p>
      <w:pPr>
        <w:numPr>
          <w:ilvl w:val="0"/>
          <w:numId w:val="0"/>
        </w:numPr>
        <w:spacing w:line="500" w:lineRule="exact"/>
        <w:ind w:firstLine="566" w:firstLineChars="200"/>
        <w:rPr>
          <w:color w:val="auto"/>
          <w:highlight w:val="none"/>
        </w:rPr>
      </w:pPr>
      <w:r>
        <w:rPr>
          <w:rFonts w:hint="eastAsia"/>
          <w:color w:val="auto"/>
        </w:rPr>
        <w:t>（四）</w:t>
      </w:r>
      <w:r>
        <w:rPr>
          <w:rFonts w:hint="eastAsia"/>
          <w:color w:val="auto"/>
          <w:highlight w:val="none"/>
        </w:rPr>
        <w:t>开标过程由陕西省省级单位政府采购中心指定专人记录，由参加开标的相关工作人员签字确认后随采购文件一并存档。</w:t>
      </w:r>
    </w:p>
    <w:p>
      <w:pPr>
        <w:spacing w:line="500" w:lineRule="exact"/>
        <w:ind w:firstLine="566" w:firstLineChars="200"/>
        <w:rPr>
          <w:color w:val="auto"/>
          <w:highlight w:val="none"/>
        </w:rPr>
      </w:pPr>
      <w:r>
        <w:rPr>
          <w:rFonts w:hint="eastAsia"/>
          <w:color w:val="auto"/>
        </w:rPr>
        <w:t>（五）</w:t>
      </w:r>
      <w:r>
        <w:rPr>
          <w:rFonts w:hint="eastAsia"/>
          <w:color w:val="auto"/>
          <w:highlight w:val="none"/>
        </w:rPr>
        <w:t>投标供应商对开标过程和开标记录有疑义，以及认为采购人、陕西省省级单位政府采购中心相关工作人员有需要回避情形的，应在网络开标大厅提出询问或回避申请，采购人、陕西省省级单位政府采购中心应当及时处理。</w:t>
      </w:r>
    </w:p>
    <w:p>
      <w:pPr>
        <w:spacing w:line="500" w:lineRule="exact"/>
        <w:ind w:firstLine="566" w:firstLineChars="200"/>
        <w:rPr>
          <w:color w:val="auto"/>
          <w:highlight w:val="none"/>
        </w:rPr>
      </w:pPr>
      <w:r>
        <w:rPr>
          <w:rFonts w:hint="eastAsia"/>
          <w:color w:val="auto"/>
        </w:rPr>
        <w:t>（六）</w:t>
      </w:r>
      <w:r>
        <w:rPr>
          <w:rFonts w:hint="eastAsia"/>
          <w:color w:val="auto"/>
          <w:highlight w:val="none"/>
        </w:rPr>
        <w:t>响应供应商未参加开标的，视同认可开标结果。</w:t>
      </w:r>
    </w:p>
    <w:p>
      <w:pPr>
        <w:spacing w:line="500" w:lineRule="exact"/>
        <w:ind w:firstLine="566" w:firstLineChars="200"/>
        <w:rPr>
          <w:color w:val="auto"/>
        </w:rPr>
      </w:pPr>
      <w:r>
        <w:rPr>
          <w:rFonts w:hint="eastAsia"/>
          <w:color w:val="auto"/>
        </w:rPr>
        <w:t>（</w:t>
      </w:r>
      <w:r>
        <w:rPr>
          <w:rFonts w:hint="eastAsia"/>
          <w:color w:val="auto"/>
          <w:lang w:eastAsia="zh-CN"/>
        </w:rPr>
        <w:t>七</w:t>
      </w:r>
      <w:r>
        <w:rPr>
          <w:rFonts w:hint="eastAsia"/>
          <w:color w:val="auto"/>
        </w:rPr>
        <w:t>）</w:t>
      </w:r>
      <w:r>
        <w:rPr>
          <w:rFonts w:hint="eastAsia"/>
          <w:color w:val="auto"/>
          <w:highlight w:val="none"/>
        </w:rPr>
        <w:t>在开标环节出现下列情况之一的，其</w:t>
      </w:r>
      <w:r>
        <w:rPr>
          <w:rFonts w:hint="eastAsia"/>
          <w:color w:val="auto"/>
          <w:highlight w:val="none"/>
          <w:lang w:val="en-US" w:eastAsia="zh-CN"/>
        </w:rPr>
        <w:t>响应</w:t>
      </w:r>
      <w:r>
        <w:rPr>
          <w:rFonts w:hint="eastAsia"/>
          <w:color w:val="auto"/>
          <w:highlight w:val="none"/>
        </w:rPr>
        <w:t>文件视为无效文件：</w:t>
      </w:r>
    </w:p>
    <w:p>
      <w:pPr>
        <w:spacing w:line="500" w:lineRule="exact"/>
        <w:ind w:firstLine="283" w:firstLineChars="100"/>
        <w:rPr>
          <w:color w:val="auto"/>
        </w:rPr>
      </w:pPr>
      <w:r>
        <w:rPr>
          <w:rFonts w:hint="eastAsia"/>
          <w:color w:val="auto"/>
        </w:rPr>
        <w:t xml:space="preserve">  1、供应商拒绝对电子响应文件进行解密的；</w:t>
      </w:r>
    </w:p>
    <w:p>
      <w:pPr>
        <w:spacing w:line="500" w:lineRule="exact"/>
        <w:ind w:firstLine="283" w:firstLineChars="100"/>
        <w:rPr>
          <w:color w:val="auto"/>
        </w:rPr>
      </w:pPr>
      <w:r>
        <w:rPr>
          <w:rFonts w:hint="eastAsia"/>
          <w:color w:val="auto"/>
        </w:rPr>
        <w:t xml:space="preserve">  2、因供应商自身原因（如</w:t>
      </w:r>
      <w:r>
        <w:rPr>
          <w:rFonts w:hint="eastAsia"/>
          <w:color w:val="auto"/>
          <w:lang w:eastAsia="zh-CN"/>
        </w:rPr>
        <w:t>迟到、</w:t>
      </w:r>
      <w:r>
        <w:rPr>
          <w:rFonts w:hint="eastAsia"/>
          <w:color w:val="auto"/>
        </w:rPr>
        <w:t>未带CA锁、或所带CA锁与制作电子响应文件使用的CA锁不一致、或沿用旧版磋商文件编制响应文件等情形），导致在规定时间内无法解密响应文件的；</w:t>
      </w:r>
    </w:p>
    <w:p>
      <w:pPr>
        <w:spacing w:line="500" w:lineRule="exact"/>
        <w:ind w:firstLine="283" w:firstLineChars="100"/>
        <w:rPr>
          <w:color w:val="auto"/>
        </w:rPr>
      </w:pPr>
      <w:r>
        <w:rPr>
          <w:rFonts w:hint="eastAsia"/>
          <w:color w:val="auto"/>
        </w:rPr>
        <w:t xml:space="preserve">  3、上传的电子响应文件无法打开的；</w:t>
      </w:r>
    </w:p>
    <w:p>
      <w:pPr>
        <w:spacing w:line="500" w:lineRule="exact"/>
        <w:ind w:firstLine="283" w:firstLineChars="100"/>
        <w:rPr>
          <w:rFonts w:hint="eastAsia"/>
          <w:color w:val="auto"/>
        </w:rPr>
      </w:pPr>
      <w:r>
        <w:rPr>
          <w:rFonts w:hint="eastAsia"/>
          <w:color w:val="auto"/>
        </w:rPr>
        <w:t xml:space="preserve">  4、政府采购法律法规规定的其他无效情形。</w:t>
      </w:r>
    </w:p>
    <w:p>
      <w:pPr>
        <w:spacing w:line="500" w:lineRule="exact"/>
        <w:ind w:firstLine="566" w:firstLineChars="200"/>
        <w:rPr>
          <w:rFonts w:hint="eastAsia" w:ascii="仿宋" w:hAnsi="仿宋" w:eastAsia="仿宋" w:cs="仿宋"/>
          <w:b/>
          <w:bCs/>
          <w:color w:val="auto"/>
        </w:rPr>
      </w:pPr>
      <w:r>
        <w:rPr>
          <w:rFonts w:hint="eastAsia" w:ascii="仿宋" w:hAnsi="仿宋" w:eastAsia="仿宋" w:cs="仿宋"/>
          <w:b/>
          <w:bCs/>
          <w:color w:val="auto"/>
        </w:rPr>
        <w:t>（</w:t>
      </w:r>
      <w:r>
        <w:rPr>
          <w:rFonts w:hint="eastAsia" w:ascii="仿宋" w:hAnsi="仿宋" w:eastAsia="仿宋" w:cs="仿宋"/>
          <w:b/>
          <w:bCs/>
          <w:color w:val="auto"/>
          <w:lang w:val="en-US" w:eastAsia="zh-CN"/>
        </w:rPr>
        <w:t>八</w:t>
      </w:r>
      <w:r>
        <w:rPr>
          <w:rFonts w:hint="eastAsia" w:ascii="仿宋" w:hAnsi="仿宋" w:eastAsia="仿宋" w:cs="仿宋"/>
          <w:b/>
          <w:bCs/>
          <w:color w:val="auto"/>
        </w:rPr>
        <w:t>）特殊情形下的应急处置</w:t>
      </w:r>
    </w:p>
    <w:p>
      <w:pPr>
        <w:spacing w:line="500" w:lineRule="exact"/>
        <w:ind w:firstLine="566" w:firstLineChars="200"/>
        <w:rPr>
          <w:rFonts w:hint="eastAsia" w:ascii="仿宋" w:hAnsi="仿宋" w:eastAsia="仿宋" w:cs="仿宋"/>
          <w:color w:val="auto"/>
        </w:rPr>
      </w:pPr>
      <w:r>
        <w:rPr>
          <w:rFonts w:hint="eastAsia" w:ascii="仿宋" w:hAnsi="仿宋" w:eastAsia="仿宋" w:cs="仿宋"/>
          <w:color w:val="auto"/>
        </w:rPr>
        <w:t>在开标、评审过程中，如因停电、断网、电子化系统故障等特殊原因导致电子化开、</w:t>
      </w:r>
      <w:r>
        <w:rPr>
          <w:rFonts w:hint="eastAsia" w:ascii="仿宋" w:hAnsi="仿宋" w:eastAsia="仿宋" w:cs="仿宋"/>
          <w:color w:val="auto"/>
          <w:lang w:eastAsia="zh-CN"/>
        </w:rPr>
        <w:t>评审</w:t>
      </w:r>
      <w:r>
        <w:rPr>
          <w:rFonts w:hint="eastAsia" w:ascii="仿宋" w:hAnsi="仿宋" w:eastAsia="仿宋" w:cs="仿宋"/>
          <w:color w:val="auto"/>
        </w:rPr>
        <w:t>无法正常进行时，将</w:t>
      </w:r>
      <w:r>
        <w:rPr>
          <w:rFonts w:hint="eastAsia" w:ascii="仿宋" w:hAnsi="仿宋" w:eastAsia="仿宋" w:cs="仿宋"/>
          <w:color w:val="auto"/>
          <w:lang w:val="en-US" w:eastAsia="zh-CN"/>
        </w:rPr>
        <w:t>视文件解密情况特殊处理</w:t>
      </w:r>
      <w:r>
        <w:rPr>
          <w:rFonts w:hint="eastAsia" w:ascii="仿宋" w:hAnsi="仿宋" w:eastAsia="仿宋" w:cs="仿宋"/>
          <w:color w:val="auto"/>
        </w:rPr>
        <w:t>。</w:t>
      </w:r>
    </w:p>
    <w:p>
      <w:pPr>
        <w:pStyle w:val="10"/>
        <w:spacing w:after="0" w:line="500" w:lineRule="exact"/>
        <w:ind w:firstLine="567"/>
        <w:rPr>
          <w:rFonts w:hint="eastAsia" w:ascii="仿宋" w:hAnsi="仿宋" w:eastAsia="仿宋" w:cs="仿宋"/>
          <w:color w:val="auto"/>
          <w:lang w:val="en-US" w:eastAsia="zh-CN"/>
        </w:rPr>
      </w:pPr>
      <w:r>
        <w:rPr>
          <w:rFonts w:hint="eastAsia" w:ascii="仿宋" w:hAnsi="仿宋" w:eastAsia="仿宋" w:cs="仿宋"/>
          <w:color w:val="auto"/>
          <w:lang w:val="en-US" w:eastAsia="zh-CN"/>
        </w:rPr>
        <w:t>1、开标时文件未解密的，将另行确定时间继续完成开标程序；</w:t>
      </w:r>
    </w:p>
    <w:p>
      <w:pPr>
        <w:spacing w:line="500" w:lineRule="exact"/>
        <w:ind w:firstLine="566"/>
        <w:rPr>
          <w:rFonts w:hint="eastAsia"/>
          <w:color w:val="auto"/>
          <w:lang w:val="en-US" w:eastAsia="zh-CN"/>
        </w:rPr>
      </w:pPr>
      <w:r>
        <w:rPr>
          <w:rFonts w:hint="eastAsia"/>
          <w:color w:val="auto"/>
          <w:lang w:val="en-US" w:eastAsia="zh-CN"/>
        </w:rPr>
        <w:t>2、开标后文件已解密但评审结论未形成的，将发布废标公告，重新组织采购活动；</w:t>
      </w:r>
    </w:p>
    <w:p>
      <w:pPr>
        <w:pStyle w:val="10"/>
        <w:spacing w:after="0" w:line="500" w:lineRule="exact"/>
        <w:rPr>
          <w:rFonts w:hint="eastAsia" w:eastAsia="华文仿宋"/>
          <w:color w:val="auto"/>
          <w:lang w:eastAsia="zh-CN"/>
        </w:rPr>
      </w:pPr>
      <w:r>
        <w:rPr>
          <w:rFonts w:hint="eastAsia"/>
          <w:color w:val="auto"/>
          <w:lang w:val="en-US" w:eastAsia="zh-CN"/>
        </w:rPr>
        <w:t xml:space="preserve">    3、开标后文件已解密且评审结论已形成的，待特殊情况排除后，继续完成评审活动。</w:t>
      </w:r>
    </w:p>
    <w:p>
      <w:pPr>
        <w:pStyle w:val="4"/>
        <w:spacing w:line="500" w:lineRule="exact"/>
        <w:ind w:firstLine="566" w:firstLineChars="200"/>
        <w:rPr>
          <w:color w:val="auto"/>
          <w:sz w:val="28"/>
          <w:szCs w:val="28"/>
        </w:rPr>
      </w:pPr>
      <w:bookmarkStart w:id="126" w:name="_Toc18322"/>
      <w:r>
        <w:rPr>
          <w:rFonts w:hint="eastAsia"/>
          <w:color w:val="auto"/>
          <w:sz w:val="28"/>
          <w:szCs w:val="28"/>
        </w:rPr>
        <w:t>八、组织评审</w:t>
      </w:r>
      <w:bookmarkEnd w:id="116"/>
      <w:bookmarkEnd w:id="117"/>
      <w:bookmarkEnd w:id="118"/>
      <w:bookmarkEnd w:id="126"/>
    </w:p>
    <w:p>
      <w:pPr>
        <w:pStyle w:val="20"/>
        <w:spacing w:beforeAutospacing="0" w:afterAutospacing="0" w:line="500" w:lineRule="exact"/>
        <w:ind w:firstLine="420"/>
        <w:rPr>
          <w:rFonts w:ascii="仿宋" w:hAnsi="仿宋" w:eastAsia="仿宋" w:cs="仿宋"/>
          <w:b/>
          <w:bCs/>
          <w:color w:val="auto"/>
          <w:sz w:val="28"/>
        </w:rPr>
      </w:pPr>
      <w:bookmarkStart w:id="127" w:name="_Toc3816_WPSOffice_Level3"/>
      <w:r>
        <w:rPr>
          <w:rFonts w:hint="eastAsia" w:ascii="仿宋" w:hAnsi="仿宋" w:eastAsia="仿宋" w:cs="仿宋"/>
          <w:b/>
          <w:bCs/>
          <w:color w:val="auto"/>
          <w:sz w:val="28"/>
          <w:shd w:val="clear" w:color="auto" w:fill="FFFFFF"/>
        </w:rPr>
        <w:t>（一）采购代理机构负责组织评审工作，并履行下列职责：</w:t>
      </w:r>
      <w:bookmarkEnd w:id="127"/>
    </w:p>
    <w:p>
      <w:pPr>
        <w:pStyle w:val="20"/>
        <w:spacing w:beforeAutospacing="0" w:afterAutospacing="0" w:line="500" w:lineRule="exact"/>
        <w:ind w:firstLine="566" w:firstLineChars="200"/>
        <w:rPr>
          <w:rFonts w:ascii="仿宋" w:hAnsi="仿宋" w:eastAsia="仿宋" w:cs="仿宋"/>
          <w:color w:val="auto"/>
          <w:sz w:val="28"/>
        </w:rPr>
      </w:pPr>
      <w:r>
        <w:rPr>
          <w:rFonts w:hint="eastAsia" w:ascii="仿宋" w:hAnsi="仿宋" w:eastAsia="仿宋" w:cs="仿宋"/>
          <w:color w:val="auto"/>
          <w:sz w:val="28"/>
          <w:shd w:val="clear" w:color="auto" w:fill="FFFFFF"/>
        </w:rPr>
        <w:t>1、核对评审专家身份和采购人代表授权函，对评审专家在政府采购活动中的职责履行情况予以记录，并及时将有关违法违规行为向财政部门报告;</w:t>
      </w:r>
    </w:p>
    <w:p>
      <w:pPr>
        <w:pStyle w:val="20"/>
        <w:spacing w:beforeAutospacing="0" w:afterAutospacing="0" w:line="500" w:lineRule="exact"/>
        <w:ind w:firstLine="566" w:firstLineChars="200"/>
        <w:rPr>
          <w:rFonts w:ascii="仿宋" w:hAnsi="仿宋" w:eastAsia="仿宋" w:cs="仿宋"/>
          <w:color w:val="auto"/>
          <w:sz w:val="28"/>
        </w:rPr>
      </w:pPr>
      <w:r>
        <w:rPr>
          <w:rFonts w:hint="eastAsia" w:ascii="仿宋" w:hAnsi="仿宋" w:eastAsia="仿宋" w:cs="仿宋"/>
          <w:color w:val="auto"/>
          <w:sz w:val="28"/>
          <w:shd w:val="clear" w:color="auto" w:fill="FFFFFF"/>
        </w:rPr>
        <w:t>2、宣布评审纪律;</w:t>
      </w:r>
    </w:p>
    <w:p>
      <w:pPr>
        <w:pStyle w:val="20"/>
        <w:spacing w:beforeAutospacing="0" w:afterAutospacing="0" w:line="500" w:lineRule="exact"/>
        <w:ind w:firstLine="566" w:firstLineChars="200"/>
        <w:rPr>
          <w:rFonts w:ascii="仿宋" w:hAnsi="仿宋" w:eastAsia="仿宋" w:cs="仿宋"/>
          <w:color w:val="auto"/>
          <w:sz w:val="28"/>
        </w:rPr>
      </w:pPr>
      <w:r>
        <w:rPr>
          <w:rFonts w:hint="eastAsia" w:ascii="仿宋" w:hAnsi="仿宋" w:eastAsia="仿宋" w:cs="仿宋"/>
          <w:color w:val="auto"/>
          <w:sz w:val="28"/>
          <w:shd w:val="clear" w:color="auto" w:fill="FFFFFF"/>
        </w:rPr>
        <w:t>3、公布投标人名单，告知评审专家应当回避的情形;</w:t>
      </w:r>
    </w:p>
    <w:p>
      <w:pPr>
        <w:pStyle w:val="20"/>
        <w:spacing w:beforeAutospacing="0" w:afterAutospacing="0" w:line="500" w:lineRule="exact"/>
        <w:ind w:firstLine="566" w:firstLineChars="200"/>
        <w:rPr>
          <w:rFonts w:ascii="仿宋" w:hAnsi="仿宋" w:eastAsia="仿宋" w:cs="仿宋"/>
          <w:color w:val="auto"/>
          <w:sz w:val="28"/>
        </w:rPr>
      </w:pPr>
      <w:r>
        <w:rPr>
          <w:rFonts w:hint="eastAsia" w:ascii="仿宋" w:hAnsi="仿宋" w:eastAsia="仿宋" w:cs="仿宋"/>
          <w:color w:val="auto"/>
          <w:sz w:val="28"/>
          <w:shd w:val="clear" w:color="auto" w:fill="FFFFFF"/>
        </w:rPr>
        <w:t>4、组织磋商</w:t>
      </w:r>
      <w:r>
        <w:rPr>
          <w:rFonts w:ascii="仿宋" w:hAnsi="仿宋" w:eastAsia="仿宋" w:cs="仿宋"/>
          <w:color w:val="auto"/>
          <w:sz w:val="28"/>
          <w:shd w:val="clear" w:color="auto" w:fill="FFFFFF"/>
        </w:rPr>
        <w:t>小组</w:t>
      </w:r>
      <w:r>
        <w:rPr>
          <w:rFonts w:hint="eastAsia" w:ascii="仿宋" w:hAnsi="仿宋" w:eastAsia="仿宋" w:cs="仿宋"/>
          <w:color w:val="auto"/>
          <w:sz w:val="28"/>
          <w:shd w:val="clear" w:color="auto" w:fill="FFFFFF"/>
        </w:rPr>
        <w:t>推选评审组长，采购人代表不得担任组长;</w:t>
      </w:r>
    </w:p>
    <w:p>
      <w:pPr>
        <w:pStyle w:val="20"/>
        <w:spacing w:beforeAutospacing="0" w:afterAutospacing="0" w:line="500" w:lineRule="exact"/>
        <w:ind w:firstLine="566" w:firstLineChars="200"/>
        <w:rPr>
          <w:rFonts w:ascii="仿宋" w:hAnsi="仿宋" w:eastAsia="仿宋" w:cs="仿宋"/>
          <w:color w:val="auto"/>
          <w:sz w:val="28"/>
        </w:rPr>
      </w:pPr>
      <w:r>
        <w:rPr>
          <w:rFonts w:hint="eastAsia" w:ascii="仿宋" w:hAnsi="仿宋" w:eastAsia="仿宋" w:cs="仿宋"/>
          <w:color w:val="auto"/>
          <w:sz w:val="28"/>
          <w:shd w:val="clear" w:color="auto" w:fill="FFFFFF"/>
        </w:rPr>
        <w:t>5、在评审期间采取必要的通讯管理措施，保证评审活动不受外界干扰;</w:t>
      </w:r>
    </w:p>
    <w:p>
      <w:pPr>
        <w:pStyle w:val="20"/>
        <w:spacing w:beforeAutospacing="0" w:afterAutospacing="0" w:line="500" w:lineRule="exact"/>
        <w:ind w:firstLine="566" w:firstLineChars="200"/>
        <w:rPr>
          <w:rFonts w:ascii="仿宋" w:hAnsi="仿宋" w:eastAsia="仿宋" w:cs="仿宋"/>
          <w:color w:val="auto"/>
          <w:sz w:val="28"/>
        </w:rPr>
      </w:pPr>
      <w:r>
        <w:rPr>
          <w:rFonts w:hint="eastAsia" w:ascii="仿宋" w:hAnsi="仿宋" w:eastAsia="仿宋" w:cs="仿宋"/>
          <w:color w:val="auto"/>
          <w:sz w:val="28"/>
          <w:shd w:val="clear" w:color="auto" w:fill="FFFFFF"/>
        </w:rPr>
        <w:t>6、根据磋商</w:t>
      </w:r>
      <w:r>
        <w:rPr>
          <w:rFonts w:ascii="仿宋" w:hAnsi="仿宋" w:eastAsia="仿宋" w:cs="仿宋"/>
          <w:color w:val="auto"/>
          <w:sz w:val="28"/>
          <w:shd w:val="clear" w:color="auto" w:fill="FFFFFF"/>
        </w:rPr>
        <w:t>小组</w:t>
      </w:r>
      <w:r>
        <w:rPr>
          <w:rFonts w:hint="eastAsia" w:ascii="仿宋" w:hAnsi="仿宋" w:eastAsia="仿宋" w:cs="仿宋"/>
          <w:color w:val="auto"/>
          <w:sz w:val="28"/>
          <w:shd w:val="clear" w:color="auto" w:fill="FFFFFF"/>
        </w:rPr>
        <w:t>的要求介绍政府采购相关政策法规、磋商文件;</w:t>
      </w:r>
    </w:p>
    <w:p>
      <w:pPr>
        <w:pStyle w:val="20"/>
        <w:spacing w:beforeAutospacing="0" w:afterAutospacing="0" w:line="500" w:lineRule="exact"/>
        <w:ind w:firstLine="566" w:firstLineChars="200"/>
        <w:rPr>
          <w:rFonts w:ascii="仿宋" w:hAnsi="仿宋" w:eastAsia="仿宋" w:cs="仿宋"/>
          <w:color w:val="auto"/>
          <w:sz w:val="28"/>
        </w:rPr>
      </w:pPr>
      <w:r>
        <w:rPr>
          <w:rFonts w:hint="eastAsia" w:ascii="仿宋" w:hAnsi="仿宋" w:eastAsia="仿宋" w:cs="仿宋"/>
          <w:color w:val="auto"/>
          <w:sz w:val="28"/>
          <w:shd w:val="clear" w:color="auto" w:fill="FFFFFF"/>
        </w:rPr>
        <w:t>7、维护评审秩序，监督磋商</w:t>
      </w:r>
      <w:r>
        <w:rPr>
          <w:rFonts w:ascii="仿宋" w:hAnsi="仿宋" w:eastAsia="仿宋" w:cs="仿宋"/>
          <w:color w:val="auto"/>
          <w:sz w:val="28"/>
          <w:shd w:val="clear" w:color="auto" w:fill="FFFFFF"/>
        </w:rPr>
        <w:t>小组</w:t>
      </w:r>
      <w:r>
        <w:rPr>
          <w:rFonts w:hint="eastAsia" w:ascii="仿宋" w:hAnsi="仿宋" w:eastAsia="仿宋" w:cs="仿宋"/>
          <w:color w:val="auto"/>
          <w:sz w:val="28"/>
          <w:shd w:val="clear" w:color="auto" w:fill="FFFFFF"/>
        </w:rPr>
        <w:t>依照磋商文件规定的评审程序、方法和标准进行独立评审，及时制止和纠正采购人代表、评审专家的倾向性言论或者违法违规行为;</w:t>
      </w:r>
    </w:p>
    <w:p>
      <w:pPr>
        <w:pStyle w:val="20"/>
        <w:spacing w:beforeAutospacing="0" w:afterAutospacing="0" w:line="500" w:lineRule="exact"/>
        <w:ind w:firstLine="566" w:firstLineChars="200"/>
        <w:rPr>
          <w:rFonts w:ascii="仿宋" w:hAnsi="仿宋" w:eastAsia="仿宋" w:cs="仿宋"/>
          <w:color w:val="auto"/>
          <w:sz w:val="28"/>
        </w:rPr>
      </w:pPr>
      <w:r>
        <w:rPr>
          <w:rFonts w:hint="eastAsia" w:ascii="仿宋" w:hAnsi="仿宋" w:eastAsia="仿宋" w:cs="仿宋"/>
          <w:color w:val="auto"/>
          <w:sz w:val="28"/>
          <w:shd w:val="clear" w:color="auto" w:fill="FFFFFF"/>
        </w:rPr>
        <w:t>8、核对评审结果;</w:t>
      </w:r>
    </w:p>
    <w:p>
      <w:pPr>
        <w:pStyle w:val="20"/>
        <w:spacing w:beforeAutospacing="0" w:afterAutospacing="0" w:line="500" w:lineRule="exact"/>
        <w:ind w:firstLine="566" w:firstLineChars="200"/>
        <w:rPr>
          <w:rFonts w:ascii="仿宋" w:hAnsi="仿宋" w:eastAsia="仿宋" w:cs="仿宋"/>
          <w:color w:val="auto"/>
          <w:sz w:val="28"/>
        </w:rPr>
      </w:pPr>
      <w:r>
        <w:rPr>
          <w:rFonts w:hint="eastAsia" w:ascii="仿宋" w:hAnsi="仿宋" w:eastAsia="仿宋" w:cs="仿宋"/>
          <w:color w:val="auto"/>
          <w:sz w:val="28"/>
          <w:shd w:val="clear" w:color="auto" w:fill="FFFFFF"/>
        </w:rPr>
        <w:t>9、评审工作完成后，按照规定向评审专家支付劳务报酬和异地评审差旅费，不得向评审专家以外的其他人员支付评审劳务报酬;</w:t>
      </w:r>
    </w:p>
    <w:p>
      <w:pPr>
        <w:pStyle w:val="20"/>
        <w:spacing w:beforeAutospacing="0" w:afterAutospacing="0" w:line="500" w:lineRule="exact"/>
        <w:ind w:firstLine="566" w:firstLineChars="200"/>
        <w:rPr>
          <w:rFonts w:ascii="仿宋" w:hAnsi="仿宋" w:eastAsia="仿宋" w:cs="仿宋"/>
          <w:color w:val="auto"/>
          <w:sz w:val="28"/>
        </w:rPr>
      </w:pPr>
      <w:r>
        <w:rPr>
          <w:rFonts w:hint="eastAsia" w:ascii="仿宋" w:hAnsi="仿宋" w:eastAsia="仿宋" w:cs="仿宋"/>
          <w:color w:val="auto"/>
          <w:sz w:val="28"/>
          <w:shd w:val="clear" w:color="auto" w:fill="FFFFFF"/>
        </w:rPr>
        <w:t>10、处理与评审有关的其他事项。</w:t>
      </w:r>
    </w:p>
    <w:p>
      <w:pPr>
        <w:pStyle w:val="20"/>
        <w:spacing w:beforeAutospacing="0" w:afterAutospacing="0" w:line="500" w:lineRule="exact"/>
        <w:ind w:firstLine="566" w:firstLineChars="200"/>
        <w:rPr>
          <w:rFonts w:ascii="仿宋" w:hAnsi="仿宋" w:eastAsia="仿宋" w:cs="仿宋"/>
          <w:color w:val="auto"/>
          <w:sz w:val="28"/>
        </w:rPr>
      </w:pPr>
      <w:r>
        <w:rPr>
          <w:rFonts w:hint="eastAsia" w:ascii="仿宋" w:hAnsi="仿宋" w:eastAsia="仿宋" w:cs="仿宋"/>
          <w:color w:val="auto"/>
          <w:sz w:val="28"/>
          <w:shd w:val="clear" w:color="auto" w:fill="FFFFFF"/>
        </w:rPr>
        <w:t>采购人可以在评审前说明项目背景和采购需求，说明内容不得含有歧视性、倾向性意见，不得超出磋商文件所述范围。说明应当提交书面材料，并随采购文件一并存档。</w:t>
      </w:r>
    </w:p>
    <w:p>
      <w:pPr>
        <w:pStyle w:val="20"/>
        <w:spacing w:beforeAutospacing="0" w:afterAutospacing="0" w:line="500" w:lineRule="exact"/>
        <w:ind w:firstLine="420"/>
        <w:rPr>
          <w:rFonts w:ascii="仿宋" w:hAnsi="仿宋" w:eastAsia="仿宋" w:cs="仿宋"/>
          <w:b/>
          <w:bCs/>
          <w:color w:val="auto"/>
          <w:sz w:val="28"/>
        </w:rPr>
      </w:pPr>
      <w:bookmarkStart w:id="128" w:name="_Toc3147_WPSOffice_Level3"/>
      <w:r>
        <w:rPr>
          <w:rFonts w:hint="eastAsia" w:ascii="仿宋" w:hAnsi="仿宋" w:eastAsia="仿宋" w:cs="仿宋"/>
          <w:b/>
          <w:bCs/>
          <w:color w:val="auto"/>
          <w:sz w:val="28"/>
          <w:shd w:val="clear" w:color="auto" w:fill="FFFFFF"/>
        </w:rPr>
        <w:t>（二）磋商小组负责具体评审事务，并独立履行下列职责：</w:t>
      </w:r>
      <w:bookmarkEnd w:id="128"/>
    </w:p>
    <w:p>
      <w:pPr>
        <w:pStyle w:val="20"/>
        <w:spacing w:beforeAutospacing="0" w:afterAutospacing="0" w:line="500" w:lineRule="exact"/>
        <w:ind w:firstLine="566" w:firstLineChars="200"/>
        <w:rPr>
          <w:rFonts w:ascii="仿宋" w:hAnsi="仿宋" w:eastAsia="仿宋" w:cs="仿宋"/>
          <w:color w:val="auto"/>
          <w:sz w:val="28"/>
          <w:shd w:val="clear" w:color="auto" w:fill="FFFFFF"/>
        </w:rPr>
      </w:pPr>
      <w:r>
        <w:rPr>
          <w:rFonts w:hint="eastAsia" w:ascii="仿宋" w:hAnsi="仿宋" w:eastAsia="仿宋" w:cs="仿宋"/>
          <w:color w:val="auto"/>
          <w:sz w:val="28"/>
          <w:shd w:val="clear" w:color="auto" w:fill="FFFFFF"/>
        </w:rPr>
        <w:t>1、严格遵守评审工作纪律,按照客观、公正、审慎的原则,根据磋商文件规定的评审程序、评审方法和评审标准进行独立评审；</w:t>
      </w:r>
    </w:p>
    <w:p>
      <w:pPr>
        <w:pStyle w:val="20"/>
        <w:spacing w:beforeAutospacing="0" w:afterAutospacing="0" w:line="500" w:lineRule="exact"/>
        <w:ind w:firstLine="566" w:firstLineChars="200"/>
        <w:rPr>
          <w:rFonts w:ascii="仿宋" w:hAnsi="仿宋" w:eastAsia="仿宋" w:cs="仿宋"/>
          <w:color w:val="auto"/>
          <w:sz w:val="28"/>
          <w:shd w:val="clear" w:color="auto" w:fill="FFFFFF"/>
        </w:rPr>
      </w:pPr>
      <w:r>
        <w:rPr>
          <w:rFonts w:hint="eastAsia" w:ascii="仿宋" w:hAnsi="仿宋" w:eastAsia="仿宋" w:cs="仿宋"/>
          <w:color w:val="auto"/>
          <w:sz w:val="28"/>
          <w:shd w:val="clear" w:color="auto" w:fill="FFFFFF"/>
        </w:rPr>
        <w:t>2、要求投标人对响应文件有关事项做出澄清或者说明；</w:t>
      </w:r>
    </w:p>
    <w:p>
      <w:pPr>
        <w:pStyle w:val="20"/>
        <w:spacing w:beforeAutospacing="0" w:afterAutospacing="0" w:line="500" w:lineRule="exact"/>
        <w:ind w:firstLine="566" w:firstLineChars="200"/>
        <w:rPr>
          <w:rFonts w:ascii="仿宋" w:hAnsi="仿宋" w:eastAsia="仿宋" w:cs="仿宋"/>
          <w:color w:val="auto"/>
          <w:sz w:val="28"/>
          <w:shd w:val="clear" w:color="auto" w:fill="FFFFFF"/>
        </w:rPr>
      </w:pPr>
      <w:r>
        <w:rPr>
          <w:rFonts w:hint="eastAsia" w:ascii="仿宋" w:hAnsi="仿宋" w:eastAsia="仿宋" w:cs="仿宋"/>
          <w:color w:val="auto"/>
          <w:sz w:val="28"/>
          <w:shd w:val="clear" w:color="auto" w:fill="FFFFFF"/>
        </w:rPr>
        <w:t>3、对响应文件进行比较和评价；</w:t>
      </w:r>
    </w:p>
    <w:p>
      <w:pPr>
        <w:pStyle w:val="20"/>
        <w:spacing w:beforeAutospacing="0" w:afterAutospacing="0" w:line="500" w:lineRule="exact"/>
        <w:ind w:firstLine="566" w:firstLineChars="200"/>
        <w:rPr>
          <w:rFonts w:ascii="仿宋" w:hAnsi="仿宋" w:eastAsia="仿宋" w:cs="仿宋"/>
          <w:color w:val="auto"/>
          <w:sz w:val="28"/>
          <w:shd w:val="clear" w:color="auto" w:fill="FFFFFF"/>
        </w:rPr>
      </w:pPr>
      <w:r>
        <w:rPr>
          <w:rFonts w:hint="eastAsia" w:ascii="仿宋" w:hAnsi="仿宋" w:eastAsia="仿宋" w:cs="仿宋"/>
          <w:color w:val="auto"/>
          <w:sz w:val="28"/>
          <w:shd w:val="clear" w:color="auto" w:fill="FFFFFF"/>
        </w:rPr>
        <w:t>4、确定成交候选人名单，以及根据采购人委托直接确定成交供应商；</w:t>
      </w:r>
    </w:p>
    <w:p>
      <w:pPr>
        <w:pStyle w:val="20"/>
        <w:spacing w:beforeAutospacing="0" w:afterAutospacing="0" w:line="500" w:lineRule="exact"/>
        <w:ind w:firstLine="566" w:firstLineChars="200"/>
        <w:rPr>
          <w:rFonts w:ascii="仿宋" w:hAnsi="仿宋" w:eastAsia="仿宋" w:cs="仿宋"/>
          <w:color w:val="auto"/>
          <w:sz w:val="28"/>
          <w:shd w:val="clear" w:color="auto" w:fill="FFFFFF"/>
        </w:rPr>
      </w:pPr>
      <w:r>
        <w:rPr>
          <w:rFonts w:hint="eastAsia" w:ascii="仿宋" w:hAnsi="仿宋" w:eastAsia="仿宋" w:cs="仿宋"/>
          <w:color w:val="auto"/>
          <w:sz w:val="28"/>
          <w:shd w:val="clear" w:color="auto" w:fill="FFFFFF"/>
        </w:rPr>
        <w:t>5、配合答复供应商的询问、质疑和投诉等事项,不得泄露评审文件、评审情况和在评审过程中获悉的商业秘密；</w:t>
      </w:r>
    </w:p>
    <w:p>
      <w:pPr>
        <w:pStyle w:val="20"/>
        <w:spacing w:beforeAutospacing="0" w:afterAutospacing="0" w:line="500" w:lineRule="exact"/>
        <w:ind w:firstLine="566" w:firstLineChars="200"/>
        <w:rPr>
          <w:rFonts w:ascii="仿宋" w:hAnsi="仿宋" w:eastAsia="仿宋" w:cs="仿宋"/>
          <w:color w:val="auto"/>
          <w:sz w:val="28"/>
        </w:rPr>
      </w:pPr>
      <w:r>
        <w:rPr>
          <w:rFonts w:hint="eastAsia" w:ascii="仿宋" w:hAnsi="仿宋" w:eastAsia="仿宋" w:cs="仿宋"/>
          <w:color w:val="auto"/>
          <w:sz w:val="28"/>
          <w:shd w:val="clear" w:color="auto" w:fill="FFFFFF"/>
        </w:rPr>
        <w:t>6、向采购人、采购代理机构或者有关部门报告评审中发现的违法行为。</w:t>
      </w:r>
    </w:p>
    <w:p>
      <w:pPr>
        <w:spacing w:line="500" w:lineRule="exact"/>
        <w:ind w:firstLine="566" w:firstLineChars="200"/>
        <w:rPr>
          <w:rFonts w:ascii="华文仿宋" w:hAnsi="华文仿宋" w:cs="华文仿宋"/>
          <w:b/>
          <w:bCs/>
          <w:color w:val="auto"/>
        </w:rPr>
      </w:pPr>
      <w:bookmarkStart w:id="129" w:name="_Toc8872_WPSOffice_Level3"/>
      <w:r>
        <w:rPr>
          <w:rFonts w:hint="eastAsia" w:ascii="华文仿宋" w:hAnsi="华文仿宋" w:cs="华文仿宋"/>
          <w:b/>
          <w:bCs/>
          <w:color w:val="auto"/>
        </w:rPr>
        <w:t>（三）成立磋商小组</w:t>
      </w:r>
      <w:bookmarkEnd w:id="129"/>
    </w:p>
    <w:p>
      <w:pPr>
        <w:spacing w:line="500" w:lineRule="exact"/>
        <w:ind w:firstLine="566" w:firstLineChars="200"/>
        <w:rPr>
          <w:rFonts w:ascii="华文仿宋" w:hAnsi="华文仿宋" w:cs="华文仿宋"/>
          <w:color w:val="auto"/>
        </w:rPr>
      </w:pPr>
      <w:r>
        <w:rPr>
          <w:rFonts w:hint="eastAsia" w:ascii="仿宋" w:hAnsi="仿宋" w:eastAsia="仿宋" w:cs="仿宋"/>
          <w:color w:val="auto"/>
        </w:rPr>
        <w:t>1</w:t>
      </w:r>
      <w:r>
        <w:rPr>
          <w:rFonts w:hint="eastAsia" w:ascii="华文仿宋" w:hAnsi="华文仿宋" w:cs="华文仿宋"/>
          <w:color w:val="auto"/>
        </w:rPr>
        <w:t>、为了确保磋商工作的公平、公正，依据政府采购法和政府采购相关法规、规章，成立磋商小组，磋商小组由采购人代表和评审专家共3人以上单数组成，其中评审专家人数不少于磋商小组成员总数的三分之二。</w:t>
      </w:r>
    </w:p>
    <w:p>
      <w:pPr>
        <w:spacing w:line="500" w:lineRule="exact"/>
        <w:ind w:firstLine="566" w:firstLineChars="200"/>
        <w:rPr>
          <w:rFonts w:ascii="Calibri" w:hAnsi="Calibri"/>
          <w:color w:val="auto"/>
        </w:rPr>
      </w:pPr>
      <w:r>
        <w:rPr>
          <w:rFonts w:hint="eastAsia" w:ascii="Calibri" w:hAnsi="Calibri"/>
          <w:color w:val="auto"/>
        </w:rPr>
        <w:t>评审专家对本单位的采购项目只能作为采购人代表参与评审。采购代理机构工作人员不得参加由本机构代理的政府采购项目的评审。</w:t>
      </w:r>
    </w:p>
    <w:p>
      <w:pPr>
        <w:spacing w:line="500" w:lineRule="exact"/>
        <w:ind w:firstLine="566" w:firstLineChars="200"/>
        <w:rPr>
          <w:rFonts w:ascii="华文仿宋" w:hAnsi="华文仿宋" w:cs="华文仿宋"/>
          <w:color w:val="auto"/>
        </w:rPr>
      </w:pPr>
      <w:r>
        <w:rPr>
          <w:rFonts w:hint="eastAsia" w:ascii="Calibri" w:hAnsi="Calibri"/>
          <w:color w:val="auto"/>
        </w:rPr>
        <w:t>磋商小组</w:t>
      </w:r>
      <w:r>
        <w:rPr>
          <w:rFonts w:ascii="Calibri" w:hAnsi="Calibri"/>
          <w:color w:val="auto"/>
        </w:rPr>
        <w:t>成员</w:t>
      </w:r>
      <w:r>
        <w:rPr>
          <w:rFonts w:hint="eastAsia" w:ascii="Calibri" w:hAnsi="Calibri"/>
          <w:color w:val="auto"/>
        </w:rPr>
        <w:t>名单在评审结果公告前应当保密。</w:t>
      </w:r>
    </w:p>
    <w:p>
      <w:pPr>
        <w:spacing w:line="500" w:lineRule="exact"/>
        <w:ind w:firstLine="566" w:firstLineChars="200"/>
        <w:rPr>
          <w:rFonts w:ascii="华文仿宋" w:hAnsi="华文仿宋" w:cs="华文仿宋"/>
          <w:color w:val="auto"/>
        </w:rPr>
      </w:pPr>
      <w:r>
        <w:rPr>
          <w:rFonts w:hint="eastAsia" w:ascii="仿宋" w:hAnsi="仿宋" w:eastAsia="仿宋" w:cs="仿宋"/>
          <w:color w:val="auto"/>
        </w:rPr>
        <w:t>2</w:t>
      </w:r>
      <w:r>
        <w:rPr>
          <w:rFonts w:hint="eastAsia" w:ascii="华文仿宋" w:hAnsi="华文仿宋" w:cs="华文仿宋"/>
          <w:color w:val="auto"/>
        </w:rPr>
        <w:t>、评审专家将从政府采购评审专家库内相关专业的专家名单中随机抽取。市场竞争不充分的科研项目、需要扶持的科技成果转化项目，以及情况特殊、通过随机方式难以确定合适的评审专家的项目，经主管预算单位同意，可以自行选定评审专家。技术复杂、专业性强的采购项目，评审专家中应当包含</w:t>
      </w:r>
      <w:r>
        <w:rPr>
          <w:rFonts w:hint="eastAsia" w:ascii="仿宋" w:hAnsi="仿宋" w:eastAsia="仿宋" w:cs="仿宋"/>
          <w:color w:val="auto"/>
        </w:rPr>
        <w:t>1</w:t>
      </w:r>
      <w:r>
        <w:rPr>
          <w:rFonts w:hint="eastAsia" w:ascii="华文仿宋" w:hAnsi="华文仿宋" w:cs="华文仿宋"/>
          <w:color w:val="auto"/>
        </w:rPr>
        <w:t>名法律专家。</w:t>
      </w:r>
    </w:p>
    <w:p>
      <w:pPr>
        <w:spacing w:line="500" w:lineRule="exact"/>
        <w:ind w:firstLine="566" w:firstLineChars="200"/>
        <w:rPr>
          <w:rFonts w:ascii="Calibri" w:hAnsi="Calibri"/>
          <w:color w:val="auto"/>
        </w:rPr>
      </w:pPr>
      <w:r>
        <w:rPr>
          <w:rFonts w:hint="eastAsia" w:ascii="仿宋" w:hAnsi="仿宋" w:eastAsia="仿宋" w:cs="仿宋"/>
          <w:color w:val="auto"/>
        </w:rPr>
        <w:t>3</w:t>
      </w:r>
      <w:r>
        <w:rPr>
          <w:rFonts w:hint="eastAsia" w:ascii="华文仿宋" w:hAnsi="华文仿宋" w:cs="华文仿宋"/>
          <w:color w:val="auto"/>
        </w:rPr>
        <w:t>、</w:t>
      </w:r>
      <w:r>
        <w:rPr>
          <w:rFonts w:hint="eastAsia" w:ascii="Calibri" w:hAnsi="Calibri"/>
          <w:color w:val="auto"/>
        </w:rPr>
        <w:t>评审中因磋商</w:t>
      </w:r>
      <w:r>
        <w:rPr>
          <w:rFonts w:ascii="Calibri" w:hAnsi="Calibri"/>
          <w:color w:val="auto"/>
        </w:rPr>
        <w:t>小组</w:t>
      </w:r>
      <w:r>
        <w:rPr>
          <w:rFonts w:hint="eastAsia" w:ascii="Calibri" w:hAnsi="Calibri"/>
          <w:color w:val="auto"/>
        </w:rPr>
        <w:t>成员缺席、回避或者健康等特殊原因导致磋商</w:t>
      </w:r>
      <w:r>
        <w:rPr>
          <w:rFonts w:ascii="Calibri" w:hAnsi="Calibri"/>
          <w:color w:val="auto"/>
        </w:rPr>
        <w:t>小组</w:t>
      </w:r>
      <w:r>
        <w:rPr>
          <w:rFonts w:hint="eastAsia" w:ascii="Calibri" w:hAnsi="Calibri"/>
          <w:color w:val="auto"/>
        </w:rPr>
        <w:t>组成不符合规定的，</w:t>
      </w:r>
      <w:r>
        <w:rPr>
          <w:rFonts w:hint="eastAsia" w:ascii="仿宋" w:hAnsi="仿宋" w:eastAsia="仿宋"/>
          <w:color w:val="auto"/>
        </w:rPr>
        <w:t>陕西省省级单位政府采购中心</w:t>
      </w:r>
      <w:r>
        <w:rPr>
          <w:rFonts w:hint="eastAsia" w:ascii="Calibri" w:hAnsi="Calibri"/>
          <w:color w:val="auto"/>
        </w:rPr>
        <w:t>应当依法补足后继续评审。被更换的磋商</w:t>
      </w:r>
      <w:r>
        <w:rPr>
          <w:rFonts w:ascii="Calibri" w:hAnsi="Calibri"/>
          <w:color w:val="auto"/>
        </w:rPr>
        <w:t>小组</w:t>
      </w:r>
      <w:r>
        <w:rPr>
          <w:rFonts w:hint="eastAsia" w:ascii="Calibri" w:hAnsi="Calibri"/>
          <w:color w:val="auto"/>
        </w:rPr>
        <w:t>成员所做出的评审意见无效。无法及时补足磋商</w:t>
      </w:r>
      <w:r>
        <w:rPr>
          <w:rFonts w:ascii="Calibri" w:hAnsi="Calibri"/>
          <w:color w:val="auto"/>
        </w:rPr>
        <w:t>小组</w:t>
      </w:r>
      <w:r>
        <w:rPr>
          <w:rFonts w:hint="eastAsia" w:ascii="Calibri" w:hAnsi="Calibri"/>
          <w:color w:val="auto"/>
        </w:rPr>
        <w:t>成员的，</w:t>
      </w:r>
      <w:r>
        <w:rPr>
          <w:rFonts w:hint="eastAsia" w:ascii="仿宋" w:hAnsi="仿宋" w:eastAsia="仿宋"/>
          <w:color w:val="auto"/>
        </w:rPr>
        <w:t>陕西省省级单位政府采购中心</w:t>
      </w:r>
      <w:r>
        <w:rPr>
          <w:rFonts w:hint="eastAsia" w:ascii="Calibri" w:hAnsi="Calibri"/>
          <w:color w:val="auto"/>
        </w:rPr>
        <w:t>应当停止评审活动，封存所有响应文件和开标、评审资料，依法重新组建磋商</w:t>
      </w:r>
      <w:r>
        <w:rPr>
          <w:rFonts w:ascii="Calibri" w:hAnsi="Calibri"/>
          <w:color w:val="auto"/>
        </w:rPr>
        <w:t>小组</w:t>
      </w:r>
      <w:r>
        <w:rPr>
          <w:rFonts w:hint="eastAsia" w:ascii="Calibri" w:hAnsi="Calibri"/>
          <w:color w:val="auto"/>
        </w:rPr>
        <w:t>进行评审。原磋商</w:t>
      </w:r>
      <w:r>
        <w:rPr>
          <w:rFonts w:ascii="Calibri" w:hAnsi="Calibri"/>
          <w:color w:val="auto"/>
        </w:rPr>
        <w:t>小组</w:t>
      </w:r>
      <w:r>
        <w:rPr>
          <w:rFonts w:hint="eastAsia" w:ascii="Calibri" w:hAnsi="Calibri"/>
          <w:color w:val="auto"/>
        </w:rPr>
        <w:t>所做出的评审意见无效。</w:t>
      </w:r>
    </w:p>
    <w:p>
      <w:pPr>
        <w:spacing w:line="500" w:lineRule="exact"/>
        <w:ind w:firstLine="566" w:firstLineChars="200"/>
        <w:rPr>
          <w:rFonts w:ascii="华文仿宋" w:hAnsi="华文仿宋" w:cs="华文仿宋"/>
          <w:color w:val="auto"/>
        </w:rPr>
      </w:pPr>
      <w:r>
        <w:rPr>
          <w:rFonts w:hint="eastAsia" w:ascii="仿宋" w:hAnsi="仿宋" w:eastAsia="仿宋"/>
          <w:color w:val="auto"/>
        </w:rPr>
        <w:t>陕西省省级单位政府采购中心</w:t>
      </w:r>
      <w:r>
        <w:rPr>
          <w:rFonts w:hint="eastAsia" w:ascii="Calibri" w:hAnsi="Calibri"/>
          <w:color w:val="auto"/>
        </w:rPr>
        <w:t>应当将变更、重新组建磋商</w:t>
      </w:r>
      <w:r>
        <w:rPr>
          <w:rFonts w:ascii="Calibri" w:hAnsi="Calibri"/>
          <w:color w:val="auto"/>
        </w:rPr>
        <w:t>小组</w:t>
      </w:r>
      <w:r>
        <w:rPr>
          <w:rFonts w:hint="eastAsia" w:ascii="Calibri" w:hAnsi="Calibri"/>
          <w:color w:val="auto"/>
        </w:rPr>
        <w:t>的情况予以记录，并随采购文件一并存档。</w:t>
      </w:r>
    </w:p>
    <w:p>
      <w:pPr>
        <w:spacing w:line="500" w:lineRule="exact"/>
        <w:rPr>
          <w:rFonts w:hint="eastAsia" w:ascii="华文仿宋" w:hAnsi="华文仿宋" w:cs="华文仿宋"/>
          <w:b/>
          <w:color w:val="auto"/>
        </w:rPr>
      </w:pPr>
      <w:bookmarkStart w:id="130" w:name="_Toc4079_WPSOffice_Level3"/>
    </w:p>
    <w:p>
      <w:pPr>
        <w:keepNext w:val="0"/>
        <w:keepLines w:val="0"/>
        <w:pageBreakBefore w:val="0"/>
        <w:widowControl/>
        <w:kinsoku/>
        <w:wordWrap/>
        <w:overflowPunct/>
        <w:topLinePunct w:val="0"/>
        <w:autoSpaceDE/>
        <w:autoSpaceDN/>
        <w:bidi w:val="0"/>
        <w:adjustRightInd/>
        <w:snapToGrid/>
        <w:spacing w:line="500" w:lineRule="exact"/>
        <w:ind w:firstLine="566" w:firstLineChars="200"/>
        <w:textAlignment w:val="auto"/>
        <w:rPr>
          <w:rFonts w:ascii="华文仿宋" w:hAnsi="华文仿宋" w:cs="华文仿宋"/>
          <w:b/>
          <w:color w:val="auto"/>
        </w:rPr>
      </w:pPr>
      <w:r>
        <w:rPr>
          <w:rFonts w:hint="eastAsia" w:ascii="华文仿宋" w:hAnsi="华文仿宋" w:cs="华文仿宋"/>
          <w:b/>
          <w:color w:val="auto"/>
        </w:rPr>
        <w:t>（四）评审方法：综合评分法</w:t>
      </w:r>
      <w:bookmarkEnd w:id="130"/>
    </w:p>
    <w:p>
      <w:pPr>
        <w:spacing w:line="500" w:lineRule="exact"/>
        <w:ind w:firstLine="566" w:firstLineChars="200"/>
        <w:rPr>
          <w:rFonts w:ascii="华文仿宋" w:hAnsi="华文仿宋" w:cs="华文仿宋"/>
          <w:color w:val="auto"/>
        </w:rPr>
      </w:pPr>
      <w:r>
        <w:rPr>
          <w:rFonts w:hint="eastAsia" w:ascii="Calibri" w:hAnsi="Calibri"/>
          <w:color w:val="auto"/>
        </w:rPr>
        <w:t>综合评分法，是指响应文件满足磋商文件全部实质性要求，且按照评审因素的量化指标评审得分由高到低的顺序推荐</w:t>
      </w:r>
      <w:r>
        <w:rPr>
          <w:rFonts w:hint="eastAsia" w:ascii="仿宋" w:hAnsi="仿宋" w:eastAsia="仿宋" w:cs="仿宋"/>
          <w:color w:val="auto"/>
        </w:rPr>
        <w:t>3</w:t>
      </w:r>
      <w:r>
        <w:rPr>
          <w:rFonts w:hint="eastAsia" w:ascii="Calibri" w:hAnsi="Calibri"/>
          <w:color w:val="auto"/>
        </w:rPr>
        <w:t>名以上的供应商为成交候选人。评审得分相同的，按照最后报价由低到高的顺序推荐。评审得分且最后报价相同的，按照技术指标优劣顺序推荐。</w:t>
      </w:r>
    </w:p>
    <w:p>
      <w:pPr>
        <w:spacing w:line="500" w:lineRule="exact"/>
        <w:ind w:left="567"/>
        <w:rPr>
          <w:rFonts w:ascii="华文仿宋" w:hAnsi="华文仿宋" w:cs="华文仿宋"/>
          <w:color w:val="auto"/>
        </w:rPr>
      </w:pPr>
      <w:bookmarkStart w:id="131" w:name="_Toc25396_WPSOffice_Level3"/>
      <w:r>
        <w:rPr>
          <w:rFonts w:hint="eastAsia" w:ascii="华文仿宋" w:hAnsi="华文仿宋" w:cs="华文仿宋"/>
          <w:b/>
          <w:color w:val="auto"/>
        </w:rPr>
        <w:t>（五）评审程序</w:t>
      </w:r>
      <w:bookmarkEnd w:id="131"/>
    </w:p>
    <w:p>
      <w:pPr>
        <w:spacing w:line="500" w:lineRule="exact"/>
        <w:ind w:firstLine="566" w:firstLineChars="200"/>
        <w:rPr>
          <w:rFonts w:ascii="Calibri" w:hAnsi="Calibri"/>
          <w:color w:val="auto"/>
        </w:rPr>
      </w:pPr>
      <w:r>
        <w:rPr>
          <w:rFonts w:hint="eastAsia" w:ascii="Calibri" w:hAnsi="Calibri"/>
          <w:color w:val="auto"/>
        </w:rPr>
        <w:t>分步评审，每一步评审不符合磋商文件要求者，不得进入下一步评审，全部评审合格的供应商，进入最后的打分，最后按得分由高向低排序，推荐成交候选供应商。</w:t>
      </w:r>
    </w:p>
    <w:p>
      <w:pPr>
        <w:spacing w:line="500" w:lineRule="exact"/>
        <w:ind w:firstLine="566" w:firstLineChars="200"/>
        <w:rPr>
          <w:rFonts w:ascii="华文仿宋" w:hAnsi="华文仿宋" w:cs="华文仿宋"/>
          <w:b/>
          <w:bCs/>
          <w:color w:val="auto"/>
        </w:rPr>
      </w:pPr>
      <w:r>
        <w:rPr>
          <w:rFonts w:hint="eastAsia" w:ascii="华文仿宋" w:hAnsi="华文仿宋" w:cs="华文仿宋"/>
          <w:b/>
          <w:bCs/>
          <w:color w:val="auto"/>
        </w:rPr>
        <w:t>1、资格性审查</w:t>
      </w:r>
    </w:p>
    <w:p>
      <w:pPr>
        <w:spacing w:after="190" w:afterLines="50" w:line="500" w:lineRule="exact"/>
        <w:ind w:firstLine="566" w:firstLineChars="200"/>
        <w:rPr>
          <w:rFonts w:hint="eastAsia" w:ascii="华文仿宋" w:hAnsi="华文仿宋" w:cs="华文仿宋"/>
          <w:b/>
          <w:bCs/>
          <w:color w:val="auto"/>
        </w:rPr>
      </w:pPr>
      <w:r>
        <w:rPr>
          <w:color w:val="auto"/>
        </w:rPr>
        <w:t>开标结束后，</w:t>
      </w:r>
      <w:r>
        <w:rPr>
          <w:rFonts w:hint="eastAsia"/>
          <w:color w:val="auto"/>
        </w:rPr>
        <w:t>磋商小组</w:t>
      </w:r>
      <w:r>
        <w:rPr>
          <w:rFonts w:hint="eastAsia" w:ascii="华文仿宋" w:hAnsi="华文仿宋" w:cs="华文仿宋"/>
          <w:color w:val="auto"/>
        </w:rPr>
        <w:t>依据法律法规和磋商文件的规定，对响应文件中的</w:t>
      </w:r>
      <w:r>
        <w:rPr>
          <w:rFonts w:hint="eastAsia"/>
          <w:color w:val="auto"/>
        </w:rPr>
        <w:t>供应商</w:t>
      </w:r>
      <w:r>
        <w:rPr>
          <w:color w:val="auto"/>
        </w:rPr>
        <w:t>资格</w:t>
      </w:r>
      <w:r>
        <w:rPr>
          <w:rFonts w:hint="eastAsia"/>
          <w:color w:val="auto"/>
        </w:rPr>
        <w:t>证明文件</w:t>
      </w:r>
      <w:r>
        <w:rPr>
          <w:rFonts w:hint="eastAsia" w:ascii="华文仿宋" w:hAnsi="华文仿宋" w:cs="华文仿宋"/>
          <w:color w:val="auto"/>
        </w:rPr>
        <w:t>进行审查，以确定供应商是否具备磋商资格。</w:t>
      </w:r>
    </w:p>
    <w:p>
      <w:pPr>
        <w:spacing w:line="360" w:lineRule="auto"/>
        <w:jc w:val="center"/>
        <w:rPr>
          <w:rFonts w:ascii="华文仿宋" w:hAnsi="华文仿宋" w:cs="华文仿宋"/>
          <w:b/>
          <w:bCs/>
          <w:color w:val="auto"/>
        </w:rPr>
      </w:pPr>
      <w:r>
        <w:rPr>
          <w:rFonts w:hint="eastAsia" w:ascii="华文仿宋" w:hAnsi="华文仿宋" w:cs="华文仿宋"/>
          <w:b/>
          <w:bCs/>
          <w:color w:val="auto"/>
        </w:rPr>
        <w:t>资格审查表</w:t>
      </w:r>
    </w:p>
    <w:tbl>
      <w:tblPr>
        <w:tblStyle w:val="23"/>
        <w:tblW w:w="91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0"/>
        <w:gridCol w:w="1863"/>
        <w:gridCol w:w="4685"/>
        <w:gridCol w:w="684"/>
        <w:gridCol w:w="11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9" w:hRule="atLeast"/>
          <w:jc w:val="center"/>
        </w:trPr>
        <w:tc>
          <w:tcPr>
            <w:tcW w:w="730" w:type="dxa"/>
            <w:vAlign w:val="center"/>
          </w:tcPr>
          <w:p>
            <w:pPr>
              <w:spacing w:line="240" w:lineRule="auto"/>
              <w:jc w:val="center"/>
              <w:rPr>
                <w:rFonts w:ascii="华文仿宋" w:hAnsi="华文仿宋" w:cs="华文仿宋"/>
                <w:b/>
                <w:color w:val="auto"/>
                <w:sz w:val="24"/>
                <w:szCs w:val="24"/>
              </w:rPr>
            </w:pPr>
            <w:r>
              <w:rPr>
                <w:rFonts w:hint="eastAsia" w:ascii="华文仿宋" w:hAnsi="华文仿宋" w:cs="华文仿宋"/>
                <w:b/>
                <w:color w:val="auto"/>
                <w:sz w:val="24"/>
                <w:szCs w:val="24"/>
              </w:rPr>
              <w:t>序号</w:t>
            </w:r>
          </w:p>
        </w:tc>
        <w:tc>
          <w:tcPr>
            <w:tcW w:w="1863" w:type="dxa"/>
            <w:vAlign w:val="center"/>
          </w:tcPr>
          <w:p>
            <w:pPr>
              <w:spacing w:line="240" w:lineRule="auto"/>
              <w:jc w:val="center"/>
              <w:rPr>
                <w:rFonts w:ascii="华文仿宋" w:hAnsi="华文仿宋" w:cs="华文仿宋"/>
                <w:b/>
                <w:color w:val="auto"/>
                <w:kern w:val="28"/>
                <w:sz w:val="24"/>
                <w:szCs w:val="24"/>
              </w:rPr>
            </w:pPr>
            <w:r>
              <w:rPr>
                <w:rFonts w:hint="eastAsia" w:ascii="华文仿宋" w:hAnsi="华文仿宋" w:cs="华文仿宋"/>
                <w:b/>
                <w:color w:val="auto"/>
                <w:kern w:val="28"/>
                <w:sz w:val="24"/>
                <w:szCs w:val="24"/>
              </w:rPr>
              <w:t>资格审查项</w:t>
            </w:r>
          </w:p>
        </w:tc>
        <w:tc>
          <w:tcPr>
            <w:tcW w:w="4685" w:type="dxa"/>
            <w:vAlign w:val="center"/>
          </w:tcPr>
          <w:p>
            <w:pPr>
              <w:spacing w:line="240" w:lineRule="auto"/>
              <w:jc w:val="center"/>
              <w:rPr>
                <w:rFonts w:ascii="华文仿宋" w:hAnsi="华文仿宋" w:cs="华文仿宋"/>
                <w:b/>
                <w:color w:val="auto"/>
                <w:kern w:val="28"/>
                <w:sz w:val="24"/>
                <w:szCs w:val="24"/>
              </w:rPr>
            </w:pPr>
            <w:r>
              <w:rPr>
                <w:rFonts w:hint="eastAsia" w:ascii="华文仿宋" w:hAnsi="华文仿宋" w:cs="华文仿宋"/>
                <w:b/>
                <w:color w:val="auto"/>
                <w:kern w:val="28"/>
                <w:sz w:val="24"/>
                <w:szCs w:val="24"/>
              </w:rPr>
              <w:t>通过条件</w:t>
            </w:r>
          </w:p>
        </w:tc>
        <w:tc>
          <w:tcPr>
            <w:tcW w:w="684" w:type="dxa"/>
            <w:vAlign w:val="center"/>
          </w:tcPr>
          <w:p>
            <w:pPr>
              <w:spacing w:before="40" w:after="40" w:line="240" w:lineRule="auto"/>
              <w:jc w:val="center"/>
              <w:rPr>
                <w:rFonts w:ascii="华文仿宋" w:hAnsi="华文仿宋" w:cs="华文仿宋"/>
                <w:b/>
                <w:color w:val="auto"/>
                <w:sz w:val="24"/>
                <w:szCs w:val="24"/>
              </w:rPr>
            </w:pPr>
            <w:r>
              <w:rPr>
                <w:rFonts w:hint="eastAsia" w:ascii="华文仿宋" w:hAnsi="华文仿宋" w:cs="华文仿宋"/>
                <w:b/>
                <w:color w:val="auto"/>
                <w:sz w:val="24"/>
                <w:szCs w:val="24"/>
              </w:rPr>
              <w:t>结论</w:t>
            </w:r>
          </w:p>
        </w:tc>
        <w:tc>
          <w:tcPr>
            <w:tcW w:w="1178" w:type="dxa"/>
            <w:vAlign w:val="center"/>
          </w:tcPr>
          <w:p>
            <w:pPr>
              <w:spacing w:before="40" w:after="40" w:line="240" w:lineRule="auto"/>
              <w:jc w:val="center"/>
              <w:rPr>
                <w:rFonts w:ascii="华文仿宋" w:hAnsi="华文仿宋" w:cs="华文仿宋"/>
                <w:b/>
                <w:color w:val="auto"/>
                <w:sz w:val="24"/>
                <w:szCs w:val="24"/>
              </w:rPr>
            </w:pPr>
            <w:r>
              <w:rPr>
                <w:rFonts w:hint="eastAsia" w:ascii="华文仿宋" w:hAnsi="华文仿宋" w:cs="华文仿宋"/>
                <w:b/>
                <w:color w:val="auto"/>
                <w:sz w:val="24"/>
                <w:szCs w:val="24"/>
              </w:rPr>
              <w:t>不通过原因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9" w:hRule="atLeast"/>
          <w:jc w:val="center"/>
        </w:trPr>
        <w:tc>
          <w:tcPr>
            <w:tcW w:w="730" w:type="dxa"/>
            <w:vAlign w:val="center"/>
          </w:tcPr>
          <w:p>
            <w:pPr>
              <w:spacing w:line="240" w:lineRule="auto"/>
              <w:jc w:val="center"/>
              <w:rPr>
                <w:rFonts w:ascii="华文仿宋" w:hAnsi="华文仿宋" w:cs="华文仿宋"/>
                <w:bCs/>
                <w:color w:val="auto"/>
                <w:sz w:val="24"/>
                <w:szCs w:val="24"/>
              </w:rPr>
            </w:pPr>
            <w:r>
              <w:rPr>
                <w:rFonts w:hint="eastAsia" w:ascii="华文仿宋" w:hAnsi="华文仿宋" w:cs="华文仿宋"/>
                <w:bCs/>
                <w:color w:val="auto"/>
                <w:sz w:val="24"/>
                <w:szCs w:val="24"/>
              </w:rPr>
              <w:t>1</w:t>
            </w:r>
          </w:p>
        </w:tc>
        <w:tc>
          <w:tcPr>
            <w:tcW w:w="1863" w:type="dxa"/>
            <w:vAlign w:val="center"/>
          </w:tcPr>
          <w:p>
            <w:pPr>
              <w:spacing w:line="240" w:lineRule="auto"/>
              <w:rPr>
                <w:rFonts w:ascii="华文仿宋" w:hAnsi="华文仿宋" w:cs="华文仿宋"/>
                <w:color w:val="auto"/>
                <w:kern w:val="28"/>
                <w:sz w:val="24"/>
                <w:szCs w:val="24"/>
              </w:rPr>
            </w:pPr>
            <w:r>
              <w:rPr>
                <w:rFonts w:hint="eastAsia" w:ascii="华文仿宋" w:hAnsi="华文仿宋" w:cs="华文仿宋"/>
                <w:color w:val="auto"/>
                <w:kern w:val="28"/>
                <w:sz w:val="24"/>
                <w:szCs w:val="24"/>
              </w:rPr>
              <w:t>营业执照等主体资格证明文件</w:t>
            </w:r>
          </w:p>
        </w:tc>
        <w:tc>
          <w:tcPr>
            <w:tcW w:w="4685" w:type="dxa"/>
            <w:vAlign w:val="center"/>
          </w:tcPr>
          <w:p>
            <w:pPr>
              <w:spacing w:line="240" w:lineRule="auto"/>
              <w:rPr>
                <w:rFonts w:ascii="华文仿宋" w:hAnsi="华文仿宋" w:cs="华文仿宋"/>
                <w:color w:val="auto"/>
                <w:kern w:val="28"/>
                <w:sz w:val="24"/>
                <w:szCs w:val="24"/>
              </w:rPr>
            </w:pPr>
            <w:r>
              <w:rPr>
                <w:rFonts w:hint="eastAsia" w:ascii="华文仿宋" w:hAnsi="华文仿宋" w:cs="华文仿宋"/>
                <w:color w:val="auto"/>
                <w:kern w:val="28"/>
                <w:sz w:val="24"/>
                <w:szCs w:val="24"/>
              </w:rPr>
              <w:t>提供有效存续的企业营业执照（副本）/事业单位法人证书/专业服务机构执业许可证/民办非企业单位登记证书。</w:t>
            </w:r>
          </w:p>
        </w:tc>
        <w:tc>
          <w:tcPr>
            <w:tcW w:w="684" w:type="dxa"/>
            <w:vAlign w:val="center"/>
          </w:tcPr>
          <w:p>
            <w:pPr>
              <w:spacing w:before="40" w:after="40" w:line="240" w:lineRule="auto"/>
              <w:rPr>
                <w:rFonts w:ascii="华文仿宋" w:hAnsi="华文仿宋" w:cs="华文仿宋"/>
                <w:b/>
                <w:color w:val="auto"/>
                <w:sz w:val="24"/>
                <w:szCs w:val="24"/>
              </w:rPr>
            </w:pPr>
          </w:p>
        </w:tc>
        <w:tc>
          <w:tcPr>
            <w:tcW w:w="1178" w:type="dxa"/>
            <w:vAlign w:val="center"/>
          </w:tcPr>
          <w:p>
            <w:pPr>
              <w:spacing w:before="40" w:after="40" w:line="240" w:lineRule="auto"/>
              <w:rPr>
                <w:rFonts w:ascii="华文仿宋" w:hAnsi="华文仿宋" w:cs="华文仿宋"/>
                <w:b/>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2" w:hRule="atLeast"/>
          <w:jc w:val="center"/>
        </w:trPr>
        <w:tc>
          <w:tcPr>
            <w:tcW w:w="730" w:type="dxa"/>
            <w:vAlign w:val="center"/>
          </w:tcPr>
          <w:p>
            <w:pPr>
              <w:spacing w:line="240" w:lineRule="auto"/>
              <w:jc w:val="center"/>
              <w:rPr>
                <w:rFonts w:ascii="华文仿宋" w:hAnsi="华文仿宋" w:cs="华文仿宋"/>
                <w:bCs/>
                <w:color w:val="auto"/>
                <w:sz w:val="24"/>
                <w:szCs w:val="24"/>
              </w:rPr>
            </w:pPr>
            <w:r>
              <w:rPr>
                <w:rFonts w:hint="eastAsia" w:ascii="华文仿宋" w:hAnsi="华文仿宋" w:cs="华文仿宋"/>
                <w:bCs/>
                <w:color w:val="auto"/>
                <w:sz w:val="24"/>
                <w:szCs w:val="24"/>
              </w:rPr>
              <w:t>2</w:t>
            </w:r>
          </w:p>
        </w:tc>
        <w:tc>
          <w:tcPr>
            <w:tcW w:w="1863" w:type="dxa"/>
            <w:vAlign w:val="center"/>
          </w:tcPr>
          <w:p>
            <w:pPr>
              <w:spacing w:line="240" w:lineRule="auto"/>
              <w:rPr>
                <w:rFonts w:ascii="华文仿宋" w:hAnsi="华文仿宋" w:cs="华文仿宋"/>
                <w:color w:val="auto"/>
                <w:kern w:val="28"/>
                <w:sz w:val="24"/>
                <w:szCs w:val="24"/>
              </w:rPr>
            </w:pPr>
            <w:r>
              <w:rPr>
                <w:rFonts w:hint="eastAsia" w:ascii="华文仿宋" w:hAnsi="华文仿宋" w:cs="华文仿宋"/>
                <w:color w:val="auto"/>
                <w:kern w:val="28"/>
                <w:sz w:val="24"/>
                <w:szCs w:val="24"/>
              </w:rPr>
              <w:t>财务状况报告</w:t>
            </w:r>
          </w:p>
        </w:tc>
        <w:tc>
          <w:tcPr>
            <w:tcW w:w="4685" w:type="dxa"/>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华文仿宋" w:hAnsi="华文仿宋" w:eastAsia="华文仿宋" w:cs="华文仿宋"/>
                <w:color w:val="auto"/>
                <w:kern w:val="28"/>
                <w:sz w:val="24"/>
                <w:szCs w:val="24"/>
                <w:lang w:eastAsia="zh-CN"/>
              </w:rPr>
            </w:pPr>
            <w:r>
              <w:rPr>
                <w:rFonts w:hint="eastAsia" w:ascii="华文仿宋" w:hAnsi="华文仿宋" w:cs="华文仿宋"/>
                <w:color w:val="auto"/>
                <w:sz w:val="24"/>
                <w:szCs w:val="24"/>
              </w:rPr>
              <w:t>提供</w:t>
            </w:r>
            <w:r>
              <w:rPr>
                <w:rFonts w:hint="eastAsia" w:ascii="华文仿宋" w:hAnsi="华文仿宋" w:cs="华文仿宋"/>
                <w:color w:val="auto"/>
                <w:kern w:val="28"/>
                <w:sz w:val="24"/>
                <w:szCs w:val="24"/>
              </w:rPr>
              <w:t>2019年度经审计的财务报告（包括审计报告、资产负债表、利润表、现金流量表、所有者权益变动表及其附注，成立时间至提交响应文件截止时间不足一年的可提供成立后任意时段的资产负债表），或其开标前三个月内基本存款账户开户银行出具的资信证明，或信用担保机构出具的投标担保函。（以上三种形式的资料提供任何一种即可）</w:t>
            </w:r>
            <w:r>
              <w:rPr>
                <w:rFonts w:hint="eastAsia" w:ascii="华文仿宋" w:hAnsi="华文仿宋" w:cs="华文仿宋"/>
                <w:color w:val="auto"/>
                <w:kern w:val="28"/>
                <w:sz w:val="24"/>
                <w:szCs w:val="24"/>
                <w:lang w:eastAsia="zh-CN"/>
              </w:rPr>
              <w:t>。</w:t>
            </w:r>
          </w:p>
        </w:tc>
        <w:tc>
          <w:tcPr>
            <w:tcW w:w="684" w:type="dxa"/>
            <w:vAlign w:val="center"/>
          </w:tcPr>
          <w:p>
            <w:pPr>
              <w:spacing w:before="40" w:after="40" w:line="240" w:lineRule="auto"/>
              <w:rPr>
                <w:rFonts w:ascii="华文仿宋" w:hAnsi="华文仿宋" w:cs="华文仿宋"/>
                <w:b/>
                <w:color w:val="auto"/>
                <w:sz w:val="24"/>
                <w:szCs w:val="24"/>
              </w:rPr>
            </w:pPr>
          </w:p>
        </w:tc>
        <w:tc>
          <w:tcPr>
            <w:tcW w:w="1178" w:type="dxa"/>
            <w:vAlign w:val="center"/>
          </w:tcPr>
          <w:p>
            <w:pPr>
              <w:spacing w:before="40" w:after="40" w:line="240" w:lineRule="auto"/>
              <w:rPr>
                <w:rFonts w:ascii="华文仿宋" w:hAnsi="华文仿宋" w:cs="华文仿宋"/>
                <w:b/>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80" w:hRule="atLeast"/>
          <w:jc w:val="center"/>
        </w:trPr>
        <w:tc>
          <w:tcPr>
            <w:tcW w:w="73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华文仿宋" w:hAnsi="华文仿宋" w:cs="华文仿宋"/>
                <w:bCs/>
                <w:color w:val="auto"/>
                <w:sz w:val="24"/>
                <w:szCs w:val="24"/>
              </w:rPr>
            </w:pPr>
            <w:r>
              <w:rPr>
                <w:rFonts w:hint="eastAsia" w:ascii="华文仿宋" w:hAnsi="华文仿宋" w:cs="华文仿宋"/>
                <w:bCs/>
                <w:color w:val="auto"/>
                <w:sz w:val="24"/>
                <w:szCs w:val="24"/>
              </w:rPr>
              <w:t>3</w:t>
            </w:r>
          </w:p>
        </w:tc>
        <w:tc>
          <w:tcPr>
            <w:tcW w:w="1863" w:type="dxa"/>
            <w:vAlign w:val="center"/>
          </w:tcPr>
          <w:p>
            <w:pPr>
              <w:spacing w:line="240" w:lineRule="auto"/>
              <w:rPr>
                <w:rFonts w:ascii="华文仿宋" w:hAnsi="华文仿宋" w:cs="华文仿宋"/>
                <w:color w:val="auto"/>
                <w:kern w:val="28"/>
                <w:sz w:val="24"/>
                <w:szCs w:val="24"/>
              </w:rPr>
            </w:pPr>
            <w:r>
              <w:rPr>
                <w:rFonts w:hint="eastAsia" w:ascii="华文仿宋" w:hAnsi="华文仿宋" w:cs="华文仿宋"/>
                <w:color w:val="auto"/>
                <w:kern w:val="28"/>
                <w:sz w:val="24"/>
                <w:szCs w:val="24"/>
              </w:rPr>
              <w:t>社保缴纳证明</w:t>
            </w:r>
          </w:p>
        </w:tc>
        <w:tc>
          <w:tcPr>
            <w:tcW w:w="4685" w:type="dxa"/>
            <w:vAlign w:val="center"/>
          </w:tcPr>
          <w:p>
            <w:pPr>
              <w:spacing w:line="240" w:lineRule="auto"/>
              <w:rPr>
                <w:rFonts w:ascii="华文仿宋" w:hAnsi="华文仿宋" w:cs="华文仿宋"/>
                <w:color w:val="auto"/>
                <w:kern w:val="28"/>
                <w:sz w:val="24"/>
                <w:szCs w:val="24"/>
              </w:rPr>
            </w:pPr>
            <w:r>
              <w:rPr>
                <w:rFonts w:hint="eastAsia" w:ascii="华文仿宋" w:hAnsi="华文仿宋" w:cs="华文仿宋"/>
                <w:color w:val="auto"/>
                <w:kern w:val="28"/>
                <w:sz w:val="24"/>
                <w:szCs w:val="24"/>
                <w:lang w:eastAsia="zh-CN"/>
              </w:rPr>
              <w:t>提供已缴存的</w:t>
            </w:r>
            <w:r>
              <w:rPr>
                <w:rFonts w:hint="eastAsia" w:ascii="华文仿宋" w:hAnsi="华文仿宋" w:cs="华文仿宋"/>
                <w:color w:val="auto"/>
                <w:kern w:val="28"/>
                <w:sz w:val="24"/>
                <w:szCs w:val="24"/>
              </w:rPr>
              <w:t>2019年</w:t>
            </w:r>
            <w:r>
              <w:rPr>
                <w:rFonts w:hint="eastAsia" w:ascii="仿宋" w:hAnsi="仿宋" w:eastAsia="仿宋" w:cs="仿宋"/>
                <w:color w:val="auto"/>
                <w:kern w:val="28"/>
                <w:sz w:val="24"/>
                <w:szCs w:val="24"/>
                <w:lang w:val="en-US" w:eastAsia="zh-CN"/>
              </w:rPr>
              <w:t>7</w:t>
            </w:r>
            <w:r>
              <w:rPr>
                <w:rFonts w:hint="eastAsia" w:ascii="华文仿宋" w:hAnsi="华文仿宋" w:cs="华文仿宋"/>
                <w:color w:val="auto"/>
                <w:kern w:val="28"/>
                <w:sz w:val="24"/>
                <w:szCs w:val="24"/>
              </w:rPr>
              <w:t>月1日以来至少一个月的社会保障资金缴存单据或社保机构开具的社会保险参保缴费情况证明。依法不需要缴纳社会保障资金的供应商应提供相关文件证明。</w:t>
            </w:r>
          </w:p>
        </w:tc>
        <w:tc>
          <w:tcPr>
            <w:tcW w:w="684" w:type="dxa"/>
            <w:vAlign w:val="center"/>
          </w:tcPr>
          <w:p>
            <w:pPr>
              <w:spacing w:before="40" w:after="40" w:line="240" w:lineRule="auto"/>
              <w:rPr>
                <w:rFonts w:ascii="华文仿宋" w:hAnsi="华文仿宋" w:cs="华文仿宋"/>
                <w:b/>
                <w:color w:val="auto"/>
                <w:sz w:val="24"/>
                <w:szCs w:val="24"/>
              </w:rPr>
            </w:pPr>
          </w:p>
        </w:tc>
        <w:tc>
          <w:tcPr>
            <w:tcW w:w="1178" w:type="dxa"/>
            <w:vAlign w:val="center"/>
          </w:tcPr>
          <w:p>
            <w:pPr>
              <w:spacing w:before="40" w:after="40" w:line="240" w:lineRule="auto"/>
              <w:rPr>
                <w:rFonts w:ascii="华文仿宋" w:hAnsi="华文仿宋" w:cs="华文仿宋"/>
                <w:b/>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20" w:hRule="atLeast"/>
          <w:jc w:val="center"/>
        </w:trPr>
        <w:tc>
          <w:tcPr>
            <w:tcW w:w="730" w:type="dxa"/>
            <w:vAlign w:val="center"/>
          </w:tcPr>
          <w:p>
            <w:pPr>
              <w:spacing w:line="240" w:lineRule="auto"/>
              <w:jc w:val="center"/>
              <w:rPr>
                <w:rFonts w:ascii="华文仿宋" w:hAnsi="华文仿宋" w:cs="华文仿宋"/>
                <w:bCs/>
                <w:color w:val="auto"/>
                <w:sz w:val="24"/>
                <w:szCs w:val="24"/>
              </w:rPr>
            </w:pPr>
            <w:r>
              <w:rPr>
                <w:rFonts w:hint="eastAsia" w:ascii="华文仿宋" w:hAnsi="华文仿宋" w:cs="华文仿宋"/>
                <w:bCs/>
                <w:color w:val="auto"/>
                <w:sz w:val="24"/>
                <w:szCs w:val="24"/>
              </w:rPr>
              <w:t>4</w:t>
            </w:r>
          </w:p>
        </w:tc>
        <w:tc>
          <w:tcPr>
            <w:tcW w:w="1863" w:type="dxa"/>
            <w:vAlign w:val="center"/>
          </w:tcPr>
          <w:p>
            <w:pPr>
              <w:spacing w:line="240" w:lineRule="auto"/>
              <w:rPr>
                <w:rFonts w:ascii="华文仿宋" w:hAnsi="华文仿宋" w:cs="华文仿宋"/>
                <w:color w:val="auto"/>
                <w:kern w:val="28"/>
                <w:sz w:val="24"/>
                <w:szCs w:val="24"/>
              </w:rPr>
            </w:pPr>
            <w:r>
              <w:rPr>
                <w:rFonts w:hint="eastAsia" w:ascii="华文仿宋" w:hAnsi="华文仿宋" w:cs="华文仿宋"/>
                <w:color w:val="auto"/>
                <w:kern w:val="28"/>
                <w:sz w:val="24"/>
                <w:szCs w:val="24"/>
              </w:rPr>
              <w:t>税收缴纳证明</w:t>
            </w:r>
          </w:p>
        </w:tc>
        <w:tc>
          <w:tcPr>
            <w:tcW w:w="4685" w:type="dxa"/>
            <w:vAlign w:val="center"/>
          </w:tcPr>
          <w:p>
            <w:pPr>
              <w:spacing w:line="240" w:lineRule="auto"/>
              <w:rPr>
                <w:rFonts w:ascii="华文仿宋" w:hAnsi="华文仿宋" w:cs="华文仿宋"/>
                <w:color w:val="auto"/>
                <w:kern w:val="28"/>
                <w:sz w:val="24"/>
                <w:szCs w:val="24"/>
              </w:rPr>
            </w:pPr>
            <w:r>
              <w:rPr>
                <w:rFonts w:hint="eastAsia" w:ascii="华文仿宋" w:hAnsi="华文仿宋" w:cs="华文仿宋"/>
                <w:color w:val="auto"/>
                <w:kern w:val="28"/>
                <w:sz w:val="24"/>
                <w:szCs w:val="24"/>
                <w:lang w:eastAsia="zh-CN"/>
              </w:rPr>
              <w:t>提供已缴</w:t>
            </w:r>
            <w:r>
              <w:rPr>
                <w:rFonts w:hint="eastAsia" w:ascii="华文仿宋" w:hAnsi="华文仿宋" w:cs="华文仿宋"/>
                <w:color w:val="auto"/>
                <w:kern w:val="28"/>
                <w:sz w:val="24"/>
                <w:szCs w:val="24"/>
                <w:lang w:val="en-US" w:eastAsia="zh-CN"/>
              </w:rPr>
              <w:t>纳</w:t>
            </w:r>
            <w:r>
              <w:rPr>
                <w:rFonts w:hint="eastAsia" w:ascii="华文仿宋" w:hAnsi="华文仿宋" w:cs="华文仿宋"/>
                <w:color w:val="auto"/>
                <w:kern w:val="28"/>
                <w:sz w:val="24"/>
                <w:szCs w:val="24"/>
                <w:lang w:eastAsia="zh-CN"/>
              </w:rPr>
              <w:t>的</w:t>
            </w:r>
            <w:r>
              <w:rPr>
                <w:rFonts w:hint="eastAsia" w:ascii="华文仿宋" w:hAnsi="华文仿宋" w:cs="华文仿宋"/>
                <w:color w:val="auto"/>
                <w:kern w:val="28"/>
                <w:sz w:val="24"/>
                <w:szCs w:val="24"/>
              </w:rPr>
              <w:t>2019年</w:t>
            </w:r>
            <w:r>
              <w:rPr>
                <w:rFonts w:hint="eastAsia" w:ascii="仿宋" w:hAnsi="仿宋" w:eastAsia="仿宋" w:cs="仿宋"/>
                <w:color w:val="auto"/>
                <w:kern w:val="28"/>
                <w:sz w:val="24"/>
                <w:szCs w:val="24"/>
                <w:lang w:val="en-US" w:eastAsia="zh-CN"/>
              </w:rPr>
              <w:t>7</w:t>
            </w:r>
            <w:r>
              <w:rPr>
                <w:rFonts w:hint="eastAsia" w:ascii="华文仿宋" w:hAnsi="华文仿宋" w:cs="华文仿宋"/>
                <w:color w:val="auto"/>
                <w:kern w:val="28"/>
                <w:sz w:val="24"/>
                <w:szCs w:val="24"/>
              </w:rPr>
              <w:t>月1日以来至少一个月的纳税证明或完税证明（提供增值税、企业所得税至少一种），纳税证明或完税证明上应有代收机构或税务机关的公章或业务专用章。依法免税的供应商应提供相关文件证明。</w:t>
            </w:r>
          </w:p>
        </w:tc>
        <w:tc>
          <w:tcPr>
            <w:tcW w:w="684" w:type="dxa"/>
            <w:vAlign w:val="center"/>
          </w:tcPr>
          <w:p>
            <w:pPr>
              <w:spacing w:before="40" w:after="40" w:line="240" w:lineRule="auto"/>
              <w:rPr>
                <w:rFonts w:ascii="华文仿宋" w:hAnsi="华文仿宋" w:cs="华文仿宋"/>
                <w:b/>
                <w:color w:val="auto"/>
                <w:sz w:val="24"/>
                <w:szCs w:val="24"/>
              </w:rPr>
            </w:pPr>
          </w:p>
        </w:tc>
        <w:tc>
          <w:tcPr>
            <w:tcW w:w="1178" w:type="dxa"/>
            <w:vAlign w:val="center"/>
          </w:tcPr>
          <w:p>
            <w:pPr>
              <w:spacing w:before="40" w:after="40" w:line="240" w:lineRule="auto"/>
              <w:rPr>
                <w:rFonts w:ascii="华文仿宋" w:hAnsi="华文仿宋" w:cs="华文仿宋"/>
                <w:b/>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83" w:hRule="atLeast"/>
          <w:jc w:val="center"/>
        </w:trPr>
        <w:tc>
          <w:tcPr>
            <w:tcW w:w="730" w:type="dxa"/>
            <w:vAlign w:val="center"/>
          </w:tcPr>
          <w:p>
            <w:pPr>
              <w:spacing w:line="240" w:lineRule="auto"/>
              <w:jc w:val="center"/>
              <w:rPr>
                <w:rFonts w:ascii="华文仿宋" w:hAnsi="华文仿宋" w:cs="华文仿宋"/>
                <w:bCs/>
                <w:color w:val="auto"/>
                <w:sz w:val="24"/>
                <w:szCs w:val="24"/>
              </w:rPr>
            </w:pPr>
            <w:r>
              <w:rPr>
                <w:rFonts w:hint="eastAsia" w:ascii="华文仿宋" w:hAnsi="华文仿宋" w:cs="华文仿宋"/>
                <w:bCs/>
                <w:color w:val="auto"/>
                <w:sz w:val="24"/>
                <w:szCs w:val="24"/>
              </w:rPr>
              <w:t>5</w:t>
            </w:r>
          </w:p>
        </w:tc>
        <w:tc>
          <w:tcPr>
            <w:tcW w:w="1863" w:type="dxa"/>
            <w:vAlign w:val="center"/>
          </w:tcPr>
          <w:p>
            <w:pPr>
              <w:spacing w:line="240" w:lineRule="auto"/>
              <w:rPr>
                <w:rFonts w:ascii="华文仿宋" w:hAnsi="华文仿宋" w:cs="华文仿宋"/>
                <w:color w:val="auto"/>
                <w:kern w:val="28"/>
                <w:sz w:val="24"/>
                <w:szCs w:val="24"/>
              </w:rPr>
            </w:pPr>
            <w:r>
              <w:rPr>
                <w:rFonts w:hint="eastAsia" w:ascii="华文仿宋" w:hAnsi="华文仿宋" w:cs="华文仿宋"/>
                <w:color w:val="auto"/>
                <w:kern w:val="28"/>
                <w:sz w:val="24"/>
                <w:szCs w:val="24"/>
              </w:rPr>
              <w:t>信用记录</w:t>
            </w:r>
          </w:p>
        </w:tc>
        <w:tc>
          <w:tcPr>
            <w:tcW w:w="4685" w:type="dxa"/>
            <w:vAlign w:val="center"/>
          </w:tcPr>
          <w:p>
            <w:pPr>
              <w:spacing w:line="240" w:lineRule="auto"/>
              <w:rPr>
                <w:rFonts w:ascii="华文仿宋" w:hAnsi="华文仿宋" w:cs="华文仿宋"/>
                <w:color w:val="auto"/>
                <w:kern w:val="28"/>
                <w:sz w:val="24"/>
                <w:szCs w:val="24"/>
              </w:rPr>
            </w:pPr>
            <w:r>
              <w:rPr>
                <w:rFonts w:hint="eastAsia" w:ascii="华文仿宋" w:hAnsi="华文仿宋" w:cs="华文仿宋"/>
                <w:color w:val="auto"/>
                <w:kern w:val="28"/>
                <w:sz w:val="24"/>
                <w:szCs w:val="24"/>
              </w:rPr>
              <w:t>提供《</w:t>
            </w:r>
            <w:r>
              <w:rPr>
                <w:rFonts w:hint="eastAsia" w:ascii="华文仿宋" w:hAnsi="华文仿宋" w:cs="华文仿宋"/>
                <w:color w:val="auto"/>
                <w:sz w:val="24"/>
                <w:szCs w:val="24"/>
              </w:rPr>
              <w:t>供应商书面声明函</w:t>
            </w:r>
            <w:r>
              <w:rPr>
                <w:rFonts w:hint="eastAsia" w:ascii="华文仿宋" w:hAnsi="华文仿宋" w:cs="华文仿宋"/>
                <w:color w:val="auto"/>
                <w:kern w:val="28"/>
                <w:sz w:val="24"/>
                <w:szCs w:val="24"/>
              </w:rPr>
              <w:t>》（按格式填写，提供原件）。经查，供应商未被列入“信用中国”网站(www.creditchina.gov.cn)“记录失信被执行人或重大税收违法案件当事人名单或政府采购严重违法失信行为”记录名单；不处于中国政府采购网(www.ccgp.gov.cn)“政府采购严重违法失信行为信息记录”中的禁止参加政府采购活动期间。</w:t>
            </w:r>
          </w:p>
        </w:tc>
        <w:tc>
          <w:tcPr>
            <w:tcW w:w="684" w:type="dxa"/>
            <w:vAlign w:val="center"/>
          </w:tcPr>
          <w:p>
            <w:pPr>
              <w:spacing w:before="40" w:after="40" w:line="240" w:lineRule="auto"/>
              <w:rPr>
                <w:rFonts w:ascii="华文仿宋" w:hAnsi="华文仿宋" w:cs="华文仿宋"/>
                <w:b/>
                <w:color w:val="auto"/>
                <w:sz w:val="24"/>
                <w:szCs w:val="24"/>
              </w:rPr>
            </w:pPr>
          </w:p>
        </w:tc>
        <w:tc>
          <w:tcPr>
            <w:tcW w:w="1178" w:type="dxa"/>
            <w:vAlign w:val="center"/>
          </w:tcPr>
          <w:p>
            <w:pPr>
              <w:spacing w:before="40" w:after="40" w:line="240" w:lineRule="auto"/>
              <w:rPr>
                <w:rFonts w:ascii="华文仿宋" w:hAnsi="华文仿宋" w:cs="华文仿宋"/>
                <w:b/>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9" w:hRule="atLeast"/>
          <w:jc w:val="center"/>
        </w:trPr>
        <w:tc>
          <w:tcPr>
            <w:tcW w:w="730" w:type="dxa"/>
            <w:vAlign w:val="center"/>
          </w:tcPr>
          <w:p>
            <w:pPr>
              <w:spacing w:line="240" w:lineRule="auto"/>
              <w:jc w:val="center"/>
              <w:rPr>
                <w:rFonts w:ascii="华文仿宋" w:hAnsi="华文仿宋" w:cs="华文仿宋"/>
                <w:bCs/>
                <w:color w:val="auto"/>
                <w:sz w:val="24"/>
                <w:szCs w:val="24"/>
              </w:rPr>
            </w:pPr>
            <w:r>
              <w:rPr>
                <w:rFonts w:hint="eastAsia" w:ascii="华文仿宋" w:hAnsi="华文仿宋" w:cs="华文仿宋"/>
                <w:bCs/>
                <w:color w:val="auto"/>
                <w:sz w:val="24"/>
                <w:szCs w:val="24"/>
              </w:rPr>
              <w:t>6</w:t>
            </w:r>
          </w:p>
        </w:tc>
        <w:tc>
          <w:tcPr>
            <w:tcW w:w="1863" w:type="dxa"/>
            <w:vAlign w:val="center"/>
          </w:tcPr>
          <w:p>
            <w:pPr>
              <w:spacing w:line="240" w:lineRule="auto"/>
              <w:rPr>
                <w:rFonts w:ascii="华文仿宋" w:hAnsi="华文仿宋" w:cs="华文仿宋"/>
                <w:color w:val="auto"/>
                <w:kern w:val="28"/>
                <w:sz w:val="24"/>
                <w:szCs w:val="24"/>
              </w:rPr>
            </w:pPr>
            <w:r>
              <w:rPr>
                <w:rFonts w:hint="eastAsia" w:ascii="华文仿宋" w:hAnsi="华文仿宋" w:cs="华文仿宋"/>
                <w:color w:val="auto"/>
                <w:kern w:val="28"/>
                <w:sz w:val="24"/>
                <w:szCs w:val="24"/>
              </w:rPr>
              <w:t>法定代表人授权委托书</w:t>
            </w:r>
          </w:p>
        </w:tc>
        <w:tc>
          <w:tcPr>
            <w:tcW w:w="4685" w:type="dxa"/>
            <w:vAlign w:val="center"/>
          </w:tcPr>
          <w:p>
            <w:pPr>
              <w:spacing w:line="240" w:lineRule="auto"/>
              <w:rPr>
                <w:rFonts w:ascii="华文仿宋" w:hAnsi="华文仿宋" w:cs="华文仿宋"/>
                <w:color w:val="auto"/>
                <w:kern w:val="28"/>
                <w:sz w:val="24"/>
                <w:szCs w:val="24"/>
              </w:rPr>
            </w:pPr>
            <w:r>
              <w:rPr>
                <w:rFonts w:hint="eastAsia" w:ascii="华文仿宋" w:hAnsi="华文仿宋" w:cs="华文仿宋"/>
                <w:color w:val="auto"/>
                <w:kern w:val="28"/>
                <w:sz w:val="24"/>
                <w:szCs w:val="24"/>
              </w:rPr>
              <w:t>法定代表人参加投标的，须提供本人身份证复印件（附在资格证明文件中）；法定代表人授权他人参加投标的，须提供法定代表人授权委托书（原件附在资格证明文件中）。磋商文件中凡是需要法定代表人盖章之处，非法人单位的负责人均参照执行。</w:t>
            </w:r>
          </w:p>
        </w:tc>
        <w:tc>
          <w:tcPr>
            <w:tcW w:w="684" w:type="dxa"/>
            <w:vAlign w:val="center"/>
          </w:tcPr>
          <w:p>
            <w:pPr>
              <w:spacing w:before="40" w:after="40" w:line="240" w:lineRule="auto"/>
              <w:rPr>
                <w:rFonts w:ascii="华文仿宋" w:hAnsi="华文仿宋" w:cs="华文仿宋"/>
                <w:b/>
                <w:color w:val="auto"/>
                <w:sz w:val="24"/>
                <w:szCs w:val="24"/>
              </w:rPr>
            </w:pPr>
          </w:p>
        </w:tc>
        <w:tc>
          <w:tcPr>
            <w:tcW w:w="1178" w:type="dxa"/>
            <w:vAlign w:val="center"/>
          </w:tcPr>
          <w:p>
            <w:pPr>
              <w:spacing w:before="40" w:after="40" w:line="240" w:lineRule="auto"/>
              <w:rPr>
                <w:rFonts w:ascii="华文仿宋" w:hAnsi="华文仿宋" w:cs="华文仿宋"/>
                <w:b/>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30" w:type="dxa"/>
            <w:vAlign w:val="center"/>
          </w:tcPr>
          <w:p>
            <w:pPr>
              <w:spacing w:line="240" w:lineRule="auto"/>
              <w:jc w:val="center"/>
              <w:rPr>
                <w:rFonts w:hint="eastAsia" w:ascii="华文仿宋" w:hAnsi="华文仿宋" w:eastAsia="华文仿宋" w:cs="华文仿宋"/>
                <w:bCs/>
                <w:color w:val="auto"/>
                <w:sz w:val="24"/>
                <w:szCs w:val="24"/>
                <w:lang w:eastAsia="zh-CN"/>
              </w:rPr>
            </w:pPr>
            <w:r>
              <w:rPr>
                <w:rFonts w:hint="eastAsia" w:ascii="华文仿宋" w:hAnsi="华文仿宋" w:cs="华文仿宋"/>
                <w:bCs/>
                <w:color w:val="auto"/>
                <w:sz w:val="24"/>
                <w:szCs w:val="24"/>
                <w:lang w:val="en-US" w:eastAsia="zh-CN"/>
              </w:rPr>
              <w:t>7</w:t>
            </w:r>
          </w:p>
        </w:tc>
        <w:tc>
          <w:tcPr>
            <w:tcW w:w="1863" w:type="dxa"/>
            <w:vAlign w:val="center"/>
          </w:tcPr>
          <w:p>
            <w:pPr>
              <w:spacing w:line="240" w:lineRule="auto"/>
              <w:rPr>
                <w:rFonts w:ascii="华文仿宋" w:hAnsi="华文仿宋" w:cs="华文仿宋"/>
                <w:color w:val="auto"/>
                <w:kern w:val="28"/>
                <w:sz w:val="24"/>
                <w:szCs w:val="24"/>
              </w:rPr>
            </w:pPr>
            <w:r>
              <w:rPr>
                <w:rFonts w:hint="eastAsia" w:ascii="华文仿宋" w:hAnsi="华文仿宋" w:cs="华文仿宋"/>
                <w:kern w:val="28"/>
                <w:sz w:val="24"/>
                <w:szCs w:val="24"/>
              </w:rPr>
              <w:t>特定资格要求</w:t>
            </w:r>
          </w:p>
        </w:tc>
        <w:tc>
          <w:tcPr>
            <w:tcW w:w="4685" w:type="dxa"/>
            <w:vAlign w:val="center"/>
          </w:tcPr>
          <w:p>
            <w:pPr>
              <w:spacing w:line="240" w:lineRule="auto"/>
              <w:rPr>
                <w:rFonts w:hint="eastAsia" w:ascii="华文仿宋" w:hAnsi="华文仿宋" w:cs="华文仿宋"/>
                <w:color w:val="auto"/>
                <w:kern w:val="28"/>
                <w:sz w:val="24"/>
                <w:szCs w:val="24"/>
              </w:rPr>
            </w:pPr>
            <w:r>
              <w:rPr>
                <w:rFonts w:hint="eastAsia" w:ascii="华文仿宋" w:hAnsi="华文仿宋" w:cs="华文仿宋"/>
                <w:color w:val="auto"/>
                <w:kern w:val="28"/>
                <w:sz w:val="24"/>
                <w:szCs w:val="24"/>
                <w:lang w:val="en-US" w:eastAsia="zh-CN"/>
              </w:rPr>
              <w:t>供应商应具备</w:t>
            </w:r>
            <w:r>
              <w:rPr>
                <w:rFonts w:hint="eastAsia" w:ascii="华文仿宋" w:hAnsi="华文仿宋" w:cs="华文仿宋"/>
                <w:color w:val="auto"/>
                <w:kern w:val="28"/>
                <w:sz w:val="24"/>
                <w:szCs w:val="24"/>
              </w:rPr>
              <w:t>建筑工程施工总承包三级及以上资质或建筑装修装饰工程专业承包二级及以上资质，同时具备电子与智能化工程专业承包二级及以上资质及建筑机电安装工程专业承包三级及以上资质，并具备有效的安全生产许可证</w:t>
            </w:r>
            <w:r>
              <w:rPr>
                <w:rFonts w:hint="eastAsia" w:ascii="华文仿宋" w:hAnsi="华文仿宋" w:cs="华文仿宋"/>
                <w:color w:val="auto"/>
                <w:kern w:val="28"/>
                <w:sz w:val="24"/>
                <w:szCs w:val="24"/>
                <w:lang w:eastAsia="zh-CN"/>
              </w:rPr>
              <w:t>。</w:t>
            </w:r>
          </w:p>
        </w:tc>
        <w:tc>
          <w:tcPr>
            <w:tcW w:w="684" w:type="dxa"/>
            <w:vAlign w:val="center"/>
          </w:tcPr>
          <w:p>
            <w:pPr>
              <w:spacing w:before="40" w:after="40" w:line="240" w:lineRule="auto"/>
              <w:rPr>
                <w:rFonts w:ascii="华文仿宋" w:hAnsi="华文仿宋" w:cs="华文仿宋"/>
                <w:b/>
                <w:color w:val="auto"/>
                <w:sz w:val="24"/>
                <w:szCs w:val="24"/>
              </w:rPr>
            </w:pPr>
          </w:p>
        </w:tc>
        <w:tc>
          <w:tcPr>
            <w:tcW w:w="1178" w:type="dxa"/>
            <w:vAlign w:val="center"/>
          </w:tcPr>
          <w:p>
            <w:pPr>
              <w:spacing w:before="40" w:after="40" w:line="240" w:lineRule="auto"/>
              <w:rPr>
                <w:rFonts w:ascii="华文仿宋" w:hAnsi="华文仿宋" w:cs="华文仿宋"/>
                <w:b/>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jc w:val="center"/>
        </w:trPr>
        <w:tc>
          <w:tcPr>
            <w:tcW w:w="730" w:type="dxa"/>
            <w:vAlign w:val="center"/>
          </w:tcPr>
          <w:p>
            <w:pPr>
              <w:spacing w:line="240" w:lineRule="auto"/>
              <w:jc w:val="center"/>
              <w:rPr>
                <w:rFonts w:hint="default" w:ascii="华文仿宋" w:hAnsi="华文仿宋" w:eastAsia="华文仿宋" w:cs="华文仿宋"/>
                <w:bCs/>
                <w:color w:val="auto"/>
                <w:kern w:val="2"/>
                <w:sz w:val="24"/>
                <w:szCs w:val="24"/>
                <w:lang w:val="en-US" w:eastAsia="zh-CN" w:bidi="ar-SA"/>
              </w:rPr>
            </w:pPr>
            <w:r>
              <w:rPr>
                <w:rFonts w:hint="eastAsia" w:ascii="华文仿宋" w:hAnsi="华文仿宋" w:cs="华文仿宋"/>
                <w:bCs/>
                <w:color w:val="auto"/>
                <w:kern w:val="2"/>
                <w:sz w:val="24"/>
                <w:szCs w:val="24"/>
                <w:lang w:val="en-US" w:eastAsia="zh-CN" w:bidi="ar-SA"/>
              </w:rPr>
              <w:t>8</w:t>
            </w:r>
          </w:p>
        </w:tc>
        <w:tc>
          <w:tcPr>
            <w:tcW w:w="1863" w:type="dxa"/>
            <w:vAlign w:val="center"/>
          </w:tcPr>
          <w:p>
            <w:pPr>
              <w:spacing w:line="240" w:lineRule="auto"/>
              <w:rPr>
                <w:rFonts w:hint="eastAsia" w:ascii="华文仿宋" w:hAnsi="华文仿宋" w:eastAsia="华文仿宋" w:cs="华文仿宋"/>
                <w:color w:val="auto"/>
                <w:kern w:val="28"/>
                <w:sz w:val="24"/>
                <w:szCs w:val="24"/>
                <w:lang w:val="en-US" w:eastAsia="zh-CN" w:bidi="ar-SA"/>
              </w:rPr>
            </w:pPr>
            <w:r>
              <w:rPr>
                <w:rFonts w:hint="eastAsia" w:ascii="华文仿宋" w:hAnsi="华文仿宋" w:cs="华文仿宋"/>
                <w:color w:val="auto"/>
                <w:kern w:val="28"/>
                <w:sz w:val="24"/>
                <w:szCs w:val="24"/>
              </w:rPr>
              <w:t>本项目不接受联合体响应</w:t>
            </w:r>
          </w:p>
        </w:tc>
        <w:tc>
          <w:tcPr>
            <w:tcW w:w="4685" w:type="dxa"/>
            <w:vAlign w:val="center"/>
          </w:tcPr>
          <w:p>
            <w:pPr>
              <w:spacing w:line="240" w:lineRule="auto"/>
              <w:rPr>
                <w:rFonts w:hint="eastAsia" w:ascii="华文仿宋" w:hAnsi="华文仿宋" w:eastAsia="华文仿宋" w:cs="华文仿宋"/>
                <w:color w:val="auto"/>
                <w:kern w:val="28"/>
                <w:sz w:val="24"/>
                <w:szCs w:val="24"/>
                <w:lang w:val="en-US" w:eastAsia="zh-CN" w:bidi="ar-SA"/>
              </w:rPr>
            </w:pPr>
            <w:r>
              <w:rPr>
                <w:rFonts w:hint="eastAsia" w:ascii="宋体" w:hAnsi="宋体"/>
                <w:color w:val="auto"/>
                <w:sz w:val="24"/>
                <w:szCs w:val="24"/>
              </w:rPr>
              <w:t>符合磋商文件要求</w:t>
            </w:r>
            <w:r>
              <w:rPr>
                <w:rFonts w:hint="eastAsia" w:ascii="华文仿宋" w:hAnsi="华文仿宋" w:cs="华文仿宋"/>
                <w:color w:val="auto"/>
                <w:sz w:val="24"/>
                <w:szCs w:val="24"/>
              </w:rPr>
              <w:t>（如供应商填写联合体协议则视为联合体投标，如供应商未填写联合体协议则视为非联合体投标）</w:t>
            </w:r>
            <w:r>
              <w:rPr>
                <w:rFonts w:hint="eastAsia" w:ascii="宋体" w:hAnsi="宋体"/>
                <w:color w:val="auto"/>
                <w:sz w:val="24"/>
                <w:szCs w:val="24"/>
              </w:rPr>
              <w:t>。</w:t>
            </w:r>
          </w:p>
        </w:tc>
        <w:tc>
          <w:tcPr>
            <w:tcW w:w="684" w:type="dxa"/>
            <w:vAlign w:val="center"/>
          </w:tcPr>
          <w:p>
            <w:pPr>
              <w:spacing w:before="40" w:after="40" w:line="240" w:lineRule="auto"/>
              <w:rPr>
                <w:rFonts w:ascii="华文仿宋" w:hAnsi="华文仿宋" w:cs="华文仿宋"/>
                <w:b/>
                <w:color w:val="auto"/>
                <w:sz w:val="24"/>
                <w:szCs w:val="24"/>
              </w:rPr>
            </w:pPr>
          </w:p>
        </w:tc>
        <w:tc>
          <w:tcPr>
            <w:tcW w:w="1178" w:type="dxa"/>
            <w:vAlign w:val="center"/>
          </w:tcPr>
          <w:p>
            <w:pPr>
              <w:spacing w:before="40" w:after="40" w:line="240" w:lineRule="auto"/>
              <w:rPr>
                <w:rFonts w:ascii="华文仿宋" w:hAnsi="华文仿宋" w:cs="华文仿宋"/>
                <w:b/>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9140" w:type="dxa"/>
            <w:gridSpan w:val="5"/>
            <w:vAlign w:val="center"/>
          </w:tcPr>
          <w:p>
            <w:pPr>
              <w:spacing w:line="240" w:lineRule="auto"/>
              <w:rPr>
                <w:rFonts w:ascii="华文仿宋" w:hAnsi="华文仿宋" w:cs="华文仿宋"/>
                <w:b/>
                <w:color w:val="auto"/>
                <w:sz w:val="24"/>
                <w:szCs w:val="24"/>
              </w:rPr>
            </w:pPr>
            <w:r>
              <w:rPr>
                <w:rFonts w:hint="eastAsia" w:ascii="华文仿宋" w:hAnsi="华文仿宋" w:cs="华文仿宋"/>
                <w:b/>
                <w:bCs/>
                <w:color w:val="auto"/>
                <w:kern w:val="0"/>
                <w:sz w:val="24"/>
                <w:szCs w:val="24"/>
              </w:rPr>
              <w:t>磋商小组成员：（签字或盖章）</w:t>
            </w:r>
          </w:p>
        </w:tc>
      </w:tr>
    </w:tbl>
    <w:p>
      <w:pPr>
        <w:spacing w:line="500" w:lineRule="exact"/>
        <w:ind w:firstLine="566" w:firstLineChars="200"/>
        <w:rPr>
          <w:rFonts w:ascii="Calibri" w:hAnsi="Calibri"/>
          <w:b/>
          <w:bCs/>
          <w:color w:val="auto"/>
        </w:rPr>
      </w:pPr>
      <w:r>
        <w:rPr>
          <w:rFonts w:hint="eastAsia" w:ascii="Calibri" w:hAnsi="Calibri"/>
          <w:b/>
          <w:bCs/>
          <w:color w:val="auto"/>
        </w:rPr>
        <w:t>出现下列情形的，响应文件将被视为无效：</w:t>
      </w:r>
    </w:p>
    <w:p>
      <w:pPr>
        <w:spacing w:line="500" w:lineRule="exact"/>
        <w:ind w:firstLine="566" w:firstLineChars="200"/>
        <w:rPr>
          <w:rFonts w:ascii="Calibri" w:hAnsi="Calibri"/>
          <w:color w:val="auto"/>
        </w:rPr>
      </w:pPr>
      <w:r>
        <w:rPr>
          <w:rFonts w:ascii="Calibri" w:hAnsi="Calibri"/>
          <w:color w:val="auto"/>
        </w:rPr>
        <w:t>（</w:t>
      </w:r>
      <w:r>
        <w:rPr>
          <w:rFonts w:hint="eastAsia" w:ascii="Calibri" w:hAnsi="Calibri"/>
          <w:color w:val="auto"/>
        </w:rPr>
        <w:t>1</w:t>
      </w:r>
      <w:r>
        <w:rPr>
          <w:rFonts w:ascii="Calibri" w:hAnsi="Calibri"/>
          <w:color w:val="auto"/>
        </w:rPr>
        <w:t>）</w:t>
      </w:r>
      <w:r>
        <w:rPr>
          <w:rFonts w:hint="eastAsia" w:ascii="Calibri" w:hAnsi="Calibri"/>
          <w:color w:val="auto"/>
        </w:rPr>
        <w:t>不具备磋商文件中规定的资格要求的；</w:t>
      </w:r>
    </w:p>
    <w:p>
      <w:pPr>
        <w:spacing w:line="500" w:lineRule="exact"/>
        <w:ind w:firstLine="566" w:firstLineChars="200"/>
        <w:rPr>
          <w:rFonts w:ascii="Calibri" w:hAnsi="Calibri"/>
          <w:color w:val="auto"/>
        </w:rPr>
      </w:pPr>
      <w:r>
        <w:rPr>
          <w:rFonts w:hint="eastAsia" w:ascii="Calibri" w:hAnsi="Calibri"/>
          <w:color w:val="auto"/>
        </w:rPr>
        <w:t>（</w:t>
      </w:r>
      <w:r>
        <w:rPr>
          <w:rFonts w:ascii="Calibri" w:hAnsi="Calibri"/>
          <w:color w:val="auto"/>
        </w:rPr>
        <w:t>2</w:t>
      </w:r>
      <w:r>
        <w:rPr>
          <w:rFonts w:hint="eastAsia" w:ascii="Calibri" w:hAnsi="Calibri"/>
          <w:color w:val="auto"/>
        </w:rPr>
        <w:t>）未按磋商文件要求提供</w:t>
      </w:r>
      <w:r>
        <w:rPr>
          <w:color w:val="auto"/>
        </w:rPr>
        <w:t>资格</w:t>
      </w:r>
      <w:r>
        <w:rPr>
          <w:rFonts w:hint="eastAsia"/>
          <w:color w:val="auto"/>
        </w:rPr>
        <w:t>证明文件</w:t>
      </w:r>
      <w:r>
        <w:rPr>
          <w:rFonts w:hint="eastAsia" w:ascii="Calibri" w:hAnsi="Calibri"/>
          <w:color w:val="auto"/>
        </w:rPr>
        <w:t>原件，或未按磋商文件要求加盖公章的；</w:t>
      </w:r>
    </w:p>
    <w:p>
      <w:pPr>
        <w:keepNext w:val="0"/>
        <w:keepLines w:val="0"/>
        <w:pageBreakBefore w:val="0"/>
        <w:widowControl w:val="0"/>
        <w:kinsoku/>
        <w:wordWrap/>
        <w:overflowPunct/>
        <w:topLinePunct w:val="0"/>
        <w:autoSpaceDE/>
        <w:autoSpaceDN/>
        <w:bidi w:val="0"/>
        <w:adjustRightInd/>
        <w:snapToGrid/>
        <w:spacing w:line="500" w:lineRule="exact"/>
        <w:ind w:firstLine="566" w:firstLineChars="200"/>
        <w:textAlignment w:val="auto"/>
        <w:rPr>
          <w:rFonts w:hint="eastAsia"/>
          <w:color w:val="auto"/>
          <w:highlight w:val="none"/>
        </w:rPr>
      </w:pPr>
      <w:r>
        <w:rPr>
          <w:rFonts w:ascii="Calibri" w:hAnsi="Calibri"/>
          <w:color w:val="auto"/>
        </w:rPr>
        <w:t>（3）</w:t>
      </w:r>
      <w:r>
        <w:rPr>
          <w:rFonts w:hint="eastAsia" w:ascii="Calibri" w:hAnsi="Calibri"/>
          <w:color w:val="auto"/>
          <w:highlight w:val="none"/>
        </w:rPr>
        <w:t>磋商小组认为供应商的资格证明文件存在疑点，</w:t>
      </w:r>
      <w:r>
        <w:rPr>
          <w:rFonts w:hint="eastAsia"/>
          <w:color w:val="auto"/>
          <w:highlight w:val="none"/>
        </w:rPr>
        <w:t>要求供应商现场提供原件，供应商不能在规定时限内提供符合磋商文件要求的证明文件的。</w:t>
      </w:r>
    </w:p>
    <w:p>
      <w:pPr>
        <w:keepNext w:val="0"/>
        <w:keepLines w:val="0"/>
        <w:pageBreakBefore w:val="0"/>
        <w:widowControl/>
        <w:kinsoku/>
        <w:wordWrap/>
        <w:overflowPunct/>
        <w:topLinePunct w:val="0"/>
        <w:autoSpaceDE/>
        <w:autoSpaceDN/>
        <w:bidi w:val="0"/>
        <w:adjustRightInd/>
        <w:snapToGrid/>
        <w:spacing w:line="500" w:lineRule="exact"/>
        <w:ind w:firstLine="566" w:firstLineChars="200"/>
        <w:textAlignment w:val="auto"/>
        <w:rPr>
          <w:rFonts w:hint="eastAsia" w:ascii="华文仿宋" w:hAnsi="华文仿宋" w:cs="华文仿宋"/>
          <w:color w:val="auto"/>
          <w:highlight w:val="none"/>
        </w:rPr>
      </w:pPr>
      <w:r>
        <w:rPr>
          <w:rFonts w:hint="eastAsia" w:ascii="华文仿宋" w:hAnsi="华文仿宋" w:eastAsia="华文仿宋" w:cs="华文仿宋"/>
          <w:color w:val="auto"/>
          <w:highlight w:val="none"/>
        </w:rPr>
        <w:t>资格审查结束后，磋商小组成员应当对审查结果进行签字确认，并</w:t>
      </w:r>
      <w:r>
        <w:rPr>
          <w:rFonts w:hint="eastAsia" w:ascii="华文仿宋" w:hAnsi="华文仿宋" w:cs="华文仿宋"/>
          <w:color w:val="auto"/>
          <w:highlight w:val="none"/>
        </w:rPr>
        <w:t>告知有关供应商未通过审查的原因。</w:t>
      </w:r>
    </w:p>
    <w:p>
      <w:pPr>
        <w:pStyle w:val="10"/>
        <w:keepNext w:val="0"/>
        <w:keepLines w:val="0"/>
        <w:pageBreakBefore w:val="0"/>
        <w:widowControl/>
        <w:kinsoku/>
        <w:wordWrap/>
        <w:overflowPunct/>
        <w:topLinePunct w:val="0"/>
        <w:autoSpaceDE/>
        <w:autoSpaceDN/>
        <w:bidi w:val="0"/>
        <w:adjustRightInd/>
        <w:snapToGrid/>
        <w:spacing w:after="0" w:line="500" w:lineRule="exact"/>
        <w:ind w:firstLine="566" w:firstLineChars="200"/>
        <w:textAlignment w:val="auto"/>
        <w:rPr>
          <w:rFonts w:hint="eastAsia" w:eastAsia="华文仿宋"/>
          <w:lang w:eastAsia="zh-CN"/>
        </w:rPr>
      </w:pPr>
      <w:r>
        <w:rPr>
          <w:rFonts w:hint="eastAsia" w:ascii="华文仿宋" w:hAnsi="华文仿宋" w:cs="华文仿宋"/>
          <w:color w:val="auto"/>
          <w:highlight w:val="none"/>
          <w:lang w:eastAsia="zh-CN"/>
        </w:rPr>
        <w:t>通过资格审查的供应商不足三家的，不得进行符合性审查。</w:t>
      </w:r>
    </w:p>
    <w:p>
      <w:pPr>
        <w:spacing w:line="500" w:lineRule="exact"/>
        <w:ind w:firstLine="566" w:firstLineChars="200"/>
        <w:rPr>
          <w:rFonts w:ascii="华文仿宋" w:hAnsi="华文仿宋" w:cs="华文仿宋"/>
          <w:b/>
          <w:bCs/>
          <w:color w:val="auto"/>
        </w:rPr>
      </w:pPr>
      <w:r>
        <w:rPr>
          <w:rFonts w:hint="eastAsia" w:ascii="华文仿宋" w:hAnsi="华文仿宋" w:cs="华文仿宋"/>
          <w:b/>
          <w:bCs/>
          <w:color w:val="auto"/>
        </w:rPr>
        <w:t>2、响应文件的符合性审查</w:t>
      </w:r>
    </w:p>
    <w:p>
      <w:pPr>
        <w:spacing w:line="500" w:lineRule="exact"/>
        <w:ind w:firstLine="566" w:firstLineChars="200"/>
        <w:rPr>
          <w:rFonts w:ascii="华文仿宋" w:hAnsi="华文仿宋" w:cs="华文仿宋"/>
          <w:color w:val="auto"/>
        </w:rPr>
      </w:pPr>
      <w:r>
        <w:rPr>
          <w:rFonts w:hint="eastAsia" w:ascii="华文仿宋" w:hAnsi="华文仿宋" w:cs="华文仿宋"/>
          <w:color w:val="auto"/>
        </w:rPr>
        <w:t>磋商</w:t>
      </w:r>
      <w:r>
        <w:rPr>
          <w:rFonts w:ascii="华文仿宋" w:hAnsi="华文仿宋" w:cs="华文仿宋"/>
          <w:color w:val="auto"/>
        </w:rPr>
        <w:t>小组</w:t>
      </w:r>
      <w:r>
        <w:rPr>
          <w:rFonts w:hint="eastAsia" w:ascii="华文仿宋" w:hAnsi="华文仿宋" w:cs="华文仿宋"/>
          <w:color w:val="auto"/>
        </w:rPr>
        <w:t>依据磋商文件的规定，对响应文件的有效性、完整性和对磋商文件的响应程度进行审查，以确定是否对磋商文件的全部实质性要求做出响应。</w:t>
      </w:r>
    </w:p>
    <w:p>
      <w:pPr>
        <w:tabs>
          <w:tab w:val="center" w:pos="4153"/>
          <w:tab w:val="right" w:pos="8306"/>
        </w:tabs>
        <w:spacing w:line="500" w:lineRule="exact"/>
        <w:ind w:firstLine="566" w:firstLineChars="200"/>
        <w:rPr>
          <w:rFonts w:hint="eastAsia" w:ascii="华文仿宋" w:hAnsi="华文仿宋" w:cs="华文仿宋"/>
          <w:color w:val="auto"/>
          <w:highlight w:val="none"/>
        </w:rPr>
      </w:pPr>
      <w:r>
        <w:rPr>
          <w:rFonts w:hint="eastAsia" w:ascii="华文仿宋" w:hAnsi="华文仿宋" w:cs="华文仿宋"/>
          <w:color w:val="auto"/>
          <w:highlight w:val="none"/>
        </w:rPr>
        <w:t>磋商小组要审查每份响应文件是否实质上响应了磋商文件的要求。实质上没有响应磋商文件要求的响应文件作无效响应处理，磋商小组应告知有关供应商未通过审查的原因。供应商不得通过修正或撤销不符之处而使其成为实质上响应。</w:t>
      </w:r>
    </w:p>
    <w:p>
      <w:pPr>
        <w:spacing w:line="500" w:lineRule="exact"/>
        <w:ind w:firstLine="566" w:firstLineChars="200"/>
        <w:jc w:val="center"/>
        <w:rPr>
          <w:rFonts w:ascii="华文仿宋" w:hAnsi="华文仿宋" w:cs="华文仿宋"/>
          <w:b/>
          <w:bCs/>
          <w:color w:val="auto"/>
        </w:rPr>
      </w:pPr>
      <w:r>
        <w:rPr>
          <w:rFonts w:hint="eastAsia" w:ascii="华文仿宋" w:hAnsi="华文仿宋" w:cs="华文仿宋"/>
          <w:b/>
          <w:bCs/>
          <w:color w:val="auto"/>
        </w:rPr>
        <w:t>响应文件的符合性审查</w:t>
      </w:r>
    </w:p>
    <w:tbl>
      <w:tblPr>
        <w:tblStyle w:val="23"/>
        <w:tblW w:w="965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4"/>
        <w:gridCol w:w="2431"/>
        <w:gridCol w:w="4172"/>
        <w:gridCol w:w="910"/>
        <w:gridCol w:w="14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04" w:type="dxa"/>
            <w:shd w:val="clear" w:color="auto" w:fill="D9D9D9"/>
            <w:vAlign w:val="center"/>
          </w:tcPr>
          <w:p>
            <w:pPr>
              <w:spacing w:line="320" w:lineRule="exact"/>
              <w:jc w:val="center"/>
              <w:rPr>
                <w:rFonts w:ascii="宋体" w:hAnsi="宋体" w:cs="宋体"/>
                <w:b/>
                <w:bCs/>
                <w:color w:val="auto"/>
                <w:kern w:val="0"/>
                <w:sz w:val="24"/>
                <w:szCs w:val="24"/>
              </w:rPr>
            </w:pPr>
            <w:r>
              <w:rPr>
                <w:rFonts w:hint="eastAsia" w:ascii="宋体" w:hAnsi="宋体" w:cs="宋体"/>
                <w:b/>
                <w:bCs/>
                <w:color w:val="auto"/>
                <w:kern w:val="0"/>
                <w:sz w:val="24"/>
                <w:szCs w:val="24"/>
              </w:rPr>
              <w:t>序号</w:t>
            </w:r>
          </w:p>
        </w:tc>
        <w:tc>
          <w:tcPr>
            <w:tcW w:w="2431" w:type="dxa"/>
            <w:shd w:val="clear" w:color="auto" w:fill="D9D9D9"/>
            <w:vAlign w:val="center"/>
          </w:tcPr>
          <w:p>
            <w:pPr>
              <w:spacing w:line="320" w:lineRule="exact"/>
              <w:jc w:val="center"/>
              <w:rPr>
                <w:rFonts w:ascii="宋体" w:hAnsi="宋体" w:cs="宋体"/>
                <w:b/>
                <w:bCs/>
                <w:color w:val="auto"/>
                <w:kern w:val="0"/>
                <w:sz w:val="24"/>
                <w:szCs w:val="24"/>
              </w:rPr>
            </w:pPr>
            <w:r>
              <w:rPr>
                <w:rFonts w:hint="eastAsia" w:ascii="宋体" w:hAnsi="宋体" w:cs="宋体"/>
                <w:b/>
                <w:bCs/>
                <w:color w:val="auto"/>
                <w:kern w:val="0"/>
                <w:sz w:val="24"/>
                <w:szCs w:val="24"/>
              </w:rPr>
              <w:t>符合性审查项</w:t>
            </w:r>
          </w:p>
        </w:tc>
        <w:tc>
          <w:tcPr>
            <w:tcW w:w="4172" w:type="dxa"/>
            <w:shd w:val="clear" w:color="auto" w:fill="D9D9D9"/>
            <w:vAlign w:val="center"/>
          </w:tcPr>
          <w:p>
            <w:pPr>
              <w:spacing w:line="320" w:lineRule="exact"/>
              <w:jc w:val="center"/>
              <w:rPr>
                <w:rFonts w:ascii="宋体" w:hAnsi="宋体" w:cs="宋体"/>
                <w:b/>
                <w:bCs/>
                <w:color w:val="auto"/>
                <w:kern w:val="0"/>
                <w:sz w:val="24"/>
                <w:szCs w:val="24"/>
              </w:rPr>
            </w:pPr>
            <w:r>
              <w:rPr>
                <w:rFonts w:hint="eastAsia" w:ascii="宋体" w:hAnsi="宋体" w:cs="宋体"/>
                <w:b/>
                <w:bCs/>
                <w:color w:val="auto"/>
                <w:kern w:val="0"/>
                <w:sz w:val="24"/>
                <w:szCs w:val="24"/>
              </w:rPr>
              <w:t>通过条件</w:t>
            </w:r>
          </w:p>
        </w:tc>
        <w:tc>
          <w:tcPr>
            <w:tcW w:w="910" w:type="dxa"/>
            <w:shd w:val="clear" w:color="auto" w:fill="D9D9D9"/>
            <w:vAlign w:val="center"/>
          </w:tcPr>
          <w:p>
            <w:pPr>
              <w:spacing w:line="320" w:lineRule="exact"/>
              <w:jc w:val="center"/>
              <w:rPr>
                <w:rFonts w:ascii="宋体" w:hAnsi="宋体" w:cs="宋体"/>
                <w:b/>
                <w:bCs/>
                <w:color w:val="auto"/>
                <w:kern w:val="0"/>
                <w:sz w:val="24"/>
                <w:szCs w:val="24"/>
              </w:rPr>
            </w:pPr>
            <w:r>
              <w:rPr>
                <w:rFonts w:hint="eastAsia" w:ascii="宋体" w:hAnsi="宋体" w:cs="宋体"/>
                <w:b/>
                <w:bCs/>
                <w:color w:val="auto"/>
                <w:kern w:val="0"/>
                <w:sz w:val="24"/>
                <w:szCs w:val="24"/>
              </w:rPr>
              <w:t>结论</w:t>
            </w:r>
          </w:p>
        </w:tc>
        <w:tc>
          <w:tcPr>
            <w:tcW w:w="1440" w:type="dxa"/>
            <w:shd w:val="clear" w:color="auto" w:fill="D9D9D9"/>
            <w:vAlign w:val="center"/>
          </w:tcPr>
          <w:p>
            <w:pPr>
              <w:spacing w:line="320" w:lineRule="exact"/>
              <w:jc w:val="center"/>
              <w:rPr>
                <w:rFonts w:ascii="宋体" w:hAnsi="宋体" w:cs="宋体"/>
                <w:b/>
                <w:bCs/>
                <w:color w:val="auto"/>
                <w:kern w:val="0"/>
                <w:sz w:val="24"/>
                <w:szCs w:val="24"/>
              </w:rPr>
            </w:pPr>
            <w:r>
              <w:rPr>
                <w:rFonts w:hint="eastAsia" w:ascii="宋体" w:hAnsi="宋体" w:cs="宋体"/>
                <w:b/>
                <w:bCs/>
                <w:color w:val="auto"/>
                <w:kern w:val="0"/>
                <w:sz w:val="24"/>
                <w:szCs w:val="24"/>
              </w:rPr>
              <w:t>未通过原因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5" w:hRule="atLeast"/>
          <w:jc w:val="center"/>
        </w:trPr>
        <w:tc>
          <w:tcPr>
            <w:tcW w:w="704" w:type="dxa"/>
            <w:vAlign w:val="center"/>
          </w:tcPr>
          <w:p>
            <w:pPr>
              <w:spacing w:line="320" w:lineRule="exact"/>
              <w:jc w:val="center"/>
              <w:rPr>
                <w:rFonts w:ascii="宋体" w:hAnsi="宋体" w:cs="宋体"/>
                <w:bCs/>
                <w:color w:val="auto"/>
                <w:kern w:val="0"/>
                <w:sz w:val="24"/>
                <w:szCs w:val="24"/>
              </w:rPr>
            </w:pPr>
            <w:r>
              <w:rPr>
                <w:rFonts w:hint="eastAsia" w:ascii="仿宋" w:hAnsi="仿宋" w:eastAsia="仿宋" w:cs="仿宋"/>
                <w:bCs/>
                <w:color w:val="auto"/>
                <w:kern w:val="0"/>
                <w:sz w:val="24"/>
                <w:szCs w:val="24"/>
              </w:rPr>
              <w:t>1</w:t>
            </w:r>
          </w:p>
        </w:tc>
        <w:tc>
          <w:tcPr>
            <w:tcW w:w="2431" w:type="dxa"/>
            <w:vAlign w:val="center"/>
          </w:tcPr>
          <w:p>
            <w:pPr>
              <w:spacing w:line="320" w:lineRule="exact"/>
              <w:jc w:val="left"/>
              <w:rPr>
                <w:rFonts w:ascii="宋体" w:hAnsi="宋体" w:cs="宋体"/>
                <w:bCs/>
                <w:color w:val="auto"/>
                <w:kern w:val="0"/>
                <w:sz w:val="24"/>
                <w:szCs w:val="24"/>
              </w:rPr>
            </w:pPr>
            <w:r>
              <w:rPr>
                <w:rFonts w:hint="eastAsia" w:ascii="宋体" w:hAnsi="宋体" w:cs="宋体"/>
                <w:bCs/>
                <w:color w:val="auto"/>
                <w:kern w:val="0"/>
                <w:sz w:val="24"/>
                <w:szCs w:val="24"/>
              </w:rPr>
              <w:t>响应文件语言</w:t>
            </w:r>
            <w:r>
              <w:rPr>
                <w:rFonts w:hint="eastAsia" w:ascii="宋体" w:hAnsi="宋体" w:cs="宋体"/>
                <w:bCs/>
                <w:color w:val="auto"/>
                <w:kern w:val="0"/>
                <w:sz w:val="24"/>
                <w:szCs w:val="24"/>
                <w:lang w:val="en-US" w:eastAsia="zh-CN"/>
              </w:rPr>
              <w:t>及</w:t>
            </w:r>
            <w:r>
              <w:rPr>
                <w:rFonts w:hint="eastAsia" w:ascii="宋体" w:hAnsi="宋体" w:cs="宋体"/>
                <w:bCs/>
                <w:color w:val="auto"/>
                <w:kern w:val="0"/>
                <w:sz w:val="24"/>
                <w:szCs w:val="24"/>
              </w:rPr>
              <w:t>有效期</w:t>
            </w:r>
          </w:p>
        </w:tc>
        <w:tc>
          <w:tcPr>
            <w:tcW w:w="4172" w:type="dxa"/>
            <w:vAlign w:val="center"/>
          </w:tcPr>
          <w:p>
            <w:pPr>
              <w:spacing w:line="320" w:lineRule="exact"/>
              <w:jc w:val="left"/>
              <w:rPr>
                <w:rFonts w:ascii="宋体" w:hAnsi="宋体"/>
                <w:color w:val="auto"/>
                <w:sz w:val="24"/>
                <w:szCs w:val="24"/>
              </w:rPr>
            </w:pPr>
            <w:r>
              <w:rPr>
                <w:rFonts w:hint="eastAsia" w:ascii="宋体" w:hAnsi="宋体"/>
                <w:color w:val="auto"/>
                <w:sz w:val="24"/>
                <w:szCs w:val="24"/>
              </w:rPr>
              <w:t>响应文件语言</w:t>
            </w:r>
            <w:r>
              <w:rPr>
                <w:rFonts w:hint="eastAsia" w:ascii="宋体" w:hAnsi="宋体" w:cs="宋体"/>
                <w:bCs/>
                <w:color w:val="auto"/>
                <w:kern w:val="0"/>
                <w:sz w:val="24"/>
                <w:szCs w:val="24"/>
                <w:lang w:val="en-US" w:eastAsia="zh-CN"/>
              </w:rPr>
              <w:t>及</w:t>
            </w:r>
            <w:r>
              <w:rPr>
                <w:rFonts w:hint="eastAsia" w:ascii="宋体" w:hAnsi="宋体" w:cs="宋体"/>
                <w:bCs/>
                <w:color w:val="auto"/>
                <w:kern w:val="0"/>
                <w:sz w:val="24"/>
                <w:szCs w:val="24"/>
              </w:rPr>
              <w:t>有效期</w:t>
            </w:r>
            <w:r>
              <w:rPr>
                <w:rFonts w:hint="eastAsia" w:ascii="宋体" w:hAnsi="宋体"/>
                <w:color w:val="auto"/>
                <w:sz w:val="24"/>
                <w:szCs w:val="24"/>
              </w:rPr>
              <w:t>符合磋商文件要求。</w:t>
            </w:r>
          </w:p>
        </w:tc>
        <w:tc>
          <w:tcPr>
            <w:tcW w:w="910" w:type="dxa"/>
            <w:vAlign w:val="center"/>
          </w:tcPr>
          <w:p>
            <w:pPr>
              <w:spacing w:line="320" w:lineRule="exact"/>
              <w:jc w:val="center"/>
              <w:rPr>
                <w:rFonts w:ascii="宋体" w:hAnsi="宋体" w:cs="宋体"/>
                <w:b/>
                <w:bCs/>
                <w:color w:val="auto"/>
                <w:kern w:val="0"/>
                <w:sz w:val="24"/>
                <w:szCs w:val="24"/>
              </w:rPr>
            </w:pPr>
          </w:p>
        </w:tc>
        <w:tc>
          <w:tcPr>
            <w:tcW w:w="1440" w:type="dxa"/>
            <w:vAlign w:val="center"/>
          </w:tcPr>
          <w:p>
            <w:pPr>
              <w:spacing w:line="320" w:lineRule="exact"/>
              <w:jc w:val="center"/>
              <w:rPr>
                <w:rFonts w:ascii="宋体" w:hAnsi="宋体" w:cs="宋体"/>
                <w:b/>
                <w:bCs/>
                <w:color w:val="auto"/>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6" w:hRule="atLeast"/>
          <w:jc w:val="center"/>
        </w:trPr>
        <w:tc>
          <w:tcPr>
            <w:tcW w:w="704" w:type="dxa"/>
            <w:vAlign w:val="center"/>
          </w:tcPr>
          <w:p>
            <w:pPr>
              <w:spacing w:line="320" w:lineRule="exact"/>
              <w:jc w:val="center"/>
              <w:rPr>
                <w:rFonts w:ascii="宋体" w:hAnsi="宋体" w:cs="宋体"/>
                <w:bCs/>
                <w:color w:val="auto"/>
                <w:kern w:val="0"/>
                <w:sz w:val="24"/>
                <w:szCs w:val="24"/>
              </w:rPr>
            </w:pPr>
            <w:r>
              <w:rPr>
                <w:rFonts w:hint="eastAsia" w:ascii="仿宋" w:hAnsi="仿宋" w:eastAsia="仿宋" w:cs="仿宋"/>
                <w:bCs/>
                <w:color w:val="auto"/>
                <w:kern w:val="0"/>
                <w:sz w:val="24"/>
                <w:szCs w:val="24"/>
              </w:rPr>
              <w:t>2</w:t>
            </w:r>
          </w:p>
        </w:tc>
        <w:tc>
          <w:tcPr>
            <w:tcW w:w="2431" w:type="dxa"/>
            <w:vAlign w:val="center"/>
          </w:tcPr>
          <w:p>
            <w:pPr>
              <w:spacing w:line="320" w:lineRule="exact"/>
              <w:jc w:val="left"/>
              <w:rPr>
                <w:rFonts w:ascii="宋体" w:hAnsi="宋体" w:cs="宋体"/>
                <w:bCs/>
                <w:color w:val="auto"/>
                <w:kern w:val="0"/>
                <w:sz w:val="24"/>
                <w:szCs w:val="24"/>
              </w:rPr>
            </w:pPr>
            <w:r>
              <w:rPr>
                <w:rFonts w:hint="eastAsia" w:ascii="宋体" w:hAnsi="宋体" w:cs="宋体"/>
                <w:bCs/>
                <w:color w:val="auto"/>
                <w:kern w:val="0"/>
                <w:sz w:val="24"/>
                <w:szCs w:val="24"/>
              </w:rPr>
              <w:t>响应文件封面、响应函、法定代表人授权委托书三处的项目名称、项目编号</w:t>
            </w:r>
          </w:p>
        </w:tc>
        <w:tc>
          <w:tcPr>
            <w:tcW w:w="4172" w:type="dxa"/>
            <w:vAlign w:val="center"/>
          </w:tcPr>
          <w:p>
            <w:pPr>
              <w:spacing w:line="320" w:lineRule="exact"/>
              <w:jc w:val="left"/>
              <w:rPr>
                <w:rFonts w:ascii="宋体" w:hAnsi="宋体" w:cs="宋体"/>
                <w:bCs/>
                <w:color w:val="auto"/>
                <w:kern w:val="0"/>
                <w:sz w:val="24"/>
                <w:szCs w:val="24"/>
              </w:rPr>
            </w:pPr>
            <w:r>
              <w:rPr>
                <w:rFonts w:ascii="宋体" w:hAnsi="宋体" w:cs="宋体"/>
                <w:bCs/>
                <w:color w:val="auto"/>
                <w:kern w:val="0"/>
                <w:sz w:val="24"/>
                <w:szCs w:val="24"/>
              </w:rPr>
              <w:t>三处均无遗漏，且与所投项目</w:t>
            </w:r>
            <w:r>
              <w:rPr>
                <w:rFonts w:hint="eastAsia" w:ascii="宋体" w:hAnsi="宋体" w:cs="宋体"/>
                <w:bCs/>
                <w:color w:val="auto"/>
                <w:kern w:val="0"/>
                <w:sz w:val="24"/>
                <w:szCs w:val="24"/>
              </w:rPr>
              <w:t>名称、项目编号</w:t>
            </w:r>
            <w:r>
              <w:rPr>
                <w:rFonts w:ascii="宋体" w:hAnsi="宋体" w:cs="宋体"/>
                <w:bCs/>
                <w:color w:val="auto"/>
                <w:kern w:val="0"/>
                <w:sz w:val="24"/>
                <w:szCs w:val="24"/>
              </w:rPr>
              <w:t>一致</w:t>
            </w:r>
            <w:r>
              <w:rPr>
                <w:rFonts w:hint="eastAsia" w:ascii="宋体" w:hAnsi="宋体" w:cs="宋体"/>
                <w:bCs/>
                <w:color w:val="auto"/>
                <w:kern w:val="0"/>
                <w:sz w:val="24"/>
                <w:szCs w:val="24"/>
              </w:rPr>
              <w:t>。</w:t>
            </w:r>
          </w:p>
        </w:tc>
        <w:tc>
          <w:tcPr>
            <w:tcW w:w="910" w:type="dxa"/>
            <w:vAlign w:val="center"/>
          </w:tcPr>
          <w:p>
            <w:pPr>
              <w:spacing w:line="320" w:lineRule="exact"/>
              <w:jc w:val="center"/>
              <w:rPr>
                <w:rFonts w:ascii="宋体" w:hAnsi="宋体" w:cs="宋体"/>
                <w:b/>
                <w:bCs/>
                <w:color w:val="auto"/>
                <w:kern w:val="0"/>
                <w:sz w:val="24"/>
                <w:szCs w:val="24"/>
              </w:rPr>
            </w:pPr>
          </w:p>
        </w:tc>
        <w:tc>
          <w:tcPr>
            <w:tcW w:w="1440" w:type="dxa"/>
            <w:vAlign w:val="center"/>
          </w:tcPr>
          <w:p>
            <w:pPr>
              <w:spacing w:line="320" w:lineRule="exact"/>
              <w:jc w:val="center"/>
              <w:rPr>
                <w:rFonts w:ascii="宋体" w:hAnsi="宋体" w:cs="宋体"/>
                <w:b/>
                <w:bCs/>
                <w:color w:val="auto"/>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04" w:type="dxa"/>
            <w:vAlign w:val="center"/>
          </w:tcPr>
          <w:p>
            <w:pPr>
              <w:spacing w:line="320" w:lineRule="exact"/>
              <w:jc w:val="center"/>
              <w:rPr>
                <w:rFonts w:ascii="宋体" w:hAnsi="宋体" w:cs="宋体"/>
                <w:bCs/>
                <w:color w:val="auto"/>
                <w:kern w:val="0"/>
                <w:sz w:val="24"/>
                <w:szCs w:val="24"/>
              </w:rPr>
            </w:pPr>
            <w:r>
              <w:rPr>
                <w:rFonts w:hint="eastAsia" w:ascii="仿宋" w:hAnsi="仿宋" w:eastAsia="仿宋" w:cs="仿宋"/>
                <w:bCs/>
                <w:color w:val="auto"/>
                <w:kern w:val="0"/>
                <w:sz w:val="24"/>
                <w:szCs w:val="24"/>
              </w:rPr>
              <w:t>3</w:t>
            </w:r>
          </w:p>
        </w:tc>
        <w:tc>
          <w:tcPr>
            <w:tcW w:w="2431" w:type="dxa"/>
            <w:vAlign w:val="center"/>
          </w:tcPr>
          <w:p>
            <w:pPr>
              <w:spacing w:line="320" w:lineRule="exact"/>
              <w:jc w:val="left"/>
              <w:rPr>
                <w:rFonts w:ascii="宋体" w:hAnsi="宋体" w:cs="宋体"/>
                <w:bCs/>
                <w:color w:val="auto"/>
                <w:kern w:val="0"/>
                <w:sz w:val="24"/>
                <w:szCs w:val="24"/>
              </w:rPr>
            </w:pPr>
            <w:r>
              <w:rPr>
                <w:rFonts w:hint="eastAsia" w:ascii="宋体" w:hAnsi="宋体" w:cs="宋体"/>
                <w:bCs/>
                <w:color w:val="auto"/>
                <w:kern w:val="0"/>
                <w:sz w:val="24"/>
                <w:szCs w:val="24"/>
              </w:rPr>
              <w:t>响应文件签署、盖章</w:t>
            </w:r>
          </w:p>
        </w:tc>
        <w:tc>
          <w:tcPr>
            <w:tcW w:w="4172" w:type="dxa"/>
            <w:vAlign w:val="center"/>
          </w:tcPr>
          <w:p>
            <w:pPr>
              <w:spacing w:line="320" w:lineRule="exact"/>
              <w:jc w:val="left"/>
              <w:rPr>
                <w:rFonts w:ascii="宋体" w:hAnsi="宋体" w:cs="宋体"/>
                <w:bCs/>
                <w:color w:val="auto"/>
                <w:kern w:val="0"/>
                <w:sz w:val="24"/>
                <w:szCs w:val="24"/>
              </w:rPr>
            </w:pPr>
            <w:r>
              <w:rPr>
                <w:rFonts w:hint="eastAsia" w:ascii="宋体" w:hAnsi="宋体"/>
                <w:color w:val="auto"/>
                <w:sz w:val="24"/>
                <w:szCs w:val="24"/>
              </w:rPr>
              <w:t>均按磋商文件要求签字、盖章（评分标准中要求提供的证明材料除外）。</w:t>
            </w:r>
          </w:p>
        </w:tc>
        <w:tc>
          <w:tcPr>
            <w:tcW w:w="910" w:type="dxa"/>
            <w:vAlign w:val="center"/>
          </w:tcPr>
          <w:p>
            <w:pPr>
              <w:spacing w:line="320" w:lineRule="exact"/>
              <w:jc w:val="center"/>
              <w:rPr>
                <w:rFonts w:ascii="宋体" w:hAnsi="宋体" w:cs="宋体"/>
                <w:b/>
                <w:bCs/>
                <w:color w:val="auto"/>
                <w:kern w:val="0"/>
                <w:sz w:val="24"/>
                <w:szCs w:val="24"/>
              </w:rPr>
            </w:pPr>
          </w:p>
        </w:tc>
        <w:tc>
          <w:tcPr>
            <w:tcW w:w="1440" w:type="dxa"/>
            <w:vAlign w:val="center"/>
          </w:tcPr>
          <w:p>
            <w:pPr>
              <w:spacing w:line="320" w:lineRule="exact"/>
              <w:jc w:val="center"/>
              <w:rPr>
                <w:rFonts w:ascii="宋体" w:hAnsi="宋体" w:cs="宋体"/>
                <w:b/>
                <w:bCs/>
                <w:color w:val="auto"/>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 w:hRule="atLeast"/>
          <w:jc w:val="center"/>
        </w:trPr>
        <w:tc>
          <w:tcPr>
            <w:tcW w:w="704" w:type="dxa"/>
            <w:vAlign w:val="center"/>
          </w:tcPr>
          <w:p>
            <w:pPr>
              <w:spacing w:line="320" w:lineRule="exact"/>
              <w:jc w:val="center"/>
              <w:rPr>
                <w:rFonts w:ascii="宋体" w:hAnsi="宋体" w:cs="宋体"/>
                <w:bCs/>
                <w:color w:val="auto"/>
                <w:kern w:val="0"/>
                <w:sz w:val="24"/>
                <w:szCs w:val="24"/>
              </w:rPr>
            </w:pPr>
            <w:r>
              <w:rPr>
                <w:rFonts w:hint="eastAsia" w:ascii="仿宋" w:hAnsi="仿宋" w:eastAsia="仿宋" w:cs="仿宋"/>
                <w:bCs/>
                <w:color w:val="auto"/>
                <w:kern w:val="0"/>
                <w:sz w:val="24"/>
                <w:szCs w:val="24"/>
              </w:rPr>
              <w:t>4</w:t>
            </w:r>
          </w:p>
        </w:tc>
        <w:tc>
          <w:tcPr>
            <w:tcW w:w="2431" w:type="dxa"/>
            <w:vAlign w:val="center"/>
          </w:tcPr>
          <w:p>
            <w:pPr>
              <w:spacing w:line="320" w:lineRule="exact"/>
              <w:jc w:val="left"/>
              <w:rPr>
                <w:rFonts w:ascii="宋体" w:hAnsi="宋体" w:cs="宋体"/>
                <w:bCs/>
                <w:color w:val="auto"/>
                <w:kern w:val="0"/>
                <w:sz w:val="24"/>
                <w:szCs w:val="24"/>
              </w:rPr>
            </w:pPr>
            <w:r>
              <w:rPr>
                <w:rFonts w:hint="eastAsia" w:ascii="宋体" w:hAnsi="宋体" w:cs="宋体"/>
                <w:bCs/>
                <w:color w:val="auto"/>
                <w:kern w:val="0"/>
                <w:sz w:val="24"/>
                <w:szCs w:val="24"/>
              </w:rPr>
              <w:t>磋商保证金的有效性</w:t>
            </w:r>
          </w:p>
        </w:tc>
        <w:tc>
          <w:tcPr>
            <w:tcW w:w="4172" w:type="dxa"/>
            <w:vAlign w:val="center"/>
          </w:tcPr>
          <w:p>
            <w:pPr>
              <w:spacing w:line="320" w:lineRule="exact"/>
              <w:jc w:val="left"/>
              <w:rPr>
                <w:rFonts w:hint="eastAsia" w:ascii="宋体" w:hAnsi="宋体" w:cs="宋体"/>
                <w:bCs/>
                <w:color w:val="auto"/>
                <w:kern w:val="0"/>
                <w:sz w:val="24"/>
                <w:szCs w:val="24"/>
              </w:rPr>
            </w:pPr>
            <w:r>
              <w:rPr>
                <w:rFonts w:hint="eastAsia" w:ascii="宋体" w:hAnsi="宋体" w:cs="宋体"/>
                <w:bCs/>
                <w:color w:val="auto"/>
                <w:kern w:val="0"/>
                <w:sz w:val="24"/>
                <w:szCs w:val="24"/>
              </w:rPr>
              <w:t>按照磋商文件的要求，按时、一次性足额交纳到指定的保证金帐户，且保证金已在规定时间内到帐。保证金以转账、网上银行支付等方式交纳的，有效性以陕西省公共资源交易中心的实际到账凭证为准；保证金以纸质银行保函方式交纳的，提供采购人开具的保函回执复印件并加盖供应商公章，到账时间以采购人开具回执时间为准；保证金以电子保函方式交纳的，到账时间以银行开具的电子保函时间为准。</w:t>
            </w:r>
          </w:p>
        </w:tc>
        <w:tc>
          <w:tcPr>
            <w:tcW w:w="910" w:type="dxa"/>
            <w:vAlign w:val="center"/>
          </w:tcPr>
          <w:p>
            <w:pPr>
              <w:spacing w:line="320" w:lineRule="exact"/>
              <w:jc w:val="center"/>
              <w:rPr>
                <w:rFonts w:ascii="宋体" w:hAnsi="宋体" w:cs="宋体"/>
                <w:b/>
                <w:bCs/>
                <w:color w:val="auto"/>
                <w:kern w:val="0"/>
                <w:sz w:val="24"/>
                <w:szCs w:val="24"/>
              </w:rPr>
            </w:pPr>
          </w:p>
        </w:tc>
        <w:tc>
          <w:tcPr>
            <w:tcW w:w="1440" w:type="dxa"/>
            <w:vAlign w:val="center"/>
          </w:tcPr>
          <w:p>
            <w:pPr>
              <w:spacing w:line="320" w:lineRule="exact"/>
              <w:jc w:val="center"/>
              <w:rPr>
                <w:rFonts w:ascii="宋体" w:hAnsi="宋体" w:cs="宋体"/>
                <w:b/>
                <w:bCs/>
                <w:color w:val="auto"/>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04" w:type="dxa"/>
            <w:vAlign w:val="center"/>
          </w:tcPr>
          <w:p>
            <w:pPr>
              <w:spacing w:line="320" w:lineRule="exact"/>
              <w:jc w:val="center"/>
              <w:rPr>
                <w:rFonts w:ascii="宋体" w:hAnsi="宋体" w:cs="宋体"/>
                <w:bCs/>
                <w:color w:val="auto"/>
                <w:kern w:val="0"/>
                <w:sz w:val="24"/>
                <w:szCs w:val="24"/>
              </w:rPr>
            </w:pPr>
            <w:r>
              <w:rPr>
                <w:rFonts w:hint="eastAsia" w:ascii="仿宋" w:hAnsi="仿宋" w:eastAsia="仿宋" w:cs="仿宋"/>
                <w:bCs/>
                <w:color w:val="auto"/>
                <w:kern w:val="0"/>
                <w:sz w:val="24"/>
                <w:szCs w:val="24"/>
              </w:rPr>
              <w:t>5</w:t>
            </w:r>
          </w:p>
        </w:tc>
        <w:tc>
          <w:tcPr>
            <w:tcW w:w="2431" w:type="dxa"/>
            <w:vAlign w:val="center"/>
          </w:tcPr>
          <w:p>
            <w:pPr>
              <w:spacing w:line="320" w:lineRule="exact"/>
              <w:jc w:val="left"/>
              <w:rPr>
                <w:rFonts w:ascii="宋体" w:hAnsi="宋体" w:cs="宋体"/>
                <w:bCs/>
                <w:color w:val="auto"/>
                <w:kern w:val="0"/>
                <w:sz w:val="24"/>
                <w:szCs w:val="24"/>
              </w:rPr>
            </w:pPr>
            <w:r>
              <w:rPr>
                <w:rFonts w:hint="eastAsia" w:ascii="宋体" w:hAnsi="宋体" w:cs="宋体"/>
                <w:bCs/>
                <w:color w:val="auto"/>
                <w:kern w:val="0"/>
                <w:sz w:val="24"/>
                <w:szCs w:val="24"/>
              </w:rPr>
              <w:t>第一次磋商报价表</w:t>
            </w:r>
          </w:p>
        </w:tc>
        <w:tc>
          <w:tcPr>
            <w:tcW w:w="4172" w:type="dxa"/>
          </w:tcPr>
          <w:p>
            <w:pPr>
              <w:spacing w:line="320" w:lineRule="exact"/>
              <w:rPr>
                <w:rFonts w:ascii="宋体" w:hAnsi="宋体"/>
                <w:color w:val="auto"/>
                <w:sz w:val="24"/>
                <w:szCs w:val="24"/>
              </w:rPr>
            </w:pPr>
            <w:r>
              <w:rPr>
                <w:rFonts w:hint="eastAsia" w:ascii="宋体" w:hAnsi="宋体"/>
                <w:color w:val="auto"/>
                <w:sz w:val="24"/>
                <w:szCs w:val="24"/>
              </w:rPr>
              <w:t>（</w:t>
            </w:r>
            <w:r>
              <w:rPr>
                <w:rFonts w:hint="eastAsia" w:ascii="仿宋" w:hAnsi="仿宋" w:eastAsia="仿宋" w:cs="仿宋"/>
                <w:color w:val="auto"/>
                <w:sz w:val="24"/>
                <w:szCs w:val="24"/>
              </w:rPr>
              <w:t>1</w:t>
            </w:r>
            <w:r>
              <w:rPr>
                <w:rFonts w:hint="eastAsia" w:ascii="宋体" w:hAnsi="宋体"/>
                <w:color w:val="auto"/>
                <w:sz w:val="24"/>
                <w:szCs w:val="24"/>
              </w:rPr>
              <w:t>）第一次磋商报价表填写符合要求；</w:t>
            </w:r>
          </w:p>
          <w:p>
            <w:pPr>
              <w:spacing w:line="320" w:lineRule="exact"/>
              <w:rPr>
                <w:rFonts w:ascii="宋体" w:hAnsi="宋体"/>
                <w:color w:val="auto"/>
                <w:sz w:val="24"/>
                <w:szCs w:val="24"/>
              </w:rPr>
            </w:pPr>
            <w:r>
              <w:rPr>
                <w:rFonts w:hint="eastAsia" w:ascii="宋体" w:hAnsi="宋体"/>
                <w:color w:val="auto"/>
                <w:sz w:val="24"/>
                <w:szCs w:val="24"/>
              </w:rPr>
              <w:t>（</w:t>
            </w:r>
            <w:r>
              <w:rPr>
                <w:rFonts w:hint="eastAsia" w:ascii="仿宋" w:hAnsi="仿宋" w:eastAsia="仿宋" w:cs="仿宋"/>
                <w:color w:val="auto"/>
                <w:sz w:val="24"/>
                <w:szCs w:val="24"/>
              </w:rPr>
              <w:t>2</w:t>
            </w:r>
            <w:r>
              <w:rPr>
                <w:rFonts w:hint="eastAsia" w:ascii="宋体" w:hAnsi="宋体"/>
                <w:color w:val="auto"/>
                <w:sz w:val="24"/>
                <w:szCs w:val="24"/>
              </w:rPr>
              <w:t>）计量单位、报价货币均符合磋商文件要求；</w:t>
            </w:r>
          </w:p>
          <w:p>
            <w:pPr>
              <w:spacing w:line="320" w:lineRule="exact"/>
              <w:rPr>
                <w:rFonts w:ascii="宋体" w:hAnsi="宋体" w:cs="宋体"/>
                <w:color w:val="auto"/>
                <w:sz w:val="24"/>
                <w:szCs w:val="24"/>
              </w:rPr>
            </w:pPr>
            <w:r>
              <w:rPr>
                <w:rFonts w:hint="eastAsia" w:ascii="宋体" w:hAnsi="宋体"/>
                <w:color w:val="auto"/>
                <w:sz w:val="24"/>
                <w:szCs w:val="24"/>
              </w:rPr>
              <w:t>（</w:t>
            </w:r>
            <w:r>
              <w:rPr>
                <w:rFonts w:hint="eastAsia" w:ascii="仿宋" w:hAnsi="仿宋" w:eastAsia="仿宋" w:cs="仿宋"/>
                <w:color w:val="auto"/>
                <w:sz w:val="24"/>
                <w:szCs w:val="24"/>
              </w:rPr>
              <w:t>3</w:t>
            </w:r>
            <w:r>
              <w:rPr>
                <w:rFonts w:hint="eastAsia" w:ascii="宋体" w:hAnsi="宋体"/>
                <w:color w:val="auto"/>
                <w:sz w:val="24"/>
                <w:szCs w:val="24"/>
              </w:rPr>
              <w:t>）第一次磋商报价未超出采购预算或磋商文件规定的最高限价。</w:t>
            </w:r>
          </w:p>
        </w:tc>
        <w:tc>
          <w:tcPr>
            <w:tcW w:w="910" w:type="dxa"/>
            <w:vAlign w:val="center"/>
          </w:tcPr>
          <w:p>
            <w:pPr>
              <w:spacing w:line="320" w:lineRule="exact"/>
              <w:jc w:val="center"/>
              <w:rPr>
                <w:rFonts w:ascii="宋体" w:hAnsi="宋体" w:cs="宋体"/>
                <w:b/>
                <w:bCs/>
                <w:color w:val="auto"/>
                <w:kern w:val="0"/>
                <w:sz w:val="24"/>
                <w:szCs w:val="24"/>
              </w:rPr>
            </w:pPr>
          </w:p>
        </w:tc>
        <w:tc>
          <w:tcPr>
            <w:tcW w:w="1440" w:type="dxa"/>
            <w:vAlign w:val="center"/>
          </w:tcPr>
          <w:p>
            <w:pPr>
              <w:spacing w:line="320" w:lineRule="exact"/>
              <w:jc w:val="center"/>
              <w:rPr>
                <w:rFonts w:ascii="宋体" w:hAnsi="宋体" w:cs="宋体"/>
                <w:b/>
                <w:bCs/>
                <w:color w:val="auto"/>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04" w:type="dxa"/>
            <w:vAlign w:val="center"/>
          </w:tcPr>
          <w:p>
            <w:pPr>
              <w:spacing w:line="320" w:lineRule="exact"/>
              <w:jc w:val="center"/>
              <w:rPr>
                <w:rFonts w:ascii="宋体" w:hAnsi="宋体" w:cs="宋体"/>
                <w:bCs/>
                <w:color w:val="auto"/>
                <w:kern w:val="0"/>
                <w:sz w:val="24"/>
                <w:szCs w:val="24"/>
              </w:rPr>
            </w:pPr>
            <w:r>
              <w:rPr>
                <w:rFonts w:hint="eastAsia" w:ascii="仿宋" w:hAnsi="仿宋" w:eastAsia="仿宋" w:cs="仿宋"/>
                <w:bCs/>
                <w:color w:val="auto"/>
                <w:kern w:val="0"/>
                <w:sz w:val="24"/>
                <w:szCs w:val="24"/>
              </w:rPr>
              <w:t>6</w:t>
            </w:r>
          </w:p>
        </w:tc>
        <w:tc>
          <w:tcPr>
            <w:tcW w:w="2431" w:type="dxa"/>
            <w:vAlign w:val="center"/>
          </w:tcPr>
          <w:p>
            <w:pPr>
              <w:spacing w:line="360" w:lineRule="exact"/>
              <w:rPr>
                <w:rFonts w:ascii="华文仿宋" w:hAnsi="华文仿宋" w:cs="华文仿宋"/>
                <w:bCs/>
                <w:color w:val="auto"/>
                <w:kern w:val="0"/>
                <w:sz w:val="24"/>
                <w:szCs w:val="24"/>
              </w:rPr>
            </w:pPr>
            <w:r>
              <w:rPr>
                <w:rFonts w:hint="eastAsia" w:ascii="华文仿宋" w:hAnsi="华文仿宋" w:cs="华文仿宋"/>
                <w:color w:val="auto"/>
                <w:sz w:val="24"/>
                <w:szCs w:val="24"/>
              </w:rPr>
              <w:t>技术服务要求</w:t>
            </w:r>
          </w:p>
        </w:tc>
        <w:tc>
          <w:tcPr>
            <w:tcW w:w="4172" w:type="dxa"/>
            <w:vAlign w:val="center"/>
          </w:tcPr>
          <w:p>
            <w:pPr>
              <w:spacing w:line="320" w:lineRule="exact"/>
              <w:jc w:val="left"/>
              <w:rPr>
                <w:rFonts w:ascii="宋体" w:hAnsi="宋体" w:cs="宋体"/>
                <w:bCs/>
                <w:color w:val="auto"/>
                <w:kern w:val="0"/>
                <w:sz w:val="24"/>
                <w:szCs w:val="24"/>
              </w:rPr>
            </w:pPr>
            <w:r>
              <w:rPr>
                <w:rFonts w:ascii="宋体" w:hAnsi="宋体" w:cs="宋体"/>
                <w:bCs/>
                <w:color w:val="auto"/>
                <w:kern w:val="0"/>
                <w:sz w:val="24"/>
                <w:szCs w:val="24"/>
              </w:rPr>
              <w:t>完全理解并接受对合格供应商、合格的货物、工程或服务要求，根</w:t>
            </w:r>
            <w:bookmarkStart w:id="431" w:name="_GoBack"/>
            <w:bookmarkEnd w:id="431"/>
            <w:r>
              <w:rPr>
                <w:rFonts w:ascii="宋体" w:hAnsi="宋体" w:cs="宋体"/>
                <w:bCs/>
                <w:color w:val="auto"/>
                <w:kern w:val="0"/>
                <w:sz w:val="24"/>
                <w:szCs w:val="24"/>
              </w:rPr>
              <w:t>据响应文件中《技术服务偏差表》，第三章“</w:t>
            </w:r>
            <w:r>
              <w:rPr>
                <w:rFonts w:hint="eastAsia" w:ascii="华文仿宋" w:hAnsi="华文仿宋" w:cs="华文仿宋"/>
                <w:b/>
                <w:sz w:val="28"/>
                <w:szCs w:val="28"/>
                <w:lang w:val="en-US" w:eastAsia="zh-CN"/>
              </w:rPr>
              <w:t>★</w:t>
            </w:r>
            <w:r>
              <w:rPr>
                <w:rFonts w:ascii="宋体" w:hAnsi="宋体" w:cs="宋体"/>
                <w:bCs/>
                <w:color w:val="auto"/>
                <w:kern w:val="0"/>
                <w:sz w:val="24"/>
                <w:szCs w:val="24"/>
              </w:rPr>
              <w:t>”标识的实质性要求没有负偏离。</w:t>
            </w:r>
          </w:p>
        </w:tc>
        <w:tc>
          <w:tcPr>
            <w:tcW w:w="910" w:type="dxa"/>
            <w:vAlign w:val="center"/>
          </w:tcPr>
          <w:p>
            <w:pPr>
              <w:spacing w:line="320" w:lineRule="exact"/>
              <w:jc w:val="center"/>
              <w:rPr>
                <w:rFonts w:ascii="宋体" w:hAnsi="宋体" w:cs="宋体"/>
                <w:b/>
                <w:bCs/>
                <w:color w:val="auto"/>
                <w:kern w:val="0"/>
                <w:sz w:val="24"/>
                <w:szCs w:val="24"/>
                <w:highlight w:val="yellow"/>
              </w:rPr>
            </w:pPr>
          </w:p>
        </w:tc>
        <w:tc>
          <w:tcPr>
            <w:tcW w:w="1440" w:type="dxa"/>
            <w:vAlign w:val="center"/>
          </w:tcPr>
          <w:p>
            <w:pPr>
              <w:spacing w:line="320" w:lineRule="exact"/>
              <w:jc w:val="center"/>
              <w:rPr>
                <w:rFonts w:ascii="宋体" w:hAnsi="宋体" w:cs="宋体"/>
                <w:b/>
                <w:bCs/>
                <w:color w:val="auto"/>
                <w:kern w:val="0"/>
                <w:sz w:val="24"/>
                <w:szCs w:val="24"/>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04" w:type="dxa"/>
            <w:vAlign w:val="center"/>
          </w:tcPr>
          <w:p>
            <w:pPr>
              <w:spacing w:line="320" w:lineRule="exact"/>
              <w:jc w:val="center"/>
              <w:rPr>
                <w:rFonts w:ascii="宋体" w:hAnsi="宋体" w:cs="宋体"/>
                <w:bCs/>
                <w:color w:val="auto"/>
                <w:kern w:val="0"/>
                <w:sz w:val="24"/>
                <w:szCs w:val="24"/>
              </w:rPr>
            </w:pPr>
            <w:r>
              <w:rPr>
                <w:rFonts w:hint="eastAsia" w:ascii="仿宋" w:hAnsi="仿宋" w:eastAsia="仿宋" w:cs="仿宋"/>
                <w:bCs/>
                <w:color w:val="auto"/>
                <w:kern w:val="0"/>
                <w:sz w:val="24"/>
                <w:szCs w:val="24"/>
              </w:rPr>
              <w:t>7</w:t>
            </w:r>
          </w:p>
        </w:tc>
        <w:tc>
          <w:tcPr>
            <w:tcW w:w="2431" w:type="dxa"/>
            <w:vAlign w:val="center"/>
          </w:tcPr>
          <w:p>
            <w:pPr>
              <w:spacing w:line="360" w:lineRule="exact"/>
              <w:jc w:val="left"/>
              <w:rPr>
                <w:rFonts w:ascii="华文仿宋" w:hAnsi="华文仿宋" w:cs="华文仿宋"/>
                <w:bCs/>
                <w:color w:val="auto"/>
                <w:kern w:val="0"/>
                <w:sz w:val="24"/>
                <w:szCs w:val="24"/>
              </w:rPr>
            </w:pPr>
            <w:r>
              <w:rPr>
                <w:rFonts w:hint="eastAsia" w:ascii="华文仿宋" w:hAnsi="华文仿宋" w:cs="华文仿宋"/>
                <w:color w:val="auto"/>
                <w:sz w:val="24"/>
                <w:szCs w:val="24"/>
              </w:rPr>
              <w:t>无其他磋商文件或法规明确规定响应无效的事项</w:t>
            </w:r>
          </w:p>
        </w:tc>
        <w:tc>
          <w:tcPr>
            <w:tcW w:w="4172" w:type="dxa"/>
            <w:vAlign w:val="center"/>
          </w:tcPr>
          <w:p>
            <w:pPr>
              <w:spacing w:line="370" w:lineRule="exact"/>
              <w:jc w:val="left"/>
              <w:rPr>
                <w:rFonts w:ascii="华文仿宋" w:hAnsi="华文仿宋" w:cs="华文仿宋"/>
                <w:bCs/>
                <w:color w:val="auto"/>
                <w:kern w:val="0"/>
                <w:sz w:val="24"/>
                <w:szCs w:val="24"/>
              </w:rPr>
            </w:pPr>
            <w:r>
              <w:rPr>
                <w:rFonts w:hint="eastAsia" w:ascii="华文仿宋" w:hAnsi="华文仿宋" w:cs="华文仿宋"/>
                <w:color w:val="auto"/>
                <w:sz w:val="24"/>
                <w:szCs w:val="24"/>
              </w:rPr>
              <w:t>没有不符合磋商文件规定的被视为无效响应的其他条款。</w:t>
            </w:r>
          </w:p>
        </w:tc>
        <w:tc>
          <w:tcPr>
            <w:tcW w:w="910" w:type="dxa"/>
            <w:vAlign w:val="center"/>
          </w:tcPr>
          <w:p>
            <w:pPr>
              <w:spacing w:line="320" w:lineRule="exact"/>
              <w:jc w:val="center"/>
              <w:rPr>
                <w:rFonts w:ascii="宋体" w:hAnsi="宋体" w:cs="宋体"/>
                <w:b/>
                <w:bCs/>
                <w:color w:val="auto"/>
                <w:kern w:val="0"/>
                <w:sz w:val="24"/>
                <w:szCs w:val="24"/>
                <w:highlight w:val="yellow"/>
              </w:rPr>
            </w:pPr>
          </w:p>
        </w:tc>
        <w:tc>
          <w:tcPr>
            <w:tcW w:w="1440" w:type="dxa"/>
            <w:vAlign w:val="center"/>
          </w:tcPr>
          <w:p>
            <w:pPr>
              <w:spacing w:line="320" w:lineRule="exact"/>
              <w:jc w:val="center"/>
              <w:rPr>
                <w:rFonts w:ascii="宋体" w:hAnsi="宋体" w:cs="宋体"/>
                <w:b/>
                <w:bCs/>
                <w:color w:val="auto"/>
                <w:kern w:val="0"/>
                <w:sz w:val="24"/>
                <w:szCs w:val="24"/>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04" w:type="dxa"/>
            <w:vAlign w:val="center"/>
          </w:tcPr>
          <w:p>
            <w:pPr>
              <w:spacing w:line="320" w:lineRule="exact"/>
              <w:jc w:val="center"/>
              <w:rPr>
                <w:rFonts w:ascii="宋体" w:hAnsi="宋体" w:cs="宋体"/>
                <w:bCs/>
                <w:color w:val="auto"/>
                <w:kern w:val="0"/>
                <w:sz w:val="24"/>
                <w:szCs w:val="24"/>
              </w:rPr>
            </w:pPr>
            <w:r>
              <w:rPr>
                <w:rFonts w:hint="eastAsia" w:ascii="仿宋" w:hAnsi="仿宋" w:eastAsia="仿宋" w:cs="仿宋"/>
                <w:bCs/>
                <w:color w:val="auto"/>
                <w:kern w:val="0"/>
                <w:sz w:val="24"/>
                <w:szCs w:val="24"/>
              </w:rPr>
              <w:t>8</w:t>
            </w:r>
          </w:p>
        </w:tc>
        <w:tc>
          <w:tcPr>
            <w:tcW w:w="2431" w:type="dxa"/>
            <w:vAlign w:val="center"/>
          </w:tcPr>
          <w:p>
            <w:pPr>
              <w:spacing w:line="320" w:lineRule="exact"/>
              <w:rPr>
                <w:rFonts w:ascii="宋体" w:hAnsi="宋体" w:eastAsia="仿宋" w:cs="宋体"/>
                <w:bCs/>
                <w:color w:val="auto"/>
                <w:kern w:val="0"/>
                <w:sz w:val="24"/>
                <w:szCs w:val="24"/>
              </w:rPr>
            </w:pPr>
            <w:r>
              <w:rPr>
                <w:rFonts w:hint="eastAsia" w:ascii="华文仿宋" w:hAnsi="华文仿宋" w:cs="华文仿宋"/>
                <w:bCs/>
                <w:color w:val="auto"/>
                <w:kern w:val="0"/>
                <w:sz w:val="24"/>
                <w:szCs w:val="24"/>
              </w:rPr>
              <w:t>合同条款响应</w:t>
            </w:r>
          </w:p>
        </w:tc>
        <w:tc>
          <w:tcPr>
            <w:tcW w:w="4172" w:type="dxa"/>
            <w:vAlign w:val="center"/>
          </w:tcPr>
          <w:p>
            <w:pPr>
              <w:spacing w:line="320" w:lineRule="exact"/>
              <w:rPr>
                <w:rFonts w:ascii="宋体" w:hAnsi="宋体"/>
                <w:color w:val="auto"/>
                <w:sz w:val="24"/>
                <w:szCs w:val="24"/>
              </w:rPr>
            </w:pPr>
            <w:r>
              <w:rPr>
                <w:rFonts w:hint="eastAsia" w:ascii="华文仿宋" w:hAnsi="华文仿宋" w:cs="华文仿宋"/>
                <w:color w:val="auto"/>
                <w:sz w:val="24"/>
                <w:szCs w:val="24"/>
              </w:rPr>
              <w:t>有完全理解并接受磋商文件合同基本条款要求的描述。</w:t>
            </w:r>
          </w:p>
        </w:tc>
        <w:tc>
          <w:tcPr>
            <w:tcW w:w="910" w:type="dxa"/>
            <w:vAlign w:val="center"/>
          </w:tcPr>
          <w:p>
            <w:pPr>
              <w:spacing w:line="320" w:lineRule="exact"/>
              <w:jc w:val="center"/>
              <w:rPr>
                <w:rFonts w:ascii="宋体" w:hAnsi="宋体" w:cs="宋体"/>
                <w:b/>
                <w:bCs/>
                <w:color w:val="auto"/>
                <w:kern w:val="0"/>
                <w:sz w:val="24"/>
                <w:szCs w:val="24"/>
                <w:highlight w:val="yellow"/>
              </w:rPr>
            </w:pPr>
          </w:p>
        </w:tc>
        <w:tc>
          <w:tcPr>
            <w:tcW w:w="1440" w:type="dxa"/>
            <w:vAlign w:val="center"/>
          </w:tcPr>
          <w:p>
            <w:pPr>
              <w:spacing w:line="320" w:lineRule="exact"/>
              <w:jc w:val="center"/>
              <w:rPr>
                <w:rFonts w:ascii="宋体" w:hAnsi="宋体" w:cs="宋体"/>
                <w:b/>
                <w:bCs/>
                <w:color w:val="auto"/>
                <w:kern w:val="0"/>
                <w:sz w:val="24"/>
                <w:szCs w:val="24"/>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3" w:hRule="atLeast"/>
          <w:jc w:val="center"/>
        </w:trPr>
        <w:tc>
          <w:tcPr>
            <w:tcW w:w="9657" w:type="dxa"/>
            <w:gridSpan w:val="5"/>
            <w:vAlign w:val="center"/>
          </w:tcPr>
          <w:p>
            <w:pPr>
              <w:spacing w:line="240" w:lineRule="auto"/>
              <w:rPr>
                <w:rFonts w:ascii="宋体" w:hAnsi="宋体" w:cs="宋体"/>
                <w:b/>
                <w:bCs/>
                <w:color w:val="auto"/>
                <w:kern w:val="0"/>
                <w:sz w:val="24"/>
                <w:szCs w:val="24"/>
              </w:rPr>
            </w:pPr>
            <w:r>
              <w:rPr>
                <w:rFonts w:hint="eastAsia" w:ascii="宋体" w:hAnsi="宋体" w:cs="宋体"/>
                <w:b/>
                <w:bCs/>
                <w:color w:val="auto"/>
                <w:kern w:val="0"/>
                <w:sz w:val="24"/>
                <w:szCs w:val="24"/>
              </w:rPr>
              <w:t>磋商小组成员：（签字或盖章）</w:t>
            </w:r>
          </w:p>
        </w:tc>
      </w:tr>
    </w:tbl>
    <w:p>
      <w:pPr>
        <w:spacing w:line="500" w:lineRule="exact"/>
        <w:ind w:firstLine="566" w:firstLineChars="200"/>
        <w:rPr>
          <w:rFonts w:ascii="华文仿宋" w:hAnsi="华文仿宋" w:cs="华文仿宋"/>
          <w:b/>
          <w:color w:val="auto"/>
        </w:rPr>
      </w:pPr>
      <w:r>
        <w:rPr>
          <w:rFonts w:hint="eastAsia" w:ascii="华文仿宋" w:hAnsi="华文仿宋" w:cs="华文仿宋"/>
          <w:b/>
          <w:color w:val="auto"/>
        </w:rPr>
        <w:t>3、响应文件的澄清</w:t>
      </w:r>
    </w:p>
    <w:p>
      <w:pPr>
        <w:spacing w:line="500" w:lineRule="exact"/>
        <w:ind w:firstLine="566" w:firstLineChars="200"/>
        <w:rPr>
          <w:rFonts w:ascii="华文仿宋" w:hAnsi="华文仿宋" w:cs="华文仿宋"/>
          <w:color w:val="auto"/>
        </w:rPr>
      </w:pPr>
      <w:r>
        <w:rPr>
          <w:rFonts w:hint="eastAsia" w:ascii="华文仿宋" w:hAnsi="华文仿宋" w:cs="华文仿宋"/>
          <w:color w:val="auto"/>
        </w:rPr>
        <w:t>（1）磋商小组在对响应文件的有效性、完整性和响应程度进行审查时，可以要求供应商对响应文件中含义不明确、同类问题表述不一致或者有明显文字和计算错误的内容等做出必要的澄清、说明或者更正。</w:t>
      </w:r>
    </w:p>
    <w:p>
      <w:pPr>
        <w:spacing w:line="500" w:lineRule="exact"/>
        <w:ind w:firstLine="566" w:firstLineChars="200"/>
        <w:rPr>
          <w:rFonts w:ascii="华文仿宋" w:hAnsi="华文仿宋" w:cs="华文仿宋"/>
          <w:color w:val="auto"/>
        </w:rPr>
      </w:pPr>
      <w:r>
        <w:rPr>
          <w:rFonts w:hint="eastAsia" w:ascii="华文仿宋" w:hAnsi="华文仿宋" w:cs="华文仿宋"/>
          <w:color w:val="auto"/>
        </w:rPr>
        <w:t>（2）依照民法中的过失责任原则，澄清、说明或更正前磋商小组将按最不利于参与本次磋商供应商的原则对响应文件做出评判。</w:t>
      </w:r>
    </w:p>
    <w:p>
      <w:pPr>
        <w:spacing w:line="500" w:lineRule="exact"/>
        <w:ind w:firstLine="566" w:firstLineChars="200"/>
        <w:rPr>
          <w:rFonts w:hint="eastAsia" w:ascii="华文仿宋" w:hAnsi="华文仿宋" w:cs="华文仿宋"/>
          <w:color w:val="auto"/>
          <w:highlight w:val="none"/>
        </w:rPr>
      </w:pPr>
      <w:r>
        <w:rPr>
          <w:rFonts w:hint="eastAsia" w:ascii="华文仿宋" w:hAnsi="华文仿宋" w:cs="华文仿宋"/>
          <w:color w:val="auto"/>
        </w:rPr>
        <w:t>（3）</w:t>
      </w:r>
      <w:r>
        <w:rPr>
          <w:rFonts w:hint="eastAsia" w:ascii="华文仿宋" w:hAnsi="华文仿宋" w:cs="华文仿宋"/>
          <w:color w:val="auto"/>
          <w:highlight w:val="none"/>
        </w:rPr>
        <w:t>磋商小组要求供应商澄清、说明或者更正响应文件应</w:t>
      </w:r>
      <w:r>
        <w:rPr>
          <w:rFonts w:hint="eastAsia" w:ascii="华文仿宋" w:hAnsi="华文仿宋" w:cs="华文仿宋"/>
          <w:color w:val="auto"/>
          <w:highlight w:val="none"/>
          <w:lang w:val="en-US" w:eastAsia="zh-CN"/>
        </w:rPr>
        <w:t>当以</w:t>
      </w:r>
      <w:r>
        <w:rPr>
          <w:rFonts w:hint="eastAsia" w:ascii="华文仿宋" w:hAnsi="华文仿宋" w:cs="华文仿宋"/>
          <w:color w:val="auto"/>
          <w:highlight w:val="none"/>
        </w:rPr>
        <w:t>书面形式做出。供应商应当在规定的澄清时限内</w:t>
      </w:r>
      <w:r>
        <w:rPr>
          <w:rFonts w:hint="eastAsia" w:ascii="华文仿宋" w:hAnsi="华文仿宋" w:cs="华文仿宋"/>
          <w:color w:val="auto"/>
          <w:highlight w:val="none"/>
          <w:lang w:val="en-US" w:eastAsia="zh-CN"/>
        </w:rPr>
        <w:t>以</w:t>
      </w:r>
      <w:r>
        <w:rPr>
          <w:rFonts w:hint="eastAsia" w:ascii="华文仿宋" w:hAnsi="华文仿宋" w:cs="华文仿宋"/>
          <w:color w:val="auto"/>
          <w:highlight w:val="none"/>
        </w:rPr>
        <w:t>书面形式提交，供应商的澄清、说明或者更正应当由法定代表人或其授权代表签字或者加盖公章。</w:t>
      </w:r>
    </w:p>
    <w:p>
      <w:pPr>
        <w:spacing w:line="500" w:lineRule="exact"/>
        <w:ind w:firstLine="566" w:firstLineChars="200"/>
        <w:rPr>
          <w:rFonts w:ascii="华文仿宋" w:hAnsi="华文仿宋" w:cs="华文仿宋"/>
          <w:color w:val="auto"/>
        </w:rPr>
      </w:pPr>
      <w:r>
        <w:rPr>
          <w:rFonts w:hint="eastAsia" w:ascii="华文仿宋" w:hAnsi="华文仿宋" w:cs="华文仿宋"/>
          <w:color w:val="auto"/>
        </w:rPr>
        <w:t>（4）供应商的澄清、说明或者更正不得超出响应文件的范围或者改变响应文件的实质性内容。澄清、说明或者更正的内容将作为</w:t>
      </w:r>
      <w:r>
        <w:rPr>
          <w:rFonts w:hint="eastAsia" w:ascii="华文仿宋" w:hAnsi="华文仿宋" w:cs="华文仿宋"/>
          <w:color w:val="auto"/>
          <w:kern w:val="0"/>
        </w:rPr>
        <w:t>合同</w:t>
      </w:r>
      <w:r>
        <w:rPr>
          <w:rFonts w:hint="eastAsia" w:ascii="华文仿宋" w:hAnsi="华文仿宋" w:cs="华文仿宋"/>
          <w:color w:val="auto"/>
        </w:rPr>
        <w:t>履行的重要依据。</w:t>
      </w:r>
    </w:p>
    <w:p>
      <w:pPr>
        <w:keepNext w:val="0"/>
        <w:keepLines w:val="0"/>
        <w:pageBreakBefore w:val="0"/>
        <w:widowControl/>
        <w:kinsoku/>
        <w:wordWrap/>
        <w:overflowPunct/>
        <w:topLinePunct w:val="0"/>
        <w:autoSpaceDE/>
        <w:autoSpaceDN/>
        <w:bidi w:val="0"/>
        <w:adjustRightInd/>
        <w:snapToGrid/>
        <w:spacing w:line="500" w:lineRule="exact"/>
        <w:ind w:firstLine="566" w:firstLineChars="200"/>
        <w:contextualSpacing/>
        <w:textAlignment w:val="auto"/>
        <w:rPr>
          <w:rFonts w:hint="eastAsia" w:ascii="华文仿宋" w:hAnsi="华文仿宋" w:cs="华文仿宋"/>
          <w:b/>
          <w:color w:val="auto"/>
        </w:rPr>
      </w:pPr>
      <w:r>
        <w:rPr>
          <w:rFonts w:hint="eastAsia" w:ascii="华文仿宋" w:hAnsi="华文仿宋" w:cs="华文仿宋"/>
          <w:b/>
          <w:color w:val="auto"/>
        </w:rPr>
        <w:t>4、进行磋商</w:t>
      </w:r>
    </w:p>
    <w:p>
      <w:pPr>
        <w:keepNext w:val="0"/>
        <w:keepLines w:val="0"/>
        <w:pageBreakBefore w:val="0"/>
        <w:widowControl w:val="0"/>
        <w:kinsoku/>
        <w:wordWrap/>
        <w:overflowPunct/>
        <w:topLinePunct w:val="0"/>
        <w:autoSpaceDE/>
        <w:autoSpaceDN/>
        <w:bidi w:val="0"/>
        <w:adjustRightInd/>
        <w:snapToGrid/>
        <w:spacing w:line="500" w:lineRule="exact"/>
        <w:ind w:firstLine="566" w:firstLineChars="200"/>
        <w:contextualSpacing/>
        <w:textAlignment w:val="auto"/>
        <w:rPr>
          <w:color w:val="auto"/>
          <w:highlight w:val="none"/>
        </w:rPr>
      </w:pPr>
      <w:r>
        <w:rPr>
          <w:rFonts w:hint="eastAsia" w:ascii="华文仿宋" w:hAnsi="华文仿宋" w:cs="华文仿宋"/>
          <w:bCs/>
          <w:color w:val="auto"/>
          <w:highlight w:val="none"/>
        </w:rPr>
        <w:t>磋商小组所有成员应当集中与单一供应商分别进行磋商，并给予所有参加磋商的供应商平等的磋商机会。需要供应商书面答复磋商内容的，</w:t>
      </w:r>
      <w:r>
        <w:rPr>
          <w:rFonts w:hint="eastAsia" w:ascii="华文仿宋" w:hAnsi="华文仿宋" w:cs="华文仿宋"/>
          <w:color w:val="auto"/>
          <w:highlight w:val="none"/>
        </w:rPr>
        <w:t>供应商应当按照磋商小组的要求，在磋商小组规定的时限内书面答复磋商的内容。并由法定代表人或其授权代表签字或者加盖公章。</w:t>
      </w:r>
    </w:p>
    <w:p>
      <w:pPr>
        <w:spacing w:line="500" w:lineRule="exact"/>
        <w:ind w:firstLine="566" w:firstLineChars="200"/>
        <w:contextualSpacing/>
        <w:rPr>
          <w:rFonts w:ascii="华文仿宋" w:hAnsi="华文仿宋" w:cs="华文仿宋"/>
          <w:b/>
          <w:color w:val="auto"/>
        </w:rPr>
      </w:pPr>
      <w:r>
        <w:rPr>
          <w:rFonts w:hint="eastAsia" w:ascii="华文仿宋" w:hAnsi="华文仿宋" w:cs="华文仿宋"/>
          <w:b/>
          <w:color w:val="auto"/>
        </w:rPr>
        <w:t>5、磋商文件的实质性变更</w:t>
      </w:r>
    </w:p>
    <w:p>
      <w:pPr>
        <w:spacing w:line="500" w:lineRule="exact"/>
        <w:ind w:firstLine="566" w:firstLineChars="200"/>
        <w:contextualSpacing/>
        <w:rPr>
          <w:rFonts w:ascii="华文仿宋" w:hAnsi="华文仿宋" w:cs="华文仿宋"/>
          <w:color w:val="auto"/>
          <w:highlight w:val="none"/>
        </w:rPr>
      </w:pPr>
      <w:r>
        <w:rPr>
          <w:rFonts w:hint="eastAsia" w:ascii="华文仿宋" w:hAnsi="华文仿宋" w:cs="华文仿宋"/>
          <w:color w:val="auto"/>
        </w:rPr>
        <w:t>（1）</w:t>
      </w:r>
      <w:r>
        <w:rPr>
          <w:rFonts w:hint="eastAsia" w:ascii="华文仿宋" w:hAnsi="华文仿宋" w:cs="华文仿宋"/>
          <w:color w:val="auto"/>
          <w:highlight w:val="none"/>
        </w:rPr>
        <w:t>在磋商过程中，磋商小组可以根据磋商文件和磋商情况实质性变动采购需求中的技术、服务要求以及合同基本条款，但不得变动磋商文件中的其他内容。实质性变动的内容，须经采购人代表确认。</w:t>
      </w:r>
    </w:p>
    <w:p>
      <w:pPr>
        <w:spacing w:line="500" w:lineRule="exact"/>
        <w:ind w:firstLine="566" w:firstLineChars="200"/>
        <w:contextualSpacing/>
        <w:rPr>
          <w:rFonts w:ascii="华文仿宋" w:hAnsi="华文仿宋" w:cs="华文仿宋"/>
          <w:color w:val="auto"/>
          <w:highlight w:val="none"/>
        </w:rPr>
      </w:pPr>
      <w:r>
        <w:rPr>
          <w:rFonts w:hint="eastAsia" w:ascii="华文仿宋" w:hAnsi="华文仿宋" w:cs="华文仿宋"/>
          <w:color w:val="auto"/>
        </w:rPr>
        <w:t>（2）</w:t>
      </w:r>
      <w:r>
        <w:rPr>
          <w:rFonts w:hint="eastAsia" w:ascii="华文仿宋" w:hAnsi="华文仿宋" w:cs="华文仿宋"/>
          <w:color w:val="auto"/>
          <w:highlight w:val="none"/>
        </w:rPr>
        <w:t>对磋商文件作出的实质性变动是磋商文件的有效组成部分，磋商小组将以书面形式通知所有参加磋商的供应商。</w:t>
      </w:r>
    </w:p>
    <w:p>
      <w:pPr>
        <w:spacing w:line="500" w:lineRule="exact"/>
        <w:ind w:firstLine="566" w:firstLineChars="200"/>
        <w:contextualSpacing/>
        <w:rPr>
          <w:color w:val="auto"/>
          <w:highlight w:val="none"/>
        </w:rPr>
      </w:pPr>
      <w:r>
        <w:rPr>
          <w:rFonts w:hint="eastAsia" w:ascii="华文仿宋" w:hAnsi="华文仿宋" w:cs="华文仿宋"/>
          <w:color w:val="auto"/>
        </w:rPr>
        <w:t>（3）</w:t>
      </w:r>
      <w:r>
        <w:rPr>
          <w:rFonts w:hint="eastAsia" w:ascii="华文仿宋" w:hAnsi="华文仿宋" w:cs="华文仿宋"/>
          <w:color w:val="auto"/>
          <w:highlight w:val="none"/>
        </w:rPr>
        <w:t>供应商应当按照磋商文件的变动情况和磋商小组的要求，在磋商小组规定的时限内重新提交响应文件，并用数字认证证书（CA锁）签章或由法定代表人或其授权代表签字或者加盖公章。</w:t>
      </w:r>
    </w:p>
    <w:p>
      <w:pPr>
        <w:pStyle w:val="22"/>
        <w:keepNext w:val="0"/>
        <w:keepLines w:val="0"/>
        <w:pageBreakBefore w:val="0"/>
        <w:widowControl/>
        <w:kinsoku/>
        <w:wordWrap/>
        <w:overflowPunct/>
        <w:topLinePunct w:val="0"/>
        <w:autoSpaceDE/>
        <w:autoSpaceDN/>
        <w:bidi w:val="0"/>
        <w:adjustRightInd/>
        <w:snapToGrid/>
        <w:spacing w:line="500" w:lineRule="exact"/>
        <w:ind w:firstLine="566" w:firstLineChars="200"/>
        <w:textAlignment w:val="auto"/>
        <w:rPr>
          <w:rFonts w:hint="eastAsia" w:ascii="华文仿宋" w:hAnsi="华文仿宋" w:eastAsia="华文仿宋" w:cs="华文仿宋"/>
          <w:color w:val="auto"/>
          <w:kern w:val="2"/>
          <w:sz w:val="28"/>
          <w:szCs w:val="28"/>
          <w:highlight w:val="none"/>
          <w:lang w:val="en-US" w:eastAsia="zh-CN" w:bidi="ar-SA"/>
        </w:rPr>
      </w:pPr>
      <w:r>
        <w:rPr>
          <w:rFonts w:hint="eastAsia" w:ascii="华文仿宋" w:hAnsi="华文仿宋" w:cs="华文仿宋"/>
          <w:color w:val="auto"/>
          <w:sz w:val="28"/>
          <w:szCs w:val="28"/>
        </w:rPr>
        <w:t>（4）</w:t>
      </w:r>
      <w:r>
        <w:rPr>
          <w:rFonts w:hint="eastAsia" w:ascii="华文仿宋" w:hAnsi="华文仿宋" w:eastAsia="华文仿宋" w:cs="华文仿宋"/>
          <w:color w:val="auto"/>
          <w:kern w:val="2"/>
          <w:sz w:val="28"/>
          <w:szCs w:val="28"/>
          <w:highlight w:val="none"/>
          <w:lang w:val="en-US" w:eastAsia="zh-CN" w:bidi="ar-SA"/>
        </w:rPr>
        <w:t>供应商未能在规定的时间内按照磋商小组的要求书面提交实质性变更响应文件的，视作未实质性响应。</w:t>
      </w:r>
    </w:p>
    <w:p>
      <w:pPr>
        <w:spacing w:line="500" w:lineRule="exact"/>
        <w:ind w:firstLine="566" w:firstLineChars="200"/>
        <w:contextualSpacing/>
        <w:rPr>
          <w:rFonts w:ascii="华文仿宋" w:hAnsi="华文仿宋" w:cs="华文仿宋"/>
          <w:b/>
          <w:color w:val="auto"/>
        </w:rPr>
      </w:pPr>
      <w:r>
        <w:rPr>
          <w:rFonts w:hint="eastAsia" w:ascii="华文仿宋" w:hAnsi="华文仿宋" w:cs="华文仿宋"/>
          <w:b/>
          <w:color w:val="auto"/>
        </w:rPr>
        <w:t>6、最后报价</w:t>
      </w:r>
    </w:p>
    <w:p>
      <w:pPr>
        <w:spacing w:line="500" w:lineRule="exact"/>
        <w:ind w:firstLine="566" w:firstLineChars="200"/>
        <w:contextualSpacing/>
        <w:rPr>
          <w:rFonts w:ascii="华文仿宋" w:hAnsi="华文仿宋" w:cs="华文仿宋"/>
          <w:color w:val="auto"/>
        </w:rPr>
      </w:pPr>
      <w:r>
        <w:rPr>
          <w:rFonts w:hint="eastAsia" w:ascii="华文仿宋" w:hAnsi="华文仿宋" w:cs="华文仿宋"/>
          <w:color w:val="auto"/>
        </w:rPr>
        <w:t>（1）磋商文件能够详细列明采购标的的技术、服务要求的，磋商结束后，磋商小组应当要求所有实质性响应的供应商在规定时间内提交最后报价，提交最后报价的供应商不得少于</w:t>
      </w:r>
      <w:r>
        <w:rPr>
          <w:rFonts w:hint="eastAsia" w:ascii="仿宋" w:hAnsi="仿宋" w:eastAsia="仿宋" w:cs="仿宋"/>
          <w:color w:val="auto"/>
        </w:rPr>
        <w:t>3</w:t>
      </w:r>
      <w:r>
        <w:rPr>
          <w:rFonts w:hint="eastAsia" w:ascii="华文仿宋" w:hAnsi="华文仿宋" w:cs="华文仿宋"/>
          <w:color w:val="auto"/>
        </w:rPr>
        <w:t>家。</w:t>
      </w:r>
    </w:p>
    <w:p>
      <w:pPr>
        <w:spacing w:line="500" w:lineRule="exact"/>
        <w:ind w:firstLine="566" w:firstLineChars="200"/>
        <w:contextualSpacing/>
        <w:rPr>
          <w:rFonts w:ascii="华文仿宋" w:hAnsi="华文仿宋" w:cs="华文仿宋"/>
          <w:color w:val="auto"/>
        </w:rPr>
      </w:pPr>
      <w:r>
        <w:rPr>
          <w:rFonts w:hint="eastAsia" w:ascii="华文仿宋" w:hAnsi="华文仿宋" w:cs="华文仿宋"/>
          <w:color w:val="auto"/>
        </w:rPr>
        <w:t>（2）磋商文件不能详细列明采购标的的技术、服务要求，需经磋商由供应商提供最终设计方案或解决方案的，磋商结束后，磋商小组应当按照少数服从多数的原则投票推荐</w:t>
      </w:r>
      <w:r>
        <w:rPr>
          <w:rFonts w:hint="eastAsia" w:ascii="仿宋" w:hAnsi="仿宋" w:eastAsia="仿宋" w:cs="仿宋"/>
          <w:color w:val="auto"/>
        </w:rPr>
        <w:t>3</w:t>
      </w:r>
      <w:r>
        <w:rPr>
          <w:rFonts w:hint="eastAsia" w:ascii="华文仿宋" w:hAnsi="华文仿宋" w:cs="华文仿宋"/>
          <w:color w:val="auto"/>
        </w:rPr>
        <w:t>家以上供应商的设计方案或者解决方案，并要求其在规定时间内提交最后报价。</w:t>
      </w:r>
    </w:p>
    <w:p>
      <w:pPr>
        <w:spacing w:line="500" w:lineRule="exact"/>
        <w:ind w:firstLine="566" w:firstLineChars="200"/>
        <w:contextualSpacing/>
        <w:rPr>
          <w:rFonts w:ascii="华文仿宋" w:hAnsi="华文仿宋" w:cs="华文仿宋"/>
          <w:color w:val="auto"/>
          <w:highlight w:val="none"/>
        </w:rPr>
      </w:pPr>
      <w:r>
        <w:rPr>
          <w:rFonts w:hint="eastAsia" w:ascii="华文仿宋" w:hAnsi="华文仿宋" w:cs="华文仿宋"/>
          <w:color w:val="auto"/>
        </w:rPr>
        <w:t>（3）</w:t>
      </w:r>
      <w:r>
        <w:rPr>
          <w:rFonts w:hint="eastAsia" w:ascii="华文仿宋" w:hAnsi="华文仿宋" w:cs="华文仿宋"/>
          <w:color w:val="auto"/>
          <w:highlight w:val="none"/>
        </w:rPr>
        <w:t>最后报价是供应商响应文件的有效组成部分。符合《政府采购竞争性磋商采购方式管理暂行办法》第三条第四项情形的，即市场竞争不充分的科研项目，以及需要扶持的科技成果转化项目，提交最后报价的供应商可以为</w:t>
      </w:r>
      <w:r>
        <w:rPr>
          <w:rFonts w:hint="eastAsia" w:ascii="华文仿宋" w:hAnsi="华文仿宋" w:eastAsia="华文仿宋" w:cs="华文仿宋"/>
          <w:color w:val="auto"/>
          <w:highlight w:val="none"/>
        </w:rPr>
        <w:t>2</w:t>
      </w:r>
      <w:r>
        <w:rPr>
          <w:rFonts w:hint="eastAsia" w:ascii="华文仿宋" w:hAnsi="华文仿宋" w:cs="华文仿宋"/>
          <w:color w:val="auto"/>
          <w:highlight w:val="none"/>
        </w:rPr>
        <w:t>家。</w:t>
      </w:r>
      <w:r>
        <w:rPr>
          <w:rFonts w:hint="eastAsia" w:ascii="华文仿宋" w:hAnsi="华文仿宋" w:eastAsia="华文仿宋" w:cs="华文仿宋"/>
          <w:color w:val="auto"/>
          <w:highlight w:val="none"/>
        </w:rPr>
        <w:t>根据《财政部关于政府采购竞争性磋商采购方式管理暂行办法有关问题的补充通知》（财库〔2015〕124号），采购的政府购买服务项目（含政府和社会资本合作项目），在采购过程中符合要求的供应商（社会资本）只有2家的，竞争性磋商采购活动可以继续进行。</w:t>
      </w:r>
    </w:p>
    <w:p>
      <w:pPr>
        <w:spacing w:line="500" w:lineRule="exact"/>
        <w:ind w:firstLine="566" w:firstLineChars="200"/>
        <w:contextualSpacing/>
        <w:rPr>
          <w:rFonts w:ascii="华文仿宋" w:hAnsi="华文仿宋" w:cs="华文仿宋"/>
          <w:color w:val="auto"/>
        </w:rPr>
      </w:pPr>
      <w:r>
        <w:rPr>
          <w:rFonts w:hint="eastAsia" w:ascii="华文仿宋" w:hAnsi="华文仿宋" w:cs="华文仿宋"/>
          <w:color w:val="auto"/>
        </w:rPr>
        <w:t>（</w:t>
      </w:r>
      <w:r>
        <w:rPr>
          <w:rFonts w:ascii="华文仿宋" w:hAnsi="华文仿宋" w:cs="华文仿宋"/>
          <w:color w:val="auto"/>
        </w:rPr>
        <w:t>4）</w:t>
      </w:r>
      <w:r>
        <w:rPr>
          <w:rFonts w:hint="eastAsia" w:ascii="华文仿宋" w:hAnsi="华文仿宋" w:cs="华文仿宋"/>
          <w:color w:val="auto"/>
          <w:highlight w:val="none"/>
        </w:rPr>
        <w:t>供应商要在电子交易平台中提交最后报价，并用数字认证证书（CA锁）签章。平台系统无法使用时，供应商要以书面形式提交最后报价。最后报价表应由其法定代表人或授权代表签字或者加盖公章。最后报价将作为综合评分法中价格分的计算依据。</w:t>
      </w:r>
    </w:p>
    <w:p>
      <w:pPr>
        <w:keepNext w:val="0"/>
        <w:keepLines w:val="0"/>
        <w:pageBreakBefore w:val="0"/>
        <w:widowControl/>
        <w:kinsoku/>
        <w:wordWrap/>
        <w:overflowPunct/>
        <w:topLinePunct w:val="0"/>
        <w:autoSpaceDE/>
        <w:autoSpaceDN/>
        <w:bidi w:val="0"/>
        <w:adjustRightInd/>
        <w:snapToGrid/>
        <w:spacing w:line="500" w:lineRule="exact"/>
        <w:ind w:firstLine="566" w:firstLineChars="200"/>
        <w:contextualSpacing/>
        <w:textAlignment w:val="auto"/>
        <w:rPr>
          <w:rFonts w:hint="eastAsia" w:ascii="华文仿宋" w:hAnsi="华文仿宋" w:cs="华文仿宋"/>
          <w:color w:val="auto"/>
          <w:highlight w:val="none"/>
          <w:lang w:val="en-US" w:eastAsia="zh-CN"/>
        </w:rPr>
      </w:pPr>
      <w:r>
        <w:rPr>
          <w:rFonts w:hint="eastAsia" w:ascii="华文仿宋" w:hAnsi="华文仿宋" w:cs="华文仿宋"/>
          <w:color w:val="auto"/>
        </w:rPr>
        <w:t>（5）</w:t>
      </w:r>
      <w:r>
        <w:rPr>
          <w:rFonts w:hint="eastAsia" w:ascii="华文仿宋" w:hAnsi="华文仿宋" w:cs="华文仿宋"/>
          <w:color w:val="auto"/>
          <w:highlight w:val="none"/>
        </w:rPr>
        <w:t>已提交响应文件的供应商，在提交最后报价之前，可以根据磋商情况书面申请退出磋商，书面申请应由其法定代表人或授权代表签字或者加盖公章。陕西省省级单位政府采购中心将退还其所交纳的磋商保证金。</w:t>
      </w:r>
      <w:r>
        <w:rPr>
          <w:rFonts w:hint="eastAsia" w:ascii="华文仿宋" w:hAnsi="华文仿宋" w:cs="华文仿宋"/>
          <w:color w:val="auto"/>
          <w:highlight w:val="none"/>
          <w:lang w:val="en-US" w:eastAsia="zh-CN"/>
        </w:rPr>
        <w:t xml:space="preserve">  </w:t>
      </w:r>
    </w:p>
    <w:p>
      <w:pPr>
        <w:spacing w:line="500" w:lineRule="exact"/>
        <w:ind w:firstLine="566" w:firstLineChars="200"/>
        <w:contextualSpacing/>
        <w:rPr>
          <w:rFonts w:hint="eastAsia" w:ascii="Calibri" w:hAnsi="Calibri"/>
          <w:color w:val="auto"/>
          <w:highlight w:val="none"/>
        </w:rPr>
      </w:pPr>
      <w:r>
        <w:rPr>
          <w:rFonts w:hint="eastAsia" w:ascii="华文仿宋" w:hAnsi="华文仿宋" w:cs="华文仿宋"/>
          <w:color w:val="auto"/>
        </w:rPr>
        <w:t>（6）</w:t>
      </w:r>
      <w:r>
        <w:rPr>
          <w:rFonts w:hint="eastAsia" w:ascii="Calibri" w:hAnsi="Calibri"/>
          <w:color w:val="auto"/>
          <w:highlight w:val="none"/>
        </w:rPr>
        <w:t>磋商</w:t>
      </w:r>
      <w:r>
        <w:rPr>
          <w:rFonts w:ascii="Calibri" w:hAnsi="Calibri"/>
          <w:color w:val="auto"/>
          <w:highlight w:val="none"/>
        </w:rPr>
        <w:t>小组</w:t>
      </w:r>
      <w:r>
        <w:rPr>
          <w:rFonts w:hint="eastAsia" w:ascii="Calibri" w:hAnsi="Calibri"/>
          <w:color w:val="auto"/>
          <w:highlight w:val="none"/>
        </w:rPr>
        <w:t>认为供应商的报价明显低于其他通过符合性和响应性审查供应商的报价，有可能影响产品质量或者不能诚信履约的，要求供应商在规定时间内提供书面说明（必要时提交相关证明材料），供应商不能证明其报价合理性的，按无效响应对待。</w:t>
      </w:r>
    </w:p>
    <w:p>
      <w:pPr>
        <w:spacing w:line="500" w:lineRule="exact"/>
        <w:ind w:firstLine="566" w:firstLineChars="200"/>
        <w:rPr>
          <w:rFonts w:ascii="华文仿宋" w:hAnsi="华文仿宋" w:cs="华文仿宋"/>
          <w:b/>
          <w:color w:val="auto"/>
        </w:rPr>
      </w:pPr>
      <w:r>
        <w:rPr>
          <w:rFonts w:hint="eastAsia" w:ascii="华文仿宋" w:hAnsi="华文仿宋" w:cs="华文仿宋"/>
          <w:b/>
          <w:color w:val="auto"/>
        </w:rPr>
        <w:t>7、综合比较与评价</w:t>
      </w:r>
    </w:p>
    <w:p>
      <w:pPr>
        <w:spacing w:line="500" w:lineRule="exact"/>
        <w:ind w:firstLine="566" w:firstLineChars="200"/>
        <w:rPr>
          <w:rFonts w:ascii="华文仿宋" w:hAnsi="华文仿宋" w:cs="华文仿宋"/>
          <w:color w:val="auto"/>
        </w:rPr>
      </w:pPr>
      <w:r>
        <w:rPr>
          <w:rFonts w:hint="eastAsia" w:ascii="华文仿宋" w:hAnsi="华文仿宋" w:cs="华文仿宋"/>
          <w:color w:val="auto"/>
        </w:rPr>
        <w:t>经磋商确定最终采购需求和提交最后报价的供应商后，由磋商小组按“评审要素及分值一览表”中规定的评审方法和标准，对提交最后报价的供应商的响应文件和最后报价进行综合评分。</w:t>
      </w:r>
    </w:p>
    <w:p>
      <w:pPr>
        <w:snapToGrid w:val="0"/>
        <w:spacing w:line="500" w:lineRule="exact"/>
        <w:ind w:firstLine="566" w:firstLineChars="200"/>
        <w:rPr>
          <w:rFonts w:ascii="华文仿宋" w:hAnsi="华文仿宋" w:cs="华文仿宋"/>
          <w:color w:val="auto"/>
        </w:rPr>
      </w:pPr>
      <w:r>
        <w:rPr>
          <w:rFonts w:hint="eastAsia" w:ascii="华文仿宋" w:hAnsi="华文仿宋" w:cs="华文仿宋"/>
          <w:color w:val="auto"/>
        </w:rPr>
        <w:t>对小型和微型企业（定义参照第二章《供应商须知》（五）落实的政府采购政策）提供的磋商报价给予</w:t>
      </w:r>
      <w:r>
        <w:rPr>
          <w:rFonts w:hint="eastAsia" w:ascii="仿宋" w:hAnsi="仿宋" w:eastAsia="仿宋" w:cs="仿宋"/>
          <w:color w:val="auto"/>
          <w:u w:val="single"/>
          <w:lang w:val="en-US" w:eastAsia="zh-CN"/>
        </w:rPr>
        <w:t>6</w:t>
      </w:r>
      <w:r>
        <w:rPr>
          <w:rFonts w:hint="eastAsia" w:ascii="华文仿宋" w:hAnsi="华文仿宋" w:cs="华文仿宋"/>
          <w:color w:val="auto"/>
          <w:u w:val="single"/>
        </w:rPr>
        <w:t>%</w:t>
      </w:r>
      <w:r>
        <w:rPr>
          <w:rFonts w:hint="eastAsia" w:ascii="华文仿宋" w:hAnsi="华文仿宋" w:cs="华文仿宋"/>
          <w:color w:val="auto"/>
        </w:rPr>
        <w:t>的价格扣除，用扣除后的价格参与评审排序，除此之外的其他情形均不适用本款规定。未提供中小企业声明函的不享受价格折扣。</w:t>
      </w:r>
    </w:p>
    <w:p>
      <w:pPr>
        <w:spacing w:line="500" w:lineRule="exact"/>
        <w:ind w:firstLine="566" w:firstLineChars="200"/>
        <w:contextualSpacing/>
        <w:rPr>
          <w:b/>
          <w:bCs/>
          <w:color w:val="auto"/>
        </w:rPr>
      </w:pPr>
      <w:r>
        <w:rPr>
          <w:rFonts w:hint="eastAsia" w:ascii="华文仿宋" w:hAnsi="华文仿宋" w:cs="华文仿宋"/>
          <w:color w:val="auto"/>
        </w:rPr>
        <w:t>评审时，磋商小组各成员应当独立对每个有效响应的文件进行评价、打分，然后汇总每个供应商每项评审因素的得分。</w:t>
      </w:r>
      <w:bookmarkStart w:id="132" w:name="_Toc9626"/>
      <w:bookmarkStart w:id="133" w:name="_Toc2392"/>
      <w:bookmarkStart w:id="134" w:name="_Toc27797"/>
      <w:bookmarkStart w:id="135" w:name="_Toc27187"/>
    </w:p>
    <w:p>
      <w:pPr>
        <w:spacing w:line="500" w:lineRule="exact"/>
        <w:jc w:val="center"/>
        <w:rPr>
          <w:b/>
          <w:bCs/>
          <w:color w:val="auto"/>
        </w:rPr>
      </w:pPr>
      <w:r>
        <w:rPr>
          <w:rFonts w:hint="eastAsia"/>
          <w:b/>
          <w:bCs/>
          <w:color w:val="auto"/>
        </w:rPr>
        <w:t>评审要素及分值一览表</w:t>
      </w:r>
      <w:bookmarkEnd w:id="132"/>
      <w:bookmarkEnd w:id="133"/>
      <w:bookmarkEnd w:id="134"/>
      <w:bookmarkEnd w:id="135"/>
    </w:p>
    <w:tbl>
      <w:tblPr>
        <w:tblStyle w:val="23"/>
        <w:tblW w:w="929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3"/>
        <w:gridCol w:w="789"/>
        <w:gridCol w:w="765"/>
        <w:gridCol w:w="780"/>
        <w:gridCol w:w="4995"/>
        <w:gridCol w:w="12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364" w:hRule="atLeast"/>
          <w:jc w:val="center"/>
        </w:trPr>
        <w:tc>
          <w:tcPr>
            <w:tcW w:w="1522" w:type="dxa"/>
            <w:gridSpan w:val="2"/>
            <w:vAlign w:val="center"/>
          </w:tcPr>
          <w:p>
            <w:pPr>
              <w:keepNext w:val="0"/>
              <w:keepLines w:val="0"/>
              <w:pageBreakBefore w:val="0"/>
              <w:kinsoku/>
              <w:wordWrap/>
              <w:overflowPunct/>
              <w:topLinePunct w:val="0"/>
              <w:bidi w:val="0"/>
              <w:spacing w:line="300" w:lineRule="exact"/>
              <w:jc w:val="center"/>
              <w:textAlignment w:val="auto"/>
              <w:rPr>
                <w:rFonts w:hint="eastAsia" w:ascii="仿宋" w:hAnsi="仿宋" w:eastAsia="仿宋" w:cs="仿宋"/>
                <w:b/>
                <w:bCs/>
                <w:color w:val="auto"/>
                <w:sz w:val="24"/>
                <w:szCs w:val="24"/>
              </w:rPr>
            </w:pPr>
            <w:r>
              <w:rPr>
                <w:rFonts w:hint="eastAsia" w:ascii="仿宋" w:hAnsi="仿宋" w:eastAsia="仿宋" w:cs="仿宋"/>
                <w:b/>
                <w:bCs/>
                <w:color w:val="auto"/>
                <w:sz w:val="24"/>
                <w:szCs w:val="24"/>
              </w:rPr>
              <w:t>项别</w:t>
            </w:r>
          </w:p>
        </w:tc>
        <w:tc>
          <w:tcPr>
            <w:tcW w:w="1545" w:type="dxa"/>
            <w:gridSpan w:val="2"/>
            <w:vAlign w:val="center"/>
          </w:tcPr>
          <w:p>
            <w:pPr>
              <w:keepNext w:val="0"/>
              <w:keepLines w:val="0"/>
              <w:pageBreakBefore w:val="0"/>
              <w:kinsoku/>
              <w:wordWrap/>
              <w:overflowPunct/>
              <w:topLinePunct w:val="0"/>
              <w:bidi w:val="0"/>
              <w:spacing w:line="300" w:lineRule="exact"/>
              <w:jc w:val="center"/>
              <w:textAlignment w:val="auto"/>
              <w:rPr>
                <w:rFonts w:hint="eastAsia" w:ascii="仿宋" w:hAnsi="仿宋" w:eastAsia="仿宋" w:cs="仿宋"/>
                <w:b/>
                <w:bCs/>
                <w:color w:val="auto"/>
                <w:sz w:val="24"/>
                <w:szCs w:val="24"/>
              </w:rPr>
            </w:pPr>
            <w:r>
              <w:rPr>
                <w:rFonts w:hint="eastAsia" w:ascii="仿宋" w:hAnsi="仿宋" w:eastAsia="仿宋" w:cs="仿宋"/>
                <w:b/>
                <w:bCs/>
                <w:color w:val="auto"/>
                <w:sz w:val="24"/>
                <w:szCs w:val="24"/>
              </w:rPr>
              <w:t>分项</w:t>
            </w:r>
          </w:p>
        </w:tc>
        <w:tc>
          <w:tcPr>
            <w:tcW w:w="4995" w:type="dxa"/>
            <w:vMerge w:val="restart"/>
            <w:vAlign w:val="center"/>
          </w:tcPr>
          <w:p>
            <w:pPr>
              <w:keepNext w:val="0"/>
              <w:keepLines w:val="0"/>
              <w:pageBreakBefore w:val="0"/>
              <w:kinsoku/>
              <w:wordWrap/>
              <w:overflowPunct/>
              <w:topLinePunct w:val="0"/>
              <w:bidi w:val="0"/>
              <w:spacing w:line="300" w:lineRule="exact"/>
              <w:jc w:val="center"/>
              <w:textAlignment w:val="auto"/>
              <w:rPr>
                <w:rFonts w:hint="eastAsia" w:ascii="仿宋" w:hAnsi="仿宋" w:eastAsia="仿宋" w:cs="仿宋"/>
                <w:b/>
                <w:bCs/>
                <w:color w:val="auto"/>
                <w:sz w:val="24"/>
                <w:szCs w:val="24"/>
              </w:rPr>
            </w:pPr>
            <w:r>
              <w:rPr>
                <w:rFonts w:hint="eastAsia" w:ascii="仿宋" w:hAnsi="仿宋" w:eastAsia="仿宋" w:cs="仿宋"/>
                <w:b/>
                <w:bCs/>
                <w:color w:val="auto"/>
                <w:sz w:val="24"/>
                <w:szCs w:val="24"/>
              </w:rPr>
              <w:t>评审要素</w:t>
            </w:r>
          </w:p>
        </w:tc>
        <w:tc>
          <w:tcPr>
            <w:tcW w:w="1236" w:type="dxa"/>
            <w:vMerge w:val="restart"/>
            <w:vAlign w:val="center"/>
          </w:tcPr>
          <w:p>
            <w:pPr>
              <w:keepNext w:val="0"/>
              <w:keepLines w:val="0"/>
              <w:pageBreakBefore w:val="0"/>
              <w:kinsoku/>
              <w:wordWrap/>
              <w:overflowPunct/>
              <w:topLinePunct w:val="0"/>
              <w:bidi w:val="0"/>
              <w:spacing w:line="300" w:lineRule="exact"/>
              <w:jc w:val="center"/>
              <w:textAlignment w:val="auto"/>
              <w:rPr>
                <w:rFonts w:hint="eastAsia" w:ascii="仿宋" w:hAnsi="仿宋" w:eastAsia="仿宋" w:cs="仿宋"/>
                <w:b/>
                <w:bCs/>
                <w:color w:val="auto"/>
                <w:sz w:val="24"/>
                <w:szCs w:val="24"/>
              </w:rPr>
            </w:pPr>
            <w:r>
              <w:rPr>
                <w:rFonts w:hint="eastAsia" w:ascii="仿宋" w:hAnsi="仿宋" w:eastAsia="仿宋" w:cs="仿宋"/>
                <w:b/>
                <w:bCs/>
                <w:color w:val="auto"/>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0" w:hRule="atLeast"/>
          <w:jc w:val="center"/>
        </w:trPr>
        <w:tc>
          <w:tcPr>
            <w:tcW w:w="733" w:type="dxa"/>
            <w:vAlign w:val="center"/>
          </w:tcPr>
          <w:p>
            <w:pPr>
              <w:keepNext w:val="0"/>
              <w:keepLines w:val="0"/>
              <w:pageBreakBefore w:val="0"/>
              <w:kinsoku/>
              <w:wordWrap/>
              <w:overflowPunct/>
              <w:topLinePunct w:val="0"/>
              <w:bidi w:val="0"/>
              <w:spacing w:line="300" w:lineRule="exact"/>
              <w:jc w:val="left"/>
              <w:textAlignment w:val="auto"/>
              <w:rPr>
                <w:rFonts w:hint="eastAsia" w:ascii="仿宋" w:hAnsi="仿宋" w:eastAsia="仿宋" w:cs="仿宋"/>
                <w:b/>
                <w:bCs/>
                <w:color w:val="auto"/>
                <w:sz w:val="24"/>
                <w:szCs w:val="24"/>
              </w:rPr>
            </w:pPr>
            <w:r>
              <w:rPr>
                <w:rFonts w:hint="eastAsia" w:ascii="仿宋" w:hAnsi="仿宋" w:eastAsia="仿宋" w:cs="仿宋"/>
                <w:b/>
                <w:bCs/>
                <w:color w:val="auto"/>
                <w:sz w:val="24"/>
                <w:szCs w:val="24"/>
              </w:rPr>
              <w:t>名称</w:t>
            </w:r>
          </w:p>
        </w:tc>
        <w:tc>
          <w:tcPr>
            <w:tcW w:w="789" w:type="dxa"/>
            <w:vAlign w:val="center"/>
          </w:tcPr>
          <w:p>
            <w:pPr>
              <w:keepNext w:val="0"/>
              <w:keepLines w:val="0"/>
              <w:pageBreakBefore w:val="0"/>
              <w:kinsoku/>
              <w:wordWrap/>
              <w:overflowPunct/>
              <w:topLinePunct w:val="0"/>
              <w:bidi w:val="0"/>
              <w:spacing w:line="300" w:lineRule="exact"/>
              <w:jc w:val="center"/>
              <w:textAlignment w:val="auto"/>
              <w:rPr>
                <w:rFonts w:hint="eastAsia" w:ascii="仿宋" w:hAnsi="仿宋" w:eastAsia="仿宋" w:cs="仿宋"/>
                <w:b/>
                <w:bCs/>
                <w:color w:val="auto"/>
                <w:sz w:val="24"/>
                <w:szCs w:val="24"/>
              </w:rPr>
            </w:pPr>
            <w:r>
              <w:rPr>
                <w:rFonts w:hint="eastAsia" w:ascii="仿宋" w:hAnsi="仿宋" w:eastAsia="仿宋" w:cs="仿宋"/>
                <w:b/>
                <w:bCs/>
                <w:color w:val="auto"/>
                <w:sz w:val="24"/>
                <w:szCs w:val="24"/>
              </w:rPr>
              <w:t>总分值100</w:t>
            </w:r>
          </w:p>
        </w:tc>
        <w:tc>
          <w:tcPr>
            <w:tcW w:w="765" w:type="dxa"/>
            <w:vAlign w:val="center"/>
          </w:tcPr>
          <w:p>
            <w:pPr>
              <w:keepNext w:val="0"/>
              <w:keepLines w:val="0"/>
              <w:pageBreakBefore w:val="0"/>
              <w:kinsoku/>
              <w:wordWrap/>
              <w:overflowPunct/>
              <w:topLinePunct w:val="0"/>
              <w:bidi w:val="0"/>
              <w:spacing w:line="300" w:lineRule="exact"/>
              <w:jc w:val="center"/>
              <w:textAlignment w:val="auto"/>
              <w:rPr>
                <w:rFonts w:hint="eastAsia" w:ascii="仿宋" w:hAnsi="仿宋" w:eastAsia="仿宋" w:cs="仿宋"/>
                <w:b/>
                <w:bCs/>
                <w:color w:val="auto"/>
                <w:sz w:val="24"/>
                <w:szCs w:val="24"/>
              </w:rPr>
            </w:pPr>
            <w:r>
              <w:rPr>
                <w:rFonts w:hint="eastAsia" w:ascii="仿宋" w:hAnsi="仿宋" w:eastAsia="仿宋" w:cs="仿宋"/>
                <w:b/>
                <w:bCs/>
                <w:color w:val="auto"/>
                <w:sz w:val="24"/>
                <w:szCs w:val="24"/>
              </w:rPr>
              <w:t>名称</w:t>
            </w:r>
          </w:p>
        </w:tc>
        <w:tc>
          <w:tcPr>
            <w:tcW w:w="780" w:type="dxa"/>
          </w:tcPr>
          <w:p>
            <w:pPr>
              <w:keepNext w:val="0"/>
              <w:keepLines w:val="0"/>
              <w:pageBreakBefore w:val="0"/>
              <w:kinsoku/>
              <w:wordWrap/>
              <w:overflowPunct/>
              <w:topLinePunct w:val="0"/>
              <w:bidi w:val="0"/>
              <w:spacing w:line="300" w:lineRule="exact"/>
              <w:jc w:val="center"/>
              <w:textAlignment w:val="auto"/>
              <w:rPr>
                <w:rFonts w:hint="eastAsia" w:ascii="仿宋" w:hAnsi="仿宋" w:eastAsia="仿宋" w:cs="仿宋"/>
                <w:b/>
                <w:color w:val="auto"/>
                <w:sz w:val="24"/>
                <w:szCs w:val="24"/>
              </w:rPr>
            </w:pPr>
            <w:r>
              <w:rPr>
                <w:rFonts w:hint="eastAsia" w:ascii="仿宋" w:hAnsi="仿宋" w:eastAsia="仿宋" w:cs="仿宋"/>
                <w:b/>
                <w:color w:val="auto"/>
                <w:sz w:val="24"/>
                <w:szCs w:val="24"/>
              </w:rPr>
              <w:t>分项</w:t>
            </w:r>
          </w:p>
          <w:p>
            <w:pPr>
              <w:keepNext w:val="0"/>
              <w:keepLines w:val="0"/>
              <w:pageBreakBefore w:val="0"/>
              <w:kinsoku/>
              <w:wordWrap/>
              <w:overflowPunct/>
              <w:topLinePunct w:val="0"/>
              <w:bidi w:val="0"/>
              <w:spacing w:line="300" w:lineRule="exact"/>
              <w:jc w:val="center"/>
              <w:textAlignment w:val="auto"/>
              <w:rPr>
                <w:rFonts w:hint="eastAsia" w:ascii="仿宋" w:hAnsi="仿宋" w:eastAsia="仿宋" w:cs="仿宋"/>
                <w:b/>
                <w:color w:val="auto"/>
                <w:sz w:val="24"/>
                <w:szCs w:val="24"/>
              </w:rPr>
            </w:pPr>
            <w:r>
              <w:rPr>
                <w:rFonts w:hint="eastAsia" w:ascii="仿宋" w:hAnsi="仿宋" w:eastAsia="仿宋" w:cs="仿宋"/>
                <w:b/>
                <w:color w:val="auto"/>
                <w:sz w:val="24"/>
                <w:szCs w:val="24"/>
              </w:rPr>
              <w:t>最高</w:t>
            </w:r>
          </w:p>
          <w:p>
            <w:pPr>
              <w:keepNext w:val="0"/>
              <w:keepLines w:val="0"/>
              <w:pageBreakBefore w:val="0"/>
              <w:kinsoku/>
              <w:wordWrap/>
              <w:overflowPunct/>
              <w:topLinePunct w:val="0"/>
              <w:bidi w:val="0"/>
              <w:spacing w:line="300" w:lineRule="exact"/>
              <w:jc w:val="center"/>
              <w:textAlignment w:val="auto"/>
              <w:rPr>
                <w:rFonts w:hint="eastAsia" w:ascii="仿宋" w:hAnsi="仿宋" w:eastAsia="仿宋" w:cs="仿宋"/>
                <w:b/>
                <w:color w:val="auto"/>
                <w:sz w:val="24"/>
                <w:szCs w:val="24"/>
              </w:rPr>
            </w:pPr>
            <w:r>
              <w:rPr>
                <w:rFonts w:hint="eastAsia" w:ascii="仿宋" w:hAnsi="仿宋" w:eastAsia="仿宋" w:cs="仿宋"/>
                <w:b/>
                <w:color w:val="auto"/>
                <w:sz w:val="24"/>
                <w:szCs w:val="24"/>
              </w:rPr>
              <w:t>分值</w:t>
            </w:r>
          </w:p>
        </w:tc>
        <w:tc>
          <w:tcPr>
            <w:tcW w:w="4995" w:type="dxa"/>
            <w:vMerge w:val="continue"/>
            <w:vAlign w:val="center"/>
          </w:tcPr>
          <w:p>
            <w:pPr>
              <w:keepNext w:val="0"/>
              <w:keepLines w:val="0"/>
              <w:pageBreakBefore w:val="0"/>
              <w:kinsoku/>
              <w:wordWrap/>
              <w:overflowPunct/>
              <w:topLinePunct w:val="0"/>
              <w:bidi w:val="0"/>
              <w:spacing w:line="300" w:lineRule="exact"/>
              <w:jc w:val="left"/>
              <w:textAlignment w:val="auto"/>
              <w:rPr>
                <w:rFonts w:hint="eastAsia" w:ascii="仿宋" w:hAnsi="仿宋" w:eastAsia="仿宋" w:cs="仿宋"/>
                <w:color w:val="auto"/>
                <w:sz w:val="24"/>
                <w:szCs w:val="24"/>
              </w:rPr>
            </w:pPr>
          </w:p>
        </w:tc>
        <w:tc>
          <w:tcPr>
            <w:tcW w:w="1236" w:type="dxa"/>
            <w:vMerge w:val="continue"/>
            <w:vAlign w:val="center"/>
          </w:tcPr>
          <w:p>
            <w:pPr>
              <w:keepNext w:val="0"/>
              <w:keepLines w:val="0"/>
              <w:pageBreakBefore w:val="0"/>
              <w:kinsoku/>
              <w:wordWrap/>
              <w:overflowPunct/>
              <w:topLinePunct w:val="0"/>
              <w:bidi w:val="0"/>
              <w:spacing w:line="300" w:lineRule="exact"/>
              <w:jc w:val="left"/>
              <w:textAlignment w:val="auto"/>
              <w:rPr>
                <w:rFonts w:hint="eastAsia" w:ascii="仿宋" w:hAnsi="仿宋" w:eastAsia="仿宋" w:cs="仿宋"/>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55" w:hRule="atLeast"/>
          <w:jc w:val="center"/>
        </w:trPr>
        <w:tc>
          <w:tcPr>
            <w:tcW w:w="733" w:type="dxa"/>
            <w:vAlign w:val="center"/>
          </w:tcPr>
          <w:p>
            <w:pPr>
              <w:keepNext w:val="0"/>
              <w:keepLines w:val="0"/>
              <w:pageBreakBefore w:val="0"/>
              <w:kinsoku/>
              <w:wordWrap/>
              <w:overflowPunct/>
              <w:topLinePunct w:val="0"/>
              <w:bidi w:val="0"/>
              <w:spacing w:line="300" w:lineRule="exact"/>
              <w:jc w:val="left"/>
              <w:textAlignment w:val="auto"/>
              <w:rPr>
                <w:rFonts w:hint="eastAsia" w:ascii="仿宋" w:hAnsi="仿宋" w:eastAsia="仿宋" w:cs="仿宋"/>
                <w:color w:val="auto"/>
                <w:sz w:val="24"/>
                <w:szCs w:val="24"/>
              </w:rPr>
            </w:pPr>
            <w:r>
              <w:rPr>
                <w:rFonts w:hint="eastAsia" w:ascii="仿宋" w:hAnsi="仿宋" w:eastAsia="仿宋" w:cs="仿宋"/>
                <w:color w:val="auto"/>
                <w:sz w:val="24"/>
                <w:szCs w:val="24"/>
              </w:rPr>
              <w:t>价格</w:t>
            </w:r>
          </w:p>
        </w:tc>
        <w:tc>
          <w:tcPr>
            <w:tcW w:w="789" w:type="dxa"/>
            <w:vAlign w:val="center"/>
          </w:tcPr>
          <w:p>
            <w:pPr>
              <w:keepNext w:val="0"/>
              <w:keepLines w:val="0"/>
              <w:pageBreakBefore w:val="0"/>
              <w:kinsoku/>
              <w:wordWrap/>
              <w:overflowPunct/>
              <w:topLinePunct w:val="0"/>
              <w:bidi w:val="0"/>
              <w:spacing w:line="300" w:lineRule="exact"/>
              <w:textAlignment w:val="auto"/>
              <w:rPr>
                <w:rFonts w:hint="eastAsia" w:ascii="仿宋" w:hAnsi="仿宋" w:eastAsia="仿宋" w:cs="仿宋"/>
                <w:color w:val="auto"/>
                <w:sz w:val="24"/>
                <w:szCs w:val="24"/>
              </w:rPr>
            </w:pPr>
            <w:r>
              <w:rPr>
                <w:rFonts w:hint="eastAsia" w:ascii="仿宋" w:hAnsi="仿宋" w:eastAsia="仿宋" w:cs="仿宋"/>
                <w:color w:val="auto"/>
                <w:sz w:val="24"/>
                <w:szCs w:val="24"/>
                <w:lang w:val="en-US" w:eastAsia="zh-CN"/>
              </w:rPr>
              <w:t>30</w:t>
            </w:r>
            <w:r>
              <w:rPr>
                <w:rFonts w:hint="eastAsia" w:ascii="仿宋" w:hAnsi="仿宋" w:eastAsia="仿宋" w:cs="仿宋"/>
                <w:color w:val="auto"/>
                <w:sz w:val="24"/>
                <w:szCs w:val="24"/>
              </w:rPr>
              <w:t>分</w:t>
            </w:r>
          </w:p>
        </w:tc>
        <w:tc>
          <w:tcPr>
            <w:tcW w:w="765" w:type="dxa"/>
            <w:vAlign w:val="center"/>
          </w:tcPr>
          <w:p>
            <w:pPr>
              <w:keepNext w:val="0"/>
              <w:keepLines w:val="0"/>
              <w:pageBreakBefore w:val="0"/>
              <w:kinsoku/>
              <w:wordWrap/>
              <w:overflowPunct/>
              <w:topLinePunct w:val="0"/>
              <w:bidi w:val="0"/>
              <w:spacing w:line="300" w:lineRule="exact"/>
              <w:jc w:val="center"/>
              <w:textAlignment w:val="auto"/>
              <w:rPr>
                <w:rFonts w:hint="eastAsia" w:ascii="仿宋" w:hAnsi="仿宋" w:eastAsia="仿宋" w:cs="仿宋"/>
                <w:color w:val="auto"/>
                <w:sz w:val="24"/>
                <w:szCs w:val="24"/>
              </w:rPr>
            </w:pPr>
            <w:r>
              <w:rPr>
                <w:rFonts w:hint="eastAsia" w:ascii="仿宋" w:hAnsi="仿宋" w:eastAsia="仿宋" w:cs="仿宋"/>
                <w:color w:val="auto"/>
                <w:sz w:val="24"/>
                <w:szCs w:val="24"/>
              </w:rPr>
              <w:t>价格</w:t>
            </w:r>
          </w:p>
        </w:tc>
        <w:tc>
          <w:tcPr>
            <w:tcW w:w="780" w:type="dxa"/>
            <w:vAlign w:val="center"/>
          </w:tcPr>
          <w:p>
            <w:pPr>
              <w:keepNext w:val="0"/>
              <w:keepLines w:val="0"/>
              <w:pageBreakBefore w:val="0"/>
              <w:kinsoku/>
              <w:wordWrap/>
              <w:overflowPunct/>
              <w:topLinePunct w:val="0"/>
              <w:bidi w:val="0"/>
              <w:spacing w:line="300" w:lineRule="exact"/>
              <w:jc w:val="center"/>
              <w:textAlignment w:val="auto"/>
              <w:rPr>
                <w:rFonts w:hint="eastAsia" w:ascii="仿宋" w:hAnsi="仿宋" w:eastAsia="仿宋" w:cs="仿宋"/>
                <w:color w:val="auto"/>
                <w:sz w:val="24"/>
                <w:szCs w:val="24"/>
                <w:lang w:val="en-US"/>
              </w:rPr>
            </w:pPr>
            <w:r>
              <w:rPr>
                <w:rFonts w:hint="eastAsia" w:ascii="仿宋" w:hAnsi="仿宋" w:eastAsia="仿宋" w:cs="仿宋"/>
                <w:color w:val="auto"/>
                <w:sz w:val="24"/>
                <w:szCs w:val="24"/>
                <w:lang w:val="en-US" w:eastAsia="zh-CN"/>
              </w:rPr>
              <w:t>30</w:t>
            </w:r>
          </w:p>
        </w:tc>
        <w:tc>
          <w:tcPr>
            <w:tcW w:w="4995" w:type="dxa"/>
            <w:vAlign w:val="center"/>
          </w:tcPr>
          <w:p>
            <w:pPr>
              <w:keepNext w:val="0"/>
              <w:keepLines w:val="0"/>
              <w:pageBreakBefore w:val="0"/>
              <w:kinsoku/>
              <w:wordWrap/>
              <w:overflowPunct/>
              <w:topLinePunct w:val="0"/>
              <w:bidi w:val="0"/>
              <w:spacing w:line="300" w:lineRule="exact"/>
              <w:jc w:val="left"/>
              <w:textAlignment w:val="auto"/>
              <w:rPr>
                <w:rFonts w:hint="eastAsia" w:ascii="仿宋" w:hAnsi="仿宋" w:eastAsia="仿宋" w:cs="仿宋"/>
                <w:color w:val="auto"/>
                <w:sz w:val="24"/>
                <w:szCs w:val="24"/>
              </w:rPr>
            </w:pPr>
            <w:r>
              <w:rPr>
                <w:rFonts w:hint="eastAsia" w:ascii="仿宋" w:hAnsi="仿宋" w:eastAsia="仿宋" w:cs="仿宋"/>
                <w:color w:val="auto"/>
                <w:sz w:val="24"/>
                <w:szCs w:val="24"/>
              </w:rPr>
              <w:t>有效供应商最低报价为基准价得</w:t>
            </w:r>
            <w:r>
              <w:rPr>
                <w:rFonts w:hint="eastAsia" w:ascii="仿宋" w:hAnsi="仿宋" w:eastAsia="仿宋" w:cs="仿宋"/>
                <w:color w:val="auto"/>
                <w:sz w:val="24"/>
                <w:szCs w:val="24"/>
                <w:lang w:val="en-US" w:eastAsia="zh-CN"/>
              </w:rPr>
              <w:t>30</w:t>
            </w:r>
            <w:r>
              <w:rPr>
                <w:rFonts w:hint="eastAsia" w:ascii="仿宋" w:hAnsi="仿宋" w:eastAsia="仿宋" w:cs="仿宋"/>
                <w:color w:val="auto"/>
                <w:sz w:val="24"/>
                <w:szCs w:val="24"/>
              </w:rPr>
              <w:t>分，其他各供应商的报价得分按下列公式计算：</w:t>
            </w:r>
          </w:p>
          <w:p>
            <w:pPr>
              <w:keepNext w:val="0"/>
              <w:keepLines w:val="0"/>
              <w:pageBreakBefore w:val="0"/>
              <w:kinsoku/>
              <w:wordWrap/>
              <w:overflowPunct/>
              <w:topLinePunct w:val="0"/>
              <w:bidi w:val="0"/>
              <w:spacing w:line="300" w:lineRule="exact"/>
              <w:jc w:val="left"/>
              <w:textAlignment w:val="auto"/>
              <w:rPr>
                <w:rFonts w:hint="eastAsia" w:ascii="仿宋" w:hAnsi="仿宋" w:eastAsia="仿宋" w:cs="仿宋"/>
                <w:color w:val="auto"/>
                <w:sz w:val="24"/>
                <w:szCs w:val="24"/>
              </w:rPr>
            </w:pPr>
            <w:r>
              <w:rPr>
                <w:rFonts w:hint="eastAsia" w:ascii="仿宋" w:hAnsi="仿宋" w:eastAsia="仿宋" w:cs="仿宋"/>
                <w:b/>
                <w:bCs/>
                <w:color w:val="auto"/>
                <w:sz w:val="24"/>
                <w:szCs w:val="24"/>
              </w:rPr>
              <w:t>（基准价/投标报价）×</w:t>
            </w:r>
            <w:r>
              <w:rPr>
                <w:rFonts w:hint="eastAsia" w:ascii="仿宋" w:hAnsi="仿宋" w:eastAsia="仿宋" w:cs="仿宋"/>
                <w:b/>
                <w:bCs/>
                <w:color w:val="auto"/>
                <w:sz w:val="24"/>
                <w:szCs w:val="24"/>
                <w:lang w:val="en-US" w:eastAsia="zh-CN"/>
              </w:rPr>
              <w:t>30</w:t>
            </w:r>
            <w:r>
              <w:rPr>
                <w:rFonts w:hint="eastAsia" w:ascii="仿宋" w:hAnsi="仿宋" w:eastAsia="仿宋" w:cs="仿宋"/>
                <w:b/>
                <w:bCs/>
                <w:color w:val="auto"/>
                <w:sz w:val="24"/>
                <w:szCs w:val="24"/>
              </w:rPr>
              <w:t>％×100。</w:t>
            </w:r>
          </w:p>
        </w:tc>
        <w:tc>
          <w:tcPr>
            <w:tcW w:w="1236" w:type="dxa"/>
          </w:tcPr>
          <w:p>
            <w:pPr>
              <w:keepNext w:val="0"/>
              <w:keepLines w:val="0"/>
              <w:pageBreakBefore w:val="0"/>
              <w:kinsoku/>
              <w:wordWrap/>
              <w:overflowPunct/>
              <w:topLinePunct w:val="0"/>
              <w:bidi w:val="0"/>
              <w:spacing w:line="300" w:lineRule="exact"/>
              <w:jc w:val="left"/>
              <w:textAlignment w:val="auto"/>
              <w:rPr>
                <w:rFonts w:hint="eastAsia" w:ascii="仿宋" w:hAnsi="仿宋" w:eastAsia="仿宋" w:cs="仿宋"/>
                <w:color w:val="auto"/>
                <w:sz w:val="24"/>
                <w:szCs w:val="24"/>
              </w:rPr>
            </w:pPr>
            <w:r>
              <w:rPr>
                <w:rFonts w:hint="eastAsia" w:ascii="仿宋" w:hAnsi="仿宋" w:eastAsia="仿宋" w:cs="仿宋"/>
                <w:bCs/>
                <w:color w:val="auto"/>
                <w:sz w:val="24"/>
                <w:szCs w:val="24"/>
              </w:rPr>
              <w:t>根据“最后报价”计算价格得分。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55" w:hRule="atLeast"/>
          <w:jc w:val="center"/>
        </w:trPr>
        <w:tc>
          <w:tcPr>
            <w:tcW w:w="733" w:type="dxa"/>
            <w:vMerge w:val="restart"/>
            <w:vAlign w:val="center"/>
          </w:tcPr>
          <w:p>
            <w:pPr>
              <w:keepNext w:val="0"/>
              <w:keepLines w:val="0"/>
              <w:pageBreakBefore w:val="0"/>
              <w:kinsoku/>
              <w:wordWrap/>
              <w:overflowPunct/>
              <w:topLinePunct w:val="0"/>
              <w:bidi w:val="0"/>
              <w:spacing w:line="300" w:lineRule="exact"/>
              <w:jc w:val="left"/>
              <w:textAlignment w:val="auto"/>
              <w:rPr>
                <w:rFonts w:hint="default"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技术方案</w:t>
            </w:r>
          </w:p>
        </w:tc>
        <w:tc>
          <w:tcPr>
            <w:tcW w:w="789" w:type="dxa"/>
            <w:vMerge w:val="restart"/>
            <w:vAlign w:val="center"/>
          </w:tcPr>
          <w:p>
            <w:pPr>
              <w:keepNext w:val="0"/>
              <w:keepLines w:val="0"/>
              <w:pageBreakBefore w:val="0"/>
              <w:kinsoku/>
              <w:wordWrap/>
              <w:overflowPunct/>
              <w:topLinePunct w:val="0"/>
              <w:bidi w:val="0"/>
              <w:spacing w:line="300" w:lineRule="exact"/>
              <w:textAlignment w:val="auto"/>
              <w:rPr>
                <w:rFonts w:hint="default"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52分</w:t>
            </w:r>
          </w:p>
        </w:tc>
        <w:tc>
          <w:tcPr>
            <w:tcW w:w="765" w:type="dxa"/>
            <w:vAlign w:val="center"/>
          </w:tcPr>
          <w:p>
            <w:pPr>
              <w:keepNext w:val="0"/>
              <w:keepLines w:val="0"/>
              <w:pageBreakBefore w:val="0"/>
              <w:kinsoku/>
              <w:wordWrap/>
              <w:overflowPunct/>
              <w:topLinePunct w:val="0"/>
              <w:autoSpaceDE w:val="0"/>
              <w:autoSpaceDN w:val="0"/>
              <w:bidi w:val="0"/>
              <w:adjustRightInd w:val="0"/>
              <w:spacing w:line="300" w:lineRule="exact"/>
              <w:jc w:val="center"/>
              <w:textAlignment w:val="auto"/>
              <w:rPr>
                <w:rFonts w:hint="eastAsia" w:ascii="仿宋" w:hAnsi="仿宋" w:eastAsia="仿宋" w:cs="仿宋"/>
                <w:bCs/>
                <w:sz w:val="24"/>
                <w:szCs w:val="24"/>
                <w:lang w:val="en-US" w:eastAsia="zh-CN"/>
              </w:rPr>
            </w:pPr>
            <w:r>
              <w:rPr>
                <w:rFonts w:hint="eastAsia" w:ascii="仿宋" w:hAnsi="仿宋" w:eastAsia="仿宋" w:cs="仿宋"/>
                <w:bCs/>
                <w:sz w:val="24"/>
                <w:szCs w:val="24"/>
              </w:rPr>
              <w:t>声场模拟</w:t>
            </w:r>
          </w:p>
        </w:tc>
        <w:tc>
          <w:tcPr>
            <w:tcW w:w="780" w:type="dxa"/>
            <w:vAlign w:val="center"/>
          </w:tcPr>
          <w:p>
            <w:pPr>
              <w:keepNext w:val="0"/>
              <w:keepLines w:val="0"/>
              <w:pageBreakBefore w:val="0"/>
              <w:kinsoku/>
              <w:wordWrap/>
              <w:overflowPunct/>
              <w:topLinePunct w:val="0"/>
              <w:autoSpaceDE w:val="0"/>
              <w:autoSpaceDN w:val="0"/>
              <w:bidi w:val="0"/>
              <w:adjustRightInd w:val="0"/>
              <w:spacing w:line="300" w:lineRule="exact"/>
              <w:jc w:val="center"/>
              <w:textAlignment w:val="auto"/>
              <w:rPr>
                <w:rFonts w:hint="default" w:ascii="仿宋" w:hAnsi="仿宋" w:eastAsia="仿宋" w:cs="仿宋"/>
                <w:bCs/>
                <w:sz w:val="24"/>
                <w:szCs w:val="24"/>
                <w:lang w:val="en-US" w:eastAsia="zh-CN"/>
              </w:rPr>
            </w:pPr>
            <w:r>
              <w:rPr>
                <w:rFonts w:hint="eastAsia" w:ascii="仿宋" w:hAnsi="仿宋" w:eastAsia="仿宋" w:cs="仿宋"/>
                <w:bCs/>
                <w:sz w:val="24"/>
                <w:szCs w:val="24"/>
                <w:lang w:val="en-US" w:eastAsia="zh-CN"/>
              </w:rPr>
              <w:t>10</w:t>
            </w:r>
          </w:p>
        </w:tc>
        <w:tc>
          <w:tcPr>
            <w:tcW w:w="4995" w:type="dxa"/>
            <w:vAlign w:val="center"/>
          </w:tcPr>
          <w:p>
            <w:pPr>
              <w:keepNext w:val="0"/>
              <w:keepLines w:val="0"/>
              <w:pageBreakBefore w:val="0"/>
              <w:widowControl/>
              <w:kinsoku/>
              <w:wordWrap/>
              <w:overflowPunct/>
              <w:topLinePunct w:val="0"/>
              <w:autoSpaceDE/>
              <w:autoSpaceDN/>
              <w:bidi w:val="0"/>
              <w:adjustRightInd w:val="0"/>
              <w:snapToGrid w:val="0"/>
              <w:spacing w:line="300" w:lineRule="exact"/>
              <w:jc w:val="left"/>
              <w:textAlignment w:val="auto"/>
              <w:rPr>
                <w:rFonts w:hint="eastAsia" w:ascii="仿宋" w:hAnsi="仿宋" w:eastAsia="仿宋" w:cs="仿宋_GB2312"/>
                <w:sz w:val="24"/>
                <w:szCs w:val="24"/>
                <w:lang w:val="en-US" w:eastAsia="zh-CN"/>
              </w:rPr>
            </w:pPr>
            <w:r>
              <w:rPr>
                <w:rFonts w:hint="eastAsia" w:ascii="仿宋" w:hAnsi="仿宋" w:eastAsia="仿宋" w:cs="仿宋_GB2312"/>
                <w:sz w:val="24"/>
                <w:szCs w:val="24"/>
              </w:rPr>
              <w:t>有专业的建筑声场模拟图、音响声场模拟图,</w:t>
            </w:r>
            <w:r>
              <w:rPr>
                <w:rFonts w:hint="eastAsia" w:ascii="仿宋" w:hAnsi="仿宋" w:eastAsia="仿宋" w:cs="仿宋_GB2312"/>
                <w:sz w:val="24"/>
                <w:szCs w:val="24"/>
                <w:lang w:val="en-US" w:eastAsia="zh-CN"/>
              </w:rPr>
              <w:t>声场均匀度高，优于</w:t>
            </w:r>
            <w:r>
              <w:rPr>
                <w:rFonts w:hint="eastAsia" w:ascii="仿宋" w:hAnsi="仿宋" w:eastAsia="仿宋" w:cs="仿宋_GB2312"/>
                <w:sz w:val="24"/>
                <w:szCs w:val="24"/>
              </w:rPr>
              <w:t>音响舞台灯光验收标准</w:t>
            </w:r>
            <w:r>
              <w:rPr>
                <w:rFonts w:hint="eastAsia" w:ascii="仿宋" w:hAnsi="仿宋" w:eastAsia="仿宋" w:cs="仿宋_GB2312"/>
                <w:sz w:val="24"/>
                <w:szCs w:val="24"/>
                <w:lang w:val="en-US" w:eastAsia="zh-CN"/>
              </w:rPr>
              <w:t>，得7-10分；</w:t>
            </w:r>
          </w:p>
          <w:p>
            <w:pPr>
              <w:keepNext w:val="0"/>
              <w:keepLines w:val="0"/>
              <w:pageBreakBefore w:val="0"/>
              <w:widowControl/>
              <w:kinsoku/>
              <w:wordWrap/>
              <w:overflowPunct/>
              <w:topLinePunct w:val="0"/>
              <w:autoSpaceDE/>
              <w:autoSpaceDN/>
              <w:bidi w:val="0"/>
              <w:adjustRightInd w:val="0"/>
              <w:snapToGrid w:val="0"/>
              <w:spacing w:line="300" w:lineRule="exact"/>
              <w:jc w:val="left"/>
              <w:textAlignment w:val="auto"/>
              <w:rPr>
                <w:rFonts w:hint="eastAsia" w:ascii="仿宋" w:hAnsi="仿宋" w:eastAsia="仿宋" w:cs="仿宋_GB2312"/>
                <w:sz w:val="24"/>
                <w:szCs w:val="24"/>
                <w:lang w:val="en-US" w:eastAsia="zh-CN"/>
              </w:rPr>
            </w:pPr>
            <w:r>
              <w:rPr>
                <w:rFonts w:hint="eastAsia" w:ascii="仿宋" w:hAnsi="仿宋" w:eastAsia="仿宋" w:cs="仿宋_GB2312"/>
                <w:sz w:val="24"/>
                <w:szCs w:val="24"/>
                <w:lang w:val="en-US" w:eastAsia="zh-CN"/>
              </w:rPr>
              <w:t>声场均匀度较高，达到了</w:t>
            </w:r>
            <w:r>
              <w:rPr>
                <w:rFonts w:hint="eastAsia" w:ascii="仿宋" w:hAnsi="仿宋" w:eastAsia="仿宋" w:cs="仿宋_GB2312"/>
                <w:sz w:val="24"/>
                <w:szCs w:val="24"/>
              </w:rPr>
              <w:t>音响舞台灯光验收标准</w:t>
            </w:r>
            <w:r>
              <w:rPr>
                <w:rFonts w:hint="eastAsia" w:ascii="仿宋" w:hAnsi="仿宋" w:eastAsia="仿宋" w:cs="仿宋_GB2312"/>
                <w:sz w:val="24"/>
                <w:szCs w:val="24"/>
                <w:lang w:val="en-US" w:eastAsia="zh-CN"/>
              </w:rPr>
              <w:t>，得3-7分；</w:t>
            </w:r>
          </w:p>
          <w:p>
            <w:pPr>
              <w:keepNext w:val="0"/>
              <w:keepLines w:val="0"/>
              <w:pageBreakBefore w:val="0"/>
              <w:widowControl/>
              <w:kinsoku/>
              <w:wordWrap/>
              <w:overflowPunct/>
              <w:topLinePunct w:val="0"/>
              <w:autoSpaceDE/>
              <w:autoSpaceDN/>
              <w:bidi w:val="0"/>
              <w:adjustRightInd w:val="0"/>
              <w:snapToGrid w:val="0"/>
              <w:spacing w:line="300" w:lineRule="exact"/>
              <w:jc w:val="left"/>
              <w:textAlignment w:val="auto"/>
              <w:rPr>
                <w:rFonts w:hint="default"/>
                <w:lang w:val="en-US" w:eastAsia="zh-CN"/>
              </w:rPr>
            </w:pPr>
            <w:r>
              <w:rPr>
                <w:rFonts w:hint="eastAsia" w:ascii="仿宋" w:hAnsi="仿宋" w:eastAsia="仿宋" w:cs="仿宋_GB2312"/>
                <w:sz w:val="24"/>
                <w:szCs w:val="24"/>
                <w:lang w:val="en-US" w:eastAsia="zh-CN"/>
              </w:rPr>
              <w:t>声场均匀度基本满足</w:t>
            </w:r>
            <w:r>
              <w:rPr>
                <w:rFonts w:hint="eastAsia" w:ascii="仿宋" w:hAnsi="仿宋" w:eastAsia="仿宋" w:cs="仿宋_GB2312"/>
                <w:sz w:val="24"/>
                <w:szCs w:val="24"/>
              </w:rPr>
              <w:t>音响舞台灯光验收标准</w:t>
            </w:r>
            <w:r>
              <w:rPr>
                <w:rFonts w:hint="eastAsia" w:ascii="仿宋" w:hAnsi="仿宋" w:eastAsia="仿宋" w:cs="仿宋_GB2312"/>
                <w:sz w:val="24"/>
                <w:szCs w:val="24"/>
                <w:lang w:val="en-US" w:eastAsia="zh-CN"/>
              </w:rPr>
              <w:t>，得0-3分</w:t>
            </w:r>
            <w:r>
              <w:rPr>
                <w:rFonts w:hint="eastAsia" w:ascii="仿宋" w:hAnsi="仿宋" w:eastAsia="仿宋" w:cs="仿宋_GB2312"/>
                <w:sz w:val="24"/>
                <w:szCs w:val="24"/>
                <w:lang w:eastAsia="zh-CN"/>
              </w:rPr>
              <w:t>。</w:t>
            </w:r>
          </w:p>
        </w:tc>
        <w:tc>
          <w:tcPr>
            <w:tcW w:w="1236" w:type="dxa"/>
            <w:vAlign w:val="center"/>
          </w:tcPr>
          <w:p>
            <w:pPr>
              <w:keepNext w:val="0"/>
              <w:keepLines w:val="0"/>
              <w:pageBreakBefore w:val="0"/>
              <w:kinsoku/>
              <w:wordWrap/>
              <w:overflowPunct/>
              <w:topLinePunct w:val="0"/>
              <w:bidi w:val="0"/>
              <w:spacing w:line="300" w:lineRule="exact"/>
              <w:jc w:val="left"/>
              <w:textAlignment w:val="auto"/>
              <w:rPr>
                <w:rFonts w:hint="eastAsia" w:ascii="仿宋" w:hAnsi="仿宋" w:eastAsia="仿宋" w:cs="仿宋"/>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755" w:hRule="atLeast"/>
          <w:jc w:val="center"/>
        </w:trPr>
        <w:tc>
          <w:tcPr>
            <w:tcW w:w="733" w:type="dxa"/>
            <w:vMerge w:val="continue"/>
            <w:vAlign w:val="center"/>
          </w:tcPr>
          <w:p>
            <w:pPr>
              <w:keepNext w:val="0"/>
              <w:keepLines w:val="0"/>
              <w:pageBreakBefore w:val="0"/>
              <w:kinsoku/>
              <w:wordWrap/>
              <w:overflowPunct/>
              <w:topLinePunct w:val="0"/>
              <w:bidi w:val="0"/>
              <w:spacing w:line="300" w:lineRule="exact"/>
              <w:jc w:val="left"/>
              <w:textAlignment w:val="auto"/>
              <w:rPr>
                <w:rFonts w:hint="eastAsia" w:ascii="仿宋" w:hAnsi="仿宋" w:eastAsia="仿宋" w:cs="仿宋"/>
                <w:color w:val="auto"/>
                <w:sz w:val="24"/>
                <w:szCs w:val="24"/>
              </w:rPr>
            </w:pPr>
          </w:p>
        </w:tc>
        <w:tc>
          <w:tcPr>
            <w:tcW w:w="789" w:type="dxa"/>
            <w:vMerge w:val="continue"/>
            <w:vAlign w:val="center"/>
          </w:tcPr>
          <w:p>
            <w:pPr>
              <w:keepNext w:val="0"/>
              <w:keepLines w:val="0"/>
              <w:pageBreakBefore w:val="0"/>
              <w:kinsoku/>
              <w:wordWrap/>
              <w:overflowPunct/>
              <w:topLinePunct w:val="0"/>
              <w:bidi w:val="0"/>
              <w:spacing w:line="300" w:lineRule="exact"/>
              <w:textAlignment w:val="auto"/>
              <w:rPr>
                <w:rFonts w:hint="eastAsia" w:ascii="仿宋" w:hAnsi="仿宋" w:eastAsia="仿宋" w:cs="仿宋"/>
                <w:color w:val="auto"/>
                <w:sz w:val="24"/>
                <w:szCs w:val="24"/>
              </w:rPr>
            </w:pPr>
          </w:p>
        </w:tc>
        <w:tc>
          <w:tcPr>
            <w:tcW w:w="765" w:type="dxa"/>
            <w:vAlign w:val="center"/>
          </w:tcPr>
          <w:p>
            <w:pPr>
              <w:keepNext w:val="0"/>
              <w:keepLines w:val="0"/>
              <w:pageBreakBefore w:val="0"/>
              <w:kinsoku/>
              <w:wordWrap/>
              <w:overflowPunct/>
              <w:topLinePunct w:val="0"/>
              <w:autoSpaceDE w:val="0"/>
              <w:autoSpaceDN w:val="0"/>
              <w:bidi w:val="0"/>
              <w:adjustRightInd w:val="0"/>
              <w:spacing w:line="300" w:lineRule="exact"/>
              <w:jc w:val="center"/>
              <w:textAlignment w:val="auto"/>
              <w:rPr>
                <w:rFonts w:hint="eastAsia" w:ascii="仿宋" w:hAnsi="仿宋" w:eastAsia="仿宋" w:cs="仿宋"/>
                <w:bCs/>
                <w:kern w:val="2"/>
                <w:sz w:val="24"/>
                <w:szCs w:val="24"/>
                <w:lang w:val="en-US" w:eastAsia="zh-CN" w:bidi="ar-SA"/>
              </w:rPr>
            </w:pPr>
            <w:r>
              <w:rPr>
                <w:rFonts w:hint="eastAsia" w:ascii="仿宋" w:hAnsi="仿宋" w:eastAsia="仿宋" w:cs="仿宋"/>
                <w:bCs/>
                <w:sz w:val="24"/>
                <w:szCs w:val="24"/>
              </w:rPr>
              <w:t>实施方案</w:t>
            </w:r>
          </w:p>
        </w:tc>
        <w:tc>
          <w:tcPr>
            <w:tcW w:w="780" w:type="dxa"/>
            <w:vAlign w:val="center"/>
          </w:tcPr>
          <w:p>
            <w:pPr>
              <w:keepNext w:val="0"/>
              <w:keepLines w:val="0"/>
              <w:pageBreakBefore w:val="0"/>
              <w:kinsoku/>
              <w:wordWrap/>
              <w:overflowPunct/>
              <w:topLinePunct w:val="0"/>
              <w:autoSpaceDE w:val="0"/>
              <w:autoSpaceDN w:val="0"/>
              <w:bidi w:val="0"/>
              <w:adjustRightInd w:val="0"/>
              <w:spacing w:line="300" w:lineRule="exact"/>
              <w:jc w:val="center"/>
              <w:textAlignment w:val="auto"/>
              <w:rPr>
                <w:rFonts w:hint="default" w:ascii="仿宋" w:hAnsi="仿宋" w:eastAsia="仿宋" w:cs="仿宋"/>
                <w:bCs/>
                <w:kern w:val="2"/>
                <w:sz w:val="24"/>
                <w:szCs w:val="24"/>
                <w:lang w:val="en-US" w:eastAsia="zh-CN" w:bidi="ar-SA"/>
              </w:rPr>
            </w:pPr>
            <w:r>
              <w:rPr>
                <w:rFonts w:hint="eastAsia" w:ascii="仿宋" w:hAnsi="仿宋" w:eastAsia="仿宋" w:cs="仿宋"/>
                <w:bCs/>
                <w:kern w:val="2"/>
                <w:sz w:val="24"/>
                <w:szCs w:val="24"/>
                <w:lang w:val="en-US" w:eastAsia="zh-CN" w:bidi="ar-SA"/>
              </w:rPr>
              <w:t>8</w:t>
            </w:r>
          </w:p>
        </w:tc>
        <w:tc>
          <w:tcPr>
            <w:tcW w:w="4995" w:type="dxa"/>
            <w:vAlign w:val="center"/>
          </w:tcPr>
          <w:p>
            <w:pPr>
              <w:keepNext w:val="0"/>
              <w:keepLines w:val="0"/>
              <w:pageBreakBefore w:val="0"/>
              <w:widowControl/>
              <w:kinsoku/>
              <w:wordWrap/>
              <w:overflowPunct/>
              <w:topLinePunct w:val="0"/>
              <w:autoSpaceDE/>
              <w:autoSpaceDN/>
              <w:bidi w:val="0"/>
              <w:adjustRightInd w:val="0"/>
              <w:snapToGrid w:val="0"/>
              <w:spacing w:line="300" w:lineRule="exact"/>
              <w:jc w:val="left"/>
              <w:textAlignment w:val="auto"/>
              <w:rPr>
                <w:rFonts w:hint="eastAsia" w:ascii="仿宋" w:hAnsi="仿宋" w:eastAsia="仿宋" w:cs="仿宋_GB2312"/>
                <w:sz w:val="24"/>
                <w:szCs w:val="24"/>
                <w:lang w:eastAsia="zh-CN"/>
              </w:rPr>
            </w:pPr>
            <w:r>
              <w:rPr>
                <w:rFonts w:hint="eastAsia" w:ascii="仿宋" w:hAnsi="仿宋" w:eastAsia="仿宋" w:cs="仿宋_GB2312"/>
                <w:sz w:val="24"/>
                <w:szCs w:val="24"/>
              </w:rPr>
              <w:t>产品选型合理、配置齐全、</w:t>
            </w:r>
            <w:r>
              <w:rPr>
                <w:rFonts w:hint="eastAsia" w:ascii="仿宋" w:hAnsi="仿宋" w:eastAsia="仿宋" w:cs="仿宋_GB2312"/>
                <w:sz w:val="24"/>
                <w:szCs w:val="24"/>
                <w:lang w:val="en-US" w:eastAsia="zh-CN"/>
              </w:rPr>
              <w:t>功能稳定、</w:t>
            </w:r>
            <w:r>
              <w:rPr>
                <w:rFonts w:hint="eastAsia" w:ascii="仿宋" w:hAnsi="仿宋" w:eastAsia="仿宋" w:cs="仿宋_GB2312"/>
                <w:sz w:val="24"/>
                <w:szCs w:val="24"/>
              </w:rPr>
              <w:t>配套</w:t>
            </w:r>
            <w:r>
              <w:rPr>
                <w:rFonts w:hint="eastAsia" w:ascii="仿宋" w:hAnsi="仿宋" w:eastAsia="仿宋" w:cs="仿宋_GB2312"/>
                <w:sz w:val="24"/>
                <w:szCs w:val="24"/>
                <w:lang w:val="en-US" w:eastAsia="zh-CN"/>
              </w:rPr>
              <w:t>完整，</w:t>
            </w:r>
            <w:r>
              <w:rPr>
                <w:rFonts w:hint="eastAsia" w:ascii="仿宋" w:hAnsi="仿宋" w:eastAsia="仿宋" w:cs="仿宋_GB2312"/>
                <w:sz w:val="24"/>
                <w:szCs w:val="24"/>
              </w:rPr>
              <w:t>整体具有先进性、可靠性、实用性、适用性、稳定性</w:t>
            </w:r>
            <w:r>
              <w:rPr>
                <w:rFonts w:hint="eastAsia" w:ascii="仿宋" w:hAnsi="仿宋" w:eastAsia="仿宋" w:cs="仿宋_GB2312"/>
                <w:sz w:val="24"/>
                <w:szCs w:val="24"/>
                <w:lang w:eastAsia="zh-CN"/>
              </w:rPr>
              <w:t>、</w:t>
            </w:r>
            <w:r>
              <w:rPr>
                <w:rFonts w:hint="eastAsia" w:ascii="仿宋" w:hAnsi="仿宋" w:eastAsia="仿宋" w:cs="仿宋_GB2312"/>
                <w:sz w:val="24"/>
                <w:szCs w:val="24"/>
                <w:lang w:val="en-US" w:eastAsia="zh-CN"/>
              </w:rPr>
              <w:t>先进性</w:t>
            </w:r>
            <w:r>
              <w:rPr>
                <w:rFonts w:hint="eastAsia" w:ascii="仿宋" w:hAnsi="仿宋" w:eastAsia="仿宋" w:cs="仿宋_GB2312"/>
                <w:sz w:val="24"/>
                <w:szCs w:val="24"/>
                <w:lang w:eastAsia="zh-CN"/>
              </w:rPr>
              <w:t>。</w:t>
            </w:r>
          </w:p>
          <w:p>
            <w:pPr>
              <w:keepNext w:val="0"/>
              <w:keepLines w:val="0"/>
              <w:pageBreakBefore w:val="0"/>
              <w:widowControl/>
              <w:kinsoku/>
              <w:wordWrap/>
              <w:overflowPunct/>
              <w:topLinePunct w:val="0"/>
              <w:autoSpaceDE/>
              <w:autoSpaceDN/>
              <w:bidi w:val="0"/>
              <w:adjustRightInd w:val="0"/>
              <w:snapToGrid w:val="0"/>
              <w:spacing w:line="300" w:lineRule="exact"/>
              <w:jc w:val="left"/>
              <w:textAlignment w:val="auto"/>
              <w:rPr>
                <w:rFonts w:hint="eastAsia" w:ascii="仿宋" w:hAnsi="仿宋" w:eastAsia="仿宋" w:cs="仿宋_GB2312"/>
                <w:sz w:val="24"/>
                <w:szCs w:val="24"/>
                <w:lang w:val="en-US" w:eastAsia="zh-CN"/>
              </w:rPr>
            </w:pPr>
            <w:r>
              <w:rPr>
                <w:rFonts w:hint="eastAsia" w:ascii="仿宋" w:hAnsi="仿宋" w:eastAsia="仿宋" w:cs="仿宋_GB2312"/>
                <w:sz w:val="24"/>
                <w:szCs w:val="24"/>
              </w:rPr>
              <w:t>实施方案</w:t>
            </w:r>
            <w:r>
              <w:rPr>
                <w:rFonts w:hint="eastAsia" w:ascii="仿宋" w:hAnsi="仿宋" w:eastAsia="仿宋" w:cs="仿宋_GB2312"/>
                <w:sz w:val="24"/>
                <w:szCs w:val="24"/>
                <w:lang w:val="en-US" w:eastAsia="zh-CN"/>
              </w:rPr>
              <w:t>全面</w:t>
            </w:r>
            <w:r>
              <w:rPr>
                <w:rFonts w:hint="eastAsia" w:ascii="仿宋" w:hAnsi="仿宋" w:eastAsia="仿宋" w:cs="仿宋_GB2312"/>
                <w:sz w:val="24"/>
                <w:szCs w:val="24"/>
              </w:rPr>
              <w:t>、</w:t>
            </w:r>
            <w:r>
              <w:rPr>
                <w:rFonts w:hint="eastAsia" w:ascii="仿宋" w:hAnsi="仿宋" w:eastAsia="仿宋" w:cs="仿宋_GB2312"/>
                <w:sz w:val="24"/>
                <w:szCs w:val="24"/>
                <w:lang w:val="en-US" w:eastAsia="zh-CN"/>
              </w:rPr>
              <w:t>具体、先进、</w:t>
            </w:r>
            <w:r>
              <w:rPr>
                <w:rFonts w:hint="eastAsia" w:ascii="仿宋" w:hAnsi="仿宋" w:eastAsia="仿宋" w:cs="仿宋_GB2312"/>
                <w:sz w:val="24"/>
                <w:szCs w:val="24"/>
              </w:rPr>
              <w:t>操作性强</w:t>
            </w:r>
            <w:r>
              <w:rPr>
                <w:rFonts w:hint="eastAsia" w:ascii="仿宋" w:hAnsi="仿宋" w:eastAsia="仿宋" w:cs="仿宋_GB2312"/>
                <w:sz w:val="24"/>
                <w:szCs w:val="24"/>
                <w:lang w:eastAsia="zh-CN"/>
              </w:rPr>
              <w:t>，</w:t>
            </w:r>
            <w:r>
              <w:rPr>
                <w:rFonts w:hint="eastAsia" w:ascii="仿宋" w:hAnsi="仿宋" w:eastAsia="仿宋" w:cs="仿宋_GB2312"/>
                <w:sz w:val="24"/>
                <w:szCs w:val="24"/>
                <w:lang w:val="en-US" w:eastAsia="zh-CN"/>
              </w:rPr>
              <w:t>得6-8分；</w:t>
            </w:r>
          </w:p>
          <w:p>
            <w:pPr>
              <w:keepNext w:val="0"/>
              <w:keepLines w:val="0"/>
              <w:pageBreakBefore w:val="0"/>
              <w:widowControl/>
              <w:kinsoku/>
              <w:wordWrap/>
              <w:overflowPunct/>
              <w:topLinePunct w:val="0"/>
              <w:autoSpaceDE/>
              <w:autoSpaceDN/>
              <w:bidi w:val="0"/>
              <w:adjustRightInd w:val="0"/>
              <w:snapToGrid w:val="0"/>
              <w:spacing w:line="300" w:lineRule="exact"/>
              <w:jc w:val="left"/>
              <w:textAlignment w:val="auto"/>
              <w:rPr>
                <w:rFonts w:hint="eastAsia" w:ascii="仿宋" w:hAnsi="仿宋" w:eastAsia="仿宋" w:cs="仿宋_GB2312"/>
                <w:sz w:val="24"/>
                <w:szCs w:val="24"/>
                <w:lang w:val="en-US" w:eastAsia="zh-CN"/>
              </w:rPr>
            </w:pPr>
            <w:r>
              <w:rPr>
                <w:rFonts w:hint="eastAsia" w:ascii="仿宋" w:hAnsi="仿宋" w:eastAsia="仿宋" w:cs="仿宋_GB2312"/>
                <w:sz w:val="24"/>
                <w:szCs w:val="24"/>
                <w:lang w:val="en-US" w:eastAsia="zh-CN"/>
              </w:rPr>
              <w:t>方案较为全面、具体、具有一定实施性，得3-6分；</w:t>
            </w:r>
          </w:p>
          <w:p>
            <w:pPr>
              <w:keepNext w:val="0"/>
              <w:keepLines w:val="0"/>
              <w:pageBreakBefore w:val="0"/>
              <w:widowControl/>
              <w:kinsoku/>
              <w:wordWrap/>
              <w:overflowPunct/>
              <w:topLinePunct w:val="0"/>
              <w:autoSpaceDE/>
              <w:autoSpaceDN/>
              <w:bidi w:val="0"/>
              <w:adjustRightInd w:val="0"/>
              <w:snapToGrid w:val="0"/>
              <w:spacing w:line="300" w:lineRule="exact"/>
              <w:jc w:val="left"/>
              <w:textAlignment w:val="auto"/>
              <w:rPr>
                <w:rFonts w:hint="eastAsia" w:ascii="仿宋" w:hAnsi="仿宋" w:eastAsia="仿宋" w:cs="仿宋_GB2312"/>
                <w:kern w:val="2"/>
                <w:sz w:val="24"/>
                <w:szCs w:val="24"/>
                <w:lang w:val="en-US" w:eastAsia="zh-CN" w:bidi="ar-SA"/>
              </w:rPr>
            </w:pPr>
            <w:r>
              <w:rPr>
                <w:rFonts w:hint="eastAsia" w:ascii="仿宋" w:hAnsi="仿宋" w:eastAsia="仿宋" w:cs="仿宋_GB2312"/>
                <w:sz w:val="24"/>
                <w:szCs w:val="24"/>
                <w:lang w:val="en-US" w:eastAsia="zh-CN"/>
              </w:rPr>
              <w:t>方案不够具体，得0-3分</w:t>
            </w:r>
            <w:r>
              <w:rPr>
                <w:rFonts w:hint="eastAsia" w:ascii="仿宋" w:hAnsi="仿宋" w:eastAsia="仿宋" w:cs="仿宋_GB2312"/>
                <w:sz w:val="24"/>
                <w:szCs w:val="24"/>
                <w:lang w:eastAsia="zh-CN"/>
              </w:rPr>
              <w:t>。</w:t>
            </w:r>
          </w:p>
        </w:tc>
        <w:tc>
          <w:tcPr>
            <w:tcW w:w="1236" w:type="dxa"/>
            <w:vAlign w:val="center"/>
          </w:tcPr>
          <w:p>
            <w:pPr>
              <w:keepNext w:val="0"/>
              <w:keepLines w:val="0"/>
              <w:pageBreakBefore w:val="0"/>
              <w:kinsoku/>
              <w:wordWrap/>
              <w:overflowPunct/>
              <w:topLinePunct w:val="0"/>
              <w:bidi w:val="0"/>
              <w:spacing w:line="300" w:lineRule="exact"/>
              <w:jc w:val="left"/>
              <w:textAlignment w:val="auto"/>
              <w:rPr>
                <w:rFonts w:hint="eastAsia" w:ascii="仿宋" w:hAnsi="仿宋" w:eastAsia="仿宋" w:cs="仿宋"/>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55" w:hRule="atLeast"/>
          <w:jc w:val="center"/>
        </w:trPr>
        <w:tc>
          <w:tcPr>
            <w:tcW w:w="733" w:type="dxa"/>
            <w:vMerge w:val="continue"/>
            <w:vAlign w:val="center"/>
          </w:tcPr>
          <w:p>
            <w:pPr>
              <w:keepNext w:val="0"/>
              <w:keepLines w:val="0"/>
              <w:pageBreakBefore w:val="0"/>
              <w:kinsoku/>
              <w:wordWrap/>
              <w:overflowPunct/>
              <w:topLinePunct w:val="0"/>
              <w:bidi w:val="0"/>
              <w:spacing w:line="300" w:lineRule="exact"/>
              <w:jc w:val="left"/>
              <w:textAlignment w:val="auto"/>
              <w:rPr>
                <w:rFonts w:hint="eastAsia" w:ascii="仿宋" w:hAnsi="仿宋" w:eastAsia="仿宋" w:cs="仿宋"/>
                <w:color w:val="auto"/>
                <w:sz w:val="24"/>
                <w:szCs w:val="24"/>
              </w:rPr>
            </w:pPr>
          </w:p>
        </w:tc>
        <w:tc>
          <w:tcPr>
            <w:tcW w:w="789" w:type="dxa"/>
            <w:vMerge w:val="continue"/>
            <w:vAlign w:val="center"/>
          </w:tcPr>
          <w:p>
            <w:pPr>
              <w:keepNext w:val="0"/>
              <w:keepLines w:val="0"/>
              <w:pageBreakBefore w:val="0"/>
              <w:kinsoku/>
              <w:wordWrap/>
              <w:overflowPunct/>
              <w:topLinePunct w:val="0"/>
              <w:bidi w:val="0"/>
              <w:spacing w:line="300" w:lineRule="exact"/>
              <w:textAlignment w:val="auto"/>
              <w:rPr>
                <w:rFonts w:hint="eastAsia" w:ascii="仿宋" w:hAnsi="仿宋" w:eastAsia="仿宋" w:cs="仿宋"/>
                <w:color w:val="auto"/>
                <w:sz w:val="24"/>
                <w:szCs w:val="24"/>
              </w:rPr>
            </w:pPr>
          </w:p>
        </w:tc>
        <w:tc>
          <w:tcPr>
            <w:tcW w:w="765" w:type="dxa"/>
            <w:vAlign w:val="center"/>
          </w:tcPr>
          <w:p>
            <w:pPr>
              <w:keepNext w:val="0"/>
              <w:keepLines w:val="0"/>
              <w:pageBreakBefore w:val="0"/>
              <w:kinsoku/>
              <w:wordWrap/>
              <w:overflowPunct/>
              <w:topLinePunct w:val="0"/>
              <w:autoSpaceDE w:val="0"/>
              <w:autoSpaceDN w:val="0"/>
              <w:bidi w:val="0"/>
              <w:adjustRightInd w:val="0"/>
              <w:spacing w:line="300" w:lineRule="exact"/>
              <w:jc w:val="center"/>
              <w:textAlignment w:val="auto"/>
              <w:rPr>
                <w:rFonts w:hint="eastAsia" w:ascii="仿宋" w:hAnsi="仿宋" w:eastAsia="仿宋" w:cs="仿宋"/>
                <w:bCs/>
                <w:kern w:val="2"/>
                <w:sz w:val="24"/>
                <w:szCs w:val="24"/>
                <w:lang w:val="en-US" w:eastAsia="zh-CN" w:bidi="ar-SA"/>
              </w:rPr>
            </w:pPr>
            <w:r>
              <w:rPr>
                <w:rFonts w:hint="eastAsia" w:ascii="仿宋" w:hAnsi="仿宋" w:eastAsia="仿宋" w:cs="仿宋"/>
                <w:bCs/>
                <w:sz w:val="24"/>
                <w:szCs w:val="24"/>
              </w:rPr>
              <w:t>技术参数</w:t>
            </w:r>
          </w:p>
        </w:tc>
        <w:tc>
          <w:tcPr>
            <w:tcW w:w="780" w:type="dxa"/>
            <w:vAlign w:val="center"/>
          </w:tcPr>
          <w:p>
            <w:pPr>
              <w:keepNext w:val="0"/>
              <w:keepLines w:val="0"/>
              <w:pageBreakBefore w:val="0"/>
              <w:kinsoku/>
              <w:wordWrap/>
              <w:overflowPunct/>
              <w:topLinePunct w:val="0"/>
              <w:autoSpaceDE w:val="0"/>
              <w:autoSpaceDN w:val="0"/>
              <w:bidi w:val="0"/>
              <w:adjustRightInd w:val="0"/>
              <w:spacing w:line="300" w:lineRule="exact"/>
              <w:jc w:val="center"/>
              <w:textAlignment w:val="auto"/>
              <w:rPr>
                <w:rFonts w:hint="default" w:ascii="仿宋" w:hAnsi="仿宋" w:eastAsia="仿宋" w:cs="仿宋"/>
                <w:bCs/>
                <w:kern w:val="2"/>
                <w:sz w:val="24"/>
                <w:szCs w:val="24"/>
                <w:lang w:val="en-US" w:eastAsia="zh-CN" w:bidi="ar-SA"/>
              </w:rPr>
            </w:pPr>
            <w:r>
              <w:rPr>
                <w:rFonts w:hint="eastAsia" w:ascii="仿宋" w:hAnsi="仿宋" w:eastAsia="仿宋" w:cs="仿宋"/>
                <w:bCs/>
                <w:sz w:val="24"/>
                <w:szCs w:val="24"/>
                <w:lang w:val="en-US" w:eastAsia="zh-CN"/>
              </w:rPr>
              <w:t>24</w:t>
            </w:r>
          </w:p>
        </w:tc>
        <w:tc>
          <w:tcPr>
            <w:tcW w:w="4995" w:type="dxa"/>
            <w:vAlign w:val="center"/>
          </w:tcPr>
          <w:p>
            <w:pPr>
              <w:keepNext w:val="0"/>
              <w:keepLines w:val="0"/>
              <w:pageBreakBefore w:val="0"/>
              <w:kinsoku/>
              <w:wordWrap/>
              <w:overflowPunct/>
              <w:topLinePunct w:val="0"/>
              <w:bidi w:val="0"/>
              <w:adjustRightInd w:val="0"/>
              <w:snapToGrid w:val="0"/>
              <w:spacing w:line="300" w:lineRule="exact"/>
              <w:textAlignment w:val="auto"/>
              <w:rPr>
                <w:rFonts w:hint="eastAsia" w:ascii="仿宋" w:hAnsi="仿宋" w:eastAsia="仿宋" w:cs="仿宋_GB2312"/>
                <w:sz w:val="24"/>
                <w:szCs w:val="24"/>
              </w:rPr>
            </w:pPr>
            <w:r>
              <w:rPr>
                <w:rFonts w:hint="eastAsia" w:ascii="仿宋" w:hAnsi="仿宋" w:eastAsia="仿宋" w:cs="仿宋_GB2312"/>
                <w:sz w:val="24"/>
                <w:szCs w:val="24"/>
                <w:lang w:val="en-US" w:eastAsia="zh-CN"/>
              </w:rPr>
              <w:t>1.</w:t>
            </w:r>
            <w:r>
              <w:rPr>
                <w:rFonts w:hint="eastAsia" w:ascii="仿宋" w:hAnsi="仿宋" w:eastAsia="仿宋" w:cs="仿宋_GB2312"/>
                <w:sz w:val="24"/>
                <w:szCs w:val="24"/>
              </w:rPr>
              <w:t>响应产品技术参数清楚、详尽、明确；技术资料齐全、表述真实一致，符合招标文件要求及质检部门的相关规定。（应提供详细的响应设备彩页、设备说明书、质量证书、检测报告等加盖厂家公章）;标</w:t>
            </w:r>
            <w:r>
              <w:rPr>
                <w:rFonts w:hint="eastAsia" w:ascii="仿宋" w:hAnsi="仿宋" w:eastAsia="仿宋" w:cs="仿宋_GB2312"/>
                <w:sz w:val="24"/>
                <w:szCs w:val="24"/>
                <w:lang w:eastAsia="zh-CN"/>
              </w:rPr>
              <w:t>▲</w:t>
            </w:r>
            <w:r>
              <w:rPr>
                <w:rFonts w:hint="eastAsia" w:ascii="仿宋" w:hAnsi="仿宋" w:eastAsia="仿宋" w:cs="仿宋_GB2312"/>
                <w:sz w:val="24"/>
                <w:szCs w:val="24"/>
              </w:rPr>
              <w:t>参数有一项不满足扣2分，非</w:t>
            </w:r>
            <w:r>
              <w:rPr>
                <w:rFonts w:hint="eastAsia" w:ascii="仿宋" w:hAnsi="仿宋" w:eastAsia="仿宋" w:cs="仿宋_GB2312"/>
                <w:sz w:val="24"/>
                <w:szCs w:val="24"/>
                <w:lang w:eastAsia="zh-CN"/>
              </w:rPr>
              <w:t>▲</w:t>
            </w:r>
            <w:r>
              <w:rPr>
                <w:rFonts w:hint="eastAsia" w:ascii="仿宋" w:hAnsi="仿宋" w:eastAsia="仿宋" w:cs="仿宋_GB2312"/>
                <w:sz w:val="24"/>
                <w:szCs w:val="24"/>
              </w:rPr>
              <w:t>参数有一项不满足扣1分，</w:t>
            </w:r>
            <w:r>
              <w:rPr>
                <w:rFonts w:hint="eastAsia" w:ascii="仿宋" w:hAnsi="仿宋" w:eastAsia="仿宋" w:cs="仿宋_GB2312"/>
                <w:sz w:val="24"/>
                <w:szCs w:val="24"/>
                <w:lang w:val="en-US" w:eastAsia="zh-CN"/>
              </w:rPr>
              <w:t>满分20分，</w:t>
            </w:r>
            <w:r>
              <w:rPr>
                <w:rFonts w:hint="eastAsia" w:ascii="仿宋" w:hAnsi="仿宋" w:eastAsia="仿宋" w:cs="仿宋_GB2312"/>
                <w:sz w:val="24"/>
                <w:szCs w:val="24"/>
              </w:rPr>
              <w:t>扣完为止。</w:t>
            </w:r>
          </w:p>
          <w:p>
            <w:pPr>
              <w:keepNext w:val="0"/>
              <w:keepLines w:val="0"/>
              <w:pageBreakBefore w:val="0"/>
              <w:kinsoku/>
              <w:wordWrap/>
              <w:overflowPunct/>
              <w:topLinePunct w:val="0"/>
              <w:bidi w:val="0"/>
              <w:adjustRightInd w:val="0"/>
              <w:snapToGrid w:val="0"/>
              <w:spacing w:line="300" w:lineRule="exact"/>
              <w:textAlignment w:val="auto"/>
              <w:rPr>
                <w:rFonts w:hint="eastAsia" w:ascii="仿宋" w:hAnsi="仿宋" w:eastAsia="仿宋" w:cs="仿宋_GB2312"/>
                <w:kern w:val="2"/>
                <w:sz w:val="24"/>
                <w:szCs w:val="24"/>
                <w:lang w:val="en-US" w:eastAsia="zh-CN" w:bidi="ar-SA"/>
              </w:rPr>
            </w:pPr>
            <w:r>
              <w:rPr>
                <w:rFonts w:hint="eastAsia" w:ascii="仿宋" w:hAnsi="仿宋" w:eastAsia="仿宋" w:cs="仿宋_GB2312"/>
                <w:sz w:val="24"/>
                <w:szCs w:val="24"/>
                <w:lang w:val="en-US" w:eastAsia="zh-CN"/>
              </w:rPr>
              <w:t>2.根据供应商所提供的电气工程第20、41项参数清单，对产品的质量、功能等进行横向比较，综合评定赋分，每项清单0-2分，满分4分，清单不满足要求或不全者不得分。</w:t>
            </w:r>
          </w:p>
        </w:tc>
        <w:tc>
          <w:tcPr>
            <w:tcW w:w="1236" w:type="dxa"/>
            <w:vAlign w:val="center"/>
          </w:tcPr>
          <w:p>
            <w:pPr>
              <w:keepNext w:val="0"/>
              <w:keepLines w:val="0"/>
              <w:pageBreakBefore w:val="0"/>
              <w:kinsoku/>
              <w:wordWrap/>
              <w:overflowPunct/>
              <w:topLinePunct w:val="0"/>
              <w:bidi w:val="0"/>
              <w:spacing w:line="300" w:lineRule="exact"/>
              <w:jc w:val="left"/>
              <w:textAlignment w:val="auto"/>
              <w:rPr>
                <w:rFonts w:hint="eastAsia" w:ascii="仿宋" w:hAnsi="仿宋" w:eastAsia="仿宋" w:cs="仿宋"/>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55" w:hRule="atLeast"/>
          <w:jc w:val="center"/>
        </w:trPr>
        <w:tc>
          <w:tcPr>
            <w:tcW w:w="733" w:type="dxa"/>
            <w:vMerge w:val="continue"/>
            <w:vAlign w:val="center"/>
          </w:tcPr>
          <w:p>
            <w:pPr>
              <w:keepNext w:val="0"/>
              <w:keepLines w:val="0"/>
              <w:pageBreakBefore w:val="0"/>
              <w:kinsoku/>
              <w:wordWrap/>
              <w:overflowPunct/>
              <w:topLinePunct w:val="0"/>
              <w:bidi w:val="0"/>
              <w:spacing w:line="300" w:lineRule="exact"/>
              <w:jc w:val="left"/>
              <w:textAlignment w:val="auto"/>
              <w:rPr>
                <w:rFonts w:hint="eastAsia" w:ascii="仿宋" w:hAnsi="仿宋" w:eastAsia="仿宋" w:cs="仿宋"/>
                <w:color w:val="auto"/>
                <w:sz w:val="24"/>
                <w:szCs w:val="24"/>
              </w:rPr>
            </w:pPr>
          </w:p>
        </w:tc>
        <w:tc>
          <w:tcPr>
            <w:tcW w:w="789" w:type="dxa"/>
            <w:vMerge w:val="continue"/>
            <w:vAlign w:val="center"/>
          </w:tcPr>
          <w:p>
            <w:pPr>
              <w:keepNext w:val="0"/>
              <w:keepLines w:val="0"/>
              <w:pageBreakBefore w:val="0"/>
              <w:kinsoku/>
              <w:wordWrap/>
              <w:overflowPunct/>
              <w:topLinePunct w:val="0"/>
              <w:bidi w:val="0"/>
              <w:spacing w:line="300" w:lineRule="exact"/>
              <w:textAlignment w:val="auto"/>
              <w:rPr>
                <w:rFonts w:hint="eastAsia" w:ascii="仿宋" w:hAnsi="仿宋" w:eastAsia="仿宋" w:cs="仿宋"/>
                <w:color w:val="auto"/>
                <w:sz w:val="24"/>
                <w:szCs w:val="24"/>
              </w:rPr>
            </w:pPr>
          </w:p>
        </w:tc>
        <w:tc>
          <w:tcPr>
            <w:tcW w:w="765" w:type="dxa"/>
            <w:vAlign w:val="center"/>
          </w:tcPr>
          <w:p>
            <w:pPr>
              <w:keepNext w:val="0"/>
              <w:keepLines w:val="0"/>
              <w:pageBreakBefore w:val="0"/>
              <w:kinsoku/>
              <w:wordWrap/>
              <w:overflowPunct/>
              <w:topLinePunct w:val="0"/>
              <w:autoSpaceDE w:val="0"/>
              <w:autoSpaceDN w:val="0"/>
              <w:bidi w:val="0"/>
              <w:adjustRightInd w:val="0"/>
              <w:spacing w:line="300" w:lineRule="exact"/>
              <w:jc w:val="center"/>
              <w:textAlignment w:val="auto"/>
              <w:rPr>
                <w:rFonts w:hint="eastAsia" w:ascii="仿宋" w:hAnsi="仿宋" w:eastAsia="仿宋" w:cs="仿宋"/>
                <w:bCs/>
                <w:kern w:val="2"/>
                <w:sz w:val="24"/>
                <w:szCs w:val="24"/>
                <w:lang w:val="en-US" w:eastAsia="zh-CN" w:bidi="ar-SA"/>
              </w:rPr>
            </w:pPr>
            <w:r>
              <w:rPr>
                <w:rFonts w:hint="eastAsia" w:ascii="仿宋" w:hAnsi="仿宋" w:eastAsia="仿宋" w:cs="仿宋"/>
                <w:bCs/>
                <w:sz w:val="24"/>
                <w:szCs w:val="24"/>
              </w:rPr>
              <w:t>来源渠道</w:t>
            </w:r>
          </w:p>
        </w:tc>
        <w:tc>
          <w:tcPr>
            <w:tcW w:w="780" w:type="dxa"/>
            <w:vAlign w:val="center"/>
          </w:tcPr>
          <w:p>
            <w:pPr>
              <w:keepNext w:val="0"/>
              <w:keepLines w:val="0"/>
              <w:pageBreakBefore w:val="0"/>
              <w:kinsoku/>
              <w:wordWrap/>
              <w:overflowPunct/>
              <w:topLinePunct w:val="0"/>
              <w:autoSpaceDE w:val="0"/>
              <w:autoSpaceDN w:val="0"/>
              <w:bidi w:val="0"/>
              <w:adjustRightInd w:val="0"/>
              <w:spacing w:line="300" w:lineRule="exact"/>
              <w:jc w:val="center"/>
              <w:textAlignment w:val="auto"/>
              <w:rPr>
                <w:rFonts w:hint="eastAsia" w:ascii="仿宋" w:hAnsi="仿宋" w:eastAsia="仿宋" w:cs="仿宋"/>
                <w:bCs/>
                <w:kern w:val="2"/>
                <w:sz w:val="24"/>
                <w:szCs w:val="24"/>
                <w:lang w:val="en-US" w:eastAsia="zh-CN" w:bidi="ar-SA"/>
              </w:rPr>
            </w:pPr>
            <w:r>
              <w:rPr>
                <w:rFonts w:hint="eastAsia" w:ascii="仿宋" w:hAnsi="仿宋" w:eastAsia="仿宋" w:cs="仿宋"/>
                <w:bCs/>
                <w:sz w:val="24"/>
                <w:szCs w:val="24"/>
                <w:lang w:val="en-US" w:eastAsia="zh-CN"/>
              </w:rPr>
              <w:t>3</w:t>
            </w:r>
          </w:p>
        </w:tc>
        <w:tc>
          <w:tcPr>
            <w:tcW w:w="4995" w:type="dxa"/>
            <w:vAlign w:val="center"/>
          </w:tcPr>
          <w:p>
            <w:pPr>
              <w:keepNext w:val="0"/>
              <w:keepLines w:val="0"/>
              <w:pageBreakBefore w:val="0"/>
              <w:widowControl/>
              <w:kinsoku/>
              <w:wordWrap/>
              <w:overflowPunct/>
              <w:topLinePunct w:val="0"/>
              <w:autoSpaceDE/>
              <w:autoSpaceDN/>
              <w:bidi w:val="0"/>
              <w:adjustRightInd w:val="0"/>
              <w:snapToGrid w:val="0"/>
              <w:spacing w:line="300" w:lineRule="exact"/>
              <w:textAlignment w:val="auto"/>
              <w:rPr>
                <w:rFonts w:hint="eastAsia" w:ascii="仿宋" w:hAnsi="仿宋" w:eastAsia="仿宋" w:cs="仿宋_GB2312"/>
                <w:kern w:val="2"/>
                <w:sz w:val="24"/>
                <w:szCs w:val="24"/>
                <w:lang w:val="en-US" w:eastAsia="zh-CN" w:bidi="ar-SA"/>
              </w:rPr>
            </w:pPr>
            <w:r>
              <w:rPr>
                <w:rFonts w:hint="eastAsia" w:ascii="仿宋" w:hAnsi="仿宋" w:eastAsia="仿宋" w:cs="仿宋_GB2312"/>
                <w:sz w:val="24"/>
                <w:szCs w:val="24"/>
              </w:rPr>
              <w:t>产品供货渠道正规（须有相关证明），无假货、水货、翻新货且无产权纠纷。易损件、零配件备品配件供应渠道正常，有保障。制造厂有完备、可靠的质量管理体系、具备设计、加工、检验、组织供货能力，产品符合国内、国际相关标准;根据横向对比</w:t>
            </w:r>
            <w:r>
              <w:rPr>
                <w:rFonts w:hint="eastAsia" w:ascii="仿宋" w:hAnsi="仿宋" w:eastAsia="仿宋" w:cs="仿宋_GB2312"/>
                <w:sz w:val="24"/>
                <w:szCs w:val="24"/>
                <w:lang w:eastAsia="zh-CN"/>
              </w:rPr>
              <w:t>，</w:t>
            </w:r>
            <w:r>
              <w:rPr>
                <w:rFonts w:hint="eastAsia" w:ascii="仿宋" w:hAnsi="仿宋" w:eastAsia="仿宋" w:cs="仿宋_GB2312"/>
                <w:sz w:val="24"/>
                <w:szCs w:val="24"/>
                <w:lang w:val="en-US" w:eastAsia="zh-CN"/>
              </w:rPr>
              <w:t>得</w:t>
            </w:r>
            <w:r>
              <w:rPr>
                <w:rFonts w:hint="eastAsia" w:ascii="仿宋" w:hAnsi="仿宋" w:eastAsia="仿宋" w:cs="仿宋_GB2312"/>
                <w:sz w:val="24"/>
                <w:szCs w:val="24"/>
              </w:rPr>
              <w:t>0-</w:t>
            </w:r>
            <w:r>
              <w:rPr>
                <w:rFonts w:hint="eastAsia" w:ascii="仿宋" w:hAnsi="仿宋" w:eastAsia="仿宋" w:cs="仿宋_GB2312"/>
                <w:sz w:val="24"/>
                <w:szCs w:val="24"/>
                <w:lang w:val="en-US" w:eastAsia="zh-CN"/>
              </w:rPr>
              <w:t>3</w:t>
            </w:r>
            <w:r>
              <w:rPr>
                <w:rFonts w:hint="eastAsia" w:ascii="仿宋" w:hAnsi="仿宋" w:eastAsia="仿宋" w:cs="仿宋_GB2312"/>
                <w:sz w:val="24"/>
                <w:szCs w:val="24"/>
              </w:rPr>
              <w:t>分</w:t>
            </w:r>
            <w:r>
              <w:rPr>
                <w:rFonts w:hint="eastAsia" w:ascii="仿宋" w:hAnsi="仿宋" w:eastAsia="仿宋" w:cs="仿宋_GB2312"/>
                <w:sz w:val="24"/>
                <w:szCs w:val="24"/>
                <w:lang w:eastAsia="zh-CN"/>
              </w:rPr>
              <w:t>。</w:t>
            </w:r>
          </w:p>
        </w:tc>
        <w:tc>
          <w:tcPr>
            <w:tcW w:w="1236" w:type="dxa"/>
            <w:vAlign w:val="center"/>
          </w:tcPr>
          <w:p>
            <w:pPr>
              <w:keepNext w:val="0"/>
              <w:keepLines w:val="0"/>
              <w:pageBreakBefore w:val="0"/>
              <w:kinsoku/>
              <w:wordWrap/>
              <w:overflowPunct/>
              <w:topLinePunct w:val="0"/>
              <w:bidi w:val="0"/>
              <w:spacing w:line="300" w:lineRule="exact"/>
              <w:jc w:val="left"/>
              <w:textAlignment w:val="auto"/>
              <w:rPr>
                <w:rFonts w:hint="eastAsia" w:ascii="仿宋" w:hAnsi="仿宋" w:eastAsia="仿宋" w:cs="仿宋"/>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55" w:hRule="atLeast"/>
          <w:jc w:val="center"/>
        </w:trPr>
        <w:tc>
          <w:tcPr>
            <w:tcW w:w="733" w:type="dxa"/>
            <w:vMerge w:val="continue"/>
            <w:vAlign w:val="center"/>
          </w:tcPr>
          <w:p>
            <w:pPr>
              <w:keepNext w:val="0"/>
              <w:keepLines w:val="0"/>
              <w:pageBreakBefore w:val="0"/>
              <w:kinsoku/>
              <w:wordWrap/>
              <w:overflowPunct/>
              <w:topLinePunct w:val="0"/>
              <w:bidi w:val="0"/>
              <w:spacing w:line="300" w:lineRule="exact"/>
              <w:jc w:val="left"/>
              <w:textAlignment w:val="auto"/>
              <w:rPr>
                <w:rFonts w:hint="eastAsia" w:ascii="仿宋" w:hAnsi="仿宋" w:eastAsia="仿宋" w:cs="仿宋"/>
                <w:color w:val="auto"/>
                <w:sz w:val="24"/>
                <w:szCs w:val="24"/>
              </w:rPr>
            </w:pPr>
          </w:p>
        </w:tc>
        <w:tc>
          <w:tcPr>
            <w:tcW w:w="789" w:type="dxa"/>
            <w:vMerge w:val="continue"/>
            <w:vAlign w:val="center"/>
          </w:tcPr>
          <w:p>
            <w:pPr>
              <w:keepNext w:val="0"/>
              <w:keepLines w:val="0"/>
              <w:pageBreakBefore w:val="0"/>
              <w:kinsoku/>
              <w:wordWrap/>
              <w:overflowPunct/>
              <w:topLinePunct w:val="0"/>
              <w:bidi w:val="0"/>
              <w:spacing w:line="300" w:lineRule="exact"/>
              <w:textAlignment w:val="auto"/>
              <w:rPr>
                <w:rFonts w:hint="eastAsia" w:ascii="仿宋" w:hAnsi="仿宋" w:eastAsia="仿宋" w:cs="仿宋"/>
                <w:color w:val="auto"/>
                <w:sz w:val="24"/>
                <w:szCs w:val="24"/>
              </w:rPr>
            </w:pPr>
          </w:p>
        </w:tc>
        <w:tc>
          <w:tcPr>
            <w:tcW w:w="765" w:type="dxa"/>
            <w:vAlign w:val="center"/>
          </w:tcPr>
          <w:p>
            <w:pPr>
              <w:keepNext w:val="0"/>
              <w:keepLines w:val="0"/>
              <w:pageBreakBefore w:val="0"/>
              <w:kinsoku/>
              <w:wordWrap/>
              <w:overflowPunct/>
              <w:topLinePunct w:val="0"/>
              <w:autoSpaceDE w:val="0"/>
              <w:autoSpaceDN w:val="0"/>
              <w:bidi w:val="0"/>
              <w:adjustRightInd w:val="0"/>
              <w:spacing w:line="300" w:lineRule="exact"/>
              <w:jc w:val="center"/>
              <w:textAlignment w:val="auto"/>
              <w:rPr>
                <w:rFonts w:hint="eastAsia" w:ascii="仿宋" w:hAnsi="仿宋" w:eastAsia="仿宋" w:cs="仿宋"/>
                <w:bCs/>
                <w:kern w:val="2"/>
                <w:sz w:val="24"/>
                <w:szCs w:val="24"/>
                <w:lang w:val="en-US" w:eastAsia="zh-CN" w:bidi="ar-SA"/>
              </w:rPr>
            </w:pPr>
            <w:r>
              <w:rPr>
                <w:rFonts w:hint="eastAsia" w:ascii="仿宋" w:hAnsi="仿宋" w:eastAsia="仿宋" w:cs="仿宋"/>
                <w:bCs/>
                <w:sz w:val="24"/>
                <w:szCs w:val="24"/>
              </w:rPr>
              <w:t>组织措施</w:t>
            </w:r>
          </w:p>
        </w:tc>
        <w:tc>
          <w:tcPr>
            <w:tcW w:w="780" w:type="dxa"/>
            <w:vAlign w:val="center"/>
          </w:tcPr>
          <w:p>
            <w:pPr>
              <w:keepNext w:val="0"/>
              <w:keepLines w:val="0"/>
              <w:pageBreakBefore w:val="0"/>
              <w:kinsoku/>
              <w:wordWrap/>
              <w:overflowPunct/>
              <w:topLinePunct w:val="0"/>
              <w:autoSpaceDE w:val="0"/>
              <w:autoSpaceDN w:val="0"/>
              <w:bidi w:val="0"/>
              <w:adjustRightInd w:val="0"/>
              <w:spacing w:line="300" w:lineRule="exact"/>
              <w:jc w:val="center"/>
              <w:textAlignment w:val="auto"/>
              <w:rPr>
                <w:rFonts w:hint="default" w:ascii="仿宋" w:hAnsi="仿宋" w:eastAsia="仿宋" w:cs="仿宋"/>
                <w:bCs/>
                <w:kern w:val="2"/>
                <w:sz w:val="24"/>
                <w:szCs w:val="24"/>
                <w:lang w:val="en-US" w:eastAsia="zh-CN" w:bidi="ar-SA"/>
              </w:rPr>
            </w:pPr>
            <w:r>
              <w:rPr>
                <w:rFonts w:hint="eastAsia" w:ascii="仿宋" w:hAnsi="仿宋" w:eastAsia="仿宋" w:cs="仿宋"/>
                <w:bCs/>
                <w:sz w:val="24"/>
                <w:szCs w:val="24"/>
                <w:lang w:val="en-US" w:eastAsia="zh-CN"/>
              </w:rPr>
              <w:t>7</w:t>
            </w:r>
          </w:p>
        </w:tc>
        <w:tc>
          <w:tcPr>
            <w:tcW w:w="4995" w:type="dxa"/>
            <w:vAlign w:val="center"/>
          </w:tcPr>
          <w:p>
            <w:pPr>
              <w:keepNext w:val="0"/>
              <w:keepLines w:val="0"/>
              <w:pageBreakBefore w:val="0"/>
              <w:kinsoku/>
              <w:wordWrap/>
              <w:overflowPunct/>
              <w:topLinePunct w:val="0"/>
              <w:bidi w:val="0"/>
              <w:adjustRightInd w:val="0"/>
              <w:snapToGrid w:val="0"/>
              <w:spacing w:line="300" w:lineRule="exact"/>
              <w:textAlignment w:val="auto"/>
              <w:rPr>
                <w:rFonts w:hint="eastAsia" w:ascii="仿宋" w:hAnsi="仿宋" w:eastAsia="仿宋" w:cs="仿宋_GB2312"/>
                <w:sz w:val="24"/>
                <w:szCs w:val="24"/>
                <w:lang w:eastAsia="zh-CN"/>
              </w:rPr>
            </w:pPr>
            <w:r>
              <w:rPr>
                <w:rFonts w:hint="eastAsia" w:ascii="仿宋" w:hAnsi="仿宋" w:eastAsia="仿宋" w:cs="仿宋_GB2312"/>
                <w:sz w:val="24"/>
                <w:szCs w:val="24"/>
                <w:lang w:val="en-US" w:eastAsia="zh-CN"/>
              </w:rPr>
              <w:t>针对本项目有确保质量、工期和安全的技术组织措施，同时设置科学合理的进度计划、劳动力计划和资源配置计划，</w:t>
            </w:r>
            <w:r>
              <w:rPr>
                <w:rFonts w:hint="eastAsia" w:ascii="仿宋" w:hAnsi="仿宋" w:eastAsia="仿宋" w:cs="仿宋_GB2312"/>
                <w:sz w:val="24"/>
                <w:szCs w:val="24"/>
              </w:rPr>
              <w:t>现场安装和维护保养</w:t>
            </w:r>
            <w:r>
              <w:rPr>
                <w:rFonts w:hint="eastAsia" w:ascii="仿宋" w:hAnsi="仿宋" w:eastAsia="仿宋" w:cs="仿宋_GB2312"/>
                <w:sz w:val="24"/>
                <w:szCs w:val="24"/>
                <w:lang w:val="en-US" w:eastAsia="zh-CN"/>
              </w:rPr>
              <w:t>措施完善</w:t>
            </w:r>
            <w:r>
              <w:rPr>
                <w:rFonts w:hint="eastAsia" w:ascii="仿宋" w:hAnsi="仿宋" w:eastAsia="仿宋" w:cs="仿宋_GB2312"/>
                <w:sz w:val="24"/>
                <w:szCs w:val="24"/>
              </w:rPr>
              <w:t>，施工现场安全文明施工保障措施与项目实施的质量、进度及协调管理措施到位，有施工进度表或施工网络图</w:t>
            </w:r>
            <w:r>
              <w:rPr>
                <w:rFonts w:hint="eastAsia" w:ascii="仿宋" w:hAnsi="仿宋" w:eastAsia="仿宋" w:cs="仿宋_GB2312"/>
                <w:sz w:val="24"/>
                <w:szCs w:val="24"/>
                <w:lang w:eastAsia="zh-CN"/>
              </w:rPr>
              <w:t>。</w:t>
            </w:r>
          </w:p>
          <w:p>
            <w:pPr>
              <w:keepNext w:val="0"/>
              <w:keepLines w:val="0"/>
              <w:pageBreakBefore w:val="0"/>
              <w:kinsoku/>
              <w:wordWrap/>
              <w:overflowPunct/>
              <w:topLinePunct w:val="0"/>
              <w:bidi w:val="0"/>
              <w:adjustRightInd w:val="0"/>
              <w:snapToGrid w:val="0"/>
              <w:spacing w:line="300" w:lineRule="exact"/>
              <w:textAlignment w:val="auto"/>
              <w:rPr>
                <w:rFonts w:hint="eastAsia" w:ascii="仿宋" w:hAnsi="仿宋" w:eastAsia="仿宋" w:cs="仿宋_GB2312"/>
                <w:sz w:val="24"/>
                <w:szCs w:val="24"/>
                <w:lang w:val="en-US" w:eastAsia="zh-CN"/>
              </w:rPr>
            </w:pPr>
            <w:r>
              <w:rPr>
                <w:rFonts w:hint="eastAsia" w:ascii="仿宋" w:hAnsi="仿宋" w:eastAsia="仿宋" w:cs="仿宋_GB2312"/>
                <w:sz w:val="24"/>
                <w:szCs w:val="24"/>
                <w:lang w:val="en-US" w:eastAsia="zh-CN"/>
              </w:rPr>
              <w:t>组织措施</w:t>
            </w:r>
            <w:r>
              <w:rPr>
                <w:rFonts w:hint="eastAsia" w:ascii="仿宋" w:hAnsi="仿宋" w:eastAsia="仿宋" w:cs="仿宋_GB2312"/>
                <w:sz w:val="24"/>
                <w:szCs w:val="24"/>
              </w:rPr>
              <w:t>措施内容</w:t>
            </w:r>
            <w:r>
              <w:rPr>
                <w:rFonts w:hint="eastAsia" w:ascii="仿宋" w:hAnsi="仿宋" w:eastAsia="仿宋" w:cs="仿宋_GB2312"/>
                <w:sz w:val="24"/>
                <w:szCs w:val="24"/>
                <w:lang w:val="en-US" w:eastAsia="zh-CN"/>
              </w:rPr>
              <w:t>全面</w:t>
            </w:r>
            <w:r>
              <w:rPr>
                <w:rFonts w:hint="eastAsia" w:ascii="仿宋" w:hAnsi="仿宋" w:eastAsia="仿宋" w:cs="仿宋_GB2312"/>
                <w:sz w:val="24"/>
                <w:szCs w:val="24"/>
                <w:lang w:eastAsia="zh-CN"/>
              </w:rPr>
              <w:t>、</w:t>
            </w:r>
            <w:r>
              <w:rPr>
                <w:rFonts w:hint="eastAsia" w:ascii="仿宋" w:hAnsi="仿宋" w:eastAsia="仿宋" w:cs="仿宋_GB2312"/>
                <w:sz w:val="24"/>
                <w:szCs w:val="24"/>
                <w:lang w:val="en-US" w:eastAsia="zh-CN"/>
              </w:rPr>
              <w:t>科学、合理、具体、可行</w:t>
            </w:r>
            <w:r>
              <w:rPr>
                <w:rFonts w:hint="eastAsia" w:ascii="仿宋" w:hAnsi="仿宋" w:eastAsia="仿宋" w:cs="仿宋_GB2312"/>
                <w:sz w:val="24"/>
                <w:szCs w:val="24"/>
                <w:lang w:eastAsia="zh-CN"/>
              </w:rPr>
              <w:t>，</w:t>
            </w:r>
            <w:r>
              <w:rPr>
                <w:rFonts w:hint="eastAsia" w:ascii="仿宋" w:hAnsi="仿宋" w:eastAsia="仿宋" w:cs="仿宋_GB2312"/>
                <w:sz w:val="24"/>
                <w:szCs w:val="24"/>
                <w:lang w:val="en-US" w:eastAsia="zh-CN"/>
              </w:rPr>
              <w:t>得5-7分；</w:t>
            </w:r>
          </w:p>
          <w:p>
            <w:pPr>
              <w:keepNext w:val="0"/>
              <w:keepLines w:val="0"/>
              <w:pageBreakBefore w:val="0"/>
              <w:kinsoku/>
              <w:wordWrap/>
              <w:overflowPunct/>
              <w:topLinePunct w:val="0"/>
              <w:bidi w:val="0"/>
              <w:adjustRightInd w:val="0"/>
              <w:snapToGrid w:val="0"/>
              <w:spacing w:line="300" w:lineRule="exact"/>
              <w:textAlignment w:val="auto"/>
              <w:rPr>
                <w:rFonts w:hint="eastAsia" w:ascii="仿宋" w:hAnsi="仿宋" w:eastAsia="仿宋" w:cs="仿宋_GB2312"/>
                <w:sz w:val="24"/>
                <w:szCs w:val="24"/>
                <w:lang w:val="en-US" w:eastAsia="zh-CN"/>
              </w:rPr>
            </w:pPr>
            <w:r>
              <w:rPr>
                <w:rFonts w:hint="eastAsia" w:ascii="仿宋" w:hAnsi="仿宋" w:eastAsia="仿宋" w:cs="仿宋_GB2312"/>
                <w:sz w:val="24"/>
                <w:szCs w:val="24"/>
                <w:lang w:val="en-US" w:eastAsia="zh-CN"/>
              </w:rPr>
              <w:t>组织措施</w:t>
            </w:r>
            <w:r>
              <w:rPr>
                <w:rFonts w:hint="eastAsia" w:ascii="仿宋" w:hAnsi="仿宋" w:eastAsia="仿宋" w:cs="仿宋_GB2312"/>
                <w:sz w:val="24"/>
                <w:szCs w:val="24"/>
              </w:rPr>
              <w:t>措施内容</w:t>
            </w:r>
            <w:r>
              <w:rPr>
                <w:rFonts w:hint="eastAsia" w:ascii="仿宋" w:hAnsi="仿宋" w:eastAsia="仿宋" w:cs="仿宋_GB2312"/>
                <w:sz w:val="24"/>
                <w:szCs w:val="24"/>
                <w:lang w:val="en-US" w:eastAsia="zh-CN"/>
              </w:rPr>
              <w:t>较为全面</w:t>
            </w:r>
            <w:r>
              <w:rPr>
                <w:rFonts w:hint="eastAsia" w:ascii="仿宋" w:hAnsi="仿宋" w:eastAsia="仿宋" w:cs="仿宋_GB2312"/>
                <w:sz w:val="24"/>
                <w:szCs w:val="24"/>
                <w:lang w:eastAsia="zh-CN"/>
              </w:rPr>
              <w:t>、</w:t>
            </w:r>
            <w:r>
              <w:rPr>
                <w:rFonts w:hint="eastAsia" w:ascii="仿宋" w:hAnsi="仿宋" w:eastAsia="仿宋" w:cs="仿宋_GB2312"/>
                <w:sz w:val="24"/>
                <w:szCs w:val="24"/>
                <w:lang w:val="en-US" w:eastAsia="zh-CN"/>
              </w:rPr>
              <w:t>科学、合理、具体、可行</w:t>
            </w:r>
            <w:r>
              <w:rPr>
                <w:rFonts w:hint="eastAsia" w:ascii="仿宋" w:hAnsi="仿宋" w:eastAsia="仿宋" w:cs="仿宋_GB2312"/>
                <w:sz w:val="24"/>
                <w:szCs w:val="24"/>
                <w:lang w:eastAsia="zh-CN"/>
              </w:rPr>
              <w:t>，</w:t>
            </w:r>
            <w:r>
              <w:rPr>
                <w:rFonts w:hint="eastAsia" w:ascii="仿宋" w:hAnsi="仿宋" w:eastAsia="仿宋" w:cs="仿宋_GB2312"/>
                <w:sz w:val="24"/>
                <w:szCs w:val="24"/>
                <w:lang w:val="en-US" w:eastAsia="zh-CN"/>
              </w:rPr>
              <w:t>得3-5分；</w:t>
            </w:r>
          </w:p>
          <w:p>
            <w:pPr>
              <w:keepNext w:val="0"/>
              <w:keepLines w:val="0"/>
              <w:pageBreakBefore w:val="0"/>
              <w:kinsoku/>
              <w:wordWrap/>
              <w:overflowPunct/>
              <w:topLinePunct w:val="0"/>
              <w:bidi w:val="0"/>
              <w:adjustRightInd w:val="0"/>
              <w:snapToGrid w:val="0"/>
              <w:spacing w:line="300" w:lineRule="exact"/>
              <w:textAlignment w:val="auto"/>
              <w:rPr>
                <w:rFonts w:hint="eastAsia"/>
                <w:lang w:val="en-US" w:eastAsia="zh-CN"/>
              </w:rPr>
            </w:pPr>
            <w:r>
              <w:rPr>
                <w:rFonts w:hint="eastAsia" w:ascii="仿宋" w:hAnsi="仿宋" w:eastAsia="仿宋" w:cs="仿宋_GB2312"/>
                <w:sz w:val="24"/>
                <w:szCs w:val="24"/>
                <w:lang w:val="en-US" w:eastAsia="zh-CN"/>
              </w:rPr>
              <w:t>组织措施内容不够全面、具体，得0-3分</w:t>
            </w:r>
            <w:r>
              <w:rPr>
                <w:rFonts w:hint="eastAsia" w:ascii="仿宋" w:hAnsi="仿宋" w:eastAsia="仿宋" w:cs="仿宋_GB2312"/>
                <w:sz w:val="24"/>
                <w:szCs w:val="24"/>
                <w:lang w:eastAsia="zh-CN"/>
              </w:rPr>
              <w:t>。</w:t>
            </w:r>
          </w:p>
        </w:tc>
        <w:tc>
          <w:tcPr>
            <w:tcW w:w="1236" w:type="dxa"/>
            <w:vAlign w:val="center"/>
          </w:tcPr>
          <w:p>
            <w:pPr>
              <w:keepNext w:val="0"/>
              <w:keepLines w:val="0"/>
              <w:pageBreakBefore w:val="0"/>
              <w:kinsoku/>
              <w:wordWrap/>
              <w:overflowPunct/>
              <w:topLinePunct w:val="0"/>
              <w:bidi w:val="0"/>
              <w:spacing w:line="300" w:lineRule="exact"/>
              <w:jc w:val="left"/>
              <w:textAlignment w:val="auto"/>
              <w:rPr>
                <w:rFonts w:hint="eastAsia" w:ascii="仿宋" w:hAnsi="仿宋" w:eastAsia="仿宋" w:cs="仿宋"/>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60" w:hRule="atLeast"/>
          <w:jc w:val="center"/>
        </w:trPr>
        <w:tc>
          <w:tcPr>
            <w:tcW w:w="733" w:type="dxa"/>
            <w:vAlign w:val="center"/>
          </w:tcPr>
          <w:p>
            <w:pPr>
              <w:keepNext w:val="0"/>
              <w:keepLines w:val="0"/>
              <w:pageBreakBefore w:val="0"/>
              <w:kinsoku/>
              <w:wordWrap/>
              <w:overflowPunct/>
              <w:topLinePunct w:val="0"/>
              <w:bidi w:val="0"/>
              <w:spacing w:line="300" w:lineRule="exact"/>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售后服务方案</w:t>
            </w:r>
          </w:p>
        </w:tc>
        <w:tc>
          <w:tcPr>
            <w:tcW w:w="789" w:type="dxa"/>
            <w:vAlign w:val="center"/>
          </w:tcPr>
          <w:p>
            <w:pPr>
              <w:keepNext w:val="0"/>
              <w:keepLines w:val="0"/>
              <w:pageBreakBefore w:val="0"/>
              <w:kinsoku/>
              <w:wordWrap/>
              <w:overflowPunct/>
              <w:topLinePunct w:val="0"/>
              <w:bidi w:val="0"/>
              <w:spacing w:line="300" w:lineRule="exact"/>
              <w:jc w:val="center"/>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6分</w:t>
            </w:r>
          </w:p>
        </w:tc>
        <w:tc>
          <w:tcPr>
            <w:tcW w:w="765" w:type="dxa"/>
            <w:vAlign w:val="center"/>
          </w:tcPr>
          <w:p>
            <w:pPr>
              <w:pStyle w:val="15"/>
              <w:keepNext w:val="0"/>
              <w:keepLines w:val="0"/>
              <w:pageBreakBefore w:val="0"/>
              <w:kinsoku/>
              <w:wordWrap/>
              <w:overflowPunct/>
              <w:topLinePunct w:val="0"/>
              <w:bidi w:val="0"/>
              <w:spacing w:line="300" w:lineRule="exact"/>
              <w:jc w:val="center"/>
              <w:textAlignment w:val="auto"/>
              <w:rPr>
                <w:rFonts w:hint="eastAsia" w:ascii="仿宋" w:hAnsi="仿宋" w:eastAsia="仿宋" w:cs="仿宋"/>
                <w:color w:val="auto"/>
                <w:sz w:val="24"/>
                <w:szCs w:val="24"/>
                <w:lang w:val="en-US" w:eastAsia="zh-CN"/>
              </w:rPr>
            </w:pPr>
            <w:r>
              <w:rPr>
                <w:rFonts w:hint="eastAsia" w:ascii="仿宋" w:hAnsi="仿宋" w:eastAsia="仿宋" w:cs="仿宋"/>
                <w:strike w:val="0"/>
                <w:dstrike w:val="0"/>
                <w:color w:val="auto"/>
                <w:sz w:val="24"/>
                <w:szCs w:val="24"/>
                <w:lang w:val="en-US" w:eastAsia="zh-CN"/>
              </w:rPr>
              <w:t>售后</w:t>
            </w:r>
            <w:r>
              <w:rPr>
                <w:rFonts w:hint="eastAsia" w:ascii="仿宋" w:hAnsi="仿宋" w:eastAsia="仿宋" w:cs="仿宋"/>
                <w:strike w:val="0"/>
                <w:dstrike w:val="0"/>
                <w:color w:val="auto"/>
                <w:sz w:val="24"/>
                <w:szCs w:val="24"/>
                <w:lang w:eastAsia="zh-CN"/>
              </w:rPr>
              <w:t>服务</w:t>
            </w:r>
          </w:p>
        </w:tc>
        <w:tc>
          <w:tcPr>
            <w:tcW w:w="780" w:type="dxa"/>
            <w:vAlign w:val="center"/>
          </w:tcPr>
          <w:p>
            <w:pPr>
              <w:pStyle w:val="15"/>
              <w:keepNext w:val="0"/>
              <w:keepLines w:val="0"/>
              <w:pageBreakBefore w:val="0"/>
              <w:kinsoku/>
              <w:wordWrap/>
              <w:overflowPunct/>
              <w:topLinePunct w:val="0"/>
              <w:bidi w:val="0"/>
              <w:spacing w:line="300" w:lineRule="exact"/>
              <w:jc w:val="center"/>
              <w:textAlignment w:val="auto"/>
              <w:rPr>
                <w:rFonts w:hint="eastAsia" w:ascii="仿宋" w:hAnsi="仿宋" w:eastAsia="仿宋" w:cs="仿宋"/>
                <w:color w:val="auto"/>
                <w:sz w:val="24"/>
                <w:szCs w:val="24"/>
                <w:lang w:val="en-US" w:eastAsia="zh-CN"/>
              </w:rPr>
            </w:pPr>
            <w:r>
              <w:rPr>
                <w:rFonts w:hint="eastAsia" w:ascii="仿宋" w:hAnsi="仿宋" w:eastAsia="仿宋" w:cs="仿宋"/>
                <w:bCs/>
                <w:color w:val="auto"/>
                <w:sz w:val="24"/>
                <w:szCs w:val="24"/>
                <w:lang w:val="en-US" w:eastAsia="zh-CN"/>
              </w:rPr>
              <w:t>6</w:t>
            </w:r>
          </w:p>
        </w:tc>
        <w:tc>
          <w:tcPr>
            <w:tcW w:w="4995" w:type="dxa"/>
            <w:vAlign w:val="center"/>
          </w:tcPr>
          <w:p>
            <w:pPr>
              <w:keepNext w:val="0"/>
              <w:keepLines w:val="0"/>
              <w:pageBreakBefore w:val="0"/>
              <w:widowControl/>
              <w:kinsoku/>
              <w:wordWrap/>
              <w:overflowPunct/>
              <w:topLinePunct w:val="0"/>
              <w:autoSpaceDE/>
              <w:autoSpaceDN/>
              <w:bidi w:val="0"/>
              <w:adjustRightInd w:val="0"/>
              <w:snapToGrid w:val="0"/>
              <w:spacing w:line="300" w:lineRule="exact"/>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val="en-US" w:eastAsia="zh-CN"/>
              </w:rPr>
              <w:t>服</w:t>
            </w:r>
            <w:r>
              <w:rPr>
                <w:rFonts w:hint="eastAsia" w:ascii="仿宋" w:hAnsi="仿宋" w:eastAsia="仿宋" w:cs="仿宋"/>
                <w:color w:val="auto"/>
                <w:sz w:val="24"/>
                <w:szCs w:val="24"/>
                <w:highlight w:val="none"/>
              </w:rPr>
              <w:t>务措施切实可行，能够考虑并满足服务的多种需求，向采购人提出合理化建议。能够接受采购人对服务的监督、批评和建议。</w:t>
            </w:r>
          </w:p>
          <w:p>
            <w:pPr>
              <w:keepNext w:val="0"/>
              <w:keepLines w:val="0"/>
              <w:pageBreakBefore w:val="0"/>
              <w:widowControl/>
              <w:kinsoku/>
              <w:wordWrap/>
              <w:overflowPunct/>
              <w:topLinePunct w:val="0"/>
              <w:autoSpaceDE/>
              <w:autoSpaceDN/>
              <w:bidi w:val="0"/>
              <w:adjustRightInd w:val="0"/>
              <w:snapToGrid w:val="0"/>
              <w:spacing w:line="300" w:lineRule="exact"/>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服务措施详尽、全面、有效、合理，可实施性强，得</w:t>
            </w:r>
            <w:r>
              <w:rPr>
                <w:rFonts w:hint="eastAsia" w:ascii="仿宋" w:hAnsi="仿宋" w:eastAsia="仿宋" w:cs="仿宋"/>
                <w:color w:val="auto"/>
                <w:sz w:val="24"/>
                <w:szCs w:val="24"/>
                <w:highlight w:val="none"/>
                <w:lang w:val="en-US" w:eastAsia="zh-CN"/>
              </w:rPr>
              <w:t>4</w:t>
            </w:r>
            <w:r>
              <w:rPr>
                <w:rFonts w:hint="eastAsia" w:ascii="仿宋" w:hAnsi="仿宋" w:eastAsia="仿宋" w:cs="仿宋"/>
                <w:color w:val="auto"/>
                <w:sz w:val="24"/>
                <w:szCs w:val="24"/>
                <w:highlight w:val="none"/>
              </w:rPr>
              <w:t>-</w:t>
            </w:r>
            <w:r>
              <w:rPr>
                <w:rFonts w:hint="eastAsia" w:ascii="仿宋" w:hAnsi="仿宋" w:eastAsia="仿宋" w:cs="仿宋"/>
                <w:color w:val="auto"/>
                <w:sz w:val="24"/>
                <w:szCs w:val="24"/>
                <w:highlight w:val="none"/>
                <w:lang w:val="en-US" w:eastAsia="zh-CN"/>
              </w:rPr>
              <w:t>6</w:t>
            </w:r>
            <w:r>
              <w:rPr>
                <w:rFonts w:hint="eastAsia" w:ascii="仿宋" w:hAnsi="仿宋" w:eastAsia="仿宋" w:cs="仿宋"/>
                <w:color w:val="auto"/>
                <w:sz w:val="24"/>
                <w:szCs w:val="24"/>
                <w:highlight w:val="none"/>
              </w:rPr>
              <w:t>分；</w:t>
            </w:r>
          </w:p>
          <w:p>
            <w:pPr>
              <w:keepNext w:val="0"/>
              <w:keepLines w:val="0"/>
              <w:pageBreakBefore w:val="0"/>
              <w:widowControl/>
              <w:kinsoku/>
              <w:wordWrap/>
              <w:overflowPunct/>
              <w:topLinePunct w:val="0"/>
              <w:autoSpaceDE/>
              <w:autoSpaceDN/>
              <w:bidi w:val="0"/>
              <w:adjustRightInd w:val="0"/>
              <w:snapToGrid w:val="0"/>
              <w:spacing w:line="300" w:lineRule="exact"/>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服务措施有效、合理，具有一定实施性，得</w:t>
            </w:r>
            <w:r>
              <w:rPr>
                <w:rFonts w:hint="eastAsia" w:ascii="仿宋" w:hAnsi="仿宋" w:eastAsia="仿宋" w:cs="仿宋"/>
                <w:color w:val="auto"/>
                <w:sz w:val="24"/>
                <w:szCs w:val="24"/>
                <w:highlight w:val="none"/>
                <w:lang w:val="en-US" w:eastAsia="zh-CN"/>
              </w:rPr>
              <w:t>2</w:t>
            </w:r>
            <w:r>
              <w:rPr>
                <w:rFonts w:hint="eastAsia" w:ascii="仿宋" w:hAnsi="仿宋" w:eastAsia="仿宋" w:cs="仿宋"/>
                <w:color w:val="auto"/>
                <w:sz w:val="24"/>
                <w:szCs w:val="24"/>
                <w:highlight w:val="none"/>
              </w:rPr>
              <w:t>-</w:t>
            </w:r>
            <w:r>
              <w:rPr>
                <w:rFonts w:hint="eastAsia" w:ascii="仿宋" w:hAnsi="仿宋" w:eastAsia="仿宋" w:cs="仿宋"/>
                <w:color w:val="auto"/>
                <w:sz w:val="24"/>
                <w:szCs w:val="24"/>
                <w:highlight w:val="none"/>
                <w:lang w:val="en-US" w:eastAsia="zh-CN"/>
              </w:rPr>
              <w:t>4</w:t>
            </w:r>
            <w:r>
              <w:rPr>
                <w:rFonts w:hint="eastAsia" w:ascii="仿宋" w:hAnsi="仿宋" w:eastAsia="仿宋" w:cs="仿宋"/>
                <w:color w:val="auto"/>
                <w:sz w:val="24"/>
                <w:szCs w:val="24"/>
                <w:highlight w:val="none"/>
              </w:rPr>
              <w:t>分；</w:t>
            </w:r>
          </w:p>
          <w:p>
            <w:pPr>
              <w:keepNext w:val="0"/>
              <w:keepLines w:val="0"/>
              <w:pageBreakBefore w:val="0"/>
              <w:widowControl/>
              <w:kinsoku/>
              <w:wordWrap/>
              <w:overflowPunct/>
              <w:topLinePunct w:val="0"/>
              <w:autoSpaceDE/>
              <w:autoSpaceDN/>
              <w:bidi w:val="0"/>
              <w:adjustRightInd w:val="0"/>
              <w:snapToGrid w:val="0"/>
              <w:spacing w:line="300" w:lineRule="exact"/>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服务措施简单、不具有实施性，得</w:t>
            </w:r>
            <w:r>
              <w:rPr>
                <w:rFonts w:hint="eastAsia" w:ascii="仿宋" w:hAnsi="仿宋" w:eastAsia="仿宋" w:cs="仿宋"/>
                <w:color w:val="auto"/>
                <w:sz w:val="24"/>
                <w:szCs w:val="24"/>
                <w:highlight w:val="none"/>
                <w:lang w:val="en-US" w:eastAsia="zh-CN"/>
              </w:rPr>
              <w:t>0</w:t>
            </w:r>
            <w:r>
              <w:rPr>
                <w:rFonts w:hint="eastAsia" w:ascii="仿宋" w:hAnsi="仿宋" w:eastAsia="仿宋" w:cs="仿宋"/>
                <w:color w:val="auto"/>
                <w:sz w:val="24"/>
                <w:szCs w:val="24"/>
                <w:highlight w:val="none"/>
              </w:rPr>
              <w:t>-</w:t>
            </w:r>
            <w:r>
              <w:rPr>
                <w:rFonts w:hint="eastAsia" w:ascii="仿宋" w:hAnsi="仿宋" w:eastAsia="仿宋" w:cs="仿宋"/>
                <w:color w:val="auto"/>
                <w:sz w:val="24"/>
                <w:szCs w:val="24"/>
                <w:highlight w:val="none"/>
                <w:lang w:val="en-US" w:eastAsia="zh-CN"/>
              </w:rPr>
              <w:t>2</w:t>
            </w:r>
            <w:r>
              <w:rPr>
                <w:rFonts w:hint="eastAsia" w:ascii="仿宋" w:hAnsi="仿宋" w:eastAsia="仿宋" w:cs="仿宋"/>
                <w:color w:val="auto"/>
                <w:sz w:val="24"/>
                <w:szCs w:val="24"/>
                <w:highlight w:val="none"/>
              </w:rPr>
              <w:t>分。</w:t>
            </w:r>
          </w:p>
          <w:p>
            <w:pPr>
              <w:keepNext w:val="0"/>
              <w:keepLines w:val="0"/>
              <w:pageBreakBefore w:val="0"/>
              <w:widowControl/>
              <w:kinsoku/>
              <w:wordWrap/>
              <w:overflowPunct/>
              <w:topLinePunct w:val="0"/>
              <w:autoSpaceDE/>
              <w:autoSpaceDN/>
              <w:bidi w:val="0"/>
              <w:spacing w:line="300" w:lineRule="exact"/>
              <w:jc w:val="left"/>
              <w:textAlignment w:val="auto"/>
              <w:rPr>
                <w:rFonts w:hint="eastAsia" w:ascii="仿宋" w:hAnsi="仿宋" w:eastAsia="仿宋" w:cs="仿宋"/>
                <w:lang w:eastAsia="zh-CN"/>
              </w:rPr>
            </w:pPr>
            <w:r>
              <w:rPr>
                <w:rFonts w:hint="eastAsia" w:ascii="仿宋" w:hAnsi="仿宋" w:eastAsia="仿宋" w:cs="仿宋"/>
                <w:color w:val="auto"/>
                <w:sz w:val="24"/>
                <w:szCs w:val="24"/>
                <w:highlight w:val="none"/>
                <w:lang w:eastAsia="zh-CN"/>
              </w:rPr>
              <w:t>不提供不得分。</w:t>
            </w:r>
          </w:p>
        </w:tc>
        <w:tc>
          <w:tcPr>
            <w:tcW w:w="1236" w:type="dxa"/>
            <w:vAlign w:val="center"/>
          </w:tcPr>
          <w:p>
            <w:pPr>
              <w:keepNext w:val="0"/>
              <w:keepLines w:val="0"/>
              <w:pageBreakBefore w:val="0"/>
              <w:kinsoku/>
              <w:wordWrap/>
              <w:overflowPunct/>
              <w:topLinePunct w:val="0"/>
              <w:bidi w:val="0"/>
              <w:spacing w:line="300" w:lineRule="exact"/>
              <w:textAlignment w:val="auto"/>
              <w:rPr>
                <w:rFonts w:hint="eastAsia" w:ascii="仿宋" w:hAnsi="仿宋" w:eastAsia="仿宋" w:cs="仿宋"/>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20" w:hRule="atLeast"/>
          <w:jc w:val="center"/>
        </w:trPr>
        <w:tc>
          <w:tcPr>
            <w:tcW w:w="733" w:type="dxa"/>
            <w:vAlign w:val="center"/>
          </w:tcPr>
          <w:p>
            <w:pPr>
              <w:keepNext w:val="0"/>
              <w:keepLines w:val="0"/>
              <w:pageBreakBefore w:val="0"/>
              <w:kinsoku/>
              <w:wordWrap/>
              <w:overflowPunct/>
              <w:topLinePunct w:val="0"/>
              <w:bidi w:val="0"/>
              <w:spacing w:line="300" w:lineRule="exact"/>
              <w:jc w:val="left"/>
              <w:textAlignment w:val="auto"/>
              <w:rPr>
                <w:rFonts w:hint="eastAsia" w:ascii="仿宋" w:hAnsi="仿宋" w:eastAsia="仿宋" w:cs="仿宋"/>
                <w:color w:val="auto"/>
                <w:sz w:val="24"/>
                <w:szCs w:val="24"/>
                <w:lang w:eastAsia="zh-CN"/>
              </w:rPr>
            </w:pPr>
            <w:r>
              <w:rPr>
                <w:rFonts w:hint="eastAsia" w:ascii="仿宋" w:hAnsi="仿宋" w:eastAsia="仿宋" w:cs="仿宋"/>
                <w:color w:val="auto"/>
                <w:sz w:val="24"/>
                <w:szCs w:val="24"/>
                <w:lang w:eastAsia="zh-CN"/>
              </w:rPr>
              <w:t>业绩</w:t>
            </w:r>
          </w:p>
        </w:tc>
        <w:tc>
          <w:tcPr>
            <w:tcW w:w="789" w:type="dxa"/>
            <w:vAlign w:val="center"/>
          </w:tcPr>
          <w:p>
            <w:pPr>
              <w:keepNext w:val="0"/>
              <w:keepLines w:val="0"/>
              <w:pageBreakBefore w:val="0"/>
              <w:kinsoku/>
              <w:wordWrap/>
              <w:overflowPunct/>
              <w:topLinePunct w:val="0"/>
              <w:bidi w:val="0"/>
              <w:spacing w:line="300" w:lineRule="exact"/>
              <w:jc w:val="center"/>
              <w:textAlignment w:val="auto"/>
              <w:rPr>
                <w:rFonts w:hint="default" w:ascii="仿宋" w:hAnsi="仿宋" w:eastAsia="仿宋" w:cs="仿宋"/>
                <w:color w:val="auto"/>
                <w:sz w:val="24"/>
                <w:szCs w:val="24"/>
                <w:lang w:val="en-US"/>
              </w:rPr>
            </w:pPr>
            <w:r>
              <w:rPr>
                <w:rFonts w:hint="eastAsia" w:ascii="仿宋" w:hAnsi="仿宋" w:eastAsia="仿宋" w:cs="仿宋"/>
                <w:color w:val="auto"/>
                <w:sz w:val="24"/>
                <w:szCs w:val="24"/>
                <w:lang w:val="en-US" w:eastAsia="zh-CN"/>
              </w:rPr>
              <w:t>12</w:t>
            </w:r>
          </w:p>
        </w:tc>
        <w:tc>
          <w:tcPr>
            <w:tcW w:w="765" w:type="dxa"/>
            <w:vAlign w:val="center"/>
          </w:tcPr>
          <w:p>
            <w:pPr>
              <w:keepNext w:val="0"/>
              <w:keepLines w:val="0"/>
              <w:pageBreakBefore w:val="0"/>
              <w:kinsoku/>
              <w:wordWrap/>
              <w:overflowPunct/>
              <w:topLinePunct w:val="0"/>
              <w:bidi w:val="0"/>
              <w:spacing w:line="300" w:lineRule="exact"/>
              <w:jc w:val="center"/>
              <w:textAlignment w:val="auto"/>
              <w:rPr>
                <w:rFonts w:hint="eastAsia" w:ascii="仿宋" w:hAnsi="仿宋" w:eastAsia="仿宋" w:cs="仿宋"/>
                <w:color w:val="auto"/>
                <w:sz w:val="24"/>
                <w:szCs w:val="24"/>
              </w:rPr>
            </w:pPr>
            <w:r>
              <w:rPr>
                <w:rFonts w:hint="eastAsia" w:ascii="仿宋" w:hAnsi="仿宋" w:eastAsia="仿宋" w:cs="仿宋"/>
                <w:color w:val="auto"/>
                <w:sz w:val="24"/>
                <w:szCs w:val="24"/>
              </w:rPr>
              <w:t>业绩</w:t>
            </w:r>
          </w:p>
        </w:tc>
        <w:tc>
          <w:tcPr>
            <w:tcW w:w="780" w:type="dxa"/>
            <w:vAlign w:val="center"/>
          </w:tcPr>
          <w:p>
            <w:pPr>
              <w:keepNext w:val="0"/>
              <w:keepLines w:val="0"/>
              <w:pageBreakBefore w:val="0"/>
              <w:kinsoku/>
              <w:wordWrap/>
              <w:overflowPunct/>
              <w:topLinePunct w:val="0"/>
              <w:bidi w:val="0"/>
              <w:spacing w:line="300" w:lineRule="exact"/>
              <w:jc w:val="center"/>
              <w:textAlignment w:val="auto"/>
              <w:rPr>
                <w:rFonts w:hint="default"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12</w:t>
            </w:r>
          </w:p>
        </w:tc>
        <w:tc>
          <w:tcPr>
            <w:tcW w:w="4995" w:type="dxa"/>
            <w:vAlign w:val="center"/>
          </w:tcPr>
          <w:p>
            <w:pPr>
              <w:keepNext w:val="0"/>
              <w:keepLines w:val="0"/>
              <w:pageBreakBefore w:val="0"/>
              <w:kinsoku/>
              <w:wordWrap/>
              <w:overflowPunct/>
              <w:topLinePunct w:val="0"/>
              <w:bidi w:val="0"/>
              <w:adjustRightInd w:val="0"/>
              <w:snapToGrid w:val="0"/>
              <w:spacing w:line="300" w:lineRule="exact"/>
              <w:textAlignment w:val="auto"/>
              <w:rPr>
                <w:rFonts w:hint="eastAsia" w:ascii="仿宋" w:hAnsi="仿宋" w:eastAsia="仿宋" w:cs="仿宋"/>
                <w:lang w:eastAsia="zh-CN"/>
              </w:rPr>
            </w:pPr>
            <w:r>
              <w:rPr>
                <w:rFonts w:hint="eastAsia" w:ascii="仿宋" w:hAnsi="仿宋" w:eastAsia="仿宋" w:cs="仿宋"/>
                <w:color w:val="auto"/>
                <w:sz w:val="24"/>
                <w:szCs w:val="24"/>
              </w:rPr>
              <w:t>提供201</w:t>
            </w:r>
            <w:r>
              <w:rPr>
                <w:rFonts w:hint="eastAsia" w:ascii="仿宋" w:hAnsi="仿宋" w:eastAsia="仿宋" w:cs="仿宋"/>
                <w:color w:val="auto"/>
                <w:sz w:val="24"/>
                <w:szCs w:val="24"/>
                <w:lang w:val="en-US" w:eastAsia="zh-CN"/>
              </w:rPr>
              <w:t>5</w:t>
            </w:r>
            <w:r>
              <w:rPr>
                <w:rFonts w:hint="eastAsia" w:ascii="仿宋" w:hAnsi="仿宋" w:eastAsia="仿宋" w:cs="仿宋"/>
                <w:color w:val="auto"/>
                <w:sz w:val="24"/>
                <w:szCs w:val="24"/>
              </w:rPr>
              <w:t>年</w:t>
            </w:r>
            <w:r>
              <w:rPr>
                <w:rFonts w:hint="eastAsia" w:ascii="仿宋" w:hAnsi="仿宋" w:eastAsia="仿宋" w:cs="仿宋"/>
                <w:color w:val="auto"/>
                <w:sz w:val="24"/>
                <w:szCs w:val="24"/>
                <w:lang w:val="en-US" w:eastAsia="zh-CN"/>
              </w:rPr>
              <w:t>7</w:t>
            </w:r>
            <w:r>
              <w:rPr>
                <w:rFonts w:hint="eastAsia" w:ascii="仿宋" w:hAnsi="仿宋" w:eastAsia="仿宋" w:cs="仿宋"/>
                <w:color w:val="auto"/>
                <w:sz w:val="24"/>
                <w:szCs w:val="24"/>
              </w:rPr>
              <w:t>月1日以来同类项目业绩。以合同签订日期为准，并加盖供应商公章的合同关键页复印件为计分依据，每份合格业绩合同计</w:t>
            </w:r>
            <w:r>
              <w:rPr>
                <w:rFonts w:hint="eastAsia" w:ascii="仿宋" w:hAnsi="仿宋" w:eastAsia="仿宋" w:cs="仿宋"/>
                <w:color w:val="auto"/>
                <w:sz w:val="24"/>
                <w:szCs w:val="24"/>
                <w:lang w:val="en-US" w:eastAsia="zh-CN"/>
              </w:rPr>
              <w:t>3</w:t>
            </w:r>
            <w:r>
              <w:rPr>
                <w:rFonts w:hint="eastAsia" w:ascii="仿宋" w:hAnsi="仿宋" w:eastAsia="仿宋" w:cs="仿宋"/>
                <w:color w:val="auto"/>
                <w:sz w:val="24"/>
                <w:szCs w:val="24"/>
              </w:rPr>
              <w:t>分，满分</w:t>
            </w:r>
            <w:r>
              <w:rPr>
                <w:rFonts w:hint="eastAsia" w:ascii="仿宋" w:hAnsi="仿宋" w:eastAsia="仿宋" w:cs="仿宋"/>
                <w:color w:val="auto"/>
                <w:sz w:val="24"/>
                <w:szCs w:val="24"/>
                <w:lang w:val="en-US" w:eastAsia="zh-CN"/>
              </w:rPr>
              <w:t>12</w:t>
            </w:r>
            <w:r>
              <w:rPr>
                <w:rFonts w:hint="eastAsia" w:ascii="仿宋" w:hAnsi="仿宋" w:eastAsia="仿宋" w:cs="仿宋"/>
                <w:color w:val="auto"/>
                <w:sz w:val="24"/>
                <w:szCs w:val="24"/>
              </w:rPr>
              <w:t>分。</w:t>
            </w:r>
          </w:p>
        </w:tc>
        <w:tc>
          <w:tcPr>
            <w:tcW w:w="1236" w:type="dxa"/>
            <w:vAlign w:val="center"/>
          </w:tcPr>
          <w:p>
            <w:pPr>
              <w:keepNext w:val="0"/>
              <w:keepLines w:val="0"/>
              <w:pageBreakBefore w:val="0"/>
              <w:kinsoku/>
              <w:wordWrap/>
              <w:overflowPunct/>
              <w:topLinePunct w:val="0"/>
              <w:bidi w:val="0"/>
              <w:spacing w:line="300" w:lineRule="exact"/>
              <w:jc w:val="left"/>
              <w:textAlignment w:val="auto"/>
              <w:rPr>
                <w:rFonts w:hint="eastAsia" w:ascii="仿宋" w:hAnsi="仿宋" w:eastAsia="仿宋" w:cs="仿宋"/>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56" w:hRule="atLeast"/>
          <w:jc w:val="center"/>
        </w:trPr>
        <w:tc>
          <w:tcPr>
            <w:tcW w:w="733" w:type="dxa"/>
            <w:vAlign w:val="center"/>
          </w:tcPr>
          <w:p>
            <w:pPr>
              <w:keepNext w:val="0"/>
              <w:keepLines w:val="0"/>
              <w:pageBreakBefore w:val="0"/>
              <w:kinsoku/>
              <w:wordWrap/>
              <w:overflowPunct/>
              <w:topLinePunct w:val="0"/>
              <w:bidi w:val="0"/>
              <w:spacing w:line="300" w:lineRule="exact"/>
              <w:jc w:val="left"/>
              <w:textAlignment w:val="auto"/>
              <w:rPr>
                <w:rFonts w:hint="eastAsia" w:ascii="仿宋" w:hAnsi="仿宋" w:eastAsia="仿宋" w:cs="仿宋"/>
                <w:color w:val="auto"/>
                <w:sz w:val="24"/>
                <w:szCs w:val="24"/>
              </w:rPr>
            </w:pPr>
            <w:r>
              <w:rPr>
                <w:rFonts w:hint="eastAsia" w:ascii="仿宋" w:hAnsi="仿宋" w:eastAsia="仿宋" w:cs="仿宋"/>
                <w:color w:val="auto"/>
                <w:sz w:val="24"/>
                <w:szCs w:val="24"/>
              </w:rPr>
              <w:t>说明</w:t>
            </w:r>
          </w:p>
        </w:tc>
        <w:tc>
          <w:tcPr>
            <w:tcW w:w="8565" w:type="dxa"/>
            <w:gridSpan w:val="5"/>
            <w:vAlign w:val="center"/>
          </w:tcPr>
          <w:p>
            <w:pPr>
              <w:keepNext w:val="0"/>
              <w:keepLines w:val="0"/>
              <w:pageBreakBefore w:val="0"/>
              <w:kinsoku/>
              <w:wordWrap/>
              <w:overflowPunct/>
              <w:topLinePunct w:val="0"/>
              <w:bidi w:val="0"/>
              <w:spacing w:line="300" w:lineRule="exact"/>
              <w:jc w:val="left"/>
              <w:textAlignment w:val="auto"/>
              <w:rPr>
                <w:rFonts w:hint="eastAsia" w:ascii="仿宋" w:hAnsi="仿宋" w:eastAsia="仿宋" w:cs="仿宋"/>
                <w:color w:val="auto"/>
                <w:sz w:val="24"/>
                <w:szCs w:val="24"/>
              </w:rPr>
            </w:pPr>
            <w:r>
              <w:rPr>
                <w:rFonts w:hint="eastAsia" w:ascii="仿宋" w:hAnsi="仿宋" w:eastAsia="仿宋" w:cs="仿宋"/>
                <w:color w:val="auto"/>
                <w:sz w:val="24"/>
                <w:szCs w:val="24"/>
              </w:rPr>
              <w:t>1、评标委员会成员必须按照本评审要素据实打分，各类数字计算均按“四舍五入”保留小数点后两位；</w:t>
            </w:r>
          </w:p>
          <w:p>
            <w:pPr>
              <w:keepNext w:val="0"/>
              <w:keepLines w:val="0"/>
              <w:pageBreakBefore w:val="0"/>
              <w:kinsoku/>
              <w:wordWrap/>
              <w:overflowPunct/>
              <w:topLinePunct w:val="0"/>
              <w:bidi w:val="0"/>
              <w:spacing w:line="300" w:lineRule="exact"/>
              <w:jc w:val="left"/>
              <w:textAlignment w:val="auto"/>
              <w:rPr>
                <w:rFonts w:hint="eastAsia" w:ascii="仿宋" w:hAnsi="仿宋" w:eastAsia="仿宋" w:cs="仿宋"/>
                <w:color w:val="auto"/>
                <w:sz w:val="24"/>
                <w:szCs w:val="24"/>
              </w:rPr>
            </w:pPr>
            <w:r>
              <w:rPr>
                <w:rFonts w:hint="eastAsia" w:ascii="仿宋" w:hAnsi="仿宋" w:eastAsia="仿宋" w:cs="仿宋"/>
                <w:color w:val="auto"/>
                <w:sz w:val="24"/>
                <w:szCs w:val="24"/>
              </w:rPr>
              <w:t>2、对小型和微型企业提供的本项服务的价格给予</w:t>
            </w:r>
            <w:r>
              <w:rPr>
                <w:rFonts w:hint="eastAsia" w:ascii="仿宋" w:hAnsi="仿宋" w:eastAsia="仿宋" w:cs="仿宋"/>
                <w:color w:val="auto"/>
                <w:sz w:val="24"/>
                <w:szCs w:val="24"/>
                <w:lang w:val="en-US" w:eastAsia="zh-CN"/>
              </w:rPr>
              <w:t>6</w:t>
            </w:r>
            <w:r>
              <w:rPr>
                <w:rFonts w:hint="eastAsia" w:ascii="仿宋" w:hAnsi="仿宋" w:eastAsia="仿宋" w:cs="仿宋"/>
                <w:color w:val="auto"/>
                <w:sz w:val="24"/>
                <w:szCs w:val="24"/>
              </w:rPr>
              <w:t>%的价格扣除，用扣除后的价格参与评审，除此之外的其他情形均不适用本款规定；未提供小微企业声明函的不享受价格折扣。</w:t>
            </w:r>
          </w:p>
        </w:tc>
      </w:tr>
    </w:tbl>
    <w:p>
      <w:pPr>
        <w:spacing w:line="500" w:lineRule="exact"/>
        <w:ind w:firstLine="566" w:firstLineChars="200"/>
        <w:rPr>
          <w:rFonts w:ascii="华文仿宋" w:hAnsi="华文仿宋" w:cs="华文仿宋"/>
          <w:b/>
          <w:color w:val="auto"/>
        </w:rPr>
      </w:pPr>
      <w:r>
        <w:rPr>
          <w:rFonts w:hint="eastAsia" w:ascii="华文仿宋" w:hAnsi="华文仿宋" w:cs="华文仿宋"/>
          <w:b/>
          <w:color w:val="auto"/>
        </w:rPr>
        <w:t>8、推荐成交候选供应商</w:t>
      </w:r>
    </w:p>
    <w:p>
      <w:pPr>
        <w:spacing w:line="500" w:lineRule="exact"/>
        <w:ind w:firstLine="566" w:firstLineChars="200"/>
        <w:rPr>
          <w:rFonts w:ascii="华文仿宋" w:hAnsi="华文仿宋" w:cs="华文仿宋"/>
          <w:color w:val="auto"/>
        </w:rPr>
      </w:pPr>
      <w:r>
        <w:rPr>
          <w:rFonts w:hint="eastAsia" w:ascii="华文仿宋" w:hAnsi="华文仿宋" w:cs="华文仿宋"/>
          <w:color w:val="auto"/>
        </w:rPr>
        <w:t>磋商小组应当根据综合评分情况，按照评审得分由高到低顺序推荐</w:t>
      </w:r>
      <w:r>
        <w:rPr>
          <w:rFonts w:hint="eastAsia" w:ascii="仿宋" w:hAnsi="仿宋" w:eastAsia="仿宋" w:cs="仿宋"/>
          <w:color w:val="auto"/>
        </w:rPr>
        <w:t>3</w:t>
      </w:r>
      <w:r>
        <w:rPr>
          <w:rFonts w:hint="eastAsia" w:ascii="华文仿宋" w:hAnsi="华文仿宋" w:cs="华文仿宋"/>
          <w:color w:val="auto"/>
        </w:rPr>
        <w:t>名以上成交候选供应商（有效供应商不足三家时以实际数量推荐）。评审得分相同的，按照最后报价由低到高的顺序推荐。评审得分且最后报价相同的，按照技术指标优劣顺序推荐。</w:t>
      </w:r>
    </w:p>
    <w:p>
      <w:pPr>
        <w:spacing w:line="500" w:lineRule="exact"/>
        <w:ind w:firstLine="566" w:firstLineChars="200"/>
        <w:rPr>
          <w:rFonts w:ascii="华文仿宋" w:hAnsi="华文仿宋" w:cs="华文仿宋"/>
          <w:b/>
          <w:color w:val="auto"/>
        </w:rPr>
      </w:pPr>
      <w:r>
        <w:rPr>
          <w:rFonts w:hint="eastAsia" w:ascii="华文仿宋" w:hAnsi="华文仿宋" w:cs="华文仿宋"/>
          <w:b/>
          <w:color w:val="auto"/>
        </w:rPr>
        <w:t>9、编写评审报告</w:t>
      </w:r>
    </w:p>
    <w:p>
      <w:pPr>
        <w:spacing w:line="500" w:lineRule="exact"/>
        <w:ind w:firstLine="566" w:firstLineChars="200"/>
        <w:rPr>
          <w:rFonts w:ascii="华文仿宋" w:hAnsi="华文仿宋" w:cs="华文仿宋"/>
          <w:color w:val="auto"/>
          <w:highlight w:val="none"/>
        </w:rPr>
      </w:pPr>
      <w:r>
        <w:rPr>
          <w:rFonts w:hint="eastAsia" w:ascii="华文仿宋" w:hAnsi="华文仿宋" w:cs="华文仿宋"/>
          <w:color w:val="auto"/>
          <w:highlight w:val="none"/>
        </w:rPr>
        <w:t>评审报告应当由磋商小组全体人员签字认可。磋商小组成员对评审报告有异议的，磋商小组按照少数服从多数的原则推荐成交候选供应商，采购程序继续进行。对评审报告有异议的磋商小组成员，应当在报告上签署不同意见并说明理由，由磋商小组书面记录相关情况。磋商小组成员拒绝在报告上签字又不书面说明其不同意见和理由的，视同按评审报告推荐的顺序确定成交供应商。对拒绝说明理由的，须报政府采购监管部门处理，并将其评审情况如实计入考核表。</w:t>
      </w:r>
    </w:p>
    <w:p>
      <w:pPr>
        <w:spacing w:line="500" w:lineRule="exact"/>
        <w:ind w:firstLine="566" w:firstLineChars="200"/>
        <w:rPr>
          <w:rFonts w:ascii="Calibri" w:hAnsi="Calibri"/>
          <w:color w:val="auto"/>
        </w:rPr>
      </w:pPr>
      <w:r>
        <w:rPr>
          <w:rFonts w:hint="eastAsia" w:ascii="Calibri" w:hAnsi="Calibri"/>
          <w:color w:val="auto"/>
        </w:rPr>
        <w:t>评审结果汇总完成后，除下列情形外，任何人不得修改评审结果：</w:t>
      </w:r>
    </w:p>
    <w:p>
      <w:pPr>
        <w:spacing w:line="500" w:lineRule="exact"/>
        <w:ind w:firstLine="566" w:firstLineChars="200"/>
        <w:rPr>
          <w:rFonts w:ascii="Calibri" w:hAnsi="Calibri"/>
          <w:color w:val="auto"/>
        </w:rPr>
      </w:pPr>
      <w:r>
        <w:rPr>
          <w:rFonts w:hint="eastAsia" w:ascii="Calibri" w:hAnsi="Calibri"/>
          <w:color w:val="auto"/>
        </w:rPr>
        <w:t>（</w:t>
      </w:r>
      <w:r>
        <w:rPr>
          <w:rFonts w:hint="eastAsia" w:ascii="仿宋" w:hAnsi="仿宋" w:eastAsia="仿宋" w:cs="仿宋"/>
          <w:color w:val="auto"/>
        </w:rPr>
        <w:t>1</w:t>
      </w:r>
      <w:r>
        <w:rPr>
          <w:rFonts w:hint="eastAsia" w:ascii="Calibri" w:hAnsi="Calibri"/>
          <w:color w:val="auto"/>
        </w:rPr>
        <w:t>）分值汇总计算错误的；</w:t>
      </w:r>
    </w:p>
    <w:p>
      <w:pPr>
        <w:spacing w:line="500" w:lineRule="exact"/>
        <w:ind w:firstLine="566" w:firstLineChars="200"/>
        <w:rPr>
          <w:rFonts w:ascii="Calibri" w:hAnsi="Calibri"/>
          <w:color w:val="auto"/>
        </w:rPr>
      </w:pPr>
      <w:r>
        <w:rPr>
          <w:rFonts w:hint="eastAsia" w:ascii="Calibri" w:hAnsi="Calibri"/>
          <w:color w:val="auto"/>
        </w:rPr>
        <w:t>（</w:t>
      </w:r>
      <w:r>
        <w:rPr>
          <w:rFonts w:hint="eastAsia" w:ascii="仿宋" w:hAnsi="仿宋" w:eastAsia="仿宋" w:cs="仿宋"/>
          <w:color w:val="auto"/>
        </w:rPr>
        <w:t>2</w:t>
      </w:r>
      <w:r>
        <w:rPr>
          <w:rFonts w:hint="eastAsia" w:ascii="Calibri" w:hAnsi="Calibri"/>
          <w:color w:val="auto"/>
        </w:rPr>
        <w:t>）分项评分超出评分标准范围的；</w:t>
      </w:r>
    </w:p>
    <w:p>
      <w:pPr>
        <w:spacing w:line="500" w:lineRule="exact"/>
        <w:ind w:firstLine="566" w:firstLineChars="200"/>
        <w:rPr>
          <w:rFonts w:ascii="Calibri" w:hAnsi="Calibri"/>
          <w:color w:val="auto"/>
        </w:rPr>
      </w:pPr>
      <w:r>
        <w:rPr>
          <w:rFonts w:hint="eastAsia" w:ascii="Calibri" w:hAnsi="Calibri"/>
          <w:color w:val="auto"/>
        </w:rPr>
        <w:t>（</w:t>
      </w:r>
      <w:r>
        <w:rPr>
          <w:rFonts w:hint="eastAsia" w:ascii="仿宋" w:hAnsi="仿宋" w:eastAsia="仿宋" w:cs="仿宋"/>
          <w:color w:val="auto"/>
        </w:rPr>
        <w:t>3</w:t>
      </w:r>
      <w:r>
        <w:rPr>
          <w:rFonts w:hint="eastAsia" w:ascii="Calibri" w:hAnsi="Calibri"/>
          <w:color w:val="auto"/>
        </w:rPr>
        <w:t>）磋商小组成员对客观评审因素评分不一致的；</w:t>
      </w:r>
    </w:p>
    <w:p>
      <w:pPr>
        <w:spacing w:line="500" w:lineRule="exact"/>
        <w:ind w:firstLine="566" w:firstLineChars="200"/>
        <w:rPr>
          <w:rFonts w:ascii="Calibri" w:hAnsi="Calibri"/>
          <w:color w:val="auto"/>
        </w:rPr>
      </w:pPr>
      <w:r>
        <w:rPr>
          <w:rFonts w:hint="eastAsia" w:ascii="Calibri" w:hAnsi="Calibri"/>
          <w:color w:val="auto"/>
        </w:rPr>
        <w:t>（</w:t>
      </w:r>
      <w:r>
        <w:rPr>
          <w:rFonts w:hint="eastAsia" w:ascii="仿宋" w:hAnsi="仿宋" w:eastAsia="仿宋" w:cs="仿宋"/>
          <w:color w:val="auto"/>
        </w:rPr>
        <w:t>4</w:t>
      </w:r>
      <w:r>
        <w:rPr>
          <w:rFonts w:hint="eastAsia" w:ascii="Calibri" w:hAnsi="Calibri"/>
          <w:color w:val="auto"/>
        </w:rPr>
        <w:t>）经磋商</w:t>
      </w:r>
      <w:r>
        <w:rPr>
          <w:rFonts w:ascii="Calibri" w:hAnsi="Calibri"/>
          <w:color w:val="auto"/>
        </w:rPr>
        <w:t>小组</w:t>
      </w:r>
      <w:r>
        <w:rPr>
          <w:rFonts w:hint="eastAsia" w:ascii="Calibri" w:hAnsi="Calibri"/>
          <w:color w:val="auto"/>
        </w:rPr>
        <w:t>认定评分畸高、畸低的。</w:t>
      </w:r>
    </w:p>
    <w:p>
      <w:pPr>
        <w:spacing w:line="500" w:lineRule="exact"/>
        <w:ind w:firstLine="566" w:firstLineChars="200"/>
        <w:rPr>
          <w:color w:val="auto"/>
          <w:highlight w:val="none"/>
        </w:rPr>
      </w:pPr>
      <w:r>
        <w:rPr>
          <w:rFonts w:hint="eastAsia" w:ascii="Calibri" w:hAnsi="Calibri"/>
          <w:color w:val="auto"/>
          <w:highlight w:val="none"/>
        </w:rPr>
        <w:t>评审报告签署前，经复核发现存在以上情形之一的，磋商</w:t>
      </w:r>
      <w:r>
        <w:rPr>
          <w:rFonts w:ascii="Calibri" w:hAnsi="Calibri"/>
          <w:color w:val="auto"/>
          <w:highlight w:val="none"/>
        </w:rPr>
        <w:t>小组</w:t>
      </w:r>
      <w:r>
        <w:rPr>
          <w:rFonts w:hint="eastAsia" w:ascii="Calibri" w:hAnsi="Calibri"/>
          <w:color w:val="auto"/>
          <w:highlight w:val="none"/>
        </w:rPr>
        <w:t>应当当场修改评审结果，并在评审报告中记载；评审报告签署后，采购人或者采购代理机构发现存在以上情形之一的，应当组织原磋商小组进行重新评审，重新评审改变评审结果的，书面报告本级财政部门。</w:t>
      </w:r>
    </w:p>
    <w:p>
      <w:pPr>
        <w:spacing w:line="500" w:lineRule="exact"/>
        <w:ind w:firstLine="566" w:firstLineChars="200"/>
        <w:rPr>
          <w:rFonts w:ascii="华文仿宋" w:hAnsi="华文仿宋" w:cs="华文仿宋"/>
          <w:b/>
          <w:color w:val="auto"/>
        </w:rPr>
      </w:pPr>
      <w:r>
        <w:rPr>
          <w:rFonts w:hint="eastAsia" w:ascii="华文仿宋" w:hAnsi="华文仿宋" w:cs="华文仿宋"/>
          <w:b/>
          <w:color w:val="auto"/>
        </w:rPr>
        <w:t>（六）有下列情况之一的，视为供应商串通投标，其投标无效：</w:t>
      </w:r>
    </w:p>
    <w:p>
      <w:pPr>
        <w:spacing w:line="500" w:lineRule="exact"/>
        <w:ind w:firstLine="566" w:firstLineChars="200"/>
        <w:rPr>
          <w:rFonts w:ascii="Calibri" w:hAnsi="Calibri"/>
          <w:color w:val="auto"/>
        </w:rPr>
      </w:pPr>
      <w:r>
        <w:rPr>
          <w:rFonts w:hint="eastAsia" w:ascii="仿宋" w:hAnsi="仿宋" w:eastAsia="仿宋" w:cs="仿宋"/>
          <w:color w:val="auto"/>
        </w:rPr>
        <w:t>1</w:t>
      </w:r>
      <w:r>
        <w:rPr>
          <w:rFonts w:hint="eastAsia" w:ascii="Calibri" w:hAnsi="Calibri"/>
          <w:color w:val="auto"/>
        </w:rPr>
        <w:t>、不同供应商的响应文件由同一单位或者个人编制；</w:t>
      </w:r>
    </w:p>
    <w:p>
      <w:pPr>
        <w:spacing w:line="500" w:lineRule="exact"/>
        <w:ind w:firstLine="566" w:firstLineChars="200"/>
        <w:rPr>
          <w:rFonts w:ascii="Calibri" w:hAnsi="Calibri"/>
          <w:color w:val="auto"/>
        </w:rPr>
      </w:pPr>
      <w:r>
        <w:rPr>
          <w:rFonts w:hint="eastAsia" w:ascii="仿宋" w:hAnsi="仿宋" w:eastAsia="仿宋" w:cs="仿宋"/>
          <w:color w:val="auto"/>
        </w:rPr>
        <w:t>2</w:t>
      </w:r>
      <w:r>
        <w:rPr>
          <w:rFonts w:hint="eastAsia" w:ascii="Calibri" w:hAnsi="Calibri"/>
          <w:color w:val="auto"/>
        </w:rPr>
        <w:t>、不同供应商的响应文件由同一台电脑编制；</w:t>
      </w:r>
    </w:p>
    <w:p>
      <w:pPr>
        <w:spacing w:line="500" w:lineRule="exact"/>
        <w:ind w:firstLine="566" w:firstLineChars="200"/>
        <w:rPr>
          <w:rFonts w:ascii="Calibri" w:hAnsi="Calibri"/>
          <w:color w:val="auto"/>
        </w:rPr>
      </w:pPr>
      <w:r>
        <w:rPr>
          <w:rFonts w:hint="eastAsia" w:ascii="仿宋" w:hAnsi="仿宋" w:eastAsia="仿宋" w:cs="仿宋"/>
          <w:color w:val="auto"/>
        </w:rPr>
        <w:t>3</w:t>
      </w:r>
      <w:r>
        <w:rPr>
          <w:rFonts w:hint="eastAsia" w:ascii="Calibri" w:hAnsi="Calibri"/>
          <w:color w:val="auto"/>
        </w:rPr>
        <w:t>、不同供应商委托同一单位或者个人办理投标事宜；</w:t>
      </w:r>
    </w:p>
    <w:p>
      <w:pPr>
        <w:spacing w:line="500" w:lineRule="exact"/>
        <w:ind w:firstLine="566" w:firstLineChars="200"/>
        <w:rPr>
          <w:rFonts w:ascii="Calibri" w:hAnsi="Calibri"/>
          <w:color w:val="auto"/>
        </w:rPr>
      </w:pPr>
      <w:r>
        <w:rPr>
          <w:rFonts w:hint="eastAsia" w:ascii="仿宋" w:hAnsi="仿宋" w:eastAsia="仿宋" w:cs="仿宋"/>
          <w:color w:val="auto"/>
        </w:rPr>
        <w:t>4</w:t>
      </w:r>
      <w:r>
        <w:rPr>
          <w:rFonts w:hint="eastAsia" w:ascii="Calibri" w:hAnsi="Calibri"/>
          <w:color w:val="auto"/>
        </w:rPr>
        <w:t>、不同供应商的响应文件载明的项目管理成员或者联系人员为同一人；</w:t>
      </w:r>
    </w:p>
    <w:p>
      <w:pPr>
        <w:spacing w:line="500" w:lineRule="exact"/>
        <w:ind w:firstLine="566" w:firstLineChars="200"/>
        <w:rPr>
          <w:rFonts w:ascii="Calibri" w:hAnsi="Calibri"/>
          <w:color w:val="auto"/>
        </w:rPr>
      </w:pPr>
      <w:r>
        <w:rPr>
          <w:rFonts w:hint="eastAsia" w:ascii="仿宋" w:hAnsi="仿宋" w:eastAsia="仿宋" w:cs="仿宋"/>
          <w:color w:val="auto"/>
        </w:rPr>
        <w:t>5</w:t>
      </w:r>
      <w:r>
        <w:rPr>
          <w:rFonts w:hint="eastAsia" w:ascii="Calibri" w:hAnsi="Calibri"/>
          <w:color w:val="auto"/>
        </w:rPr>
        <w:t>、不同供应商的响应文件异常一致或者磋商报价呈规律性差异；</w:t>
      </w:r>
    </w:p>
    <w:p>
      <w:pPr>
        <w:spacing w:line="500" w:lineRule="exact"/>
        <w:ind w:firstLine="566" w:firstLineChars="200"/>
        <w:rPr>
          <w:rFonts w:ascii="Calibri" w:hAnsi="Calibri"/>
          <w:color w:val="auto"/>
        </w:rPr>
      </w:pPr>
      <w:r>
        <w:rPr>
          <w:rFonts w:hint="eastAsia" w:ascii="仿宋" w:hAnsi="仿宋" w:eastAsia="仿宋" w:cs="仿宋"/>
          <w:color w:val="auto"/>
        </w:rPr>
        <w:t>6</w:t>
      </w:r>
      <w:r>
        <w:rPr>
          <w:rFonts w:hint="eastAsia" w:ascii="Calibri" w:hAnsi="Calibri"/>
          <w:color w:val="auto"/>
        </w:rPr>
        <w:t>、不同供应商的响应文件相互混装；</w:t>
      </w:r>
    </w:p>
    <w:p>
      <w:pPr>
        <w:spacing w:line="500" w:lineRule="exact"/>
        <w:ind w:firstLine="566" w:firstLineChars="200"/>
        <w:rPr>
          <w:rFonts w:hint="eastAsia" w:ascii="Calibri" w:hAnsi="Calibri" w:eastAsia="华文仿宋"/>
          <w:color w:val="auto"/>
          <w:lang w:eastAsia="zh-CN"/>
        </w:rPr>
      </w:pPr>
      <w:r>
        <w:rPr>
          <w:rFonts w:hint="eastAsia" w:ascii="仿宋" w:hAnsi="仿宋" w:eastAsia="仿宋" w:cs="仿宋"/>
          <w:color w:val="auto"/>
        </w:rPr>
        <w:t>7</w:t>
      </w:r>
      <w:r>
        <w:rPr>
          <w:rFonts w:hint="eastAsia" w:ascii="Calibri" w:hAnsi="Calibri"/>
          <w:color w:val="auto"/>
        </w:rPr>
        <w:t>、不同供应商的磋商保证金从同一单位或者个人的账户转出</w:t>
      </w:r>
      <w:r>
        <w:rPr>
          <w:rFonts w:hint="eastAsia" w:ascii="Calibri" w:hAnsi="Calibri"/>
          <w:color w:val="auto"/>
          <w:lang w:eastAsia="zh-CN"/>
        </w:rPr>
        <w:t>；</w:t>
      </w:r>
    </w:p>
    <w:p>
      <w:pPr>
        <w:spacing w:line="500" w:lineRule="exact"/>
        <w:ind w:firstLine="566" w:firstLineChars="200"/>
        <w:rPr>
          <w:rFonts w:ascii="华文仿宋" w:hAnsi="华文仿宋" w:cs="华文仿宋"/>
          <w:color w:val="auto"/>
        </w:rPr>
      </w:pPr>
      <w:r>
        <w:rPr>
          <w:rFonts w:hint="eastAsia" w:ascii="仿宋" w:hAnsi="仿宋" w:eastAsia="仿宋" w:cs="仿宋"/>
          <w:color w:val="auto"/>
        </w:rPr>
        <w:t>8</w:t>
      </w:r>
      <w:r>
        <w:rPr>
          <w:rFonts w:hint="eastAsia" w:ascii="Calibri" w:hAnsi="Calibri"/>
          <w:color w:val="auto"/>
        </w:rPr>
        <w:t>、政府采购法律法规及磋商文件规定的其他情形。</w:t>
      </w:r>
    </w:p>
    <w:p>
      <w:pPr>
        <w:pStyle w:val="4"/>
        <w:spacing w:line="500" w:lineRule="exact"/>
        <w:ind w:firstLine="566" w:firstLineChars="200"/>
        <w:rPr>
          <w:rFonts w:ascii="华文仿宋" w:hAnsi="华文仿宋" w:cs="华文仿宋"/>
          <w:color w:val="auto"/>
          <w:sz w:val="28"/>
          <w:szCs w:val="28"/>
        </w:rPr>
      </w:pPr>
      <w:bookmarkStart w:id="136" w:name="_Toc13030"/>
      <w:bookmarkStart w:id="137" w:name="_Toc17612"/>
      <w:bookmarkStart w:id="138" w:name="_Toc28384"/>
      <w:bookmarkStart w:id="139" w:name="_Toc4670"/>
      <w:bookmarkStart w:id="140" w:name="_Toc495014649"/>
      <w:bookmarkStart w:id="141" w:name="_Toc495014585"/>
      <w:bookmarkStart w:id="142" w:name="_Toc495014920"/>
      <w:bookmarkStart w:id="143" w:name="_Toc424636365"/>
      <w:bookmarkStart w:id="144" w:name="_Toc495012821"/>
      <w:bookmarkStart w:id="145" w:name="_Toc619_WPSOffice_Level1"/>
      <w:bookmarkStart w:id="146" w:name="_Toc495014611"/>
      <w:bookmarkStart w:id="147" w:name="_Toc495012771"/>
      <w:bookmarkStart w:id="148" w:name="_Toc28286_WPSOffice_Level1"/>
      <w:bookmarkStart w:id="149" w:name="_Toc495014954"/>
      <w:bookmarkStart w:id="150" w:name="_Toc445306493"/>
      <w:r>
        <w:rPr>
          <w:rFonts w:hint="eastAsia" w:ascii="华文仿宋" w:hAnsi="华文仿宋" w:cs="华文仿宋"/>
          <w:color w:val="auto"/>
          <w:sz w:val="28"/>
          <w:szCs w:val="28"/>
        </w:rPr>
        <w:t>九、成交</w:t>
      </w:r>
      <w:bookmarkEnd w:id="136"/>
      <w:bookmarkEnd w:id="137"/>
      <w:bookmarkEnd w:id="138"/>
      <w:bookmarkEnd w:id="139"/>
    </w:p>
    <w:p>
      <w:pPr>
        <w:spacing w:line="500" w:lineRule="exact"/>
        <w:ind w:firstLine="566" w:firstLineChars="200"/>
        <w:rPr>
          <w:rFonts w:ascii="华文仿宋" w:hAnsi="华文仿宋" w:cs="华文仿宋"/>
          <w:color w:val="auto"/>
        </w:rPr>
      </w:pPr>
      <w:r>
        <w:rPr>
          <w:rFonts w:hint="eastAsia" w:ascii="华文仿宋" w:hAnsi="华文仿宋" w:cs="华文仿宋"/>
          <w:color w:val="auto"/>
        </w:rPr>
        <w:t>（一）陕西省省级单位政府采购中心在评审结束后</w:t>
      </w:r>
      <w:r>
        <w:rPr>
          <w:rFonts w:hint="eastAsia" w:ascii="仿宋" w:hAnsi="仿宋" w:eastAsia="仿宋" w:cs="仿宋"/>
          <w:color w:val="auto"/>
        </w:rPr>
        <w:t>2</w:t>
      </w:r>
      <w:r>
        <w:rPr>
          <w:rFonts w:hint="eastAsia" w:ascii="华文仿宋" w:hAnsi="华文仿宋" w:cs="华文仿宋"/>
          <w:color w:val="auto"/>
        </w:rPr>
        <w:t>个工作日内将评审报告送采购人确认。</w:t>
      </w:r>
    </w:p>
    <w:p>
      <w:pPr>
        <w:spacing w:line="500" w:lineRule="exact"/>
        <w:ind w:firstLine="566" w:firstLineChars="200"/>
        <w:rPr>
          <w:rFonts w:ascii="华文仿宋" w:hAnsi="华文仿宋" w:cs="华文仿宋"/>
          <w:color w:val="auto"/>
        </w:rPr>
      </w:pPr>
      <w:r>
        <w:rPr>
          <w:rFonts w:hint="eastAsia" w:ascii="华文仿宋" w:hAnsi="华文仿宋" w:cs="华文仿宋"/>
          <w:color w:val="auto"/>
        </w:rPr>
        <w:t>（二）采购人在收到评审报告之日起</w:t>
      </w:r>
      <w:r>
        <w:rPr>
          <w:rFonts w:hint="eastAsia" w:ascii="仿宋" w:hAnsi="仿宋" w:eastAsia="仿宋" w:cs="仿宋"/>
          <w:color w:val="auto"/>
        </w:rPr>
        <w:t>5</w:t>
      </w:r>
      <w:r>
        <w:rPr>
          <w:rFonts w:hint="eastAsia" w:ascii="华文仿宋" w:hAnsi="华文仿宋" w:cs="华文仿宋"/>
          <w:color w:val="auto"/>
        </w:rPr>
        <w:t>个工作日内，从评审报告提出的成交候选供应商中，按照排序由高到低的原则确定成交供应商，也可以书面授权磋商小组直接确定成交供应商。采购人逾期未确定成交供应商且不提出异议的，</w:t>
      </w:r>
      <w:r>
        <w:rPr>
          <w:rFonts w:hint="eastAsia"/>
          <w:color w:val="auto"/>
        </w:rPr>
        <w:t>视同按评审报告提出的排序第一的供应商为成交供应商。</w:t>
      </w:r>
    </w:p>
    <w:p>
      <w:pPr>
        <w:wordWrap w:val="0"/>
        <w:spacing w:line="500" w:lineRule="exact"/>
        <w:ind w:firstLine="566" w:firstLineChars="200"/>
        <w:rPr>
          <w:rFonts w:ascii="华文仿宋" w:hAnsi="华文仿宋" w:cs="华文仿宋"/>
          <w:color w:val="auto"/>
        </w:rPr>
      </w:pPr>
      <w:r>
        <w:rPr>
          <w:rFonts w:hint="eastAsia" w:ascii="华文仿宋" w:hAnsi="华文仿宋" w:cs="华文仿宋"/>
          <w:color w:val="auto"/>
        </w:rPr>
        <w:t>（三）</w:t>
      </w:r>
      <w:r>
        <w:rPr>
          <w:rFonts w:hint="eastAsia"/>
          <w:color w:val="auto"/>
        </w:rPr>
        <w:t>陕西省省级单位政府采购中心将在成交供应商确定之日起</w:t>
      </w:r>
      <w:r>
        <w:rPr>
          <w:rFonts w:hint="eastAsia" w:ascii="仿宋" w:hAnsi="仿宋" w:eastAsia="仿宋" w:cs="仿宋"/>
          <w:color w:val="auto"/>
        </w:rPr>
        <w:t>2</w:t>
      </w:r>
      <w:r>
        <w:rPr>
          <w:rFonts w:hint="eastAsia"/>
          <w:color w:val="auto"/>
        </w:rPr>
        <w:t>个工作日内，</w:t>
      </w:r>
      <w:r>
        <w:rPr>
          <w:rFonts w:hint="eastAsia" w:ascii="华文仿宋" w:hAnsi="华文仿宋" w:cs="华文仿宋"/>
          <w:color w:val="auto"/>
        </w:rPr>
        <w:t>在【</w:t>
      </w:r>
      <w:r>
        <w:rPr>
          <w:color w:val="auto"/>
        </w:rPr>
        <w:fldChar w:fldCharType="begin"/>
      </w:r>
      <w:r>
        <w:rPr>
          <w:color w:val="auto"/>
        </w:rPr>
        <w:instrText xml:space="preserve"> HYPERLINK "http://www.ccgp-shaanxi.gov.cn/" </w:instrText>
      </w:r>
      <w:r>
        <w:rPr>
          <w:color w:val="auto"/>
        </w:rPr>
        <w:fldChar w:fldCharType="separate"/>
      </w:r>
      <w:r>
        <w:rPr>
          <w:rStyle w:val="34"/>
          <w:rFonts w:hint="eastAsia" w:ascii="华文仿宋" w:hAnsi="华文仿宋" w:cs="华文仿宋"/>
          <w:color w:val="auto"/>
          <w:sz w:val="28"/>
          <w:szCs w:val="28"/>
        </w:rPr>
        <w:t>陕西省政府采购网</w:t>
      </w:r>
      <w:r>
        <w:rPr>
          <w:rStyle w:val="34"/>
          <w:rFonts w:hint="eastAsia" w:ascii="华文仿宋" w:hAnsi="华文仿宋" w:cs="华文仿宋"/>
          <w:color w:val="auto"/>
          <w:sz w:val="28"/>
          <w:szCs w:val="28"/>
        </w:rPr>
        <w:fldChar w:fldCharType="end"/>
      </w:r>
      <w:r>
        <w:rPr>
          <w:rFonts w:hint="eastAsia" w:ascii="华文仿宋" w:hAnsi="华文仿宋" w:cs="华文仿宋"/>
          <w:color w:val="auto"/>
        </w:rPr>
        <w:t>（www.ccgp-shaanxi.gov.cn）</w:t>
      </w:r>
      <w:r>
        <w:rPr>
          <w:rStyle w:val="34"/>
          <w:rFonts w:hint="eastAsia" w:ascii="华文仿宋" w:hAnsi="华文仿宋" w:cs="华文仿宋"/>
          <w:color w:val="auto"/>
          <w:sz w:val="28"/>
          <w:szCs w:val="28"/>
        </w:rPr>
        <w:t>】、</w:t>
      </w:r>
      <w:r>
        <w:rPr>
          <w:rFonts w:hint="eastAsia" w:ascii="华文仿宋" w:hAnsi="华文仿宋" w:cs="华文仿宋"/>
          <w:color w:val="auto"/>
        </w:rPr>
        <w:t>【全国</w:t>
      </w:r>
      <w:r>
        <w:rPr>
          <w:rFonts w:hint="eastAsia" w:ascii="华文仿宋" w:hAnsi="华文仿宋" w:cs="华文仿宋"/>
          <w:bCs/>
          <w:color w:val="auto"/>
        </w:rPr>
        <w:t>公共资源交易平台（陕西省）（http://www.sxggzyjy.cn/）</w:t>
      </w:r>
      <w:r>
        <w:rPr>
          <w:rStyle w:val="34"/>
          <w:rFonts w:hint="eastAsia" w:ascii="华文仿宋" w:hAnsi="华文仿宋" w:cs="华文仿宋"/>
          <w:color w:val="auto"/>
          <w:sz w:val="28"/>
          <w:szCs w:val="28"/>
        </w:rPr>
        <w:t>】</w:t>
      </w:r>
      <w:r>
        <w:rPr>
          <w:rFonts w:hint="eastAsia" w:ascii="华文仿宋" w:hAnsi="华文仿宋" w:cs="华文仿宋"/>
          <w:color w:val="auto"/>
        </w:rPr>
        <w:t>上发布成交公告，成交公告期限为</w:t>
      </w:r>
      <w:r>
        <w:rPr>
          <w:rFonts w:hint="eastAsia" w:ascii="仿宋" w:hAnsi="仿宋" w:eastAsia="仿宋" w:cs="仿宋"/>
          <w:color w:val="auto"/>
        </w:rPr>
        <w:t>1</w:t>
      </w:r>
      <w:r>
        <w:rPr>
          <w:rFonts w:hint="eastAsia" w:ascii="华文仿宋" w:hAnsi="华文仿宋" w:cs="华文仿宋"/>
          <w:color w:val="auto"/>
        </w:rPr>
        <w:t>个工作日。同时，</w:t>
      </w:r>
      <w:r>
        <w:rPr>
          <w:rFonts w:hint="eastAsia" w:ascii="Calibri" w:hAnsi="Calibri"/>
          <w:color w:val="auto"/>
        </w:rPr>
        <w:t>陕西省省级单位政府采购中心</w:t>
      </w:r>
      <w:r>
        <w:rPr>
          <w:rFonts w:hint="eastAsia"/>
          <w:color w:val="auto"/>
        </w:rPr>
        <w:t>向</w:t>
      </w:r>
      <w:r>
        <w:rPr>
          <w:rFonts w:hint="eastAsia" w:ascii="华文仿宋" w:hAnsi="华文仿宋" w:cs="华文仿宋"/>
          <w:color w:val="auto"/>
        </w:rPr>
        <w:t>成交供应商发出“成交通知书”，并将磋商文件随成交结果同时公告。成交结果公告应当包括以下内容：</w:t>
      </w:r>
    </w:p>
    <w:p>
      <w:pPr>
        <w:wordWrap w:val="0"/>
        <w:spacing w:line="500" w:lineRule="exact"/>
        <w:ind w:firstLine="566" w:firstLineChars="200"/>
        <w:rPr>
          <w:rFonts w:ascii="华文仿宋" w:hAnsi="华文仿宋" w:cs="华文仿宋"/>
          <w:color w:val="auto"/>
        </w:rPr>
      </w:pPr>
      <w:r>
        <w:rPr>
          <w:rFonts w:hint="eastAsia" w:ascii="华文仿宋" w:hAnsi="华文仿宋" w:cs="华文仿宋"/>
          <w:color w:val="auto"/>
        </w:rPr>
        <w:t>1、采购人和采购代理机构的名称、地址和联系方式；</w:t>
      </w:r>
    </w:p>
    <w:p>
      <w:pPr>
        <w:wordWrap w:val="0"/>
        <w:spacing w:line="500" w:lineRule="exact"/>
        <w:ind w:firstLine="566" w:firstLineChars="200"/>
        <w:rPr>
          <w:rFonts w:ascii="华文仿宋" w:hAnsi="华文仿宋" w:cs="华文仿宋"/>
          <w:color w:val="auto"/>
        </w:rPr>
      </w:pPr>
      <w:r>
        <w:rPr>
          <w:rFonts w:hint="eastAsia" w:ascii="华文仿宋" w:hAnsi="华文仿宋" w:cs="华文仿宋"/>
          <w:color w:val="auto"/>
        </w:rPr>
        <w:t>2、项目名称和项目编号；</w:t>
      </w:r>
    </w:p>
    <w:p>
      <w:pPr>
        <w:wordWrap w:val="0"/>
        <w:spacing w:line="500" w:lineRule="exact"/>
        <w:ind w:firstLine="566" w:firstLineChars="200"/>
        <w:rPr>
          <w:rFonts w:ascii="华文仿宋" w:hAnsi="华文仿宋" w:cs="华文仿宋"/>
          <w:color w:val="auto"/>
        </w:rPr>
      </w:pPr>
      <w:r>
        <w:rPr>
          <w:rFonts w:hint="eastAsia" w:ascii="华文仿宋" w:hAnsi="华文仿宋" w:cs="华文仿宋"/>
          <w:color w:val="auto"/>
        </w:rPr>
        <w:t>3、成交供应商名称、地址和成交金额；</w:t>
      </w:r>
    </w:p>
    <w:p>
      <w:pPr>
        <w:wordWrap w:val="0"/>
        <w:spacing w:line="500" w:lineRule="exact"/>
        <w:ind w:firstLine="566" w:firstLineChars="200"/>
        <w:rPr>
          <w:rFonts w:ascii="华文仿宋" w:hAnsi="华文仿宋" w:cs="华文仿宋"/>
          <w:color w:val="auto"/>
        </w:rPr>
      </w:pPr>
      <w:r>
        <w:rPr>
          <w:rFonts w:hint="eastAsia" w:ascii="华文仿宋" w:hAnsi="华文仿宋" w:cs="华文仿宋"/>
          <w:color w:val="auto"/>
        </w:rPr>
        <w:t>4、主要成交标的名称、规格型号、数量、单价、服务要求；</w:t>
      </w:r>
    </w:p>
    <w:p>
      <w:pPr>
        <w:wordWrap w:val="0"/>
        <w:spacing w:line="500" w:lineRule="exact"/>
        <w:ind w:firstLine="566" w:firstLineChars="200"/>
        <w:rPr>
          <w:rFonts w:ascii="华文仿宋" w:hAnsi="华文仿宋" w:cs="华文仿宋"/>
          <w:color w:val="auto"/>
        </w:rPr>
      </w:pPr>
      <w:r>
        <w:rPr>
          <w:rFonts w:hint="eastAsia" w:ascii="华文仿宋" w:hAnsi="华文仿宋" w:cs="华文仿宋"/>
          <w:color w:val="auto"/>
        </w:rPr>
        <w:t>5、磋商小组成员名单。</w:t>
      </w:r>
    </w:p>
    <w:p>
      <w:pPr>
        <w:wordWrap w:val="0"/>
        <w:spacing w:line="500" w:lineRule="exact"/>
        <w:ind w:firstLine="566" w:firstLineChars="200"/>
        <w:rPr>
          <w:color w:val="auto"/>
        </w:rPr>
      </w:pPr>
      <w:r>
        <w:rPr>
          <w:rFonts w:hint="eastAsia" w:ascii="华文仿宋" w:hAnsi="华文仿宋" w:cs="华文仿宋"/>
          <w:color w:val="auto"/>
        </w:rPr>
        <w:t>采用书面推荐供应商参加采购活动的，还应当公告采购人和评审专家的推荐意见。</w:t>
      </w:r>
    </w:p>
    <w:p>
      <w:pPr>
        <w:pStyle w:val="4"/>
        <w:spacing w:line="500" w:lineRule="exact"/>
        <w:ind w:firstLine="566" w:firstLineChars="200"/>
        <w:rPr>
          <w:rFonts w:ascii="华文仿宋" w:hAnsi="华文仿宋" w:cs="华文仿宋"/>
          <w:color w:val="auto"/>
          <w:sz w:val="28"/>
          <w:szCs w:val="28"/>
        </w:rPr>
      </w:pPr>
      <w:bookmarkStart w:id="151" w:name="_Toc28870"/>
      <w:bookmarkStart w:id="152" w:name="_Toc14009"/>
      <w:bookmarkStart w:id="153" w:name="_Toc18788"/>
      <w:bookmarkStart w:id="154" w:name="_Toc3100"/>
      <w:r>
        <w:rPr>
          <w:rFonts w:hint="eastAsia" w:ascii="华文仿宋" w:hAnsi="华文仿宋" w:cs="华文仿宋"/>
          <w:color w:val="auto"/>
          <w:sz w:val="28"/>
          <w:szCs w:val="28"/>
        </w:rPr>
        <w:t>十、签订</w:t>
      </w:r>
      <w:r>
        <w:rPr>
          <w:rFonts w:hint="eastAsia" w:ascii="华文仿宋" w:hAnsi="华文仿宋" w:cs="华文仿宋"/>
          <w:color w:val="auto"/>
          <w:kern w:val="0"/>
          <w:sz w:val="28"/>
          <w:szCs w:val="28"/>
        </w:rPr>
        <w:t>政府采购合同</w:t>
      </w:r>
      <w:bookmarkEnd w:id="151"/>
      <w:bookmarkEnd w:id="152"/>
      <w:bookmarkEnd w:id="153"/>
      <w:bookmarkEnd w:id="154"/>
    </w:p>
    <w:p>
      <w:pPr>
        <w:spacing w:line="500" w:lineRule="exact"/>
        <w:ind w:firstLine="566" w:firstLineChars="200"/>
        <w:rPr>
          <w:rFonts w:ascii="华文仿宋" w:hAnsi="华文仿宋" w:cs="华文仿宋"/>
          <w:color w:val="auto"/>
        </w:rPr>
      </w:pPr>
      <w:r>
        <w:rPr>
          <w:rFonts w:hint="eastAsia" w:ascii="华文仿宋" w:hAnsi="华文仿宋" w:cs="华文仿宋"/>
          <w:color w:val="auto"/>
        </w:rPr>
        <w:t>（一）采购人与成交供应商应当在成交通知书发出之日起30日内，按照磋商文件确定的合同文本以及采购标的、规格型号、采购金额、采购数量、技术和服务要求等事项签订政府采购合同。</w:t>
      </w:r>
    </w:p>
    <w:p>
      <w:pPr>
        <w:spacing w:line="500" w:lineRule="exact"/>
        <w:ind w:firstLine="566" w:firstLineChars="200"/>
        <w:rPr>
          <w:rFonts w:ascii="华文仿宋" w:hAnsi="华文仿宋" w:cs="华文仿宋"/>
          <w:color w:val="auto"/>
        </w:rPr>
      </w:pPr>
      <w:r>
        <w:rPr>
          <w:rFonts w:hint="eastAsia" w:ascii="华文仿宋" w:hAnsi="华文仿宋" w:cs="华文仿宋"/>
          <w:color w:val="auto"/>
        </w:rPr>
        <w:t>（二）采购人不得向成交供应商提出超出磋商文件以外的任何要求作为签订合同的条件，不得与成交供应商订立背离磋商文件确定的合同文本以及采购标的、规格型号、采购金额、采购数量、技术和服务要求等实质性内容的协议。</w:t>
      </w:r>
    </w:p>
    <w:p>
      <w:pPr>
        <w:spacing w:line="500" w:lineRule="exact"/>
        <w:ind w:firstLine="566" w:firstLineChars="200"/>
        <w:rPr>
          <w:rFonts w:ascii="华文仿宋" w:hAnsi="华文仿宋" w:cs="华文仿宋"/>
          <w:color w:val="auto"/>
        </w:rPr>
      </w:pPr>
      <w:r>
        <w:rPr>
          <w:rFonts w:hint="eastAsia" w:ascii="华文仿宋" w:hAnsi="华文仿宋" w:cs="华文仿宋"/>
          <w:color w:val="auto"/>
        </w:rPr>
        <w:t>（三）成交供应商拒绝与采购人签订合同的，采购人可以按照评审报告推荐的成交候选人名单排序，确定下一候选人为成交供应商，也可以重新开展政府采购活动。拒绝签订政府采购合同的成交供应商不得参加对该项目重新开展的采购活动。</w:t>
      </w:r>
    </w:p>
    <w:p>
      <w:pPr>
        <w:spacing w:line="500" w:lineRule="exact"/>
        <w:ind w:firstLine="566" w:firstLineChars="200"/>
        <w:rPr>
          <w:rFonts w:ascii="华文仿宋" w:hAnsi="华文仿宋" w:cs="华文仿宋"/>
          <w:color w:val="auto"/>
        </w:rPr>
      </w:pPr>
      <w:r>
        <w:rPr>
          <w:rFonts w:hint="eastAsia" w:ascii="华文仿宋" w:hAnsi="华文仿宋" w:cs="华文仿宋"/>
          <w:color w:val="auto"/>
        </w:rPr>
        <w:t>（四）磋商文件、成交供应商的响应文件、</w:t>
      </w:r>
      <w:r>
        <w:rPr>
          <w:rFonts w:hint="eastAsia" w:ascii="仿宋" w:hAnsi="仿宋" w:eastAsia="仿宋" w:cs="仿宋"/>
          <w:color w:val="auto"/>
        </w:rPr>
        <w:t>《成交通知书》及其</w:t>
      </w:r>
      <w:r>
        <w:rPr>
          <w:rFonts w:hint="eastAsia" w:ascii="华文仿宋" w:hAnsi="华文仿宋" w:cs="华文仿宋"/>
          <w:color w:val="auto"/>
        </w:rPr>
        <w:t>澄清、</w:t>
      </w:r>
      <w:r>
        <w:rPr>
          <w:rFonts w:hint="eastAsia" w:ascii="仿宋" w:hAnsi="仿宋" w:eastAsia="仿宋" w:cs="仿宋"/>
          <w:color w:val="auto"/>
        </w:rPr>
        <w:t>说明文件、承诺</w:t>
      </w:r>
      <w:r>
        <w:rPr>
          <w:rFonts w:hint="eastAsia" w:ascii="华文仿宋" w:hAnsi="华文仿宋" w:cs="华文仿宋"/>
          <w:color w:val="auto"/>
        </w:rPr>
        <w:t>等，均为签订采购合同的组成部分，</w:t>
      </w:r>
      <w:r>
        <w:rPr>
          <w:rFonts w:hint="eastAsia" w:ascii="仿宋" w:hAnsi="仿宋" w:eastAsia="仿宋" w:cs="仿宋"/>
          <w:color w:val="auto"/>
        </w:rPr>
        <w:t>作为采购合同的组成部分。</w:t>
      </w:r>
    </w:p>
    <w:p>
      <w:pPr>
        <w:spacing w:line="500" w:lineRule="exact"/>
        <w:ind w:firstLine="566" w:firstLineChars="200"/>
        <w:rPr>
          <w:rFonts w:hint="eastAsia" w:ascii="华文仿宋" w:hAnsi="华文仿宋" w:cs="华文仿宋"/>
          <w:color w:val="auto"/>
        </w:rPr>
      </w:pPr>
      <w:r>
        <w:rPr>
          <w:rFonts w:hint="eastAsia" w:ascii="仿宋" w:hAnsi="仿宋" w:eastAsia="仿宋" w:cs="仿宋"/>
          <w:color w:val="auto"/>
          <w:kern w:val="0"/>
        </w:rPr>
        <w:t>（五）</w:t>
      </w:r>
      <w:r>
        <w:rPr>
          <w:rFonts w:hint="eastAsia" w:ascii="华文仿宋" w:hAnsi="华文仿宋" w:cs="华文仿宋"/>
          <w:color w:val="auto"/>
        </w:rPr>
        <w:t>政府采购合同应当包括采购人与成交供应商的名称和住所、标的、数量、质量、价款或者报酬、履行期限及地点和方式、验收要求、违约责任、解决争议的方法等内容。</w:t>
      </w:r>
    </w:p>
    <w:p>
      <w:pPr>
        <w:spacing w:line="500" w:lineRule="exact"/>
        <w:ind w:firstLine="566" w:firstLineChars="200"/>
        <w:rPr>
          <w:rFonts w:hint="eastAsia" w:ascii="华文仿宋" w:hAnsi="华文仿宋" w:cs="华文仿宋"/>
          <w:color w:val="auto"/>
        </w:rPr>
      </w:pPr>
      <w:r>
        <w:rPr>
          <w:rFonts w:hint="eastAsia" w:ascii="仿宋" w:hAnsi="仿宋" w:eastAsia="仿宋" w:cs="仿宋"/>
          <w:color w:val="auto"/>
          <w:kern w:val="0"/>
        </w:rPr>
        <w:t>（六）</w:t>
      </w:r>
      <w:r>
        <w:rPr>
          <w:rFonts w:hint="eastAsia" w:ascii="华文仿宋" w:hAnsi="华文仿宋" w:cs="华文仿宋"/>
          <w:color w:val="auto"/>
        </w:rPr>
        <w:t>采购人与成交供应商应当根据合同的约定依法履行合同义务。</w:t>
      </w:r>
    </w:p>
    <w:p>
      <w:pPr>
        <w:spacing w:line="500" w:lineRule="exact"/>
        <w:ind w:firstLine="566" w:firstLineChars="200"/>
        <w:rPr>
          <w:rFonts w:ascii="仿宋" w:hAnsi="仿宋" w:eastAsia="仿宋" w:cs="仿宋"/>
          <w:color w:val="auto"/>
          <w:kern w:val="0"/>
        </w:rPr>
      </w:pPr>
      <w:r>
        <w:rPr>
          <w:rFonts w:hint="eastAsia" w:ascii="华文仿宋" w:hAnsi="华文仿宋" w:cs="华文仿宋"/>
          <w:color w:val="auto"/>
        </w:rPr>
        <w:t>政府采购合同的履行、违约责任和解决争议的方法等适用《中华人民共和国合同法》。</w:t>
      </w:r>
    </w:p>
    <w:p>
      <w:pPr>
        <w:spacing w:line="500" w:lineRule="exact"/>
        <w:ind w:firstLine="566" w:firstLineChars="200"/>
        <w:rPr>
          <w:rFonts w:hint="eastAsia" w:ascii="华文仿宋" w:hAnsi="华文仿宋" w:cs="华文仿宋"/>
          <w:color w:val="auto"/>
        </w:rPr>
      </w:pPr>
      <w:r>
        <w:rPr>
          <w:rFonts w:hint="eastAsia" w:ascii="仿宋" w:hAnsi="仿宋" w:eastAsia="仿宋" w:cs="仿宋"/>
          <w:color w:val="auto"/>
          <w:kern w:val="0"/>
        </w:rPr>
        <w:t>（七）</w:t>
      </w:r>
      <w:r>
        <w:rPr>
          <w:rFonts w:hint="eastAsia" w:ascii="华文仿宋" w:hAnsi="华文仿宋" w:cs="华文仿宋"/>
          <w:color w:val="auto"/>
        </w:rPr>
        <w:t>采购人应当及时对采购项目进行验收。采购人可以邀请参加本项目的其他投标供应商或者第三方机构参与验收。参与验收的投标供应商或者第三方机构的意见作为验收书的参考资料一并存档。</w:t>
      </w:r>
    </w:p>
    <w:p>
      <w:pPr>
        <w:spacing w:line="500" w:lineRule="exact"/>
        <w:ind w:firstLine="566" w:firstLineChars="200"/>
        <w:rPr>
          <w:rFonts w:hint="eastAsia" w:ascii="华文仿宋" w:hAnsi="华文仿宋" w:cs="华文仿宋"/>
          <w:color w:val="auto"/>
        </w:rPr>
      </w:pPr>
      <w:r>
        <w:rPr>
          <w:rFonts w:hint="eastAsia" w:ascii="华文仿宋" w:hAnsi="华文仿宋" w:cs="华文仿宋"/>
          <w:color w:val="auto"/>
        </w:rPr>
        <w:t>（八）采购人应当加强对成交供应商的履约管理，并按照采购合同约定，及时向成交供应商支付采购资金。对于成交供应商违反采购合同约定的行为，采购人应当及时处理，依法追究其违约责任。</w:t>
      </w:r>
    </w:p>
    <w:p>
      <w:pPr>
        <w:pStyle w:val="4"/>
        <w:spacing w:line="500" w:lineRule="exact"/>
        <w:ind w:firstLine="566" w:firstLineChars="200"/>
        <w:rPr>
          <w:rFonts w:ascii="华文仿宋" w:hAnsi="华文仿宋" w:cs="华文仿宋"/>
          <w:color w:val="auto"/>
          <w:sz w:val="28"/>
          <w:szCs w:val="28"/>
        </w:rPr>
      </w:pPr>
      <w:bookmarkStart w:id="155" w:name="_Toc23346"/>
      <w:bookmarkStart w:id="156" w:name="_Toc26408"/>
      <w:bookmarkStart w:id="157" w:name="_Toc21906"/>
      <w:bookmarkStart w:id="158" w:name="_Toc1272"/>
      <w:r>
        <w:rPr>
          <w:rFonts w:hint="eastAsia" w:ascii="华文仿宋" w:hAnsi="华文仿宋" w:cs="华文仿宋"/>
          <w:color w:val="auto"/>
          <w:sz w:val="28"/>
          <w:szCs w:val="28"/>
        </w:rPr>
        <w:t>十一、其他</w:t>
      </w:r>
      <w:bookmarkEnd w:id="155"/>
      <w:bookmarkEnd w:id="156"/>
      <w:bookmarkEnd w:id="157"/>
      <w:bookmarkEnd w:id="158"/>
    </w:p>
    <w:p>
      <w:pPr>
        <w:spacing w:line="500" w:lineRule="exact"/>
        <w:ind w:firstLine="566" w:firstLineChars="200"/>
        <w:rPr>
          <w:rFonts w:ascii="华文仿宋" w:hAnsi="华文仿宋" w:cs="华文仿宋"/>
          <w:color w:val="auto"/>
        </w:rPr>
      </w:pPr>
      <w:r>
        <w:rPr>
          <w:rFonts w:hint="eastAsia" w:ascii="华文仿宋" w:hAnsi="华文仿宋" w:cs="华文仿宋"/>
          <w:color w:val="auto"/>
        </w:rPr>
        <w:t>（一）磋商小组发现磋商文件存在歧义、重大缺陷导致评审工作无法进行，或者磋商文件内容违反国家有关强制性规定的，应当停止评审工作，与采购人或者陕西省省级单位政府采购中心沟通并作书面记录。采购人或者陕西省省级单位政府采购中心确认后，应当修改磋商文件，重新组织采购活动。</w:t>
      </w:r>
    </w:p>
    <w:p>
      <w:pPr>
        <w:spacing w:line="500" w:lineRule="exact"/>
        <w:ind w:firstLine="566" w:firstLineChars="200"/>
        <w:rPr>
          <w:rFonts w:ascii="华文仿宋" w:hAnsi="华文仿宋" w:cs="华文仿宋"/>
          <w:color w:val="auto"/>
        </w:rPr>
      </w:pPr>
      <w:r>
        <w:rPr>
          <w:rFonts w:hint="eastAsia" w:ascii="华文仿宋" w:hAnsi="华文仿宋" w:cs="华文仿宋"/>
          <w:color w:val="auto"/>
        </w:rPr>
        <w:t>（二）根据《政府采购法》第三十六条规定，在招标采购中，出现下列情形之一的，本项目按废标处理：</w:t>
      </w:r>
    </w:p>
    <w:p>
      <w:pPr>
        <w:spacing w:line="500" w:lineRule="exact"/>
        <w:ind w:firstLine="566" w:firstLineChars="200"/>
        <w:rPr>
          <w:rFonts w:ascii="华文仿宋" w:hAnsi="华文仿宋" w:cs="华文仿宋"/>
          <w:color w:val="auto"/>
        </w:rPr>
      </w:pPr>
      <w:r>
        <w:rPr>
          <w:rFonts w:hint="eastAsia" w:ascii="华文仿宋" w:hAnsi="华文仿宋" w:cs="华文仿宋"/>
          <w:color w:val="auto"/>
        </w:rPr>
        <w:t>1、出现影响采购公正的违法、违规行为的；</w:t>
      </w:r>
    </w:p>
    <w:p>
      <w:pPr>
        <w:spacing w:line="500" w:lineRule="exact"/>
        <w:ind w:firstLine="566" w:firstLineChars="200"/>
        <w:rPr>
          <w:rFonts w:ascii="华文仿宋" w:hAnsi="华文仿宋" w:cs="华文仿宋"/>
          <w:color w:val="auto"/>
        </w:rPr>
      </w:pPr>
      <w:r>
        <w:rPr>
          <w:rFonts w:hint="eastAsia" w:ascii="华文仿宋" w:hAnsi="华文仿宋" w:cs="华文仿宋"/>
          <w:color w:val="auto"/>
        </w:rPr>
        <w:t>2、供应商的报价均超过了采购预算，采购人不能支付的；</w:t>
      </w:r>
    </w:p>
    <w:p>
      <w:pPr>
        <w:spacing w:line="500" w:lineRule="exact"/>
        <w:ind w:firstLine="566" w:firstLineChars="200"/>
        <w:rPr>
          <w:rFonts w:ascii="华文仿宋" w:hAnsi="华文仿宋" w:cs="华文仿宋"/>
          <w:color w:val="auto"/>
        </w:rPr>
      </w:pPr>
      <w:r>
        <w:rPr>
          <w:rFonts w:hint="eastAsia" w:ascii="华文仿宋" w:hAnsi="华文仿宋" w:cs="华文仿宋"/>
          <w:color w:val="auto"/>
        </w:rPr>
        <w:t>3、因重大变故，采购任务取消的。</w:t>
      </w:r>
    </w:p>
    <w:p>
      <w:pPr>
        <w:spacing w:line="500" w:lineRule="exact"/>
        <w:ind w:firstLine="566" w:firstLineChars="200"/>
        <w:rPr>
          <w:rFonts w:ascii="华文仿宋" w:hAnsi="华文仿宋" w:cs="华文仿宋"/>
          <w:color w:val="auto"/>
        </w:rPr>
      </w:pPr>
      <w:r>
        <w:rPr>
          <w:rFonts w:hint="eastAsia" w:ascii="华文仿宋" w:hAnsi="华文仿宋" w:cs="华文仿宋"/>
          <w:color w:val="auto"/>
        </w:rPr>
        <w:t>废标后，由陕西省省级单位政府采购中心发布废标公告。除采购任务取消外，本项目将重新组织招标。</w:t>
      </w:r>
    </w:p>
    <w:p>
      <w:pPr>
        <w:spacing w:line="500" w:lineRule="exact"/>
        <w:ind w:firstLine="566" w:firstLineChars="200"/>
        <w:rPr>
          <w:rFonts w:ascii="华文仿宋" w:hAnsi="华文仿宋" w:cs="华文仿宋"/>
          <w:color w:val="auto"/>
        </w:rPr>
      </w:pPr>
      <w:r>
        <w:rPr>
          <w:rFonts w:hint="eastAsia" w:ascii="华文仿宋" w:hAnsi="华文仿宋" w:cs="华文仿宋"/>
          <w:color w:val="auto"/>
        </w:rPr>
        <w:t>（三）在递交响应文件阶段、密封性等形式检查阶段、资格审查阶段或磋商小组评审阶段，当出现有效投标供应商不足3家时，除采购任务取消外，按照以下方式处理：</w:t>
      </w:r>
    </w:p>
    <w:p>
      <w:pPr>
        <w:spacing w:line="500" w:lineRule="exact"/>
        <w:ind w:firstLine="566" w:firstLineChars="200"/>
        <w:rPr>
          <w:rFonts w:ascii="华文仿宋" w:hAnsi="华文仿宋" w:cs="华文仿宋"/>
          <w:color w:val="auto"/>
        </w:rPr>
      </w:pPr>
      <w:r>
        <w:rPr>
          <w:rFonts w:hint="eastAsia" w:ascii="华文仿宋" w:hAnsi="华文仿宋" w:cs="华文仿宋"/>
          <w:color w:val="auto"/>
        </w:rPr>
        <w:t>1、磋商文件存在不合理条款或者招标程序不符合规定的，采购人、陕西省省级单位政府采购中心改正后依法重新招标；</w:t>
      </w:r>
    </w:p>
    <w:p>
      <w:pPr>
        <w:spacing w:line="500" w:lineRule="exact"/>
        <w:ind w:firstLine="566" w:firstLineChars="200"/>
        <w:rPr>
          <w:rFonts w:ascii="华文仿宋" w:hAnsi="华文仿宋" w:cs="华文仿宋"/>
          <w:color w:val="auto"/>
        </w:rPr>
      </w:pPr>
      <w:r>
        <w:rPr>
          <w:rFonts w:hint="eastAsia" w:ascii="华文仿宋" w:hAnsi="华文仿宋" w:cs="华文仿宋"/>
          <w:color w:val="auto"/>
        </w:rPr>
        <w:t>2、磋商文件没有不合理条款、招标程序符合规定，需要采用其他采购方式采购的，采购人应当依法报财政部门批准。</w:t>
      </w:r>
    </w:p>
    <w:p>
      <w:pPr>
        <w:spacing w:line="500" w:lineRule="exact"/>
        <w:ind w:firstLine="566" w:firstLineChars="200"/>
        <w:rPr>
          <w:rFonts w:ascii="华文仿宋" w:hAnsi="华文仿宋" w:cs="华文仿宋"/>
          <w:color w:val="auto"/>
        </w:rPr>
      </w:pPr>
      <w:r>
        <w:rPr>
          <w:rFonts w:hint="eastAsia" w:ascii="华文仿宋" w:hAnsi="华文仿宋" w:cs="华文仿宋"/>
          <w:color w:val="auto"/>
        </w:rPr>
        <w:t>（四）陕西省省级单位政府采购中心应当采取必要措施，保证评审在严格保密的情况下进行。除采购人代表、评审现场组织人员外，采购人的其他工作人员以及与评审工作无关的人员不得进入评审现场。</w:t>
      </w:r>
    </w:p>
    <w:p>
      <w:pPr>
        <w:spacing w:line="500" w:lineRule="exact"/>
        <w:ind w:firstLine="566" w:firstLineChars="200"/>
        <w:rPr>
          <w:rFonts w:ascii="华文仿宋" w:hAnsi="华文仿宋" w:cs="华文仿宋"/>
          <w:color w:val="auto"/>
        </w:rPr>
      </w:pPr>
      <w:r>
        <w:rPr>
          <w:rFonts w:hint="eastAsia" w:ascii="华文仿宋" w:hAnsi="华文仿宋" w:cs="华文仿宋"/>
          <w:color w:val="auto"/>
        </w:rPr>
        <w:t>有关人员对评审情况以及在评审过程中获悉的国家秘密、商业秘密负有保密责任。</w:t>
      </w:r>
    </w:p>
    <w:p>
      <w:pPr>
        <w:spacing w:line="500" w:lineRule="exact"/>
        <w:ind w:firstLine="566" w:firstLineChars="200"/>
        <w:rPr>
          <w:rFonts w:ascii="华文仿宋" w:hAnsi="华文仿宋" w:cs="华文仿宋"/>
          <w:color w:val="auto"/>
        </w:rPr>
      </w:pPr>
      <w:r>
        <w:rPr>
          <w:rFonts w:hint="eastAsia" w:ascii="华文仿宋" w:hAnsi="华文仿宋" w:cs="华文仿宋"/>
          <w:color w:val="auto"/>
        </w:rPr>
        <w:t>（五）磋商文件未明确的其他事项，按《政府采购法》及其相关法律法规执行。</w:t>
      </w:r>
    </w:p>
    <w:p>
      <w:pPr>
        <w:pStyle w:val="4"/>
        <w:spacing w:line="500" w:lineRule="exact"/>
        <w:ind w:firstLine="566" w:firstLineChars="200"/>
        <w:rPr>
          <w:rFonts w:ascii="黑体" w:hAnsi="黑体" w:eastAsia="黑体"/>
          <w:color w:val="auto"/>
          <w:sz w:val="28"/>
          <w:szCs w:val="28"/>
        </w:rPr>
        <w:sectPr>
          <w:headerReference r:id="rId5" w:type="default"/>
          <w:footerReference r:id="rId6" w:type="default"/>
          <w:pgSz w:w="11906" w:h="16838"/>
          <w:pgMar w:top="1417" w:right="1417" w:bottom="1417" w:left="1417" w:header="850" w:footer="992" w:gutter="0"/>
          <w:pgNumType w:fmt="decimal" w:start="1"/>
          <w:cols w:space="720" w:num="1"/>
          <w:docGrid w:type="linesAndChars" w:linePitch="381" w:charSpace="704"/>
        </w:sectPr>
      </w:pPr>
      <w:bookmarkStart w:id="159" w:name="_Toc27151"/>
      <w:bookmarkStart w:id="160" w:name="_Toc10336"/>
      <w:bookmarkStart w:id="161" w:name="_Toc4764"/>
      <w:bookmarkStart w:id="162" w:name="_Toc11584"/>
      <w:bookmarkStart w:id="163" w:name="_Toc11780"/>
      <w:bookmarkStart w:id="164" w:name="_Toc8426"/>
      <w:bookmarkStart w:id="165" w:name="_Toc23303"/>
      <w:bookmarkStart w:id="166" w:name="_Toc31101"/>
      <w:bookmarkStart w:id="167" w:name="_Toc23529"/>
      <w:r>
        <w:rPr>
          <w:rFonts w:hint="eastAsia" w:ascii="华文仿宋" w:hAnsi="华文仿宋" w:cs="华文仿宋"/>
          <w:color w:val="auto"/>
          <w:sz w:val="28"/>
          <w:szCs w:val="28"/>
        </w:rPr>
        <w:t>十二、采购代理服务费：</w:t>
      </w:r>
      <w:r>
        <w:rPr>
          <w:rFonts w:hint="eastAsia"/>
          <w:color w:val="auto"/>
          <w:sz w:val="28"/>
          <w:szCs w:val="28"/>
        </w:rPr>
        <w:t>免费</w:t>
      </w:r>
      <w:bookmarkEnd w:id="159"/>
      <w:bookmarkEnd w:id="160"/>
      <w:bookmarkEnd w:id="161"/>
      <w:bookmarkEnd w:id="162"/>
      <w:bookmarkEnd w:id="163"/>
      <w:bookmarkEnd w:id="164"/>
      <w:bookmarkEnd w:id="165"/>
      <w:bookmarkEnd w:id="166"/>
      <w:bookmarkEnd w:id="167"/>
    </w:p>
    <w:p>
      <w:pPr>
        <w:pStyle w:val="3"/>
        <w:jc w:val="center"/>
        <w:rPr>
          <w:rFonts w:ascii="黑体" w:hAnsi="黑体" w:eastAsia="黑体"/>
          <w:b w:val="0"/>
          <w:bCs/>
          <w:color w:val="auto"/>
          <w:sz w:val="32"/>
          <w:szCs w:val="32"/>
        </w:rPr>
      </w:pPr>
      <w:bookmarkStart w:id="168" w:name="_Toc10476_WPSOffice_Level1"/>
      <w:bookmarkStart w:id="169" w:name="_Toc3316"/>
      <w:r>
        <w:rPr>
          <w:rFonts w:hint="eastAsia" w:ascii="黑体" w:hAnsi="黑体" w:eastAsia="黑体"/>
          <w:b w:val="0"/>
          <w:bCs/>
          <w:color w:val="auto"/>
          <w:sz w:val="32"/>
          <w:szCs w:val="32"/>
        </w:rPr>
        <w:t>第三章  磋商内容及采</w:t>
      </w:r>
      <w:bookmarkEnd w:id="168"/>
      <w:r>
        <w:rPr>
          <w:rFonts w:hint="eastAsia" w:ascii="黑体" w:hAnsi="黑体" w:eastAsia="黑体"/>
          <w:b w:val="0"/>
          <w:bCs/>
          <w:color w:val="auto"/>
          <w:sz w:val="32"/>
          <w:szCs w:val="32"/>
        </w:rPr>
        <w:t>购要求</w:t>
      </w:r>
      <w:bookmarkEnd w:id="140"/>
      <w:bookmarkEnd w:id="141"/>
      <w:bookmarkEnd w:id="142"/>
      <w:bookmarkEnd w:id="143"/>
      <w:bookmarkEnd w:id="144"/>
      <w:bookmarkEnd w:id="145"/>
      <w:bookmarkEnd w:id="146"/>
      <w:bookmarkEnd w:id="147"/>
      <w:bookmarkEnd w:id="148"/>
      <w:bookmarkEnd w:id="149"/>
      <w:bookmarkEnd w:id="150"/>
      <w:bookmarkEnd w:id="169"/>
    </w:p>
    <w:p>
      <w:pPr>
        <w:pStyle w:val="4"/>
        <w:keepNext/>
        <w:keepLines/>
        <w:pageBreakBefore w:val="0"/>
        <w:widowControl/>
        <w:kinsoku/>
        <w:wordWrap/>
        <w:overflowPunct/>
        <w:topLinePunct w:val="0"/>
        <w:autoSpaceDE/>
        <w:autoSpaceDN/>
        <w:bidi w:val="0"/>
        <w:adjustRightInd/>
        <w:snapToGrid/>
        <w:spacing w:before="0" w:beforeLines="100" w:line="500" w:lineRule="exact"/>
        <w:ind w:firstLine="561" w:firstLineChars="200"/>
        <w:textAlignment w:val="auto"/>
        <w:rPr>
          <w:rFonts w:hint="eastAsia" w:ascii="华文仿宋" w:hAnsi="华文仿宋" w:cs="华文仿宋"/>
          <w:color w:val="auto"/>
          <w:sz w:val="28"/>
          <w:szCs w:val="28"/>
        </w:rPr>
      </w:pPr>
      <w:bookmarkStart w:id="170" w:name="_Toc8424"/>
      <w:r>
        <w:rPr>
          <w:rFonts w:hint="eastAsia" w:ascii="华文仿宋" w:hAnsi="华文仿宋" w:cs="华文仿宋"/>
          <w:color w:val="auto"/>
          <w:sz w:val="28"/>
          <w:szCs w:val="28"/>
        </w:rPr>
        <w:t>一、项目基本情况</w:t>
      </w:r>
      <w:bookmarkEnd w:id="170"/>
    </w:p>
    <w:p>
      <w:pPr>
        <w:pStyle w:val="2"/>
        <w:keepNext w:val="0"/>
        <w:keepLines w:val="0"/>
        <w:pageBreakBefore w:val="0"/>
        <w:widowControl/>
        <w:kinsoku/>
        <w:wordWrap/>
        <w:overflowPunct/>
        <w:topLinePunct w:val="0"/>
        <w:autoSpaceDE/>
        <w:autoSpaceDN/>
        <w:bidi w:val="0"/>
        <w:adjustRightInd/>
        <w:snapToGrid/>
        <w:spacing w:before="0" w:beforeLines="50" w:line="500" w:lineRule="exact"/>
        <w:ind w:firstLine="560" w:firstLineChars="200"/>
        <w:textAlignment w:val="auto"/>
        <w:rPr>
          <w:rFonts w:hint="eastAsia" w:ascii="华文仿宋" w:hAnsi="华文仿宋" w:cs="华文仿宋"/>
        </w:rPr>
      </w:pPr>
      <w:r>
        <w:rPr>
          <w:rFonts w:hint="eastAsia" w:ascii="华文仿宋" w:hAnsi="华文仿宋" w:eastAsia="华文仿宋" w:cs="华文仿宋"/>
          <w:color w:val="000000"/>
          <w:kern w:val="0"/>
          <w:sz w:val="28"/>
          <w:szCs w:val="28"/>
        </w:rPr>
        <w:t>本工程主要对西北大学长安校区东学楼新闻传播学院多功能报告厅兼小剧场部分（共计约</w:t>
      </w:r>
      <w:r>
        <w:rPr>
          <w:rFonts w:hint="eastAsia" w:ascii="仿宋" w:hAnsi="仿宋" w:eastAsia="仿宋" w:cs="仿宋"/>
          <w:color w:val="000000"/>
          <w:kern w:val="0"/>
          <w:sz w:val="28"/>
          <w:szCs w:val="28"/>
        </w:rPr>
        <w:t>1030</w:t>
      </w:r>
      <w:r>
        <w:rPr>
          <w:rFonts w:hint="eastAsia" w:ascii="华文仿宋" w:hAnsi="华文仿宋" w:eastAsia="华文仿宋" w:cs="华文仿宋"/>
          <w:color w:val="000000"/>
          <w:kern w:val="0"/>
          <w:sz w:val="28"/>
          <w:szCs w:val="28"/>
        </w:rPr>
        <w:t>平方米，其中负</w:t>
      </w:r>
      <w:r>
        <w:rPr>
          <w:rFonts w:hint="eastAsia" w:ascii="仿宋" w:hAnsi="仿宋" w:eastAsia="仿宋" w:cs="仿宋"/>
          <w:color w:val="000000"/>
          <w:kern w:val="0"/>
          <w:sz w:val="28"/>
          <w:szCs w:val="28"/>
        </w:rPr>
        <w:t>1</w:t>
      </w:r>
      <w:r>
        <w:rPr>
          <w:rFonts w:hint="eastAsia" w:ascii="华文仿宋" w:hAnsi="华文仿宋" w:eastAsia="华文仿宋" w:cs="华文仿宋"/>
          <w:color w:val="000000"/>
          <w:kern w:val="0"/>
          <w:sz w:val="28"/>
          <w:szCs w:val="28"/>
        </w:rPr>
        <w:t>层约</w:t>
      </w:r>
      <w:r>
        <w:rPr>
          <w:rFonts w:hint="eastAsia" w:ascii="仿宋" w:hAnsi="仿宋" w:eastAsia="仿宋" w:cs="仿宋"/>
          <w:color w:val="000000"/>
          <w:kern w:val="0"/>
          <w:sz w:val="28"/>
          <w:szCs w:val="28"/>
        </w:rPr>
        <w:t>735</w:t>
      </w:r>
      <w:r>
        <w:rPr>
          <w:rFonts w:hint="eastAsia" w:ascii="华文仿宋" w:hAnsi="华文仿宋" w:eastAsia="华文仿宋" w:cs="华文仿宋"/>
          <w:color w:val="000000"/>
          <w:kern w:val="0"/>
          <w:sz w:val="28"/>
          <w:szCs w:val="28"/>
        </w:rPr>
        <w:t>平方米，</w:t>
      </w:r>
      <w:r>
        <w:rPr>
          <w:rFonts w:hint="eastAsia" w:ascii="仿宋" w:hAnsi="仿宋" w:eastAsia="仿宋" w:cs="仿宋"/>
          <w:color w:val="000000"/>
          <w:kern w:val="0"/>
          <w:sz w:val="28"/>
          <w:szCs w:val="28"/>
        </w:rPr>
        <w:t>1</w:t>
      </w:r>
      <w:r>
        <w:rPr>
          <w:rFonts w:hint="eastAsia" w:ascii="华文仿宋" w:hAnsi="华文仿宋" w:eastAsia="华文仿宋" w:cs="华文仿宋"/>
          <w:color w:val="000000"/>
          <w:kern w:val="0"/>
          <w:sz w:val="28"/>
          <w:szCs w:val="28"/>
        </w:rPr>
        <w:t>层约</w:t>
      </w:r>
      <w:r>
        <w:rPr>
          <w:rFonts w:hint="eastAsia" w:ascii="仿宋" w:hAnsi="仿宋" w:eastAsia="仿宋" w:cs="仿宋"/>
          <w:color w:val="000000"/>
          <w:kern w:val="0"/>
          <w:sz w:val="28"/>
          <w:szCs w:val="28"/>
        </w:rPr>
        <w:t>295</w:t>
      </w:r>
      <w:r>
        <w:rPr>
          <w:rFonts w:hint="eastAsia" w:ascii="华文仿宋" w:hAnsi="华文仿宋" w:eastAsia="华文仿宋" w:cs="华文仿宋"/>
          <w:color w:val="000000"/>
          <w:kern w:val="0"/>
          <w:sz w:val="28"/>
          <w:szCs w:val="28"/>
        </w:rPr>
        <w:t>平方米）进行场内声学、声光电配置、舞台设备配置、</w:t>
      </w:r>
      <w:r>
        <w:rPr>
          <w:rFonts w:hint="eastAsia" w:ascii="仿宋" w:hAnsi="仿宋" w:eastAsia="仿宋" w:cs="仿宋"/>
          <w:bCs/>
          <w:sz w:val="28"/>
          <w:szCs w:val="28"/>
        </w:rPr>
        <w:t>LED</w:t>
      </w:r>
      <w:r>
        <w:rPr>
          <w:rFonts w:hint="eastAsia" w:ascii="华文仿宋" w:hAnsi="华文仿宋" w:eastAsia="华文仿宋" w:cs="华文仿宋"/>
          <w:bCs/>
          <w:sz w:val="28"/>
          <w:szCs w:val="28"/>
        </w:rPr>
        <w:t>屏定制安装、消防设施、</w:t>
      </w:r>
      <w:r>
        <w:rPr>
          <w:rFonts w:hint="eastAsia" w:ascii="华文仿宋" w:hAnsi="华文仿宋" w:eastAsia="华文仿宋" w:cs="华文仿宋"/>
          <w:color w:val="000000"/>
          <w:kern w:val="0"/>
          <w:sz w:val="28"/>
          <w:szCs w:val="28"/>
        </w:rPr>
        <w:t>精装修设施等进行细化优化设计、采购、施工。项目建设内容主要包括以声学设计指导声光电配置、声光电系统工程建设（含音响等设备）；负</w:t>
      </w:r>
      <w:r>
        <w:rPr>
          <w:rFonts w:hint="eastAsia" w:ascii="仿宋" w:hAnsi="仿宋" w:eastAsia="仿宋" w:cs="仿宋"/>
          <w:color w:val="000000"/>
          <w:kern w:val="0"/>
          <w:sz w:val="28"/>
          <w:szCs w:val="28"/>
        </w:rPr>
        <w:t>1</w:t>
      </w:r>
      <w:r>
        <w:rPr>
          <w:rFonts w:hint="eastAsia" w:ascii="华文仿宋" w:hAnsi="华文仿宋" w:eastAsia="华文仿宋" w:cs="华文仿宋"/>
          <w:color w:val="000000"/>
          <w:kern w:val="0"/>
          <w:sz w:val="28"/>
          <w:szCs w:val="28"/>
        </w:rPr>
        <w:t>层的接待大厅、过道、贵宾室、茶水室、更衣室、化妆教室、报告厅兼演艺厅（舞台与观众席）、控制室、道具储物间以及</w:t>
      </w:r>
      <w:r>
        <w:rPr>
          <w:rFonts w:hint="eastAsia" w:ascii="仿宋" w:hAnsi="仿宋" w:eastAsia="仿宋" w:cs="仿宋"/>
          <w:color w:val="000000"/>
          <w:kern w:val="0"/>
          <w:sz w:val="28"/>
          <w:szCs w:val="28"/>
        </w:rPr>
        <w:t>1</w:t>
      </w:r>
      <w:r>
        <w:rPr>
          <w:rFonts w:hint="eastAsia" w:ascii="华文仿宋" w:hAnsi="华文仿宋" w:eastAsia="华文仿宋" w:cs="华文仿宋"/>
          <w:color w:val="000000"/>
          <w:kern w:val="0"/>
          <w:sz w:val="28"/>
          <w:szCs w:val="28"/>
        </w:rPr>
        <w:t>层的多功能会议室、办公室等区域精装修工程。</w:t>
      </w:r>
    </w:p>
    <w:p>
      <w:pPr>
        <w:pStyle w:val="4"/>
        <w:pageBreakBefore w:val="0"/>
        <w:kinsoku/>
        <w:wordWrap/>
        <w:overflowPunct/>
        <w:topLinePunct w:val="0"/>
        <w:autoSpaceDE/>
        <w:autoSpaceDN/>
        <w:bidi w:val="0"/>
        <w:adjustRightInd/>
        <w:snapToGrid/>
        <w:spacing w:line="500" w:lineRule="exact"/>
        <w:ind w:firstLine="561" w:firstLineChars="200"/>
        <w:textAlignment w:val="auto"/>
        <w:rPr>
          <w:rFonts w:hint="eastAsia" w:ascii="华文仿宋" w:hAnsi="华文仿宋" w:cs="华文仿宋"/>
          <w:color w:val="auto"/>
          <w:sz w:val="28"/>
          <w:szCs w:val="28"/>
          <w:lang w:val="zh-CN"/>
        </w:rPr>
      </w:pPr>
      <w:bookmarkStart w:id="171" w:name="_Toc12495"/>
      <w:r>
        <w:rPr>
          <w:rFonts w:hint="eastAsia" w:ascii="华文仿宋" w:hAnsi="华文仿宋" w:cs="华文仿宋"/>
          <w:color w:val="auto"/>
          <w:sz w:val="28"/>
          <w:szCs w:val="28"/>
          <w:lang w:val="en-US" w:eastAsia="zh-CN"/>
        </w:rPr>
        <w:t>二、采购</w:t>
      </w:r>
      <w:r>
        <w:rPr>
          <w:rFonts w:hint="eastAsia" w:ascii="华文仿宋" w:hAnsi="华文仿宋" w:cs="华文仿宋"/>
          <w:color w:val="auto"/>
          <w:sz w:val="28"/>
          <w:szCs w:val="28"/>
          <w:lang w:val="zh-CN"/>
        </w:rPr>
        <w:t>内容</w:t>
      </w:r>
      <w:r>
        <w:rPr>
          <w:rFonts w:hint="eastAsia" w:ascii="华文仿宋" w:hAnsi="华文仿宋" w:cs="华文仿宋"/>
          <w:color w:val="auto"/>
          <w:sz w:val="28"/>
          <w:szCs w:val="28"/>
          <w:lang w:val="en-US" w:eastAsia="zh-CN"/>
        </w:rPr>
        <w:t>及要求</w:t>
      </w:r>
      <w:bookmarkEnd w:id="171"/>
    </w:p>
    <w:p>
      <w:pPr>
        <w:pStyle w:val="2"/>
        <w:keepNext w:val="0"/>
        <w:keepLines w:val="0"/>
        <w:pageBreakBefore w:val="0"/>
        <w:widowControl/>
        <w:numPr>
          <w:ilvl w:val="0"/>
          <w:numId w:val="5"/>
        </w:numPr>
        <w:kinsoku/>
        <w:wordWrap/>
        <w:overflowPunct/>
        <w:topLinePunct w:val="0"/>
        <w:autoSpaceDE/>
        <w:autoSpaceDN/>
        <w:bidi w:val="0"/>
        <w:adjustRightInd/>
        <w:snapToGrid/>
        <w:spacing w:line="500" w:lineRule="exact"/>
        <w:ind w:left="0" w:leftChars="0" w:firstLine="560" w:firstLineChars="200"/>
        <w:textAlignment w:val="auto"/>
        <w:rPr>
          <w:rFonts w:hint="default"/>
          <w:lang w:val="en-US" w:eastAsia="zh-CN"/>
        </w:rPr>
      </w:pPr>
      <w:r>
        <w:rPr>
          <w:rFonts w:hint="eastAsia"/>
          <w:lang w:val="en-US" w:eastAsia="zh-CN"/>
        </w:rPr>
        <w:t>采购内容</w:t>
      </w:r>
    </w:p>
    <w:p>
      <w:pPr>
        <w:keepNext w:val="0"/>
        <w:keepLines w:val="0"/>
        <w:pageBreakBefore w:val="0"/>
        <w:widowControl/>
        <w:numPr>
          <w:ilvl w:val="0"/>
          <w:numId w:val="0"/>
        </w:numPr>
        <w:kinsoku/>
        <w:wordWrap/>
        <w:overflowPunct/>
        <w:topLinePunct w:val="0"/>
        <w:autoSpaceDE/>
        <w:autoSpaceDN/>
        <w:bidi w:val="0"/>
        <w:adjustRightInd/>
        <w:snapToGrid/>
        <w:spacing w:line="500" w:lineRule="exact"/>
        <w:ind w:left="0" w:leftChars="0" w:firstLine="560" w:firstLineChars="200"/>
        <w:jc w:val="left"/>
        <w:textAlignment w:val="auto"/>
        <w:rPr>
          <w:rFonts w:hint="eastAsia" w:ascii="华文仿宋" w:hAnsi="华文仿宋" w:eastAsia="华文仿宋" w:cs="华文仿宋"/>
          <w:sz w:val="28"/>
          <w:szCs w:val="28"/>
        </w:rPr>
      </w:pPr>
      <w:r>
        <w:rPr>
          <w:rFonts w:hint="eastAsia" w:ascii="华文仿宋" w:hAnsi="华文仿宋" w:eastAsia="华文仿宋" w:cs="华文仿宋"/>
          <w:sz w:val="28"/>
          <w:szCs w:val="28"/>
        </w:rPr>
        <w:t>从项目前期准备工作至工程竣工及保修期内所有内容。包括但不限于下列内容：</w:t>
      </w:r>
    </w:p>
    <w:p>
      <w:pPr>
        <w:pageBreakBefore w:val="0"/>
        <w:kinsoku/>
        <w:wordWrap/>
        <w:overflowPunct/>
        <w:topLinePunct w:val="0"/>
        <w:autoSpaceDE/>
        <w:autoSpaceDN/>
        <w:bidi w:val="0"/>
        <w:adjustRightInd/>
        <w:snapToGrid/>
        <w:spacing w:line="500" w:lineRule="exact"/>
        <w:ind w:firstLine="560" w:firstLineChars="200"/>
        <w:textAlignment w:val="auto"/>
        <w:rPr>
          <w:rFonts w:hint="eastAsia" w:ascii="华文仿宋" w:hAnsi="华文仿宋" w:eastAsia="华文仿宋" w:cs="华文仿宋"/>
          <w:sz w:val="28"/>
        </w:rPr>
      </w:pPr>
      <w:r>
        <w:rPr>
          <w:rFonts w:hint="eastAsia" w:ascii="华文仿宋" w:hAnsi="华文仿宋" w:eastAsia="华文仿宋" w:cs="华文仿宋"/>
          <w:sz w:val="28"/>
        </w:rPr>
        <w:t>（1）已完成精装修设计及舞台声光电方案设计，本次招标投标人需根据已有的施工图及其方案具有舞台声光电部分的细化优化设计经验与能力；</w:t>
      </w:r>
    </w:p>
    <w:p>
      <w:pPr>
        <w:pageBreakBefore w:val="0"/>
        <w:kinsoku/>
        <w:wordWrap/>
        <w:overflowPunct/>
        <w:topLinePunct w:val="0"/>
        <w:autoSpaceDE/>
        <w:autoSpaceDN/>
        <w:bidi w:val="0"/>
        <w:adjustRightInd/>
        <w:snapToGrid/>
        <w:spacing w:line="500" w:lineRule="exact"/>
        <w:ind w:firstLine="560" w:firstLineChars="200"/>
        <w:textAlignment w:val="auto"/>
        <w:rPr>
          <w:rFonts w:hint="eastAsia" w:ascii="华文仿宋" w:hAnsi="华文仿宋" w:eastAsia="华文仿宋" w:cs="华文仿宋"/>
          <w:sz w:val="28"/>
        </w:rPr>
      </w:pPr>
      <w:r>
        <w:rPr>
          <w:rFonts w:hint="eastAsia" w:ascii="华文仿宋" w:hAnsi="华文仿宋" w:eastAsia="华文仿宋" w:cs="华文仿宋"/>
          <w:sz w:val="28"/>
        </w:rPr>
        <w:t>（2）采购招标内容：包含但不限于舞台声光电系统工程（含音响、灯光、LED屏、录播系统等设备）、多功能会议室、办公室等相关设备及建筑材料采购、安装、调试和技术指导等全过程服务；</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华文仿宋" w:hAnsi="华文仿宋" w:eastAsia="华文仿宋" w:cs="华文仿宋"/>
          <w:sz w:val="28"/>
        </w:rPr>
      </w:pPr>
      <w:r>
        <w:rPr>
          <w:rFonts w:hint="eastAsia" w:ascii="华文仿宋" w:hAnsi="华文仿宋" w:eastAsia="华文仿宋" w:cs="华文仿宋"/>
          <w:sz w:val="28"/>
        </w:rPr>
        <w:t>（3）施工招标内容：包含但不限于本项目舞台、声光电与小剧场及附属设施、多功能会议室、办公室精装修工程等施工图及工程项目清单、答疑及招标文件所涵盖的全部施工内容，直至竣工验收合格及整体移交、工程保修期的缺陷修复和保修工作。</w:t>
      </w:r>
    </w:p>
    <w:p>
      <w:pPr>
        <w:pStyle w:val="4"/>
        <w:spacing w:line="500" w:lineRule="exact"/>
        <w:ind w:firstLine="561" w:firstLineChars="200"/>
        <w:rPr>
          <w:rFonts w:hint="eastAsia" w:ascii="华文仿宋" w:hAnsi="华文仿宋" w:cs="华文仿宋"/>
          <w:color w:val="auto"/>
          <w:sz w:val="28"/>
          <w:szCs w:val="28"/>
          <w:lang w:val="en-US" w:eastAsia="zh-CN"/>
        </w:rPr>
      </w:pPr>
      <w:bookmarkStart w:id="172" w:name="_Toc6340"/>
      <w:r>
        <w:rPr>
          <w:rFonts w:hint="eastAsia" w:ascii="华文仿宋" w:hAnsi="华文仿宋" w:cs="华文仿宋"/>
          <w:color w:val="auto"/>
          <w:sz w:val="28"/>
          <w:szCs w:val="28"/>
          <w:lang w:val="en-US" w:eastAsia="zh-CN"/>
        </w:rPr>
        <w:t>三、编制说明</w:t>
      </w:r>
      <w:bookmarkEnd w:id="172"/>
    </w:p>
    <w:p>
      <w:pPr>
        <w:keepNext w:val="0"/>
        <w:keepLines w:val="0"/>
        <w:pageBreakBefore w:val="0"/>
        <w:widowControl/>
        <w:kinsoku/>
        <w:wordWrap/>
        <w:overflowPunct/>
        <w:topLinePunct w:val="0"/>
        <w:autoSpaceDE w:val="0"/>
        <w:autoSpaceDN w:val="0"/>
        <w:bidi w:val="0"/>
        <w:adjustRightInd w:val="0"/>
        <w:snapToGrid/>
        <w:spacing w:line="500" w:lineRule="exact"/>
        <w:ind w:left="-6" w:firstLine="562" w:firstLineChars="200"/>
        <w:textAlignment w:val="auto"/>
        <w:rPr>
          <w:rFonts w:ascii="仿宋" w:hAnsi="仿宋" w:eastAsia="仿宋" w:cs="宋体"/>
          <w:b/>
          <w:sz w:val="28"/>
          <w:szCs w:val="28"/>
          <w:lang w:val="zh-CN"/>
        </w:rPr>
      </w:pPr>
      <w:r>
        <w:rPr>
          <w:rFonts w:hint="eastAsia" w:ascii="仿宋" w:hAnsi="仿宋" w:eastAsia="仿宋" w:cs="宋体"/>
          <w:b/>
          <w:sz w:val="28"/>
          <w:szCs w:val="28"/>
          <w:lang w:val="en-US" w:eastAsia="zh-CN"/>
        </w:rPr>
        <w:t>1</w:t>
      </w:r>
      <w:r>
        <w:rPr>
          <w:rFonts w:hint="eastAsia" w:ascii="仿宋" w:hAnsi="仿宋" w:eastAsia="仿宋" w:cs="宋体"/>
          <w:b/>
          <w:sz w:val="28"/>
          <w:szCs w:val="28"/>
          <w:lang w:val="zh-CN"/>
        </w:rPr>
        <w:t>、编制依据</w:t>
      </w:r>
    </w:p>
    <w:p>
      <w:pPr>
        <w:keepNext w:val="0"/>
        <w:keepLines w:val="0"/>
        <w:pageBreakBefore w:val="0"/>
        <w:widowControl/>
        <w:kinsoku/>
        <w:wordWrap/>
        <w:overflowPunct/>
        <w:topLinePunct w:val="0"/>
        <w:bidi w:val="0"/>
        <w:snapToGrid/>
        <w:spacing w:line="500" w:lineRule="exact"/>
        <w:ind w:left="-6" w:firstLine="560" w:firstLineChars="200"/>
        <w:textAlignment w:val="auto"/>
        <w:rPr>
          <w:rFonts w:ascii="仿宋" w:hAnsi="仿宋" w:eastAsia="仿宋" w:cs="宋体"/>
          <w:bCs/>
          <w:sz w:val="28"/>
          <w:szCs w:val="28"/>
          <w:lang w:val="zh-CN"/>
        </w:rPr>
      </w:pPr>
      <w:r>
        <w:rPr>
          <w:rFonts w:hint="eastAsia" w:ascii="仿宋" w:hAnsi="仿宋" w:eastAsia="仿宋" w:cs="宋体"/>
          <w:sz w:val="28"/>
          <w:szCs w:val="28"/>
          <w:lang w:eastAsia="zh-CN"/>
        </w:rPr>
        <w:t>（</w:t>
      </w:r>
      <w:r>
        <w:rPr>
          <w:rFonts w:hint="eastAsia" w:ascii="仿宋" w:hAnsi="仿宋" w:eastAsia="仿宋" w:cs="宋体"/>
          <w:sz w:val="28"/>
          <w:szCs w:val="28"/>
          <w:lang w:val="en-US" w:eastAsia="zh-CN"/>
        </w:rPr>
        <w:t>1</w:t>
      </w:r>
      <w:r>
        <w:rPr>
          <w:rFonts w:hint="eastAsia" w:ascii="仿宋" w:hAnsi="仿宋" w:eastAsia="仿宋" w:cs="宋体"/>
          <w:sz w:val="28"/>
          <w:szCs w:val="28"/>
          <w:lang w:eastAsia="zh-CN"/>
        </w:rPr>
        <w:t>）</w:t>
      </w:r>
      <w:r>
        <w:rPr>
          <w:rFonts w:hint="eastAsia" w:ascii="仿宋" w:hAnsi="仿宋" w:eastAsia="仿宋" w:cs="宋体"/>
          <w:bCs/>
          <w:sz w:val="28"/>
          <w:szCs w:val="28"/>
          <w:lang w:val="zh-CN"/>
        </w:rPr>
        <w:t>《</w:t>
      </w:r>
      <w:r>
        <w:rPr>
          <w:rFonts w:hint="eastAsia" w:ascii="华文仿宋" w:hAnsi="华文仿宋" w:eastAsia="华文仿宋" w:cs="华文仿宋"/>
          <w:sz w:val="28"/>
          <w:szCs w:val="28"/>
        </w:rPr>
        <w:t>建设工程工程量清单计价规范</w:t>
      </w:r>
      <w:r>
        <w:rPr>
          <w:rFonts w:hint="eastAsia" w:ascii="仿宋" w:hAnsi="仿宋" w:eastAsia="仿宋" w:cs="宋体"/>
          <w:bCs/>
          <w:sz w:val="28"/>
          <w:szCs w:val="28"/>
          <w:lang w:val="zh-CN"/>
        </w:rPr>
        <w:t>》（</w:t>
      </w:r>
      <w:r>
        <w:rPr>
          <w:rFonts w:ascii="仿宋" w:hAnsi="仿宋" w:eastAsia="仿宋" w:cs="宋体"/>
          <w:bCs/>
          <w:sz w:val="28"/>
          <w:szCs w:val="28"/>
          <w:lang w:val="zh-CN"/>
        </w:rPr>
        <w:t>GB50500-2008</w:t>
      </w:r>
      <w:r>
        <w:rPr>
          <w:rFonts w:hint="eastAsia" w:ascii="仿宋" w:hAnsi="仿宋" w:eastAsia="仿宋" w:cs="宋体"/>
          <w:bCs/>
          <w:sz w:val="28"/>
          <w:szCs w:val="28"/>
          <w:lang w:val="zh-CN"/>
        </w:rPr>
        <w:t>）</w:t>
      </w:r>
    </w:p>
    <w:p>
      <w:pPr>
        <w:keepNext w:val="0"/>
        <w:keepLines w:val="0"/>
        <w:pageBreakBefore w:val="0"/>
        <w:widowControl/>
        <w:kinsoku/>
        <w:wordWrap/>
        <w:overflowPunct/>
        <w:topLinePunct w:val="0"/>
        <w:bidi w:val="0"/>
        <w:snapToGrid/>
        <w:spacing w:line="500" w:lineRule="exact"/>
        <w:ind w:left="-6" w:firstLine="560" w:firstLineChars="200"/>
        <w:textAlignment w:val="auto"/>
        <w:rPr>
          <w:rFonts w:ascii="仿宋" w:hAnsi="仿宋" w:eastAsia="仿宋" w:cs="宋体"/>
          <w:bCs/>
          <w:sz w:val="28"/>
          <w:szCs w:val="28"/>
          <w:lang w:val="zh-CN"/>
        </w:rPr>
      </w:pPr>
      <w:r>
        <w:rPr>
          <w:rFonts w:hint="eastAsia" w:ascii="仿宋" w:hAnsi="仿宋" w:eastAsia="仿宋" w:cs="宋体"/>
          <w:bCs/>
          <w:sz w:val="28"/>
          <w:szCs w:val="28"/>
          <w:lang w:eastAsia="zh-CN"/>
        </w:rPr>
        <w:t>（</w:t>
      </w:r>
      <w:r>
        <w:rPr>
          <w:rFonts w:hint="eastAsia" w:ascii="仿宋" w:hAnsi="仿宋" w:eastAsia="仿宋" w:cs="宋体"/>
          <w:bCs/>
          <w:sz w:val="28"/>
          <w:szCs w:val="28"/>
          <w:lang w:val="en-US" w:eastAsia="zh-CN"/>
        </w:rPr>
        <w:t>2</w:t>
      </w:r>
      <w:r>
        <w:rPr>
          <w:rFonts w:hint="eastAsia" w:ascii="仿宋" w:hAnsi="仿宋" w:eastAsia="仿宋" w:cs="宋体"/>
          <w:bCs/>
          <w:sz w:val="28"/>
          <w:szCs w:val="28"/>
          <w:lang w:eastAsia="zh-CN"/>
        </w:rPr>
        <w:t>）</w:t>
      </w:r>
      <w:r>
        <w:rPr>
          <w:rFonts w:hint="eastAsia" w:ascii="仿宋" w:hAnsi="仿宋" w:eastAsia="仿宋" w:cs="宋体"/>
          <w:bCs/>
          <w:sz w:val="28"/>
          <w:szCs w:val="28"/>
          <w:lang w:val="zh-CN"/>
        </w:rPr>
        <w:t>《</w:t>
      </w:r>
      <w:r>
        <w:rPr>
          <w:rFonts w:hint="eastAsia" w:ascii="华文仿宋" w:hAnsi="华文仿宋" w:eastAsia="华文仿宋" w:cs="华文仿宋"/>
          <w:bCs/>
          <w:sz w:val="28"/>
          <w:szCs w:val="28"/>
          <w:lang w:val="zh-CN"/>
        </w:rPr>
        <w:t>陕西省建设工程清单计价规则</w:t>
      </w:r>
      <w:r>
        <w:rPr>
          <w:rFonts w:hint="eastAsia" w:ascii="仿宋" w:hAnsi="仿宋" w:eastAsia="仿宋" w:cs="宋体"/>
          <w:bCs/>
          <w:sz w:val="28"/>
          <w:szCs w:val="28"/>
          <w:lang w:val="zh-CN"/>
        </w:rPr>
        <w:t>》（</w:t>
      </w:r>
      <w:r>
        <w:rPr>
          <w:rFonts w:ascii="仿宋" w:hAnsi="仿宋" w:eastAsia="仿宋" w:cs="宋体"/>
          <w:bCs/>
          <w:sz w:val="28"/>
          <w:szCs w:val="28"/>
          <w:lang w:val="zh-CN"/>
        </w:rPr>
        <w:t>2009</w:t>
      </w:r>
      <w:r>
        <w:rPr>
          <w:rFonts w:hint="eastAsia" w:ascii="仿宋" w:hAnsi="仿宋" w:eastAsia="仿宋" w:cs="宋体"/>
          <w:bCs/>
          <w:sz w:val="28"/>
          <w:szCs w:val="28"/>
          <w:lang w:val="zh-CN"/>
        </w:rPr>
        <w:t>）</w:t>
      </w:r>
    </w:p>
    <w:p>
      <w:pPr>
        <w:keepNext w:val="0"/>
        <w:keepLines w:val="0"/>
        <w:pageBreakBefore w:val="0"/>
        <w:widowControl/>
        <w:kinsoku/>
        <w:wordWrap/>
        <w:overflowPunct/>
        <w:topLinePunct w:val="0"/>
        <w:bidi w:val="0"/>
        <w:snapToGrid/>
        <w:spacing w:line="500" w:lineRule="exact"/>
        <w:ind w:left="-6" w:firstLine="560" w:firstLineChars="200"/>
        <w:textAlignment w:val="auto"/>
        <w:rPr>
          <w:rFonts w:ascii="仿宋" w:hAnsi="仿宋" w:eastAsia="仿宋" w:cs="宋体"/>
          <w:bCs/>
          <w:sz w:val="28"/>
          <w:szCs w:val="28"/>
          <w:lang w:val="zh-CN"/>
        </w:rPr>
      </w:pPr>
      <w:r>
        <w:rPr>
          <w:rFonts w:hint="eastAsia" w:ascii="仿宋" w:hAnsi="仿宋" w:eastAsia="仿宋" w:cs="宋体"/>
          <w:bCs/>
          <w:sz w:val="28"/>
          <w:szCs w:val="28"/>
          <w:lang w:eastAsia="zh-CN"/>
        </w:rPr>
        <w:t>（</w:t>
      </w:r>
      <w:r>
        <w:rPr>
          <w:rFonts w:hint="eastAsia" w:ascii="仿宋" w:hAnsi="仿宋" w:eastAsia="仿宋" w:cs="宋体"/>
          <w:bCs/>
          <w:sz w:val="28"/>
          <w:szCs w:val="28"/>
          <w:lang w:val="en-US" w:eastAsia="zh-CN"/>
        </w:rPr>
        <w:t>3</w:t>
      </w:r>
      <w:r>
        <w:rPr>
          <w:rFonts w:hint="eastAsia" w:ascii="仿宋" w:hAnsi="仿宋" w:eastAsia="仿宋" w:cs="宋体"/>
          <w:bCs/>
          <w:sz w:val="28"/>
          <w:szCs w:val="28"/>
          <w:lang w:eastAsia="zh-CN"/>
        </w:rPr>
        <w:t>）</w:t>
      </w:r>
      <w:r>
        <w:rPr>
          <w:rFonts w:hint="eastAsia" w:ascii="仿宋" w:hAnsi="仿宋" w:eastAsia="仿宋" w:cs="宋体"/>
          <w:bCs/>
          <w:sz w:val="28"/>
          <w:szCs w:val="28"/>
          <w:lang w:val="zh-CN"/>
        </w:rPr>
        <w:t>《</w:t>
      </w:r>
      <w:r>
        <w:rPr>
          <w:rFonts w:hint="eastAsia" w:ascii="华文仿宋" w:hAnsi="华文仿宋" w:eastAsia="华文仿宋" w:cs="华文仿宋"/>
          <w:sz w:val="28"/>
          <w:szCs w:val="28"/>
        </w:rPr>
        <w:t>陕西省建设工程工程量清单计价费率</w:t>
      </w:r>
      <w:r>
        <w:rPr>
          <w:rFonts w:hint="eastAsia" w:ascii="仿宋" w:hAnsi="仿宋" w:eastAsia="仿宋" w:cs="宋体"/>
          <w:bCs/>
          <w:sz w:val="28"/>
          <w:szCs w:val="28"/>
          <w:lang w:val="zh-CN"/>
        </w:rPr>
        <w:t>》（</w:t>
      </w:r>
      <w:r>
        <w:rPr>
          <w:rFonts w:ascii="仿宋" w:hAnsi="仿宋" w:eastAsia="仿宋" w:cs="宋体"/>
          <w:bCs/>
          <w:sz w:val="28"/>
          <w:szCs w:val="28"/>
          <w:lang w:val="zh-CN"/>
        </w:rPr>
        <w:t>2009</w:t>
      </w:r>
      <w:r>
        <w:rPr>
          <w:rFonts w:hint="eastAsia" w:ascii="仿宋" w:hAnsi="仿宋" w:eastAsia="仿宋" w:cs="宋体"/>
          <w:bCs/>
          <w:sz w:val="28"/>
          <w:szCs w:val="28"/>
          <w:lang w:val="zh-CN"/>
        </w:rPr>
        <w:t>）</w:t>
      </w:r>
    </w:p>
    <w:p>
      <w:pPr>
        <w:keepNext w:val="0"/>
        <w:keepLines w:val="0"/>
        <w:pageBreakBefore w:val="0"/>
        <w:widowControl/>
        <w:kinsoku/>
        <w:wordWrap/>
        <w:overflowPunct/>
        <w:topLinePunct w:val="0"/>
        <w:bidi w:val="0"/>
        <w:snapToGrid/>
        <w:spacing w:before="120" w:after="120" w:line="500" w:lineRule="exact"/>
        <w:ind w:firstLine="560" w:firstLineChars="200"/>
        <w:textAlignment w:val="auto"/>
        <w:rPr>
          <w:rFonts w:hint="eastAsia" w:ascii="华文仿宋" w:hAnsi="华文仿宋" w:eastAsia="华文仿宋" w:cs="华文仿宋"/>
          <w:bCs/>
          <w:sz w:val="28"/>
          <w:szCs w:val="28"/>
        </w:rPr>
      </w:pPr>
      <w:r>
        <w:rPr>
          <w:rFonts w:hint="eastAsia" w:ascii="仿宋" w:hAnsi="仿宋" w:eastAsia="仿宋" w:cs="宋体"/>
          <w:bCs/>
          <w:sz w:val="28"/>
          <w:szCs w:val="28"/>
          <w:lang w:eastAsia="zh-CN"/>
        </w:rPr>
        <w:t>（</w:t>
      </w:r>
      <w:r>
        <w:rPr>
          <w:rFonts w:hint="eastAsia" w:ascii="仿宋" w:hAnsi="仿宋" w:eastAsia="仿宋" w:cs="宋体"/>
          <w:bCs/>
          <w:sz w:val="28"/>
          <w:szCs w:val="28"/>
          <w:lang w:val="en-US" w:eastAsia="zh-CN"/>
        </w:rPr>
        <w:t>4</w:t>
      </w:r>
      <w:r>
        <w:rPr>
          <w:rFonts w:hint="eastAsia" w:ascii="仿宋" w:hAnsi="仿宋" w:eastAsia="仿宋" w:cs="宋体"/>
          <w:bCs/>
          <w:sz w:val="28"/>
          <w:szCs w:val="28"/>
          <w:lang w:eastAsia="zh-CN"/>
        </w:rPr>
        <w:t>）</w:t>
      </w:r>
      <w:r>
        <w:rPr>
          <w:rFonts w:hint="eastAsia" w:ascii="华文仿宋" w:hAnsi="华文仿宋" w:eastAsia="华文仿宋" w:cs="华文仿宋"/>
          <w:bCs/>
          <w:sz w:val="28"/>
          <w:szCs w:val="28"/>
        </w:rPr>
        <w:t>依据</w:t>
      </w:r>
      <w:r>
        <w:rPr>
          <w:rFonts w:hint="eastAsia" w:ascii="华文仿宋" w:hAnsi="华文仿宋" w:eastAsia="华文仿宋" w:cs="华文仿宋"/>
          <w:sz w:val="28"/>
          <w:szCs w:val="28"/>
        </w:rPr>
        <w:t>《西北大学长安校区东学楼新闻传播学院多功能报告厅工程项目》施</w:t>
      </w:r>
      <w:r>
        <w:rPr>
          <w:rFonts w:hint="eastAsia" w:ascii="华文仿宋" w:hAnsi="华文仿宋" w:eastAsia="华文仿宋" w:cs="华文仿宋"/>
          <w:bCs/>
          <w:sz w:val="28"/>
          <w:szCs w:val="28"/>
        </w:rPr>
        <w:t>工蓝图进行编制、计算</w:t>
      </w:r>
    </w:p>
    <w:p>
      <w:pPr>
        <w:keepNext w:val="0"/>
        <w:keepLines w:val="0"/>
        <w:pageBreakBefore w:val="0"/>
        <w:widowControl/>
        <w:kinsoku/>
        <w:wordWrap/>
        <w:overflowPunct/>
        <w:topLinePunct w:val="0"/>
        <w:bidi w:val="0"/>
        <w:snapToGrid/>
        <w:spacing w:line="500" w:lineRule="exact"/>
        <w:ind w:left="-6" w:firstLine="560" w:firstLineChars="200"/>
        <w:textAlignment w:val="auto"/>
        <w:rPr>
          <w:rFonts w:hint="eastAsia" w:ascii="华文仿宋" w:hAnsi="华文仿宋" w:eastAsia="华文仿宋" w:cs="华文仿宋"/>
          <w:sz w:val="28"/>
          <w:szCs w:val="28"/>
        </w:rPr>
      </w:pPr>
      <w:r>
        <w:rPr>
          <w:rFonts w:hint="eastAsia" w:ascii="仿宋" w:hAnsi="仿宋" w:eastAsia="仿宋" w:cs="宋体"/>
          <w:bCs/>
          <w:sz w:val="28"/>
          <w:szCs w:val="28"/>
          <w:lang w:eastAsia="zh-CN"/>
        </w:rPr>
        <w:t>（</w:t>
      </w:r>
      <w:r>
        <w:rPr>
          <w:rFonts w:hint="eastAsia" w:ascii="仿宋" w:hAnsi="仿宋" w:eastAsia="仿宋" w:cs="宋体"/>
          <w:bCs/>
          <w:sz w:val="28"/>
          <w:szCs w:val="28"/>
          <w:lang w:val="en-US" w:eastAsia="zh-CN"/>
        </w:rPr>
        <w:t>5</w:t>
      </w:r>
      <w:r>
        <w:rPr>
          <w:rFonts w:hint="eastAsia" w:ascii="仿宋" w:hAnsi="仿宋" w:eastAsia="仿宋" w:cs="宋体"/>
          <w:bCs/>
          <w:sz w:val="28"/>
          <w:szCs w:val="28"/>
          <w:lang w:eastAsia="zh-CN"/>
        </w:rPr>
        <w:t>）</w:t>
      </w:r>
      <w:r>
        <w:rPr>
          <w:rFonts w:hint="eastAsia" w:ascii="华文仿宋" w:hAnsi="华文仿宋" w:eastAsia="华文仿宋" w:cs="华文仿宋"/>
          <w:bCs/>
          <w:sz w:val="28"/>
          <w:szCs w:val="28"/>
        </w:rPr>
        <w:t>其他</w:t>
      </w:r>
      <w:r>
        <w:rPr>
          <w:rFonts w:hint="eastAsia" w:ascii="华文仿宋" w:hAnsi="华文仿宋" w:eastAsia="华文仿宋" w:cs="华文仿宋"/>
          <w:sz w:val="28"/>
          <w:szCs w:val="28"/>
        </w:rPr>
        <w:t>与本工程项目有关的标准、规范、技术资料，现行有关法律、法规及本工程招标文件对工程量清单编制的相关要求</w:t>
      </w:r>
    </w:p>
    <w:p>
      <w:pPr>
        <w:keepNext w:val="0"/>
        <w:keepLines w:val="0"/>
        <w:pageBreakBefore w:val="0"/>
        <w:widowControl/>
        <w:kinsoku/>
        <w:wordWrap/>
        <w:overflowPunct/>
        <w:topLinePunct w:val="0"/>
        <w:bidi w:val="0"/>
        <w:snapToGrid/>
        <w:spacing w:before="24" w:beforeLines="10" w:after="24" w:afterLines="10" w:line="500" w:lineRule="exact"/>
        <w:ind w:left="-2" w:firstLine="562" w:firstLineChars="200"/>
        <w:textAlignment w:val="auto"/>
        <w:rPr>
          <w:rFonts w:hint="eastAsia" w:ascii="华文仿宋" w:hAnsi="华文仿宋" w:eastAsia="华文仿宋" w:cs="华文仿宋"/>
          <w:b/>
          <w:sz w:val="28"/>
          <w:szCs w:val="28"/>
        </w:rPr>
      </w:pPr>
      <w:r>
        <w:rPr>
          <w:rFonts w:hint="eastAsia" w:ascii="仿宋" w:hAnsi="仿宋" w:eastAsia="仿宋" w:cs="仿宋"/>
          <w:b/>
          <w:sz w:val="28"/>
          <w:szCs w:val="28"/>
          <w:lang w:val="en-US" w:eastAsia="zh-CN"/>
        </w:rPr>
        <w:t>2</w:t>
      </w:r>
      <w:r>
        <w:rPr>
          <w:rFonts w:hint="eastAsia" w:ascii="华文仿宋" w:hAnsi="华文仿宋" w:eastAsia="华文仿宋" w:cs="华文仿宋"/>
          <w:b/>
          <w:sz w:val="28"/>
          <w:szCs w:val="28"/>
        </w:rPr>
        <w:t>、取费和其它</w:t>
      </w:r>
    </w:p>
    <w:p>
      <w:pPr>
        <w:keepNext w:val="0"/>
        <w:keepLines w:val="0"/>
        <w:pageBreakBefore w:val="0"/>
        <w:widowControl/>
        <w:tabs>
          <w:tab w:val="left" w:pos="0"/>
        </w:tabs>
        <w:kinsoku/>
        <w:wordWrap/>
        <w:overflowPunct/>
        <w:topLinePunct w:val="0"/>
        <w:bidi w:val="0"/>
        <w:snapToGrid/>
        <w:spacing w:line="500" w:lineRule="exact"/>
        <w:ind w:left="-2" w:firstLine="560" w:firstLineChars="200"/>
        <w:textAlignment w:val="auto"/>
        <w:rPr>
          <w:rFonts w:hint="eastAsia" w:ascii="华文仿宋" w:hAnsi="华文仿宋" w:eastAsia="华文仿宋" w:cs="华文仿宋"/>
          <w:bCs/>
          <w:sz w:val="28"/>
          <w:szCs w:val="28"/>
          <w:lang w:val="zh-CN"/>
        </w:rPr>
      </w:pPr>
      <w:r>
        <w:rPr>
          <w:rFonts w:hint="eastAsia" w:ascii="华文仿宋" w:hAnsi="华文仿宋" w:eastAsia="华文仿宋" w:cs="华文仿宋"/>
          <w:bCs/>
          <w:sz w:val="28"/>
          <w:szCs w:val="28"/>
          <w:lang w:val="zh-CN"/>
        </w:rPr>
        <w:t>（</w:t>
      </w:r>
      <w:r>
        <w:rPr>
          <w:rFonts w:hint="eastAsia" w:ascii="仿宋" w:hAnsi="仿宋" w:eastAsia="仿宋" w:cs="仿宋"/>
          <w:bCs/>
          <w:sz w:val="28"/>
          <w:szCs w:val="28"/>
          <w:lang w:val="en-US" w:eastAsia="zh-CN"/>
        </w:rPr>
        <w:t>1</w:t>
      </w:r>
      <w:r>
        <w:rPr>
          <w:rFonts w:hint="eastAsia" w:ascii="华文仿宋" w:hAnsi="华文仿宋" w:eastAsia="华文仿宋" w:cs="华文仿宋"/>
          <w:bCs/>
          <w:sz w:val="28"/>
          <w:szCs w:val="28"/>
          <w:lang w:val="zh-CN"/>
        </w:rPr>
        <w:t>）</w:t>
      </w:r>
      <w:r>
        <w:rPr>
          <w:rFonts w:hint="eastAsia" w:ascii="华文仿宋" w:hAnsi="华文仿宋" w:eastAsia="华文仿宋" w:cs="华文仿宋"/>
          <w:sz w:val="28"/>
          <w:szCs w:val="28"/>
        </w:rPr>
        <w:t>税率调整执行陕建发</w:t>
      </w:r>
      <w:r>
        <w:rPr>
          <w:rFonts w:hint="eastAsia" w:ascii="仿宋" w:hAnsi="仿宋" w:eastAsia="仿宋" w:cs="仿宋"/>
          <w:sz w:val="28"/>
          <w:szCs w:val="28"/>
        </w:rPr>
        <w:t>[2019]45</w:t>
      </w:r>
      <w:r>
        <w:rPr>
          <w:rFonts w:hint="eastAsia" w:ascii="华文仿宋" w:hAnsi="华文仿宋" w:eastAsia="华文仿宋" w:cs="华文仿宋"/>
          <w:sz w:val="28"/>
          <w:szCs w:val="28"/>
        </w:rPr>
        <w:t>号文件增值税调整方法。</w:t>
      </w:r>
    </w:p>
    <w:p>
      <w:pPr>
        <w:keepNext w:val="0"/>
        <w:keepLines w:val="0"/>
        <w:pageBreakBefore w:val="0"/>
        <w:widowControl/>
        <w:kinsoku/>
        <w:wordWrap/>
        <w:overflowPunct/>
        <w:topLinePunct w:val="0"/>
        <w:bidi w:val="0"/>
        <w:snapToGrid/>
        <w:spacing w:before="24" w:beforeLines="10" w:after="24" w:afterLines="10" w:line="500" w:lineRule="exact"/>
        <w:ind w:left="-2" w:firstLine="560" w:firstLineChars="200"/>
        <w:textAlignment w:val="auto"/>
        <w:rPr>
          <w:rFonts w:hint="eastAsia" w:ascii="华文仿宋" w:hAnsi="华文仿宋" w:eastAsia="华文仿宋" w:cs="华文仿宋"/>
          <w:bCs/>
          <w:sz w:val="28"/>
          <w:szCs w:val="28"/>
          <w:lang w:val="zh-CN"/>
        </w:rPr>
      </w:pPr>
      <w:r>
        <w:rPr>
          <w:rFonts w:hint="eastAsia" w:ascii="华文仿宋" w:hAnsi="华文仿宋" w:eastAsia="华文仿宋" w:cs="华文仿宋"/>
          <w:bCs/>
          <w:sz w:val="28"/>
          <w:szCs w:val="28"/>
          <w:lang w:val="zh-CN"/>
        </w:rPr>
        <w:t>（</w:t>
      </w:r>
      <w:r>
        <w:rPr>
          <w:rFonts w:hint="eastAsia" w:ascii="仿宋" w:hAnsi="仿宋" w:eastAsia="仿宋" w:cs="仿宋"/>
          <w:bCs/>
          <w:sz w:val="28"/>
          <w:szCs w:val="28"/>
          <w:lang w:val="en-US" w:eastAsia="zh-CN"/>
        </w:rPr>
        <w:t>2</w:t>
      </w:r>
      <w:r>
        <w:rPr>
          <w:rFonts w:hint="eastAsia" w:ascii="华文仿宋" w:hAnsi="华文仿宋" w:eastAsia="华文仿宋" w:cs="华文仿宋"/>
          <w:bCs/>
          <w:sz w:val="28"/>
          <w:szCs w:val="28"/>
          <w:lang w:val="zh-CN"/>
        </w:rPr>
        <w:t>）安全文明施工、规费按规定费率计入。</w:t>
      </w:r>
    </w:p>
    <w:p>
      <w:pPr>
        <w:keepNext w:val="0"/>
        <w:keepLines w:val="0"/>
        <w:pageBreakBefore w:val="0"/>
        <w:widowControl/>
        <w:kinsoku/>
        <w:wordWrap/>
        <w:overflowPunct/>
        <w:topLinePunct w:val="0"/>
        <w:bidi w:val="0"/>
        <w:snapToGrid/>
        <w:spacing w:before="24" w:beforeLines="10" w:after="24" w:afterLines="10" w:line="500" w:lineRule="exact"/>
        <w:ind w:left="-2" w:firstLine="560" w:firstLineChars="200"/>
        <w:textAlignment w:val="auto"/>
        <w:rPr>
          <w:rFonts w:hint="eastAsia" w:ascii="华文仿宋" w:hAnsi="华文仿宋" w:eastAsia="华文仿宋" w:cs="华文仿宋"/>
          <w:bCs/>
          <w:sz w:val="28"/>
          <w:szCs w:val="28"/>
        </w:rPr>
      </w:pPr>
      <w:r>
        <w:rPr>
          <w:rFonts w:hint="eastAsia" w:ascii="华文仿宋" w:hAnsi="华文仿宋" w:eastAsia="华文仿宋" w:cs="华文仿宋"/>
          <w:bCs/>
          <w:sz w:val="28"/>
          <w:szCs w:val="28"/>
          <w:lang w:eastAsia="zh-CN"/>
        </w:rPr>
        <w:t>（</w:t>
      </w:r>
      <w:r>
        <w:rPr>
          <w:rFonts w:hint="eastAsia" w:ascii="仿宋" w:hAnsi="仿宋" w:eastAsia="仿宋" w:cs="仿宋"/>
          <w:bCs/>
          <w:sz w:val="28"/>
          <w:szCs w:val="28"/>
          <w:lang w:val="en-US" w:eastAsia="zh-CN"/>
        </w:rPr>
        <w:t>3</w:t>
      </w:r>
      <w:r>
        <w:rPr>
          <w:rFonts w:hint="eastAsia" w:ascii="华文仿宋" w:hAnsi="华文仿宋" w:eastAsia="华文仿宋" w:cs="华文仿宋"/>
          <w:bCs/>
          <w:sz w:val="28"/>
          <w:szCs w:val="28"/>
          <w:lang w:eastAsia="zh-CN"/>
        </w:rPr>
        <w:t>）</w:t>
      </w:r>
      <w:r>
        <w:rPr>
          <w:rFonts w:hint="eastAsia" w:ascii="华文仿宋" w:hAnsi="华文仿宋" w:eastAsia="华文仿宋" w:cs="华文仿宋"/>
          <w:bCs/>
          <w:sz w:val="28"/>
          <w:szCs w:val="28"/>
        </w:rPr>
        <w:t>人工费执行陕建发</w:t>
      </w:r>
      <w:r>
        <w:rPr>
          <w:rFonts w:hint="eastAsia" w:ascii="仿宋" w:hAnsi="仿宋" w:eastAsia="仿宋" w:cs="仿宋"/>
          <w:bCs/>
          <w:sz w:val="28"/>
          <w:szCs w:val="28"/>
        </w:rPr>
        <w:t>2018[2019]</w:t>
      </w:r>
      <w:r>
        <w:rPr>
          <w:rFonts w:hint="eastAsia" w:ascii="华文仿宋" w:hAnsi="华文仿宋" w:eastAsia="华文仿宋" w:cs="华文仿宋"/>
          <w:bCs/>
          <w:sz w:val="28"/>
          <w:szCs w:val="28"/>
        </w:rPr>
        <w:t>号文件。</w:t>
      </w:r>
    </w:p>
    <w:p>
      <w:pPr>
        <w:pStyle w:val="20"/>
        <w:keepNext w:val="0"/>
        <w:keepLines w:val="0"/>
        <w:pageBreakBefore w:val="0"/>
        <w:widowControl/>
        <w:kinsoku/>
        <w:wordWrap/>
        <w:overflowPunct/>
        <w:topLinePunct w:val="0"/>
        <w:bidi w:val="0"/>
        <w:snapToGrid/>
        <w:spacing w:beforeAutospacing="0" w:afterAutospacing="0" w:line="500" w:lineRule="exact"/>
        <w:ind w:firstLine="561" w:firstLineChars="200"/>
        <w:textAlignment w:val="auto"/>
        <w:rPr>
          <w:rFonts w:hint="eastAsia" w:ascii="华文仿宋" w:hAnsi="华文仿宋" w:eastAsia="华文仿宋" w:cs="华文仿宋"/>
          <w:b/>
          <w:bCs w:val="0"/>
          <w:sz w:val="28"/>
          <w:szCs w:val="28"/>
        </w:rPr>
      </w:pPr>
      <w:r>
        <w:rPr>
          <w:rFonts w:hint="eastAsia" w:ascii="华文仿宋" w:hAnsi="华文仿宋" w:eastAsia="华文仿宋" w:cs="华文仿宋"/>
          <w:b/>
          <w:bCs w:val="0"/>
          <w:kern w:val="2"/>
          <w:sz w:val="28"/>
          <w:szCs w:val="28"/>
          <w:lang w:eastAsia="zh-CN"/>
        </w:rPr>
        <w:t>（</w:t>
      </w:r>
      <w:r>
        <w:rPr>
          <w:rFonts w:hint="eastAsia" w:ascii="仿宋" w:hAnsi="仿宋" w:eastAsia="仿宋" w:cs="仿宋"/>
          <w:b/>
          <w:bCs w:val="0"/>
          <w:kern w:val="2"/>
          <w:sz w:val="28"/>
          <w:szCs w:val="28"/>
          <w:lang w:val="en-US" w:eastAsia="zh-CN"/>
        </w:rPr>
        <w:t>4</w:t>
      </w:r>
      <w:r>
        <w:rPr>
          <w:rFonts w:hint="eastAsia" w:ascii="华文仿宋" w:hAnsi="华文仿宋" w:eastAsia="华文仿宋" w:cs="华文仿宋"/>
          <w:b/>
          <w:bCs w:val="0"/>
          <w:kern w:val="2"/>
          <w:sz w:val="28"/>
          <w:szCs w:val="28"/>
          <w:lang w:eastAsia="zh-CN"/>
        </w:rPr>
        <w:t>）</w:t>
      </w:r>
      <w:r>
        <w:rPr>
          <w:rFonts w:hint="eastAsia" w:ascii="华文仿宋" w:hAnsi="华文仿宋" w:eastAsia="华文仿宋" w:cs="华文仿宋"/>
          <w:b/>
          <w:bCs w:val="0"/>
          <w:kern w:val="2"/>
          <w:sz w:val="28"/>
          <w:szCs w:val="28"/>
        </w:rPr>
        <w:t>本工程预留金</w:t>
      </w:r>
      <w:r>
        <w:rPr>
          <w:rFonts w:hint="eastAsia" w:ascii="仿宋" w:hAnsi="仿宋" w:eastAsia="仿宋" w:cs="仿宋"/>
          <w:b/>
          <w:bCs w:val="0"/>
          <w:kern w:val="2"/>
          <w:sz w:val="28"/>
          <w:szCs w:val="28"/>
          <w:lang w:val="en-US" w:eastAsia="zh-CN"/>
        </w:rPr>
        <w:t>10</w:t>
      </w:r>
      <w:r>
        <w:rPr>
          <w:rFonts w:hint="eastAsia" w:ascii="华文仿宋" w:hAnsi="华文仿宋" w:eastAsia="华文仿宋" w:cs="华文仿宋"/>
          <w:b/>
          <w:bCs w:val="0"/>
          <w:kern w:val="2"/>
          <w:sz w:val="28"/>
          <w:szCs w:val="28"/>
        </w:rPr>
        <w:t>万元</w:t>
      </w:r>
      <w:r>
        <w:rPr>
          <w:rFonts w:hint="eastAsia" w:ascii="华文仿宋" w:hAnsi="华文仿宋" w:eastAsia="华文仿宋" w:cs="华文仿宋"/>
          <w:b/>
          <w:bCs w:val="0"/>
          <w:sz w:val="28"/>
          <w:szCs w:val="28"/>
        </w:rPr>
        <w:t>已列入其他项目清单中。</w:t>
      </w:r>
    </w:p>
    <w:p>
      <w:pPr>
        <w:pStyle w:val="20"/>
        <w:keepNext w:val="0"/>
        <w:keepLines w:val="0"/>
        <w:pageBreakBefore w:val="0"/>
        <w:widowControl/>
        <w:kinsoku/>
        <w:wordWrap/>
        <w:overflowPunct/>
        <w:topLinePunct w:val="0"/>
        <w:bidi w:val="0"/>
        <w:snapToGrid/>
        <w:spacing w:beforeAutospacing="0" w:afterAutospacing="0" w:line="500" w:lineRule="exact"/>
        <w:ind w:firstLine="560" w:firstLineChars="200"/>
        <w:textAlignment w:val="auto"/>
        <w:rPr>
          <w:rFonts w:hint="eastAsia" w:ascii="华文仿宋" w:hAnsi="华文仿宋" w:eastAsia="华文仿宋" w:cs="华文仿宋"/>
          <w:bCs/>
          <w:sz w:val="28"/>
          <w:szCs w:val="28"/>
        </w:rPr>
      </w:pPr>
      <w:r>
        <w:rPr>
          <w:rFonts w:hint="eastAsia" w:ascii="华文仿宋" w:hAnsi="华文仿宋" w:eastAsia="华文仿宋" w:cs="华文仿宋"/>
          <w:bCs/>
          <w:sz w:val="28"/>
          <w:szCs w:val="28"/>
          <w:lang w:eastAsia="zh-CN"/>
        </w:rPr>
        <w:t>（</w:t>
      </w:r>
      <w:r>
        <w:rPr>
          <w:rFonts w:hint="eastAsia" w:ascii="仿宋" w:hAnsi="仿宋" w:eastAsia="仿宋" w:cs="仿宋"/>
          <w:bCs/>
          <w:sz w:val="28"/>
          <w:szCs w:val="28"/>
          <w:lang w:val="en-US" w:eastAsia="zh-CN"/>
        </w:rPr>
        <w:t>5</w:t>
      </w:r>
      <w:r>
        <w:rPr>
          <w:rFonts w:hint="eastAsia" w:ascii="华文仿宋" w:hAnsi="华文仿宋" w:eastAsia="华文仿宋" w:cs="华文仿宋"/>
          <w:bCs/>
          <w:sz w:val="28"/>
          <w:szCs w:val="28"/>
          <w:lang w:eastAsia="zh-CN"/>
        </w:rPr>
        <w:t>）</w:t>
      </w:r>
      <w:r>
        <w:rPr>
          <w:rFonts w:hint="eastAsia" w:ascii="华文仿宋" w:hAnsi="华文仿宋" w:eastAsia="华文仿宋" w:cs="华文仿宋"/>
          <w:bCs/>
          <w:sz w:val="28"/>
          <w:szCs w:val="28"/>
        </w:rPr>
        <w:t>工程造价咨询费已列入装饰工程其他项目清单中。</w:t>
      </w:r>
    </w:p>
    <w:p>
      <w:pPr>
        <w:pStyle w:val="20"/>
        <w:keepNext w:val="0"/>
        <w:keepLines w:val="0"/>
        <w:pageBreakBefore w:val="0"/>
        <w:widowControl/>
        <w:kinsoku/>
        <w:wordWrap/>
        <w:overflowPunct/>
        <w:topLinePunct w:val="0"/>
        <w:bidi w:val="0"/>
        <w:snapToGrid/>
        <w:spacing w:beforeAutospacing="0" w:afterAutospacing="0" w:line="500" w:lineRule="exact"/>
        <w:ind w:firstLine="560" w:firstLineChars="200"/>
        <w:textAlignment w:val="auto"/>
        <w:rPr>
          <w:rFonts w:hint="eastAsia" w:ascii="华文仿宋" w:hAnsi="华文仿宋" w:eastAsia="华文仿宋" w:cs="华文仿宋"/>
          <w:sz w:val="28"/>
          <w:szCs w:val="28"/>
          <w:lang w:val="en-US" w:eastAsia="zh-CN"/>
        </w:rPr>
      </w:pPr>
      <w:r>
        <w:rPr>
          <w:rFonts w:hint="eastAsia" w:ascii="华文仿宋" w:hAnsi="华文仿宋" w:eastAsia="华文仿宋" w:cs="华文仿宋"/>
          <w:bCs/>
          <w:sz w:val="28"/>
          <w:szCs w:val="28"/>
          <w:lang w:eastAsia="zh-CN"/>
        </w:rPr>
        <w:t>（</w:t>
      </w:r>
      <w:r>
        <w:rPr>
          <w:rFonts w:hint="eastAsia" w:ascii="仿宋" w:hAnsi="仿宋" w:eastAsia="仿宋" w:cs="仿宋"/>
          <w:bCs/>
          <w:sz w:val="28"/>
          <w:szCs w:val="28"/>
          <w:lang w:val="en-US" w:eastAsia="zh-CN"/>
        </w:rPr>
        <w:t>6</w:t>
      </w:r>
      <w:r>
        <w:rPr>
          <w:rFonts w:hint="eastAsia" w:ascii="华文仿宋" w:hAnsi="华文仿宋" w:eastAsia="华文仿宋" w:cs="华文仿宋"/>
          <w:bCs/>
          <w:sz w:val="28"/>
          <w:szCs w:val="28"/>
          <w:lang w:eastAsia="zh-CN"/>
        </w:rPr>
        <w:t>）</w:t>
      </w:r>
      <w:r>
        <w:rPr>
          <w:rFonts w:hint="eastAsia" w:ascii="华文仿宋" w:hAnsi="华文仿宋" w:eastAsia="华文仿宋" w:cs="华文仿宋"/>
          <w:bCs/>
          <w:sz w:val="28"/>
          <w:szCs w:val="28"/>
        </w:rPr>
        <w:t>工程量清单采用广联达云计价平台</w:t>
      </w:r>
      <w:r>
        <w:rPr>
          <w:rFonts w:hint="eastAsia" w:ascii="仿宋" w:hAnsi="仿宋" w:eastAsia="仿宋" w:cs="仿宋"/>
          <w:bCs/>
          <w:sz w:val="28"/>
          <w:szCs w:val="28"/>
        </w:rPr>
        <w:t>GCCP5.0</w:t>
      </w:r>
      <w:r>
        <w:rPr>
          <w:rFonts w:hint="eastAsia" w:ascii="华文仿宋" w:hAnsi="华文仿宋" w:eastAsia="华文仿宋" w:cs="华文仿宋"/>
          <w:bCs/>
          <w:sz w:val="28"/>
          <w:szCs w:val="28"/>
        </w:rPr>
        <w:t>编制，版本</w:t>
      </w:r>
      <w:r>
        <w:rPr>
          <w:rFonts w:hint="eastAsia" w:ascii="仿宋" w:hAnsi="仿宋" w:eastAsia="仿宋" w:cs="仿宋"/>
          <w:bCs/>
          <w:sz w:val="28"/>
          <w:szCs w:val="28"/>
        </w:rPr>
        <w:t>5.4200.23.604</w:t>
      </w:r>
      <w:r>
        <w:rPr>
          <w:rFonts w:hint="eastAsia" w:ascii="华文仿宋" w:hAnsi="华文仿宋" w:eastAsia="华文仿宋" w:cs="华文仿宋"/>
          <w:bCs/>
          <w:sz w:val="28"/>
          <w:szCs w:val="28"/>
        </w:rPr>
        <w:t>。</w:t>
      </w:r>
    </w:p>
    <w:p>
      <w:pPr>
        <w:keepNext w:val="0"/>
        <w:keepLines w:val="0"/>
        <w:pageBreakBefore w:val="0"/>
        <w:widowControl/>
        <w:kinsoku/>
        <w:wordWrap/>
        <w:overflowPunct/>
        <w:topLinePunct w:val="0"/>
        <w:bidi w:val="0"/>
        <w:snapToGrid/>
        <w:spacing w:before="24" w:beforeLines="10" w:after="24" w:afterLines="10" w:line="500" w:lineRule="exact"/>
        <w:ind w:left="-2" w:firstLine="562" w:firstLineChars="200"/>
        <w:textAlignment w:val="auto"/>
        <w:rPr>
          <w:rFonts w:hint="default" w:ascii="仿宋" w:hAnsi="仿宋" w:eastAsia="仿宋" w:cs="仿宋"/>
          <w:b/>
          <w:sz w:val="28"/>
          <w:szCs w:val="28"/>
          <w:lang w:val="en-US" w:eastAsia="zh-CN"/>
        </w:rPr>
      </w:pPr>
      <w:r>
        <w:rPr>
          <w:rFonts w:hint="eastAsia" w:ascii="仿宋" w:hAnsi="仿宋" w:eastAsia="仿宋" w:cs="仿宋"/>
          <w:b/>
          <w:sz w:val="28"/>
          <w:szCs w:val="28"/>
          <w:lang w:val="en-US" w:eastAsia="zh-CN"/>
        </w:rPr>
        <w:t>3、清单说明</w:t>
      </w:r>
    </w:p>
    <w:p>
      <w:pPr>
        <w:keepNext w:val="0"/>
        <w:keepLines w:val="0"/>
        <w:pageBreakBefore w:val="0"/>
        <w:widowControl/>
        <w:numPr>
          <w:ilvl w:val="0"/>
          <w:numId w:val="0"/>
        </w:numPr>
        <w:kinsoku/>
        <w:wordWrap/>
        <w:overflowPunct/>
        <w:topLinePunct w:val="0"/>
        <w:autoSpaceDE w:val="0"/>
        <w:autoSpaceDN w:val="0"/>
        <w:bidi w:val="0"/>
        <w:adjustRightInd w:val="0"/>
        <w:snapToGrid/>
        <w:spacing w:line="500" w:lineRule="exact"/>
        <w:ind w:left="-4" w:leftChars="0" w:firstLine="561" w:firstLineChars="200"/>
        <w:jc w:val="left"/>
        <w:textAlignment w:val="auto"/>
        <w:rPr>
          <w:rFonts w:hint="eastAsia" w:ascii="华文仿宋" w:hAnsi="华文仿宋" w:eastAsia="华文仿宋" w:cs="华文仿宋"/>
          <w:b/>
          <w:bCs/>
          <w:sz w:val="28"/>
          <w:szCs w:val="28"/>
        </w:rPr>
      </w:pPr>
      <w:r>
        <w:rPr>
          <w:rFonts w:hint="eastAsia" w:ascii="华文仿宋" w:hAnsi="华文仿宋" w:eastAsia="华文仿宋" w:cs="华文仿宋"/>
          <w:b/>
          <w:bCs/>
          <w:sz w:val="28"/>
          <w:szCs w:val="28"/>
          <w:lang w:eastAsia="zh-CN"/>
        </w:rPr>
        <w:t>（</w:t>
      </w:r>
      <w:r>
        <w:rPr>
          <w:rFonts w:hint="eastAsia" w:ascii="华文仿宋" w:hAnsi="华文仿宋" w:eastAsia="华文仿宋" w:cs="华文仿宋"/>
          <w:b/>
          <w:bCs/>
          <w:sz w:val="28"/>
          <w:szCs w:val="28"/>
          <w:lang w:val="en-US" w:eastAsia="zh-CN"/>
        </w:rPr>
        <w:t>1</w:t>
      </w:r>
      <w:r>
        <w:rPr>
          <w:rFonts w:hint="eastAsia" w:ascii="华文仿宋" w:hAnsi="华文仿宋" w:eastAsia="华文仿宋" w:cs="华文仿宋"/>
          <w:b/>
          <w:bCs/>
          <w:sz w:val="28"/>
          <w:szCs w:val="28"/>
          <w:lang w:eastAsia="zh-CN"/>
        </w:rPr>
        <w:t>）</w:t>
      </w:r>
      <w:r>
        <w:rPr>
          <w:rFonts w:hint="eastAsia" w:ascii="华文仿宋" w:hAnsi="华文仿宋" w:cs="华文仿宋"/>
          <w:b/>
          <w:bCs/>
          <w:sz w:val="28"/>
          <w:szCs w:val="28"/>
          <w:lang w:eastAsia="zh-CN"/>
        </w:rPr>
        <w:t>、</w:t>
      </w:r>
      <w:r>
        <w:rPr>
          <w:rFonts w:hint="eastAsia" w:ascii="华文仿宋" w:hAnsi="华文仿宋" w:eastAsia="华文仿宋" w:cs="华文仿宋"/>
          <w:b/>
          <w:bCs/>
          <w:sz w:val="28"/>
          <w:szCs w:val="28"/>
        </w:rPr>
        <w:t>计算范围说明：</w:t>
      </w:r>
    </w:p>
    <w:p>
      <w:pPr>
        <w:pStyle w:val="20"/>
        <w:keepNext w:val="0"/>
        <w:keepLines w:val="0"/>
        <w:pageBreakBefore w:val="0"/>
        <w:widowControl/>
        <w:kinsoku/>
        <w:wordWrap/>
        <w:overflowPunct/>
        <w:topLinePunct w:val="0"/>
        <w:bidi w:val="0"/>
        <w:snapToGrid/>
        <w:spacing w:beforeAutospacing="0" w:afterAutospacing="0" w:line="500" w:lineRule="exact"/>
        <w:ind w:firstLine="560" w:firstLineChars="200"/>
        <w:textAlignment w:val="auto"/>
        <w:rPr>
          <w:rFonts w:hint="eastAsia" w:ascii="华文仿宋" w:hAnsi="华文仿宋" w:eastAsia="华文仿宋" w:cs="华文仿宋"/>
          <w:kern w:val="2"/>
          <w:sz w:val="28"/>
          <w:szCs w:val="28"/>
        </w:rPr>
      </w:pPr>
      <w:r>
        <w:rPr>
          <w:rFonts w:hint="eastAsia" w:ascii="华文仿宋" w:hAnsi="华文仿宋" w:eastAsia="华文仿宋" w:cs="华文仿宋"/>
          <w:bCs/>
          <w:sz w:val="28"/>
          <w:szCs w:val="28"/>
          <w:lang w:val="zh-CN"/>
        </w:rPr>
        <w:t>1）</w:t>
      </w:r>
      <w:r>
        <w:rPr>
          <w:rFonts w:hint="eastAsia" w:ascii="华文仿宋" w:hAnsi="华文仿宋" w:eastAsia="华文仿宋" w:cs="华文仿宋"/>
          <w:kern w:val="2"/>
          <w:sz w:val="28"/>
          <w:szCs w:val="28"/>
        </w:rPr>
        <w:t>图纸说明中有“不固定家俱(不在此次设计范围内)”未计入。</w:t>
      </w:r>
    </w:p>
    <w:p>
      <w:pPr>
        <w:keepNext w:val="0"/>
        <w:keepLines w:val="0"/>
        <w:pageBreakBefore w:val="0"/>
        <w:widowControl/>
        <w:kinsoku/>
        <w:wordWrap/>
        <w:overflowPunct/>
        <w:topLinePunct w:val="0"/>
        <w:bidi w:val="0"/>
        <w:snapToGrid/>
        <w:spacing w:line="500" w:lineRule="exact"/>
        <w:ind w:firstLine="560" w:firstLineChars="200"/>
        <w:textAlignment w:val="auto"/>
        <w:rPr>
          <w:rFonts w:hint="eastAsia" w:ascii="华文仿宋" w:hAnsi="华文仿宋" w:eastAsia="华文仿宋" w:cs="华文仿宋"/>
          <w:sz w:val="28"/>
          <w:szCs w:val="28"/>
        </w:rPr>
      </w:pPr>
      <w:r>
        <w:rPr>
          <w:rFonts w:hint="eastAsia" w:ascii="华文仿宋" w:hAnsi="华文仿宋" w:eastAsia="华文仿宋" w:cs="华文仿宋"/>
          <w:bCs/>
          <w:sz w:val="28"/>
          <w:szCs w:val="28"/>
          <w:lang w:val="zh-CN"/>
        </w:rPr>
        <w:t>2）</w:t>
      </w:r>
      <w:r>
        <w:rPr>
          <w:rFonts w:hint="eastAsia" w:ascii="华文仿宋" w:hAnsi="华文仿宋" w:eastAsia="华文仿宋" w:cs="华文仿宋"/>
          <w:sz w:val="28"/>
          <w:szCs w:val="28"/>
        </w:rPr>
        <w:t>图纸中矮柜、吊柜、电视矮柜、大厅吧台均计入本次造价。</w:t>
      </w:r>
    </w:p>
    <w:p>
      <w:pPr>
        <w:keepNext w:val="0"/>
        <w:keepLines w:val="0"/>
        <w:pageBreakBefore w:val="0"/>
        <w:widowControl/>
        <w:kinsoku/>
        <w:wordWrap/>
        <w:overflowPunct/>
        <w:topLinePunct w:val="0"/>
        <w:bidi w:val="0"/>
        <w:snapToGrid/>
        <w:spacing w:line="500" w:lineRule="exact"/>
        <w:ind w:firstLine="560" w:firstLineChars="200"/>
        <w:textAlignment w:val="auto"/>
        <w:rPr>
          <w:rFonts w:hint="eastAsia" w:ascii="华文仿宋" w:hAnsi="华文仿宋" w:eastAsia="华文仿宋" w:cs="华文仿宋"/>
          <w:sz w:val="28"/>
          <w:szCs w:val="28"/>
        </w:rPr>
      </w:pPr>
      <w:r>
        <w:rPr>
          <w:rFonts w:hint="eastAsia" w:ascii="华文仿宋" w:hAnsi="华文仿宋" w:eastAsia="华文仿宋" w:cs="华文仿宋"/>
          <w:bCs/>
          <w:sz w:val="28"/>
          <w:szCs w:val="28"/>
          <w:lang w:val="en-US" w:eastAsia="zh-CN"/>
        </w:rPr>
        <w:t>3</w:t>
      </w:r>
      <w:r>
        <w:rPr>
          <w:rFonts w:hint="eastAsia" w:ascii="华文仿宋" w:hAnsi="华文仿宋" w:eastAsia="华文仿宋" w:cs="华文仿宋"/>
          <w:bCs/>
          <w:sz w:val="28"/>
          <w:szCs w:val="28"/>
          <w:lang w:val="zh-CN"/>
        </w:rPr>
        <w:t>）</w:t>
      </w:r>
      <w:r>
        <w:rPr>
          <w:rFonts w:hint="eastAsia" w:ascii="华文仿宋" w:hAnsi="华文仿宋" w:eastAsia="华文仿宋" w:cs="华文仿宋"/>
          <w:sz w:val="28"/>
          <w:szCs w:val="28"/>
        </w:rPr>
        <w:t>其余图纸内容计入本次造价。</w:t>
      </w:r>
    </w:p>
    <w:p>
      <w:pPr>
        <w:keepNext w:val="0"/>
        <w:keepLines w:val="0"/>
        <w:pageBreakBefore w:val="0"/>
        <w:widowControl/>
        <w:numPr>
          <w:ilvl w:val="0"/>
          <w:numId w:val="0"/>
        </w:numPr>
        <w:kinsoku/>
        <w:wordWrap/>
        <w:overflowPunct/>
        <w:topLinePunct w:val="0"/>
        <w:autoSpaceDE w:val="0"/>
        <w:autoSpaceDN w:val="0"/>
        <w:bidi w:val="0"/>
        <w:adjustRightInd w:val="0"/>
        <w:snapToGrid/>
        <w:spacing w:line="500" w:lineRule="exact"/>
        <w:ind w:leftChars="200"/>
        <w:jc w:val="left"/>
        <w:textAlignment w:val="auto"/>
        <w:rPr>
          <w:rFonts w:hint="eastAsia" w:ascii="华文仿宋" w:hAnsi="华文仿宋" w:eastAsia="华文仿宋" w:cs="华文仿宋"/>
          <w:sz w:val="28"/>
          <w:szCs w:val="28"/>
        </w:rPr>
      </w:pPr>
      <w:r>
        <w:rPr>
          <w:rFonts w:hint="eastAsia" w:ascii="华文仿宋" w:hAnsi="华文仿宋" w:cs="华文仿宋"/>
          <w:b/>
          <w:sz w:val="28"/>
          <w:szCs w:val="28"/>
          <w:lang w:eastAsia="zh-CN"/>
        </w:rPr>
        <w:t>（</w:t>
      </w:r>
      <w:r>
        <w:rPr>
          <w:rFonts w:hint="eastAsia" w:ascii="华文仿宋" w:hAnsi="华文仿宋" w:cs="华文仿宋"/>
          <w:b/>
          <w:sz w:val="28"/>
          <w:szCs w:val="28"/>
          <w:lang w:val="en-US" w:eastAsia="zh-CN"/>
        </w:rPr>
        <w:t>2</w:t>
      </w:r>
      <w:r>
        <w:rPr>
          <w:rFonts w:hint="eastAsia" w:ascii="华文仿宋" w:hAnsi="华文仿宋" w:cs="华文仿宋"/>
          <w:b/>
          <w:sz w:val="28"/>
          <w:szCs w:val="28"/>
          <w:lang w:eastAsia="zh-CN"/>
        </w:rPr>
        <w:t>）</w:t>
      </w:r>
      <w:r>
        <w:rPr>
          <w:rFonts w:hint="eastAsia" w:ascii="华文仿宋" w:hAnsi="华文仿宋" w:eastAsia="华文仿宋" w:cs="华文仿宋"/>
          <w:b/>
          <w:sz w:val="28"/>
          <w:szCs w:val="28"/>
        </w:rPr>
        <w:t>土建工程问题说明：</w:t>
      </w:r>
    </w:p>
    <w:p>
      <w:pPr>
        <w:keepNext w:val="0"/>
        <w:keepLines w:val="0"/>
        <w:pageBreakBefore w:val="0"/>
        <w:widowControl/>
        <w:numPr>
          <w:ilvl w:val="0"/>
          <w:numId w:val="0"/>
        </w:numPr>
        <w:kinsoku/>
        <w:wordWrap/>
        <w:overflowPunct/>
        <w:topLinePunct w:val="0"/>
        <w:bidi w:val="0"/>
        <w:snapToGrid/>
        <w:spacing w:line="500" w:lineRule="exact"/>
        <w:ind w:firstLine="560" w:firstLineChars="200"/>
        <w:jc w:val="left"/>
        <w:textAlignment w:val="auto"/>
        <w:rPr>
          <w:rFonts w:hint="eastAsia" w:ascii="华文仿宋" w:hAnsi="华文仿宋" w:eastAsia="华文仿宋" w:cs="华文仿宋"/>
          <w:sz w:val="28"/>
          <w:szCs w:val="28"/>
        </w:rPr>
      </w:pPr>
      <w:r>
        <w:rPr>
          <w:rFonts w:hint="eastAsia" w:ascii="华文仿宋" w:hAnsi="华文仿宋" w:eastAsia="华文仿宋" w:cs="华文仿宋"/>
          <w:bCs/>
          <w:sz w:val="28"/>
          <w:szCs w:val="28"/>
          <w:lang w:val="zh-CN"/>
        </w:rPr>
        <w:t>1）</w:t>
      </w:r>
      <w:r>
        <w:rPr>
          <w:rFonts w:hint="eastAsia" w:ascii="华文仿宋" w:hAnsi="华文仿宋" w:eastAsia="华文仿宋" w:cs="华文仿宋"/>
          <w:sz w:val="28"/>
          <w:szCs w:val="28"/>
        </w:rPr>
        <w:t>钢结构运输暂按</w:t>
      </w:r>
      <w:r>
        <w:rPr>
          <w:rFonts w:hint="eastAsia" w:ascii="仿宋" w:hAnsi="仿宋" w:eastAsia="仿宋" w:cs="仿宋"/>
          <w:sz w:val="28"/>
          <w:szCs w:val="28"/>
        </w:rPr>
        <w:t>10km</w:t>
      </w:r>
      <w:r>
        <w:rPr>
          <w:rFonts w:hint="eastAsia" w:ascii="华文仿宋" w:hAnsi="华文仿宋" w:eastAsia="华文仿宋" w:cs="华文仿宋"/>
          <w:sz w:val="28"/>
          <w:szCs w:val="28"/>
        </w:rPr>
        <w:t>计入。</w:t>
      </w:r>
    </w:p>
    <w:p>
      <w:pPr>
        <w:keepNext w:val="0"/>
        <w:keepLines w:val="0"/>
        <w:pageBreakBefore w:val="0"/>
        <w:widowControl/>
        <w:numPr>
          <w:ilvl w:val="0"/>
          <w:numId w:val="0"/>
        </w:numPr>
        <w:kinsoku/>
        <w:wordWrap/>
        <w:overflowPunct/>
        <w:topLinePunct w:val="0"/>
        <w:bidi w:val="0"/>
        <w:snapToGrid/>
        <w:spacing w:line="500" w:lineRule="exact"/>
        <w:ind w:firstLine="560" w:firstLineChars="200"/>
        <w:jc w:val="left"/>
        <w:textAlignment w:val="auto"/>
        <w:rPr>
          <w:rFonts w:hint="eastAsia" w:ascii="华文仿宋" w:hAnsi="华文仿宋" w:eastAsia="华文仿宋" w:cs="华文仿宋"/>
          <w:sz w:val="28"/>
          <w:szCs w:val="28"/>
        </w:rPr>
      </w:pPr>
      <w:r>
        <w:rPr>
          <w:rFonts w:hint="eastAsia" w:ascii="华文仿宋" w:hAnsi="华文仿宋" w:cs="华文仿宋"/>
          <w:bCs/>
          <w:sz w:val="28"/>
          <w:szCs w:val="28"/>
          <w:lang w:val="en-US" w:eastAsia="zh-CN"/>
        </w:rPr>
        <w:t>2</w:t>
      </w:r>
      <w:r>
        <w:rPr>
          <w:rFonts w:hint="eastAsia" w:ascii="华文仿宋" w:hAnsi="华文仿宋" w:eastAsia="华文仿宋" w:cs="华文仿宋"/>
          <w:bCs/>
          <w:sz w:val="28"/>
          <w:szCs w:val="28"/>
          <w:lang w:val="zh-CN"/>
        </w:rPr>
        <w:t>）</w:t>
      </w:r>
      <w:r>
        <w:rPr>
          <w:rFonts w:hint="eastAsia" w:ascii="华文仿宋" w:hAnsi="华文仿宋" w:eastAsia="华文仿宋" w:cs="华文仿宋"/>
          <w:sz w:val="28"/>
          <w:szCs w:val="28"/>
        </w:rPr>
        <w:t>报告厅天棚节点</w:t>
      </w:r>
      <w:r>
        <w:rPr>
          <w:rFonts w:hint="eastAsia" w:ascii="仿宋" w:hAnsi="仿宋" w:eastAsia="仿宋" w:cs="仿宋"/>
          <w:sz w:val="28"/>
          <w:szCs w:val="28"/>
        </w:rPr>
        <w:t>14/DT-01</w:t>
      </w:r>
      <w:r>
        <w:rPr>
          <w:rFonts w:hint="eastAsia" w:ascii="华文仿宋" w:hAnsi="华文仿宋" w:eastAsia="华文仿宋" w:cs="华文仿宋"/>
          <w:sz w:val="28"/>
          <w:szCs w:val="28"/>
        </w:rPr>
        <w:t>中有镀锌角钢，但未见尺寸大小及间距，暂按</w:t>
      </w:r>
      <w:r>
        <w:rPr>
          <w:rFonts w:hint="eastAsia" w:ascii="仿宋" w:hAnsi="仿宋" w:eastAsia="仿宋" w:cs="仿宋"/>
          <w:sz w:val="28"/>
          <w:szCs w:val="28"/>
        </w:rPr>
        <w:t>50*50*5@1000mm</w:t>
      </w:r>
      <w:r>
        <w:rPr>
          <w:rFonts w:hint="eastAsia" w:ascii="华文仿宋" w:hAnsi="华文仿宋" w:eastAsia="华文仿宋" w:cs="华文仿宋"/>
          <w:sz w:val="28"/>
          <w:szCs w:val="28"/>
        </w:rPr>
        <w:t>计入。</w:t>
      </w:r>
    </w:p>
    <w:p>
      <w:pPr>
        <w:keepNext w:val="0"/>
        <w:keepLines w:val="0"/>
        <w:pageBreakBefore w:val="0"/>
        <w:widowControl/>
        <w:numPr>
          <w:ilvl w:val="0"/>
          <w:numId w:val="0"/>
        </w:numPr>
        <w:kinsoku/>
        <w:wordWrap/>
        <w:overflowPunct/>
        <w:topLinePunct w:val="0"/>
        <w:bidi w:val="0"/>
        <w:snapToGrid/>
        <w:spacing w:line="500" w:lineRule="exact"/>
        <w:ind w:firstLine="560" w:firstLineChars="200"/>
        <w:jc w:val="left"/>
        <w:textAlignment w:val="auto"/>
        <w:rPr>
          <w:rFonts w:hint="eastAsia" w:ascii="华文仿宋" w:hAnsi="华文仿宋" w:eastAsia="华文仿宋" w:cs="华文仿宋"/>
          <w:sz w:val="28"/>
          <w:szCs w:val="28"/>
        </w:rPr>
      </w:pPr>
      <w:r>
        <w:rPr>
          <w:rFonts w:hint="eastAsia" w:ascii="华文仿宋" w:hAnsi="华文仿宋" w:cs="华文仿宋"/>
          <w:bCs/>
          <w:sz w:val="28"/>
          <w:szCs w:val="28"/>
          <w:lang w:val="en-US" w:eastAsia="zh-CN"/>
        </w:rPr>
        <w:t>3</w:t>
      </w:r>
      <w:r>
        <w:rPr>
          <w:rFonts w:hint="eastAsia" w:ascii="华文仿宋" w:hAnsi="华文仿宋" w:eastAsia="华文仿宋" w:cs="华文仿宋"/>
          <w:bCs/>
          <w:sz w:val="28"/>
          <w:szCs w:val="28"/>
          <w:lang w:val="zh-CN"/>
        </w:rPr>
        <w:t>）</w:t>
      </w:r>
      <w:r>
        <w:rPr>
          <w:rFonts w:hint="eastAsia" w:ascii="华文仿宋" w:hAnsi="华文仿宋" w:eastAsia="华文仿宋" w:cs="华文仿宋"/>
          <w:sz w:val="28"/>
          <w:szCs w:val="28"/>
        </w:rPr>
        <w:t>报告厅天棚节点</w:t>
      </w:r>
      <w:r>
        <w:rPr>
          <w:rFonts w:hint="eastAsia" w:ascii="仿宋" w:hAnsi="仿宋" w:eastAsia="仿宋" w:cs="仿宋"/>
          <w:sz w:val="28"/>
          <w:szCs w:val="28"/>
        </w:rPr>
        <w:t>16/DT-02</w:t>
      </w:r>
      <w:r>
        <w:rPr>
          <w:rFonts w:hint="eastAsia" w:ascii="华文仿宋" w:hAnsi="华文仿宋" w:eastAsia="华文仿宋" w:cs="华文仿宋"/>
          <w:sz w:val="28"/>
          <w:szCs w:val="28"/>
        </w:rPr>
        <w:t>中有镀锌角钢转换层，但未见尺寸大小及间距，暂按</w:t>
      </w:r>
      <w:r>
        <w:rPr>
          <w:rFonts w:hint="eastAsia" w:ascii="仿宋" w:hAnsi="仿宋" w:eastAsia="仿宋" w:cs="仿宋"/>
          <w:sz w:val="28"/>
          <w:szCs w:val="28"/>
        </w:rPr>
        <w:t>50*50*5@1000mm</w:t>
      </w:r>
      <w:r>
        <w:rPr>
          <w:rFonts w:hint="eastAsia" w:ascii="华文仿宋" w:hAnsi="华文仿宋" w:eastAsia="华文仿宋" w:cs="华文仿宋"/>
          <w:sz w:val="28"/>
          <w:szCs w:val="28"/>
        </w:rPr>
        <w:t>计入。</w:t>
      </w:r>
    </w:p>
    <w:p>
      <w:pPr>
        <w:keepNext w:val="0"/>
        <w:keepLines w:val="0"/>
        <w:pageBreakBefore w:val="0"/>
        <w:widowControl/>
        <w:numPr>
          <w:ilvl w:val="0"/>
          <w:numId w:val="0"/>
        </w:numPr>
        <w:kinsoku/>
        <w:wordWrap/>
        <w:overflowPunct/>
        <w:topLinePunct w:val="0"/>
        <w:autoSpaceDE w:val="0"/>
        <w:autoSpaceDN w:val="0"/>
        <w:bidi w:val="0"/>
        <w:adjustRightInd w:val="0"/>
        <w:snapToGrid/>
        <w:spacing w:line="500" w:lineRule="exact"/>
        <w:ind w:firstLine="561" w:firstLineChars="200"/>
        <w:jc w:val="left"/>
        <w:textAlignment w:val="auto"/>
        <w:rPr>
          <w:rFonts w:hint="eastAsia" w:ascii="华文仿宋" w:hAnsi="华文仿宋" w:eastAsia="华文仿宋" w:cs="华文仿宋"/>
          <w:sz w:val="28"/>
          <w:szCs w:val="28"/>
        </w:rPr>
      </w:pPr>
      <w:r>
        <w:rPr>
          <w:rFonts w:hint="eastAsia" w:ascii="华文仿宋" w:hAnsi="华文仿宋" w:cs="华文仿宋"/>
          <w:b/>
          <w:sz w:val="28"/>
          <w:szCs w:val="28"/>
          <w:lang w:eastAsia="zh-CN"/>
        </w:rPr>
        <w:t>（</w:t>
      </w:r>
      <w:r>
        <w:rPr>
          <w:rFonts w:hint="eastAsia" w:ascii="华文仿宋" w:hAnsi="华文仿宋" w:cs="华文仿宋"/>
          <w:b/>
          <w:sz w:val="28"/>
          <w:szCs w:val="28"/>
          <w:lang w:val="en-US" w:eastAsia="zh-CN"/>
        </w:rPr>
        <w:t>3</w:t>
      </w:r>
      <w:r>
        <w:rPr>
          <w:rFonts w:hint="eastAsia" w:ascii="华文仿宋" w:hAnsi="华文仿宋" w:cs="华文仿宋"/>
          <w:b/>
          <w:sz w:val="28"/>
          <w:szCs w:val="28"/>
          <w:lang w:eastAsia="zh-CN"/>
        </w:rPr>
        <w:t>）</w:t>
      </w:r>
      <w:r>
        <w:rPr>
          <w:rFonts w:hint="eastAsia" w:ascii="华文仿宋" w:hAnsi="华文仿宋" w:eastAsia="华文仿宋" w:cs="华文仿宋"/>
          <w:b/>
          <w:sz w:val="28"/>
          <w:szCs w:val="28"/>
        </w:rPr>
        <w:t>安装工程问题说明：</w:t>
      </w:r>
    </w:p>
    <w:p>
      <w:pPr>
        <w:pStyle w:val="20"/>
        <w:keepNext w:val="0"/>
        <w:keepLines w:val="0"/>
        <w:pageBreakBefore w:val="0"/>
        <w:widowControl/>
        <w:kinsoku/>
        <w:wordWrap/>
        <w:overflowPunct/>
        <w:topLinePunct w:val="0"/>
        <w:bidi w:val="0"/>
        <w:snapToGrid/>
        <w:spacing w:beforeAutospacing="0" w:afterAutospacing="0" w:line="500" w:lineRule="exact"/>
        <w:ind w:firstLine="561" w:firstLineChars="200"/>
        <w:textAlignment w:val="auto"/>
        <w:rPr>
          <w:rFonts w:hint="eastAsia" w:ascii="华文仿宋" w:hAnsi="华文仿宋" w:eastAsia="华文仿宋" w:cs="华文仿宋"/>
          <w:b/>
          <w:bCs/>
          <w:sz w:val="28"/>
          <w:szCs w:val="28"/>
        </w:rPr>
      </w:pPr>
      <w:r>
        <w:rPr>
          <w:rFonts w:hint="eastAsia" w:ascii="华文仿宋" w:hAnsi="华文仿宋" w:eastAsia="华文仿宋" w:cs="华文仿宋"/>
          <w:b/>
          <w:bCs/>
          <w:sz w:val="28"/>
          <w:szCs w:val="28"/>
        </w:rPr>
        <w:t>机电部分</w:t>
      </w:r>
    </w:p>
    <w:p>
      <w:pPr>
        <w:pStyle w:val="20"/>
        <w:keepNext w:val="0"/>
        <w:keepLines w:val="0"/>
        <w:pageBreakBefore w:val="0"/>
        <w:widowControl/>
        <w:numPr>
          <w:ilvl w:val="0"/>
          <w:numId w:val="0"/>
        </w:numPr>
        <w:kinsoku/>
        <w:wordWrap/>
        <w:overflowPunct/>
        <w:topLinePunct w:val="0"/>
        <w:autoSpaceDE/>
        <w:autoSpaceDN/>
        <w:bidi w:val="0"/>
        <w:adjustRightInd/>
        <w:snapToGrid/>
        <w:spacing w:before="100" w:beforeAutospacing="0" w:after="100" w:afterAutospacing="0" w:line="500" w:lineRule="exact"/>
        <w:ind w:firstLine="560" w:firstLineChars="200"/>
        <w:textAlignment w:val="auto"/>
        <w:rPr>
          <w:rFonts w:hint="eastAsia" w:ascii="华文仿宋" w:hAnsi="华文仿宋" w:eastAsia="华文仿宋" w:cs="华文仿宋"/>
          <w:kern w:val="2"/>
          <w:sz w:val="28"/>
          <w:szCs w:val="28"/>
        </w:rPr>
      </w:pPr>
      <w:r>
        <w:rPr>
          <w:rFonts w:hint="eastAsia" w:ascii="华文仿宋" w:hAnsi="华文仿宋" w:cs="华文仿宋"/>
          <w:kern w:val="2"/>
          <w:sz w:val="28"/>
          <w:szCs w:val="28"/>
          <w:lang w:val="en-US" w:eastAsia="zh-CN"/>
        </w:rPr>
        <w:t>1）</w:t>
      </w:r>
      <w:r>
        <w:rPr>
          <w:rFonts w:hint="eastAsia" w:ascii="华文仿宋" w:hAnsi="华文仿宋" w:eastAsia="华文仿宋" w:cs="华文仿宋"/>
          <w:kern w:val="2"/>
          <w:sz w:val="28"/>
          <w:szCs w:val="28"/>
        </w:rPr>
        <w:t>本次清单编制中电话网络系统、监控系统、照明系统为图纸所示内容均全部计入。</w:t>
      </w:r>
    </w:p>
    <w:p>
      <w:pPr>
        <w:pStyle w:val="20"/>
        <w:keepNext w:val="0"/>
        <w:keepLines w:val="0"/>
        <w:pageBreakBefore w:val="0"/>
        <w:widowControl/>
        <w:numPr>
          <w:ilvl w:val="0"/>
          <w:numId w:val="0"/>
        </w:numPr>
        <w:kinsoku/>
        <w:wordWrap/>
        <w:overflowPunct/>
        <w:topLinePunct w:val="0"/>
        <w:autoSpaceDE/>
        <w:autoSpaceDN/>
        <w:bidi w:val="0"/>
        <w:adjustRightInd/>
        <w:snapToGrid/>
        <w:spacing w:before="100" w:beforeAutospacing="0" w:after="100" w:afterAutospacing="0" w:line="500" w:lineRule="exact"/>
        <w:ind w:firstLine="560" w:firstLineChars="200"/>
        <w:textAlignment w:val="auto"/>
        <w:rPr>
          <w:rFonts w:hint="eastAsia" w:ascii="华文仿宋" w:hAnsi="华文仿宋" w:eastAsia="华文仿宋" w:cs="华文仿宋"/>
          <w:kern w:val="2"/>
          <w:sz w:val="28"/>
          <w:szCs w:val="28"/>
        </w:rPr>
      </w:pPr>
      <w:r>
        <w:rPr>
          <w:rFonts w:hint="eastAsia" w:ascii="华文仿宋" w:hAnsi="华文仿宋" w:cs="华文仿宋"/>
          <w:kern w:val="2"/>
          <w:sz w:val="28"/>
          <w:szCs w:val="28"/>
          <w:lang w:val="en-US" w:eastAsia="zh-CN"/>
        </w:rPr>
        <w:t>2）</w:t>
      </w:r>
      <w:r>
        <w:rPr>
          <w:rFonts w:hint="eastAsia" w:ascii="华文仿宋" w:hAnsi="华文仿宋" w:eastAsia="华文仿宋" w:cs="华文仿宋"/>
          <w:kern w:val="2"/>
          <w:sz w:val="28"/>
          <w:szCs w:val="28"/>
        </w:rPr>
        <w:t>本次清单编制中led显示设备、扩声设备、舞台灯光、移动直播系统为设备表中所示内容均全部计入。</w:t>
      </w:r>
    </w:p>
    <w:p>
      <w:pPr>
        <w:pStyle w:val="20"/>
        <w:keepNext w:val="0"/>
        <w:keepLines w:val="0"/>
        <w:pageBreakBefore w:val="0"/>
        <w:widowControl/>
        <w:numPr>
          <w:ilvl w:val="0"/>
          <w:numId w:val="0"/>
        </w:numPr>
        <w:kinsoku/>
        <w:wordWrap/>
        <w:overflowPunct/>
        <w:topLinePunct w:val="0"/>
        <w:autoSpaceDE/>
        <w:autoSpaceDN/>
        <w:bidi w:val="0"/>
        <w:adjustRightInd/>
        <w:snapToGrid/>
        <w:spacing w:before="100" w:beforeAutospacing="0" w:after="100" w:afterAutospacing="0" w:line="500" w:lineRule="exact"/>
        <w:ind w:firstLine="560" w:firstLineChars="200"/>
        <w:textAlignment w:val="auto"/>
        <w:rPr>
          <w:rFonts w:hint="eastAsia" w:ascii="华文仿宋" w:hAnsi="华文仿宋" w:eastAsia="华文仿宋" w:cs="华文仿宋"/>
          <w:kern w:val="2"/>
          <w:sz w:val="28"/>
          <w:szCs w:val="28"/>
        </w:rPr>
      </w:pPr>
      <w:r>
        <w:rPr>
          <w:rFonts w:hint="eastAsia" w:ascii="华文仿宋" w:hAnsi="华文仿宋" w:cs="华文仿宋"/>
          <w:kern w:val="2"/>
          <w:sz w:val="28"/>
          <w:szCs w:val="28"/>
          <w:lang w:val="en-US" w:eastAsia="zh-CN"/>
        </w:rPr>
        <w:t>3）</w:t>
      </w:r>
      <w:r>
        <w:rPr>
          <w:rFonts w:hint="eastAsia" w:ascii="华文仿宋" w:hAnsi="华文仿宋" w:eastAsia="华文仿宋" w:cs="华文仿宋"/>
          <w:kern w:val="2"/>
          <w:sz w:val="28"/>
          <w:szCs w:val="28"/>
        </w:rPr>
        <w:t>本次清单编制中舞台大幕系统全部计入。</w:t>
      </w:r>
    </w:p>
    <w:p>
      <w:pPr>
        <w:pStyle w:val="20"/>
        <w:keepNext w:val="0"/>
        <w:keepLines w:val="0"/>
        <w:pageBreakBefore w:val="0"/>
        <w:widowControl/>
        <w:numPr>
          <w:ilvl w:val="0"/>
          <w:numId w:val="0"/>
        </w:numPr>
        <w:kinsoku/>
        <w:wordWrap/>
        <w:overflowPunct/>
        <w:topLinePunct w:val="0"/>
        <w:autoSpaceDE/>
        <w:autoSpaceDN/>
        <w:bidi w:val="0"/>
        <w:adjustRightInd/>
        <w:snapToGrid/>
        <w:spacing w:before="100" w:beforeAutospacing="0" w:after="100" w:afterAutospacing="0" w:line="500" w:lineRule="exact"/>
        <w:ind w:firstLine="560" w:firstLineChars="200"/>
        <w:textAlignment w:val="auto"/>
        <w:rPr>
          <w:rFonts w:hint="eastAsia" w:ascii="华文仿宋" w:hAnsi="华文仿宋" w:eastAsia="华文仿宋" w:cs="华文仿宋"/>
          <w:kern w:val="2"/>
          <w:sz w:val="28"/>
          <w:szCs w:val="28"/>
        </w:rPr>
      </w:pPr>
      <w:r>
        <w:rPr>
          <w:rFonts w:hint="eastAsia" w:ascii="华文仿宋" w:hAnsi="华文仿宋" w:cs="华文仿宋"/>
          <w:kern w:val="2"/>
          <w:sz w:val="28"/>
          <w:szCs w:val="28"/>
          <w:lang w:val="en-US" w:eastAsia="zh-CN"/>
        </w:rPr>
        <w:t>4）</w:t>
      </w:r>
      <w:r>
        <w:rPr>
          <w:rFonts w:hint="eastAsia" w:ascii="华文仿宋" w:hAnsi="华文仿宋" w:eastAsia="华文仿宋" w:cs="华文仿宋"/>
          <w:kern w:val="2"/>
          <w:sz w:val="28"/>
          <w:szCs w:val="28"/>
        </w:rPr>
        <w:t>清单中项目特征因字数所限，存在描述不明确的内容，以“新闻学院报告厅设备清单”表中描述内容为准。</w:t>
      </w:r>
    </w:p>
    <w:p>
      <w:pPr>
        <w:pStyle w:val="20"/>
        <w:keepNext w:val="0"/>
        <w:keepLines w:val="0"/>
        <w:pageBreakBefore w:val="0"/>
        <w:widowControl/>
        <w:kinsoku/>
        <w:wordWrap/>
        <w:overflowPunct/>
        <w:topLinePunct w:val="0"/>
        <w:autoSpaceDE/>
        <w:autoSpaceDN/>
        <w:bidi w:val="0"/>
        <w:adjustRightInd/>
        <w:snapToGrid/>
        <w:spacing w:beforeAutospacing="0" w:afterAutospacing="0" w:line="500" w:lineRule="exact"/>
        <w:ind w:firstLine="561" w:firstLineChars="200"/>
        <w:textAlignment w:val="auto"/>
        <w:rPr>
          <w:rFonts w:hint="eastAsia" w:ascii="华文仿宋" w:hAnsi="华文仿宋" w:eastAsia="华文仿宋" w:cs="华文仿宋"/>
          <w:b/>
          <w:bCs/>
          <w:sz w:val="28"/>
          <w:szCs w:val="28"/>
        </w:rPr>
      </w:pPr>
      <w:r>
        <w:rPr>
          <w:rFonts w:hint="eastAsia" w:ascii="华文仿宋" w:hAnsi="华文仿宋" w:eastAsia="华文仿宋" w:cs="华文仿宋"/>
          <w:b/>
          <w:bCs/>
          <w:sz w:val="28"/>
          <w:szCs w:val="28"/>
        </w:rPr>
        <w:t>通风系统</w:t>
      </w:r>
    </w:p>
    <w:p>
      <w:pPr>
        <w:pStyle w:val="2"/>
        <w:keepNext w:val="0"/>
        <w:keepLines w:val="0"/>
        <w:pageBreakBefore w:val="0"/>
        <w:widowControl/>
        <w:numPr>
          <w:ilvl w:val="0"/>
          <w:numId w:val="6"/>
        </w:numPr>
        <w:kinsoku/>
        <w:wordWrap/>
        <w:overflowPunct/>
        <w:topLinePunct w:val="0"/>
        <w:autoSpaceDE/>
        <w:autoSpaceDN/>
        <w:bidi w:val="0"/>
        <w:adjustRightInd/>
        <w:snapToGrid/>
        <w:spacing w:line="500" w:lineRule="exact"/>
        <w:ind w:firstLine="560" w:firstLineChars="200"/>
        <w:textAlignment w:val="auto"/>
        <w:rPr>
          <w:rFonts w:hint="eastAsia" w:ascii="华文仿宋" w:hAnsi="华文仿宋" w:eastAsia="华文仿宋" w:cs="华文仿宋"/>
          <w:sz w:val="28"/>
          <w:szCs w:val="28"/>
          <w:lang w:val="zh-CN"/>
        </w:rPr>
      </w:pPr>
      <w:r>
        <w:rPr>
          <w:rFonts w:hint="eastAsia" w:ascii="华文仿宋" w:hAnsi="华文仿宋" w:eastAsia="华文仿宋" w:cs="华文仿宋"/>
          <w:sz w:val="28"/>
          <w:szCs w:val="28"/>
          <w:lang w:val="zh-CN"/>
        </w:rPr>
        <w:t>通风系统图中标注有写：原有出风口通过软连接连至新做出风口,图中未画软连接，暂按柔性软风管</w:t>
      </w:r>
      <w:r>
        <w:rPr>
          <w:rFonts w:hint="eastAsia" w:ascii="黑体" w:hAnsi="黑体" w:eastAsia="黑体" w:cs="黑体"/>
          <w:sz w:val="28"/>
          <w:szCs w:val="28"/>
          <w:lang w:val="zh-CN"/>
        </w:rPr>
        <w:t>φ250</w:t>
      </w:r>
      <w:r>
        <w:rPr>
          <w:rFonts w:hint="eastAsia" w:ascii="华文仿宋" w:hAnsi="华文仿宋" w:eastAsia="华文仿宋" w:cs="华文仿宋"/>
          <w:sz w:val="28"/>
          <w:szCs w:val="28"/>
          <w:lang w:val="zh-CN"/>
        </w:rPr>
        <w:t>计入。</w:t>
      </w:r>
    </w:p>
    <w:p>
      <w:pPr>
        <w:pStyle w:val="4"/>
        <w:pageBreakBefore w:val="0"/>
        <w:widowControl/>
        <w:numPr>
          <w:ilvl w:val="0"/>
          <w:numId w:val="7"/>
        </w:numPr>
        <w:kinsoku/>
        <w:wordWrap/>
        <w:overflowPunct/>
        <w:topLinePunct w:val="0"/>
        <w:autoSpaceDE/>
        <w:autoSpaceDN/>
        <w:bidi w:val="0"/>
        <w:adjustRightInd/>
        <w:snapToGrid/>
        <w:spacing w:line="500" w:lineRule="exact"/>
        <w:ind w:firstLine="561" w:firstLineChars="200"/>
        <w:textAlignment w:val="auto"/>
        <w:rPr>
          <w:rFonts w:hint="eastAsia" w:ascii="华文仿宋" w:hAnsi="华文仿宋" w:cs="华文仿宋"/>
          <w:color w:val="auto"/>
          <w:sz w:val="28"/>
          <w:szCs w:val="28"/>
          <w:lang w:val="en-US" w:eastAsia="zh-CN"/>
        </w:rPr>
      </w:pPr>
      <w:bookmarkStart w:id="173" w:name="_Toc26902"/>
      <w:r>
        <w:rPr>
          <w:rFonts w:hint="eastAsia" w:ascii="华文仿宋" w:hAnsi="华文仿宋" w:cs="华文仿宋"/>
          <w:color w:val="auto"/>
          <w:sz w:val="28"/>
          <w:szCs w:val="28"/>
          <w:lang w:val="en-US" w:eastAsia="zh-CN"/>
        </w:rPr>
        <w:t>工程量清单</w:t>
      </w:r>
      <w:bookmarkEnd w:id="173"/>
    </w:p>
    <w:p>
      <w:pPr>
        <w:pStyle w:val="20"/>
        <w:keepNext w:val="0"/>
        <w:keepLines w:val="0"/>
        <w:pageBreakBefore w:val="0"/>
        <w:widowControl/>
        <w:kinsoku/>
        <w:wordWrap/>
        <w:overflowPunct/>
        <w:topLinePunct w:val="0"/>
        <w:autoSpaceDE/>
        <w:autoSpaceDN/>
        <w:bidi w:val="0"/>
        <w:adjustRightInd/>
        <w:snapToGrid/>
        <w:spacing w:beforeAutospacing="0" w:afterAutospacing="0" w:line="500" w:lineRule="exact"/>
        <w:ind w:firstLine="561" w:firstLineChars="200"/>
        <w:textAlignment w:val="auto"/>
        <w:rPr>
          <w:rFonts w:hint="default" w:ascii="华文仿宋" w:hAnsi="华文仿宋" w:eastAsia="华文仿宋" w:cs="华文仿宋"/>
          <w:b/>
          <w:bCs/>
          <w:sz w:val="28"/>
          <w:szCs w:val="28"/>
          <w:lang w:val="en-US" w:eastAsia="zh-CN"/>
        </w:rPr>
      </w:pPr>
      <w:r>
        <w:rPr>
          <w:rFonts w:hint="eastAsia" w:ascii="华文仿宋" w:hAnsi="华文仿宋" w:eastAsia="华文仿宋" w:cs="华文仿宋"/>
          <w:b/>
          <w:bCs/>
          <w:sz w:val="28"/>
          <w:szCs w:val="28"/>
          <w:lang w:val="en-US" w:eastAsia="zh-CN"/>
        </w:rPr>
        <w:t>1</w:t>
      </w:r>
      <w:r>
        <w:rPr>
          <w:rFonts w:hint="eastAsia" w:ascii="华文仿宋" w:hAnsi="华文仿宋" w:eastAsia="华文仿宋" w:cs="华文仿宋"/>
          <w:b/>
          <w:bCs/>
          <w:sz w:val="28"/>
          <w:szCs w:val="28"/>
          <w:lang w:eastAsia="zh-CN"/>
        </w:rPr>
        <w:t>、</w:t>
      </w:r>
      <w:r>
        <w:rPr>
          <w:rFonts w:hint="eastAsia" w:ascii="华文仿宋" w:hAnsi="华文仿宋" w:eastAsia="华文仿宋" w:cs="华文仿宋"/>
          <w:b/>
          <w:bCs/>
          <w:sz w:val="28"/>
          <w:szCs w:val="28"/>
          <w:lang w:val="en-US" w:eastAsia="zh-CN"/>
        </w:rPr>
        <w:t>工程量清单</w:t>
      </w:r>
    </w:p>
    <w:tbl>
      <w:tblPr>
        <w:tblStyle w:val="23"/>
        <w:tblpPr w:leftFromText="180" w:rightFromText="180" w:vertAnchor="text" w:horzAnchor="page" w:tblpXSpec="center" w:tblpY="203"/>
        <w:tblOverlap w:val="never"/>
        <w:tblW w:w="9629" w:type="dxa"/>
        <w:jc w:val="center"/>
        <w:tblLayout w:type="fixed"/>
        <w:tblCellMar>
          <w:top w:w="0" w:type="dxa"/>
          <w:left w:w="0" w:type="dxa"/>
          <w:bottom w:w="0" w:type="dxa"/>
          <w:right w:w="0" w:type="dxa"/>
        </w:tblCellMar>
      </w:tblPr>
      <w:tblGrid>
        <w:gridCol w:w="917"/>
        <w:gridCol w:w="1339"/>
        <w:gridCol w:w="2099"/>
        <w:gridCol w:w="3369"/>
        <w:gridCol w:w="1020"/>
        <w:gridCol w:w="885"/>
      </w:tblGrid>
      <w:tr>
        <w:tblPrEx>
          <w:tblCellMar>
            <w:top w:w="0" w:type="dxa"/>
            <w:left w:w="0" w:type="dxa"/>
            <w:bottom w:w="0" w:type="dxa"/>
            <w:right w:w="0" w:type="dxa"/>
          </w:tblCellMar>
        </w:tblPrEx>
        <w:trPr>
          <w:trHeight w:val="725" w:hRule="atLeast"/>
          <w:jc w:val="center"/>
        </w:trPr>
        <w:tc>
          <w:tcPr>
            <w:tcW w:w="9629" w:type="dxa"/>
            <w:gridSpan w:val="6"/>
            <w:tcBorders>
              <w:top w:val="nil"/>
              <w:left w:val="nil"/>
              <w:bottom w:val="nil"/>
              <w:right w:val="nil"/>
            </w:tcBorders>
            <w:shd w:val="clear" w:color="FFFFFF" w:fill="FFFFFF"/>
            <w:noWrap w:val="0"/>
            <w:tcMar>
              <w:top w:w="12" w:type="dxa"/>
              <w:left w:w="12" w:type="dxa"/>
              <w:right w:w="12" w:type="dxa"/>
            </w:tcMar>
            <w:vAlign w:val="center"/>
          </w:tcPr>
          <w:p>
            <w:pPr>
              <w:pStyle w:val="2"/>
              <w:keepNext w:val="0"/>
              <w:keepLines w:val="0"/>
              <w:pageBreakBefore w:val="0"/>
              <w:widowControl/>
              <w:kinsoku/>
              <w:wordWrap/>
              <w:overflowPunct/>
              <w:topLinePunct w:val="0"/>
              <w:autoSpaceDE/>
              <w:autoSpaceDN/>
              <w:bidi w:val="0"/>
              <w:adjustRightInd/>
              <w:snapToGrid/>
              <w:spacing w:line="500" w:lineRule="exact"/>
              <w:ind w:left="0" w:leftChars="0" w:firstLine="0" w:firstLineChars="0"/>
              <w:jc w:val="center"/>
              <w:textAlignment w:val="auto"/>
              <w:rPr>
                <w:rFonts w:hint="eastAsia"/>
              </w:rPr>
            </w:pPr>
            <w:r>
              <w:rPr>
                <w:rFonts w:hint="eastAsia" w:ascii="宋体" w:hAnsi="宋体" w:eastAsia="宋体" w:cs="宋体"/>
                <w:b/>
                <w:i w:val="0"/>
                <w:color w:val="000000"/>
                <w:kern w:val="0"/>
                <w:sz w:val="40"/>
                <w:szCs w:val="40"/>
                <w:u w:val="none"/>
                <w:lang w:val="en-US" w:eastAsia="zh-CN" w:bidi="ar"/>
              </w:rPr>
              <w:t>分部分项工程量清单</w:t>
            </w:r>
          </w:p>
        </w:tc>
      </w:tr>
      <w:tr>
        <w:tblPrEx>
          <w:tblCellMar>
            <w:top w:w="0" w:type="dxa"/>
            <w:left w:w="0" w:type="dxa"/>
            <w:bottom w:w="0" w:type="dxa"/>
            <w:right w:w="0" w:type="dxa"/>
          </w:tblCellMar>
        </w:tblPrEx>
        <w:trPr>
          <w:trHeight w:val="455" w:hRule="atLeast"/>
          <w:jc w:val="center"/>
        </w:trPr>
        <w:tc>
          <w:tcPr>
            <w:tcW w:w="4355" w:type="dxa"/>
            <w:gridSpan w:val="3"/>
            <w:tcBorders>
              <w:top w:val="nil"/>
              <w:left w:val="nil"/>
              <w:bottom w:val="nil"/>
              <w:right w:val="nil"/>
            </w:tcBorders>
            <w:shd w:val="clear" w:color="FFFFFF" w:fill="FFFFFF"/>
            <w:noWrap w:val="0"/>
            <w:tcMar>
              <w:top w:w="12" w:type="dxa"/>
              <w:left w:w="12" w:type="dxa"/>
              <w:right w:w="12" w:type="dxa"/>
            </w:tcMar>
            <w:vAlign w:val="bottom"/>
          </w:tcPr>
          <w:p>
            <w:pPr>
              <w:keepNext w:val="0"/>
              <w:keepLines w:val="0"/>
              <w:pageBreakBefore w:val="0"/>
              <w:widowControl w:val="0"/>
              <w:suppressLineNumbers w:val="0"/>
              <w:kinsoku/>
              <w:wordWrap/>
              <w:overflowPunct/>
              <w:topLinePunct w:val="0"/>
              <w:autoSpaceDE/>
              <w:autoSpaceDN/>
              <w:bidi w:val="0"/>
              <w:adjustRightInd/>
              <w:snapToGrid/>
              <w:spacing w:line="400" w:lineRule="exact"/>
              <w:jc w:val="left"/>
              <w:textAlignment w:val="bottom"/>
              <w:rPr>
                <w:rFonts w:hint="eastAsia" w:ascii="宋体" w:hAnsi="宋体" w:eastAsia="宋体" w:cs="宋体"/>
                <w:b/>
                <w:bCs/>
                <w:i w:val="0"/>
                <w:color w:val="000000"/>
                <w:sz w:val="18"/>
                <w:szCs w:val="18"/>
                <w:u w:val="none"/>
              </w:rPr>
            </w:pPr>
            <w:r>
              <w:rPr>
                <w:rFonts w:hint="eastAsia" w:ascii="宋体" w:hAnsi="宋体" w:eastAsia="宋体" w:cs="宋体"/>
                <w:b/>
                <w:bCs/>
                <w:i w:val="0"/>
                <w:color w:val="000000"/>
                <w:kern w:val="0"/>
                <w:sz w:val="18"/>
                <w:szCs w:val="18"/>
                <w:u w:val="none"/>
                <w:lang w:val="en-US" w:eastAsia="zh-CN" w:bidi="ar"/>
              </w:rPr>
              <w:t>工程名称：电气工程</w:t>
            </w:r>
          </w:p>
        </w:tc>
        <w:tc>
          <w:tcPr>
            <w:tcW w:w="3369" w:type="dxa"/>
            <w:tcBorders>
              <w:top w:val="nil"/>
              <w:left w:val="nil"/>
              <w:bottom w:val="nil"/>
              <w:right w:val="nil"/>
            </w:tcBorders>
            <w:shd w:val="clear" w:color="FFFFFF" w:fill="FFFFFF"/>
            <w:noWrap w:val="0"/>
            <w:tcMar>
              <w:top w:w="12" w:type="dxa"/>
              <w:left w:w="12" w:type="dxa"/>
              <w:right w:w="12" w:type="dxa"/>
            </w:tcMar>
            <w:vAlign w:val="bottom"/>
          </w:tcPr>
          <w:p>
            <w:pPr>
              <w:keepNext w:val="0"/>
              <w:keepLines w:val="0"/>
              <w:pageBreakBefore w:val="0"/>
              <w:widowControl w:val="0"/>
              <w:suppressLineNumbers w:val="0"/>
              <w:kinsoku/>
              <w:wordWrap/>
              <w:overflowPunct/>
              <w:topLinePunct w:val="0"/>
              <w:autoSpaceDE/>
              <w:autoSpaceDN/>
              <w:bidi w:val="0"/>
              <w:adjustRightInd/>
              <w:snapToGrid/>
              <w:spacing w:line="400" w:lineRule="exact"/>
              <w:jc w:val="left"/>
              <w:textAlignment w:val="bottom"/>
              <w:rPr>
                <w:rFonts w:hint="eastAsia" w:ascii="宋体" w:hAnsi="宋体" w:eastAsia="宋体" w:cs="宋体"/>
                <w:b/>
                <w:bCs/>
                <w:i w:val="0"/>
                <w:color w:val="000000"/>
                <w:sz w:val="18"/>
                <w:szCs w:val="18"/>
                <w:u w:val="none"/>
              </w:rPr>
            </w:pPr>
            <w:r>
              <w:rPr>
                <w:rFonts w:hint="eastAsia" w:ascii="宋体" w:hAnsi="宋体" w:eastAsia="宋体" w:cs="宋体"/>
                <w:b/>
                <w:bCs/>
                <w:i w:val="0"/>
                <w:color w:val="000000"/>
                <w:kern w:val="0"/>
                <w:sz w:val="18"/>
                <w:szCs w:val="18"/>
                <w:u w:val="none"/>
                <w:lang w:val="en-US" w:eastAsia="zh-CN" w:bidi="ar"/>
              </w:rPr>
              <w:t>专业：建筑智能化系统设备安装工程</w:t>
            </w:r>
          </w:p>
        </w:tc>
        <w:tc>
          <w:tcPr>
            <w:tcW w:w="1905" w:type="dxa"/>
            <w:gridSpan w:val="2"/>
            <w:tcBorders>
              <w:top w:val="nil"/>
              <w:left w:val="nil"/>
              <w:bottom w:val="nil"/>
              <w:right w:val="nil"/>
            </w:tcBorders>
            <w:shd w:val="clear" w:color="FFFFFF" w:fill="FFFFFF"/>
            <w:noWrap w:val="0"/>
            <w:tcMar>
              <w:top w:w="12" w:type="dxa"/>
              <w:left w:w="12" w:type="dxa"/>
              <w:right w:w="12" w:type="dxa"/>
            </w:tcMar>
            <w:vAlign w:val="bottom"/>
          </w:tcPr>
          <w:p>
            <w:pPr>
              <w:keepNext w:val="0"/>
              <w:keepLines w:val="0"/>
              <w:pageBreakBefore w:val="0"/>
              <w:widowControl w:val="0"/>
              <w:suppressLineNumbers w:val="0"/>
              <w:kinsoku/>
              <w:wordWrap/>
              <w:overflowPunct/>
              <w:topLinePunct w:val="0"/>
              <w:autoSpaceDE/>
              <w:autoSpaceDN/>
              <w:bidi w:val="0"/>
              <w:adjustRightInd/>
              <w:snapToGrid/>
              <w:spacing w:line="400" w:lineRule="exact"/>
              <w:jc w:val="right"/>
              <w:textAlignment w:val="bottom"/>
              <w:rPr>
                <w:rFonts w:hint="eastAsia" w:ascii="宋体" w:hAnsi="宋体" w:eastAsia="宋体" w:cs="宋体"/>
                <w:i w:val="0"/>
                <w:color w:val="000000"/>
                <w:sz w:val="18"/>
                <w:szCs w:val="18"/>
                <w:u w:val="none"/>
              </w:rPr>
            </w:pPr>
          </w:p>
        </w:tc>
      </w:tr>
      <w:tr>
        <w:tblPrEx>
          <w:tblCellMar>
            <w:top w:w="0" w:type="dxa"/>
            <w:left w:w="0" w:type="dxa"/>
            <w:bottom w:w="0" w:type="dxa"/>
            <w:right w:w="0" w:type="dxa"/>
          </w:tblCellMar>
        </w:tblPrEx>
        <w:trPr>
          <w:trHeight w:val="374" w:hRule="atLeast"/>
          <w:jc w:val="center"/>
        </w:trPr>
        <w:tc>
          <w:tcPr>
            <w:tcW w:w="917" w:type="dxa"/>
            <w:tcBorders>
              <w:top w:val="single" w:color="000000" w:sz="8"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序号</w:t>
            </w:r>
          </w:p>
        </w:tc>
        <w:tc>
          <w:tcPr>
            <w:tcW w:w="1339" w:type="dxa"/>
            <w:tcBorders>
              <w:top w:val="single" w:color="000000" w:sz="8"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项目编码</w:t>
            </w:r>
          </w:p>
        </w:tc>
        <w:tc>
          <w:tcPr>
            <w:tcW w:w="5468" w:type="dxa"/>
            <w:gridSpan w:val="2"/>
            <w:tcBorders>
              <w:top w:val="single" w:color="000000" w:sz="8"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项目名称</w:t>
            </w:r>
          </w:p>
        </w:tc>
        <w:tc>
          <w:tcPr>
            <w:tcW w:w="1020" w:type="dxa"/>
            <w:tcBorders>
              <w:top w:val="single" w:color="000000" w:sz="8"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计量单位</w:t>
            </w:r>
          </w:p>
        </w:tc>
        <w:tc>
          <w:tcPr>
            <w:tcW w:w="885" w:type="dxa"/>
            <w:tcBorders>
              <w:top w:val="single" w:color="000000" w:sz="8"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工程数量</w:t>
            </w:r>
          </w:p>
        </w:tc>
      </w:tr>
      <w:tr>
        <w:tblPrEx>
          <w:tblCellMar>
            <w:top w:w="0" w:type="dxa"/>
            <w:left w:w="0" w:type="dxa"/>
            <w:bottom w:w="0" w:type="dxa"/>
            <w:right w:w="0" w:type="dxa"/>
          </w:tblCellMar>
        </w:tblPrEx>
        <w:trPr>
          <w:trHeight w:val="364" w:hRule="atLeast"/>
          <w:jc w:val="center"/>
        </w:trPr>
        <w:tc>
          <w:tcPr>
            <w:tcW w:w="917"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jc w:val="left"/>
              <w:rPr>
                <w:rFonts w:hint="eastAsia" w:ascii="宋体" w:hAnsi="宋体" w:eastAsia="宋体" w:cs="宋体"/>
                <w:i w:val="0"/>
                <w:color w:val="000000"/>
                <w:sz w:val="20"/>
                <w:szCs w:val="20"/>
                <w:u w:val="none"/>
              </w:rPr>
            </w:pPr>
          </w:p>
        </w:tc>
        <w:tc>
          <w:tcPr>
            <w:tcW w:w="133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jc w:val="left"/>
              <w:rPr>
                <w:rFonts w:hint="eastAsia" w:ascii="宋体" w:hAnsi="宋体" w:eastAsia="宋体" w:cs="宋体"/>
                <w:i w:val="0"/>
                <w:color w:val="000000"/>
                <w:sz w:val="20"/>
                <w:szCs w:val="20"/>
                <w:u w:val="none"/>
              </w:rPr>
            </w:pPr>
          </w:p>
        </w:tc>
        <w:tc>
          <w:tcPr>
            <w:tcW w:w="5468" w:type="dxa"/>
            <w:gridSpan w:val="2"/>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led显示设备</w:t>
            </w:r>
          </w:p>
        </w:tc>
        <w:tc>
          <w:tcPr>
            <w:tcW w:w="1020"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jc w:val="center"/>
              <w:rPr>
                <w:rFonts w:hint="eastAsia" w:ascii="宋体" w:hAnsi="宋体" w:eastAsia="宋体" w:cs="宋体"/>
                <w:i w:val="0"/>
                <w:color w:val="000000"/>
                <w:sz w:val="20"/>
                <w:szCs w:val="20"/>
                <w:u w:val="none"/>
              </w:rPr>
            </w:pPr>
          </w:p>
        </w:tc>
        <w:tc>
          <w:tcPr>
            <w:tcW w:w="885"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jc w:val="center"/>
              <w:rPr>
                <w:rFonts w:hint="eastAsia" w:ascii="宋体" w:hAnsi="宋体" w:eastAsia="宋体" w:cs="宋体"/>
                <w:i w:val="0"/>
                <w:color w:val="000000"/>
                <w:sz w:val="20"/>
                <w:szCs w:val="20"/>
                <w:u w:val="none"/>
              </w:rPr>
            </w:pPr>
          </w:p>
        </w:tc>
      </w:tr>
      <w:tr>
        <w:tblPrEx>
          <w:tblCellMar>
            <w:top w:w="0" w:type="dxa"/>
            <w:left w:w="0" w:type="dxa"/>
            <w:bottom w:w="0" w:type="dxa"/>
            <w:right w:w="0" w:type="dxa"/>
          </w:tblCellMar>
        </w:tblPrEx>
        <w:trPr>
          <w:trHeight w:val="306" w:hRule="atLeast"/>
          <w:jc w:val="center"/>
        </w:trPr>
        <w:tc>
          <w:tcPr>
            <w:tcW w:w="917"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jc w:val="left"/>
              <w:rPr>
                <w:rFonts w:hint="eastAsia" w:ascii="宋体" w:hAnsi="宋体" w:eastAsia="宋体" w:cs="宋体"/>
                <w:i w:val="0"/>
                <w:color w:val="000000"/>
                <w:sz w:val="20"/>
                <w:szCs w:val="20"/>
                <w:u w:val="none"/>
              </w:rPr>
            </w:pPr>
          </w:p>
        </w:tc>
        <w:tc>
          <w:tcPr>
            <w:tcW w:w="133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jc w:val="left"/>
              <w:rPr>
                <w:rFonts w:hint="eastAsia" w:ascii="宋体" w:hAnsi="宋体" w:eastAsia="宋体" w:cs="宋体"/>
                <w:i w:val="0"/>
                <w:color w:val="000000"/>
                <w:sz w:val="20"/>
                <w:szCs w:val="20"/>
                <w:u w:val="none"/>
              </w:rPr>
            </w:pPr>
          </w:p>
        </w:tc>
        <w:tc>
          <w:tcPr>
            <w:tcW w:w="5468" w:type="dxa"/>
            <w:gridSpan w:val="2"/>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P3  LED显示屏</w:t>
            </w:r>
          </w:p>
        </w:tc>
        <w:tc>
          <w:tcPr>
            <w:tcW w:w="1020"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jc w:val="center"/>
              <w:rPr>
                <w:rFonts w:hint="eastAsia" w:ascii="宋体" w:hAnsi="宋体" w:eastAsia="宋体" w:cs="宋体"/>
                <w:i w:val="0"/>
                <w:color w:val="000000"/>
                <w:sz w:val="20"/>
                <w:szCs w:val="20"/>
                <w:u w:val="none"/>
              </w:rPr>
            </w:pPr>
          </w:p>
        </w:tc>
        <w:tc>
          <w:tcPr>
            <w:tcW w:w="885"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jc w:val="center"/>
              <w:rPr>
                <w:rFonts w:hint="eastAsia" w:ascii="宋体" w:hAnsi="宋体" w:eastAsia="宋体" w:cs="宋体"/>
                <w:i w:val="0"/>
                <w:color w:val="000000"/>
                <w:sz w:val="20"/>
                <w:szCs w:val="20"/>
                <w:u w:val="none"/>
              </w:rPr>
            </w:pPr>
          </w:p>
        </w:tc>
      </w:tr>
      <w:tr>
        <w:tblPrEx>
          <w:tblCellMar>
            <w:top w:w="0" w:type="dxa"/>
            <w:left w:w="0" w:type="dxa"/>
            <w:bottom w:w="0" w:type="dxa"/>
            <w:right w:w="0" w:type="dxa"/>
          </w:tblCellMar>
        </w:tblPrEx>
        <w:trPr>
          <w:trHeight w:val="90" w:hRule="atLeast"/>
          <w:jc w:val="center"/>
        </w:trPr>
        <w:tc>
          <w:tcPr>
            <w:tcW w:w="917"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c>
          <w:tcPr>
            <w:tcW w:w="133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031101005001</w:t>
            </w:r>
          </w:p>
        </w:tc>
        <w:tc>
          <w:tcPr>
            <w:tcW w:w="5468" w:type="dxa"/>
            <w:gridSpan w:val="2"/>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开关电源</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1.标准超薄产品，高度31mm</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2.输入电压：180～264VAC</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3.-30~+70℃工作温度（具体查看降额曲线）</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4.无风扇自然冷却</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5.短路/过载保护功能</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6.100%满载老化</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7.效率高、高可靠性</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▲为保证使用安全性所投电源通过3C认证，并提供证明材料</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1.开关电源安装</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2.系统调测</w:t>
            </w:r>
          </w:p>
        </w:tc>
        <w:tc>
          <w:tcPr>
            <w:tcW w:w="1020"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台</w:t>
            </w:r>
          </w:p>
        </w:tc>
        <w:tc>
          <w:tcPr>
            <w:tcW w:w="885"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75</w:t>
            </w:r>
          </w:p>
        </w:tc>
      </w:tr>
      <w:tr>
        <w:tblPrEx>
          <w:tblCellMar>
            <w:top w:w="0" w:type="dxa"/>
            <w:left w:w="0" w:type="dxa"/>
            <w:bottom w:w="0" w:type="dxa"/>
            <w:right w:w="0" w:type="dxa"/>
          </w:tblCellMar>
        </w:tblPrEx>
        <w:trPr>
          <w:trHeight w:val="90" w:hRule="atLeast"/>
          <w:jc w:val="center"/>
        </w:trPr>
        <w:tc>
          <w:tcPr>
            <w:tcW w:w="917"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w:t>
            </w:r>
          </w:p>
        </w:tc>
        <w:tc>
          <w:tcPr>
            <w:tcW w:w="133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031208010001</w:t>
            </w:r>
          </w:p>
        </w:tc>
        <w:tc>
          <w:tcPr>
            <w:tcW w:w="5468" w:type="dxa"/>
            <w:gridSpan w:val="2"/>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控制台和监视器柜</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1.名称:智能配电柜</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2.技术参数：电脑远程控电功能，分步供电系统</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1.安装</w:t>
            </w:r>
          </w:p>
        </w:tc>
        <w:tc>
          <w:tcPr>
            <w:tcW w:w="1020"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台</w:t>
            </w:r>
          </w:p>
        </w:tc>
        <w:tc>
          <w:tcPr>
            <w:tcW w:w="885"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r>
      <w:tr>
        <w:tblPrEx>
          <w:tblCellMar>
            <w:top w:w="0" w:type="dxa"/>
            <w:left w:w="0" w:type="dxa"/>
            <w:bottom w:w="0" w:type="dxa"/>
            <w:right w:w="0" w:type="dxa"/>
          </w:tblCellMar>
        </w:tblPrEx>
        <w:trPr>
          <w:trHeight w:val="90" w:hRule="atLeast"/>
          <w:jc w:val="center"/>
        </w:trPr>
        <w:tc>
          <w:tcPr>
            <w:tcW w:w="917" w:type="dxa"/>
            <w:tcBorders>
              <w:top w:val="single" w:color="000000" w:sz="4" w:space="0"/>
              <w:left w:val="single" w:color="000000" w:sz="8"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w:t>
            </w:r>
          </w:p>
        </w:tc>
        <w:tc>
          <w:tcPr>
            <w:tcW w:w="1339" w:type="dxa"/>
            <w:tcBorders>
              <w:top w:val="single" w:color="000000" w:sz="4" w:space="0"/>
              <w:left w:val="single" w:color="000000" w:sz="4"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kern w:val="0"/>
                <w:sz w:val="20"/>
                <w:szCs w:val="20"/>
                <w:u w:val="none"/>
                <w:lang w:bidi="ar"/>
              </w:rPr>
            </w:pPr>
            <w:r>
              <w:rPr>
                <w:rFonts w:hint="eastAsia" w:ascii="宋体" w:hAnsi="宋体" w:eastAsia="宋体" w:cs="宋体"/>
                <w:i w:val="0"/>
                <w:color w:val="000000"/>
                <w:kern w:val="0"/>
                <w:sz w:val="20"/>
                <w:szCs w:val="20"/>
                <w:u w:val="none"/>
                <w:lang w:val="en-US" w:eastAsia="zh-CN" w:bidi="ar"/>
              </w:rPr>
              <w:t>031208013001</w:t>
            </w:r>
          </w:p>
        </w:tc>
        <w:tc>
          <w:tcPr>
            <w:tcW w:w="5468" w:type="dxa"/>
            <w:gridSpan w:val="2"/>
            <w:tcBorders>
              <w:top w:val="single" w:color="000000" w:sz="4" w:space="0"/>
              <w:left w:val="single" w:color="000000" w:sz="4"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视频传输设备</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1.名称:接收卡</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2.带载像素 ： 512×256</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3.RGB数据 ： 32组RGB</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4.板载 ： 16个标准HUB75接口</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5.逐点亮色度校正 ： 支持、单卡带载 512×256 像素。</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6.支持逐点亮色度校正，有效消除色差，显著提升 LED 画面显示的一致性，给用户带来更加细腻的画面。</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7.设计充分考虑用户部署、系统运行和维护时的场景，使部署更容易，运行更稳定、维护更高效。</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8.集成 16 个标准 HUB75 接口，免接 HUB 板。</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9.采用千兆网口，可以连接 PC 端。</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10.支持逐点亮色度校正。</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11.支持接收卡预存画面设置。</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12.支持温度、电压、网线通讯和视频源信号状态检测。</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13支持 5Pin 液晶模块。</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1.本体安装</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2.单体调试</w:t>
            </w:r>
          </w:p>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color w:val="000000"/>
                <w:kern w:val="0"/>
                <w:sz w:val="20"/>
                <w:szCs w:val="20"/>
                <w:u w:val="none"/>
                <w:lang w:bidi="ar"/>
              </w:rPr>
            </w:pPr>
            <w:r>
              <w:rPr>
                <w:rFonts w:hint="eastAsia" w:ascii="宋体" w:hAnsi="宋体" w:eastAsia="宋体" w:cs="宋体"/>
                <w:i w:val="0"/>
                <w:color w:val="000000"/>
                <w:kern w:val="0"/>
                <w:sz w:val="20"/>
                <w:szCs w:val="20"/>
                <w:u w:val="none"/>
                <w:lang w:val="en-US" w:eastAsia="zh-CN" w:bidi="ar"/>
              </w:rPr>
              <w:t>3.试运行</w:t>
            </w:r>
          </w:p>
        </w:tc>
        <w:tc>
          <w:tcPr>
            <w:tcW w:w="1020" w:type="dxa"/>
            <w:tcBorders>
              <w:top w:val="single" w:color="000000" w:sz="4" w:space="0"/>
              <w:left w:val="single" w:color="000000" w:sz="4"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张</w:t>
            </w:r>
          </w:p>
        </w:tc>
        <w:tc>
          <w:tcPr>
            <w:tcW w:w="885" w:type="dxa"/>
            <w:tcBorders>
              <w:top w:val="single" w:color="000000" w:sz="4" w:space="0"/>
              <w:left w:val="single" w:color="000000" w:sz="4" w:space="0"/>
              <w:bottom w:val="single" w:color="000000" w:sz="8"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55</w:t>
            </w:r>
          </w:p>
        </w:tc>
      </w:tr>
      <w:tr>
        <w:tblPrEx>
          <w:tblCellMar>
            <w:top w:w="0" w:type="dxa"/>
            <w:left w:w="0" w:type="dxa"/>
            <w:bottom w:w="0" w:type="dxa"/>
            <w:right w:w="0" w:type="dxa"/>
          </w:tblCellMar>
        </w:tblPrEx>
        <w:trPr>
          <w:trHeight w:val="413" w:hRule="atLeast"/>
          <w:jc w:val="center"/>
        </w:trPr>
        <w:tc>
          <w:tcPr>
            <w:tcW w:w="917"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w:t>
            </w:r>
          </w:p>
        </w:tc>
        <w:tc>
          <w:tcPr>
            <w:tcW w:w="133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031208013004</w:t>
            </w:r>
          </w:p>
        </w:tc>
        <w:tc>
          <w:tcPr>
            <w:tcW w:w="5468" w:type="dxa"/>
            <w:gridSpan w:val="2"/>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视频传输设备</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名称:视频拼接处理器</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1、拥有完备的视频输入接口：1 路HDMI 2.0，4路DVI，1路3G-SDI。多输出，大带载；支持16路网口和4路光纤输出，带载高达1040万像素。支持HDR输出</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2、能够极大地增强显示屏的画质，使画面色彩更加真实生动，细节更加清晰。支持个性化的画质缩放；支持三种画面缩放模式，包括点对点模式、全屏缩放自定义缩放。                             3、多窗口显示；支持5窗口任意布局。支持预监输出画面</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4、将预监内容通过HDMI发送到显示器显示。</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5、支持智能控制软件 NovacL进行操作控制。支持场景预设</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6、最多可创建10个用户场景作为模板保存，可直接调用，方便使用。                                                                                                                 [工作内容]                                                                                                                                                                       1.本体安装</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2.单体调试</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3.试运行</w:t>
            </w:r>
          </w:p>
        </w:tc>
        <w:tc>
          <w:tcPr>
            <w:tcW w:w="1020"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台</w:t>
            </w:r>
          </w:p>
        </w:tc>
        <w:tc>
          <w:tcPr>
            <w:tcW w:w="885"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r>
      <w:tr>
        <w:tblPrEx>
          <w:tblCellMar>
            <w:top w:w="0" w:type="dxa"/>
            <w:left w:w="0" w:type="dxa"/>
            <w:bottom w:w="0" w:type="dxa"/>
            <w:right w:w="0" w:type="dxa"/>
          </w:tblCellMar>
        </w:tblPrEx>
        <w:trPr>
          <w:trHeight w:val="1114" w:hRule="atLeast"/>
          <w:jc w:val="center"/>
        </w:trPr>
        <w:tc>
          <w:tcPr>
            <w:tcW w:w="917" w:type="dxa"/>
            <w:tcBorders>
              <w:top w:val="single" w:color="000000" w:sz="4" w:space="0"/>
              <w:left w:val="single" w:color="000000" w:sz="8"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w:t>
            </w:r>
          </w:p>
        </w:tc>
        <w:tc>
          <w:tcPr>
            <w:tcW w:w="1339" w:type="dxa"/>
            <w:tcBorders>
              <w:top w:val="single" w:color="000000" w:sz="4" w:space="0"/>
              <w:left w:val="single" w:color="000000" w:sz="4"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031208017001</w:t>
            </w:r>
          </w:p>
        </w:tc>
        <w:tc>
          <w:tcPr>
            <w:tcW w:w="5468" w:type="dxa"/>
            <w:gridSpan w:val="2"/>
            <w:tcBorders>
              <w:top w:val="single" w:color="000000" w:sz="4" w:space="0"/>
              <w:left w:val="single" w:color="000000" w:sz="4" w:space="0"/>
              <w:bottom w:val="single" w:color="000000" w:sz="8" w:space="0"/>
              <w:right w:val="single" w:color="000000" w:sz="4" w:space="0"/>
            </w:tcBorders>
            <w:shd w:val="clear" w:color="FFFFFF" w:fill="FFFFFF"/>
            <w:noWrap w:val="0"/>
            <w:tcMar>
              <w:top w:w="12" w:type="dxa"/>
              <w:left w:w="12" w:type="dxa"/>
              <w:right w:w="12" w:type="dxa"/>
            </w:tcMar>
            <w:vAlign w:val="center"/>
          </w:tcPr>
          <w:p>
            <w:pPr>
              <w:pStyle w:val="2"/>
              <w:keepNext w:val="0"/>
              <w:keepLines w:val="0"/>
              <w:pageBreakBefore w:val="0"/>
              <w:widowControl/>
              <w:kinsoku/>
              <w:wordWrap/>
              <w:overflowPunct/>
              <w:topLinePunct w:val="0"/>
              <w:autoSpaceDE/>
              <w:autoSpaceDN/>
              <w:bidi w:val="0"/>
              <w:adjustRightInd/>
              <w:snapToGrid/>
              <w:spacing w:line="300" w:lineRule="exact"/>
              <w:ind w:left="0" w:leftChars="0" w:firstLine="0" w:firstLineChars="0"/>
              <w:textAlignment w:val="auto"/>
              <w:rPr>
                <w:rFonts w:hint="eastAsia" w:ascii="宋体" w:hAnsi="宋体" w:eastAsia="宋体" w:cs="宋体"/>
              </w:rPr>
            </w:pPr>
            <w:r>
              <w:rPr>
                <w:rFonts w:hint="eastAsia" w:ascii="宋体" w:hAnsi="宋体" w:eastAsia="宋体" w:cs="宋体"/>
                <w:sz w:val="21"/>
                <w:szCs w:val="21"/>
              </w:rPr>
              <w:t>显</w:t>
            </w:r>
            <w:r>
              <w:rPr>
                <w:rFonts w:hint="eastAsia" w:ascii="宋体" w:hAnsi="宋体" w:eastAsia="宋体" w:cs="宋体"/>
                <w:i w:val="0"/>
                <w:color w:val="000000"/>
                <w:kern w:val="0"/>
                <w:sz w:val="20"/>
                <w:szCs w:val="20"/>
                <w:u w:val="none"/>
                <w:lang w:val="en-US" w:eastAsia="zh-CN" w:bidi="ar"/>
              </w:rPr>
              <w:t>示装置</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1.名称:室内全彩显示屏P3</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2.技术参数：</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1、点间距≤3mm，单元尺寸192*192mm，点密度：111111点/ m²</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▲2、对比度：对比度≥6000:1，屏幕亮度：屏幕亮度（校正后）：≥700cd/㎡</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3、发光点中心距偏差：发光点中心距偏差（校正后）：＜3%；</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4、色度均匀性：色度均匀性（校正后）±0.003Cx,Cy之内；</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▲5、LED显示单元支持单点亮度校正功能；具备故障自诊断及排查功能</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6、功耗：功耗（W/㎡）峰值≤360，平均≤120；</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▲7、平整度：平整度≤0.1mm</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▲8、刷新频率：刷新频率≥3840Hz</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9、换帧频率：50&amp;60HZ                                    10、视角：水平视角≥165度，垂直视角≥145度。</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11、色温：色温可调范围：3000k~15000k</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▲12、按LED显示屏图像主观质量评价方法的要求，评价等级为优；</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13、高低温范围：工作温度范围:-10℃~+40℃；存储温度范围：-20℃~+60℃；工作、存储4～8h后结构和功能均正常；</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▲14、防火（阻燃）：为保证安全，所使用PCB通过燃烧试验，满足防火V-O要求；</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▲15、蓝光对人体眼睛及皮肤有危害，通过蓝光安全检测</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16、为确保投标人所投货物制造商生产厂家产品的成熟性，具有良好的企业信用，生产企业能力证明需要提供以下证明：</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 所投产品生产厂商具备3C认证，安全生产许可证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2、所投产品LED显示屏，应具备高光效长寿命技术并提供证明文件</w:t>
            </w:r>
          </w:p>
        </w:tc>
        <w:tc>
          <w:tcPr>
            <w:tcW w:w="1020" w:type="dxa"/>
            <w:tcBorders>
              <w:top w:val="single" w:color="000000" w:sz="4" w:space="0"/>
              <w:left w:val="single" w:color="000000" w:sz="4"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m2</w:t>
            </w:r>
          </w:p>
        </w:tc>
        <w:tc>
          <w:tcPr>
            <w:tcW w:w="885" w:type="dxa"/>
            <w:tcBorders>
              <w:top w:val="single" w:color="000000" w:sz="4" w:space="0"/>
              <w:left w:val="single" w:color="000000" w:sz="4" w:space="0"/>
              <w:bottom w:val="single" w:color="000000" w:sz="8"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25.92</w:t>
            </w:r>
          </w:p>
        </w:tc>
      </w:tr>
      <w:tr>
        <w:tblPrEx>
          <w:tblCellMar>
            <w:top w:w="0" w:type="dxa"/>
            <w:left w:w="0" w:type="dxa"/>
            <w:bottom w:w="0" w:type="dxa"/>
            <w:right w:w="0" w:type="dxa"/>
          </w:tblCellMar>
        </w:tblPrEx>
        <w:trPr>
          <w:trHeight w:val="1077" w:hRule="atLeast"/>
          <w:jc w:val="center"/>
        </w:trPr>
        <w:tc>
          <w:tcPr>
            <w:tcW w:w="917"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w:t>
            </w:r>
          </w:p>
        </w:tc>
        <w:tc>
          <w:tcPr>
            <w:tcW w:w="133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CB010</w:t>
            </w:r>
          </w:p>
        </w:tc>
        <w:tc>
          <w:tcPr>
            <w:tcW w:w="5468" w:type="dxa"/>
            <w:gridSpan w:val="2"/>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top"/>
          </w:tcPr>
          <w:p>
            <w:pPr>
              <w:keepNext w:val="0"/>
              <w:keepLines w:val="0"/>
              <w:pageBreakBefore w:val="0"/>
              <w:widowControl/>
              <w:kinsoku/>
              <w:wordWrap/>
              <w:overflowPunct/>
              <w:topLinePunct w:val="0"/>
              <w:autoSpaceDE/>
              <w:autoSpaceDN/>
              <w:bidi w:val="0"/>
              <w:adjustRightInd/>
              <w:snapToGrid/>
              <w:spacing w:line="300" w:lineRule="exact"/>
              <w:textAlignment w:val="auto"/>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LED屏结构及包边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1.国标钢材料，精准定位，包边采用不锈钢材料。</w:t>
            </w:r>
          </w:p>
        </w:tc>
        <w:tc>
          <w:tcPr>
            <w:tcW w:w="1020"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885"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25.92</w:t>
            </w:r>
          </w:p>
        </w:tc>
      </w:tr>
      <w:tr>
        <w:tblPrEx>
          <w:tblCellMar>
            <w:top w:w="0" w:type="dxa"/>
            <w:left w:w="0" w:type="dxa"/>
            <w:bottom w:w="0" w:type="dxa"/>
            <w:right w:w="0" w:type="dxa"/>
          </w:tblCellMar>
        </w:tblPrEx>
        <w:trPr>
          <w:trHeight w:val="912" w:hRule="atLeast"/>
          <w:jc w:val="center"/>
        </w:trPr>
        <w:tc>
          <w:tcPr>
            <w:tcW w:w="917"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w:t>
            </w:r>
          </w:p>
        </w:tc>
        <w:tc>
          <w:tcPr>
            <w:tcW w:w="133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CB011</w:t>
            </w:r>
          </w:p>
        </w:tc>
        <w:tc>
          <w:tcPr>
            <w:tcW w:w="5468" w:type="dxa"/>
            <w:gridSpan w:val="2"/>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top"/>
          </w:tcPr>
          <w:p>
            <w:pPr>
              <w:keepNext w:val="0"/>
              <w:keepLines w:val="0"/>
              <w:pageBreakBefore w:val="0"/>
              <w:widowControl/>
              <w:kinsoku/>
              <w:wordWrap/>
              <w:overflowPunct/>
              <w:topLinePunct w:val="0"/>
              <w:autoSpaceDE/>
              <w:autoSpaceDN/>
              <w:bidi w:val="0"/>
              <w:adjustRightInd/>
              <w:snapToGrid/>
              <w:spacing w:line="300" w:lineRule="exact"/>
              <w:textAlignment w:val="auto"/>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安装调试及辅材</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1.安装，调试，辅材（网线，水晶头，线管，线槽，电源线等）</w:t>
            </w:r>
          </w:p>
        </w:tc>
        <w:tc>
          <w:tcPr>
            <w:tcW w:w="1020"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项</w:t>
            </w:r>
          </w:p>
        </w:tc>
        <w:tc>
          <w:tcPr>
            <w:tcW w:w="885"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r>
      <w:tr>
        <w:tblPrEx>
          <w:tblCellMar>
            <w:top w:w="0" w:type="dxa"/>
            <w:left w:w="0" w:type="dxa"/>
            <w:bottom w:w="0" w:type="dxa"/>
            <w:right w:w="0" w:type="dxa"/>
          </w:tblCellMar>
        </w:tblPrEx>
        <w:trPr>
          <w:trHeight w:val="216" w:hRule="atLeast"/>
          <w:jc w:val="center"/>
        </w:trPr>
        <w:tc>
          <w:tcPr>
            <w:tcW w:w="917"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jc w:val="left"/>
              <w:rPr>
                <w:rFonts w:hint="eastAsia" w:ascii="宋体" w:hAnsi="宋体" w:eastAsia="宋体" w:cs="宋体"/>
                <w:i w:val="0"/>
                <w:color w:val="000000"/>
                <w:sz w:val="20"/>
                <w:szCs w:val="20"/>
                <w:u w:val="none"/>
              </w:rPr>
            </w:pPr>
          </w:p>
        </w:tc>
        <w:tc>
          <w:tcPr>
            <w:tcW w:w="133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jc w:val="left"/>
              <w:rPr>
                <w:rFonts w:hint="eastAsia" w:ascii="宋体" w:hAnsi="宋体" w:eastAsia="宋体" w:cs="宋体"/>
                <w:i w:val="0"/>
                <w:color w:val="000000"/>
                <w:sz w:val="20"/>
                <w:szCs w:val="20"/>
                <w:u w:val="none"/>
              </w:rPr>
            </w:pPr>
          </w:p>
        </w:tc>
        <w:tc>
          <w:tcPr>
            <w:tcW w:w="5468" w:type="dxa"/>
            <w:gridSpan w:val="2"/>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top"/>
          </w:tcPr>
          <w:p>
            <w:pP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Φ3.75  显示屏</w:t>
            </w:r>
          </w:p>
        </w:tc>
        <w:tc>
          <w:tcPr>
            <w:tcW w:w="1020"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jc w:val="center"/>
              <w:rPr>
                <w:rFonts w:hint="eastAsia" w:ascii="宋体" w:hAnsi="宋体" w:eastAsia="宋体" w:cs="宋体"/>
                <w:i w:val="0"/>
                <w:color w:val="000000"/>
                <w:sz w:val="20"/>
                <w:szCs w:val="20"/>
                <w:u w:val="none"/>
              </w:rPr>
            </w:pPr>
          </w:p>
        </w:tc>
        <w:tc>
          <w:tcPr>
            <w:tcW w:w="885"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jc w:val="center"/>
              <w:rPr>
                <w:rFonts w:hint="eastAsia" w:ascii="宋体" w:hAnsi="宋体" w:eastAsia="宋体" w:cs="宋体"/>
                <w:i w:val="0"/>
                <w:color w:val="000000"/>
                <w:sz w:val="20"/>
                <w:szCs w:val="20"/>
                <w:u w:val="none"/>
              </w:rPr>
            </w:pPr>
          </w:p>
        </w:tc>
      </w:tr>
      <w:tr>
        <w:tblPrEx>
          <w:tblCellMar>
            <w:top w:w="0" w:type="dxa"/>
            <w:left w:w="0" w:type="dxa"/>
            <w:bottom w:w="0" w:type="dxa"/>
            <w:right w:w="0" w:type="dxa"/>
          </w:tblCellMar>
        </w:tblPrEx>
        <w:trPr>
          <w:trHeight w:val="216" w:hRule="atLeast"/>
          <w:jc w:val="center"/>
        </w:trPr>
        <w:tc>
          <w:tcPr>
            <w:tcW w:w="917"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8</w:t>
            </w:r>
          </w:p>
        </w:tc>
        <w:tc>
          <w:tcPr>
            <w:tcW w:w="133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031208017004</w:t>
            </w:r>
          </w:p>
        </w:tc>
        <w:tc>
          <w:tcPr>
            <w:tcW w:w="5468" w:type="dxa"/>
            <w:gridSpan w:val="2"/>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top"/>
          </w:tcPr>
          <w:p>
            <w:pPr>
              <w:keepNext w:val="0"/>
              <w:keepLines w:val="0"/>
              <w:pageBreakBefore w:val="0"/>
              <w:widowControl/>
              <w:kinsoku/>
              <w:wordWrap/>
              <w:overflowPunct/>
              <w:topLinePunct w:val="0"/>
              <w:autoSpaceDE/>
              <w:autoSpaceDN/>
              <w:bidi w:val="0"/>
              <w:adjustRightInd/>
              <w:snapToGrid/>
              <w:spacing w:line="300" w:lineRule="exact"/>
              <w:textAlignment w:val="auto"/>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显示装置</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1.名称:Φ3.75  显示屏</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2.技术参数：扫描方式 1/16扫描</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驱动方式 恒流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结构特点 灯驱合一</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点间距（MM） 4.75</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单元板像素（点） 64*32</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像素密度（点/㎡） 44321</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亮度（cd/㎡） 400</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单元板重量（kg） 0.29</w:t>
            </w:r>
          </w:p>
          <w:p>
            <w:pPr>
              <w:keepNext w:val="0"/>
              <w:keepLines w:val="0"/>
              <w:pageBreakBefore w:val="0"/>
              <w:widowControl/>
              <w:kinsoku/>
              <w:wordWrap/>
              <w:overflowPunct/>
              <w:topLinePunct w:val="0"/>
              <w:autoSpaceDE/>
              <w:autoSpaceDN/>
              <w:bidi w:val="0"/>
              <w:adjustRightInd/>
              <w:snapToGrid/>
              <w:spacing w:line="300" w:lineRule="exact"/>
              <w:textAlignment w:val="auto"/>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最大电流（A） 2.0</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整屏功耗（W/㎡） 205</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最佳视距（m） 5</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灯管类型 SMD2020</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驱动IC 恒流驱动芯片</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刷新率（Hz） 75</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可视角度（°） 水平102°  垂直120°</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灰度等级（Bit） 8</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1.本体安装</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2.单体调试</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3.试运行</w:t>
            </w:r>
          </w:p>
        </w:tc>
        <w:tc>
          <w:tcPr>
            <w:tcW w:w="1020"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m2</w:t>
            </w:r>
          </w:p>
        </w:tc>
        <w:tc>
          <w:tcPr>
            <w:tcW w:w="885"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5.73</w:t>
            </w:r>
          </w:p>
        </w:tc>
      </w:tr>
      <w:tr>
        <w:tblPrEx>
          <w:tblCellMar>
            <w:top w:w="0" w:type="dxa"/>
            <w:left w:w="0" w:type="dxa"/>
            <w:bottom w:w="0" w:type="dxa"/>
            <w:right w:w="0" w:type="dxa"/>
          </w:tblCellMar>
        </w:tblPrEx>
        <w:trPr>
          <w:trHeight w:val="256" w:hRule="atLeast"/>
          <w:jc w:val="center"/>
        </w:trPr>
        <w:tc>
          <w:tcPr>
            <w:tcW w:w="917"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w:t>
            </w:r>
          </w:p>
        </w:tc>
        <w:tc>
          <w:tcPr>
            <w:tcW w:w="133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CB012</w:t>
            </w:r>
          </w:p>
        </w:tc>
        <w:tc>
          <w:tcPr>
            <w:tcW w:w="5468" w:type="dxa"/>
            <w:gridSpan w:val="2"/>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top"/>
          </w:tcPr>
          <w:p>
            <w:pPr>
              <w:keepNext w:val="0"/>
              <w:keepLines w:val="0"/>
              <w:pageBreakBefore w:val="0"/>
              <w:widowControl/>
              <w:kinsoku/>
              <w:wordWrap/>
              <w:overflowPunct/>
              <w:topLinePunct w:val="0"/>
              <w:autoSpaceDE/>
              <w:autoSpaceDN/>
              <w:bidi w:val="0"/>
              <w:adjustRightInd/>
              <w:snapToGrid/>
              <w:spacing w:line="300" w:lineRule="exact"/>
              <w:textAlignment w:val="auto"/>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LED屏结构及包边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1.20*40方管</w:t>
            </w:r>
          </w:p>
        </w:tc>
        <w:tc>
          <w:tcPr>
            <w:tcW w:w="1020"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885"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5.73</w:t>
            </w:r>
          </w:p>
        </w:tc>
      </w:tr>
      <w:tr>
        <w:tblPrEx>
          <w:tblCellMar>
            <w:top w:w="0" w:type="dxa"/>
            <w:left w:w="0" w:type="dxa"/>
            <w:bottom w:w="0" w:type="dxa"/>
            <w:right w:w="0" w:type="dxa"/>
          </w:tblCellMar>
        </w:tblPrEx>
        <w:trPr>
          <w:trHeight w:val="288" w:hRule="atLeast"/>
          <w:jc w:val="center"/>
        </w:trPr>
        <w:tc>
          <w:tcPr>
            <w:tcW w:w="917"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w:t>
            </w:r>
          </w:p>
        </w:tc>
        <w:tc>
          <w:tcPr>
            <w:tcW w:w="133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CB013</w:t>
            </w:r>
          </w:p>
        </w:tc>
        <w:tc>
          <w:tcPr>
            <w:tcW w:w="5468" w:type="dxa"/>
            <w:gridSpan w:val="2"/>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top"/>
          </w:tcPr>
          <w:p>
            <w:pPr>
              <w:keepNext w:val="0"/>
              <w:keepLines w:val="0"/>
              <w:pageBreakBefore w:val="0"/>
              <w:widowControl/>
              <w:kinsoku/>
              <w:wordWrap/>
              <w:overflowPunct/>
              <w:topLinePunct w:val="0"/>
              <w:autoSpaceDE/>
              <w:autoSpaceDN/>
              <w:bidi w:val="0"/>
              <w:adjustRightInd/>
              <w:snapToGrid/>
              <w:spacing w:line="300" w:lineRule="exact"/>
              <w:textAlignment w:val="auto"/>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安装调试及辅材</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1.安装，调试，辅材（网线，水晶头，线管，线槽，电源线等）</w:t>
            </w:r>
          </w:p>
        </w:tc>
        <w:tc>
          <w:tcPr>
            <w:tcW w:w="1020"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项</w:t>
            </w:r>
          </w:p>
        </w:tc>
        <w:tc>
          <w:tcPr>
            <w:tcW w:w="885"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r>
      <w:tr>
        <w:tblPrEx>
          <w:tblCellMar>
            <w:top w:w="0" w:type="dxa"/>
            <w:left w:w="0" w:type="dxa"/>
            <w:bottom w:w="0" w:type="dxa"/>
            <w:right w:w="0" w:type="dxa"/>
          </w:tblCellMar>
        </w:tblPrEx>
        <w:trPr>
          <w:trHeight w:val="364" w:hRule="atLeast"/>
          <w:jc w:val="center"/>
        </w:trPr>
        <w:tc>
          <w:tcPr>
            <w:tcW w:w="917"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jc w:val="left"/>
              <w:rPr>
                <w:rFonts w:hint="eastAsia" w:ascii="宋体" w:hAnsi="宋体" w:eastAsia="宋体" w:cs="宋体"/>
                <w:i w:val="0"/>
                <w:color w:val="000000"/>
                <w:sz w:val="20"/>
                <w:szCs w:val="20"/>
                <w:u w:val="none"/>
              </w:rPr>
            </w:pPr>
          </w:p>
        </w:tc>
        <w:tc>
          <w:tcPr>
            <w:tcW w:w="133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jc w:val="left"/>
              <w:rPr>
                <w:rFonts w:hint="eastAsia" w:ascii="宋体" w:hAnsi="宋体" w:eastAsia="宋体" w:cs="宋体"/>
                <w:i w:val="0"/>
                <w:color w:val="000000"/>
                <w:sz w:val="20"/>
                <w:szCs w:val="20"/>
                <w:u w:val="none"/>
              </w:rPr>
            </w:pPr>
          </w:p>
        </w:tc>
        <w:tc>
          <w:tcPr>
            <w:tcW w:w="5468" w:type="dxa"/>
            <w:gridSpan w:val="2"/>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P2  LED显示屏</w:t>
            </w:r>
          </w:p>
        </w:tc>
        <w:tc>
          <w:tcPr>
            <w:tcW w:w="1020"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jc w:val="center"/>
              <w:rPr>
                <w:rFonts w:hint="eastAsia" w:ascii="宋体" w:hAnsi="宋体" w:eastAsia="宋体" w:cs="宋体"/>
                <w:i w:val="0"/>
                <w:color w:val="000000"/>
                <w:sz w:val="20"/>
                <w:szCs w:val="20"/>
                <w:u w:val="none"/>
              </w:rPr>
            </w:pPr>
          </w:p>
        </w:tc>
        <w:tc>
          <w:tcPr>
            <w:tcW w:w="885"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jc w:val="center"/>
              <w:rPr>
                <w:rFonts w:hint="eastAsia" w:ascii="宋体" w:hAnsi="宋体" w:eastAsia="宋体" w:cs="宋体"/>
                <w:i w:val="0"/>
                <w:color w:val="000000"/>
                <w:sz w:val="20"/>
                <w:szCs w:val="20"/>
                <w:u w:val="none"/>
              </w:rPr>
            </w:pPr>
          </w:p>
        </w:tc>
      </w:tr>
      <w:tr>
        <w:tblPrEx>
          <w:tblCellMar>
            <w:top w:w="0" w:type="dxa"/>
            <w:left w:w="0" w:type="dxa"/>
            <w:bottom w:w="0" w:type="dxa"/>
            <w:right w:w="0" w:type="dxa"/>
          </w:tblCellMar>
        </w:tblPrEx>
        <w:trPr>
          <w:trHeight w:val="90" w:hRule="atLeast"/>
          <w:jc w:val="center"/>
        </w:trPr>
        <w:tc>
          <w:tcPr>
            <w:tcW w:w="917" w:type="dxa"/>
            <w:tcBorders>
              <w:top w:val="single" w:color="000000" w:sz="4" w:space="0"/>
              <w:left w:val="single" w:color="000000" w:sz="8"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11</w:t>
            </w:r>
          </w:p>
        </w:tc>
        <w:tc>
          <w:tcPr>
            <w:tcW w:w="1339" w:type="dxa"/>
            <w:tcBorders>
              <w:top w:val="single" w:color="000000" w:sz="4" w:space="0"/>
              <w:left w:val="single" w:color="000000" w:sz="4"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031208017005</w:t>
            </w:r>
          </w:p>
        </w:tc>
        <w:tc>
          <w:tcPr>
            <w:tcW w:w="5468" w:type="dxa"/>
            <w:gridSpan w:val="2"/>
            <w:tcBorders>
              <w:top w:val="single" w:color="000000" w:sz="4" w:space="0"/>
              <w:left w:val="single" w:color="000000" w:sz="4"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显示装置</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名称:P1.875  LED显示屏</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像素封装 SMD1515</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像素间距（mm） 1.875</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模组分辨率（W×H） 128×128=16384</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驱动IC 双锁存</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接口定义 HUB75</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模组尺寸（mm） 240（W）×240（H）×14（D）</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模组重量（kg） 0.25</w:t>
            </w:r>
          </w:p>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模组最大功耗（W） ≤40</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维护方式 前后全维护</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逐点色度、亮度校正技术 支持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白平衡亮度（nits） ≥500</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标准色温（K） 6500K (1000K～9500K可调)</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视角（水平/垂直°） 140/120</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发光点中心距偏差 &lt;2%</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亮度/色度均匀性 ≥97%</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对比度 6000:1</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最大功耗（W/m2） 468</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平均功耗 (W/m2) 156</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供电要求 AC90～132V/ AC186～264V，频率47-63（Hz）</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安全特性 GB4943/EN60950</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换帧频率 50Hz&amp;60Hz</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驱动方式 恒流驱动/26扫</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灰度级别 16384</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刷新率 ≥3840Hz</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颜色处理位数 14bit</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视频播放能力 FullHD、Ultra HD、SHV                            寿命典型值（hrs） 100,000H</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工作温/湿度范围 -10℃–40℃  / 10%-80%RH（无结露）</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存储温/湿度范围 -20℃–60℃  / 10%-85%RH（无结露）</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适用标准 CCC、CE-MEC、CE-LVD、FCC、RoHS、CQC节能</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（1）、为保证安全，所使用PCB通过燃烧试验，满足防火V-O要求；                                                                                                                     [工作内容]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1.本体安装</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2.单体调试</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3.试运行</w:t>
            </w:r>
          </w:p>
        </w:tc>
        <w:tc>
          <w:tcPr>
            <w:tcW w:w="1020" w:type="dxa"/>
            <w:tcBorders>
              <w:top w:val="single" w:color="000000" w:sz="4" w:space="0"/>
              <w:left w:val="single" w:color="000000" w:sz="4"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m2</w:t>
            </w:r>
          </w:p>
        </w:tc>
        <w:tc>
          <w:tcPr>
            <w:tcW w:w="885" w:type="dxa"/>
            <w:tcBorders>
              <w:top w:val="single" w:color="000000" w:sz="4" w:space="0"/>
              <w:left w:val="single" w:color="000000" w:sz="4" w:space="0"/>
              <w:bottom w:val="single" w:color="000000" w:sz="8"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9.68</w:t>
            </w:r>
          </w:p>
        </w:tc>
      </w:tr>
      <w:tr>
        <w:tblPrEx>
          <w:tblCellMar>
            <w:top w:w="0" w:type="dxa"/>
            <w:left w:w="0" w:type="dxa"/>
            <w:bottom w:w="0" w:type="dxa"/>
            <w:right w:w="0" w:type="dxa"/>
          </w:tblCellMar>
        </w:tblPrEx>
        <w:trPr>
          <w:trHeight w:val="344" w:hRule="atLeast"/>
          <w:jc w:val="center"/>
        </w:trPr>
        <w:tc>
          <w:tcPr>
            <w:tcW w:w="917" w:type="dxa"/>
            <w:tcBorders>
              <w:top w:val="single" w:color="000000" w:sz="4" w:space="0"/>
              <w:left w:val="single" w:color="000000" w:sz="8"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12</w:t>
            </w:r>
          </w:p>
        </w:tc>
        <w:tc>
          <w:tcPr>
            <w:tcW w:w="1339" w:type="dxa"/>
            <w:tcBorders>
              <w:top w:val="single" w:color="000000" w:sz="4" w:space="0"/>
              <w:left w:val="single" w:color="000000" w:sz="4"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031208013005</w:t>
            </w:r>
          </w:p>
        </w:tc>
        <w:tc>
          <w:tcPr>
            <w:tcW w:w="5468" w:type="dxa"/>
            <w:gridSpan w:val="2"/>
            <w:tcBorders>
              <w:top w:val="single" w:color="000000" w:sz="4" w:space="0"/>
              <w:left w:val="single" w:color="000000" w:sz="4"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视频传输设备</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1.名称:接收卡</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2.带载像素 ： 512×256</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3.RGB数据 ： 32组RGB</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4.板载 ： 16个标准HUB75接口</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5.认证 ： RoHs</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6.逐点亮色度校正 ： 支持、单卡带载 512×256 像素。</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7.设计充分考虑用户部署、系统运行和维护时的场景，使部署更容易，运行更稳定、维护更高效。</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9.集成 16 个标准 HUB75 接口，免接 HUB 板。</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10.采用千兆网口，可以连接 PC 端。</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11.支持逐点亮色度校正。</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12.支持接收卡预存画面设置。</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13.支持温度、电压、网线通讯和视频源信号状态检测。</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14支持 5Pin 液晶模块。</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1.本体安装</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2.单体调试</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3.试运行</w:t>
            </w:r>
          </w:p>
        </w:tc>
        <w:tc>
          <w:tcPr>
            <w:tcW w:w="1020" w:type="dxa"/>
            <w:tcBorders>
              <w:top w:val="single" w:color="000000" w:sz="4" w:space="0"/>
              <w:left w:val="single" w:color="000000" w:sz="4"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张</w:t>
            </w:r>
          </w:p>
        </w:tc>
        <w:tc>
          <w:tcPr>
            <w:tcW w:w="885" w:type="dxa"/>
            <w:tcBorders>
              <w:top w:val="single" w:color="000000" w:sz="4" w:space="0"/>
              <w:left w:val="single" w:color="000000" w:sz="4" w:space="0"/>
              <w:bottom w:val="single" w:color="000000" w:sz="8"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48</w:t>
            </w:r>
          </w:p>
        </w:tc>
      </w:tr>
      <w:tr>
        <w:tblPrEx>
          <w:tblCellMar>
            <w:top w:w="0" w:type="dxa"/>
            <w:left w:w="0" w:type="dxa"/>
            <w:bottom w:w="0" w:type="dxa"/>
            <w:right w:w="0" w:type="dxa"/>
          </w:tblCellMar>
        </w:tblPrEx>
        <w:trPr>
          <w:trHeight w:val="291" w:hRule="atLeast"/>
          <w:jc w:val="center"/>
        </w:trPr>
        <w:tc>
          <w:tcPr>
            <w:tcW w:w="917" w:type="dxa"/>
            <w:tcBorders>
              <w:top w:val="single" w:color="000000" w:sz="4" w:space="0"/>
              <w:left w:val="single" w:color="000000" w:sz="8"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13</w:t>
            </w:r>
          </w:p>
        </w:tc>
        <w:tc>
          <w:tcPr>
            <w:tcW w:w="1339" w:type="dxa"/>
            <w:tcBorders>
              <w:top w:val="single" w:color="000000" w:sz="4" w:space="0"/>
              <w:left w:val="single" w:color="000000" w:sz="4"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031101005003</w:t>
            </w:r>
          </w:p>
        </w:tc>
        <w:tc>
          <w:tcPr>
            <w:tcW w:w="5468" w:type="dxa"/>
            <w:gridSpan w:val="2"/>
            <w:tcBorders>
              <w:top w:val="single" w:color="000000" w:sz="4" w:space="0"/>
              <w:left w:val="single" w:color="000000" w:sz="4" w:space="0"/>
              <w:bottom w:val="single" w:color="000000" w:sz="8" w:space="0"/>
              <w:right w:val="single" w:color="000000" w:sz="4" w:space="0"/>
            </w:tcBorders>
            <w:shd w:val="clear" w:color="FFFFFF" w:fill="FFFFFF"/>
            <w:noWrap w:val="0"/>
            <w:tcMar>
              <w:top w:w="12" w:type="dxa"/>
              <w:left w:w="12" w:type="dxa"/>
              <w:right w:w="12" w:type="dxa"/>
            </w:tcMar>
            <w:vAlign w:val="top"/>
          </w:tcPr>
          <w:p>
            <w:pPr>
              <w:keepNext w:val="0"/>
              <w:keepLines w:val="0"/>
              <w:pageBreakBefore w:val="0"/>
              <w:widowControl/>
              <w:kinsoku/>
              <w:wordWrap/>
              <w:overflowPunct/>
              <w:topLinePunct w:val="0"/>
              <w:autoSpaceDE/>
              <w:autoSpaceDN/>
              <w:bidi w:val="0"/>
              <w:adjustRightInd/>
              <w:snapToGrid/>
              <w:spacing w:line="300" w:lineRule="exact"/>
              <w:textAlignment w:val="auto"/>
              <w:rPr>
                <w:rFonts w:hint="eastAsia" w:ascii="仿宋" w:hAnsi="仿宋" w:eastAsia="仿宋" w:cs="Calibri Light"/>
                <w:kern w:val="2"/>
                <w:sz w:val="18"/>
                <w:szCs w:val="18"/>
                <w:lang w:val="en-US" w:eastAsia="zh-CN" w:bidi="ar-SA"/>
              </w:rPr>
            </w:pPr>
            <w:r>
              <w:rPr>
                <w:rFonts w:hint="eastAsia" w:ascii="宋体" w:hAnsi="宋体" w:eastAsia="宋体" w:cs="宋体"/>
                <w:i w:val="0"/>
                <w:color w:val="000000"/>
                <w:kern w:val="0"/>
                <w:sz w:val="20"/>
                <w:szCs w:val="20"/>
                <w:u w:val="none"/>
                <w:lang w:val="en-US" w:eastAsia="zh-CN" w:bidi="ar"/>
              </w:rPr>
              <w:t xml:space="preserve">开关电源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1.标准超薄产品，高度31mm</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2.输入电压：180～264VAC</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3.-30~+70℃工作温度（具体查看降额曲线）</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4.无风扇自然冷却</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5.短路/过载保护功能</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6.100%满载老化</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7.效率高、高可靠性</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▲为保证使用安全性所投电源通过3C认证，并提供证明材料</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1.开关电源安装</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2.系统调测</w:t>
            </w:r>
          </w:p>
        </w:tc>
        <w:tc>
          <w:tcPr>
            <w:tcW w:w="1020" w:type="dxa"/>
            <w:tcBorders>
              <w:top w:val="single" w:color="000000" w:sz="4" w:space="0"/>
              <w:left w:val="single" w:color="000000" w:sz="4"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台</w:t>
            </w:r>
          </w:p>
        </w:tc>
        <w:tc>
          <w:tcPr>
            <w:tcW w:w="885" w:type="dxa"/>
            <w:tcBorders>
              <w:top w:val="single" w:color="000000" w:sz="4" w:space="0"/>
              <w:left w:val="single" w:color="000000" w:sz="4" w:space="0"/>
              <w:bottom w:val="single" w:color="000000" w:sz="8"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42</w:t>
            </w:r>
          </w:p>
        </w:tc>
      </w:tr>
      <w:tr>
        <w:trPr>
          <w:trHeight w:val="90" w:hRule="atLeast"/>
          <w:jc w:val="center"/>
        </w:trPr>
        <w:tc>
          <w:tcPr>
            <w:tcW w:w="917"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14</w:t>
            </w:r>
          </w:p>
        </w:tc>
        <w:tc>
          <w:tcPr>
            <w:tcW w:w="133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CB014</w:t>
            </w:r>
          </w:p>
        </w:tc>
        <w:tc>
          <w:tcPr>
            <w:tcW w:w="5468" w:type="dxa"/>
            <w:gridSpan w:val="2"/>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LED屏结构及包边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1.国标钢材料，精准定位，包边采用不锈钢材料。</w:t>
            </w:r>
          </w:p>
        </w:tc>
        <w:tc>
          <w:tcPr>
            <w:tcW w:w="1020"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885"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9.68</w:t>
            </w:r>
          </w:p>
        </w:tc>
      </w:tr>
      <w:tr>
        <w:tblPrEx>
          <w:tblCellMar>
            <w:top w:w="0" w:type="dxa"/>
            <w:left w:w="0" w:type="dxa"/>
            <w:bottom w:w="0" w:type="dxa"/>
            <w:right w:w="0" w:type="dxa"/>
          </w:tblCellMar>
        </w:tblPrEx>
        <w:trPr>
          <w:trHeight w:val="987" w:hRule="atLeast"/>
          <w:jc w:val="center"/>
        </w:trPr>
        <w:tc>
          <w:tcPr>
            <w:tcW w:w="917"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15</w:t>
            </w:r>
          </w:p>
        </w:tc>
        <w:tc>
          <w:tcPr>
            <w:tcW w:w="133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CB015</w:t>
            </w:r>
          </w:p>
        </w:tc>
        <w:tc>
          <w:tcPr>
            <w:tcW w:w="5468" w:type="dxa"/>
            <w:gridSpan w:val="2"/>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安装调试及辅材</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1.安装，调试，辅材（网线，水晶头，线管，线槽，电源线等）</w:t>
            </w:r>
          </w:p>
        </w:tc>
        <w:tc>
          <w:tcPr>
            <w:tcW w:w="1020"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项</w:t>
            </w:r>
          </w:p>
        </w:tc>
        <w:tc>
          <w:tcPr>
            <w:tcW w:w="885"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r>
      <w:tr>
        <w:tblPrEx>
          <w:tblCellMar>
            <w:top w:w="0" w:type="dxa"/>
            <w:left w:w="0" w:type="dxa"/>
            <w:bottom w:w="0" w:type="dxa"/>
            <w:right w:w="0" w:type="dxa"/>
          </w:tblCellMar>
        </w:tblPrEx>
        <w:trPr>
          <w:trHeight w:val="201" w:hRule="atLeast"/>
          <w:jc w:val="center"/>
        </w:trPr>
        <w:tc>
          <w:tcPr>
            <w:tcW w:w="917"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jc w:val="left"/>
              <w:rPr>
                <w:rFonts w:hint="eastAsia" w:ascii="宋体" w:hAnsi="宋体" w:eastAsia="宋体" w:cs="宋体"/>
                <w:i w:val="0"/>
                <w:color w:val="000000"/>
                <w:sz w:val="20"/>
                <w:szCs w:val="20"/>
                <w:u w:val="none"/>
              </w:rPr>
            </w:pPr>
          </w:p>
        </w:tc>
        <w:tc>
          <w:tcPr>
            <w:tcW w:w="133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jc w:val="left"/>
              <w:rPr>
                <w:rFonts w:hint="eastAsia" w:ascii="宋体" w:hAnsi="宋体" w:eastAsia="宋体" w:cs="宋体"/>
                <w:i w:val="0"/>
                <w:color w:val="000000"/>
                <w:sz w:val="20"/>
                <w:szCs w:val="20"/>
                <w:u w:val="none"/>
              </w:rPr>
            </w:pPr>
          </w:p>
        </w:tc>
        <w:tc>
          <w:tcPr>
            <w:tcW w:w="5468" w:type="dxa"/>
            <w:gridSpan w:val="2"/>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控制室</w:t>
            </w:r>
          </w:p>
        </w:tc>
        <w:tc>
          <w:tcPr>
            <w:tcW w:w="1020"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jc w:val="center"/>
              <w:rPr>
                <w:rFonts w:hint="eastAsia" w:ascii="宋体" w:hAnsi="宋体" w:eastAsia="宋体" w:cs="宋体"/>
                <w:i w:val="0"/>
                <w:color w:val="000000"/>
                <w:sz w:val="20"/>
                <w:szCs w:val="20"/>
                <w:u w:val="none"/>
              </w:rPr>
            </w:pPr>
          </w:p>
        </w:tc>
        <w:tc>
          <w:tcPr>
            <w:tcW w:w="885"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jc w:val="center"/>
              <w:rPr>
                <w:rFonts w:hint="eastAsia" w:ascii="宋体" w:hAnsi="宋体" w:eastAsia="宋体" w:cs="宋体"/>
                <w:i w:val="0"/>
                <w:color w:val="000000"/>
                <w:sz w:val="20"/>
                <w:szCs w:val="20"/>
                <w:u w:val="none"/>
              </w:rPr>
            </w:pPr>
          </w:p>
        </w:tc>
      </w:tr>
      <w:tr>
        <w:tblPrEx>
          <w:tblCellMar>
            <w:top w:w="0" w:type="dxa"/>
            <w:left w:w="0" w:type="dxa"/>
            <w:bottom w:w="0" w:type="dxa"/>
            <w:right w:w="0" w:type="dxa"/>
          </w:tblCellMar>
        </w:tblPrEx>
        <w:trPr>
          <w:trHeight w:val="1652" w:hRule="atLeast"/>
          <w:jc w:val="center"/>
        </w:trPr>
        <w:tc>
          <w:tcPr>
            <w:tcW w:w="917"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16</w:t>
            </w:r>
          </w:p>
        </w:tc>
        <w:tc>
          <w:tcPr>
            <w:tcW w:w="133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CB016</w:t>
            </w:r>
          </w:p>
        </w:tc>
        <w:tc>
          <w:tcPr>
            <w:tcW w:w="5468" w:type="dxa"/>
            <w:gridSpan w:val="2"/>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操作台</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1.规格定制，台面采 用25mm厚面板、 桌体采用18mm厚实木多层板，三胺双贴面，颜色可选，同色2.0mm 厚pVc封边，进口热熔胶粘接，设置键盘、主机位，等设备位置，不绣钢拉手，五金件，整体结构合理，美观。</w:t>
            </w:r>
          </w:p>
        </w:tc>
        <w:tc>
          <w:tcPr>
            <w:tcW w:w="1020"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张</w:t>
            </w:r>
          </w:p>
        </w:tc>
        <w:tc>
          <w:tcPr>
            <w:tcW w:w="885"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w:t>
            </w:r>
          </w:p>
        </w:tc>
      </w:tr>
      <w:tr>
        <w:tblPrEx>
          <w:tblCellMar>
            <w:top w:w="0" w:type="dxa"/>
            <w:left w:w="0" w:type="dxa"/>
            <w:bottom w:w="0" w:type="dxa"/>
            <w:right w:w="0" w:type="dxa"/>
          </w:tblCellMar>
        </w:tblPrEx>
        <w:trPr>
          <w:trHeight w:val="90" w:hRule="atLeast"/>
          <w:jc w:val="center"/>
        </w:trPr>
        <w:tc>
          <w:tcPr>
            <w:tcW w:w="917" w:type="dxa"/>
            <w:tcBorders>
              <w:top w:val="single" w:color="000000" w:sz="4" w:space="0"/>
              <w:left w:val="single" w:color="000000" w:sz="8"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17</w:t>
            </w:r>
          </w:p>
        </w:tc>
        <w:tc>
          <w:tcPr>
            <w:tcW w:w="1339" w:type="dxa"/>
            <w:tcBorders>
              <w:top w:val="single" w:color="000000" w:sz="4" w:space="0"/>
              <w:left w:val="single" w:color="000000" w:sz="4"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031103013001</w:t>
            </w:r>
          </w:p>
        </w:tc>
        <w:tc>
          <w:tcPr>
            <w:tcW w:w="5468" w:type="dxa"/>
            <w:gridSpan w:val="2"/>
            <w:tcBorders>
              <w:top w:val="single" w:color="000000" w:sz="4" w:space="0"/>
              <w:left w:val="single" w:color="000000" w:sz="4"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落地式机柜、机架</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1.名称：机柜</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2.技术参数：参数要求：</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尺寸：600mm*1000mm，高度≧42U，SPCC优质冷扎钢板制作；</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配置：前后为网孔门</w:t>
            </w:r>
          </w:p>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承载：静载≧800KG</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防护等级：≧IP20</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 xml:space="preserve">厚度：方孔条≧2.0mm，安装梁≧1.5mm，其它≧1.2mm  可关闭的上部、下部多处走线通道，底部大走线孔尺寸可按需调整 ;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 xml:space="preserve">表面处理：方孔条镀铝锌；其余：脱脂、磷化、静电喷塑。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可选配安装底座，达到固定机柜、底部过线、底部送冷风、防鼠的要求；</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1.安装</w:t>
            </w:r>
          </w:p>
        </w:tc>
        <w:tc>
          <w:tcPr>
            <w:tcW w:w="1020" w:type="dxa"/>
            <w:tcBorders>
              <w:top w:val="single" w:color="000000" w:sz="4" w:space="0"/>
              <w:left w:val="single" w:color="000000" w:sz="4"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台</w:t>
            </w:r>
          </w:p>
        </w:tc>
        <w:tc>
          <w:tcPr>
            <w:tcW w:w="885" w:type="dxa"/>
            <w:tcBorders>
              <w:top w:val="single" w:color="000000" w:sz="4" w:space="0"/>
              <w:left w:val="single" w:color="000000" w:sz="4" w:space="0"/>
              <w:bottom w:val="single" w:color="000000" w:sz="8"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w:t>
            </w:r>
          </w:p>
        </w:tc>
      </w:tr>
      <w:tr>
        <w:tblPrEx>
          <w:tblCellMar>
            <w:top w:w="0" w:type="dxa"/>
            <w:left w:w="0" w:type="dxa"/>
            <w:bottom w:w="0" w:type="dxa"/>
            <w:right w:w="0" w:type="dxa"/>
          </w:tblCellMar>
        </w:tblPrEx>
        <w:trPr>
          <w:trHeight w:val="90" w:hRule="atLeast"/>
          <w:jc w:val="center"/>
        </w:trPr>
        <w:tc>
          <w:tcPr>
            <w:tcW w:w="917" w:type="dxa"/>
            <w:tcBorders>
              <w:top w:val="single" w:color="000000" w:sz="4" w:space="0"/>
              <w:left w:val="single" w:color="000000" w:sz="8"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18</w:t>
            </w:r>
          </w:p>
        </w:tc>
        <w:tc>
          <w:tcPr>
            <w:tcW w:w="1339" w:type="dxa"/>
            <w:tcBorders>
              <w:top w:val="single" w:color="000000" w:sz="4" w:space="0"/>
              <w:left w:val="single" w:color="000000" w:sz="4"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031202001008</w:t>
            </w:r>
          </w:p>
        </w:tc>
        <w:tc>
          <w:tcPr>
            <w:tcW w:w="5468" w:type="dxa"/>
            <w:gridSpan w:val="2"/>
            <w:tcBorders>
              <w:top w:val="single" w:color="000000" w:sz="4" w:space="0"/>
              <w:left w:val="single" w:color="000000" w:sz="4"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终端设备</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1.名称:控制电脑</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2.技术参数：主要需求或性能描述：</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 xml:space="preserve">1. CPU： ≥I5-8500(inte八代酷睿六核 I5-8500,主频3.0GHz，9M缓存)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 主板：≥Intel B360及以上，2个PCI-Ex1 ，1个PCI-Ex16 ，1个PCI，1个九针COM串口、1个VGA、1个HDMI， 2个PS/2接口；10个USB接口，其中前置6个USB3.0接口，后置4个USB2.0接口；</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 内存：≥4GB DDR4 2400；</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 硬盘：≥1T 7200转 SATA；</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5. 显卡： 2G独立显卡；</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6. 网卡、声卡：集成10M/100/1000MB自适应网卡；集成HD Audio，支持5.1声道（提供前2后3共5个音频接口）</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7. 光驱：DVDRW光驱</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8. 机箱：标准MATX立式机箱，顶部提手，机箱体积不大于15L</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9. 键鼠：PS/2抗菌键盘、USB光电鼠标；</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 xml:space="preserve">10. 电源：220V 180W电源；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 xml:space="preserve"> 11.软件：同品牌软件方式实现网络同传和硬盘保护功能，支持断电续传功能，同传未结束前断电或断点后均可继续同传，终端端口锁定功能，可以锁定键盘、鼠标、USB口、网口等 ，防止数据拷贝 ；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 xml:space="preserve">12. 操作系统：出厂预装正版WIN10操作系统；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13. 显示器：≥21.5英寸LED背光液晶显示屏；</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14. 售后服务：原厂商承诺主机三年保修</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1.本体安装</w:t>
            </w:r>
          </w:p>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2.单体测试</w:t>
            </w:r>
          </w:p>
        </w:tc>
        <w:tc>
          <w:tcPr>
            <w:tcW w:w="1020" w:type="dxa"/>
            <w:tcBorders>
              <w:top w:val="single" w:color="000000" w:sz="4" w:space="0"/>
              <w:left w:val="single" w:color="000000" w:sz="4"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台</w:t>
            </w:r>
          </w:p>
        </w:tc>
        <w:tc>
          <w:tcPr>
            <w:tcW w:w="885" w:type="dxa"/>
            <w:tcBorders>
              <w:top w:val="single" w:color="000000" w:sz="4" w:space="0"/>
              <w:left w:val="single" w:color="000000" w:sz="4" w:space="0"/>
              <w:bottom w:val="single" w:color="000000" w:sz="8"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2</w:t>
            </w:r>
          </w:p>
        </w:tc>
      </w:tr>
      <w:tr>
        <w:tblPrEx>
          <w:tblCellMar>
            <w:top w:w="0" w:type="dxa"/>
            <w:left w:w="0" w:type="dxa"/>
            <w:bottom w:w="0" w:type="dxa"/>
            <w:right w:w="0" w:type="dxa"/>
          </w:tblCellMar>
        </w:tblPrEx>
        <w:trPr>
          <w:trHeight w:val="364" w:hRule="atLeast"/>
          <w:jc w:val="center"/>
        </w:trPr>
        <w:tc>
          <w:tcPr>
            <w:tcW w:w="917"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jc w:val="left"/>
              <w:rPr>
                <w:rFonts w:hint="eastAsia" w:ascii="宋体" w:hAnsi="宋体" w:eastAsia="宋体" w:cs="宋体"/>
                <w:i w:val="0"/>
                <w:color w:val="000000"/>
                <w:sz w:val="20"/>
                <w:szCs w:val="20"/>
                <w:u w:val="none"/>
              </w:rPr>
            </w:pPr>
          </w:p>
        </w:tc>
        <w:tc>
          <w:tcPr>
            <w:tcW w:w="133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jc w:val="left"/>
              <w:rPr>
                <w:rFonts w:hint="eastAsia" w:ascii="宋体" w:hAnsi="宋体" w:eastAsia="宋体" w:cs="宋体"/>
                <w:i w:val="0"/>
                <w:color w:val="000000"/>
                <w:sz w:val="20"/>
                <w:szCs w:val="20"/>
                <w:u w:val="none"/>
              </w:rPr>
            </w:pPr>
          </w:p>
        </w:tc>
        <w:tc>
          <w:tcPr>
            <w:tcW w:w="5468" w:type="dxa"/>
            <w:gridSpan w:val="2"/>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广告机</w:t>
            </w:r>
          </w:p>
        </w:tc>
        <w:tc>
          <w:tcPr>
            <w:tcW w:w="1020"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jc w:val="center"/>
              <w:rPr>
                <w:rFonts w:hint="eastAsia" w:ascii="宋体" w:hAnsi="宋体" w:eastAsia="宋体" w:cs="宋体"/>
                <w:i w:val="0"/>
                <w:color w:val="000000"/>
                <w:sz w:val="20"/>
                <w:szCs w:val="20"/>
                <w:u w:val="none"/>
              </w:rPr>
            </w:pPr>
          </w:p>
        </w:tc>
        <w:tc>
          <w:tcPr>
            <w:tcW w:w="885"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jc w:val="center"/>
              <w:rPr>
                <w:rFonts w:hint="eastAsia" w:ascii="宋体" w:hAnsi="宋体" w:eastAsia="宋体" w:cs="宋体"/>
                <w:i w:val="0"/>
                <w:color w:val="000000"/>
                <w:sz w:val="20"/>
                <w:szCs w:val="20"/>
                <w:u w:val="none"/>
              </w:rPr>
            </w:pPr>
          </w:p>
        </w:tc>
      </w:tr>
      <w:tr>
        <w:tblPrEx>
          <w:tblCellMar>
            <w:top w:w="0" w:type="dxa"/>
            <w:left w:w="0" w:type="dxa"/>
            <w:bottom w:w="0" w:type="dxa"/>
            <w:right w:w="0" w:type="dxa"/>
          </w:tblCellMar>
        </w:tblPrEx>
        <w:trPr>
          <w:trHeight w:val="666" w:hRule="atLeast"/>
          <w:jc w:val="center"/>
        </w:trPr>
        <w:tc>
          <w:tcPr>
            <w:tcW w:w="917"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19</w:t>
            </w:r>
          </w:p>
        </w:tc>
        <w:tc>
          <w:tcPr>
            <w:tcW w:w="133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left"/>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031208010003</w:t>
            </w:r>
          </w:p>
        </w:tc>
        <w:tc>
          <w:tcPr>
            <w:tcW w:w="5468" w:type="dxa"/>
            <w:gridSpan w:val="2"/>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left"/>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控制台和监视器柜</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1.名称:立式触控一体广告机</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2.技术参数：一、硬件部分</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1、显示屏尺寸：65英寸（16：9）</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2、显示屏类型：LED液晶显示屏</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3、画面显示尺寸：1430 (H) x 804(V)</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4、物理分辨率：1920（H）×1080（V）</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5、显示色彩：10bit, 1.07B</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6、刷新率：120HZ</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7、亮度：450cd/m2</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8、对比度：2000：1</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9、视角（度）：178°</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10、显示屏防护：4mm全钢化高防爆玻璃</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11、背光灯寿命：50000小时</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12、触摸感应技术：红外感应识别触摸技术（10点）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13、支持安卓Android 4.4.4以上版本</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14、支持双通道 64bits，SD卡支持最大128G扩展</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15、内置扬声器10W/8欧*2</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16、丰富的外面接口，支持USB、SD、HDMI、VGA、AV等</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二、其他功能：</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1、睡眠定时、关机记忆</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2、支持遥控器代替键盘，实现F1~F12按键功能，遥控电视电源开机功能</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3、支持光感识别，实现对不同光亮的环境下，自动调整屏幕亮度功能</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4、支持触摸菜单，实现返回键、菜单操作、任务预览、通道切换、音量调整、快捷电子白板操作等功能</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 xml:space="preserve">5、支持在系统主页面点击任一信号源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6、支持遥控器童锁功能</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7、支持无线wifi，有线LAN</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8、支持前置按键一键开关电脑、电视、一键电脑复位以及主页键功能</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9、支持嵌入式高清摄像头拍照，录像功能（需要选件支持）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10、前置VGA、HDMI、USB2.0、USB3.0、Touch接口，便于用户使用</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1.安装</w:t>
            </w:r>
          </w:p>
        </w:tc>
        <w:tc>
          <w:tcPr>
            <w:tcW w:w="1020"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台</w:t>
            </w:r>
          </w:p>
        </w:tc>
        <w:tc>
          <w:tcPr>
            <w:tcW w:w="885"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1</w:t>
            </w:r>
          </w:p>
        </w:tc>
      </w:tr>
      <w:tr>
        <w:tblPrEx>
          <w:tblCellMar>
            <w:top w:w="0" w:type="dxa"/>
            <w:left w:w="0" w:type="dxa"/>
            <w:bottom w:w="0" w:type="dxa"/>
            <w:right w:w="0" w:type="dxa"/>
          </w:tblCellMar>
        </w:tblPrEx>
        <w:trPr>
          <w:trHeight w:val="364" w:hRule="atLeast"/>
          <w:jc w:val="center"/>
        </w:trPr>
        <w:tc>
          <w:tcPr>
            <w:tcW w:w="917"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jc w:val="left"/>
              <w:rPr>
                <w:rFonts w:hint="eastAsia" w:ascii="宋体" w:hAnsi="宋体" w:eastAsia="宋体" w:cs="宋体"/>
                <w:i w:val="0"/>
                <w:color w:val="000000"/>
                <w:sz w:val="20"/>
                <w:szCs w:val="20"/>
                <w:u w:val="none"/>
              </w:rPr>
            </w:pPr>
          </w:p>
        </w:tc>
        <w:tc>
          <w:tcPr>
            <w:tcW w:w="133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jc w:val="left"/>
              <w:rPr>
                <w:rFonts w:hint="eastAsia" w:ascii="宋体" w:hAnsi="宋体" w:eastAsia="宋体" w:cs="宋体"/>
                <w:i w:val="0"/>
                <w:color w:val="000000"/>
                <w:sz w:val="20"/>
                <w:szCs w:val="20"/>
                <w:u w:val="none"/>
              </w:rPr>
            </w:pPr>
          </w:p>
        </w:tc>
        <w:tc>
          <w:tcPr>
            <w:tcW w:w="5468" w:type="dxa"/>
            <w:gridSpan w:val="2"/>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报告厅扩声设备</w:t>
            </w:r>
          </w:p>
        </w:tc>
        <w:tc>
          <w:tcPr>
            <w:tcW w:w="1020"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jc w:val="center"/>
              <w:rPr>
                <w:rFonts w:hint="eastAsia" w:ascii="宋体" w:hAnsi="宋体" w:eastAsia="宋体" w:cs="宋体"/>
                <w:i w:val="0"/>
                <w:color w:val="000000"/>
                <w:sz w:val="20"/>
                <w:szCs w:val="20"/>
                <w:u w:val="none"/>
              </w:rPr>
            </w:pPr>
          </w:p>
        </w:tc>
        <w:tc>
          <w:tcPr>
            <w:tcW w:w="885"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jc w:val="center"/>
              <w:rPr>
                <w:rFonts w:hint="eastAsia" w:ascii="宋体" w:hAnsi="宋体" w:eastAsia="宋体" w:cs="宋体"/>
                <w:i w:val="0"/>
                <w:color w:val="000000"/>
                <w:sz w:val="20"/>
                <w:szCs w:val="20"/>
                <w:u w:val="none"/>
              </w:rPr>
            </w:pPr>
          </w:p>
        </w:tc>
      </w:tr>
      <w:tr>
        <w:tblPrEx>
          <w:tblCellMar>
            <w:top w:w="0" w:type="dxa"/>
            <w:left w:w="0" w:type="dxa"/>
            <w:bottom w:w="0" w:type="dxa"/>
            <w:right w:w="0" w:type="dxa"/>
          </w:tblCellMar>
        </w:tblPrEx>
        <w:trPr>
          <w:trHeight w:val="364" w:hRule="atLeast"/>
          <w:jc w:val="center"/>
        </w:trPr>
        <w:tc>
          <w:tcPr>
            <w:tcW w:w="917"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jc w:val="left"/>
              <w:rPr>
                <w:rFonts w:hint="eastAsia" w:ascii="宋体" w:hAnsi="宋体" w:eastAsia="宋体" w:cs="宋体"/>
                <w:i w:val="0"/>
                <w:color w:val="000000"/>
                <w:sz w:val="20"/>
                <w:szCs w:val="20"/>
                <w:u w:val="none"/>
              </w:rPr>
            </w:pPr>
          </w:p>
        </w:tc>
        <w:tc>
          <w:tcPr>
            <w:tcW w:w="133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jc w:val="left"/>
              <w:rPr>
                <w:rFonts w:hint="eastAsia" w:ascii="宋体" w:hAnsi="宋体" w:eastAsia="宋体" w:cs="宋体"/>
                <w:i w:val="0"/>
                <w:color w:val="000000"/>
                <w:sz w:val="20"/>
                <w:szCs w:val="20"/>
                <w:u w:val="none"/>
              </w:rPr>
            </w:pPr>
          </w:p>
        </w:tc>
        <w:tc>
          <w:tcPr>
            <w:tcW w:w="5468" w:type="dxa"/>
            <w:gridSpan w:val="2"/>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音箱</w:t>
            </w:r>
          </w:p>
        </w:tc>
        <w:tc>
          <w:tcPr>
            <w:tcW w:w="1020"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jc w:val="center"/>
              <w:rPr>
                <w:rFonts w:hint="eastAsia" w:ascii="宋体" w:hAnsi="宋体" w:eastAsia="宋体" w:cs="宋体"/>
                <w:i w:val="0"/>
                <w:color w:val="000000"/>
                <w:sz w:val="20"/>
                <w:szCs w:val="20"/>
                <w:u w:val="none"/>
              </w:rPr>
            </w:pPr>
          </w:p>
        </w:tc>
        <w:tc>
          <w:tcPr>
            <w:tcW w:w="885"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jc w:val="center"/>
              <w:rPr>
                <w:rFonts w:hint="eastAsia" w:ascii="宋体" w:hAnsi="宋体" w:eastAsia="宋体" w:cs="宋体"/>
                <w:i w:val="0"/>
                <w:color w:val="000000"/>
                <w:sz w:val="20"/>
                <w:szCs w:val="20"/>
                <w:u w:val="none"/>
              </w:rPr>
            </w:pPr>
          </w:p>
        </w:tc>
      </w:tr>
      <w:tr>
        <w:tblPrEx>
          <w:tblCellMar>
            <w:top w:w="0" w:type="dxa"/>
            <w:left w:w="0" w:type="dxa"/>
            <w:bottom w:w="0" w:type="dxa"/>
            <w:right w:w="0" w:type="dxa"/>
          </w:tblCellMar>
        </w:tblPrEx>
        <w:trPr>
          <w:trHeight w:val="640" w:hRule="atLeast"/>
          <w:jc w:val="center"/>
        </w:trPr>
        <w:tc>
          <w:tcPr>
            <w:tcW w:w="917" w:type="dxa"/>
            <w:tcBorders>
              <w:top w:val="single" w:color="000000" w:sz="4" w:space="0"/>
              <w:left w:val="single" w:color="000000" w:sz="8"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w:t>
            </w:r>
          </w:p>
        </w:tc>
        <w:tc>
          <w:tcPr>
            <w:tcW w:w="1339" w:type="dxa"/>
            <w:tcBorders>
              <w:top w:val="single" w:color="000000" w:sz="4" w:space="0"/>
              <w:left w:val="single" w:color="000000" w:sz="4"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ind w:firstLine="0" w:firstLineChars="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031206001006</w:t>
            </w:r>
          </w:p>
        </w:tc>
        <w:tc>
          <w:tcPr>
            <w:tcW w:w="5468" w:type="dxa"/>
            <w:gridSpan w:val="2"/>
            <w:tcBorders>
              <w:top w:val="single" w:color="000000" w:sz="4" w:space="0"/>
              <w:left w:val="single" w:color="000000" w:sz="4"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ind w:firstLine="0" w:firstLineChars="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1.名称:有源一体化主扩阵列音箱</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2.技术参数：1.类型：倒相式；</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2.频响范围(-6dB)：≥110Hz-18kHz；</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3.额定功率(RMS)：≥300W中音，300W高音；</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4.最大声压级（1m）：≥128 dB*；</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5.指向角度：水平覆盖角度不小于120°；</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6.扬声器单元:不少于15个（不小于8个2.8"钕磁中音单元和7个1"钕磁高音单元）；（提供佐证材料）</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7.产品数据可在EASE FOCUS声学软件建模测试；（提供佐证材料）</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8.信号处理：48 kHz,24位DSP处理器，延迟:1.1 ms；</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9.保护：短路，热保护，过流保护；</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10.控制：On/Off开关，8档数字开关控制；</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11.吊挂角度：0°-8°可调。</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1.安装</w:t>
            </w:r>
          </w:p>
        </w:tc>
        <w:tc>
          <w:tcPr>
            <w:tcW w:w="1020" w:type="dxa"/>
            <w:tcBorders>
              <w:top w:val="single" w:color="000000" w:sz="4" w:space="0"/>
              <w:left w:val="single" w:color="000000" w:sz="4"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台</w:t>
            </w:r>
          </w:p>
        </w:tc>
        <w:tc>
          <w:tcPr>
            <w:tcW w:w="885" w:type="dxa"/>
            <w:tcBorders>
              <w:top w:val="single" w:color="000000" w:sz="4" w:space="0"/>
              <w:left w:val="single" w:color="000000" w:sz="4" w:space="0"/>
              <w:bottom w:val="single" w:color="000000" w:sz="8"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8</w:t>
            </w:r>
          </w:p>
        </w:tc>
      </w:tr>
      <w:tr>
        <w:tblPrEx>
          <w:tblCellMar>
            <w:top w:w="0" w:type="dxa"/>
            <w:left w:w="0" w:type="dxa"/>
            <w:bottom w:w="0" w:type="dxa"/>
            <w:right w:w="0" w:type="dxa"/>
          </w:tblCellMar>
        </w:tblPrEx>
        <w:trPr>
          <w:trHeight w:val="4012" w:hRule="atLeast"/>
          <w:jc w:val="center"/>
        </w:trPr>
        <w:tc>
          <w:tcPr>
            <w:tcW w:w="917"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21</w:t>
            </w:r>
          </w:p>
        </w:tc>
        <w:tc>
          <w:tcPr>
            <w:tcW w:w="133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ind w:firstLine="0" w:firstLineChars="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031206001007</w:t>
            </w:r>
          </w:p>
        </w:tc>
        <w:tc>
          <w:tcPr>
            <w:tcW w:w="5468" w:type="dxa"/>
            <w:gridSpan w:val="2"/>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ind w:firstLine="0" w:firstLineChars="0"/>
              <w:jc w:val="left"/>
              <w:textAlignment w:val="center"/>
              <w:rPr>
                <w:rFonts w:hint="eastAsia" w:ascii="宋体" w:hAnsi="宋体" w:eastAsia="宋体" w:cs="宋体"/>
                <w:i w:val="0"/>
                <w:color w:val="000000"/>
                <w:sz w:val="20"/>
                <w:szCs w:val="20"/>
                <w:u w:val="none"/>
              </w:rPr>
            </w:pPr>
            <w:r>
              <w:rPr>
                <w:rFonts w:hint="eastAsia" w:ascii="宋体" w:hAnsi="宋体" w:eastAsia="宋体" w:cs="宋体"/>
                <w:sz w:val="20"/>
                <w:szCs w:val="20"/>
              </w:rPr>
              <w:t>扩声系统设备</w:t>
            </w:r>
            <w:r>
              <w:rPr>
                <w:rFonts w:hint="eastAsia" w:ascii="宋体" w:hAnsi="宋体" w:eastAsia="宋体" w:cs="宋体"/>
                <w:sz w:val="20"/>
                <w:szCs w:val="20"/>
              </w:rPr>
              <w:br w:type="textWrapping"/>
            </w:r>
            <w:r>
              <w:rPr>
                <w:rFonts w:hint="eastAsia" w:ascii="宋体" w:hAnsi="宋体" w:eastAsia="宋体" w:cs="宋体"/>
                <w:sz w:val="20"/>
                <w:szCs w:val="20"/>
              </w:rPr>
              <w:t>[项目特征]</w:t>
            </w:r>
            <w:r>
              <w:rPr>
                <w:rFonts w:hint="eastAsia" w:ascii="宋体" w:hAnsi="宋体" w:eastAsia="宋体" w:cs="宋体"/>
                <w:sz w:val="20"/>
                <w:szCs w:val="20"/>
              </w:rPr>
              <w:br w:type="textWrapping"/>
            </w:r>
            <w:r>
              <w:rPr>
                <w:rFonts w:hint="eastAsia" w:ascii="宋体" w:hAnsi="宋体" w:eastAsia="宋体" w:cs="宋体"/>
                <w:sz w:val="20"/>
                <w:szCs w:val="20"/>
              </w:rPr>
              <w:t>1.名称:有源一体化超低阵列音箱</w:t>
            </w:r>
            <w:r>
              <w:rPr>
                <w:rFonts w:hint="eastAsia" w:ascii="宋体" w:hAnsi="宋体" w:eastAsia="宋体" w:cs="宋体"/>
                <w:sz w:val="20"/>
                <w:szCs w:val="20"/>
              </w:rPr>
              <w:br w:type="textWrapping"/>
            </w:r>
            <w:r>
              <w:rPr>
                <w:rFonts w:hint="eastAsia" w:ascii="宋体" w:hAnsi="宋体" w:eastAsia="宋体" w:cs="宋体"/>
                <w:sz w:val="20"/>
                <w:szCs w:val="20"/>
              </w:rPr>
              <w:t>2.技术参数：类型:倒相式低音；</w:t>
            </w:r>
            <w:r>
              <w:rPr>
                <w:rFonts w:hint="eastAsia" w:ascii="宋体" w:hAnsi="宋体" w:eastAsia="宋体" w:cs="宋体"/>
                <w:sz w:val="20"/>
                <w:szCs w:val="20"/>
              </w:rPr>
              <w:br w:type="textWrapping"/>
            </w:r>
            <w:r>
              <w:rPr>
                <w:rFonts w:hint="eastAsia" w:ascii="宋体" w:hAnsi="宋体" w:eastAsia="宋体" w:cs="宋体"/>
                <w:sz w:val="20"/>
                <w:szCs w:val="20"/>
              </w:rPr>
              <w:t>3.频响范围（-6dB）:≥40Hz-135Hz；</w:t>
            </w:r>
            <w:r>
              <w:rPr>
                <w:rFonts w:hint="eastAsia" w:ascii="宋体" w:hAnsi="宋体" w:eastAsia="宋体" w:cs="宋体"/>
                <w:sz w:val="20"/>
                <w:szCs w:val="20"/>
              </w:rPr>
              <w:br w:type="textWrapping"/>
            </w:r>
            <w:r>
              <w:rPr>
                <w:rFonts w:hint="eastAsia" w:ascii="宋体" w:hAnsi="宋体" w:eastAsia="宋体" w:cs="宋体"/>
                <w:sz w:val="20"/>
                <w:szCs w:val="20"/>
              </w:rPr>
              <w:t>4.额定功率（RMS)：≥750W；</w:t>
            </w:r>
            <w:r>
              <w:rPr>
                <w:rFonts w:hint="eastAsia" w:ascii="宋体" w:hAnsi="宋体" w:eastAsia="宋体" w:cs="宋体"/>
                <w:sz w:val="20"/>
                <w:szCs w:val="20"/>
              </w:rPr>
              <w:br w:type="textWrapping"/>
            </w:r>
            <w:r>
              <w:rPr>
                <w:rFonts w:hint="eastAsia" w:ascii="宋体" w:hAnsi="宋体" w:eastAsia="宋体" w:cs="宋体"/>
                <w:sz w:val="20"/>
                <w:szCs w:val="20"/>
              </w:rPr>
              <w:t>5.最大声压级（1m）：≥131dB；</w:t>
            </w:r>
            <w:r>
              <w:rPr>
                <w:rFonts w:hint="eastAsia" w:ascii="宋体" w:hAnsi="宋体" w:eastAsia="宋体" w:cs="宋体"/>
                <w:sz w:val="20"/>
                <w:szCs w:val="20"/>
              </w:rPr>
              <w:br w:type="textWrapping"/>
            </w:r>
            <w:r>
              <w:rPr>
                <w:rFonts w:hint="eastAsia" w:ascii="宋体" w:hAnsi="宋体" w:eastAsia="宋体" w:cs="宋体"/>
                <w:sz w:val="20"/>
                <w:szCs w:val="20"/>
              </w:rPr>
              <w:t>6.扬声器单元：≥1x 12”铁氧体单元，≥3”音圈；</w:t>
            </w:r>
            <w:r>
              <w:rPr>
                <w:rFonts w:hint="eastAsia" w:ascii="宋体" w:hAnsi="宋体" w:eastAsia="宋体" w:cs="宋体"/>
                <w:sz w:val="20"/>
                <w:szCs w:val="20"/>
              </w:rPr>
              <w:br w:type="textWrapping"/>
            </w:r>
            <w:r>
              <w:rPr>
                <w:rFonts w:hint="eastAsia" w:ascii="宋体" w:hAnsi="宋体" w:eastAsia="宋体" w:cs="宋体"/>
                <w:sz w:val="20"/>
                <w:szCs w:val="20"/>
              </w:rPr>
              <w:t>7.功放类型：D类，SMPS；</w:t>
            </w:r>
            <w:r>
              <w:rPr>
                <w:rFonts w:hint="eastAsia" w:ascii="宋体" w:hAnsi="宋体" w:eastAsia="宋体" w:cs="宋体"/>
                <w:sz w:val="20"/>
                <w:szCs w:val="20"/>
              </w:rPr>
              <w:br w:type="textWrapping"/>
            </w:r>
            <w:r>
              <w:rPr>
                <w:rFonts w:hint="eastAsia" w:ascii="宋体" w:hAnsi="宋体" w:eastAsia="宋体" w:cs="宋体"/>
                <w:sz w:val="20"/>
                <w:szCs w:val="20"/>
              </w:rPr>
              <w:t>8.</w:t>
            </w:r>
            <w:r>
              <w:rPr>
                <w:rFonts w:hint="eastAsia" w:ascii="宋体" w:hAnsi="宋体" w:eastAsia="宋体" w:cs="宋体"/>
                <w:sz w:val="20"/>
                <w:szCs w:val="20"/>
                <w:lang w:eastAsia="zh-CN"/>
              </w:rPr>
              <w:t>▲</w:t>
            </w:r>
            <w:r>
              <w:rPr>
                <w:rFonts w:hint="eastAsia" w:ascii="宋体" w:hAnsi="宋体" w:eastAsia="宋体" w:cs="宋体"/>
                <w:sz w:val="20"/>
                <w:szCs w:val="20"/>
              </w:rPr>
              <w:t>产品数据可在EASE FOCUS声学软件建模测试。（提供佐证材料）</w:t>
            </w:r>
            <w:r>
              <w:rPr>
                <w:rFonts w:hint="eastAsia" w:ascii="宋体" w:hAnsi="宋体" w:eastAsia="宋体" w:cs="宋体"/>
                <w:sz w:val="20"/>
                <w:szCs w:val="20"/>
              </w:rPr>
              <w:br w:type="textWrapping"/>
            </w:r>
            <w:r>
              <w:rPr>
                <w:rFonts w:hint="eastAsia" w:ascii="宋体" w:hAnsi="宋体" w:eastAsia="宋体" w:cs="宋体"/>
                <w:sz w:val="20"/>
                <w:szCs w:val="20"/>
              </w:rPr>
              <w:t>[工作内容]</w:t>
            </w:r>
            <w:r>
              <w:rPr>
                <w:rFonts w:hint="eastAsia" w:ascii="宋体" w:hAnsi="宋体" w:eastAsia="宋体" w:cs="宋体"/>
                <w:sz w:val="20"/>
                <w:szCs w:val="20"/>
              </w:rPr>
              <w:br w:type="textWrapping"/>
            </w:r>
            <w:r>
              <w:rPr>
                <w:rFonts w:hint="eastAsia" w:ascii="宋体" w:hAnsi="宋体" w:eastAsia="宋体" w:cs="宋体"/>
                <w:sz w:val="20"/>
                <w:szCs w:val="20"/>
              </w:rPr>
              <w:t>1.安装</w:t>
            </w:r>
          </w:p>
        </w:tc>
        <w:tc>
          <w:tcPr>
            <w:tcW w:w="1020"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台</w:t>
            </w:r>
          </w:p>
        </w:tc>
        <w:tc>
          <w:tcPr>
            <w:tcW w:w="885"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w:t>
            </w:r>
          </w:p>
        </w:tc>
      </w:tr>
      <w:tr>
        <w:tblPrEx>
          <w:tblCellMar>
            <w:top w:w="0" w:type="dxa"/>
            <w:left w:w="0" w:type="dxa"/>
            <w:bottom w:w="0" w:type="dxa"/>
            <w:right w:w="0" w:type="dxa"/>
          </w:tblCellMar>
        </w:tblPrEx>
        <w:trPr>
          <w:trHeight w:val="1929" w:hRule="atLeast"/>
          <w:jc w:val="center"/>
        </w:trPr>
        <w:tc>
          <w:tcPr>
            <w:tcW w:w="917"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22</w:t>
            </w:r>
          </w:p>
        </w:tc>
        <w:tc>
          <w:tcPr>
            <w:tcW w:w="133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ind w:firstLine="0" w:firstLineChars="0"/>
              <w:jc w:val="left"/>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031206001008</w:t>
            </w:r>
          </w:p>
        </w:tc>
        <w:tc>
          <w:tcPr>
            <w:tcW w:w="5468" w:type="dxa"/>
            <w:gridSpan w:val="2"/>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ind w:firstLine="0" w:firstLineChars="0"/>
              <w:jc w:val="left"/>
              <w:textAlignment w:val="center"/>
              <w:rPr>
                <w:rFonts w:hint="eastAsia" w:ascii="宋体" w:hAnsi="宋体" w:eastAsia="宋体" w:cs="宋体"/>
                <w:sz w:val="20"/>
                <w:szCs w:val="20"/>
              </w:rPr>
            </w:pPr>
            <w:r>
              <w:rPr>
                <w:rFonts w:hint="eastAsia" w:ascii="宋体" w:hAnsi="宋体" w:eastAsia="宋体" w:cs="宋体"/>
                <w:sz w:val="20"/>
                <w:szCs w:val="20"/>
              </w:rPr>
              <w:t xml:space="preserve">扩声系统设备                            </w:t>
            </w:r>
            <w:r>
              <w:rPr>
                <w:rFonts w:hint="eastAsia" w:ascii="宋体" w:hAnsi="宋体" w:eastAsia="宋体" w:cs="宋体"/>
                <w:sz w:val="20"/>
                <w:szCs w:val="20"/>
              </w:rPr>
              <w:br w:type="textWrapping"/>
            </w:r>
            <w:r>
              <w:rPr>
                <w:rFonts w:hint="eastAsia" w:ascii="宋体" w:hAnsi="宋体" w:eastAsia="宋体" w:cs="宋体"/>
                <w:sz w:val="20"/>
                <w:szCs w:val="20"/>
              </w:rPr>
              <w:t>[项目特征]</w:t>
            </w:r>
            <w:r>
              <w:rPr>
                <w:rFonts w:hint="eastAsia" w:ascii="宋体" w:hAnsi="宋体" w:eastAsia="宋体" w:cs="宋体"/>
                <w:sz w:val="20"/>
                <w:szCs w:val="20"/>
              </w:rPr>
              <w:br w:type="textWrapping"/>
            </w:r>
            <w:r>
              <w:rPr>
                <w:rFonts w:hint="eastAsia" w:ascii="宋体" w:hAnsi="宋体" w:eastAsia="宋体" w:cs="宋体"/>
                <w:sz w:val="20"/>
                <w:szCs w:val="20"/>
              </w:rPr>
              <w:t>1.名称:台唇/返送音箱类型：12寸有源二分频同轴舞台监听音箱                                                                                                                                                                                                 2.频率响应： ≥80Hz--20KHz</w:t>
            </w:r>
            <w:r>
              <w:rPr>
                <w:rFonts w:hint="eastAsia" w:ascii="宋体" w:hAnsi="宋体" w:eastAsia="宋体" w:cs="宋体"/>
                <w:sz w:val="20"/>
                <w:szCs w:val="20"/>
              </w:rPr>
              <w:br w:type="textWrapping"/>
            </w:r>
            <w:r>
              <w:rPr>
                <w:rFonts w:hint="eastAsia" w:ascii="宋体" w:hAnsi="宋体" w:eastAsia="宋体" w:cs="宋体"/>
                <w:sz w:val="20"/>
                <w:szCs w:val="20"/>
              </w:rPr>
              <w:t>3.功率：≥250W RMS                                                                                                                                                                                                                                                           4.阻抗：≥4Ω 。</w:t>
            </w:r>
            <w:r>
              <w:rPr>
                <w:rFonts w:hint="eastAsia" w:ascii="宋体" w:hAnsi="宋体" w:eastAsia="宋体" w:cs="宋体"/>
                <w:sz w:val="20"/>
                <w:szCs w:val="20"/>
              </w:rPr>
              <w:br w:type="textWrapping"/>
            </w:r>
            <w:r>
              <w:rPr>
                <w:rFonts w:hint="eastAsia" w:ascii="宋体" w:hAnsi="宋体" w:eastAsia="宋体" w:cs="宋体"/>
                <w:sz w:val="20"/>
                <w:szCs w:val="20"/>
              </w:rPr>
              <w:t>5.灵敏度(1W/ 1M)：≥100dB</w:t>
            </w:r>
            <w:r>
              <w:rPr>
                <w:rFonts w:hint="eastAsia" w:ascii="宋体" w:hAnsi="宋体" w:eastAsia="宋体" w:cs="宋体"/>
                <w:sz w:val="20"/>
                <w:szCs w:val="20"/>
              </w:rPr>
              <w:br w:type="textWrapping"/>
            </w:r>
            <w:r>
              <w:rPr>
                <w:rFonts w:hint="eastAsia" w:ascii="宋体" w:hAnsi="宋体" w:eastAsia="宋体" w:cs="宋体"/>
                <w:sz w:val="20"/>
                <w:szCs w:val="20"/>
              </w:rPr>
              <w:t xml:space="preserve">6.最大声压级：≥124 dB </w:t>
            </w:r>
            <w:r>
              <w:rPr>
                <w:rFonts w:hint="eastAsia" w:ascii="宋体" w:hAnsi="宋体" w:eastAsia="宋体" w:cs="宋体"/>
                <w:sz w:val="20"/>
                <w:szCs w:val="20"/>
              </w:rPr>
              <w:br w:type="textWrapping"/>
            </w:r>
            <w:r>
              <w:rPr>
                <w:rFonts w:hint="eastAsia" w:ascii="宋体" w:hAnsi="宋体" w:eastAsia="宋体" w:cs="宋体"/>
                <w:sz w:val="20"/>
                <w:szCs w:val="20"/>
              </w:rPr>
              <w:t xml:space="preserve">7.单元组成：≥低音：12”铁氧体单元，2.4”音圈                                                                                                                                                                                                                      8.高音：≥1”铁氧体耐高温聚酯膜压缩单元，1.35”音圈                                                                                                                                                                                                           </w:t>
            </w:r>
            <w:r>
              <w:rPr>
                <w:rFonts w:hint="eastAsia" w:ascii="宋体" w:hAnsi="宋体" w:eastAsia="宋体" w:cs="宋体"/>
                <w:sz w:val="20"/>
                <w:szCs w:val="20"/>
              </w:rPr>
              <w:br w:type="textWrapping"/>
            </w:r>
            <w:r>
              <w:rPr>
                <w:rFonts w:hint="eastAsia" w:ascii="宋体" w:hAnsi="宋体" w:eastAsia="宋体" w:cs="宋体"/>
                <w:sz w:val="20"/>
                <w:szCs w:val="20"/>
              </w:rPr>
              <w:t>9.分频点：≥1.8KHz                                                                                                                                                                                      10.投射角： ≥75°× 75°</w:t>
            </w:r>
          </w:p>
          <w:p>
            <w:pPr>
              <w:pStyle w:val="2"/>
              <w:keepNext w:val="0"/>
              <w:keepLines w:val="0"/>
              <w:pageBreakBefore w:val="0"/>
              <w:kinsoku/>
              <w:wordWrap/>
              <w:overflowPunct/>
              <w:topLinePunct w:val="0"/>
              <w:autoSpaceDE/>
              <w:autoSpaceDN/>
              <w:bidi w:val="0"/>
              <w:adjustRightInd/>
              <w:snapToGrid/>
              <w:spacing w:line="300" w:lineRule="exact"/>
              <w:ind w:firstLine="0" w:firstLineChars="0"/>
              <w:rPr>
                <w:rFonts w:hint="eastAsia" w:ascii="宋体" w:hAnsi="宋体" w:eastAsia="宋体" w:cs="宋体"/>
                <w:kern w:val="2"/>
                <w:sz w:val="20"/>
                <w:szCs w:val="20"/>
                <w:lang w:val="en-US" w:eastAsia="zh-CN" w:bidi="ar-SA"/>
              </w:rPr>
            </w:pPr>
            <w:r>
              <w:rPr>
                <w:rFonts w:hint="eastAsia" w:ascii="宋体" w:hAnsi="宋体" w:eastAsia="宋体" w:cs="宋体"/>
                <w:sz w:val="20"/>
                <w:szCs w:val="20"/>
              </w:rPr>
              <w:t>[工作内容]</w:t>
            </w:r>
            <w:r>
              <w:rPr>
                <w:rFonts w:hint="eastAsia" w:ascii="宋体" w:hAnsi="宋体" w:eastAsia="宋体" w:cs="宋体"/>
                <w:sz w:val="20"/>
                <w:szCs w:val="20"/>
              </w:rPr>
              <w:br w:type="textWrapping"/>
            </w:r>
            <w:r>
              <w:rPr>
                <w:rFonts w:hint="eastAsia" w:ascii="宋体" w:hAnsi="宋体" w:eastAsia="宋体" w:cs="宋体"/>
                <w:sz w:val="20"/>
                <w:szCs w:val="20"/>
              </w:rPr>
              <w:t>1.安装</w:t>
            </w:r>
          </w:p>
        </w:tc>
        <w:tc>
          <w:tcPr>
            <w:tcW w:w="1020"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台</w:t>
            </w:r>
          </w:p>
        </w:tc>
        <w:tc>
          <w:tcPr>
            <w:tcW w:w="885"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6</w:t>
            </w:r>
          </w:p>
        </w:tc>
      </w:tr>
      <w:tr>
        <w:tblPrEx>
          <w:tblCellMar>
            <w:top w:w="0" w:type="dxa"/>
            <w:left w:w="0" w:type="dxa"/>
            <w:bottom w:w="0" w:type="dxa"/>
            <w:right w:w="0" w:type="dxa"/>
          </w:tblCellMar>
        </w:tblPrEx>
        <w:trPr>
          <w:trHeight w:val="364" w:hRule="atLeast"/>
          <w:jc w:val="center"/>
        </w:trPr>
        <w:tc>
          <w:tcPr>
            <w:tcW w:w="917"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jc w:val="left"/>
              <w:rPr>
                <w:rFonts w:hint="eastAsia" w:ascii="宋体" w:hAnsi="宋体" w:eastAsia="宋体" w:cs="宋体"/>
                <w:i w:val="0"/>
                <w:color w:val="000000"/>
                <w:sz w:val="20"/>
                <w:szCs w:val="20"/>
                <w:u w:val="none"/>
              </w:rPr>
            </w:pPr>
          </w:p>
        </w:tc>
        <w:tc>
          <w:tcPr>
            <w:tcW w:w="133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jc w:val="left"/>
              <w:rPr>
                <w:rFonts w:hint="eastAsia" w:ascii="宋体" w:hAnsi="宋体" w:eastAsia="宋体" w:cs="宋体"/>
                <w:i w:val="0"/>
                <w:color w:val="000000"/>
                <w:sz w:val="20"/>
                <w:szCs w:val="20"/>
                <w:u w:val="none"/>
              </w:rPr>
            </w:pPr>
          </w:p>
        </w:tc>
        <w:tc>
          <w:tcPr>
            <w:tcW w:w="5468" w:type="dxa"/>
            <w:gridSpan w:val="2"/>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功放</w:t>
            </w:r>
          </w:p>
        </w:tc>
        <w:tc>
          <w:tcPr>
            <w:tcW w:w="1020"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jc w:val="center"/>
              <w:rPr>
                <w:rFonts w:hint="eastAsia" w:ascii="宋体" w:hAnsi="宋体" w:eastAsia="宋体" w:cs="宋体"/>
                <w:i w:val="0"/>
                <w:color w:val="000000"/>
                <w:sz w:val="20"/>
                <w:szCs w:val="20"/>
                <w:u w:val="none"/>
              </w:rPr>
            </w:pPr>
          </w:p>
        </w:tc>
        <w:tc>
          <w:tcPr>
            <w:tcW w:w="885"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jc w:val="center"/>
              <w:rPr>
                <w:rFonts w:hint="eastAsia" w:ascii="宋体" w:hAnsi="宋体" w:eastAsia="宋体" w:cs="宋体"/>
                <w:i w:val="0"/>
                <w:color w:val="000000"/>
                <w:sz w:val="20"/>
                <w:szCs w:val="20"/>
                <w:u w:val="none"/>
              </w:rPr>
            </w:pPr>
          </w:p>
        </w:tc>
      </w:tr>
      <w:tr>
        <w:tblPrEx>
          <w:tblCellMar>
            <w:top w:w="0" w:type="dxa"/>
            <w:left w:w="0" w:type="dxa"/>
            <w:bottom w:w="0" w:type="dxa"/>
            <w:right w:w="0" w:type="dxa"/>
          </w:tblCellMar>
        </w:tblPrEx>
        <w:trPr>
          <w:trHeight w:val="364" w:hRule="atLeast"/>
          <w:jc w:val="center"/>
        </w:trPr>
        <w:tc>
          <w:tcPr>
            <w:tcW w:w="917"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23</w:t>
            </w:r>
          </w:p>
        </w:tc>
        <w:tc>
          <w:tcPr>
            <w:tcW w:w="133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031206003003</w:t>
            </w:r>
          </w:p>
        </w:tc>
        <w:tc>
          <w:tcPr>
            <w:tcW w:w="5468" w:type="dxa"/>
            <w:gridSpan w:val="2"/>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top"/>
          </w:tcPr>
          <w:p>
            <w:pPr>
              <w:keepNext w:val="0"/>
              <w:keepLines w:val="0"/>
              <w:pageBreakBefore w:val="0"/>
              <w:widowControl/>
              <w:kinsoku/>
              <w:wordWrap/>
              <w:overflowPunct/>
              <w:topLinePunct w:val="0"/>
              <w:autoSpaceDE/>
              <w:autoSpaceDN/>
              <w:bidi w:val="0"/>
              <w:adjustRightInd/>
              <w:snapToGrid/>
              <w:spacing w:line="300" w:lineRule="exact"/>
              <w:textAlignment w:val="auto"/>
              <w:rPr>
                <w:rFonts w:hint="eastAsia" w:ascii="宋体" w:hAnsi="宋体" w:eastAsia="宋体" w:cs="宋体"/>
                <w:kern w:val="2"/>
                <w:sz w:val="20"/>
                <w:szCs w:val="20"/>
                <w:lang w:val="en-US" w:eastAsia="zh-CN" w:bidi="ar-SA"/>
              </w:rPr>
            </w:pPr>
            <w:r>
              <w:rPr>
                <w:rFonts w:hint="eastAsia" w:ascii="宋体" w:hAnsi="宋体" w:eastAsia="宋体" w:cs="宋体"/>
                <w:sz w:val="20"/>
                <w:szCs w:val="20"/>
              </w:rPr>
              <w:t>扩声系统设备</w:t>
            </w:r>
            <w:r>
              <w:rPr>
                <w:rFonts w:hint="eastAsia" w:ascii="宋体" w:hAnsi="宋体" w:eastAsia="宋体" w:cs="宋体"/>
                <w:sz w:val="20"/>
                <w:szCs w:val="20"/>
              </w:rPr>
              <w:br w:type="textWrapping"/>
            </w:r>
            <w:r>
              <w:rPr>
                <w:rFonts w:hint="eastAsia" w:ascii="宋体" w:hAnsi="宋体" w:eastAsia="宋体" w:cs="宋体"/>
                <w:sz w:val="20"/>
                <w:szCs w:val="20"/>
              </w:rPr>
              <w:t>[项目特征]</w:t>
            </w:r>
            <w:r>
              <w:rPr>
                <w:rFonts w:hint="eastAsia" w:ascii="宋体" w:hAnsi="宋体" w:eastAsia="宋体" w:cs="宋体"/>
                <w:sz w:val="20"/>
                <w:szCs w:val="20"/>
              </w:rPr>
              <w:br w:type="textWrapping"/>
            </w:r>
            <w:r>
              <w:rPr>
                <w:rFonts w:hint="eastAsia" w:ascii="宋体" w:hAnsi="宋体" w:eastAsia="宋体" w:cs="宋体"/>
                <w:sz w:val="20"/>
                <w:szCs w:val="20"/>
              </w:rPr>
              <w:t>1.名称:有源一体化低音阵列音箱</w:t>
            </w:r>
            <w:r>
              <w:rPr>
                <w:rFonts w:hint="eastAsia" w:ascii="宋体" w:hAnsi="宋体" w:eastAsia="宋体" w:cs="宋体"/>
                <w:sz w:val="20"/>
                <w:szCs w:val="20"/>
              </w:rPr>
              <w:br w:type="textWrapping"/>
            </w:r>
            <w:r>
              <w:rPr>
                <w:rFonts w:hint="eastAsia" w:ascii="宋体" w:hAnsi="宋体" w:eastAsia="宋体" w:cs="宋体"/>
                <w:sz w:val="20"/>
                <w:szCs w:val="20"/>
              </w:rPr>
              <w:t>2.技术参数：类型:倒相式低音；</w:t>
            </w:r>
            <w:r>
              <w:rPr>
                <w:rFonts w:hint="eastAsia" w:ascii="宋体" w:hAnsi="宋体" w:eastAsia="宋体" w:cs="宋体"/>
                <w:sz w:val="20"/>
                <w:szCs w:val="20"/>
              </w:rPr>
              <w:br w:type="textWrapping"/>
            </w:r>
            <w:r>
              <w:rPr>
                <w:rFonts w:hint="eastAsia" w:ascii="宋体" w:hAnsi="宋体" w:eastAsia="宋体" w:cs="宋体"/>
                <w:sz w:val="20"/>
                <w:szCs w:val="20"/>
              </w:rPr>
              <w:t>3.频响范围（-6dB）:≥40Hz-135Hz；</w:t>
            </w:r>
            <w:r>
              <w:rPr>
                <w:rFonts w:hint="eastAsia" w:ascii="宋体" w:hAnsi="宋体" w:eastAsia="宋体" w:cs="宋体"/>
                <w:sz w:val="20"/>
                <w:szCs w:val="20"/>
              </w:rPr>
              <w:br w:type="textWrapping"/>
            </w:r>
            <w:r>
              <w:rPr>
                <w:rFonts w:hint="eastAsia" w:ascii="宋体" w:hAnsi="宋体" w:eastAsia="宋体" w:cs="宋体"/>
                <w:sz w:val="20"/>
                <w:szCs w:val="20"/>
              </w:rPr>
              <w:t>4.额定功率（RMS)：≥750W；</w:t>
            </w:r>
            <w:r>
              <w:rPr>
                <w:rFonts w:hint="eastAsia" w:ascii="宋体" w:hAnsi="宋体" w:eastAsia="宋体" w:cs="宋体"/>
                <w:sz w:val="20"/>
                <w:szCs w:val="20"/>
              </w:rPr>
              <w:br w:type="textWrapping"/>
            </w:r>
            <w:r>
              <w:rPr>
                <w:rFonts w:hint="eastAsia" w:ascii="宋体" w:hAnsi="宋体" w:eastAsia="宋体" w:cs="宋体"/>
                <w:sz w:val="20"/>
                <w:szCs w:val="20"/>
              </w:rPr>
              <w:t>5.最大声压级（1m）：≥131dB；</w:t>
            </w:r>
            <w:r>
              <w:rPr>
                <w:rFonts w:hint="eastAsia" w:ascii="宋体" w:hAnsi="宋体" w:eastAsia="宋体" w:cs="宋体"/>
                <w:sz w:val="20"/>
                <w:szCs w:val="20"/>
              </w:rPr>
              <w:br w:type="textWrapping"/>
            </w:r>
            <w:r>
              <w:rPr>
                <w:rFonts w:hint="eastAsia" w:ascii="宋体" w:hAnsi="宋体" w:eastAsia="宋体" w:cs="宋体"/>
                <w:sz w:val="20"/>
                <w:szCs w:val="20"/>
              </w:rPr>
              <w:t>6.扬声器单元：≥1x 12”铁氧体单元，≥3”音圈；</w:t>
            </w:r>
            <w:r>
              <w:rPr>
                <w:rFonts w:hint="eastAsia" w:ascii="宋体" w:hAnsi="宋体" w:eastAsia="宋体" w:cs="宋体"/>
                <w:sz w:val="20"/>
                <w:szCs w:val="20"/>
              </w:rPr>
              <w:br w:type="textWrapping"/>
            </w:r>
            <w:r>
              <w:rPr>
                <w:rFonts w:hint="eastAsia" w:ascii="宋体" w:hAnsi="宋体" w:eastAsia="宋体" w:cs="宋体"/>
                <w:sz w:val="20"/>
                <w:szCs w:val="20"/>
              </w:rPr>
              <w:t>7.功放类型：D类，SMPS；</w:t>
            </w:r>
            <w:r>
              <w:rPr>
                <w:rFonts w:hint="eastAsia" w:ascii="宋体" w:hAnsi="宋体" w:eastAsia="宋体" w:cs="宋体"/>
                <w:sz w:val="20"/>
                <w:szCs w:val="20"/>
              </w:rPr>
              <w:br w:type="textWrapping"/>
            </w:r>
            <w:r>
              <w:rPr>
                <w:rFonts w:hint="eastAsia" w:ascii="宋体" w:hAnsi="宋体" w:eastAsia="宋体" w:cs="宋体"/>
                <w:sz w:val="20"/>
                <w:szCs w:val="20"/>
              </w:rPr>
              <w:t>8.</w:t>
            </w:r>
            <w:r>
              <w:rPr>
                <w:rFonts w:hint="eastAsia" w:ascii="宋体" w:hAnsi="宋体" w:eastAsia="宋体" w:cs="宋体"/>
                <w:sz w:val="20"/>
                <w:szCs w:val="20"/>
                <w:lang w:eastAsia="zh-CN"/>
              </w:rPr>
              <w:t>▲</w:t>
            </w:r>
            <w:r>
              <w:rPr>
                <w:rFonts w:hint="eastAsia" w:ascii="宋体" w:hAnsi="宋体" w:eastAsia="宋体" w:cs="宋体"/>
                <w:sz w:val="20"/>
                <w:szCs w:val="20"/>
              </w:rPr>
              <w:t>产品数据可在EASE FOCUS声学软件建模测试。（提供佐证材料）</w:t>
            </w:r>
            <w:r>
              <w:rPr>
                <w:rFonts w:hint="eastAsia" w:ascii="宋体" w:hAnsi="宋体" w:eastAsia="宋体" w:cs="宋体"/>
                <w:sz w:val="20"/>
                <w:szCs w:val="20"/>
              </w:rPr>
              <w:br w:type="textWrapping"/>
            </w:r>
            <w:r>
              <w:rPr>
                <w:rFonts w:hint="eastAsia" w:ascii="宋体" w:hAnsi="宋体" w:eastAsia="宋体" w:cs="宋体"/>
                <w:sz w:val="20"/>
                <w:szCs w:val="20"/>
              </w:rPr>
              <w:t>[工作内容]</w:t>
            </w:r>
            <w:r>
              <w:rPr>
                <w:rFonts w:hint="eastAsia" w:ascii="宋体" w:hAnsi="宋体" w:eastAsia="宋体" w:cs="宋体"/>
                <w:sz w:val="20"/>
                <w:szCs w:val="20"/>
              </w:rPr>
              <w:br w:type="textWrapping"/>
            </w:r>
            <w:r>
              <w:rPr>
                <w:rFonts w:hint="eastAsia" w:ascii="宋体" w:hAnsi="宋体" w:eastAsia="宋体" w:cs="宋体"/>
                <w:sz w:val="20"/>
                <w:szCs w:val="20"/>
              </w:rPr>
              <w:t>1.安装</w:t>
            </w:r>
          </w:p>
        </w:tc>
        <w:tc>
          <w:tcPr>
            <w:tcW w:w="1020"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台</w:t>
            </w:r>
          </w:p>
        </w:tc>
        <w:tc>
          <w:tcPr>
            <w:tcW w:w="885"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2</w:t>
            </w:r>
          </w:p>
        </w:tc>
      </w:tr>
      <w:tr>
        <w:tblPrEx>
          <w:tblCellMar>
            <w:top w:w="0" w:type="dxa"/>
            <w:left w:w="0" w:type="dxa"/>
            <w:bottom w:w="0" w:type="dxa"/>
            <w:right w:w="0" w:type="dxa"/>
          </w:tblCellMar>
        </w:tblPrEx>
        <w:trPr>
          <w:trHeight w:val="364" w:hRule="atLeast"/>
          <w:jc w:val="center"/>
        </w:trPr>
        <w:tc>
          <w:tcPr>
            <w:tcW w:w="917"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jc w:val="left"/>
              <w:rPr>
                <w:rFonts w:hint="eastAsia" w:ascii="宋体" w:hAnsi="宋体" w:eastAsia="宋体" w:cs="宋体"/>
                <w:i w:val="0"/>
                <w:color w:val="000000"/>
                <w:sz w:val="20"/>
                <w:szCs w:val="20"/>
                <w:u w:val="none"/>
              </w:rPr>
            </w:pPr>
          </w:p>
        </w:tc>
        <w:tc>
          <w:tcPr>
            <w:tcW w:w="133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jc w:val="left"/>
              <w:rPr>
                <w:rFonts w:hint="eastAsia" w:ascii="宋体" w:hAnsi="宋体" w:eastAsia="宋体" w:cs="宋体"/>
                <w:i w:val="0"/>
                <w:color w:val="000000"/>
                <w:sz w:val="20"/>
                <w:szCs w:val="20"/>
                <w:u w:val="none"/>
              </w:rPr>
            </w:pPr>
          </w:p>
        </w:tc>
        <w:tc>
          <w:tcPr>
            <w:tcW w:w="5468" w:type="dxa"/>
            <w:gridSpan w:val="2"/>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周边设备</w:t>
            </w:r>
          </w:p>
        </w:tc>
        <w:tc>
          <w:tcPr>
            <w:tcW w:w="1020"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jc w:val="center"/>
              <w:rPr>
                <w:rFonts w:hint="eastAsia" w:ascii="宋体" w:hAnsi="宋体" w:eastAsia="宋体" w:cs="宋体"/>
                <w:i w:val="0"/>
                <w:color w:val="000000"/>
                <w:sz w:val="20"/>
                <w:szCs w:val="20"/>
                <w:u w:val="none"/>
              </w:rPr>
            </w:pPr>
          </w:p>
        </w:tc>
        <w:tc>
          <w:tcPr>
            <w:tcW w:w="885"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jc w:val="center"/>
              <w:rPr>
                <w:rFonts w:hint="eastAsia" w:ascii="宋体" w:hAnsi="宋体" w:eastAsia="宋体" w:cs="宋体"/>
                <w:i w:val="0"/>
                <w:color w:val="000000"/>
                <w:sz w:val="20"/>
                <w:szCs w:val="20"/>
                <w:u w:val="none"/>
              </w:rPr>
            </w:pPr>
          </w:p>
        </w:tc>
      </w:tr>
      <w:tr>
        <w:tblPrEx>
          <w:tblCellMar>
            <w:top w:w="0" w:type="dxa"/>
            <w:left w:w="0" w:type="dxa"/>
            <w:bottom w:w="0" w:type="dxa"/>
            <w:right w:w="0" w:type="dxa"/>
          </w:tblCellMar>
        </w:tblPrEx>
        <w:trPr>
          <w:trHeight w:val="364" w:hRule="atLeast"/>
          <w:jc w:val="center"/>
        </w:trPr>
        <w:tc>
          <w:tcPr>
            <w:tcW w:w="917"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24</w:t>
            </w:r>
          </w:p>
        </w:tc>
        <w:tc>
          <w:tcPr>
            <w:tcW w:w="133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031206001009</w:t>
            </w:r>
          </w:p>
        </w:tc>
        <w:tc>
          <w:tcPr>
            <w:tcW w:w="5468" w:type="dxa"/>
            <w:gridSpan w:val="2"/>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扩声系统设备</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1.名称:数字调音台</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2.技术参数：双核PreSonus FLEX DSP，提供强大的处理能力                  ▲17个带触感电动推杆；</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▲7英寸彩色触摸屏；</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▲286个同步处理器，处理各个通道的噪声门、压缩/参量均衡（包含仿真插件）、限幅、图示均衡以及4个效果器；</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▲每通道参数可设置A/B两种，一键切换；</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▲输入通道4段，输出通道6段参量均衡器</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▲每个输入通道上的复古EQ和压缩器模型；</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▲内置信号实时分析仪（RTA）；</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▲40路输入包含：</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 xml:space="preserve">  8路话筒，8路话筒/线路本地输入，具有数字控制的XMAX技术的话放；</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 xml:space="preserve">  16路AVB, USB,或SD输入；</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 xml:space="preserve">  2组平衡立体声输入；</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 xml:space="preserve">  1路立体声Tape输入(RCA,USB,AVB,SD)；</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 xml:space="preserve">  4路FLEX FX returns输入；</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 xml:space="preserve">  1路Talkback对讲话筒输入；</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▲26条混音母线包含：</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 xml:space="preserve">  16路FlexMixes输出（Aux,Subgroup,Matrix任意改变，并可Link为立体声通道）；</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 xml:space="preserve">  4路专用FX母线输出；</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 xml:space="preserve">  4路专用Sub母线输出；</w:t>
            </w:r>
          </w:p>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 xml:space="preserve"> 1组XLR（L/R）主输出；</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▲1路L+R单声道XLR输出接口；</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▲1路立体声AES/EBU数字输出接口；</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▲2路TRS监听输出；1路立体声耳机输出；</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▲24个DCA用于简单灵活的通道组控制；</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▲1个管理员，10个用户可设置不同控制权限；</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▲具有用户自定义推子层；</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▲可创建、保存和编辑100个项目和场景；</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▲内置34x34通道的SD卡录音；</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▲64x64路USB录音接口；</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▲64x64路AVB网络接口，用于连接接口箱，个人监听控制器等；</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▲DAW控制：MCU和HUI协议控制Studio One、Logic、ProTools音频工作站；</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▲可通过平板电脑无线控制调音台；</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▲赠送录音软件、音频工作站和控制软件。</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1.安装</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2.调试</w:t>
            </w:r>
          </w:p>
        </w:tc>
        <w:tc>
          <w:tcPr>
            <w:tcW w:w="1020"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台</w:t>
            </w:r>
          </w:p>
        </w:tc>
        <w:tc>
          <w:tcPr>
            <w:tcW w:w="885"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1</w:t>
            </w:r>
          </w:p>
        </w:tc>
      </w:tr>
      <w:tr>
        <w:tblPrEx>
          <w:tblCellMar>
            <w:top w:w="0" w:type="dxa"/>
            <w:left w:w="0" w:type="dxa"/>
            <w:bottom w:w="0" w:type="dxa"/>
            <w:right w:w="0" w:type="dxa"/>
          </w:tblCellMar>
        </w:tblPrEx>
        <w:trPr>
          <w:trHeight w:val="285" w:hRule="atLeast"/>
          <w:jc w:val="center"/>
        </w:trPr>
        <w:tc>
          <w:tcPr>
            <w:tcW w:w="917" w:type="dxa"/>
            <w:tcBorders>
              <w:top w:val="single" w:color="000000" w:sz="4" w:space="0"/>
              <w:left w:val="single" w:color="000000" w:sz="8"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25</w:t>
            </w:r>
          </w:p>
        </w:tc>
        <w:tc>
          <w:tcPr>
            <w:tcW w:w="1339" w:type="dxa"/>
            <w:tcBorders>
              <w:top w:val="single" w:color="000000" w:sz="4" w:space="0"/>
              <w:left w:val="single" w:color="000000" w:sz="4" w:space="0"/>
              <w:bottom w:val="single" w:color="000000" w:sz="8" w:space="0"/>
              <w:right w:val="single" w:color="000000" w:sz="4" w:space="0"/>
            </w:tcBorders>
            <w:shd w:val="clear" w:color="FFFFFF" w:fill="FFFFFF"/>
            <w:noWrap w:val="0"/>
            <w:tcMar>
              <w:top w:w="12" w:type="dxa"/>
              <w:left w:w="12" w:type="dxa"/>
              <w:right w:w="12" w:type="dxa"/>
            </w:tcMar>
            <w:vAlign w:val="top"/>
          </w:tcPr>
          <w:p>
            <w:pPr>
              <w:rPr>
                <w:rFonts w:hint="eastAsia"/>
              </w:rPr>
            </w:pPr>
          </w:p>
          <w:p>
            <w:pPr>
              <w:pStyle w:val="2"/>
              <w:rPr>
                <w:rFonts w:hint="eastAsia" w:ascii="宋体" w:hAnsi="宋体" w:eastAsia="宋体" w:cs="宋体"/>
                <w:i w:val="0"/>
                <w:color w:val="000000"/>
                <w:sz w:val="20"/>
                <w:szCs w:val="20"/>
                <w:u w:val="none"/>
              </w:rPr>
            </w:pPr>
          </w:p>
          <w:p>
            <w:pPr>
              <w:pStyle w:val="2"/>
              <w:rPr>
                <w:rFonts w:hint="eastAsia" w:ascii="宋体" w:hAnsi="宋体" w:eastAsia="宋体" w:cs="宋体"/>
                <w:i w:val="0"/>
                <w:color w:val="000000"/>
                <w:sz w:val="20"/>
                <w:szCs w:val="20"/>
                <w:u w:val="none"/>
              </w:rPr>
            </w:pPr>
          </w:p>
          <w:p>
            <w:pPr>
              <w:pStyle w:val="2"/>
              <w:rPr>
                <w:rFonts w:hint="eastAsia" w:ascii="宋体" w:hAnsi="宋体" w:eastAsia="宋体" w:cs="宋体"/>
                <w:i w:val="0"/>
                <w:color w:val="000000"/>
                <w:sz w:val="20"/>
                <w:szCs w:val="20"/>
                <w:u w:val="none"/>
              </w:rPr>
            </w:pPr>
          </w:p>
          <w:p>
            <w:pPr>
              <w:pStyle w:val="2"/>
              <w:rPr>
                <w:rFonts w:hint="eastAsia" w:ascii="宋体" w:hAnsi="宋体" w:eastAsia="宋体" w:cs="宋体"/>
                <w:i w:val="0"/>
                <w:color w:val="000000"/>
                <w:sz w:val="20"/>
                <w:szCs w:val="20"/>
                <w:u w:val="none"/>
              </w:rPr>
            </w:pPr>
          </w:p>
          <w:p>
            <w:pPr>
              <w:pStyle w:val="2"/>
              <w:rPr>
                <w:rFonts w:hint="eastAsia" w:ascii="宋体" w:hAnsi="宋体" w:eastAsia="宋体" w:cs="宋体"/>
                <w:i w:val="0"/>
                <w:color w:val="000000"/>
                <w:sz w:val="20"/>
                <w:szCs w:val="20"/>
                <w:u w:val="none"/>
              </w:rPr>
            </w:pPr>
          </w:p>
          <w:p>
            <w:pPr>
              <w:pStyle w:val="2"/>
              <w:rPr>
                <w:rFonts w:hint="eastAsia" w:ascii="宋体" w:hAnsi="宋体" w:eastAsia="宋体" w:cs="宋体"/>
                <w:i w:val="0"/>
                <w:color w:val="000000"/>
                <w:sz w:val="20"/>
                <w:szCs w:val="20"/>
                <w:u w:val="none"/>
              </w:rPr>
            </w:pPr>
          </w:p>
          <w:p>
            <w:pPr>
              <w:pStyle w:val="2"/>
              <w:ind w:left="0" w:leftChars="0" w:firstLine="0" w:firstLineChars="0"/>
              <w:rPr>
                <w:rFonts w:hint="default" w:ascii="宋体" w:hAnsi="宋体" w:eastAsia="宋体" w:cs="宋体"/>
                <w:i w:val="0"/>
                <w:color w:val="000000"/>
                <w:sz w:val="20"/>
                <w:szCs w:val="20"/>
                <w:u w:val="none"/>
                <w:lang w:val="en-US"/>
              </w:rPr>
            </w:pPr>
            <w:r>
              <w:rPr>
                <w:rFonts w:hint="eastAsia" w:ascii="宋体" w:hAnsi="宋体" w:eastAsia="宋体" w:cs="宋体"/>
                <w:i w:val="0"/>
                <w:color w:val="000000"/>
                <w:kern w:val="0"/>
                <w:sz w:val="20"/>
                <w:szCs w:val="20"/>
                <w:u w:val="none"/>
                <w:lang w:val="en-US" w:eastAsia="zh-CN" w:bidi="ar"/>
              </w:rPr>
              <w:t>031206001010</w:t>
            </w:r>
          </w:p>
        </w:tc>
        <w:tc>
          <w:tcPr>
            <w:tcW w:w="5468" w:type="dxa"/>
            <w:gridSpan w:val="2"/>
            <w:tcBorders>
              <w:top w:val="single" w:color="000000" w:sz="4" w:space="0"/>
              <w:left w:val="single" w:color="000000" w:sz="4" w:space="0"/>
              <w:bottom w:val="single" w:color="000000" w:sz="8" w:space="0"/>
              <w:right w:val="single" w:color="000000" w:sz="4" w:space="0"/>
            </w:tcBorders>
            <w:shd w:val="clear" w:color="FFFFFF" w:fill="FFFFFF"/>
            <w:noWrap w:val="0"/>
            <w:tcMar>
              <w:top w:w="12" w:type="dxa"/>
              <w:left w:w="12" w:type="dxa"/>
              <w:right w:w="12" w:type="dxa"/>
            </w:tcMar>
            <w:vAlign w:val="top"/>
          </w:tcPr>
          <w:p>
            <w:pPr>
              <w:keepNext w:val="0"/>
              <w:keepLines w:val="0"/>
              <w:pageBreakBefore w:val="0"/>
              <w:kinsoku/>
              <w:wordWrap/>
              <w:overflowPunct/>
              <w:topLinePunct w:val="0"/>
              <w:autoSpaceDE/>
              <w:autoSpaceDN/>
              <w:bidi w:val="0"/>
              <w:adjustRightInd/>
              <w:snapToGrid/>
              <w:spacing w:line="300" w:lineRule="exact"/>
              <w:rPr>
                <w:rFonts w:hint="eastAsia" w:ascii="宋体" w:hAnsi="宋体" w:eastAsia="宋体" w:cs="宋体"/>
                <w:sz w:val="20"/>
                <w:szCs w:val="20"/>
              </w:rPr>
            </w:pPr>
            <w:r>
              <w:rPr>
                <w:rFonts w:hint="eastAsia" w:ascii="宋体" w:hAnsi="宋体" w:eastAsia="宋体" w:cs="宋体"/>
                <w:sz w:val="20"/>
                <w:szCs w:val="20"/>
              </w:rPr>
              <w:t>扩声系统设备</w:t>
            </w:r>
            <w:r>
              <w:rPr>
                <w:rFonts w:hint="eastAsia" w:ascii="宋体" w:hAnsi="宋体" w:eastAsia="宋体" w:cs="宋体"/>
                <w:sz w:val="20"/>
                <w:szCs w:val="20"/>
              </w:rPr>
              <w:br w:type="textWrapping"/>
            </w:r>
            <w:r>
              <w:rPr>
                <w:rFonts w:hint="eastAsia" w:ascii="宋体" w:hAnsi="宋体" w:eastAsia="宋体" w:cs="宋体"/>
                <w:sz w:val="20"/>
                <w:szCs w:val="20"/>
              </w:rPr>
              <w:t>[项目特征]</w:t>
            </w:r>
            <w:r>
              <w:rPr>
                <w:rFonts w:hint="eastAsia" w:ascii="宋体" w:hAnsi="宋体" w:eastAsia="宋体" w:cs="宋体"/>
                <w:sz w:val="20"/>
                <w:szCs w:val="20"/>
              </w:rPr>
              <w:br w:type="textWrapping"/>
            </w:r>
            <w:r>
              <w:rPr>
                <w:rFonts w:hint="eastAsia" w:ascii="宋体" w:hAnsi="宋体" w:eastAsia="宋体" w:cs="宋体"/>
                <w:sz w:val="20"/>
                <w:szCs w:val="20"/>
              </w:rPr>
              <w:t>1.名称:数字音频处理器</w:t>
            </w:r>
            <w:r>
              <w:rPr>
                <w:rFonts w:hint="eastAsia" w:ascii="宋体" w:hAnsi="宋体" w:eastAsia="宋体" w:cs="宋体"/>
                <w:sz w:val="20"/>
                <w:szCs w:val="20"/>
              </w:rPr>
              <w:br w:type="textWrapping"/>
            </w:r>
            <w:r>
              <w:rPr>
                <w:rFonts w:hint="eastAsia" w:ascii="宋体" w:hAnsi="宋体" w:eastAsia="宋体" w:cs="宋体"/>
                <w:sz w:val="20"/>
                <w:szCs w:val="20"/>
              </w:rPr>
              <w:t>2.技术参数：1、4进8出数字音频处理器能为用户提供顶级专业的扬声器处理技术，通过前面板一块1.8寸TFT彩色显示屏结合一个轨迹球导航旋钮和菜单按键，对设备进行控制、调教，用户使用方便、快捷、直观；可使立体声扬声器系统获得最大输出表现力。</w:t>
            </w:r>
            <w:r>
              <w:rPr>
                <w:rFonts w:hint="eastAsia" w:ascii="宋体" w:hAnsi="宋体" w:eastAsia="宋体" w:cs="宋体"/>
                <w:sz w:val="20"/>
                <w:szCs w:val="20"/>
              </w:rPr>
              <w:br w:type="textWrapping"/>
            </w:r>
            <w:r>
              <w:rPr>
                <w:rFonts w:hint="eastAsia" w:ascii="宋体" w:hAnsi="宋体" w:eastAsia="宋体" w:cs="宋体"/>
                <w:sz w:val="20"/>
                <w:szCs w:val="20"/>
              </w:rPr>
              <w:t>2、设备的前面板带有一块1.8寸TFT彩色显示屏，一个轨迹球导航旋钮和菜单按键，具有直观的用户界面，使用简单,仅需几个步骤就能设置好整套系统。</w:t>
            </w:r>
            <w:r>
              <w:rPr>
                <w:rFonts w:hint="eastAsia" w:ascii="宋体" w:hAnsi="宋体" w:eastAsia="宋体" w:cs="宋体"/>
                <w:sz w:val="20"/>
                <w:szCs w:val="20"/>
              </w:rPr>
              <w:br w:type="textWrapping"/>
            </w:r>
            <w:r>
              <w:rPr>
                <w:rFonts w:hint="eastAsia" w:ascii="宋体" w:hAnsi="宋体" w:eastAsia="宋体" w:cs="宋体"/>
                <w:sz w:val="20"/>
                <w:szCs w:val="20"/>
              </w:rPr>
              <w:t>3、每路输出通道都配置有可达2000ms的延时。内置SHARC高速浮点运算DSP芯片，提供最高性能400 MHz/2200 MFLOP处理器能力。拥有多个音响厂家生产的音箱的处理系统的部件结构，把周边设备组合在一起，运用数字处理技术，完成各个周边设备的功能运算，可快速设置好整个音频系统。</w:t>
            </w:r>
            <w:r>
              <w:rPr>
                <w:rFonts w:hint="eastAsia" w:ascii="宋体" w:hAnsi="宋体" w:eastAsia="宋体" w:cs="宋体"/>
                <w:sz w:val="20"/>
                <w:szCs w:val="20"/>
              </w:rPr>
              <w:br w:type="textWrapping"/>
            </w:r>
            <w:r>
              <w:rPr>
                <w:rFonts w:hint="eastAsia" w:ascii="宋体" w:hAnsi="宋体" w:eastAsia="宋体" w:cs="宋体"/>
                <w:sz w:val="20"/>
                <w:szCs w:val="20"/>
              </w:rPr>
              <w:t>4、输入的主通道上设有输入电平调节与指示、模/数转换、5段参量均衡器、压缩器;输出的各个通道上设有电子分频器、移相器、数字电平调节、限制器、数/模转换、31段图示均衡器输出电平调节与指示功能。</w:t>
            </w:r>
            <w:r>
              <w:rPr>
                <w:rFonts w:hint="eastAsia" w:ascii="宋体" w:hAnsi="宋体" w:eastAsia="宋体" w:cs="宋体"/>
                <w:sz w:val="20"/>
                <w:szCs w:val="20"/>
              </w:rPr>
              <w:br w:type="textWrapping"/>
            </w:r>
            <w:r>
              <w:rPr>
                <w:rFonts w:hint="eastAsia" w:ascii="宋体" w:hAnsi="宋体" w:eastAsia="宋体" w:cs="宋体"/>
                <w:sz w:val="20"/>
                <w:szCs w:val="20"/>
              </w:rPr>
              <w:t>5、高精度96KHz/24bit数据处理，可达到110dB动态范围和高质数的声音品质。                                                 技术参数：</w:t>
            </w:r>
            <w:r>
              <w:rPr>
                <w:rFonts w:hint="eastAsia" w:ascii="宋体" w:hAnsi="宋体" w:eastAsia="宋体" w:cs="宋体"/>
                <w:sz w:val="20"/>
                <w:szCs w:val="20"/>
              </w:rPr>
              <w:br w:type="textWrapping"/>
            </w:r>
            <w:r>
              <w:rPr>
                <w:rFonts w:hint="eastAsia" w:ascii="宋体" w:hAnsi="宋体" w:eastAsia="宋体" w:cs="宋体"/>
                <w:sz w:val="20"/>
                <w:szCs w:val="20"/>
              </w:rPr>
              <w:t>输入：4个通道的XLR输入</w:t>
            </w:r>
          </w:p>
          <w:p>
            <w:pPr>
              <w:pStyle w:val="2"/>
              <w:keepNext w:val="0"/>
              <w:keepLines w:val="0"/>
              <w:pageBreakBefore w:val="0"/>
              <w:kinsoku/>
              <w:wordWrap/>
              <w:overflowPunct/>
              <w:topLinePunct w:val="0"/>
              <w:autoSpaceDE/>
              <w:autoSpaceDN/>
              <w:bidi w:val="0"/>
              <w:adjustRightInd/>
              <w:snapToGrid/>
              <w:spacing w:line="300" w:lineRule="exact"/>
              <w:ind w:left="0" w:leftChars="0" w:firstLine="0" w:firstLineChars="0"/>
              <w:rPr>
                <w:rFonts w:hint="eastAsia" w:ascii="宋体" w:hAnsi="宋体" w:eastAsia="宋体" w:cs="宋体"/>
                <w:sz w:val="20"/>
                <w:szCs w:val="20"/>
              </w:rPr>
            </w:pPr>
            <w:r>
              <w:rPr>
                <w:rFonts w:hint="eastAsia" w:ascii="宋体" w:hAnsi="宋体" w:eastAsia="宋体" w:cs="宋体"/>
                <w:sz w:val="20"/>
                <w:szCs w:val="20"/>
              </w:rPr>
              <w:t>输出：8个通道的XLR输出</w:t>
            </w:r>
            <w:r>
              <w:rPr>
                <w:rFonts w:hint="eastAsia" w:ascii="宋体" w:hAnsi="宋体" w:eastAsia="宋体" w:cs="宋体"/>
                <w:sz w:val="20"/>
                <w:szCs w:val="20"/>
              </w:rPr>
              <w:br w:type="textWrapping"/>
            </w:r>
            <w:r>
              <w:rPr>
                <w:rFonts w:hint="eastAsia" w:ascii="宋体" w:hAnsi="宋体" w:eastAsia="宋体" w:cs="宋体"/>
                <w:sz w:val="20"/>
                <w:szCs w:val="20"/>
              </w:rPr>
              <w:t>频率响应：17Hz—40KHz(+/-0.5dB)</w:t>
            </w:r>
            <w:r>
              <w:rPr>
                <w:rFonts w:hint="eastAsia" w:ascii="宋体" w:hAnsi="宋体" w:eastAsia="宋体" w:cs="宋体"/>
                <w:sz w:val="20"/>
                <w:szCs w:val="20"/>
              </w:rPr>
              <w:br w:type="textWrapping"/>
            </w:r>
            <w:r>
              <w:rPr>
                <w:rFonts w:hint="eastAsia" w:ascii="宋体" w:hAnsi="宋体" w:eastAsia="宋体" w:cs="宋体"/>
                <w:sz w:val="20"/>
                <w:szCs w:val="20"/>
              </w:rPr>
              <w:t>通道隔离度：108dB@1KHz,+20dBu</w:t>
            </w:r>
            <w:r>
              <w:rPr>
                <w:rFonts w:hint="eastAsia" w:ascii="宋体" w:hAnsi="宋体" w:eastAsia="宋体" w:cs="宋体"/>
                <w:sz w:val="20"/>
                <w:szCs w:val="20"/>
              </w:rPr>
              <w:br w:type="textWrapping"/>
            </w:r>
            <w:r>
              <w:rPr>
                <w:rFonts w:hint="eastAsia" w:ascii="宋体" w:hAnsi="宋体" w:eastAsia="宋体" w:cs="宋体"/>
                <w:sz w:val="20"/>
                <w:szCs w:val="20"/>
              </w:rPr>
              <w:t>采样率：96KHz</w:t>
            </w:r>
            <w:r>
              <w:rPr>
                <w:rFonts w:hint="eastAsia" w:ascii="宋体" w:hAnsi="宋体" w:eastAsia="宋体" w:cs="宋体"/>
                <w:sz w:val="20"/>
                <w:szCs w:val="20"/>
              </w:rPr>
              <w:br w:type="textWrapping"/>
            </w:r>
            <w:r>
              <w:rPr>
                <w:rFonts w:hint="eastAsia" w:ascii="宋体" w:hAnsi="宋体" w:eastAsia="宋体" w:cs="宋体"/>
                <w:sz w:val="20"/>
                <w:szCs w:val="20"/>
              </w:rPr>
              <w:t>DSP 频率：400MHz X 2</w:t>
            </w:r>
            <w:r>
              <w:rPr>
                <w:rFonts w:hint="eastAsia" w:ascii="宋体" w:hAnsi="宋体" w:eastAsia="宋体" w:cs="宋体"/>
                <w:sz w:val="20"/>
                <w:szCs w:val="20"/>
              </w:rPr>
              <w:br w:type="textWrapping"/>
            </w:r>
            <w:r>
              <w:rPr>
                <w:rFonts w:hint="eastAsia" w:ascii="宋体" w:hAnsi="宋体" w:eastAsia="宋体" w:cs="宋体"/>
                <w:sz w:val="20"/>
                <w:szCs w:val="20"/>
              </w:rPr>
              <w:t>输入通道：114dB</w:t>
            </w:r>
            <w:r>
              <w:rPr>
                <w:rFonts w:hint="eastAsia" w:ascii="宋体" w:hAnsi="宋体" w:eastAsia="宋体" w:cs="宋体"/>
                <w:sz w:val="20"/>
                <w:szCs w:val="20"/>
              </w:rPr>
              <w:br w:type="textWrapping"/>
            </w:r>
            <w:r>
              <w:rPr>
                <w:rFonts w:hint="eastAsia" w:ascii="宋体" w:hAnsi="宋体" w:eastAsia="宋体" w:cs="宋体"/>
                <w:sz w:val="20"/>
                <w:szCs w:val="20"/>
              </w:rPr>
              <w:t>输出通道:123dB</w:t>
            </w:r>
            <w:r>
              <w:rPr>
                <w:rFonts w:hint="eastAsia" w:ascii="宋体" w:hAnsi="宋体" w:eastAsia="宋体" w:cs="宋体"/>
                <w:sz w:val="20"/>
                <w:szCs w:val="20"/>
              </w:rPr>
              <w:br w:type="textWrapping"/>
            </w:r>
            <w:r>
              <w:rPr>
                <w:rFonts w:hint="eastAsia" w:ascii="宋体" w:hAnsi="宋体" w:eastAsia="宋体" w:cs="宋体"/>
                <w:sz w:val="20"/>
                <w:szCs w:val="20"/>
              </w:rPr>
              <w:t>输入输出增益: -74dB 至 +12dB (0.5 dB)</w:t>
            </w:r>
            <w:r>
              <w:rPr>
                <w:rFonts w:hint="eastAsia" w:ascii="宋体" w:hAnsi="宋体" w:eastAsia="宋体" w:cs="宋体"/>
                <w:sz w:val="20"/>
                <w:szCs w:val="20"/>
              </w:rPr>
              <w:br w:type="textWrapping"/>
            </w:r>
            <w:r>
              <w:rPr>
                <w:rFonts w:hint="eastAsia" w:ascii="宋体" w:hAnsi="宋体" w:eastAsia="宋体" w:cs="宋体"/>
                <w:sz w:val="20"/>
                <w:szCs w:val="20"/>
              </w:rPr>
              <w:t>总谐波失真THD+N:≤ 0.005%@1KHz,+4dBu</w:t>
            </w:r>
            <w:r>
              <w:rPr>
                <w:rFonts w:hint="eastAsia" w:ascii="宋体" w:hAnsi="宋体" w:eastAsia="宋体" w:cs="宋体"/>
                <w:sz w:val="20"/>
                <w:szCs w:val="20"/>
              </w:rPr>
              <w:br w:type="textWrapping"/>
            </w:r>
            <w:r>
              <w:rPr>
                <w:rFonts w:hint="eastAsia" w:ascii="宋体" w:hAnsi="宋体" w:eastAsia="宋体" w:cs="宋体"/>
                <w:sz w:val="20"/>
                <w:szCs w:val="20"/>
              </w:rPr>
              <w:t>等效输入噪声 EIN:≤ -120dB（20Hz—20KHz,A计权）</w:t>
            </w:r>
            <w:r>
              <w:rPr>
                <w:rFonts w:hint="eastAsia" w:ascii="宋体" w:hAnsi="宋体" w:eastAsia="宋体" w:cs="宋体"/>
                <w:sz w:val="20"/>
                <w:szCs w:val="20"/>
              </w:rPr>
              <w:br w:type="textWrapping"/>
            </w:r>
            <w:r>
              <w:rPr>
                <w:rFonts w:hint="eastAsia" w:ascii="宋体" w:hAnsi="宋体" w:eastAsia="宋体" w:cs="宋体"/>
                <w:sz w:val="20"/>
                <w:szCs w:val="20"/>
              </w:rPr>
              <w:t>工作温度: -10至+40℃</w:t>
            </w:r>
            <w:r>
              <w:rPr>
                <w:rFonts w:hint="eastAsia" w:ascii="宋体" w:hAnsi="宋体" w:eastAsia="宋体" w:cs="宋体"/>
                <w:sz w:val="20"/>
                <w:szCs w:val="20"/>
              </w:rPr>
              <w:br w:type="textWrapping"/>
            </w:r>
            <w:r>
              <w:rPr>
                <w:rFonts w:hint="eastAsia" w:ascii="宋体" w:hAnsi="宋体" w:eastAsia="宋体" w:cs="宋体"/>
                <w:sz w:val="20"/>
                <w:szCs w:val="20"/>
              </w:rPr>
              <w:t>电平表:1.8寸LCD电平表</w:t>
            </w:r>
            <w:r>
              <w:rPr>
                <w:rFonts w:hint="eastAsia" w:ascii="宋体" w:hAnsi="宋体" w:eastAsia="宋体" w:cs="宋体"/>
                <w:sz w:val="20"/>
                <w:szCs w:val="20"/>
              </w:rPr>
              <w:br w:type="textWrapping"/>
            </w:r>
            <w:r>
              <w:rPr>
                <w:rFonts w:hint="eastAsia" w:ascii="宋体" w:hAnsi="宋体" w:eastAsia="宋体" w:cs="宋体"/>
                <w:sz w:val="20"/>
                <w:szCs w:val="20"/>
              </w:rPr>
              <w:t>输入电压:AC110V—220V,50Hz/60Hz</w:t>
            </w:r>
          </w:p>
        </w:tc>
        <w:tc>
          <w:tcPr>
            <w:tcW w:w="1020" w:type="dxa"/>
            <w:tcBorders>
              <w:top w:val="single" w:color="000000" w:sz="4" w:space="0"/>
              <w:left w:val="single" w:color="000000" w:sz="4"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台</w:t>
            </w:r>
          </w:p>
        </w:tc>
        <w:tc>
          <w:tcPr>
            <w:tcW w:w="885" w:type="dxa"/>
            <w:tcBorders>
              <w:top w:val="single" w:color="000000" w:sz="4" w:space="0"/>
              <w:left w:val="single" w:color="000000" w:sz="4" w:space="0"/>
              <w:bottom w:val="single" w:color="000000" w:sz="8"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r>
      <w:tr>
        <w:tblPrEx>
          <w:tblCellMar>
            <w:top w:w="0" w:type="dxa"/>
            <w:left w:w="0" w:type="dxa"/>
            <w:bottom w:w="0" w:type="dxa"/>
            <w:right w:w="0" w:type="dxa"/>
          </w:tblCellMar>
        </w:tblPrEx>
        <w:trPr>
          <w:trHeight w:val="2765" w:hRule="atLeast"/>
          <w:jc w:val="center"/>
        </w:trPr>
        <w:tc>
          <w:tcPr>
            <w:tcW w:w="917"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26</w:t>
            </w:r>
          </w:p>
        </w:tc>
        <w:tc>
          <w:tcPr>
            <w:tcW w:w="133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CB017</w:t>
            </w:r>
          </w:p>
        </w:tc>
        <w:tc>
          <w:tcPr>
            <w:tcW w:w="5468" w:type="dxa"/>
            <w:gridSpan w:val="2"/>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top"/>
          </w:tcPr>
          <w:p>
            <w:pPr>
              <w:keepNext w:val="0"/>
              <w:keepLines w:val="0"/>
              <w:pageBreakBefore w:val="0"/>
              <w:widowControl/>
              <w:kinsoku/>
              <w:wordWrap/>
              <w:overflowPunct/>
              <w:topLinePunct w:val="0"/>
              <w:autoSpaceDE/>
              <w:autoSpaceDN/>
              <w:bidi w:val="0"/>
              <w:adjustRightInd/>
              <w:snapToGrid/>
              <w:spacing w:line="300" w:lineRule="exact"/>
              <w:textAlignment w:val="auto"/>
              <w:rPr>
                <w:rFonts w:hint="eastAsia" w:ascii="宋体" w:hAnsi="宋体" w:eastAsia="宋体" w:cs="宋体"/>
                <w:i w:val="0"/>
                <w:color w:val="000000"/>
                <w:sz w:val="20"/>
                <w:szCs w:val="20"/>
                <w:u w:val="none"/>
              </w:rPr>
            </w:pPr>
            <w:r>
              <w:rPr>
                <w:rFonts w:hint="eastAsia" w:ascii="宋体" w:hAnsi="宋体" w:eastAsia="宋体" w:cs="宋体"/>
                <w:sz w:val="20"/>
                <w:szCs w:val="20"/>
              </w:rPr>
              <w:t>无线手持话筒</w:t>
            </w:r>
            <w:r>
              <w:rPr>
                <w:rFonts w:hint="eastAsia" w:ascii="宋体" w:hAnsi="宋体" w:eastAsia="宋体" w:cs="宋体"/>
                <w:sz w:val="20"/>
                <w:szCs w:val="20"/>
              </w:rPr>
              <w:br w:type="textWrapping"/>
            </w:r>
            <w:r>
              <w:rPr>
                <w:rFonts w:hint="eastAsia" w:ascii="宋体" w:hAnsi="宋体" w:eastAsia="宋体" w:cs="宋体"/>
                <w:sz w:val="20"/>
                <w:szCs w:val="20"/>
              </w:rPr>
              <w:t>[项目特征]</w:t>
            </w:r>
            <w:r>
              <w:rPr>
                <w:rFonts w:hint="eastAsia" w:ascii="宋体" w:hAnsi="宋体" w:eastAsia="宋体" w:cs="宋体"/>
                <w:sz w:val="20"/>
                <w:szCs w:val="20"/>
              </w:rPr>
              <w:br w:type="textWrapping"/>
            </w:r>
            <w:r>
              <w:rPr>
                <w:rFonts w:hint="eastAsia" w:ascii="宋体" w:hAnsi="宋体" w:eastAsia="宋体" w:cs="宋体"/>
                <w:sz w:val="20"/>
                <w:szCs w:val="20"/>
              </w:rPr>
              <w:t>U段双通道无线手持（心形指向），专业的无线系统频率范围（4选1）：专业的无线系统频率范围（4选1）：518–548 MHz，606–636 MHz，794–832 MHz，1780–1810 MHz；传输范围：120米（视距）；每段范围可使用频率：达到18；</w:t>
            </w:r>
            <w:r>
              <w:rPr>
                <w:rFonts w:hint="eastAsia" w:ascii="宋体" w:hAnsi="宋体" w:eastAsia="宋体" w:cs="宋体"/>
                <w:sz w:val="20"/>
                <w:szCs w:val="20"/>
              </w:rPr>
              <w:br w:type="textWrapping"/>
            </w:r>
            <w:r>
              <w:rPr>
                <w:rFonts w:hint="eastAsia" w:ascii="宋体" w:hAnsi="宋体" w:eastAsia="宋体" w:cs="宋体"/>
                <w:sz w:val="20"/>
                <w:szCs w:val="20"/>
              </w:rPr>
              <w:t xml:space="preserve">包括机架支架 </w:t>
            </w:r>
            <w:r>
              <w:rPr>
                <w:rFonts w:hint="eastAsia" w:ascii="宋体" w:hAnsi="宋体" w:eastAsia="宋体" w:cs="宋体"/>
                <w:sz w:val="20"/>
                <w:szCs w:val="20"/>
              </w:rPr>
              <w:br w:type="textWrapping"/>
            </w:r>
            <w:r>
              <w:rPr>
                <w:rFonts w:hint="eastAsia" w:ascii="宋体" w:hAnsi="宋体" w:eastAsia="宋体" w:cs="宋体"/>
                <w:sz w:val="20"/>
                <w:szCs w:val="20"/>
              </w:rPr>
              <w:t>[工作内容]</w:t>
            </w:r>
            <w:r>
              <w:rPr>
                <w:rFonts w:hint="eastAsia" w:ascii="宋体" w:hAnsi="宋体" w:eastAsia="宋体" w:cs="宋体"/>
                <w:sz w:val="20"/>
                <w:szCs w:val="20"/>
              </w:rPr>
              <w:br w:type="textWrapping"/>
            </w:r>
            <w:r>
              <w:rPr>
                <w:rFonts w:hint="eastAsia" w:ascii="宋体" w:hAnsi="宋体" w:eastAsia="宋体" w:cs="宋体"/>
                <w:sz w:val="20"/>
                <w:szCs w:val="20"/>
              </w:rPr>
              <w:t>1.安装</w:t>
            </w:r>
          </w:p>
        </w:tc>
        <w:tc>
          <w:tcPr>
            <w:tcW w:w="1020"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套</w:t>
            </w:r>
          </w:p>
        </w:tc>
        <w:tc>
          <w:tcPr>
            <w:tcW w:w="885"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w:t>
            </w:r>
          </w:p>
        </w:tc>
      </w:tr>
      <w:tr>
        <w:tblPrEx>
          <w:tblCellMar>
            <w:top w:w="0" w:type="dxa"/>
            <w:left w:w="0" w:type="dxa"/>
            <w:bottom w:w="0" w:type="dxa"/>
            <w:right w:w="0" w:type="dxa"/>
          </w:tblCellMar>
        </w:tblPrEx>
        <w:trPr>
          <w:trHeight w:val="745" w:hRule="atLeast"/>
          <w:jc w:val="center"/>
        </w:trPr>
        <w:tc>
          <w:tcPr>
            <w:tcW w:w="917"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27</w:t>
            </w:r>
          </w:p>
        </w:tc>
        <w:tc>
          <w:tcPr>
            <w:tcW w:w="133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CB018</w:t>
            </w:r>
          </w:p>
        </w:tc>
        <w:tc>
          <w:tcPr>
            <w:tcW w:w="5468" w:type="dxa"/>
            <w:gridSpan w:val="2"/>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top"/>
          </w:tcPr>
          <w:p>
            <w:pPr>
              <w:keepNext w:val="0"/>
              <w:keepLines w:val="0"/>
              <w:pageBreakBefore w:val="0"/>
              <w:widowControl/>
              <w:kinsoku/>
              <w:wordWrap/>
              <w:overflowPunct/>
              <w:topLinePunct w:val="0"/>
              <w:autoSpaceDE/>
              <w:autoSpaceDN/>
              <w:bidi w:val="0"/>
              <w:adjustRightInd/>
              <w:snapToGrid/>
              <w:spacing w:line="300" w:lineRule="exact"/>
              <w:textAlignment w:val="auto"/>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sz w:val="20"/>
                <w:szCs w:val="20"/>
              </w:rPr>
              <w:t>无线头戴话筒</w:t>
            </w:r>
            <w:r>
              <w:rPr>
                <w:rFonts w:hint="eastAsia" w:ascii="宋体" w:hAnsi="宋体" w:eastAsia="宋体" w:cs="宋体"/>
                <w:sz w:val="20"/>
                <w:szCs w:val="20"/>
              </w:rPr>
              <w:br w:type="textWrapping"/>
            </w:r>
            <w:r>
              <w:rPr>
                <w:rFonts w:hint="eastAsia" w:ascii="宋体" w:hAnsi="宋体" w:eastAsia="宋体" w:cs="宋体"/>
                <w:sz w:val="20"/>
                <w:szCs w:val="20"/>
              </w:rPr>
              <w:t>[项目特征]</w:t>
            </w:r>
            <w:r>
              <w:rPr>
                <w:rFonts w:hint="eastAsia" w:ascii="宋体" w:hAnsi="宋体" w:eastAsia="宋体" w:cs="宋体"/>
                <w:sz w:val="20"/>
                <w:szCs w:val="20"/>
              </w:rPr>
              <w:br w:type="textWrapping"/>
            </w:r>
            <w:r>
              <w:rPr>
                <w:rFonts w:hint="eastAsia" w:ascii="宋体" w:hAnsi="宋体" w:eastAsia="宋体" w:cs="宋体"/>
                <w:sz w:val="20"/>
                <w:szCs w:val="20"/>
              </w:rPr>
              <w:t>1.U段双通道无线头戴（心形指向），专业的无线系统频率范围（4选1）：专业的无线系统频率范围（4选1）：518–548 MHz，606–636 MHz，794–832 MHz，1780–1810 MHz；传输范围：120米（视距）；每段范围可使用频率：达到18；频响：45-15kHz；动态范围：105dB（A-计权）。金属外壳手持发射机显示：LCD；红外同步；可编程静音按键；增益2档可调；电源：2xAA 镍氢电池或硷性电池；操作时间：约10小时；环境温度：0-55°C；发射功率：10mW/50mW       频响：45-15kHz；动态范围：105dB（A-计权）。金属外壳手持发射机显示：LCD；红外同步；可编程静音按键；增益2档可调；电源：2xAA 镍氢电池或硷性电池；操作时间：约10小时；环境温度：0-55°C；发射功率：10mW/50mW</w:t>
            </w:r>
            <w:r>
              <w:rPr>
                <w:rFonts w:hint="eastAsia" w:ascii="宋体" w:hAnsi="宋体" w:eastAsia="宋体" w:cs="宋体"/>
                <w:sz w:val="20"/>
                <w:szCs w:val="20"/>
              </w:rPr>
              <w:br w:type="textWrapping"/>
            </w:r>
            <w:r>
              <w:rPr>
                <w:rFonts w:hint="eastAsia" w:ascii="宋体" w:hAnsi="宋体" w:eastAsia="宋体" w:cs="宋体"/>
                <w:sz w:val="20"/>
                <w:szCs w:val="20"/>
              </w:rPr>
              <w:t xml:space="preserve">包括机架支架 </w:t>
            </w:r>
            <w:r>
              <w:rPr>
                <w:rFonts w:hint="eastAsia" w:ascii="宋体" w:hAnsi="宋体" w:eastAsia="宋体" w:cs="宋体"/>
                <w:sz w:val="20"/>
                <w:szCs w:val="20"/>
              </w:rPr>
              <w:br w:type="textWrapping"/>
            </w:r>
            <w:r>
              <w:rPr>
                <w:rFonts w:hint="eastAsia" w:ascii="宋体" w:hAnsi="宋体" w:eastAsia="宋体" w:cs="宋体"/>
                <w:sz w:val="20"/>
                <w:szCs w:val="20"/>
              </w:rPr>
              <w:t>[工作内容]</w:t>
            </w:r>
            <w:r>
              <w:rPr>
                <w:rFonts w:hint="eastAsia" w:ascii="宋体" w:hAnsi="宋体" w:eastAsia="宋体" w:cs="宋体"/>
                <w:sz w:val="20"/>
                <w:szCs w:val="20"/>
              </w:rPr>
              <w:br w:type="textWrapping"/>
            </w:r>
            <w:r>
              <w:rPr>
                <w:rFonts w:hint="eastAsia" w:ascii="宋体" w:hAnsi="宋体" w:eastAsia="宋体" w:cs="宋体"/>
                <w:sz w:val="20"/>
                <w:szCs w:val="20"/>
              </w:rPr>
              <w:t>1.安装</w:t>
            </w:r>
          </w:p>
        </w:tc>
        <w:tc>
          <w:tcPr>
            <w:tcW w:w="1020"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套</w:t>
            </w:r>
          </w:p>
        </w:tc>
        <w:tc>
          <w:tcPr>
            <w:tcW w:w="885"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2</w:t>
            </w:r>
          </w:p>
        </w:tc>
      </w:tr>
      <w:tr>
        <w:tblPrEx>
          <w:tblCellMar>
            <w:top w:w="0" w:type="dxa"/>
            <w:left w:w="0" w:type="dxa"/>
            <w:bottom w:w="0" w:type="dxa"/>
            <w:right w:w="0" w:type="dxa"/>
          </w:tblCellMar>
        </w:tblPrEx>
        <w:trPr>
          <w:trHeight w:val="179" w:hRule="atLeast"/>
          <w:jc w:val="center"/>
        </w:trPr>
        <w:tc>
          <w:tcPr>
            <w:tcW w:w="917" w:type="dxa"/>
            <w:tcBorders>
              <w:top w:val="single" w:color="000000" w:sz="4" w:space="0"/>
              <w:left w:val="single" w:color="000000" w:sz="8"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28</w:t>
            </w:r>
          </w:p>
        </w:tc>
        <w:tc>
          <w:tcPr>
            <w:tcW w:w="1339" w:type="dxa"/>
            <w:tcBorders>
              <w:top w:val="single" w:color="000000" w:sz="4" w:space="0"/>
              <w:left w:val="single" w:color="000000" w:sz="4"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CB019</w:t>
            </w:r>
          </w:p>
        </w:tc>
        <w:tc>
          <w:tcPr>
            <w:tcW w:w="5468" w:type="dxa"/>
            <w:gridSpan w:val="2"/>
            <w:tcBorders>
              <w:top w:val="single" w:color="000000" w:sz="4" w:space="0"/>
              <w:left w:val="single" w:color="000000" w:sz="4"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lef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有线鹅颈话筒</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1.类型:鹅颈式会议话筒</w:t>
            </w:r>
          </w:p>
          <w:p>
            <w:pPr>
              <w:keepNext w:val="0"/>
              <w:keepLines w:val="0"/>
              <w:pageBreakBefore w:val="0"/>
              <w:widowControl w:val="0"/>
              <w:numPr>
                <w:ilvl w:val="0"/>
                <w:numId w:val="8"/>
              </w:numPr>
              <w:suppressLineNumbers w:val="0"/>
              <w:kinsoku/>
              <w:wordWrap/>
              <w:overflowPunct/>
              <w:topLinePunct w:val="0"/>
              <w:autoSpaceDE/>
              <w:autoSpaceDN/>
              <w:bidi w:val="0"/>
              <w:adjustRightInd/>
              <w:snapToGrid/>
              <w:spacing w:line="320" w:lineRule="exact"/>
              <w:jc w:val="lef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技术参数：</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灵敏度 ：-37dB</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最大声压级 ：134dB</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频响范围 ：70-16,000Hz</w:t>
            </w: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line="32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标称阻抗 ：100欧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1.安装</w:t>
            </w:r>
          </w:p>
        </w:tc>
        <w:tc>
          <w:tcPr>
            <w:tcW w:w="1020" w:type="dxa"/>
            <w:tcBorders>
              <w:top w:val="single" w:color="000000" w:sz="4" w:space="0"/>
              <w:left w:val="single" w:color="000000" w:sz="4"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套</w:t>
            </w:r>
          </w:p>
        </w:tc>
        <w:tc>
          <w:tcPr>
            <w:tcW w:w="885" w:type="dxa"/>
            <w:tcBorders>
              <w:top w:val="single" w:color="000000" w:sz="4" w:space="0"/>
              <w:left w:val="single" w:color="000000" w:sz="4" w:space="0"/>
              <w:bottom w:val="single" w:color="000000" w:sz="8"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w:t>
            </w:r>
          </w:p>
        </w:tc>
      </w:tr>
      <w:tr>
        <w:tblPrEx>
          <w:tblCellMar>
            <w:top w:w="0" w:type="dxa"/>
            <w:left w:w="0" w:type="dxa"/>
            <w:bottom w:w="0" w:type="dxa"/>
            <w:right w:w="0" w:type="dxa"/>
          </w:tblCellMar>
        </w:tblPrEx>
        <w:trPr>
          <w:trHeight w:val="2495" w:hRule="atLeast"/>
          <w:jc w:val="center"/>
        </w:trPr>
        <w:tc>
          <w:tcPr>
            <w:tcW w:w="917"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29</w:t>
            </w:r>
          </w:p>
        </w:tc>
        <w:tc>
          <w:tcPr>
            <w:tcW w:w="133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031101124001</w:t>
            </w:r>
          </w:p>
        </w:tc>
        <w:tc>
          <w:tcPr>
            <w:tcW w:w="5468" w:type="dxa"/>
            <w:gridSpan w:val="2"/>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低噪声放大器</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1.名称:无线话筒放大设备</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2.频率范围 470-1000 MHz</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集成可切换放大器（被动，低增益，高增益）</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灰尘和溅水保护(IP53)</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适用所有使用BNC和TNC的无线系统（含适配器）</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1.安装、调测</w:t>
            </w:r>
          </w:p>
        </w:tc>
        <w:tc>
          <w:tcPr>
            <w:tcW w:w="1020"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套</w:t>
            </w:r>
          </w:p>
        </w:tc>
        <w:tc>
          <w:tcPr>
            <w:tcW w:w="885"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w:t>
            </w:r>
          </w:p>
        </w:tc>
      </w:tr>
      <w:tr>
        <w:tblPrEx>
          <w:tblCellMar>
            <w:top w:w="0" w:type="dxa"/>
            <w:left w:w="0" w:type="dxa"/>
            <w:bottom w:w="0" w:type="dxa"/>
            <w:right w:w="0" w:type="dxa"/>
          </w:tblCellMar>
        </w:tblPrEx>
        <w:trPr>
          <w:trHeight w:val="364" w:hRule="atLeast"/>
          <w:jc w:val="center"/>
        </w:trPr>
        <w:tc>
          <w:tcPr>
            <w:tcW w:w="917"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jc w:val="left"/>
              <w:rPr>
                <w:rFonts w:hint="eastAsia" w:ascii="宋体" w:hAnsi="宋体" w:eastAsia="宋体" w:cs="宋体"/>
                <w:i w:val="0"/>
                <w:color w:val="000000"/>
                <w:sz w:val="20"/>
                <w:szCs w:val="20"/>
                <w:u w:val="none"/>
              </w:rPr>
            </w:pPr>
          </w:p>
        </w:tc>
        <w:tc>
          <w:tcPr>
            <w:tcW w:w="133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jc w:val="left"/>
              <w:rPr>
                <w:rFonts w:hint="eastAsia" w:ascii="宋体" w:hAnsi="宋体" w:eastAsia="宋体" w:cs="宋体"/>
                <w:i w:val="0"/>
                <w:color w:val="000000"/>
                <w:sz w:val="20"/>
                <w:szCs w:val="20"/>
                <w:u w:val="none"/>
              </w:rPr>
            </w:pPr>
          </w:p>
        </w:tc>
        <w:tc>
          <w:tcPr>
            <w:tcW w:w="5468" w:type="dxa"/>
            <w:gridSpan w:val="2"/>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辅助设备</w:t>
            </w:r>
          </w:p>
        </w:tc>
        <w:tc>
          <w:tcPr>
            <w:tcW w:w="1020"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jc w:val="center"/>
              <w:rPr>
                <w:rFonts w:hint="eastAsia" w:ascii="宋体" w:hAnsi="宋体" w:eastAsia="宋体" w:cs="宋体"/>
                <w:i w:val="0"/>
                <w:color w:val="000000"/>
                <w:sz w:val="20"/>
                <w:szCs w:val="20"/>
                <w:u w:val="none"/>
              </w:rPr>
            </w:pPr>
          </w:p>
        </w:tc>
        <w:tc>
          <w:tcPr>
            <w:tcW w:w="885"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jc w:val="center"/>
              <w:rPr>
                <w:rFonts w:hint="eastAsia" w:ascii="宋体" w:hAnsi="宋体" w:eastAsia="宋体" w:cs="宋体"/>
                <w:i w:val="0"/>
                <w:color w:val="000000"/>
                <w:sz w:val="20"/>
                <w:szCs w:val="20"/>
                <w:u w:val="none"/>
              </w:rPr>
            </w:pPr>
          </w:p>
        </w:tc>
      </w:tr>
      <w:tr>
        <w:tblPrEx>
          <w:tblCellMar>
            <w:top w:w="0" w:type="dxa"/>
            <w:left w:w="0" w:type="dxa"/>
            <w:bottom w:w="0" w:type="dxa"/>
            <w:right w:w="0" w:type="dxa"/>
          </w:tblCellMar>
        </w:tblPrEx>
        <w:trPr>
          <w:trHeight w:val="1465" w:hRule="atLeast"/>
          <w:jc w:val="center"/>
        </w:trPr>
        <w:tc>
          <w:tcPr>
            <w:tcW w:w="917"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30</w:t>
            </w:r>
          </w:p>
        </w:tc>
        <w:tc>
          <w:tcPr>
            <w:tcW w:w="133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CB020</w:t>
            </w:r>
          </w:p>
        </w:tc>
        <w:tc>
          <w:tcPr>
            <w:tcW w:w="5468" w:type="dxa"/>
            <w:gridSpan w:val="2"/>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主音箱吊挂架</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1.音箱厂家定制专用线阵音箱吊挂架</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1.安装</w:t>
            </w:r>
          </w:p>
        </w:tc>
        <w:tc>
          <w:tcPr>
            <w:tcW w:w="1020"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套</w:t>
            </w:r>
          </w:p>
        </w:tc>
        <w:tc>
          <w:tcPr>
            <w:tcW w:w="885"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w:t>
            </w:r>
          </w:p>
        </w:tc>
      </w:tr>
      <w:tr>
        <w:tblPrEx>
          <w:tblCellMar>
            <w:top w:w="0" w:type="dxa"/>
            <w:left w:w="0" w:type="dxa"/>
            <w:bottom w:w="0" w:type="dxa"/>
            <w:right w:w="0" w:type="dxa"/>
          </w:tblCellMar>
        </w:tblPrEx>
        <w:trPr>
          <w:trHeight w:val="3787" w:hRule="atLeast"/>
          <w:jc w:val="center"/>
        </w:trPr>
        <w:tc>
          <w:tcPr>
            <w:tcW w:w="917"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31</w:t>
            </w:r>
          </w:p>
        </w:tc>
        <w:tc>
          <w:tcPr>
            <w:tcW w:w="133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031101005004</w:t>
            </w:r>
          </w:p>
        </w:tc>
        <w:tc>
          <w:tcPr>
            <w:tcW w:w="5468" w:type="dxa"/>
            <w:gridSpan w:val="2"/>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top"/>
          </w:tcPr>
          <w:p>
            <w:pPr>
              <w:keepNext w:val="0"/>
              <w:keepLines w:val="0"/>
              <w:pageBreakBefore w:val="0"/>
              <w:widowControl/>
              <w:kinsoku/>
              <w:wordWrap/>
              <w:overflowPunct/>
              <w:topLinePunct w:val="0"/>
              <w:autoSpaceDE/>
              <w:autoSpaceDN/>
              <w:bidi w:val="0"/>
              <w:adjustRightInd/>
              <w:snapToGrid/>
              <w:spacing w:line="300" w:lineRule="exact"/>
              <w:textAlignment w:val="auto"/>
              <w:rPr>
                <w:rFonts w:hint="eastAsia" w:ascii="宋体" w:hAnsi="宋体" w:eastAsia="宋体" w:cs="宋体"/>
                <w:i w:val="0"/>
                <w:color w:val="000000"/>
                <w:sz w:val="20"/>
                <w:szCs w:val="20"/>
                <w:u w:val="none"/>
              </w:rPr>
            </w:pPr>
            <w:r>
              <w:rPr>
                <w:rFonts w:hint="eastAsia" w:ascii="宋体" w:hAnsi="宋体" w:eastAsia="宋体" w:cs="宋体"/>
                <w:sz w:val="20"/>
                <w:szCs w:val="20"/>
              </w:rPr>
              <w:t>开关电源</w:t>
            </w:r>
            <w:r>
              <w:rPr>
                <w:rFonts w:hint="eastAsia" w:ascii="宋体" w:hAnsi="宋体" w:eastAsia="宋体" w:cs="宋体"/>
                <w:sz w:val="20"/>
                <w:szCs w:val="20"/>
              </w:rPr>
              <w:br w:type="textWrapping"/>
            </w:r>
            <w:r>
              <w:rPr>
                <w:rFonts w:hint="eastAsia" w:ascii="宋体" w:hAnsi="宋体" w:eastAsia="宋体" w:cs="宋体"/>
                <w:sz w:val="20"/>
                <w:szCs w:val="20"/>
              </w:rPr>
              <w:t>[项目特征]</w:t>
            </w:r>
            <w:r>
              <w:rPr>
                <w:rFonts w:hint="eastAsia" w:ascii="宋体" w:hAnsi="宋体" w:eastAsia="宋体" w:cs="宋体"/>
                <w:sz w:val="20"/>
                <w:szCs w:val="20"/>
              </w:rPr>
              <w:br w:type="textWrapping"/>
            </w:r>
            <w:r>
              <w:rPr>
                <w:rFonts w:hint="eastAsia" w:ascii="宋体" w:hAnsi="宋体" w:eastAsia="宋体" w:cs="宋体"/>
                <w:sz w:val="20"/>
                <w:szCs w:val="20"/>
              </w:rPr>
              <w:t>1.名称:时序电源</w:t>
            </w:r>
            <w:r>
              <w:rPr>
                <w:rFonts w:hint="eastAsia" w:ascii="宋体" w:hAnsi="宋体" w:eastAsia="宋体" w:cs="宋体"/>
                <w:sz w:val="20"/>
                <w:szCs w:val="20"/>
              </w:rPr>
              <w:br w:type="textWrapping"/>
            </w:r>
            <w:r>
              <w:rPr>
                <w:rFonts w:hint="eastAsia" w:ascii="宋体" w:hAnsi="宋体" w:eastAsia="宋体" w:cs="宋体"/>
                <w:sz w:val="20"/>
                <w:szCs w:val="20"/>
              </w:rPr>
              <w:t xml:space="preserve">2.技术参数：1.八路电源时序控制器，8个16A万用插座；                                                                        2.总容量：≥45A；                                                                            3.第1-2路：带2阶滤波；第3-8路：单路最大输出电流:16A； </w:t>
            </w:r>
            <w:r>
              <w:rPr>
                <w:rFonts w:hint="eastAsia" w:ascii="宋体" w:hAnsi="宋体" w:eastAsia="宋体" w:cs="宋体"/>
                <w:sz w:val="20"/>
                <w:szCs w:val="20"/>
              </w:rPr>
              <w:br w:type="textWrapping"/>
            </w:r>
            <w:r>
              <w:rPr>
                <w:rFonts w:hint="eastAsia" w:ascii="宋体" w:hAnsi="宋体" w:eastAsia="宋体" w:cs="宋体"/>
                <w:sz w:val="20"/>
                <w:szCs w:val="20"/>
              </w:rPr>
              <w:t>4.具备电压指示表：0-300V；</w:t>
            </w:r>
            <w:r>
              <w:rPr>
                <w:rFonts w:hint="eastAsia" w:ascii="宋体" w:hAnsi="宋体" w:eastAsia="宋体" w:cs="宋体"/>
                <w:sz w:val="20"/>
                <w:szCs w:val="20"/>
              </w:rPr>
              <w:br w:type="textWrapping"/>
            </w:r>
            <w:r>
              <w:rPr>
                <w:rFonts w:hint="eastAsia" w:ascii="宋体" w:hAnsi="宋体" w:eastAsia="宋体" w:cs="宋体"/>
                <w:sz w:val="20"/>
                <w:szCs w:val="20"/>
              </w:rPr>
              <w:t xml:space="preserve">5.通讯接口：具备RS-232 (级联、中控、PC机通用控制口）； </w:t>
            </w:r>
            <w:r>
              <w:rPr>
                <w:rFonts w:hint="eastAsia" w:ascii="宋体" w:hAnsi="宋体" w:eastAsia="宋体" w:cs="宋体"/>
                <w:sz w:val="20"/>
                <w:szCs w:val="20"/>
              </w:rPr>
              <w:br w:type="textWrapping"/>
            </w:r>
            <w:r>
              <w:rPr>
                <w:rFonts w:hint="eastAsia" w:ascii="宋体" w:hAnsi="宋体" w:eastAsia="宋体" w:cs="宋体"/>
                <w:sz w:val="20"/>
                <w:szCs w:val="20"/>
              </w:rPr>
              <w:t>6.级联数量：时序器模式时可无限级联；</w:t>
            </w:r>
            <w:r>
              <w:rPr>
                <w:rFonts w:hint="eastAsia" w:ascii="宋体" w:hAnsi="宋体" w:eastAsia="宋体" w:cs="宋体"/>
                <w:sz w:val="20"/>
                <w:szCs w:val="20"/>
              </w:rPr>
              <w:br w:type="textWrapping"/>
            </w:r>
            <w:r>
              <w:rPr>
                <w:rFonts w:hint="eastAsia" w:ascii="宋体" w:hAnsi="宋体" w:eastAsia="宋体" w:cs="宋体"/>
                <w:sz w:val="20"/>
                <w:szCs w:val="20"/>
              </w:rPr>
              <w:t>7.时序延时时间：0.5S-3.5S（可设定）；</w:t>
            </w:r>
            <w:r>
              <w:rPr>
                <w:rFonts w:hint="eastAsia" w:ascii="宋体" w:hAnsi="宋体" w:eastAsia="宋体" w:cs="宋体"/>
                <w:sz w:val="20"/>
                <w:szCs w:val="20"/>
              </w:rPr>
              <w:br w:type="textWrapping"/>
            </w:r>
            <w:r>
              <w:rPr>
                <w:rFonts w:hint="eastAsia" w:ascii="宋体" w:hAnsi="宋体" w:eastAsia="宋体" w:cs="宋体"/>
                <w:sz w:val="20"/>
                <w:szCs w:val="20"/>
              </w:rPr>
              <w:t>[工作内容]</w:t>
            </w:r>
            <w:r>
              <w:rPr>
                <w:rFonts w:hint="eastAsia" w:ascii="宋体" w:hAnsi="宋体" w:eastAsia="宋体" w:cs="宋体"/>
                <w:sz w:val="20"/>
                <w:szCs w:val="20"/>
              </w:rPr>
              <w:br w:type="textWrapping"/>
            </w:r>
            <w:r>
              <w:rPr>
                <w:rFonts w:hint="eastAsia" w:ascii="宋体" w:hAnsi="宋体" w:eastAsia="宋体" w:cs="宋体"/>
                <w:sz w:val="20"/>
                <w:szCs w:val="20"/>
              </w:rPr>
              <w:t>1.开关电源安装</w:t>
            </w:r>
            <w:r>
              <w:rPr>
                <w:rFonts w:hint="eastAsia" w:ascii="宋体" w:hAnsi="宋体" w:eastAsia="宋体" w:cs="宋体"/>
                <w:sz w:val="20"/>
                <w:szCs w:val="20"/>
              </w:rPr>
              <w:br w:type="textWrapping"/>
            </w:r>
            <w:r>
              <w:rPr>
                <w:rFonts w:hint="eastAsia" w:ascii="宋体" w:hAnsi="宋体" w:eastAsia="宋体" w:cs="宋体"/>
                <w:sz w:val="20"/>
                <w:szCs w:val="20"/>
              </w:rPr>
              <w:t>2.系统调测</w:t>
            </w:r>
          </w:p>
        </w:tc>
        <w:tc>
          <w:tcPr>
            <w:tcW w:w="1020"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台</w:t>
            </w:r>
          </w:p>
        </w:tc>
        <w:tc>
          <w:tcPr>
            <w:tcW w:w="885"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w:t>
            </w:r>
          </w:p>
        </w:tc>
      </w:tr>
      <w:tr>
        <w:tblPrEx>
          <w:tblCellMar>
            <w:top w:w="0" w:type="dxa"/>
            <w:left w:w="0" w:type="dxa"/>
            <w:bottom w:w="0" w:type="dxa"/>
            <w:right w:w="0" w:type="dxa"/>
          </w:tblCellMar>
        </w:tblPrEx>
        <w:trPr>
          <w:trHeight w:val="950" w:hRule="atLeast"/>
          <w:jc w:val="center"/>
        </w:trPr>
        <w:tc>
          <w:tcPr>
            <w:tcW w:w="917"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32</w:t>
            </w:r>
          </w:p>
        </w:tc>
        <w:tc>
          <w:tcPr>
            <w:tcW w:w="133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CB001</w:t>
            </w:r>
          </w:p>
        </w:tc>
        <w:tc>
          <w:tcPr>
            <w:tcW w:w="5468" w:type="dxa"/>
            <w:gridSpan w:val="2"/>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top"/>
          </w:tcPr>
          <w:p>
            <w:pPr>
              <w:keepNext w:val="0"/>
              <w:keepLines w:val="0"/>
              <w:pageBreakBefore w:val="0"/>
              <w:widowControl/>
              <w:kinsoku/>
              <w:wordWrap/>
              <w:overflowPunct/>
              <w:topLinePunct w:val="0"/>
              <w:autoSpaceDE/>
              <w:autoSpaceDN/>
              <w:bidi w:val="0"/>
              <w:adjustRightInd/>
              <w:snapToGrid/>
              <w:spacing w:line="300" w:lineRule="exact"/>
              <w:textAlignment w:val="auto"/>
              <w:rPr>
                <w:rFonts w:hint="eastAsia" w:ascii="宋体" w:hAnsi="宋体" w:eastAsia="宋体" w:cs="宋体"/>
                <w:i w:val="0"/>
                <w:color w:val="000000"/>
                <w:sz w:val="20"/>
                <w:szCs w:val="20"/>
                <w:u w:val="none"/>
              </w:rPr>
            </w:pPr>
            <w:r>
              <w:rPr>
                <w:rFonts w:hint="eastAsia" w:ascii="宋体" w:hAnsi="宋体" w:eastAsia="宋体" w:cs="宋体"/>
                <w:sz w:val="20"/>
                <w:szCs w:val="20"/>
              </w:rPr>
              <w:t>线材辅料</w:t>
            </w:r>
            <w:r>
              <w:rPr>
                <w:rFonts w:hint="eastAsia" w:ascii="宋体" w:hAnsi="宋体" w:eastAsia="宋体" w:cs="宋体"/>
                <w:sz w:val="20"/>
                <w:szCs w:val="20"/>
              </w:rPr>
              <w:br w:type="textWrapping"/>
            </w:r>
            <w:r>
              <w:rPr>
                <w:rFonts w:hint="eastAsia" w:ascii="宋体" w:hAnsi="宋体" w:eastAsia="宋体" w:cs="宋体"/>
                <w:sz w:val="20"/>
                <w:szCs w:val="20"/>
              </w:rPr>
              <w:t>[项目特征]</w:t>
            </w:r>
            <w:r>
              <w:rPr>
                <w:rFonts w:hint="eastAsia" w:ascii="宋体" w:hAnsi="宋体" w:eastAsia="宋体" w:cs="宋体"/>
                <w:sz w:val="20"/>
                <w:szCs w:val="20"/>
              </w:rPr>
              <w:br w:type="textWrapping"/>
            </w:r>
            <w:r>
              <w:rPr>
                <w:rFonts w:hint="eastAsia" w:ascii="宋体" w:hAnsi="宋体" w:eastAsia="宋体" w:cs="宋体"/>
                <w:sz w:val="20"/>
                <w:szCs w:val="20"/>
              </w:rPr>
              <w:t>1.名称:线材辅料</w:t>
            </w:r>
          </w:p>
        </w:tc>
        <w:tc>
          <w:tcPr>
            <w:tcW w:w="1020"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批</w:t>
            </w:r>
          </w:p>
        </w:tc>
        <w:tc>
          <w:tcPr>
            <w:tcW w:w="885"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r>
      <w:tr>
        <w:tblPrEx>
          <w:tblCellMar>
            <w:top w:w="0" w:type="dxa"/>
            <w:left w:w="0" w:type="dxa"/>
            <w:bottom w:w="0" w:type="dxa"/>
            <w:right w:w="0" w:type="dxa"/>
          </w:tblCellMar>
        </w:tblPrEx>
        <w:trPr>
          <w:trHeight w:val="1734" w:hRule="atLeast"/>
          <w:jc w:val="center"/>
        </w:trPr>
        <w:tc>
          <w:tcPr>
            <w:tcW w:w="917" w:type="dxa"/>
            <w:tcBorders>
              <w:top w:val="single" w:color="000000" w:sz="4" w:space="0"/>
              <w:left w:val="single" w:color="000000" w:sz="8"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33</w:t>
            </w:r>
          </w:p>
        </w:tc>
        <w:tc>
          <w:tcPr>
            <w:tcW w:w="1339" w:type="dxa"/>
            <w:tcBorders>
              <w:top w:val="single" w:color="000000" w:sz="4" w:space="0"/>
              <w:left w:val="single" w:color="000000" w:sz="4"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031206002001</w:t>
            </w:r>
          </w:p>
        </w:tc>
        <w:tc>
          <w:tcPr>
            <w:tcW w:w="5468" w:type="dxa"/>
            <w:gridSpan w:val="2"/>
            <w:tcBorders>
              <w:top w:val="single" w:color="000000" w:sz="4" w:space="0"/>
              <w:left w:val="single" w:color="000000" w:sz="4" w:space="0"/>
              <w:bottom w:val="single" w:color="000000" w:sz="8" w:space="0"/>
              <w:right w:val="single" w:color="000000" w:sz="4" w:space="0"/>
            </w:tcBorders>
            <w:shd w:val="clear" w:color="FFFFFF" w:fill="FFFFFF"/>
            <w:noWrap w:val="0"/>
            <w:tcMar>
              <w:top w:w="12" w:type="dxa"/>
              <w:left w:w="12" w:type="dxa"/>
              <w:right w:w="12" w:type="dxa"/>
            </w:tcMar>
            <w:vAlign w:val="top"/>
          </w:tcPr>
          <w:p>
            <w:pPr>
              <w:keepNext w:val="0"/>
              <w:keepLines w:val="0"/>
              <w:pageBreakBefore w:val="0"/>
              <w:widowControl/>
              <w:kinsoku/>
              <w:wordWrap/>
              <w:overflowPunct/>
              <w:topLinePunct w:val="0"/>
              <w:autoSpaceDE/>
              <w:autoSpaceDN/>
              <w:bidi w:val="0"/>
              <w:adjustRightInd/>
              <w:snapToGrid/>
              <w:spacing w:line="300" w:lineRule="exact"/>
              <w:textAlignment w:val="auto"/>
              <w:rPr>
                <w:rFonts w:hint="eastAsia" w:ascii="宋体" w:hAnsi="宋体" w:eastAsia="宋体" w:cs="宋体"/>
                <w:i w:val="0"/>
                <w:color w:val="000000"/>
                <w:sz w:val="20"/>
                <w:szCs w:val="20"/>
                <w:u w:val="none"/>
              </w:rPr>
            </w:pPr>
            <w:r>
              <w:rPr>
                <w:rFonts w:hint="eastAsia" w:ascii="宋体" w:hAnsi="宋体" w:eastAsia="宋体" w:cs="宋体"/>
                <w:sz w:val="20"/>
                <w:szCs w:val="20"/>
              </w:rPr>
              <w:t>扩声系统</w:t>
            </w:r>
            <w:r>
              <w:rPr>
                <w:rFonts w:hint="eastAsia" w:ascii="宋体" w:hAnsi="宋体" w:eastAsia="宋体" w:cs="宋体"/>
                <w:sz w:val="20"/>
                <w:szCs w:val="20"/>
              </w:rPr>
              <w:br w:type="textWrapping"/>
            </w:r>
            <w:r>
              <w:rPr>
                <w:rFonts w:hint="eastAsia" w:ascii="宋体" w:hAnsi="宋体" w:eastAsia="宋体" w:cs="宋体"/>
                <w:sz w:val="20"/>
                <w:szCs w:val="20"/>
              </w:rPr>
              <w:t>[项目特征]</w:t>
            </w:r>
            <w:r>
              <w:rPr>
                <w:rFonts w:hint="eastAsia" w:ascii="宋体" w:hAnsi="宋体" w:eastAsia="宋体" w:cs="宋体"/>
                <w:sz w:val="20"/>
                <w:szCs w:val="20"/>
              </w:rPr>
              <w:br w:type="textWrapping"/>
            </w:r>
            <w:r>
              <w:rPr>
                <w:rFonts w:hint="eastAsia" w:ascii="宋体" w:hAnsi="宋体" w:eastAsia="宋体" w:cs="宋体"/>
                <w:sz w:val="20"/>
                <w:szCs w:val="20"/>
              </w:rPr>
              <w:t>1.名称:系统调试</w:t>
            </w:r>
            <w:r>
              <w:rPr>
                <w:rFonts w:hint="eastAsia" w:ascii="宋体" w:hAnsi="宋体" w:eastAsia="宋体" w:cs="宋体"/>
                <w:sz w:val="20"/>
                <w:szCs w:val="20"/>
              </w:rPr>
              <w:br w:type="textWrapping"/>
            </w:r>
            <w:r>
              <w:rPr>
                <w:rFonts w:hint="eastAsia" w:ascii="宋体" w:hAnsi="宋体" w:eastAsia="宋体" w:cs="宋体"/>
                <w:sz w:val="20"/>
                <w:szCs w:val="20"/>
              </w:rPr>
              <w:t>[工作内容]</w:t>
            </w:r>
            <w:r>
              <w:rPr>
                <w:rFonts w:hint="eastAsia" w:ascii="宋体" w:hAnsi="宋体" w:eastAsia="宋体" w:cs="宋体"/>
                <w:sz w:val="20"/>
                <w:szCs w:val="20"/>
              </w:rPr>
              <w:br w:type="textWrapping"/>
            </w:r>
            <w:r>
              <w:rPr>
                <w:rFonts w:hint="eastAsia" w:ascii="宋体" w:hAnsi="宋体" w:eastAsia="宋体" w:cs="宋体"/>
                <w:sz w:val="20"/>
                <w:szCs w:val="20"/>
              </w:rPr>
              <w:t>1.单体调试</w:t>
            </w:r>
            <w:r>
              <w:rPr>
                <w:rFonts w:hint="eastAsia" w:ascii="宋体" w:hAnsi="宋体" w:eastAsia="宋体" w:cs="宋体"/>
                <w:sz w:val="20"/>
                <w:szCs w:val="20"/>
              </w:rPr>
              <w:br w:type="textWrapping"/>
            </w:r>
            <w:r>
              <w:rPr>
                <w:rFonts w:hint="eastAsia" w:ascii="宋体" w:hAnsi="宋体" w:eastAsia="宋体" w:cs="宋体"/>
                <w:sz w:val="20"/>
                <w:szCs w:val="20"/>
              </w:rPr>
              <w:t>2.试运</w:t>
            </w:r>
          </w:p>
        </w:tc>
        <w:tc>
          <w:tcPr>
            <w:tcW w:w="1020" w:type="dxa"/>
            <w:tcBorders>
              <w:top w:val="single" w:color="000000" w:sz="4" w:space="0"/>
              <w:left w:val="single" w:color="000000" w:sz="4"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系统</w:t>
            </w:r>
          </w:p>
        </w:tc>
        <w:tc>
          <w:tcPr>
            <w:tcW w:w="885" w:type="dxa"/>
            <w:tcBorders>
              <w:top w:val="single" w:color="000000" w:sz="4" w:space="0"/>
              <w:left w:val="single" w:color="000000" w:sz="4" w:space="0"/>
              <w:bottom w:val="single" w:color="000000" w:sz="8"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r>
      <w:tr>
        <w:tblPrEx>
          <w:tblCellMar>
            <w:top w:w="0" w:type="dxa"/>
            <w:left w:w="0" w:type="dxa"/>
            <w:bottom w:w="0" w:type="dxa"/>
            <w:right w:w="0" w:type="dxa"/>
          </w:tblCellMar>
        </w:tblPrEx>
        <w:trPr>
          <w:trHeight w:val="364" w:hRule="atLeast"/>
          <w:jc w:val="center"/>
        </w:trPr>
        <w:tc>
          <w:tcPr>
            <w:tcW w:w="917"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jc w:val="left"/>
              <w:rPr>
                <w:rFonts w:hint="eastAsia" w:ascii="宋体" w:hAnsi="宋体" w:eastAsia="宋体" w:cs="宋体"/>
                <w:i w:val="0"/>
                <w:color w:val="000000"/>
                <w:sz w:val="20"/>
                <w:szCs w:val="20"/>
                <w:u w:val="none"/>
              </w:rPr>
            </w:pPr>
          </w:p>
        </w:tc>
        <w:tc>
          <w:tcPr>
            <w:tcW w:w="133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jc w:val="left"/>
              <w:rPr>
                <w:rFonts w:hint="eastAsia" w:ascii="宋体" w:hAnsi="宋体" w:eastAsia="宋体" w:cs="宋体"/>
                <w:i w:val="0"/>
                <w:color w:val="000000"/>
                <w:sz w:val="20"/>
                <w:szCs w:val="20"/>
                <w:u w:val="none"/>
              </w:rPr>
            </w:pPr>
          </w:p>
        </w:tc>
        <w:tc>
          <w:tcPr>
            <w:tcW w:w="5468" w:type="dxa"/>
            <w:gridSpan w:val="2"/>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舞台灯光</w:t>
            </w:r>
          </w:p>
        </w:tc>
        <w:tc>
          <w:tcPr>
            <w:tcW w:w="1020"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jc w:val="center"/>
              <w:rPr>
                <w:rFonts w:hint="eastAsia" w:ascii="宋体" w:hAnsi="宋体" w:eastAsia="宋体" w:cs="宋体"/>
                <w:i w:val="0"/>
                <w:color w:val="000000"/>
                <w:sz w:val="20"/>
                <w:szCs w:val="20"/>
                <w:u w:val="none"/>
              </w:rPr>
            </w:pPr>
          </w:p>
        </w:tc>
        <w:tc>
          <w:tcPr>
            <w:tcW w:w="885"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jc w:val="center"/>
              <w:rPr>
                <w:rFonts w:hint="eastAsia" w:ascii="宋体" w:hAnsi="宋体" w:eastAsia="宋体" w:cs="宋体"/>
                <w:i w:val="0"/>
                <w:color w:val="000000"/>
                <w:sz w:val="20"/>
                <w:szCs w:val="20"/>
                <w:u w:val="none"/>
              </w:rPr>
            </w:pPr>
          </w:p>
        </w:tc>
      </w:tr>
      <w:tr>
        <w:tblPrEx>
          <w:tblCellMar>
            <w:top w:w="0" w:type="dxa"/>
            <w:left w:w="0" w:type="dxa"/>
            <w:bottom w:w="0" w:type="dxa"/>
            <w:right w:w="0" w:type="dxa"/>
          </w:tblCellMar>
        </w:tblPrEx>
        <w:trPr>
          <w:trHeight w:val="2905" w:hRule="atLeast"/>
          <w:jc w:val="center"/>
        </w:trPr>
        <w:tc>
          <w:tcPr>
            <w:tcW w:w="917"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34</w:t>
            </w:r>
          </w:p>
        </w:tc>
        <w:tc>
          <w:tcPr>
            <w:tcW w:w="133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030204018001</w:t>
            </w:r>
          </w:p>
        </w:tc>
        <w:tc>
          <w:tcPr>
            <w:tcW w:w="5468" w:type="dxa"/>
            <w:gridSpan w:val="2"/>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配电箱</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1.名称、编号:12路直通箱</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2.技术参数：供电：三相五线制 AC380V±10％，频率 50Hz±5％， 额定功率：12路×4KW; 可适用于任何负载，过载与短路双重保护高分断空气开关，A、B、C三相工作指示灯；设两脚和三脚万能备用插座方便使用。</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1.成套箱体采购、安装</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2.端子板外部接线</w:t>
            </w:r>
          </w:p>
        </w:tc>
        <w:tc>
          <w:tcPr>
            <w:tcW w:w="1020"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台</w:t>
            </w:r>
          </w:p>
        </w:tc>
        <w:tc>
          <w:tcPr>
            <w:tcW w:w="885"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r>
      <w:tr>
        <w:tblPrEx>
          <w:tblCellMar>
            <w:top w:w="0" w:type="dxa"/>
            <w:left w:w="0" w:type="dxa"/>
            <w:bottom w:w="0" w:type="dxa"/>
            <w:right w:w="0" w:type="dxa"/>
          </w:tblCellMar>
        </w:tblPrEx>
        <w:trPr>
          <w:trHeight w:val="4052" w:hRule="atLeast"/>
          <w:jc w:val="center"/>
        </w:trPr>
        <w:tc>
          <w:tcPr>
            <w:tcW w:w="917"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35</w:t>
            </w:r>
          </w:p>
        </w:tc>
        <w:tc>
          <w:tcPr>
            <w:tcW w:w="133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030213003001</w:t>
            </w:r>
          </w:p>
        </w:tc>
        <w:tc>
          <w:tcPr>
            <w:tcW w:w="5468" w:type="dxa"/>
            <w:gridSpan w:val="2"/>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装饰灯</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 xml:space="preserve">1.名称:LED定焦成像灯（面光）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2.技术参数：光源：LED功率： 200W；额定电压：AC100V-240V/50-60HZ；额定寿命:50000小时，额定功率：280W；显色指数：Rａ≥95；功率因素：PF≥0.90出光角度：19°/26°/36°/50°通道数量：1通道与2通道两种通道模式；控制信号：国际标准DMX512信号，5芯接口；调光功能：0-100%线性电子调光；冷却系统：热管技术，对流散热/风冷；制造商生产厂家产品的成熟性，具有良好的企业信用，生产企业能力证明需要提供以下证明：1、质量管理体系认证证书；2、环境管理体系认证证书；</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3、专业灯光工程综合技术能力等级证书（壹级）；</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1.采购、安装</w:t>
            </w:r>
          </w:p>
        </w:tc>
        <w:tc>
          <w:tcPr>
            <w:tcW w:w="1020"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套</w:t>
            </w:r>
          </w:p>
        </w:tc>
        <w:tc>
          <w:tcPr>
            <w:tcW w:w="885"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12</w:t>
            </w:r>
          </w:p>
        </w:tc>
      </w:tr>
      <w:tr>
        <w:tblPrEx>
          <w:tblCellMar>
            <w:top w:w="0" w:type="dxa"/>
            <w:left w:w="0" w:type="dxa"/>
            <w:bottom w:w="0" w:type="dxa"/>
            <w:right w:w="0" w:type="dxa"/>
          </w:tblCellMar>
        </w:tblPrEx>
        <w:trPr>
          <w:trHeight w:val="668" w:hRule="atLeast"/>
          <w:jc w:val="center"/>
        </w:trPr>
        <w:tc>
          <w:tcPr>
            <w:tcW w:w="917"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36</w:t>
            </w:r>
          </w:p>
        </w:tc>
        <w:tc>
          <w:tcPr>
            <w:tcW w:w="133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030213003002</w:t>
            </w:r>
          </w:p>
        </w:tc>
        <w:tc>
          <w:tcPr>
            <w:tcW w:w="5468" w:type="dxa"/>
            <w:gridSpan w:val="2"/>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装饰灯</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 xml:space="preserve">1.名称:LED 54颗帕灯（一顶）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2.技术参数：电压: 120V-240V/50-60HZ；功率:180W；灯源: 54*3W LED电压: 120V-240V/50-60HZ；功率:180W；灯源: 54*3W LED 灯红/绿/蓝/白 选配( 红/绿/蓝/琥珀 或 红/绿/蓝/柠檬)寿命: 约5万小时；光束角度: （1/2峰值角）7°、9°、10°、20°、40°（可选）；11个通道：3种模式：（DMX模式、用户程序模式、内置程序模式）主从模式；调光：0-100%电子调光；频闪：电子频闪1-25FPS；颜色效果：RGB混色 ；其他功能：</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可查看灯板温度、灯具使用时间</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显示DMX通道模式、设置状态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采用LCD显示、菜单显示反向</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显示屏背光延时自动关闭</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操作模式状态均可通过同步状态进行参数传递</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外壳：高强度压铸铝合金IP67</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工作环境温度：-20℃～40 ℃制造商生产厂家产品的成熟性，具有良好的企业信用，生产企业能力证明需要提供以下证明：1、质量管理体系认证证书；2、环境管理体系认证证书；</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3、专业灯光工程综合技术能力等级证书（壹级）；</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1.采购、安装</w:t>
            </w:r>
          </w:p>
        </w:tc>
        <w:tc>
          <w:tcPr>
            <w:tcW w:w="1020"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套</w:t>
            </w:r>
          </w:p>
        </w:tc>
        <w:tc>
          <w:tcPr>
            <w:tcW w:w="885"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8</w:t>
            </w:r>
          </w:p>
        </w:tc>
      </w:tr>
      <w:tr>
        <w:tblPrEx>
          <w:tblCellMar>
            <w:top w:w="0" w:type="dxa"/>
            <w:left w:w="0" w:type="dxa"/>
            <w:bottom w:w="0" w:type="dxa"/>
            <w:right w:w="0" w:type="dxa"/>
          </w:tblCellMar>
        </w:tblPrEx>
        <w:trPr>
          <w:trHeight w:val="6198" w:hRule="atLeast"/>
          <w:jc w:val="center"/>
        </w:trPr>
        <w:tc>
          <w:tcPr>
            <w:tcW w:w="917"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37</w:t>
            </w:r>
          </w:p>
        </w:tc>
        <w:tc>
          <w:tcPr>
            <w:tcW w:w="133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030213003003</w:t>
            </w:r>
          </w:p>
        </w:tc>
        <w:tc>
          <w:tcPr>
            <w:tcW w:w="5468" w:type="dxa"/>
            <w:gridSpan w:val="2"/>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装饰灯</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 xml:space="preserve">1.名称:LED 54颗帕灯（二顶）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2.技术参数：电压: 120V-240V/50-60HZ；功率:180W；灯源: 54*3W LED 灯红/绿/蓝/白 选配( 红/绿/蓝/琥珀 或 红/绿/蓝/柠檬)寿命: 约5万小时；光束角度: （1/2峰值角）7°、9°、10°、20°、40°（可选）；11个通道：3种模式：（DMX模式、用户程序模式、内置程序模式）主从模式；调光：0-100%电子调光；频闪：电子频闪1-25FPS；颜色效果：RGB混色 ；其他功能：</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可查看灯板温度、灯具使用时间</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显示DMX通道模式、设置状态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采用LCD显示、菜单显示反向</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显示屏背光延时自动关闭</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操作模式状态均可通过同步状态进行参数传递</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外壳：高强度压铸铝合金IP67</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工作环境温度：-20℃～40 ℃制造商生产厂家产品的成熟性，具有良好的企业信用，生产企业能力证明需要提供以下证明：1、质量管理体系认证证书；2、环境管理体系认证证书；</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3、专业灯光工程综合技术能力等级证书（壹级）；</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1.采购、安装</w:t>
            </w:r>
          </w:p>
        </w:tc>
        <w:tc>
          <w:tcPr>
            <w:tcW w:w="1020"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套</w:t>
            </w:r>
          </w:p>
        </w:tc>
        <w:tc>
          <w:tcPr>
            <w:tcW w:w="885"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8</w:t>
            </w:r>
          </w:p>
        </w:tc>
      </w:tr>
      <w:tr>
        <w:tblPrEx>
          <w:tblCellMar>
            <w:top w:w="0" w:type="dxa"/>
            <w:left w:w="0" w:type="dxa"/>
            <w:bottom w:w="0" w:type="dxa"/>
            <w:right w:w="0" w:type="dxa"/>
          </w:tblCellMar>
        </w:tblPrEx>
        <w:trPr>
          <w:trHeight w:val="1427" w:hRule="atLeast"/>
          <w:jc w:val="center"/>
        </w:trPr>
        <w:tc>
          <w:tcPr>
            <w:tcW w:w="917" w:type="dxa"/>
            <w:tcBorders>
              <w:top w:val="single" w:color="000000" w:sz="4" w:space="0"/>
              <w:left w:val="single" w:color="000000" w:sz="8"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38</w:t>
            </w:r>
          </w:p>
        </w:tc>
        <w:tc>
          <w:tcPr>
            <w:tcW w:w="1339" w:type="dxa"/>
            <w:tcBorders>
              <w:top w:val="single" w:color="000000" w:sz="4" w:space="0"/>
              <w:left w:val="single" w:color="000000" w:sz="4"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030213003004</w:t>
            </w:r>
          </w:p>
        </w:tc>
        <w:tc>
          <w:tcPr>
            <w:tcW w:w="5468" w:type="dxa"/>
            <w:gridSpan w:val="2"/>
            <w:tcBorders>
              <w:top w:val="single" w:color="000000" w:sz="4" w:space="0"/>
              <w:left w:val="single" w:color="000000" w:sz="4"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装饰灯</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 xml:space="preserve">1.名称:LED 54颗帕灯（逆光）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2.技术参数：电压: 120V-240V/50-60HZ；功率:180W；灯源: 54*3W LED 灯红/绿/蓝/白 选配( 红/绿/蓝/琥珀 或 红/绿/蓝/柠檬)寿命: 约5万小时；光束角度: （1/2峰值角）7°、9°、10°、20°、40°（可选）；11个通道：3种模式：（DMX模式、用户程序模式、内置程序模式）主从模式；调光：0-100%电子调光；频闪：电子频闪1-25FPS；颜色效果：RGB混色 ；其他功能：</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可查看灯板温度、灯具使用时间</w:t>
            </w:r>
          </w:p>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rPr>
            </w:pPr>
            <w:r>
              <w:rPr>
                <w:rFonts w:hint="eastAsia" w:ascii="宋体" w:hAnsi="宋体" w:eastAsia="宋体" w:cs="宋体"/>
                <w:i w:val="0"/>
                <w:color w:val="000000"/>
                <w:kern w:val="0"/>
                <w:sz w:val="20"/>
                <w:szCs w:val="20"/>
                <w:u w:val="none"/>
                <w:lang w:val="en-US" w:eastAsia="zh-CN" w:bidi="ar"/>
              </w:rPr>
              <w:t>显示DMX通道模式、设置状态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采用LCD显示、菜单显示反向</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显示屏背光延时自动关闭</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操作模式状态均可通过同步状态进行参数传递</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外壳：高强度压铸铝合金IP67</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工作环境温度：-20℃～40 ℃制造商生产厂家产品的成熟性，具有良好的企业信用，生产企业能力证明需要提供以下证明：1、质量管理体系认证证书；2、环境管理体系认证证书；</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3、专业灯光工程综合技术能力等级证书（壹级）；</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1.采购、安装</w:t>
            </w:r>
          </w:p>
        </w:tc>
        <w:tc>
          <w:tcPr>
            <w:tcW w:w="1020" w:type="dxa"/>
            <w:tcBorders>
              <w:top w:val="single" w:color="000000" w:sz="4" w:space="0"/>
              <w:left w:val="single" w:color="000000" w:sz="4"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套</w:t>
            </w:r>
          </w:p>
        </w:tc>
        <w:tc>
          <w:tcPr>
            <w:tcW w:w="885" w:type="dxa"/>
            <w:tcBorders>
              <w:top w:val="single" w:color="000000" w:sz="4" w:space="0"/>
              <w:left w:val="single" w:color="000000" w:sz="4" w:space="0"/>
              <w:bottom w:val="single" w:color="000000" w:sz="8"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8</w:t>
            </w:r>
          </w:p>
        </w:tc>
      </w:tr>
      <w:tr>
        <w:tblPrEx>
          <w:tblCellMar>
            <w:top w:w="0" w:type="dxa"/>
            <w:left w:w="0" w:type="dxa"/>
            <w:bottom w:w="0" w:type="dxa"/>
            <w:right w:w="0" w:type="dxa"/>
          </w:tblCellMar>
        </w:tblPrEx>
        <w:trPr>
          <w:trHeight w:val="90" w:hRule="atLeast"/>
          <w:jc w:val="center"/>
        </w:trPr>
        <w:tc>
          <w:tcPr>
            <w:tcW w:w="917"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39</w:t>
            </w:r>
          </w:p>
        </w:tc>
        <w:tc>
          <w:tcPr>
            <w:tcW w:w="133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030213003005</w:t>
            </w:r>
          </w:p>
        </w:tc>
        <w:tc>
          <w:tcPr>
            <w:tcW w:w="5468" w:type="dxa"/>
            <w:gridSpan w:val="2"/>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top"/>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装饰灯</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 xml:space="preserve">1.名称:LED 54颗帕灯（侧光）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2.技术参数：电压: 120V-240V/50-60HZ；功率:180W；灯源: 54*3W LED 灯红/绿/蓝/白 选配( 红/绿/蓝/琥珀 或 红/绿/蓝/柠檬)寿命: 约5万小时；光束角度: （1/2峰值角）7°、9°、10°、20°、40°（可选）；11个通道：3种模式：（DMX模式、用户程序模式、内置程序模式）主从模式；调光：0-100%电子调光；频闪：电子频闪1-25FPS；颜色效果：RGB混色 ；其他功能：</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可查看灯板温度、灯具使用时间</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显示DMX通道模式、设置状态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采用LCD显示、菜单显示反向</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显示屏背光延时自动关闭</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操作模式状态均可通过同步状态进行参数传递</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外壳：高强度压铸铝合金IP67</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工作环境温度：-20℃～40 ℃制造商生产厂家产品的成熟性，具有良好的企业信用，生产企业能力证明需要提供以下证明：1、质量管理体系认证证书；2、环境管理体系认证证书；</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3、专业灯光工程综合技术能力等级证书（壹级）；</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1.采购、安装</w:t>
            </w:r>
          </w:p>
        </w:tc>
        <w:tc>
          <w:tcPr>
            <w:tcW w:w="1020"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套</w:t>
            </w:r>
          </w:p>
        </w:tc>
        <w:tc>
          <w:tcPr>
            <w:tcW w:w="885"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8</w:t>
            </w:r>
          </w:p>
        </w:tc>
      </w:tr>
      <w:tr>
        <w:tblPrEx>
          <w:tblCellMar>
            <w:top w:w="0" w:type="dxa"/>
            <w:left w:w="0" w:type="dxa"/>
            <w:bottom w:w="0" w:type="dxa"/>
            <w:right w:w="0" w:type="dxa"/>
          </w:tblCellMar>
        </w:tblPrEx>
        <w:trPr>
          <w:trHeight w:val="3264" w:hRule="atLeast"/>
          <w:jc w:val="center"/>
        </w:trPr>
        <w:tc>
          <w:tcPr>
            <w:tcW w:w="917" w:type="dxa"/>
            <w:tcBorders>
              <w:top w:val="single" w:color="000000" w:sz="4" w:space="0"/>
              <w:left w:val="single" w:color="000000" w:sz="8"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40</w:t>
            </w:r>
          </w:p>
        </w:tc>
        <w:tc>
          <w:tcPr>
            <w:tcW w:w="1339" w:type="dxa"/>
            <w:tcBorders>
              <w:top w:val="single" w:color="000000" w:sz="4" w:space="0"/>
              <w:left w:val="single" w:color="000000" w:sz="4"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030213003006</w:t>
            </w:r>
          </w:p>
        </w:tc>
        <w:tc>
          <w:tcPr>
            <w:tcW w:w="5468" w:type="dxa"/>
            <w:gridSpan w:val="2"/>
            <w:tcBorders>
              <w:top w:val="single" w:color="000000" w:sz="4" w:space="0"/>
              <w:left w:val="single" w:color="000000" w:sz="4" w:space="0"/>
              <w:bottom w:val="single" w:color="000000" w:sz="8" w:space="0"/>
              <w:right w:val="single" w:color="000000" w:sz="4" w:space="0"/>
            </w:tcBorders>
            <w:shd w:val="clear" w:color="FFFFFF" w:fill="FFFFFF"/>
            <w:noWrap w:val="0"/>
            <w:tcMar>
              <w:top w:w="12" w:type="dxa"/>
              <w:left w:w="12" w:type="dxa"/>
              <w:right w:w="12" w:type="dxa"/>
            </w:tcMar>
            <w:vAlign w:val="top"/>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装饰灯</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1.名称:LED 三基色会议灯</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2.技术参数：电压：AC220V，50-60HZ；功率：200W；灯珠：0.15W*1344颗；运行模式：自走，主从，DMX512信号</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通道：3通道；色温：3200-5600K可选；特点：发光率高，可形成大面积发光矩阵，显色指数高，色还原好，配有高透光率亚克力板，光输出柔和均匀，无有害紫外线，无眩光、无闪烁，不刺眼，自能散热，环保节能，超长寿命。</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1.采购、安装</w:t>
            </w:r>
          </w:p>
        </w:tc>
        <w:tc>
          <w:tcPr>
            <w:tcW w:w="1020" w:type="dxa"/>
            <w:tcBorders>
              <w:top w:val="single" w:color="000000" w:sz="4" w:space="0"/>
              <w:left w:val="single" w:color="000000" w:sz="4"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套</w:t>
            </w:r>
          </w:p>
        </w:tc>
        <w:tc>
          <w:tcPr>
            <w:tcW w:w="885" w:type="dxa"/>
            <w:tcBorders>
              <w:top w:val="single" w:color="000000" w:sz="4" w:space="0"/>
              <w:left w:val="single" w:color="000000" w:sz="4" w:space="0"/>
              <w:bottom w:val="single" w:color="000000" w:sz="8"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12</w:t>
            </w:r>
          </w:p>
        </w:tc>
      </w:tr>
      <w:tr>
        <w:tblPrEx>
          <w:tblCellMar>
            <w:top w:w="0" w:type="dxa"/>
            <w:left w:w="0" w:type="dxa"/>
            <w:bottom w:w="0" w:type="dxa"/>
            <w:right w:w="0" w:type="dxa"/>
          </w:tblCellMar>
        </w:tblPrEx>
        <w:trPr>
          <w:trHeight w:val="90" w:hRule="atLeast"/>
          <w:jc w:val="center"/>
        </w:trPr>
        <w:tc>
          <w:tcPr>
            <w:tcW w:w="917" w:type="dxa"/>
            <w:tcBorders>
              <w:top w:val="single" w:color="000000" w:sz="4" w:space="0"/>
              <w:left w:val="single" w:color="000000" w:sz="8"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41</w:t>
            </w:r>
          </w:p>
        </w:tc>
        <w:tc>
          <w:tcPr>
            <w:tcW w:w="1339" w:type="dxa"/>
            <w:tcBorders>
              <w:top w:val="single" w:color="000000" w:sz="4" w:space="0"/>
              <w:left w:val="single" w:color="000000" w:sz="4"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030213003007</w:t>
            </w:r>
          </w:p>
        </w:tc>
        <w:tc>
          <w:tcPr>
            <w:tcW w:w="5468" w:type="dxa"/>
            <w:gridSpan w:val="2"/>
            <w:tcBorders>
              <w:top w:val="single" w:color="000000" w:sz="4" w:space="0"/>
              <w:left w:val="single" w:color="000000" w:sz="4"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装饰灯</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1.名称:电脑光束摇头灯</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2.技术参数：230W光束摇头灯；电源:110 - 240V 50/60HZ；功率：310W；光源：OSRAM或PHILIPS灯泡，电子整流器；色温：8000K . 平均寿命：2000 h；3个光学镜头组组合；光输出为20米：68600LUX,30米：30489LUX；颜色：一个颜色盘带有14种颜色+白光，可变速双向彩虹效果，线性转换颜色盘可换半色效果；一个固定图案盘17个固定图案+白光.具有变速抖动效果；8面旋转棱镜；（可双向变速旋转）+降温片+雾化片+白光速度可调频闪效果，机械调光及雾化；频闪：双片式频闪，0.3-20次/秒16 DMX 512控制.。旋转角度：水平方向540°，垂直方向270°；具自动回位功能</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光束角：调焦 0°- 4</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精简模式10通道，标准模式14通道，扩展模式16通道，通道模式及数量可定制</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水平、垂直速度可调，显示灯具灯泡使用时间，便于维护的模块化结构，可选DMX512无线接收器、发射器制造商生产厂家产品的成熟性，具有良好的企业信用，生产企业能力证明需要提供以下证明：1、质量管理体系认证证书；2、环境管理体系认证证书；</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3、专业灯光工程综合技术能力等级证书（壹级）；</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1.采购、安装</w:t>
            </w:r>
          </w:p>
        </w:tc>
        <w:tc>
          <w:tcPr>
            <w:tcW w:w="1020" w:type="dxa"/>
            <w:tcBorders>
              <w:top w:val="single" w:color="000000" w:sz="4" w:space="0"/>
              <w:left w:val="single" w:color="000000" w:sz="4"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套</w:t>
            </w:r>
          </w:p>
        </w:tc>
        <w:tc>
          <w:tcPr>
            <w:tcW w:w="885" w:type="dxa"/>
            <w:tcBorders>
              <w:top w:val="single" w:color="000000" w:sz="4" w:space="0"/>
              <w:left w:val="single" w:color="000000" w:sz="4" w:space="0"/>
              <w:bottom w:val="single" w:color="000000" w:sz="8"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8</w:t>
            </w:r>
          </w:p>
        </w:tc>
      </w:tr>
      <w:tr>
        <w:tblPrEx>
          <w:tblCellMar>
            <w:top w:w="0" w:type="dxa"/>
            <w:left w:w="0" w:type="dxa"/>
            <w:bottom w:w="0" w:type="dxa"/>
            <w:right w:w="0" w:type="dxa"/>
          </w:tblCellMar>
        </w:tblPrEx>
        <w:trPr>
          <w:trHeight w:val="4254" w:hRule="atLeast"/>
          <w:jc w:val="center"/>
        </w:trPr>
        <w:tc>
          <w:tcPr>
            <w:tcW w:w="917" w:type="dxa"/>
            <w:tcBorders>
              <w:top w:val="single" w:color="000000" w:sz="4" w:space="0"/>
              <w:left w:val="single" w:color="000000" w:sz="8"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42</w:t>
            </w:r>
          </w:p>
        </w:tc>
        <w:tc>
          <w:tcPr>
            <w:tcW w:w="1339" w:type="dxa"/>
            <w:tcBorders>
              <w:top w:val="single" w:color="000000" w:sz="4" w:space="0"/>
              <w:left w:val="single" w:color="000000" w:sz="4"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030213003008</w:t>
            </w:r>
          </w:p>
        </w:tc>
        <w:tc>
          <w:tcPr>
            <w:tcW w:w="5468" w:type="dxa"/>
            <w:gridSpan w:val="2"/>
            <w:tcBorders>
              <w:top w:val="single" w:color="000000" w:sz="4" w:space="0"/>
              <w:left w:val="single" w:color="000000" w:sz="4"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装饰灯</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1.名称:灯光控制台</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技术参数：DMX512/1990标准，最大1024个DMX控制通道，光电隔离信号输出。最大控制96台电脑灯或96路调光，使用珍珠灯库。内置图形轨迹发生器，有135个内置图形，方便用户对电脑灯进行图形轨迹控制，如画圆、螺旋、彩虹、追逐等多种效果。图形参数（如：振幅、速度、间隔、波浪、方向）均可独立设置。60个重演场景，用于储存多步场景和单步场景。多步场景最多可储存600步。带背光的LCD显示屏，中英文显示；关机数据保持。U盘备份和升级。专业鹅颈工作灯，适合室内外演出使用。（选配）；电源：AC 90-240V / 50-60Hz开关电源。</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p>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1.采购、安装</w:t>
            </w:r>
          </w:p>
        </w:tc>
        <w:tc>
          <w:tcPr>
            <w:tcW w:w="1020" w:type="dxa"/>
            <w:tcBorders>
              <w:top w:val="single" w:color="000000" w:sz="4" w:space="0"/>
              <w:left w:val="single" w:color="000000" w:sz="4"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套</w:t>
            </w:r>
          </w:p>
        </w:tc>
        <w:tc>
          <w:tcPr>
            <w:tcW w:w="885" w:type="dxa"/>
            <w:tcBorders>
              <w:top w:val="single" w:color="000000" w:sz="4" w:space="0"/>
              <w:left w:val="single" w:color="000000" w:sz="4" w:space="0"/>
              <w:bottom w:val="single" w:color="000000" w:sz="8"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r>
      <w:tr>
        <w:tblPrEx>
          <w:tblCellMar>
            <w:top w:w="0" w:type="dxa"/>
            <w:left w:w="0" w:type="dxa"/>
            <w:bottom w:w="0" w:type="dxa"/>
            <w:right w:w="0" w:type="dxa"/>
          </w:tblCellMar>
        </w:tblPrEx>
        <w:trPr>
          <w:trHeight w:val="90" w:hRule="atLeast"/>
          <w:jc w:val="center"/>
        </w:trPr>
        <w:tc>
          <w:tcPr>
            <w:tcW w:w="917" w:type="dxa"/>
            <w:tcBorders>
              <w:top w:val="single" w:color="000000" w:sz="4" w:space="0"/>
              <w:left w:val="single" w:color="000000" w:sz="8"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43</w:t>
            </w:r>
          </w:p>
        </w:tc>
        <w:tc>
          <w:tcPr>
            <w:tcW w:w="1339" w:type="dxa"/>
            <w:tcBorders>
              <w:top w:val="single" w:color="000000" w:sz="4" w:space="0"/>
              <w:left w:val="single" w:color="000000" w:sz="4"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030213003009</w:t>
            </w:r>
          </w:p>
        </w:tc>
        <w:tc>
          <w:tcPr>
            <w:tcW w:w="5468" w:type="dxa"/>
            <w:gridSpan w:val="2"/>
            <w:tcBorders>
              <w:top w:val="single" w:color="000000" w:sz="4" w:space="0"/>
              <w:left w:val="single" w:color="000000" w:sz="4"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装饰灯</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1.名称:双雾机</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技术参数：1、不需加热，使用专用雾油；2、省油，1升油可连续工作25个小时；3、干燥：尽管长时间连续工作，不会产生湿气，油粒子，不会造成灯光设备的油性残油；4、均匀：产生烟雾均匀、细腻、扩散快速；5、无臭味：产生的烟雾是无色无味的，在雾油里还可添加任何油性香精。</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 xml:space="preserve">电 压:AC 220V-240V 50/60Hz   AC 100V-120V 50/60Hz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限流保险 :5A/250V</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功率 :600W</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油桶容积 :1.7L</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风扇角度 :可调</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输出风力调节 :支持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DMX-512 :支持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控制器 :液晶控制器LCDoontroller、遥控</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预热时间: 0 秒</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1.采购、安装</w:t>
            </w:r>
          </w:p>
        </w:tc>
        <w:tc>
          <w:tcPr>
            <w:tcW w:w="1020" w:type="dxa"/>
            <w:tcBorders>
              <w:top w:val="single" w:color="000000" w:sz="4" w:space="0"/>
              <w:left w:val="single" w:color="000000" w:sz="4"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套</w:t>
            </w:r>
          </w:p>
        </w:tc>
        <w:tc>
          <w:tcPr>
            <w:tcW w:w="885" w:type="dxa"/>
            <w:tcBorders>
              <w:top w:val="single" w:color="000000" w:sz="4" w:space="0"/>
              <w:left w:val="single" w:color="000000" w:sz="4" w:space="0"/>
              <w:bottom w:val="single" w:color="000000" w:sz="8"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1</w:t>
            </w:r>
          </w:p>
        </w:tc>
      </w:tr>
      <w:tr>
        <w:tblPrEx>
          <w:tblCellMar>
            <w:top w:w="0" w:type="dxa"/>
            <w:left w:w="0" w:type="dxa"/>
            <w:bottom w:w="0" w:type="dxa"/>
            <w:right w:w="0" w:type="dxa"/>
          </w:tblCellMar>
        </w:tblPrEx>
        <w:trPr>
          <w:trHeight w:val="2492" w:hRule="atLeast"/>
          <w:jc w:val="center"/>
        </w:trPr>
        <w:tc>
          <w:tcPr>
            <w:tcW w:w="917"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44</w:t>
            </w:r>
          </w:p>
        </w:tc>
        <w:tc>
          <w:tcPr>
            <w:tcW w:w="133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030213003010</w:t>
            </w:r>
          </w:p>
        </w:tc>
        <w:tc>
          <w:tcPr>
            <w:tcW w:w="5468" w:type="dxa"/>
            <w:gridSpan w:val="2"/>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top"/>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装饰灯</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1.名称:双雾机</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2.技术参数：功率:300W，电压:220-250V 50/60Hz，泡泡油容量:2.5公升，吹泡高度:20米，泡泡覆盖面:100平方米，控制方式:遥控控制</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1.采购、安装</w:t>
            </w:r>
          </w:p>
        </w:tc>
        <w:tc>
          <w:tcPr>
            <w:tcW w:w="1020"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套</w:t>
            </w:r>
          </w:p>
        </w:tc>
        <w:tc>
          <w:tcPr>
            <w:tcW w:w="885"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r>
      <w:tr>
        <w:tblPrEx>
          <w:tblCellMar>
            <w:top w:w="0" w:type="dxa"/>
            <w:left w:w="0" w:type="dxa"/>
            <w:bottom w:w="0" w:type="dxa"/>
            <w:right w:w="0" w:type="dxa"/>
          </w:tblCellMar>
        </w:tblPrEx>
        <w:trPr>
          <w:trHeight w:val="2747" w:hRule="atLeast"/>
          <w:jc w:val="center"/>
        </w:trPr>
        <w:tc>
          <w:tcPr>
            <w:tcW w:w="917"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45</w:t>
            </w:r>
          </w:p>
        </w:tc>
        <w:tc>
          <w:tcPr>
            <w:tcW w:w="133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CB005</w:t>
            </w:r>
          </w:p>
        </w:tc>
        <w:tc>
          <w:tcPr>
            <w:tcW w:w="5468" w:type="dxa"/>
            <w:gridSpan w:val="2"/>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top"/>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DMX信号分配器</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DMX512/1990信号输出；8路DMX信号分配器，二进八出；采用抗高压保护措施，极不容易损坏；输入与输出信号(包括信号地线)完全隔离；宽电压输入,适应不同国家的电压输入；可匹配3针的卡侬插座（可选5芯）；各路均有独立的放大器及信号指示灯；电源输入: AC 100V-240V  50/ 60Hz；</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1.采购、安装</w:t>
            </w:r>
          </w:p>
        </w:tc>
        <w:tc>
          <w:tcPr>
            <w:tcW w:w="1020"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台</w:t>
            </w:r>
          </w:p>
        </w:tc>
        <w:tc>
          <w:tcPr>
            <w:tcW w:w="885"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w:t>
            </w:r>
          </w:p>
        </w:tc>
      </w:tr>
      <w:tr>
        <w:tblPrEx>
          <w:tblCellMar>
            <w:top w:w="0" w:type="dxa"/>
            <w:left w:w="0" w:type="dxa"/>
            <w:bottom w:w="0" w:type="dxa"/>
            <w:right w:w="0" w:type="dxa"/>
          </w:tblCellMar>
        </w:tblPrEx>
        <w:trPr>
          <w:trHeight w:val="1023" w:hRule="atLeast"/>
          <w:jc w:val="center"/>
        </w:trPr>
        <w:tc>
          <w:tcPr>
            <w:tcW w:w="917"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46</w:t>
            </w:r>
          </w:p>
        </w:tc>
        <w:tc>
          <w:tcPr>
            <w:tcW w:w="133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CB002</w:t>
            </w:r>
          </w:p>
        </w:tc>
        <w:tc>
          <w:tcPr>
            <w:tcW w:w="5468" w:type="dxa"/>
            <w:gridSpan w:val="2"/>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top"/>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灯钩</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1.材质：铝合金，适合 口径：42-52mm，最大负重：40kg。</w:t>
            </w:r>
          </w:p>
        </w:tc>
        <w:tc>
          <w:tcPr>
            <w:tcW w:w="1020"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个</w:t>
            </w:r>
          </w:p>
        </w:tc>
        <w:tc>
          <w:tcPr>
            <w:tcW w:w="885"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84</w:t>
            </w:r>
          </w:p>
        </w:tc>
      </w:tr>
      <w:tr>
        <w:tblPrEx>
          <w:tblCellMar>
            <w:top w:w="0" w:type="dxa"/>
            <w:left w:w="0" w:type="dxa"/>
            <w:bottom w:w="0" w:type="dxa"/>
            <w:right w:w="0" w:type="dxa"/>
          </w:tblCellMar>
        </w:tblPrEx>
        <w:trPr>
          <w:trHeight w:val="676" w:hRule="atLeast"/>
          <w:jc w:val="center"/>
        </w:trPr>
        <w:tc>
          <w:tcPr>
            <w:tcW w:w="917" w:type="dxa"/>
            <w:tcBorders>
              <w:top w:val="single" w:color="000000" w:sz="4" w:space="0"/>
              <w:left w:val="single" w:color="000000" w:sz="8"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47</w:t>
            </w:r>
          </w:p>
        </w:tc>
        <w:tc>
          <w:tcPr>
            <w:tcW w:w="1339" w:type="dxa"/>
            <w:tcBorders>
              <w:top w:val="single" w:color="000000" w:sz="4" w:space="0"/>
              <w:left w:val="single" w:color="000000" w:sz="4"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CB021</w:t>
            </w:r>
          </w:p>
        </w:tc>
        <w:tc>
          <w:tcPr>
            <w:tcW w:w="5468" w:type="dxa"/>
            <w:gridSpan w:val="2"/>
            <w:tcBorders>
              <w:top w:val="single" w:color="000000" w:sz="4" w:space="0"/>
              <w:left w:val="single" w:color="000000" w:sz="4"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烟油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p>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1.特点：烟色纯白、无味、飘浮空中犹如晨雾.</w:t>
            </w:r>
          </w:p>
        </w:tc>
        <w:tc>
          <w:tcPr>
            <w:tcW w:w="1020" w:type="dxa"/>
            <w:tcBorders>
              <w:top w:val="single" w:color="000000" w:sz="4" w:space="0"/>
              <w:left w:val="single" w:color="000000" w:sz="4"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桶</w:t>
            </w:r>
          </w:p>
        </w:tc>
        <w:tc>
          <w:tcPr>
            <w:tcW w:w="885" w:type="dxa"/>
            <w:tcBorders>
              <w:top w:val="single" w:color="000000" w:sz="4" w:space="0"/>
              <w:left w:val="single" w:color="000000" w:sz="4" w:space="0"/>
              <w:bottom w:val="single" w:color="000000" w:sz="8"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r>
      <w:tr>
        <w:tblPrEx>
          <w:tblCellMar>
            <w:top w:w="0" w:type="dxa"/>
            <w:left w:w="0" w:type="dxa"/>
            <w:bottom w:w="0" w:type="dxa"/>
            <w:right w:w="0" w:type="dxa"/>
          </w:tblCellMar>
        </w:tblPrEx>
        <w:trPr>
          <w:trHeight w:val="1117" w:hRule="atLeast"/>
          <w:jc w:val="center"/>
        </w:trPr>
        <w:tc>
          <w:tcPr>
            <w:tcW w:w="917"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48</w:t>
            </w:r>
          </w:p>
        </w:tc>
        <w:tc>
          <w:tcPr>
            <w:tcW w:w="133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CB022</w:t>
            </w:r>
          </w:p>
        </w:tc>
        <w:tc>
          <w:tcPr>
            <w:tcW w:w="5468" w:type="dxa"/>
            <w:gridSpan w:val="2"/>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泡泡油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1.特点：无色、无味、无污染、无刺激、非燃性，空中停留持久、透光度及折射度高、色彩缤纷！</w:t>
            </w:r>
          </w:p>
        </w:tc>
        <w:tc>
          <w:tcPr>
            <w:tcW w:w="1020"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桶</w:t>
            </w:r>
          </w:p>
        </w:tc>
        <w:tc>
          <w:tcPr>
            <w:tcW w:w="885"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r>
      <w:tr>
        <w:tblPrEx>
          <w:tblCellMar>
            <w:top w:w="0" w:type="dxa"/>
            <w:left w:w="0" w:type="dxa"/>
            <w:bottom w:w="0" w:type="dxa"/>
            <w:right w:w="0" w:type="dxa"/>
          </w:tblCellMar>
        </w:tblPrEx>
        <w:trPr>
          <w:trHeight w:val="1420" w:hRule="atLeast"/>
          <w:jc w:val="center"/>
        </w:trPr>
        <w:tc>
          <w:tcPr>
            <w:tcW w:w="917"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49</w:t>
            </w:r>
          </w:p>
        </w:tc>
        <w:tc>
          <w:tcPr>
            <w:tcW w:w="133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CB006</w:t>
            </w:r>
          </w:p>
        </w:tc>
        <w:tc>
          <w:tcPr>
            <w:tcW w:w="5468" w:type="dxa"/>
            <w:gridSpan w:val="2"/>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灯杆</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1.定制灯杆</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1.采购、安装</w:t>
            </w:r>
          </w:p>
        </w:tc>
        <w:tc>
          <w:tcPr>
            <w:tcW w:w="1020"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道</w:t>
            </w:r>
          </w:p>
        </w:tc>
        <w:tc>
          <w:tcPr>
            <w:tcW w:w="885"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w:t>
            </w:r>
          </w:p>
        </w:tc>
      </w:tr>
      <w:tr>
        <w:tblPrEx>
          <w:tblCellMar>
            <w:top w:w="0" w:type="dxa"/>
            <w:left w:w="0" w:type="dxa"/>
            <w:bottom w:w="0" w:type="dxa"/>
            <w:right w:w="0" w:type="dxa"/>
          </w:tblCellMar>
        </w:tblPrEx>
        <w:trPr>
          <w:trHeight w:val="1420" w:hRule="atLeast"/>
          <w:jc w:val="center"/>
        </w:trPr>
        <w:tc>
          <w:tcPr>
            <w:tcW w:w="917"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50</w:t>
            </w:r>
          </w:p>
        </w:tc>
        <w:tc>
          <w:tcPr>
            <w:tcW w:w="133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CB026</w:t>
            </w:r>
          </w:p>
        </w:tc>
        <w:tc>
          <w:tcPr>
            <w:tcW w:w="5468" w:type="dxa"/>
            <w:gridSpan w:val="2"/>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舞台大幕</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 xml:space="preserve">[项目特征]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名称：舞台大幕</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 定制台口大幕</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 电动对开或升降</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 大幕防火处理</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 包含轨道等其他辅材</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 xml:space="preserve">[工作内容]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 xml:space="preserve">1 .本体安装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 xml:space="preserve">2.单体调试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3.试运行</w:t>
            </w:r>
          </w:p>
        </w:tc>
        <w:tc>
          <w:tcPr>
            <w:tcW w:w="1020"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套</w:t>
            </w:r>
          </w:p>
        </w:tc>
        <w:tc>
          <w:tcPr>
            <w:tcW w:w="885"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1</w:t>
            </w:r>
          </w:p>
        </w:tc>
      </w:tr>
      <w:tr>
        <w:tblPrEx>
          <w:tblCellMar>
            <w:top w:w="0" w:type="dxa"/>
            <w:left w:w="0" w:type="dxa"/>
            <w:bottom w:w="0" w:type="dxa"/>
            <w:right w:w="0" w:type="dxa"/>
          </w:tblCellMar>
        </w:tblPrEx>
        <w:trPr>
          <w:trHeight w:val="1051" w:hRule="atLeast"/>
          <w:jc w:val="center"/>
        </w:trPr>
        <w:tc>
          <w:tcPr>
            <w:tcW w:w="917"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51</w:t>
            </w:r>
          </w:p>
        </w:tc>
        <w:tc>
          <w:tcPr>
            <w:tcW w:w="133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CB023</w:t>
            </w:r>
          </w:p>
        </w:tc>
        <w:tc>
          <w:tcPr>
            <w:tcW w:w="5468" w:type="dxa"/>
            <w:gridSpan w:val="2"/>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安装调试及辅材</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1.安装，调试，辅材（电源线，信号线，音频线，线槽，线管，配件等；）</w:t>
            </w:r>
          </w:p>
        </w:tc>
        <w:tc>
          <w:tcPr>
            <w:tcW w:w="1020"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项</w:t>
            </w:r>
          </w:p>
        </w:tc>
        <w:tc>
          <w:tcPr>
            <w:tcW w:w="885"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r>
      <w:tr>
        <w:tblPrEx>
          <w:tblCellMar>
            <w:top w:w="0" w:type="dxa"/>
            <w:left w:w="0" w:type="dxa"/>
            <w:bottom w:w="0" w:type="dxa"/>
            <w:right w:w="0" w:type="dxa"/>
          </w:tblCellMar>
        </w:tblPrEx>
        <w:trPr>
          <w:trHeight w:val="364" w:hRule="atLeast"/>
          <w:jc w:val="center"/>
        </w:trPr>
        <w:tc>
          <w:tcPr>
            <w:tcW w:w="917"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jc w:val="left"/>
              <w:rPr>
                <w:rFonts w:hint="eastAsia" w:ascii="宋体" w:hAnsi="宋体" w:eastAsia="宋体" w:cs="宋体"/>
                <w:i w:val="0"/>
                <w:color w:val="000000"/>
                <w:sz w:val="20"/>
                <w:szCs w:val="20"/>
                <w:u w:val="none"/>
              </w:rPr>
            </w:pPr>
          </w:p>
        </w:tc>
        <w:tc>
          <w:tcPr>
            <w:tcW w:w="133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jc w:val="left"/>
              <w:rPr>
                <w:rFonts w:hint="eastAsia" w:ascii="宋体" w:hAnsi="宋体" w:eastAsia="宋体" w:cs="宋体"/>
                <w:i w:val="0"/>
                <w:color w:val="000000"/>
                <w:sz w:val="20"/>
                <w:szCs w:val="20"/>
                <w:u w:val="none"/>
              </w:rPr>
            </w:pPr>
          </w:p>
        </w:tc>
        <w:tc>
          <w:tcPr>
            <w:tcW w:w="5468" w:type="dxa"/>
            <w:gridSpan w:val="2"/>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移动直播系统</w:t>
            </w:r>
          </w:p>
        </w:tc>
        <w:tc>
          <w:tcPr>
            <w:tcW w:w="1020"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jc w:val="center"/>
              <w:rPr>
                <w:rFonts w:hint="eastAsia" w:ascii="宋体" w:hAnsi="宋体" w:eastAsia="宋体" w:cs="宋体"/>
                <w:i w:val="0"/>
                <w:color w:val="000000"/>
                <w:sz w:val="20"/>
                <w:szCs w:val="20"/>
                <w:u w:val="none"/>
              </w:rPr>
            </w:pPr>
          </w:p>
        </w:tc>
        <w:tc>
          <w:tcPr>
            <w:tcW w:w="885"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jc w:val="center"/>
              <w:rPr>
                <w:rFonts w:hint="eastAsia" w:ascii="宋体" w:hAnsi="宋体" w:eastAsia="宋体" w:cs="宋体"/>
                <w:i w:val="0"/>
                <w:color w:val="000000"/>
                <w:sz w:val="20"/>
                <w:szCs w:val="20"/>
                <w:u w:val="none"/>
              </w:rPr>
            </w:pPr>
          </w:p>
        </w:tc>
      </w:tr>
      <w:tr>
        <w:tblPrEx>
          <w:tblCellMar>
            <w:top w:w="0" w:type="dxa"/>
            <w:left w:w="0" w:type="dxa"/>
            <w:bottom w:w="0" w:type="dxa"/>
            <w:right w:w="0" w:type="dxa"/>
          </w:tblCellMar>
        </w:tblPrEx>
        <w:trPr>
          <w:trHeight w:val="90" w:hRule="atLeast"/>
          <w:jc w:val="center"/>
        </w:trPr>
        <w:tc>
          <w:tcPr>
            <w:tcW w:w="917"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52</w:t>
            </w:r>
          </w:p>
        </w:tc>
        <w:tc>
          <w:tcPr>
            <w:tcW w:w="133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031103015001</w:t>
            </w:r>
          </w:p>
        </w:tc>
        <w:tc>
          <w:tcPr>
            <w:tcW w:w="5468" w:type="dxa"/>
            <w:gridSpan w:val="2"/>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接线箱</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1.名称:设备箱/线材箱</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2.技术参数：配套移动拉杆箱，可将双屏便携录播一体机，三台摄像机，无线全向话筒，及配套适配器全部开模保护装起来。</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1.安装</w:t>
            </w:r>
          </w:p>
        </w:tc>
        <w:tc>
          <w:tcPr>
            <w:tcW w:w="1020"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个</w:t>
            </w:r>
          </w:p>
        </w:tc>
        <w:tc>
          <w:tcPr>
            <w:tcW w:w="885"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r>
      <w:tr>
        <w:tblPrEx>
          <w:tblCellMar>
            <w:top w:w="0" w:type="dxa"/>
            <w:left w:w="0" w:type="dxa"/>
            <w:bottom w:w="0" w:type="dxa"/>
            <w:right w:w="0" w:type="dxa"/>
          </w:tblCellMar>
        </w:tblPrEx>
        <w:trPr>
          <w:trHeight w:val="1792" w:hRule="atLeast"/>
          <w:jc w:val="center"/>
        </w:trPr>
        <w:tc>
          <w:tcPr>
            <w:tcW w:w="917" w:type="dxa"/>
            <w:tcBorders>
              <w:top w:val="single" w:color="000000" w:sz="4" w:space="0"/>
              <w:left w:val="single" w:color="000000" w:sz="8"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53</w:t>
            </w:r>
          </w:p>
        </w:tc>
        <w:tc>
          <w:tcPr>
            <w:tcW w:w="1339" w:type="dxa"/>
            <w:tcBorders>
              <w:top w:val="single" w:color="000000" w:sz="4" w:space="0"/>
              <w:left w:val="single" w:color="000000" w:sz="4"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031202001002</w:t>
            </w:r>
          </w:p>
        </w:tc>
        <w:tc>
          <w:tcPr>
            <w:tcW w:w="5468" w:type="dxa"/>
            <w:gridSpan w:val="2"/>
            <w:tcBorders>
              <w:top w:val="single" w:color="000000" w:sz="4" w:space="0"/>
              <w:left w:val="single" w:color="000000" w:sz="4" w:space="0"/>
              <w:bottom w:val="single" w:color="000000" w:sz="8" w:space="0"/>
              <w:right w:val="single" w:color="000000" w:sz="4" w:space="0"/>
            </w:tcBorders>
            <w:shd w:val="clear" w:color="FFFFFF" w:fill="FFFFFF"/>
            <w:noWrap w:val="0"/>
            <w:tcMar>
              <w:top w:w="12" w:type="dxa"/>
              <w:left w:w="12" w:type="dxa"/>
              <w:right w:w="12" w:type="dxa"/>
            </w:tcMar>
            <w:vAlign w:val="top"/>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终端设备</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1.名称:高清录播主机</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2.技术参数：一、产品参数要求：</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1.工业级别嵌入式ARM+DSP架构，linux操作系统。</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 笔记本翻盖式外形设计，高度不大于2U，重量不大于5kg。</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▲3.电压：直流不大于24V。</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采用≥17.3英寸双液晶屏设计，一块液晶屏显示主播画面，另一块液晶屏显示导播界面，支持触摸操作，可显示6路预览画面以及1路主播画面。可控制摄像头转动与变焦、画面切换、手自动切换、录制、停止、直播、参数设置等操作。</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5.视频输入接口:4路3G-SDI高清视频， 2路HDMI输入，1路VGA输入；视频输出接口:1路VGA输出，1路HDMI输出，HDMI输出接口可自定义设置视频输出类型，支持单通道视频单独输出、远端合成画面输出。</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 xml:space="preserve">▲6.音频输入：支持2路MIC（自带48V幻象供电），采用标准凤凰端子接口。2路LINE输入，采用6.5mm音频接口，2路3.5mm音频输入，稳定可靠。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 xml:space="preserve">音频输出：2路LINE线性输出；2路3.5耳机监听接口。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其它接口：2路USB接口；1路千兆网口；4路RS-232接口，2路Debug调试接口。</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7.支持图像输入包括VGA：1024X768@60～1080I@50/60, 1080P@50/60</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3G-SDI： 720P@50/60, 1080I@50， 1080P@30；</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▲8. 为达到设备便携使用效果，要求主机内置双无线网卡，分别独立使用，网卡①：支持≥3路无线摄像机接入，网卡②：连接本地无线网络或手机热点。拒绝采用USB接口转接、SMA接口转接、无线图传等外接天线及无线转换设备，减少故障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9.支持网络摄像机或编码器通过网络输入网络视频流。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▲10.视频格式：H.264 high profile / H.265 main profile，音频编码：AAC ，支持 MP4和TS文件格式。</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11.配置1TB硬盘。</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▲12.设备低能耗、热量小、超静音，可长时间工作等优势，同时内置≥9000mah电池。</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二、产品资质要求：</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1.以上参数中带“▲”项为重要参数，需提供CNAS、CMA机构认可的权威实验室出具的检测报告，报告中需呈现相应功能。（提供复印件加盖原厂公章）</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1.本体安装</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2.单体测试</w:t>
            </w:r>
          </w:p>
        </w:tc>
        <w:tc>
          <w:tcPr>
            <w:tcW w:w="1020" w:type="dxa"/>
            <w:tcBorders>
              <w:top w:val="single" w:color="000000" w:sz="4" w:space="0"/>
              <w:left w:val="single" w:color="000000" w:sz="4"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台</w:t>
            </w:r>
          </w:p>
        </w:tc>
        <w:tc>
          <w:tcPr>
            <w:tcW w:w="885" w:type="dxa"/>
            <w:tcBorders>
              <w:top w:val="single" w:color="000000" w:sz="4" w:space="0"/>
              <w:left w:val="single" w:color="000000" w:sz="4" w:space="0"/>
              <w:bottom w:val="single" w:color="000000" w:sz="8"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r>
      <w:tr>
        <w:tblPrEx>
          <w:tblCellMar>
            <w:top w:w="0" w:type="dxa"/>
            <w:left w:w="0" w:type="dxa"/>
            <w:bottom w:w="0" w:type="dxa"/>
            <w:right w:w="0" w:type="dxa"/>
          </w:tblCellMar>
        </w:tblPrEx>
        <w:trPr>
          <w:trHeight w:val="90" w:hRule="atLeast"/>
          <w:jc w:val="center"/>
        </w:trPr>
        <w:tc>
          <w:tcPr>
            <w:tcW w:w="917" w:type="dxa"/>
            <w:tcBorders>
              <w:top w:val="single" w:color="000000" w:sz="4" w:space="0"/>
              <w:left w:val="single" w:color="000000" w:sz="8"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54</w:t>
            </w:r>
          </w:p>
        </w:tc>
        <w:tc>
          <w:tcPr>
            <w:tcW w:w="1339" w:type="dxa"/>
            <w:tcBorders>
              <w:top w:val="single" w:color="000000" w:sz="4" w:space="0"/>
              <w:left w:val="single" w:color="000000" w:sz="4"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031202001003</w:t>
            </w:r>
          </w:p>
        </w:tc>
        <w:tc>
          <w:tcPr>
            <w:tcW w:w="5468" w:type="dxa"/>
            <w:gridSpan w:val="2"/>
            <w:tcBorders>
              <w:top w:val="single" w:color="000000" w:sz="4" w:space="0"/>
              <w:left w:val="single" w:color="000000" w:sz="4"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终端设备</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1.名称:虚拟抠像软件</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2.技术参数：支持虚拟抠像技术：</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可通过抠像技术实现多路画面的任意组合，如教师画面与PPT或其他画面融合为一路组合画面实现快速简单微课功能。</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1.本体安装</w:t>
            </w:r>
          </w:p>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2.单体测试</w:t>
            </w:r>
          </w:p>
        </w:tc>
        <w:tc>
          <w:tcPr>
            <w:tcW w:w="1020" w:type="dxa"/>
            <w:tcBorders>
              <w:top w:val="single" w:color="000000" w:sz="4" w:space="0"/>
              <w:left w:val="single" w:color="000000" w:sz="4"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套</w:t>
            </w:r>
          </w:p>
        </w:tc>
        <w:tc>
          <w:tcPr>
            <w:tcW w:w="885" w:type="dxa"/>
            <w:tcBorders>
              <w:top w:val="single" w:color="000000" w:sz="4" w:space="0"/>
              <w:left w:val="single" w:color="000000" w:sz="4" w:space="0"/>
              <w:bottom w:val="single" w:color="000000" w:sz="8"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r>
      <w:tr>
        <w:tblPrEx>
          <w:tblCellMar>
            <w:top w:w="0" w:type="dxa"/>
            <w:left w:w="0" w:type="dxa"/>
            <w:bottom w:w="0" w:type="dxa"/>
            <w:right w:w="0" w:type="dxa"/>
          </w:tblCellMar>
        </w:tblPrEx>
        <w:trPr>
          <w:trHeight w:val="713" w:hRule="atLeast"/>
          <w:jc w:val="center"/>
        </w:trPr>
        <w:tc>
          <w:tcPr>
            <w:tcW w:w="917" w:type="dxa"/>
            <w:tcBorders>
              <w:top w:val="single" w:color="000000" w:sz="4" w:space="0"/>
              <w:left w:val="single" w:color="000000" w:sz="8"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55</w:t>
            </w:r>
          </w:p>
        </w:tc>
        <w:tc>
          <w:tcPr>
            <w:tcW w:w="1339" w:type="dxa"/>
            <w:tcBorders>
              <w:top w:val="single" w:color="000000" w:sz="4" w:space="0"/>
              <w:left w:val="single" w:color="000000" w:sz="4"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031202001004</w:t>
            </w:r>
          </w:p>
        </w:tc>
        <w:tc>
          <w:tcPr>
            <w:tcW w:w="5468" w:type="dxa"/>
            <w:gridSpan w:val="2"/>
            <w:tcBorders>
              <w:top w:val="single" w:color="000000" w:sz="4" w:space="0"/>
              <w:left w:val="single" w:color="000000" w:sz="4" w:space="0"/>
              <w:bottom w:val="single" w:color="000000" w:sz="8" w:space="0"/>
              <w:right w:val="single" w:color="000000" w:sz="4" w:space="0"/>
            </w:tcBorders>
            <w:shd w:val="clear" w:color="FFFFFF" w:fill="FFFFFF"/>
            <w:noWrap w:val="0"/>
            <w:tcMar>
              <w:top w:w="12" w:type="dxa"/>
              <w:left w:w="12" w:type="dxa"/>
              <w:right w:w="12" w:type="dxa"/>
            </w:tcMar>
            <w:vAlign w:val="top"/>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终端设备</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1.名称:录播软件系统</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2.技术参数：一、产品参数要求：</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 要求系统内嵌于录播一体机。录制模式支持电影模式、资源模式两种。电影模式和资源模式可同时工作，能同时支持至少1路电影模式录像+6路资源备份录像。录制电影加资源模式时，资源模式在后台工作。</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 2.支持手指点控模式；导播模式支持视频预览、直播输出监视、视频切换、音频调整、录制模式切换等功能。</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3.支持手动云台PTZ控制，为方便导播控制，可设置不少于8路预置位，在预置位设置时，只需在画面调整完成之后直接拖动画面到预置位数字按钮处即可保存预置位。</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4.支持≥4种摄像机变焦距离选择。</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▲5.具有易互动功能，可以进行注册，登录后可添加好友，支持与好友视频通话聊天。</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 xml:space="preserve">▲6.支持在导播过程中添加字幕，支持不少于8条预设字幕的设置。可直接通过拖拽实现自定义字幕显示位置。支持设置字体大小、字体颜色。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▲7.提供多种画面布局模式，支持视频画面叠加与组合，画面布局模式不少于8种，包括双分屏、三分屏、四分屏等。支持自定义画面布局。可直接通过拖动通道画面实现多分屏布局显示画面的替换。</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8.录制前，支持片头片尾的添加，除支持图片格式外，还支持插入视频作为片头片尾；支持预设不少于8种片头片尾，并可实时更新片头片尾。</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▲9.台标有四个固定位置，分别为左上、右上、左下、右下，不需要台标时可点击按钮隐藏台标，台标可通过U盘拷贝输入；支持手动拖拽移动台标，实现界面任意位置的台标设置。</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▲10.支持渐变、上切、下切等多种切换特效，支持自定义选择不少于8种特效切换速度。</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11.自定义场景切换策略，列表式切换策略表方便用户修改。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12.具有远程FTP下载录像，方便用户不需要进入现场就能导出和拷贝录播内视频录像文件；</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▲13.具有一键推送公网直播功能，设备只需连接无线网络或手机热点，即可将录制画面推送至公网直播，并可在设备上自动生成直播二维码，扫描即可观看直播。</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 xml:space="preserve">▲14.系统界面自带虚拟软键盘，无需外接USB键盘，即可进行中英文输入及相关操作功能。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15.录制直播时支持随时插入背景音乐，增加环境气氛。支持不少于8种背景音乐预设。</w:t>
            </w:r>
          </w:p>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lang w:val="en-US" w:eastAsia="zh-CN"/>
              </w:rPr>
            </w:pPr>
            <w:r>
              <w:rPr>
                <w:rFonts w:hint="eastAsia" w:ascii="宋体" w:hAnsi="宋体" w:eastAsia="宋体" w:cs="宋体"/>
                <w:i w:val="0"/>
                <w:color w:val="000000"/>
                <w:kern w:val="0"/>
                <w:sz w:val="20"/>
                <w:szCs w:val="20"/>
                <w:u w:val="none"/>
                <w:lang w:val="en-US" w:eastAsia="zh-CN" w:bidi="ar"/>
              </w:rPr>
              <w:t>▲16.为了适应不同的课程录制需求，支持一直录制/文件限时自动分割/文件限长自动分割功能。限时自动分割情况下可自定义录制时长；限长自动分割情况下，可自定义录制文件大小。</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17.录制视频结束后可立刻在导播界面上进行本地录像回放，而非下载拷贝到其它计算机中进行播放，且本地回放视频可作为视频输入源使用。</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18.支持连接手机热点，通过4G信号实现公网直播。</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 xml:space="preserve">19.导播显示界面可以显示当前CPU的温度。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20.系统需能和网络摄像机自动连接，信道支持包括36、40、44、48、149、153、157、161、165。</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21.系统协议：支持SIP/RTSP/RTMP/HTTP/FTP。</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二、产品资质要求：</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1.以上参数中带“▲”项为重要参数，需提供CNAS、CMA机构认可的权威实验室出具的检测报告，报告中需呈现相应功能。</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1.本体安装</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2.单体测试</w:t>
            </w:r>
          </w:p>
        </w:tc>
        <w:tc>
          <w:tcPr>
            <w:tcW w:w="1020" w:type="dxa"/>
            <w:tcBorders>
              <w:top w:val="single" w:color="000000" w:sz="4" w:space="0"/>
              <w:left w:val="single" w:color="000000" w:sz="4"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套</w:t>
            </w:r>
          </w:p>
        </w:tc>
        <w:tc>
          <w:tcPr>
            <w:tcW w:w="885" w:type="dxa"/>
            <w:tcBorders>
              <w:top w:val="single" w:color="000000" w:sz="4" w:space="0"/>
              <w:left w:val="single" w:color="000000" w:sz="4" w:space="0"/>
              <w:bottom w:val="single" w:color="000000" w:sz="8"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1</w:t>
            </w:r>
          </w:p>
        </w:tc>
      </w:tr>
      <w:tr>
        <w:tblPrEx>
          <w:tblCellMar>
            <w:top w:w="0" w:type="dxa"/>
            <w:left w:w="0" w:type="dxa"/>
            <w:bottom w:w="0" w:type="dxa"/>
            <w:right w:w="0" w:type="dxa"/>
          </w:tblCellMar>
        </w:tblPrEx>
        <w:trPr>
          <w:trHeight w:val="4182" w:hRule="atLeast"/>
          <w:jc w:val="center"/>
        </w:trPr>
        <w:tc>
          <w:tcPr>
            <w:tcW w:w="917"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56</w:t>
            </w:r>
          </w:p>
        </w:tc>
        <w:tc>
          <w:tcPr>
            <w:tcW w:w="133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031202001005</w:t>
            </w:r>
          </w:p>
        </w:tc>
        <w:tc>
          <w:tcPr>
            <w:tcW w:w="5468" w:type="dxa"/>
            <w:gridSpan w:val="2"/>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终端设备</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1.名称:高清摄像机管理软件</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2.技术参数：1) 摄像机管理软件采用B/S架构，支持通用浏览器直接访问进行管理。</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 支持网络参数设置与修改，支持一键恢复默认参数。</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 支持曝光模式设置功能，包括自动、手动。</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 支持抗闪烁频率、动态范围、光圈、快门参数设置。</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5) 支持自动白平衡设置功能，红、蓝增益可调。</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6) 支持噪声抑制设置功能，支持2D、3D降噪。</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7) 支持摄像机图像质量调节功能，包括亮度、对比度、色调、饱和度。</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8) 支持摄像机控制功能，包括云台控制、预置位设置与调用、焦距调节等。</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1.本体安装</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2.单体测试</w:t>
            </w:r>
          </w:p>
        </w:tc>
        <w:tc>
          <w:tcPr>
            <w:tcW w:w="1020"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套</w:t>
            </w:r>
          </w:p>
        </w:tc>
        <w:tc>
          <w:tcPr>
            <w:tcW w:w="885"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w:t>
            </w:r>
          </w:p>
        </w:tc>
      </w:tr>
      <w:tr>
        <w:tblPrEx>
          <w:tblCellMar>
            <w:top w:w="0" w:type="dxa"/>
            <w:left w:w="0" w:type="dxa"/>
            <w:bottom w:w="0" w:type="dxa"/>
            <w:right w:w="0" w:type="dxa"/>
          </w:tblCellMar>
        </w:tblPrEx>
        <w:trPr>
          <w:trHeight w:val="1259" w:hRule="atLeast"/>
          <w:jc w:val="center"/>
        </w:trPr>
        <w:tc>
          <w:tcPr>
            <w:tcW w:w="917" w:type="dxa"/>
            <w:tcBorders>
              <w:top w:val="single" w:color="000000" w:sz="4" w:space="0"/>
              <w:left w:val="single" w:color="000000" w:sz="8"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57</w:t>
            </w:r>
          </w:p>
        </w:tc>
        <w:tc>
          <w:tcPr>
            <w:tcW w:w="1339" w:type="dxa"/>
            <w:tcBorders>
              <w:top w:val="single" w:color="000000" w:sz="4" w:space="0"/>
              <w:left w:val="single" w:color="000000" w:sz="4"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031202001006</w:t>
            </w:r>
          </w:p>
        </w:tc>
        <w:tc>
          <w:tcPr>
            <w:tcW w:w="5468" w:type="dxa"/>
            <w:gridSpan w:val="2"/>
            <w:tcBorders>
              <w:top w:val="single" w:color="000000" w:sz="4" w:space="0"/>
              <w:left w:val="single" w:color="000000" w:sz="4"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终端设备</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1.名称:平台服务器</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2.技术参数：1.CPU类型:不低于六核Intel Xeon E5 2620 V3处理器 主频2.4GHz</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2.处理器描述:不低于六核Intel Xeon，12线程</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3.网络接口：1Gb以太网适配器；</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4.内存大小：≥8GB，最大支持128G内存</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5.硬盘容量：≥4TB</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6.硬盘类型：SATA3.5英寸非热插拔企业级硬盘</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1.本体安装</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2.单体测试</w:t>
            </w:r>
          </w:p>
        </w:tc>
        <w:tc>
          <w:tcPr>
            <w:tcW w:w="1020" w:type="dxa"/>
            <w:tcBorders>
              <w:top w:val="single" w:color="000000" w:sz="4" w:space="0"/>
              <w:left w:val="single" w:color="000000" w:sz="4"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台</w:t>
            </w:r>
          </w:p>
        </w:tc>
        <w:tc>
          <w:tcPr>
            <w:tcW w:w="885" w:type="dxa"/>
            <w:tcBorders>
              <w:top w:val="single" w:color="000000" w:sz="4" w:space="0"/>
              <w:left w:val="single" w:color="000000" w:sz="4" w:space="0"/>
              <w:bottom w:val="single" w:color="000000" w:sz="8"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r>
      <w:tr>
        <w:tblPrEx>
          <w:tblCellMar>
            <w:top w:w="0" w:type="dxa"/>
            <w:left w:w="0" w:type="dxa"/>
            <w:bottom w:w="0" w:type="dxa"/>
            <w:right w:w="0" w:type="dxa"/>
          </w:tblCellMar>
        </w:tblPrEx>
        <w:trPr>
          <w:trHeight w:val="3441" w:hRule="atLeast"/>
          <w:jc w:val="center"/>
        </w:trPr>
        <w:tc>
          <w:tcPr>
            <w:tcW w:w="917" w:type="dxa"/>
            <w:tcBorders>
              <w:top w:val="single" w:color="000000" w:sz="4" w:space="0"/>
              <w:left w:val="single" w:color="000000" w:sz="8"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58</w:t>
            </w:r>
          </w:p>
        </w:tc>
        <w:tc>
          <w:tcPr>
            <w:tcW w:w="1339" w:type="dxa"/>
            <w:tcBorders>
              <w:top w:val="single" w:color="000000" w:sz="4" w:space="0"/>
              <w:left w:val="single" w:color="000000" w:sz="4"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031202001007</w:t>
            </w:r>
          </w:p>
        </w:tc>
        <w:tc>
          <w:tcPr>
            <w:tcW w:w="5468" w:type="dxa"/>
            <w:gridSpan w:val="2"/>
            <w:tcBorders>
              <w:top w:val="single" w:color="000000" w:sz="4" w:space="0"/>
              <w:left w:val="single" w:color="000000" w:sz="4" w:space="0"/>
              <w:bottom w:val="single" w:color="000000" w:sz="8" w:space="0"/>
              <w:right w:val="single" w:color="000000" w:sz="4" w:space="0"/>
            </w:tcBorders>
            <w:shd w:val="clear" w:color="FFFFFF" w:fill="FFFFFF"/>
            <w:noWrap w:val="0"/>
            <w:tcMar>
              <w:top w:w="12" w:type="dxa"/>
              <w:left w:w="12" w:type="dxa"/>
              <w:right w:w="12" w:type="dxa"/>
            </w:tcMar>
            <w:vAlign w:val="top"/>
          </w:tcPr>
          <w:p>
            <w:pPr>
              <w:keepNext w:val="0"/>
              <w:keepLines w:val="0"/>
              <w:pageBreakBefore w:val="0"/>
              <w:widowControl/>
              <w:kinsoku/>
              <w:wordWrap/>
              <w:overflowPunct/>
              <w:topLinePunct w:val="0"/>
              <w:autoSpaceDE/>
              <w:autoSpaceDN/>
              <w:bidi w:val="0"/>
              <w:adjustRightInd/>
              <w:snapToGrid/>
              <w:spacing w:line="300" w:lineRule="exact"/>
              <w:textAlignment w:val="auto"/>
              <w:rPr>
                <w:rFonts w:hint="eastAsia" w:ascii="仿宋" w:hAnsi="仿宋" w:eastAsia="仿宋" w:cs="Calibri Light"/>
                <w:kern w:val="2"/>
                <w:sz w:val="18"/>
                <w:szCs w:val="18"/>
                <w:lang w:val="en-US" w:eastAsia="zh-CN" w:bidi="ar-SA"/>
              </w:rPr>
            </w:pPr>
            <w:r>
              <w:rPr>
                <w:rFonts w:hint="eastAsia" w:ascii="宋体" w:hAnsi="宋体" w:eastAsia="宋体" w:cs="宋体"/>
                <w:i w:val="0"/>
                <w:color w:val="000000"/>
                <w:kern w:val="0"/>
                <w:sz w:val="20"/>
                <w:szCs w:val="20"/>
                <w:u w:val="none"/>
                <w:lang w:val="en-US" w:eastAsia="zh-CN" w:bidi="ar"/>
              </w:rPr>
              <w:t>终端设备</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1.名称:教学视频资源管理平台</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2.技术参数：一、产品参数要求：</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1.个人空间系统：</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为了给每位学生创造个性化的学习环境，平台系统可在用户注册完毕后自动分配专属个人空间，个人空间内提供个人主页，课程管理，教师管理，统计信息等模块功能。个人主页内含我的网盘模块、我的问答模块以及个人资料管理模块，在我的网盘内包含个人上传资源、公共资源等。同时支持课件视频的上传、下载；在我的问答内可以显示个人在平台上的所有提问和所有回答。在个人资料管理模块内支持对个人信息的编辑修改，个人头像不仅支持上传本地图片，也支持通过摄像头进行拍摄。</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2.在线编辑系统：</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 xml:space="preserve">(1)提供在线非编功能（非下载视频进行离线编辑，而是直接通过浏览器进行视频编辑）：平台可以实现对教学视频进行格式转换、视频截取、视频合并、字幕编辑、台标添加等非编操作。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(2)为了适应不同的观看需求，平台支持资源模式的在线编辑功能（非下载视频进行离线编辑，而是直接通过浏览器进行视频编辑），用户可以自定义选取三路视频进行简单的资源模式课件的编辑。</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3.教研管理系统：</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(1)网络教研：平台支持网络教研功能，可随时组织教研人员对上课视频进行教研，教研组人员可随时登陆平台进行评论打分，支持自定义打分规则。</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(2)教研互动的创建由用户提出申请，包括教研课件的上传、教学课件、教研组成员的设置以及针对性的评价方案的编写。最终由管理员负责审核发布。</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(3)为了适应不同学校，不同学科的教研活动。可以预设多种不同的评估方案。</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4.数据统计系统：</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平台支持对每个课件点播次数的统计，直观呈现最近一次点播的时间以及IP地址。</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5.权限管理系统：</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提供统一身份管理、统一认证管理和统一用户权限管理。管理员统一对区域内的注册用户进行统一的注册与权限的分配管理。系统根据用户所属角色自动对应相应规则，即不同的用户有不同的访问权限，便于分组管理。</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6.流媒体直播系统：</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平台支持大规模网络直播，支持在直播过程中进行提问、评论打分、文字互动等功能并与直播画面在同一界面显示。采用标准的RTMP协议，用户无需额外安装任何插件，通过浏览器访问相应地址即可观看视频直播。</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(2)在直播过程中观看者可以实时进行类似QQ模式的在线文字互动。同时可以针对不同的内容进行提问与评论。</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7、流媒体点播系统：</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(1)根据用户角色显示不同课程资源列表，支持按照科目、班级、主讲人等条件进行视频筛选，支持按照课程名、教师等条件进行定向检索。</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(2)点播课程直接关联对应的课件资源，无需安装任何插件。</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(3)点播视频时即可直接展现教学行为分析数据。统计数据简单，直观，明了。</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(4)多终端访问：支持windows、IOS、Android等跨平台访问，支持二维码扫描进行直播、点播功能。</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(5)支持多种评论方式：文字点评、星级点评、文字实时互动交流、语音点评等。</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8.后台管理系统：</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(1)一键置灰功能：当国家在特殊日子，如追悼日，纪念日时，可以配合国家和教育局的倡导，可以一键让资源平台页面变成灰色，支持将所有按键失效并后期可一键恢复。</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 xml:space="preserve"> (2)自动课表：平台可导入课表，可自动按照课表进行录制并自动上传。</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(3)平台在个人主页部门具有个人问答模块，问答模块将此人的所有提问与所有回答进行呈现。</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(4)为了有效防止不当言论，要求平台支持关键词管理功能，可手动设置替换的关键词以及替换内容。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(5)为了便于区域平台的融合共享，要求系统具有联校管理功能模块。</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(6)强制播放功能：点播视频时可以插入设定视频片段，可以在观看时强制播放该段视频，便于学校统一播放和管理。</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9.教务管理功能：</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(1)支持用户的初始化导入、用户组管理、用户权限管理，为教师、学生提供注册、个人信息管理等服务。</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(2)优秀视频展示与评价：展示校内优质的教学视频，并可按照学科、年级、主讲人等关键字进行搜索操作。</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10.校长评估功能：</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可以为教研组提供实时的监看校内所有的高清录播教室的授课情况，利用网络教研开展教学督导工作，强化教育教学管理，加强教学质量监控，提高教师教学水平。</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(1)支持用户对所有录播课室进行管理。能同时浏览多路录播课室的直播图像，可有选择地同时浏览监看每一路信号。</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(2)支持从树状课室列表中监视录播课室系统的开机状况，同时可通过远程方式对每个录播课室系统进行录制管理、摄像机控制等远程操作。</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(3)可查看每个录播课室中的每一路信号，进行自由切换以及视频录制功能。</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对于不同用户可以划分不同权限范围。管理员拥有所有权限，可添加普通用户，设置用户操作权限。普通用户，包括教学督导、教研员、领导可实现权限范围内的浏览操作，不同角色有适应相关应用的操作界面。</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(5)支持查看服务器状态，包含正在直播数，正在录制数以及可用数。</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11.为保证系统稳定性及兼容性，要求与4K录播一体机为同一品牌。</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二、产品资质要求：</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 提供教务管理平台软件著作权证书（复印件加盖原厂商公章）。</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2.提供校长评估系统软件著作权证书（复印件加盖原厂商公章）。</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1.本体安装</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2.单体测试</w:t>
            </w:r>
          </w:p>
        </w:tc>
        <w:tc>
          <w:tcPr>
            <w:tcW w:w="1020" w:type="dxa"/>
            <w:tcBorders>
              <w:top w:val="single" w:color="000000" w:sz="4" w:space="0"/>
              <w:left w:val="single" w:color="000000" w:sz="4"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台</w:t>
            </w:r>
          </w:p>
        </w:tc>
        <w:tc>
          <w:tcPr>
            <w:tcW w:w="885" w:type="dxa"/>
            <w:tcBorders>
              <w:top w:val="single" w:color="000000" w:sz="4" w:space="0"/>
              <w:left w:val="single" w:color="000000" w:sz="4" w:space="0"/>
              <w:bottom w:val="single" w:color="000000" w:sz="8"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r>
      <w:tr>
        <w:tblPrEx>
          <w:tblCellMar>
            <w:top w:w="0" w:type="dxa"/>
            <w:left w:w="0" w:type="dxa"/>
            <w:bottom w:w="0" w:type="dxa"/>
            <w:right w:w="0" w:type="dxa"/>
          </w:tblCellMar>
        </w:tblPrEx>
        <w:trPr>
          <w:trHeight w:val="817" w:hRule="atLeast"/>
          <w:jc w:val="center"/>
        </w:trPr>
        <w:tc>
          <w:tcPr>
            <w:tcW w:w="917" w:type="dxa"/>
            <w:tcBorders>
              <w:top w:val="single" w:color="000000" w:sz="4" w:space="0"/>
              <w:left w:val="single" w:color="000000" w:sz="8"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59</w:t>
            </w:r>
          </w:p>
        </w:tc>
        <w:tc>
          <w:tcPr>
            <w:tcW w:w="1339" w:type="dxa"/>
            <w:tcBorders>
              <w:top w:val="single" w:color="000000" w:sz="4" w:space="0"/>
              <w:left w:val="single" w:color="000000" w:sz="4"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031208008001</w:t>
            </w:r>
          </w:p>
        </w:tc>
        <w:tc>
          <w:tcPr>
            <w:tcW w:w="5468" w:type="dxa"/>
            <w:gridSpan w:val="2"/>
            <w:tcBorders>
              <w:top w:val="single" w:color="000000" w:sz="4" w:space="0"/>
              <w:left w:val="single" w:color="000000" w:sz="4"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电视监控摄像设备</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1.名称:高清摄像机</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2.技术参数：一、产品参数要求:</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1.图像传感器：1/2.9英寸,219万像素CMOS传感器</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2.视频输出：最大1080P30fps</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3.镜头：10X,f=4.7-47mm,F1.6-F3.0</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4.水平视角： 60.9°-6.4°</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5.聚焦系统：自动，手动，PTZ触发、一键触发</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6.最低照度：0.5Lux(彩色)，0.1Lux(黑白)</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7.快门速度：1/25到1/10,000秒</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8.增益：自动/手动</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9.白平衡：手动，自动，一键触发，自动跟踪</w:t>
            </w:r>
          </w:p>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10.曝光控制：自动，手动，快门优先，光圈优先</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11.信噪比：≥50dB</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12.数字降噪：2D/3D</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13.背光补偿：支持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14.水平范围：-90°~+90°</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垂直范围：-30°~+90°</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15.水平转动速度：30°/秒</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垂直转动速度：20°/秒</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16.预置点数目：32个</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17.网络接口：10M/100M</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18.无线网络：802.11n2.4G&amp;5G，天线内置</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19.音频接口：一路LineIN</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20.控制接口：USB2.0</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21.红外遥控器：支持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22.电源：DC12V</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23.功耗：＜5W</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内置电池容量：40Wh</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电池工作时间：＞8h</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24.为保证系统稳定性及兼容性，要求与双屏便携录播一体机为同一品牌。</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二、产品资质要求：</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1、无线云台摄像机输出图像格式（网络接口）应不低于1920*1080/30fps（需提供国家广播电视产品质量监督检验中心出具的检验报告复印件并加盖厂家公章，报告中须有此项描述）</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2、无线云台摄像机亮度分解力的水平不小于900电视线（需提供国家广播电视产品质量监督检验中心出具的检验报告复印件并加盖厂家公章，报告中须有此项描述）</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1.本体安装</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2.云台安装</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3.镜头安装</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4.保护罩安装</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5.支架安装</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6.调试</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7.试运行</w:t>
            </w:r>
          </w:p>
        </w:tc>
        <w:tc>
          <w:tcPr>
            <w:tcW w:w="1020" w:type="dxa"/>
            <w:tcBorders>
              <w:top w:val="single" w:color="000000" w:sz="4" w:space="0"/>
              <w:left w:val="single" w:color="000000" w:sz="4"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台</w:t>
            </w:r>
          </w:p>
        </w:tc>
        <w:tc>
          <w:tcPr>
            <w:tcW w:w="885" w:type="dxa"/>
            <w:tcBorders>
              <w:top w:val="single" w:color="000000" w:sz="4" w:space="0"/>
              <w:left w:val="single" w:color="000000" w:sz="4" w:space="0"/>
              <w:bottom w:val="single" w:color="000000" w:sz="8"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w:t>
            </w:r>
          </w:p>
        </w:tc>
      </w:tr>
      <w:tr>
        <w:tblPrEx>
          <w:tblCellMar>
            <w:top w:w="0" w:type="dxa"/>
            <w:left w:w="0" w:type="dxa"/>
            <w:bottom w:w="0" w:type="dxa"/>
            <w:right w:w="0" w:type="dxa"/>
          </w:tblCellMar>
        </w:tblPrEx>
        <w:trPr>
          <w:trHeight w:val="944" w:hRule="atLeast"/>
          <w:jc w:val="center"/>
        </w:trPr>
        <w:tc>
          <w:tcPr>
            <w:tcW w:w="917" w:type="dxa"/>
            <w:tcBorders>
              <w:top w:val="single" w:color="000000" w:sz="4" w:space="0"/>
              <w:left w:val="single" w:color="000000" w:sz="8"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60</w:t>
            </w:r>
          </w:p>
        </w:tc>
        <w:tc>
          <w:tcPr>
            <w:tcW w:w="1339" w:type="dxa"/>
            <w:tcBorders>
              <w:top w:val="single" w:color="000000" w:sz="4" w:space="0"/>
              <w:left w:val="single" w:color="000000" w:sz="4"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CB007</w:t>
            </w:r>
          </w:p>
        </w:tc>
        <w:tc>
          <w:tcPr>
            <w:tcW w:w="5468" w:type="dxa"/>
            <w:gridSpan w:val="2"/>
            <w:tcBorders>
              <w:top w:val="single" w:color="000000" w:sz="4" w:space="0"/>
              <w:left w:val="single" w:color="000000" w:sz="4"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数字无线音频套装</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1.规格:1. 拾音范围：不低于360°全向拾音。</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2.MIC按键静音/开音，支持mute静音/开音的状态指</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3.灵敏度：-22dBFS。</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4.信噪比：65dB。</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5.频率响应：100Hz-20KHz</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6.噪声抑制量：支持自动降噪，&gt;15dB。</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7.自动增益控制：支持自动增益控制，±6dB。8.采样率：48kHz@6ms每帧，单声道16bit。</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9.内置MIC：内置4个阵列麦克，5~8米拾音。</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10.电源模块：内置聚合物电池，持续供电≥6小时。</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11.3.5mm接口：1个，麦克声音输出。</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12.2.4G或5G wifi自动连接，通过配对接入录播主机WIFI热点。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13.可设置密码。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14.可设置是否支持DHCP。</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15.可设置IP、NETMASK、GW。</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16.可设置接收IP、PORT。</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17.音频通过无线输出。</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18.USB接口：1个，充电接口。</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19.为保证系统稳定性及兼容性，要求与双屏便携录播一体机为同一品牌。</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1.安装</w:t>
            </w:r>
          </w:p>
        </w:tc>
        <w:tc>
          <w:tcPr>
            <w:tcW w:w="1020" w:type="dxa"/>
            <w:tcBorders>
              <w:top w:val="single" w:color="000000" w:sz="4" w:space="0"/>
              <w:left w:val="single" w:color="000000" w:sz="4"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套</w:t>
            </w:r>
          </w:p>
        </w:tc>
        <w:tc>
          <w:tcPr>
            <w:tcW w:w="885" w:type="dxa"/>
            <w:tcBorders>
              <w:top w:val="single" w:color="000000" w:sz="4" w:space="0"/>
              <w:left w:val="single" w:color="000000" w:sz="4" w:space="0"/>
              <w:bottom w:val="single" w:color="000000" w:sz="8"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r>
      <w:tr>
        <w:tblPrEx>
          <w:tblCellMar>
            <w:top w:w="0" w:type="dxa"/>
            <w:left w:w="0" w:type="dxa"/>
            <w:bottom w:w="0" w:type="dxa"/>
            <w:right w:w="0" w:type="dxa"/>
          </w:tblCellMar>
        </w:tblPrEx>
        <w:trPr>
          <w:trHeight w:val="2915" w:hRule="atLeast"/>
          <w:jc w:val="center"/>
        </w:trPr>
        <w:tc>
          <w:tcPr>
            <w:tcW w:w="917"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61</w:t>
            </w:r>
          </w:p>
        </w:tc>
        <w:tc>
          <w:tcPr>
            <w:tcW w:w="133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CB008</w:t>
            </w:r>
          </w:p>
        </w:tc>
        <w:tc>
          <w:tcPr>
            <w:tcW w:w="5468" w:type="dxa"/>
            <w:gridSpan w:val="2"/>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无线网卡</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1.为达到设备便携使用效果，要求主机内置双无线网卡，分别独立使用，网卡①：支持≥3路无线摄像机接入，网卡②：连接本地无线网络或手机热点。无线摄像机内置无线网卡，用于连接主机。</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拒绝采用USB接口转接、SMA接口转接、无线图传等外接天线及无线转换设备，减少故障点。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1.安装</w:t>
            </w:r>
          </w:p>
        </w:tc>
        <w:tc>
          <w:tcPr>
            <w:tcW w:w="1020"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个</w:t>
            </w:r>
          </w:p>
        </w:tc>
        <w:tc>
          <w:tcPr>
            <w:tcW w:w="885"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w:t>
            </w:r>
          </w:p>
        </w:tc>
      </w:tr>
      <w:tr>
        <w:tblPrEx>
          <w:tblCellMar>
            <w:top w:w="0" w:type="dxa"/>
            <w:left w:w="0" w:type="dxa"/>
            <w:bottom w:w="0" w:type="dxa"/>
            <w:right w:w="0" w:type="dxa"/>
          </w:tblCellMar>
        </w:tblPrEx>
        <w:trPr>
          <w:trHeight w:val="1201" w:hRule="atLeast"/>
          <w:jc w:val="center"/>
        </w:trPr>
        <w:tc>
          <w:tcPr>
            <w:tcW w:w="917"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62</w:t>
            </w:r>
          </w:p>
        </w:tc>
        <w:tc>
          <w:tcPr>
            <w:tcW w:w="133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CB009</w:t>
            </w:r>
          </w:p>
        </w:tc>
        <w:tc>
          <w:tcPr>
            <w:tcW w:w="5468" w:type="dxa"/>
            <w:gridSpan w:val="2"/>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微信直播服务</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1.提供三年内任意场次活动的公网直播服务，单次活动支持1000点。</w:t>
            </w:r>
          </w:p>
        </w:tc>
        <w:tc>
          <w:tcPr>
            <w:tcW w:w="1020"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年</w:t>
            </w:r>
          </w:p>
        </w:tc>
        <w:tc>
          <w:tcPr>
            <w:tcW w:w="885"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w:t>
            </w:r>
          </w:p>
        </w:tc>
      </w:tr>
      <w:tr>
        <w:tblPrEx>
          <w:tblCellMar>
            <w:top w:w="0" w:type="dxa"/>
            <w:left w:w="0" w:type="dxa"/>
            <w:bottom w:w="0" w:type="dxa"/>
            <w:right w:w="0" w:type="dxa"/>
          </w:tblCellMar>
        </w:tblPrEx>
        <w:trPr>
          <w:trHeight w:val="1201" w:hRule="atLeast"/>
          <w:jc w:val="center"/>
        </w:trPr>
        <w:tc>
          <w:tcPr>
            <w:tcW w:w="917"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63</w:t>
            </w:r>
          </w:p>
        </w:tc>
        <w:tc>
          <w:tcPr>
            <w:tcW w:w="133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CB003</w:t>
            </w:r>
          </w:p>
        </w:tc>
        <w:tc>
          <w:tcPr>
            <w:tcW w:w="5468" w:type="dxa"/>
            <w:gridSpan w:val="2"/>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摄像机三脚架</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1.材质:阳极氧化耐高温铝合金材质。</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2.颜色:铝合金管，管锁。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3.可用于小型云台摄像机、微单、卡片机、数码单反相机。</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4.脚管节数:不少于4节。</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5.脚管锁类型:旋钮式。</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6.脚架组成:独角杆、3脚底架、三维云台。</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7.云台类型:三维云台。</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8.脚架最高高度:不少于1740mm。</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9.脚架收缩高度:不少于620mm。</w:t>
            </w:r>
          </w:p>
        </w:tc>
        <w:tc>
          <w:tcPr>
            <w:tcW w:w="1020"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支</w:t>
            </w:r>
          </w:p>
        </w:tc>
        <w:tc>
          <w:tcPr>
            <w:tcW w:w="885"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3</w:t>
            </w:r>
          </w:p>
        </w:tc>
      </w:tr>
      <w:tr>
        <w:tblPrEx>
          <w:tblCellMar>
            <w:top w:w="0" w:type="dxa"/>
            <w:left w:w="0" w:type="dxa"/>
            <w:bottom w:w="0" w:type="dxa"/>
            <w:right w:w="0" w:type="dxa"/>
          </w:tblCellMar>
        </w:tblPrEx>
        <w:trPr>
          <w:trHeight w:val="1259" w:hRule="atLeast"/>
          <w:jc w:val="center"/>
        </w:trPr>
        <w:tc>
          <w:tcPr>
            <w:tcW w:w="917"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64</w:t>
            </w:r>
          </w:p>
        </w:tc>
        <w:tc>
          <w:tcPr>
            <w:tcW w:w="133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CB004</w:t>
            </w:r>
          </w:p>
        </w:tc>
        <w:tc>
          <w:tcPr>
            <w:tcW w:w="5468" w:type="dxa"/>
            <w:gridSpan w:val="2"/>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线材</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1.满足系统需求，含4条标准SDI线、1条HDMI线、1个USB延长线底座、5个USB上弯转接头</w:t>
            </w:r>
          </w:p>
        </w:tc>
        <w:tc>
          <w:tcPr>
            <w:tcW w:w="1020"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批</w:t>
            </w:r>
          </w:p>
        </w:tc>
        <w:tc>
          <w:tcPr>
            <w:tcW w:w="885"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r>
      <w:tr>
        <w:tblPrEx>
          <w:tblCellMar>
            <w:top w:w="0" w:type="dxa"/>
            <w:left w:w="0" w:type="dxa"/>
            <w:bottom w:w="0" w:type="dxa"/>
            <w:right w:w="0" w:type="dxa"/>
          </w:tblCellMar>
        </w:tblPrEx>
        <w:trPr>
          <w:trHeight w:val="364" w:hRule="atLeast"/>
          <w:jc w:val="center"/>
        </w:trPr>
        <w:tc>
          <w:tcPr>
            <w:tcW w:w="917" w:type="dxa"/>
            <w:tcBorders>
              <w:top w:val="single" w:color="000000" w:sz="4" w:space="0"/>
              <w:left w:val="single" w:color="000000" w:sz="8"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jc w:val="left"/>
              <w:rPr>
                <w:rFonts w:hint="eastAsia" w:ascii="宋体" w:hAnsi="宋体" w:eastAsia="宋体" w:cs="宋体"/>
                <w:i w:val="0"/>
                <w:color w:val="000000"/>
                <w:sz w:val="20"/>
                <w:szCs w:val="20"/>
                <w:u w:val="none"/>
              </w:rPr>
            </w:pPr>
          </w:p>
        </w:tc>
        <w:tc>
          <w:tcPr>
            <w:tcW w:w="1339" w:type="dxa"/>
            <w:tcBorders>
              <w:top w:val="single" w:color="000000" w:sz="4" w:space="0"/>
              <w:left w:val="single" w:color="000000" w:sz="4"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jc w:val="left"/>
              <w:rPr>
                <w:rFonts w:hint="eastAsia" w:ascii="宋体" w:hAnsi="宋体" w:eastAsia="宋体" w:cs="宋体"/>
                <w:i w:val="0"/>
                <w:color w:val="000000"/>
                <w:sz w:val="20"/>
                <w:szCs w:val="20"/>
                <w:u w:val="none"/>
              </w:rPr>
            </w:pPr>
          </w:p>
        </w:tc>
        <w:tc>
          <w:tcPr>
            <w:tcW w:w="5468" w:type="dxa"/>
            <w:gridSpan w:val="2"/>
            <w:tcBorders>
              <w:top w:val="single" w:color="000000" w:sz="4" w:space="0"/>
              <w:left w:val="single" w:color="000000" w:sz="4"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监控系统</w:t>
            </w:r>
          </w:p>
        </w:tc>
        <w:tc>
          <w:tcPr>
            <w:tcW w:w="1020" w:type="dxa"/>
            <w:tcBorders>
              <w:top w:val="single" w:color="000000" w:sz="4" w:space="0"/>
              <w:left w:val="single" w:color="000000" w:sz="4"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jc w:val="center"/>
              <w:rPr>
                <w:rFonts w:hint="eastAsia" w:ascii="宋体" w:hAnsi="宋体" w:eastAsia="宋体" w:cs="宋体"/>
                <w:i w:val="0"/>
                <w:color w:val="000000"/>
                <w:sz w:val="20"/>
                <w:szCs w:val="20"/>
                <w:u w:val="none"/>
              </w:rPr>
            </w:pPr>
          </w:p>
        </w:tc>
        <w:tc>
          <w:tcPr>
            <w:tcW w:w="885" w:type="dxa"/>
            <w:tcBorders>
              <w:top w:val="single" w:color="000000" w:sz="4" w:space="0"/>
              <w:left w:val="single" w:color="000000" w:sz="4" w:space="0"/>
              <w:bottom w:val="single" w:color="000000" w:sz="8"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jc w:val="center"/>
              <w:rPr>
                <w:rFonts w:hint="eastAsia" w:ascii="宋体" w:hAnsi="宋体" w:eastAsia="宋体" w:cs="宋体"/>
                <w:i w:val="0"/>
                <w:color w:val="000000"/>
                <w:sz w:val="20"/>
                <w:szCs w:val="20"/>
                <w:u w:val="none"/>
              </w:rPr>
            </w:pPr>
          </w:p>
        </w:tc>
      </w:tr>
      <w:tr>
        <w:tblPrEx>
          <w:tblCellMar>
            <w:top w:w="0" w:type="dxa"/>
            <w:left w:w="0" w:type="dxa"/>
            <w:bottom w:w="0" w:type="dxa"/>
            <w:right w:w="0" w:type="dxa"/>
          </w:tblCellMar>
        </w:tblPrEx>
        <w:trPr>
          <w:trHeight w:val="364" w:hRule="atLeast"/>
          <w:jc w:val="center"/>
        </w:trPr>
        <w:tc>
          <w:tcPr>
            <w:tcW w:w="917" w:type="dxa"/>
            <w:tcBorders>
              <w:top w:val="single" w:color="000000" w:sz="4" w:space="0"/>
              <w:left w:val="single" w:color="000000" w:sz="8"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65</w:t>
            </w:r>
          </w:p>
        </w:tc>
        <w:tc>
          <w:tcPr>
            <w:tcW w:w="1339" w:type="dxa"/>
            <w:tcBorders>
              <w:top w:val="single" w:color="000000" w:sz="4" w:space="0"/>
              <w:left w:val="single" w:color="000000" w:sz="4"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031208008002</w:t>
            </w:r>
          </w:p>
        </w:tc>
        <w:tc>
          <w:tcPr>
            <w:tcW w:w="5468" w:type="dxa"/>
            <w:gridSpan w:val="2"/>
            <w:tcBorders>
              <w:top w:val="single" w:color="000000" w:sz="4" w:space="0"/>
              <w:left w:val="single" w:color="000000" w:sz="4"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电视监控摄像设备</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1.名称:网络半球摄像机</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2.技术参数：200万像素，1/2.7”CMOS ICR日夜型半球型网络摄像机</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最高分辨率可达1920×1080@25fps</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支持smart265编码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采用高效红外灯，使用寿命长,照射距离可达20-30米</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支持smart IR，防止夜间红外过曝</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ICR红外滤片式自动切换，实现真正的日夜监控</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 xml:space="preserve">支持日夜两套参数独立配置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 xml:space="preserve">支持3D数字降噪，支持120dB真宽动态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 xml:space="preserve">支持智能报警：越界侦测,区域入侵侦测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支持PoE供电功能,防护等级 IP67.</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1.本体安装</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2.云台安装</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3.镜头安装</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4.保护罩安装</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5.支架安装</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6.调试</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7.试运行</w:t>
            </w:r>
          </w:p>
        </w:tc>
        <w:tc>
          <w:tcPr>
            <w:tcW w:w="1020" w:type="dxa"/>
            <w:tcBorders>
              <w:top w:val="single" w:color="000000" w:sz="4" w:space="0"/>
              <w:left w:val="single" w:color="000000" w:sz="4"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台</w:t>
            </w:r>
          </w:p>
        </w:tc>
        <w:tc>
          <w:tcPr>
            <w:tcW w:w="885" w:type="dxa"/>
            <w:tcBorders>
              <w:top w:val="single" w:color="000000" w:sz="4" w:space="0"/>
              <w:left w:val="single" w:color="000000" w:sz="4" w:space="0"/>
              <w:bottom w:val="single" w:color="000000" w:sz="8"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20</w:t>
            </w:r>
          </w:p>
        </w:tc>
      </w:tr>
      <w:tr>
        <w:tblPrEx>
          <w:tblCellMar>
            <w:top w:w="0" w:type="dxa"/>
            <w:left w:w="0" w:type="dxa"/>
            <w:bottom w:w="0" w:type="dxa"/>
            <w:right w:w="0" w:type="dxa"/>
          </w:tblCellMar>
        </w:tblPrEx>
        <w:trPr>
          <w:trHeight w:val="1013" w:hRule="atLeast"/>
          <w:jc w:val="center"/>
        </w:trPr>
        <w:tc>
          <w:tcPr>
            <w:tcW w:w="917"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66</w:t>
            </w:r>
          </w:p>
        </w:tc>
        <w:tc>
          <w:tcPr>
            <w:tcW w:w="133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031208015001</w:t>
            </w:r>
          </w:p>
        </w:tc>
        <w:tc>
          <w:tcPr>
            <w:tcW w:w="5468" w:type="dxa"/>
            <w:gridSpan w:val="2"/>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监控中心设备</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1.名称:64路网络高清录像机（含控制键盘）</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2.技术参数：　网络视频输入 64路，网络视频接入带宽 320Mbps，网络视频接入协议 HIKVISION、ACTi、ARECONT、AXIS、BOSCH、BRICKCOM、CANON、HUNT、ONVIF（版本支持2.5）、PANASONIC、PELCO、RTSP、SAMSUNG、SANYO、SONY、VIVOTEK、ZAVIO 支持4K高清网络视频的预览、存储与回放；</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支持H.265、H.264编码前端自适应接入；支持IPC集中管理，包括IPC参数配置、信息的导入/导出和升级等功能；支持2个HDMI和2个VGA同时输出，其中HDMI 1支持4K高清分辨率输出；便捷的UI操作界面，支持一键开启录像功能；支持海康Smart IPC越界、进入区域、离开区域、区域入侵、徘徊、人员聚焦、快速移动、非法停车、物品遗留、物品拿取、人脸、车牌、音频输入异常、声强突变、虚焦以及场景变更等多种智能侦测接入与联动，支持智能搜索、回放及备份功能，有效提高录像检索与回放效率；</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支持即时回放功能，在预览画面下对指定通道的当前录像进行回放，并且不影响其他通道预览；支持最大16路同步回放及多路同步倒放；支持标签定义、查询、回放录像文件；支持重要录像文件加锁保护功能；支持硬盘配额和硬盘盘组两种存储模式，可对不同通道分配不同的录像保存容量或周期；支持8个SATA接口，1个eSATA盘库，可用于录像和备份；双千兆网卡，支持网络容错以及多址设定等应用；支持GB28181协议、Ehome协议接入平台；</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1.本体安装</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2.单体调试</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3.试运行</w:t>
            </w:r>
          </w:p>
        </w:tc>
        <w:tc>
          <w:tcPr>
            <w:tcW w:w="1020"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台</w:t>
            </w:r>
          </w:p>
        </w:tc>
        <w:tc>
          <w:tcPr>
            <w:tcW w:w="885"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1</w:t>
            </w:r>
          </w:p>
        </w:tc>
      </w:tr>
      <w:tr>
        <w:tblPrEx>
          <w:tblCellMar>
            <w:top w:w="0" w:type="dxa"/>
            <w:left w:w="0" w:type="dxa"/>
            <w:bottom w:w="0" w:type="dxa"/>
            <w:right w:w="0" w:type="dxa"/>
          </w:tblCellMar>
        </w:tblPrEx>
        <w:trPr>
          <w:trHeight w:val="90" w:hRule="atLeast"/>
          <w:jc w:val="center"/>
        </w:trPr>
        <w:tc>
          <w:tcPr>
            <w:tcW w:w="917"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67</w:t>
            </w:r>
          </w:p>
        </w:tc>
        <w:tc>
          <w:tcPr>
            <w:tcW w:w="133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031202006001</w:t>
            </w:r>
          </w:p>
        </w:tc>
        <w:tc>
          <w:tcPr>
            <w:tcW w:w="5468" w:type="dxa"/>
            <w:gridSpan w:val="2"/>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局域网交换机</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1.名称:16口全千兆POE交换机</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2.技术参数：提供16个10/100/1000Base-T RJ45端口和2个独立千兆SFP端口。</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所有端口支持千兆无阻塞线速转发，传输更流畅。</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支持IEEE 802.3x全双工流控和Backpressure半双工流控。</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1.安装</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2.单体调试</w:t>
            </w:r>
          </w:p>
        </w:tc>
        <w:tc>
          <w:tcPr>
            <w:tcW w:w="1020"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台</w:t>
            </w:r>
          </w:p>
        </w:tc>
        <w:tc>
          <w:tcPr>
            <w:tcW w:w="885"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w:t>
            </w:r>
          </w:p>
        </w:tc>
      </w:tr>
      <w:tr>
        <w:tblPrEx>
          <w:tblCellMar>
            <w:top w:w="0" w:type="dxa"/>
            <w:left w:w="0" w:type="dxa"/>
            <w:bottom w:w="0" w:type="dxa"/>
            <w:right w:w="0" w:type="dxa"/>
          </w:tblCellMar>
        </w:tblPrEx>
        <w:trPr>
          <w:trHeight w:val="2107" w:hRule="atLeast"/>
          <w:jc w:val="center"/>
        </w:trPr>
        <w:tc>
          <w:tcPr>
            <w:tcW w:w="917"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68</w:t>
            </w:r>
          </w:p>
        </w:tc>
        <w:tc>
          <w:tcPr>
            <w:tcW w:w="133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031202001009</w:t>
            </w:r>
          </w:p>
        </w:tc>
        <w:tc>
          <w:tcPr>
            <w:tcW w:w="5468" w:type="dxa"/>
            <w:gridSpan w:val="2"/>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终端设备</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1.名称:监控硬盘</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2.技术参数：4TB/64MB(6Gb/秒 NCQ)/5900RPM/SATA4</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1.本体安装</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2.单体测试</w:t>
            </w:r>
          </w:p>
        </w:tc>
        <w:tc>
          <w:tcPr>
            <w:tcW w:w="1020"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块</w:t>
            </w:r>
          </w:p>
        </w:tc>
        <w:tc>
          <w:tcPr>
            <w:tcW w:w="885"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w:t>
            </w:r>
          </w:p>
        </w:tc>
      </w:tr>
      <w:tr>
        <w:tblPrEx>
          <w:tblCellMar>
            <w:top w:w="0" w:type="dxa"/>
            <w:left w:w="0" w:type="dxa"/>
            <w:bottom w:w="0" w:type="dxa"/>
            <w:right w:w="0" w:type="dxa"/>
          </w:tblCellMar>
        </w:tblPrEx>
        <w:trPr>
          <w:trHeight w:val="1091" w:hRule="atLeast"/>
          <w:jc w:val="center"/>
        </w:trPr>
        <w:tc>
          <w:tcPr>
            <w:tcW w:w="917"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69</w:t>
            </w:r>
          </w:p>
        </w:tc>
        <w:tc>
          <w:tcPr>
            <w:tcW w:w="133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031208017006</w:t>
            </w:r>
          </w:p>
        </w:tc>
        <w:tc>
          <w:tcPr>
            <w:tcW w:w="5468" w:type="dxa"/>
            <w:gridSpan w:val="2"/>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显示装置</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1.名称:50寸监视器</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2.技术参数：高清晰画质，高对比度，拥有4K*2K超清显示，影像出众；</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4K锐腾核心，64 位处理器，拥有强悍的图像能力位处理器，对各类视频信号进行智能优化，大幅改善画质；</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采用超宽视角屏幕（上下左右）178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采用工业级超薄设计，使方便、美观；</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信号输入状态图像自适应重显率；</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3D 数字图象降噪处理技术，画质更真实清晰；</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具有强抗干扰能力的高清数字音频同轴输出；</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2个HDMI 接口支持超高清图像输入， PC 接口兼容模拟设备接入；</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1.本体安装</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2.单体调试</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3.试运行</w:t>
            </w:r>
          </w:p>
        </w:tc>
        <w:tc>
          <w:tcPr>
            <w:tcW w:w="1020"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台</w:t>
            </w:r>
          </w:p>
        </w:tc>
        <w:tc>
          <w:tcPr>
            <w:tcW w:w="885"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1</w:t>
            </w:r>
          </w:p>
        </w:tc>
      </w:tr>
      <w:tr>
        <w:tblPrEx>
          <w:tblCellMar>
            <w:top w:w="0" w:type="dxa"/>
            <w:left w:w="0" w:type="dxa"/>
            <w:bottom w:w="0" w:type="dxa"/>
            <w:right w:w="0" w:type="dxa"/>
          </w:tblCellMar>
        </w:tblPrEx>
        <w:trPr>
          <w:trHeight w:val="1259" w:hRule="atLeast"/>
          <w:jc w:val="center"/>
        </w:trPr>
        <w:tc>
          <w:tcPr>
            <w:tcW w:w="917"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70</w:t>
            </w:r>
          </w:p>
        </w:tc>
        <w:tc>
          <w:tcPr>
            <w:tcW w:w="133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CB024</w:t>
            </w:r>
          </w:p>
        </w:tc>
        <w:tc>
          <w:tcPr>
            <w:tcW w:w="5468" w:type="dxa"/>
            <w:gridSpan w:val="2"/>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安装调试及辅材</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1.安装，调试，辅材（控制线、光纤、光纤融接合、解码器、线管，配件等；）</w:t>
            </w:r>
          </w:p>
        </w:tc>
        <w:tc>
          <w:tcPr>
            <w:tcW w:w="1020"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项</w:t>
            </w:r>
          </w:p>
        </w:tc>
        <w:tc>
          <w:tcPr>
            <w:tcW w:w="885"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r>
      <w:tr>
        <w:tblPrEx>
          <w:tblCellMar>
            <w:top w:w="0" w:type="dxa"/>
            <w:left w:w="0" w:type="dxa"/>
            <w:bottom w:w="0" w:type="dxa"/>
            <w:right w:w="0" w:type="dxa"/>
          </w:tblCellMar>
        </w:tblPrEx>
        <w:trPr>
          <w:trHeight w:val="364" w:hRule="atLeast"/>
          <w:jc w:val="center"/>
        </w:trPr>
        <w:tc>
          <w:tcPr>
            <w:tcW w:w="917"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jc w:val="left"/>
              <w:rPr>
                <w:rFonts w:hint="eastAsia" w:ascii="宋体" w:hAnsi="宋体" w:eastAsia="宋体" w:cs="宋体"/>
                <w:i w:val="0"/>
                <w:color w:val="000000"/>
                <w:sz w:val="20"/>
                <w:szCs w:val="20"/>
                <w:u w:val="none"/>
              </w:rPr>
            </w:pPr>
          </w:p>
        </w:tc>
        <w:tc>
          <w:tcPr>
            <w:tcW w:w="133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jc w:val="left"/>
              <w:rPr>
                <w:rFonts w:hint="eastAsia" w:ascii="宋体" w:hAnsi="宋体" w:eastAsia="宋体" w:cs="宋体"/>
                <w:i w:val="0"/>
                <w:color w:val="000000"/>
                <w:sz w:val="20"/>
                <w:szCs w:val="20"/>
                <w:u w:val="none"/>
              </w:rPr>
            </w:pPr>
          </w:p>
        </w:tc>
        <w:tc>
          <w:tcPr>
            <w:tcW w:w="5468" w:type="dxa"/>
            <w:gridSpan w:val="2"/>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电话网络系统</w:t>
            </w:r>
          </w:p>
        </w:tc>
        <w:tc>
          <w:tcPr>
            <w:tcW w:w="1020"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jc w:val="center"/>
              <w:rPr>
                <w:rFonts w:hint="eastAsia" w:ascii="宋体" w:hAnsi="宋体" w:eastAsia="宋体" w:cs="宋体"/>
                <w:i w:val="0"/>
                <w:color w:val="000000"/>
                <w:sz w:val="20"/>
                <w:szCs w:val="20"/>
                <w:u w:val="none"/>
              </w:rPr>
            </w:pPr>
          </w:p>
        </w:tc>
        <w:tc>
          <w:tcPr>
            <w:tcW w:w="885"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jc w:val="center"/>
              <w:rPr>
                <w:rFonts w:hint="eastAsia" w:ascii="宋体" w:hAnsi="宋体" w:eastAsia="宋体" w:cs="宋体"/>
                <w:i w:val="0"/>
                <w:color w:val="000000"/>
                <w:sz w:val="20"/>
                <w:szCs w:val="20"/>
                <w:u w:val="none"/>
              </w:rPr>
            </w:pPr>
          </w:p>
        </w:tc>
      </w:tr>
      <w:tr>
        <w:tblPrEx>
          <w:tblCellMar>
            <w:top w:w="0" w:type="dxa"/>
            <w:left w:w="0" w:type="dxa"/>
            <w:bottom w:w="0" w:type="dxa"/>
            <w:right w:w="0" w:type="dxa"/>
          </w:tblCellMar>
        </w:tblPrEx>
        <w:trPr>
          <w:trHeight w:val="1877" w:hRule="atLeast"/>
          <w:jc w:val="center"/>
        </w:trPr>
        <w:tc>
          <w:tcPr>
            <w:tcW w:w="917"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71</w:t>
            </w:r>
          </w:p>
        </w:tc>
        <w:tc>
          <w:tcPr>
            <w:tcW w:w="133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030208004001</w:t>
            </w:r>
          </w:p>
        </w:tc>
        <w:tc>
          <w:tcPr>
            <w:tcW w:w="5468" w:type="dxa"/>
            <w:gridSpan w:val="2"/>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电缆桥架</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1.型号、规格:弱电桥架100mm*100mm</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1.电缆桥架安装</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2.桥架支撑架安装</w:t>
            </w:r>
          </w:p>
        </w:tc>
        <w:tc>
          <w:tcPr>
            <w:tcW w:w="1020"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w:t>
            </w:r>
          </w:p>
        </w:tc>
        <w:tc>
          <w:tcPr>
            <w:tcW w:w="885"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20.93</w:t>
            </w:r>
          </w:p>
        </w:tc>
      </w:tr>
      <w:tr>
        <w:tblPrEx>
          <w:tblCellMar>
            <w:top w:w="0" w:type="dxa"/>
            <w:left w:w="0" w:type="dxa"/>
            <w:bottom w:w="0" w:type="dxa"/>
            <w:right w:w="0" w:type="dxa"/>
          </w:tblCellMar>
        </w:tblPrEx>
        <w:trPr>
          <w:trHeight w:val="1009" w:hRule="atLeast"/>
          <w:jc w:val="center"/>
        </w:trPr>
        <w:tc>
          <w:tcPr>
            <w:tcW w:w="917"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72</w:t>
            </w:r>
          </w:p>
        </w:tc>
        <w:tc>
          <w:tcPr>
            <w:tcW w:w="133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030212001001</w:t>
            </w:r>
          </w:p>
        </w:tc>
        <w:tc>
          <w:tcPr>
            <w:tcW w:w="5468" w:type="dxa"/>
            <w:gridSpan w:val="2"/>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电气配管</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1.名称:KBG16</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2.配置形式及部位:暗配</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1.电线管路敷设</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2.接线盒（箱）、灯头盒、开关盒、插座盒安装</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3.防腐油漆</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4.接地</w:t>
            </w:r>
          </w:p>
        </w:tc>
        <w:tc>
          <w:tcPr>
            <w:tcW w:w="1020"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m</w:t>
            </w:r>
          </w:p>
        </w:tc>
        <w:tc>
          <w:tcPr>
            <w:tcW w:w="885"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298.73</w:t>
            </w:r>
          </w:p>
        </w:tc>
      </w:tr>
      <w:tr>
        <w:tblPrEx>
          <w:tblCellMar>
            <w:top w:w="0" w:type="dxa"/>
            <w:left w:w="0" w:type="dxa"/>
            <w:bottom w:w="0" w:type="dxa"/>
            <w:right w:w="0" w:type="dxa"/>
          </w:tblCellMar>
        </w:tblPrEx>
        <w:trPr>
          <w:trHeight w:val="2626" w:hRule="atLeast"/>
          <w:jc w:val="center"/>
        </w:trPr>
        <w:tc>
          <w:tcPr>
            <w:tcW w:w="917"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73</w:t>
            </w:r>
          </w:p>
        </w:tc>
        <w:tc>
          <w:tcPr>
            <w:tcW w:w="133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030212001002</w:t>
            </w:r>
          </w:p>
        </w:tc>
        <w:tc>
          <w:tcPr>
            <w:tcW w:w="5468" w:type="dxa"/>
            <w:gridSpan w:val="2"/>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电气配管</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1.名称:KBG20</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2.配置形式及部位:暗配</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1.电线管路敷设</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2.接线盒（箱）、灯头盒、开关盒、插座盒安装</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3.防腐油漆</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4.接地</w:t>
            </w:r>
          </w:p>
        </w:tc>
        <w:tc>
          <w:tcPr>
            <w:tcW w:w="1020"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w:t>
            </w:r>
          </w:p>
        </w:tc>
        <w:tc>
          <w:tcPr>
            <w:tcW w:w="885"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48.46</w:t>
            </w:r>
          </w:p>
        </w:tc>
      </w:tr>
      <w:tr>
        <w:tblPrEx>
          <w:tblCellMar>
            <w:top w:w="0" w:type="dxa"/>
            <w:left w:w="0" w:type="dxa"/>
            <w:bottom w:w="0" w:type="dxa"/>
            <w:right w:w="0" w:type="dxa"/>
          </w:tblCellMar>
        </w:tblPrEx>
        <w:trPr>
          <w:trHeight w:val="1495" w:hRule="atLeast"/>
          <w:jc w:val="center"/>
        </w:trPr>
        <w:tc>
          <w:tcPr>
            <w:tcW w:w="917"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74</w:t>
            </w:r>
          </w:p>
        </w:tc>
        <w:tc>
          <w:tcPr>
            <w:tcW w:w="133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031103015002</w:t>
            </w:r>
          </w:p>
        </w:tc>
        <w:tc>
          <w:tcPr>
            <w:tcW w:w="5468" w:type="dxa"/>
            <w:gridSpan w:val="2"/>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接线箱</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1.名称:弱电箱</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1.采购、安装</w:t>
            </w:r>
          </w:p>
        </w:tc>
        <w:tc>
          <w:tcPr>
            <w:tcW w:w="1020"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个</w:t>
            </w:r>
          </w:p>
        </w:tc>
        <w:tc>
          <w:tcPr>
            <w:tcW w:w="885"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w:t>
            </w:r>
          </w:p>
        </w:tc>
      </w:tr>
      <w:tr>
        <w:tblPrEx>
          <w:tblCellMar>
            <w:top w:w="0" w:type="dxa"/>
            <w:left w:w="0" w:type="dxa"/>
            <w:bottom w:w="0" w:type="dxa"/>
            <w:right w:w="0" w:type="dxa"/>
          </w:tblCellMar>
        </w:tblPrEx>
        <w:trPr>
          <w:trHeight w:val="1877" w:hRule="atLeast"/>
          <w:jc w:val="center"/>
        </w:trPr>
        <w:tc>
          <w:tcPr>
            <w:tcW w:w="917"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75</w:t>
            </w:r>
          </w:p>
        </w:tc>
        <w:tc>
          <w:tcPr>
            <w:tcW w:w="133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031103020001</w:t>
            </w:r>
          </w:p>
        </w:tc>
        <w:tc>
          <w:tcPr>
            <w:tcW w:w="5468" w:type="dxa"/>
            <w:gridSpan w:val="2"/>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光缆</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1.规格:UTP.CAT6</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2.敷设环境:管内敷设</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1.敷设、测试</w:t>
            </w:r>
          </w:p>
        </w:tc>
        <w:tc>
          <w:tcPr>
            <w:tcW w:w="1020"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w:t>
            </w:r>
          </w:p>
        </w:tc>
        <w:tc>
          <w:tcPr>
            <w:tcW w:w="885"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347.19</w:t>
            </w:r>
          </w:p>
        </w:tc>
      </w:tr>
      <w:tr>
        <w:tblPrEx>
          <w:tblCellMar>
            <w:top w:w="0" w:type="dxa"/>
            <w:left w:w="0" w:type="dxa"/>
            <w:bottom w:w="0" w:type="dxa"/>
            <w:right w:w="0" w:type="dxa"/>
          </w:tblCellMar>
        </w:tblPrEx>
        <w:trPr>
          <w:trHeight w:val="1568" w:hRule="atLeast"/>
          <w:jc w:val="center"/>
        </w:trPr>
        <w:tc>
          <w:tcPr>
            <w:tcW w:w="917" w:type="dxa"/>
            <w:tcBorders>
              <w:top w:val="single" w:color="000000" w:sz="4" w:space="0"/>
              <w:left w:val="single" w:color="000000" w:sz="8"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76</w:t>
            </w:r>
          </w:p>
        </w:tc>
        <w:tc>
          <w:tcPr>
            <w:tcW w:w="1339" w:type="dxa"/>
            <w:tcBorders>
              <w:top w:val="single" w:color="000000" w:sz="4" w:space="0"/>
              <w:left w:val="single" w:color="000000" w:sz="4"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031103020002</w:t>
            </w:r>
          </w:p>
        </w:tc>
        <w:tc>
          <w:tcPr>
            <w:tcW w:w="5468" w:type="dxa"/>
            <w:gridSpan w:val="2"/>
            <w:tcBorders>
              <w:top w:val="single" w:color="000000" w:sz="4" w:space="0"/>
              <w:left w:val="single" w:color="000000" w:sz="4"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光缆</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1.规格:UTP.CAT6</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2.敷设环境:线槽内敷设</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p>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1.敷设、测试</w:t>
            </w:r>
          </w:p>
        </w:tc>
        <w:tc>
          <w:tcPr>
            <w:tcW w:w="1020" w:type="dxa"/>
            <w:tcBorders>
              <w:top w:val="single" w:color="000000" w:sz="4" w:space="0"/>
              <w:left w:val="single" w:color="000000" w:sz="4"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w:t>
            </w:r>
          </w:p>
        </w:tc>
        <w:tc>
          <w:tcPr>
            <w:tcW w:w="885" w:type="dxa"/>
            <w:tcBorders>
              <w:top w:val="single" w:color="000000" w:sz="4" w:space="0"/>
              <w:left w:val="single" w:color="000000" w:sz="4" w:space="0"/>
              <w:bottom w:val="single" w:color="000000" w:sz="8"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271.41</w:t>
            </w:r>
          </w:p>
        </w:tc>
      </w:tr>
      <w:tr>
        <w:tblPrEx>
          <w:tblCellMar>
            <w:top w:w="0" w:type="dxa"/>
            <w:left w:w="0" w:type="dxa"/>
            <w:bottom w:w="0" w:type="dxa"/>
            <w:right w:w="0" w:type="dxa"/>
          </w:tblCellMar>
        </w:tblPrEx>
        <w:trPr>
          <w:trHeight w:val="1784" w:hRule="atLeast"/>
          <w:jc w:val="center"/>
        </w:trPr>
        <w:tc>
          <w:tcPr>
            <w:tcW w:w="917"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77</w:t>
            </w:r>
          </w:p>
        </w:tc>
        <w:tc>
          <w:tcPr>
            <w:tcW w:w="133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031103024001</w:t>
            </w:r>
          </w:p>
        </w:tc>
        <w:tc>
          <w:tcPr>
            <w:tcW w:w="5468" w:type="dxa"/>
            <w:gridSpan w:val="2"/>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单口屏蔽八位模块式信息插座</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1.名称:网络插座</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2.型号:K4/T01</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1.安装、卡接</w:t>
            </w:r>
          </w:p>
        </w:tc>
        <w:tc>
          <w:tcPr>
            <w:tcW w:w="1020"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个</w:t>
            </w:r>
          </w:p>
        </w:tc>
        <w:tc>
          <w:tcPr>
            <w:tcW w:w="885"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29</w:t>
            </w:r>
          </w:p>
        </w:tc>
      </w:tr>
      <w:tr>
        <w:tblPrEx>
          <w:tblCellMar>
            <w:top w:w="0" w:type="dxa"/>
            <w:left w:w="0" w:type="dxa"/>
            <w:bottom w:w="0" w:type="dxa"/>
            <w:right w:w="0" w:type="dxa"/>
          </w:tblCellMar>
        </w:tblPrEx>
        <w:trPr>
          <w:trHeight w:val="1789" w:hRule="atLeast"/>
          <w:jc w:val="center"/>
        </w:trPr>
        <w:tc>
          <w:tcPr>
            <w:tcW w:w="917"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78</w:t>
            </w:r>
          </w:p>
        </w:tc>
        <w:tc>
          <w:tcPr>
            <w:tcW w:w="133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031103024002</w:t>
            </w:r>
          </w:p>
        </w:tc>
        <w:tc>
          <w:tcPr>
            <w:tcW w:w="5468" w:type="dxa"/>
            <w:gridSpan w:val="2"/>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单口屏蔽八位模块式信息插座</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1.名称:电话插座</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2.型号:K4/C01</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1.安装、卡接</w:t>
            </w:r>
          </w:p>
        </w:tc>
        <w:tc>
          <w:tcPr>
            <w:tcW w:w="1020"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个</w:t>
            </w:r>
          </w:p>
        </w:tc>
        <w:tc>
          <w:tcPr>
            <w:tcW w:w="885"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13</w:t>
            </w:r>
          </w:p>
        </w:tc>
      </w:tr>
      <w:tr>
        <w:tblPrEx>
          <w:tblCellMar>
            <w:top w:w="0" w:type="dxa"/>
            <w:left w:w="0" w:type="dxa"/>
            <w:bottom w:w="0" w:type="dxa"/>
            <w:right w:w="0" w:type="dxa"/>
          </w:tblCellMar>
        </w:tblPrEx>
        <w:trPr>
          <w:trHeight w:val="1568" w:hRule="atLeast"/>
          <w:jc w:val="center"/>
        </w:trPr>
        <w:tc>
          <w:tcPr>
            <w:tcW w:w="917"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79</w:t>
            </w:r>
          </w:p>
        </w:tc>
        <w:tc>
          <w:tcPr>
            <w:tcW w:w="133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031103024003</w:t>
            </w:r>
          </w:p>
        </w:tc>
        <w:tc>
          <w:tcPr>
            <w:tcW w:w="5468" w:type="dxa"/>
            <w:gridSpan w:val="2"/>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单口屏蔽八位模块式信息插座</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1.名称:电视插座</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1.安装、卡接</w:t>
            </w:r>
          </w:p>
        </w:tc>
        <w:tc>
          <w:tcPr>
            <w:tcW w:w="1020"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个</w:t>
            </w:r>
          </w:p>
        </w:tc>
        <w:tc>
          <w:tcPr>
            <w:tcW w:w="885"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r>
      <w:tr>
        <w:tblPrEx>
          <w:tblCellMar>
            <w:top w:w="0" w:type="dxa"/>
            <w:left w:w="0" w:type="dxa"/>
            <w:bottom w:w="0" w:type="dxa"/>
            <w:right w:w="0" w:type="dxa"/>
          </w:tblCellMar>
        </w:tblPrEx>
        <w:trPr>
          <w:trHeight w:val="1877" w:hRule="atLeast"/>
          <w:jc w:val="center"/>
        </w:trPr>
        <w:tc>
          <w:tcPr>
            <w:tcW w:w="917"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80</w:t>
            </w:r>
          </w:p>
        </w:tc>
        <w:tc>
          <w:tcPr>
            <w:tcW w:w="133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031202007001</w:t>
            </w:r>
          </w:p>
        </w:tc>
        <w:tc>
          <w:tcPr>
            <w:tcW w:w="5468" w:type="dxa"/>
            <w:gridSpan w:val="2"/>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路由器</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1.名称:无线AP</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1.安装</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2.单体调试</w:t>
            </w:r>
          </w:p>
        </w:tc>
        <w:tc>
          <w:tcPr>
            <w:tcW w:w="1020"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套</w:t>
            </w:r>
          </w:p>
        </w:tc>
        <w:tc>
          <w:tcPr>
            <w:tcW w:w="885"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11</w:t>
            </w:r>
          </w:p>
        </w:tc>
      </w:tr>
      <w:tr>
        <w:tblPrEx>
          <w:tblCellMar>
            <w:top w:w="0" w:type="dxa"/>
            <w:left w:w="0" w:type="dxa"/>
            <w:bottom w:w="0" w:type="dxa"/>
            <w:right w:w="0" w:type="dxa"/>
          </w:tblCellMar>
        </w:tblPrEx>
        <w:trPr>
          <w:trHeight w:val="364" w:hRule="atLeast"/>
          <w:jc w:val="center"/>
        </w:trPr>
        <w:tc>
          <w:tcPr>
            <w:tcW w:w="917"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jc w:val="left"/>
              <w:rPr>
                <w:rFonts w:hint="eastAsia" w:ascii="宋体" w:hAnsi="宋体" w:eastAsia="宋体" w:cs="宋体"/>
                <w:i w:val="0"/>
                <w:color w:val="000000"/>
                <w:sz w:val="20"/>
                <w:szCs w:val="20"/>
                <w:u w:val="none"/>
              </w:rPr>
            </w:pPr>
          </w:p>
        </w:tc>
        <w:tc>
          <w:tcPr>
            <w:tcW w:w="133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jc w:val="left"/>
              <w:rPr>
                <w:rFonts w:hint="eastAsia" w:ascii="宋体" w:hAnsi="宋体" w:eastAsia="宋体" w:cs="宋体"/>
                <w:i w:val="0"/>
                <w:color w:val="000000"/>
                <w:sz w:val="20"/>
                <w:szCs w:val="20"/>
                <w:u w:val="none"/>
              </w:rPr>
            </w:pPr>
          </w:p>
        </w:tc>
        <w:tc>
          <w:tcPr>
            <w:tcW w:w="5468" w:type="dxa"/>
            <w:gridSpan w:val="2"/>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照明系统</w:t>
            </w:r>
          </w:p>
        </w:tc>
        <w:tc>
          <w:tcPr>
            <w:tcW w:w="1020"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jc w:val="center"/>
              <w:rPr>
                <w:rFonts w:hint="eastAsia" w:ascii="宋体" w:hAnsi="宋体" w:eastAsia="宋体" w:cs="宋体"/>
                <w:i w:val="0"/>
                <w:color w:val="000000"/>
                <w:sz w:val="20"/>
                <w:szCs w:val="20"/>
                <w:u w:val="none"/>
              </w:rPr>
            </w:pPr>
          </w:p>
        </w:tc>
        <w:tc>
          <w:tcPr>
            <w:tcW w:w="885"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jc w:val="center"/>
              <w:rPr>
                <w:rFonts w:hint="eastAsia" w:ascii="宋体" w:hAnsi="宋体" w:eastAsia="宋体" w:cs="宋体"/>
                <w:i w:val="0"/>
                <w:color w:val="000000"/>
                <w:sz w:val="20"/>
                <w:szCs w:val="20"/>
                <w:u w:val="none"/>
              </w:rPr>
            </w:pPr>
          </w:p>
        </w:tc>
      </w:tr>
      <w:tr>
        <w:tblPrEx>
          <w:tblCellMar>
            <w:top w:w="0" w:type="dxa"/>
            <w:left w:w="0" w:type="dxa"/>
            <w:bottom w:w="0" w:type="dxa"/>
            <w:right w:w="0" w:type="dxa"/>
          </w:tblCellMar>
        </w:tblPrEx>
        <w:trPr>
          <w:trHeight w:val="2186" w:hRule="atLeast"/>
          <w:jc w:val="center"/>
        </w:trPr>
        <w:tc>
          <w:tcPr>
            <w:tcW w:w="917"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81</w:t>
            </w:r>
          </w:p>
        </w:tc>
        <w:tc>
          <w:tcPr>
            <w:tcW w:w="133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030204018002</w:t>
            </w:r>
          </w:p>
        </w:tc>
        <w:tc>
          <w:tcPr>
            <w:tcW w:w="5468" w:type="dxa"/>
            <w:gridSpan w:val="2"/>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配电箱</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1.名称、编号:配电箱1AL</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2.规格:W500xH600xD200</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1.成套箱体采购、安装</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2.端子板外部接线</w:t>
            </w:r>
          </w:p>
        </w:tc>
        <w:tc>
          <w:tcPr>
            <w:tcW w:w="1020"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台</w:t>
            </w:r>
          </w:p>
        </w:tc>
        <w:tc>
          <w:tcPr>
            <w:tcW w:w="885"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r>
      <w:tr>
        <w:tblPrEx>
          <w:tblCellMar>
            <w:top w:w="0" w:type="dxa"/>
            <w:left w:w="0" w:type="dxa"/>
            <w:bottom w:w="0" w:type="dxa"/>
            <w:right w:w="0" w:type="dxa"/>
          </w:tblCellMar>
        </w:tblPrEx>
        <w:trPr>
          <w:trHeight w:val="2186" w:hRule="atLeast"/>
          <w:jc w:val="center"/>
        </w:trPr>
        <w:tc>
          <w:tcPr>
            <w:tcW w:w="917"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82</w:t>
            </w:r>
          </w:p>
        </w:tc>
        <w:tc>
          <w:tcPr>
            <w:tcW w:w="133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030204018003</w:t>
            </w:r>
          </w:p>
        </w:tc>
        <w:tc>
          <w:tcPr>
            <w:tcW w:w="5468" w:type="dxa"/>
            <w:gridSpan w:val="2"/>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配电箱</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1.名称、编号:配电箱-1AL</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2.规格:W600xH800xD200</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1.成套箱体采购、安装</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2.端子板外部接线</w:t>
            </w:r>
          </w:p>
        </w:tc>
        <w:tc>
          <w:tcPr>
            <w:tcW w:w="1020"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台</w:t>
            </w:r>
          </w:p>
        </w:tc>
        <w:tc>
          <w:tcPr>
            <w:tcW w:w="885"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r>
      <w:tr>
        <w:tblPrEx>
          <w:tblCellMar>
            <w:top w:w="0" w:type="dxa"/>
            <w:left w:w="0" w:type="dxa"/>
            <w:bottom w:w="0" w:type="dxa"/>
            <w:right w:w="0" w:type="dxa"/>
          </w:tblCellMar>
        </w:tblPrEx>
        <w:trPr>
          <w:trHeight w:val="2224" w:hRule="atLeast"/>
          <w:jc w:val="center"/>
        </w:trPr>
        <w:tc>
          <w:tcPr>
            <w:tcW w:w="917"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83</w:t>
            </w:r>
          </w:p>
        </w:tc>
        <w:tc>
          <w:tcPr>
            <w:tcW w:w="133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030204018004</w:t>
            </w:r>
          </w:p>
        </w:tc>
        <w:tc>
          <w:tcPr>
            <w:tcW w:w="5468" w:type="dxa"/>
            <w:gridSpan w:val="2"/>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配电箱</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1.名称、编号:配电箱ZAL</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2.规格:W600xH800xD200</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1.成套箱体采购、安装</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2.端子板外部接线</w:t>
            </w:r>
          </w:p>
        </w:tc>
        <w:tc>
          <w:tcPr>
            <w:tcW w:w="1020"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台</w:t>
            </w:r>
          </w:p>
        </w:tc>
        <w:tc>
          <w:tcPr>
            <w:tcW w:w="885"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r>
      <w:tr>
        <w:tblPrEx>
          <w:tblCellMar>
            <w:top w:w="0" w:type="dxa"/>
            <w:left w:w="0" w:type="dxa"/>
            <w:bottom w:w="0" w:type="dxa"/>
            <w:right w:w="0" w:type="dxa"/>
          </w:tblCellMar>
        </w:tblPrEx>
        <w:trPr>
          <w:trHeight w:val="2167" w:hRule="atLeast"/>
          <w:jc w:val="center"/>
        </w:trPr>
        <w:tc>
          <w:tcPr>
            <w:tcW w:w="917" w:type="dxa"/>
            <w:tcBorders>
              <w:top w:val="single" w:color="000000" w:sz="4" w:space="0"/>
              <w:left w:val="single" w:color="000000" w:sz="8"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84</w:t>
            </w:r>
          </w:p>
        </w:tc>
        <w:tc>
          <w:tcPr>
            <w:tcW w:w="1339" w:type="dxa"/>
            <w:tcBorders>
              <w:top w:val="single" w:color="000000" w:sz="4" w:space="0"/>
              <w:left w:val="single" w:color="000000" w:sz="4"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030204031001</w:t>
            </w:r>
          </w:p>
        </w:tc>
        <w:tc>
          <w:tcPr>
            <w:tcW w:w="5468" w:type="dxa"/>
            <w:gridSpan w:val="2"/>
            <w:tcBorders>
              <w:top w:val="single" w:color="000000" w:sz="4" w:space="0"/>
              <w:left w:val="single" w:color="000000" w:sz="4"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小电器</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p>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1.名称:一位单极开关</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2.规格:K4/31/1/2B</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1.采购、安装</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2.焊、压接线端子</w:t>
            </w:r>
          </w:p>
        </w:tc>
        <w:tc>
          <w:tcPr>
            <w:tcW w:w="1020" w:type="dxa"/>
            <w:tcBorders>
              <w:top w:val="single" w:color="000000" w:sz="4" w:space="0"/>
              <w:left w:val="single" w:color="000000" w:sz="4"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套</w:t>
            </w:r>
          </w:p>
        </w:tc>
        <w:tc>
          <w:tcPr>
            <w:tcW w:w="885" w:type="dxa"/>
            <w:tcBorders>
              <w:top w:val="single" w:color="000000" w:sz="4" w:space="0"/>
              <w:left w:val="single" w:color="000000" w:sz="4" w:space="0"/>
              <w:bottom w:val="single" w:color="000000" w:sz="8"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w:t>
            </w:r>
          </w:p>
        </w:tc>
      </w:tr>
      <w:tr>
        <w:tblPrEx>
          <w:tblCellMar>
            <w:top w:w="0" w:type="dxa"/>
            <w:left w:w="0" w:type="dxa"/>
            <w:bottom w:w="0" w:type="dxa"/>
            <w:right w:w="0" w:type="dxa"/>
          </w:tblCellMar>
        </w:tblPrEx>
        <w:trPr>
          <w:trHeight w:val="2217" w:hRule="atLeast"/>
          <w:jc w:val="center"/>
        </w:trPr>
        <w:tc>
          <w:tcPr>
            <w:tcW w:w="917"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85</w:t>
            </w:r>
          </w:p>
        </w:tc>
        <w:tc>
          <w:tcPr>
            <w:tcW w:w="133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030204031002</w:t>
            </w:r>
          </w:p>
        </w:tc>
        <w:tc>
          <w:tcPr>
            <w:tcW w:w="5468" w:type="dxa"/>
            <w:gridSpan w:val="2"/>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小电器</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1.名称:二位单极开关</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2.规格:K4/32/1/2C</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1.采购、安装</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2.焊、压接线端子</w:t>
            </w:r>
          </w:p>
        </w:tc>
        <w:tc>
          <w:tcPr>
            <w:tcW w:w="1020"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套</w:t>
            </w:r>
          </w:p>
        </w:tc>
        <w:tc>
          <w:tcPr>
            <w:tcW w:w="885"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14</w:t>
            </w:r>
          </w:p>
        </w:tc>
      </w:tr>
      <w:tr>
        <w:tblPrEx>
          <w:tblCellMar>
            <w:top w:w="0" w:type="dxa"/>
            <w:left w:w="0" w:type="dxa"/>
            <w:bottom w:w="0" w:type="dxa"/>
            <w:right w:w="0" w:type="dxa"/>
          </w:tblCellMar>
        </w:tblPrEx>
        <w:trPr>
          <w:trHeight w:val="2207" w:hRule="atLeast"/>
          <w:jc w:val="center"/>
        </w:trPr>
        <w:tc>
          <w:tcPr>
            <w:tcW w:w="917"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86</w:t>
            </w:r>
          </w:p>
        </w:tc>
        <w:tc>
          <w:tcPr>
            <w:tcW w:w="133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030204031003</w:t>
            </w:r>
          </w:p>
        </w:tc>
        <w:tc>
          <w:tcPr>
            <w:tcW w:w="5468" w:type="dxa"/>
            <w:gridSpan w:val="2"/>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小电器</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1.名称:二位单极开关</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2.规格:K4/32/1/2C</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1.采购、安装</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2.焊、压接线端子</w:t>
            </w:r>
          </w:p>
        </w:tc>
        <w:tc>
          <w:tcPr>
            <w:tcW w:w="1020"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套</w:t>
            </w:r>
          </w:p>
        </w:tc>
        <w:tc>
          <w:tcPr>
            <w:tcW w:w="885"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8</w:t>
            </w:r>
          </w:p>
        </w:tc>
      </w:tr>
      <w:tr>
        <w:tblPrEx>
          <w:tblCellMar>
            <w:top w:w="0" w:type="dxa"/>
            <w:left w:w="0" w:type="dxa"/>
            <w:bottom w:w="0" w:type="dxa"/>
            <w:right w:w="0" w:type="dxa"/>
          </w:tblCellMar>
        </w:tblPrEx>
        <w:trPr>
          <w:trHeight w:val="2044" w:hRule="atLeast"/>
          <w:jc w:val="center"/>
        </w:trPr>
        <w:tc>
          <w:tcPr>
            <w:tcW w:w="917"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87</w:t>
            </w:r>
          </w:p>
        </w:tc>
        <w:tc>
          <w:tcPr>
            <w:tcW w:w="133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030204031004</w:t>
            </w:r>
          </w:p>
        </w:tc>
        <w:tc>
          <w:tcPr>
            <w:tcW w:w="5468" w:type="dxa"/>
            <w:gridSpan w:val="2"/>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小电器</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1.名称:顶面插座</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1.采购、安装</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2.焊、压接线端子</w:t>
            </w:r>
          </w:p>
        </w:tc>
        <w:tc>
          <w:tcPr>
            <w:tcW w:w="1020"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套</w:t>
            </w:r>
          </w:p>
        </w:tc>
        <w:tc>
          <w:tcPr>
            <w:tcW w:w="885"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11</w:t>
            </w:r>
          </w:p>
        </w:tc>
      </w:tr>
      <w:tr>
        <w:tblPrEx>
          <w:tblCellMar>
            <w:top w:w="0" w:type="dxa"/>
            <w:left w:w="0" w:type="dxa"/>
            <w:bottom w:w="0" w:type="dxa"/>
            <w:right w:w="0" w:type="dxa"/>
          </w:tblCellMar>
        </w:tblPrEx>
        <w:trPr>
          <w:trHeight w:val="2192" w:hRule="atLeast"/>
          <w:jc w:val="center"/>
        </w:trPr>
        <w:tc>
          <w:tcPr>
            <w:tcW w:w="917"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88</w:t>
            </w:r>
          </w:p>
        </w:tc>
        <w:tc>
          <w:tcPr>
            <w:tcW w:w="133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030204031005</w:t>
            </w:r>
          </w:p>
        </w:tc>
        <w:tc>
          <w:tcPr>
            <w:tcW w:w="5468" w:type="dxa"/>
            <w:gridSpan w:val="2"/>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小电器</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1.名称:连体二三极插座</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2.规格:K4/426/10USL</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1.采购、安装</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2.焊、压接线端子</w:t>
            </w:r>
          </w:p>
        </w:tc>
        <w:tc>
          <w:tcPr>
            <w:tcW w:w="1020"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套</w:t>
            </w:r>
          </w:p>
        </w:tc>
        <w:tc>
          <w:tcPr>
            <w:tcW w:w="885"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91</w:t>
            </w:r>
          </w:p>
        </w:tc>
      </w:tr>
      <w:tr>
        <w:tblPrEx>
          <w:tblCellMar>
            <w:top w:w="0" w:type="dxa"/>
            <w:left w:w="0" w:type="dxa"/>
            <w:bottom w:w="0" w:type="dxa"/>
            <w:right w:w="0" w:type="dxa"/>
          </w:tblCellMar>
        </w:tblPrEx>
        <w:trPr>
          <w:trHeight w:val="2113" w:hRule="atLeast"/>
          <w:jc w:val="center"/>
        </w:trPr>
        <w:tc>
          <w:tcPr>
            <w:tcW w:w="917"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89</w:t>
            </w:r>
          </w:p>
        </w:tc>
        <w:tc>
          <w:tcPr>
            <w:tcW w:w="133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030208001001</w:t>
            </w:r>
          </w:p>
        </w:tc>
        <w:tc>
          <w:tcPr>
            <w:tcW w:w="5468" w:type="dxa"/>
            <w:gridSpan w:val="2"/>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电力电缆</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1.型号:YJV-4*25+1*16mm2</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2.敷设方式:桥架或管道内水平敷设</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1.电缆敷设</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2.电缆头制作、安装</w:t>
            </w:r>
          </w:p>
        </w:tc>
        <w:tc>
          <w:tcPr>
            <w:tcW w:w="1020"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w:t>
            </w:r>
          </w:p>
        </w:tc>
        <w:tc>
          <w:tcPr>
            <w:tcW w:w="885"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9.83</w:t>
            </w:r>
          </w:p>
        </w:tc>
      </w:tr>
      <w:tr>
        <w:tblPrEx>
          <w:tblCellMar>
            <w:top w:w="0" w:type="dxa"/>
            <w:left w:w="0" w:type="dxa"/>
            <w:bottom w:w="0" w:type="dxa"/>
            <w:right w:w="0" w:type="dxa"/>
          </w:tblCellMar>
        </w:tblPrEx>
        <w:trPr>
          <w:trHeight w:val="2186" w:hRule="atLeast"/>
          <w:jc w:val="center"/>
        </w:trPr>
        <w:tc>
          <w:tcPr>
            <w:tcW w:w="917"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90</w:t>
            </w:r>
          </w:p>
        </w:tc>
        <w:tc>
          <w:tcPr>
            <w:tcW w:w="133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030208001002</w:t>
            </w:r>
          </w:p>
        </w:tc>
        <w:tc>
          <w:tcPr>
            <w:tcW w:w="5468" w:type="dxa"/>
            <w:gridSpan w:val="2"/>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电力电缆</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1.型号:YJV-5*10mm2</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2.敷设方式:桥架或管道内水平敷设</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1.电缆敷设</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2.电缆头制作、安装</w:t>
            </w:r>
          </w:p>
        </w:tc>
        <w:tc>
          <w:tcPr>
            <w:tcW w:w="1020"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w:t>
            </w:r>
          </w:p>
        </w:tc>
        <w:tc>
          <w:tcPr>
            <w:tcW w:w="885"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3.78</w:t>
            </w:r>
          </w:p>
        </w:tc>
      </w:tr>
      <w:tr>
        <w:tblPrEx>
          <w:tblCellMar>
            <w:top w:w="0" w:type="dxa"/>
            <w:left w:w="0" w:type="dxa"/>
            <w:bottom w:w="0" w:type="dxa"/>
            <w:right w:w="0" w:type="dxa"/>
          </w:tblCellMar>
        </w:tblPrEx>
        <w:trPr>
          <w:trHeight w:val="950" w:hRule="atLeast"/>
          <w:jc w:val="center"/>
        </w:trPr>
        <w:tc>
          <w:tcPr>
            <w:tcW w:w="917" w:type="dxa"/>
            <w:tcBorders>
              <w:top w:val="single" w:color="000000" w:sz="4" w:space="0"/>
              <w:left w:val="single" w:color="000000" w:sz="8"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91</w:t>
            </w:r>
          </w:p>
        </w:tc>
        <w:tc>
          <w:tcPr>
            <w:tcW w:w="1339" w:type="dxa"/>
            <w:tcBorders>
              <w:top w:val="single" w:color="000000" w:sz="4" w:space="0"/>
              <w:left w:val="single" w:color="000000" w:sz="4"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030208001003</w:t>
            </w:r>
          </w:p>
        </w:tc>
        <w:tc>
          <w:tcPr>
            <w:tcW w:w="5468" w:type="dxa"/>
            <w:gridSpan w:val="2"/>
            <w:tcBorders>
              <w:top w:val="single" w:color="000000" w:sz="4" w:space="0"/>
              <w:left w:val="single" w:color="000000" w:sz="4"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电力电缆</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1.型号:YJV-5*16mm2</w:t>
            </w:r>
          </w:p>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2.敷设方式:桥架或管道内水平敷设</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1.电缆敷设</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2.电缆头制作、安装</w:t>
            </w:r>
          </w:p>
        </w:tc>
        <w:tc>
          <w:tcPr>
            <w:tcW w:w="1020" w:type="dxa"/>
            <w:tcBorders>
              <w:top w:val="single" w:color="000000" w:sz="4" w:space="0"/>
              <w:left w:val="single" w:color="000000" w:sz="4"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w:t>
            </w:r>
          </w:p>
        </w:tc>
        <w:tc>
          <w:tcPr>
            <w:tcW w:w="885" w:type="dxa"/>
            <w:tcBorders>
              <w:top w:val="single" w:color="000000" w:sz="4" w:space="0"/>
              <w:left w:val="single" w:color="000000" w:sz="4" w:space="0"/>
              <w:bottom w:val="single" w:color="000000" w:sz="8"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25.47</w:t>
            </w:r>
          </w:p>
        </w:tc>
      </w:tr>
      <w:tr>
        <w:tblPrEx>
          <w:tblCellMar>
            <w:top w:w="0" w:type="dxa"/>
            <w:left w:w="0" w:type="dxa"/>
            <w:bottom w:w="0" w:type="dxa"/>
            <w:right w:w="0" w:type="dxa"/>
          </w:tblCellMar>
        </w:tblPrEx>
        <w:trPr>
          <w:trHeight w:val="2186" w:hRule="atLeast"/>
          <w:jc w:val="center"/>
        </w:trPr>
        <w:tc>
          <w:tcPr>
            <w:tcW w:w="917"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92</w:t>
            </w:r>
          </w:p>
        </w:tc>
        <w:tc>
          <w:tcPr>
            <w:tcW w:w="133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030208001004</w:t>
            </w:r>
          </w:p>
        </w:tc>
        <w:tc>
          <w:tcPr>
            <w:tcW w:w="5468" w:type="dxa"/>
            <w:gridSpan w:val="2"/>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电力电缆</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1.型号:YJV-4*70+1*35mm2</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2.敷设方式:桥架或管道内水平敷设</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1.电缆敷设</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2.电缆头制作、安装</w:t>
            </w:r>
          </w:p>
        </w:tc>
        <w:tc>
          <w:tcPr>
            <w:tcW w:w="1020"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w:t>
            </w:r>
          </w:p>
        </w:tc>
        <w:tc>
          <w:tcPr>
            <w:tcW w:w="885"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18.38</w:t>
            </w:r>
          </w:p>
        </w:tc>
      </w:tr>
      <w:tr>
        <w:tblPrEx>
          <w:tblCellMar>
            <w:top w:w="0" w:type="dxa"/>
            <w:left w:w="0" w:type="dxa"/>
            <w:bottom w:w="0" w:type="dxa"/>
            <w:right w:w="0" w:type="dxa"/>
          </w:tblCellMar>
        </w:tblPrEx>
        <w:trPr>
          <w:trHeight w:val="1568" w:hRule="atLeast"/>
          <w:jc w:val="center"/>
        </w:trPr>
        <w:tc>
          <w:tcPr>
            <w:tcW w:w="917"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93</w:t>
            </w:r>
          </w:p>
        </w:tc>
        <w:tc>
          <w:tcPr>
            <w:tcW w:w="133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030211002001</w:t>
            </w:r>
          </w:p>
        </w:tc>
        <w:tc>
          <w:tcPr>
            <w:tcW w:w="5468" w:type="dxa"/>
            <w:gridSpan w:val="2"/>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送配电装置系统</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1.电压等级（kV）:1KV以下</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1.系统调试</w:t>
            </w:r>
          </w:p>
        </w:tc>
        <w:tc>
          <w:tcPr>
            <w:tcW w:w="1020"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系统</w:t>
            </w:r>
          </w:p>
        </w:tc>
        <w:tc>
          <w:tcPr>
            <w:tcW w:w="885"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r>
      <w:tr>
        <w:tblPrEx>
          <w:tblCellMar>
            <w:top w:w="0" w:type="dxa"/>
            <w:left w:w="0" w:type="dxa"/>
            <w:bottom w:w="0" w:type="dxa"/>
            <w:right w:w="0" w:type="dxa"/>
          </w:tblCellMar>
        </w:tblPrEx>
        <w:trPr>
          <w:trHeight w:val="90" w:hRule="atLeast"/>
          <w:jc w:val="center"/>
        </w:trPr>
        <w:tc>
          <w:tcPr>
            <w:tcW w:w="917"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94</w:t>
            </w:r>
          </w:p>
        </w:tc>
        <w:tc>
          <w:tcPr>
            <w:tcW w:w="133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030212001004</w:t>
            </w:r>
          </w:p>
        </w:tc>
        <w:tc>
          <w:tcPr>
            <w:tcW w:w="5468" w:type="dxa"/>
            <w:gridSpan w:val="2"/>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top"/>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电气配管</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1.名称:KBG16</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2.配置形式及部位:暗配</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1.电线管路敷设</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2.接线盒（箱）、灯头盒、开关盒、插座盒安装</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3.防腐油漆</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4.接地</w:t>
            </w:r>
          </w:p>
        </w:tc>
        <w:tc>
          <w:tcPr>
            <w:tcW w:w="1020"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w:t>
            </w:r>
          </w:p>
        </w:tc>
        <w:tc>
          <w:tcPr>
            <w:tcW w:w="885"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1303.59</w:t>
            </w:r>
          </w:p>
        </w:tc>
      </w:tr>
      <w:tr>
        <w:tblPrEx>
          <w:tblCellMar>
            <w:top w:w="0" w:type="dxa"/>
            <w:left w:w="0" w:type="dxa"/>
            <w:bottom w:w="0" w:type="dxa"/>
            <w:right w:w="0" w:type="dxa"/>
          </w:tblCellMar>
        </w:tblPrEx>
        <w:trPr>
          <w:trHeight w:val="2538" w:hRule="atLeast"/>
          <w:jc w:val="center"/>
        </w:trPr>
        <w:tc>
          <w:tcPr>
            <w:tcW w:w="917"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95</w:t>
            </w:r>
          </w:p>
        </w:tc>
        <w:tc>
          <w:tcPr>
            <w:tcW w:w="133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030212001005</w:t>
            </w:r>
          </w:p>
        </w:tc>
        <w:tc>
          <w:tcPr>
            <w:tcW w:w="5468" w:type="dxa"/>
            <w:gridSpan w:val="2"/>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top"/>
          </w:tcPr>
          <w:p>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电气配管</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1.名称:KBG20</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2.配置形式及部位:暗配</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1.电线管路敷设</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2.接线盒（箱）、灯头盒、开关盒、插座盒安装</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3.防腐油漆</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4.接地</w:t>
            </w:r>
          </w:p>
        </w:tc>
        <w:tc>
          <w:tcPr>
            <w:tcW w:w="1020"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w:t>
            </w:r>
          </w:p>
        </w:tc>
        <w:tc>
          <w:tcPr>
            <w:tcW w:w="885"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661.15</w:t>
            </w:r>
          </w:p>
        </w:tc>
      </w:tr>
      <w:tr>
        <w:tblPrEx>
          <w:tblCellMar>
            <w:top w:w="0" w:type="dxa"/>
            <w:left w:w="0" w:type="dxa"/>
            <w:bottom w:w="0" w:type="dxa"/>
            <w:right w:w="0" w:type="dxa"/>
          </w:tblCellMar>
        </w:tblPrEx>
        <w:trPr>
          <w:trHeight w:val="290" w:hRule="atLeast"/>
          <w:jc w:val="center"/>
        </w:trPr>
        <w:tc>
          <w:tcPr>
            <w:tcW w:w="917"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96</w:t>
            </w:r>
          </w:p>
        </w:tc>
        <w:tc>
          <w:tcPr>
            <w:tcW w:w="133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030212001006</w:t>
            </w:r>
          </w:p>
        </w:tc>
        <w:tc>
          <w:tcPr>
            <w:tcW w:w="5468" w:type="dxa"/>
            <w:gridSpan w:val="2"/>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top"/>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电气配管</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1.名称:KBG25</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2.配置形式及部位:暗配</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1.电线管路敷设</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2.接线盒（箱）、灯头盒、开关盒、插座盒安装</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3.防腐油漆</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4.接地</w:t>
            </w:r>
          </w:p>
        </w:tc>
        <w:tc>
          <w:tcPr>
            <w:tcW w:w="1020"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m</w:t>
            </w:r>
          </w:p>
        </w:tc>
        <w:tc>
          <w:tcPr>
            <w:tcW w:w="885"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23.57</w:t>
            </w:r>
          </w:p>
        </w:tc>
      </w:tr>
      <w:tr>
        <w:tblPrEx>
          <w:tblCellMar>
            <w:top w:w="0" w:type="dxa"/>
            <w:left w:w="0" w:type="dxa"/>
            <w:bottom w:w="0" w:type="dxa"/>
            <w:right w:w="0" w:type="dxa"/>
          </w:tblCellMar>
        </w:tblPrEx>
        <w:trPr>
          <w:trHeight w:val="2602" w:hRule="atLeast"/>
          <w:jc w:val="center"/>
        </w:trPr>
        <w:tc>
          <w:tcPr>
            <w:tcW w:w="917" w:type="dxa"/>
            <w:tcBorders>
              <w:top w:val="single" w:color="000000" w:sz="4" w:space="0"/>
              <w:left w:val="single" w:color="000000" w:sz="8"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97</w:t>
            </w:r>
          </w:p>
        </w:tc>
        <w:tc>
          <w:tcPr>
            <w:tcW w:w="1339" w:type="dxa"/>
            <w:tcBorders>
              <w:top w:val="single" w:color="000000" w:sz="4" w:space="0"/>
              <w:left w:val="single" w:color="000000" w:sz="4"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030212001007</w:t>
            </w:r>
          </w:p>
        </w:tc>
        <w:tc>
          <w:tcPr>
            <w:tcW w:w="5468" w:type="dxa"/>
            <w:gridSpan w:val="2"/>
            <w:tcBorders>
              <w:top w:val="single" w:color="000000" w:sz="4" w:space="0"/>
              <w:left w:val="single" w:color="000000" w:sz="4"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电气配管</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1.名称:KBG40</w:t>
            </w:r>
          </w:p>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2.配置形式及部位:暗配</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1.电线管路敷设</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2.接线盒（箱）、灯头盒、开关盒、插座盒安装</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3.防腐油漆</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4.接地</w:t>
            </w:r>
          </w:p>
        </w:tc>
        <w:tc>
          <w:tcPr>
            <w:tcW w:w="1020" w:type="dxa"/>
            <w:tcBorders>
              <w:top w:val="single" w:color="000000" w:sz="4" w:space="0"/>
              <w:left w:val="single" w:color="000000" w:sz="4"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w:t>
            </w:r>
          </w:p>
        </w:tc>
        <w:tc>
          <w:tcPr>
            <w:tcW w:w="885" w:type="dxa"/>
            <w:tcBorders>
              <w:top w:val="single" w:color="000000" w:sz="4" w:space="0"/>
              <w:left w:val="single" w:color="000000" w:sz="4" w:space="0"/>
              <w:bottom w:val="single" w:color="000000" w:sz="8"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3.78</w:t>
            </w:r>
          </w:p>
        </w:tc>
      </w:tr>
      <w:tr>
        <w:tblPrEx>
          <w:tblCellMar>
            <w:top w:w="0" w:type="dxa"/>
            <w:left w:w="0" w:type="dxa"/>
            <w:bottom w:w="0" w:type="dxa"/>
            <w:right w:w="0" w:type="dxa"/>
          </w:tblCellMar>
        </w:tblPrEx>
        <w:trPr>
          <w:trHeight w:val="2726" w:hRule="atLeast"/>
          <w:jc w:val="center"/>
        </w:trPr>
        <w:tc>
          <w:tcPr>
            <w:tcW w:w="917"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98</w:t>
            </w:r>
          </w:p>
        </w:tc>
        <w:tc>
          <w:tcPr>
            <w:tcW w:w="133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030212001008</w:t>
            </w:r>
          </w:p>
        </w:tc>
        <w:tc>
          <w:tcPr>
            <w:tcW w:w="5468" w:type="dxa"/>
            <w:gridSpan w:val="2"/>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电气配管</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1.名称:焊接钢管DN50</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2.配置形式及部位:暗配</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1.电线管路敷设</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2.接线盒（箱）、灯头盒、开关盒、插座盒安装</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3.防腐油漆</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4.接地</w:t>
            </w:r>
          </w:p>
        </w:tc>
        <w:tc>
          <w:tcPr>
            <w:tcW w:w="1020"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w:t>
            </w:r>
          </w:p>
        </w:tc>
        <w:tc>
          <w:tcPr>
            <w:tcW w:w="885"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35.3</w:t>
            </w:r>
          </w:p>
        </w:tc>
      </w:tr>
      <w:tr>
        <w:tblPrEx>
          <w:tblCellMar>
            <w:top w:w="0" w:type="dxa"/>
            <w:left w:w="0" w:type="dxa"/>
            <w:bottom w:w="0" w:type="dxa"/>
            <w:right w:w="0" w:type="dxa"/>
          </w:tblCellMar>
        </w:tblPrEx>
        <w:trPr>
          <w:trHeight w:val="2804" w:hRule="atLeast"/>
          <w:jc w:val="center"/>
        </w:trPr>
        <w:tc>
          <w:tcPr>
            <w:tcW w:w="917"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99</w:t>
            </w:r>
          </w:p>
        </w:tc>
        <w:tc>
          <w:tcPr>
            <w:tcW w:w="133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030212001009</w:t>
            </w:r>
          </w:p>
        </w:tc>
        <w:tc>
          <w:tcPr>
            <w:tcW w:w="5468" w:type="dxa"/>
            <w:gridSpan w:val="2"/>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电气配管</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1.名称:焊接钢管DN80</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2.配置形式及部位:暗配</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1.电线管路敷设</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2.接线盒（箱）、灯头盒、开关盒、插座盒安装</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3.防腐油漆</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4.接地</w:t>
            </w:r>
          </w:p>
        </w:tc>
        <w:tc>
          <w:tcPr>
            <w:tcW w:w="1020"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w:t>
            </w:r>
          </w:p>
        </w:tc>
        <w:tc>
          <w:tcPr>
            <w:tcW w:w="885"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18.38</w:t>
            </w:r>
          </w:p>
        </w:tc>
      </w:tr>
      <w:tr>
        <w:tblPrEx>
          <w:tblCellMar>
            <w:top w:w="0" w:type="dxa"/>
            <w:left w:w="0" w:type="dxa"/>
            <w:bottom w:w="0" w:type="dxa"/>
            <w:right w:w="0" w:type="dxa"/>
          </w:tblCellMar>
        </w:tblPrEx>
        <w:trPr>
          <w:trHeight w:val="1982" w:hRule="atLeast"/>
          <w:jc w:val="center"/>
        </w:trPr>
        <w:tc>
          <w:tcPr>
            <w:tcW w:w="917"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100</w:t>
            </w:r>
          </w:p>
        </w:tc>
        <w:tc>
          <w:tcPr>
            <w:tcW w:w="133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030212003003</w:t>
            </w:r>
          </w:p>
        </w:tc>
        <w:tc>
          <w:tcPr>
            <w:tcW w:w="5468" w:type="dxa"/>
            <w:gridSpan w:val="2"/>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电气配线</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1.导线型号、材质、规格:BV-2.5mm2</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2.敷设部位或线制:管内穿线</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1.配线</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2.管内穿线</w:t>
            </w:r>
          </w:p>
        </w:tc>
        <w:tc>
          <w:tcPr>
            <w:tcW w:w="1020"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w:t>
            </w:r>
          </w:p>
        </w:tc>
        <w:tc>
          <w:tcPr>
            <w:tcW w:w="885"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4007.42</w:t>
            </w:r>
          </w:p>
        </w:tc>
      </w:tr>
      <w:tr>
        <w:tblPrEx>
          <w:tblCellMar>
            <w:top w:w="0" w:type="dxa"/>
            <w:left w:w="0" w:type="dxa"/>
            <w:bottom w:w="0" w:type="dxa"/>
            <w:right w:w="0" w:type="dxa"/>
          </w:tblCellMar>
        </w:tblPrEx>
        <w:trPr>
          <w:trHeight w:val="1982" w:hRule="atLeast"/>
          <w:jc w:val="center"/>
        </w:trPr>
        <w:tc>
          <w:tcPr>
            <w:tcW w:w="917"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101</w:t>
            </w:r>
          </w:p>
        </w:tc>
        <w:tc>
          <w:tcPr>
            <w:tcW w:w="133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030212003004</w:t>
            </w:r>
          </w:p>
        </w:tc>
        <w:tc>
          <w:tcPr>
            <w:tcW w:w="5468" w:type="dxa"/>
            <w:gridSpan w:val="2"/>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电气配线</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1.导线型号、材质、规格:NH-BV-2.5mm2</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2.敷设部位或线制:管内穿线</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1.配线</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2.管内穿线</w:t>
            </w:r>
          </w:p>
        </w:tc>
        <w:tc>
          <w:tcPr>
            <w:tcW w:w="1020"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w:t>
            </w:r>
          </w:p>
        </w:tc>
        <w:tc>
          <w:tcPr>
            <w:tcW w:w="885"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618.99</w:t>
            </w:r>
          </w:p>
        </w:tc>
      </w:tr>
      <w:tr>
        <w:tblPrEx>
          <w:tblCellMar>
            <w:top w:w="0" w:type="dxa"/>
            <w:left w:w="0" w:type="dxa"/>
            <w:bottom w:w="0" w:type="dxa"/>
            <w:right w:w="0" w:type="dxa"/>
          </w:tblCellMar>
        </w:tblPrEx>
        <w:trPr>
          <w:trHeight w:val="1792" w:hRule="atLeast"/>
          <w:jc w:val="center"/>
        </w:trPr>
        <w:tc>
          <w:tcPr>
            <w:tcW w:w="917" w:type="dxa"/>
            <w:tcBorders>
              <w:top w:val="single" w:color="000000" w:sz="4" w:space="0"/>
              <w:left w:val="single" w:color="000000" w:sz="8"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102</w:t>
            </w:r>
          </w:p>
        </w:tc>
        <w:tc>
          <w:tcPr>
            <w:tcW w:w="1339" w:type="dxa"/>
            <w:tcBorders>
              <w:top w:val="single" w:color="000000" w:sz="4" w:space="0"/>
              <w:left w:val="single" w:color="000000" w:sz="4"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030212003005</w:t>
            </w:r>
          </w:p>
        </w:tc>
        <w:tc>
          <w:tcPr>
            <w:tcW w:w="5468" w:type="dxa"/>
            <w:gridSpan w:val="2"/>
            <w:tcBorders>
              <w:top w:val="single" w:color="000000" w:sz="4" w:space="0"/>
              <w:left w:val="single" w:color="000000" w:sz="4"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电气配线</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1.导线型号、材质、规格:BV-4mm2</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2.敷设部位或线制:管内穿线</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1.配线</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2.管内穿线</w:t>
            </w:r>
          </w:p>
        </w:tc>
        <w:tc>
          <w:tcPr>
            <w:tcW w:w="1020" w:type="dxa"/>
            <w:tcBorders>
              <w:top w:val="single" w:color="000000" w:sz="4" w:space="0"/>
              <w:left w:val="single" w:color="000000" w:sz="4"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w:t>
            </w:r>
          </w:p>
        </w:tc>
        <w:tc>
          <w:tcPr>
            <w:tcW w:w="885" w:type="dxa"/>
            <w:tcBorders>
              <w:top w:val="single" w:color="000000" w:sz="4" w:space="0"/>
              <w:left w:val="single" w:color="000000" w:sz="4" w:space="0"/>
              <w:bottom w:val="single" w:color="000000" w:sz="8"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1592.74</w:t>
            </w:r>
          </w:p>
        </w:tc>
      </w:tr>
      <w:tr>
        <w:tblPrEx>
          <w:tblCellMar>
            <w:top w:w="0" w:type="dxa"/>
            <w:left w:w="0" w:type="dxa"/>
            <w:bottom w:w="0" w:type="dxa"/>
            <w:right w:w="0" w:type="dxa"/>
          </w:tblCellMar>
        </w:tblPrEx>
        <w:trPr>
          <w:trHeight w:val="1407" w:hRule="atLeast"/>
          <w:jc w:val="center"/>
        </w:trPr>
        <w:tc>
          <w:tcPr>
            <w:tcW w:w="917"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103</w:t>
            </w:r>
          </w:p>
        </w:tc>
        <w:tc>
          <w:tcPr>
            <w:tcW w:w="133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030213001001</w:t>
            </w:r>
          </w:p>
        </w:tc>
        <w:tc>
          <w:tcPr>
            <w:tcW w:w="5468" w:type="dxa"/>
            <w:gridSpan w:val="2"/>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普通吸顶灯及其他灯具</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1.名称:格栅灯3*18W</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1.采购、安装</w:t>
            </w:r>
          </w:p>
        </w:tc>
        <w:tc>
          <w:tcPr>
            <w:tcW w:w="1020"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套</w:t>
            </w:r>
          </w:p>
        </w:tc>
        <w:tc>
          <w:tcPr>
            <w:tcW w:w="885"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38</w:t>
            </w:r>
          </w:p>
        </w:tc>
      </w:tr>
      <w:tr>
        <w:tblPrEx>
          <w:tblCellMar>
            <w:top w:w="0" w:type="dxa"/>
            <w:left w:w="0" w:type="dxa"/>
            <w:bottom w:w="0" w:type="dxa"/>
            <w:right w:w="0" w:type="dxa"/>
          </w:tblCellMar>
        </w:tblPrEx>
        <w:trPr>
          <w:trHeight w:val="90" w:hRule="atLeast"/>
          <w:jc w:val="center"/>
        </w:trPr>
        <w:tc>
          <w:tcPr>
            <w:tcW w:w="917"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104</w:t>
            </w:r>
          </w:p>
        </w:tc>
        <w:tc>
          <w:tcPr>
            <w:tcW w:w="133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030213003011</w:t>
            </w:r>
          </w:p>
        </w:tc>
        <w:tc>
          <w:tcPr>
            <w:tcW w:w="5468" w:type="dxa"/>
            <w:gridSpan w:val="2"/>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装饰灯</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1.名称:筒灯1*7W</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1.采购、安装</w:t>
            </w:r>
          </w:p>
        </w:tc>
        <w:tc>
          <w:tcPr>
            <w:tcW w:w="1020"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套</w:t>
            </w:r>
          </w:p>
        </w:tc>
        <w:tc>
          <w:tcPr>
            <w:tcW w:w="885"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156</w:t>
            </w:r>
          </w:p>
        </w:tc>
      </w:tr>
      <w:tr>
        <w:tblPrEx>
          <w:tblCellMar>
            <w:top w:w="0" w:type="dxa"/>
            <w:left w:w="0" w:type="dxa"/>
            <w:bottom w:w="0" w:type="dxa"/>
            <w:right w:w="0" w:type="dxa"/>
          </w:tblCellMar>
        </w:tblPrEx>
        <w:trPr>
          <w:trHeight w:val="1352" w:hRule="atLeast"/>
          <w:jc w:val="center"/>
        </w:trPr>
        <w:tc>
          <w:tcPr>
            <w:tcW w:w="917"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105</w:t>
            </w:r>
          </w:p>
        </w:tc>
        <w:tc>
          <w:tcPr>
            <w:tcW w:w="133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030213003012</w:t>
            </w:r>
          </w:p>
        </w:tc>
        <w:tc>
          <w:tcPr>
            <w:tcW w:w="5468" w:type="dxa"/>
            <w:gridSpan w:val="2"/>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装饰灯</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1.名称:单向疏散指示1*6W</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1.采购、安装</w:t>
            </w:r>
          </w:p>
        </w:tc>
        <w:tc>
          <w:tcPr>
            <w:tcW w:w="1020"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套</w:t>
            </w:r>
          </w:p>
        </w:tc>
        <w:tc>
          <w:tcPr>
            <w:tcW w:w="885"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w:t>
            </w:r>
          </w:p>
        </w:tc>
      </w:tr>
      <w:tr>
        <w:tblPrEx>
          <w:tblCellMar>
            <w:top w:w="0" w:type="dxa"/>
            <w:left w:w="0" w:type="dxa"/>
            <w:bottom w:w="0" w:type="dxa"/>
            <w:right w:w="0" w:type="dxa"/>
          </w:tblCellMar>
        </w:tblPrEx>
        <w:trPr>
          <w:trHeight w:val="1465" w:hRule="atLeast"/>
          <w:jc w:val="center"/>
        </w:trPr>
        <w:tc>
          <w:tcPr>
            <w:tcW w:w="917"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106</w:t>
            </w:r>
          </w:p>
        </w:tc>
        <w:tc>
          <w:tcPr>
            <w:tcW w:w="133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030213003013</w:t>
            </w:r>
          </w:p>
        </w:tc>
        <w:tc>
          <w:tcPr>
            <w:tcW w:w="5468" w:type="dxa"/>
            <w:gridSpan w:val="2"/>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装饰灯</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1.名称:双向疏散指示1*6W</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1.采购、安装</w:t>
            </w:r>
          </w:p>
        </w:tc>
        <w:tc>
          <w:tcPr>
            <w:tcW w:w="1020"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套</w:t>
            </w:r>
          </w:p>
        </w:tc>
        <w:tc>
          <w:tcPr>
            <w:tcW w:w="885"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w:t>
            </w:r>
          </w:p>
        </w:tc>
      </w:tr>
      <w:tr>
        <w:tblPrEx>
          <w:tblCellMar>
            <w:top w:w="0" w:type="dxa"/>
            <w:left w:w="0" w:type="dxa"/>
            <w:bottom w:w="0" w:type="dxa"/>
            <w:right w:w="0" w:type="dxa"/>
          </w:tblCellMar>
        </w:tblPrEx>
        <w:trPr>
          <w:trHeight w:val="1412" w:hRule="atLeast"/>
          <w:jc w:val="center"/>
        </w:trPr>
        <w:tc>
          <w:tcPr>
            <w:tcW w:w="917"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107</w:t>
            </w:r>
          </w:p>
        </w:tc>
        <w:tc>
          <w:tcPr>
            <w:tcW w:w="133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030213003014</w:t>
            </w:r>
          </w:p>
        </w:tc>
        <w:tc>
          <w:tcPr>
            <w:tcW w:w="5468" w:type="dxa"/>
            <w:gridSpan w:val="2"/>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装饰灯</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1.名称:应急灯2*6W</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1.采购、安装</w:t>
            </w:r>
          </w:p>
        </w:tc>
        <w:tc>
          <w:tcPr>
            <w:tcW w:w="1020"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套</w:t>
            </w:r>
          </w:p>
        </w:tc>
        <w:tc>
          <w:tcPr>
            <w:tcW w:w="885"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29</w:t>
            </w:r>
          </w:p>
        </w:tc>
      </w:tr>
      <w:tr>
        <w:tblPrEx>
          <w:tblCellMar>
            <w:top w:w="0" w:type="dxa"/>
            <w:left w:w="0" w:type="dxa"/>
            <w:bottom w:w="0" w:type="dxa"/>
            <w:right w:w="0" w:type="dxa"/>
          </w:tblCellMar>
        </w:tblPrEx>
        <w:trPr>
          <w:trHeight w:val="1482" w:hRule="atLeast"/>
          <w:jc w:val="center"/>
        </w:trPr>
        <w:tc>
          <w:tcPr>
            <w:tcW w:w="917"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108</w:t>
            </w:r>
          </w:p>
        </w:tc>
        <w:tc>
          <w:tcPr>
            <w:tcW w:w="133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030213003015</w:t>
            </w:r>
          </w:p>
        </w:tc>
        <w:tc>
          <w:tcPr>
            <w:tcW w:w="5468" w:type="dxa"/>
            <w:gridSpan w:val="2"/>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装饰灯</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1.名称:安全出口指示灯1*6W</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1.采购、安装</w:t>
            </w:r>
          </w:p>
        </w:tc>
        <w:tc>
          <w:tcPr>
            <w:tcW w:w="1020"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套</w:t>
            </w:r>
          </w:p>
        </w:tc>
        <w:tc>
          <w:tcPr>
            <w:tcW w:w="885"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19</w:t>
            </w:r>
          </w:p>
        </w:tc>
      </w:tr>
      <w:tr>
        <w:tblPrEx>
          <w:tblCellMar>
            <w:top w:w="0" w:type="dxa"/>
            <w:left w:w="0" w:type="dxa"/>
            <w:bottom w:w="0" w:type="dxa"/>
            <w:right w:w="0" w:type="dxa"/>
          </w:tblCellMar>
        </w:tblPrEx>
        <w:trPr>
          <w:trHeight w:val="1465" w:hRule="atLeast"/>
          <w:jc w:val="center"/>
        </w:trPr>
        <w:tc>
          <w:tcPr>
            <w:tcW w:w="917"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109</w:t>
            </w:r>
          </w:p>
        </w:tc>
        <w:tc>
          <w:tcPr>
            <w:tcW w:w="133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030213003016</w:t>
            </w:r>
          </w:p>
        </w:tc>
        <w:tc>
          <w:tcPr>
            <w:tcW w:w="5468" w:type="dxa"/>
            <w:gridSpan w:val="2"/>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装饰灯</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1.名称:壁灯1*5W</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1.采购、安装</w:t>
            </w:r>
          </w:p>
        </w:tc>
        <w:tc>
          <w:tcPr>
            <w:tcW w:w="1020"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套</w:t>
            </w:r>
          </w:p>
        </w:tc>
        <w:tc>
          <w:tcPr>
            <w:tcW w:w="885"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w:t>
            </w:r>
          </w:p>
        </w:tc>
      </w:tr>
      <w:tr>
        <w:tblPrEx>
          <w:tblCellMar>
            <w:top w:w="0" w:type="dxa"/>
            <w:left w:w="0" w:type="dxa"/>
            <w:bottom w:w="0" w:type="dxa"/>
            <w:right w:w="0" w:type="dxa"/>
          </w:tblCellMar>
        </w:tblPrEx>
        <w:trPr>
          <w:trHeight w:val="1510" w:hRule="atLeast"/>
          <w:jc w:val="center"/>
        </w:trPr>
        <w:tc>
          <w:tcPr>
            <w:tcW w:w="917"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110</w:t>
            </w:r>
          </w:p>
        </w:tc>
        <w:tc>
          <w:tcPr>
            <w:tcW w:w="133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030213003017</w:t>
            </w:r>
          </w:p>
        </w:tc>
        <w:tc>
          <w:tcPr>
            <w:tcW w:w="5468" w:type="dxa"/>
            <w:gridSpan w:val="2"/>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装饰灯</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1.名称:洗墙灯1*13W</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1.采购、安装</w:t>
            </w:r>
          </w:p>
        </w:tc>
        <w:tc>
          <w:tcPr>
            <w:tcW w:w="1020"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套</w:t>
            </w:r>
          </w:p>
        </w:tc>
        <w:tc>
          <w:tcPr>
            <w:tcW w:w="885"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w:t>
            </w:r>
          </w:p>
        </w:tc>
      </w:tr>
      <w:tr>
        <w:tblPrEx>
          <w:tblCellMar>
            <w:top w:w="0" w:type="dxa"/>
            <w:left w:w="0" w:type="dxa"/>
            <w:bottom w:w="0" w:type="dxa"/>
            <w:right w:w="0" w:type="dxa"/>
          </w:tblCellMar>
        </w:tblPrEx>
        <w:trPr>
          <w:trHeight w:val="1480" w:hRule="atLeast"/>
          <w:jc w:val="center"/>
        </w:trPr>
        <w:tc>
          <w:tcPr>
            <w:tcW w:w="917"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111</w:t>
            </w:r>
          </w:p>
        </w:tc>
        <w:tc>
          <w:tcPr>
            <w:tcW w:w="133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030213003018</w:t>
            </w:r>
          </w:p>
        </w:tc>
        <w:tc>
          <w:tcPr>
            <w:tcW w:w="5468" w:type="dxa"/>
            <w:gridSpan w:val="2"/>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装饰灯</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1.名称:射灯1*5W</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1.采购、安装</w:t>
            </w:r>
          </w:p>
        </w:tc>
        <w:tc>
          <w:tcPr>
            <w:tcW w:w="1020"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套</w:t>
            </w:r>
          </w:p>
        </w:tc>
        <w:tc>
          <w:tcPr>
            <w:tcW w:w="885"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w:t>
            </w:r>
          </w:p>
        </w:tc>
      </w:tr>
      <w:tr>
        <w:tblPrEx>
          <w:tblCellMar>
            <w:top w:w="0" w:type="dxa"/>
            <w:left w:w="0" w:type="dxa"/>
            <w:bottom w:w="0" w:type="dxa"/>
            <w:right w:w="0" w:type="dxa"/>
          </w:tblCellMar>
        </w:tblPrEx>
        <w:trPr>
          <w:trHeight w:val="132" w:hRule="atLeast"/>
          <w:jc w:val="center"/>
        </w:trPr>
        <w:tc>
          <w:tcPr>
            <w:tcW w:w="917" w:type="dxa"/>
            <w:tcBorders>
              <w:top w:val="single" w:color="000000" w:sz="4" w:space="0"/>
              <w:left w:val="single" w:color="000000" w:sz="8"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112</w:t>
            </w:r>
          </w:p>
        </w:tc>
        <w:tc>
          <w:tcPr>
            <w:tcW w:w="1339" w:type="dxa"/>
            <w:tcBorders>
              <w:top w:val="single" w:color="000000" w:sz="4" w:space="0"/>
              <w:left w:val="single" w:color="000000" w:sz="4"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030213003019</w:t>
            </w:r>
          </w:p>
        </w:tc>
        <w:tc>
          <w:tcPr>
            <w:tcW w:w="5468" w:type="dxa"/>
            <w:gridSpan w:val="2"/>
            <w:tcBorders>
              <w:top w:val="single" w:color="000000" w:sz="4" w:space="0"/>
              <w:left w:val="single" w:color="000000" w:sz="4"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装饰灯</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1.名称:吊灯1*15W</w:t>
            </w:r>
          </w:p>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1.采购、安装</w:t>
            </w:r>
          </w:p>
        </w:tc>
        <w:tc>
          <w:tcPr>
            <w:tcW w:w="1020" w:type="dxa"/>
            <w:tcBorders>
              <w:top w:val="single" w:color="000000" w:sz="4" w:space="0"/>
              <w:left w:val="single" w:color="000000" w:sz="4"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套</w:t>
            </w:r>
          </w:p>
        </w:tc>
        <w:tc>
          <w:tcPr>
            <w:tcW w:w="885" w:type="dxa"/>
            <w:tcBorders>
              <w:top w:val="single" w:color="000000" w:sz="4" w:space="0"/>
              <w:left w:val="single" w:color="000000" w:sz="4" w:space="0"/>
              <w:bottom w:val="single" w:color="000000" w:sz="8"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w:t>
            </w:r>
          </w:p>
        </w:tc>
      </w:tr>
      <w:tr>
        <w:tblPrEx>
          <w:tblCellMar>
            <w:top w:w="0" w:type="dxa"/>
            <w:left w:w="0" w:type="dxa"/>
            <w:bottom w:w="0" w:type="dxa"/>
            <w:right w:w="0" w:type="dxa"/>
          </w:tblCellMar>
        </w:tblPrEx>
        <w:trPr>
          <w:trHeight w:val="1568" w:hRule="atLeast"/>
          <w:jc w:val="center"/>
        </w:trPr>
        <w:tc>
          <w:tcPr>
            <w:tcW w:w="917"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113</w:t>
            </w:r>
          </w:p>
        </w:tc>
        <w:tc>
          <w:tcPr>
            <w:tcW w:w="133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030213003020</w:t>
            </w:r>
          </w:p>
        </w:tc>
        <w:tc>
          <w:tcPr>
            <w:tcW w:w="5468" w:type="dxa"/>
            <w:gridSpan w:val="2"/>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装饰灯</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1.名称:方形筒灯1*7W</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1.采购、安装</w:t>
            </w:r>
          </w:p>
        </w:tc>
        <w:tc>
          <w:tcPr>
            <w:tcW w:w="1020"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套</w:t>
            </w:r>
          </w:p>
        </w:tc>
        <w:tc>
          <w:tcPr>
            <w:tcW w:w="885"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w:t>
            </w:r>
          </w:p>
        </w:tc>
      </w:tr>
      <w:tr>
        <w:tblPrEx>
          <w:tblCellMar>
            <w:top w:w="0" w:type="dxa"/>
            <w:left w:w="0" w:type="dxa"/>
            <w:bottom w:w="0" w:type="dxa"/>
            <w:right w:w="0" w:type="dxa"/>
          </w:tblCellMar>
        </w:tblPrEx>
        <w:trPr>
          <w:trHeight w:val="1568" w:hRule="atLeast"/>
          <w:jc w:val="center"/>
        </w:trPr>
        <w:tc>
          <w:tcPr>
            <w:tcW w:w="917"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114</w:t>
            </w:r>
          </w:p>
        </w:tc>
        <w:tc>
          <w:tcPr>
            <w:tcW w:w="133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030213003021</w:t>
            </w:r>
          </w:p>
        </w:tc>
        <w:tc>
          <w:tcPr>
            <w:tcW w:w="5468" w:type="dxa"/>
            <w:gridSpan w:val="2"/>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装饰灯</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1.名称:灯条1*25W</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1.采购、安装</w:t>
            </w:r>
          </w:p>
        </w:tc>
        <w:tc>
          <w:tcPr>
            <w:tcW w:w="1020"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套</w:t>
            </w:r>
          </w:p>
        </w:tc>
        <w:tc>
          <w:tcPr>
            <w:tcW w:w="885"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r>
      <w:tr>
        <w:tblPrEx>
          <w:tblCellMar>
            <w:top w:w="0" w:type="dxa"/>
            <w:left w:w="0" w:type="dxa"/>
            <w:bottom w:w="0" w:type="dxa"/>
            <w:right w:w="0" w:type="dxa"/>
          </w:tblCellMar>
        </w:tblPrEx>
        <w:trPr>
          <w:trHeight w:val="1568" w:hRule="atLeast"/>
          <w:jc w:val="center"/>
        </w:trPr>
        <w:tc>
          <w:tcPr>
            <w:tcW w:w="917"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115</w:t>
            </w:r>
          </w:p>
        </w:tc>
        <w:tc>
          <w:tcPr>
            <w:tcW w:w="133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030213003022</w:t>
            </w:r>
          </w:p>
        </w:tc>
        <w:tc>
          <w:tcPr>
            <w:tcW w:w="5468" w:type="dxa"/>
            <w:gridSpan w:val="2"/>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装饰灯</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1.名称:灯带1*8W/米</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1.采购、安装</w:t>
            </w:r>
          </w:p>
        </w:tc>
        <w:tc>
          <w:tcPr>
            <w:tcW w:w="1020"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套</w:t>
            </w:r>
          </w:p>
        </w:tc>
        <w:tc>
          <w:tcPr>
            <w:tcW w:w="885"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171</w:t>
            </w:r>
          </w:p>
        </w:tc>
      </w:tr>
      <w:tr>
        <w:tblPrEx>
          <w:tblCellMar>
            <w:top w:w="0" w:type="dxa"/>
            <w:left w:w="0" w:type="dxa"/>
            <w:bottom w:w="0" w:type="dxa"/>
            <w:right w:w="0" w:type="dxa"/>
          </w:tblCellMar>
        </w:tblPrEx>
        <w:trPr>
          <w:trHeight w:val="364" w:hRule="atLeast"/>
          <w:jc w:val="center"/>
        </w:trPr>
        <w:tc>
          <w:tcPr>
            <w:tcW w:w="917"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jc w:val="left"/>
              <w:rPr>
                <w:rFonts w:hint="eastAsia" w:ascii="宋体" w:hAnsi="宋体" w:eastAsia="宋体" w:cs="宋体"/>
                <w:i w:val="0"/>
                <w:color w:val="000000"/>
                <w:sz w:val="20"/>
                <w:szCs w:val="20"/>
                <w:u w:val="none"/>
              </w:rPr>
            </w:pPr>
          </w:p>
        </w:tc>
        <w:tc>
          <w:tcPr>
            <w:tcW w:w="133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jc w:val="left"/>
              <w:rPr>
                <w:rFonts w:hint="eastAsia" w:ascii="宋体" w:hAnsi="宋体" w:eastAsia="宋体" w:cs="宋体"/>
                <w:i w:val="0"/>
                <w:color w:val="000000"/>
                <w:sz w:val="20"/>
                <w:szCs w:val="20"/>
                <w:u w:val="none"/>
              </w:rPr>
            </w:pPr>
          </w:p>
        </w:tc>
        <w:tc>
          <w:tcPr>
            <w:tcW w:w="5468" w:type="dxa"/>
            <w:gridSpan w:val="2"/>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智能项目末端集成</w:t>
            </w:r>
          </w:p>
        </w:tc>
        <w:tc>
          <w:tcPr>
            <w:tcW w:w="1020"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jc w:val="center"/>
              <w:rPr>
                <w:rFonts w:hint="eastAsia" w:ascii="宋体" w:hAnsi="宋体" w:eastAsia="宋体" w:cs="宋体"/>
                <w:i w:val="0"/>
                <w:color w:val="000000"/>
                <w:sz w:val="20"/>
                <w:szCs w:val="20"/>
                <w:u w:val="none"/>
              </w:rPr>
            </w:pPr>
          </w:p>
        </w:tc>
        <w:tc>
          <w:tcPr>
            <w:tcW w:w="885"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jc w:val="center"/>
              <w:rPr>
                <w:rFonts w:hint="eastAsia" w:ascii="宋体" w:hAnsi="宋体" w:eastAsia="宋体" w:cs="宋体"/>
                <w:i w:val="0"/>
                <w:color w:val="000000"/>
                <w:sz w:val="20"/>
                <w:szCs w:val="20"/>
                <w:u w:val="none"/>
              </w:rPr>
            </w:pPr>
          </w:p>
        </w:tc>
      </w:tr>
      <w:tr>
        <w:tblPrEx>
          <w:tblCellMar>
            <w:top w:w="0" w:type="dxa"/>
            <w:left w:w="0" w:type="dxa"/>
            <w:bottom w:w="0" w:type="dxa"/>
            <w:right w:w="0" w:type="dxa"/>
          </w:tblCellMar>
        </w:tblPrEx>
        <w:trPr>
          <w:trHeight w:val="364" w:hRule="atLeast"/>
          <w:jc w:val="center"/>
        </w:trPr>
        <w:tc>
          <w:tcPr>
            <w:tcW w:w="917"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116</w:t>
            </w:r>
          </w:p>
        </w:tc>
        <w:tc>
          <w:tcPr>
            <w:tcW w:w="133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CB025</w:t>
            </w:r>
          </w:p>
        </w:tc>
        <w:tc>
          <w:tcPr>
            <w:tcW w:w="5468" w:type="dxa"/>
            <w:gridSpan w:val="2"/>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智能项目末端集成</w:t>
            </w:r>
          </w:p>
        </w:tc>
        <w:tc>
          <w:tcPr>
            <w:tcW w:w="1020"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项</w:t>
            </w:r>
          </w:p>
        </w:tc>
        <w:tc>
          <w:tcPr>
            <w:tcW w:w="885"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r>
      <w:tr>
        <w:tblPrEx>
          <w:tblCellMar>
            <w:top w:w="0" w:type="dxa"/>
            <w:left w:w="0" w:type="dxa"/>
            <w:bottom w:w="0" w:type="dxa"/>
            <w:right w:w="0" w:type="dxa"/>
          </w:tblCellMar>
        </w:tblPrEx>
        <w:trPr>
          <w:trHeight w:val="364" w:hRule="atLeast"/>
          <w:jc w:val="center"/>
        </w:trPr>
        <w:tc>
          <w:tcPr>
            <w:tcW w:w="917"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jc w:val="center"/>
              <w:rPr>
                <w:rFonts w:hint="eastAsia" w:ascii="宋体" w:hAnsi="宋体" w:eastAsia="宋体" w:cs="宋体"/>
                <w:i w:val="0"/>
                <w:color w:val="000000"/>
                <w:sz w:val="20"/>
                <w:szCs w:val="20"/>
                <w:u w:val="none"/>
              </w:rPr>
            </w:pPr>
          </w:p>
        </w:tc>
        <w:tc>
          <w:tcPr>
            <w:tcW w:w="133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jc w:val="left"/>
              <w:rPr>
                <w:rFonts w:hint="eastAsia" w:ascii="宋体" w:hAnsi="宋体" w:eastAsia="宋体" w:cs="宋体"/>
                <w:i w:val="0"/>
                <w:color w:val="000000"/>
                <w:sz w:val="20"/>
                <w:szCs w:val="20"/>
                <w:u w:val="none"/>
              </w:rPr>
            </w:pPr>
          </w:p>
        </w:tc>
        <w:tc>
          <w:tcPr>
            <w:tcW w:w="5468" w:type="dxa"/>
            <w:gridSpan w:val="2"/>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jc w:val="left"/>
              <w:rPr>
                <w:rFonts w:hint="eastAsia" w:ascii="宋体" w:hAnsi="宋体" w:eastAsia="宋体" w:cs="宋体"/>
                <w:i w:val="0"/>
                <w:color w:val="000000"/>
                <w:sz w:val="20"/>
                <w:szCs w:val="20"/>
                <w:u w:val="none"/>
              </w:rPr>
            </w:pPr>
          </w:p>
        </w:tc>
        <w:tc>
          <w:tcPr>
            <w:tcW w:w="1020"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jc w:val="center"/>
              <w:rPr>
                <w:rFonts w:hint="eastAsia" w:ascii="宋体" w:hAnsi="宋体" w:eastAsia="宋体" w:cs="宋体"/>
                <w:i w:val="0"/>
                <w:color w:val="000000"/>
                <w:sz w:val="20"/>
                <w:szCs w:val="20"/>
                <w:u w:val="none"/>
              </w:rPr>
            </w:pPr>
          </w:p>
        </w:tc>
        <w:tc>
          <w:tcPr>
            <w:tcW w:w="885"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jc w:val="center"/>
              <w:rPr>
                <w:rFonts w:hint="eastAsia" w:ascii="宋体" w:hAnsi="宋体" w:eastAsia="宋体" w:cs="宋体"/>
                <w:i w:val="0"/>
                <w:color w:val="000000"/>
                <w:sz w:val="20"/>
                <w:szCs w:val="20"/>
                <w:u w:val="none"/>
              </w:rPr>
            </w:pPr>
          </w:p>
        </w:tc>
      </w:tr>
      <w:tr>
        <w:tblPrEx>
          <w:tblCellMar>
            <w:top w:w="0" w:type="dxa"/>
            <w:left w:w="0" w:type="dxa"/>
            <w:bottom w:w="0" w:type="dxa"/>
            <w:right w:w="0" w:type="dxa"/>
          </w:tblCellMar>
        </w:tblPrEx>
        <w:trPr>
          <w:trHeight w:val="364" w:hRule="atLeast"/>
          <w:jc w:val="center"/>
        </w:trPr>
        <w:tc>
          <w:tcPr>
            <w:tcW w:w="917"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jc w:val="center"/>
              <w:rPr>
                <w:rFonts w:hint="eastAsia" w:ascii="宋体" w:hAnsi="宋体" w:eastAsia="宋体" w:cs="宋体"/>
                <w:i w:val="0"/>
                <w:color w:val="000000"/>
                <w:sz w:val="20"/>
                <w:szCs w:val="20"/>
                <w:u w:val="none"/>
              </w:rPr>
            </w:pPr>
          </w:p>
        </w:tc>
        <w:tc>
          <w:tcPr>
            <w:tcW w:w="133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jc w:val="left"/>
              <w:rPr>
                <w:rFonts w:hint="eastAsia" w:ascii="宋体" w:hAnsi="宋体" w:eastAsia="宋体" w:cs="宋体"/>
                <w:i w:val="0"/>
                <w:color w:val="000000"/>
                <w:sz w:val="20"/>
                <w:szCs w:val="20"/>
                <w:u w:val="none"/>
              </w:rPr>
            </w:pPr>
          </w:p>
        </w:tc>
        <w:tc>
          <w:tcPr>
            <w:tcW w:w="5468" w:type="dxa"/>
            <w:gridSpan w:val="2"/>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jc w:val="left"/>
              <w:rPr>
                <w:rFonts w:hint="eastAsia" w:ascii="宋体" w:hAnsi="宋体" w:eastAsia="宋体" w:cs="宋体"/>
                <w:i w:val="0"/>
                <w:color w:val="000000"/>
                <w:sz w:val="20"/>
                <w:szCs w:val="20"/>
                <w:u w:val="none"/>
              </w:rPr>
            </w:pPr>
          </w:p>
        </w:tc>
        <w:tc>
          <w:tcPr>
            <w:tcW w:w="1020"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jc w:val="center"/>
              <w:rPr>
                <w:rFonts w:hint="eastAsia" w:ascii="宋体" w:hAnsi="宋体" w:eastAsia="宋体" w:cs="宋体"/>
                <w:i w:val="0"/>
                <w:color w:val="000000"/>
                <w:sz w:val="20"/>
                <w:szCs w:val="20"/>
                <w:u w:val="none"/>
              </w:rPr>
            </w:pPr>
          </w:p>
        </w:tc>
        <w:tc>
          <w:tcPr>
            <w:tcW w:w="885"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jc w:val="center"/>
              <w:rPr>
                <w:rFonts w:hint="eastAsia" w:ascii="宋体" w:hAnsi="宋体" w:eastAsia="宋体" w:cs="宋体"/>
                <w:i w:val="0"/>
                <w:color w:val="000000"/>
                <w:sz w:val="20"/>
                <w:szCs w:val="20"/>
                <w:u w:val="none"/>
              </w:rPr>
            </w:pPr>
          </w:p>
        </w:tc>
      </w:tr>
    </w:tbl>
    <w:p>
      <w:pPr>
        <w:rPr>
          <w:rFonts w:hint="eastAsia" w:ascii="宋体" w:hAnsi="宋体" w:eastAsia="宋体" w:cs="宋体"/>
          <w:i w:val="0"/>
          <w:color w:val="000000"/>
          <w:kern w:val="0"/>
          <w:sz w:val="18"/>
          <w:szCs w:val="18"/>
          <w:u w:val="none"/>
          <w:lang w:val="en-US" w:eastAsia="zh-CN" w:bidi="ar"/>
        </w:rPr>
      </w:pPr>
    </w:p>
    <w:p>
      <w:pPr>
        <w:pStyle w:val="2"/>
        <w:rPr>
          <w:rFonts w:hint="eastAsia" w:ascii="宋体" w:hAnsi="宋体" w:eastAsia="宋体" w:cs="宋体"/>
          <w:i w:val="0"/>
          <w:color w:val="000000"/>
          <w:kern w:val="0"/>
          <w:sz w:val="18"/>
          <w:szCs w:val="18"/>
          <w:u w:val="none"/>
          <w:lang w:val="en-US" w:eastAsia="zh-CN" w:bidi="ar"/>
        </w:rPr>
      </w:pPr>
    </w:p>
    <w:p>
      <w:pPr>
        <w:pStyle w:val="2"/>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br w:type="textWrapping"/>
      </w:r>
    </w:p>
    <w:p>
      <w:pPr>
        <w:pStyle w:val="2"/>
        <w:rPr>
          <w:rFonts w:hint="eastAsia" w:ascii="宋体" w:hAnsi="宋体" w:eastAsia="宋体" w:cs="宋体"/>
          <w:i w:val="0"/>
          <w:color w:val="000000"/>
          <w:kern w:val="0"/>
          <w:sz w:val="18"/>
          <w:szCs w:val="18"/>
          <w:u w:val="none"/>
          <w:lang w:val="en-US" w:eastAsia="zh-CN" w:bidi="ar"/>
        </w:rPr>
      </w:pPr>
    </w:p>
    <w:p>
      <w:pPr>
        <w:pStyle w:val="2"/>
        <w:rPr>
          <w:rFonts w:hint="eastAsia" w:ascii="宋体" w:hAnsi="宋体" w:eastAsia="宋体" w:cs="宋体"/>
          <w:i w:val="0"/>
          <w:color w:val="000000"/>
          <w:kern w:val="0"/>
          <w:sz w:val="18"/>
          <w:szCs w:val="18"/>
          <w:u w:val="none"/>
          <w:lang w:val="en-US" w:eastAsia="zh-CN" w:bidi="ar"/>
        </w:rPr>
      </w:pPr>
    </w:p>
    <w:tbl>
      <w:tblPr>
        <w:tblStyle w:val="23"/>
        <w:tblpPr w:leftFromText="180" w:rightFromText="180" w:vertAnchor="text" w:horzAnchor="page" w:tblpXSpec="center" w:tblpY="336"/>
        <w:tblOverlap w:val="never"/>
        <w:tblW w:w="9595" w:type="dxa"/>
        <w:jc w:val="center"/>
        <w:tblLayout w:type="autofit"/>
        <w:tblCellMar>
          <w:top w:w="0" w:type="dxa"/>
          <w:left w:w="0" w:type="dxa"/>
          <w:bottom w:w="0" w:type="dxa"/>
          <w:right w:w="0" w:type="dxa"/>
        </w:tblCellMar>
      </w:tblPr>
      <w:tblGrid>
        <w:gridCol w:w="865"/>
        <w:gridCol w:w="1365"/>
        <w:gridCol w:w="2910"/>
        <w:gridCol w:w="2299"/>
        <w:gridCol w:w="164"/>
        <w:gridCol w:w="1020"/>
        <w:gridCol w:w="972"/>
      </w:tblGrid>
      <w:tr>
        <w:tblPrEx>
          <w:tblCellMar>
            <w:top w:w="0" w:type="dxa"/>
            <w:left w:w="0" w:type="dxa"/>
            <w:bottom w:w="0" w:type="dxa"/>
            <w:right w:w="0" w:type="dxa"/>
          </w:tblCellMar>
        </w:tblPrEx>
        <w:trPr>
          <w:trHeight w:val="718" w:hRule="atLeast"/>
          <w:jc w:val="center"/>
        </w:trPr>
        <w:tc>
          <w:tcPr>
            <w:tcW w:w="9595" w:type="dxa"/>
            <w:gridSpan w:val="7"/>
            <w:tcBorders>
              <w:top w:val="nil"/>
              <w:left w:val="nil"/>
              <w:bottom w:val="nil"/>
              <w:right w:val="nil"/>
            </w:tcBorders>
            <w:shd w:val="clear" w:color="FFFFFF" w:fill="FFFFFF"/>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40"/>
                <w:szCs w:val="40"/>
                <w:u w:val="none"/>
              </w:rPr>
            </w:pPr>
            <w:r>
              <w:rPr>
                <w:rFonts w:hint="eastAsia" w:ascii="宋体" w:hAnsi="宋体" w:eastAsia="宋体" w:cs="宋体"/>
                <w:b/>
                <w:i w:val="0"/>
                <w:color w:val="000000"/>
                <w:kern w:val="0"/>
                <w:sz w:val="40"/>
                <w:szCs w:val="40"/>
                <w:u w:val="none"/>
                <w:lang w:val="en-US" w:eastAsia="zh-CN" w:bidi="ar"/>
              </w:rPr>
              <w:t>分部分项工程量清单</w:t>
            </w:r>
          </w:p>
        </w:tc>
      </w:tr>
      <w:tr>
        <w:tblPrEx>
          <w:tblCellMar>
            <w:top w:w="0" w:type="dxa"/>
            <w:left w:w="0" w:type="dxa"/>
            <w:bottom w:w="0" w:type="dxa"/>
            <w:right w:w="0" w:type="dxa"/>
          </w:tblCellMar>
        </w:tblPrEx>
        <w:trPr>
          <w:trHeight w:val="90" w:hRule="atLeast"/>
          <w:jc w:val="center"/>
        </w:trPr>
        <w:tc>
          <w:tcPr>
            <w:tcW w:w="5140" w:type="dxa"/>
            <w:gridSpan w:val="3"/>
            <w:tcBorders>
              <w:top w:val="nil"/>
              <w:left w:val="nil"/>
              <w:bottom w:val="nil"/>
              <w:right w:val="nil"/>
            </w:tcBorders>
            <w:shd w:val="clear" w:color="FFFFFF" w:fill="FFFFFF"/>
            <w:noWrap w:val="0"/>
            <w:tcMar>
              <w:top w:w="12" w:type="dxa"/>
              <w:left w:w="12" w:type="dxa"/>
              <w:right w:w="12" w:type="dxa"/>
            </w:tcMar>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工程名称：通风工程</w:t>
            </w:r>
          </w:p>
        </w:tc>
        <w:tc>
          <w:tcPr>
            <w:tcW w:w="2299" w:type="dxa"/>
            <w:tcBorders>
              <w:top w:val="nil"/>
              <w:left w:val="nil"/>
              <w:bottom w:val="nil"/>
              <w:right w:val="nil"/>
            </w:tcBorders>
            <w:shd w:val="clear" w:color="FFFFFF" w:fill="FFFFFF"/>
            <w:noWrap w:val="0"/>
            <w:tcMar>
              <w:top w:w="12" w:type="dxa"/>
              <w:left w:w="12" w:type="dxa"/>
              <w:right w:w="12" w:type="dxa"/>
            </w:tcMar>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专业：通风 空调工程</w:t>
            </w:r>
          </w:p>
        </w:tc>
        <w:tc>
          <w:tcPr>
            <w:tcW w:w="2156" w:type="dxa"/>
            <w:gridSpan w:val="3"/>
            <w:tcBorders>
              <w:top w:val="nil"/>
              <w:left w:val="nil"/>
              <w:bottom w:val="nil"/>
              <w:right w:val="nil"/>
            </w:tcBorders>
            <w:shd w:val="clear" w:color="FFFFFF" w:fill="FFFFFF"/>
            <w:noWrap w:val="0"/>
            <w:tcMar>
              <w:top w:w="12" w:type="dxa"/>
              <w:left w:w="12" w:type="dxa"/>
              <w:right w:w="12" w:type="dxa"/>
            </w:tcMar>
            <w:vAlign w:val="bottom"/>
          </w:tcPr>
          <w:p>
            <w:pPr>
              <w:keepNext w:val="0"/>
              <w:keepLines w:val="0"/>
              <w:widowControl/>
              <w:suppressLineNumbers w:val="0"/>
              <w:jc w:val="right"/>
              <w:textAlignment w:val="bottom"/>
              <w:rPr>
                <w:rFonts w:hint="eastAsia" w:ascii="宋体" w:hAnsi="宋体" w:eastAsia="宋体" w:cs="宋体"/>
                <w:i w:val="0"/>
                <w:color w:val="000000"/>
                <w:sz w:val="20"/>
                <w:szCs w:val="20"/>
                <w:u w:val="none"/>
              </w:rPr>
            </w:pPr>
          </w:p>
        </w:tc>
      </w:tr>
      <w:tr>
        <w:tblPrEx>
          <w:tblCellMar>
            <w:top w:w="0" w:type="dxa"/>
            <w:left w:w="0" w:type="dxa"/>
            <w:bottom w:w="0" w:type="dxa"/>
            <w:right w:w="0" w:type="dxa"/>
          </w:tblCellMar>
        </w:tblPrEx>
        <w:trPr>
          <w:trHeight w:val="412" w:hRule="atLeast"/>
          <w:jc w:val="center"/>
        </w:trPr>
        <w:tc>
          <w:tcPr>
            <w:tcW w:w="865" w:type="dxa"/>
            <w:tcBorders>
              <w:top w:val="single" w:color="000000" w:sz="8"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序号</w:t>
            </w:r>
          </w:p>
        </w:tc>
        <w:tc>
          <w:tcPr>
            <w:tcW w:w="1365" w:type="dxa"/>
            <w:tcBorders>
              <w:top w:val="single" w:color="000000" w:sz="8"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项目编码</w:t>
            </w:r>
          </w:p>
        </w:tc>
        <w:tc>
          <w:tcPr>
            <w:tcW w:w="5373" w:type="dxa"/>
            <w:gridSpan w:val="3"/>
            <w:tcBorders>
              <w:top w:val="single" w:color="000000" w:sz="8"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项目名称</w:t>
            </w:r>
          </w:p>
        </w:tc>
        <w:tc>
          <w:tcPr>
            <w:tcW w:w="1020" w:type="dxa"/>
            <w:tcBorders>
              <w:top w:val="single" w:color="000000" w:sz="8"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计量单位</w:t>
            </w:r>
          </w:p>
        </w:tc>
        <w:tc>
          <w:tcPr>
            <w:tcW w:w="972" w:type="dxa"/>
            <w:tcBorders>
              <w:top w:val="single" w:color="000000" w:sz="8"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工程数量</w:t>
            </w:r>
          </w:p>
        </w:tc>
      </w:tr>
      <w:tr>
        <w:tblPrEx>
          <w:tblCellMar>
            <w:top w:w="0" w:type="dxa"/>
            <w:left w:w="0" w:type="dxa"/>
            <w:bottom w:w="0" w:type="dxa"/>
            <w:right w:w="0" w:type="dxa"/>
          </w:tblCellMar>
        </w:tblPrEx>
        <w:trPr>
          <w:trHeight w:val="90" w:hRule="atLeast"/>
          <w:jc w:val="center"/>
        </w:trPr>
        <w:tc>
          <w:tcPr>
            <w:tcW w:w="865"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c>
          <w:tcPr>
            <w:tcW w:w="1365"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030901002001</w:t>
            </w:r>
          </w:p>
        </w:tc>
        <w:tc>
          <w:tcPr>
            <w:tcW w:w="5373"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通风机</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形式、规格:新风换气机XHBQ-D50H型（新风量（m³/h）：5000,机外静压（Pa）:260，制冷焓回收率（%）：61，制热焓回收率（%）：64，电源：380V-50Hz，噪音（dB）：68，输入功率（W）：3000，净重（Kg）:30,外形尺寸mm（长*宽*高）：1890*1605*705）</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1.安装</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2.减振台座制作、安装</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3.设备支架制作、安装</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4.软管接口制作、安装</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5.支架台座除锈、刷油</w:t>
            </w:r>
          </w:p>
        </w:tc>
        <w:tc>
          <w:tcPr>
            <w:tcW w:w="1020"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台</w:t>
            </w:r>
          </w:p>
        </w:tc>
        <w:tc>
          <w:tcPr>
            <w:tcW w:w="972"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r>
      <w:tr>
        <w:tblPrEx>
          <w:tblCellMar>
            <w:top w:w="0" w:type="dxa"/>
            <w:left w:w="0" w:type="dxa"/>
            <w:bottom w:w="0" w:type="dxa"/>
            <w:right w:w="0" w:type="dxa"/>
          </w:tblCellMar>
        </w:tblPrEx>
        <w:trPr>
          <w:trHeight w:val="4603" w:hRule="atLeast"/>
          <w:jc w:val="center"/>
        </w:trPr>
        <w:tc>
          <w:tcPr>
            <w:tcW w:w="865"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w:t>
            </w:r>
          </w:p>
        </w:tc>
        <w:tc>
          <w:tcPr>
            <w:tcW w:w="1365"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030902001001</w:t>
            </w:r>
          </w:p>
        </w:tc>
        <w:tc>
          <w:tcPr>
            <w:tcW w:w="5373"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碳钢通风管道制作安装</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1.材质:镀锌钢板</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2.形状:矩形</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3.周长或直径:2000以内</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4.板材厚度:0.6</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5.接口形式:咬口</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1.风管、管件、法兰、零件、支吊架制作、安装</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2.弯头导流叶片制作、安装</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3.过跨风管落地支架制作、安装</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4.风管检查孔制作</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5.温度、风量测定孔制作</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6.风管保温及保护层</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7.风管、法兰、法兰加固框、支吊架、保护层除锈、刷油</w:t>
            </w:r>
          </w:p>
        </w:tc>
        <w:tc>
          <w:tcPr>
            <w:tcW w:w="1020"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m2</w:t>
            </w:r>
          </w:p>
        </w:tc>
        <w:tc>
          <w:tcPr>
            <w:tcW w:w="972"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70.05</w:t>
            </w:r>
          </w:p>
        </w:tc>
      </w:tr>
      <w:tr>
        <w:tblPrEx>
          <w:tblCellMar>
            <w:top w:w="0" w:type="dxa"/>
            <w:left w:w="0" w:type="dxa"/>
            <w:bottom w:w="0" w:type="dxa"/>
            <w:right w:w="0" w:type="dxa"/>
          </w:tblCellMar>
        </w:tblPrEx>
        <w:trPr>
          <w:trHeight w:val="872" w:hRule="atLeast"/>
          <w:jc w:val="center"/>
        </w:trPr>
        <w:tc>
          <w:tcPr>
            <w:tcW w:w="865"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3</w:t>
            </w:r>
          </w:p>
        </w:tc>
        <w:tc>
          <w:tcPr>
            <w:tcW w:w="1365"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030902001002</w:t>
            </w:r>
          </w:p>
        </w:tc>
        <w:tc>
          <w:tcPr>
            <w:tcW w:w="5373"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碳钢通风管道制作安装</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1.材质:镀锌钢板</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2.形状:矩形</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3.周长或直径:4000以内</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4.板材厚度:0.6</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5.接口形式:咬口</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1.风管、管件、法兰、零件、支吊架制作、安装</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2.弯头导流叶片制作、安装</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3.过跨风管落地支架制作、安装</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4.风管检查孔制作</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5.温度、风量测定孔制作</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6.风管、法兰、法兰加固框、支吊架、保护层除锈、刷油</w:t>
            </w:r>
          </w:p>
        </w:tc>
        <w:tc>
          <w:tcPr>
            <w:tcW w:w="1020"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m2</w:t>
            </w:r>
          </w:p>
        </w:tc>
        <w:tc>
          <w:tcPr>
            <w:tcW w:w="972"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47.44</w:t>
            </w:r>
          </w:p>
        </w:tc>
      </w:tr>
      <w:tr>
        <w:tblPrEx>
          <w:tblCellMar>
            <w:top w:w="0" w:type="dxa"/>
            <w:left w:w="0" w:type="dxa"/>
            <w:bottom w:w="0" w:type="dxa"/>
            <w:right w:w="0" w:type="dxa"/>
          </w:tblCellMar>
        </w:tblPrEx>
        <w:trPr>
          <w:trHeight w:val="990" w:hRule="atLeast"/>
          <w:jc w:val="center"/>
        </w:trPr>
        <w:tc>
          <w:tcPr>
            <w:tcW w:w="865" w:type="dxa"/>
            <w:tcBorders>
              <w:top w:val="single" w:color="000000" w:sz="4" w:space="0"/>
              <w:left w:val="single" w:color="000000" w:sz="8"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w:t>
            </w:r>
          </w:p>
        </w:tc>
        <w:tc>
          <w:tcPr>
            <w:tcW w:w="1365" w:type="dxa"/>
            <w:tcBorders>
              <w:top w:val="single" w:color="000000" w:sz="4" w:space="0"/>
              <w:left w:val="single" w:color="000000" w:sz="4"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030902008001</w:t>
            </w:r>
          </w:p>
        </w:tc>
        <w:tc>
          <w:tcPr>
            <w:tcW w:w="5373" w:type="dxa"/>
            <w:gridSpan w:val="3"/>
            <w:tcBorders>
              <w:top w:val="single" w:color="000000" w:sz="4" w:space="0"/>
              <w:left w:val="single" w:color="000000" w:sz="4"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柔性软风管</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1.规格:φ250</w:t>
            </w:r>
          </w:p>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1.安装</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2.风管接头安装</w:t>
            </w:r>
          </w:p>
        </w:tc>
        <w:tc>
          <w:tcPr>
            <w:tcW w:w="1020" w:type="dxa"/>
            <w:tcBorders>
              <w:top w:val="single" w:color="000000" w:sz="4" w:space="0"/>
              <w:left w:val="single" w:color="000000" w:sz="4"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w:t>
            </w:r>
          </w:p>
        </w:tc>
        <w:tc>
          <w:tcPr>
            <w:tcW w:w="972" w:type="dxa"/>
            <w:tcBorders>
              <w:top w:val="single" w:color="000000" w:sz="4" w:space="0"/>
              <w:left w:val="single" w:color="000000" w:sz="4" w:space="0"/>
              <w:bottom w:val="single" w:color="000000" w:sz="8"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67.2</w:t>
            </w:r>
          </w:p>
        </w:tc>
      </w:tr>
      <w:tr>
        <w:tblPrEx>
          <w:tblCellMar>
            <w:top w:w="0" w:type="dxa"/>
            <w:left w:w="0" w:type="dxa"/>
            <w:bottom w:w="0" w:type="dxa"/>
            <w:right w:w="0" w:type="dxa"/>
          </w:tblCellMar>
        </w:tblPrEx>
        <w:trPr>
          <w:trHeight w:val="1935" w:hRule="atLeast"/>
          <w:jc w:val="center"/>
        </w:trPr>
        <w:tc>
          <w:tcPr>
            <w:tcW w:w="865"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w:t>
            </w:r>
          </w:p>
        </w:tc>
        <w:tc>
          <w:tcPr>
            <w:tcW w:w="1365"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030903019001</w:t>
            </w:r>
          </w:p>
        </w:tc>
        <w:tc>
          <w:tcPr>
            <w:tcW w:w="5373"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柔性接口及伸缩节制作安装</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1.材质:帆布软接</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1.制作</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2.安装</w:t>
            </w:r>
          </w:p>
        </w:tc>
        <w:tc>
          <w:tcPr>
            <w:tcW w:w="1020"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m2</w:t>
            </w:r>
          </w:p>
        </w:tc>
        <w:tc>
          <w:tcPr>
            <w:tcW w:w="972"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0.75</w:t>
            </w:r>
          </w:p>
        </w:tc>
      </w:tr>
      <w:tr>
        <w:tblPrEx>
          <w:tblCellMar>
            <w:top w:w="0" w:type="dxa"/>
            <w:left w:w="0" w:type="dxa"/>
            <w:bottom w:w="0" w:type="dxa"/>
            <w:right w:w="0" w:type="dxa"/>
          </w:tblCellMar>
        </w:tblPrEx>
        <w:trPr>
          <w:trHeight w:val="1935" w:hRule="atLeast"/>
          <w:jc w:val="center"/>
        </w:trPr>
        <w:tc>
          <w:tcPr>
            <w:tcW w:w="865"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w:t>
            </w:r>
          </w:p>
        </w:tc>
        <w:tc>
          <w:tcPr>
            <w:tcW w:w="1365"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030903011001</w:t>
            </w:r>
          </w:p>
        </w:tc>
        <w:tc>
          <w:tcPr>
            <w:tcW w:w="5373"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铝及铝合金风口散流器制作安装</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1.类型:单层百叶风口630*400</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1.制作</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2.安装</w:t>
            </w:r>
          </w:p>
        </w:tc>
        <w:tc>
          <w:tcPr>
            <w:tcW w:w="1020"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个</w:t>
            </w:r>
          </w:p>
        </w:tc>
        <w:tc>
          <w:tcPr>
            <w:tcW w:w="972"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r>
      <w:tr>
        <w:tblPrEx>
          <w:tblCellMar>
            <w:top w:w="0" w:type="dxa"/>
            <w:left w:w="0" w:type="dxa"/>
            <w:bottom w:w="0" w:type="dxa"/>
            <w:right w:w="0" w:type="dxa"/>
          </w:tblCellMar>
        </w:tblPrEx>
        <w:trPr>
          <w:trHeight w:val="1935" w:hRule="atLeast"/>
          <w:jc w:val="center"/>
        </w:trPr>
        <w:tc>
          <w:tcPr>
            <w:tcW w:w="865"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w:t>
            </w:r>
          </w:p>
        </w:tc>
        <w:tc>
          <w:tcPr>
            <w:tcW w:w="1365"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030903011002</w:t>
            </w:r>
          </w:p>
        </w:tc>
        <w:tc>
          <w:tcPr>
            <w:tcW w:w="5373"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铝及铝合金风口散流器制作安装</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1.类型:单层百叶风口400*400</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1.制作</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2.安装</w:t>
            </w:r>
          </w:p>
        </w:tc>
        <w:tc>
          <w:tcPr>
            <w:tcW w:w="1020"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个</w:t>
            </w:r>
          </w:p>
        </w:tc>
        <w:tc>
          <w:tcPr>
            <w:tcW w:w="972"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r>
      <w:tr>
        <w:tblPrEx>
          <w:tblCellMar>
            <w:top w:w="0" w:type="dxa"/>
            <w:left w:w="0" w:type="dxa"/>
            <w:bottom w:w="0" w:type="dxa"/>
            <w:right w:w="0" w:type="dxa"/>
          </w:tblCellMar>
        </w:tblPrEx>
        <w:trPr>
          <w:trHeight w:val="392" w:hRule="atLeast"/>
          <w:jc w:val="center"/>
        </w:trPr>
        <w:tc>
          <w:tcPr>
            <w:tcW w:w="865"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8</w:t>
            </w:r>
          </w:p>
        </w:tc>
        <w:tc>
          <w:tcPr>
            <w:tcW w:w="1365"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030904001001</w:t>
            </w:r>
          </w:p>
        </w:tc>
        <w:tc>
          <w:tcPr>
            <w:tcW w:w="5373"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通风工程检测、调试</w:t>
            </w:r>
          </w:p>
        </w:tc>
        <w:tc>
          <w:tcPr>
            <w:tcW w:w="1020"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系统</w:t>
            </w:r>
          </w:p>
        </w:tc>
        <w:tc>
          <w:tcPr>
            <w:tcW w:w="972"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r>
      <w:tr>
        <w:tblPrEx>
          <w:tblCellMar>
            <w:top w:w="0" w:type="dxa"/>
            <w:left w:w="0" w:type="dxa"/>
            <w:bottom w:w="0" w:type="dxa"/>
            <w:right w:w="0" w:type="dxa"/>
          </w:tblCellMar>
        </w:tblPrEx>
        <w:trPr>
          <w:trHeight w:val="392" w:hRule="atLeast"/>
          <w:jc w:val="center"/>
        </w:trPr>
        <w:tc>
          <w:tcPr>
            <w:tcW w:w="865"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宋体" w:hAnsi="宋体" w:eastAsia="宋体" w:cs="宋体"/>
                <w:i w:val="0"/>
                <w:color w:val="000000"/>
                <w:sz w:val="20"/>
                <w:szCs w:val="20"/>
                <w:u w:val="none"/>
              </w:rPr>
            </w:pPr>
          </w:p>
        </w:tc>
        <w:tc>
          <w:tcPr>
            <w:tcW w:w="1365"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rPr>
                <w:rFonts w:hint="eastAsia" w:ascii="宋体" w:hAnsi="宋体" w:eastAsia="宋体" w:cs="宋体"/>
                <w:i w:val="0"/>
                <w:color w:val="000000"/>
                <w:sz w:val="20"/>
                <w:szCs w:val="20"/>
                <w:u w:val="none"/>
              </w:rPr>
            </w:pPr>
          </w:p>
        </w:tc>
        <w:tc>
          <w:tcPr>
            <w:tcW w:w="5373"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rPr>
                <w:rFonts w:hint="eastAsia" w:ascii="宋体" w:hAnsi="宋体" w:eastAsia="宋体" w:cs="宋体"/>
                <w:i w:val="0"/>
                <w:color w:val="000000"/>
                <w:sz w:val="20"/>
                <w:szCs w:val="20"/>
                <w:u w:val="none"/>
              </w:rPr>
            </w:pPr>
          </w:p>
        </w:tc>
        <w:tc>
          <w:tcPr>
            <w:tcW w:w="1020"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宋体" w:hAnsi="宋体" w:eastAsia="宋体" w:cs="宋体"/>
                <w:i w:val="0"/>
                <w:color w:val="000000"/>
                <w:sz w:val="20"/>
                <w:szCs w:val="20"/>
                <w:u w:val="none"/>
              </w:rPr>
            </w:pPr>
          </w:p>
        </w:tc>
        <w:tc>
          <w:tcPr>
            <w:tcW w:w="972"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宋体" w:hAnsi="宋体" w:eastAsia="宋体" w:cs="宋体"/>
                <w:i w:val="0"/>
                <w:color w:val="000000"/>
                <w:sz w:val="20"/>
                <w:szCs w:val="20"/>
                <w:u w:val="none"/>
              </w:rPr>
            </w:pPr>
          </w:p>
        </w:tc>
      </w:tr>
      <w:tr>
        <w:tblPrEx>
          <w:tblCellMar>
            <w:top w:w="0" w:type="dxa"/>
            <w:left w:w="0" w:type="dxa"/>
            <w:bottom w:w="0" w:type="dxa"/>
            <w:right w:w="0" w:type="dxa"/>
          </w:tblCellMar>
        </w:tblPrEx>
        <w:trPr>
          <w:trHeight w:val="392" w:hRule="atLeast"/>
          <w:jc w:val="center"/>
        </w:trPr>
        <w:tc>
          <w:tcPr>
            <w:tcW w:w="865"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宋体" w:hAnsi="宋体" w:eastAsia="宋体" w:cs="宋体"/>
                <w:i w:val="0"/>
                <w:color w:val="000000"/>
                <w:sz w:val="20"/>
                <w:szCs w:val="20"/>
                <w:u w:val="none"/>
              </w:rPr>
            </w:pPr>
          </w:p>
        </w:tc>
        <w:tc>
          <w:tcPr>
            <w:tcW w:w="1365"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rPr>
                <w:rFonts w:hint="eastAsia" w:ascii="宋体" w:hAnsi="宋体" w:eastAsia="宋体" w:cs="宋体"/>
                <w:i w:val="0"/>
                <w:color w:val="000000"/>
                <w:sz w:val="20"/>
                <w:szCs w:val="20"/>
                <w:u w:val="none"/>
              </w:rPr>
            </w:pPr>
          </w:p>
        </w:tc>
        <w:tc>
          <w:tcPr>
            <w:tcW w:w="5373"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rPr>
                <w:rFonts w:hint="eastAsia" w:ascii="宋体" w:hAnsi="宋体" w:eastAsia="宋体" w:cs="宋体"/>
                <w:i w:val="0"/>
                <w:color w:val="000000"/>
                <w:sz w:val="20"/>
                <w:szCs w:val="20"/>
                <w:u w:val="none"/>
              </w:rPr>
            </w:pPr>
          </w:p>
        </w:tc>
        <w:tc>
          <w:tcPr>
            <w:tcW w:w="1020"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宋体" w:hAnsi="宋体" w:eastAsia="宋体" w:cs="宋体"/>
                <w:i w:val="0"/>
                <w:color w:val="000000"/>
                <w:sz w:val="20"/>
                <w:szCs w:val="20"/>
                <w:u w:val="none"/>
              </w:rPr>
            </w:pPr>
          </w:p>
        </w:tc>
        <w:tc>
          <w:tcPr>
            <w:tcW w:w="972"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宋体" w:hAnsi="宋体" w:eastAsia="宋体" w:cs="宋体"/>
                <w:i w:val="0"/>
                <w:color w:val="000000"/>
                <w:sz w:val="20"/>
                <w:szCs w:val="20"/>
                <w:u w:val="none"/>
              </w:rPr>
            </w:pPr>
          </w:p>
        </w:tc>
      </w:tr>
      <w:tr>
        <w:tblPrEx>
          <w:tblCellMar>
            <w:top w:w="0" w:type="dxa"/>
            <w:left w:w="0" w:type="dxa"/>
            <w:bottom w:w="0" w:type="dxa"/>
            <w:right w:w="0" w:type="dxa"/>
          </w:tblCellMar>
        </w:tblPrEx>
        <w:trPr>
          <w:trHeight w:val="412" w:hRule="atLeast"/>
          <w:jc w:val="center"/>
        </w:trPr>
        <w:tc>
          <w:tcPr>
            <w:tcW w:w="865"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宋体" w:hAnsi="宋体" w:eastAsia="宋体" w:cs="宋体"/>
                <w:i w:val="0"/>
                <w:color w:val="000000"/>
                <w:sz w:val="20"/>
                <w:szCs w:val="20"/>
                <w:u w:val="none"/>
              </w:rPr>
            </w:pPr>
          </w:p>
        </w:tc>
        <w:tc>
          <w:tcPr>
            <w:tcW w:w="1365"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rPr>
                <w:rFonts w:hint="eastAsia" w:ascii="宋体" w:hAnsi="宋体" w:eastAsia="宋体" w:cs="宋体"/>
                <w:i w:val="0"/>
                <w:color w:val="000000"/>
                <w:sz w:val="20"/>
                <w:szCs w:val="20"/>
                <w:u w:val="none"/>
              </w:rPr>
            </w:pPr>
          </w:p>
        </w:tc>
        <w:tc>
          <w:tcPr>
            <w:tcW w:w="5373"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rPr>
                <w:rFonts w:hint="eastAsia" w:ascii="宋体" w:hAnsi="宋体" w:eastAsia="宋体" w:cs="宋体"/>
                <w:i w:val="0"/>
                <w:color w:val="000000"/>
                <w:sz w:val="20"/>
                <w:szCs w:val="20"/>
                <w:u w:val="none"/>
              </w:rPr>
            </w:pPr>
          </w:p>
        </w:tc>
        <w:tc>
          <w:tcPr>
            <w:tcW w:w="1020"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宋体" w:hAnsi="宋体" w:eastAsia="宋体" w:cs="宋体"/>
                <w:i w:val="0"/>
                <w:color w:val="000000"/>
                <w:sz w:val="20"/>
                <w:szCs w:val="20"/>
                <w:u w:val="none"/>
              </w:rPr>
            </w:pPr>
          </w:p>
        </w:tc>
        <w:tc>
          <w:tcPr>
            <w:tcW w:w="972"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宋体" w:hAnsi="宋体" w:eastAsia="宋体" w:cs="宋体"/>
                <w:i w:val="0"/>
                <w:color w:val="000000"/>
                <w:sz w:val="20"/>
                <w:szCs w:val="20"/>
                <w:u w:val="none"/>
              </w:rPr>
            </w:pPr>
          </w:p>
        </w:tc>
      </w:tr>
    </w:tbl>
    <w:p>
      <w:pPr>
        <w:pStyle w:val="2"/>
        <w:ind w:left="0" w:leftChars="0" w:firstLine="0" w:firstLineChars="0"/>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注：安全文明施工措施费为不可竞争费用，应按规定在规费、税金项目清单计价表计算。</w:t>
      </w:r>
    </w:p>
    <w:p>
      <w:pPr>
        <w:pStyle w:val="2"/>
        <w:ind w:left="0" w:leftChars="0" w:firstLine="0" w:firstLineChars="0"/>
        <w:rPr>
          <w:rFonts w:hint="eastAsia" w:ascii="宋体" w:hAnsi="宋体" w:eastAsia="宋体" w:cs="宋体"/>
          <w:i w:val="0"/>
          <w:color w:val="000000"/>
          <w:kern w:val="0"/>
          <w:sz w:val="18"/>
          <w:szCs w:val="18"/>
          <w:u w:val="none"/>
          <w:lang w:val="en-US" w:eastAsia="zh-CN" w:bidi="ar"/>
        </w:rPr>
      </w:pPr>
    </w:p>
    <w:p>
      <w:pPr>
        <w:pStyle w:val="2"/>
        <w:ind w:left="0" w:leftChars="0" w:firstLine="0" w:firstLineChars="0"/>
        <w:rPr>
          <w:rFonts w:hint="eastAsia" w:ascii="宋体" w:hAnsi="宋体" w:eastAsia="宋体" w:cs="宋体"/>
          <w:i w:val="0"/>
          <w:color w:val="000000"/>
          <w:kern w:val="0"/>
          <w:sz w:val="18"/>
          <w:szCs w:val="18"/>
          <w:u w:val="none"/>
          <w:lang w:val="en-US" w:eastAsia="zh-CN" w:bidi="ar"/>
        </w:rPr>
      </w:pPr>
    </w:p>
    <w:p>
      <w:pPr>
        <w:pStyle w:val="2"/>
        <w:ind w:left="0" w:leftChars="0" w:firstLine="0" w:firstLineChars="0"/>
        <w:rPr>
          <w:rFonts w:hint="eastAsia" w:ascii="宋体" w:hAnsi="宋体" w:eastAsia="宋体" w:cs="宋体"/>
          <w:i w:val="0"/>
          <w:color w:val="000000"/>
          <w:kern w:val="0"/>
          <w:sz w:val="18"/>
          <w:szCs w:val="18"/>
          <w:u w:val="none"/>
          <w:lang w:val="en-US" w:eastAsia="zh-CN" w:bidi="ar"/>
        </w:rPr>
      </w:pPr>
    </w:p>
    <w:p>
      <w:pPr>
        <w:pStyle w:val="2"/>
        <w:ind w:left="0" w:leftChars="0" w:firstLine="0" w:firstLineChars="0"/>
        <w:rPr>
          <w:rFonts w:hint="eastAsia" w:ascii="宋体" w:hAnsi="宋体" w:eastAsia="宋体" w:cs="宋体"/>
          <w:i w:val="0"/>
          <w:color w:val="000000"/>
          <w:kern w:val="0"/>
          <w:sz w:val="18"/>
          <w:szCs w:val="18"/>
          <w:u w:val="none"/>
          <w:lang w:val="en-US" w:eastAsia="zh-CN" w:bidi="ar"/>
        </w:rPr>
      </w:pPr>
    </w:p>
    <w:p>
      <w:pPr>
        <w:pStyle w:val="2"/>
        <w:ind w:left="0" w:leftChars="0" w:firstLine="0" w:firstLineChars="0"/>
        <w:rPr>
          <w:rFonts w:hint="eastAsia" w:ascii="宋体" w:hAnsi="宋体" w:eastAsia="宋体" w:cs="宋体"/>
          <w:i w:val="0"/>
          <w:color w:val="000000"/>
          <w:kern w:val="0"/>
          <w:sz w:val="18"/>
          <w:szCs w:val="18"/>
          <w:u w:val="none"/>
          <w:lang w:val="en-US" w:eastAsia="zh-CN" w:bidi="ar"/>
        </w:rPr>
      </w:pPr>
    </w:p>
    <w:p>
      <w:pPr>
        <w:pStyle w:val="2"/>
        <w:ind w:left="0" w:leftChars="0" w:firstLine="0" w:firstLineChars="0"/>
        <w:rPr>
          <w:rFonts w:hint="eastAsia" w:ascii="宋体" w:hAnsi="宋体" w:eastAsia="宋体" w:cs="宋体"/>
          <w:i w:val="0"/>
          <w:color w:val="000000"/>
          <w:kern w:val="0"/>
          <w:sz w:val="18"/>
          <w:szCs w:val="18"/>
          <w:u w:val="none"/>
          <w:lang w:val="en-US" w:eastAsia="zh-CN" w:bidi="ar"/>
        </w:rPr>
      </w:pPr>
    </w:p>
    <w:p>
      <w:pPr>
        <w:pStyle w:val="2"/>
        <w:ind w:left="0" w:leftChars="0" w:firstLine="0" w:firstLineChars="0"/>
        <w:rPr>
          <w:rFonts w:hint="eastAsia" w:ascii="宋体" w:hAnsi="宋体" w:eastAsia="宋体" w:cs="宋体"/>
          <w:i w:val="0"/>
          <w:color w:val="000000"/>
          <w:kern w:val="0"/>
          <w:sz w:val="18"/>
          <w:szCs w:val="18"/>
          <w:u w:val="none"/>
          <w:lang w:val="en-US" w:eastAsia="zh-CN" w:bidi="ar"/>
        </w:rPr>
      </w:pPr>
    </w:p>
    <w:p>
      <w:pPr>
        <w:pStyle w:val="2"/>
        <w:ind w:left="0" w:leftChars="0" w:firstLine="0" w:firstLineChars="0"/>
        <w:rPr>
          <w:rFonts w:hint="eastAsia" w:ascii="宋体" w:hAnsi="宋体" w:eastAsia="宋体" w:cs="宋体"/>
          <w:i w:val="0"/>
          <w:color w:val="000000"/>
          <w:kern w:val="0"/>
          <w:sz w:val="18"/>
          <w:szCs w:val="18"/>
          <w:u w:val="none"/>
          <w:lang w:val="en-US" w:eastAsia="zh-CN" w:bidi="ar"/>
        </w:rPr>
      </w:pPr>
    </w:p>
    <w:tbl>
      <w:tblPr>
        <w:tblStyle w:val="23"/>
        <w:tblpPr w:leftFromText="180" w:rightFromText="180" w:vertAnchor="text" w:horzAnchor="page" w:tblpXSpec="center" w:tblpY="353"/>
        <w:tblOverlap w:val="never"/>
        <w:tblW w:w="9735" w:type="dxa"/>
        <w:jc w:val="center"/>
        <w:tblLayout w:type="autofit"/>
        <w:tblCellMar>
          <w:top w:w="0" w:type="dxa"/>
          <w:left w:w="0" w:type="dxa"/>
          <w:bottom w:w="0" w:type="dxa"/>
          <w:right w:w="0" w:type="dxa"/>
        </w:tblCellMar>
      </w:tblPr>
      <w:tblGrid>
        <w:gridCol w:w="833"/>
        <w:gridCol w:w="1574"/>
        <w:gridCol w:w="2738"/>
        <w:gridCol w:w="2333"/>
        <w:gridCol w:w="261"/>
        <w:gridCol w:w="997"/>
        <w:gridCol w:w="999"/>
      </w:tblGrid>
      <w:tr>
        <w:tblPrEx>
          <w:tblCellMar>
            <w:top w:w="0" w:type="dxa"/>
            <w:left w:w="0" w:type="dxa"/>
            <w:bottom w:w="0" w:type="dxa"/>
            <w:right w:w="0" w:type="dxa"/>
          </w:tblCellMar>
        </w:tblPrEx>
        <w:trPr>
          <w:trHeight w:val="90" w:hRule="atLeast"/>
          <w:jc w:val="center"/>
        </w:trPr>
        <w:tc>
          <w:tcPr>
            <w:tcW w:w="9735" w:type="dxa"/>
            <w:gridSpan w:val="7"/>
            <w:tcBorders>
              <w:top w:val="nil"/>
              <w:left w:val="nil"/>
              <w:bottom w:val="nil"/>
              <w:right w:val="nil"/>
            </w:tcBorders>
            <w:shd w:val="clear" w:color="FFFFFF" w:fill="FFFFFF"/>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40"/>
                <w:szCs w:val="40"/>
                <w:u w:val="none"/>
              </w:rPr>
            </w:pPr>
            <w:r>
              <w:rPr>
                <w:rFonts w:hint="eastAsia" w:ascii="宋体" w:hAnsi="宋体" w:eastAsia="宋体" w:cs="宋体"/>
                <w:b/>
                <w:i w:val="0"/>
                <w:color w:val="000000"/>
                <w:kern w:val="0"/>
                <w:sz w:val="40"/>
                <w:szCs w:val="40"/>
                <w:u w:val="none"/>
                <w:lang w:val="en-US" w:eastAsia="zh-CN" w:bidi="ar"/>
              </w:rPr>
              <w:t>分部分项工程量清单</w:t>
            </w:r>
          </w:p>
        </w:tc>
      </w:tr>
      <w:tr>
        <w:tblPrEx>
          <w:tblCellMar>
            <w:top w:w="0" w:type="dxa"/>
            <w:left w:w="0" w:type="dxa"/>
            <w:bottom w:w="0" w:type="dxa"/>
            <w:right w:w="0" w:type="dxa"/>
          </w:tblCellMar>
        </w:tblPrEx>
        <w:trPr>
          <w:trHeight w:val="312" w:hRule="atLeast"/>
          <w:jc w:val="center"/>
        </w:trPr>
        <w:tc>
          <w:tcPr>
            <w:tcW w:w="5145" w:type="dxa"/>
            <w:gridSpan w:val="3"/>
            <w:tcBorders>
              <w:top w:val="nil"/>
              <w:left w:val="nil"/>
              <w:bottom w:val="nil"/>
              <w:right w:val="nil"/>
            </w:tcBorders>
            <w:shd w:val="clear" w:color="FFFFFF" w:fill="FFFFFF"/>
            <w:noWrap w:val="0"/>
            <w:tcMar>
              <w:top w:w="12" w:type="dxa"/>
              <w:left w:w="12" w:type="dxa"/>
              <w:right w:w="12" w:type="dxa"/>
            </w:tcMar>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工程名称：消防工程</w:t>
            </w:r>
          </w:p>
        </w:tc>
        <w:tc>
          <w:tcPr>
            <w:tcW w:w="2333" w:type="dxa"/>
            <w:tcBorders>
              <w:top w:val="nil"/>
              <w:left w:val="nil"/>
              <w:bottom w:val="nil"/>
              <w:right w:val="nil"/>
            </w:tcBorders>
            <w:shd w:val="clear" w:color="FFFFFF" w:fill="FFFFFF"/>
            <w:noWrap w:val="0"/>
            <w:tcMar>
              <w:top w:w="12" w:type="dxa"/>
              <w:left w:w="12" w:type="dxa"/>
              <w:right w:w="12" w:type="dxa"/>
            </w:tcMar>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专业：消防设备安装工程</w:t>
            </w:r>
          </w:p>
        </w:tc>
        <w:tc>
          <w:tcPr>
            <w:tcW w:w="2257" w:type="dxa"/>
            <w:gridSpan w:val="3"/>
            <w:tcBorders>
              <w:top w:val="nil"/>
              <w:left w:val="nil"/>
              <w:bottom w:val="nil"/>
              <w:right w:val="nil"/>
            </w:tcBorders>
            <w:shd w:val="clear" w:color="FFFFFF" w:fill="FFFFFF"/>
            <w:noWrap w:val="0"/>
            <w:tcMar>
              <w:top w:w="12" w:type="dxa"/>
              <w:left w:w="12" w:type="dxa"/>
              <w:right w:w="12" w:type="dxa"/>
            </w:tcMar>
            <w:vAlign w:val="bottom"/>
          </w:tcPr>
          <w:p>
            <w:pPr>
              <w:keepNext w:val="0"/>
              <w:keepLines w:val="0"/>
              <w:widowControl/>
              <w:suppressLineNumbers w:val="0"/>
              <w:jc w:val="right"/>
              <w:textAlignment w:val="bottom"/>
              <w:rPr>
                <w:rFonts w:hint="eastAsia" w:ascii="宋体" w:hAnsi="宋体" w:eastAsia="宋体" w:cs="宋体"/>
                <w:i w:val="0"/>
                <w:color w:val="000000"/>
                <w:sz w:val="20"/>
                <w:szCs w:val="20"/>
                <w:u w:val="none"/>
              </w:rPr>
            </w:pPr>
          </w:p>
        </w:tc>
      </w:tr>
      <w:tr>
        <w:tblPrEx>
          <w:tblCellMar>
            <w:top w:w="0" w:type="dxa"/>
            <w:left w:w="0" w:type="dxa"/>
            <w:bottom w:w="0" w:type="dxa"/>
            <w:right w:w="0" w:type="dxa"/>
          </w:tblCellMar>
        </w:tblPrEx>
        <w:trPr>
          <w:trHeight w:val="360" w:hRule="atLeast"/>
          <w:jc w:val="center"/>
        </w:trPr>
        <w:tc>
          <w:tcPr>
            <w:tcW w:w="833" w:type="dxa"/>
            <w:tcBorders>
              <w:top w:val="single" w:color="000000" w:sz="8"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序号</w:t>
            </w:r>
          </w:p>
        </w:tc>
        <w:tc>
          <w:tcPr>
            <w:tcW w:w="1574" w:type="dxa"/>
            <w:tcBorders>
              <w:top w:val="single" w:color="000000" w:sz="8"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项目编码</w:t>
            </w:r>
          </w:p>
        </w:tc>
        <w:tc>
          <w:tcPr>
            <w:tcW w:w="5332" w:type="dxa"/>
            <w:gridSpan w:val="3"/>
            <w:tcBorders>
              <w:top w:val="single" w:color="000000" w:sz="8"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项目名称</w:t>
            </w:r>
          </w:p>
        </w:tc>
        <w:tc>
          <w:tcPr>
            <w:tcW w:w="997" w:type="dxa"/>
            <w:tcBorders>
              <w:top w:val="single" w:color="000000" w:sz="8"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计量单位</w:t>
            </w:r>
          </w:p>
        </w:tc>
        <w:tc>
          <w:tcPr>
            <w:tcW w:w="999" w:type="dxa"/>
            <w:tcBorders>
              <w:top w:val="single" w:color="000000" w:sz="8"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工程数量</w:t>
            </w:r>
          </w:p>
        </w:tc>
      </w:tr>
      <w:tr>
        <w:tblPrEx>
          <w:tblCellMar>
            <w:top w:w="0" w:type="dxa"/>
            <w:left w:w="0" w:type="dxa"/>
            <w:bottom w:w="0" w:type="dxa"/>
            <w:right w:w="0" w:type="dxa"/>
          </w:tblCellMar>
        </w:tblPrEx>
        <w:trPr>
          <w:trHeight w:val="2995" w:hRule="atLeast"/>
          <w:jc w:val="center"/>
        </w:trPr>
        <w:tc>
          <w:tcPr>
            <w:tcW w:w="833"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c>
          <w:tcPr>
            <w:tcW w:w="1574"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030701003002</w:t>
            </w:r>
          </w:p>
        </w:tc>
        <w:tc>
          <w:tcPr>
            <w:tcW w:w="5332"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消火栓镀锌钢管</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1.安装部位（室内、外）:室内</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2.材质:内外壁热镀锌壁厚钢管</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3.规格:DN150</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4.连接形式:沟槽连接</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1.管道及管件安装</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2.套管（包括防水套管）制作、安装</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3.管道除锈、刷油、防腐</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4.管网水冲洗</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5.水压试验</w:t>
            </w:r>
          </w:p>
        </w:tc>
        <w:tc>
          <w:tcPr>
            <w:tcW w:w="997"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w:t>
            </w:r>
          </w:p>
        </w:tc>
        <w:tc>
          <w:tcPr>
            <w:tcW w:w="999"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26.5</w:t>
            </w:r>
          </w:p>
        </w:tc>
      </w:tr>
      <w:tr>
        <w:tblPrEx>
          <w:tblCellMar>
            <w:top w:w="0" w:type="dxa"/>
            <w:left w:w="0" w:type="dxa"/>
            <w:bottom w:w="0" w:type="dxa"/>
            <w:right w:w="0" w:type="dxa"/>
          </w:tblCellMar>
        </w:tblPrEx>
        <w:trPr>
          <w:trHeight w:val="3590" w:hRule="atLeast"/>
          <w:jc w:val="center"/>
        </w:trPr>
        <w:tc>
          <w:tcPr>
            <w:tcW w:w="833"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w:t>
            </w:r>
          </w:p>
        </w:tc>
        <w:tc>
          <w:tcPr>
            <w:tcW w:w="1574"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030701003001</w:t>
            </w:r>
          </w:p>
        </w:tc>
        <w:tc>
          <w:tcPr>
            <w:tcW w:w="5332"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消火栓镀锌钢管</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1.安装部位（室内、外）:室内</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2.材质:内外壁热镀锌壁厚钢管</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3.规格:DN70</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4.连接形式:沟槽连接</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1.管道及管件安装</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2.套管（包括防水套管）制作、安装</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3.管道除锈、刷油、防腐</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4.管网水冲洗</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5.水压试验</w:t>
            </w:r>
          </w:p>
        </w:tc>
        <w:tc>
          <w:tcPr>
            <w:tcW w:w="997"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w:t>
            </w:r>
          </w:p>
        </w:tc>
        <w:tc>
          <w:tcPr>
            <w:tcW w:w="999"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47.7</w:t>
            </w:r>
          </w:p>
        </w:tc>
      </w:tr>
      <w:tr>
        <w:tblPrEx>
          <w:tblCellMar>
            <w:top w:w="0" w:type="dxa"/>
            <w:left w:w="0" w:type="dxa"/>
            <w:bottom w:w="0" w:type="dxa"/>
            <w:right w:w="0" w:type="dxa"/>
          </w:tblCellMar>
        </w:tblPrEx>
        <w:trPr>
          <w:trHeight w:val="90" w:hRule="atLeast"/>
          <w:jc w:val="center"/>
        </w:trPr>
        <w:tc>
          <w:tcPr>
            <w:tcW w:w="833"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w:t>
            </w:r>
          </w:p>
        </w:tc>
        <w:tc>
          <w:tcPr>
            <w:tcW w:w="1574"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030701007001</w:t>
            </w:r>
          </w:p>
        </w:tc>
        <w:tc>
          <w:tcPr>
            <w:tcW w:w="5332"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法兰阀门</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1.阀门类型、材质、型号、规格:D70X-16型对夹式蝶阀 DN150</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2.法兰结构、材质、规格、焊接方式:沟槽式法兰 DN150</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1.法兰安装</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2.阀门安装</w:t>
            </w:r>
          </w:p>
        </w:tc>
        <w:tc>
          <w:tcPr>
            <w:tcW w:w="997"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个</w:t>
            </w:r>
          </w:p>
        </w:tc>
        <w:tc>
          <w:tcPr>
            <w:tcW w:w="999"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r>
      <w:tr>
        <w:tblPrEx>
          <w:tblCellMar>
            <w:top w:w="0" w:type="dxa"/>
            <w:left w:w="0" w:type="dxa"/>
            <w:bottom w:w="0" w:type="dxa"/>
            <w:right w:w="0" w:type="dxa"/>
          </w:tblCellMar>
        </w:tblPrEx>
        <w:trPr>
          <w:trHeight w:val="2025" w:hRule="atLeast"/>
          <w:jc w:val="center"/>
        </w:trPr>
        <w:tc>
          <w:tcPr>
            <w:tcW w:w="833"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w:t>
            </w:r>
          </w:p>
        </w:tc>
        <w:tc>
          <w:tcPr>
            <w:tcW w:w="1574"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030701007002</w:t>
            </w:r>
          </w:p>
        </w:tc>
        <w:tc>
          <w:tcPr>
            <w:tcW w:w="5332"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法兰阀门</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1.阀门类型、材质、型号、规格:D70X-16型对夹式蝶阀 DN70</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2.法兰结构、材质、规格、焊接方式:沟槽式法兰 DN70</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1.法兰安装</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2.阀门安装</w:t>
            </w:r>
          </w:p>
        </w:tc>
        <w:tc>
          <w:tcPr>
            <w:tcW w:w="997"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个</w:t>
            </w:r>
          </w:p>
        </w:tc>
        <w:tc>
          <w:tcPr>
            <w:tcW w:w="999"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w:t>
            </w:r>
          </w:p>
        </w:tc>
      </w:tr>
      <w:tr>
        <w:tblPrEx>
          <w:tblCellMar>
            <w:top w:w="0" w:type="dxa"/>
            <w:left w:w="0" w:type="dxa"/>
            <w:bottom w:w="0" w:type="dxa"/>
            <w:right w:w="0" w:type="dxa"/>
          </w:tblCellMar>
        </w:tblPrEx>
        <w:trPr>
          <w:trHeight w:val="2103" w:hRule="atLeast"/>
          <w:jc w:val="center"/>
        </w:trPr>
        <w:tc>
          <w:tcPr>
            <w:tcW w:w="833" w:type="dxa"/>
            <w:tcBorders>
              <w:top w:val="single" w:color="000000" w:sz="4" w:space="0"/>
              <w:left w:val="single" w:color="000000" w:sz="8"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w:t>
            </w:r>
          </w:p>
        </w:tc>
        <w:tc>
          <w:tcPr>
            <w:tcW w:w="1574" w:type="dxa"/>
            <w:tcBorders>
              <w:top w:val="single" w:color="000000" w:sz="4" w:space="0"/>
              <w:left w:val="single" w:color="000000" w:sz="4"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030701018001</w:t>
            </w:r>
          </w:p>
        </w:tc>
        <w:tc>
          <w:tcPr>
            <w:tcW w:w="5332" w:type="dxa"/>
            <w:gridSpan w:val="3"/>
            <w:tcBorders>
              <w:top w:val="single" w:color="000000" w:sz="4" w:space="0"/>
              <w:left w:val="single" w:color="000000" w:sz="4"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消火栓</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1.安装部位（室内、室外）:室内</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2.型号:SG16E65Z-J柜式消防箱</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3.规格:DN65</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4.单栓、双栓:单栓</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p>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1.安装</w:t>
            </w:r>
          </w:p>
        </w:tc>
        <w:tc>
          <w:tcPr>
            <w:tcW w:w="997" w:type="dxa"/>
            <w:tcBorders>
              <w:top w:val="single" w:color="000000" w:sz="4" w:space="0"/>
              <w:left w:val="single" w:color="000000" w:sz="4"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套</w:t>
            </w:r>
          </w:p>
        </w:tc>
        <w:tc>
          <w:tcPr>
            <w:tcW w:w="999" w:type="dxa"/>
            <w:tcBorders>
              <w:top w:val="single" w:color="000000" w:sz="4" w:space="0"/>
              <w:left w:val="single" w:color="000000" w:sz="4" w:space="0"/>
              <w:bottom w:val="single" w:color="000000" w:sz="8"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w:t>
            </w:r>
          </w:p>
        </w:tc>
      </w:tr>
      <w:tr>
        <w:tblPrEx>
          <w:tblCellMar>
            <w:top w:w="0" w:type="dxa"/>
            <w:left w:w="0" w:type="dxa"/>
            <w:bottom w:w="0" w:type="dxa"/>
            <w:right w:w="0" w:type="dxa"/>
          </w:tblCellMar>
        </w:tblPrEx>
        <w:trPr>
          <w:trHeight w:val="379" w:hRule="atLeast"/>
          <w:jc w:val="center"/>
        </w:trPr>
        <w:tc>
          <w:tcPr>
            <w:tcW w:w="833"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0"/>
                <w:szCs w:val="20"/>
                <w:u w:val="none"/>
              </w:rPr>
            </w:pPr>
          </w:p>
        </w:tc>
        <w:tc>
          <w:tcPr>
            <w:tcW w:w="1574"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center"/>
              <w:rPr>
                <w:rFonts w:hint="eastAsia" w:ascii="宋体" w:hAnsi="宋体" w:eastAsia="宋体" w:cs="宋体"/>
                <w:i w:val="0"/>
                <w:color w:val="000000"/>
                <w:sz w:val="20"/>
                <w:szCs w:val="20"/>
                <w:u w:val="none"/>
              </w:rPr>
            </w:pPr>
          </w:p>
        </w:tc>
        <w:tc>
          <w:tcPr>
            <w:tcW w:w="5332"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宋体" w:hAnsi="宋体" w:eastAsia="宋体" w:cs="宋体"/>
                <w:i w:val="0"/>
                <w:color w:val="000000"/>
                <w:sz w:val="20"/>
                <w:szCs w:val="20"/>
                <w:u w:val="none"/>
              </w:rPr>
            </w:pPr>
          </w:p>
        </w:tc>
        <w:tc>
          <w:tcPr>
            <w:tcW w:w="997"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0"/>
                <w:szCs w:val="20"/>
                <w:u w:val="none"/>
              </w:rPr>
            </w:pPr>
          </w:p>
        </w:tc>
        <w:tc>
          <w:tcPr>
            <w:tcW w:w="999"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pStyle w:val="2"/>
              <w:ind w:left="0" w:leftChars="0" w:firstLine="0" w:firstLineChars="0"/>
              <w:rPr>
                <w:rFonts w:hint="eastAsia"/>
              </w:rPr>
            </w:pPr>
          </w:p>
        </w:tc>
      </w:tr>
      <w:tr>
        <w:tblPrEx>
          <w:tblCellMar>
            <w:top w:w="0" w:type="dxa"/>
            <w:left w:w="0" w:type="dxa"/>
            <w:bottom w:w="0" w:type="dxa"/>
            <w:right w:w="0" w:type="dxa"/>
          </w:tblCellMar>
        </w:tblPrEx>
        <w:trPr>
          <w:trHeight w:val="346" w:hRule="atLeast"/>
          <w:jc w:val="center"/>
        </w:trPr>
        <w:tc>
          <w:tcPr>
            <w:tcW w:w="9735" w:type="dxa"/>
            <w:gridSpan w:val="7"/>
            <w:tcBorders>
              <w:top w:val="single" w:color="000000" w:sz="4" w:space="0"/>
              <w:left w:val="single" w:color="000000" w:sz="8" w:space="0"/>
              <w:bottom w:val="single" w:color="000000" w:sz="4" w:space="0"/>
              <w:right w:val="single" w:color="000000" w:sz="8" w:space="0"/>
            </w:tcBorders>
            <w:shd w:val="clear" w:color="FFFFFF" w:fill="FFFFFF"/>
            <w:noWrap w:val="0"/>
            <w:tcMar>
              <w:top w:w="12" w:type="dxa"/>
              <w:left w:w="12" w:type="dxa"/>
              <w:right w:w="12" w:type="dxa"/>
            </w:tcMar>
            <w:vAlign w:val="center"/>
          </w:tcPr>
          <w:p>
            <w:pPr>
              <w:pStyle w:val="2"/>
              <w:ind w:left="0" w:leftChars="0" w:firstLine="0" w:firstLineChars="0"/>
              <w:jc w:val="both"/>
              <w:rPr>
                <w:rFonts w:hint="eastAsia"/>
              </w:rPr>
            </w:pPr>
            <w:r>
              <w:rPr>
                <w:rFonts w:hint="eastAsia" w:ascii="宋体" w:hAnsi="宋体" w:eastAsia="宋体" w:cs="宋体"/>
                <w:i w:val="0"/>
                <w:color w:val="000000"/>
                <w:kern w:val="0"/>
                <w:sz w:val="18"/>
                <w:szCs w:val="18"/>
                <w:u w:val="none"/>
                <w:lang w:val="en-US" w:eastAsia="zh-CN" w:bidi="ar"/>
              </w:rPr>
              <w:t>注：安全文明施工措施费为不可竞争费用，应按规定在规费、税金项目清单计价表计算。</w:t>
            </w:r>
          </w:p>
        </w:tc>
      </w:tr>
    </w:tbl>
    <w:tbl>
      <w:tblPr>
        <w:tblStyle w:val="23"/>
        <w:tblpPr w:leftFromText="180" w:rightFromText="180" w:vertAnchor="text" w:horzAnchor="page" w:tblpXSpec="center" w:tblpY="452"/>
        <w:tblOverlap w:val="never"/>
        <w:tblW w:w="9778" w:type="dxa"/>
        <w:jc w:val="center"/>
        <w:tblLayout w:type="autofit"/>
        <w:tblCellMar>
          <w:top w:w="0" w:type="dxa"/>
          <w:left w:w="0" w:type="dxa"/>
          <w:bottom w:w="0" w:type="dxa"/>
          <w:right w:w="0" w:type="dxa"/>
        </w:tblCellMar>
      </w:tblPr>
      <w:tblGrid>
        <w:gridCol w:w="909"/>
        <w:gridCol w:w="1579"/>
        <w:gridCol w:w="2699"/>
        <w:gridCol w:w="2381"/>
        <w:gridCol w:w="245"/>
        <w:gridCol w:w="975"/>
        <w:gridCol w:w="990"/>
      </w:tblGrid>
      <w:tr>
        <w:tblPrEx>
          <w:tblCellMar>
            <w:top w:w="0" w:type="dxa"/>
            <w:left w:w="0" w:type="dxa"/>
            <w:bottom w:w="0" w:type="dxa"/>
            <w:right w:w="0" w:type="dxa"/>
          </w:tblCellMar>
        </w:tblPrEx>
        <w:trPr>
          <w:trHeight w:val="672" w:hRule="atLeast"/>
          <w:jc w:val="center"/>
        </w:trPr>
        <w:tc>
          <w:tcPr>
            <w:tcW w:w="9778" w:type="dxa"/>
            <w:gridSpan w:val="7"/>
            <w:tcBorders>
              <w:top w:val="nil"/>
              <w:left w:val="nil"/>
              <w:bottom w:val="nil"/>
              <w:right w:val="nil"/>
            </w:tcBorders>
            <w:shd w:val="clear" w:color="FFFFFF" w:fill="FFFFFF"/>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40"/>
                <w:szCs w:val="40"/>
                <w:u w:val="none"/>
              </w:rPr>
            </w:pPr>
          </w:p>
        </w:tc>
      </w:tr>
      <w:tr>
        <w:tblPrEx>
          <w:tblCellMar>
            <w:top w:w="0" w:type="dxa"/>
            <w:left w:w="0" w:type="dxa"/>
            <w:bottom w:w="0" w:type="dxa"/>
            <w:right w:w="0" w:type="dxa"/>
          </w:tblCellMar>
        </w:tblPrEx>
        <w:trPr>
          <w:trHeight w:val="672" w:hRule="atLeast"/>
          <w:jc w:val="center"/>
        </w:trPr>
        <w:tc>
          <w:tcPr>
            <w:tcW w:w="9778" w:type="dxa"/>
            <w:gridSpan w:val="7"/>
            <w:tcBorders>
              <w:top w:val="nil"/>
              <w:left w:val="nil"/>
              <w:bottom w:val="nil"/>
              <w:right w:val="nil"/>
            </w:tcBorders>
            <w:shd w:val="clear" w:color="FFFFFF" w:fill="FFFFFF"/>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b/>
                <w:i w:val="0"/>
                <w:color w:val="000000"/>
                <w:kern w:val="0"/>
                <w:sz w:val="40"/>
                <w:szCs w:val="40"/>
                <w:u w:val="none"/>
                <w:lang w:val="en-US" w:eastAsia="zh-CN" w:bidi="ar"/>
              </w:rPr>
            </w:pPr>
            <w:r>
              <w:rPr>
                <w:rFonts w:hint="eastAsia" w:ascii="宋体" w:hAnsi="宋体" w:eastAsia="宋体" w:cs="宋体"/>
                <w:b/>
                <w:i w:val="0"/>
                <w:color w:val="000000"/>
                <w:kern w:val="0"/>
                <w:sz w:val="40"/>
                <w:szCs w:val="40"/>
                <w:u w:val="none"/>
                <w:lang w:val="en-US" w:eastAsia="zh-CN" w:bidi="ar"/>
              </w:rPr>
              <w:t>分部分项工程量清单</w:t>
            </w:r>
          </w:p>
        </w:tc>
      </w:tr>
      <w:tr>
        <w:tblPrEx>
          <w:tblCellMar>
            <w:top w:w="0" w:type="dxa"/>
            <w:left w:w="0" w:type="dxa"/>
            <w:bottom w:w="0" w:type="dxa"/>
            <w:right w:w="0" w:type="dxa"/>
          </w:tblCellMar>
        </w:tblPrEx>
        <w:trPr>
          <w:trHeight w:val="579" w:hRule="atLeast"/>
          <w:jc w:val="center"/>
        </w:trPr>
        <w:tc>
          <w:tcPr>
            <w:tcW w:w="5187" w:type="dxa"/>
            <w:gridSpan w:val="3"/>
            <w:tcBorders>
              <w:top w:val="nil"/>
              <w:left w:val="nil"/>
              <w:bottom w:val="nil"/>
              <w:right w:val="nil"/>
            </w:tcBorders>
            <w:shd w:val="clear" w:color="FFFFFF" w:fill="FFFFFF"/>
            <w:noWrap w:val="0"/>
            <w:tcMar>
              <w:top w:w="12" w:type="dxa"/>
              <w:left w:w="12" w:type="dxa"/>
              <w:right w:w="12" w:type="dxa"/>
            </w:tcMar>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工程名称：装饰工程</w:t>
            </w:r>
          </w:p>
        </w:tc>
        <w:tc>
          <w:tcPr>
            <w:tcW w:w="2381" w:type="dxa"/>
            <w:tcBorders>
              <w:top w:val="nil"/>
              <w:left w:val="nil"/>
              <w:bottom w:val="nil"/>
              <w:right w:val="nil"/>
            </w:tcBorders>
            <w:shd w:val="clear" w:color="FFFFFF" w:fill="FFFFFF"/>
            <w:noWrap w:val="0"/>
            <w:tcMar>
              <w:top w:w="12" w:type="dxa"/>
              <w:left w:w="12" w:type="dxa"/>
              <w:right w:w="12" w:type="dxa"/>
            </w:tcMar>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专业：土建工程</w:t>
            </w:r>
          </w:p>
        </w:tc>
        <w:tc>
          <w:tcPr>
            <w:tcW w:w="2210" w:type="dxa"/>
            <w:gridSpan w:val="3"/>
            <w:tcBorders>
              <w:top w:val="nil"/>
              <w:left w:val="nil"/>
              <w:bottom w:val="nil"/>
              <w:right w:val="nil"/>
            </w:tcBorders>
            <w:shd w:val="clear" w:color="FFFFFF" w:fill="FFFFFF"/>
            <w:noWrap w:val="0"/>
            <w:tcMar>
              <w:top w:w="12" w:type="dxa"/>
              <w:left w:w="12" w:type="dxa"/>
              <w:right w:w="12" w:type="dxa"/>
            </w:tcMar>
            <w:vAlign w:val="bottom"/>
          </w:tcPr>
          <w:p>
            <w:pPr>
              <w:keepNext w:val="0"/>
              <w:keepLines w:val="0"/>
              <w:widowControl/>
              <w:suppressLineNumbers w:val="0"/>
              <w:jc w:val="right"/>
              <w:textAlignment w:val="bottom"/>
              <w:rPr>
                <w:rFonts w:hint="eastAsia" w:ascii="宋体" w:hAnsi="宋体" w:eastAsia="宋体" w:cs="宋体"/>
                <w:i w:val="0"/>
                <w:color w:val="000000"/>
                <w:sz w:val="20"/>
                <w:szCs w:val="20"/>
                <w:u w:val="none"/>
              </w:rPr>
            </w:pPr>
          </w:p>
        </w:tc>
      </w:tr>
      <w:tr>
        <w:tblPrEx>
          <w:tblCellMar>
            <w:top w:w="0" w:type="dxa"/>
            <w:left w:w="0" w:type="dxa"/>
            <w:bottom w:w="0" w:type="dxa"/>
            <w:right w:w="0" w:type="dxa"/>
          </w:tblCellMar>
        </w:tblPrEx>
        <w:trPr>
          <w:trHeight w:val="345" w:hRule="atLeast"/>
          <w:jc w:val="center"/>
        </w:trPr>
        <w:tc>
          <w:tcPr>
            <w:tcW w:w="909" w:type="dxa"/>
            <w:tcBorders>
              <w:top w:val="single" w:color="000000" w:sz="8"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序号</w:t>
            </w:r>
          </w:p>
        </w:tc>
        <w:tc>
          <w:tcPr>
            <w:tcW w:w="1579" w:type="dxa"/>
            <w:tcBorders>
              <w:top w:val="single" w:color="000000" w:sz="8"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项目编码</w:t>
            </w:r>
          </w:p>
        </w:tc>
        <w:tc>
          <w:tcPr>
            <w:tcW w:w="5325" w:type="dxa"/>
            <w:gridSpan w:val="3"/>
            <w:tcBorders>
              <w:top w:val="single" w:color="000000" w:sz="8"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项目名称</w:t>
            </w:r>
          </w:p>
        </w:tc>
        <w:tc>
          <w:tcPr>
            <w:tcW w:w="975" w:type="dxa"/>
            <w:tcBorders>
              <w:top w:val="single" w:color="000000" w:sz="8"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计量单位</w:t>
            </w:r>
          </w:p>
        </w:tc>
        <w:tc>
          <w:tcPr>
            <w:tcW w:w="990" w:type="dxa"/>
            <w:tcBorders>
              <w:top w:val="single" w:color="000000" w:sz="8"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工程数量</w:t>
            </w:r>
          </w:p>
        </w:tc>
      </w:tr>
      <w:tr>
        <w:tblPrEx>
          <w:tblCellMar>
            <w:top w:w="0" w:type="dxa"/>
            <w:left w:w="0" w:type="dxa"/>
            <w:bottom w:w="0" w:type="dxa"/>
            <w:right w:w="0" w:type="dxa"/>
          </w:tblCellMar>
        </w:tblPrEx>
        <w:trPr>
          <w:trHeight w:val="345" w:hRule="atLeast"/>
          <w:jc w:val="center"/>
        </w:trPr>
        <w:tc>
          <w:tcPr>
            <w:tcW w:w="909"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rPr>
                <w:rFonts w:hint="eastAsia" w:ascii="宋体" w:hAnsi="宋体" w:eastAsia="宋体" w:cs="宋体"/>
                <w:i w:val="0"/>
                <w:color w:val="000000"/>
                <w:sz w:val="20"/>
                <w:szCs w:val="20"/>
                <w:u w:val="none"/>
              </w:rPr>
            </w:pPr>
          </w:p>
        </w:tc>
        <w:tc>
          <w:tcPr>
            <w:tcW w:w="157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rPr>
                <w:rFonts w:hint="eastAsia" w:ascii="宋体" w:hAnsi="宋体" w:eastAsia="宋体" w:cs="宋体"/>
                <w:i w:val="0"/>
                <w:color w:val="000000"/>
                <w:sz w:val="20"/>
                <w:szCs w:val="20"/>
                <w:u w:val="none"/>
              </w:rPr>
            </w:pPr>
          </w:p>
        </w:tc>
        <w:tc>
          <w:tcPr>
            <w:tcW w:w="5325"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负一层VIP会议室</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宋体" w:hAnsi="宋体" w:eastAsia="宋体" w:cs="宋体"/>
                <w:i w:val="0"/>
                <w:color w:val="000000"/>
                <w:sz w:val="20"/>
                <w:szCs w:val="20"/>
                <w:u w:val="none"/>
              </w:rPr>
            </w:pPr>
          </w:p>
        </w:tc>
        <w:tc>
          <w:tcPr>
            <w:tcW w:w="990"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宋体" w:hAnsi="宋体" w:eastAsia="宋体" w:cs="宋体"/>
                <w:i w:val="0"/>
                <w:color w:val="000000"/>
                <w:sz w:val="20"/>
                <w:szCs w:val="20"/>
                <w:u w:val="none"/>
              </w:rPr>
            </w:pPr>
          </w:p>
        </w:tc>
      </w:tr>
      <w:tr>
        <w:tblPrEx>
          <w:tblCellMar>
            <w:top w:w="0" w:type="dxa"/>
            <w:left w:w="0" w:type="dxa"/>
            <w:bottom w:w="0" w:type="dxa"/>
            <w:right w:w="0" w:type="dxa"/>
          </w:tblCellMar>
        </w:tblPrEx>
        <w:trPr>
          <w:trHeight w:val="345" w:hRule="atLeast"/>
          <w:jc w:val="center"/>
        </w:trPr>
        <w:tc>
          <w:tcPr>
            <w:tcW w:w="909"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rPr>
                <w:rFonts w:hint="eastAsia" w:ascii="宋体" w:hAnsi="宋体" w:eastAsia="宋体" w:cs="宋体"/>
                <w:i w:val="0"/>
                <w:color w:val="000000"/>
                <w:sz w:val="20"/>
                <w:szCs w:val="20"/>
                <w:u w:val="none"/>
              </w:rPr>
            </w:pPr>
          </w:p>
        </w:tc>
        <w:tc>
          <w:tcPr>
            <w:tcW w:w="157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B.1</w:t>
            </w:r>
          </w:p>
        </w:tc>
        <w:tc>
          <w:tcPr>
            <w:tcW w:w="5325"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B.1  楼地面工程</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宋体" w:hAnsi="宋体" w:eastAsia="宋体" w:cs="宋体"/>
                <w:i w:val="0"/>
                <w:color w:val="000000"/>
                <w:sz w:val="20"/>
                <w:szCs w:val="20"/>
                <w:u w:val="none"/>
              </w:rPr>
            </w:pPr>
          </w:p>
        </w:tc>
        <w:tc>
          <w:tcPr>
            <w:tcW w:w="990"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宋体" w:hAnsi="宋体" w:eastAsia="宋体" w:cs="宋体"/>
                <w:i w:val="0"/>
                <w:color w:val="000000"/>
                <w:sz w:val="20"/>
                <w:szCs w:val="20"/>
                <w:u w:val="none"/>
              </w:rPr>
            </w:pPr>
          </w:p>
        </w:tc>
      </w:tr>
      <w:tr>
        <w:tblPrEx>
          <w:tblCellMar>
            <w:top w:w="0" w:type="dxa"/>
            <w:left w:w="0" w:type="dxa"/>
            <w:bottom w:w="0" w:type="dxa"/>
            <w:right w:w="0" w:type="dxa"/>
          </w:tblCellMar>
        </w:tblPrEx>
        <w:trPr>
          <w:trHeight w:val="2100" w:hRule="atLeast"/>
          <w:jc w:val="center"/>
        </w:trPr>
        <w:tc>
          <w:tcPr>
            <w:tcW w:w="909"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c>
          <w:tcPr>
            <w:tcW w:w="157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020101001001</w:t>
            </w:r>
          </w:p>
        </w:tc>
        <w:tc>
          <w:tcPr>
            <w:tcW w:w="5325"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水泥自流平地面</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1.做法:21/DT-03</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2.面层厚度、砂浆配合比:20厚水泥砂浆1:2.5</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1.基层清理</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2.抹面层</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3.材料运输</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m2</w:t>
            </w:r>
          </w:p>
        </w:tc>
        <w:tc>
          <w:tcPr>
            <w:tcW w:w="990"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64.73</w:t>
            </w:r>
          </w:p>
        </w:tc>
      </w:tr>
      <w:tr>
        <w:tblPrEx>
          <w:tblCellMar>
            <w:top w:w="0" w:type="dxa"/>
            <w:left w:w="0" w:type="dxa"/>
            <w:bottom w:w="0" w:type="dxa"/>
            <w:right w:w="0" w:type="dxa"/>
          </w:tblCellMar>
        </w:tblPrEx>
        <w:trPr>
          <w:trHeight w:val="2610" w:hRule="atLeast"/>
          <w:jc w:val="center"/>
        </w:trPr>
        <w:tc>
          <w:tcPr>
            <w:tcW w:w="909"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w:t>
            </w:r>
          </w:p>
        </w:tc>
        <w:tc>
          <w:tcPr>
            <w:tcW w:w="157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020103001001</w:t>
            </w:r>
          </w:p>
        </w:tc>
        <w:tc>
          <w:tcPr>
            <w:tcW w:w="5325"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橡胶板楼地面</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1.做法:21/DT-03</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2.粘结层厚度、材料种类:专用胶粘贴</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3.面层材料品种、规格、品牌、颜色:3mm灰色木纹塑胶地板（PL-02）</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1.基层清理</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2.面层铺贴</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3.材料运输</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m2</w:t>
            </w:r>
          </w:p>
        </w:tc>
        <w:tc>
          <w:tcPr>
            <w:tcW w:w="990"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64.73</w:t>
            </w:r>
          </w:p>
        </w:tc>
      </w:tr>
      <w:tr>
        <w:tblPrEx>
          <w:tblCellMar>
            <w:top w:w="0" w:type="dxa"/>
            <w:left w:w="0" w:type="dxa"/>
            <w:bottom w:w="0" w:type="dxa"/>
            <w:right w:w="0" w:type="dxa"/>
          </w:tblCellMar>
        </w:tblPrEx>
        <w:trPr>
          <w:trHeight w:val="3032" w:hRule="atLeast"/>
          <w:jc w:val="center"/>
        </w:trPr>
        <w:tc>
          <w:tcPr>
            <w:tcW w:w="909"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w:t>
            </w:r>
          </w:p>
        </w:tc>
        <w:tc>
          <w:tcPr>
            <w:tcW w:w="157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020105007001</w:t>
            </w:r>
          </w:p>
        </w:tc>
        <w:tc>
          <w:tcPr>
            <w:tcW w:w="5325"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金属踢脚线</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1.做法:21/DT-03</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2.踢脚线高度:80mm</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3.基层材料种类、规格:双层15MM阻燃板基层</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4.面层材料品种、规格、品牌、颜色:黑色不锈钢踢脚(MT-03)</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1.基层清理</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2.基层铺贴</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3.面层铺贴</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4.材料运输</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m2</w:t>
            </w:r>
          </w:p>
        </w:tc>
        <w:tc>
          <w:tcPr>
            <w:tcW w:w="990"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2.34</w:t>
            </w:r>
          </w:p>
        </w:tc>
      </w:tr>
      <w:tr>
        <w:tblPrEx>
          <w:tblCellMar>
            <w:top w:w="0" w:type="dxa"/>
            <w:left w:w="0" w:type="dxa"/>
            <w:bottom w:w="0" w:type="dxa"/>
            <w:right w:w="0" w:type="dxa"/>
          </w:tblCellMar>
        </w:tblPrEx>
        <w:trPr>
          <w:trHeight w:val="409" w:hRule="atLeast"/>
          <w:jc w:val="center"/>
        </w:trPr>
        <w:tc>
          <w:tcPr>
            <w:tcW w:w="909"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center"/>
              <w:rPr>
                <w:rFonts w:hint="eastAsia" w:ascii="宋体" w:hAnsi="宋体" w:eastAsia="宋体" w:cs="宋体"/>
                <w:i w:val="0"/>
                <w:color w:val="000000"/>
                <w:kern w:val="2"/>
                <w:sz w:val="20"/>
                <w:szCs w:val="20"/>
                <w:u w:val="none"/>
                <w:lang w:val="en-US" w:eastAsia="zh-CN" w:bidi="ar-SA"/>
              </w:rPr>
            </w:pPr>
          </w:p>
        </w:tc>
        <w:tc>
          <w:tcPr>
            <w:tcW w:w="157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B.2</w:t>
            </w:r>
          </w:p>
        </w:tc>
        <w:tc>
          <w:tcPr>
            <w:tcW w:w="5325"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B.2  墙、柱面工程</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2"/>
                <w:sz w:val="20"/>
                <w:szCs w:val="20"/>
                <w:u w:val="none"/>
                <w:lang w:val="en-US" w:eastAsia="zh-CN" w:bidi="ar-SA"/>
              </w:rPr>
            </w:pPr>
          </w:p>
        </w:tc>
        <w:tc>
          <w:tcPr>
            <w:tcW w:w="990"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2"/>
                <w:sz w:val="20"/>
                <w:szCs w:val="20"/>
                <w:u w:val="none"/>
                <w:lang w:val="en-US" w:eastAsia="zh-CN" w:bidi="ar-SA"/>
              </w:rPr>
            </w:pPr>
          </w:p>
        </w:tc>
      </w:tr>
      <w:tr>
        <w:tblPrEx>
          <w:tblCellMar>
            <w:top w:w="0" w:type="dxa"/>
            <w:left w:w="0" w:type="dxa"/>
            <w:bottom w:w="0" w:type="dxa"/>
            <w:right w:w="0" w:type="dxa"/>
          </w:tblCellMar>
        </w:tblPrEx>
        <w:trPr>
          <w:trHeight w:val="3630" w:hRule="atLeast"/>
          <w:jc w:val="center"/>
        </w:trPr>
        <w:tc>
          <w:tcPr>
            <w:tcW w:w="909"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w:t>
            </w:r>
          </w:p>
        </w:tc>
        <w:tc>
          <w:tcPr>
            <w:tcW w:w="157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020207001001</w:t>
            </w:r>
          </w:p>
        </w:tc>
        <w:tc>
          <w:tcPr>
            <w:tcW w:w="5325"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装饰板墙面</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1.做法:21/DT-03</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2.龙骨材料种类、规格、中距:木挂条(防火三遍防腐处理)</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3.基层材料种类、规格:9.5MM纸面石膏板</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4.面层材料品种、规格、品牌、颜色:9.5MM纸面石膏板</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1.基层清理</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2.龙骨制作、运输、安装</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3.基层铺钉</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4.面层铺贴</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5.刷防护材料、油漆</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m2</w:t>
            </w:r>
          </w:p>
        </w:tc>
        <w:tc>
          <w:tcPr>
            <w:tcW w:w="990"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53.2</w:t>
            </w:r>
          </w:p>
        </w:tc>
      </w:tr>
      <w:tr>
        <w:tblPrEx>
          <w:tblCellMar>
            <w:top w:w="0" w:type="dxa"/>
            <w:left w:w="0" w:type="dxa"/>
            <w:bottom w:w="0" w:type="dxa"/>
            <w:right w:w="0" w:type="dxa"/>
          </w:tblCellMar>
        </w:tblPrEx>
        <w:trPr>
          <w:trHeight w:val="480" w:hRule="atLeast"/>
          <w:jc w:val="center"/>
        </w:trPr>
        <w:tc>
          <w:tcPr>
            <w:tcW w:w="909" w:type="dxa"/>
            <w:tcBorders>
              <w:top w:val="single" w:color="000000" w:sz="4" w:space="0"/>
              <w:left w:val="single" w:color="000000" w:sz="8"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w:t>
            </w:r>
          </w:p>
        </w:tc>
        <w:tc>
          <w:tcPr>
            <w:tcW w:w="1579" w:type="dxa"/>
            <w:tcBorders>
              <w:top w:val="single" w:color="000000" w:sz="4" w:space="0"/>
              <w:left w:val="single" w:color="000000" w:sz="4"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020207001002</w:t>
            </w:r>
          </w:p>
        </w:tc>
        <w:tc>
          <w:tcPr>
            <w:tcW w:w="5325" w:type="dxa"/>
            <w:gridSpan w:val="3"/>
            <w:tcBorders>
              <w:top w:val="single" w:color="000000" w:sz="4" w:space="0"/>
              <w:left w:val="single" w:color="000000" w:sz="4"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装饰板墙面</w:t>
            </w:r>
          </w:p>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rPr>
            </w:pP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1.做法:26/DT-03</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2.龙骨材料种类、规格、中距:木挂条(防火三遍防腐处理)</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3.基层材料种类、规格:9MM阻燃板基层</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4.面层材料品种、规格、品牌、颜色:布艺硬包(FA-01)、5MM“V”字缝</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1.基层清理</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2.龙骨制作、运输、安装</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3.基层铺钉</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4.面层铺贴</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5.刷防护材料、油漆</w:t>
            </w:r>
          </w:p>
        </w:tc>
        <w:tc>
          <w:tcPr>
            <w:tcW w:w="975" w:type="dxa"/>
            <w:tcBorders>
              <w:top w:val="single" w:color="000000" w:sz="4" w:space="0"/>
              <w:left w:val="single" w:color="000000" w:sz="4"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m2</w:t>
            </w:r>
          </w:p>
        </w:tc>
        <w:tc>
          <w:tcPr>
            <w:tcW w:w="990" w:type="dxa"/>
            <w:tcBorders>
              <w:top w:val="single" w:color="000000" w:sz="4" w:space="0"/>
              <w:left w:val="single" w:color="000000" w:sz="4" w:space="0"/>
              <w:bottom w:val="single" w:color="000000" w:sz="8"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27.62</w:t>
            </w:r>
          </w:p>
        </w:tc>
      </w:tr>
      <w:tr>
        <w:tblPrEx>
          <w:tblCellMar>
            <w:top w:w="0" w:type="dxa"/>
            <w:left w:w="0" w:type="dxa"/>
            <w:bottom w:w="0" w:type="dxa"/>
            <w:right w:w="0" w:type="dxa"/>
          </w:tblCellMar>
        </w:tblPrEx>
        <w:trPr>
          <w:trHeight w:val="480" w:hRule="atLeast"/>
          <w:jc w:val="center"/>
        </w:trPr>
        <w:tc>
          <w:tcPr>
            <w:tcW w:w="909" w:type="dxa"/>
            <w:tcBorders>
              <w:top w:val="single" w:color="000000" w:sz="4" w:space="0"/>
              <w:left w:val="single" w:color="000000" w:sz="8"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6</w:t>
            </w:r>
          </w:p>
        </w:tc>
        <w:tc>
          <w:tcPr>
            <w:tcW w:w="1579" w:type="dxa"/>
            <w:tcBorders>
              <w:top w:val="single" w:color="000000" w:sz="4" w:space="0"/>
              <w:left w:val="single" w:color="000000" w:sz="4"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020207001003</w:t>
            </w:r>
          </w:p>
        </w:tc>
        <w:tc>
          <w:tcPr>
            <w:tcW w:w="5325" w:type="dxa"/>
            <w:gridSpan w:val="3"/>
            <w:tcBorders>
              <w:top w:val="single" w:color="000000" w:sz="4" w:space="0"/>
              <w:left w:val="single" w:color="000000" w:sz="4"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装饰板墙面</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1.做法:-1F-EL-08</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2.龙骨材料种类、规格、中距:30*40木龙骨(防火三遍防腐处理)</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3.基层材料种类、规格:15MM阻燃板基层</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4.面层材料品种、规格、品牌、颜色:9.5MM纸面石膏板</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1.基层清理</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2.龙骨制作、运输、安装</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3.基层铺钉</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4.面层铺贴</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5.刷防护材料、油漆</w:t>
            </w:r>
          </w:p>
        </w:tc>
        <w:tc>
          <w:tcPr>
            <w:tcW w:w="975" w:type="dxa"/>
            <w:tcBorders>
              <w:top w:val="single" w:color="000000" w:sz="4" w:space="0"/>
              <w:left w:val="single" w:color="000000" w:sz="4"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m2</w:t>
            </w:r>
          </w:p>
        </w:tc>
        <w:tc>
          <w:tcPr>
            <w:tcW w:w="990" w:type="dxa"/>
            <w:tcBorders>
              <w:top w:val="single" w:color="000000" w:sz="4" w:space="0"/>
              <w:left w:val="single" w:color="000000" w:sz="4" w:space="0"/>
              <w:bottom w:val="single" w:color="000000" w:sz="8"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14.48</w:t>
            </w:r>
          </w:p>
        </w:tc>
      </w:tr>
      <w:tr>
        <w:tblPrEx>
          <w:tblCellMar>
            <w:top w:w="0" w:type="dxa"/>
            <w:left w:w="0" w:type="dxa"/>
            <w:bottom w:w="0" w:type="dxa"/>
            <w:right w:w="0" w:type="dxa"/>
          </w:tblCellMar>
        </w:tblPrEx>
        <w:trPr>
          <w:trHeight w:val="2865" w:hRule="atLeast"/>
          <w:jc w:val="center"/>
        </w:trPr>
        <w:tc>
          <w:tcPr>
            <w:tcW w:w="909"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w:t>
            </w:r>
          </w:p>
        </w:tc>
        <w:tc>
          <w:tcPr>
            <w:tcW w:w="157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020207001004</w:t>
            </w:r>
          </w:p>
        </w:tc>
        <w:tc>
          <w:tcPr>
            <w:tcW w:w="5325"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装饰板墙面</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1.做法:-1F-EL-08</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2.基层材料种类、规格:15MM阻燃板基层</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3.面层材料品种、规格、品牌、颜色:5mm成品白色木饰面板（WD-03）</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1.基层清理</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2.基层铺钉</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3.面层铺贴</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4.刷防护材料、油漆</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m2</w:t>
            </w:r>
          </w:p>
        </w:tc>
        <w:tc>
          <w:tcPr>
            <w:tcW w:w="990"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1.86</w:t>
            </w:r>
          </w:p>
        </w:tc>
      </w:tr>
      <w:tr>
        <w:tblPrEx>
          <w:tblCellMar>
            <w:top w:w="0" w:type="dxa"/>
            <w:left w:w="0" w:type="dxa"/>
            <w:bottom w:w="0" w:type="dxa"/>
            <w:right w:w="0" w:type="dxa"/>
          </w:tblCellMar>
        </w:tblPrEx>
        <w:trPr>
          <w:trHeight w:val="2865" w:hRule="atLeast"/>
          <w:jc w:val="center"/>
        </w:trPr>
        <w:tc>
          <w:tcPr>
            <w:tcW w:w="909" w:type="dxa"/>
            <w:tcBorders>
              <w:top w:val="single" w:color="000000" w:sz="4" w:space="0"/>
              <w:left w:val="single" w:color="000000" w:sz="8"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8</w:t>
            </w:r>
          </w:p>
        </w:tc>
        <w:tc>
          <w:tcPr>
            <w:tcW w:w="1579" w:type="dxa"/>
            <w:tcBorders>
              <w:top w:val="single" w:color="000000" w:sz="4" w:space="0"/>
              <w:left w:val="single" w:color="000000" w:sz="4"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020207001005</w:t>
            </w:r>
          </w:p>
        </w:tc>
        <w:tc>
          <w:tcPr>
            <w:tcW w:w="5325" w:type="dxa"/>
            <w:gridSpan w:val="3"/>
            <w:tcBorders>
              <w:top w:val="single" w:color="000000" w:sz="4" w:space="0"/>
              <w:left w:val="single" w:color="000000" w:sz="4"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装饰板墙面</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1.做法:-1F-EL-08</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2.基层材料种类、规格:15+9MM阻燃板基层</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3.面层材料品种、规格、品牌、颜色:深蓝色布艺硬包(FA-03)</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1.基层清理</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2.基层铺钉</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3.面层铺贴</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4.刷防护材料、油漆</w:t>
            </w:r>
          </w:p>
        </w:tc>
        <w:tc>
          <w:tcPr>
            <w:tcW w:w="975" w:type="dxa"/>
            <w:tcBorders>
              <w:top w:val="single" w:color="000000" w:sz="4" w:space="0"/>
              <w:left w:val="single" w:color="000000" w:sz="4"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m2</w:t>
            </w:r>
          </w:p>
        </w:tc>
        <w:tc>
          <w:tcPr>
            <w:tcW w:w="990" w:type="dxa"/>
            <w:tcBorders>
              <w:top w:val="single" w:color="000000" w:sz="4" w:space="0"/>
              <w:left w:val="single" w:color="000000" w:sz="4" w:space="0"/>
              <w:bottom w:val="single" w:color="000000" w:sz="8"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2.07</w:t>
            </w:r>
          </w:p>
        </w:tc>
      </w:tr>
      <w:tr>
        <w:tblPrEx>
          <w:tblCellMar>
            <w:top w:w="0" w:type="dxa"/>
            <w:left w:w="0" w:type="dxa"/>
            <w:bottom w:w="0" w:type="dxa"/>
            <w:right w:w="0" w:type="dxa"/>
          </w:tblCellMar>
        </w:tblPrEx>
        <w:trPr>
          <w:trHeight w:val="345" w:hRule="atLeast"/>
          <w:jc w:val="center"/>
        </w:trPr>
        <w:tc>
          <w:tcPr>
            <w:tcW w:w="909"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jc w:val="left"/>
              <w:rPr>
                <w:rFonts w:hint="eastAsia" w:ascii="宋体" w:hAnsi="宋体" w:eastAsia="宋体" w:cs="宋体"/>
                <w:i w:val="0"/>
                <w:color w:val="000000"/>
                <w:sz w:val="20"/>
                <w:szCs w:val="20"/>
                <w:u w:val="none"/>
              </w:rPr>
            </w:pPr>
          </w:p>
        </w:tc>
        <w:tc>
          <w:tcPr>
            <w:tcW w:w="157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B.3</w:t>
            </w:r>
          </w:p>
        </w:tc>
        <w:tc>
          <w:tcPr>
            <w:tcW w:w="5325"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B.3  天棚工程</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990"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r>
      <w:tr>
        <w:tblPrEx>
          <w:tblCellMar>
            <w:top w:w="0" w:type="dxa"/>
            <w:left w:w="0" w:type="dxa"/>
            <w:bottom w:w="0" w:type="dxa"/>
            <w:right w:w="0" w:type="dxa"/>
          </w:tblCellMar>
        </w:tblPrEx>
        <w:trPr>
          <w:trHeight w:val="3630" w:hRule="atLeast"/>
          <w:jc w:val="center"/>
        </w:trPr>
        <w:tc>
          <w:tcPr>
            <w:tcW w:w="909"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w:t>
            </w:r>
          </w:p>
        </w:tc>
        <w:tc>
          <w:tcPr>
            <w:tcW w:w="157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020302001001</w:t>
            </w:r>
          </w:p>
        </w:tc>
        <w:tc>
          <w:tcPr>
            <w:tcW w:w="5325"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天棚吊顶</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1.做法:节点1/-1F-EL-07</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2.吊顶形式:不上人</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3.龙骨类型、材料种类、规格、中距:轻钢龙骨</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4.基层材料种类、规格:9.5MM纸面石膏板</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5.面层材料品种、规格、品牌、颜色:9.5MM纸面石膏板</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1.基层清理</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2.龙骨安装</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3.基层板铺贴</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4.面层铺贴</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m2</w:t>
            </w:r>
          </w:p>
        </w:tc>
        <w:tc>
          <w:tcPr>
            <w:tcW w:w="990"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64.11</w:t>
            </w:r>
          </w:p>
        </w:tc>
      </w:tr>
      <w:tr>
        <w:tblPrEx>
          <w:tblCellMar>
            <w:top w:w="0" w:type="dxa"/>
            <w:left w:w="0" w:type="dxa"/>
            <w:bottom w:w="0" w:type="dxa"/>
            <w:right w:w="0" w:type="dxa"/>
          </w:tblCellMar>
        </w:tblPrEx>
        <w:trPr>
          <w:trHeight w:val="345" w:hRule="atLeast"/>
          <w:jc w:val="center"/>
        </w:trPr>
        <w:tc>
          <w:tcPr>
            <w:tcW w:w="909"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rPr>
                <w:rFonts w:hint="eastAsia" w:ascii="宋体" w:hAnsi="宋体" w:eastAsia="宋体" w:cs="宋体"/>
                <w:i w:val="0"/>
                <w:color w:val="000000"/>
                <w:sz w:val="20"/>
                <w:szCs w:val="20"/>
                <w:u w:val="none"/>
              </w:rPr>
            </w:pPr>
          </w:p>
        </w:tc>
        <w:tc>
          <w:tcPr>
            <w:tcW w:w="157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B.4</w:t>
            </w:r>
          </w:p>
        </w:tc>
        <w:tc>
          <w:tcPr>
            <w:tcW w:w="5325"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B.4  门窗工程</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宋体" w:hAnsi="宋体" w:eastAsia="宋体" w:cs="宋体"/>
                <w:i w:val="0"/>
                <w:color w:val="000000"/>
                <w:sz w:val="20"/>
                <w:szCs w:val="20"/>
                <w:u w:val="none"/>
              </w:rPr>
            </w:pPr>
          </w:p>
        </w:tc>
        <w:tc>
          <w:tcPr>
            <w:tcW w:w="990"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宋体" w:hAnsi="宋体" w:eastAsia="宋体" w:cs="宋体"/>
                <w:i w:val="0"/>
                <w:color w:val="000000"/>
                <w:sz w:val="20"/>
                <w:szCs w:val="20"/>
                <w:u w:val="none"/>
              </w:rPr>
            </w:pPr>
          </w:p>
        </w:tc>
      </w:tr>
      <w:tr>
        <w:tblPrEx>
          <w:tblCellMar>
            <w:top w:w="0" w:type="dxa"/>
            <w:left w:w="0" w:type="dxa"/>
            <w:bottom w:w="0" w:type="dxa"/>
            <w:right w:w="0" w:type="dxa"/>
          </w:tblCellMar>
        </w:tblPrEx>
        <w:trPr>
          <w:trHeight w:val="2610" w:hRule="atLeast"/>
          <w:jc w:val="center"/>
        </w:trPr>
        <w:tc>
          <w:tcPr>
            <w:tcW w:w="909"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w:t>
            </w:r>
          </w:p>
        </w:tc>
        <w:tc>
          <w:tcPr>
            <w:tcW w:w="157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020401003001</w:t>
            </w:r>
          </w:p>
        </w:tc>
        <w:tc>
          <w:tcPr>
            <w:tcW w:w="5325"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实木装饰门</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1.做法:DR-02</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2.框截面尺寸、单扇面积:1460*2580mm</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3.面层材料品种、规格、品牌、颜色:成品深色木门（WD-04）</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4.五金材料、品种、规格:拉手、门吸、合页</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1.门制作、运输、安装</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2.五金安装</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樘</w:t>
            </w:r>
          </w:p>
        </w:tc>
        <w:tc>
          <w:tcPr>
            <w:tcW w:w="990"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r>
      <w:tr>
        <w:tblPrEx>
          <w:tblCellMar>
            <w:top w:w="0" w:type="dxa"/>
            <w:left w:w="0" w:type="dxa"/>
            <w:bottom w:w="0" w:type="dxa"/>
            <w:right w:w="0" w:type="dxa"/>
          </w:tblCellMar>
        </w:tblPrEx>
        <w:trPr>
          <w:trHeight w:val="2610" w:hRule="atLeast"/>
          <w:jc w:val="center"/>
        </w:trPr>
        <w:tc>
          <w:tcPr>
            <w:tcW w:w="909"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11</w:t>
            </w:r>
          </w:p>
        </w:tc>
        <w:tc>
          <w:tcPr>
            <w:tcW w:w="157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020401003002</w:t>
            </w:r>
          </w:p>
        </w:tc>
        <w:tc>
          <w:tcPr>
            <w:tcW w:w="5325"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实木装饰门</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1.做法:DR-03</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2.框截面尺寸、单扇面积:640*2580mm</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3.面层材料品种、规格、品牌、颜色:成品深色木门（WD-04）</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4.五金材料、品种、规格:拉手、门吸、合页</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1.门制作、运输、安装</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2.五金安装</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樘</w:t>
            </w:r>
          </w:p>
        </w:tc>
        <w:tc>
          <w:tcPr>
            <w:tcW w:w="990"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r>
      <w:tr>
        <w:tblPrEx>
          <w:tblCellMar>
            <w:top w:w="0" w:type="dxa"/>
            <w:left w:w="0" w:type="dxa"/>
            <w:bottom w:w="0" w:type="dxa"/>
            <w:right w:w="0" w:type="dxa"/>
          </w:tblCellMar>
        </w:tblPrEx>
        <w:trPr>
          <w:trHeight w:val="2865" w:hRule="atLeast"/>
          <w:jc w:val="center"/>
        </w:trPr>
        <w:tc>
          <w:tcPr>
            <w:tcW w:w="909"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12</w:t>
            </w:r>
          </w:p>
        </w:tc>
        <w:tc>
          <w:tcPr>
            <w:tcW w:w="157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020407001001</w:t>
            </w:r>
          </w:p>
        </w:tc>
        <w:tc>
          <w:tcPr>
            <w:tcW w:w="5325"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木门套</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1.基层材料种类:15MM阻燃板基层</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2.面层材料品种、规格、品牌、颜色:40MM白色木饰面(WD-03)</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1.清理基层</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2.立筋制作、安装</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3.基层板安装</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4.面层铺贴</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5.刷防护材料、油漆</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m2</w:t>
            </w:r>
          </w:p>
        </w:tc>
        <w:tc>
          <w:tcPr>
            <w:tcW w:w="990"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4.19</w:t>
            </w:r>
          </w:p>
        </w:tc>
      </w:tr>
      <w:tr>
        <w:tblPrEx>
          <w:tblCellMar>
            <w:top w:w="0" w:type="dxa"/>
            <w:left w:w="0" w:type="dxa"/>
            <w:bottom w:w="0" w:type="dxa"/>
            <w:right w:w="0" w:type="dxa"/>
          </w:tblCellMar>
        </w:tblPrEx>
        <w:trPr>
          <w:trHeight w:val="585" w:hRule="atLeast"/>
          <w:jc w:val="center"/>
        </w:trPr>
        <w:tc>
          <w:tcPr>
            <w:tcW w:w="909" w:type="dxa"/>
            <w:tcBorders>
              <w:top w:val="single" w:color="000000" w:sz="4" w:space="0"/>
              <w:left w:val="single" w:color="000000" w:sz="8"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13</w:t>
            </w:r>
          </w:p>
        </w:tc>
        <w:tc>
          <w:tcPr>
            <w:tcW w:w="1579" w:type="dxa"/>
            <w:tcBorders>
              <w:top w:val="single" w:color="000000" w:sz="4" w:space="0"/>
              <w:left w:val="single" w:color="000000" w:sz="4"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020408001001</w:t>
            </w:r>
          </w:p>
        </w:tc>
        <w:tc>
          <w:tcPr>
            <w:tcW w:w="5325" w:type="dxa"/>
            <w:gridSpan w:val="3"/>
            <w:tcBorders>
              <w:top w:val="single" w:color="000000" w:sz="4" w:space="0"/>
              <w:left w:val="single" w:color="000000" w:sz="4"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窗帘盒</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p>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1.尺寸:200*200mm</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2.基层材料种类、规格:18MM阻燃板基层</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3.面层材料品种、规格、品牌、颜色:双层9.5MM纸面石膏板</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1.制作、运输</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2.安装</w:t>
            </w:r>
          </w:p>
        </w:tc>
        <w:tc>
          <w:tcPr>
            <w:tcW w:w="975" w:type="dxa"/>
            <w:tcBorders>
              <w:top w:val="single" w:color="000000" w:sz="4" w:space="0"/>
              <w:left w:val="single" w:color="000000" w:sz="4"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w:t>
            </w:r>
          </w:p>
        </w:tc>
        <w:tc>
          <w:tcPr>
            <w:tcW w:w="990" w:type="dxa"/>
            <w:tcBorders>
              <w:top w:val="single" w:color="000000" w:sz="4" w:space="0"/>
              <w:left w:val="single" w:color="000000" w:sz="4" w:space="0"/>
              <w:bottom w:val="single" w:color="000000" w:sz="8"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5.2</w:t>
            </w:r>
          </w:p>
        </w:tc>
      </w:tr>
      <w:tr>
        <w:tblPrEx>
          <w:tblCellMar>
            <w:top w:w="0" w:type="dxa"/>
            <w:left w:w="0" w:type="dxa"/>
            <w:bottom w:w="0" w:type="dxa"/>
            <w:right w:w="0" w:type="dxa"/>
          </w:tblCellMar>
        </w:tblPrEx>
        <w:trPr>
          <w:trHeight w:val="345" w:hRule="atLeast"/>
          <w:jc w:val="center"/>
        </w:trPr>
        <w:tc>
          <w:tcPr>
            <w:tcW w:w="909"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rPr>
                <w:rFonts w:hint="eastAsia" w:ascii="宋体" w:hAnsi="宋体" w:eastAsia="宋体" w:cs="宋体"/>
                <w:i w:val="0"/>
                <w:color w:val="000000"/>
                <w:sz w:val="20"/>
                <w:szCs w:val="20"/>
                <w:u w:val="none"/>
              </w:rPr>
            </w:pPr>
          </w:p>
        </w:tc>
        <w:tc>
          <w:tcPr>
            <w:tcW w:w="157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B.5</w:t>
            </w:r>
          </w:p>
        </w:tc>
        <w:tc>
          <w:tcPr>
            <w:tcW w:w="5325"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B.5  油漆、涂料、裱糊工程</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宋体" w:hAnsi="宋体" w:eastAsia="宋体" w:cs="宋体"/>
                <w:i w:val="0"/>
                <w:color w:val="000000"/>
                <w:sz w:val="20"/>
                <w:szCs w:val="20"/>
                <w:u w:val="none"/>
              </w:rPr>
            </w:pPr>
          </w:p>
        </w:tc>
        <w:tc>
          <w:tcPr>
            <w:tcW w:w="990"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宋体" w:hAnsi="宋体" w:eastAsia="宋体" w:cs="宋体"/>
                <w:i w:val="0"/>
                <w:color w:val="000000"/>
                <w:sz w:val="20"/>
                <w:szCs w:val="20"/>
                <w:u w:val="none"/>
              </w:rPr>
            </w:pPr>
          </w:p>
        </w:tc>
      </w:tr>
      <w:tr>
        <w:tblPrEx>
          <w:tblCellMar>
            <w:top w:w="0" w:type="dxa"/>
            <w:left w:w="0" w:type="dxa"/>
            <w:bottom w:w="0" w:type="dxa"/>
            <w:right w:w="0" w:type="dxa"/>
          </w:tblCellMar>
        </w:tblPrEx>
        <w:trPr>
          <w:trHeight w:val="1845" w:hRule="atLeast"/>
          <w:jc w:val="center"/>
        </w:trPr>
        <w:tc>
          <w:tcPr>
            <w:tcW w:w="909"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14</w:t>
            </w:r>
          </w:p>
        </w:tc>
        <w:tc>
          <w:tcPr>
            <w:tcW w:w="157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020506001001</w:t>
            </w:r>
          </w:p>
        </w:tc>
        <w:tc>
          <w:tcPr>
            <w:tcW w:w="5325"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抹灰面油漆（墙面）</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1.油漆品种、刷漆遍数:硅藻泥（PT-05）</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1.基层清理</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2.刮腻子</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3.刷防护材料、油漆</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m2</w:t>
            </w:r>
          </w:p>
        </w:tc>
        <w:tc>
          <w:tcPr>
            <w:tcW w:w="990"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60.33</w:t>
            </w:r>
          </w:p>
        </w:tc>
      </w:tr>
      <w:tr>
        <w:tblPrEx>
          <w:tblCellMar>
            <w:top w:w="0" w:type="dxa"/>
            <w:left w:w="0" w:type="dxa"/>
            <w:bottom w:w="0" w:type="dxa"/>
            <w:right w:w="0" w:type="dxa"/>
          </w:tblCellMar>
        </w:tblPrEx>
        <w:trPr>
          <w:trHeight w:val="2100" w:hRule="atLeast"/>
          <w:jc w:val="center"/>
        </w:trPr>
        <w:tc>
          <w:tcPr>
            <w:tcW w:w="909"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15</w:t>
            </w:r>
          </w:p>
        </w:tc>
        <w:tc>
          <w:tcPr>
            <w:tcW w:w="157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020506001002</w:t>
            </w:r>
          </w:p>
        </w:tc>
        <w:tc>
          <w:tcPr>
            <w:tcW w:w="5325"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抹灰面油漆（墙面）</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1.油漆品种、刷漆遍数:深蓝色乳胶漆（PT-02）</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1.基层清理</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2.刮腻子</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3.刷防护材料、油漆</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m2</w:t>
            </w:r>
          </w:p>
        </w:tc>
        <w:tc>
          <w:tcPr>
            <w:tcW w:w="990"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7.35</w:t>
            </w:r>
          </w:p>
        </w:tc>
      </w:tr>
      <w:tr>
        <w:tblPrEx>
          <w:tblCellMar>
            <w:top w:w="0" w:type="dxa"/>
            <w:left w:w="0" w:type="dxa"/>
            <w:bottom w:w="0" w:type="dxa"/>
            <w:right w:w="0" w:type="dxa"/>
          </w:tblCellMar>
        </w:tblPrEx>
        <w:trPr>
          <w:trHeight w:val="1845" w:hRule="atLeast"/>
          <w:jc w:val="center"/>
        </w:trPr>
        <w:tc>
          <w:tcPr>
            <w:tcW w:w="909"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16</w:t>
            </w:r>
          </w:p>
        </w:tc>
        <w:tc>
          <w:tcPr>
            <w:tcW w:w="157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020506001003</w:t>
            </w:r>
          </w:p>
        </w:tc>
        <w:tc>
          <w:tcPr>
            <w:tcW w:w="5325"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抹灰面油漆（天棚）</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1.油漆品种、刷漆遍数:白色乳胶漆（PT-01）</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1.基层清理</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2.刮腻子</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3.刷防护材料、油漆</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m2</w:t>
            </w:r>
          </w:p>
        </w:tc>
        <w:tc>
          <w:tcPr>
            <w:tcW w:w="990"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56.72</w:t>
            </w:r>
          </w:p>
        </w:tc>
      </w:tr>
      <w:tr>
        <w:trPr>
          <w:trHeight w:val="332" w:hRule="atLeast"/>
          <w:jc w:val="center"/>
        </w:trPr>
        <w:tc>
          <w:tcPr>
            <w:tcW w:w="909"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17</w:t>
            </w:r>
          </w:p>
        </w:tc>
        <w:tc>
          <w:tcPr>
            <w:tcW w:w="157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020506001004</w:t>
            </w:r>
          </w:p>
        </w:tc>
        <w:tc>
          <w:tcPr>
            <w:tcW w:w="5325"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抹灰面油漆（天棚）</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1.油漆品种、刷漆遍数:深蓝色乳胶漆（PT-02）</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1.基层清理</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2.刮腻子</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3.刷防护材料、油漆</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m2</w:t>
            </w:r>
          </w:p>
        </w:tc>
        <w:tc>
          <w:tcPr>
            <w:tcW w:w="990"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8.43</w:t>
            </w:r>
          </w:p>
        </w:tc>
      </w:tr>
      <w:tr>
        <w:tblPrEx>
          <w:tblCellMar>
            <w:top w:w="0" w:type="dxa"/>
            <w:left w:w="0" w:type="dxa"/>
            <w:bottom w:w="0" w:type="dxa"/>
            <w:right w:w="0" w:type="dxa"/>
          </w:tblCellMar>
        </w:tblPrEx>
        <w:trPr>
          <w:trHeight w:val="345" w:hRule="atLeast"/>
          <w:jc w:val="center"/>
        </w:trPr>
        <w:tc>
          <w:tcPr>
            <w:tcW w:w="909"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rPr>
                <w:rFonts w:hint="eastAsia" w:ascii="宋体" w:hAnsi="宋体" w:eastAsia="宋体" w:cs="宋体"/>
                <w:i w:val="0"/>
                <w:color w:val="000000"/>
                <w:sz w:val="20"/>
                <w:szCs w:val="20"/>
                <w:u w:val="none"/>
              </w:rPr>
            </w:pPr>
          </w:p>
        </w:tc>
        <w:tc>
          <w:tcPr>
            <w:tcW w:w="157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B.6</w:t>
            </w:r>
          </w:p>
        </w:tc>
        <w:tc>
          <w:tcPr>
            <w:tcW w:w="5325"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B.6  其 他 工 程</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宋体" w:hAnsi="宋体" w:eastAsia="宋体" w:cs="宋体"/>
                <w:i w:val="0"/>
                <w:color w:val="000000"/>
                <w:sz w:val="20"/>
                <w:szCs w:val="20"/>
                <w:u w:val="none"/>
              </w:rPr>
            </w:pPr>
          </w:p>
        </w:tc>
        <w:tc>
          <w:tcPr>
            <w:tcW w:w="990"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宋体" w:hAnsi="宋体" w:eastAsia="宋体" w:cs="宋体"/>
                <w:i w:val="0"/>
                <w:color w:val="000000"/>
                <w:sz w:val="20"/>
                <w:szCs w:val="20"/>
                <w:u w:val="none"/>
              </w:rPr>
            </w:pPr>
          </w:p>
        </w:tc>
      </w:tr>
      <w:tr>
        <w:tblPrEx>
          <w:tblCellMar>
            <w:top w:w="0" w:type="dxa"/>
            <w:left w:w="0" w:type="dxa"/>
            <w:bottom w:w="0" w:type="dxa"/>
            <w:right w:w="0" w:type="dxa"/>
          </w:tblCellMar>
        </w:tblPrEx>
        <w:trPr>
          <w:trHeight w:val="2355" w:hRule="atLeast"/>
          <w:jc w:val="center"/>
        </w:trPr>
        <w:tc>
          <w:tcPr>
            <w:tcW w:w="909" w:type="dxa"/>
            <w:tcBorders>
              <w:top w:val="single" w:color="000000" w:sz="4" w:space="0"/>
              <w:left w:val="single" w:color="000000" w:sz="8"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18</w:t>
            </w:r>
          </w:p>
        </w:tc>
        <w:tc>
          <w:tcPr>
            <w:tcW w:w="1579" w:type="dxa"/>
            <w:tcBorders>
              <w:top w:val="single" w:color="000000" w:sz="4" w:space="0"/>
              <w:left w:val="single" w:color="000000" w:sz="4"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020601009001</w:t>
            </w:r>
          </w:p>
        </w:tc>
        <w:tc>
          <w:tcPr>
            <w:tcW w:w="5325" w:type="dxa"/>
            <w:gridSpan w:val="3"/>
            <w:tcBorders>
              <w:top w:val="single" w:color="000000" w:sz="4" w:space="0"/>
              <w:left w:val="single" w:color="000000" w:sz="4"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厨房低柜</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1.台柜规格:3020*800*300</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2.台面材料:大理石台面（ST-01）</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3.材料种类、规格:柜体白色木饰面(WD-09)</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4.五金种类、规格:合页、拉手</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1.台柜制作</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2.运输、安装（安放）</w:t>
            </w:r>
          </w:p>
        </w:tc>
        <w:tc>
          <w:tcPr>
            <w:tcW w:w="975" w:type="dxa"/>
            <w:tcBorders>
              <w:top w:val="single" w:color="000000" w:sz="4" w:space="0"/>
              <w:left w:val="single" w:color="000000" w:sz="4"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个</w:t>
            </w:r>
          </w:p>
        </w:tc>
        <w:tc>
          <w:tcPr>
            <w:tcW w:w="990" w:type="dxa"/>
            <w:tcBorders>
              <w:top w:val="single" w:color="000000" w:sz="4" w:space="0"/>
              <w:left w:val="single" w:color="000000" w:sz="4" w:space="0"/>
              <w:bottom w:val="single" w:color="000000" w:sz="8"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r>
      <w:tr>
        <w:tblPrEx>
          <w:tblCellMar>
            <w:top w:w="0" w:type="dxa"/>
            <w:left w:w="0" w:type="dxa"/>
            <w:bottom w:w="0" w:type="dxa"/>
            <w:right w:w="0" w:type="dxa"/>
          </w:tblCellMar>
        </w:tblPrEx>
        <w:trPr>
          <w:trHeight w:val="2355" w:hRule="atLeast"/>
          <w:jc w:val="center"/>
        </w:trPr>
        <w:tc>
          <w:tcPr>
            <w:tcW w:w="909"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19</w:t>
            </w:r>
          </w:p>
        </w:tc>
        <w:tc>
          <w:tcPr>
            <w:tcW w:w="157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020601009002</w:t>
            </w:r>
          </w:p>
        </w:tc>
        <w:tc>
          <w:tcPr>
            <w:tcW w:w="5325"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厨房低柜</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1.台柜规格:2500*800*300</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2.台面材料:大理石台面（ST-01）</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3.材料种类、规格:柜体白色木饰面(WD-09)</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4.五金种类、规格:合页、拉手</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1.台柜制作</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2.运输、安装（安放）</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个</w:t>
            </w:r>
          </w:p>
        </w:tc>
        <w:tc>
          <w:tcPr>
            <w:tcW w:w="990"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r>
      <w:tr>
        <w:tblPrEx>
          <w:tblCellMar>
            <w:top w:w="0" w:type="dxa"/>
            <w:left w:w="0" w:type="dxa"/>
            <w:bottom w:w="0" w:type="dxa"/>
            <w:right w:w="0" w:type="dxa"/>
          </w:tblCellMar>
        </w:tblPrEx>
        <w:trPr>
          <w:trHeight w:val="2100" w:hRule="atLeast"/>
          <w:jc w:val="center"/>
        </w:trPr>
        <w:tc>
          <w:tcPr>
            <w:tcW w:w="909"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w:t>
            </w:r>
          </w:p>
        </w:tc>
        <w:tc>
          <w:tcPr>
            <w:tcW w:w="157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020601010001</w:t>
            </w:r>
          </w:p>
        </w:tc>
        <w:tc>
          <w:tcPr>
            <w:tcW w:w="5325"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厨房吊柜</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1.台柜规格:2500*1070*200</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2.材料种类、规格:白色木饰面(WD-09)</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3.五金种类、规格:合页、拉手</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1.台柜制作</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2.运输、安装（安放）</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个</w:t>
            </w:r>
          </w:p>
        </w:tc>
        <w:tc>
          <w:tcPr>
            <w:tcW w:w="990"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r>
      <w:tr>
        <w:tblPrEx>
          <w:tblCellMar>
            <w:top w:w="0" w:type="dxa"/>
            <w:left w:w="0" w:type="dxa"/>
            <w:bottom w:w="0" w:type="dxa"/>
            <w:right w:w="0" w:type="dxa"/>
          </w:tblCellMar>
        </w:tblPrEx>
        <w:trPr>
          <w:trHeight w:val="2100" w:hRule="atLeast"/>
          <w:jc w:val="center"/>
        </w:trPr>
        <w:tc>
          <w:tcPr>
            <w:tcW w:w="909"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21</w:t>
            </w:r>
          </w:p>
        </w:tc>
        <w:tc>
          <w:tcPr>
            <w:tcW w:w="157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020601011001</w:t>
            </w:r>
          </w:p>
        </w:tc>
        <w:tc>
          <w:tcPr>
            <w:tcW w:w="5325"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矮柜</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1.部位:电视墙面</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2.台柜规格:2600*300*200</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3.材料种类、规格:白色木饰面柜体(WD-09)</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1.台柜制作</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2.运输、安装（安放）</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个</w:t>
            </w:r>
          </w:p>
        </w:tc>
        <w:tc>
          <w:tcPr>
            <w:tcW w:w="990"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r>
      <w:tr>
        <w:tblPrEx>
          <w:tblCellMar>
            <w:top w:w="0" w:type="dxa"/>
            <w:left w:w="0" w:type="dxa"/>
            <w:bottom w:w="0" w:type="dxa"/>
            <w:right w:w="0" w:type="dxa"/>
          </w:tblCellMar>
        </w:tblPrEx>
        <w:trPr>
          <w:trHeight w:val="2100" w:hRule="atLeast"/>
          <w:jc w:val="center"/>
        </w:trPr>
        <w:tc>
          <w:tcPr>
            <w:tcW w:w="909"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22</w:t>
            </w:r>
          </w:p>
        </w:tc>
        <w:tc>
          <w:tcPr>
            <w:tcW w:w="157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020601011002</w:t>
            </w:r>
          </w:p>
        </w:tc>
        <w:tc>
          <w:tcPr>
            <w:tcW w:w="5325"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木质横隔板</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1.部位:电视墙面</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2.台柜规格:3000*120*200</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3.材料种类、规格:成品白色木饰面(WD-09)</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1.制作</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2.运输、安装（安放）</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个</w:t>
            </w:r>
          </w:p>
        </w:tc>
        <w:tc>
          <w:tcPr>
            <w:tcW w:w="990"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r>
      <w:tr>
        <w:tblPrEx>
          <w:tblCellMar>
            <w:top w:w="0" w:type="dxa"/>
            <w:left w:w="0" w:type="dxa"/>
            <w:bottom w:w="0" w:type="dxa"/>
            <w:right w:w="0" w:type="dxa"/>
          </w:tblCellMar>
        </w:tblPrEx>
        <w:trPr>
          <w:trHeight w:val="1845" w:hRule="atLeast"/>
          <w:jc w:val="center"/>
        </w:trPr>
        <w:tc>
          <w:tcPr>
            <w:tcW w:w="909"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23</w:t>
            </w:r>
          </w:p>
        </w:tc>
        <w:tc>
          <w:tcPr>
            <w:tcW w:w="157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020604001001</w:t>
            </w:r>
          </w:p>
        </w:tc>
        <w:tc>
          <w:tcPr>
            <w:tcW w:w="5325"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金属装饰线（墙面）</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1.线条材料品种、规格、颜色:10MM黑色不锈钢压条（MT-03）</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1.线条制作</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2.安装</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w:t>
            </w:r>
          </w:p>
        </w:tc>
        <w:tc>
          <w:tcPr>
            <w:tcW w:w="990"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10.79</w:t>
            </w:r>
          </w:p>
        </w:tc>
      </w:tr>
      <w:tr>
        <w:tblPrEx>
          <w:tblCellMar>
            <w:top w:w="0" w:type="dxa"/>
            <w:left w:w="0" w:type="dxa"/>
            <w:bottom w:w="0" w:type="dxa"/>
            <w:right w:w="0" w:type="dxa"/>
          </w:tblCellMar>
        </w:tblPrEx>
        <w:trPr>
          <w:trHeight w:val="2355" w:hRule="atLeast"/>
          <w:jc w:val="center"/>
        </w:trPr>
        <w:tc>
          <w:tcPr>
            <w:tcW w:w="909" w:type="dxa"/>
            <w:tcBorders>
              <w:top w:val="single" w:color="000000" w:sz="4" w:space="0"/>
              <w:left w:val="single" w:color="000000" w:sz="8"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24</w:t>
            </w:r>
          </w:p>
        </w:tc>
        <w:tc>
          <w:tcPr>
            <w:tcW w:w="1579" w:type="dxa"/>
            <w:tcBorders>
              <w:top w:val="single" w:color="000000" w:sz="4" w:space="0"/>
              <w:left w:val="single" w:color="000000" w:sz="4"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020604002001</w:t>
            </w:r>
          </w:p>
        </w:tc>
        <w:tc>
          <w:tcPr>
            <w:tcW w:w="5325" w:type="dxa"/>
            <w:gridSpan w:val="3"/>
            <w:tcBorders>
              <w:top w:val="single" w:color="000000" w:sz="4" w:space="0"/>
              <w:left w:val="single" w:color="000000" w:sz="4"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木质装饰线（墙面）</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1.做法:26/DT-03</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2.线条材料品种、规格、颜色:40MM成品白色木线条（WD-03）</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1.线条制作</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2.安装</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3.刷防护材料、油漆</w:t>
            </w:r>
          </w:p>
        </w:tc>
        <w:tc>
          <w:tcPr>
            <w:tcW w:w="975" w:type="dxa"/>
            <w:tcBorders>
              <w:top w:val="single" w:color="000000" w:sz="4" w:space="0"/>
              <w:left w:val="single" w:color="000000" w:sz="4"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w:t>
            </w:r>
          </w:p>
        </w:tc>
        <w:tc>
          <w:tcPr>
            <w:tcW w:w="990" w:type="dxa"/>
            <w:tcBorders>
              <w:top w:val="single" w:color="000000" w:sz="4" w:space="0"/>
              <w:left w:val="single" w:color="000000" w:sz="4" w:space="0"/>
              <w:bottom w:val="single" w:color="000000" w:sz="8"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65.81</w:t>
            </w:r>
          </w:p>
        </w:tc>
      </w:tr>
      <w:tr>
        <w:tblPrEx>
          <w:tblCellMar>
            <w:top w:w="0" w:type="dxa"/>
            <w:left w:w="0" w:type="dxa"/>
            <w:bottom w:w="0" w:type="dxa"/>
            <w:right w:w="0" w:type="dxa"/>
          </w:tblCellMar>
        </w:tblPrEx>
        <w:trPr>
          <w:trHeight w:val="345" w:hRule="atLeast"/>
          <w:jc w:val="center"/>
        </w:trPr>
        <w:tc>
          <w:tcPr>
            <w:tcW w:w="909"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rPr>
                <w:rFonts w:hint="eastAsia" w:ascii="宋体" w:hAnsi="宋体" w:eastAsia="宋体" w:cs="宋体"/>
                <w:i w:val="0"/>
                <w:color w:val="000000"/>
                <w:sz w:val="20"/>
                <w:szCs w:val="20"/>
                <w:u w:val="none"/>
              </w:rPr>
            </w:pPr>
          </w:p>
        </w:tc>
        <w:tc>
          <w:tcPr>
            <w:tcW w:w="157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rPr>
                <w:rFonts w:hint="eastAsia" w:ascii="宋体" w:hAnsi="宋体" w:eastAsia="宋体" w:cs="宋体"/>
                <w:i w:val="0"/>
                <w:color w:val="000000"/>
                <w:sz w:val="20"/>
                <w:szCs w:val="20"/>
                <w:u w:val="none"/>
              </w:rPr>
            </w:pPr>
          </w:p>
        </w:tc>
        <w:tc>
          <w:tcPr>
            <w:tcW w:w="5325"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补充分部</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宋体" w:hAnsi="宋体" w:eastAsia="宋体" w:cs="宋体"/>
                <w:i w:val="0"/>
                <w:color w:val="000000"/>
                <w:sz w:val="20"/>
                <w:szCs w:val="20"/>
                <w:u w:val="none"/>
              </w:rPr>
            </w:pPr>
          </w:p>
        </w:tc>
        <w:tc>
          <w:tcPr>
            <w:tcW w:w="990"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宋体" w:hAnsi="宋体" w:eastAsia="宋体" w:cs="宋体"/>
                <w:i w:val="0"/>
                <w:color w:val="000000"/>
                <w:sz w:val="20"/>
                <w:szCs w:val="20"/>
                <w:u w:val="none"/>
              </w:rPr>
            </w:pPr>
          </w:p>
        </w:tc>
      </w:tr>
      <w:tr>
        <w:tblPrEx>
          <w:tblCellMar>
            <w:top w:w="0" w:type="dxa"/>
            <w:left w:w="0" w:type="dxa"/>
            <w:bottom w:w="0" w:type="dxa"/>
            <w:right w:w="0" w:type="dxa"/>
          </w:tblCellMar>
        </w:tblPrEx>
        <w:trPr>
          <w:trHeight w:val="90" w:hRule="atLeast"/>
          <w:jc w:val="center"/>
        </w:trPr>
        <w:tc>
          <w:tcPr>
            <w:tcW w:w="909"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25</w:t>
            </w:r>
          </w:p>
        </w:tc>
        <w:tc>
          <w:tcPr>
            <w:tcW w:w="157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BB001</w:t>
            </w:r>
          </w:p>
        </w:tc>
        <w:tc>
          <w:tcPr>
            <w:tcW w:w="5325"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窗帘</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1.窗帘轨材质、规格:铝合金暗藏单层轨道</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2.窗帘材质:双层窗帘（CU-01）</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3.窗帘:宽5.2m*高2.72m</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1.制作、运输</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2.安装</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w:t>
            </w:r>
          </w:p>
        </w:tc>
        <w:tc>
          <w:tcPr>
            <w:tcW w:w="990"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5.2</w:t>
            </w:r>
          </w:p>
        </w:tc>
      </w:tr>
      <w:tr>
        <w:tblPrEx>
          <w:tblCellMar>
            <w:top w:w="0" w:type="dxa"/>
            <w:left w:w="0" w:type="dxa"/>
            <w:bottom w:w="0" w:type="dxa"/>
            <w:right w:w="0" w:type="dxa"/>
          </w:tblCellMar>
        </w:tblPrEx>
        <w:trPr>
          <w:trHeight w:val="345" w:hRule="atLeast"/>
          <w:jc w:val="center"/>
        </w:trPr>
        <w:tc>
          <w:tcPr>
            <w:tcW w:w="909"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rPr>
                <w:rFonts w:hint="eastAsia" w:ascii="宋体" w:hAnsi="宋体" w:eastAsia="宋体" w:cs="宋体"/>
                <w:i w:val="0"/>
                <w:color w:val="000000"/>
                <w:sz w:val="20"/>
                <w:szCs w:val="20"/>
                <w:u w:val="none"/>
              </w:rPr>
            </w:pPr>
          </w:p>
        </w:tc>
        <w:tc>
          <w:tcPr>
            <w:tcW w:w="157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rPr>
                <w:rFonts w:hint="eastAsia" w:ascii="宋体" w:hAnsi="宋体" w:eastAsia="宋体" w:cs="宋体"/>
                <w:i w:val="0"/>
                <w:color w:val="000000"/>
                <w:sz w:val="20"/>
                <w:szCs w:val="20"/>
                <w:u w:val="none"/>
              </w:rPr>
            </w:pPr>
          </w:p>
        </w:tc>
        <w:tc>
          <w:tcPr>
            <w:tcW w:w="5325"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负一层大厅</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宋体" w:hAnsi="宋体" w:eastAsia="宋体" w:cs="宋体"/>
                <w:i w:val="0"/>
                <w:color w:val="000000"/>
                <w:sz w:val="20"/>
                <w:szCs w:val="20"/>
                <w:u w:val="none"/>
              </w:rPr>
            </w:pPr>
          </w:p>
        </w:tc>
        <w:tc>
          <w:tcPr>
            <w:tcW w:w="990"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宋体" w:hAnsi="宋体" w:eastAsia="宋体" w:cs="宋体"/>
                <w:i w:val="0"/>
                <w:color w:val="000000"/>
                <w:sz w:val="20"/>
                <w:szCs w:val="20"/>
                <w:u w:val="none"/>
              </w:rPr>
            </w:pPr>
          </w:p>
        </w:tc>
      </w:tr>
      <w:tr>
        <w:tblPrEx>
          <w:tblCellMar>
            <w:top w:w="0" w:type="dxa"/>
            <w:left w:w="0" w:type="dxa"/>
            <w:bottom w:w="0" w:type="dxa"/>
            <w:right w:w="0" w:type="dxa"/>
          </w:tblCellMar>
        </w:tblPrEx>
        <w:trPr>
          <w:trHeight w:val="345" w:hRule="atLeast"/>
          <w:jc w:val="center"/>
        </w:trPr>
        <w:tc>
          <w:tcPr>
            <w:tcW w:w="909"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rPr>
                <w:rFonts w:hint="eastAsia" w:ascii="宋体" w:hAnsi="宋体" w:eastAsia="宋体" w:cs="宋体"/>
                <w:i w:val="0"/>
                <w:color w:val="000000"/>
                <w:sz w:val="20"/>
                <w:szCs w:val="20"/>
                <w:u w:val="none"/>
              </w:rPr>
            </w:pPr>
          </w:p>
        </w:tc>
        <w:tc>
          <w:tcPr>
            <w:tcW w:w="157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B.1</w:t>
            </w:r>
          </w:p>
        </w:tc>
        <w:tc>
          <w:tcPr>
            <w:tcW w:w="5325"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B.1  楼地面工程</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宋体" w:hAnsi="宋体" w:eastAsia="宋体" w:cs="宋体"/>
                <w:i w:val="0"/>
                <w:color w:val="000000"/>
                <w:sz w:val="20"/>
                <w:szCs w:val="20"/>
                <w:u w:val="none"/>
              </w:rPr>
            </w:pPr>
          </w:p>
        </w:tc>
        <w:tc>
          <w:tcPr>
            <w:tcW w:w="990"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宋体" w:hAnsi="宋体" w:eastAsia="宋体" w:cs="宋体"/>
                <w:i w:val="0"/>
                <w:color w:val="000000"/>
                <w:sz w:val="20"/>
                <w:szCs w:val="20"/>
                <w:u w:val="none"/>
              </w:rPr>
            </w:pPr>
          </w:p>
        </w:tc>
      </w:tr>
      <w:tr>
        <w:tblPrEx>
          <w:tblCellMar>
            <w:top w:w="0" w:type="dxa"/>
            <w:left w:w="0" w:type="dxa"/>
            <w:bottom w:w="0" w:type="dxa"/>
            <w:right w:w="0" w:type="dxa"/>
          </w:tblCellMar>
        </w:tblPrEx>
        <w:trPr>
          <w:trHeight w:val="2865" w:hRule="atLeast"/>
          <w:jc w:val="center"/>
        </w:trPr>
        <w:tc>
          <w:tcPr>
            <w:tcW w:w="909"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26</w:t>
            </w:r>
          </w:p>
        </w:tc>
        <w:tc>
          <w:tcPr>
            <w:tcW w:w="157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020101001002</w:t>
            </w:r>
          </w:p>
        </w:tc>
        <w:tc>
          <w:tcPr>
            <w:tcW w:w="5325"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水泥自流平地面</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1.做法:5、6/-1F-EL-10</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2.找平层厚度、砂浆配合比:界面剂、细石混凝土找平层</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3.面层厚度、砂浆配合比:20厚水泥砂浆1:2.5</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1.基层清理</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2.抹找平层</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3.抹面层</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4.材料运输</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m2</w:t>
            </w:r>
          </w:p>
        </w:tc>
        <w:tc>
          <w:tcPr>
            <w:tcW w:w="990"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71.68</w:t>
            </w:r>
          </w:p>
        </w:tc>
      </w:tr>
      <w:tr>
        <w:tblPrEx>
          <w:tblCellMar>
            <w:top w:w="0" w:type="dxa"/>
            <w:left w:w="0" w:type="dxa"/>
            <w:bottom w:w="0" w:type="dxa"/>
            <w:right w:w="0" w:type="dxa"/>
          </w:tblCellMar>
        </w:tblPrEx>
        <w:trPr>
          <w:trHeight w:val="2610" w:hRule="atLeast"/>
          <w:jc w:val="center"/>
        </w:trPr>
        <w:tc>
          <w:tcPr>
            <w:tcW w:w="909"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27</w:t>
            </w:r>
          </w:p>
        </w:tc>
        <w:tc>
          <w:tcPr>
            <w:tcW w:w="157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020103001002</w:t>
            </w:r>
          </w:p>
        </w:tc>
        <w:tc>
          <w:tcPr>
            <w:tcW w:w="5325"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橡胶板楼地面</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1.做法:5、6/-1F-EL-10</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2.粘结层厚度、材料种类:专用胶粘贴</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3.面层材料品种、规格、品牌、颜色:3mm灰色塑胶地板（PL-01）</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1.基层清理</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2.面层铺贴</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3.材料运输</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m2</w:t>
            </w:r>
          </w:p>
        </w:tc>
        <w:tc>
          <w:tcPr>
            <w:tcW w:w="990"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71.68</w:t>
            </w:r>
          </w:p>
        </w:tc>
      </w:tr>
      <w:tr>
        <w:tblPrEx>
          <w:tblCellMar>
            <w:top w:w="0" w:type="dxa"/>
            <w:left w:w="0" w:type="dxa"/>
            <w:bottom w:w="0" w:type="dxa"/>
            <w:right w:w="0" w:type="dxa"/>
          </w:tblCellMar>
        </w:tblPrEx>
        <w:trPr>
          <w:trHeight w:val="3120" w:hRule="atLeast"/>
          <w:jc w:val="center"/>
        </w:trPr>
        <w:tc>
          <w:tcPr>
            <w:tcW w:w="909"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28</w:t>
            </w:r>
          </w:p>
        </w:tc>
        <w:tc>
          <w:tcPr>
            <w:tcW w:w="157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020105007002</w:t>
            </w:r>
          </w:p>
        </w:tc>
        <w:tc>
          <w:tcPr>
            <w:tcW w:w="5325"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金属踢脚线</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1.做法:6/-1F-EL-10</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2.踢脚线高度:80mm</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3.基层材料种类、规格:15MM阻燃板基层</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4.面层材料品种、规格、品牌、颜色:黑色不锈钢踢脚(MT-03)</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1.基层清理</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2.基层铺贴</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3.面层铺贴</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4.材料运输</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m2</w:t>
            </w:r>
          </w:p>
        </w:tc>
        <w:tc>
          <w:tcPr>
            <w:tcW w:w="990"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1.62</w:t>
            </w:r>
          </w:p>
        </w:tc>
      </w:tr>
      <w:tr>
        <w:tblPrEx>
          <w:tblCellMar>
            <w:top w:w="0" w:type="dxa"/>
            <w:left w:w="0" w:type="dxa"/>
            <w:bottom w:w="0" w:type="dxa"/>
            <w:right w:w="0" w:type="dxa"/>
          </w:tblCellMar>
        </w:tblPrEx>
        <w:trPr>
          <w:trHeight w:val="345" w:hRule="atLeast"/>
          <w:jc w:val="center"/>
        </w:trPr>
        <w:tc>
          <w:tcPr>
            <w:tcW w:w="909"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rPr>
                <w:rFonts w:hint="eastAsia" w:ascii="宋体" w:hAnsi="宋体" w:eastAsia="宋体" w:cs="宋体"/>
                <w:i w:val="0"/>
                <w:color w:val="000000"/>
                <w:sz w:val="20"/>
                <w:szCs w:val="20"/>
                <w:u w:val="none"/>
              </w:rPr>
            </w:pPr>
          </w:p>
        </w:tc>
        <w:tc>
          <w:tcPr>
            <w:tcW w:w="157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B.2</w:t>
            </w:r>
          </w:p>
        </w:tc>
        <w:tc>
          <w:tcPr>
            <w:tcW w:w="5325"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B.2  墙、柱面工程</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宋体" w:hAnsi="宋体" w:eastAsia="宋体" w:cs="宋体"/>
                <w:i w:val="0"/>
                <w:color w:val="000000"/>
                <w:sz w:val="20"/>
                <w:szCs w:val="20"/>
                <w:u w:val="none"/>
              </w:rPr>
            </w:pPr>
          </w:p>
        </w:tc>
        <w:tc>
          <w:tcPr>
            <w:tcW w:w="990"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宋体" w:hAnsi="宋体" w:eastAsia="宋体" w:cs="宋体"/>
                <w:i w:val="0"/>
                <w:color w:val="000000"/>
                <w:sz w:val="20"/>
                <w:szCs w:val="20"/>
                <w:u w:val="none"/>
              </w:rPr>
            </w:pPr>
          </w:p>
        </w:tc>
      </w:tr>
      <w:tr>
        <w:tblPrEx>
          <w:tblCellMar>
            <w:top w:w="0" w:type="dxa"/>
            <w:left w:w="0" w:type="dxa"/>
            <w:bottom w:w="0" w:type="dxa"/>
            <w:right w:w="0" w:type="dxa"/>
          </w:tblCellMar>
        </w:tblPrEx>
        <w:trPr>
          <w:trHeight w:val="607" w:hRule="atLeast"/>
          <w:jc w:val="center"/>
        </w:trPr>
        <w:tc>
          <w:tcPr>
            <w:tcW w:w="909" w:type="dxa"/>
            <w:tcBorders>
              <w:top w:val="single" w:color="000000" w:sz="4" w:space="0"/>
              <w:left w:val="single" w:color="000000" w:sz="8"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29</w:t>
            </w:r>
          </w:p>
        </w:tc>
        <w:tc>
          <w:tcPr>
            <w:tcW w:w="1579" w:type="dxa"/>
            <w:tcBorders>
              <w:top w:val="single" w:color="000000" w:sz="4" w:space="0"/>
              <w:left w:val="single" w:color="000000" w:sz="4"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020207001006</w:t>
            </w:r>
          </w:p>
        </w:tc>
        <w:tc>
          <w:tcPr>
            <w:tcW w:w="5325" w:type="dxa"/>
            <w:gridSpan w:val="3"/>
            <w:tcBorders>
              <w:top w:val="single" w:color="000000" w:sz="4" w:space="0"/>
              <w:left w:val="single" w:color="000000" w:sz="4"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装饰板墙面</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1.做法:6/-1F-EL-10</w:t>
            </w:r>
          </w:p>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2.龙骨材料种类、规格、中距:30*40木龙骨(防火三遍防腐处理)</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3.基层材料种类、规格:15MM阻燃板基层</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4.面层材料品种、规格、品牌、颜色:5mm成品深色木饰面（WD-04)</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1.基层清理</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2.龙骨制作、运输、安装</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3.基层铺钉</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4.面层铺贴</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5.刷防护材料、油漆</w:t>
            </w:r>
          </w:p>
        </w:tc>
        <w:tc>
          <w:tcPr>
            <w:tcW w:w="975" w:type="dxa"/>
            <w:tcBorders>
              <w:top w:val="single" w:color="000000" w:sz="4" w:space="0"/>
              <w:left w:val="single" w:color="000000" w:sz="4"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m2</w:t>
            </w:r>
          </w:p>
        </w:tc>
        <w:tc>
          <w:tcPr>
            <w:tcW w:w="990" w:type="dxa"/>
            <w:tcBorders>
              <w:top w:val="single" w:color="000000" w:sz="4" w:space="0"/>
              <w:left w:val="single" w:color="000000" w:sz="4" w:space="0"/>
              <w:bottom w:val="single" w:color="000000" w:sz="8"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3.42</w:t>
            </w:r>
          </w:p>
        </w:tc>
      </w:tr>
      <w:tr>
        <w:tblPrEx>
          <w:tblCellMar>
            <w:top w:w="0" w:type="dxa"/>
            <w:left w:w="0" w:type="dxa"/>
            <w:bottom w:w="0" w:type="dxa"/>
            <w:right w:w="0" w:type="dxa"/>
          </w:tblCellMar>
        </w:tblPrEx>
        <w:trPr>
          <w:trHeight w:val="3630" w:hRule="atLeast"/>
          <w:jc w:val="center"/>
        </w:trPr>
        <w:tc>
          <w:tcPr>
            <w:tcW w:w="909"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30</w:t>
            </w:r>
          </w:p>
        </w:tc>
        <w:tc>
          <w:tcPr>
            <w:tcW w:w="157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020207001007</w:t>
            </w:r>
          </w:p>
        </w:tc>
        <w:tc>
          <w:tcPr>
            <w:tcW w:w="5325"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装饰板墙面</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1.做法:21/DT-03</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2.龙骨材料种类、规格、中距:木挂条(防火三遍防腐处理)</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3.基层材料种类、规格:9.5MM纸面石膏板</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4.面层材料品种、规格、品牌、颜色:9.5MM纸面石膏板</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1.基层清理</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2.龙骨制作、运输、安装</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3.基层铺钉</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4.面层铺贴</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5.刷防护材料、油漆</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m2</w:t>
            </w:r>
          </w:p>
        </w:tc>
        <w:tc>
          <w:tcPr>
            <w:tcW w:w="990"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w:t>
            </w:r>
          </w:p>
        </w:tc>
      </w:tr>
      <w:tr>
        <w:tblPrEx>
          <w:tblCellMar>
            <w:top w:w="0" w:type="dxa"/>
            <w:left w:w="0" w:type="dxa"/>
            <w:bottom w:w="0" w:type="dxa"/>
            <w:right w:w="0" w:type="dxa"/>
          </w:tblCellMar>
        </w:tblPrEx>
        <w:trPr>
          <w:trHeight w:val="3630" w:hRule="atLeast"/>
          <w:jc w:val="center"/>
        </w:trPr>
        <w:tc>
          <w:tcPr>
            <w:tcW w:w="909"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31</w:t>
            </w:r>
          </w:p>
        </w:tc>
        <w:tc>
          <w:tcPr>
            <w:tcW w:w="157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020207001008</w:t>
            </w:r>
          </w:p>
        </w:tc>
        <w:tc>
          <w:tcPr>
            <w:tcW w:w="5325"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装饰板墙面</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1.做法:5/-1F-EL-10</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2.龙骨材料种类、规格、中距:30*40木龙骨(防火三遍防腐处理)</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3.基层材料种类、规格:15MM阻燃板基层</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4.面层材料品种、规格、品牌、颜色:白色焗油玻璃（GL-01）、玻璃专用胶</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1.基层清理</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2.龙骨制作、运输、安装</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3.基层铺钉</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4.面层铺贴</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5.刷防护材料、油漆</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m2</w:t>
            </w:r>
          </w:p>
        </w:tc>
        <w:tc>
          <w:tcPr>
            <w:tcW w:w="990"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13.72</w:t>
            </w:r>
          </w:p>
        </w:tc>
      </w:tr>
      <w:tr>
        <w:tblPrEx>
          <w:tblCellMar>
            <w:top w:w="0" w:type="dxa"/>
            <w:left w:w="0" w:type="dxa"/>
            <w:bottom w:w="0" w:type="dxa"/>
            <w:right w:w="0" w:type="dxa"/>
          </w:tblCellMar>
        </w:tblPrEx>
        <w:trPr>
          <w:trHeight w:val="2850" w:hRule="atLeast"/>
          <w:jc w:val="center"/>
        </w:trPr>
        <w:tc>
          <w:tcPr>
            <w:tcW w:w="909" w:type="dxa"/>
            <w:tcBorders>
              <w:top w:val="single" w:color="000000" w:sz="4" w:space="0"/>
              <w:left w:val="single" w:color="000000" w:sz="8"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32</w:t>
            </w:r>
          </w:p>
        </w:tc>
        <w:tc>
          <w:tcPr>
            <w:tcW w:w="1579" w:type="dxa"/>
            <w:tcBorders>
              <w:top w:val="single" w:color="000000" w:sz="4" w:space="0"/>
              <w:left w:val="single" w:color="000000" w:sz="4"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020207001009</w:t>
            </w:r>
          </w:p>
        </w:tc>
        <w:tc>
          <w:tcPr>
            <w:tcW w:w="5325" w:type="dxa"/>
            <w:gridSpan w:val="3"/>
            <w:tcBorders>
              <w:top w:val="single" w:color="000000" w:sz="4" w:space="0"/>
              <w:left w:val="single" w:color="000000" w:sz="4"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装饰板墙面(暗门)</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1.做法:31/DT-04</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2.基层材料种类、规格:15MM阻燃板基层、15mm阻燃夹板基层</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3.面层材料品种、规格、品牌、颜色:12mm阻燃板基层</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1.基层清理</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2.基层铺钉</w:t>
            </w:r>
          </w:p>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3.面层铺贴</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4.刷防护材料、油漆</w:t>
            </w:r>
          </w:p>
        </w:tc>
        <w:tc>
          <w:tcPr>
            <w:tcW w:w="975" w:type="dxa"/>
            <w:tcBorders>
              <w:top w:val="single" w:color="000000" w:sz="4" w:space="0"/>
              <w:left w:val="single" w:color="000000" w:sz="4"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m2</w:t>
            </w:r>
          </w:p>
        </w:tc>
        <w:tc>
          <w:tcPr>
            <w:tcW w:w="990" w:type="dxa"/>
            <w:tcBorders>
              <w:top w:val="single" w:color="000000" w:sz="4" w:space="0"/>
              <w:left w:val="single" w:color="000000" w:sz="4" w:space="0"/>
              <w:bottom w:val="single" w:color="000000" w:sz="8"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1.83</w:t>
            </w:r>
          </w:p>
        </w:tc>
      </w:tr>
      <w:tr>
        <w:tblPrEx>
          <w:tblCellMar>
            <w:top w:w="0" w:type="dxa"/>
            <w:left w:w="0" w:type="dxa"/>
            <w:bottom w:w="0" w:type="dxa"/>
            <w:right w:w="0" w:type="dxa"/>
          </w:tblCellMar>
        </w:tblPrEx>
        <w:trPr>
          <w:trHeight w:val="3630" w:hRule="atLeast"/>
          <w:jc w:val="center"/>
        </w:trPr>
        <w:tc>
          <w:tcPr>
            <w:tcW w:w="909"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33</w:t>
            </w:r>
          </w:p>
        </w:tc>
        <w:tc>
          <w:tcPr>
            <w:tcW w:w="157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020207001010</w:t>
            </w:r>
          </w:p>
        </w:tc>
        <w:tc>
          <w:tcPr>
            <w:tcW w:w="5325"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装饰板墙面(造型处)</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1.做法:31/DT-04</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2.龙骨材料种类、规格、中距:30*30MM镀锌角钢</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3.基层材料种类、规格:15MM阻燃板基层</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4.面层材料品种、规格、品牌、颜色:9.5MM纸面石膏板</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1.基层清理</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2.龙骨制作、运输、安装</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3.基层铺钉</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4.面层铺贴</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5.刷防护材料、油漆</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m2</w:t>
            </w:r>
          </w:p>
        </w:tc>
        <w:tc>
          <w:tcPr>
            <w:tcW w:w="990"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7.47</w:t>
            </w:r>
          </w:p>
        </w:tc>
      </w:tr>
      <w:tr>
        <w:tblPrEx>
          <w:tblCellMar>
            <w:top w:w="0" w:type="dxa"/>
            <w:left w:w="0" w:type="dxa"/>
            <w:bottom w:w="0" w:type="dxa"/>
            <w:right w:w="0" w:type="dxa"/>
          </w:tblCellMar>
        </w:tblPrEx>
        <w:trPr>
          <w:trHeight w:val="2865" w:hRule="atLeast"/>
          <w:jc w:val="center"/>
        </w:trPr>
        <w:tc>
          <w:tcPr>
            <w:tcW w:w="909"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34</w:t>
            </w:r>
          </w:p>
        </w:tc>
        <w:tc>
          <w:tcPr>
            <w:tcW w:w="157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020207001011</w:t>
            </w:r>
          </w:p>
        </w:tc>
        <w:tc>
          <w:tcPr>
            <w:tcW w:w="5325"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装饰板墙面</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1.做法:32/DT-04</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2.基层材料种类、规格:15MM阻燃板基层</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3.面层材料品种、规格、品牌、颜色:5mm成品深色木饰面（WD-04)</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1.基层清理</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2.基层铺钉</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3.面层铺贴</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4.刷防护材料、油漆</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m2</w:t>
            </w:r>
          </w:p>
        </w:tc>
        <w:tc>
          <w:tcPr>
            <w:tcW w:w="990"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10.77</w:t>
            </w:r>
          </w:p>
        </w:tc>
      </w:tr>
      <w:tr>
        <w:tblPrEx>
          <w:tblCellMar>
            <w:top w:w="0" w:type="dxa"/>
            <w:left w:w="0" w:type="dxa"/>
            <w:bottom w:w="0" w:type="dxa"/>
            <w:right w:w="0" w:type="dxa"/>
          </w:tblCellMar>
        </w:tblPrEx>
        <w:trPr>
          <w:trHeight w:val="92" w:hRule="atLeast"/>
          <w:jc w:val="center"/>
        </w:trPr>
        <w:tc>
          <w:tcPr>
            <w:tcW w:w="909"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35</w:t>
            </w:r>
          </w:p>
        </w:tc>
        <w:tc>
          <w:tcPr>
            <w:tcW w:w="157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020207001012</w:t>
            </w:r>
          </w:p>
        </w:tc>
        <w:tc>
          <w:tcPr>
            <w:tcW w:w="5325"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装饰板墙面</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1.做法:7/-1F-EL-11</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2.龙骨材料种类、规格、中距:木挂条(防火三遍防腐处理)</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3.基层材料种类、规格:9MM阻燃板基层</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4.面层材料品种、规格、品牌、颜色:硬包(FA-02)、5MM“V”字缝</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1.基层清理</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2.龙骨制作、运输、安装</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3.基层铺钉</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4.面层铺贴</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5.刷防护材料、油漆</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m2</w:t>
            </w:r>
          </w:p>
        </w:tc>
        <w:tc>
          <w:tcPr>
            <w:tcW w:w="990"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14.44</w:t>
            </w:r>
          </w:p>
        </w:tc>
      </w:tr>
      <w:tr>
        <w:tblPrEx>
          <w:tblCellMar>
            <w:top w:w="0" w:type="dxa"/>
            <w:left w:w="0" w:type="dxa"/>
            <w:bottom w:w="0" w:type="dxa"/>
            <w:right w:w="0" w:type="dxa"/>
          </w:tblCellMar>
        </w:tblPrEx>
        <w:trPr>
          <w:trHeight w:val="345" w:hRule="atLeast"/>
          <w:jc w:val="center"/>
        </w:trPr>
        <w:tc>
          <w:tcPr>
            <w:tcW w:w="909"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rPr>
                <w:rFonts w:hint="eastAsia" w:ascii="宋体" w:hAnsi="宋体" w:eastAsia="宋体" w:cs="宋体"/>
                <w:i w:val="0"/>
                <w:color w:val="000000"/>
                <w:sz w:val="20"/>
                <w:szCs w:val="20"/>
                <w:u w:val="none"/>
              </w:rPr>
            </w:pPr>
          </w:p>
        </w:tc>
        <w:tc>
          <w:tcPr>
            <w:tcW w:w="157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B.3</w:t>
            </w:r>
          </w:p>
        </w:tc>
        <w:tc>
          <w:tcPr>
            <w:tcW w:w="5325"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B.3  天棚工程</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宋体" w:hAnsi="宋体" w:eastAsia="宋体" w:cs="宋体"/>
                <w:i w:val="0"/>
                <w:color w:val="000000"/>
                <w:sz w:val="20"/>
                <w:szCs w:val="20"/>
                <w:u w:val="none"/>
              </w:rPr>
            </w:pPr>
          </w:p>
        </w:tc>
        <w:tc>
          <w:tcPr>
            <w:tcW w:w="990"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宋体" w:hAnsi="宋体" w:eastAsia="宋体" w:cs="宋体"/>
                <w:i w:val="0"/>
                <w:color w:val="000000"/>
                <w:sz w:val="20"/>
                <w:szCs w:val="20"/>
                <w:u w:val="none"/>
              </w:rPr>
            </w:pPr>
          </w:p>
        </w:tc>
      </w:tr>
      <w:tr>
        <w:tblPrEx>
          <w:tblCellMar>
            <w:top w:w="0" w:type="dxa"/>
            <w:left w:w="0" w:type="dxa"/>
            <w:bottom w:w="0" w:type="dxa"/>
            <w:right w:w="0" w:type="dxa"/>
          </w:tblCellMar>
        </w:tblPrEx>
        <w:trPr>
          <w:trHeight w:val="929" w:hRule="atLeast"/>
          <w:jc w:val="center"/>
        </w:trPr>
        <w:tc>
          <w:tcPr>
            <w:tcW w:w="909" w:type="dxa"/>
            <w:tcBorders>
              <w:top w:val="single" w:color="000000" w:sz="4" w:space="0"/>
              <w:left w:val="single" w:color="000000" w:sz="8"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36</w:t>
            </w:r>
          </w:p>
        </w:tc>
        <w:tc>
          <w:tcPr>
            <w:tcW w:w="1579" w:type="dxa"/>
            <w:tcBorders>
              <w:top w:val="single" w:color="000000" w:sz="4" w:space="0"/>
              <w:left w:val="single" w:color="000000" w:sz="4"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020302001002</w:t>
            </w:r>
          </w:p>
        </w:tc>
        <w:tc>
          <w:tcPr>
            <w:tcW w:w="5325" w:type="dxa"/>
            <w:gridSpan w:val="3"/>
            <w:tcBorders>
              <w:top w:val="single" w:color="000000" w:sz="4" w:space="0"/>
              <w:left w:val="single" w:color="000000" w:sz="4"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天棚吊顶</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1.做法:19/DT-02</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2.吊顶形式:不上人</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3.龙骨类型、材料种类、规格、中距:轻钢龙骨</w:t>
            </w:r>
          </w:p>
          <w:p>
            <w:pPr>
              <w:pStyle w:val="2"/>
              <w:keepNext w:val="0"/>
              <w:keepLines w:val="0"/>
              <w:pageBreakBefore w:val="0"/>
              <w:widowControl/>
              <w:kinsoku/>
              <w:wordWrap/>
              <w:overflowPunct/>
              <w:topLinePunct w:val="0"/>
              <w:autoSpaceDE/>
              <w:autoSpaceDN/>
              <w:bidi w:val="0"/>
              <w:adjustRightInd/>
              <w:snapToGrid/>
              <w:spacing w:line="300" w:lineRule="exact"/>
              <w:ind w:left="0" w:leftChars="0" w:firstLine="0" w:firstLineChars="0"/>
              <w:textAlignment w:val="auto"/>
              <w:rPr>
                <w:rFonts w:hint="eastAsia"/>
              </w:rPr>
            </w:pPr>
            <w:r>
              <w:rPr>
                <w:rFonts w:hint="eastAsia" w:ascii="宋体" w:hAnsi="宋体" w:eastAsia="宋体" w:cs="宋体"/>
                <w:i w:val="0"/>
                <w:color w:val="000000"/>
                <w:kern w:val="0"/>
                <w:sz w:val="20"/>
                <w:szCs w:val="20"/>
                <w:u w:val="none"/>
                <w:lang w:val="en-US" w:eastAsia="zh-CN" w:bidi="ar"/>
              </w:rPr>
              <w:t>4.基层材料种类、规格:5MM阻燃板基层</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5.面层材料品种、规格、品牌、颜色:3mm深色木饰面(WD-04)</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1.基层清理</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2.龙骨安装</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3.基层板铺贴</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4.面层铺贴</w:t>
            </w:r>
          </w:p>
        </w:tc>
        <w:tc>
          <w:tcPr>
            <w:tcW w:w="975" w:type="dxa"/>
            <w:tcBorders>
              <w:top w:val="single" w:color="000000" w:sz="4" w:space="0"/>
              <w:left w:val="single" w:color="000000" w:sz="4"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m2</w:t>
            </w:r>
          </w:p>
        </w:tc>
        <w:tc>
          <w:tcPr>
            <w:tcW w:w="990" w:type="dxa"/>
            <w:tcBorders>
              <w:top w:val="single" w:color="000000" w:sz="4" w:space="0"/>
              <w:left w:val="single" w:color="000000" w:sz="4" w:space="0"/>
              <w:bottom w:val="single" w:color="000000" w:sz="8"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5.18</w:t>
            </w:r>
          </w:p>
        </w:tc>
      </w:tr>
      <w:tr>
        <w:tblPrEx>
          <w:tblCellMar>
            <w:top w:w="0" w:type="dxa"/>
            <w:left w:w="0" w:type="dxa"/>
            <w:bottom w:w="0" w:type="dxa"/>
            <w:right w:w="0" w:type="dxa"/>
          </w:tblCellMar>
        </w:tblPrEx>
        <w:trPr>
          <w:trHeight w:val="3630" w:hRule="atLeast"/>
          <w:jc w:val="center"/>
        </w:trPr>
        <w:tc>
          <w:tcPr>
            <w:tcW w:w="909"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37</w:t>
            </w:r>
          </w:p>
        </w:tc>
        <w:tc>
          <w:tcPr>
            <w:tcW w:w="157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020302001003</w:t>
            </w:r>
          </w:p>
        </w:tc>
        <w:tc>
          <w:tcPr>
            <w:tcW w:w="5325"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天棚吊顶</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1.做法:18/DT-02</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2.吊顶形式:不上人</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3.龙骨类型、材料种类、规格、中距:30*40木龙骨(防火三遍防腐处理)</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4.基层材料种类、规格:18MM阻燃板基层</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5.面层材料品种、规格、品牌、颜色:9.5MM纸面石膏板</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1.基层清理</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2.龙骨安装</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3.基层板铺贴</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4.面层铺贴</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m2</w:t>
            </w:r>
          </w:p>
        </w:tc>
        <w:tc>
          <w:tcPr>
            <w:tcW w:w="990"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1.46</w:t>
            </w:r>
          </w:p>
        </w:tc>
      </w:tr>
      <w:tr>
        <w:tblPrEx>
          <w:tblCellMar>
            <w:top w:w="0" w:type="dxa"/>
            <w:left w:w="0" w:type="dxa"/>
            <w:bottom w:w="0" w:type="dxa"/>
            <w:right w:w="0" w:type="dxa"/>
          </w:tblCellMar>
        </w:tblPrEx>
        <w:trPr>
          <w:trHeight w:val="3630" w:hRule="atLeast"/>
          <w:jc w:val="center"/>
        </w:trPr>
        <w:tc>
          <w:tcPr>
            <w:tcW w:w="909"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38</w:t>
            </w:r>
          </w:p>
        </w:tc>
        <w:tc>
          <w:tcPr>
            <w:tcW w:w="157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020302001004</w:t>
            </w:r>
          </w:p>
        </w:tc>
        <w:tc>
          <w:tcPr>
            <w:tcW w:w="5325"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天棚吊顶</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1.做法:18/DT-02</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2.吊顶形式:跌级不上人</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3.龙骨类型、材料种类、规格、中距:轻钢龙骨</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4.基层材料种类、规格:9.5MM纸面石膏板</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5.面层材料品种、规格、品牌、颜色:9.5MM纸面石膏板</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1.基层清理</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2.龙骨安装</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3.基层板铺贴</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4.面层铺贴</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m2</w:t>
            </w:r>
          </w:p>
        </w:tc>
        <w:tc>
          <w:tcPr>
            <w:tcW w:w="990"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65.04</w:t>
            </w:r>
          </w:p>
        </w:tc>
      </w:tr>
      <w:tr>
        <w:tblPrEx>
          <w:tblCellMar>
            <w:top w:w="0" w:type="dxa"/>
            <w:left w:w="0" w:type="dxa"/>
            <w:bottom w:w="0" w:type="dxa"/>
            <w:right w:w="0" w:type="dxa"/>
          </w:tblCellMar>
        </w:tblPrEx>
        <w:trPr>
          <w:trHeight w:val="2100" w:hRule="atLeast"/>
          <w:jc w:val="center"/>
        </w:trPr>
        <w:tc>
          <w:tcPr>
            <w:tcW w:w="909"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39</w:t>
            </w:r>
          </w:p>
        </w:tc>
        <w:tc>
          <w:tcPr>
            <w:tcW w:w="157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020303001001</w:t>
            </w:r>
          </w:p>
        </w:tc>
        <w:tc>
          <w:tcPr>
            <w:tcW w:w="5325"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灯带</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1.做法:31/DT-04</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2.灯带形式、尺寸:90*80mm</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3.9.5MM纸面石膏板</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4.15MM阻燃板基层</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1.安装、固定</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m2</w:t>
            </w:r>
          </w:p>
        </w:tc>
        <w:tc>
          <w:tcPr>
            <w:tcW w:w="990"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2.23</w:t>
            </w:r>
          </w:p>
        </w:tc>
      </w:tr>
      <w:tr>
        <w:tblPrEx>
          <w:tblCellMar>
            <w:top w:w="0" w:type="dxa"/>
            <w:left w:w="0" w:type="dxa"/>
            <w:bottom w:w="0" w:type="dxa"/>
            <w:right w:w="0" w:type="dxa"/>
          </w:tblCellMar>
        </w:tblPrEx>
        <w:trPr>
          <w:trHeight w:val="345" w:hRule="atLeast"/>
          <w:jc w:val="center"/>
        </w:trPr>
        <w:tc>
          <w:tcPr>
            <w:tcW w:w="909"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rPr>
                <w:rFonts w:hint="eastAsia" w:ascii="宋体" w:hAnsi="宋体" w:eastAsia="宋体" w:cs="宋体"/>
                <w:i w:val="0"/>
                <w:color w:val="000000"/>
                <w:sz w:val="20"/>
                <w:szCs w:val="20"/>
                <w:u w:val="none"/>
              </w:rPr>
            </w:pPr>
          </w:p>
        </w:tc>
        <w:tc>
          <w:tcPr>
            <w:tcW w:w="157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B.4</w:t>
            </w:r>
          </w:p>
        </w:tc>
        <w:tc>
          <w:tcPr>
            <w:tcW w:w="5325"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B.4  门窗工程</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宋体" w:hAnsi="宋体" w:eastAsia="宋体" w:cs="宋体"/>
                <w:i w:val="0"/>
                <w:color w:val="000000"/>
                <w:sz w:val="20"/>
                <w:szCs w:val="20"/>
                <w:u w:val="none"/>
              </w:rPr>
            </w:pPr>
          </w:p>
        </w:tc>
        <w:tc>
          <w:tcPr>
            <w:tcW w:w="990"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宋体" w:hAnsi="宋体" w:eastAsia="宋体" w:cs="宋体"/>
                <w:i w:val="0"/>
                <w:color w:val="000000"/>
                <w:sz w:val="20"/>
                <w:szCs w:val="20"/>
                <w:u w:val="none"/>
              </w:rPr>
            </w:pPr>
          </w:p>
        </w:tc>
      </w:tr>
      <w:tr>
        <w:tblPrEx>
          <w:tblCellMar>
            <w:top w:w="0" w:type="dxa"/>
            <w:left w:w="0" w:type="dxa"/>
            <w:bottom w:w="0" w:type="dxa"/>
            <w:right w:w="0" w:type="dxa"/>
          </w:tblCellMar>
        </w:tblPrEx>
        <w:trPr>
          <w:trHeight w:val="577" w:hRule="atLeast"/>
          <w:jc w:val="center"/>
        </w:trPr>
        <w:tc>
          <w:tcPr>
            <w:tcW w:w="909" w:type="dxa"/>
            <w:tcBorders>
              <w:top w:val="single" w:color="000000" w:sz="4" w:space="0"/>
              <w:left w:val="single" w:color="000000" w:sz="8"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40</w:t>
            </w:r>
          </w:p>
        </w:tc>
        <w:tc>
          <w:tcPr>
            <w:tcW w:w="1579" w:type="dxa"/>
            <w:tcBorders>
              <w:top w:val="single" w:color="000000" w:sz="4" w:space="0"/>
              <w:left w:val="single" w:color="000000" w:sz="4"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020401003003</w:t>
            </w:r>
          </w:p>
        </w:tc>
        <w:tc>
          <w:tcPr>
            <w:tcW w:w="5325" w:type="dxa"/>
            <w:gridSpan w:val="3"/>
            <w:tcBorders>
              <w:top w:val="single" w:color="000000" w:sz="4" w:space="0"/>
              <w:left w:val="single" w:color="000000" w:sz="4"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实木装饰门</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1.做法:DR-02</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2.框截面尺寸、单扇面积:1460*2580mm</w:t>
            </w:r>
          </w:p>
          <w:p>
            <w:pPr>
              <w:pStyle w:val="2"/>
              <w:keepNext w:val="0"/>
              <w:keepLines w:val="0"/>
              <w:pageBreakBefore w:val="0"/>
              <w:widowControl/>
              <w:kinsoku/>
              <w:wordWrap/>
              <w:overflowPunct/>
              <w:topLinePunct w:val="0"/>
              <w:autoSpaceDE/>
              <w:autoSpaceDN/>
              <w:bidi w:val="0"/>
              <w:adjustRightInd/>
              <w:snapToGrid/>
              <w:spacing w:line="300" w:lineRule="exact"/>
              <w:ind w:left="0" w:leftChars="0" w:firstLine="0" w:firstLineChars="0"/>
              <w:rPr>
                <w:rFonts w:hint="eastAsia"/>
              </w:rPr>
            </w:pPr>
            <w:r>
              <w:rPr>
                <w:rFonts w:hint="eastAsia" w:ascii="宋体" w:hAnsi="宋体" w:eastAsia="宋体" w:cs="宋体"/>
                <w:i w:val="0"/>
                <w:color w:val="000000"/>
                <w:kern w:val="0"/>
                <w:sz w:val="20"/>
                <w:szCs w:val="20"/>
                <w:u w:val="none"/>
                <w:lang w:val="en-US" w:eastAsia="zh-CN" w:bidi="ar"/>
              </w:rPr>
              <w:t>3.面层材料品种、规格、品牌、颜色:成品深色木门（WD-04）</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4.五金材料、品种、规格:拉手、门吸、合页</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1.门制作、运输、安装</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2.五金安装</w:t>
            </w:r>
          </w:p>
        </w:tc>
        <w:tc>
          <w:tcPr>
            <w:tcW w:w="975" w:type="dxa"/>
            <w:tcBorders>
              <w:top w:val="single" w:color="000000" w:sz="4" w:space="0"/>
              <w:left w:val="single" w:color="000000" w:sz="4"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樘</w:t>
            </w:r>
          </w:p>
        </w:tc>
        <w:tc>
          <w:tcPr>
            <w:tcW w:w="990" w:type="dxa"/>
            <w:tcBorders>
              <w:top w:val="single" w:color="000000" w:sz="4" w:space="0"/>
              <w:left w:val="single" w:color="000000" w:sz="4" w:space="0"/>
              <w:bottom w:val="single" w:color="000000" w:sz="8"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r>
      <w:tr>
        <w:tblPrEx>
          <w:tblCellMar>
            <w:top w:w="0" w:type="dxa"/>
            <w:left w:w="0" w:type="dxa"/>
            <w:bottom w:w="0" w:type="dxa"/>
            <w:right w:w="0" w:type="dxa"/>
          </w:tblCellMar>
        </w:tblPrEx>
        <w:trPr>
          <w:trHeight w:val="2610" w:hRule="atLeast"/>
          <w:jc w:val="center"/>
        </w:trPr>
        <w:tc>
          <w:tcPr>
            <w:tcW w:w="909"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41</w:t>
            </w:r>
          </w:p>
        </w:tc>
        <w:tc>
          <w:tcPr>
            <w:tcW w:w="157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020401003004</w:t>
            </w:r>
          </w:p>
        </w:tc>
        <w:tc>
          <w:tcPr>
            <w:tcW w:w="5325"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实木装饰门</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1.做法:DR-02</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2.框截面尺寸、单扇面积:1760*2580mm</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3.面层材料品种、规格、品牌、颜色:成品深色木门（WD-04）</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4.五金材料、品种、规格:拉手、门吸、合页</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1.门制作、运输、安装</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2.五金安装</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樘</w:t>
            </w:r>
          </w:p>
        </w:tc>
        <w:tc>
          <w:tcPr>
            <w:tcW w:w="990"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w:t>
            </w:r>
          </w:p>
        </w:tc>
      </w:tr>
      <w:tr>
        <w:tblPrEx>
          <w:tblCellMar>
            <w:top w:w="0" w:type="dxa"/>
            <w:left w:w="0" w:type="dxa"/>
            <w:bottom w:w="0" w:type="dxa"/>
            <w:right w:w="0" w:type="dxa"/>
          </w:tblCellMar>
        </w:tblPrEx>
        <w:trPr>
          <w:trHeight w:val="2865" w:hRule="atLeast"/>
          <w:jc w:val="center"/>
        </w:trPr>
        <w:tc>
          <w:tcPr>
            <w:tcW w:w="909"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42</w:t>
            </w:r>
          </w:p>
        </w:tc>
        <w:tc>
          <w:tcPr>
            <w:tcW w:w="157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020407001002</w:t>
            </w:r>
          </w:p>
        </w:tc>
        <w:tc>
          <w:tcPr>
            <w:tcW w:w="5325"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木门套</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1.基层材料种类:15MM阻燃板基层</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2.面层材料品种、规格、品牌、颜色:40MM白色木饰面(WD-03)</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1.清理基层</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2.立筋制作、安装</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3.基层板安装</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4.面层铺贴</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5.刷防护材料、油漆</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m2</w:t>
            </w:r>
          </w:p>
        </w:tc>
        <w:tc>
          <w:tcPr>
            <w:tcW w:w="990"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4.52</w:t>
            </w:r>
          </w:p>
        </w:tc>
      </w:tr>
      <w:tr>
        <w:tblPrEx>
          <w:tblCellMar>
            <w:top w:w="0" w:type="dxa"/>
            <w:left w:w="0" w:type="dxa"/>
            <w:bottom w:w="0" w:type="dxa"/>
            <w:right w:w="0" w:type="dxa"/>
          </w:tblCellMar>
        </w:tblPrEx>
        <w:trPr>
          <w:trHeight w:val="345" w:hRule="atLeast"/>
          <w:jc w:val="center"/>
        </w:trPr>
        <w:tc>
          <w:tcPr>
            <w:tcW w:w="909"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rPr>
                <w:rFonts w:hint="eastAsia" w:ascii="宋体" w:hAnsi="宋体" w:eastAsia="宋体" w:cs="宋体"/>
                <w:i w:val="0"/>
                <w:color w:val="000000"/>
                <w:sz w:val="20"/>
                <w:szCs w:val="20"/>
                <w:u w:val="none"/>
              </w:rPr>
            </w:pPr>
          </w:p>
        </w:tc>
        <w:tc>
          <w:tcPr>
            <w:tcW w:w="157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B.5</w:t>
            </w:r>
          </w:p>
        </w:tc>
        <w:tc>
          <w:tcPr>
            <w:tcW w:w="5325"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B.5  油漆、涂料、裱糊工程</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宋体" w:hAnsi="宋体" w:eastAsia="宋体" w:cs="宋体"/>
                <w:i w:val="0"/>
                <w:color w:val="000000"/>
                <w:sz w:val="20"/>
                <w:szCs w:val="20"/>
                <w:u w:val="none"/>
              </w:rPr>
            </w:pPr>
          </w:p>
        </w:tc>
        <w:tc>
          <w:tcPr>
            <w:tcW w:w="990"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宋体" w:hAnsi="宋体" w:eastAsia="宋体" w:cs="宋体"/>
                <w:i w:val="0"/>
                <w:color w:val="000000"/>
                <w:sz w:val="20"/>
                <w:szCs w:val="20"/>
                <w:u w:val="none"/>
              </w:rPr>
            </w:pPr>
          </w:p>
        </w:tc>
      </w:tr>
      <w:tr>
        <w:tblPrEx>
          <w:tblCellMar>
            <w:top w:w="0" w:type="dxa"/>
            <w:left w:w="0" w:type="dxa"/>
            <w:bottom w:w="0" w:type="dxa"/>
            <w:right w:w="0" w:type="dxa"/>
          </w:tblCellMar>
        </w:tblPrEx>
        <w:trPr>
          <w:trHeight w:val="1845" w:hRule="atLeast"/>
          <w:jc w:val="center"/>
        </w:trPr>
        <w:tc>
          <w:tcPr>
            <w:tcW w:w="909"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43</w:t>
            </w:r>
          </w:p>
        </w:tc>
        <w:tc>
          <w:tcPr>
            <w:tcW w:w="157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020506001005</w:t>
            </w:r>
          </w:p>
        </w:tc>
        <w:tc>
          <w:tcPr>
            <w:tcW w:w="5325"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抹灰面油漆（天棚）</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1.油漆品种、刷漆遍数:黑色乳胶漆（PT-04）</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1.基层清理</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2.刮腻子</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3.刷防护材料、油漆</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m2</w:t>
            </w:r>
          </w:p>
        </w:tc>
        <w:tc>
          <w:tcPr>
            <w:tcW w:w="990"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1.46</w:t>
            </w:r>
          </w:p>
        </w:tc>
      </w:tr>
      <w:tr>
        <w:tblPrEx>
          <w:tblCellMar>
            <w:top w:w="0" w:type="dxa"/>
            <w:left w:w="0" w:type="dxa"/>
            <w:bottom w:w="0" w:type="dxa"/>
            <w:right w:w="0" w:type="dxa"/>
          </w:tblCellMar>
        </w:tblPrEx>
        <w:trPr>
          <w:trHeight w:val="1845" w:hRule="atLeast"/>
          <w:jc w:val="center"/>
        </w:trPr>
        <w:tc>
          <w:tcPr>
            <w:tcW w:w="909"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44</w:t>
            </w:r>
          </w:p>
        </w:tc>
        <w:tc>
          <w:tcPr>
            <w:tcW w:w="157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020506001006</w:t>
            </w:r>
          </w:p>
        </w:tc>
        <w:tc>
          <w:tcPr>
            <w:tcW w:w="5325"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抹灰面油漆（天棚）</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1.油漆品种、刷漆遍数:白色乳胶漆（PT-01）</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1.基层清理</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2.刮腻子</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3.刷防护材料、油漆</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m2</w:t>
            </w:r>
          </w:p>
        </w:tc>
        <w:tc>
          <w:tcPr>
            <w:tcW w:w="990"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65.04</w:t>
            </w:r>
          </w:p>
        </w:tc>
      </w:tr>
      <w:tr>
        <w:tblPrEx>
          <w:tblCellMar>
            <w:top w:w="0" w:type="dxa"/>
            <w:left w:w="0" w:type="dxa"/>
            <w:bottom w:w="0" w:type="dxa"/>
            <w:right w:w="0" w:type="dxa"/>
          </w:tblCellMar>
        </w:tblPrEx>
        <w:trPr>
          <w:trHeight w:val="1830" w:hRule="atLeast"/>
          <w:jc w:val="center"/>
        </w:trPr>
        <w:tc>
          <w:tcPr>
            <w:tcW w:w="909" w:type="dxa"/>
            <w:tcBorders>
              <w:top w:val="single" w:color="000000" w:sz="4" w:space="0"/>
              <w:left w:val="single" w:color="000000" w:sz="8"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45</w:t>
            </w:r>
          </w:p>
        </w:tc>
        <w:tc>
          <w:tcPr>
            <w:tcW w:w="1579" w:type="dxa"/>
            <w:tcBorders>
              <w:top w:val="single" w:color="000000" w:sz="4" w:space="0"/>
              <w:left w:val="single" w:color="000000" w:sz="4"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020506001007</w:t>
            </w:r>
          </w:p>
        </w:tc>
        <w:tc>
          <w:tcPr>
            <w:tcW w:w="5325" w:type="dxa"/>
            <w:gridSpan w:val="3"/>
            <w:tcBorders>
              <w:top w:val="single" w:color="000000" w:sz="4" w:space="0"/>
              <w:left w:val="single" w:color="000000" w:sz="4"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抹灰面油漆（墙面）</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1.油漆品种、刷漆遍数:白色乳胶漆（PT-01）</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1.基层清理</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2.刮腻子</w:t>
            </w:r>
          </w:p>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3.刷防护材料、油漆</w:t>
            </w:r>
          </w:p>
        </w:tc>
        <w:tc>
          <w:tcPr>
            <w:tcW w:w="975" w:type="dxa"/>
            <w:tcBorders>
              <w:top w:val="single" w:color="000000" w:sz="4" w:space="0"/>
              <w:left w:val="single" w:color="000000" w:sz="4"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m2</w:t>
            </w:r>
          </w:p>
        </w:tc>
        <w:tc>
          <w:tcPr>
            <w:tcW w:w="990" w:type="dxa"/>
            <w:tcBorders>
              <w:top w:val="single" w:color="000000" w:sz="4" w:space="0"/>
              <w:left w:val="single" w:color="000000" w:sz="4" w:space="0"/>
              <w:bottom w:val="single" w:color="000000" w:sz="8"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13.27</w:t>
            </w:r>
          </w:p>
        </w:tc>
      </w:tr>
      <w:tr>
        <w:tblPrEx>
          <w:tblCellMar>
            <w:top w:w="0" w:type="dxa"/>
            <w:left w:w="0" w:type="dxa"/>
            <w:bottom w:w="0" w:type="dxa"/>
            <w:right w:w="0" w:type="dxa"/>
          </w:tblCellMar>
        </w:tblPrEx>
        <w:trPr>
          <w:trHeight w:val="345" w:hRule="atLeast"/>
          <w:jc w:val="center"/>
        </w:trPr>
        <w:tc>
          <w:tcPr>
            <w:tcW w:w="909"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rPr>
                <w:rFonts w:hint="eastAsia" w:ascii="宋体" w:hAnsi="宋体" w:eastAsia="宋体" w:cs="宋体"/>
                <w:i w:val="0"/>
                <w:color w:val="000000"/>
                <w:sz w:val="20"/>
                <w:szCs w:val="20"/>
                <w:u w:val="none"/>
              </w:rPr>
            </w:pPr>
          </w:p>
        </w:tc>
        <w:tc>
          <w:tcPr>
            <w:tcW w:w="157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B.6</w:t>
            </w:r>
          </w:p>
        </w:tc>
        <w:tc>
          <w:tcPr>
            <w:tcW w:w="5325"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B.6  其 他 工 程</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宋体" w:hAnsi="宋体" w:eastAsia="宋体" w:cs="宋体"/>
                <w:i w:val="0"/>
                <w:color w:val="000000"/>
                <w:sz w:val="20"/>
                <w:szCs w:val="20"/>
                <w:u w:val="none"/>
              </w:rPr>
            </w:pPr>
          </w:p>
        </w:tc>
        <w:tc>
          <w:tcPr>
            <w:tcW w:w="990"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宋体" w:hAnsi="宋体" w:eastAsia="宋体" w:cs="宋体"/>
                <w:i w:val="0"/>
                <w:color w:val="000000"/>
                <w:sz w:val="20"/>
                <w:szCs w:val="20"/>
                <w:u w:val="none"/>
              </w:rPr>
            </w:pPr>
          </w:p>
        </w:tc>
      </w:tr>
      <w:tr>
        <w:tblPrEx>
          <w:tblCellMar>
            <w:top w:w="0" w:type="dxa"/>
            <w:left w:w="0" w:type="dxa"/>
            <w:bottom w:w="0" w:type="dxa"/>
            <w:right w:w="0" w:type="dxa"/>
          </w:tblCellMar>
        </w:tblPrEx>
        <w:trPr>
          <w:trHeight w:val="3120" w:hRule="atLeast"/>
          <w:jc w:val="center"/>
        </w:trPr>
        <w:tc>
          <w:tcPr>
            <w:tcW w:w="909"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46</w:t>
            </w:r>
          </w:p>
        </w:tc>
        <w:tc>
          <w:tcPr>
            <w:tcW w:w="157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020601020001</w:t>
            </w:r>
          </w:p>
        </w:tc>
        <w:tc>
          <w:tcPr>
            <w:tcW w:w="5325"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大厅吧台</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1.做法:-1F-ST-01</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2.台柜规格:4300*1100*1100</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3.台面材料:大理石台面（ST-01）+白色木饰面（WD-03）</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4.材料种类、规格:柜体冲孔铝板(MT-06)+大理石（ST-01）</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5.五金种类、规格:合页、拉手</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1.台柜制作</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2.运输、安装（安放）</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个</w:t>
            </w:r>
          </w:p>
        </w:tc>
        <w:tc>
          <w:tcPr>
            <w:tcW w:w="990"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r>
      <w:tr>
        <w:tblPrEx>
          <w:tblCellMar>
            <w:top w:w="0" w:type="dxa"/>
            <w:left w:w="0" w:type="dxa"/>
            <w:bottom w:w="0" w:type="dxa"/>
            <w:right w:w="0" w:type="dxa"/>
          </w:tblCellMar>
        </w:tblPrEx>
        <w:trPr>
          <w:trHeight w:val="1845" w:hRule="atLeast"/>
          <w:jc w:val="center"/>
        </w:trPr>
        <w:tc>
          <w:tcPr>
            <w:tcW w:w="909"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47</w:t>
            </w:r>
          </w:p>
        </w:tc>
        <w:tc>
          <w:tcPr>
            <w:tcW w:w="157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020604001002</w:t>
            </w:r>
          </w:p>
        </w:tc>
        <w:tc>
          <w:tcPr>
            <w:tcW w:w="5325"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金属装饰线（天棚）</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1.线条材料品种、规格、颜色:40MM不锈钢条（MT-01）</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1.线条制作</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2.安装</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w:t>
            </w:r>
          </w:p>
        </w:tc>
        <w:tc>
          <w:tcPr>
            <w:tcW w:w="990"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21.8</w:t>
            </w:r>
          </w:p>
        </w:tc>
      </w:tr>
      <w:tr>
        <w:tblPrEx>
          <w:tblCellMar>
            <w:top w:w="0" w:type="dxa"/>
            <w:left w:w="0" w:type="dxa"/>
            <w:bottom w:w="0" w:type="dxa"/>
            <w:right w:w="0" w:type="dxa"/>
          </w:tblCellMar>
        </w:tblPrEx>
        <w:trPr>
          <w:trHeight w:val="90" w:hRule="atLeast"/>
          <w:jc w:val="center"/>
        </w:trPr>
        <w:tc>
          <w:tcPr>
            <w:tcW w:w="909"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48</w:t>
            </w:r>
          </w:p>
        </w:tc>
        <w:tc>
          <w:tcPr>
            <w:tcW w:w="157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020604001003</w:t>
            </w:r>
          </w:p>
        </w:tc>
        <w:tc>
          <w:tcPr>
            <w:tcW w:w="5325"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金属装饰线（墙面造型处）</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1.线条材料品种、规格、颜色:40MM不锈钢压条（MT-01）</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1.线条制作</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2.安装</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w:t>
            </w:r>
          </w:p>
        </w:tc>
        <w:tc>
          <w:tcPr>
            <w:tcW w:w="990"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13.1</w:t>
            </w:r>
          </w:p>
        </w:tc>
      </w:tr>
      <w:tr>
        <w:tblPrEx>
          <w:tblCellMar>
            <w:top w:w="0" w:type="dxa"/>
            <w:left w:w="0" w:type="dxa"/>
            <w:bottom w:w="0" w:type="dxa"/>
            <w:right w:w="0" w:type="dxa"/>
          </w:tblCellMar>
        </w:tblPrEx>
        <w:trPr>
          <w:trHeight w:val="2355" w:hRule="atLeast"/>
          <w:jc w:val="center"/>
        </w:trPr>
        <w:tc>
          <w:tcPr>
            <w:tcW w:w="909"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49</w:t>
            </w:r>
          </w:p>
        </w:tc>
        <w:tc>
          <w:tcPr>
            <w:tcW w:w="157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020604002002</w:t>
            </w:r>
          </w:p>
        </w:tc>
        <w:tc>
          <w:tcPr>
            <w:tcW w:w="5325"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木质装饰线（墙面）</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1.做法:7/-1F-EL-11</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2.线条材料品种、规格、颜色:40MM成品白色木线条（WD-03）</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1.线条制作</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2.安装</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3.刷防护材料、油漆</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w:t>
            </w:r>
          </w:p>
        </w:tc>
        <w:tc>
          <w:tcPr>
            <w:tcW w:w="990"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23.58</w:t>
            </w:r>
          </w:p>
        </w:tc>
      </w:tr>
      <w:tr>
        <w:tblPrEx>
          <w:tblCellMar>
            <w:top w:w="0" w:type="dxa"/>
            <w:left w:w="0" w:type="dxa"/>
            <w:bottom w:w="0" w:type="dxa"/>
            <w:right w:w="0" w:type="dxa"/>
          </w:tblCellMar>
        </w:tblPrEx>
        <w:trPr>
          <w:trHeight w:val="2100" w:hRule="atLeast"/>
          <w:jc w:val="center"/>
        </w:trPr>
        <w:tc>
          <w:tcPr>
            <w:tcW w:w="909"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50</w:t>
            </w:r>
          </w:p>
        </w:tc>
        <w:tc>
          <w:tcPr>
            <w:tcW w:w="157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020606003001</w:t>
            </w:r>
          </w:p>
        </w:tc>
        <w:tc>
          <w:tcPr>
            <w:tcW w:w="5325"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灯箱</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1.箱体规格:1300*2420</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2.面层材料种类:定制LED灯箱</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1.基层安装</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2.箱体及支架制作、运输、安装</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3.面层制作、安装</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个</w:t>
            </w:r>
          </w:p>
        </w:tc>
        <w:tc>
          <w:tcPr>
            <w:tcW w:w="990"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r>
      <w:tr>
        <w:tblPrEx>
          <w:tblCellMar>
            <w:top w:w="0" w:type="dxa"/>
            <w:left w:w="0" w:type="dxa"/>
            <w:bottom w:w="0" w:type="dxa"/>
            <w:right w:w="0" w:type="dxa"/>
          </w:tblCellMar>
        </w:tblPrEx>
        <w:trPr>
          <w:trHeight w:val="345" w:hRule="atLeast"/>
          <w:jc w:val="center"/>
        </w:trPr>
        <w:tc>
          <w:tcPr>
            <w:tcW w:w="909"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rPr>
                <w:rFonts w:hint="eastAsia" w:ascii="宋体" w:hAnsi="宋体" w:eastAsia="宋体" w:cs="宋体"/>
                <w:i w:val="0"/>
                <w:color w:val="000000"/>
                <w:sz w:val="20"/>
                <w:szCs w:val="20"/>
                <w:u w:val="none"/>
              </w:rPr>
            </w:pPr>
          </w:p>
        </w:tc>
        <w:tc>
          <w:tcPr>
            <w:tcW w:w="157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rPr>
                <w:rFonts w:hint="eastAsia" w:ascii="宋体" w:hAnsi="宋体" w:eastAsia="宋体" w:cs="宋体"/>
                <w:i w:val="0"/>
                <w:color w:val="000000"/>
                <w:sz w:val="20"/>
                <w:szCs w:val="20"/>
                <w:u w:val="none"/>
              </w:rPr>
            </w:pPr>
          </w:p>
        </w:tc>
        <w:tc>
          <w:tcPr>
            <w:tcW w:w="5325"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补充分部</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宋体" w:hAnsi="宋体" w:eastAsia="宋体" w:cs="宋体"/>
                <w:i w:val="0"/>
                <w:color w:val="000000"/>
                <w:sz w:val="20"/>
                <w:szCs w:val="20"/>
                <w:u w:val="none"/>
              </w:rPr>
            </w:pPr>
          </w:p>
        </w:tc>
        <w:tc>
          <w:tcPr>
            <w:tcW w:w="990"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宋体" w:hAnsi="宋体" w:eastAsia="宋体" w:cs="宋体"/>
                <w:i w:val="0"/>
                <w:color w:val="000000"/>
                <w:sz w:val="20"/>
                <w:szCs w:val="20"/>
                <w:u w:val="none"/>
              </w:rPr>
            </w:pPr>
          </w:p>
        </w:tc>
      </w:tr>
      <w:tr>
        <w:tblPrEx>
          <w:tblCellMar>
            <w:top w:w="0" w:type="dxa"/>
            <w:left w:w="0" w:type="dxa"/>
            <w:bottom w:w="0" w:type="dxa"/>
            <w:right w:w="0" w:type="dxa"/>
          </w:tblCellMar>
        </w:tblPrEx>
        <w:trPr>
          <w:trHeight w:val="217" w:hRule="atLeast"/>
          <w:jc w:val="center"/>
        </w:trPr>
        <w:tc>
          <w:tcPr>
            <w:tcW w:w="909" w:type="dxa"/>
            <w:tcBorders>
              <w:top w:val="single" w:color="000000" w:sz="4" w:space="0"/>
              <w:left w:val="single" w:color="000000" w:sz="8"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51</w:t>
            </w:r>
          </w:p>
        </w:tc>
        <w:tc>
          <w:tcPr>
            <w:tcW w:w="1579" w:type="dxa"/>
            <w:tcBorders>
              <w:top w:val="single" w:color="000000" w:sz="4" w:space="0"/>
              <w:left w:val="single" w:color="000000" w:sz="4"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BB002</w:t>
            </w:r>
          </w:p>
        </w:tc>
        <w:tc>
          <w:tcPr>
            <w:tcW w:w="5325" w:type="dxa"/>
            <w:gridSpan w:val="3"/>
            <w:tcBorders>
              <w:top w:val="single" w:color="000000" w:sz="4" w:space="0"/>
              <w:left w:val="single" w:color="000000" w:sz="4"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吊顶造型</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p>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1.做法：17/-1F-EL-10</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2.字体：新闻传播学院</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3.20*20MM方管（MT-05）</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1.制作、安装、运输</w:t>
            </w:r>
          </w:p>
        </w:tc>
        <w:tc>
          <w:tcPr>
            <w:tcW w:w="975" w:type="dxa"/>
            <w:tcBorders>
              <w:top w:val="single" w:color="000000" w:sz="4" w:space="0"/>
              <w:left w:val="single" w:color="000000" w:sz="4"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组</w:t>
            </w:r>
          </w:p>
        </w:tc>
        <w:tc>
          <w:tcPr>
            <w:tcW w:w="990" w:type="dxa"/>
            <w:tcBorders>
              <w:top w:val="single" w:color="000000" w:sz="4" w:space="0"/>
              <w:left w:val="single" w:color="000000" w:sz="4" w:space="0"/>
              <w:bottom w:val="single" w:color="000000" w:sz="8"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r>
      <w:tr>
        <w:tblPrEx>
          <w:tblCellMar>
            <w:top w:w="0" w:type="dxa"/>
            <w:left w:w="0" w:type="dxa"/>
            <w:bottom w:w="0" w:type="dxa"/>
            <w:right w:w="0" w:type="dxa"/>
          </w:tblCellMar>
        </w:tblPrEx>
        <w:trPr>
          <w:trHeight w:val="1335" w:hRule="atLeast"/>
          <w:jc w:val="center"/>
        </w:trPr>
        <w:tc>
          <w:tcPr>
            <w:tcW w:w="909"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52</w:t>
            </w:r>
          </w:p>
        </w:tc>
        <w:tc>
          <w:tcPr>
            <w:tcW w:w="157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BB003</w:t>
            </w:r>
          </w:p>
        </w:tc>
        <w:tc>
          <w:tcPr>
            <w:tcW w:w="5325"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门五金</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1.工程部位:暗门</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[工程内容]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1.五金安装</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樘</w:t>
            </w:r>
          </w:p>
        </w:tc>
        <w:tc>
          <w:tcPr>
            <w:tcW w:w="990"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r>
      <w:tr>
        <w:tblPrEx>
          <w:tblCellMar>
            <w:top w:w="0" w:type="dxa"/>
            <w:left w:w="0" w:type="dxa"/>
            <w:bottom w:w="0" w:type="dxa"/>
            <w:right w:w="0" w:type="dxa"/>
          </w:tblCellMar>
        </w:tblPrEx>
        <w:trPr>
          <w:trHeight w:val="345" w:hRule="atLeast"/>
          <w:jc w:val="center"/>
        </w:trPr>
        <w:tc>
          <w:tcPr>
            <w:tcW w:w="909"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rPr>
                <w:rFonts w:hint="eastAsia" w:ascii="宋体" w:hAnsi="宋体" w:eastAsia="宋体" w:cs="宋体"/>
                <w:i w:val="0"/>
                <w:color w:val="000000"/>
                <w:sz w:val="20"/>
                <w:szCs w:val="20"/>
                <w:u w:val="none"/>
              </w:rPr>
            </w:pPr>
          </w:p>
        </w:tc>
        <w:tc>
          <w:tcPr>
            <w:tcW w:w="157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rPr>
                <w:rFonts w:hint="eastAsia" w:ascii="宋体" w:hAnsi="宋体" w:eastAsia="宋体" w:cs="宋体"/>
                <w:i w:val="0"/>
                <w:color w:val="000000"/>
                <w:sz w:val="20"/>
                <w:szCs w:val="20"/>
                <w:u w:val="none"/>
              </w:rPr>
            </w:pPr>
          </w:p>
        </w:tc>
        <w:tc>
          <w:tcPr>
            <w:tcW w:w="5325"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负一层化妆室、后台更衣区</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宋体" w:hAnsi="宋体" w:eastAsia="宋体" w:cs="宋体"/>
                <w:i w:val="0"/>
                <w:color w:val="000000"/>
                <w:sz w:val="20"/>
                <w:szCs w:val="20"/>
                <w:u w:val="none"/>
              </w:rPr>
            </w:pPr>
          </w:p>
        </w:tc>
        <w:tc>
          <w:tcPr>
            <w:tcW w:w="990"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宋体" w:hAnsi="宋体" w:eastAsia="宋体" w:cs="宋体"/>
                <w:i w:val="0"/>
                <w:color w:val="000000"/>
                <w:sz w:val="20"/>
                <w:szCs w:val="20"/>
                <w:u w:val="none"/>
              </w:rPr>
            </w:pPr>
          </w:p>
        </w:tc>
      </w:tr>
      <w:tr>
        <w:tblPrEx>
          <w:tblCellMar>
            <w:top w:w="0" w:type="dxa"/>
            <w:left w:w="0" w:type="dxa"/>
            <w:bottom w:w="0" w:type="dxa"/>
            <w:right w:w="0" w:type="dxa"/>
          </w:tblCellMar>
        </w:tblPrEx>
        <w:trPr>
          <w:trHeight w:val="345" w:hRule="atLeast"/>
          <w:jc w:val="center"/>
        </w:trPr>
        <w:tc>
          <w:tcPr>
            <w:tcW w:w="909"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rPr>
                <w:rFonts w:hint="eastAsia" w:ascii="宋体" w:hAnsi="宋体" w:eastAsia="宋体" w:cs="宋体"/>
                <w:i w:val="0"/>
                <w:color w:val="000000"/>
                <w:sz w:val="20"/>
                <w:szCs w:val="20"/>
                <w:u w:val="none"/>
              </w:rPr>
            </w:pPr>
          </w:p>
        </w:tc>
        <w:tc>
          <w:tcPr>
            <w:tcW w:w="157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A.4</w:t>
            </w:r>
          </w:p>
        </w:tc>
        <w:tc>
          <w:tcPr>
            <w:tcW w:w="5325"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A.4  混凝土及钢筋混凝土工程</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宋体" w:hAnsi="宋体" w:eastAsia="宋体" w:cs="宋体"/>
                <w:i w:val="0"/>
                <w:color w:val="000000"/>
                <w:sz w:val="20"/>
                <w:szCs w:val="20"/>
                <w:u w:val="none"/>
              </w:rPr>
            </w:pPr>
          </w:p>
        </w:tc>
        <w:tc>
          <w:tcPr>
            <w:tcW w:w="990"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宋体" w:hAnsi="宋体" w:eastAsia="宋体" w:cs="宋体"/>
                <w:i w:val="0"/>
                <w:color w:val="000000"/>
                <w:sz w:val="20"/>
                <w:szCs w:val="20"/>
                <w:u w:val="none"/>
              </w:rPr>
            </w:pPr>
          </w:p>
        </w:tc>
      </w:tr>
      <w:tr>
        <w:tblPrEx>
          <w:tblCellMar>
            <w:top w:w="0" w:type="dxa"/>
            <w:left w:w="0" w:type="dxa"/>
            <w:bottom w:w="0" w:type="dxa"/>
            <w:right w:w="0" w:type="dxa"/>
          </w:tblCellMar>
        </w:tblPrEx>
        <w:trPr>
          <w:trHeight w:val="1590" w:hRule="atLeast"/>
          <w:jc w:val="center"/>
        </w:trPr>
        <w:tc>
          <w:tcPr>
            <w:tcW w:w="909"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53</w:t>
            </w:r>
          </w:p>
        </w:tc>
        <w:tc>
          <w:tcPr>
            <w:tcW w:w="157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010417002001</w:t>
            </w:r>
          </w:p>
        </w:tc>
        <w:tc>
          <w:tcPr>
            <w:tcW w:w="5325"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预埋铁件</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1.钢材种类、规格:各种型钢</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1.制作、运输</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2.安装</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t</w:t>
            </w:r>
          </w:p>
        </w:tc>
        <w:tc>
          <w:tcPr>
            <w:tcW w:w="990"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0.329</w:t>
            </w:r>
          </w:p>
        </w:tc>
      </w:tr>
      <w:tr>
        <w:tblPrEx>
          <w:tblCellMar>
            <w:top w:w="0" w:type="dxa"/>
            <w:left w:w="0" w:type="dxa"/>
            <w:bottom w:w="0" w:type="dxa"/>
            <w:right w:w="0" w:type="dxa"/>
          </w:tblCellMar>
        </w:tblPrEx>
        <w:trPr>
          <w:trHeight w:val="345" w:hRule="atLeast"/>
          <w:jc w:val="center"/>
        </w:trPr>
        <w:tc>
          <w:tcPr>
            <w:tcW w:w="909"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rPr>
                <w:rFonts w:hint="eastAsia" w:ascii="宋体" w:hAnsi="宋体" w:eastAsia="宋体" w:cs="宋体"/>
                <w:i w:val="0"/>
                <w:color w:val="000000"/>
                <w:sz w:val="20"/>
                <w:szCs w:val="20"/>
                <w:u w:val="none"/>
              </w:rPr>
            </w:pPr>
          </w:p>
        </w:tc>
        <w:tc>
          <w:tcPr>
            <w:tcW w:w="157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B.1</w:t>
            </w:r>
          </w:p>
        </w:tc>
        <w:tc>
          <w:tcPr>
            <w:tcW w:w="5325"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B.1  楼地面工程</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宋体" w:hAnsi="宋体" w:eastAsia="宋体" w:cs="宋体"/>
                <w:i w:val="0"/>
                <w:color w:val="000000"/>
                <w:sz w:val="20"/>
                <w:szCs w:val="20"/>
                <w:u w:val="none"/>
              </w:rPr>
            </w:pPr>
          </w:p>
        </w:tc>
        <w:tc>
          <w:tcPr>
            <w:tcW w:w="990"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宋体" w:hAnsi="宋体" w:eastAsia="宋体" w:cs="宋体"/>
                <w:i w:val="0"/>
                <w:color w:val="000000"/>
                <w:sz w:val="20"/>
                <w:szCs w:val="20"/>
                <w:u w:val="none"/>
              </w:rPr>
            </w:pPr>
          </w:p>
        </w:tc>
      </w:tr>
      <w:tr>
        <w:tblPrEx>
          <w:tblCellMar>
            <w:top w:w="0" w:type="dxa"/>
            <w:left w:w="0" w:type="dxa"/>
            <w:bottom w:w="0" w:type="dxa"/>
            <w:right w:w="0" w:type="dxa"/>
          </w:tblCellMar>
        </w:tblPrEx>
        <w:trPr>
          <w:trHeight w:val="3885" w:hRule="atLeast"/>
          <w:jc w:val="center"/>
        </w:trPr>
        <w:tc>
          <w:tcPr>
            <w:tcW w:w="909"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54</w:t>
            </w:r>
          </w:p>
        </w:tc>
        <w:tc>
          <w:tcPr>
            <w:tcW w:w="157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020104002001</w:t>
            </w:r>
          </w:p>
        </w:tc>
        <w:tc>
          <w:tcPr>
            <w:tcW w:w="5325"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竹木地板</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1.做法:33/DT-05</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2.龙骨材料种类、规格、铺设间距:30*40木龙骨(防火三遍防腐处理)</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3.基层材料种类、规格:18MM阻燃板基层</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4.面层材料品种、规格、品牌、颜色:12mm生态板（WD-02）</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1.基层清理</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2.龙骨铺设</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3.铺设基层</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4.面层铺贴</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5.刷防护材料</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6.材料运输</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m2</w:t>
            </w:r>
          </w:p>
        </w:tc>
        <w:tc>
          <w:tcPr>
            <w:tcW w:w="990"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6.28</w:t>
            </w:r>
          </w:p>
        </w:tc>
      </w:tr>
      <w:tr>
        <w:tblPrEx>
          <w:tblCellMar>
            <w:top w:w="0" w:type="dxa"/>
            <w:left w:w="0" w:type="dxa"/>
            <w:bottom w:w="0" w:type="dxa"/>
            <w:right w:w="0" w:type="dxa"/>
          </w:tblCellMar>
        </w:tblPrEx>
        <w:trPr>
          <w:trHeight w:val="3120" w:hRule="atLeast"/>
          <w:jc w:val="center"/>
        </w:trPr>
        <w:tc>
          <w:tcPr>
            <w:tcW w:w="909"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55</w:t>
            </w:r>
          </w:p>
        </w:tc>
        <w:tc>
          <w:tcPr>
            <w:tcW w:w="157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020105006001</w:t>
            </w:r>
          </w:p>
        </w:tc>
        <w:tc>
          <w:tcPr>
            <w:tcW w:w="5325"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木质踢脚线(地台侧收口)</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1.做法:33/DT-05</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2.踢脚线高度:150mm</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3.基层材料种类、规格:18MM阻燃板基层</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4.面层材料品种、规格、品牌、颜色:15MM厚成品白色烤漆板(WD-01)</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1.基层清理</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2.基层铺贴</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3.面层铺贴</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4.材料运输</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m2</w:t>
            </w:r>
          </w:p>
        </w:tc>
        <w:tc>
          <w:tcPr>
            <w:tcW w:w="990"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0.94</w:t>
            </w:r>
          </w:p>
        </w:tc>
      </w:tr>
      <w:tr>
        <w:tblPrEx>
          <w:tblCellMar>
            <w:top w:w="0" w:type="dxa"/>
            <w:left w:w="0" w:type="dxa"/>
            <w:bottom w:w="0" w:type="dxa"/>
            <w:right w:w="0" w:type="dxa"/>
          </w:tblCellMar>
        </w:tblPrEx>
        <w:trPr>
          <w:trHeight w:val="600" w:hRule="atLeast"/>
          <w:jc w:val="center"/>
        </w:trPr>
        <w:tc>
          <w:tcPr>
            <w:tcW w:w="909" w:type="dxa"/>
            <w:tcBorders>
              <w:top w:val="single" w:color="000000" w:sz="4" w:space="0"/>
              <w:left w:val="single" w:color="000000" w:sz="8"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56</w:t>
            </w:r>
          </w:p>
        </w:tc>
        <w:tc>
          <w:tcPr>
            <w:tcW w:w="1579" w:type="dxa"/>
            <w:tcBorders>
              <w:top w:val="single" w:color="000000" w:sz="4" w:space="0"/>
              <w:left w:val="single" w:color="000000" w:sz="4"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020105006002</w:t>
            </w:r>
          </w:p>
        </w:tc>
        <w:tc>
          <w:tcPr>
            <w:tcW w:w="5325" w:type="dxa"/>
            <w:gridSpan w:val="3"/>
            <w:tcBorders>
              <w:top w:val="single" w:color="000000" w:sz="4" w:space="0"/>
              <w:left w:val="single" w:color="000000" w:sz="4"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木质踢脚线</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p>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1.做法:23/DT-03</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2.踢脚线高度:80mm</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3.面层材料品种、规格、品牌、颜色:80MM成品白色木质踢脚线(WD-03)</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1.基层清理</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2.底层抹灰</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3.面层铺贴</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4.材料运输</w:t>
            </w:r>
          </w:p>
        </w:tc>
        <w:tc>
          <w:tcPr>
            <w:tcW w:w="975" w:type="dxa"/>
            <w:tcBorders>
              <w:top w:val="single" w:color="000000" w:sz="4" w:space="0"/>
              <w:left w:val="single" w:color="000000" w:sz="4"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m2</w:t>
            </w:r>
          </w:p>
        </w:tc>
        <w:tc>
          <w:tcPr>
            <w:tcW w:w="990" w:type="dxa"/>
            <w:tcBorders>
              <w:top w:val="single" w:color="000000" w:sz="4" w:space="0"/>
              <w:left w:val="single" w:color="000000" w:sz="4" w:space="0"/>
              <w:bottom w:val="single" w:color="000000" w:sz="8"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1.55</w:t>
            </w:r>
          </w:p>
        </w:tc>
      </w:tr>
      <w:tr>
        <w:tblPrEx>
          <w:tblCellMar>
            <w:top w:w="0" w:type="dxa"/>
            <w:left w:w="0" w:type="dxa"/>
            <w:bottom w:w="0" w:type="dxa"/>
            <w:right w:w="0" w:type="dxa"/>
          </w:tblCellMar>
        </w:tblPrEx>
        <w:trPr>
          <w:trHeight w:val="2610" w:hRule="atLeast"/>
          <w:jc w:val="center"/>
        </w:trPr>
        <w:tc>
          <w:tcPr>
            <w:tcW w:w="909"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57</w:t>
            </w:r>
          </w:p>
        </w:tc>
        <w:tc>
          <w:tcPr>
            <w:tcW w:w="157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020107001001</w:t>
            </w:r>
          </w:p>
        </w:tc>
        <w:tc>
          <w:tcPr>
            <w:tcW w:w="5325"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衣架造型</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1.扶手材料种类、规格、品牌、颜色:20*40MM方管（MT-05）</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1.制作</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2.运输</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3.安装</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4.刷防护材料</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5.刷油漆</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w:t>
            </w:r>
          </w:p>
        </w:tc>
        <w:tc>
          <w:tcPr>
            <w:tcW w:w="990"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26.96</w:t>
            </w:r>
          </w:p>
        </w:tc>
      </w:tr>
      <w:tr>
        <w:tblPrEx>
          <w:tblCellMar>
            <w:top w:w="0" w:type="dxa"/>
            <w:left w:w="0" w:type="dxa"/>
            <w:bottom w:w="0" w:type="dxa"/>
            <w:right w:w="0" w:type="dxa"/>
          </w:tblCellMar>
        </w:tblPrEx>
        <w:trPr>
          <w:trHeight w:val="345" w:hRule="atLeast"/>
          <w:jc w:val="center"/>
        </w:trPr>
        <w:tc>
          <w:tcPr>
            <w:tcW w:w="909"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rPr>
                <w:rFonts w:hint="eastAsia" w:ascii="宋体" w:hAnsi="宋体" w:eastAsia="宋体" w:cs="宋体"/>
                <w:i w:val="0"/>
                <w:color w:val="000000"/>
                <w:sz w:val="20"/>
                <w:szCs w:val="20"/>
                <w:u w:val="none"/>
              </w:rPr>
            </w:pPr>
          </w:p>
        </w:tc>
        <w:tc>
          <w:tcPr>
            <w:tcW w:w="157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B.2</w:t>
            </w:r>
          </w:p>
        </w:tc>
        <w:tc>
          <w:tcPr>
            <w:tcW w:w="5325"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B.2  墙、柱面工程</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宋体" w:hAnsi="宋体" w:eastAsia="宋体" w:cs="宋体"/>
                <w:i w:val="0"/>
                <w:color w:val="000000"/>
                <w:sz w:val="20"/>
                <w:szCs w:val="20"/>
                <w:u w:val="none"/>
              </w:rPr>
            </w:pPr>
          </w:p>
        </w:tc>
        <w:tc>
          <w:tcPr>
            <w:tcW w:w="990"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宋体" w:hAnsi="宋体" w:eastAsia="宋体" w:cs="宋体"/>
                <w:i w:val="0"/>
                <w:color w:val="000000"/>
                <w:sz w:val="20"/>
                <w:szCs w:val="20"/>
                <w:u w:val="none"/>
              </w:rPr>
            </w:pPr>
          </w:p>
        </w:tc>
      </w:tr>
      <w:tr>
        <w:tblPrEx>
          <w:tblCellMar>
            <w:top w:w="0" w:type="dxa"/>
            <w:left w:w="0" w:type="dxa"/>
            <w:bottom w:w="0" w:type="dxa"/>
            <w:right w:w="0" w:type="dxa"/>
          </w:tblCellMar>
        </w:tblPrEx>
        <w:trPr>
          <w:trHeight w:val="3630" w:hRule="atLeast"/>
          <w:jc w:val="center"/>
        </w:trPr>
        <w:tc>
          <w:tcPr>
            <w:tcW w:w="909"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58</w:t>
            </w:r>
          </w:p>
        </w:tc>
        <w:tc>
          <w:tcPr>
            <w:tcW w:w="157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020207001013</w:t>
            </w:r>
          </w:p>
        </w:tc>
        <w:tc>
          <w:tcPr>
            <w:tcW w:w="5325"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装饰板墙面</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1.做法:12/1F-EL-06</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2.龙骨材料种类、规格、中距:木挂条(防火三遍防腐处理)</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3.基层材料种类、规格:9MM阻燃板基层</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4.面层材料品种、规格、品牌、颜色:皮质硬包(FA-04)</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1.基层清理</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2.龙骨制作、运输、安装</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3.基层铺钉</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4.面层铺贴</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5.刷防护材料、油漆</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m2</w:t>
            </w:r>
          </w:p>
        </w:tc>
        <w:tc>
          <w:tcPr>
            <w:tcW w:w="990"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1.79</w:t>
            </w:r>
          </w:p>
        </w:tc>
      </w:tr>
      <w:tr>
        <w:tblPrEx>
          <w:tblCellMar>
            <w:top w:w="0" w:type="dxa"/>
            <w:left w:w="0" w:type="dxa"/>
            <w:bottom w:w="0" w:type="dxa"/>
            <w:right w:w="0" w:type="dxa"/>
          </w:tblCellMar>
        </w:tblPrEx>
        <w:trPr>
          <w:trHeight w:val="3630" w:hRule="atLeast"/>
          <w:jc w:val="center"/>
        </w:trPr>
        <w:tc>
          <w:tcPr>
            <w:tcW w:w="909"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59</w:t>
            </w:r>
          </w:p>
        </w:tc>
        <w:tc>
          <w:tcPr>
            <w:tcW w:w="157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020207001014</w:t>
            </w:r>
          </w:p>
        </w:tc>
        <w:tc>
          <w:tcPr>
            <w:tcW w:w="5325"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装饰板墙面</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1.做法:22/DT-03</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2.龙骨材料种类、规格、中距:30*40木龙骨(防火三遍防腐处理)</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3.基层材料种类、规格:15MM阻燃板基层</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4.面层材料品种、规格、品牌、颜色:白色焗油玻璃（GL-01）、玻璃专用胶</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1.基层清理</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2.龙骨制作、运输、安装</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3.基层铺钉</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4.面层铺贴</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5.刷防护材料、油漆</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m2</w:t>
            </w:r>
          </w:p>
        </w:tc>
        <w:tc>
          <w:tcPr>
            <w:tcW w:w="990"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19.2</w:t>
            </w:r>
          </w:p>
        </w:tc>
      </w:tr>
      <w:tr>
        <w:tblPrEx>
          <w:tblCellMar>
            <w:top w:w="0" w:type="dxa"/>
            <w:left w:w="0" w:type="dxa"/>
            <w:bottom w:w="0" w:type="dxa"/>
            <w:right w:w="0" w:type="dxa"/>
          </w:tblCellMar>
        </w:tblPrEx>
        <w:trPr>
          <w:trHeight w:val="345" w:hRule="atLeast"/>
          <w:jc w:val="center"/>
        </w:trPr>
        <w:tc>
          <w:tcPr>
            <w:tcW w:w="909" w:type="dxa"/>
            <w:tcBorders>
              <w:top w:val="single" w:color="000000" w:sz="4" w:space="0"/>
              <w:left w:val="single" w:color="000000" w:sz="8"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rPr>
                <w:rFonts w:hint="eastAsia" w:ascii="宋体" w:hAnsi="宋体" w:eastAsia="宋体" w:cs="宋体"/>
                <w:i w:val="0"/>
                <w:color w:val="000000"/>
                <w:sz w:val="20"/>
                <w:szCs w:val="20"/>
                <w:u w:val="none"/>
              </w:rPr>
            </w:pPr>
          </w:p>
        </w:tc>
        <w:tc>
          <w:tcPr>
            <w:tcW w:w="1579" w:type="dxa"/>
            <w:tcBorders>
              <w:top w:val="single" w:color="000000" w:sz="4" w:space="0"/>
              <w:left w:val="single" w:color="000000" w:sz="4"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B.3</w:t>
            </w:r>
          </w:p>
        </w:tc>
        <w:tc>
          <w:tcPr>
            <w:tcW w:w="5325" w:type="dxa"/>
            <w:gridSpan w:val="3"/>
            <w:tcBorders>
              <w:top w:val="single" w:color="000000" w:sz="4" w:space="0"/>
              <w:left w:val="single" w:color="000000" w:sz="4"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B.3  天棚工程</w:t>
            </w:r>
          </w:p>
        </w:tc>
        <w:tc>
          <w:tcPr>
            <w:tcW w:w="975" w:type="dxa"/>
            <w:tcBorders>
              <w:top w:val="single" w:color="000000" w:sz="4" w:space="0"/>
              <w:left w:val="single" w:color="000000" w:sz="4"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宋体" w:hAnsi="宋体" w:eastAsia="宋体" w:cs="宋体"/>
                <w:i w:val="0"/>
                <w:color w:val="000000"/>
                <w:sz w:val="20"/>
                <w:szCs w:val="20"/>
                <w:u w:val="none"/>
              </w:rPr>
            </w:pPr>
          </w:p>
        </w:tc>
        <w:tc>
          <w:tcPr>
            <w:tcW w:w="990" w:type="dxa"/>
            <w:tcBorders>
              <w:top w:val="single" w:color="000000" w:sz="4" w:space="0"/>
              <w:left w:val="single" w:color="000000" w:sz="4" w:space="0"/>
              <w:bottom w:val="single" w:color="000000" w:sz="8"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宋体" w:hAnsi="宋体" w:eastAsia="宋体" w:cs="宋体"/>
                <w:i w:val="0"/>
                <w:color w:val="000000"/>
                <w:sz w:val="20"/>
                <w:szCs w:val="20"/>
                <w:u w:val="none"/>
              </w:rPr>
            </w:pPr>
          </w:p>
        </w:tc>
      </w:tr>
      <w:tr>
        <w:tblPrEx>
          <w:tblCellMar>
            <w:top w:w="0" w:type="dxa"/>
            <w:left w:w="0" w:type="dxa"/>
            <w:bottom w:w="0" w:type="dxa"/>
            <w:right w:w="0" w:type="dxa"/>
          </w:tblCellMar>
        </w:tblPrEx>
        <w:trPr>
          <w:trHeight w:val="3630" w:hRule="atLeast"/>
          <w:jc w:val="center"/>
        </w:trPr>
        <w:tc>
          <w:tcPr>
            <w:tcW w:w="909"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60</w:t>
            </w:r>
          </w:p>
        </w:tc>
        <w:tc>
          <w:tcPr>
            <w:tcW w:w="157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020302001005</w:t>
            </w:r>
          </w:p>
        </w:tc>
        <w:tc>
          <w:tcPr>
            <w:tcW w:w="5325"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天棚吊顶</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1.做法:节点1/-1F-EL-07</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2.吊顶形式:不上人</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3.龙骨类型、材料种类、规格、中距:轻钢龙骨</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4.基层材料种类、规格:9.5MM纸面石膏板</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5.面层材料品种、规格、品牌、颜色:9.5MM纸面石膏板</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1.基层清理</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2.龙骨安装</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3.基层板铺贴</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4.面层铺贴</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m2</w:t>
            </w:r>
          </w:p>
        </w:tc>
        <w:tc>
          <w:tcPr>
            <w:tcW w:w="990"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29.69</w:t>
            </w:r>
          </w:p>
        </w:tc>
      </w:tr>
      <w:tr>
        <w:tblPrEx>
          <w:tblCellMar>
            <w:top w:w="0" w:type="dxa"/>
            <w:left w:w="0" w:type="dxa"/>
            <w:bottom w:w="0" w:type="dxa"/>
            <w:right w:w="0" w:type="dxa"/>
          </w:tblCellMar>
        </w:tblPrEx>
        <w:trPr>
          <w:trHeight w:val="345" w:hRule="atLeast"/>
          <w:jc w:val="center"/>
        </w:trPr>
        <w:tc>
          <w:tcPr>
            <w:tcW w:w="909"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rPr>
                <w:rFonts w:hint="eastAsia" w:ascii="宋体" w:hAnsi="宋体" w:eastAsia="宋体" w:cs="宋体"/>
                <w:i w:val="0"/>
                <w:color w:val="000000"/>
                <w:sz w:val="20"/>
                <w:szCs w:val="20"/>
                <w:u w:val="none"/>
              </w:rPr>
            </w:pPr>
          </w:p>
        </w:tc>
        <w:tc>
          <w:tcPr>
            <w:tcW w:w="157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B.4</w:t>
            </w:r>
          </w:p>
        </w:tc>
        <w:tc>
          <w:tcPr>
            <w:tcW w:w="5325"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B.4  门窗工程</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宋体" w:hAnsi="宋体" w:eastAsia="宋体" w:cs="宋体"/>
                <w:i w:val="0"/>
                <w:color w:val="000000"/>
                <w:sz w:val="20"/>
                <w:szCs w:val="20"/>
                <w:u w:val="none"/>
              </w:rPr>
            </w:pPr>
          </w:p>
        </w:tc>
        <w:tc>
          <w:tcPr>
            <w:tcW w:w="990"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宋体" w:hAnsi="宋体" w:eastAsia="宋体" w:cs="宋体"/>
                <w:i w:val="0"/>
                <w:color w:val="000000"/>
                <w:sz w:val="20"/>
                <w:szCs w:val="20"/>
                <w:u w:val="none"/>
              </w:rPr>
            </w:pPr>
          </w:p>
        </w:tc>
      </w:tr>
      <w:tr>
        <w:tblPrEx>
          <w:tblCellMar>
            <w:top w:w="0" w:type="dxa"/>
            <w:left w:w="0" w:type="dxa"/>
            <w:bottom w:w="0" w:type="dxa"/>
            <w:right w:w="0" w:type="dxa"/>
          </w:tblCellMar>
        </w:tblPrEx>
        <w:trPr>
          <w:trHeight w:val="2610" w:hRule="atLeast"/>
          <w:jc w:val="center"/>
        </w:trPr>
        <w:tc>
          <w:tcPr>
            <w:tcW w:w="909"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61</w:t>
            </w:r>
          </w:p>
        </w:tc>
        <w:tc>
          <w:tcPr>
            <w:tcW w:w="157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020401003005</w:t>
            </w:r>
          </w:p>
        </w:tc>
        <w:tc>
          <w:tcPr>
            <w:tcW w:w="5325"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实木装饰门</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1.做法:DR-02</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2.框截面尺寸、单扇面积:1440*2580mm</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3.面层材料品种、规格、品牌、颜色:成品白色木门(隔音门) WD-03</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4.五金材料、品种、规格:拉手、门吸、合页</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1.门制作、运输、安装</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2.五金安装</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樘</w:t>
            </w:r>
          </w:p>
        </w:tc>
        <w:tc>
          <w:tcPr>
            <w:tcW w:w="990"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r>
      <w:tr>
        <w:tblPrEx>
          <w:tblCellMar>
            <w:top w:w="0" w:type="dxa"/>
            <w:left w:w="0" w:type="dxa"/>
            <w:bottom w:w="0" w:type="dxa"/>
            <w:right w:w="0" w:type="dxa"/>
          </w:tblCellMar>
        </w:tblPrEx>
        <w:trPr>
          <w:trHeight w:val="2865" w:hRule="atLeast"/>
          <w:jc w:val="center"/>
        </w:trPr>
        <w:tc>
          <w:tcPr>
            <w:tcW w:w="909"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62</w:t>
            </w:r>
          </w:p>
        </w:tc>
        <w:tc>
          <w:tcPr>
            <w:tcW w:w="157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020407001003</w:t>
            </w:r>
          </w:p>
        </w:tc>
        <w:tc>
          <w:tcPr>
            <w:tcW w:w="5325"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木门套</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1.基层材料种类:15MM阻燃板基层</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2.面层材料品种、规格、品牌、颜色:40MM白色木饰面(WD-03)</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1.清理基层</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2.立筋制作、安装</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3.基层板安装</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4.面层铺贴</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5.刷防护材料、油漆</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m2</w:t>
            </w:r>
          </w:p>
        </w:tc>
        <w:tc>
          <w:tcPr>
            <w:tcW w:w="990"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2.92</w:t>
            </w:r>
          </w:p>
        </w:tc>
      </w:tr>
      <w:tr>
        <w:tblPrEx>
          <w:tblCellMar>
            <w:top w:w="0" w:type="dxa"/>
            <w:left w:w="0" w:type="dxa"/>
            <w:bottom w:w="0" w:type="dxa"/>
            <w:right w:w="0" w:type="dxa"/>
          </w:tblCellMar>
        </w:tblPrEx>
        <w:trPr>
          <w:trHeight w:val="2355" w:hRule="atLeast"/>
          <w:jc w:val="center"/>
        </w:trPr>
        <w:tc>
          <w:tcPr>
            <w:tcW w:w="909"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63</w:t>
            </w:r>
          </w:p>
        </w:tc>
        <w:tc>
          <w:tcPr>
            <w:tcW w:w="157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020408001002</w:t>
            </w:r>
          </w:p>
        </w:tc>
        <w:tc>
          <w:tcPr>
            <w:tcW w:w="5325"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窗帘盒</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1.尺寸:200*200mm</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2.基层材料种类、规格:18MM阻燃板基层</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3.面层材料品种、规格、品牌、颜色:双层9.5MM纸面石膏板</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1.制作、运输</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2.安装</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w:t>
            </w:r>
          </w:p>
        </w:tc>
        <w:tc>
          <w:tcPr>
            <w:tcW w:w="990"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7.3</w:t>
            </w:r>
          </w:p>
        </w:tc>
      </w:tr>
      <w:tr>
        <w:tblPrEx>
          <w:tblCellMar>
            <w:top w:w="0" w:type="dxa"/>
            <w:left w:w="0" w:type="dxa"/>
            <w:bottom w:w="0" w:type="dxa"/>
            <w:right w:w="0" w:type="dxa"/>
          </w:tblCellMar>
        </w:tblPrEx>
        <w:trPr>
          <w:trHeight w:val="345" w:hRule="atLeast"/>
          <w:jc w:val="center"/>
        </w:trPr>
        <w:tc>
          <w:tcPr>
            <w:tcW w:w="909"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rPr>
                <w:rFonts w:hint="eastAsia" w:ascii="宋体" w:hAnsi="宋体" w:eastAsia="宋体" w:cs="宋体"/>
                <w:i w:val="0"/>
                <w:color w:val="000000"/>
                <w:sz w:val="20"/>
                <w:szCs w:val="20"/>
                <w:u w:val="none"/>
              </w:rPr>
            </w:pPr>
          </w:p>
        </w:tc>
        <w:tc>
          <w:tcPr>
            <w:tcW w:w="157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B.5</w:t>
            </w:r>
          </w:p>
        </w:tc>
        <w:tc>
          <w:tcPr>
            <w:tcW w:w="5325"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B.5  油漆、涂料、裱糊工程</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宋体" w:hAnsi="宋体" w:eastAsia="宋体" w:cs="宋体"/>
                <w:i w:val="0"/>
                <w:color w:val="000000"/>
                <w:sz w:val="20"/>
                <w:szCs w:val="20"/>
                <w:u w:val="none"/>
              </w:rPr>
            </w:pPr>
          </w:p>
        </w:tc>
        <w:tc>
          <w:tcPr>
            <w:tcW w:w="990"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宋体" w:hAnsi="宋体" w:eastAsia="宋体" w:cs="宋体"/>
                <w:i w:val="0"/>
                <w:color w:val="000000"/>
                <w:sz w:val="20"/>
                <w:szCs w:val="20"/>
                <w:u w:val="none"/>
              </w:rPr>
            </w:pPr>
          </w:p>
        </w:tc>
      </w:tr>
      <w:tr>
        <w:tblPrEx>
          <w:tblCellMar>
            <w:top w:w="0" w:type="dxa"/>
            <w:left w:w="0" w:type="dxa"/>
            <w:bottom w:w="0" w:type="dxa"/>
            <w:right w:w="0" w:type="dxa"/>
          </w:tblCellMar>
        </w:tblPrEx>
        <w:trPr>
          <w:trHeight w:val="840" w:hRule="atLeast"/>
          <w:jc w:val="center"/>
        </w:trPr>
        <w:tc>
          <w:tcPr>
            <w:tcW w:w="909" w:type="dxa"/>
            <w:tcBorders>
              <w:top w:val="single" w:color="000000" w:sz="4" w:space="0"/>
              <w:left w:val="single" w:color="000000" w:sz="8"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64</w:t>
            </w:r>
          </w:p>
        </w:tc>
        <w:tc>
          <w:tcPr>
            <w:tcW w:w="1579" w:type="dxa"/>
            <w:tcBorders>
              <w:top w:val="single" w:color="000000" w:sz="4" w:space="0"/>
              <w:left w:val="single" w:color="000000" w:sz="4"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020506001008</w:t>
            </w:r>
          </w:p>
        </w:tc>
        <w:tc>
          <w:tcPr>
            <w:tcW w:w="5325" w:type="dxa"/>
            <w:gridSpan w:val="3"/>
            <w:tcBorders>
              <w:top w:val="single" w:color="000000" w:sz="4" w:space="0"/>
              <w:left w:val="single" w:color="000000" w:sz="4"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抹灰面油漆（天棚）</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1.油漆品种、刷漆遍数:白色乳胶漆（PT-01）</w:t>
            </w:r>
          </w:p>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1.基层清理</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2.刮腻子</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3.刷防护材料、油漆</w:t>
            </w:r>
          </w:p>
        </w:tc>
        <w:tc>
          <w:tcPr>
            <w:tcW w:w="975" w:type="dxa"/>
            <w:tcBorders>
              <w:top w:val="single" w:color="000000" w:sz="4" w:space="0"/>
              <w:left w:val="single" w:color="000000" w:sz="4"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m2</w:t>
            </w:r>
          </w:p>
        </w:tc>
        <w:tc>
          <w:tcPr>
            <w:tcW w:w="990" w:type="dxa"/>
            <w:tcBorders>
              <w:top w:val="single" w:color="000000" w:sz="4" w:space="0"/>
              <w:left w:val="single" w:color="000000" w:sz="4" w:space="0"/>
              <w:bottom w:val="single" w:color="000000" w:sz="8"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15.87</w:t>
            </w:r>
          </w:p>
        </w:tc>
      </w:tr>
      <w:tr>
        <w:tblPrEx>
          <w:tblCellMar>
            <w:top w:w="0" w:type="dxa"/>
            <w:left w:w="0" w:type="dxa"/>
            <w:bottom w:w="0" w:type="dxa"/>
            <w:right w:w="0" w:type="dxa"/>
          </w:tblCellMar>
        </w:tblPrEx>
        <w:trPr>
          <w:trHeight w:val="1845" w:hRule="atLeast"/>
          <w:jc w:val="center"/>
        </w:trPr>
        <w:tc>
          <w:tcPr>
            <w:tcW w:w="909"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65</w:t>
            </w:r>
          </w:p>
        </w:tc>
        <w:tc>
          <w:tcPr>
            <w:tcW w:w="157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020506001009</w:t>
            </w:r>
          </w:p>
        </w:tc>
        <w:tc>
          <w:tcPr>
            <w:tcW w:w="5325"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抹灰面油漆（天棚）</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1.油漆品种、刷漆遍数:橘色乳胶漆（PT-03）</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1.基层清理</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2.刮腻子</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3.刷防护材料、油漆</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m2</w:t>
            </w:r>
          </w:p>
        </w:tc>
        <w:tc>
          <w:tcPr>
            <w:tcW w:w="990"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16.74</w:t>
            </w:r>
          </w:p>
        </w:tc>
      </w:tr>
      <w:tr>
        <w:tblPrEx>
          <w:tblCellMar>
            <w:top w:w="0" w:type="dxa"/>
            <w:left w:w="0" w:type="dxa"/>
            <w:bottom w:w="0" w:type="dxa"/>
            <w:right w:w="0" w:type="dxa"/>
          </w:tblCellMar>
        </w:tblPrEx>
        <w:trPr>
          <w:trHeight w:val="1845" w:hRule="atLeast"/>
          <w:jc w:val="center"/>
        </w:trPr>
        <w:tc>
          <w:tcPr>
            <w:tcW w:w="909"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66</w:t>
            </w:r>
          </w:p>
        </w:tc>
        <w:tc>
          <w:tcPr>
            <w:tcW w:w="157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020506001010</w:t>
            </w:r>
          </w:p>
        </w:tc>
        <w:tc>
          <w:tcPr>
            <w:tcW w:w="5325"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抹灰面油漆（墙面）</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1.油漆品种、刷漆遍数:橙色乳胶漆（PT-06）</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1.基层清理</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2.刮腻子</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3.刷防护材料、油漆</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m2</w:t>
            </w:r>
          </w:p>
        </w:tc>
        <w:tc>
          <w:tcPr>
            <w:tcW w:w="990"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12.57</w:t>
            </w:r>
          </w:p>
        </w:tc>
      </w:tr>
      <w:tr>
        <w:tblPrEx>
          <w:tblCellMar>
            <w:top w:w="0" w:type="dxa"/>
            <w:left w:w="0" w:type="dxa"/>
            <w:bottom w:w="0" w:type="dxa"/>
            <w:right w:w="0" w:type="dxa"/>
          </w:tblCellMar>
        </w:tblPrEx>
        <w:trPr>
          <w:trHeight w:val="1845" w:hRule="atLeast"/>
          <w:jc w:val="center"/>
        </w:trPr>
        <w:tc>
          <w:tcPr>
            <w:tcW w:w="909"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67</w:t>
            </w:r>
          </w:p>
        </w:tc>
        <w:tc>
          <w:tcPr>
            <w:tcW w:w="157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020506001011</w:t>
            </w:r>
          </w:p>
        </w:tc>
        <w:tc>
          <w:tcPr>
            <w:tcW w:w="5325"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抹灰面油漆（墙面）</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1.油漆品种、刷漆遍数:白色乳胶漆（PT-01）</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1.基层清理</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2.刮腻子</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3.刷防护材料、油漆</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m2</w:t>
            </w:r>
          </w:p>
        </w:tc>
        <w:tc>
          <w:tcPr>
            <w:tcW w:w="990"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3.07</w:t>
            </w:r>
          </w:p>
        </w:tc>
      </w:tr>
      <w:tr>
        <w:tblPrEx>
          <w:tblCellMar>
            <w:top w:w="0" w:type="dxa"/>
            <w:left w:w="0" w:type="dxa"/>
            <w:bottom w:w="0" w:type="dxa"/>
            <w:right w:w="0" w:type="dxa"/>
          </w:tblCellMar>
        </w:tblPrEx>
        <w:trPr>
          <w:trHeight w:val="2100" w:hRule="atLeast"/>
          <w:jc w:val="center"/>
        </w:trPr>
        <w:tc>
          <w:tcPr>
            <w:tcW w:w="909"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68</w:t>
            </w:r>
          </w:p>
        </w:tc>
        <w:tc>
          <w:tcPr>
            <w:tcW w:w="157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020506001012</w:t>
            </w:r>
          </w:p>
        </w:tc>
        <w:tc>
          <w:tcPr>
            <w:tcW w:w="5325"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抹灰面油漆（墙面）</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1.油漆品种、刷漆遍数:蓝绿色乳胶漆（PT-07）</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1.基层清理</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2.刮腻子</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3.刷防护材料、油漆</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m2</w:t>
            </w:r>
          </w:p>
        </w:tc>
        <w:tc>
          <w:tcPr>
            <w:tcW w:w="990"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12.76</w:t>
            </w:r>
          </w:p>
        </w:tc>
      </w:tr>
      <w:tr>
        <w:tblPrEx>
          <w:tblCellMar>
            <w:top w:w="0" w:type="dxa"/>
            <w:left w:w="0" w:type="dxa"/>
            <w:bottom w:w="0" w:type="dxa"/>
            <w:right w:w="0" w:type="dxa"/>
          </w:tblCellMar>
        </w:tblPrEx>
        <w:trPr>
          <w:trHeight w:val="345" w:hRule="atLeast"/>
          <w:jc w:val="center"/>
        </w:trPr>
        <w:tc>
          <w:tcPr>
            <w:tcW w:w="909"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rPr>
                <w:rFonts w:hint="eastAsia" w:ascii="宋体" w:hAnsi="宋体" w:eastAsia="宋体" w:cs="宋体"/>
                <w:i w:val="0"/>
                <w:color w:val="000000"/>
                <w:sz w:val="20"/>
                <w:szCs w:val="20"/>
                <w:u w:val="none"/>
              </w:rPr>
            </w:pPr>
          </w:p>
        </w:tc>
        <w:tc>
          <w:tcPr>
            <w:tcW w:w="157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B.6</w:t>
            </w:r>
          </w:p>
        </w:tc>
        <w:tc>
          <w:tcPr>
            <w:tcW w:w="5325"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B.6  其 他 工 程</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宋体" w:hAnsi="宋体" w:eastAsia="宋体" w:cs="宋体"/>
                <w:i w:val="0"/>
                <w:color w:val="000000"/>
                <w:sz w:val="20"/>
                <w:szCs w:val="20"/>
                <w:u w:val="none"/>
              </w:rPr>
            </w:pPr>
          </w:p>
        </w:tc>
        <w:tc>
          <w:tcPr>
            <w:tcW w:w="990"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宋体" w:hAnsi="宋体" w:eastAsia="宋体" w:cs="宋体"/>
                <w:i w:val="0"/>
                <w:color w:val="000000"/>
                <w:sz w:val="20"/>
                <w:szCs w:val="20"/>
                <w:u w:val="none"/>
              </w:rPr>
            </w:pPr>
          </w:p>
        </w:tc>
      </w:tr>
      <w:tr>
        <w:tblPrEx>
          <w:tblCellMar>
            <w:top w:w="0" w:type="dxa"/>
            <w:left w:w="0" w:type="dxa"/>
            <w:bottom w:w="0" w:type="dxa"/>
            <w:right w:w="0" w:type="dxa"/>
          </w:tblCellMar>
        </w:tblPrEx>
        <w:trPr>
          <w:trHeight w:val="2610" w:hRule="atLeast"/>
          <w:jc w:val="center"/>
        </w:trPr>
        <w:tc>
          <w:tcPr>
            <w:tcW w:w="909"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69</w:t>
            </w:r>
          </w:p>
        </w:tc>
        <w:tc>
          <w:tcPr>
            <w:tcW w:w="157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020601009003</w:t>
            </w:r>
          </w:p>
        </w:tc>
        <w:tc>
          <w:tcPr>
            <w:tcW w:w="5325"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低柜</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1.做法:12/1F-EL-06</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2.台柜规格:1280*800*690</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3.台面材料:大理石台面（ST-01）</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4.材料种类、规格:柜体白色木饰面(WD-09)</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5.五金种类、规格:合页、拉手</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1.台柜制作</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2.运输、安装（安放）</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个</w:t>
            </w:r>
          </w:p>
        </w:tc>
        <w:tc>
          <w:tcPr>
            <w:tcW w:w="990"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r>
      <w:tr>
        <w:tblPrEx>
          <w:tblCellMar>
            <w:top w:w="0" w:type="dxa"/>
            <w:left w:w="0" w:type="dxa"/>
            <w:bottom w:w="0" w:type="dxa"/>
            <w:right w:w="0" w:type="dxa"/>
          </w:tblCellMar>
        </w:tblPrEx>
        <w:trPr>
          <w:trHeight w:val="1245" w:hRule="atLeast"/>
          <w:jc w:val="center"/>
        </w:trPr>
        <w:tc>
          <w:tcPr>
            <w:tcW w:w="909" w:type="dxa"/>
            <w:tcBorders>
              <w:top w:val="single" w:color="000000" w:sz="4" w:space="0"/>
              <w:left w:val="single" w:color="000000" w:sz="8"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70</w:t>
            </w:r>
          </w:p>
        </w:tc>
        <w:tc>
          <w:tcPr>
            <w:tcW w:w="1579" w:type="dxa"/>
            <w:tcBorders>
              <w:top w:val="single" w:color="000000" w:sz="4" w:space="0"/>
              <w:left w:val="single" w:color="000000" w:sz="4"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9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020601010002</w:t>
            </w:r>
          </w:p>
        </w:tc>
        <w:tc>
          <w:tcPr>
            <w:tcW w:w="5325" w:type="dxa"/>
            <w:gridSpan w:val="3"/>
            <w:tcBorders>
              <w:top w:val="single" w:color="000000" w:sz="4" w:space="0"/>
              <w:left w:val="single" w:color="000000" w:sz="4"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90" w:lineRule="exact"/>
              <w:jc w:val="lef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吊柜</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1.做法:12/1F-EL-06</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2.台柜规格:1280*1070*370</w:t>
            </w:r>
          </w:p>
          <w:p>
            <w:pPr>
              <w:keepNext w:val="0"/>
              <w:keepLines w:val="0"/>
              <w:pageBreakBefore w:val="0"/>
              <w:widowControl/>
              <w:suppressLineNumbers w:val="0"/>
              <w:kinsoku/>
              <w:wordWrap/>
              <w:overflowPunct/>
              <w:topLinePunct w:val="0"/>
              <w:autoSpaceDE/>
              <w:autoSpaceDN/>
              <w:bidi w:val="0"/>
              <w:adjustRightInd/>
              <w:snapToGrid/>
              <w:spacing w:line="290" w:lineRule="exact"/>
              <w:jc w:val="left"/>
              <w:textAlignment w:val="center"/>
              <w:rPr>
                <w:rFonts w:hint="eastAsia"/>
              </w:rPr>
            </w:pPr>
            <w:r>
              <w:rPr>
                <w:rFonts w:hint="eastAsia" w:ascii="宋体" w:hAnsi="宋体" w:eastAsia="宋体" w:cs="宋体"/>
                <w:i w:val="0"/>
                <w:color w:val="000000"/>
                <w:kern w:val="0"/>
                <w:sz w:val="20"/>
                <w:szCs w:val="20"/>
                <w:u w:val="none"/>
                <w:lang w:val="en-US" w:eastAsia="zh-CN" w:bidi="ar"/>
              </w:rPr>
              <w:t>3.材料种类、规格:白色木饰面(WD-09)</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4.五金种类、规格:合页、拉手</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1.台柜制作</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2.运输、安装（安放）</w:t>
            </w:r>
          </w:p>
        </w:tc>
        <w:tc>
          <w:tcPr>
            <w:tcW w:w="975" w:type="dxa"/>
            <w:tcBorders>
              <w:top w:val="single" w:color="000000" w:sz="4" w:space="0"/>
              <w:left w:val="single" w:color="000000" w:sz="4"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个</w:t>
            </w:r>
          </w:p>
        </w:tc>
        <w:tc>
          <w:tcPr>
            <w:tcW w:w="990" w:type="dxa"/>
            <w:tcBorders>
              <w:top w:val="single" w:color="000000" w:sz="4" w:space="0"/>
              <w:left w:val="single" w:color="000000" w:sz="4" w:space="0"/>
              <w:bottom w:val="single" w:color="000000" w:sz="8"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r>
      <w:tr>
        <w:tblPrEx>
          <w:tblCellMar>
            <w:top w:w="0" w:type="dxa"/>
            <w:left w:w="0" w:type="dxa"/>
            <w:bottom w:w="0" w:type="dxa"/>
            <w:right w:w="0" w:type="dxa"/>
          </w:tblCellMar>
        </w:tblPrEx>
        <w:trPr>
          <w:trHeight w:val="90" w:hRule="atLeast"/>
          <w:jc w:val="center"/>
        </w:trPr>
        <w:tc>
          <w:tcPr>
            <w:tcW w:w="909"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71</w:t>
            </w:r>
          </w:p>
        </w:tc>
        <w:tc>
          <w:tcPr>
            <w:tcW w:w="157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9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020603009001</w:t>
            </w:r>
          </w:p>
        </w:tc>
        <w:tc>
          <w:tcPr>
            <w:tcW w:w="5325"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9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镜子</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1.做法:9/-1F-EL-13</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2.镜面玻璃品种、规格:镜子（MR-01）</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3.框材质、断面尺寸:20mm不锈钢包边（MT-04）</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1.基层安装</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2.玻璃及框制作、运输、安装</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m2</w:t>
            </w:r>
          </w:p>
        </w:tc>
        <w:tc>
          <w:tcPr>
            <w:tcW w:w="990"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8.38</w:t>
            </w:r>
          </w:p>
        </w:tc>
      </w:tr>
      <w:tr>
        <w:tblPrEx>
          <w:tblCellMar>
            <w:top w:w="0" w:type="dxa"/>
            <w:left w:w="0" w:type="dxa"/>
            <w:bottom w:w="0" w:type="dxa"/>
            <w:right w:w="0" w:type="dxa"/>
          </w:tblCellMar>
        </w:tblPrEx>
        <w:trPr>
          <w:trHeight w:val="345" w:hRule="atLeast"/>
          <w:jc w:val="center"/>
        </w:trPr>
        <w:tc>
          <w:tcPr>
            <w:tcW w:w="909"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rPr>
                <w:rFonts w:hint="eastAsia" w:ascii="宋体" w:hAnsi="宋体" w:eastAsia="宋体" w:cs="宋体"/>
                <w:i w:val="0"/>
                <w:color w:val="000000"/>
                <w:sz w:val="20"/>
                <w:szCs w:val="20"/>
                <w:u w:val="none"/>
              </w:rPr>
            </w:pPr>
          </w:p>
        </w:tc>
        <w:tc>
          <w:tcPr>
            <w:tcW w:w="157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rPr>
                <w:rFonts w:hint="eastAsia" w:ascii="宋体" w:hAnsi="宋体" w:eastAsia="宋体" w:cs="宋体"/>
                <w:i w:val="0"/>
                <w:color w:val="000000"/>
                <w:sz w:val="20"/>
                <w:szCs w:val="20"/>
                <w:u w:val="none"/>
              </w:rPr>
            </w:pPr>
          </w:p>
        </w:tc>
        <w:tc>
          <w:tcPr>
            <w:tcW w:w="5325"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补充分部</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宋体" w:hAnsi="宋体" w:eastAsia="宋体" w:cs="宋体"/>
                <w:i w:val="0"/>
                <w:color w:val="000000"/>
                <w:sz w:val="20"/>
                <w:szCs w:val="20"/>
                <w:u w:val="none"/>
              </w:rPr>
            </w:pPr>
          </w:p>
        </w:tc>
        <w:tc>
          <w:tcPr>
            <w:tcW w:w="990"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宋体" w:hAnsi="宋体" w:eastAsia="宋体" w:cs="宋体"/>
                <w:i w:val="0"/>
                <w:color w:val="000000"/>
                <w:sz w:val="20"/>
                <w:szCs w:val="20"/>
                <w:u w:val="none"/>
              </w:rPr>
            </w:pPr>
          </w:p>
        </w:tc>
      </w:tr>
      <w:tr>
        <w:tblPrEx>
          <w:tblCellMar>
            <w:top w:w="0" w:type="dxa"/>
            <w:left w:w="0" w:type="dxa"/>
            <w:bottom w:w="0" w:type="dxa"/>
            <w:right w:w="0" w:type="dxa"/>
          </w:tblCellMar>
        </w:tblPrEx>
        <w:trPr>
          <w:trHeight w:val="2297" w:hRule="atLeast"/>
          <w:jc w:val="center"/>
        </w:trPr>
        <w:tc>
          <w:tcPr>
            <w:tcW w:w="909"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72</w:t>
            </w:r>
          </w:p>
        </w:tc>
        <w:tc>
          <w:tcPr>
            <w:tcW w:w="157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BB004</w:t>
            </w:r>
          </w:p>
        </w:tc>
        <w:tc>
          <w:tcPr>
            <w:tcW w:w="5325"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窗帘</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1.窗帘轨材质、规格:铝合金暗藏单层轨道</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2.窗帘材质:双层窗帘（CU-01）</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3.窗帘:宽7.3m*高2.72m</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1.制作、运输</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2.安装</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w:t>
            </w:r>
          </w:p>
        </w:tc>
        <w:tc>
          <w:tcPr>
            <w:tcW w:w="990"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7.3</w:t>
            </w:r>
          </w:p>
        </w:tc>
      </w:tr>
      <w:tr>
        <w:tblPrEx>
          <w:tblCellMar>
            <w:top w:w="0" w:type="dxa"/>
            <w:left w:w="0" w:type="dxa"/>
            <w:bottom w:w="0" w:type="dxa"/>
            <w:right w:w="0" w:type="dxa"/>
          </w:tblCellMar>
        </w:tblPrEx>
        <w:trPr>
          <w:trHeight w:val="345" w:hRule="atLeast"/>
          <w:jc w:val="center"/>
        </w:trPr>
        <w:tc>
          <w:tcPr>
            <w:tcW w:w="909"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rPr>
                <w:rFonts w:hint="eastAsia" w:ascii="宋体" w:hAnsi="宋体" w:eastAsia="宋体" w:cs="宋体"/>
                <w:i w:val="0"/>
                <w:color w:val="000000"/>
                <w:sz w:val="20"/>
                <w:szCs w:val="20"/>
                <w:u w:val="none"/>
              </w:rPr>
            </w:pPr>
          </w:p>
        </w:tc>
        <w:tc>
          <w:tcPr>
            <w:tcW w:w="157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rPr>
                <w:rFonts w:hint="eastAsia" w:ascii="宋体" w:hAnsi="宋体" w:eastAsia="宋体" w:cs="宋体"/>
                <w:i w:val="0"/>
                <w:color w:val="000000"/>
                <w:sz w:val="20"/>
                <w:szCs w:val="20"/>
                <w:u w:val="none"/>
              </w:rPr>
            </w:pPr>
          </w:p>
        </w:tc>
        <w:tc>
          <w:tcPr>
            <w:tcW w:w="5325"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负一层更衣间</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宋体" w:hAnsi="宋体" w:eastAsia="宋体" w:cs="宋体"/>
                <w:i w:val="0"/>
                <w:color w:val="000000"/>
                <w:sz w:val="20"/>
                <w:szCs w:val="20"/>
                <w:u w:val="none"/>
              </w:rPr>
            </w:pPr>
          </w:p>
        </w:tc>
        <w:tc>
          <w:tcPr>
            <w:tcW w:w="990"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宋体" w:hAnsi="宋体" w:eastAsia="宋体" w:cs="宋体"/>
                <w:i w:val="0"/>
                <w:color w:val="000000"/>
                <w:sz w:val="20"/>
                <w:szCs w:val="20"/>
                <w:u w:val="none"/>
              </w:rPr>
            </w:pPr>
          </w:p>
        </w:tc>
      </w:tr>
      <w:tr>
        <w:tblPrEx>
          <w:tblCellMar>
            <w:top w:w="0" w:type="dxa"/>
            <w:left w:w="0" w:type="dxa"/>
            <w:bottom w:w="0" w:type="dxa"/>
            <w:right w:w="0" w:type="dxa"/>
          </w:tblCellMar>
        </w:tblPrEx>
        <w:trPr>
          <w:trHeight w:val="345" w:hRule="atLeast"/>
          <w:jc w:val="center"/>
        </w:trPr>
        <w:tc>
          <w:tcPr>
            <w:tcW w:w="909"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rPr>
                <w:rFonts w:hint="eastAsia" w:ascii="宋体" w:hAnsi="宋体" w:eastAsia="宋体" w:cs="宋体"/>
                <w:i w:val="0"/>
                <w:color w:val="000000"/>
                <w:sz w:val="20"/>
                <w:szCs w:val="20"/>
                <w:u w:val="none"/>
              </w:rPr>
            </w:pPr>
          </w:p>
        </w:tc>
        <w:tc>
          <w:tcPr>
            <w:tcW w:w="157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A.4</w:t>
            </w:r>
          </w:p>
        </w:tc>
        <w:tc>
          <w:tcPr>
            <w:tcW w:w="5325"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A.4  混凝土及钢筋混凝土工程</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宋体" w:hAnsi="宋体" w:eastAsia="宋体" w:cs="宋体"/>
                <w:i w:val="0"/>
                <w:color w:val="000000"/>
                <w:sz w:val="20"/>
                <w:szCs w:val="20"/>
                <w:u w:val="none"/>
              </w:rPr>
            </w:pPr>
          </w:p>
        </w:tc>
        <w:tc>
          <w:tcPr>
            <w:tcW w:w="990"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宋体" w:hAnsi="宋体" w:eastAsia="宋体" w:cs="宋体"/>
                <w:i w:val="0"/>
                <w:color w:val="000000"/>
                <w:sz w:val="20"/>
                <w:szCs w:val="20"/>
                <w:u w:val="none"/>
              </w:rPr>
            </w:pPr>
          </w:p>
        </w:tc>
      </w:tr>
      <w:tr>
        <w:tblPrEx>
          <w:tblCellMar>
            <w:top w:w="0" w:type="dxa"/>
            <w:left w:w="0" w:type="dxa"/>
            <w:bottom w:w="0" w:type="dxa"/>
            <w:right w:w="0" w:type="dxa"/>
          </w:tblCellMar>
        </w:tblPrEx>
        <w:trPr>
          <w:trHeight w:val="1667" w:hRule="atLeast"/>
          <w:jc w:val="center"/>
        </w:trPr>
        <w:tc>
          <w:tcPr>
            <w:tcW w:w="909"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73</w:t>
            </w:r>
          </w:p>
        </w:tc>
        <w:tc>
          <w:tcPr>
            <w:tcW w:w="157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010417002002</w:t>
            </w:r>
          </w:p>
        </w:tc>
        <w:tc>
          <w:tcPr>
            <w:tcW w:w="5325"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预埋铁件</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1.钢材种类、规格:各种型钢</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1.制作、运输</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2.安装</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t</w:t>
            </w:r>
          </w:p>
        </w:tc>
        <w:tc>
          <w:tcPr>
            <w:tcW w:w="990"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0.12</w:t>
            </w:r>
          </w:p>
        </w:tc>
      </w:tr>
      <w:tr>
        <w:tblPrEx>
          <w:tblCellMar>
            <w:top w:w="0" w:type="dxa"/>
            <w:left w:w="0" w:type="dxa"/>
            <w:bottom w:w="0" w:type="dxa"/>
            <w:right w:w="0" w:type="dxa"/>
          </w:tblCellMar>
        </w:tblPrEx>
        <w:trPr>
          <w:trHeight w:val="345" w:hRule="atLeast"/>
          <w:jc w:val="center"/>
        </w:trPr>
        <w:tc>
          <w:tcPr>
            <w:tcW w:w="909"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rPr>
                <w:rFonts w:hint="eastAsia" w:ascii="宋体" w:hAnsi="宋体" w:eastAsia="宋体" w:cs="宋体"/>
                <w:i w:val="0"/>
                <w:color w:val="000000"/>
                <w:sz w:val="20"/>
                <w:szCs w:val="20"/>
                <w:u w:val="none"/>
              </w:rPr>
            </w:pPr>
          </w:p>
        </w:tc>
        <w:tc>
          <w:tcPr>
            <w:tcW w:w="157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B.1</w:t>
            </w:r>
          </w:p>
        </w:tc>
        <w:tc>
          <w:tcPr>
            <w:tcW w:w="5325"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B.1  楼地面工程</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宋体" w:hAnsi="宋体" w:eastAsia="宋体" w:cs="宋体"/>
                <w:i w:val="0"/>
                <w:color w:val="000000"/>
                <w:sz w:val="20"/>
                <w:szCs w:val="20"/>
                <w:u w:val="none"/>
              </w:rPr>
            </w:pPr>
          </w:p>
        </w:tc>
        <w:tc>
          <w:tcPr>
            <w:tcW w:w="990"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宋体" w:hAnsi="宋体" w:eastAsia="宋体" w:cs="宋体"/>
                <w:i w:val="0"/>
                <w:color w:val="000000"/>
                <w:sz w:val="20"/>
                <w:szCs w:val="20"/>
                <w:u w:val="none"/>
              </w:rPr>
            </w:pPr>
          </w:p>
        </w:tc>
      </w:tr>
      <w:tr>
        <w:tblPrEx>
          <w:tblCellMar>
            <w:top w:w="0" w:type="dxa"/>
            <w:left w:w="0" w:type="dxa"/>
            <w:bottom w:w="0" w:type="dxa"/>
            <w:right w:w="0" w:type="dxa"/>
          </w:tblCellMar>
        </w:tblPrEx>
        <w:trPr>
          <w:trHeight w:val="152" w:hRule="atLeast"/>
          <w:jc w:val="center"/>
        </w:trPr>
        <w:tc>
          <w:tcPr>
            <w:tcW w:w="909"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74</w:t>
            </w:r>
          </w:p>
        </w:tc>
        <w:tc>
          <w:tcPr>
            <w:tcW w:w="157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020105006003</w:t>
            </w:r>
          </w:p>
        </w:tc>
        <w:tc>
          <w:tcPr>
            <w:tcW w:w="5325"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木质踢脚线</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1.做法:23/DT-03</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2.踢脚线高度:80mm</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3.面层材料品种、规格、品牌、颜色:80MM成品白色木质踢脚线(WD-03)</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1.基层清理</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2.底层抹灰</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3.面层铺贴</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4.材料运输</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m2</w:t>
            </w:r>
          </w:p>
        </w:tc>
        <w:tc>
          <w:tcPr>
            <w:tcW w:w="990"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1.47</w:t>
            </w:r>
          </w:p>
        </w:tc>
      </w:tr>
      <w:tr>
        <w:tblPrEx>
          <w:tblCellMar>
            <w:top w:w="0" w:type="dxa"/>
            <w:left w:w="0" w:type="dxa"/>
            <w:bottom w:w="0" w:type="dxa"/>
            <w:right w:w="0" w:type="dxa"/>
          </w:tblCellMar>
        </w:tblPrEx>
        <w:trPr>
          <w:trHeight w:val="247" w:hRule="atLeast"/>
          <w:jc w:val="center"/>
        </w:trPr>
        <w:tc>
          <w:tcPr>
            <w:tcW w:w="909" w:type="dxa"/>
            <w:tcBorders>
              <w:top w:val="single" w:color="000000" w:sz="4" w:space="0"/>
              <w:left w:val="single" w:color="000000" w:sz="8"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75</w:t>
            </w:r>
          </w:p>
        </w:tc>
        <w:tc>
          <w:tcPr>
            <w:tcW w:w="1579" w:type="dxa"/>
            <w:tcBorders>
              <w:top w:val="single" w:color="000000" w:sz="4" w:space="0"/>
              <w:left w:val="single" w:color="000000" w:sz="4"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020105006004</w:t>
            </w:r>
          </w:p>
        </w:tc>
        <w:tc>
          <w:tcPr>
            <w:tcW w:w="5325" w:type="dxa"/>
            <w:gridSpan w:val="3"/>
            <w:tcBorders>
              <w:top w:val="single" w:color="000000" w:sz="4" w:space="0"/>
              <w:left w:val="single" w:color="000000" w:sz="4"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木质踢脚线</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1.做法:23/DT-03</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2.踢脚线高度:50mm</w:t>
            </w:r>
          </w:p>
          <w:p>
            <w:pPr>
              <w:keepNext w:val="0"/>
              <w:keepLines w:val="0"/>
              <w:pageBreakBefore w:val="0"/>
              <w:widowControl/>
              <w:numPr>
                <w:ilvl w:val="0"/>
                <w:numId w:val="8"/>
              </w:numPr>
              <w:suppressLineNumbers w:val="0"/>
              <w:kinsoku/>
              <w:wordWrap/>
              <w:overflowPunct/>
              <w:topLinePunct w:val="0"/>
              <w:autoSpaceDE/>
              <w:autoSpaceDN/>
              <w:bidi w:val="0"/>
              <w:adjustRightInd/>
              <w:snapToGrid/>
              <w:spacing w:line="300" w:lineRule="exact"/>
              <w:ind w:left="0" w:leftChars="0" w:firstLine="0" w:firstLineChars="0"/>
              <w:jc w:val="lef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面层材料品种、规格、品牌、颜色:50MM成品白色木质踢脚线(WD-03)</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1.基层清理</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300" w:lineRule="exact"/>
              <w:ind w:leftChars="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2.底层抹灰</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3.面层铺贴</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4.材料运输</w:t>
            </w:r>
          </w:p>
        </w:tc>
        <w:tc>
          <w:tcPr>
            <w:tcW w:w="975" w:type="dxa"/>
            <w:tcBorders>
              <w:top w:val="single" w:color="000000" w:sz="4" w:space="0"/>
              <w:left w:val="single" w:color="000000" w:sz="4"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m2</w:t>
            </w:r>
          </w:p>
        </w:tc>
        <w:tc>
          <w:tcPr>
            <w:tcW w:w="990" w:type="dxa"/>
            <w:tcBorders>
              <w:top w:val="single" w:color="000000" w:sz="4" w:space="0"/>
              <w:left w:val="single" w:color="000000" w:sz="4" w:space="0"/>
              <w:bottom w:val="single" w:color="000000" w:sz="8"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0.84</w:t>
            </w:r>
          </w:p>
        </w:tc>
      </w:tr>
      <w:tr>
        <w:tblPrEx>
          <w:tblCellMar>
            <w:top w:w="0" w:type="dxa"/>
            <w:left w:w="0" w:type="dxa"/>
            <w:bottom w:w="0" w:type="dxa"/>
            <w:right w:w="0" w:type="dxa"/>
          </w:tblCellMar>
        </w:tblPrEx>
        <w:trPr>
          <w:trHeight w:val="345" w:hRule="atLeast"/>
          <w:jc w:val="center"/>
        </w:trPr>
        <w:tc>
          <w:tcPr>
            <w:tcW w:w="909"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rPr>
                <w:rFonts w:hint="eastAsia" w:ascii="宋体" w:hAnsi="宋体" w:eastAsia="宋体" w:cs="宋体"/>
                <w:i w:val="0"/>
                <w:color w:val="000000"/>
                <w:sz w:val="20"/>
                <w:szCs w:val="20"/>
                <w:u w:val="none"/>
              </w:rPr>
            </w:pPr>
          </w:p>
        </w:tc>
        <w:tc>
          <w:tcPr>
            <w:tcW w:w="157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B.2</w:t>
            </w:r>
          </w:p>
        </w:tc>
        <w:tc>
          <w:tcPr>
            <w:tcW w:w="5325"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B.2  墙、柱面工程</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宋体" w:hAnsi="宋体" w:eastAsia="宋体" w:cs="宋体"/>
                <w:i w:val="0"/>
                <w:color w:val="000000"/>
                <w:sz w:val="20"/>
                <w:szCs w:val="20"/>
                <w:u w:val="none"/>
              </w:rPr>
            </w:pPr>
          </w:p>
        </w:tc>
        <w:tc>
          <w:tcPr>
            <w:tcW w:w="990"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宋体" w:hAnsi="宋体" w:eastAsia="宋体" w:cs="宋体"/>
                <w:i w:val="0"/>
                <w:color w:val="000000"/>
                <w:sz w:val="20"/>
                <w:szCs w:val="20"/>
                <w:u w:val="none"/>
              </w:rPr>
            </w:pPr>
          </w:p>
        </w:tc>
      </w:tr>
      <w:tr>
        <w:tblPrEx>
          <w:tblCellMar>
            <w:top w:w="0" w:type="dxa"/>
            <w:left w:w="0" w:type="dxa"/>
            <w:bottom w:w="0" w:type="dxa"/>
            <w:right w:w="0" w:type="dxa"/>
          </w:tblCellMar>
        </w:tblPrEx>
        <w:trPr>
          <w:trHeight w:val="2355" w:hRule="atLeast"/>
          <w:jc w:val="center"/>
        </w:trPr>
        <w:tc>
          <w:tcPr>
            <w:tcW w:w="909"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76</w:t>
            </w:r>
          </w:p>
        </w:tc>
        <w:tc>
          <w:tcPr>
            <w:tcW w:w="157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020207001015</w:t>
            </w:r>
          </w:p>
        </w:tc>
        <w:tc>
          <w:tcPr>
            <w:tcW w:w="5325"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装饰板墙面</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1.做法:44/DT-06</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2.面层材料品种、规格、品牌、颜色:25MM厚黑色抗倍特板(WD-10)</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1.基层清理</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2.面层铺贴</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3.刷防护材料、油漆</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m2</w:t>
            </w:r>
          </w:p>
        </w:tc>
        <w:tc>
          <w:tcPr>
            <w:tcW w:w="990"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22.06</w:t>
            </w:r>
          </w:p>
        </w:tc>
      </w:tr>
      <w:tr>
        <w:tblPrEx>
          <w:tblCellMar>
            <w:top w:w="0" w:type="dxa"/>
            <w:left w:w="0" w:type="dxa"/>
            <w:bottom w:w="0" w:type="dxa"/>
            <w:right w:w="0" w:type="dxa"/>
          </w:tblCellMar>
        </w:tblPrEx>
        <w:trPr>
          <w:trHeight w:val="345" w:hRule="atLeast"/>
          <w:jc w:val="center"/>
        </w:trPr>
        <w:tc>
          <w:tcPr>
            <w:tcW w:w="909"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rPr>
                <w:rFonts w:hint="eastAsia" w:ascii="宋体" w:hAnsi="宋体" w:eastAsia="宋体" w:cs="宋体"/>
                <w:i w:val="0"/>
                <w:color w:val="000000"/>
                <w:sz w:val="20"/>
                <w:szCs w:val="20"/>
                <w:u w:val="none"/>
              </w:rPr>
            </w:pPr>
          </w:p>
        </w:tc>
        <w:tc>
          <w:tcPr>
            <w:tcW w:w="157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B.4</w:t>
            </w:r>
          </w:p>
        </w:tc>
        <w:tc>
          <w:tcPr>
            <w:tcW w:w="5325"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B.4  门窗工程</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宋体" w:hAnsi="宋体" w:eastAsia="宋体" w:cs="宋体"/>
                <w:i w:val="0"/>
                <w:color w:val="000000"/>
                <w:sz w:val="20"/>
                <w:szCs w:val="20"/>
                <w:u w:val="none"/>
              </w:rPr>
            </w:pPr>
          </w:p>
        </w:tc>
        <w:tc>
          <w:tcPr>
            <w:tcW w:w="990"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宋体" w:hAnsi="宋体" w:eastAsia="宋体" w:cs="宋体"/>
                <w:i w:val="0"/>
                <w:color w:val="000000"/>
                <w:sz w:val="20"/>
                <w:szCs w:val="20"/>
                <w:u w:val="none"/>
              </w:rPr>
            </w:pPr>
          </w:p>
        </w:tc>
      </w:tr>
      <w:tr>
        <w:tblPrEx>
          <w:tblCellMar>
            <w:top w:w="0" w:type="dxa"/>
            <w:left w:w="0" w:type="dxa"/>
            <w:bottom w:w="0" w:type="dxa"/>
            <w:right w:w="0" w:type="dxa"/>
          </w:tblCellMar>
        </w:tblPrEx>
        <w:trPr>
          <w:trHeight w:val="2610" w:hRule="atLeast"/>
          <w:jc w:val="center"/>
        </w:trPr>
        <w:tc>
          <w:tcPr>
            <w:tcW w:w="909"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77</w:t>
            </w:r>
          </w:p>
        </w:tc>
        <w:tc>
          <w:tcPr>
            <w:tcW w:w="157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020401003006</w:t>
            </w:r>
          </w:p>
        </w:tc>
        <w:tc>
          <w:tcPr>
            <w:tcW w:w="5325"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实木装饰门</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1.做法:DR-03</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2.框截面尺寸、单扇面积:840*2580mm</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 xml:space="preserve">3.面层材料品种、规格、品牌、颜色:成品白色木门（WD-03)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4.五金材料、品种、规格:拉手、门吸、合页</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1.门制作、运输、安装</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2.五金安装</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樘</w:t>
            </w:r>
          </w:p>
        </w:tc>
        <w:tc>
          <w:tcPr>
            <w:tcW w:w="990"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w:t>
            </w:r>
          </w:p>
        </w:tc>
      </w:tr>
      <w:tr>
        <w:tblPrEx>
          <w:tblCellMar>
            <w:top w:w="0" w:type="dxa"/>
            <w:left w:w="0" w:type="dxa"/>
            <w:bottom w:w="0" w:type="dxa"/>
            <w:right w:w="0" w:type="dxa"/>
          </w:tblCellMar>
        </w:tblPrEx>
        <w:trPr>
          <w:trHeight w:val="2865" w:hRule="atLeast"/>
          <w:jc w:val="center"/>
        </w:trPr>
        <w:tc>
          <w:tcPr>
            <w:tcW w:w="909"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78</w:t>
            </w:r>
          </w:p>
        </w:tc>
        <w:tc>
          <w:tcPr>
            <w:tcW w:w="157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020407001004</w:t>
            </w:r>
          </w:p>
        </w:tc>
        <w:tc>
          <w:tcPr>
            <w:tcW w:w="5325"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木门套</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1.基层材料种类:15MM阻燃板基层</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2.面层材料品种、规格、品牌、颜色:40MM白色木饰面(WD-03)</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1.清理基层</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2.立筋制作、安装</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3.基层板安装</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4.面层铺贴</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5.刷防护材料、油漆</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m2</w:t>
            </w:r>
          </w:p>
        </w:tc>
        <w:tc>
          <w:tcPr>
            <w:tcW w:w="990"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2.65</w:t>
            </w:r>
          </w:p>
        </w:tc>
      </w:tr>
      <w:tr>
        <w:tblPrEx>
          <w:tblCellMar>
            <w:top w:w="0" w:type="dxa"/>
            <w:left w:w="0" w:type="dxa"/>
            <w:bottom w:w="0" w:type="dxa"/>
            <w:right w:w="0" w:type="dxa"/>
          </w:tblCellMar>
        </w:tblPrEx>
        <w:trPr>
          <w:trHeight w:val="345" w:hRule="atLeast"/>
          <w:jc w:val="center"/>
        </w:trPr>
        <w:tc>
          <w:tcPr>
            <w:tcW w:w="909"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rPr>
                <w:rFonts w:hint="eastAsia" w:ascii="宋体" w:hAnsi="宋体" w:eastAsia="宋体" w:cs="宋体"/>
                <w:i w:val="0"/>
                <w:color w:val="000000"/>
                <w:sz w:val="20"/>
                <w:szCs w:val="20"/>
                <w:u w:val="none"/>
              </w:rPr>
            </w:pPr>
          </w:p>
        </w:tc>
        <w:tc>
          <w:tcPr>
            <w:tcW w:w="157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B.5</w:t>
            </w:r>
          </w:p>
        </w:tc>
        <w:tc>
          <w:tcPr>
            <w:tcW w:w="5325"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B.5  油漆、涂料、裱糊工程</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宋体" w:hAnsi="宋体" w:eastAsia="宋体" w:cs="宋体"/>
                <w:i w:val="0"/>
                <w:color w:val="000000"/>
                <w:sz w:val="20"/>
                <w:szCs w:val="20"/>
                <w:u w:val="none"/>
              </w:rPr>
            </w:pPr>
          </w:p>
        </w:tc>
        <w:tc>
          <w:tcPr>
            <w:tcW w:w="990"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宋体" w:hAnsi="宋体" w:eastAsia="宋体" w:cs="宋体"/>
                <w:i w:val="0"/>
                <w:color w:val="000000"/>
                <w:sz w:val="20"/>
                <w:szCs w:val="20"/>
                <w:u w:val="none"/>
              </w:rPr>
            </w:pPr>
          </w:p>
        </w:tc>
      </w:tr>
      <w:tr>
        <w:tblPrEx>
          <w:tblCellMar>
            <w:top w:w="0" w:type="dxa"/>
            <w:left w:w="0" w:type="dxa"/>
            <w:bottom w:w="0" w:type="dxa"/>
            <w:right w:w="0" w:type="dxa"/>
          </w:tblCellMar>
        </w:tblPrEx>
        <w:trPr>
          <w:trHeight w:val="1845" w:hRule="atLeast"/>
          <w:jc w:val="center"/>
        </w:trPr>
        <w:tc>
          <w:tcPr>
            <w:tcW w:w="909"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79</w:t>
            </w:r>
          </w:p>
        </w:tc>
        <w:tc>
          <w:tcPr>
            <w:tcW w:w="157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020506001013</w:t>
            </w:r>
          </w:p>
        </w:tc>
        <w:tc>
          <w:tcPr>
            <w:tcW w:w="5325"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抹灰面油漆（墙面）</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1.油漆品种、刷漆遍数:白色乳胶漆（PT-01）</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1.基层清理</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2.刮腻子</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3.刷防护材料、油漆</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m2</w:t>
            </w:r>
          </w:p>
        </w:tc>
        <w:tc>
          <w:tcPr>
            <w:tcW w:w="990"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46.69</w:t>
            </w:r>
          </w:p>
        </w:tc>
      </w:tr>
      <w:tr>
        <w:tblPrEx>
          <w:tblCellMar>
            <w:top w:w="0" w:type="dxa"/>
            <w:left w:w="0" w:type="dxa"/>
            <w:bottom w:w="0" w:type="dxa"/>
            <w:right w:w="0" w:type="dxa"/>
          </w:tblCellMar>
        </w:tblPrEx>
        <w:trPr>
          <w:trHeight w:val="345" w:hRule="atLeast"/>
          <w:jc w:val="center"/>
        </w:trPr>
        <w:tc>
          <w:tcPr>
            <w:tcW w:w="909" w:type="dxa"/>
            <w:tcBorders>
              <w:top w:val="single" w:color="000000" w:sz="4" w:space="0"/>
              <w:left w:val="single" w:color="000000" w:sz="8"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rPr>
                <w:rFonts w:hint="eastAsia" w:ascii="宋体" w:hAnsi="宋体" w:eastAsia="宋体" w:cs="宋体"/>
                <w:i w:val="0"/>
                <w:color w:val="000000"/>
                <w:sz w:val="20"/>
                <w:szCs w:val="20"/>
                <w:u w:val="none"/>
              </w:rPr>
            </w:pPr>
          </w:p>
        </w:tc>
        <w:tc>
          <w:tcPr>
            <w:tcW w:w="1579" w:type="dxa"/>
            <w:tcBorders>
              <w:top w:val="single" w:color="000000" w:sz="4" w:space="0"/>
              <w:left w:val="single" w:color="000000" w:sz="4"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rPr>
                <w:rFonts w:hint="eastAsia" w:ascii="宋体" w:hAnsi="宋体" w:eastAsia="宋体" w:cs="宋体"/>
                <w:i w:val="0"/>
                <w:color w:val="000000"/>
                <w:sz w:val="20"/>
                <w:szCs w:val="20"/>
                <w:u w:val="none"/>
              </w:rPr>
            </w:pPr>
          </w:p>
        </w:tc>
        <w:tc>
          <w:tcPr>
            <w:tcW w:w="5325" w:type="dxa"/>
            <w:gridSpan w:val="3"/>
            <w:tcBorders>
              <w:top w:val="single" w:color="000000" w:sz="4" w:space="0"/>
              <w:left w:val="single" w:color="000000" w:sz="4"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补充分部</w:t>
            </w:r>
          </w:p>
        </w:tc>
        <w:tc>
          <w:tcPr>
            <w:tcW w:w="975" w:type="dxa"/>
            <w:tcBorders>
              <w:top w:val="single" w:color="000000" w:sz="4" w:space="0"/>
              <w:left w:val="single" w:color="000000" w:sz="4"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宋体" w:hAnsi="宋体" w:eastAsia="宋体" w:cs="宋体"/>
                <w:i w:val="0"/>
                <w:color w:val="000000"/>
                <w:sz w:val="20"/>
                <w:szCs w:val="20"/>
                <w:u w:val="none"/>
              </w:rPr>
            </w:pPr>
          </w:p>
        </w:tc>
        <w:tc>
          <w:tcPr>
            <w:tcW w:w="990" w:type="dxa"/>
            <w:tcBorders>
              <w:top w:val="single" w:color="000000" w:sz="4" w:space="0"/>
              <w:left w:val="single" w:color="000000" w:sz="4" w:space="0"/>
              <w:bottom w:val="single" w:color="000000" w:sz="8"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宋体" w:hAnsi="宋体" w:eastAsia="宋体" w:cs="宋体"/>
                <w:i w:val="0"/>
                <w:color w:val="000000"/>
                <w:sz w:val="20"/>
                <w:szCs w:val="20"/>
                <w:u w:val="none"/>
              </w:rPr>
            </w:pPr>
          </w:p>
        </w:tc>
      </w:tr>
      <w:tr>
        <w:tblPrEx>
          <w:tblCellMar>
            <w:top w:w="0" w:type="dxa"/>
            <w:left w:w="0" w:type="dxa"/>
            <w:bottom w:w="0" w:type="dxa"/>
            <w:right w:w="0" w:type="dxa"/>
          </w:tblCellMar>
        </w:tblPrEx>
        <w:trPr>
          <w:trHeight w:val="2100" w:hRule="atLeast"/>
          <w:jc w:val="center"/>
        </w:trPr>
        <w:tc>
          <w:tcPr>
            <w:tcW w:w="909"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80</w:t>
            </w:r>
          </w:p>
        </w:tc>
        <w:tc>
          <w:tcPr>
            <w:tcW w:w="157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BB005</w:t>
            </w:r>
          </w:p>
        </w:tc>
        <w:tc>
          <w:tcPr>
            <w:tcW w:w="5325"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窗帘</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1.窗帘轨材质、规格:铝合金暗藏单层轨道</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2.窗帘材质:窗帘（CU-02）</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3.窗帘尺寸:高2.1m</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1.制作、运输</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2.安装</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w:t>
            </w:r>
          </w:p>
        </w:tc>
        <w:tc>
          <w:tcPr>
            <w:tcW w:w="990"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10.5</w:t>
            </w:r>
          </w:p>
        </w:tc>
      </w:tr>
      <w:tr>
        <w:tblPrEx>
          <w:tblCellMar>
            <w:top w:w="0" w:type="dxa"/>
            <w:left w:w="0" w:type="dxa"/>
            <w:bottom w:w="0" w:type="dxa"/>
            <w:right w:w="0" w:type="dxa"/>
          </w:tblCellMar>
        </w:tblPrEx>
        <w:trPr>
          <w:trHeight w:val="345" w:hRule="atLeast"/>
          <w:jc w:val="center"/>
        </w:trPr>
        <w:tc>
          <w:tcPr>
            <w:tcW w:w="909"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rPr>
                <w:rFonts w:hint="eastAsia" w:ascii="宋体" w:hAnsi="宋体" w:eastAsia="宋体" w:cs="宋体"/>
                <w:i w:val="0"/>
                <w:color w:val="000000"/>
                <w:sz w:val="20"/>
                <w:szCs w:val="20"/>
                <w:u w:val="none"/>
              </w:rPr>
            </w:pPr>
          </w:p>
        </w:tc>
        <w:tc>
          <w:tcPr>
            <w:tcW w:w="157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rPr>
                <w:rFonts w:hint="eastAsia" w:ascii="宋体" w:hAnsi="宋体" w:eastAsia="宋体" w:cs="宋体"/>
                <w:i w:val="0"/>
                <w:color w:val="000000"/>
                <w:sz w:val="20"/>
                <w:szCs w:val="20"/>
                <w:u w:val="none"/>
              </w:rPr>
            </w:pPr>
          </w:p>
        </w:tc>
        <w:tc>
          <w:tcPr>
            <w:tcW w:w="5325"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负一层茶水室、舞台控制室、储物室</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宋体" w:hAnsi="宋体" w:eastAsia="宋体" w:cs="宋体"/>
                <w:i w:val="0"/>
                <w:color w:val="000000"/>
                <w:sz w:val="20"/>
                <w:szCs w:val="20"/>
                <w:u w:val="none"/>
              </w:rPr>
            </w:pPr>
          </w:p>
        </w:tc>
        <w:tc>
          <w:tcPr>
            <w:tcW w:w="990"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宋体" w:hAnsi="宋体" w:eastAsia="宋体" w:cs="宋体"/>
                <w:i w:val="0"/>
                <w:color w:val="000000"/>
                <w:sz w:val="20"/>
                <w:szCs w:val="20"/>
                <w:u w:val="none"/>
              </w:rPr>
            </w:pPr>
          </w:p>
        </w:tc>
      </w:tr>
      <w:tr>
        <w:tblPrEx>
          <w:tblCellMar>
            <w:top w:w="0" w:type="dxa"/>
            <w:left w:w="0" w:type="dxa"/>
            <w:bottom w:w="0" w:type="dxa"/>
            <w:right w:w="0" w:type="dxa"/>
          </w:tblCellMar>
        </w:tblPrEx>
        <w:trPr>
          <w:trHeight w:val="345" w:hRule="atLeast"/>
          <w:jc w:val="center"/>
        </w:trPr>
        <w:tc>
          <w:tcPr>
            <w:tcW w:w="909"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rPr>
                <w:rFonts w:hint="eastAsia" w:ascii="宋体" w:hAnsi="宋体" w:eastAsia="宋体" w:cs="宋体"/>
                <w:i w:val="0"/>
                <w:color w:val="000000"/>
                <w:sz w:val="20"/>
                <w:szCs w:val="20"/>
                <w:u w:val="none"/>
              </w:rPr>
            </w:pPr>
          </w:p>
        </w:tc>
        <w:tc>
          <w:tcPr>
            <w:tcW w:w="157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B.1</w:t>
            </w:r>
          </w:p>
        </w:tc>
        <w:tc>
          <w:tcPr>
            <w:tcW w:w="5325"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B.1  楼地面工程</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宋体" w:hAnsi="宋体" w:eastAsia="宋体" w:cs="宋体"/>
                <w:i w:val="0"/>
                <w:color w:val="000000"/>
                <w:sz w:val="20"/>
                <w:szCs w:val="20"/>
                <w:u w:val="none"/>
              </w:rPr>
            </w:pPr>
          </w:p>
        </w:tc>
        <w:tc>
          <w:tcPr>
            <w:tcW w:w="990"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宋体" w:hAnsi="宋体" w:eastAsia="宋体" w:cs="宋体"/>
                <w:i w:val="0"/>
                <w:color w:val="000000"/>
                <w:sz w:val="20"/>
                <w:szCs w:val="20"/>
                <w:u w:val="none"/>
              </w:rPr>
            </w:pPr>
          </w:p>
        </w:tc>
      </w:tr>
      <w:tr>
        <w:tblPrEx>
          <w:tblCellMar>
            <w:top w:w="0" w:type="dxa"/>
            <w:left w:w="0" w:type="dxa"/>
            <w:bottom w:w="0" w:type="dxa"/>
            <w:right w:w="0" w:type="dxa"/>
          </w:tblCellMar>
        </w:tblPrEx>
        <w:trPr>
          <w:trHeight w:val="2100" w:hRule="atLeast"/>
          <w:jc w:val="center"/>
        </w:trPr>
        <w:tc>
          <w:tcPr>
            <w:tcW w:w="909"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81</w:t>
            </w:r>
          </w:p>
        </w:tc>
        <w:tc>
          <w:tcPr>
            <w:tcW w:w="157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020101001003</w:t>
            </w:r>
          </w:p>
        </w:tc>
        <w:tc>
          <w:tcPr>
            <w:tcW w:w="5325"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水泥自流平地面</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1.做法:22/DT-03</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2.面层厚度、砂浆配合比:20厚水泥砂浆1:2.5</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1.基层清理</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2.抹面层</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3.材料运输</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m2</w:t>
            </w:r>
          </w:p>
        </w:tc>
        <w:tc>
          <w:tcPr>
            <w:tcW w:w="990"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14.7</w:t>
            </w:r>
          </w:p>
        </w:tc>
      </w:tr>
      <w:tr>
        <w:tblPrEx>
          <w:tblCellMar>
            <w:top w:w="0" w:type="dxa"/>
            <w:left w:w="0" w:type="dxa"/>
            <w:bottom w:w="0" w:type="dxa"/>
            <w:right w:w="0" w:type="dxa"/>
          </w:tblCellMar>
        </w:tblPrEx>
        <w:trPr>
          <w:trHeight w:val="2610" w:hRule="atLeast"/>
          <w:jc w:val="center"/>
        </w:trPr>
        <w:tc>
          <w:tcPr>
            <w:tcW w:w="909"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82</w:t>
            </w:r>
          </w:p>
        </w:tc>
        <w:tc>
          <w:tcPr>
            <w:tcW w:w="157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020103001003</w:t>
            </w:r>
          </w:p>
        </w:tc>
        <w:tc>
          <w:tcPr>
            <w:tcW w:w="5325"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橡胶板楼地面</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1.做法:22/DT-03</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2.粘结层厚度、材料种类:专用胶粘贴</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3.面层材料品种、规格、品牌、颜色:3mm灰色塑胶地板（PL-01）</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1.基层清理</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2.面层铺贴</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3.材料运输</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m2</w:t>
            </w:r>
          </w:p>
        </w:tc>
        <w:tc>
          <w:tcPr>
            <w:tcW w:w="990"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7.07</w:t>
            </w:r>
          </w:p>
        </w:tc>
      </w:tr>
      <w:tr>
        <w:tblPrEx>
          <w:tblCellMar>
            <w:top w:w="0" w:type="dxa"/>
            <w:left w:w="0" w:type="dxa"/>
            <w:bottom w:w="0" w:type="dxa"/>
            <w:right w:w="0" w:type="dxa"/>
          </w:tblCellMar>
        </w:tblPrEx>
        <w:trPr>
          <w:trHeight w:val="2610" w:hRule="atLeast"/>
          <w:jc w:val="center"/>
        </w:trPr>
        <w:tc>
          <w:tcPr>
            <w:tcW w:w="909"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83</w:t>
            </w:r>
          </w:p>
        </w:tc>
        <w:tc>
          <w:tcPr>
            <w:tcW w:w="157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020103001004</w:t>
            </w:r>
          </w:p>
        </w:tc>
        <w:tc>
          <w:tcPr>
            <w:tcW w:w="5325"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橡胶板楼地面</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1.做法:22/DT-03</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2.粘结层厚度、材料种类:专用胶粘贴</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3.面层材料品种、规格、品牌、颜色:3mm灰色防静电塑胶地板</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1.基层清理</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2.面层铺贴</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3.材料运输</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m2</w:t>
            </w:r>
          </w:p>
        </w:tc>
        <w:tc>
          <w:tcPr>
            <w:tcW w:w="990"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7.63</w:t>
            </w:r>
          </w:p>
        </w:tc>
      </w:tr>
      <w:tr>
        <w:tblPrEx>
          <w:tblCellMar>
            <w:top w:w="0" w:type="dxa"/>
            <w:left w:w="0" w:type="dxa"/>
            <w:bottom w:w="0" w:type="dxa"/>
            <w:right w:w="0" w:type="dxa"/>
          </w:tblCellMar>
        </w:tblPrEx>
        <w:trPr>
          <w:trHeight w:val="90" w:hRule="atLeast"/>
          <w:jc w:val="center"/>
        </w:trPr>
        <w:tc>
          <w:tcPr>
            <w:tcW w:w="909" w:type="dxa"/>
            <w:tcBorders>
              <w:top w:val="single" w:color="000000" w:sz="4" w:space="0"/>
              <w:left w:val="single" w:color="000000" w:sz="8"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84</w:t>
            </w:r>
          </w:p>
        </w:tc>
        <w:tc>
          <w:tcPr>
            <w:tcW w:w="1579" w:type="dxa"/>
            <w:tcBorders>
              <w:top w:val="single" w:color="000000" w:sz="4" w:space="0"/>
              <w:left w:val="single" w:color="000000" w:sz="4"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020105006005</w:t>
            </w:r>
          </w:p>
        </w:tc>
        <w:tc>
          <w:tcPr>
            <w:tcW w:w="5325" w:type="dxa"/>
            <w:gridSpan w:val="3"/>
            <w:tcBorders>
              <w:top w:val="single" w:color="000000" w:sz="4" w:space="0"/>
              <w:left w:val="single" w:color="000000" w:sz="4"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木质踢脚线</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1.做法:23/DT-03</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2.踢脚线高度:80mm</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3.面层材料品种、规格、品牌、颜色:80MM成品白色木质踢脚线(WD-03)</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1.基层清理</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2.底层抹灰</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3.面层铺贴</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4.材料运输</w:t>
            </w:r>
          </w:p>
        </w:tc>
        <w:tc>
          <w:tcPr>
            <w:tcW w:w="975" w:type="dxa"/>
            <w:tcBorders>
              <w:top w:val="single" w:color="000000" w:sz="4" w:space="0"/>
              <w:left w:val="single" w:color="000000" w:sz="4"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m2</w:t>
            </w:r>
          </w:p>
        </w:tc>
        <w:tc>
          <w:tcPr>
            <w:tcW w:w="990" w:type="dxa"/>
            <w:tcBorders>
              <w:top w:val="single" w:color="000000" w:sz="4" w:space="0"/>
              <w:left w:val="single" w:color="000000" w:sz="4" w:space="0"/>
              <w:bottom w:val="single" w:color="000000" w:sz="8"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8.89</w:t>
            </w:r>
          </w:p>
        </w:tc>
      </w:tr>
      <w:tr>
        <w:tblPrEx>
          <w:tblCellMar>
            <w:top w:w="0" w:type="dxa"/>
            <w:left w:w="0" w:type="dxa"/>
            <w:bottom w:w="0" w:type="dxa"/>
            <w:right w:w="0" w:type="dxa"/>
          </w:tblCellMar>
        </w:tblPrEx>
        <w:trPr>
          <w:trHeight w:val="345" w:hRule="atLeast"/>
          <w:jc w:val="center"/>
        </w:trPr>
        <w:tc>
          <w:tcPr>
            <w:tcW w:w="909"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rPr>
                <w:rFonts w:hint="eastAsia" w:ascii="宋体" w:hAnsi="宋体" w:eastAsia="宋体" w:cs="宋体"/>
                <w:i w:val="0"/>
                <w:color w:val="000000"/>
                <w:sz w:val="20"/>
                <w:szCs w:val="20"/>
                <w:u w:val="none"/>
              </w:rPr>
            </w:pPr>
          </w:p>
        </w:tc>
        <w:tc>
          <w:tcPr>
            <w:tcW w:w="157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B.3</w:t>
            </w:r>
          </w:p>
        </w:tc>
        <w:tc>
          <w:tcPr>
            <w:tcW w:w="5325"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B.3  天棚工程</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宋体" w:hAnsi="宋体" w:eastAsia="宋体" w:cs="宋体"/>
                <w:i w:val="0"/>
                <w:color w:val="000000"/>
                <w:sz w:val="20"/>
                <w:szCs w:val="20"/>
                <w:u w:val="none"/>
              </w:rPr>
            </w:pPr>
          </w:p>
        </w:tc>
        <w:tc>
          <w:tcPr>
            <w:tcW w:w="990"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宋体" w:hAnsi="宋体" w:eastAsia="宋体" w:cs="宋体"/>
                <w:i w:val="0"/>
                <w:color w:val="000000"/>
                <w:sz w:val="20"/>
                <w:szCs w:val="20"/>
                <w:u w:val="none"/>
              </w:rPr>
            </w:pPr>
          </w:p>
        </w:tc>
      </w:tr>
      <w:tr>
        <w:tblPrEx>
          <w:tblCellMar>
            <w:top w:w="0" w:type="dxa"/>
            <w:left w:w="0" w:type="dxa"/>
            <w:bottom w:w="0" w:type="dxa"/>
            <w:right w:w="0" w:type="dxa"/>
          </w:tblCellMar>
        </w:tblPrEx>
        <w:trPr>
          <w:trHeight w:val="3630" w:hRule="atLeast"/>
          <w:jc w:val="center"/>
        </w:trPr>
        <w:tc>
          <w:tcPr>
            <w:tcW w:w="909"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85</w:t>
            </w:r>
          </w:p>
        </w:tc>
        <w:tc>
          <w:tcPr>
            <w:tcW w:w="157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020302001006</w:t>
            </w:r>
          </w:p>
        </w:tc>
        <w:tc>
          <w:tcPr>
            <w:tcW w:w="5325"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天棚吊顶</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1.做法:节点1/-1F-EL-07</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2.吊顶形式:不上人</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3.龙骨类型、材料种类、规格、中距:轻钢龙骨</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4.基层材料种类、规格:9.5MM纸面石膏板</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5.面层材料品种、规格、品牌、颜色:9.5MM纸面石膏板</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1.基层清理</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2.龙骨安装</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3.基层板铺贴</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4.面层铺贴</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m2</w:t>
            </w:r>
          </w:p>
        </w:tc>
        <w:tc>
          <w:tcPr>
            <w:tcW w:w="990"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14.7</w:t>
            </w:r>
          </w:p>
        </w:tc>
      </w:tr>
      <w:tr>
        <w:tblPrEx>
          <w:tblCellMar>
            <w:top w:w="0" w:type="dxa"/>
            <w:left w:w="0" w:type="dxa"/>
            <w:bottom w:w="0" w:type="dxa"/>
            <w:right w:w="0" w:type="dxa"/>
          </w:tblCellMar>
        </w:tblPrEx>
        <w:trPr>
          <w:trHeight w:val="345" w:hRule="atLeast"/>
          <w:jc w:val="center"/>
        </w:trPr>
        <w:tc>
          <w:tcPr>
            <w:tcW w:w="909"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rPr>
                <w:rFonts w:hint="eastAsia" w:ascii="宋体" w:hAnsi="宋体" w:eastAsia="宋体" w:cs="宋体"/>
                <w:i w:val="0"/>
                <w:color w:val="000000"/>
                <w:sz w:val="20"/>
                <w:szCs w:val="20"/>
                <w:u w:val="none"/>
              </w:rPr>
            </w:pPr>
          </w:p>
        </w:tc>
        <w:tc>
          <w:tcPr>
            <w:tcW w:w="157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B.4</w:t>
            </w:r>
          </w:p>
        </w:tc>
        <w:tc>
          <w:tcPr>
            <w:tcW w:w="5325"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B.4  门窗工程</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宋体" w:hAnsi="宋体" w:eastAsia="宋体" w:cs="宋体"/>
                <w:i w:val="0"/>
                <w:color w:val="000000"/>
                <w:sz w:val="20"/>
                <w:szCs w:val="20"/>
                <w:u w:val="none"/>
              </w:rPr>
            </w:pPr>
          </w:p>
        </w:tc>
        <w:tc>
          <w:tcPr>
            <w:tcW w:w="990"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宋体" w:hAnsi="宋体" w:eastAsia="宋体" w:cs="宋体"/>
                <w:i w:val="0"/>
                <w:color w:val="000000"/>
                <w:sz w:val="20"/>
                <w:szCs w:val="20"/>
                <w:u w:val="none"/>
              </w:rPr>
            </w:pPr>
          </w:p>
        </w:tc>
      </w:tr>
      <w:tr>
        <w:tblPrEx>
          <w:tblCellMar>
            <w:top w:w="0" w:type="dxa"/>
            <w:left w:w="0" w:type="dxa"/>
            <w:bottom w:w="0" w:type="dxa"/>
            <w:right w:w="0" w:type="dxa"/>
          </w:tblCellMar>
        </w:tblPrEx>
        <w:trPr>
          <w:trHeight w:val="2610" w:hRule="atLeast"/>
          <w:jc w:val="center"/>
        </w:trPr>
        <w:tc>
          <w:tcPr>
            <w:tcW w:w="909"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86</w:t>
            </w:r>
          </w:p>
        </w:tc>
        <w:tc>
          <w:tcPr>
            <w:tcW w:w="157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020401003007</w:t>
            </w:r>
          </w:p>
        </w:tc>
        <w:tc>
          <w:tcPr>
            <w:tcW w:w="5325"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实木装饰门</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1.做法:DR-03</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2.框截面尺寸、单扇面积:900*2580mm</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3.面层材料品种、规格、品牌、颜色:成品白色木门（WD-03）</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4.五金材料、品种、规格:拉手、门吸、合页</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1.门制作、运输、安装</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2.五金安装</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樘</w:t>
            </w:r>
          </w:p>
        </w:tc>
        <w:tc>
          <w:tcPr>
            <w:tcW w:w="990"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w:t>
            </w:r>
          </w:p>
        </w:tc>
      </w:tr>
      <w:tr>
        <w:tblPrEx>
          <w:tblCellMar>
            <w:top w:w="0" w:type="dxa"/>
            <w:left w:w="0" w:type="dxa"/>
            <w:bottom w:w="0" w:type="dxa"/>
            <w:right w:w="0" w:type="dxa"/>
          </w:tblCellMar>
        </w:tblPrEx>
        <w:trPr>
          <w:trHeight w:val="2865" w:hRule="atLeast"/>
          <w:jc w:val="center"/>
        </w:trPr>
        <w:tc>
          <w:tcPr>
            <w:tcW w:w="909"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87</w:t>
            </w:r>
          </w:p>
        </w:tc>
        <w:tc>
          <w:tcPr>
            <w:tcW w:w="157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020407001005</w:t>
            </w:r>
          </w:p>
        </w:tc>
        <w:tc>
          <w:tcPr>
            <w:tcW w:w="5325"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木门套</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1.基层材料种类:15MM阻燃板基层</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2.面层材料品种、规格、品牌、颜色:40MM白色木饰面(WD-03)</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1.清理基层</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2.立筋制作、安装</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3.基层板安装</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4.面层铺贴</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5.刷防护材料、油漆</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m2</w:t>
            </w:r>
          </w:p>
        </w:tc>
        <w:tc>
          <w:tcPr>
            <w:tcW w:w="990"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3.87</w:t>
            </w:r>
          </w:p>
        </w:tc>
      </w:tr>
      <w:tr>
        <w:tblPrEx>
          <w:tblCellMar>
            <w:top w:w="0" w:type="dxa"/>
            <w:left w:w="0" w:type="dxa"/>
            <w:bottom w:w="0" w:type="dxa"/>
            <w:right w:w="0" w:type="dxa"/>
          </w:tblCellMar>
        </w:tblPrEx>
        <w:trPr>
          <w:trHeight w:val="345" w:hRule="atLeast"/>
          <w:jc w:val="center"/>
        </w:trPr>
        <w:tc>
          <w:tcPr>
            <w:tcW w:w="909"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rPr>
                <w:rFonts w:hint="eastAsia" w:ascii="宋体" w:hAnsi="宋体" w:eastAsia="宋体" w:cs="宋体"/>
                <w:i w:val="0"/>
                <w:color w:val="000000"/>
                <w:sz w:val="20"/>
                <w:szCs w:val="20"/>
                <w:u w:val="none"/>
              </w:rPr>
            </w:pPr>
          </w:p>
        </w:tc>
        <w:tc>
          <w:tcPr>
            <w:tcW w:w="157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B.5</w:t>
            </w:r>
          </w:p>
        </w:tc>
        <w:tc>
          <w:tcPr>
            <w:tcW w:w="5325"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B.5  油漆、涂料、裱糊工程</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宋体" w:hAnsi="宋体" w:eastAsia="宋体" w:cs="宋体"/>
                <w:i w:val="0"/>
                <w:color w:val="000000"/>
                <w:sz w:val="20"/>
                <w:szCs w:val="20"/>
                <w:u w:val="none"/>
              </w:rPr>
            </w:pPr>
          </w:p>
        </w:tc>
        <w:tc>
          <w:tcPr>
            <w:tcW w:w="990"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宋体" w:hAnsi="宋体" w:eastAsia="宋体" w:cs="宋体"/>
                <w:i w:val="0"/>
                <w:color w:val="000000"/>
                <w:sz w:val="20"/>
                <w:szCs w:val="20"/>
                <w:u w:val="none"/>
              </w:rPr>
            </w:pPr>
          </w:p>
        </w:tc>
      </w:tr>
      <w:tr>
        <w:tblPrEx>
          <w:tblCellMar>
            <w:top w:w="0" w:type="dxa"/>
            <w:left w:w="0" w:type="dxa"/>
            <w:bottom w:w="0" w:type="dxa"/>
            <w:right w:w="0" w:type="dxa"/>
          </w:tblCellMar>
        </w:tblPrEx>
        <w:trPr>
          <w:trHeight w:val="1845" w:hRule="atLeast"/>
          <w:jc w:val="center"/>
        </w:trPr>
        <w:tc>
          <w:tcPr>
            <w:tcW w:w="909"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88</w:t>
            </w:r>
          </w:p>
        </w:tc>
        <w:tc>
          <w:tcPr>
            <w:tcW w:w="157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020506001014</w:t>
            </w:r>
          </w:p>
        </w:tc>
        <w:tc>
          <w:tcPr>
            <w:tcW w:w="5325"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抹灰面油漆（天棚）</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1.油漆品种、刷漆遍数:白色乳胶漆（PT-01）</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1.基层清理</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2.刮腻子</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3.刷防护材料、油漆</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m2</w:t>
            </w:r>
          </w:p>
        </w:tc>
        <w:tc>
          <w:tcPr>
            <w:tcW w:w="990"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305.51</w:t>
            </w:r>
          </w:p>
        </w:tc>
      </w:tr>
      <w:tr>
        <w:tblPrEx>
          <w:tblCellMar>
            <w:top w:w="0" w:type="dxa"/>
            <w:left w:w="0" w:type="dxa"/>
            <w:bottom w:w="0" w:type="dxa"/>
            <w:right w:w="0" w:type="dxa"/>
          </w:tblCellMar>
        </w:tblPrEx>
        <w:trPr>
          <w:trHeight w:val="990" w:hRule="atLeast"/>
          <w:jc w:val="center"/>
        </w:trPr>
        <w:tc>
          <w:tcPr>
            <w:tcW w:w="909" w:type="dxa"/>
            <w:tcBorders>
              <w:top w:val="single" w:color="000000" w:sz="4" w:space="0"/>
              <w:left w:val="single" w:color="000000" w:sz="8"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89</w:t>
            </w:r>
          </w:p>
        </w:tc>
        <w:tc>
          <w:tcPr>
            <w:tcW w:w="1579" w:type="dxa"/>
            <w:tcBorders>
              <w:top w:val="single" w:color="000000" w:sz="4" w:space="0"/>
              <w:left w:val="single" w:color="000000" w:sz="4"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020506001015</w:t>
            </w:r>
          </w:p>
        </w:tc>
        <w:tc>
          <w:tcPr>
            <w:tcW w:w="5325" w:type="dxa"/>
            <w:gridSpan w:val="3"/>
            <w:tcBorders>
              <w:top w:val="single" w:color="000000" w:sz="4" w:space="0"/>
              <w:left w:val="single" w:color="000000" w:sz="4"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抹灰面油漆（墙面）</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1.油漆品种、刷漆遍数:白色乳胶漆（PT-01）</w:t>
            </w:r>
          </w:p>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1.基层清理</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2.刮腻子</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3.刷防护材料、油漆</w:t>
            </w:r>
          </w:p>
        </w:tc>
        <w:tc>
          <w:tcPr>
            <w:tcW w:w="975" w:type="dxa"/>
            <w:tcBorders>
              <w:top w:val="single" w:color="000000" w:sz="4" w:space="0"/>
              <w:left w:val="single" w:color="000000" w:sz="4"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m2</w:t>
            </w:r>
          </w:p>
        </w:tc>
        <w:tc>
          <w:tcPr>
            <w:tcW w:w="990" w:type="dxa"/>
            <w:tcBorders>
              <w:top w:val="single" w:color="000000" w:sz="4" w:space="0"/>
              <w:left w:val="single" w:color="000000" w:sz="4" w:space="0"/>
              <w:bottom w:val="single" w:color="000000" w:sz="8"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220.42</w:t>
            </w:r>
          </w:p>
        </w:tc>
      </w:tr>
      <w:tr>
        <w:tblPrEx>
          <w:tblCellMar>
            <w:top w:w="0" w:type="dxa"/>
            <w:left w:w="0" w:type="dxa"/>
            <w:bottom w:w="0" w:type="dxa"/>
            <w:right w:w="0" w:type="dxa"/>
          </w:tblCellMar>
        </w:tblPrEx>
        <w:trPr>
          <w:trHeight w:val="345" w:hRule="atLeast"/>
          <w:jc w:val="center"/>
        </w:trPr>
        <w:tc>
          <w:tcPr>
            <w:tcW w:w="909"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rPr>
                <w:rFonts w:hint="eastAsia" w:ascii="宋体" w:hAnsi="宋体" w:eastAsia="宋体" w:cs="宋体"/>
                <w:i w:val="0"/>
                <w:color w:val="000000"/>
                <w:sz w:val="20"/>
                <w:szCs w:val="20"/>
                <w:u w:val="none"/>
              </w:rPr>
            </w:pPr>
          </w:p>
        </w:tc>
        <w:tc>
          <w:tcPr>
            <w:tcW w:w="157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B.6</w:t>
            </w:r>
          </w:p>
        </w:tc>
        <w:tc>
          <w:tcPr>
            <w:tcW w:w="5325"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B.6  其 他 工 程</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宋体" w:hAnsi="宋体" w:eastAsia="宋体" w:cs="宋体"/>
                <w:i w:val="0"/>
                <w:color w:val="000000"/>
                <w:sz w:val="20"/>
                <w:szCs w:val="20"/>
                <w:u w:val="none"/>
              </w:rPr>
            </w:pPr>
          </w:p>
        </w:tc>
        <w:tc>
          <w:tcPr>
            <w:tcW w:w="990"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宋体" w:hAnsi="宋体" w:eastAsia="宋体" w:cs="宋体"/>
                <w:i w:val="0"/>
                <w:color w:val="000000"/>
                <w:sz w:val="20"/>
                <w:szCs w:val="20"/>
                <w:u w:val="none"/>
              </w:rPr>
            </w:pPr>
          </w:p>
        </w:tc>
      </w:tr>
      <w:tr>
        <w:tblPrEx>
          <w:tblCellMar>
            <w:top w:w="0" w:type="dxa"/>
            <w:left w:w="0" w:type="dxa"/>
            <w:bottom w:w="0" w:type="dxa"/>
            <w:right w:w="0" w:type="dxa"/>
          </w:tblCellMar>
        </w:tblPrEx>
        <w:trPr>
          <w:trHeight w:val="2610" w:hRule="atLeast"/>
          <w:jc w:val="center"/>
        </w:trPr>
        <w:tc>
          <w:tcPr>
            <w:tcW w:w="909"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90</w:t>
            </w:r>
          </w:p>
        </w:tc>
        <w:tc>
          <w:tcPr>
            <w:tcW w:w="157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020601009004</w:t>
            </w:r>
          </w:p>
        </w:tc>
        <w:tc>
          <w:tcPr>
            <w:tcW w:w="5325"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低柜</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1.做法:12/1F-EL-06</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2.台柜规格:1680*800*690</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3.台面材料:大理石台面（ST-01）</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4.材料种类、规格:柜体白色木饰面(WD-09)</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5.五金种类、规格:合页、拉手</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1.台柜制作</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2.运输、安装（安放）</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个</w:t>
            </w:r>
          </w:p>
        </w:tc>
        <w:tc>
          <w:tcPr>
            <w:tcW w:w="990"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r>
      <w:tr>
        <w:tblPrEx>
          <w:tblCellMar>
            <w:top w:w="0" w:type="dxa"/>
            <w:left w:w="0" w:type="dxa"/>
            <w:bottom w:w="0" w:type="dxa"/>
            <w:right w:w="0" w:type="dxa"/>
          </w:tblCellMar>
        </w:tblPrEx>
        <w:trPr>
          <w:trHeight w:val="2355" w:hRule="atLeast"/>
          <w:jc w:val="center"/>
        </w:trPr>
        <w:tc>
          <w:tcPr>
            <w:tcW w:w="909"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91</w:t>
            </w:r>
          </w:p>
        </w:tc>
        <w:tc>
          <w:tcPr>
            <w:tcW w:w="157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020601010003</w:t>
            </w:r>
          </w:p>
        </w:tc>
        <w:tc>
          <w:tcPr>
            <w:tcW w:w="5325"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吊柜</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1.做法:12/1F-EL-06</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2.台柜规格:1680*1070*370</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3.材料种类、规格:白色木饰面(WD-09)</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4.五金种类、规格:合页、拉手</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1.台柜制作</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2.运输、安装（安放）</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个</w:t>
            </w:r>
          </w:p>
        </w:tc>
        <w:tc>
          <w:tcPr>
            <w:tcW w:w="990"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r>
      <w:tr>
        <w:tblPrEx>
          <w:tblCellMar>
            <w:top w:w="0" w:type="dxa"/>
            <w:left w:w="0" w:type="dxa"/>
            <w:bottom w:w="0" w:type="dxa"/>
            <w:right w:w="0" w:type="dxa"/>
          </w:tblCellMar>
        </w:tblPrEx>
        <w:trPr>
          <w:trHeight w:val="2355" w:hRule="atLeast"/>
          <w:jc w:val="center"/>
        </w:trPr>
        <w:tc>
          <w:tcPr>
            <w:tcW w:w="909"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92</w:t>
            </w:r>
          </w:p>
        </w:tc>
        <w:tc>
          <w:tcPr>
            <w:tcW w:w="157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020603009002</w:t>
            </w:r>
          </w:p>
        </w:tc>
        <w:tc>
          <w:tcPr>
            <w:tcW w:w="5325"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镜子</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1.做法:9/-1F-EL-13</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2.镜面玻璃品种、规格:镜子（MR-01）</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3.框材质、断面尺寸:20mm不锈钢包边（MT-04）</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1.基层安装</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2.玻璃及框制作、运输、安装</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m2</w:t>
            </w:r>
          </w:p>
        </w:tc>
        <w:tc>
          <w:tcPr>
            <w:tcW w:w="990"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1.01</w:t>
            </w:r>
          </w:p>
        </w:tc>
      </w:tr>
      <w:tr>
        <w:tblPrEx>
          <w:tblCellMar>
            <w:top w:w="0" w:type="dxa"/>
            <w:left w:w="0" w:type="dxa"/>
            <w:bottom w:w="0" w:type="dxa"/>
            <w:right w:w="0" w:type="dxa"/>
          </w:tblCellMar>
        </w:tblPrEx>
        <w:trPr>
          <w:trHeight w:val="345" w:hRule="atLeast"/>
          <w:jc w:val="center"/>
        </w:trPr>
        <w:tc>
          <w:tcPr>
            <w:tcW w:w="909"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rPr>
                <w:rFonts w:hint="eastAsia" w:ascii="宋体" w:hAnsi="宋体" w:eastAsia="宋体" w:cs="宋体"/>
                <w:i w:val="0"/>
                <w:color w:val="000000"/>
                <w:sz w:val="20"/>
                <w:szCs w:val="20"/>
                <w:u w:val="none"/>
              </w:rPr>
            </w:pPr>
          </w:p>
        </w:tc>
        <w:tc>
          <w:tcPr>
            <w:tcW w:w="157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rPr>
                <w:rFonts w:hint="eastAsia" w:ascii="宋体" w:hAnsi="宋体" w:eastAsia="宋体" w:cs="宋体"/>
                <w:i w:val="0"/>
                <w:color w:val="000000"/>
                <w:sz w:val="20"/>
                <w:szCs w:val="20"/>
                <w:u w:val="none"/>
              </w:rPr>
            </w:pPr>
          </w:p>
        </w:tc>
        <w:tc>
          <w:tcPr>
            <w:tcW w:w="5325"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一层多功能会议室</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宋体" w:hAnsi="宋体" w:eastAsia="宋体" w:cs="宋体"/>
                <w:i w:val="0"/>
                <w:color w:val="000000"/>
                <w:sz w:val="20"/>
                <w:szCs w:val="20"/>
                <w:u w:val="none"/>
              </w:rPr>
            </w:pPr>
          </w:p>
        </w:tc>
        <w:tc>
          <w:tcPr>
            <w:tcW w:w="990"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宋体" w:hAnsi="宋体" w:eastAsia="宋体" w:cs="宋体"/>
                <w:i w:val="0"/>
                <w:color w:val="000000"/>
                <w:sz w:val="20"/>
                <w:szCs w:val="20"/>
                <w:u w:val="none"/>
              </w:rPr>
            </w:pPr>
          </w:p>
        </w:tc>
      </w:tr>
      <w:tr>
        <w:tblPrEx>
          <w:tblCellMar>
            <w:top w:w="0" w:type="dxa"/>
            <w:left w:w="0" w:type="dxa"/>
            <w:bottom w:w="0" w:type="dxa"/>
            <w:right w:w="0" w:type="dxa"/>
          </w:tblCellMar>
        </w:tblPrEx>
        <w:trPr>
          <w:trHeight w:val="345" w:hRule="atLeast"/>
          <w:jc w:val="center"/>
        </w:trPr>
        <w:tc>
          <w:tcPr>
            <w:tcW w:w="909"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rPr>
                <w:rFonts w:hint="eastAsia" w:ascii="宋体" w:hAnsi="宋体" w:eastAsia="宋体" w:cs="宋体"/>
                <w:i w:val="0"/>
                <w:color w:val="000000"/>
                <w:sz w:val="20"/>
                <w:szCs w:val="20"/>
                <w:u w:val="none"/>
              </w:rPr>
            </w:pPr>
          </w:p>
        </w:tc>
        <w:tc>
          <w:tcPr>
            <w:tcW w:w="157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B.1</w:t>
            </w:r>
          </w:p>
        </w:tc>
        <w:tc>
          <w:tcPr>
            <w:tcW w:w="5325"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B.1  楼地面工程</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宋体" w:hAnsi="宋体" w:eastAsia="宋体" w:cs="宋体"/>
                <w:i w:val="0"/>
                <w:color w:val="000000"/>
                <w:sz w:val="20"/>
                <w:szCs w:val="20"/>
                <w:u w:val="none"/>
              </w:rPr>
            </w:pPr>
          </w:p>
        </w:tc>
        <w:tc>
          <w:tcPr>
            <w:tcW w:w="990"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宋体" w:hAnsi="宋体" w:eastAsia="宋体" w:cs="宋体"/>
                <w:i w:val="0"/>
                <w:color w:val="000000"/>
                <w:sz w:val="20"/>
                <w:szCs w:val="20"/>
                <w:u w:val="none"/>
              </w:rPr>
            </w:pPr>
          </w:p>
        </w:tc>
      </w:tr>
      <w:tr>
        <w:tblPrEx>
          <w:tblCellMar>
            <w:top w:w="0" w:type="dxa"/>
            <w:left w:w="0" w:type="dxa"/>
            <w:bottom w:w="0" w:type="dxa"/>
            <w:right w:w="0" w:type="dxa"/>
          </w:tblCellMar>
        </w:tblPrEx>
        <w:trPr>
          <w:trHeight w:val="262" w:hRule="atLeast"/>
          <w:jc w:val="center"/>
        </w:trPr>
        <w:tc>
          <w:tcPr>
            <w:tcW w:w="909" w:type="dxa"/>
            <w:tcBorders>
              <w:top w:val="single" w:color="000000" w:sz="4" w:space="0"/>
              <w:left w:val="single" w:color="000000" w:sz="8"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93</w:t>
            </w:r>
          </w:p>
        </w:tc>
        <w:tc>
          <w:tcPr>
            <w:tcW w:w="1579" w:type="dxa"/>
            <w:tcBorders>
              <w:top w:val="single" w:color="000000" w:sz="4" w:space="0"/>
              <w:left w:val="single" w:color="000000" w:sz="4"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020104002002</w:t>
            </w:r>
          </w:p>
        </w:tc>
        <w:tc>
          <w:tcPr>
            <w:tcW w:w="5325" w:type="dxa"/>
            <w:gridSpan w:val="3"/>
            <w:tcBorders>
              <w:top w:val="single" w:color="000000" w:sz="4" w:space="0"/>
              <w:left w:val="single" w:color="000000" w:sz="4"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竹木地板</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1.做法:33/DT-05</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2.龙骨材料种类、规格、铺设间距:30*40木龙骨(防火三遍防腐处理)</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3.基层材料种类、规格:18MM阻燃板基层</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4.面层材料品种、规格、品牌、颜色:12mm生态板（WD-02）</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1.基层清理</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2.龙骨铺设</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3.铺设基层</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4.面层铺贴</w:t>
            </w:r>
          </w:p>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rPr>
            </w:pPr>
            <w:r>
              <w:rPr>
                <w:rFonts w:hint="eastAsia" w:ascii="宋体" w:hAnsi="宋体" w:eastAsia="宋体" w:cs="宋体"/>
                <w:i w:val="0"/>
                <w:color w:val="000000"/>
                <w:kern w:val="0"/>
                <w:sz w:val="20"/>
                <w:szCs w:val="20"/>
                <w:u w:val="none"/>
                <w:lang w:val="en-US" w:eastAsia="zh-CN" w:bidi="ar"/>
              </w:rPr>
              <w:t>5.刷防护材料</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6.材料运输</w:t>
            </w:r>
          </w:p>
        </w:tc>
        <w:tc>
          <w:tcPr>
            <w:tcW w:w="975" w:type="dxa"/>
            <w:tcBorders>
              <w:top w:val="single" w:color="000000" w:sz="4" w:space="0"/>
              <w:left w:val="single" w:color="000000" w:sz="4"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m2</w:t>
            </w:r>
          </w:p>
        </w:tc>
        <w:tc>
          <w:tcPr>
            <w:tcW w:w="990" w:type="dxa"/>
            <w:tcBorders>
              <w:top w:val="single" w:color="000000" w:sz="4" w:space="0"/>
              <w:left w:val="single" w:color="000000" w:sz="4" w:space="0"/>
              <w:bottom w:val="single" w:color="000000" w:sz="8"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11</w:t>
            </w:r>
          </w:p>
        </w:tc>
      </w:tr>
      <w:tr>
        <w:tblPrEx>
          <w:tblCellMar>
            <w:top w:w="0" w:type="dxa"/>
            <w:left w:w="0" w:type="dxa"/>
            <w:bottom w:w="0" w:type="dxa"/>
            <w:right w:w="0" w:type="dxa"/>
          </w:tblCellMar>
        </w:tblPrEx>
        <w:trPr>
          <w:trHeight w:val="3120" w:hRule="atLeast"/>
          <w:jc w:val="center"/>
        </w:trPr>
        <w:tc>
          <w:tcPr>
            <w:tcW w:w="909"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94</w:t>
            </w:r>
          </w:p>
        </w:tc>
        <w:tc>
          <w:tcPr>
            <w:tcW w:w="157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020105006006</w:t>
            </w:r>
          </w:p>
        </w:tc>
        <w:tc>
          <w:tcPr>
            <w:tcW w:w="5325"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木质踢脚线(地台侧收口)</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1.做法:33/DT-05</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2.踢脚线高度:150mm</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3.基层材料种类、规格:18MM阻燃板基层</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4.面层材料品种、规格、品牌、颜色:15MM厚成品白色烤漆板(WD-01)</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1.基层清理</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2.基层铺贴</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3.面层铺贴</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4.材料运输</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m2</w:t>
            </w:r>
          </w:p>
        </w:tc>
        <w:tc>
          <w:tcPr>
            <w:tcW w:w="990"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1.43</w:t>
            </w:r>
          </w:p>
        </w:tc>
      </w:tr>
      <w:tr>
        <w:tblPrEx>
          <w:tblCellMar>
            <w:top w:w="0" w:type="dxa"/>
            <w:left w:w="0" w:type="dxa"/>
            <w:bottom w:w="0" w:type="dxa"/>
            <w:right w:w="0" w:type="dxa"/>
          </w:tblCellMar>
        </w:tblPrEx>
        <w:trPr>
          <w:trHeight w:val="2865" w:hRule="atLeast"/>
          <w:jc w:val="center"/>
        </w:trPr>
        <w:tc>
          <w:tcPr>
            <w:tcW w:w="909"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95</w:t>
            </w:r>
          </w:p>
        </w:tc>
        <w:tc>
          <w:tcPr>
            <w:tcW w:w="157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020105007003</w:t>
            </w:r>
          </w:p>
        </w:tc>
        <w:tc>
          <w:tcPr>
            <w:tcW w:w="5325"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金属踢脚线</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1.做法:27/DT-03</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2.踢脚线高度:80mm</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3.面层材料品种、规格、品牌、颜色:80mm黑色不锈钢踢脚(MT-03)</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1.基层清理</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2.基层铺贴</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3.面层铺贴</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4.材料运输</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m2</w:t>
            </w:r>
          </w:p>
        </w:tc>
        <w:tc>
          <w:tcPr>
            <w:tcW w:w="990"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3.51</w:t>
            </w:r>
          </w:p>
        </w:tc>
      </w:tr>
      <w:tr>
        <w:tblPrEx>
          <w:tblCellMar>
            <w:top w:w="0" w:type="dxa"/>
            <w:left w:w="0" w:type="dxa"/>
            <w:bottom w:w="0" w:type="dxa"/>
            <w:right w:w="0" w:type="dxa"/>
          </w:tblCellMar>
        </w:tblPrEx>
        <w:trPr>
          <w:trHeight w:val="345" w:hRule="atLeast"/>
          <w:jc w:val="center"/>
        </w:trPr>
        <w:tc>
          <w:tcPr>
            <w:tcW w:w="909"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rPr>
                <w:rFonts w:hint="eastAsia" w:ascii="宋体" w:hAnsi="宋体" w:eastAsia="宋体" w:cs="宋体"/>
                <w:i w:val="0"/>
                <w:color w:val="000000"/>
                <w:sz w:val="20"/>
                <w:szCs w:val="20"/>
                <w:u w:val="none"/>
              </w:rPr>
            </w:pPr>
          </w:p>
        </w:tc>
        <w:tc>
          <w:tcPr>
            <w:tcW w:w="157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B.2</w:t>
            </w:r>
          </w:p>
        </w:tc>
        <w:tc>
          <w:tcPr>
            <w:tcW w:w="5325"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B.2  墙、柱面工程</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宋体" w:hAnsi="宋体" w:eastAsia="宋体" w:cs="宋体"/>
                <w:i w:val="0"/>
                <w:color w:val="000000"/>
                <w:sz w:val="20"/>
                <w:szCs w:val="20"/>
                <w:u w:val="none"/>
              </w:rPr>
            </w:pPr>
          </w:p>
        </w:tc>
        <w:tc>
          <w:tcPr>
            <w:tcW w:w="990"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宋体" w:hAnsi="宋体" w:eastAsia="宋体" w:cs="宋体"/>
                <w:i w:val="0"/>
                <w:color w:val="000000"/>
                <w:sz w:val="20"/>
                <w:szCs w:val="20"/>
                <w:u w:val="none"/>
              </w:rPr>
            </w:pPr>
          </w:p>
        </w:tc>
      </w:tr>
      <w:tr>
        <w:tblPrEx>
          <w:tblCellMar>
            <w:top w:w="0" w:type="dxa"/>
            <w:left w:w="0" w:type="dxa"/>
            <w:bottom w:w="0" w:type="dxa"/>
            <w:right w:w="0" w:type="dxa"/>
          </w:tblCellMar>
        </w:tblPrEx>
        <w:trPr>
          <w:trHeight w:val="3630" w:hRule="atLeast"/>
          <w:jc w:val="center"/>
        </w:trPr>
        <w:tc>
          <w:tcPr>
            <w:tcW w:w="909"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96</w:t>
            </w:r>
          </w:p>
        </w:tc>
        <w:tc>
          <w:tcPr>
            <w:tcW w:w="157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020207001016</w:t>
            </w:r>
          </w:p>
        </w:tc>
        <w:tc>
          <w:tcPr>
            <w:tcW w:w="5325"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装饰板墙面</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1.做法:37/DT-05</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2.龙骨材料种类、规格、中距:30*40木龙骨(防火三遍防腐处理)</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3.基层材料种类、规格:15MM阻燃板基层</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4.面层材料品种、规格、品牌、颜色:15mm白色烤漆板（WD-01)</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1.基层清理</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2.龙骨制作、运输、安装</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3.基层铺钉</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4.面层铺贴</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5.刷防护材料、油漆</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m2</w:t>
            </w:r>
          </w:p>
        </w:tc>
        <w:tc>
          <w:tcPr>
            <w:tcW w:w="990"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11.21</w:t>
            </w:r>
          </w:p>
        </w:tc>
      </w:tr>
      <w:tr>
        <w:tblPrEx>
          <w:tblCellMar>
            <w:top w:w="0" w:type="dxa"/>
            <w:left w:w="0" w:type="dxa"/>
            <w:bottom w:w="0" w:type="dxa"/>
            <w:right w:w="0" w:type="dxa"/>
          </w:tblCellMar>
        </w:tblPrEx>
        <w:trPr>
          <w:trHeight w:val="2415" w:hRule="atLeast"/>
          <w:jc w:val="center"/>
        </w:trPr>
        <w:tc>
          <w:tcPr>
            <w:tcW w:w="909" w:type="dxa"/>
            <w:tcBorders>
              <w:top w:val="single" w:color="000000" w:sz="4" w:space="0"/>
              <w:left w:val="single" w:color="000000" w:sz="8"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97</w:t>
            </w:r>
          </w:p>
        </w:tc>
        <w:tc>
          <w:tcPr>
            <w:tcW w:w="1579" w:type="dxa"/>
            <w:tcBorders>
              <w:top w:val="single" w:color="000000" w:sz="4" w:space="0"/>
              <w:left w:val="single" w:color="000000" w:sz="4"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020207001017</w:t>
            </w:r>
          </w:p>
        </w:tc>
        <w:tc>
          <w:tcPr>
            <w:tcW w:w="5325" w:type="dxa"/>
            <w:gridSpan w:val="3"/>
            <w:tcBorders>
              <w:top w:val="single" w:color="000000" w:sz="4" w:space="0"/>
              <w:left w:val="single" w:color="000000" w:sz="4"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装饰板墙面</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1.做法:37/DT-05</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2.龙骨材料种类、规格、中距:30*40木龙骨(防火三遍防腐处理)</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3.基层材料种类、规格:15MM阻燃板基层</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4.面层材料品种、规格、品牌、颜色:双层9.5MM纸面石膏板</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p>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1.基层清理</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2.龙骨制作、运输、安装</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3.基层铺钉</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4.面层铺贴</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5.刷防护材料、油漆</w:t>
            </w:r>
          </w:p>
        </w:tc>
        <w:tc>
          <w:tcPr>
            <w:tcW w:w="975" w:type="dxa"/>
            <w:tcBorders>
              <w:top w:val="single" w:color="000000" w:sz="4" w:space="0"/>
              <w:left w:val="single" w:color="000000" w:sz="4"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m2</w:t>
            </w:r>
          </w:p>
        </w:tc>
        <w:tc>
          <w:tcPr>
            <w:tcW w:w="990" w:type="dxa"/>
            <w:tcBorders>
              <w:top w:val="single" w:color="000000" w:sz="4" w:space="0"/>
              <w:left w:val="single" w:color="000000" w:sz="4" w:space="0"/>
              <w:bottom w:val="single" w:color="000000" w:sz="8"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6.26</w:t>
            </w:r>
          </w:p>
        </w:tc>
      </w:tr>
      <w:tr>
        <w:tblPrEx>
          <w:tblCellMar>
            <w:top w:w="0" w:type="dxa"/>
            <w:left w:w="0" w:type="dxa"/>
            <w:bottom w:w="0" w:type="dxa"/>
            <w:right w:w="0" w:type="dxa"/>
          </w:tblCellMar>
        </w:tblPrEx>
        <w:trPr>
          <w:trHeight w:val="3630" w:hRule="atLeast"/>
          <w:jc w:val="center"/>
        </w:trPr>
        <w:tc>
          <w:tcPr>
            <w:tcW w:w="909"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98</w:t>
            </w:r>
          </w:p>
        </w:tc>
        <w:tc>
          <w:tcPr>
            <w:tcW w:w="157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020207001018</w:t>
            </w:r>
          </w:p>
        </w:tc>
        <w:tc>
          <w:tcPr>
            <w:tcW w:w="5325"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装饰板墙面</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1.做法:38/DT-05</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2.龙骨材料种类、规格、中距:30*40木龙骨(防火三遍防腐处理)</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3.基层材料种类、规格:15MM阻燃板基层</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4.面层材料品种、规格、品牌、颜色:15mm木丝吸音板(WD-12)</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1.基层清理</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2.龙骨制作、运输、安装</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3.基层铺钉</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4.面层铺贴</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5.刷防护材料、油漆</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m2</w:t>
            </w:r>
          </w:p>
        </w:tc>
        <w:tc>
          <w:tcPr>
            <w:tcW w:w="990"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46.67</w:t>
            </w:r>
          </w:p>
        </w:tc>
      </w:tr>
      <w:tr>
        <w:tblPrEx>
          <w:tblCellMar>
            <w:top w:w="0" w:type="dxa"/>
            <w:left w:w="0" w:type="dxa"/>
            <w:bottom w:w="0" w:type="dxa"/>
            <w:right w:w="0" w:type="dxa"/>
          </w:tblCellMar>
        </w:tblPrEx>
        <w:trPr>
          <w:trHeight w:val="2865" w:hRule="atLeast"/>
          <w:jc w:val="center"/>
        </w:trPr>
        <w:tc>
          <w:tcPr>
            <w:tcW w:w="909"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99</w:t>
            </w:r>
          </w:p>
        </w:tc>
        <w:tc>
          <w:tcPr>
            <w:tcW w:w="157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020207001019</w:t>
            </w:r>
          </w:p>
        </w:tc>
        <w:tc>
          <w:tcPr>
            <w:tcW w:w="5325"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装饰板墙面</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1.做法:27/DT-03</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2.基层材料种类、规格:15MM阻燃板基层</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3.面层材料品种、规格、品牌、颜色:15mm木丝吸音板(WD-12)</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1.基层清理</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2.基层铺钉</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3.面层铺贴</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4.刷防护材料、油漆</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m2</w:t>
            </w:r>
          </w:p>
        </w:tc>
        <w:tc>
          <w:tcPr>
            <w:tcW w:w="990"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4.11</w:t>
            </w:r>
          </w:p>
        </w:tc>
      </w:tr>
      <w:tr>
        <w:tblPrEx>
          <w:tblCellMar>
            <w:top w:w="0" w:type="dxa"/>
            <w:left w:w="0" w:type="dxa"/>
            <w:bottom w:w="0" w:type="dxa"/>
            <w:right w:w="0" w:type="dxa"/>
          </w:tblCellMar>
        </w:tblPrEx>
        <w:trPr>
          <w:trHeight w:val="2865" w:hRule="atLeast"/>
          <w:jc w:val="center"/>
        </w:trPr>
        <w:tc>
          <w:tcPr>
            <w:tcW w:w="909"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100</w:t>
            </w:r>
          </w:p>
        </w:tc>
        <w:tc>
          <w:tcPr>
            <w:tcW w:w="157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020207001020</w:t>
            </w:r>
          </w:p>
        </w:tc>
        <w:tc>
          <w:tcPr>
            <w:tcW w:w="5325"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装饰板墙面</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1.做法:43/DT-06</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2.基层材料种类、规格:15MM阻燃板基层</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3.面层材料品种、规格、品牌、颜色:9MM阻燃板基层、黑板漆(PT-08)</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1.基层清理</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2.基层铺钉</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3.面层铺贴</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4.刷防护材料、油漆</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m2</w:t>
            </w:r>
          </w:p>
        </w:tc>
        <w:tc>
          <w:tcPr>
            <w:tcW w:w="990"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7.44</w:t>
            </w:r>
          </w:p>
        </w:tc>
      </w:tr>
      <w:tr>
        <w:tblPrEx>
          <w:tblCellMar>
            <w:top w:w="0" w:type="dxa"/>
            <w:left w:w="0" w:type="dxa"/>
            <w:bottom w:w="0" w:type="dxa"/>
            <w:right w:w="0" w:type="dxa"/>
          </w:tblCellMar>
        </w:tblPrEx>
        <w:trPr>
          <w:trHeight w:val="2265" w:hRule="atLeast"/>
          <w:jc w:val="center"/>
        </w:trPr>
        <w:tc>
          <w:tcPr>
            <w:tcW w:w="909" w:type="dxa"/>
            <w:tcBorders>
              <w:top w:val="single" w:color="000000" w:sz="4" w:space="0"/>
              <w:left w:val="single" w:color="000000" w:sz="8"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101</w:t>
            </w:r>
          </w:p>
        </w:tc>
        <w:tc>
          <w:tcPr>
            <w:tcW w:w="1579" w:type="dxa"/>
            <w:tcBorders>
              <w:top w:val="single" w:color="000000" w:sz="4" w:space="0"/>
              <w:left w:val="single" w:color="000000" w:sz="4"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020207001021</w:t>
            </w:r>
          </w:p>
        </w:tc>
        <w:tc>
          <w:tcPr>
            <w:tcW w:w="5325" w:type="dxa"/>
            <w:gridSpan w:val="3"/>
            <w:tcBorders>
              <w:top w:val="single" w:color="000000" w:sz="4" w:space="0"/>
              <w:left w:val="single" w:color="000000" w:sz="4"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装饰板墙面</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1.做法:43/DT-06</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2.基层材料种类、规格:15MM阻燃板基层</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3.面层材料品种、规格、品牌、颜色:5mm成品白色木饰面（WD-03)</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1.基层清理</w:t>
            </w:r>
          </w:p>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2.基层铺钉</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3.面层铺贴</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4.刷防护材料、油漆</w:t>
            </w:r>
          </w:p>
        </w:tc>
        <w:tc>
          <w:tcPr>
            <w:tcW w:w="975" w:type="dxa"/>
            <w:tcBorders>
              <w:top w:val="single" w:color="000000" w:sz="4" w:space="0"/>
              <w:left w:val="single" w:color="000000" w:sz="4"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m2</w:t>
            </w:r>
          </w:p>
        </w:tc>
        <w:tc>
          <w:tcPr>
            <w:tcW w:w="990" w:type="dxa"/>
            <w:tcBorders>
              <w:top w:val="single" w:color="000000" w:sz="4" w:space="0"/>
              <w:left w:val="single" w:color="000000" w:sz="4" w:space="0"/>
              <w:bottom w:val="single" w:color="000000" w:sz="8"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6.3</w:t>
            </w:r>
          </w:p>
        </w:tc>
      </w:tr>
      <w:tr>
        <w:tblPrEx>
          <w:tblCellMar>
            <w:top w:w="0" w:type="dxa"/>
            <w:left w:w="0" w:type="dxa"/>
            <w:bottom w:w="0" w:type="dxa"/>
            <w:right w:w="0" w:type="dxa"/>
          </w:tblCellMar>
        </w:tblPrEx>
        <w:trPr>
          <w:trHeight w:val="3630" w:hRule="atLeast"/>
          <w:jc w:val="center"/>
        </w:trPr>
        <w:tc>
          <w:tcPr>
            <w:tcW w:w="909"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102</w:t>
            </w:r>
          </w:p>
        </w:tc>
        <w:tc>
          <w:tcPr>
            <w:tcW w:w="157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020207001022</w:t>
            </w:r>
          </w:p>
        </w:tc>
        <w:tc>
          <w:tcPr>
            <w:tcW w:w="5325"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装饰板墙面</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1.做法:5/-1F-EL-10</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2.龙骨材料种类、规格、中距:30*40木龙骨(防火三遍防腐处理)</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3.基层材料种类、规格:15MM阻燃板基层</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4.面层材料品种、规格、品牌、颜色:白色焗油玻璃（GL-01）、玻璃专用胶</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1.基层清理</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2.龙骨制作、运输、安装</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3.基层铺钉</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4.面层铺贴</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5.刷防护材料、油漆</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m2</w:t>
            </w:r>
          </w:p>
        </w:tc>
        <w:tc>
          <w:tcPr>
            <w:tcW w:w="990"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18.59</w:t>
            </w:r>
          </w:p>
        </w:tc>
      </w:tr>
      <w:tr>
        <w:tblPrEx>
          <w:tblCellMar>
            <w:top w:w="0" w:type="dxa"/>
            <w:left w:w="0" w:type="dxa"/>
            <w:bottom w:w="0" w:type="dxa"/>
            <w:right w:w="0" w:type="dxa"/>
          </w:tblCellMar>
        </w:tblPrEx>
        <w:trPr>
          <w:trHeight w:val="3120" w:hRule="atLeast"/>
          <w:jc w:val="center"/>
        </w:trPr>
        <w:tc>
          <w:tcPr>
            <w:tcW w:w="909"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103</w:t>
            </w:r>
          </w:p>
        </w:tc>
        <w:tc>
          <w:tcPr>
            <w:tcW w:w="157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020207001023</w:t>
            </w:r>
          </w:p>
        </w:tc>
        <w:tc>
          <w:tcPr>
            <w:tcW w:w="5325"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装饰板墙面 （暗门）</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1.做法:40/DT-06</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2.基层材料种类、规格:15MM阻燃板基层、15mm阻燃夹板基层</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3.面层材料品种、规格、品牌、颜色:12mm阻燃板基层</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1.基层清理</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2.基层铺钉</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3.面层铺贴</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4.刷防护材料、油漆</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m2</w:t>
            </w:r>
          </w:p>
        </w:tc>
        <w:tc>
          <w:tcPr>
            <w:tcW w:w="990"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1.33</w:t>
            </w:r>
          </w:p>
        </w:tc>
      </w:tr>
      <w:tr>
        <w:tblPrEx>
          <w:tblCellMar>
            <w:top w:w="0" w:type="dxa"/>
            <w:left w:w="0" w:type="dxa"/>
            <w:bottom w:w="0" w:type="dxa"/>
            <w:right w:w="0" w:type="dxa"/>
          </w:tblCellMar>
        </w:tblPrEx>
        <w:trPr>
          <w:trHeight w:val="3630" w:hRule="atLeast"/>
          <w:jc w:val="center"/>
        </w:trPr>
        <w:tc>
          <w:tcPr>
            <w:tcW w:w="909"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104</w:t>
            </w:r>
          </w:p>
        </w:tc>
        <w:tc>
          <w:tcPr>
            <w:tcW w:w="157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020207001024</w:t>
            </w:r>
          </w:p>
        </w:tc>
        <w:tc>
          <w:tcPr>
            <w:tcW w:w="5325"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装饰板墙面</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1.做法:40/DT-06</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2.龙骨材料种类、规格、中距:30*40木龙骨(防火三遍防腐处理)</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3.基层材料种类、规格:15MM阻燃板基层</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4.面层材料品种、规格、品牌、颜色:5mm成品白色木饰面（WD-03)</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1.基层清理</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2.龙骨制作、运输、安装</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3.基层铺钉</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4.面层铺贴</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5.刷防护材料、油漆</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m2</w:t>
            </w:r>
          </w:p>
        </w:tc>
        <w:tc>
          <w:tcPr>
            <w:tcW w:w="990"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12.97</w:t>
            </w:r>
          </w:p>
        </w:tc>
      </w:tr>
      <w:tr>
        <w:tblPrEx>
          <w:tblCellMar>
            <w:top w:w="0" w:type="dxa"/>
            <w:left w:w="0" w:type="dxa"/>
            <w:bottom w:w="0" w:type="dxa"/>
            <w:right w:w="0" w:type="dxa"/>
          </w:tblCellMar>
        </w:tblPrEx>
        <w:trPr>
          <w:trHeight w:val="345" w:hRule="atLeast"/>
          <w:jc w:val="center"/>
        </w:trPr>
        <w:tc>
          <w:tcPr>
            <w:tcW w:w="909"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rPr>
                <w:rFonts w:hint="eastAsia" w:ascii="宋体" w:hAnsi="宋体" w:eastAsia="宋体" w:cs="宋体"/>
                <w:i w:val="0"/>
                <w:color w:val="000000"/>
                <w:sz w:val="20"/>
                <w:szCs w:val="20"/>
                <w:u w:val="none"/>
              </w:rPr>
            </w:pPr>
          </w:p>
        </w:tc>
        <w:tc>
          <w:tcPr>
            <w:tcW w:w="157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B.3</w:t>
            </w:r>
          </w:p>
        </w:tc>
        <w:tc>
          <w:tcPr>
            <w:tcW w:w="5325"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B.3  天棚工程</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宋体" w:hAnsi="宋体" w:eastAsia="宋体" w:cs="宋体"/>
                <w:i w:val="0"/>
                <w:color w:val="000000"/>
                <w:sz w:val="20"/>
                <w:szCs w:val="20"/>
                <w:u w:val="none"/>
              </w:rPr>
            </w:pPr>
          </w:p>
        </w:tc>
        <w:tc>
          <w:tcPr>
            <w:tcW w:w="990"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宋体" w:hAnsi="宋体" w:eastAsia="宋体" w:cs="宋体"/>
                <w:i w:val="0"/>
                <w:color w:val="000000"/>
                <w:sz w:val="20"/>
                <w:szCs w:val="20"/>
                <w:u w:val="none"/>
              </w:rPr>
            </w:pPr>
          </w:p>
        </w:tc>
      </w:tr>
      <w:tr>
        <w:tblPrEx>
          <w:tblCellMar>
            <w:top w:w="0" w:type="dxa"/>
            <w:left w:w="0" w:type="dxa"/>
            <w:bottom w:w="0" w:type="dxa"/>
            <w:right w:w="0" w:type="dxa"/>
          </w:tblCellMar>
        </w:tblPrEx>
        <w:trPr>
          <w:trHeight w:val="1395" w:hRule="atLeast"/>
          <w:jc w:val="center"/>
        </w:trPr>
        <w:tc>
          <w:tcPr>
            <w:tcW w:w="909" w:type="dxa"/>
            <w:tcBorders>
              <w:top w:val="single" w:color="000000" w:sz="4" w:space="0"/>
              <w:left w:val="single" w:color="000000" w:sz="8"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105</w:t>
            </w:r>
          </w:p>
        </w:tc>
        <w:tc>
          <w:tcPr>
            <w:tcW w:w="1579" w:type="dxa"/>
            <w:tcBorders>
              <w:top w:val="single" w:color="000000" w:sz="4" w:space="0"/>
              <w:left w:val="single" w:color="000000" w:sz="4"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020302001007</w:t>
            </w:r>
          </w:p>
        </w:tc>
        <w:tc>
          <w:tcPr>
            <w:tcW w:w="5325" w:type="dxa"/>
            <w:gridSpan w:val="3"/>
            <w:tcBorders>
              <w:top w:val="single" w:color="000000" w:sz="4" w:space="0"/>
              <w:left w:val="single" w:color="000000" w:sz="4"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天棚吊顶</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1.做法:17/DT-02</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2.吊顶形式:不上人</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3.龙骨类型、材料种类、规格、中距:轻钢龙骨</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4.基层材料种类、规格:9.5MM纸面石膏板</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5.面层材料品种、规格、品牌、颜色:9.5MM纸面石膏板</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1.基层清理</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2.龙骨安装</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3.基层板铺贴</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4.面层铺贴</w:t>
            </w:r>
          </w:p>
        </w:tc>
        <w:tc>
          <w:tcPr>
            <w:tcW w:w="975" w:type="dxa"/>
            <w:tcBorders>
              <w:top w:val="single" w:color="000000" w:sz="4" w:space="0"/>
              <w:left w:val="single" w:color="000000" w:sz="4"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m2</w:t>
            </w:r>
          </w:p>
        </w:tc>
        <w:tc>
          <w:tcPr>
            <w:tcW w:w="990" w:type="dxa"/>
            <w:tcBorders>
              <w:top w:val="single" w:color="000000" w:sz="4" w:space="0"/>
              <w:left w:val="single" w:color="000000" w:sz="4" w:space="0"/>
              <w:bottom w:val="single" w:color="000000" w:sz="8"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25.09</w:t>
            </w:r>
          </w:p>
        </w:tc>
      </w:tr>
      <w:tr>
        <w:tblPrEx>
          <w:tblCellMar>
            <w:top w:w="0" w:type="dxa"/>
            <w:left w:w="0" w:type="dxa"/>
            <w:bottom w:w="0" w:type="dxa"/>
            <w:right w:w="0" w:type="dxa"/>
          </w:tblCellMar>
        </w:tblPrEx>
        <w:trPr>
          <w:trHeight w:val="3630" w:hRule="atLeast"/>
          <w:jc w:val="center"/>
        </w:trPr>
        <w:tc>
          <w:tcPr>
            <w:tcW w:w="909"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106</w:t>
            </w:r>
          </w:p>
        </w:tc>
        <w:tc>
          <w:tcPr>
            <w:tcW w:w="157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020302001008</w:t>
            </w:r>
          </w:p>
        </w:tc>
        <w:tc>
          <w:tcPr>
            <w:tcW w:w="5325"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天棚吊顶</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1.做法:17/DT-02</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2.吊顶形式:不上人</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3.龙骨类型、材料种类、规格、中距:30*40木龙骨(防火三遍防腐处理)</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4.基层材料种类、规格:9.5MM纸面石膏板</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5.面层材料品种、规格、品牌、颜色:9.5MM纸面石膏板</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1.基层清理</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2.龙骨安装</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3.基层板铺贴</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4.面层铺贴</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m2</w:t>
            </w:r>
          </w:p>
        </w:tc>
        <w:tc>
          <w:tcPr>
            <w:tcW w:w="990"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11.48</w:t>
            </w:r>
          </w:p>
        </w:tc>
      </w:tr>
      <w:tr>
        <w:tblPrEx>
          <w:tblCellMar>
            <w:top w:w="0" w:type="dxa"/>
            <w:left w:w="0" w:type="dxa"/>
            <w:bottom w:w="0" w:type="dxa"/>
            <w:right w:w="0" w:type="dxa"/>
          </w:tblCellMar>
        </w:tblPrEx>
        <w:trPr>
          <w:trHeight w:val="3630" w:hRule="atLeast"/>
          <w:jc w:val="center"/>
        </w:trPr>
        <w:tc>
          <w:tcPr>
            <w:tcW w:w="909"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107</w:t>
            </w:r>
          </w:p>
        </w:tc>
        <w:tc>
          <w:tcPr>
            <w:tcW w:w="157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020302001009</w:t>
            </w:r>
          </w:p>
        </w:tc>
        <w:tc>
          <w:tcPr>
            <w:tcW w:w="5325"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天棚吊顶</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1.做法:17/DT-02</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2.吊顶形式:不上人</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3.龙骨类型、材料种类、规格、中距:30*40木龙骨(防火三遍防腐处理)</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4.基层材料种类、规格:15MM阻燃板基层</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5.面层材料品种、规格、品牌、颜色:9.5MM纸面石膏板</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1.基层清理</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2.龙骨安装</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3.基层板铺贴</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4.面层铺贴</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m2</w:t>
            </w:r>
          </w:p>
        </w:tc>
        <w:tc>
          <w:tcPr>
            <w:tcW w:w="990"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19.63</w:t>
            </w:r>
          </w:p>
        </w:tc>
      </w:tr>
      <w:tr>
        <w:tblPrEx>
          <w:tblCellMar>
            <w:top w:w="0" w:type="dxa"/>
            <w:left w:w="0" w:type="dxa"/>
            <w:bottom w:w="0" w:type="dxa"/>
            <w:right w:w="0" w:type="dxa"/>
          </w:tblCellMar>
        </w:tblPrEx>
        <w:trPr>
          <w:trHeight w:val="1845" w:hRule="atLeast"/>
          <w:jc w:val="center"/>
        </w:trPr>
        <w:tc>
          <w:tcPr>
            <w:tcW w:w="909"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108</w:t>
            </w:r>
          </w:p>
        </w:tc>
        <w:tc>
          <w:tcPr>
            <w:tcW w:w="157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020303001002</w:t>
            </w:r>
          </w:p>
        </w:tc>
        <w:tc>
          <w:tcPr>
            <w:tcW w:w="5325"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灯带</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1.做法:17/DT-02</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2.灯带形式、尺寸:100*45mm</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3.双层9.5MM纸面石膏板</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1.安装、固定</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m2</w:t>
            </w:r>
          </w:p>
        </w:tc>
        <w:tc>
          <w:tcPr>
            <w:tcW w:w="990"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4.38</w:t>
            </w:r>
          </w:p>
        </w:tc>
      </w:tr>
      <w:tr>
        <w:tblPrEx>
          <w:tblCellMar>
            <w:top w:w="0" w:type="dxa"/>
            <w:left w:w="0" w:type="dxa"/>
            <w:bottom w:w="0" w:type="dxa"/>
            <w:right w:w="0" w:type="dxa"/>
          </w:tblCellMar>
        </w:tblPrEx>
        <w:trPr>
          <w:trHeight w:val="345" w:hRule="atLeast"/>
          <w:jc w:val="center"/>
        </w:trPr>
        <w:tc>
          <w:tcPr>
            <w:tcW w:w="909"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rPr>
                <w:rFonts w:hint="eastAsia" w:ascii="宋体" w:hAnsi="宋体" w:eastAsia="宋体" w:cs="宋体"/>
                <w:i w:val="0"/>
                <w:color w:val="000000"/>
                <w:sz w:val="20"/>
                <w:szCs w:val="20"/>
                <w:u w:val="none"/>
              </w:rPr>
            </w:pPr>
          </w:p>
        </w:tc>
        <w:tc>
          <w:tcPr>
            <w:tcW w:w="157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B.4</w:t>
            </w:r>
          </w:p>
        </w:tc>
        <w:tc>
          <w:tcPr>
            <w:tcW w:w="5325"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B.4  门窗工程</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宋体" w:hAnsi="宋体" w:eastAsia="宋体" w:cs="宋体"/>
                <w:i w:val="0"/>
                <w:color w:val="000000"/>
                <w:sz w:val="20"/>
                <w:szCs w:val="20"/>
                <w:u w:val="none"/>
              </w:rPr>
            </w:pPr>
          </w:p>
        </w:tc>
        <w:tc>
          <w:tcPr>
            <w:tcW w:w="990"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宋体" w:hAnsi="宋体" w:eastAsia="宋体" w:cs="宋体"/>
                <w:i w:val="0"/>
                <w:color w:val="000000"/>
                <w:sz w:val="20"/>
                <w:szCs w:val="20"/>
                <w:u w:val="none"/>
              </w:rPr>
            </w:pPr>
          </w:p>
        </w:tc>
      </w:tr>
      <w:tr>
        <w:tblPrEx>
          <w:tblCellMar>
            <w:top w:w="0" w:type="dxa"/>
            <w:left w:w="0" w:type="dxa"/>
            <w:bottom w:w="0" w:type="dxa"/>
            <w:right w:w="0" w:type="dxa"/>
          </w:tblCellMar>
        </w:tblPrEx>
        <w:trPr>
          <w:trHeight w:val="1140" w:hRule="atLeast"/>
          <w:jc w:val="center"/>
        </w:trPr>
        <w:tc>
          <w:tcPr>
            <w:tcW w:w="909" w:type="dxa"/>
            <w:tcBorders>
              <w:top w:val="single" w:color="000000" w:sz="4" w:space="0"/>
              <w:left w:val="single" w:color="000000" w:sz="8"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109</w:t>
            </w:r>
          </w:p>
        </w:tc>
        <w:tc>
          <w:tcPr>
            <w:tcW w:w="1579" w:type="dxa"/>
            <w:tcBorders>
              <w:top w:val="single" w:color="000000" w:sz="4" w:space="0"/>
              <w:left w:val="single" w:color="000000" w:sz="4"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020401003008</w:t>
            </w:r>
          </w:p>
        </w:tc>
        <w:tc>
          <w:tcPr>
            <w:tcW w:w="5325" w:type="dxa"/>
            <w:gridSpan w:val="3"/>
            <w:tcBorders>
              <w:top w:val="single" w:color="000000" w:sz="4" w:space="0"/>
              <w:left w:val="single" w:color="000000" w:sz="4"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实木装饰门</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1.做法:DR-02</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2.框截面尺寸、单扇面积:1740*2580mm</w:t>
            </w:r>
          </w:p>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3.面层材料品种、规格、品牌、颜色:成品白色木门(WD-03)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4.五金材料、品种、规格:拉手、门吸、合页</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1.门制作、运输、安装</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2.五金安装</w:t>
            </w:r>
          </w:p>
        </w:tc>
        <w:tc>
          <w:tcPr>
            <w:tcW w:w="975" w:type="dxa"/>
            <w:tcBorders>
              <w:top w:val="single" w:color="000000" w:sz="4" w:space="0"/>
              <w:left w:val="single" w:color="000000" w:sz="4"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樘</w:t>
            </w:r>
          </w:p>
        </w:tc>
        <w:tc>
          <w:tcPr>
            <w:tcW w:w="990" w:type="dxa"/>
            <w:tcBorders>
              <w:top w:val="single" w:color="000000" w:sz="4" w:space="0"/>
              <w:left w:val="single" w:color="000000" w:sz="4" w:space="0"/>
              <w:bottom w:val="single" w:color="000000" w:sz="8"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r>
      <w:tr>
        <w:tblPrEx>
          <w:tblCellMar>
            <w:top w:w="0" w:type="dxa"/>
            <w:left w:w="0" w:type="dxa"/>
            <w:bottom w:w="0" w:type="dxa"/>
            <w:right w:w="0" w:type="dxa"/>
          </w:tblCellMar>
        </w:tblPrEx>
        <w:trPr>
          <w:trHeight w:val="2610" w:hRule="atLeast"/>
          <w:jc w:val="center"/>
        </w:trPr>
        <w:tc>
          <w:tcPr>
            <w:tcW w:w="909"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110</w:t>
            </w:r>
          </w:p>
        </w:tc>
        <w:tc>
          <w:tcPr>
            <w:tcW w:w="157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020401003009</w:t>
            </w:r>
          </w:p>
        </w:tc>
        <w:tc>
          <w:tcPr>
            <w:tcW w:w="5325"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实木装饰门</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1.做法:DR-02</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2.框截面尺寸、单扇面积:1440*3000mm</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3.面层材料品种、规格、品牌、颜色:成品白色木门(WD-03)</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4.五金材料、品种、规格:拉手、门吸、合页</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1.门制作、运输、安装</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2.五金安装</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樘</w:t>
            </w:r>
          </w:p>
        </w:tc>
        <w:tc>
          <w:tcPr>
            <w:tcW w:w="990"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w:t>
            </w:r>
          </w:p>
        </w:tc>
      </w:tr>
      <w:tr>
        <w:tblPrEx>
          <w:tblCellMar>
            <w:top w:w="0" w:type="dxa"/>
            <w:left w:w="0" w:type="dxa"/>
            <w:bottom w:w="0" w:type="dxa"/>
            <w:right w:w="0" w:type="dxa"/>
          </w:tblCellMar>
        </w:tblPrEx>
        <w:trPr>
          <w:trHeight w:val="2865" w:hRule="atLeast"/>
          <w:jc w:val="center"/>
        </w:trPr>
        <w:tc>
          <w:tcPr>
            <w:tcW w:w="909"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111</w:t>
            </w:r>
          </w:p>
        </w:tc>
        <w:tc>
          <w:tcPr>
            <w:tcW w:w="157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020407001006</w:t>
            </w:r>
          </w:p>
        </w:tc>
        <w:tc>
          <w:tcPr>
            <w:tcW w:w="5325"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木门套</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1.基层材料种类:15MM阻燃板基层</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2.面层材料品种、规格、品牌、颜色:40MM白色木饰面(WD-03)</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1.清理基层</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2.立筋制作、安装</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3.基层板安装</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4.面层铺贴</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5.刷防护材料、油漆</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m2</w:t>
            </w:r>
          </w:p>
        </w:tc>
        <w:tc>
          <w:tcPr>
            <w:tcW w:w="990"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4.8</w:t>
            </w:r>
          </w:p>
        </w:tc>
      </w:tr>
      <w:tr>
        <w:tblPrEx>
          <w:tblCellMar>
            <w:top w:w="0" w:type="dxa"/>
            <w:left w:w="0" w:type="dxa"/>
            <w:bottom w:w="0" w:type="dxa"/>
            <w:right w:w="0" w:type="dxa"/>
          </w:tblCellMar>
        </w:tblPrEx>
        <w:trPr>
          <w:trHeight w:val="2865" w:hRule="atLeast"/>
          <w:jc w:val="center"/>
        </w:trPr>
        <w:tc>
          <w:tcPr>
            <w:tcW w:w="909"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112</w:t>
            </w:r>
          </w:p>
        </w:tc>
        <w:tc>
          <w:tcPr>
            <w:tcW w:w="157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020407001007</w:t>
            </w:r>
          </w:p>
        </w:tc>
        <w:tc>
          <w:tcPr>
            <w:tcW w:w="5325"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木窗套</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1.基层材料种类:15MM阻燃板基层</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2.面层材料品种、规格、品牌、颜色:40MM白色木饰面(WD-03)</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1.清理基层</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2.立筋制作、安装</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3.基层板安装</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4.面层铺贴</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5.刷防护材料、油漆</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m2</w:t>
            </w:r>
          </w:p>
        </w:tc>
        <w:tc>
          <w:tcPr>
            <w:tcW w:w="990"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4.33</w:t>
            </w:r>
          </w:p>
        </w:tc>
      </w:tr>
      <w:tr>
        <w:tblPrEx>
          <w:tblCellMar>
            <w:top w:w="0" w:type="dxa"/>
            <w:left w:w="0" w:type="dxa"/>
            <w:bottom w:w="0" w:type="dxa"/>
            <w:right w:w="0" w:type="dxa"/>
          </w:tblCellMar>
        </w:tblPrEx>
        <w:trPr>
          <w:trHeight w:val="345" w:hRule="atLeast"/>
          <w:jc w:val="center"/>
        </w:trPr>
        <w:tc>
          <w:tcPr>
            <w:tcW w:w="909"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rPr>
                <w:rFonts w:hint="eastAsia" w:ascii="宋体" w:hAnsi="宋体" w:eastAsia="宋体" w:cs="宋体"/>
                <w:i w:val="0"/>
                <w:color w:val="000000"/>
                <w:sz w:val="20"/>
                <w:szCs w:val="20"/>
                <w:u w:val="none"/>
              </w:rPr>
            </w:pPr>
          </w:p>
        </w:tc>
        <w:tc>
          <w:tcPr>
            <w:tcW w:w="157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B.5</w:t>
            </w:r>
          </w:p>
        </w:tc>
        <w:tc>
          <w:tcPr>
            <w:tcW w:w="5325"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B.5  油漆、涂料、裱糊工程</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宋体" w:hAnsi="宋体" w:eastAsia="宋体" w:cs="宋体"/>
                <w:i w:val="0"/>
                <w:color w:val="000000"/>
                <w:sz w:val="20"/>
                <w:szCs w:val="20"/>
                <w:u w:val="none"/>
              </w:rPr>
            </w:pPr>
          </w:p>
        </w:tc>
        <w:tc>
          <w:tcPr>
            <w:tcW w:w="990"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宋体" w:hAnsi="宋体" w:eastAsia="宋体" w:cs="宋体"/>
                <w:i w:val="0"/>
                <w:color w:val="000000"/>
                <w:sz w:val="20"/>
                <w:szCs w:val="20"/>
                <w:u w:val="none"/>
              </w:rPr>
            </w:pPr>
          </w:p>
        </w:tc>
      </w:tr>
      <w:tr>
        <w:tblPrEx>
          <w:tblCellMar>
            <w:top w:w="0" w:type="dxa"/>
            <w:left w:w="0" w:type="dxa"/>
            <w:bottom w:w="0" w:type="dxa"/>
            <w:right w:w="0" w:type="dxa"/>
          </w:tblCellMar>
        </w:tblPrEx>
        <w:trPr>
          <w:trHeight w:val="1845" w:hRule="atLeast"/>
          <w:jc w:val="center"/>
        </w:trPr>
        <w:tc>
          <w:tcPr>
            <w:tcW w:w="909"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113</w:t>
            </w:r>
          </w:p>
        </w:tc>
        <w:tc>
          <w:tcPr>
            <w:tcW w:w="157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020506001016</w:t>
            </w:r>
          </w:p>
        </w:tc>
        <w:tc>
          <w:tcPr>
            <w:tcW w:w="5325"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抹灰面油漆（天棚）</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1.油漆品种、刷漆遍数:黑色乳胶漆（PT-04）</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1.基层清理</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2.刮腻子</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3.刷防护材料、油漆</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m2</w:t>
            </w:r>
          </w:p>
        </w:tc>
        <w:tc>
          <w:tcPr>
            <w:tcW w:w="990"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9.95</w:t>
            </w:r>
          </w:p>
        </w:tc>
      </w:tr>
      <w:tr>
        <w:tblPrEx>
          <w:tblCellMar>
            <w:top w:w="0" w:type="dxa"/>
            <w:left w:w="0" w:type="dxa"/>
            <w:bottom w:w="0" w:type="dxa"/>
            <w:right w:w="0" w:type="dxa"/>
          </w:tblCellMar>
        </w:tblPrEx>
        <w:trPr>
          <w:trHeight w:val="810" w:hRule="atLeast"/>
          <w:jc w:val="center"/>
        </w:trPr>
        <w:tc>
          <w:tcPr>
            <w:tcW w:w="909" w:type="dxa"/>
            <w:tcBorders>
              <w:top w:val="single" w:color="000000" w:sz="4" w:space="0"/>
              <w:left w:val="single" w:color="000000" w:sz="8"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114</w:t>
            </w:r>
          </w:p>
        </w:tc>
        <w:tc>
          <w:tcPr>
            <w:tcW w:w="1579" w:type="dxa"/>
            <w:tcBorders>
              <w:top w:val="single" w:color="000000" w:sz="4" w:space="0"/>
              <w:left w:val="single" w:color="000000" w:sz="4"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020506001017</w:t>
            </w:r>
          </w:p>
        </w:tc>
        <w:tc>
          <w:tcPr>
            <w:tcW w:w="5325" w:type="dxa"/>
            <w:gridSpan w:val="3"/>
            <w:tcBorders>
              <w:top w:val="single" w:color="000000" w:sz="4" w:space="0"/>
              <w:left w:val="single" w:color="000000" w:sz="4"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抹灰面油漆（天棚）</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1.油漆品种、刷漆遍数:深蓝色乳胶漆（PT-02）</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1.基层清理</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2.刮腻子</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3.刷防护材料、油漆</w:t>
            </w:r>
          </w:p>
        </w:tc>
        <w:tc>
          <w:tcPr>
            <w:tcW w:w="975" w:type="dxa"/>
            <w:tcBorders>
              <w:top w:val="single" w:color="000000" w:sz="4" w:space="0"/>
              <w:left w:val="single" w:color="000000" w:sz="4"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m2</w:t>
            </w:r>
          </w:p>
        </w:tc>
        <w:tc>
          <w:tcPr>
            <w:tcW w:w="990" w:type="dxa"/>
            <w:tcBorders>
              <w:top w:val="single" w:color="000000" w:sz="4" w:space="0"/>
              <w:left w:val="single" w:color="000000" w:sz="4" w:space="0"/>
              <w:bottom w:val="single" w:color="000000" w:sz="8"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30.24</w:t>
            </w:r>
          </w:p>
        </w:tc>
      </w:tr>
      <w:tr>
        <w:tblPrEx>
          <w:tblCellMar>
            <w:top w:w="0" w:type="dxa"/>
            <w:left w:w="0" w:type="dxa"/>
            <w:bottom w:w="0" w:type="dxa"/>
            <w:right w:w="0" w:type="dxa"/>
          </w:tblCellMar>
        </w:tblPrEx>
        <w:trPr>
          <w:trHeight w:val="1845" w:hRule="atLeast"/>
          <w:jc w:val="center"/>
        </w:trPr>
        <w:tc>
          <w:tcPr>
            <w:tcW w:w="909"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115</w:t>
            </w:r>
          </w:p>
        </w:tc>
        <w:tc>
          <w:tcPr>
            <w:tcW w:w="157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020506001018</w:t>
            </w:r>
          </w:p>
        </w:tc>
        <w:tc>
          <w:tcPr>
            <w:tcW w:w="5325"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抹灰面油漆（天棚）</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1.油漆品种、刷漆遍数:白色乳胶漆（PT-01）</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1.基层清理</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2.刮腻子</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3.刷防护材料、油漆</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m2</w:t>
            </w:r>
          </w:p>
        </w:tc>
        <w:tc>
          <w:tcPr>
            <w:tcW w:w="990"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43.19</w:t>
            </w:r>
          </w:p>
        </w:tc>
      </w:tr>
      <w:tr>
        <w:tblPrEx>
          <w:tblCellMar>
            <w:top w:w="0" w:type="dxa"/>
            <w:left w:w="0" w:type="dxa"/>
            <w:bottom w:w="0" w:type="dxa"/>
            <w:right w:w="0" w:type="dxa"/>
          </w:tblCellMar>
        </w:tblPrEx>
        <w:trPr>
          <w:trHeight w:val="1845" w:hRule="atLeast"/>
          <w:jc w:val="center"/>
        </w:trPr>
        <w:tc>
          <w:tcPr>
            <w:tcW w:w="909"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116</w:t>
            </w:r>
          </w:p>
        </w:tc>
        <w:tc>
          <w:tcPr>
            <w:tcW w:w="157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020506001019</w:t>
            </w:r>
          </w:p>
        </w:tc>
        <w:tc>
          <w:tcPr>
            <w:tcW w:w="5325"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抹灰面油漆（墙面）</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1.油漆品种、刷漆遍数:白色乳胶漆（PT-01）</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1.基层清理</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2.刮腻子</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3.刷防护材料、油漆</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m2</w:t>
            </w:r>
          </w:p>
        </w:tc>
        <w:tc>
          <w:tcPr>
            <w:tcW w:w="990"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7.27</w:t>
            </w:r>
          </w:p>
        </w:tc>
      </w:tr>
      <w:tr>
        <w:tblPrEx>
          <w:tblCellMar>
            <w:top w:w="0" w:type="dxa"/>
            <w:left w:w="0" w:type="dxa"/>
            <w:bottom w:w="0" w:type="dxa"/>
            <w:right w:w="0" w:type="dxa"/>
          </w:tblCellMar>
        </w:tblPrEx>
        <w:trPr>
          <w:trHeight w:val="1845" w:hRule="atLeast"/>
          <w:jc w:val="center"/>
        </w:trPr>
        <w:tc>
          <w:tcPr>
            <w:tcW w:w="909"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117</w:t>
            </w:r>
          </w:p>
        </w:tc>
        <w:tc>
          <w:tcPr>
            <w:tcW w:w="157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020506001020</w:t>
            </w:r>
          </w:p>
        </w:tc>
        <w:tc>
          <w:tcPr>
            <w:tcW w:w="5325"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抹灰面油漆（墙面）</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1.油漆品种、刷漆遍数:黑色乳胶漆（PT-04）</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1.基层清理</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2.刮腻子</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3.刷防护材料、油漆</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m2</w:t>
            </w:r>
          </w:p>
        </w:tc>
        <w:tc>
          <w:tcPr>
            <w:tcW w:w="990"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6.26</w:t>
            </w:r>
          </w:p>
        </w:tc>
      </w:tr>
      <w:tr>
        <w:tblPrEx>
          <w:tblCellMar>
            <w:top w:w="0" w:type="dxa"/>
            <w:left w:w="0" w:type="dxa"/>
            <w:bottom w:w="0" w:type="dxa"/>
            <w:right w:w="0" w:type="dxa"/>
          </w:tblCellMar>
        </w:tblPrEx>
        <w:trPr>
          <w:trHeight w:val="345" w:hRule="atLeast"/>
          <w:jc w:val="center"/>
        </w:trPr>
        <w:tc>
          <w:tcPr>
            <w:tcW w:w="909"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rPr>
                <w:rFonts w:hint="eastAsia" w:ascii="宋体" w:hAnsi="宋体" w:eastAsia="宋体" w:cs="宋体"/>
                <w:i w:val="0"/>
                <w:color w:val="000000"/>
                <w:sz w:val="20"/>
                <w:szCs w:val="20"/>
                <w:u w:val="none"/>
              </w:rPr>
            </w:pPr>
          </w:p>
        </w:tc>
        <w:tc>
          <w:tcPr>
            <w:tcW w:w="157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B.6</w:t>
            </w:r>
          </w:p>
        </w:tc>
        <w:tc>
          <w:tcPr>
            <w:tcW w:w="5325"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B.6  其 他 工 程</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宋体" w:hAnsi="宋体" w:eastAsia="宋体" w:cs="宋体"/>
                <w:i w:val="0"/>
                <w:color w:val="000000"/>
                <w:sz w:val="20"/>
                <w:szCs w:val="20"/>
                <w:u w:val="none"/>
              </w:rPr>
            </w:pPr>
          </w:p>
        </w:tc>
        <w:tc>
          <w:tcPr>
            <w:tcW w:w="990"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宋体" w:hAnsi="宋体" w:eastAsia="宋体" w:cs="宋体"/>
                <w:i w:val="0"/>
                <w:color w:val="000000"/>
                <w:sz w:val="20"/>
                <w:szCs w:val="20"/>
                <w:u w:val="none"/>
              </w:rPr>
            </w:pPr>
          </w:p>
        </w:tc>
      </w:tr>
      <w:tr>
        <w:tblPrEx>
          <w:tblCellMar>
            <w:top w:w="0" w:type="dxa"/>
            <w:left w:w="0" w:type="dxa"/>
            <w:bottom w:w="0" w:type="dxa"/>
            <w:right w:w="0" w:type="dxa"/>
          </w:tblCellMar>
        </w:tblPrEx>
        <w:trPr>
          <w:trHeight w:val="2355" w:hRule="atLeast"/>
          <w:jc w:val="center"/>
        </w:trPr>
        <w:tc>
          <w:tcPr>
            <w:tcW w:w="909"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118</w:t>
            </w:r>
          </w:p>
        </w:tc>
        <w:tc>
          <w:tcPr>
            <w:tcW w:w="157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020601009005</w:t>
            </w:r>
          </w:p>
        </w:tc>
        <w:tc>
          <w:tcPr>
            <w:tcW w:w="5325"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低柜</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1.台柜规格:4300*800*710</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2.台面材料:大理石台面（ST-01）</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3.材料种类、规格:柜体白色木饰面(WD-09)</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4.五金种类、规格:合页、拉手</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1.台柜制作</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2.运输、安装（安放）</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个</w:t>
            </w:r>
          </w:p>
        </w:tc>
        <w:tc>
          <w:tcPr>
            <w:tcW w:w="990"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r>
      <w:tr>
        <w:tblPrEx>
          <w:tblCellMar>
            <w:top w:w="0" w:type="dxa"/>
            <w:left w:w="0" w:type="dxa"/>
            <w:bottom w:w="0" w:type="dxa"/>
            <w:right w:w="0" w:type="dxa"/>
          </w:tblCellMar>
        </w:tblPrEx>
        <w:trPr>
          <w:trHeight w:val="2100" w:hRule="atLeast"/>
          <w:jc w:val="center"/>
        </w:trPr>
        <w:tc>
          <w:tcPr>
            <w:tcW w:w="909"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119</w:t>
            </w:r>
          </w:p>
        </w:tc>
        <w:tc>
          <w:tcPr>
            <w:tcW w:w="157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020601010004</w:t>
            </w:r>
          </w:p>
        </w:tc>
        <w:tc>
          <w:tcPr>
            <w:tcW w:w="5325"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吊柜</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1.台柜规格:4300*1000*330</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2.材料种类、规格:白色木饰面(WD-09)</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3.五金种类、规格:合页、拉手</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1.台柜制作</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2.运输、安装（安放）</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个</w:t>
            </w:r>
          </w:p>
        </w:tc>
        <w:tc>
          <w:tcPr>
            <w:tcW w:w="990"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r>
      <w:tr>
        <w:tblPrEx>
          <w:tblCellMar>
            <w:top w:w="0" w:type="dxa"/>
            <w:left w:w="0" w:type="dxa"/>
            <w:bottom w:w="0" w:type="dxa"/>
            <w:right w:w="0" w:type="dxa"/>
          </w:tblCellMar>
        </w:tblPrEx>
        <w:trPr>
          <w:trHeight w:val="345" w:hRule="atLeast"/>
          <w:jc w:val="center"/>
        </w:trPr>
        <w:tc>
          <w:tcPr>
            <w:tcW w:w="909"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rPr>
                <w:rFonts w:hint="eastAsia" w:ascii="宋体" w:hAnsi="宋体" w:eastAsia="宋体" w:cs="宋体"/>
                <w:i w:val="0"/>
                <w:color w:val="000000"/>
                <w:sz w:val="20"/>
                <w:szCs w:val="20"/>
                <w:u w:val="none"/>
              </w:rPr>
            </w:pPr>
          </w:p>
        </w:tc>
        <w:tc>
          <w:tcPr>
            <w:tcW w:w="157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rPr>
                <w:rFonts w:hint="eastAsia" w:ascii="宋体" w:hAnsi="宋体" w:eastAsia="宋体" w:cs="宋体"/>
                <w:i w:val="0"/>
                <w:color w:val="000000"/>
                <w:sz w:val="20"/>
                <w:szCs w:val="20"/>
                <w:u w:val="none"/>
              </w:rPr>
            </w:pPr>
          </w:p>
        </w:tc>
        <w:tc>
          <w:tcPr>
            <w:tcW w:w="5325"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补充分部</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宋体" w:hAnsi="宋体" w:eastAsia="宋体" w:cs="宋体"/>
                <w:i w:val="0"/>
                <w:color w:val="000000"/>
                <w:sz w:val="20"/>
                <w:szCs w:val="20"/>
                <w:u w:val="none"/>
              </w:rPr>
            </w:pPr>
          </w:p>
        </w:tc>
        <w:tc>
          <w:tcPr>
            <w:tcW w:w="990"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宋体" w:hAnsi="宋体" w:eastAsia="宋体" w:cs="宋体"/>
                <w:i w:val="0"/>
                <w:color w:val="000000"/>
                <w:sz w:val="20"/>
                <w:szCs w:val="20"/>
                <w:u w:val="none"/>
              </w:rPr>
            </w:pPr>
          </w:p>
        </w:tc>
      </w:tr>
      <w:tr>
        <w:tblPrEx>
          <w:tblCellMar>
            <w:top w:w="0" w:type="dxa"/>
            <w:left w:w="0" w:type="dxa"/>
            <w:bottom w:w="0" w:type="dxa"/>
            <w:right w:w="0" w:type="dxa"/>
          </w:tblCellMar>
        </w:tblPrEx>
        <w:trPr>
          <w:trHeight w:val="885" w:hRule="atLeast"/>
          <w:jc w:val="center"/>
        </w:trPr>
        <w:tc>
          <w:tcPr>
            <w:tcW w:w="909" w:type="dxa"/>
            <w:tcBorders>
              <w:top w:val="single" w:color="000000" w:sz="4" w:space="0"/>
              <w:left w:val="single" w:color="000000" w:sz="8"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120</w:t>
            </w:r>
          </w:p>
        </w:tc>
        <w:tc>
          <w:tcPr>
            <w:tcW w:w="1579" w:type="dxa"/>
            <w:tcBorders>
              <w:top w:val="single" w:color="000000" w:sz="4" w:space="0"/>
              <w:left w:val="single" w:color="000000" w:sz="4"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BB006</w:t>
            </w:r>
          </w:p>
        </w:tc>
        <w:tc>
          <w:tcPr>
            <w:tcW w:w="5325" w:type="dxa"/>
            <w:gridSpan w:val="3"/>
            <w:tcBorders>
              <w:top w:val="single" w:color="000000" w:sz="4" w:space="0"/>
              <w:left w:val="single" w:color="000000" w:sz="4"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门五金</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1.工程部位:暗门</w:t>
            </w:r>
          </w:p>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[工程内容]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1.五金安装</w:t>
            </w:r>
          </w:p>
        </w:tc>
        <w:tc>
          <w:tcPr>
            <w:tcW w:w="975" w:type="dxa"/>
            <w:tcBorders>
              <w:top w:val="single" w:color="000000" w:sz="4" w:space="0"/>
              <w:left w:val="single" w:color="000000" w:sz="4"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樘</w:t>
            </w:r>
          </w:p>
        </w:tc>
        <w:tc>
          <w:tcPr>
            <w:tcW w:w="990" w:type="dxa"/>
            <w:tcBorders>
              <w:top w:val="single" w:color="000000" w:sz="4" w:space="0"/>
              <w:left w:val="single" w:color="000000" w:sz="4" w:space="0"/>
              <w:bottom w:val="single" w:color="000000" w:sz="8"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r>
      <w:tr>
        <w:tblPrEx>
          <w:tblCellMar>
            <w:top w:w="0" w:type="dxa"/>
            <w:left w:w="0" w:type="dxa"/>
            <w:bottom w:w="0" w:type="dxa"/>
            <w:right w:w="0" w:type="dxa"/>
          </w:tblCellMar>
        </w:tblPrEx>
        <w:trPr>
          <w:trHeight w:val="345" w:hRule="atLeast"/>
          <w:jc w:val="center"/>
        </w:trPr>
        <w:tc>
          <w:tcPr>
            <w:tcW w:w="909"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rPr>
                <w:rFonts w:hint="eastAsia" w:ascii="宋体" w:hAnsi="宋体" w:eastAsia="宋体" w:cs="宋体"/>
                <w:i w:val="0"/>
                <w:color w:val="000000"/>
                <w:sz w:val="20"/>
                <w:szCs w:val="20"/>
                <w:u w:val="none"/>
              </w:rPr>
            </w:pPr>
          </w:p>
        </w:tc>
        <w:tc>
          <w:tcPr>
            <w:tcW w:w="157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rPr>
                <w:rFonts w:hint="eastAsia" w:ascii="宋体" w:hAnsi="宋体" w:eastAsia="宋体" w:cs="宋体"/>
                <w:i w:val="0"/>
                <w:color w:val="000000"/>
                <w:sz w:val="20"/>
                <w:szCs w:val="20"/>
                <w:u w:val="none"/>
              </w:rPr>
            </w:pPr>
          </w:p>
        </w:tc>
        <w:tc>
          <w:tcPr>
            <w:tcW w:w="5325"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一层储物室</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宋体" w:hAnsi="宋体" w:eastAsia="宋体" w:cs="宋体"/>
                <w:i w:val="0"/>
                <w:color w:val="000000"/>
                <w:sz w:val="20"/>
                <w:szCs w:val="20"/>
                <w:u w:val="none"/>
              </w:rPr>
            </w:pPr>
          </w:p>
        </w:tc>
        <w:tc>
          <w:tcPr>
            <w:tcW w:w="990"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宋体" w:hAnsi="宋体" w:eastAsia="宋体" w:cs="宋体"/>
                <w:i w:val="0"/>
                <w:color w:val="000000"/>
                <w:sz w:val="20"/>
                <w:szCs w:val="20"/>
                <w:u w:val="none"/>
              </w:rPr>
            </w:pPr>
          </w:p>
        </w:tc>
      </w:tr>
      <w:tr>
        <w:tblPrEx>
          <w:tblCellMar>
            <w:top w:w="0" w:type="dxa"/>
            <w:left w:w="0" w:type="dxa"/>
            <w:bottom w:w="0" w:type="dxa"/>
            <w:right w:w="0" w:type="dxa"/>
          </w:tblCellMar>
        </w:tblPrEx>
        <w:trPr>
          <w:trHeight w:val="345" w:hRule="atLeast"/>
          <w:jc w:val="center"/>
        </w:trPr>
        <w:tc>
          <w:tcPr>
            <w:tcW w:w="909"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rPr>
                <w:rFonts w:hint="eastAsia" w:ascii="宋体" w:hAnsi="宋体" w:eastAsia="宋体" w:cs="宋体"/>
                <w:i w:val="0"/>
                <w:color w:val="000000"/>
                <w:sz w:val="20"/>
                <w:szCs w:val="20"/>
                <w:u w:val="none"/>
              </w:rPr>
            </w:pPr>
          </w:p>
        </w:tc>
        <w:tc>
          <w:tcPr>
            <w:tcW w:w="157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B.1</w:t>
            </w:r>
          </w:p>
        </w:tc>
        <w:tc>
          <w:tcPr>
            <w:tcW w:w="5325"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B.1  楼地面工程</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宋体" w:hAnsi="宋体" w:eastAsia="宋体" w:cs="宋体"/>
                <w:i w:val="0"/>
                <w:color w:val="000000"/>
                <w:sz w:val="20"/>
                <w:szCs w:val="20"/>
                <w:u w:val="none"/>
              </w:rPr>
            </w:pPr>
          </w:p>
        </w:tc>
        <w:tc>
          <w:tcPr>
            <w:tcW w:w="990"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宋体" w:hAnsi="宋体" w:eastAsia="宋体" w:cs="宋体"/>
                <w:i w:val="0"/>
                <w:color w:val="000000"/>
                <w:sz w:val="20"/>
                <w:szCs w:val="20"/>
                <w:u w:val="none"/>
              </w:rPr>
            </w:pPr>
          </w:p>
        </w:tc>
      </w:tr>
      <w:tr>
        <w:tblPrEx>
          <w:tblCellMar>
            <w:top w:w="0" w:type="dxa"/>
            <w:left w:w="0" w:type="dxa"/>
            <w:bottom w:w="0" w:type="dxa"/>
            <w:right w:w="0" w:type="dxa"/>
          </w:tblCellMar>
        </w:tblPrEx>
        <w:trPr>
          <w:trHeight w:val="2865" w:hRule="atLeast"/>
          <w:jc w:val="center"/>
        </w:trPr>
        <w:tc>
          <w:tcPr>
            <w:tcW w:w="909"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121</w:t>
            </w:r>
          </w:p>
        </w:tc>
        <w:tc>
          <w:tcPr>
            <w:tcW w:w="157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020105006007</w:t>
            </w:r>
          </w:p>
        </w:tc>
        <w:tc>
          <w:tcPr>
            <w:tcW w:w="5325"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木质踢脚线</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1.做法:23/DT-03</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2.踢脚线高度:80mm</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3.面层材料品种、规格、品牌、颜色:80MM成品白色木质踢脚线(WD-03)</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1.基层清理</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2.底层抹灰</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3.面层铺贴</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4.材料运输</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m2</w:t>
            </w:r>
          </w:p>
        </w:tc>
        <w:tc>
          <w:tcPr>
            <w:tcW w:w="990"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1.45</w:t>
            </w:r>
          </w:p>
        </w:tc>
      </w:tr>
      <w:tr>
        <w:tblPrEx>
          <w:tblCellMar>
            <w:top w:w="0" w:type="dxa"/>
            <w:left w:w="0" w:type="dxa"/>
            <w:bottom w:w="0" w:type="dxa"/>
            <w:right w:w="0" w:type="dxa"/>
          </w:tblCellMar>
        </w:tblPrEx>
        <w:trPr>
          <w:trHeight w:val="345" w:hRule="atLeast"/>
          <w:jc w:val="center"/>
        </w:trPr>
        <w:tc>
          <w:tcPr>
            <w:tcW w:w="909"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rPr>
                <w:rFonts w:hint="eastAsia" w:ascii="宋体" w:hAnsi="宋体" w:eastAsia="宋体" w:cs="宋体"/>
                <w:i w:val="0"/>
                <w:color w:val="000000"/>
                <w:sz w:val="20"/>
                <w:szCs w:val="20"/>
                <w:u w:val="none"/>
              </w:rPr>
            </w:pPr>
          </w:p>
        </w:tc>
        <w:tc>
          <w:tcPr>
            <w:tcW w:w="157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B.5</w:t>
            </w:r>
          </w:p>
        </w:tc>
        <w:tc>
          <w:tcPr>
            <w:tcW w:w="5325"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B.5  油漆、涂料、裱糊工程</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宋体" w:hAnsi="宋体" w:eastAsia="宋体" w:cs="宋体"/>
                <w:i w:val="0"/>
                <w:color w:val="000000"/>
                <w:sz w:val="20"/>
                <w:szCs w:val="20"/>
                <w:u w:val="none"/>
              </w:rPr>
            </w:pPr>
          </w:p>
        </w:tc>
        <w:tc>
          <w:tcPr>
            <w:tcW w:w="990"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宋体" w:hAnsi="宋体" w:eastAsia="宋体" w:cs="宋体"/>
                <w:i w:val="0"/>
                <w:color w:val="000000"/>
                <w:sz w:val="20"/>
                <w:szCs w:val="20"/>
                <w:u w:val="none"/>
              </w:rPr>
            </w:pPr>
          </w:p>
        </w:tc>
      </w:tr>
      <w:tr>
        <w:tblPrEx>
          <w:tblCellMar>
            <w:top w:w="0" w:type="dxa"/>
            <w:left w:w="0" w:type="dxa"/>
            <w:bottom w:w="0" w:type="dxa"/>
            <w:right w:w="0" w:type="dxa"/>
          </w:tblCellMar>
        </w:tblPrEx>
        <w:trPr>
          <w:trHeight w:val="1845" w:hRule="atLeast"/>
          <w:jc w:val="center"/>
        </w:trPr>
        <w:tc>
          <w:tcPr>
            <w:tcW w:w="909"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122</w:t>
            </w:r>
          </w:p>
        </w:tc>
        <w:tc>
          <w:tcPr>
            <w:tcW w:w="157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020506001021</w:t>
            </w:r>
          </w:p>
        </w:tc>
        <w:tc>
          <w:tcPr>
            <w:tcW w:w="5325"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抹灰面油漆（墙面）</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1.油漆品种、刷漆遍数:白色乳胶漆（PT-01）</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1.基层清理</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2.刮腻子</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3.刷防护材料、油漆</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m2</w:t>
            </w:r>
          </w:p>
        </w:tc>
        <w:tc>
          <w:tcPr>
            <w:tcW w:w="990"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62.45</w:t>
            </w:r>
          </w:p>
        </w:tc>
      </w:tr>
      <w:tr>
        <w:tblPrEx>
          <w:tblCellMar>
            <w:top w:w="0" w:type="dxa"/>
            <w:left w:w="0" w:type="dxa"/>
            <w:bottom w:w="0" w:type="dxa"/>
            <w:right w:w="0" w:type="dxa"/>
          </w:tblCellMar>
        </w:tblPrEx>
        <w:trPr>
          <w:trHeight w:val="345" w:hRule="atLeast"/>
          <w:jc w:val="center"/>
        </w:trPr>
        <w:tc>
          <w:tcPr>
            <w:tcW w:w="909"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rPr>
                <w:rFonts w:hint="eastAsia" w:ascii="宋体" w:hAnsi="宋体" w:eastAsia="宋体" w:cs="宋体"/>
                <w:i w:val="0"/>
                <w:color w:val="000000"/>
                <w:sz w:val="20"/>
                <w:szCs w:val="20"/>
                <w:u w:val="none"/>
              </w:rPr>
            </w:pPr>
          </w:p>
        </w:tc>
        <w:tc>
          <w:tcPr>
            <w:tcW w:w="157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rPr>
                <w:rFonts w:hint="eastAsia" w:ascii="宋体" w:hAnsi="宋体" w:eastAsia="宋体" w:cs="宋体"/>
                <w:i w:val="0"/>
                <w:color w:val="000000"/>
                <w:sz w:val="20"/>
                <w:szCs w:val="20"/>
                <w:u w:val="none"/>
              </w:rPr>
            </w:pPr>
          </w:p>
        </w:tc>
        <w:tc>
          <w:tcPr>
            <w:tcW w:w="5325"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一层办公室</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宋体" w:hAnsi="宋体" w:eastAsia="宋体" w:cs="宋体"/>
                <w:i w:val="0"/>
                <w:color w:val="000000"/>
                <w:sz w:val="20"/>
                <w:szCs w:val="20"/>
                <w:u w:val="none"/>
              </w:rPr>
            </w:pPr>
          </w:p>
        </w:tc>
        <w:tc>
          <w:tcPr>
            <w:tcW w:w="990"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宋体" w:hAnsi="宋体" w:eastAsia="宋体" w:cs="宋体"/>
                <w:i w:val="0"/>
                <w:color w:val="000000"/>
                <w:sz w:val="20"/>
                <w:szCs w:val="20"/>
                <w:u w:val="none"/>
              </w:rPr>
            </w:pPr>
          </w:p>
        </w:tc>
      </w:tr>
      <w:tr>
        <w:tblPrEx>
          <w:tblCellMar>
            <w:top w:w="0" w:type="dxa"/>
            <w:left w:w="0" w:type="dxa"/>
            <w:bottom w:w="0" w:type="dxa"/>
            <w:right w:w="0" w:type="dxa"/>
          </w:tblCellMar>
        </w:tblPrEx>
        <w:trPr>
          <w:trHeight w:val="345" w:hRule="atLeast"/>
          <w:jc w:val="center"/>
        </w:trPr>
        <w:tc>
          <w:tcPr>
            <w:tcW w:w="909"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rPr>
                <w:rFonts w:hint="eastAsia" w:ascii="宋体" w:hAnsi="宋体" w:eastAsia="宋体" w:cs="宋体"/>
                <w:i w:val="0"/>
                <w:color w:val="000000"/>
                <w:sz w:val="20"/>
                <w:szCs w:val="20"/>
                <w:u w:val="none"/>
              </w:rPr>
            </w:pPr>
          </w:p>
        </w:tc>
        <w:tc>
          <w:tcPr>
            <w:tcW w:w="157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B.1</w:t>
            </w:r>
          </w:p>
        </w:tc>
        <w:tc>
          <w:tcPr>
            <w:tcW w:w="5325"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B.1  楼地面工程</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宋体" w:hAnsi="宋体" w:eastAsia="宋体" w:cs="宋体"/>
                <w:i w:val="0"/>
                <w:color w:val="000000"/>
                <w:sz w:val="20"/>
                <w:szCs w:val="20"/>
                <w:u w:val="none"/>
              </w:rPr>
            </w:pPr>
          </w:p>
        </w:tc>
        <w:tc>
          <w:tcPr>
            <w:tcW w:w="990"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宋体" w:hAnsi="宋体" w:eastAsia="宋体" w:cs="宋体"/>
                <w:i w:val="0"/>
                <w:color w:val="000000"/>
                <w:sz w:val="20"/>
                <w:szCs w:val="20"/>
                <w:u w:val="none"/>
              </w:rPr>
            </w:pPr>
          </w:p>
        </w:tc>
      </w:tr>
      <w:tr>
        <w:tblPrEx>
          <w:tblCellMar>
            <w:top w:w="0" w:type="dxa"/>
            <w:left w:w="0" w:type="dxa"/>
            <w:bottom w:w="0" w:type="dxa"/>
            <w:right w:w="0" w:type="dxa"/>
          </w:tblCellMar>
        </w:tblPrEx>
        <w:trPr>
          <w:trHeight w:val="3120" w:hRule="atLeast"/>
          <w:jc w:val="center"/>
        </w:trPr>
        <w:tc>
          <w:tcPr>
            <w:tcW w:w="909"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123</w:t>
            </w:r>
          </w:p>
        </w:tc>
        <w:tc>
          <w:tcPr>
            <w:tcW w:w="157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020105006008</w:t>
            </w:r>
          </w:p>
        </w:tc>
        <w:tc>
          <w:tcPr>
            <w:tcW w:w="5325"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木质踢脚线</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1.做法:27/DT-03</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2.踢脚线高度:80mm</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3.基层材料种类、规格:15MM阻燃板基层</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4.面层材料品种、规格、品牌、颜色:80MM成品白色木质踢脚线(WD-03)</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1.基层清理</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2.基层铺贴</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3.面层铺贴</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4.材料运输</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m2</w:t>
            </w:r>
          </w:p>
        </w:tc>
        <w:tc>
          <w:tcPr>
            <w:tcW w:w="990"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3.11</w:t>
            </w:r>
          </w:p>
        </w:tc>
      </w:tr>
      <w:tr>
        <w:tblPrEx>
          <w:tblCellMar>
            <w:top w:w="0" w:type="dxa"/>
            <w:left w:w="0" w:type="dxa"/>
            <w:bottom w:w="0" w:type="dxa"/>
            <w:right w:w="0" w:type="dxa"/>
          </w:tblCellMar>
        </w:tblPrEx>
        <w:trPr>
          <w:trHeight w:val="345" w:hRule="atLeast"/>
          <w:jc w:val="center"/>
        </w:trPr>
        <w:tc>
          <w:tcPr>
            <w:tcW w:w="909"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rPr>
                <w:rFonts w:hint="eastAsia" w:ascii="宋体" w:hAnsi="宋体" w:eastAsia="宋体" w:cs="宋体"/>
                <w:i w:val="0"/>
                <w:color w:val="000000"/>
                <w:sz w:val="20"/>
                <w:szCs w:val="20"/>
                <w:u w:val="none"/>
              </w:rPr>
            </w:pPr>
          </w:p>
        </w:tc>
        <w:tc>
          <w:tcPr>
            <w:tcW w:w="157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B.4</w:t>
            </w:r>
          </w:p>
        </w:tc>
        <w:tc>
          <w:tcPr>
            <w:tcW w:w="5325"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B.4  门窗工程</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宋体" w:hAnsi="宋体" w:eastAsia="宋体" w:cs="宋体"/>
                <w:i w:val="0"/>
                <w:color w:val="000000"/>
                <w:sz w:val="20"/>
                <w:szCs w:val="20"/>
                <w:u w:val="none"/>
              </w:rPr>
            </w:pPr>
          </w:p>
        </w:tc>
        <w:tc>
          <w:tcPr>
            <w:tcW w:w="990"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宋体" w:hAnsi="宋体" w:eastAsia="宋体" w:cs="宋体"/>
                <w:i w:val="0"/>
                <w:color w:val="000000"/>
                <w:sz w:val="20"/>
                <w:szCs w:val="20"/>
                <w:u w:val="none"/>
              </w:rPr>
            </w:pPr>
          </w:p>
        </w:tc>
      </w:tr>
      <w:tr>
        <w:tblPrEx>
          <w:tblCellMar>
            <w:top w:w="0" w:type="dxa"/>
            <w:left w:w="0" w:type="dxa"/>
            <w:bottom w:w="0" w:type="dxa"/>
            <w:right w:w="0" w:type="dxa"/>
          </w:tblCellMar>
        </w:tblPrEx>
        <w:trPr>
          <w:trHeight w:val="217" w:hRule="atLeast"/>
          <w:jc w:val="center"/>
        </w:trPr>
        <w:tc>
          <w:tcPr>
            <w:tcW w:w="909" w:type="dxa"/>
            <w:tcBorders>
              <w:top w:val="single" w:color="000000" w:sz="4" w:space="0"/>
              <w:left w:val="single" w:color="000000" w:sz="8"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124</w:t>
            </w:r>
          </w:p>
        </w:tc>
        <w:tc>
          <w:tcPr>
            <w:tcW w:w="1579" w:type="dxa"/>
            <w:tcBorders>
              <w:top w:val="single" w:color="000000" w:sz="4" w:space="0"/>
              <w:left w:val="single" w:color="000000" w:sz="4"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020401003010</w:t>
            </w:r>
          </w:p>
        </w:tc>
        <w:tc>
          <w:tcPr>
            <w:tcW w:w="5325" w:type="dxa"/>
            <w:gridSpan w:val="3"/>
            <w:tcBorders>
              <w:top w:val="single" w:color="000000" w:sz="4" w:space="0"/>
              <w:left w:val="single" w:color="000000" w:sz="4"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实木装饰门</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1.做法:DR-03</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2.框截面尺寸、单扇面积:860*3000mm</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 xml:space="preserve">3.面层材料品种、规格、品牌、颜色:成品白色木门(WD-03)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4.五金材料、品种、规格:拉手、门吸、合页</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1.门制作、运输、安装</w:t>
            </w:r>
          </w:p>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2.五金安装</w:t>
            </w:r>
          </w:p>
        </w:tc>
        <w:tc>
          <w:tcPr>
            <w:tcW w:w="975" w:type="dxa"/>
            <w:tcBorders>
              <w:top w:val="single" w:color="000000" w:sz="4" w:space="0"/>
              <w:left w:val="single" w:color="000000" w:sz="4"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樘</w:t>
            </w:r>
          </w:p>
        </w:tc>
        <w:tc>
          <w:tcPr>
            <w:tcW w:w="990" w:type="dxa"/>
            <w:tcBorders>
              <w:top w:val="single" w:color="000000" w:sz="4" w:space="0"/>
              <w:left w:val="single" w:color="000000" w:sz="4" w:space="0"/>
              <w:bottom w:val="single" w:color="000000" w:sz="8"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w:t>
            </w:r>
          </w:p>
        </w:tc>
      </w:tr>
      <w:tr>
        <w:tblPrEx>
          <w:tblCellMar>
            <w:top w:w="0" w:type="dxa"/>
            <w:left w:w="0" w:type="dxa"/>
            <w:bottom w:w="0" w:type="dxa"/>
            <w:right w:w="0" w:type="dxa"/>
          </w:tblCellMar>
        </w:tblPrEx>
        <w:trPr>
          <w:trHeight w:val="2865" w:hRule="atLeast"/>
          <w:jc w:val="center"/>
        </w:trPr>
        <w:tc>
          <w:tcPr>
            <w:tcW w:w="909"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125</w:t>
            </w:r>
          </w:p>
        </w:tc>
        <w:tc>
          <w:tcPr>
            <w:tcW w:w="157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020407001008</w:t>
            </w:r>
          </w:p>
        </w:tc>
        <w:tc>
          <w:tcPr>
            <w:tcW w:w="5325"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木门套</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1.基层材料种类:15MM阻燃板基层</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2.面层材料品种、规格、品牌、颜色:40MM白色木饰面(WD-03)</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1.清理基层</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2.立筋制作、安装</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3.基层板安装</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4.面层铺贴</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5.刷防护材料、油漆</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m2</w:t>
            </w:r>
          </w:p>
        </w:tc>
        <w:tc>
          <w:tcPr>
            <w:tcW w:w="990"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4.53</w:t>
            </w:r>
          </w:p>
        </w:tc>
      </w:tr>
      <w:tr>
        <w:tblPrEx>
          <w:tblCellMar>
            <w:top w:w="0" w:type="dxa"/>
            <w:left w:w="0" w:type="dxa"/>
            <w:bottom w:w="0" w:type="dxa"/>
            <w:right w:w="0" w:type="dxa"/>
          </w:tblCellMar>
        </w:tblPrEx>
        <w:trPr>
          <w:trHeight w:val="345" w:hRule="atLeast"/>
          <w:jc w:val="center"/>
        </w:trPr>
        <w:tc>
          <w:tcPr>
            <w:tcW w:w="909"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rPr>
                <w:rFonts w:hint="eastAsia" w:ascii="宋体" w:hAnsi="宋体" w:eastAsia="宋体" w:cs="宋体"/>
                <w:i w:val="0"/>
                <w:color w:val="000000"/>
                <w:sz w:val="20"/>
                <w:szCs w:val="20"/>
                <w:u w:val="none"/>
              </w:rPr>
            </w:pPr>
          </w:p>
        </w:tc>
        <w:tc>
          <w:tcPr>
            <w:tcW w:w="157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B.5</w:t>
            </w:r>
          </w:p>
        </w:tc>
        <w:tc>
          <w:tcPr>
            <w:tcW w:w="5325"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B.5  油漆、涂料、裱糊工程</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宋体" w:hAnsi="宋体" w:eastAsia="宋体" w:cs="宋体"/>
                <w:i w:val="0"/>
                <w:color w:val="000000"/>
                <w:sz w:val="20"/>
                <w:szCs w:val="20"/>
                <w:u w:val="none"/>
              </w:rPr>
            </w:pPr>
          </w:p>
        </w:tc>
        <w:tc>
          <w:tcPr>
            <w:tcW w:w="990"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宋体" w:hAnsi="宋体" w:eastAsia="宋体" w:cs="宋体"/>
                <w:i w:val="0"/>
                <w:color w:val="000000"/>
                <w:sz w:val="20"/>
                <w:szCs w:val="20"/>
                <w:u w:val="none"/>
              </w:rPr>
            </w:pPr>
          </w:p>
        </w:tc>
      </w:tr>
      <w:tr>
        <w:tblPrEx>
          <w:tblCellMar>
            <w:top w:w="0" w:type="dxa"/>
            <w:left w:w="0" w:type="dxa"/>
            <w:bottom w:w="0" w:type="dxa"/>
            <w:right w:w="0" w:type="dxa"/>
          </w:tblCellMar>
        </w:tblPrEx>
        <w:trPr>
          <w:trHeight w:val="1845" w:hRule="atLeast"/>
          <w:jc w:val="center"/>
        </w:trPr>
        <w:tc>
          <w:tcPr>
            <w:tcW w:w="909"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126</w:t>
            </w:r>
          </w:p>
        </w:tc>
        <w:tc>
          <w:tcPr>
            <w:tcW w:w="157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020506001022</w:t>
            </w:r>
          </w:p>
        </w:tc>
        <w:tc>
          <w:tcPr>
            <w:tcW w:w="5325"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抹灰面油漆（墙面）</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1.油漆品种、刷漆遍数:白色乳胶漆（PT-01）</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1.基层清理</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2.刮腻子</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3.刷防护材料、油漆</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m2</w:t>
            </w:r>
          </w:p>
        </w:tc>
        <w:tc>
          <w:tcPr>
            <w:tcW w:w="990"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130.78</w:t>
            </w:r>
          </w:p>
        </w:tc>
      </w:tr>
      <w:tr>
        <w:tblPrEx>
          <w:tblCellMar>
            <w:top w:w="0" w:type="dxa"/>
            <w:left w:w="0" w:type="dxa"/>
            <w:bottom w:w="0" w:type="dxa"/>
            <w:right w:w="0" w:type="dxa"/>
          </w:tblCellMar>
        </w:tblPrEx>
        <w:trPr>
          <w:trHeight w:val="345" w:hRule="atLeast"/>
          <w:jc w:val="center"/>
        </w:trPr>
        <w:tc>
          <w:tcPr>
            <w:tcW w:w="909"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rPr>
                <w:rFonts w:hint="eastAsia" w:ascii="宋体" w:hAnsi="宋体" w:eastAsia="宋体" w:cs="宋体"/>
                <w:i w:val="0"/>
                <w:color w:val="000000"/>
                <w:sz w:val="20"/>
                <w:szCs w:val="20"/>
                <w:u w:val="none"/>
              </w:rPr>
            </w:pPr>
          </w:p>
        </w:tc>
        <w:tc>
          <w:tcPr>
            <w:tcW w:w="157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rPr>
                <w:rFonts w:hint="eastAsia" w:ascii="宋体" w:hAnsi="宋体" w:eastAsia="宋体" w:cs="宋体"/>
                <w:i w:val="0"/>
                <w:color w:val="000000"/>
                <w:sz w:val="20"/>
                <w:szCs w:val="20"/>
                <w:u w:val="none"/>
              </w:rPr>
            </w:pPr>
          </w:p>
        </w:tc>
        <w:tc>
          <w:tcPr>
            <w:tcW w:w="5325"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一层走道</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宋体" w:hAnsi="宋体" w:eastAsia="宋体" w:cs="宋体"/>
                <w:i w:val="0"/>
                <w:color w:val="000000"/>
                <w:sz w:val="20"/>
                <w:szCs w:val="20"/>
                <w:u w:val="none"/>
              </w:rPr>
            </w:pPr>
          </w:p>
        </w:tc>
        <w:tc>
          <w:tcPr>
            <w:tcW w:w="990"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宋体" w:hAnsi="宋体" w:eastAsia="宋体" w:cs="宋体"/>
                <w:i w:val="0"/>
                <w:color w:val="000000"/>
                <w:sz w:val="20"/>
                <w:szCs w:val="20"/>
                <w:u w:val="none"/>
              </w:rPr>
            </w:pPr>
          </w:p>
        </w:tc>
      </w:tr>
      <w:tr>
        <w:tblPrEx>
          <w:tblCellMar>
            <w:top w:w="0" w:type="dxa"/>
            <w:left w:w="0" w:type="dxa"/>
            <w:bottom w:w="0" w:type="dxa"/>
            <w:right w:w="0" w:type="dxa"/>
          </w:tblCellMar>
        </w:tblPrEx>
        <w:trPr>
          <w:trHeight w:val="345" w:hRule="atLeast"/>
          <w:jc w:val="center"/>
        </w:trPr>
        <w:tc>
          <w:tcPr>
            <w:tcW w:w="909"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rPr>
                <w:rFonts w:hint="eastAsia" w:ascii="宋体" w:hAnsi="宋体" w:eastAsia="宋体" w:cs="宋体"/>
                <w:i w:val="0"/>
                <w:color w:val="000000"/>
                <w:sz w:val="20"/>
                <w:szCs w:val="20"/>
                <w:u w:val="none"/>
              </w:rPr>
            </w:pPr>
          </w:p>
        </w:tc>
        <w:tc>
          <w:tcPr>
            <w:tcW w:w="157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B.1</w:t>
            </w:r>
          </w:p>
        </w:tc>
        <w:tc>
          <w:tcPr>
            <w:tcW w:w="5325"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B.1  楼地面工程</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宋体" w:hAnsi="宋体" w:eastAsia="宋体" w:cs="宋体"/>
                <w:i w:val="0"/>
                <w:color w:val="000000"/>
                <w:sz w:val="20"/>
                <w:szCs w:val="20"/>
                <w:u w:val="none"/>
              </w:rPr>
            </w:pPr>
          </w:p>
        </w:tc>
        <w:tc>
          <w:tcPr>
            <w:tcW w:w="990"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宋体" w:hAnsi="宋体" w:eastAsia="宋体" w:cs="宋体"/>
                <w:i w:val="0"/>
                <w:color w:val="000000"/>
                <w:sz w:val="20"/>
                <w:szCs w:val="20"/>
                <w:u w:val="none"/>
              </w:rPr>
            </w:pPr>
          </w:p>
        </w:tc>
      </w:tr>
      <w:tr>
        <w:tblPrEx>
          <w:tblCellMar>
            <w:top w:w="0" w:type="dxa"/>
            <w:left w:w="0" w:type="dxa"/>
            <w:bottom w:w="0" w:type="dxa"/>
            <w:right w:w="0" w:type="dxa"/>
          </w:tblCellMar>
        </w:tblPrEx>
        <w:trPr>
          <w:trHeight w:val="3120" w:hRule="atLeast"/>
          <w:jc w:val="center"/>
        </w:trPr>
        <w:tc>
          <w:tcPr>
            <w:tcW w:w="909"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127</w:t>
            </w:r>
          </w:p>
        </w:tc>
        <w:tc>
          <w:tcPr>
            <w:tcW w:w="157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020105006009</w:t>
            </w:r>
          </w:p>
        </w:tc>
        <w:tc>
          <w:tcPr>
            <w:tcW w:w="5325"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木质踢脚线</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1.做法:27/DT-03</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2.踢脚线高度:80mm</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3.基层材料种类、规格:15MM阻燃板基层</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4.面层材料品种、规格、品牌、颜色:80MM成品白色木质踢脚线(WD-03)</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1.基层清理</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2.基层铺贴</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3.面层铺贴</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4.材料运输</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m2</w:t>
            </w:r>
          </w:p>
        </w:tc>
        <w:tc>
          <w:tcPr>
            <w:tcW w:w="990"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1.95</w:t>
            </w:r>
          </w:p>
        </w:tc>
      </w:tr>
      <w:tr>
        <w:tblPrEx>
          <w:tblCellMar>
            <w:top w:w="0" w:type="dxa"/>
            <w:left w:w="0" w:type="dxa"/>
            <w:bottom w:w="0" w:type="dxa"/>
            <w:right w:w="0" w:type="dxa"/>
          </w:tblCellMar>
        </w:tblPrEx>
        <w:trPr>
          <w:trHeight w:val="345" w:hRule="atLeast"/>
          <w:jc w:val="center"/>
        </w:trPr>
        <w:tc>
          <w:tcPr>
            <w:tcW w:w="909"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rPr>
                <w:rFonts w:hint="eastAsia" w:ascii="宋体" w:hAnsi="宋体" w:eastAsia="宋体" w:cs="宋体"/>
                <w:i w:val="0"/>
                <w:color w:val="000000"/>
                <w:sz w:val="20"/>
                <w:szCs w:val="20"/>
                <w:u w:val="none"/>
              </w:rPr>
            </w:pPr>
          </w:p>
        </w:tc>
        <w:tc>
          <w:tcPr>
            <w:tcW w:w="157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B.2</w:t>
            </w:r>
          </w:p>
        </w:tc>
        <w:tc>
          <w:tcPr>
            <w:tcW w:w="5325"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B.2  墙、柱面工程</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宋体" w:hAnsi="宋体" w:eastAsia="宋体" w:cs="宋体"/>
                <w:i w:val="0"/>
                <w:color w:val="000000"/>
                <w:sz w:val="20"/>
                <w:szCs w:val="20"/>
                <w:u w:val="none"/>
              </w:rPr>
            </w:pPr>
          </w:p>
        </w:tc>
        <w:tc>
          <w:tcPr>
            <w:tcW w:w="990"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宋体" w:hAnsi="宋体" w:eastAsia="宋体" w:cs="宋体"/>
                <w:i w:val="0"/>
                <w:color w:val="000000"/>
                <w:sz w:val="20"/>
                <w:szCs w:val="20"/>
                <w:u w:val="none"/>
              </w:rPr>
            </w:pPr>
          </w:p>
        </w:tc>
      </w:tr>
      <w:tr>
        <w:tblPrEx>
          <w:tblCellMar>
            <w:top w:w="0" w:type="dxa"/>
            <w:left w:w="0" w:type="dxa"/>
            <w:bottom w:w="0" w:type="dxa"/>
            <w:right w:w="0" w:type="dxa"/>
          </w:tblCellMar>
        </w:tblPrEx>
        <w:trPr>
          <w:trHeight w:val="194" w:hRule="atLeast"/>
          <w:jc w:val="center"/>
        </w:trPr>
        <w:tc>
          <w:tcPr>
            <w:tcW w:w="909" w:type="dxa"/>
            <w:tcBorders>
              <w:top w:val="single" w:color="000000" w:sz="4" w:space="0"/>
              <w:left w:val="single" w:color="000000" w:sz="8"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128</w:t>
            </w:r>
          </w:p>
        </w:tc>
        <w:tc>
          <w:tcPr>
            <w:tcW w:w="1579" w:type="dxa"/>
            <w:tcBorders>
              <w:top w:val="single" w:color="000000" w:sz="4" w:space="0"/>
              <w:left w:val="single" w:color="000000" w:sz="4"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020207001025</w:t>
            </w:r>
          </w:p>
        </w:tc>
        <w:tc>
          <w:tcPr>
            <w:tcW w:w="5325" w:type="dxa"/>
            <w:gridSpan w:val="3"/>
            <w:tcBorders>
              <w:top w:val="single" w:color="000000" w:sz="4" w:space="0"/>
              <w:left w:val="single" w:color="000000" w:sz="4"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装饰板墙面</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1.做法:6/-1F-EL-10</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2.龙骨材料种类、规格、中距:30*40木龙骨(防火三遍防腐处理)</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3.基层材料种类、规格:15MM阻燃板基层</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4.面层材料品种、规格、品牌、颜色:5mm成品白色木饰面（WD-03)</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1.基层清理</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2.龙骨制作、运输、安装</w:t>
            </w:r>
          </w:p>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3.基层铺钉</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4.面层铺贴</w:t>
            </w:r>
          </w:p>
        </w:tc>
        <w:tc>
          <w:tcPr>
            <w:tcW w:w="975" w:type="dxa"/>
            <w:tcBorders>
              <w:top w:val="single" w:color="000000" w:sz="4" w:space="0"/>
              <w:left w:val="single" w:color="000000" w:sz="4"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m2</w:t>
            </w:r>
          </w:p>
        </w:tc>
        <w:tc>
          <w:tcPr>
            <w:tcW w:w="990" w:type="dxa"/>
            <w:tcBorders>
              <w:top w:val="single" w:color="000000" w:sz="4" w:space="0"/>
              <w:left w:val="single" w:color="000000" w:sz="4" w:space="0"/>
              <w:bottom w:val="single" w:color="000000" w:sz="8"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6.73</w:t>
            </w:r>
          </w:p>
        </w:tc>
      </w:tr>
      <w:tr>
        <w:tblPrEx>
          <w:tblCellMar>
            <w:top w:w="0" w:type="dxa"/>
            <w:left w:w="0" w:type="dxa"/>
            <w:bottom w:w="0" w:type="dxa"/>
            <w:right w:w="0" w:type="dxa"/>
          </w:tblCellMar>
        </w:tblPrEx>
        <w:trPr>
          <w:trHeight w:val="375" w:hRule="atLeast"/>
          <w:jc w:val="center"/>
        </w:trPr>
        <w:tc>
          <w:tcPr>
            <w:tcW w:w="909"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宋体" w:hAnsi="宋体" w:eastAsia="宋体" w:cs="宋体"/>
                <w:i w:val="0"/>
                <w:color w:val="000000"/>
                <w:sz w:val="20"/>
                <w:szCs w:val="20"/>
                <w:u w:val="none"/>
              </w:rPr>
            </w:pPr>
          </w:p>
        </w:tc>
        <w:tc>
          <w:tcPr>
            <w:tcW w:w="157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rPr>
                <w:rFonts w:hint="eastAsia" w:ascii="宋体" w:hAnsi="宋体" w:eastAsia="宋体" w:cs="宋体"/>
                <w:i w:val="0"/>
                <w:color w:val="000000"/>
                <w:sz w:val="20"/>
                <w:szCs w:val="20"/>
                <w:u w:val="none"/>
              </w:rPr>
            </w:pPr>
          </w:p>
        </w:tc>
        <w:tc>
          <w:tcPr>
            <w:tcW w:w="5325"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5.刷防护材料、油漆</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宋体" w:hAnsi="宋体" w:eastAsia="宋体" w:cs="宋体"/>
                <w:i w:val="0"/>
                <w:color w:val="000000"/>
                <w:sz w:val="20"/>
                <w:szCs w:val="20"/>
                <w:u w:val="none"/>
              </w:rPr>
            </w:pPr>
          </w:p>
        </w:tc>
        <w:tc>
          <w:tcPr>
            <w:tcW w:w="990"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宋体" w:hAnsi="宋体" w:eastAsia="宋体" w:cs="宋体"/>
                <w:i w:val="0"/>
                <w:color w:val="000000"/>
                <w:sz w:val="20"/>
                <w:szCs w:val="20"/>
                <w:u w:val="none"/>
              </w:rPr>
            </w:pPr>
          </w:p>
        </w:tc>
      </w:tr>
      <w:tr>
        <w:tblPrEx>
          <w:tblCellMar>
            <w:top w:w="0" w:type="dxa"/>
            <w:left w:w="0" w:type="dxa"/>
            <w:bottom w:w="0" w:type="dxa"/>
            <w:right w:w="0" w:type="dxa"/>
          </w:tblCellMar>
        </w:tblPrEx>
        <w:trPr>
          <w:trHeight w:val="345" w:hRule="atLeast"/>
          <w:jc w:val="center"/>
        </w:trPr>
        <w:tc>
          <w:tcPr>
            <w:tcW w:w="909"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rPr>
                <w:rFonts w:hint="eastAsia" w:ascii="宋体" w:hAnsi="宋体" w:eastAsia="宋体" w:cs="宋体"/>
                <w:i w:val="0"/>
                <w:color w:val="000000"/>
                <w:sz w:val="20"/>
                <w:szCs w:val="20"/>
                <w:u w:val="none"/>
              </w:rPr>
            </w:pPr>
          </w:p>
        </w:tc>
        <w:tc>
          <w:tcPr>
            <w:tcW w:w="157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B.4</w:t>
            </w:r>
          </w:p>
        </w:tc>
        <w:tc>
          <w:tcPr>
            <w:tcW w:w="5325"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B.4  门窗工程</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宋体" w:hAnsi="宋体" w:eastAsia="宋体" w:cs="宋体"/>
                <w:i w:val="0"/>
                <w:color w:val="000000"/>
                <w:sz w:val="20"/>
                <w:szCs w:val="20"/>
                <w:u w:val="none"/>
              </w:rPr>
            </w:pPr>
          </w:p>
        </w:tc>
        <w:tc>
          <w:tcPr>
            <w:tcW w:w="990"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宋体" w:hAnsi="宋体" w:eastAsia="宋体" w:cs="宋体"/>
                <w:i w:val="0"/>
                <w:color w:val="000000"/>
                <w:sz w:val="20"/>
                <w:szCs w:val="20"/>
                <w:u w:val="none"/>
              </w:rPr>
            </w:pPr>
          </w:p>
        </w:tc>
      </w:tr>
      <w:tr>
        <w:tblPrEx>
          <w:tblCellMar>
            <w:top w:w="0" w:type="dxa"/>
            <w:left w:w="0" w:type="dxa"/>
            <w:bottom w:w="0" w:type="dxa"/>
            <w:right w:w="0" w:type="dxa"/>
          </w:tblCellMar>
        </w:tblPrEx>
        <w:trPr>
          <w:trHeight w:val="2865" w:hRule="atLeast"/>
          <w:jc w:val="center"/>
        </w:trPr>
        <w:tc>
          <w:tcPr>
            <w:tcW w:w="909"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129</w:t>
            </w:r>
          </w:p>
        </w:tc>
        <w:tc>
          <w:tcPr>
            <w:tcW w:w="157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020407001009</w:t>
            </w:r>
          </w:p>
        </w:tc>
        <w:tc>
          <w:tcPr>
            <w:tcW w:w="5325"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木门套</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1.基层材料种类:15MM阻燃板基层</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2.面层材料品种、规格、品牌、颜色:40MM白色木饰面(WD-03)</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1.清理基层</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2.立筋制作、安装</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3.基层板安装</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4.面层铺贴</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5.刷防护材料、油漆</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m2</w:t>
            </w:r>
          </w:p>
        </w:tc>
        <w:tc>
          <w:tcPr>
            <w:tcW w:w="990"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1.67</w:t>
            </w:r>
          </w:p>
        </w:tc>
      </w:tr>
      <w:tr>
        <w:tblPrEx>
          <w:tblCellMar>
            <w:top w:w="0" w:type="dxa"/>
            <w:left w:w="0" w:type="dxa"/>
            <w:bottom w:w="0" w:type="dxa"/>
            <w:right w:w="0" w:type="dxa"/>
          </w:tblCellMar>
        </w:tblPrEx>
        <w:trPr>
          <w:trHeight w:val="345" w:hRule="atLeast"/>
          <w:jc w:val="center"/>
        </w:trPr>
        <w:tc>
          <w:tcPr>
            <w:tcW w:w="909"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rPr>
                <w:rFonts w:hint="eastAsia" w:ascii="宋体" w:hAnsi="宋体" w:eastAsia="宋体" w:cs="宋体"/>
                <w:i w:val="0"/>
                <w:color w:val="000000"/>
                <w:sz w:val="20"/>
                <w:szCs w:val="20"/>
                <w:u w:val="none"/>
              </w:rPr>
            </w:pPr>
          </w:p>
        </w:tc>
        <w:tc>
          <w:tcPr>
            <w:tcW w:w="157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B.5</w:t>
            </w:r>
          </w:p>
        </w:tc>
        <w:tc>
          <w:tcPr>
            <w:tcW w:w="5325"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B.5  油漆、涂料、裱糊工程</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宋体" w:hAnsi="宋体" w:eastAsia="宋体" w:cs="宋体"/>
                <w:i w:val="0"/>
                <w:color w:val="000000"/>
                <w:sz w:val="20"/>
                <w:szCs w:val="20"/>
                <w:u w:val="none"/>
              </w:rPr>
            </w:pPr>
          </w:p>
        </w:tc>
        <w:tc>
          <w:tcPr>
            <w:tcW w:w="990"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宋体" w:hAnsi="宋体" w:eastAsia="宋体" w:cs="宋体"/>
                <w:i w:val="0"/>
                <w:color w:val="000000"/>
                <w:sz w:val="20"/>
                <w:szCs w:val="20"/>
                <w:u w:val="none"/>
              </w:rPr>
            </w:pPr>
          </w:p>
        </w:tc>
      </w:tr>
      <w:tr>
        <w:tblPrEx>
          <w:tblCellMar>
            <w:top w:w="0" w:type="dxa"/>
            <w:left w:w="0" w:type="dxa"/>
            <w:bottom w:w="0" w:type="dxa"/>
            <w:right w:w="0" w:type="dxa"/>
          </w:tblCellMar>
        </w:tblPrEx>
        <w:trPr>
          <w:trHeight w:val="1845" w:hRule="atLeast"/>
          <w:jc w:val="center"/>
        </w:trPr>
        <w:tc>
          <w:tcPr>
            <w:tcW w:w="909"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130</w:t>
            </w:r>
          </w:p>
        </w:tc>
        <w:tc>
          <w:tcPr>
            <w:tcW w:w="157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020506001023</w:t>
            </w:r>
          </w:p>
        </w:tc>
        <w:tc>
          <w:tcPr>
            <w:tcW w:w="5325"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抹灰面油漆（墙面）</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1.油漆品种、刷漆遍数:白色乳胶漆（PT-01）</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1.基层清理</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2.刮腻子</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3.刷防护材料、油漆</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m2</w:t>
            </w:r>
          </w:p>
        </w:tc>
        <w:tc>
          <w:tcPr>
            <w:tcW w:w="990"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79.82</w:t>
            </w:r>
          </w:p>
        </w:tc>
      </w:tr>
      <w:tr>
        <w:tblPrEx>
          <w:tblCellMar>
            <w:top w:w="0" w:type="dxa"/>
            <w:left w:w="0" w:type="dxa"/>
            <w:bottom w:w="0" w:type="dxa"/>
            <w:right w:w="0" w:type="dxa"/>
          </w:tblCellMar>
        </w:tblPrEx>
        <w:trPr>
          <w:trHeight w:val="345" w:hRule="atLeast"/>
          <w:jc w:val="center"/>
        </w:trPr>
        <w:tc>
          <w:tcPr>
            <w:tcW w:w="909"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rPr>
                <w:rFonts w:hint="eastAsia" w:ascii="宋体" w:hAnsi="宋体" w:eastAsia="宋体" w:cs="宋体"/>
                <w:i w:val="0"/>
                <w:color w:val="000000"/>
                <w:sz w:val="20"/>
                <w:szCs w:val="20"/>
                <w:u w:val="none"/>
              </w:rPr>
            </w:pPr>
          </w:p>
        </w:tc>
        <w:tc>
          <w:tcPr>
            <w:tcW w:w="157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B.6</w:t>
            </w:r>
          </w:p>
        </w:tc>
        <w:tc>
          <w:tcPr>
            <w:tcW w:w="5325"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B.6  其 他 工 程</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宋体" w:hAnsi="宋体" w:eastAsia="宋体" w:cs="宋体"/>
                <w:i w:val="0"/>
                <w:color w:val="000000"/>
                <w:sz w:val="20"/>
                <w:szCs w:val="20"/>
                <w:u w:val="none"/>
              </w:rPr>
            </w:pPr>
          </w:p>
        </w:tc>
        <w:tc>
          <w:tcPr>
            <w:tcW w:w="990"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宋体" w:hAnsi="宋体" w:eastAsia="宋体" w:cs="宋体"/>
                <w:i w:val="0"/>
                <w:color w:val="000000"/>
                <w:sz w:val="20"/>
                <w:szCs w:val="20"/>
                <w:u w:val="none"/>
              </w:rPr>
            </w:pPr>
          </w:p>
        </w:tc>
      </w:tr>
      <w:tr>
        <w:tblPrEx>
          <w:tblCellMar>
            <w:top w:w="0" w:type="dxa"/>
            <w:left w:w="0" w:type="dxa"/>
            <w:bottom w:w="0" w:type="dxa"/>
            <w:right w:w="0" w:type="dxa"/>
          </w:tblCellMar>
        </w:tblPrEx>
        <w:trPr>
          <w:trHeight w:val="2355" w:hRule="atLeast"/>
          <w:jc w:val="center"/>
        </w:trPr>
        <w:tc>
          <w:tcPr>
            <w:tcW w:w="909"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131</w:t>
            </w:r>
          </w:p>
        </w:tc>
        <w:tc>
          <w:tcPr>
            <w:tcW w:w="157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020604002003</w:t>
            </w:r>
          </w:p>
        </w:tc>
        <w:tc>
          <w:tcPr>
            <w:tcW w:w="5325"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木质装饰线（墙面）</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1.做法:26/DT-03</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2.线条材料品种、规格、颜色:30MM成品白色木线条（WD-03）</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1.线条制作</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2.安装</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3.刷防护材料、油漆</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w:t>
            </w:r>
          </w:p>
        </w:tc>
        <w:tc>
          <w:tcPr>
            <w:tcW w:w="990"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6.9</w:t>
            </w:r>
          </w:p>
        </w:tc>
      </w:tr>
      <w:tr>
        <w:tblPrEx>
          <w:tblCellMar>
            <w:top w:w="0" w:type="dxa"/>
            <w:left w:w="0" w:type="dxa"/>
            <w:bottom w:w="0" w:type="dxa"/>
            <w:right w:w="0" w:type="dxa"/>
          </w:tblCellMar>
        </w:tblPrEx>
        <w:trPr>
          <w:trHeight w:val="345" w:hRule="atLeast"/>
          <w:jc w:val="center"/>
        </w:trPr>
        <w:tc>
          <w:tcPr>
            <w:tcW w:w="909"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rPr>
                <w:rFonts w:hint="eastAsia" w:ascii="宋体" w:hAnsi="宋体" w:eastAsia="宋体" w:cs="宋体"/>
                <w:i w:val="0"/>
                <w:color w:val="000000"/>
                <w:sz w:val="20"/>
                <w:szCs w:val="20"/>
                <w:u w:val="none"/>
              </w:rPr>
            </w:pPr>
          </w:p>
        </w:tc>
        <w:tc>
          <w:tcPr>
            <w:tcW w:w="157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rPr>
                <w:rFonts w:hint="eastAsia" w:ascii="宋体" w:hAnsi="宋体" w:eastAsia="宋体" w:cs="宋体"/>
                <w:i w:val="0"/>
                <w:color w:val="000000"/>
                <w:sz w:val="20"/>
                <w:szCs w:val="20"/>
                <w:u w:val="none"/>
              </w:rPr>
            </w:pPr>
          </w:p>
        </w:tc>
        <w:tc>
          <w:tcPr>
            <w:tcW w:w="5325"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楼梯间</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宋体" w:hAnsi="宋体" w:eastAsia="宋体" w:cs="宋体"/>
                <w:i w:val="0"/>
                <w:color w:val="000000"/>
                <w:sz w:val="20"/>
                <w:szCs w:val="20"/>
                <w:u w:val="none"/>
              </w:rPr>
            </w:pPr>
          </w:p>
        </w:tc>
        <w:tc>
          <w:tcPr>
            <w:tcW w:w="990"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宋体" w:hAnsi="宋体" w:eastAsia="宋体" w:cs="宋体"/>
                <w:i w:val="0"/>
                <w:color w:val="000000"/>
                <w:sz w:val="20"/>
                <w:szCs w:val="20"/>
                <w:u w:val="none"/>
              </w:rPr>
            </w:pPr>
          </w:p>
        </w:tc>
      </w:tr>
      <w:tr>
        <w:tblPrEx>
          <w:tblCellMar>
            <w:top w:w="0" w:type="dxa"/>
            <w:left w:w="0" w:type="dxa"/>
            <w:bottom w:w="0" w:type="dxa"/>
            <w:right w:w="0" w:type="dxa"/>
          </w:tblCellMar>
        </w:tblPrEx>
        <w:trPr>
          <w:trHeight w:val="345" w:hRule="atLeast"/>
          <w:jc w:val="center"/>
        </w:trPr>
        <w:tc>
          <w:tcPr>
            <w:tcW w:w="909"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rPr>
                <w:rFonts w:hint="eastAsia" w:ascii="宋体" w:hAnsi="宋体" w:eastAsia="宋体" w:cs="宋体"/>
                <w:i w:val="0"/>
                <w:color w:val="000000"/>
                <w:sz w:val="20"/>
                <w:szCs w:val="20"/>
                <w:u w:val="none"/>
              </w:rPr>
            </w:pPr>
          </w:p>
        </w:tc>
        <w:tc>
          <w:tcPr>
            <w:tcW w:w="157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B.1</w:t>
            </w:r>
          </w:p>
        </w:tc>
        <w:tc>
          <w:tcPr>
            <w:tcW w:w="5325"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B.1  楼地面工程</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宋体" w:hAnsi="宋体" w:eastAsia="宋体" w:cs="宋体"/>
                <w:i w:val="0"/>
                <w:color w:val="000000"/>
                <w:sz w:val="20"/>
                <w:szCs w:val="20"/>
                <w:u w:val="none"/>
              </w:rPr>
            </w:pPr>
          </w:p>
        </w:tc>
        <w:tc>
          <w:tcPr>
            <w:tcW w:w="990"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宋体" w:hAnsi="宋体" w:eastAsia="宋体" w:cs="宋体"/>
                <w:i w:val="0"/>
                <w:color w:val="000000"/>
                <w:sz w:val="20"/>
                <w:szCs w:val="20"/>
                <w:u w:val="none"/>
              </w:rPr>
            </w:pPr>
          </w:p>
        </w:tc>
      </w:tr>
      <w:tr>
        <w:tblPrEx>
          <w:tblCellMar>
            <w:top w:w="0" w:type="dxa"/>
            <w:left w:w="0" w:type="dxa"/>
            <w:bottom w:w="0" w:type="dxa"/>
            <w:right w:w="0" w:type="dxa"/>
          </w:tblCellMar>
        </w:tblPrEx>
        <w:trPr>
          <w:trHeight w:val="90" w:hRule="atLeast"/>
          <w:jc w:val="center"/>
        </w:trPr>
        <w:tc>
          <w:tcPr>
            <w:tcW w:w="909"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132</w:t>
            </w:r>
          </w:p>
        </w:tc>
        <w:tc>
          <w:tcPr>
            <w:tcW w:w="157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020105006010</w:t>
            </w:r>
          </w:p>
        </w:tc>
        <w:tc>
          <w:tcPr>
            <w:tcW w:w="5325"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木质踢脚线</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1.做法:27/DT-03</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2.踢脚线高度:80mm</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3.基层材料种类、规格:15MM阻燃板基层</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4.面层材料品种、规格、品牌、颜色:80MM成品白色木质踢脚线(WD-03)</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1.基层清理</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2.基层铺贴</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3.面层铺贴</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4.材料运输</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m2</w:t>
            </w:r>
          </w:p>
        </w:tc>
        <w:tc>
          <w:tcPr>
            <w:tcW w:w="990"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0.43</w:t>
            </w:r>
          </w:p>
        </w:tc>
      </w:tr>
      <w:tr>
        <w:tblPrEx>
          <w:tblCellMar>
            <w:top w:w="0" w:type="dxa"/>
            <w:left w:w="0" w:type="dxa"/>
            <w:bottom w:w="0" w:type="dxa"/>
            <w:right w:w="0" w:type="dxa"/>
          </w:tblCellMar>
        </w:tblPrEx>
        <w:trPr>
          <w:trHeight w:val="645" w:hRule="atLeast"/>
          <w:jc w:val="center"/>
        </w:trPr>
        <w:tc>
          <w:tcPr>
            <w:tcW w:w="909" w:type="dxa"/>
            <w:tcBorders>
              <w:top w:val="single" w:color="000000" w:sz="4" w:space="0"/>
              <w:left w:val="single" w:color="000000" w:sz="8"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133</w:t>
            </w:r>
          </w:p>
        </w:tc>
        <w:tc>
          <w:tcPr>
            <w:tcW w:w="1579" w:type="dxa"/>
            <w:tcBorders>
              <w:top w:val="single" w:color="000000" w:sz="4" w:space="0"/>
              <w:left w:val="single" w:color="000000" w:sz="4"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020108001001</w:t>
            </w:r>
          </w:p>
        </w:tc>
        <w:tc>
          <w:tcPr>
            <w:tcW w:w="5325" w:type="dxa"/>
            <w:gridSpan w:val="3"/>
            <w:tcBorders>
              <w:top w:val="single" w:color="000000" w:sz="4" w:space="0"/>
              <w:left w:val="single" w:color="000000" w:sz="4"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石材台阶面</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p>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1.基层材料种类、规格:18mm木工板基础、防火三遍防腐处理</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2.面层材料品种、规格、品牌、颜色:15mm白色石材</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1.基层清理</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2.基层铺钉</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3.面层铺贴</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4.勾缝</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5.刷防护材料</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6.材料运输</w:t>
            </w:r>
          </w:p>
        </w:tc>
        <w:tc>
          <w:tcPr>
            <w:tcW w:w="975" w:type="dxa"/>
            <w:tcBorders>
              <w:top w:val="single" w:color="000000" w:sz="4" w:space="0"/>
              <w:left w:val="single" w:color="000000" w:sz="4"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m2</w:t>
            </w:r>
          </w:p>
        </w:tc>
        <w:tc>
          <w:tcPr>
            <w:tcW w:w="990" w:type="dxa"/>
            <w:tcBorders>
              <w:top w:val="single" w:color="000000" w:sz="4" w:space="0"/>
              <w:left w:val="single" w:color="000000" w:sz="4" w:space="0"/>
              <w:bottom w:val="single" w:color="000000" w:sz="8"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30.24</w:t>
            </w:r>
          </w:p>
        </w:tc>
      </w:tr>
      <w:tr>
        <w:tblPrEx>
          <w:tblCellMar>
            <w:top w:w="0" w:type="dxa"/>
            <w:left w:w="0" w:type="dxa"/>
            <w:bottom w:w="0" w:type="dxa"/>
            <w:right w:w="0" w:type="dxa"/>
          </w:tblCellMar>
        </w:tblPrEx>
        <w:trPr>
          <w:trHeight w:val="345" w:hRule="atLeast"/>
          <w:jc w:val="center"/>
        </w:trPr>
        <w:tc>
          <w:tcPr>
            <w:tcW w:w="909"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rPr>
                <w:rFonts w:hint="eastAsia" w:ascii="宋体" w:hAnsi="宋体" w:eastAsia="宋体" w:cs="宋体"/>
                <w:i w:val="0"/>
                <w:color w:val="000000"/>
                <w:sz w:val="20"/>
                <w:szCs w:val="20"/>
                <w:u w:val="none"/>
              </w:rPr>
            </w:pPr>
          </w:p>
        </w:tc>
        <w:tc>
          <w:tcPr>
            <w:tcW w:w="157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B.2</w:t>
            </w:r>
          </w:p>
        </w:tc>
        <w:tc>
          <w:tcPr>
            <w:tcW w:w="5325"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B.2  墙、柱面工程</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宋体" w:hAnsi="宋体" w:eastAsia="宋体" w:cs="宋体"/>
                <w:i w:val="0"/>
                <w:color w:val="000000"/>
                <w:sz w:val="20"/>
                <w:szCs w:val="20"/>
                <w:u w:val="none"/>
              </w:rPr>
            </w:pPr>
          </w:p>
        </w:tc>
        <w:tc>
          <w:tcPr>
            <w:tcW w:w="990"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宋体" w:hAnsi="宋体" w:eastAsia="宋体" w:cs="宋体"/>
                <w:i w:val="0"/>
                <w:color w:val="000000"/>
                <w:sz w:val="20"/>
                <w:szCs w:val="20"/>
                <w:u w:val="none"/>
              </w:rPr>
            </w:pPr>
          </w:p>
        </w:tc>
      </w:tr>
      <w:tr>
        <w:tblPrEx>
          <w:tblCellMar>
            <w:top w:w="0" w:type="dxa"/>
            <w:left w:w="0" w:type="dxa"/>
            <w:bottom w:w="0" w:type="dxa"/>
            <w:right w:w="0" w:type="dxa"/>
          </w:tblCellMar>
        </w:tblPrEx>
        <w:trPr>
          <w:trHeight w:val="2865" w:hRule="atLeast"/>
          <w:jc w:val="center"/>
        </w:trPr>
        <w:tc>
          <w:tcPr>
            <w:tcW w:w="909"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134</w:t>
            </w:r>
          </w:p>
        </w:tc>
        <w:tc>
          <w:tcPr>
            <w:tcW w:w="157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020207001026</w:t>
            </w:r>
          </w:p>
        </w:tc>
        <w:tc>
          <w:tcPr>
            <w:tcW w:w="5325"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装饰板墙面</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1.基层材料种类、规格:9厘奥松板基础、防火三遍防腐处理</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2.面层材料品种、规格、品牌、颜色:15mm黑色免漆板</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1.基层清理</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2.基层铺钉</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3.面层铺贴</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4.刷防护材料、油漆</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m2</w:t>
            </w:r>
          </w:p>
        </w:tc>
        <w:tc>
          <w:tcPr>
            <w:tcW w:w="990"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8.72</w:t>
            </w:r>
          </w:p>
        </w:tc>
      </w:tr>
      <w:tr>
        <w:tblPrEx>
          <w:tblCellMar>
            <w:top w:w="0" w:type="dxa"/>
            <w:left w:w="0" w:type="dxa"/>
            <w:bottom w:w="0" w:type="dxa"/>
            <w:right w:w="0" w:type="dxa"/>
          </w:tblCellMar>
        </w:tblPrEx>
        <w:trPr>
          <w:trHeight w:val="2355" w:hRule="atLeast"/>
          <w:jc w:val="center"/>
        </w:trPr>
        <w:tc>
          <w:tcPr>
            <w:tcW w:w="909"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135</w:t>
            </w:r>
          </w:p>
        </w:tc>
        <w:tc>
          <w:tcPr>
            <w:tcW w:w="157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020207001027</w:t>
            </w:r>
          </w:p>
        </w:tc>
        <w:tc>
          <w:tcPr>
            <w:tcW w:w="5325"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装饰板墙面</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1.基层材料种类、规格:9厘奥松板基础、防火三遍防腐处理</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1.基层清理</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2.基层铺钉</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3.面层铺贴</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4.刷防护材料、油漆</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m2</w:t>
            </w:r>
          </w:p>
        </w:tc>
        <w:tc>
          <w:tcPr>
            <w:tcW w:w="990"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0.9</w:t>
            </w:r>
          </w:p>
        </w:tc>
      </w:tr>
      <w:tr>
        <w:tblPrEx>
          <w:tblCellMar>
            <w:top w:w="0" w:type="dxa"/>
            <w:left w:w="0" w:type="dxa"/>
            <w:bottom w:w="0" w:type="dxa"/>
            <w:right w:w="0" w:type="dxa"/>
          </w:tblCellMar>
        </w:tblPrEx>
        <w:trPr>
          <w:trHeight w:val="345" w:hRule="atLeast"/>
          <w:jc w:val="center"/>
        </w:trPr>
        <w:tc>
          <w:tcPr>
            <w:tcW w:w="909"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rPr>
                <w:rFonts w:hint="eastAsia" w:ascii="宋体" w:hAnsi="宋体" w:eastAsia="宋体" w:cs="宋体"/>
                <w:i w:val="0"/>
                <w:color w:val="000000"/>
                <w:sz w:val="20"/>
                <w:szCs w:val="20"/>
                <w:u w:val="none"/>
              </w:rPr>
            </w:pPr>
          </w:p>
        </w:tc>
        <w:tc>
          <w:tcPr>
            <w:tcW w:w="157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B.4</w:t>
            </w:r>
          </w:p>
        </w:tc>
        <w:tc>
          <w:tcPr>
            <w:tcW w:w="5325"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B.4  门窗工程</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宋体" w:hAnsi="宋体" w:eastAsia="宋体" w:cs="宋体"/>
                <w:i w:val="0"/>
                <w:color w:val="000000"/>
                <w:sz w:val="20"/>
                <w:szCs w:val="20"/>
                <w:u w:val="none"/>
              </w:rPr>
            </w:pPr>
          </w:p>
        </w:tc>
        <w:tc>
          <w:tcPr>
            <w:tcW w:w="990"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宋体" w:hAnsi="宋体" w:eastAsia="宋体" w:cs="宋体"/>
                <w:i w:val="0"/>
                <w:color w:val="000000"/>
                <w:sz w:val="20"/>
                <w:szCs w:val="20"/>
                <w:u w:val="none"/>
              </w:rPr>
            </w:pPr>
          </w:p>
        </w:tc>
      </w:tr>
      <w:tr>
        <w:tblPrEx>
          <w:tblCellMar>
            <w:top w:w="0" w:type="dxa"/>
            <w:left w:w="0" w:type="dxa"/>
            <w:bottom w:w="0" w:type="dxa"/>
            <w:right w:w="0" w:type="dxa"/>
          </w:tblCellMar>
        </w:tblPrEx>
        <w:trPr>
          <w:trHeight w:val="2610" w:hRule="atLeast"/>
          <w:jc w:val="center"/>
        </w:trPr>
        <w:tc>
          <w:tcPr>
            <w:tcW w:w="909"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136</w:t>
            </w:r>
          </w:p>
        </w:tc>
        <w:tc>
          <w:tcPr>
            <w:tcW w:w="157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020401003011</w:t>
            </w:r>
          </w:p>
        </w:tc>
        <w:tc>
          <w:tcPr>
            <w:tcW w:w="5325"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实木装饰门</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1.做法:DR-02</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2.框截面尺寸、单扇面积:1500*2600mm</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3.面层材料品种、规格、品牌、颜色:成品白色木门(WD-03)</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4.五金材料、品种、规格:拉手、门吸、合页</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1.门制作、运输、安装</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2.五金安装</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樘</w:t>
            </w:r>
          </w:p>
        </w:tc>
        <w:tc>
          <w:tcPr>
            <w:tcW w:w="990"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r>
      <w:tr>
        <w:tblPrEx>
          <w:tblCellMar>
            <w:top w:w="0" w:type="dxa"/>
            <w:left w:w="0" w:type="dxa"/>
            <w:bottom w:w="0" w:type="dxa"/>
            <w:right w:w="0" w:type="dxa"/>
          </w:tblCellMar>
        </w:tblPrEx>
        <w:trPr>
          <w:trHeight w:val="172" w:hRule="atLeast"/>
          <w:jc w:val="center"/>
        </w:trPr>
        <w:tc>
          <w:tcPr>
            <w:tcW w:w="909" w:type="dxa"/>
            <w:tcBorders>
              <w:top w:val="single" w:color="000000" w:sz="4" w:space="0"/>
              <w:left w:val="single" w:color="000000" w:sz="8"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137</w:t>
            </w:r>
          </w:p>
        </w:tc>
        <w:tc>
          <w:tcPr>
            <w:tcW w:w="1579" w:type="dxa"/>
            <w:tcBorders>
              <w:top w:val="single" w:color="000000" w:sz="4" w:space="0"/>
              <w:left w:val="single" w:color="000000" w:sz="4"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020407001010</w:t>
            </w:r>
          </w:p>
        </w:tc>
        <w:tc>
          <w:tcPr>
            <w:tcW w:w="5325" w:type="dxa"/>
            <w:gridSpan w:val="3"/>
            <w:tcBorders>
              <w:top w:val="single" w:color="000000" w:sz="4" w:space="0"/>
              <w:left w:val="single" w:color="000000" w:sz="4"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木门套</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1.基层材料种类:15MM阻燃板基层</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2.面层材料品种、规格、品牌、颜色:40MM白色木饰面(WD-03)</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p>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1.清理基层</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2.立筋制作、安装</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3.基层板安装</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4.面层铺贴</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5.刷防护材料、油漆</w:t>
            </w:r>
          </w:p>
        </w:tc>
        <w:tc>
          <w:tcPr>
            <w:tcW w:w="975" w:type="dxa"/>
            <w:tcBorders>
              <w:top w:val="single" w:color="000000" w:sz="4" w:space="0"/>
              <w:left w:val="single" w:color="000000" w:sz="4"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m2</w:t>
            </w:r>
          </w:p>
        </w:tc>
        <w:tc>
          <w:tcPr>
            <w:tcW w:w="990" w:type="dxa"/>
            <w:tcBorders>
              <w:top w:val="single" w:color="000000" w:sz="4" w:space="0"/>
              <w:left w:val="single" w:color="000000" w:sz="4" w:space="0"/>
              <w:bottom w:val="single" w:color="000000" w:sz="8"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1.47</w:t>
            </w:r>
          </w:p>
        </w:tc>
      </w:tr>
      <w:tr>
        <w:tblPrEx>
          <w:tblCellMar>
            <w:top w:w="0" w:type="dxa"/>
            <w:left w:w="0" w:type="dxa"/>
            <w:bottom w:w="0" w:type="dxa"/>
            <w:right w:w="0" w:type="dxa"/>
          </w:tblCellMar>
        </w:tblPrEx>
        <w:trPr>
          <w:trHeight w:val="345" w:hRule="atLeast"/>
          <w:jc w:val="center"/>
        </w:trPr>
        <w:tc>
          <w:tcPr>
            <w:tcW w:w="909"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rPr>
                <w:rFonts w:hint="eastAsia" w:ascii="宋体" w:hAnsi="宋体" w:eastAsia="宋体" w:cs="宋体"/>
                <w:i w:val="0"/>
                <w:color w:val="000000"/>
                <w:sz w:val="20"/>
                <w:szCs w:val="20"/>
                <w:u w:val="none"/>
              </w:rPr>
            </w:pPr>
          </w:p>
        </w:tc>
        <w:tc>
          <w:tcPr>
            <w:tcW w:w="157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B.5</w:t>
            </w:r>
          </w:p>
        </w:tc>
        <w:tc>
          <w:tcPr>
            <w:tcW w:w="5325"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B.5  油漆、涂料、裱糊工程</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宋体" w:hAnsi="宋体" w:eastAsia="宋体" w:cs="宋体"/>
                <w:i w:val="0"/>
                <w:color w:val="000000"/>
                <w:sz w:val="20"/>
                <w:szCs w:val="20"/>
                <w:u w:val="none"/>
              </w:rPr>
            </w:pPr>
          </w:p>
        </w:tc>
        <w:tc>
          <w:tcPr>
            <w:tcW w:w="990"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宋体" w:hAnsi="宋体" w:eastAsia="宋体" w:cs="宋体"/>
                <w:i w:val="0"/>
                <w:color w:val="000000"/>
                <w:sz w:val="20"/>
                <w:szCs w:val="20"/>
                <w:u w:val="none"/>
              </w:rPr>
            </w:pPr>
          </w:p>
        </w:tc>
      </w:tr>
      <w:tr>
        <w:tblPrEx>
          <w:tblCellMar>
            <w:top w:w="0" w:type="dxa"/>
            <w:left w:w="0" w:type="dxa"/>
            <w:bottom w:w="0" w:type="dxa"/>
            <w:right w:w="0" w:type="dxa"/>
          </w:tblCellMar>
        </w:tblPrEx>
        <w:trPr>
          <w:trHeight w:val="1845" w:hRule="atLeast"/>
          <w:jc w:val="center"/>
        </w:trPr>
        <w:tc>
          <w:tcPr>
            <w:tcW w:w="909"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138</w:t>
            </w:r>
          </w:p>
        </w:tc>
        <w:tc>
          <w:tcPr>
            <w:tcW w:w="157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9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020506001024</w:t>
            </w:r>
          </w:p>
        </w:tc>
        <w:tc>
          <w:tcPr>
            <w:tcW w:w="5325"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9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抹灰面油漆（天棚）</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1.油漆品种、刷漆遍数:白色乳胶漆（PT-01）</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1.基层清理</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2.刮腻子</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3.刷防护材料、油漆</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m2</w:t>
            </w:r>
          </w:p>
        </w:tc>
        <w:tc>
          <w:tcPr>
            <w:tcW w:w="990"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123.83</w:t>
            </w:r>
          </w:p>
        </w:tc>
      </w:tr>
      <w:tr>
        <w:tblPrEx>
          <w:tblCellMar>
            <w:top w:w="0" w:type="dxa"/>
            <w:left w:w="0" w:type="dxa"/>
            <w:bottom w:w="0" w:type="dxa"/>
            <w:right w:w="0" w:type="dxa"/>
          </w:tblCellMar>
        </w:tblPrEx>
        <w:trPr>
          <w:trHeight w:val="1845" w:hRule="atLeast"/>
          <w:jc w:val="center"/>
        </w:trPr>
        <w:tc>
          <w:tcPr>
            <w:tcW w:w="909"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139</w:t>
            </w:r>
          </w:p>
        </w:tc>
        <w:tc>
          <w:tcPr>
            <w:tcW w:w="157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9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020506001025</w:t>
            </w:r>
          </w:p>
        </w:tc>
        <w:tc>
          <w:tcPr>
            <w:tcW w:w="5325"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9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抹灰面油漆（墙面）</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1.油漆品种、刷漆遍数:黑板漆</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1.基层清理</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2.刮腻子</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3.刷防护材料、油漆</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m2</w:t>
            </w:r>
          </w:p>
        </w:tc>
        <w:tc>
          <w:tcPr>
            <w:tcW w:w="990"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0.9</w:t>
            </w:r>
          </w:p>
        </w:tc>
      </w:tr>
      <w:tr>
        <w:tblPrEx>
          <w:tblCellMar>
            <w:top w:w="0" w:type="dxa"/>
            <w:left w:w="0" w:type="dxa"/>
            <w:bottom w:w="0" w:type="dxa"/>
            <w:right w:w="0" w:type="dxa"/>
          </w:tblCellMar>
        </w:tblPrEx>
        <w:trPr>
          <w:trHeight w:val="1845" w:hRule="atLeast"/>
          <w:jc w:val="center"/>
        </w:trPr>
        <w:tc>
          <w:tcPr>
            <w:tcW w:w="909"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140</w:t>
            </w:r>
          </w:p>
        </w:tc>
        <w:tc>
          <w:tcPr>
            <w:tcW w:w="157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020506001026</w:t>
            </w:r>
          </w:p>
        </w:tc>
        <w:tc>
          <w:tcPr>
            <w:tcW w:w="5325"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抹灰面油漆（墙面）</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1.油漆品种、刷漆遍数:乳胶漆</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1.基层清理</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2.刮腻子</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3.刷防护材料、油漆</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m2</w:t>
            </w:r>
          </w:p>
        </w:tc>
        <w:tc>
          <w:tcPr>
            <w:tcW w:w="990"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68.76</w:t>
            </w:r>
          </w:p>
        </w:tc>
      </w:tr>
      <w:tr>
        <w:tblPrEx>
          <w:tblCellMar>
            <w:top w:w="0" w:type="dxa"/>
            <w:left w:w="0" w:type="dxa"/>
            <w:bottom w:w="0" w:type="dxa"/>
            <w:right w:w="0" w:type="dxa"/>
          </w:tblCellMar>
        </w:tblPrEx>
        <w:trPr>
          <w:trHeight w:val="90" w:hRule="atLeast"/>
          <w:jc w:val="center"/>
        </w:trPr>
        <w:tc>
          <w:tcPr>
            <w:tcW w:w="909"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rPr>
                <w:rFonts w:hint="eastAsia" w:ascii="宋体" w:hAnsi="宋体" w:eastAsia="宋体" w:cs="宋体"/>
                <w:i w:val="0"/>
                <w:color w:val="000000"/>
                <w:sz w:val="20"/>
                <w:szCs w:val="20"/>
                <w:u w:val="none"/>
              </w:rPr>
            </w:pPr>
          </w:p>
        </w:tc>
        <w:tc>
          <w:tcPr>
            <w:tcW w:w="157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B.6</w:t>
            </w:r>
          </w:p>
        </w:tc>
        <w:tc>
          <w:tcPr>
            <w:tcW w:w="5325"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B.6  其 他 工 程</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宋体" w:hAnsi="宋体" w:eastAsia="宋体" w:cs="宋体"/>
                <w:i w:val="0"/>
                <w:color w:val="000000"/>
                <w:sz w:val="20"/>
                <w:szCs w:val="20"/>
                <w:u w:val="none"/>
              </w:rPr>
            </w:pPr>
          </w:p>
        </w:tc>
        <w:tc>
          <w:tcPr>
            <w:tcW w:w="990"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宋体" w:hAnsi="宋体" w:eastAsia="宋体" w:cs="宋体"/>
                <w:i w:val="0"/>
                <w:color w:val="000000"/>
                <w:sz w:val="20"/>
                <w:szCs w:val="20"/>
                <w:u w:val="none"/>
              </w:rPr>
            </w:pPr>
          </w:p>
        </w:tc>
      </w:tr>
      <w:tr>
        <w:tblPrEx>
          <w:tblCellMar>
            <w:top w:w="0" w:type="dxa"/>
            <w:left w:w="0" w:type="dxa"/>
            <w:bottom w:w="0" w:type="dxa"/>
            <w:right w:w="0" w:type="dxa"/>
          </w:tblCellMar>
        </w:tblPrEx>
        <w:trPr>
          <w:trHeight w:val="1845" w:hRule="atLeast"/>
          <w:jc w:val="center"/>
        </w:trPr>
        <w:tc>
          <w:tcPr>
            <w:tcW w:w="909"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141</w:t>
            </w:r>
          </w:p>
        </w:tc>
        <w:tc>
          <w:tcPr>
            <w:tcW w:w="157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9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020604001004</w:t>
            </w:r>
          </w:p>
        </w:tc>
        <w:tc>
          <w:tcPr>
            <w:tcW w:w="5325"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9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金属装饰线</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1.线条材料品种、规格、颜色:10mmT型金属收口</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1.线条制作</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2.安装</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w:t>
            </w:r>
          </w:p>
        </w:tc>
        <w:tc>
          <w:tcPr>
            <w:tcW w:w="990"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117</w:t>
            </w:r>
          </w:p>
        </w:tc>
      </w:tr>
      <w:tr>
        <w:tblPrEx>
          <w:tblCellMar>
            <w:top w:w="0" w:type="dxa"/>
            <w:left w:w="0" w:type="dxa"/>
            <w:bottom w:w="0" w:type="dxa"/>
            <w:right w:w="0" w:type="dxa"/>
          </w:tblCellMar>
        </w:tblPrEx>
        <w:trPr>
          <w:trHeight w:val="345" w:hRule="atLeast"/>
          <w:jc w:val="center"/>
        </w:trPr>
        <w:tc>
          <w:tcPr>
            <w:tcW w:w="909"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290" w:lineRule="exact"/>
              <w:jc w:val="left"/>
              <w:rPr>
                <w:rFonts w:hint="eastAsia" w:ascii="宋体" w:hAnsi="宋体" w:eastAsia="宋体" w:cs="宋体"/>
                <w:i w:val="0"/>
                <w:color w:val="000000"/>
                <w:sz w:val="20"/>
                <w:szCs w:val="20"/>
                <w:u w:val="none"/>
              </w:rPr>
            </w:pPr>
          </w:p>
        </w:tc>
        <w:tc>
          <w:tcPr>
            <w:tcW w:w="157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290" w:lineRule="exact"/>
              <w:jc w:val="left"/>
              <w:rPr>
                <w:rFonts w:hint="eastAsia" w:ascii="宋体" w:hAnsi="宋体" w:eastAsia="宋体" w:cs="宋体"/>
                <w:i w:val="0"/>
                <w:color w:val="000000"/>
                <w:sz w:val="20"/>
                <w:szCs w:val="20"/>
                <w:u w:val="none"/>
              </w:rPr>
            </w:pPr>
          </w:p>
        </w:tc>
        <w:tc>
          <w:tcPr>
            <w:tcW w:w="5325"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9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报告厅</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290" w:lineRule="exact"/>
              <w:jc w:val="center"/>
              <w:rPr>
                <w:rFonts w:hint="eastAsia" w:ascii="宋体" w:hAnsi="宋体" w:eastAsia="宋体" w:cs="宋体"/>
                <w:i w:val="0"/>
                <w:color w:val="000000"/>
                <w:sz w:val="20"/>
                <w:szCs w:val="20"/>
                <w:u w:val="none"/>
              </w:rPr>
            </w:pPr>
          </w:p>
        </w:tc>
        <w:tc>
          <w:tcPr>
            <w:tcW w:w="990"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290" w:lineRule="exact"/>
              <w:jc w:val="center"/>
              <w:rPr>
                <w:rFonts w:hint="eastAsia" w:ascii="宋体" w:hAnsi="宋体" w:eastAsia="宋体" w:cs="宋体"/>
                <w:i w:val="0"/>
                <w:color w:val="000000"/>
                <w:sz w:val="20"/>
                <w:szCs w:val="20"/>
                <w:u w:val="none"/>
              </w:rPr>
            </w:pPr>
          </w:p>
        </w:tc>
      </w:tr>
      <w:tr>
        <w:tblPrEx>
          <w:tblCellMar>
            <w:top w:w="0" w:type="dxa"/>
            <w:left w:w="0" w:type="dxa"/>
            <w:bottom w:w="0" w:type="dxa"/>
            <w:right w:w="0" w:type="dxa"/>
          </w:tblCellMar>
        </w:tblPrEx>
        <w:trPr>
          <w:trHeight w:val="345" w:hRule="atLeast"/>
          <w:jc w:val="center"/>
        </w:trPr>
        <w:tc>
          <w:tcPr>
            <w:tcW w:w="909"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290" w:lineRule="exact"/>
              <w:jc w:val="left"/>
              <w:rPr>
                <w:rFonts w:hint="eastAsia" w:ascii="宋体" w:hAnsi="宋体" w:eastAsia="宋体" w:cs="宋体"/>
                <w:i w:val="0"/>
                <w:color w:val="000000"/>
                <w:sz w:val="20"/>
                <w:szCs w:val="20"/>
                <w:u w:val="none"/>
              </w:rPr>
            </w:pPr>
          </w:p>
        </w:tc>
        <w:tc>
          <w:tcPr>
            <w:tcW w:w="157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9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A.6</w:t>
            </w:r>
          </w:p>
        </w:tc>
        <w:tc>
          <w:tcPr>
            <w:tcW w:w="5325"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9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A.6  金属结构工程</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290" w:lineRule="exact"/>
              <w:jc w:val="center"/>
              <w:rPr>
                <w:rFonts w:hint="eastAsia" w:ascii="宋体" w:hAnsi="宋体" w:eastAsia="宋体" w:cs="宋体"/>
                <w:i w:val="0"/>
                <w:color w:val="000000"/>
                <w:sz w:val="20"/>
                <w:szCs w:val="20"/>
                <w:u w:val="none"/>
              </w:rPr>
            </w:pPr>
          </w:p>
        </w:tc>
        <w:tc>
          <w:tcPr>
            <w:tcW w:w="990"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290" w:lineRule="exact"/>
              <w:jc w:val="center"/>
              <w:rPr>
                <w:rFonts w:hint="eastAsia" w:ascii="宋体" w:hAnsi="宋体" w:eastAsia="宋体" w:cs="宋体"/>
                <w:i w:val="0"/>
                <w:color w:val="000000"/>
                <w:sz w:val="20"/>
                <w:szCs w:val="20"/>
                <w:u w:val="none"/>
              </w:rPr>
            </w:pPr>
          </w:p>
        </w:tc>
      </w:tr>
      <w:tr>
        <w:tblPrEx>
          <w:tblCellMar>
            <w:top w:w="0" w:type="dxa"/>
            <w:left w:w="0" w:type="dxa"/>
            <w:bottom w:w="0" w:type="dxa"/>
            <w:right w:w="0" w:type="dxa"/>
          </w:tblCellMar>
        </w:tblPrEx>
        <w:trPr>
          <w:trHeight w:val="90" w:hRule="atLeast"/>
          <w:jc w:val="center"/>
        </w:trPr>
        <w:tc>
          <w:tcPr>
            <w:tcW w:w="909" w:type="dxa"/>
            <w:tcBorders>
              <w:top w:val="single" w:color="000000" w:sz="4" w:space="0"/>
              <w:left w:val="single" w:color="000000" w:sz="8"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142</w:t>
            </w:r>
          </w:p>
        </w:tc>
        <w:tc>
          <w:tcPr>
            <w:tcW w:w="1579" w:type="dxa"/>
            <w:tcBorders>
              <w:top w:val="single" w:color="000000" w:sz="4" w:space="0"/>
              <w:left w:val="single" w:color="000000" w:sz="4"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9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010606012001</w:t>
            </w:r>
          </w:p>
        </w:tc>
        <w:tc>
          <w:tcPr>
            <w:tcW w:w="5325" w:type="dxa"/>
            <w:gridSpan w:val="3"/>
            <w:tcBorders>
              <w:top w:val="single" w:color="000000" w:sz="4" w:space="0"/>
              <w:left w:val="single" w:color="000000" w:sz="4"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90" w:lineRule="exact"/>
              <w:jc w:val="lef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零星钢构件</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1.做法:16/DT-02</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2.转换层形式:镀锌角钢、¢8吊筋</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1.制作</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2.运输</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3.拼装</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4.安装</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5.探伤</w:t>
            </w:r>
          </w:p>
          <w:p>
            <w:pPr>
              <w:keepNext w:val="0"/>
              <w:keepLines w:val="0"/>
              <w:pageBreakBefore w:val="0"/>
              <w:widowControl/>
              <w:suppressLineNumbers w:val="0"/>
              <w:kinsoku/>
              <w:wordWrap/>
              <w:overflowPunct/>
              <w:topLinePunct w:val="0"/>
              <w:autoSpaceDE/>
              <w:autoSpaceDN/>
              <w:bidi w:val="0"/>
              <w:adjustRightInd/>
              <w:snapToGrid/>
              <w:spacing w:line="29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6.刷油漆</w:t>
            </w:r>
          </w:p>
        </w:tc>
        <w:tc>
          <w:tcPr>
            <w:tcW w:w="975" w:type="dxa"/>
            <w:tcBorders>
              <w:top w:val="single" w:color="000000" w:sz="4" w:space="0"/>
              <w:left w:val="single" w:color="000000" w:sz="4"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t</w:t>
            </w:r>
          </w:p>
        </w:tc>
        <w:tc>
          <w:tcPr>
            <w:tcW w:w="990" w:type="dxa"/>
            <w:tcBorders>
              <w:top w:val="single" w:color="000000" w:sz="4" w:space="0"/>
              <w:left w:val="single" w:color="000000" w:sz="4" w:space="0"/>
              <w:bottom w:val="single" w:color="000000" w:sz="8"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2.593</w:t>
            </w:r>
          </w:p>
        </w:tc>
      </w:tr>
      <w:tr>
        <w:tblPrEx>
          <w:tblCellMar>
            <w:top w:w="0" w:type="dxa"/>
            <w:left w:w="0" w:type="dxa"/>
            <w:bottom w:w="0" w:type="dxa"/>
            <w:right w:w="0" w:type="dxa"/>
          </w:tblCellMar>
        </w:tblPrEx>
        <w:trPr>
          <w:trHeight w:val="345" w:hRule="atLeast"/>
          <w:jc w:val="center"/>
        </w:trPr>
        <w:tc>
          <w:tcPr>
            <w:tcW w:w="909"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rPr>
                <w:rFonts w:hint="eastAsia" w:ascii="宋体" w:hAnsi="宋体" w:eastAsia="宋体" w:cs="宋体"/>
                <w:i w:val="0"/>
                <w:color w:val="000000"/>
                <w:sz w:val="20"/>
                <w:szCs w:val="20"/>
                <w:u w:val="none"/>
              </w:rPr>
            </w:pPr>
          </w:p>
        </w:tc>
        <w:tc>
          <w:tcPr>
            <w:tcW w:w="157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B.1</w:t>
            </w:r>
          </w:p>
        </w:tc>
        <w:tc>
          <w:tcPr>
            <w:tcW w:w="5325"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B.1  楼地面工程</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宋体" w:hAnsi="宋体" w:eastAsia="宋体" w:cs="宋体"/>
                <w:i w:val="0"/>
                <w:color w:val="000000"/>
                <w:sz w:val="20"/>
                <w:szCs w:val="20"/>
                <w:u w:val="none"/>
              </w:rPr>
            </w:pPr>
          </w:p>
        </w:tc>
        <w:tc>
          <w:tcPr>
            <w:tcW w:w="990"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宋体" w:hAnsi="宋体" w:eastAsia="宋体" w:cs="宋体"/>
                <w:i w:val="0"/>
                <w:color w:val="000000"/>
                <w:sz w:val="20"/>
                <w:szCs w:val="20"/>
                <w:u w:val="none"/>
              </w:rPr>
            </w:pPr>
          </w:p>
        </w:tc>
      </w:tr>
      <w:tr>
        <w:tblPrEx>
          <w:tblCellMar>
            <w:top w:w="0" w:type="dxa"/>
            <w:left w:w="0" w:type="dxa"/>
            <w:bottom w:w="0" w:type="dxa"/>
            <w:right w:w="0" w:type="dxa"/>
          </w:tblCellMar>
        </w:tblPrEx>
        <w:trPr>
          <w:trHeight w:val="2865" w:hRule="atLeast"/>
          <w:jc w:val="center"/>
        </w:trPr>
        <w:tc>
          <w:tcPr>
            <w:tcW w:w="909"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143</w:t>
            </w:r>
          </w:p>
        </w:tc>
        <w:tc>
          <w:tcPr>
            <w:tcW w:w="157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020101001004</w:t>
            </w:r>
          </w:p>
        </w:tc>
        <w:tc>
          <w:tcPr>
            <w:tcW w:w="5325"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水泥自流平地面</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1.做法:36/DT-05</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2.找平层厚度、砂浆配合比:界面剂、细石混凝土找平层</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3.面层厚度、砂浆配合比:20厚水泥砂浆1:2.5</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1.基层清理</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2.抹找平层</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3.抹面层</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4.材料运输</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m2</w:t>
            </w:r>
          </w:p>
        </w:tc>
        <w:tc>
          <w:tcPr>
            <w:tcW w:w="990"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84.21</w:t>
            </w:r>
          </w:p>
        </w:tc>
      </w:tr>
      <w:tr>
        <w:tblPrEx>
          <w:tblCellMar>
            <w:top w:w="0" w:type="dxa"/>
            <w:left w:w="0" w:type="dxa"/>
            <w:bottom w:w="0" w:type="dxa"/>
            <w:right w:w="0" w:type="dxa"/>
          </w:tblCellMar>
        </w:tblPrEx>
        <w:trPr>
          <w:trHeight w:val="2610" w:hRule="atLeast"/>
          <w:jc w:val="center"/>
        </w:trPr>
        <w:tc>
          <w:tcPr>
            <w:tcW w:w="909"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144</w:t>
            </w:r>
          </w:p>
        </w:tc>
        <w:tc>
          <w:tcPr>
            <w:tcW w:w="157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020103001005</w:t>
            </w:r>
          </w:p>
        </w:tc>
        <w:tc>
          <w:tcPr>
            <w:tcW w:w="5325"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橡胶板楼地面</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1.做法:36/DT-05</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2.粘结层厚度、材料种类:专用胶粘贴</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3.面层材料品种、规格、品牌、颜色:3mm灰色塑胶地板（PL-01）</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1.基层清理</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2.面层铺贴</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3.材料运输</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m2</w:t>
            </w:r>
          </w:p>
        </w:tc>
        <w:tc>
          <w:tcPr>
            <w:tcW w:w="990"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84.21</w:t>
            </w:r>
          </w:p>
        </w:tc>
      </w:tr>
      <w:tr>
        <w:tblPrEx>
          <w:tblCellMar>
            <w:top w:w="0" w:type="dxa"/>
            <w:left w:w="0" w:type="dxa"/>
            <w:bottom w:w="0" w:type="dxa"/>
            <w:right w:w="0" w:type="dxa"/>
          </w:tblCellMar>
        </w:tblPrEx>
        <w:trPr>
          <w:trHeight w:val="3630" w:hRule="atLeast"/>
          <w:jc w:val="center"/>
        </w:trPr>
        <w:tc>
          <w:tcPr>
            <w:tcW w:w="909"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145</w:t>
            </w:r>
          </w:p>
        </w:tc>
        <w:tc>
          <w:tcPr>
            <w:tcW w:w="157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020103001006</w:t>
            </w:r>
          </w:p>
        </w:tc>
        <w:tc>
          <w:tcPr>
            <w:tcW w:w="5325"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橡胶板楼地面</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1.做法:34/DT-05</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2.基层材料种类、规格:18MM阻燃板基层</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3.粘结层厚度、材料种类:专用胶粘贴</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4.面层材料品种、规格、品牌、颜色:3mm灰色塑胶地板（PL-01）</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5.压线条种类:定制专业45MM地胶防滑收口条</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1.基层清理</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2.基层板铺设</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3.面层铺贴</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4.压缝条装钉</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5.材料运输</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m2</w:t>
            </w:r>
          </w:p>
        </w:tc>
        <w:tc>
          <w:tcPr>
            <w:tcW w:w="990"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225.16</w:t>
            </w:r>
          </w:p>
        </w:tc>
      </w:tr>
      <w:tr>
        <w:tblPrEx>
          <w:tblCellMar>
            <w:top w:w="0" w:type="dxa"/>
            <w:left w:w="0" w:type="dxa"/>
            <w:bottom w:w="0" w:type="dxa"/>
            <w:right w:w="0" w:type="dxa"/>
          </w:tblCellMar>
        </w:tblPrEx>
        <w:trPr>
          <w:trHeight w:val="90" w:hRule="atLeast"/>
          <w:jc w:val="center"/>
        </w:trPr>
        <w:tc>
          <w:tcPr>
            <w:tcW w:w="909" w:type="dxa"/>
            <w:tcBorders>
              <w:top w:val="single" w:color="000000" w:sz="4" w:space="0"/>
              <w:left w:val="single" w:color="000000" w:sz="8"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146</w:t>
            </w:r>
          </w:p>
        </w:tc>
        <w:tc>
          <w:tcPr>
            <w:tcW w:w="1579" w:type="dxa"/>
            <w:tcBorders>
              <w:top w:val="single" w:color="000000" w:sz="4" w:space="0"/>
              <w:left w:val="single" w:color="000000" w:sz="4"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020103001007</w:t>
            </w:r>
          </w:p>
        </w:tc>
        <w:tc>
          <w:tcPr>
            <w:tcW w:w="5325" w:type="dxa"/>
            <w:gridSpan w:val="3"/>
            <w:tcBorders>
              <w:top w:val="single" w:color="000000" w:sz="4" w:space="0"/>
              <w:left w:val="single" w:color="000000" w:sz="4"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橡胶板台阶</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1.做法:34/DT-05</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2.龙骨材料种类、规格、铺设间距:30*40木龙骨(防火三遍防腐处理)</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3.基层材料种类、规格:18MM阻燃板基层</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4.粘结层厚度、材料种类:专用胶粘贴</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5.面层材料品种、规格、品牌、颜色:3mm灰色塑胶地板（PL-01）</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6.压线条种类:定制专业45MM地胶防滑收口条</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1.基层清理</w:t>
            </w:r>
          </w:p>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2.龙骨铺设</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3.基层铺设</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4.面层铺贴</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5.压缝条装钉</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6.材料运输</w:t>
            </w:r>
          </w:p>
        </w:tc>
        <w:tc>
          <w:tcPr>
            <w:tcW w:w="975" w:type="dxa"/>
            <w:tcBorders>
              <w:top w:val="single" w:color="000000" w:sz="4" w:space="0"/>
              <w:left w:val="single" w:color="000000" w:sz="4"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m2</w:t>
            </w:r>
          </w:p>
        </w:tc>
        <w:tc>
          <w:tcPr>
            <w:tcW w:w="990" w:type="dxa"/>
            <w:tcBorders>
              <w:top w:val="single" w:color="000000" w:sz="4" w:space="0"/>
              <w:left w:val="single" w:color="000000" w:sz="4" w:space="0"/>
              <w:bottom w:val="single" w:color="000000" w:sz="8"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8.21</w:t>
            </w:r>
          </w:p>
        </w:tc>
      </w:tr>
      <w:tr>
        <w:tblPrEx>
          <w:tblCellMar>
            <w:top w:w="0" w:type="dxa"/>
            <w:left w:w="0" w:type="dxa"/>
            <w:bottom w:w="0" w:type="dxa"/>
            <w:right w:w="0" w:type="dxa"/>
          </w:tblCellMar>
        </w:tblPrEx>
        <w:trPr>
          <w:trHeight w:val="3885" w:hRule="atLeast"/>
          <w:jc w:val="center"/>
        </w:trPr>
        <w:tc>
          <w:tcPr>
            <w:tcW w:w="909"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147</w:t>
            </w:r>
          </w:p>
        </w:tc>
        <w:tc>
          <w:tcPr>
            <w:tcW w:w="157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020104002003</w:t>
            </w:r>
          </w:p>
        </w:tc>
        <w:tc>
          <w:tcPr>
            <w:tcW w:w="5325"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竹木地板</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1.做法:36/DT-05</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2.龙骨材料种类、规格、铺设间距:40*70木龙骨(防火三遍防腐处理)</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3.基层材料种类、规格:双层18MM阻燃板基层</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4.面层材料品种、规格、品牌、颜色:25mm木地板(WF-01)</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1.基层清理</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2.龙骨铺设</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3.铺设基层</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4.面层铺贴</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5.刷防护材料</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6.材料运输</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m2</w:t>
            </w:r>
          </w:p>
        </w:tc>
        <w:tc>
          <w:tcPr>
            <w:tcW w:w="990"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57.77</w:t>
            </w:r>
          </w:p>
        </w:tc>
      </w:tr>
      <w:tr>
        <w:tblPrEx>
          <w:tblCellMar>
            <w:top w:w="0" w:type="dxa"/>
            <w:left w:w="0" w:type="dxa"/>
            <w:bottom w:w="0" w:type="dxa"/>
            <w:right w:w="0" w:type="dxa"/>
          </w:tblCellMar>
        </w:tblPrEx>
        <w:trPr>
          <w:trHeight w:val="3120" w:hRule="atLeast"/>
          <w:jc w:val="center"/>
        </w:trPr>
        <w:tc>
          <w:tcPr>
            <w:tcW w:w="909"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148</w:t>
            </w:r>
          </w:p>
        </w:tc>
        <w:tc>
          <w:tcPr>
            <w:tcW w:w="157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020105006011</w:t>
            </w:r>
          </w:p>
        </w:tc>
        <w:tc>
          <w:tcPr>
            <w:tcW w:w="5325"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木质装饰板(舞台侧收口)</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1.做法:36/DT-05</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2.高度:335mm</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3.基层材料种类、规格:18MM阻燃板基层</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4.面层材料品种、规格、品牌、颜色:15MM厚白色烤漆板(WD-08)</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1.基层清理</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2.基层铺贴</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3.面层铺贴</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4.材料运输</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m2</w:t>
            </w:r>
          </w:p>
        </w:tc>
        <w:tc>
          <w:tcPr>
            <w:tcW w:w="990"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5.33</w:t>
            </w:r>
          </w:p>
        </w:tc>
      </w:tr>
      <w:tr>
        <w:tblPrEx>
          <w:tblCellMar>
            <w:top w:w="0" w:type="dxa"/>
            <w:left w:w="0" w:type="dxa"/>
            <w:bottom w:w="0" w:type="dxa"/>
            <w:right w:w="0" w:type="dxa"/>
          </w:tblCellMar>
        </w:tblPrEx>
        <w:trPr>
          <w:trHeight w:val="3120" w:hRule="atLeast"/>
          <w:jc w:val="center"/>
        </w:trPr>
        <w:tc>
          <w:tcPr>
            <w:tcW w:w="909"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149</w:t>
            </w:r>
          </w:p>
        </w:tc>
        <w:tc>
          <w:tcPr>
            <w:tcW w:w="157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020105007004</w:t>
            </w:r>
          </w:p>
        </w:tc>
        <w:tc>
          <w:tcPr>
            <w:tcW w:w="5325"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金属踢脚线</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1.做法:36/DT-05</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2.踢脚线高度:110mm</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3.基层材料种类、规格:18MM阻燃板基层</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4.面层材料品种、规格、品牌、颜色:110MM黑色不锈钢踢脚（MT-03）</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1.基层清理</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2.基层铺贴</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3.面层铺贴</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4.材料运输</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m2</w:t>
            </w:r>
          </w:p>
        </w:tc>
        <w:tc>
          <w:tcPr>
            <w:tcW w:w="990"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1.75</w:t>
            </w:r>
          </w:p>
        </w:tc>
      </w:tr>
      <w:tr>
        <w:tblPrEx>
          <w:tblCellMar>
            <w:top w:w="0" w:type="dxa"/>
            <w:left w:w="0" w:type="dxa"/>
            <w:bottom w:w="0" w:type="dxa"/>
            <w:right w:w="0" w:type="dxa"/>
          </w:tblCellMar>
        </w:tblPrEx>
        <w:trPr>
          <w:trHeight w:val="967" w:hRule="atLeast"/>
          <w:jc w:val="center"/>
        </w:trPr>
        <w:tc>
          <w:tcPr>
            <w:tcW w:w="909" w:type="dxa"/>
            <w:tcBorders>
              <w:top w:val="single" w:color="000000" w:sz="4" w:space="0"/>
              <w:left w:val="single" w:color="000000" w:sz="8"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150</w:t>
            </w:r>
          </w:p>
        </w:tc>
        <w:tc>
          <w:tcPr>
            <w:tcW w:w="1579" w:type="dxa"/>
            <w:tcBorders>
              <w:top w:val="single" w:color="000000" w:sz="4" w:space="0"/>
              <w:left w:val="single" w:color="000000" w:sz="4"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020105007005</w:t>
            </w:r>
          </w:p>
        </w:tc>
        <w:tc>
          <w:tcPr>
            <w:tcW w:w="5325" w:type="dxa"/>
            <w:gridSpan w:val="3"/>
            <w:tcBorders>
              <w:top w:val="single" w:color="000000" w:sz="4" w:space="0"/>
              <w:left w:val="single" w:color="000000" w:sz="4"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90" w:lineRule="exact"/>
              <w:jc w:val="lef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金属踢脚线</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1.做法:36/DT-05</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2.踢脚线高度:80mm</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3.基层材料种类、规格:18MM阻燃板基层</w:t>
            </w:r>
          </w:p>
          <w:p>
            <w:pPr>
              <w:keepNext w:val="0"/>
              <w:keepLines w:val="0"/>
              <w:pageBreakBefore w:val="0"/>
              <w:widowControl/>
              <w:suppressLineNumbers w:val="0"/>
              <w:kinsoku/>
              <w:wordWrap/>
              <w:overflowPunct/>
              <w:topLinePunct w:val="0"/>
              <w:autoSpaceDE/>
              <w:autoSpaceDN/>
              <w:bidi w:val="0"/>
              <w:adjustRightInd/>
              <w:snapToGrid/>
              <w:spacing w:line="29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4.面层材料品种、规格、品牌、颜色:80MM黑色不锈钢踢脚（MT-03）</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1.基层清理</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2.基层铺贴</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3.面层铺贴</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4.材料运输</w:t>
            </w:r>
          </w:p>
        </w:tc>
        <w:tc>
          <w:tcPr>
            <w:tcW w:w="975" w:type="dxa"/>
            <w:tcBorders>
              <w:top w:val="single" w:color="000000" w:sz="4" w:space="0"/>
              <w:left w:val="single" w:color="000000" w:sz="4"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m2</w:t>
            </w:r>
          </w:p>
        </w:tc>
        <w:tc>
          <w:tcPr>
            <w:tcW w:w="990" w:type="dxa"/>
            <w:tcBorders>
              <w:top w:val="single" w:color="000000" w:sz="4" w:space="0"/>
              <w:left w:val="single" w:color="000000" w:sz="4" w:space="0"/>
              <w:bottom w:val="single" w:color="000000" w:sz="8"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1.5</w:t>
            </w:r>
          </w:p>
        </w:tc>
      </w:tr>
      <w:tr>
        <w:tblPrEx>
          <w:tblCellMar>
            <w:top w:w="0" w:type="dxa"/>
            <w:left w:w="0" w:type="dxa"/>
            <w:bottom w:w="0" w:type="dxa"/>
            <w:right w:w="0" w:type="dxa"/>
          </w:tblCellMar>
        </w:tblPrEx>
        <w:trPr>
          <w:trHeight w:val="90" w:hRule="atLeast"/>
          <w:jc w:val="center"/>
        </w:trPr>
        <w:tc>
          <w:tcPr>
            <w:tcW w:w="909"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151</w:t>
            </w:r>
          </w:p>
        </w:tc>
        <w:tc>
          <w:tcPr>
            <w:tcW w:w="157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020108001002</w:t>
            </w:r>
          </w:p>
        </w:tc>
        <w:tc>
          <w:tcPr>
            <w:tcW w:w="5325"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9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石材台阶面（舞台平面）</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1.做法:36/DT-05</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2.基层材料种类、规格:双层18MM阻燃板基层</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3.面层材料品种、规格、品牌、颜色:双层15mm厚大理石（ST-01)</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1.基层清理</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2.铺设基层</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3.面层铺贴</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4.贴嵌防滑条</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5.勾缝</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6.刷防护材料</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7.材料运输</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m2</w:t>
            </w:r>
          </w:p>
        </w:tc>
        <w:tc>
          <w:tcPr>
            <w:tcW w:w="990"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1.35</w:t>
            </w:r>
          </w:p>
        </w:tc>
      </w:tr>
      <w:tr>
        <w:tblPrEx>
          <w:tblCellMar>
            <w:top w:w="0" w:type="dxa"/>
            <w:left w:w="0" w:type="dxa"/>
            <w:bottom w:w="0" w:type="dxa"/>
            <w:right w:w="0" w:type="dxa"/>
          </w:tblCellMar>
        </w:tblPrEx>
        <w:trPr>
          <w:trHeight w:val="2865" w:hRule="atLeast"/>
          <w:jc w:val="center"/>
        </w:trPr>
        <w:tc>
          <w:tcPr>
            <w:tcW w:w="909"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152</w:t>
            </w:r>
          </w:p>
        </w:tc>
        <w:tc>
          <w:tcPr>
            <w:tcW w:w="157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020108001003</w:t>
            </w:r>
          </w:p>
        </w:tc>
        <w:tc>
          <w:tcPr>
            <w:tcW w:w="5325"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9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石材台阶面（舞台侧面）</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1.做法:36/DT-05</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2.面层材料品种、规格、品牌、颜色:15mm厚凹型大理石（ST-01)</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1.基层清理</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2.面层铺贴</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3.勾缝</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4.刷防护材料</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5.材料运输</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m2</w:t>
            </w:r>
          </w:p>
        </w:tc>
        <w:tc>
          <w:tcPr>
            <w:tcW w:w="990"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0.56</w:t>
            </w:r>
          </w:p>
        </w:tc>
      </w:tr>
      <w:tr>
        <w:tblPrEx>
          <w:tblCellMar>
            <w:top w:w="0" w:type="dxa"/>
            <w:left w:w="0" w:type="dxa"/>
            <w:bottom w:w="0" w:type="dxa"/>
            <w:right w:w="0" w:type="dxa"/>
          </w:tblCellMar>
        </w:tblPrEx>
        <w:trPr>
          <w:trHeight w:val="242" w:hRule="atLeast"/>
          <w:jc w:val="center"/>
        </w:trPr>
        <w:tc>
          <w:tcPr>
            <w:tcW w:w="909"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153</w:t>
            </w:r>
          </w:p>
        </w:tc>
        <w:tc>
          <w:tcPr>
            <w:tcW w:w="157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020108001004</w:t>
            </w:r>
          </w:p>
        </w:tc>
        <w:tc>
          <w:tcPr>
            <w:tcW w:w="5325"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90" w:lineRule="exact"/>
              <w:jc w:val="left"/>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石材台阶面</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1.做法:35/DT-05</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2.龙骨材料种类、规格、铺设间距:30*30MM镀锌角钢</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3.基层材料种类、规格:18MM阻燃板基层</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4.面层材料品种、规格、品牌、颜色:15mm厚大理石（ST-01)</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1.基层清理</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2.龙骨铺设</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3.铺设基层</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4.面层铺贴</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5.贴嵌防滑条</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6.勾缝</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7.刷防护材料</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8.材料运输</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m2</w:t>
            </w:r>
          </w:p>
        </w:tc>
        <w:tc>
          <w:tcPr>
            <w:tcW w:w="990"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1.54</w:t>
            </w:r>
          </w:p>
        </w:tc>
      </w:tr>
      <w:tr>
        <w:tblPrEx>
          <w:tblCellMar>
            <w:top w:w="0" w:type="dxa"/>
            <w:left w:w="0" w:type="dxa"/>
            <w:bottom w:w="0" w:type="dxa"/>
            <w:right w:w="0" w:type="dxa"/>
          </w:tblCellMar>
        </w:tblPrEx>
        <w:trPr>
          <w:trHeight w:val="345" w:hRule="atLeast"/>
          <w:jc w:val="center"/>
        </w:trPr>
        <w:tc>
          <w:tcPr>
            <w:tcW w:w="909"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rPr>
                <w:rFonts w:hint="eastAsia" w:ascii="宋体" w:hAnsi="宋体" w:eastAsia="宋体" w:cs="宋体"/>
                <w:i w:val="0"/>
                <w:color w:val="000000"/>
                <w:sz w:val="20"/>
                <w:szCs w:val="20"/>
                <w:u w:val="none"/>
              </w:rPr>
            </w:pPr>
          </w:p>
        </w:tc>
        <w:tc>
          <w:tcPr>
            <w:tcW w:w="157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B.2</w:t>
            </w:r>
          </w:p>
        </w:tc>
        <w:tc>
          <w:tcPr>
            <w:tcW w:w="5325"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B.2  墙、柱面工程</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宋体" w:hAnsi="宋体" w:eastAsia="宋体" w:cs="宋体"/>
                <w:i w:val="0"/>
                <w:color w:val="000000"/>
                <w:sz w:val="20"/>
                <w:szCs w:val="20"/>
                <w:u w:val="none"/>
              </w:rPr>
            </w:pPr>
          </w:p>
        </w:tc>
        <w:tc>
          <w:tcPr>
            <w:tcW w:w="990"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宋体" w:hAnsi="宋体" w:eastAsia="宋体" w:cs="宋体"/>
                <w:i w:val="0"/>
                <w:color w:val="000000"/>
                <w:sz w:val="20"/>
                <w:szCs w:val="20"/>
                <w:u w:val="none"/>
              </w:rPr>
            </w:pPr>
          </w:p>
        </w:tc>
      </w:tr>
      <w:tr>
        <w:tblPrEx>
          <w:tblCellMar>
            <w:top w:w="0" w:type="dxa"/>
            <w:left w:w="0" w:type="dxa"/>
            <w:bottom w:w="0" w:type="dxa"/>
            <w:right w:w="0" w:type="dxa"/>
          </w:tblCellMar>
        </w:tblPrEx>
        <w:trPr>
          <w:trHeight w:val="2865" w:hRule="atLeast"/>
          <w:jc w:val="center"/>
        </w:trPr>
        <w:tc>
          <w:tcPr>
            <w:tcW w:w="909"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154</w:t>
            </w:r>
          </w:p>
        </w:tc>
        <w:tc>
          <w:tcPr>
            <w:tcW w:w="157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020207001028</w:t>
            </w:r>
          </w:p>
        </w:tc>
        <w:tc>
          <w:tcPr>
            <w:tcW w:w="5325"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装饰板墙面</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1.做法:20/DT-02</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2.基层材料种类、规格:15MM阻燃板基层</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3.面层材料品种、规格、品牌、颜色:40mm厚声学扩散体吸音板</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1.基层清理</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2.基层铺钉</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3.面层铺贴</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4.刷防护材料、油漆</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m2</w:t>
            </w:r>
          </w:p>
        </w:tc>
        <w:tc>
          <w:tcPr>
            <w:tcW w:w="990"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71.02</w:t>
            </w:r>
          </w:p>
        </w:tc>
      </w:tr>
      <w:tr>
        <w:tblPrEx>
          <w:tblCellMar>
            <w:top w:w="0" w:type="dxa"/>
            <w:left w:w="0" w:type="dxa"/>
            <w:bottom w:w="0" w:type="dxa"/>
            <w:right w:w="0" w:type="dxa"/>
          </w:tblCellMar>
        </w:tblPrEx>
        <w:trPr>
          <w:trHeight w:val="3630" w:hRule="atLeast"/>
          <w:jc w:val="center"/>
        </w:trPr>
        <w:tc>
          <w:tcPr>
            <w:tcW w:w="909"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155</w:t>
            </w:r>
          </w:p>
        </w:tc>
        <w:tc>
          <w:tcPr>
            <w:tcW w:w="157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020207001029</w:t>
            </w:r>
          </w:p>
        </w:tc>
        <w:tc>
          <w:tcPr>
            <w:tcW w:w="5325"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装饰板墙面</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1.做法:37/DT-05</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2.龙骨材料种类、规格、中距:30*40木龙骨(防火三遍防腐处理)</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3.基层材料种类、规格:15MM阻燃板基层</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4.面层材料品种、规格、品牌、颜色:5mm成品深色木饰面（WD-04）</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1.基层清理</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2.龙骨制作、运输、安装</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3.基层铺钉</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4.面层铺贴</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5.刷防护材料、油漆</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m2</w:t>
            </w:r>
          </w:p>
        </w:tc>
        <w:tc>
          <w:tcPr>
            <w:tcW w:w="990"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18.21</w:t>
            </w:r>
          </w:p>
        </w:tc>
      </w:tr>
      <w:tr>
        <w:tblPrEx>
          <w:tblCellMar>
            <w:top w:w="0" w:type="dxa"/>
            <w:left w:w="0" w:type="dxa"/>
            <w:bottom w:w="0" w:type="dxa"/>
            <w:right w:w="0" w:type="dxa"/>
          </w:tblCellMar>
        </w:tblPrEx>
        <w:trPr>
          <w:trHeight w:val="3630" w:hRule="atLeast"/>
          <w:jc w:val="center"/>
        </w:trPr>
        <w:tc>
          <w:tcPr>
            <w:tcW w:w="909"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156</w:t>
            </w:r>
          </w:p>
        </w:tc>
        <w:tc>
          <w:tcPr>
            <w:tcW w:w="157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020207001030</w:t>
            </w:r>
          </w:p>
        </w:tc>
        <w:tc>
          <w:tcPr>
            <w:tcW w:w="5325"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装饰板墙面</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1.做法:37/DT-05</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2.龙骨材料种类、规格、中距:30*40木龙骨(防火三遍防腐处理)</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3.基层材料种类、规格:15MM阻燃板基层</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4.面层材料品种、规格、品牌、颜色:6mm白色木纹木饰面</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1.基层清理</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2.龙骨制作、运输、安装</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3.基层铺钉</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4.面层铺贴</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5.刷防护材料、油漆</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m2</w:t>
            </w:r>
          </w:p>
        </w:tc>
        <w:tc>
          <w:tcPr>
            <w:tcW w:w="990"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23.84</w:t>
            </w:r>
          </w:p>
        </w:tc>
      </w:tr>
      <w:tr>
        <w:tblPrEx>
          <w:tblCellMar>
            <w:top w:w="0" w:type="dxa"/>
            <w:left w:w="0" w:type="dxa"/>
            <w:bottom w:w="0" w:type="dxa"/>
            <w:right w:w="0" w:type="dxa"/>
          </w:tblCellMar>
        </w:tblPrEx>
        <w:trPr>
          <w:trHeight w:val="1447" w:hRule="atLeast"/>
          <w:jc w:val="center"/>
        </w:trPr>
        <w:tc>
          <w:tcPr>
            <w:tcW w:w="909" w:type="dxa"/>
            <w:tcBorders>
              <w:top w:val="single" w:color="000000" w:sz="4" w:space="0"/>
              <w:left w:val="single" w:color="000000" w:sz="8"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157</w:t>
            </w:r>
          </w:p>
        </w:tc>
        <w:tc>
          <w:tcPr>
            <w:tcW w:w="1579" w:type="dxa"/>
            <w:tcBorders>
              <w:top w:val="single" w:color="000000" w:sz="4" w:space="0"/>
              <w:left w:val="single" w:color="000000" w:sz="4"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020207001031</w:t>
            </w:r>
          </w:p>
        </w:tc>
        <w:tc>
          <w:tcPr>
            <w:tcW w:w="5325" w:type="dxa"/>
            <w:gridSpan w:val="3"/>
            <w:tcBorders>
              <w:top w:val="single" w:color="000000" w:sz="4" w:space="0"/>
              <w:left w:val="single" w:color="000000" w:sz="4"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装饰板墙面</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1.做法:37/DT-05</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2.龙骨材料种类、规格、中距:30*40木龙骨(防火三遍防腐处理)</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3.基层材料种类、规格:15MM阻燃板基层</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4.面层材料品种、规格、品牌、颜色:5mm成品白色木饰面（WD-03）</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1.基层清理</w:t>
            </w:r>
          </w:p>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2.龙骨制作、运输、安装</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3.基层铺钉</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4.面层铺贴</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5.刷防护材料、油漆</w:t>
            </w:r>
          </w:p>
        </w:tc>
        <w:tc>
          <w:tcPr>
            <w:tcW w:w="975" w:type="dxa"/>
            <w:tcBorders>
              <w:top w:val="single" w:color="000000" w:sz="4" w:space="0"/>
              <w:left w:val="single" w:color="000000" w:sz="4"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m2</w:t>
            </w:r>
          </w:p>
        </w:tc>
        <w:tc>
          <w:tcPr>
            <w:tcW w:w="990" w:type="dxa"/>
            <w:tcBorders>
              <w:top w:val="single" w:color="000000" w:sz="4" w:space="0"/>
              <w:left w:val="single" w:color="000000" w:sz="4" w:space="0"/>
              <w:bottom w:val="single" w:color="000000" w:sz="8"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3.43</w:t>
            </w:r>
          </w:p>
        </w:tc>
      </w:tr>
      <w:tr>
        <w:tblPrEx>
          <w:tblCellMar>
            <w:top w:w="0" w:type="dxa"/>
            <w:left w:w="0" w:type="dxa"/>
            <w:bottom w:w="0" w:type="dxa"/>
            <w:right w:w="0" w:type="dxa"/>
          </w:tblCellMar>
        </w:tblPrEx>
        <w:trPr>
          <w:trHeight w:val="2865" w:hRule="atLeast"/>
          <w:jc w:val="center"/>
        </w:trPr>
        <w:tc>
          <w:tcPr>
            <w:tcW w:w="909"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158</w:t>
            </w:r>
          </w:p>
        </w:tc>
        <w:tc>
          <w:tcPr>
            <w:tcW w:w="157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020207001032</w:t>
            </w:r>
          </w:p>
        </w:tc>
        <w:tc>
          <w:tcPr>
            <w:tcW w:w="5325"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装饰板墙面</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1.做法:41/DT-06</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2.基层材料种类、规格:15MM阻燃板基层</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3.面层材料品种、规格、品牌、颜色:6MM厚吸音板</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1.基层清理</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2.基层铺钉</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3.面层铺贴</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4.刷防护材料、油漆</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m2</w:t>
            </w:r>
          </w:p>
        </w:tc>
        <w:tc>
          <w:tcPr>
            <w:tcW w:w="990"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37.53</w:t>
            </w:r>
          </w:p>
        </w:tc>
      </w:tr>
      <w:tr>
        <w:tblPrEx>
          <w:tblCellMar>
            <w:top w:w="0" w:type="dxa"/>
            <w:left w:w="0" w:type="dxa"/>
            <w:bottom w:w="0" w:type="dxa"/>
            <w:right w:w="0" w:type="dxa"/>
          </w:tblCellMar>
        </w:tblPrEx>
        <w:trPr>
          <w:trHeight w:val="3885" w:hRule="atLeast"/>
          <w:jc w:val="center"/>
        </w:trPr>
        <w:tc>
          <w:tcPr>
            <w:tcW w:w="909"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159</w:t>
            </w:r>
          </w:p>
        </w:tc>
        <w:tc>
          <w:tcPr>
            <w:tcW w:w="157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020207001033</w:t>
            </w:r>
          </w:p>
        </w:tc>
        <w:tc>
          <w:tcPr>
            <w:tcW w:w="5325"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装饰板墙面</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1.做法:24/DT-03</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2.基层材料种类、规格:15MM阻燃板基层</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3.龙骨材料种类、规格、中距:木挂条(防火三遍防腐处理)</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4.基层材料种类、规格:9MM阻燃板基层</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5.面层材料品种、规格、品牌、颜色:软包饰面</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1.基层清理</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2.龙骨制作、运输、安装</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3.基层铺钉</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4.面层铺贴</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5.刷防护材料、油漆</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m2</w:t>
            </w:r>
          </w:p>
        </w:tc>
        <w:tc>
          <w:tcPr>
            <w:tcW w:w="990"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44.1</w:t>
            </w:r>
          </w:p>
        </w:tc>
      </w:tr>
      <w:tr>
        <w:tblPrEx>
          <w:tblCellMar>
            <w:top w:w="0" w:type="dxa"/>
            <w:left w:w="0" w:type="dxa"/>
            <w:bottom w:w="0" w:type="dxa"/>
            <w:right w:w="0" w:type="dxa"/>
          </w:tblCellMar>
        </w:tblPrEx>
        <w:trPr>
          <w:trHeight w:val="3630" w:hRule="atLeast"/>
          <w:jc w:val="center"/>
        </w:trPr>
        <w:tc>
          <w:tcPr>
            <w:tcW w:w="909"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160</w:t>
            </w:r>
          </w:p>
        </w:tc>
        <w:tc>
          <w:tcPr>
            <w:tcW w:w="157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020207001034</w:t>
            </w:r>
          </w:p>
        </w:tc>
        <w:tc>
          <w:tcPr>
            <w:tcW w:w="5325"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装饰板墙面</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1.做法:30/DT-04</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2.龙骨材料种类、规格、中距:30*40木龙骨(防火三遍防腐处理)</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3.基层材料种类、规格:15MM阻燃板基层</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4.面层材料品种、规格、品牌、颜色:6MM厚吸音板</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1.基层清理</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2.龙骨制作、运输、安装</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3.基层铺钉</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4.面层铺贴</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5.刷防护材料、油漆</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m2</w:t>
            </w:r>
          </w:p>
        </w:tc>
        <w:tc>
          <w:tcPr>
            <w:tcW w:w="990"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42.24</w:t>
            </w:r>
          </w:p>
        </w:tc>
      </w:tr>
      <w:tr>
        <w:tblPrEx>
          <w:tblCellMar>
            <w:top w:w="0" w:type="dxa"/>
            <w:left w:w="0" w:type="dxa"/>
            <w:bottom w:w="0" w:type="dxa"/>
            <w:right w:w="0" w:type="dxa"/>
          </w:tblCellMar>
        </w:tblPrEx>
        <w:trPr>
          <w:trHeight w:val="202" w:hRule="atLeast"/>
          <w:jc w:val="center"/>
        </w:trPr>
        <w:tc>
          <w:tcPr>
            <w:tcW w:w="909" w:type="dxa"/>
            <w:tcBorders>
              <w:top w:val="single" w:color="000000" w:sz="4" w:space="0"/>
              <w:left w:val="single" w:color="000000" w:sz="8"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161</w:t>
            </w:r>
          </w:p>
        </w:tc>
        <w:tc>
          <w:tcPr>
            <w:tcW w:w="1579" w:type="dxa"/>
            <w:tcBorders>
              <w:top w:val="single" w:color="000000" w:sz="4" w:space="0"/>
              <w:left w:val="single" w:color="000000" w:sz="4"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020207001035</w:t>
            </w:r>
          </w:p>
        </w:tc>
        <w:tc>
          <w:tcPr>
            <w:tcW w:w="5325" w:type="dxa"/>
            <w:gridSpan w:val="3"/>
            <w:tcBorders>
              <w:top w:val="single" w:color="000000" w:sz="4" w:space="0"/>
              <w:left w:val="single" w:color="000000" w:sz="4"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装饰板墙面</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1.做法:30/DT-04</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2.基层材料种类、规格:15MM阻燃板基层</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3.面层材料品种、规格、品牌、颜色:5mm成品</w:t>
            </w:r>
          </w:p>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深色木饰面（WD-04）</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1.基层清理</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2.基层铺钉</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3.面层铺贴</w:t>
            </w:r>
          </w:p>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4.刷防护材料、油漆</w:t>
            </w:r>
          </w:p>
        </w:tc>
        <w:tc>
          <w:tcPr>
            <w:tcW w:w="975" w:type="dxa"/>
            <w:tcBorders>
              <w:top w:val="single" w:color="000000" w:sz="4" w:space="0"/>
              <w:left w:val="single" w:color="000000" w:sz="4"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m2</w:t>
            </w:r>
          </w:p>
        </w:tc>
        <w:tc>
          <w:tcPr>
            <w:tcW w:w="990" w:type="dxa"/>
            <w:tcBorders>
              <w:top w:val="single" w:color="000000" w:sz="4" w:space="0"/>
              <w:left w:val="single" w:color="000000" w:sz="4" w:space="0"/>
              <w:bottom w:val="single" w:color="000000" w:sz="8"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7.31</w:t>
            </w:r>
          </w:p>
        </w:tc>
      </w:tr>
      <w:tr>
        <w:tblPrEx>
          <w:tblCellMar>
            <w:top w:w="0" w:type="dxa"/>
            <w:left w:w="0" w:type="dxa"/>
            <w:bottom w:w="0" w:type="dxa"/>
            <w:right w:w="0" w:type="dxa"/>
          </w:tblCellMar>
        </w:tblPrEx>
        <w:trPr>
          <w:trHeight w:val="3630" w:hRule="atLeast"/>
          <w:jc w:val="center"/>
        </w:trPr>
        <w:tc>
          <w:tcPr>
            <w:tcW w:w="909"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162</w:t>
            </w:r>
          </w:p>
        </w:tc>
        <w:tc>
          <w:tcPr>
            <w:tcW w:w="157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020207001036</w:t>
            </w:r>
          </w:p>
        </w:tc>
        <w:tc>
          <w:tcPr>
            <w:tcW w:w="5325"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装饰板墙面</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1.做法:30/DT-04</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2.龙骨材料种类、规格、中距:30*30*3镀锌角钢</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3.基层材料种类、规格:15MM阻燃板基层</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4.面层材料品种、规格、品牌、颜色:6MM厚吸音板</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1.基层清理</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2.龙骨制作、运输、安装</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3.基层铺钉</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4.面层铺贴</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5.刷防护材料、油漆</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m2</w:t>
            </w:r>
          </w:p>
        </w:tc>
        <w:tc>
          <w:tcPr>
            <w:tcW w:w="990"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13.5</w:t>
            </w:r>
          </w:p>
        </w:tc>
      </w:tr>
      <w:tr>
        <w:tblPrEx>
          <w:tblCellMar>
            <w:top w:w="0" w:type="dxa"/>
            <w:left w:w="0" w:type="dxa"/>
            <w:bottom w:w="0" w:type="dxa"/>
            <w:right w:w="0" w:type="dxa"/>
          </w:tblCellMar>
        </w:tblPrEx>
        <w:trPr>
          <w:trHeight w:val="3630" w:hRule="atLeast"/>
          <w:jc w:val="center"/>
        </w:trPr>
        <w:tc>
          <w:tcPr>
            <w:tcW w:w="909"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163</w:t>
            </w:r>
          </w:p>
        </w:tc>
        <w:tc>
          <w:tcPr>
            <w:tcW w:w="157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020207001037</w:t>
            </w:r>
          </w:p>
        </w:tc>
        <w:tc>
          <w:tcPr>
            <w:tcW w:w="5325"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装饰板墙面</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1.做法:30/DT-04</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2.龙骨材料种类、规格、中距:30*30*3镀锌角钢</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3.基层材料种类、规格:15MM阻燃板基层</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4.面层材料品种、规格、品牌、颜色:5mm成品木饰面(WD-11)</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1.基层清理</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2.龙骨制作、运输、安装</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3.基层铺钉</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4.面层铺贴</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5.刷防护材料、油漆</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m2</w:t>
            </w:r>
          </w:p>
        </w:tc>
        <w:tc>
          <w:tcPr>
            <w:tcW w:w="990"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49.47</w:t>
            </w:r>
          </w:p>
        </w:tc>
      </w:tr>
      <w:tr>
        <w:tblPrEx>
          <w:tblCellMar>
            <w:top w:w="0" w:type="dxa"/>
            <w:left w:w="0" w:type="dxa"/>
            <w:bottom w:w="0" w:type="dxa"/>
            <w:right w:w="0" w:type="dxa"/>
          </w:tblCellMar>
        </w:tblPrEx>
        <w:trPr>
          <w:trHeight w:val="3120" w:hRule="atLeast"/>
          <w:jc w:val="center"/>
        </w:trPr>
        <w:tc>
          <w:tcPr>
            <w:tcW w:w="909"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164</w:t>
            </w:r>
          </w:p>
        </w:tc>
        <w:tc>
          <w:tcPr>
            <w:tcW w:w="157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020207001038</w:t>
            </w:r>
          </w:p>
        </w:tc>
        <w:tc>
          <w:tcPr>
            <w:tcW w:w="5325"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装饰板墙面（电子屏处）</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1.做法:25/DT-03</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2.龙骨材料种类、规格、中距:30*30*3镀锌角钢</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3.基层材料种类、规格:15MM阻燃板基层</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1.基层清理</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2.龙骨制作、运输、安装</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3.基层铺钉</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4.面层铺贴</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5.刷防护材料、油漆</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m2</w:t>
            </w:r>
          </w:p>
        </w:tc>
        <w:tc>
          <w:tcPr>
            <w:tcW w:w="990"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33.18</w:t>
            </w:r>
          </w:p>
        </w:tc>
      </w:tr>
      <w:tr>
        <w:tblPrEx>
          <w:tblCellMar>
            <w:top w:w="0" w:type="dxa"/>
            <w:left w:w="0" w:type="dxa"/>
            <w:bottom w:w="0" w:type="dxa"/>
            <w:right w:w="0" w:type="dxa"/>
          </w:tblCellMar>
        </w:tblPrEx>
        <w:trPr>
          <w:trHeight w:val="247" w:hRule="atLeast"/>
          <w:jc w:val="center"/>
        </w:trPr>
        <w:tc>
          <w:tcPr>
            <w:tcW w:w="909" w:type="dxa"/>
            <w:tcBorders>
              <w:top w:val="single" w:color="000000" w:sz="4" w:space="0"/>
              <w:left w:val="single" w:color="000000" w:sz="8"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165</w:t>
            </w:r>
          </w:p>
        </w:tc>
        <w:tc>
          <w:tcPr>
            <w:tcW w:w="1579" w:type="dxa"/>
            <w:tcBorders>
              <w:top w:val="single" w:color="000000" w:sz="4" w:space="0"/>
              <w:left w:val="single" w:color="000000" w:sz="4"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020207001039</w:t>
            </w:r>
          </w:p>
        </w:tc>
        <w:tc>
          <w:tcPr>
            <w:tcW w:w="5325" w:type="dxa"/>
            <w:gridSpan w:val="3"/>
            <w:tcBorders>
              <w:top w:val="single" w:color="000000" w:sz="4" w:space="0"/>
              <w:left w:val="single" w:color="000000" w:sz="4"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装饰板墙面 （滚动屏处）</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1.做法:25/DT-03</w:t>
            </w:r>
          </w:p>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2.龙骨材料种类、规格、中距:30*30*3镀锌角钢</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3.基层材料种类、规格:15MM阻燃板基层</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1.基层清理</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2.龙骨制作、运输、安装</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3.基层铺钉</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4.面层铺贴</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5.刷防护材料、油漆</w:t>
            </w:r>
          </w:p>
        </w:tc>
        <w:tc>
          <w:tcPr>
            <w:tcW w:w="975" w:type="dxa"/>
            <w:tcBorders>
              <w:top w:val="single" w:color="000000" w:sz="4" w:space="0"/>
              <w:left w:val="single" w:color="000000" w:sz="4"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m2</w:t>
            </w:r>
          </w:p>
        </w:tc>
        <w:tc>
          <w:tcPr>
            <w:tcW w:w="990" w:type="dxa"/>
            <w:tcBorders>
              <w:top w:val="single" w:color="000000" w:sz="4" w:space="0"/>
              <w:left w:val="single" w:color="000000" w:sz="4" w:space="0"/>
              <w:bottom w:val="single" w:color="000000" w:sz="8"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4.64</w:t>
            </w:r>
          </w:p>
        </w:tc>
      </w:tr>
      <w:tr>
        <w:tblPrEx>
          <w:tblCellMar>
            <w:top w:w="0" w:type="dxa"/>
            <w:left w:w="0" w:type="dxa"/>
            <w:bottom w:w="0" w:type="dxa"/>
            <w:right w:w="0" w:type="dxa"/>
          </w:tblCellMar>
        </w:tblPrEx>
        <w:trPr>
          <w:trHeight w:val="3630" w:hRule="atLeast"/>
          <w:jc w:val="center"/>
        </w:trPr>
        <w:tc>
          <w:tcPr>
            <w:tcW w:w="909"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166</w:t>
            </w:r>
          </w:p>
        </w:tc>
        <w:tc>
          <w:tcPr>
            <w:tcW w:w="157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020207001040</w:t>
            </w:r>
          </w:p>
        </w:tc>
        <w:tc>
          <w:tcPr>
            <w:tcW w:w="5325"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装饰板墙面</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1.做法:25/DT-03</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2.龙骨材料种类、规格、中距:30*30*3镀锌角钢</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3.基层材料种类、规格:15MM阻燃板基层</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4.面层材料品种、规格、品牌、颜色:6MM厚吸音板</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1.基层清理</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2.龙骨制作、运输、安装</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3.基层铺钉</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4.面层铺贴</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5.刷防护材料、油漆</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m2</w:t>
            </w:r>
          </w:p>
        </w:tc>
        <w:tc>
          <w:tcPr>
            <w:tcW w:w="990"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34.69</w:t>
            </w:r>
          </w:p>
        </w:tc>
      </w:tr>
      <w:tr>
        <w:tblPrEx>
          <w:tblCellMar>
            <w:top w:w="0" w:type="dxa"/>
            <w:left w:w="0" w:type="dxa"/>
            <w:bottom w:w="0" w:type="dxa"/>
            <w:right w:w="0" w:type="dxa"/>
          </w:tblCellMar>
        </w:tblPrEx>
        <w:trPr>
          <w:trHeight w:val="2865" w:hRule="atLeast"/>
          <w:jc w:val="center"/>
        </w:trPr>
        <w:tc>
          <w:tcPr>
            <w:tcW w:w="909"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167</w:t>
            </w:r>
          </w:p>
        </w:tc>
        <w:tc>
          <w:tcPr>
            <w:tcW w:w="157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020207001041</w:t>
            </w:r>
          </w:p>
        </w:tc>
        <w:tc>
          <w:tcPr>
            <w:tcW w:w="5325"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装饰板墙面</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1.做法:20/DT-02</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2.基层材料种类、规格:15MM阻燃板基层</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3.面层材料品种、规格、品牌、颜色:6MM厚吸音板</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1.基层清理</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2.基层铺钉</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3.面层铺贴</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4.刷防护材料、油漆</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m2</w:t>
            </w:r>
          </w:p>
        </w:tc>
        <w:tc>
          <w:tcPr>
            <w:tcW w:w="990"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8.34</w:t>
            </w:r>
          </w:p>
        </w:tc>
      </w:tr>
      <w:tr>
        <w:tblPrEx>
          <w:tblCellMar>
            <w:top w:w="0" w:type="dxa"/>
            <w:left w:w="0" w:type="dxa"/>
            <w:bottom w:w="0" w:type="dxa"/>
            <w:right w:w="0" w:type="dxa"/>
          </w:tblCellMar>
        </w:tblPrEx>
        <w:trPr>
          <w:trHeight w:val="2865" w:hRule="atLeast"/>
          <w:jc w:val="center"/>
        </w:trPr>
        <w:tc>
          <w:tcPr>
            <w:tcW w:w="909"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168</w:t>
            </w:r>
          </w:p>
        </w:tc>
        <w:tc>
          <w:tcPr>
            <w:tcW w:w="157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020207001042</w:t>
            </w:r>
          </w:p>
        </w:tc>
        <w:tc>
          <w:tcPr>
            <w:tcW w:w="5325"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装饰板墙面</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1.做法:30/DT-04</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2.基层材料种类、规格:15MM阻燃板基层</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3.面层材料品种、规格、品牌、颜色:5mm成品木饰面（WD-11）</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1.基层清理</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2.基层铺钉</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3.面层铺贴</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4.刷防护材料、油漆</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m2</w:t>
            </w:r>
          </w:p>
        </w:tc>
        <w:tc>
          <w:tcPr>
            <w:tcW w:w="990"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8.91</w:t>
            </w:r>
          </w:p>
        </w:tc>
      </w:tr>
      <w:tr>
        <w:tblPrEx>
          <w:tblCellMar>
            <w:top w:w="0" w:type="dxa"/>
            <w:left w:w="0" w:type="dxa"/>
            <w:bottom w:w="0" w:type="dxa"/>
            <w:right w:w="0" w:type="dxa"/>
          </w:tblCellMar>
        </w:tblPrEx>
        <w:trPr>
          <w:trHeight w:val="1245" w:hRule="atLeast"/>
          <w:jc w:val="center"/>
        </w:trPr>
        <w:tc>
          <w:tcPr>
            <w:tcW w:w="909" w:type="dxa"/>
            <w:tcBorders>
              <w:top w:val="single" w:color="000000" w:sz="4" w:space="0"/>
              <w:left w:val="single" w:color="000000" w:sz="8"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169</w:t>
            </w:r>
          </w:p>
        </w:tc>
        <w:tc>
          <w:tcPr>
            <w:tcW w:w="1579" w:type="dxa"/>
            <w:tcBorders>
              <w:top w:val="single" w:color="000000" w:sz="4" w:space="0"/>
              <w:left w:val="single" w:color="000000" w:sz="4"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020207001043</w:t>
            </w:r>
          </w:p>
        </w:tc>
        <w:tc>
          <w:tcPr>
            <w:tcW w:w="5325" w:type="dxa"/>
            <w:gridSpan w:val="3"/>
            <w:tcBorders>
              <w:top w:val="single" w:color="000000" w:sz="4" w:space="0"/>
              <w:left w:val="single" w:color="000000" w:sz="4"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装饰板墙面</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1.做法:29/DT-04</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2.基层材料种类、规格:15MM阻燃板基层</w:t>
            </w:r>
          </w:p>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3.面层材料品种、规格、品牌、颜色:8mm黑色焗油玻璃(GL-02)</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1.基层清理</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2.基层铺钉</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3.面层铺贴</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4.刷防护材料、油漆</w:t>
            </w:r>
          </w:p>
        </w:tc>
        <w:tc>
          <w:tcPr>
            <w:tcW w:w="975" w:type="dxa"/>
            <w:tcBorders>
              <w:top w:val="single" w:color="000000" w:sz="4" w:space="0"/>
              <w:left w:val="single" w:color="000000" w:sz="4"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m2</w:t>
            </w:r>
          </w:p>
        </w:tc>
        <w:tc>
          <w:tcPr>
            <w:tcW w:w="990" w:type="dxa"/>
            <w:tcBorders>
              <w:top w:val="single" w:color="000000" w:sz="4" w:space="0"/>
              <w:left w:val="single" w:color="000000" w:sz="4" w:space="0"/>
              <w:bottom w:val="single" w:color="000000" w:sz="8"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4.63</w:t>
            </w:r>
          </w:p>
        </w:tc>
      </w:tr>
      <w:tr>
        <w:tblPrEx>
          <w:tblCellMar>
            <w:top w:w="0" w:type="dxa"/>
            <w:left w:w="0" w:type="dxa"/>
            <w:bottom w:w="0" w:type="dxa"/>
            <w:right w:w="0" w:type="dxa"/>
          </w:tblCellMar>
        </w:tblPrEx>
        <w:trPr>
          <w:trHeight w:val="345" w:hRule="atLeast"/>
          <w:jc w:val="center"/>
        </w:trPr>
        <w:tc>
          <w:tcPr>
            <w:tcW w:w="909"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rPr>
                <w:rFonts w:hint="eastAsia" w:ascii="宋体" w:hAnsi="宋体" w:eastAsia="宋体" w:cs="宋体"/>
                <w:i w:val="0"/>
                <w:color w:val="000000"/>
                <w:sz w:val="20"/>
                <w:szCs w:val="20"/>
                <w:u w:val="none"/>
              </w:rPr>
            </w:pPr>
          </w:p>
        </w:tc>
        <w:tc>
          <w:tcPr>
            <w:tcW w:w="157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B.3</w:t>
            </w:r>
          </w:p>
        </w:tc>
        <w:tc>
          <w:tcPr>
            <w:tcW w:w="5325"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B.3  天棚工程</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宋体" w:hAnsi="宋体" w:eastAsia="宋体" w:cs="宋体"/>
                <w:i w:val="0"/>
                <w:color w:val="000000"/>
                <w:sz w:val="20"/>
                <w:szCs w:val="20"/>
                <w:u w:val="none"/>
              </w:rPr>
            </w:pPr>
          </w:p>
        </w:tc>
        <w:tc>
          <w:tcPr>
            <w:tcW w:w="990"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宋体" w:hAnsi="宋体" w:eastAsia="宋体" w:cs="宋体"/>
                <w:i w:val="0"/>
                <w:color w:val="000000"/>
                <w:sz w:val="20"/>
                <w:szCs w:val="20"/>
                <w:u w:val="none"/>
              </w:rPr>
            </w:pPr>
          </w:p>
        </w:tc>
      </w:tr>
      <w:tr>
        <w:tblPrEx>
          <w:tblCellMar>
            <w:top w:w="0" w:type="dxa"/>
            <w:left w:w="0" w:type="dxa"/>
            <w:bottom w:w="0" w:type="dxa"/>
            <w:right w:w="0" w:type="dxa"/>
          </w:tblCellMar>
        </w:tblPrEx>
        <w:trPr>
          <w:trHeight w:val="3630" w:hRule="atLeast"/>
          <w:jc w:val="center"/>
        </w:trPr>
        <w:tc>
          <w:tcPr>
            <w:tcW w:w="909"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170</w:t>
            </w:r>
          </w:p>
        </w:tc>
        <w:tc>
          <w:tcPr>
            <w:tcW w:w="157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020302001010</w:t>
            </w:r>
          </w:p>
        </w:tc>
        <w:tc>
          <w:tcPr>
            <w:tcW w:w="5325"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天棚吊顶（侧面）</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1.做法:14/DT-01</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2.吊顶形式:不上人</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3.龙骨类型、材料种类、规格、中距:30*30*3镀锌角钢</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4.基层材料种类、规格:18MM阻燃板基层</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5.面层材料品种、规格、品牌、颜色:9.5MM纸面石膏板</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1.基层清理</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2.龙骨安装</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3.基层板铺贴</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4.面层铺贴</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m2</w:t>
            </w:r>
          </w:p>
        </w:tc>
        <w:tc>
          <w:tcPr>
            <w:tcW w:w="990"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27.88</w:t>
            </w:r>
          </w:p>
        </w:tc>
      </w:tr>
      <w:tr>
        <w:tblPrEx>
          <w:tblCellMar>
            <w:top w:w="0" w:type="dxa"/>
            <w:left w:w="0" w:type="dxa"/>
            <w:bottom w:w="0" w:type="dxa"/>
            <w:right w:w="0" w:type="dxa"/>
          </w:tblCellMar>
        </w:tblPrEx>
        <w:trPr>
          <w:trHeight w:val="3630" w:hRule="atLeast"/>
          <w:jc w:val="center"/>
        </w:trPr>
        <w:tc>
          <w:tcPr>
            <w:tcW w:w="909"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171</w:t>
            </w:r>
          </w:p>
        </w:tc>
        <w:tc>
          <w:tcPr>
            <w:tcW w:w="157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020302001011</w:t>
            </w:r>
          </w:p>
        </w:tc>
        <w:tc>
          <w:tcPr>
            <w:tcW w:w="5325"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天棚吊顶</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1.做法:13/DT-01</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2.吊顶形式:不上人</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3.龙骨类型、材料种类、规格、中距:50*50*5镀锌角钢</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4.基层材料种类、规格:18MM阻燃板基层</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5.面层材料品种、规格、品牌、颜色:9.5MM纸面石膏板</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1.基层清理</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2.龙骨安装</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3.基层板铺贴</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4.面层铺贴</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m2</w:t>
            </w:r>
          </w:p>
        </w:tc>
        <w:tc>
          <w:tcPr>
            <w:tcW w:w="990"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9.04</w:t>
            </w:r>
          </w:p>
        </w:tc>
      </w:tr>
      <w:tr>
        <w:tblPrEx>
          <w:tblCellMar>
            <w:top w:w="0" w:type="dxa"/>
            <w:left w:w="0" w:type="dxa"/>
            <w:bottom w:w="0" w:type="dxa"/>
            <w:right w:w="0" w:type="dxa"/>
          </w:tblCellMar>
        </w:tblPrEx>
        <w:trPr>
          <w:trHeight w:val="3510" w:hRule="atLeast"/>
          <w:jc w:val="center"/>
        </w:trPr>
        <w:tc>
          <w:tcPr>
            <w:tcW w:w="909" w:type="dxa"/>
            <w:tcBorders>
              <w:top w:val="single" w:color="000000" w:sz="4" w:space="0"/>
              <w:left w:val="single" w:color="000000" w:sz="8"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172</w:t>
            </w:r>
          </w:p>
        </w:tc>
        <w:tc>
          <w:tcPr>
            <w:tcW w:w="1579" w:type="dxa"/>
            <w:tcBorders>
              <w:top w:val="single" w:color="000000" w:sz="4" w:space="0"/>
              <w:left w:val="single" w:color="000000" w:sz="4"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020302001012</w:t>
            </w:r>
          </w:p>
        </w:tc>
        <w:tc>
          <w:tcPr>
            <w:tcW w:w="5325" w:type="dxa"/>
            <w:gridSpan w:val="3"/>
            <w:tcBorders>
              <w:top w:val="single" w:color="000000" w:sz="4" w:space="0"/>
              <w:left w:val="single" w:color="000000" w:sz="4"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天棚吊顶（侧面）</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1.做法:13/DT-01</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2.吊顶形式:不上人</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3.龙骨类型、材料种类、规格、中距:50*50镀锌角钢</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4.基层材料种类、规格:18MM阻燃板基层</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5.面层材料品种、规格、品牌、颜色:40mm厚声学扩散体吸音板</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1.基层清理</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2.龙骨安装</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3.基层板铺贴</w:t>
            </w:r>
          </w:p>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4.面层铺贴</w:t>
            </w:r>
          </w:p>
        </w:tc>
        <w:tc>
          <w:tcPr>
            <w:tcW w:w="975" w:type="dxa"/>
            <w:tcBorders>
              <w:top w:val="single" w:color="000000" w:sz="4" w:space="0"/>
              <w:left w:val="single" w:color="000000" w:sz="4"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m2</w:t>
            </w:r>
          </w:p>
        </w:tc>
        <w:tc>
          <w:tcPr>
            <w:tcW w:w="990" w:type="dxa"/>
            <w:tcBorders>
              <w:top w:val="single" w:color="000000" w:sz="4" w:space="0"/>
              <w:left w:val="single" w:color="000000" w:sz="4" w:space="0"/>
              <w:bottom w:val="single" w:color="000000" w:sz="8"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40.03</w:t>
            </w:r>
          </w:p>
        </w:tc>
      </w:tr>
      <w:tr>
        <w:tblPrEx>
          <w:tblCellMar>
            <w:top w:w="0" w:type="dxa"/>
            <w:left w:w="0" w:type="dxa"/>
            <w:bottom w:w="0" w:type="dxa"/>
            <w:right w:w="0" w:type="dxa"/>
          </w:tblCellMar>
        </w:tblPrEx>
        <w:trPr>
          <w:trHeight w:val="3567" w:hRule="atLeast"/>
          <w:jc w:val="center"/>
        </w:trPr>
        <w:tc>
          <w:tcPr>
            <w:tcW w:w="909"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173</w:t>
            </w:r>
          </w:p>
        </w:tc>
        <w:tc>
          <w:tcPr>
            <w:tcW w:w="157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020302001013</w:t>
            </w:r>
          </w:p>
        </w:tc>
        <w:tc>
          <w:tcPr>
            <w:tcW w:w="5325"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天棚吊顶</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1.做法:13/DT-01</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2.吊顶形式:不上人</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3.龙骨类型、材料种类、规格、中距:轻钢龙骨</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4.基层材料种类、规格:18MM阻燃板基层、9.5MM纸面石膏板</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5.面层材料品种、规格、品牌、颜色:9.5MM纸面石膏板</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1.基层清理</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2.龙骨安装</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3.基层板铺贴</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4.面层铺贴</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m2</w:t>
            </w:r>
          </w:p>
        </w:tc>
        <w:tc>
          <w:tcPr>
            <w:tcW w:w="990"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12.09</w:t>
            </w:r>
          </w:p>
        </w:tc>
      </w:tr>
      <w:tr>
        <w:tblPrEx>
          <w:tblCellMar>
            <w:top w:w="0" w:type="dxa"/>
            <w:left w:w="0" w:type="dxa"/>
            <w:bottom w:w="0" w:type="dxa"/>
            <w:right w:w="0" w:type="dxa"/>
          </w:tblCellMar>
        </w:tblPrEx>
        <w:trPr>
          <w:trHeight w:val="2610" w:hRule="atLeast"/>
          <w:jc w:val="center"/>
        </w:trPr>
        <w:tc>
          <w:tcPr>
            <w:tcW w:w="909"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174</w:t>
            </w:r>
          </w:p>
        </w:tc>
        <w:tc>
          <w:tcPr>
            <w:tcW w:w="157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020302001014</w:t>
            </w:r>
          </w:p>
        </w:tc>
        <w:tc>
          <w:tcPr>
            <w:tcW w:w="5325"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天棚吊顶（侧面）</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1.做法:13/DT-01</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2.基层材料种类、规格:18MM阻燃板基层</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3.面层材料品种、规格、品牌、颜色:9.5MM纸面石膏板</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1.基层清理</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2.基层板铺贴</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3.面层铺贴</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m2</w:t>
            </w:r>
          </w:p>
        </w:tc>
        <w:tc>
          <w:tcPr>
            <w:tcW w:w="990"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13.21</w:t>
            </w:r>
          </w:p>
        </w:tc>
      </w:tr>
      <w:tr>
        <w:tblPrEx>
          <w:tblCellMar>
            <w:top w:w="0" w:type="dxa"/>
            <w:left w:w="0" w:type="dxa"/>
            <w:bottom w:w="0" w:type="dxa"/>
            <w:right w:w="0" w:type="dxa"/>
          </w:tblCellMar>
        </w:tblPrEx>
        <w:trPr>
          <w:trHeight w:val="3630" w:hRule="atLeast"/>
          <w:jc w:val="center"/>
        </w:trPr>
        <w:tc>
          <w:tcPr>
            <w:tcW w:w="909"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175</w:t>
            </w:r>
          </w:p>
        </w:tc>
        <w:tc>
          <w:tcPr>
            <w:tcW w:w="157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020302001015</w:t>
            </w:r>
          </w:p>
        </w:tc>
        <w:tc>
          <w:tcPr>
            <w:tcW w:w="5325"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天棚吊顶</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1.做法:13/DT-01</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2.吊顶形式:跌级不上人</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3.龙骨类型、材料种类、规格、中距:轻钢龙骨</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4.基层材料种类、规格:9.5MM纸面石膏板</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5.面层材料品种、规格、品牌、颜色:9.5MM纸面石膏板</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1.基层清理</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2.龙骨安装</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3.基层板铺贴</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4.面层铺贴</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m2</w:t>
            </w:r>
          </w:p>
        </w:tc>
        <w:tc>
          <w:tcPr>
            <w:tcW w:w="990"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236.79</w:t>
            </w:r>
          </w:p>
        </w:tc>
      </w:tr>
      <w:tr>
        <w:tblPrEx>
          <w:tblCellMar>
            <w:top w:w="0" w:type="dxa"/>
            <w:left w:w="0" w:type="dxa"/>
            <w:bottom w:w="0" w:type="dxa"/>
            <w:right w:w="0" w:type="dxa"/>
          </w:tblCellMar>
        </w:tblPrEx>
        <w:trPr>
          <w:trHeight w:val="2520" w:hRule="atLeast"/>
          <w:jc w:val="center"/>
        </w:trPr>
        <w:tc>
          <w:tcPr>
            <w:tcW w:w="909" w:type="dxa"/>
            <w:tcBorders>
              <w:top w:val="single" w:color="000000" w:sz="4" w:space="0"/>
              <w:left w:val="single" w:color="000000" w:sz="8"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176</w:t>
            </w:r>
          </w:p>
        </w:tc>
        <w:tc>
          <w:tcPr>
            <w:tcW w:w="1579" w:type="dxa"/>
            <w:tcBorders>
              <w:top w:val="single" w:color="000000" w:sz="4" w:space="0"/>
              <w:left w:val="single" w:color="000000" w:sz="4"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020302001016</w:t>
            </w:r>
          </w:p>
        </w:tc>
        <w:tc>
          <w:tcPr>
            <w:tcW w:w="5325" w:type="dxa"/>
            <w:gridSpan w:val="3"/>
            <w:tcBorders>
              <w:top w:val="single" w:color="000000" w:sz="4" w:space="0"/>
              <w:left w:val="single" w:color="000000" w:sz="4"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天棚吊顶</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1.做法:13/DT-01</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2.吊顶形式:不上人</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3.龙骨类型、材料种类、规格、中距:30*40木龙骨(防火三遍防腐处理)</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4.基层材料种类、规格:18MM阻燃板基层</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5.面层材料品种、规格、品牌、颜色:9.5MM纸面石膏板</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p>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1.基层清理</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2.龙骨安装</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3.基层板铺贴</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4.面层铺贴</w:t>
            </w:r>
          </w:p>
        </w:tc>
        <w:tc>
          <w:tcPr>
            <w:tcW w:w="975" w:type="dxa"/>
            <w:tcBorders>
              <w:top w:val="single" w:color="000000" w:sz="4" w:space="0"/>
              <w:left w:val="single" w:color="000000" w:sz="4"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m2</w:t>
            </w:r>
          </w:p>
        </w:tc>
        <w:tc>
          <w:tcPr>
            <w:tcW w:w="990" w:type="dxa"/>
            <w:tcBorders>
              <w:top w:val="single" w:color="000000" w:sz="4" w:space="0"/>
              <w:left w:val="single" w:color="000000" w:sz="4" w:space="0"/>
              <w:bottom w:val="single" w:color="000000" w:sz="8"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46</w:t>
            </w:r>
          </w:p>
        </w:tc>
      </w:tr>
      <w:tr>
        <w:tblPrEx>
          <w:tblCellMar>
            <w:top w:w="0" w:type="dxa"/>
            <w:left w:w="0" w:type="dxa"/>
            <w:bottom w:w="0" w:type="dxa"/>
            <w:right w:w="0" w:type="dxa"/>
          </w:tblCellMar>
        </w:tblPrEx>
        <w:trPr>
          <w:trHeight w:val="2610" w:hRule="atLeast"/>
          <w:jc w:val="center"/>
        </w:trPr>
        <w:tc>
          <w:tcPr>
            <w:tcW w:w="909"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177</w:t>
            </w:r>
          </w:p>
        </w:tc>
        <w:tc>
          <w:tcPr>
            <w:tcW w:w="157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020302001017</w:t>
            </w:r>
          </w:p>
        </w:tc>
        <w:tc>
          <w:tcPr>
            <w:tcW w:w="5325"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天棚吊顶</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1.做法:20/DT-02</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2.基层材料种类、规格:15MM阻燃板基层</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3.面层材料品种、规格、品牌、颜色:9.5MM纸面石膏板</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1.基层清理</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2.基层板铺贴</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3.面层铺贴</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m2</w:t>
            </w:r>
          </w:p>
        </w:tc>
        <w:tc>
          <w:tcPr>
            <w:tcW w:w="990"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6.99</w:t>
            </w:r>
          </w:p>
        </w:tc>
      </w:tr>
      <w:tr>
        <w:tblPrEx>
          <w:tblCellMar>
            <w:top w:w="0" w:type="dxa"/>
            <w:left w:w="0" w:type="dxa"/>
            <w:bottom w:w="0" w:type="dxa"/>
            <w:right w:w="0" w:type="dxa"/>
          </w:tblCellMar>
        </w:tblPrEx>
        <w:trPr>
          <w:trHeight w:val="2355" w:hRule="atLeast"/>
          <w:jc w:val="center"/>
        </w:trPr>
        <w:tc>
          <w:tcPr>
            <w:tcW w:w="909"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178</w:t>
            </w:r>
          </w:p>
        </w:tc>
        <w:tc>
          <w:tcPr>
            <w:tcW w:w="157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020303001003</w:t>
            </w:r>
          </w:p>
        </w:tc>
        <w:tc>
          <w:tcPr>
            <w:tcW w:w="5325"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灯带</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1.做法:13/DT-01</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2.灯带形式、尺寸:100*120mm</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3.基层材料种类、规格:18MM阻燃板基层</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4.面层材料品种、规格、品牌、颜色:9.5MM纸面石膏板</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1.安装、固定</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m2</w:t>
            </w:r>
          </w:p>
        </w:tc>
        <w:tc>
          <w:tcPr>
            <w:tcW w:w="990"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3.89</w:t>
            </w:r>
          </w:p>
        </w:tc>
      </w:tr>
      <w:tr>
        <w:tblPrEx>
          <w:tblCellMar>
            <w:top w:w="0" w:type="dxa"/>
            <w:left w:w="0" w:type="dxa"/>
            <w:bottom w:w="0" w:type="dxa"/>
            <w:right w:w="0" w:type="dxa"/>
          </w:tblCellMar>
        </w:tblPrEx>
        <w:trPr>
          <w:trHeight w:val="2355" w:hRule="atLeast"/>
          <w:jc w:val="center"/>
        </w:trPr>
        <w:tc>
          <w:tcPr>
            <w:tcW w:w="909"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179</w:t>
            </w:r>
          </w:p>
        </w:tc>
        <w:tc>
          <w:tcPr>
            <w:tcW w:w="157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020303001004</w:t>
            </w:r>
          </w:p>
        </w:tc>
        <w:tc>
          <w:tcPr>
            <w:tcW w:w="5325"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灯带</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1.做法:16/DT-02</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2.灯带形式、尺寸:200*80mm</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3.基层材料种类、规格:9.5MM纸面石膏板</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4.面层材料品种、规格、品牌、颜色:9.5MM纸面石膏板</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1.安装、固定</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m2</w:t>
            </w:r>
          </w:p>
        </w:tc>
        <w:tc>
          <w:tcPr>
            <w:tcW w:w="990"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41.22</w:t>
            </w:r>
          </w:p>
        </w:tc>
      </w:tr>
      <w:tr>
        <w:tblPrEx>
          <w:tblCellMar>
            <w:top w:w="0" w:type="dxa"/>
            <w:left w:w="0" w:type="dxa"/>
            <w:bottom w:w="0" w:type="dxa"/>
            <w:right w:w="0" w:type="dxa"/>
          </w:tblCellMar>
        </w:tblPrEx>
        <w:trPr>
          <w:trHeight w:val="2355" w:hRule="atLeast"/>
          <w:jc w:val="center"/>
        </w:trPr>
        <w:tc>
          <w:tcPr>
            <w:tcW w:w="909"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180</w:t>
            </w:r>
          </w:p>
        </w:tc>
        <w:tc>
          <w:tcPr>
            <w:tcW w:w="157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020303001005</w:t>
            </w:r>
          </w:p>
        </w:tc>
        <w:tc>
          <w:tcPr>
            <w:tcW w:w="5325"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灯带</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1.做法:20/DT-02</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2.灯带形式、尺寸:100*120mm</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3.基层材料种类、规格:15MM阻燃板基层</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4.面层材料品种、规格、品牌、颜色:9.5MM纸面石膏板</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1.安装、固定</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m2</w:t>
            </w:r>
          </w:p>
        </w:tc>
        <w:tc>
          <w:tcPr>
            <w:tcW w:w="990"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3.91</w:t>
            </w:r>
          </w:p>
        </w:tc>
      </w:tr>
      <w:tr>
        <w:tblPrEx>
          <w:tblCellMar>
            <w:top w:w="0" w:type="dxa"/>
            <w:left w:w="0" w:type="dxa"/>
            <w:bottom w:w="0" w:type="dxa"/>
            <w:right w:w="0" w:type="dxa"/>
          </w:tblCellMar>
        </w:tblPrEx>
        <w:trPr>
          <w:trHeight w:val="2190" w:hRule="atLeast"/>
          <w:jc w:val="center"/>
        </w:trPr>
        <w:tc>
          <w:tcPr>
            <w:tcW w:w="909" w:type="dxa"/>
            <w:tcBorders>
              <w:top w:val="single" w:color="000000" w:sz="4" w:space="0"/>
              <w:left w:val="single" w:color="000000" w:sz="8"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181</w:t>
            </w:r>
          </w:p>
        </w:tc>
        <w:tc>
          <w:tcPr>
            <w:tcW w:w="1579" w:type="dxa"/>
            <w:tcBorders>
              <w:top w:val="single" w:color="000000" w:sz="4" w:space="0"/>
              <w:left w:val="single" w:color="000000" w:sz="4"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020303001006</w:t>
            </w:r>
          </w:p>
        </w:tc>
        <w:tc>
          <w:tcPr>
            <w:tcW w:w="5325" w:type="dxa"/>
            <w:gridSpan w:val="3"/>
            <w:tcBorders>
              <w:top w:val="single" w:color="000000" w:sz="4" w:space="0"/>
              <w:left w:val="single" w:color="000000" w:sz="4"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灯带</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1.做法:30/DT-04</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2.灯带形式、尺寸:100*60mm</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3.基层材料种类、规格:15MM阻燃板基层</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4.面层材料品种、规格、品牌、颜色:深色木饰面(WD-04)</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p>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1.安装、固定</w:t>
            </w:r>
          </w:p>
        </w:tc>
        <w:tc>
          <w:tcPr>
            <w:tcW w:w="975" w:type="dxa"/>
            <w:tcBorders>
              <w:top w:val="single" w:color="000000" w:sz="4" w:space="0"/>
              <w:left w:val="single" w:color="000000" w:sz="4"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m2</w:t>
            </w:r>
          </w:p>
        </w:tc>
        <w:tc>
          <w:tcPr>
            <w:tcW w:w="990" w:type="dxa"/>
            <w:tcBorders>
              <w:top w:val="single" w:color="000000" w:sz="4" w:space="0"/>
              <w:left w:val="single" w:color="000000" w:sz="4" w:space="0"/>
              <w:bottom w:val="single" w:color="000000" w:sz="8"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1.11</w:t>
            </w:r>
          </w:p>
        </w:tc>
      </w:tr>
      <w:tr>
        <w:tblPrEx>
          <w:tblCellMar>
            <w:top w:w="0" w:type="dxa"/>
            <w:left w:w="0" w:type="dxa"/>
            <w:bottom w:w="0" w:type="dxa"/>
            <w:right w:w="0" w:type="dxa"/>
          </w:tblCellMar>
        </w:tblPrEx>
        <w:trPr>
          <w:trHeight w:val="345" w:hRule="atLeast"/>
          <w:jc w:val="center"/>
        </w:trPr>
        <w:tc>
          <w:tcPr>
            <w:tcW w:w="909"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rPr>
                <w:rFonts w:hint="eastAsia" w:ascii="宋体" w:hAnsi="宋体" w:eastAsia="宋体" w:cs="宋体"/>
                <w:i w:val="0"/>
                <w:color w:val="000000"/>
                <w:sz w:val="20"/>
                <w:szCs w:val="20"/>
                <w:u w:val="none"/>
              </w:rPr>
            </w:pPr>
          </w:p>
        </w:tc>
        <w:tc>
          <w:tcPr>
            <w:tcW w:w="157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B.4</w:t>
            </w:r>
          </w:p>
        </w:tc>
        <w:tc>
          <w:tcPr>
            <w:tcW w:w="5325"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B.4  门窗工程</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宋体" w:hAnsi="宋体" w:eastAsia="宋体" w:cs="宋体"/>
                <w:i w:val="0"/>
                <w:color w:val="000000"/>
                <w:sz w:val="20"/>
                <w:szCs w:val="20"/>
                <w:u w:val="none"/>
              </w:rPr>
            </w:pPr>
          </w:p>
        </w:tc>
        <w:tc>
          <w:tcPr>
            <w:tcW w:w="990"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宋体" w:hAnsi="宋体" w:eastAsia="宋体" w:cs="宋体"/>
                <w:i w:val="0"/>
                <w:color w:val="000000"/>
                <w:sz w:val="20"/>
                <w:szCs w:val="20"/>
                <w:u w:val="none"/>
              </w:rPr>
            </w:pPr>
          </w:p>
        </w:tc>
      </w:tr>
      <w:tr>
        <w:tblPrEx>
          <w:tblCellMar>
            <w:top w:w="0" w:type="dxa"/>
            <w:left w:w="0" w:type="dxa"/>
            <w:bottom w:w="0" w:type="dxa"/>
            <w:right w:w="0" w:type="dxa"/>
          </w:tblCellMar>
        </w:tblPrEx>
        <w:trPr>
          <w:trHeight w:val="2865" w:hRule="atLeast"/>
          <w:jc w:val="center"/>
        </w:trPr>
        <w:tc>
          <w:tcPr>
            <w:tcW w:w="909"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182</w:t>
            </w:r>
          </w:p>
        </w:tc>
        <w:tc>
          <w:tcPr>
            <w:tcW w:w="157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020407001011</w:t>
            </w:r>
          </w:p>
        </w:tc>
        <w:tc>
          <w:tcPr>
            <w:tcW w:w="5325"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木门套</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1.基层材料种类:15MM阻燃板基层</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2.面层材料品种、规格、品牌、颜色:40MM白色木饰面(WD-03)</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1.清理基层</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2.立筋制作、安装</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3.基层板安装</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4.面层铺贴</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5.刷防护材料、油漆</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m2</w:t>
            </w:r>
          </w:p>
        </w:tc>
        <w:tc>
          <w:tcPr>
            <w:tcW w:w="990"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3.15</w:t>
            </w:r>
          </w:p>
        </w:tc>
      </w:tr>
      <w:tr>
        <w:tblPrEx>
          <w:tblCellMar>
            <w:top w:w="0" w:type="dxa"/>
            <w:left w:w="0" w:type="dxa"/>
            <w:bottom w:w="0" w:type="dxa"/>
            <w:right w:w="0" w:type="dxa"/>
          </w:tblCellMar>
        </w:tblPrEx>
        <w:trPr>
          <w:trHeight w:val="2355" w:hRule="atLeast"/>
          <w:jc w:val="center"/>
        </w:trPr>
        <w:tc>
          <w:tcPr>
            <w:tcW w:w="909"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183</w:t>
            </w:r>
          </w:p>
        </w:tc>
        <w:tc>
          <w:tcPr>
            <w:tcW w:w="157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020408001003</w:t>
            </w:r>
          </w:p>
        </w:tc>
        <w:tc>
          <w:tcPr>
            <w:tcW w:w="5325"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窗帘盒</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1.尺寸:200*200mm</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2.基层材料种类、规格:18MM阻燃板基层</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3.面层材料品种、规格、品牌、颜色:9.5MM纸面石膏板</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1.制作、运输</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2.安装</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w:t>
            </w:r>
          </w:p>
        </w:tc>
        <w:tc>
          <w:tcPr>
            <w:tcW w:w="990"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7.3</w:t>
            </w:r>
          </w:p>
        </w:tc>
      </w:tr>
      <w:tr>
        <w:tblPrEx>
          <w:tblCellMar>
            <w:top w:w="0" w:type="dxa"/>
            <w:left w:w="0" w:type="dxa"/>
            <w:bottom w:w="0" w:type="dxa"/>
            <w:right w:w="0" w:type="dxa"/>
          </w:tblCellMar>
        </w:tblPrEx>
        <w:trPr>
          <w:trHeight w:val="345" w:hRule="atLeast"/>
          <w:jc w:val="center"/>
        </w:trPr>
        <w:tc>
          <w:tcPr>
            <w:tcW w:w="909"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rPr>
                <w:rFonts w:hint="eastAsia" w:ascii="宋体" w:hAnsi="宋体" w:eastAsia="宋体" w:cs="宋体"/>
                <w:i w:val="0"/>
                <w:color w:val="000000"/>
                <w:sz w:val="20"/>
                <w:szCs w:val="20"/>
                <w:u w:val="none"/>
              </w:rPr>
            </w:pPr>
          </w:p>
        </w:tc>
        <w:tc>
          <w:tcPr>
            <w:tcW w:w="157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B.5</w:t>
            </w:r>
          </w:p>
        </w:tc>
        <w:tc>
          <w:tcPr>
            <w:tcW w:w="5325"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B.5  油漆、涂料、裱糊工程</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宋体" w:hAnsi="宋体" w:eastAsia="宋体" w:cs="宋体"/>
                <w:i w:val="0"/>
                <w:color w:val="000000"/>
                <w:sz w:val="20"/>
                <w:szCs w:val="20"/>
                <w:u w:val="none"/>
              </w:rPr>
            </w:pPr>
          </w:p>
        </w:tc>
        <w:tc>
          <w:tcPr>
            <w:tcW w:w="990"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宋体" w:hAnsi="宋体" w:eastAsia="宋体" w:cs="宋体"/>
                <w:i w:val="0"/>
                <w:color w:val="000000"/>
                <w:sz w:val="20"/>
                <w:szCs w:val="20"/>
                <w:u w:val="none"/>
              </w:rPr>
            </w:pPr>
          </w:p>
        </w:tc>
      </w:tr>
      <w:tr>
        <w:tblPrEx>
          <w:tblCellMar>
            <w:top w:w="0" w:type="dxa"/>
            <w:left w:w="0" w:type="dxa"/>
            <w:bottom w:w="0" w:type="dxa"/>
            <w:right w:w="0" w:type="dxa"/>
          </w:tblCellMar>
        </w:tblPrEx>
        <w:trPr>
          <w:trHeight w:val="1845" w:hRule="atLeast"/>
          <w:jc w:val="center"/>
        </w:trPr>
        <w:tc>
          <w:tcPr>
            <w:tcW w:w="909"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184</w:t>
            </w:r>
          </w:p>
        </w:tc>
        <w:tc>
          <w:tcPr>
            <w:tcW w:w="157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020506001027</w:t>
            </w:r>
          </w:p>
        </w:tc>
        <w:tc>
          <w:tcPr>
            <w:tcW w:w="5325"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抹灰面油漆（天棚）</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1.油漆品种、刷漆遍数:白色乳胶漆（PT-01）</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1.基层清理</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2.刮腻子</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3.刷防护材料、油漆</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m2</w:t>
            </w:r>
          </w:p>
        </w:tc>
        <w:tc>
          <w:tcPr>
            <w:tcW w:w="990"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357.94</w:t>
            </w:r>
          </w:p>
        </w:tc>
      </w:tr>
      <w:tr>
        <w:tblPrEx>
          <w:tblCellMar>
            <w:top w:w="0" w:type="dxa"/>
            <w:left w:w="0" w:type="dxa"/>
            <w:bottom w:w="0" w:type="dxa"/>
            <w:right w:w="0" w:type="dxa"/>
          </w:tblCellMar>
        </w:tblPrEx>
        <w:trPr>
          <w:trHeight w:val="1845" w:hRule="atLeast"/>
          <w:jc w:val="center"/>
        </w:trPr>
        <w:tc>
          <w:tcPr>
            <w:tcW w:w="909"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185</w:t>
            </w:r>
          </w:p>
        </w:tc>
        <w:tc>
          <w:tcPr>
            <w:tcW w:w="157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020506001028</w:t>
            </w:r>
          </w:p>
        </w:tc>
        <w:tc>
          <w:tcPr>
            <w:tcW w:w="5325"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抹灰面油漆（天棚）</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1.油漆品种、刷漆遍数:黑色乳胶漆（PT-04）</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1.基层清理</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2.刮腻子</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3.刷防护材料、油漆</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m2</w:t>
            </w:r>
          </w:p>
        </w:tc>
        <w:tc>
          <w:tcPr>
            <w:tcW w:w="990"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46</w:t>
            </w:r>
          </w:p>
        </w:tc>
      </w:tr>
      <w:tr>
        <w:tblPrEx>
          <w:tblCellMar>
            <w:top w:w="0" w:type="dxa"/>
            <w:left w:w="0" w:type="dxa"/>
            <w:bottom w:w="0" w:type="dxa"/>
            <w:right w:w="0" w:type="dxa"/>
          </w:tblCellMar>
        </w:tblPrEx>
        <w:trPr>
          <w:trHeight w:val="345" w:hRule="atLeast"/>
          <w:jc w:val="center"/>
        </w:trPr>
        <w:tc>
          <w:tcPr>
            <w:tcW w:w="909"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rPr>
                <w:rFonts w:hint="eastAsia" w:ascii="宋体" w:hAnsi="宋体" w:eastAsia="宋体" w:cs="宋体"/>
                <w:i w:val="0"/>
                <w:color w:val="000000"/>
                <w:sz w:val="20"/>
                <w:szCs w:val="20"/>
                <w:u w:val="none"/>
              </w:rPr>
            </w:pPr>
          </w:p>
        </w:tc>
        <w:tc>
          <w:tcPr>
            <w:tcW w:w="157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B.6</w:t>
            </w:r>
          </w:p>
        </w:tc>
        <w:tc>
          <w:tcPr>
            <w:tcW w:w="5325"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B.6  其 他 工 程</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宋体" w:hAnsi="宋体" w:eastAsia="宋体" w:cs="宋体"/>
                <w:i w:val="0"/>
                <w:color w:val="000000"/>
                <w:sz w:val="20"/>
                <w:szCs w:val="20"/>
                <w:u w:val="none"/>
              </w:rPr>
            </w:pPr>
          </w:p>
        </w:tc>
        <w:tc>
          <w:tcPr>
            <w:tcW w:w="990"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宋体" w:hAnsi="宋体" w:eastAsia="宋体" w:cs="宋体"/>
                <w:i w:val="0"/>
                <w:color w:val="000000"/>
                <w:sz w:val="20"/>
                <w:szCs w:val="20"/>
                <w:u w:val="none"/>
              </w:rPr>
            </w:pPr>
          </w:p>
        </w:tc>
      </w:tr>
      <w:tr>
        <w:tblPrEx>
          <w:tblCellMar>
            <w:top w:w="0" w:type="dxa"/>
            <w:left w:w="0" w:type="dxa"/>
            <w:bottom w:w="0" w:type="dxa"/>
            <w:right w:w="0" w:type="dxa"/>
          </w:tblCellMar>
        </w:tblPrEx>
        <w:trPr>
          <w:trHeight w:val="2100" w:hRule="atLeast"/>
          <w:jc w:val="center"/>
        </w:trPr>
        <w:tc>
          <w:tcPr>
            <w:tcW w:w="909"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186</w:t>
            </w:r>
          </w:p>
        </w:tc>
        <w:tc>
          <w:tcPr>
            <w:tcW w:w="157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020604001005</w:t>
            </w:r>
          </w:p>
        </w:tc>
        <w:tc>
          <w:tcPr>
            <w:tcW w:w="5325"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金属装饰线（舞台地面）</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1.做法:36/DT-05</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2.线条材料品种、规格、颜色:65MM不锈钢条（MT-01）</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1.线条制作</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2.安装</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w:t>
            </w:r>
          </w:p>
        </w:tc>
        <w:tc>
          <w:tcPr>
            <w:tcW w:w="990"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15.9</w:t>
            </w:r>
          </w:p>
        </w:tc>
      </w:tr>
      <w:tr>
        <w:tblPrEx>
          <w:tblCellMar>
            <w:top w:w="0" w:type="dxa"/>
            <w:left w:w="0" w:type="dxa"/>
            <w:bottom w:w="0" w:type="dxa"/>
            <w:right w:w="0" w:type="dxa"/>
          </w:tblCellMar>
        </w:tblPrEx>
        <w:trPr>
          <w:trHeight w:val="97" w:hRule="atLeast"/>
          <w:jc w:val="center"/>
        </w:trPr>
        <w:tc>
          <w:tcPr>
            <w:tcW w:w="909" w:type="dxa"/>
            <w:tcBorders>
              <w:top w:val="single" w:color="000000" w:sz="4" w:space="0"/>
              <w:left w:val="single" w:color="000000" w:sz="8"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187</w:t>
            </w:r>
          </w:p>
        </w:tc>
        <w:tc>
          <w:tcPr>
            <w:tcW w:w="1579" w:type="dxa"/>
            <w:tcBorders>
              <w:top w:val="single" w:color="000000" w:sz="4" w:space="0"/>
              <w:left w:val="single" w:color="000000" w:sz="4"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020604001006</w:t>
            </w:r>
          </w:p>
        </w:tc>
        <w:tc>
          <w:tcPr>
            <w:tcW w:w="5325" w:type="dxa"/>
            <w:gridSpan w:val="3"/>
            <w:tcBorders>
              <w:top w:val="single" w:color="000000" w:sz="4" w:space="0"/>
              <w:left w:val="single" w:color="000000" w:sz="4"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金属装饰线（墙面）</w:t>
            </w:r>
          </w:p>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1.线条材料品种、规格、颜色:10MM黑色不锈钢压条（MT-03）</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1.线条制作</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2.安装</w:t>
            </w:r>
          </w:p>
        </w:tc>
        <w:tc>
          <w:tcPr>
            <w:tcW w:w="975" w:type="dxa"/>
            <w:tcBorders>
              <w:top w:val="single" w:color="000000" w:sz="4" w:space="0"/>
              <w:left w:val="single" w:color="000000" w:sz="4"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w:t>
            </w:r>
          </w:p>
        </w:tc>
        <w:tc>
          <w:tcPr>
            <w:tcW w:w="990" w:type="dxa"/>
            <w:tcBorders>
              <w:top w:val="single" w:color="000000" w:sz="4" w:space="0"/>
              <w:left w:val="single" w:color="000000" w:sz="4" w:space="0"/>
              <w:bottom w:val="single" w:color="000000" w:sz="8"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72.26</w:t>
            </w:r>
          </w:p>
        </w:tc>
      </w:tr>
      <w:tr>
        <w:trPr>
          <w:trHeight w:val="2355" w:hRule="atLeast"/>
          <w:jc w:val="center"/>
        </w:trPr>
        <w:tc>
          <w:tcPr>
            <w:tcW w:w="909"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188</w:t>
            </w:r>
          </w:p>
        </w:tc>
        <w:tc>
          <w:tcPr>
            <w:tcW w:w="157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020604002004</w:t>
            </w:r>
          </w:p>
        </w:tc>
        <w:tc>
          <w:tcPr>
            <w:tcW w:w="5325"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木质装饰线（天棚）</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1.做法:13/DT-01</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2.线条材料品种、规格、颜色:40*120MM成品木线条（WD-04）</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1.线条制作</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2.安装</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3.刷防护材料、油漆</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w:t>
            </w:r>
          </w:p>
        </w:tc>
        <w:tc>
          <w:tcPr>
            <w:tcW w:w="990"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25.2</w:t>
            </w:r>
          </w:p>
        </w:tc>
      </w:tr>
      <w:tr>
        <w:tblPrEx>
          <w:tblCellMar>
            <w:top w:w="0" w:type="dxa"/>
            <w:left w:w="0" w:type="dxa"/>
            <w:bottom w:w="0" w:type="dxa"/>
            <w:right w:w="0" w:type="dxa"/>
          </w:tblCellMar>
        </w:tblPrEx>
        <w:trPr>
          <w:trHeight w:val="2610" w:hRule="atLeast"/>
          <w:jc w:val="center"/>
        </w:trPr>
        <w:tc>
          <w:tcPr>
            <w:tcW w:w="909"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189</w:t>
            </w:r>
          </w:p>
        </w:tc>
        <w:tc>
          <w:tcPr>
            <w:tcW w:w="157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020604002005</w:t>
            </w:r>
          </w:p>
        </w:tc>
        <w:tc>
          <w:tcPr>
            <w:tcW w:w="5325"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木质装饰线（天棚）</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1.做法:14/DT-01</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2.基层材料种类、规格:18MM阻燃板基层</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3.线条材料品种、规格、颜色:200*40MM成品木线条（WD-03）</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1.线条制作</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2.安装</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3.刷防护材料、油漆</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w:t>
            </w:r>
          </w:p>
        </w:tc>
        <w:tc>
          <w:tcPr>
            <w:tcW w:w="990"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17</w:t>
            </w:r>
          </w:p>
        </w:tc>
      </w:tr>
      <w:tr>
        <w:tblPrEx>
          <w:tblCellMar>
            <w:top w:w="0" w:type="dxa"/>
            <w:left w:w="0" w:type="dxa"/>
            <w:bottom w:w="0" w:type="dxa"/>
            <w:right w:w="0" w:type="dxa"/>
          </w:tblCellMar>
        </w:tblPrEx>
        <w:trPr>
          <w:trHeight w:val="2355" w:hRule="atLeast"/>
          <w:jc w:val="center"/>
        </w:trPr>
        <w:tc>
          <w:tcPr>
            <w:tcW w:w="909"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190</w:t>
            </w:r>
          </w:p>
        </w:tc>
        <w:tc>
          <w:tcPr>
            <w:tcW w:w="157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020604002006</w:t>
            </w:r>
          </w:p>
        </w:tc>
        <w:tc>
          <w:tcPr>
            <w:tcW w:w="5325"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木质装饰线（墙面）</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1.做法:24/DT-03</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2.线条材料品种、规格、颜色:30MM成品白色木线条（WD-03）</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1.线条制作</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2.安装</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3.刷防护材料、油漆</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w:t>
            </w:r>
          </w:p>
        </w:tc>
        <w:tc>
          <w:tcPr>
            <w:tcW w:w="990"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33.2</w:t>
            </w:r>
          </w:p>
        </w:tc>
      </w:tr>
      <w:tr>
        <w:tblPrEx>
          <w:tblCellMar>
            <w:top w:w="0" w:type="dxa"/>
            <w:left w:w="0" w:type="dxa"/>
            <w:bottom w:w="0" w:type="dxa"/>
            <w:right w:w="0" w:type="dxa"/>
          </w:tblCellMar>
        </w:tblPrEx>
        <w:trPr>
          <w:trHeight w:val="2355" w:hRule="atLeast"/>
          <w:jc w:val="center"/>
        </w:trPr>
        <w:tc>
          <w:tcPr>
            <w:tcW w:w="909"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191</w:t>
            </w:r>
          </w:p>
        </w:tc>
        <w:tc>
          <w:tcPr>
            <w:tcW w:w="157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020604002007</w:t>
            </w:r>
          </w:p>
        </w:tc>
        <w:tc>
          <w:tcPr>
            <w:tcW w:w="5325"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木质装饰线（墙面）</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1.做法:29/DT-04</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2.线条材料品种、规格、颜色:155MM成品白色木线条（WD-03）</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1.线条制作</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2.安装</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3.刷防护材料、油漆</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w:t>
            </w:r>
          </w:p>
        </w:tc>
        <w:tc>
          <w:tcPr>
            <w:tcW w:w="990"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12.1</w:t>
            </w:r>
          </w:p>
        </w:tc>
      </w:tr>
      <w:tr>
        <w:tblPrEx>
          <w:tblCellMar>
            <w:top w:w="0" w:type="dxa"/>
            <w:left w:w="0" w:type="dxa"/>
            <w:bottom w:w="0" w:type="dxa"/>
            <w:right w:w="0" w:type="dxa"/>
          </w:tblCellMar>
        </w:tblPrEx>
        <w:trPr>
          <w:trHeight w:val="345" w:hRule="atLeast"/>
          <w:jc w:val="center"/>
        </w:trPr>
        <w:tc>
          <w:tcPr>
            <w:tcW w:w="909"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rPr>
                <w:rFonts w:hint="eastAsia" w:ascii="宋体" w:hAnsi="宋体" w:eastAsia="宋体" w:cs="宋体"/>
                <w:i w:val="0"/>
                <w:color w:val="000000"/>
                <w:sz w:val="20"/>
                <w:szCs w:val="20"/>
                <w:u w:val="none"/>
              </w:rPr>
            </w:pPr>
          </w:p>
        </w:tc>
        <w:tc>
          <w:tcPr>
            <w:tcW w:w="157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rPr>
                <w:rFonts w:hint="eastAsia" w:ascii="宋体" w:hAnsi="宋体" w:eastAsia="宋体" w:cs="宋体"/>
                <w:i w:val="0"/>
                <w:color w:val="000000"/>
                <w:sz w:val="20"/>
                <w:szCs w:val="20"/>
                <w:u w:val="none"/>
              </w:rPr>
            </w:pPr>
          </w:p>
        </w:tc>
        <w:tc>
          <w:tcPr>
            <w:tcW w:w="5325"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补充分部</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宋体" w:hAnsi="宋体" w:eastAsia="宋体" w:cs="宋体"/>
                <w:i w:val="0"/>
                <w:color w:val="000000"/>
                <w:sz w:val="20"/>
                <w:szCs w:val="20"/>
                <w:u w:val="none"/>
              </w:rPr>
            </w:pPr>
          </w:p>
        </w:tc>
        <w:tc>
          <w:tcPr>
            <w:tcW w:w="990"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宋体" w:hAnsi="宋体" w:eastAsia="宋体" w:cs="宋体"/>
                <w:i w:val="0"/>
                <w:color w:val="000000"/>
                <w:sz w:val="20"/>
                <w:szCs w:val="20"/>
                <w:u w:val="none"/>
              </w:rPr>
            </w:pPr>
          </w:p>
        </w:tc>
      </w:tr>
      <w:tr>
        <w:tblPrEx>
          <w:tblCellMar>
            <w:top w:w="0" w:type="dxa"/>
            <w:left w:w="0" w:type="dxa"/>
            <w:bottom w:w="0" w:type="dxa"/>
            <w:right w:w="0" w:type="dxa"/>
          </w:tblCellMar>
        </w:tblPrEx>
        <w:trPr>
          <w:trHeight w:val="1320" w:hRule="atLeast"/>
          <w:jc w:val="center"/>
        </w:trPr>
        <w:tc>
          <w:tcPr>
            <w:tcW w:w="909" w:type="dxa"/>
            <w:tcBorders>
              <w:top w:val="single" w:color="000000" w:sz="4" w:space="0"/>
              <w:left w:val="single" w:color="000000" w:sz="8"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192</w:t>
            </w:r>
          </w:p>
        </w:tc>
        <w:tc>
          <w:tcPr>
            <w:tcW w:w="1579" w:type="dxa"/>
            <w:tcBorders>
              <w:top w:val="single" w:color="000000" w:sz="4" w:space="0"/>
              <w:left w:val="single" w:color="000000" w:sz="4"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BB007</w:t>
            </w:r>
          </w:p>
        </w:tc>
        <w:tc>
          <w:tcPr>
            <w:tcW w:w="5325" w:type="dxa"/>
            <w:gridSpan w:val="3"/>
            <w:tcBorders>
              <w:top w:val="single" w:color="000000" w:sz="4" w:space="0"/>
              <w:left w:val="single" w:color="000000" w:sz="4"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窗帘</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1.窗帘轨材质、规格:铝合金暗藏单层轨道</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2.窗帘材质:双层窗帘（CU-01）</w:t>
            </w:r>
          </w:p>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3.窗帘:宽7.3m*高2.72m</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1.制作、运输</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2.安装门五金</w:t>
            </w:r>
          </w:p>
        </w:tc>
        <w:tc>
          <w:tcPr>
            <w:tcW w:w="975" w:type="dxa"/>
            <w:tcBorders>
              <w:top w:val="single" w:color="000000" w:sz="4" w:space="0"/>
              <w:left w:val="single" w:color="000000" w:sz="4"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w:t>
            </w:r>
          </w:p>
        </w:tc>
        <w:tc>
          <w:tcPr>
            <w:tcW w:w="990" w:type="dxa"/>
            <w:tcBorders>
              <w:top w:val="single" w:color="000000" w:sz="4" w:space="0"/>
              <w:left w:val="single" w:color="000000" w:sz="4" w:space="0"/>
              <w:bottom w:val="single" w:color="000000" w:sz="8"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7.3</w:t>
            </w:r>
          </w:p>
        </w:tc>
      </w:tr>
      <w:tr>
        <w:tblPrEx>
          <w:tblCellMar>
            <w:top w:w="0" w:type="dxa"/>
            <w:left w:w="0" w:type="dxa"/>
            <w:bottom w:w="0" w:type="dxa"/>
            <w:right w:w="0" w:type="dxa"/>
          </w:tblCellMar>
        </w:tblPrEx>
        <w:trPr>
          <w:trHeight w:val="1182" w:hRule="atLeast"/>
          <w:jc w:val="center"/>
        </w:trPr>
        <w:tc>
          <w:tcPr>
            <w:tcW w:w="909"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193</w:t>
            </w:r>
          </w:p>
        </w:tc>
        <w:tc>
          <w:tcPr>
            <w:tcW w:w="157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BB008</w:t>
            </w:r>
          </w:p>
        </w:tc>
        <w:tc>
          <w:tcPr>
            <w:tcW w:w="5325"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1.工程部位:暗门</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[工程内容]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1.五金安装</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樘</w:t>
            </w:r>
          </w:p>
        </w:tc>
        <w:tc>
          <w:tcPr>
            <w:tcW w:w="990"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r>
      <w:tr>
        <w:tblPrEx>
          <w:tblCellMar>
            <w:top w:w="0" w:type="dxa"/>
            <w:left w:w="0" w:type="dxa"/>
            <w:bottom w:w="0" w:type="dxa"/>
            <w:right w:w="0" w:type="dxa"/>
          </w:tblCellMar>
        </w:tblPrEx>
        <w:trPr>
          <w:trHeight w:val="345" w:hRule="atLeast"/>
          <w:jc w:val="center"/>
        </w:trPr>
        <w:tc>
          <w:tcPr>
            <w:tcW w:w="909"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rPr>
                <w:rFonts w:hint="eastAsia" w:ascii="宋体" w:hAnsi="宋体" w:eastAsia="宋体" w:cs="宋体"/>
                <w:i w:val="0"/>
                <w:color w:val="000000"/>
                <w:sz w:val="20"/>
                <w:szCs w:val="20"/>
                <w:u w:val="none"/>
              </w:rPr>
            </w:pPr>
          </w:p>
        </w:tc>
        <w:tc>
          <w:tcPr>
            <w:tcW w:w="157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rPr>
                <w:rFonts w:hint="eastAsia" w:ascii="宋体" w:hAnsi="宋体" w:eastAsia="宋体" w:cs="宋体"/>
                <w:i w:val="0"/>
                <w:color w:val="000000"/>
                <w:sz w:val="20"/>
                <w:szCs w:val="20"/>
                <w:u w:val="none"/>
              </w:rPr>
            </w:pPr>
          </w:p>
        </w:tc>
        <w:tc>
          <w:tcPr>
            <w:tcW w:w="5325"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拆除工程</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宋体" w:hAnsi="宋体" w:eastAsia="宋体" w:cs="宋体"/>
                <w:i w:val="0"/>
                <w:color w:val="000000"/>
                <w:sz w:val="20"/>
                <w:szCs w:val="20"/>
                <w:u w:val="none"/>
              </w:rPr>
            </w:pPr>
          </w:p>
        </w:tc>
        <w:tc>
          <w:tcPr>
            <w:tcW w:w="990"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宋体" w:hAnsi="宋体" w:eastAsia="宋体" w:cs="宋体"/>
                <w:i w:val="0"/>
                <w:color w:val="000000"/>
                <w:sz w:val="20"/>
                <w:szCs w:val="20"/>
                <w:u w:val="none"/>
              </w:rPr>
            </w:pPr>
          </w:p>
        </w:tc>
      </w:tr>
      <w:tr>
        <w:tblPrEx>
          <w:tblCellMar>
            <w:top w:w="0" w:type="dxa"/>
            <w:left w:w="0" w:type="dxa"/>
            <w:bottom w:w="0" w:type="dxa"/>
            <w:right w:w="0" w:type="dxa"/>
          </w:tblCellMar>
        </w:tblPrEx>
        <w:trPr>
          <w:trHeight w:val="345" w:hRule="atLeast"/>
          <w:jc w:val="center"/>
        </w:trPr>
        <w:tc>
          <w:tcPr>
            <w:tcW w:w="909"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rPr>
                <w:rFonts w:hint="eastAsia" w:ascii="宋体" w:hAnsi="宋体" w:eastAsia="宋体" w:cs="宋体"/>
                <w:i w:val="0"/>
                <w:color w:val="000000"/>
                <w:sz w:val="20"/>
                <w:szCs w:val="20"/>
                <w:u w:val="none"/>
              </w:rPr>
            </w:pPr>
          </w:p>
        </w:tc>
        <w:tc>
          <w:tcPr>
            <w:tcW w:w="157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A.3</w:t>
            </w:r>
          </w:p>
        </w:tc>
        <w:tc>
          <w:tcPr>
            <w:tcW w:w="5325"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A.3  砌 筑 工 程</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宋体" w:hAnsi="宋体" w:eastAsia="宋体" w:cs="宋体"/>
                <w:i w:val="0"/>
                <w:color w:val="000000"/>
                <w:sz w:val="20"/>
                <w:szCs w:val="20"/>
                <w:u w:val="none"/>
              </w:rPr>
            </w:pPr>
          </w:p>
        </w:tc>
        <w:tc>
          <w:tcPr>
            <w:tcW w:w="990"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宋体" w:hAnsi="宋体" w:eastAsia="宋体" w:cs="宋体"/>
                <w:i w:val="0"/>
                <w:color w:val="000000"/>
                <w:sz w:val="20"/>
                <w:szCs w:val="20"/>
                <w:u w:val="none"/>
              </w:rPr>
            </w:pPr>
          </w:p>
        </w:tc>
      </w:tr>
      <w:tr>
        <w:tblPrEx>
          <w:tblCellMar>
            <w:top w:w="0" w:type="dxa"/>
            <w:left w:w="0" w:type="dxa"/>
            <w:bottom w:w="0" w:type="dxa"/>
            <w:right w:w="0" w:type="dxa"/>
          </w:tblCellMar>
        </w:tblPrEx>
        <w:trPr>
          <w:trHeight w:val="2355" w:hRule="atLeast"/>
          <w:jc w:val="center"/>
        </w:trPr>
        <w:tc>
          <w:tcPr>
            <w:tcW w:w="909"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194</w:t>
            </w:r>
          </w:p>
        </w:tc>
        <w:tc>
          <w:tcPr>
            <w:tcW w:w="157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010304001001</w:t>
            </w:r>
          </w:p>
        </w:tc>
        <w:tc>
          <w:tcPr>
            <w:tcW w:w="5325"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拆除墙体</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1.做法:-1F-PL-02</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2.墙体厚度:200mm</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3.空心砖、砌块品种、规格、强度等级:混凝土砌块</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1.拆除</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2.垃圾外运</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m3</w:t>
            </w:r>
          </w:p>
        </w:tc>
        <w:tc>
          <w:tcPr>
            <w:tcW w:w="990"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0.72</w:t>
            </w:r>
          </w:p>
        </w:tc>
      </w:tr>
      <w:tr>
        <w:tblPrEx>
          <w:tblCellMar>
            <w:top w:w="0" w:type="dxa"/>
            <w:left w:w="0" w:type="dxa"/>
            <w:bottom w:w="0" w:type="dxa"/>
            <w:right w:w="0" w:type="dxa"/>
          </w:tblCellMar>
        </w:tblPrEx>
        <w:trPr>
          <w:trHeight w:val="345" w:hRule="atLeast"/>
          <w:jc w:val="center"/>
        </w:trPr>
        <w:tc>
          <w:tcPr>
            <w:tcW w:w="909"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rPr>
                <w:rFonts w:hint="eastAsia" w:ascii="宋体" w:hAnsi="宋体" w:eastAsia="宋体" w:cs="宋体"/>
                <w:i w:val="0"/>
                <w:color w:val="000000"/>
                <w:sz w:val="20"/>
                <w:szCs w:val="20"/>
                <w:u w:val="none"/>
              </w:rPr>
            </w:pPr>
          </w:p>
        </w:tc>
        <w:tc>
          <w:tcPr>
            <w:tcW w:w="157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A.4</w:t>
            </w:r>
          </w:p>
        </w:tc>
        <w:tc>
          <w:tcPr>
            <w:tcW w:w="5325"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A.4  混凝土及钢筋混凝土工程</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宋体" w:hAnsi="宋体" w:eastAsia="宋体" w:cs="宋体"/>
                <w:i w:val="0"/>
                <w:color w:val="000000"/>
                <w:sz w:val="20"/>
                <w:szCs w:val="20"/>
                <w:u w:val="none"/>
              </w:rPr>
            </w:pPr>
          </w:p>
        </w:tc>
        <w:tc>
          <w:tcPr>
            <w:tcW w:w="990"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宋体" w:hAnsi="宋体" w:eastAsia="宋体" w:cs="宋体"/>
                <w:i w:val="0"/>
                <w:color w:val="000000"/>
                <w:sz w:val="20"/>
                <w:szCs w:val="20"/>
                <w:u w:val="none"/>
              </w:rPr>
            </w:pPr>
          </w:p>
        </w:tc>
      </w:tr>
      <w:tr>
        <w:tblPrEx>
          <w:tblCellMar>
            <w:top w:w="0" w:type="dxa"/>
            <w:left w:w="0" w:type="dxa"/>
            <w:bottom w:w="0" w:type="dxa"/>
            <w:right w:w="0" w:type="dxa"/>
          </w:tblCellMar>
        </w:tblPrEx>
        <w:trPr>
          <w:trHeight w:val="1845" w:hRule="atLeast"/>
          <w:jc w:val="center"/>
        </w:trPr>
        <w:tc>
          <w:tcPr>
            <w:tcW w:w="909"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195</w:t>
            </w:r>
          </w:p>
        </w:tc>
        <w:tc>
          <w:tcPr>
            <w:tcW w:w="157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010405001001</w:t>
            </w:r>
          </w:p>
        </w:tc>
        <w:tc>
          <w:tcPr>
            <w:tcW w:w="5325"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拆除原楼板</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1.做法:1F-PL-02</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2.板厚度:120mm</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3.混凝土强度等级:原楼板</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1.拆除、垃圾外运</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m3</w:t>
            </w:r>
          </w:p>
        </w:tc>
        <w:tc>
          <w:tcPr>
            <w:tcW w:w="990"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1.4</w:t>
            </w:r>
          </w:p>
        </w:tc>
      </w:tr>
      <w:tr>
        <w:tblPrEx>
          <w:tblCellMar>
            <w:top w:w="0" w:type="dxa"/>
            <w:left w:w="0" w:type="dxa"/>
            <w:bottom w:w="0" w:type="dxa"/>
            <w:right w:w="0" w:type="dxa"/>
          </w:tblCellMar>
        </w:tblPrEx>
        <w:trPr>
          <w:trHeight w:val="345" w:hRule="atLeast"/>
          <w:jc w:val="center"/>
        </w:trPr>
        <w:tc>
          <w:tcPr>
            <w:tcW w:w="909"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rPr>
                <w:rFonts w:hint="eastAsia" w:ascii="宋体" w:hAnsi="宋体" w:eastAsia="宋体" w:cs="宋体"/>
                <w:i w:val="0"/>
                <w:color w:val="000000"/>
                <w:sz w:val="20"/>
                <w:szCs w:val="20"/>
                <w:u w:val="none"/>
              </w:rPr>
            </w:pPr>
          </w:p>
        </w:tc>
        <w:tc>
          <w:tcPr>
            <w:tcW w:w="157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B.2</w:t>
            </w:r>
          </w:p>
        </w:tc>
        <w:tc>
          <w:tcPr>
            <w:tcW w:w="5325"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B.2  墙、柱面工程</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宋体" w:hAnsi="宋体" w:eastAsia="宋体" w:cs="宋体"/>
                <w:i w:val="0"/>
                <w:color w:val="000000"/>
                <w:sz w:val="20"/>
                <w:szCs w:val="20"/>
                <w:u w:val="none"/>
              </w:rPr>
            </w:pPr>
          </w:p>
        </w:tc>
        <w:tc>
          <w:tcPr>
            <w:tcW w:w="990"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宋体" w:hAnsi="宋体" w:eastAsia="宋体" w:cs="宋体"/>
                <w:i w:val="0"/>
                <w:color w:val="000000"/>
                <w:sz w:val="20"/>
                <w:szCs w:val="20"/>
                <w:u w:val="none"/>
              </w:rPr>
            </w:pPr>
          </w:p>
        </w:tc>
      </w:tr>
      <w:tr>
        <w:tblPrEx>
          <w:tblCellMar>
            <w:top w:w="0" w:type="dxa"/>
            <w:left w:w="0" w:type="dxa"/>
            <w:bottom w:w="0" w:type="dxa"/>
            <w:right w:w="0" w:type="dxa"/>
          </w:tblCellMar>
        </w:tblPrEx>
        <w:trPr>
          <w:trHeight w:val="1845" w:hRule="atLeast"/>
          <w:jc w:val="center"/>
        </w:trPr>
        <w:tc>
          <w:tcPr>
            <w:tcW w:w="909"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196</w:t>
            </w:r>
          </w:p>
        </w:tc>
        <w:tc>
          <w:tcPr>
            <w:tcW w:w="157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020210002001</w:t>
            </w:r>
          </w:p>
        </w:tc>
        <w:tc>
          <w:tcPr>
            <w:tcW w:w="5325"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拆除原幕墙</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1.做法:1F-PL-03</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2.玻璃品种、规格、品牌、颜色:原幕墙</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1.拆除</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2.垃圾外运</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m2</w:t>
            </w:r>
          </w:p>
        </w:tc>
        <w:tc>
          <w:tcPr>
            <w:tcW w:w="990"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w:t>
            </w:r>
          </w:p>
        </w:tc>
      </w:tr>
      <w:tr>
        <w:tblPrEx>
          <w:tblCellMar>
            <w:top w:w="0" w:type="dxa"/>
            <w:left w:w="0" w:type="dxa"/>
            <w:bottom w:w="0" w:type="dxa"/>
            <w:right w:w="0" w:type="dxa"/>
          </w:tblCellMar>
        </w:tblPrEx>
        <w:trPr>
          <w:trHeight w:val="345" w:hRule="atLeast"/>
          <w:jc w:val="center"/>
        </w:trPr>
        <w:tc>
          <w:tcPr>
            <w:tcW w:w="909"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rPr>
                <w:rFonts w:hint="eastAsia" w:ascii="宋体" w:hAnsi="宋体" w:eastAsia="宋体" w:cs="宋体"/>
                <w:i w:val="0"/>
                <w:color w:val="000000"/>
                <w:sz w:val="20"/>
                <w:szCs w:val="20"/>
                <w:u w:val="none"/>
              </w:rPr>
            </w:pPr>
          </w:p>
        </w:tc>
        <w:tc>
          <w:tcPr>
            <w:tcW w:w="157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B.3</w:t>
            </w:r>
          </w:p>
        </w:tc>
        <w:tc>
          <w:tcPr>
            <w:tcW w:w="5325"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B.3  天棚工程</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宋体" w:hAnsi="宋体" w:eastAsia="宋体" w:cs="宋体"/>
                <w:i w:val="0"/>
                <w:color w:val="000000"/>
                <w:sz w:val="20"/>
                <w:szCs w:val="20"/>
                <w:u w:val="none"/>
              </w:rPr>
            </w:pPr>
          </w:p>
        </w:tc>
        <w:tc>
          <w:tcPr>
            <w:tcW w:w="990"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宋体" w:hAnsi="宋体" w:eastAsia="宋体" w:cs="宋体"/>
                <w:i w:val="0"/>
                <w:color w:val="000000"/>
                <w:sz w:val="20"/>
                <w:szCs w:val="20"/>
                <w:u w:val="none"/>
              </w:rPr>
            </w:pPr>
          </w:p>
        </w:tc>
      </w:tr>
      <w:tr>
        <w:tblPrEx>
          <w:tblCellMar>
            <w:top w:w="0" w:type="dxa"/>
            <w:left w:w="0" w:type="dxa"/>
            <w:bottom w:w="0" w:type="dxa"/>
            <w:right w:w="0" w:type="dxa"/>
          </w:tblCellMar>
        </w:tblPrEx>
        <w:trPr>
          <w:trHeight w:val="1845" w:hRule="atLeast"/>
          <w:jc w:val="center"/>
        </w:trPr>
        <w:tc>
          <w:tcPr>
            <w:tcW w:w="909"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197</w:t>
            </w:r>
          </w:p>
        </w:tc>
        <w:tc>
          <w:tcPr>
            <w:tcW w:w="157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020301001001</w:t>
            </w:r>
          </w:p>
        </w:tc>
        <w:tc>
          <w:tcPr>
            <w:tcW w:w="5325"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拆除天棚</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1.做法:-1F-PL-02</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2.抹灰厚度、材料种类:乳胶漆天棚</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1.砍灰皮</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2.垃圾外运</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m2</w:t>
            </w:r>
          </w:p>
        </w:tc>
        <w:tc>
          <w:tcPr>
            <w:tcW w:w="990"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163.51</w:t>
            </w:r>
          </w:p>
        </w:tc>
      </w:tr>
      <w:tr>
        <w:tblPrEx>
          <w:tblCellMar>
            <w:top w:w="0" w:type="dxa"/>
            <w:left w:w="0" w:type="dxa"/>
            <w:bottom w:w="0" w:type="dxa"/>
            <w:right w:w="0" w:type="dxa"/>
          </w:tblCellMar>
        </w:tblPrEx>
        <w:trPr>
          <w:trHeight w:val="345" w:hRule="atLeast"/>
          <w:jc w:val="center"/>
        </w:trPr>
        <w:tc>
          <w:tcPr>
            <w:tcW w:w="909"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rPr>
                <w:rFonts w:hint="eastAsia" w:ascii="宋体" w:hAnsi="宋体" w:eastAsia="宋体" w:cs="宋体"/>
                <w:i w:val="0"/>
                <w:color w:val="000000"/>
                <w:sz w:val="20"/>
                <w:szCs w:val="20"/>
                <w:u w:val="none"/>
              </w:rPr>
            </w:pPr>
          </w:p>
        </w:tc>
        <w:tc>
          <w:tcPr>
            <w:tcW w:w="157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B.4</w:t>
            </w:r>
          </w:p>
        </w:tc>
        <w:tc>
          <w:tcPr>
            <w:tcW w:w="5325"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B.4  门窗工程</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宋体" w:hAnsi="宋体" w:eastAsia="宋体" w:cs="宋体"/>
                <w:i w:val="0"/>
                <w:color w:val="000000"/>
                <w:sz w:val="20"/>
                <w:szCs w:val="20"/>
                <w:u w:val="none"/>
              </w:rPr>
            </w:pPr>
          </w:p>
        </w:tc>
        <w:tc>
          <w:tcPr>
            <w:tcW w:w="990"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宋体" w:hAnsi="宋体" w:eastAsia="宋体" w:cs="宋体"/>
                <w:i w:val="0"/>
                <w:color w:val="000000"/>
                <w:sz w:val="20"/>
                <w:szCs w:val="20"/>
                <w:u w:val="none"/>
              </w:rPr>
            </w:pPr>
          </w:p>
        </w:tc>
      </w:tr>
      <w:tr>
        <w:tblPrEx>
          <w:tblCellMar>
            <w:top w:w="0" w:type="dxa"/>
            <w:left w:w="0" w:type="dxa"/>
            <w:bottom w:w="0" w:type="dxa"/>
            <w:right w:w="0" w:type="dxa"/>
          </w:tblCellMar>
        </w:tblPrEx>
        <w:trPr>
          <w:trHeight w:val="172" w:hRule="atLeast"/>
          <w:jc w:val="center"/>
        </w:trPr>
        <w:tc>
          <w:tcPr>
            <w:tcW w:w="909" w:type="dxa"/>
            <w:tcBorders>
              <w:top w:val="single" w:color="000000" w:sz="4" w:space="0"/>
              <w:left w:val="single" w:color="000000" w:sz="8"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198</w:t>
            </w:r>
          </w:p>
        </w:tc>
        <w:tc>
          <w:tcPr>
            <w:tcW w:w="1579" w:type="dxa"/>
            <w:tcBorders>
              <w:top w:val="single" w:color="000000" w:sz="4" w:space="0"/>
              <w:left w:val="single" w:color="000000" w:sz="4"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020401006001</w:t>
            </w:r>
          </w:p>
        </w:tc>
        <w:tc>
          <w:tcPr>
            <w:tcW w:w="5325" w:type="dxa"/>
            <w:gridSpan w:val="3"/>
            <w:tcBorders>
              <w:top w:val="single" w:color="000000" w:sz="4" w:space="0"/>
              <w:left w:val="single" w:color="000000" w:sz="4"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拆除门</w:t>
            </w:r>
          </w:p>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1.做法:-1F-PL-02</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2.框截面尺寸、单扇面积:1800*2100mm</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1.拆除</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2.垃圾外运</w:t>
            </w:r>
          </w:p>
        </w:tc>
        <w:tc>
          <w:tcPr>
            <w:tcW w:w="975" w:type="dxa"/>
            <w:tcBorders>
              <w:top w:val="single" w:color="000000" w:sz="4" w:space="0"/>
              <w:left w:val="single" w:color="000000" w:sz="4"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樘</w:t>
            </w:r>
          </w:p>
        </w:tc>
        <w:tc>
          <w:tcPr>
            <w:tcW w:w="990" w:type="dxa"/>
            <w:tcBorders>
              <w:top w:val="single" w:color="000000" w:sz="4" w:space="0"/>
              <w:left w:val="single" w:color="000000" w:sz="4" w:space="0"/>
              <w:bottom w:val="single" w:color="000000" w:sz="8"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r>
      <w:tr>
        <w:tblPrEx>
          <w:tblCellMar>
            <w:top w:w="0" w:type="dxa"/>
            <w:left w:w="0" w:type="dxa"/>
            <w:bottom w:w="0" w:type="dxa"/>
            <w:right w:w="0" w:type="dxa"/>
          </w:tblCellMar>
        </w:tblPrEx>
        <w:trPr>
          <w:trHeight w:val="1845" w:hRule="atLeast"/>
          <w:jc w:val="center"/>
        </w:trPr>
        <w:tc>
          <w:tcPr>
            <w:tcW w:w="909"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199</w:t>
            </w:r>
          </w:p>
        </w:tc>
        <w:tc>
          <w:tcPr>
            <w:tcW w:w="157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020404006001</w:t>
            </w:r>
          </w:p>
        </w:tc>
        <w:tc>
          <w:tcPr>
            <w:tcW w:w="5325"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拆除玻璃及玻璃门</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1.做法:-1F-PL-02</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2.框材质、外围尺寸:7300*2620mm</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1.拆除</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2.垃圾外运</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樘</w:t>
            </w:r>
          </w:p>
        </w:tc>
        <w:tc>
          <w:tcPr>
            <w:tcW w:w="990"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r>
      <w:tr>
        <w:tblPrEx>
          <w:tblCellMar>
            <w:top w:w="0" w:type="dxa"/>
            <w:left w:w="0" w:type="dxa"/>
            <w:bottom w:w="0" w:type="dxa"/>
            <w:right w:w="0" w:type="dxa"/>
          </w:tblCellMar>
        </w:tblPrEx>
        <w:trPr>
          <w:trHeight w:val="1845" w:hRule="atLeast"/>
          <w:jc w:val="center"/>
        </w:trPr>
        <w:tc>
          <w:tcPr>
            <w:tcW w:w="909"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200</w:t>
            </w:r>
          </w:p>
        </w:tc>
        <w:tc>
          <w:tcPr>
            <w:tcW w:w="157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020404006002</w:t>
            </w:r>
          </w:p>
        </w:tc>
        <w:tc>
          <w:tcPr>
            <w:tcW w:w="5325"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拆除玻璃门</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1.做法:1F-PL-02</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2.框材质、外围尺寸:3600*3530mm</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1.拆除</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2.垃圾外运</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樘</w:t>
            </w:r>
          </w:p>
        </w:tc>
        <w:tc>
          <w:tcPr>
            <w:tcW w:w="990"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r>
      <w:tr>
        <w:tblPrEx>
          <w:tblCellMar>
            <w:top w:w="0" w:type="dxa"/>
            <w:left w:w="0" w:type="dxa"/>
            <w:bottom w:w="0" w:type="dxa"/>
            <w:right w:w="0" w:type="dxa"/>
          </w:tblCellMar>
        </w:tblPrEx>
        <w:trPr>
          <w:trHeight w:val="345" w:hRule="atLeast"/>
          <w:jc w:val="center"/>
        </w:trPr>
        <w:tc>
          <w:tcPr>
            <w:tcW w:w="909"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rPr>
                <w:rFonts w:hint="eastAsia" w:ascii="宋体" w:hAnsi="宋体" w:eastAsia="宋体" w:cs="宋体"/>
                <w:i w:val="0"/>
                <w:color w:val="000000"/>
                <w:sz w:val="20"/>
                <w:szCs w:val="20"/>
                <w:u w:val="none"/>
              </w:rPr>
            </w:pPr>
          </w:p>
        </w:tc>
        <w:tc>
          <w:tcPr>
            <w:tcW w:w="157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rPr>
                <w:rFonts w:hint="eastAsia" w:ascii="宋体" w:hAnsi="宋体" w:eastAsia="宋体" w:cs="宋体"/>
                <w:i w:val="0"/>
                <w:color w:val="000000"/>
                <w:sz w:val="20"/>
                <w:szCs w:val="20"/>
                <w:u w:val="none"/>
              </w:rPr>
            </w:pPr>
          </w:p>
        </w:tc>
        <w:tc>
          <w:tcPr>
            <w:tcW w:w="5325"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新建工程</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宋体" w:hAnsi="宋体" w:eastAsia="宋体" w:cs="宋体"/>
                <w:i w:val="0"/>
                <w:color w:val="000000"/>
                <w:sz w:val="20"/>
                <w:szCs w:val="20"/>
                <w:u w:val="none"/>
              </w:rPr>
            </w:pPr>
          </w:p>
        </w:tc>
        <w:tc>
          <w:tcPr>
            <w:tcW w:w="990"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宋体" w:hAnsi="宋体" w:eastAsia="宋体" w:cs="宋体"/>
                <w:i w:val="0"/>
                <w:color w:val="000000"/>
                <w:sz w:val="20"/>
                <w:szCs w:val="20"/>
                <w:u w:val="none"/>
              </w:rPr>
            </w:pPr>
          </w:p>
        </w:tc>
      </w:tr>
      <w:tr>
        <w:tblPrEx>
          <w:tblCellMar>
            <w:top w:w="0" w:type="dxa"/>
            <w:left w:w="0" w:type="dxa"/>
            <w:bottom w:w="0" w:type="dxa"/>
            <w:right w:w="0" w:type="dxa"/>
          </w:tblCellMar>
        </w:tblPrEx>
        <w:trPr>
          <w:trHeight w:val="345" w:hRule="atLeast"/>
          <w:jc w:val="center"/>
        </w:trPr>
        <w:tc>
          <w:tcPr>
            <w:tcW w:w="909"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rPr>
                <w:rFonts w:hint="eastAsia" w:ascii="宋体" w:hAnsi="宋体" w:eastAsia="宋体" w:cs="宋体"/>
                <w:i w:val="0"/>
                <w:color w:val="000000"/>
                <w:sz w:val="20"/>
                <w:szCs w:val="20"/>
                <w:u w:val="none"/>
              </w:rPr>
            </w:pPr>
          </w:p>
        </w:tc>
        <w:tc>
          <w:tcPr>
            <w:tcW w:w="157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A.3</w:t>
            </w:r>
          </w:p>
        </w:tc>
        <w:tc>
          <w:tcPr>
            <w:tcW w:w="5325"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A.3  砌 筑 工 程</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宋体" w:hAnsi="宋体" w:eastAsia="宋体" w:cs="宋体"/>
                <w:i w:val="0"/>
                <w:color w:val="000000"/>
                <w:sz w:val="20"/>
                <w:szCs w:val="20"/>
                <w:u w:val="none"/>
              </w:rPr>
            </w:pPr>
          </w:p>
        </w:tc>
        <w:tc>
          <w:tcPr>
            <w:tcW w:w="990"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宋体" w:hAnsi="宋体" w:eastAsia="宋体" w:cs="宋体"/>
                <w:i w:val="0"/>
                <w:color w:val="000000"/>
                <w:sz w:val="20"/>
                <w:szCs w:val="20"/>
                <w:u w:val="none"/>
              </w:rPr>
            </w:pPr>
          </w:p>
        </w:tc>
      </w:tr>
      <w:tr>
        <w:tblPrEx>
          <w:tblCellMar>
            <w:top w:w="0" w:type="dxa"/>
            <w:left w:w="0" w:type="dxa"/>
            <w:bottom w:w="0" w:type="dxa"/>
            <w:right w:w="0" w:type="dxa"/>
          </w:tblCellMar>
        </w:tblPrEx>
        <w:trPr>
          <w:trHeight w:val="2865" w:hRule="atLeast"/>
          <w:jc w:val="center"/>
        </w:trPr>
        <w:tc>
          <w:tcPr>
            <w:tcW w:w="909"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201</w:t>
            </w:r>
          </w:p>
        </w:tc>
        <w:tc>
          <w:tcPr>
            <w:tcW w:w="157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010304001002</w:t>
            </w:r>
          </w:p>
        </w:tc>
        <w:tc>
          <w:tcPr>
            <w:tcW w:w="5325"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空心砖墙、砌块墙</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1.做法:-1F-PL-03/1F-PL-03</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2.墙体厚度:200mm</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3.空心砖、砌块品种、规格、强度等级:混凝土砌块</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1.砂浆制作、运输</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2.砌砖、砌块</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3.勾缝</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4.材料运输</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m3</w:t>
            </w:r>
          </w:p>
        </w:tc>
        <w:tc>
          <w:tcPr>
            <w:tcW w:w="990"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48.95</w:t>
            </w:r>
          </w:p>
        </w:tc>
      </w:tr>
      <w:tr>
        <w:tblPrEx>
          <w:tblCellMar>
            <w:top w:w="0" w:type="dxa"/>
            <w:left w:w="0" w:type="dxa"/>
            <w:bottom w:w="0" w:type="dxa"/>
            <w:right w:w="0" w:type="dxa"/>
          </w:tblCellMar>
        </w:tblPrEx>
        <w:trPr>
          <w:trHeight w:val="345" w:hRule="atLeast"/>
          <w:jc w:val="center"/>
        </w:trPr>
        <w:tc>
          <w:tcPr>
            <w:tcW w:w="909"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rPr>
                <w:rFonts w:hint="eastAsia" w:ascii="宋体" w:hAnsi="宋体" w:eastAsia="宋体" w:cs="宋体"/>
                <w:i w:val="0"/>
                <w:color w:val="000000"/>
                <w:sz w:val="20"/>
                <w:szCs w:val="20"/>
                <w:u w:val="none"/>
              </w:rPr>
            </w:pPr>
          </w:p>
        </w:tc>
        <w:tc>
          <w:tcPr>
            <w:tcW w:w="157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A.4</w:t>
            </w:r>
          </w:p>
        </w:tc>
        <w:tc>
          <w:tcPr>
            <w:tcW w:w="5325"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A.4  混凝土及钢筋混凝土工程</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宋体" w:hAnsi="宋体" w:eastAsia="宋体" w:cs="宋体"/>
                <w:i w:val="0"/>
                <w:color w:val="000000"/>
                <w:sz w:val="20"/>
                <w:szCs w:val="20"/>
                <w:u w:val="none"/>
              </w:rPr>
            </w:pPr>
          </w:p>
        </w:tc>
        <w:tc>
          <w:tcPr>
            <w:tcW w:w="990"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宋体" w:hAnsi="宋体" w:eastAsia="宋体" w:cs="宋体"/>
                <w:i w:val="0"/>
                <w:color w:val="000000"/>
                <w:sz w:val="20"/>
                <w:szCs w:val="20"/>
                <w:u w:val="none"/>
              </w:rPr>
            </w:pPr>
          </w:p>
        </w:tc>
      </w:tr>
      <w:tr>
        <w:tblPrEx>
          <w:tblCellMar>
            <w:top w:w="0" w:type="dxa"/>
            <w:left w:w="0" w:type="dxa"/>
            <w:bottom w:w="0" w:type="dxa"/>
            <w:right w:w="0" w:type="dxa"/>
          </w:tblCellMar>
        </w:tblPrEx>
        <w:trPr>
          <w:trHeight w:val="2100" w:hRule="atLeast"/>
          <w:jc w:val="center"/>
        </w:trPr>
        <w:tc>
          <w:tcPr>
            <w:tcW w:w="909"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w:t>
            </w:r>
          </w:p>
        </w:tc>
        <w:tc>
          <w:tcPr>
            <w:tcW w:w="157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010405003001</w:t>
            </w:r>
          </w:p>
        </w:tc>
        <w:tc>
          <w:tcPr>
            <w:tcW w:w="5325"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平板</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1.做法:1F-PL-03</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2.板厚度:120mm</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3.混凝土强度等级:C30</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4.混凝土拌和料要求:商品砼</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1.泵送商品砼运输、浇筑、振捣、养护</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m3</w:t>
            </w:r>
          </w:p>
        </w:tc>
        <w:tc>
          <w:tcPr>
            <w:tcW w:w="990"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0.7</w:t>
            </w:r>
          </w:p>
        </w:tc>
      </w:tr>
      <w:tr>
        <w:tblPrEx>
          <w:tblCellMar>
            <w:top w:w="0" w:type="dxa"/>
            <w:left w:w="0" w:type="dxa"/>
            <w:bottom w:w="0" w:type="dxa"/>
            <w:right w:w="0" w:type="dxa"/>
          </w:tblCellMar>
        </w:tblPrEx>
        <w:trPr>
          <w:trHeight w:val="345" w:hRule="atLeast"/>
          <w:jc w:val="center"/>
        </w:trPr>
        <w:tc>
          <w:tcPr>
            <w:tcW w:w="909"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rPr>
                <w:rFonts w:hint="eastAsia" w:ascii="宋体" w:hAnsi="宋体" w:eastAsia="宋体" w:cs="宋体"/>
                <w:i w:val="0"/>
                <w:color w:val="000000"/>
                <w:sz w:val="20"/>
                <w:szCs w:val="20"/>
                <w:u w:val="none"/>
              </w:rPr>
            </w:pPr>
          </w:p>
        </w:tc>
        <w:tc>
          <w:tcPr>
            <w:tcW w:w="157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B.2</w:t>
            </w:r>
          </w:p>
        </w:tc>
        <w:tc>
          <w:tcPr>
            <w:tcW w:w="5325"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B.2  墙、柱面工程</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宋体" w:hAnsi="宋体" w:eastAsia="宋体" w:cs="宋体"/>
                <w:i w:val="0"/>
                <w:color w:val="000000"/>
                <w:sz w:val="20"/>
                <w:szCs w:val="20"/>
                <w:u w:val="none"/>
              </w:rPr>
            </w:pPr>
          </w:p>
        </w:tc>
        <w:tc>
          <w:tcPr>
            <w:tcW w:w="990"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宋体" w:hAnsi="宋体" w:eastAsia="宋体" w:cs="宋体"/>
                <w:i w:val="0"/>
                <w:color w:val="000000"/>
                <w:sz w:val="20"/>
                <w:szCs w:val="20"/>
                <w:u w:val="none"/>
              </w:rPr>
            </w:pPr>
          </w:p>
        </w:tc>
      </w:tr>
      <w:tr>
        <w:tblPrEx>
          <w:tblCellMar>
            <w:top w:w="0" w:type="dxa"/>
            <w:left w:w="0" w:type="dxa"/>
            <w:bottom w:w="0" w:type="dxa"/>
            <w:right w:w="0" w:type="dxa"/>
          </w:tblCellMar>
        </w:tblPrEx>
        <w:trPr>
          <w:trHeight w:val="90" w:hRule="atLeast"/>
          <w:jc w:val="center"/>
        </w:trPr>
        <w:tc>
          <w:tcPr>
            <w:tcW w:w="909" w:type="dxa"/>
            <w:tcBorders>
              <w:top w:val="single" w:color="000000" w:sz="4" w:space="0"/>
              <w:left w:val="single" w:color="000000" w:sz="8"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203</w:t>
            </w:r>
          </w:p>
        </w:tc>
        <w:tc>
          <w:tcPr>
            <w:tcW w:w="1579" w:type="dxa"/>
            <w:tcBorders>
              <w:top w:val="single" w:color="000000" w:sz="4" w:space="0"/>
              <w:left w:val="single" w:color="000000" w:sz="4"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020207001044</w:t>
            </w:r>
          </w:p>
        </w:tc>
        <w:tc>
          <w:tcPr>
            <w:tcW w:w="5325" w:type="dxa"/>
            <w:gridSpan w:val="3"/>
            <w:tcBorders>
              <w:top w:val="single" w:color="000000" w:sz="4" w:space="0"/>
              <w:left w:val="single" w:color="000000" w:sz="4"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120轻隔间</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1.做法:-1F-PL-03/1F-PL-03</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2.龙骨材料种类、规格、中距:75系列轻钢龙骨</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3.基层材料种类、规格:双层双面12mm厚纸面石膏板</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1.基层清理</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2.龙骨制作、运输、安装</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3.基层铺钉</w:t>
            </w:r>
          </w:p>
        </w:tc>
        <w:tc>
          <w:tcPr>
            <w:tcW w:w="975" w:type="dxa"/>
            <w:tcBorders>
              <w:top w:val="single" w:color="000000" w:sz="4" w:space="0"/>
              <w:left w:val="single" w:color="000000" w:sz="4"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m2</w:t>
            </w:r>
          </w:p>
        </w:tc>
        <w:tc>
          <w:tcPr>
            <w:tcW w:w="990" w:type="dxa"/>
            <w:tcBorders>
              <w:top w:val="single" w:color="000000" w:sz="4" w:space="0"/>
              <w:left w:val="single" w:color="000000" w:sz="4" w:space="0"/>
              <w:bottom w:val="single" w:color="000000" w:sz="8"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59.86</w:t>
            </w:r>
          </w:p>
        </w:tc>
      </w:tr>
      <w:tr>
        <w:tblPrEx>
          <w:tblCellMar>
            <w:top w:w="0" w:type="dxa"/>
            <w:left w:w="0" w:type="dxa"/>
            <w:bottom w:w="0" w:type="dxa"/>
            <w:right w:w="0" w:type="dxa"/>
          </w:tblCellMar>
        </w:tblPrEx>
        <w:trPr>
          <w:trHeight w:val="2865" w:hRule="atLeast"/>
          <w:jc w:val="center"/>
        </w:trPr>
        <w:tc>
          <w:tcPr>
            <w:tcW w:w="909"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204</w:t>
            </w:r>
          </w:p>
        </w:tc>
        <w:tc>
          <w:tcPr>
            <w:tcW w:w="157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020207001045</w:t>
            </w:r>
          </w:p>
        </w:tc>
        <w:tc>
          <w:tcPr>
            <w:tcW w:w="5325"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140轻隔间</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1.做法:-1F-PL-03/1F-PL-03</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2.龙骨材料种类、规格、中距:100系列轻钢龙骨</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3.基层材料种类、规格:双层双面12mm厚纸面石膏板</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1.基层清理</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2.龙骨制作、运输、安装</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3.基层铺钉</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m2</w:t>
            </w:r>
          </w:p>
        </w:tc>
        <w:tc>
          <w:tcPr>
            <w:tcW w:w="990"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336.41</w:t>
            </w:r>
          </w:p>
        </w:tc>
      </w:tr>
      <w:tr>
        <w:tblPrEx>
          <w:tblCellMar>
            <w:top w:w="0" w:type="dxa"/>
            <w:left w:w="0" w:type="dxa"/>
            <w:bottom w:w="0" w:type="dxa"/>
            <w:right w:w="0" w:type="dxa"/>
          </w:tblCellMar>
        </w:tblPrEx>
        <w:trPr>
          <w:trHeight w:val="3630" w:hRule="atLeast"/>
          <w:jc w:val="center"/>
        </w:trPr>
        <w:tc>
          <w:tcPr>
            <w:tcW w:w="909"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205</w:t>
            </w:r>
          </w:p>
        </w:tc>
        <w:tc>
          <w:tcPr>
            <w:tcW w:w="157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020207001046</w:t>
            </w:r>
          </w:p>
        </w:tc>
        <w:tc>
          <w:tcPr>
            <w:tcW w:w="5325"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角钢框架结构隔墙</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1.做法:1F-PL-03</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2.龙骨材料种类、规格、中距:钢架基层</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3.基层材料种类、规格:双层15MM阻燃板基层</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4.面层材料品种、规格、品牌、颜色:双层9.5MM纸面石膏板</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5.油漆品种、刷漆遍数:白色乳胶漆（PT-01）</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1.基层清理</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2.龙骨制作、运输、安装</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3.基层铺钉</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4.面层铺贴</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5.刷防护材料、油漆</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m2</w:t>
            </w:r>
          </w:p>
        </w:tc>
        <w:tc>
          <w:tcPr>
            <w:tcW w:w="990"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1.53</w:t>
            </w:r>
          </w:p>
        </w:tc>
      </w:tr>
      <w:tr>
        <w:tblPrEx>
          <w:tblCellMar>
            <w:top w:w="0" w:type="dxa"/>
            <w:left w:w="0" w:type="dxa"/>
            <w:bottom w:w="0" w:type="dxa"/>
            <w:right w:w="0" w:type="dxa"/>
          </w:tblCellMar>
        </w:tblPrEx>
        <w:trPr>
          <w:trHeight w:val="3120" w:hRule="atLeast"/>
          <w:jc w:val="center"/>
        </w:trPr>
        <w:tc>
          <w:tcPr>
            <w:tcW w:w="909"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206</w:t>
            </w:r>
          </w:p>
        </w:tc>
        <w:tc>
          <w:tcPr>
            <w:tcW w:w="157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020209001001</w:t>
            </w:r>
          </w:p>
        </w:tc>
        <w:tc>
          <w:tcPr>
            <w:tcW w:w="5325"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隔断</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1.做法:1F-PL-03</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2.隔板材料品种、规格、品牌、颜色:玻璃高隔(带百叶)（GL-03）</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3.压条材料种类:50mm不锈钢包边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1.骨架及边框制作、运输、安装</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2.隔板制作、运输、安装</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3.嵌缝、塞口</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4.装钉压条</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5.刷防护材料、油漆</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m2</w:t>
            </w:r>
          </w:p>
        </w:tc>
        <w:tc>
          <w:tcPr>
            <w:tcW w:w="990"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34.63</w:t>
            </w:r>
          </w:p>
        </w:tc>
      </w:tr>
      <w:tr>
        <w:tblPrEx>
          <w:tblCellMar>
            <w:top w:w="0" w:type="dxa"/>
            <w:left w:w="0" w:type="dxa"/>
            <w:bottom w:w="0" w:type="dxa"/>
            <w:right w:w="0" w:type="dxa"/>
          </w:tblCellMar>
        </w:tblPrEx>
        <w:trPr>
          <w:trHeight w:val="345" w:hRule="atLeast"/>
          <w:jc w:val="center"/>
        </w:trPr>
        <w:tc>
          <w:tcPr>
            <w:tcW w:w="909"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rPr>
                <w:rFonts w:hint="eastAsia" w:ascii="宋体" w:hAnsi="宋体" w:eastAsia="宋体" w:cs="宋体"/>
                <w:i w:val="0"/>
                <w:color w:val="000000"/>
                <w:sz w:val="20"/>
                <w:szCs w:val="20"/>
                <w:u w:val="none"/>
              </w:rPr>
            </w:pPr>
          </w:p>
        </w:tc>
        <w:tc>
          <w:tcPr>
            <w:tcW w:w="157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B.4</w:t>
            </w:r>
          </w:p>
        </w:tc>
        <w:tc>
          <w:tcPr>
            <w:tcW w:w="5325"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B.4  门窗工程</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宋体" w:hAnsi="宋体" w:eastAsia="宋体" w:cs="宋体"/>
                <w:i w:val="0"/>
                <w:color w:val="000000"/>
                <w:sz w:val="20"/>
                <w:szCs w:val="20"/>
                <w:u w:val="none"/>
              </w:rPr>
            </w:pPr>
          </w:p>
        </w:tc>
        <w:tc>
          <w:tcPr>
            <w:tcW w:w="990"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宋体" w:hAnsi="宋体" w:eastAsia="宋体" w:cs="宋体"/>
                <w:i w:val="0"/>
                <w:color w:val="000000"/>
                <w:sz w:val="20"/>
                <w:szCs w:val="20"/>
                <w:u w:val="none"/>
              </w:rPr>
            </w:pPr>
          </w:p>
        </w:tc>
      </w:tr>
      <w:tr>
        <w:tblPrEx>
          <w:tblCellMar>
            <w:top w:w="0" w:type="dxa"/>
            <w:left w:w="0" w:type="dxa"/>
            <w:bottom w:w="0" w:type="dxa"/>
            <w:right w:w="0" w:type="dxa"/>
          </w:tblCellMar>
        </w:tblPrEx>
        <w:trPr>
          <w:trHeight w:val="1140" w:hRule="atLeast"/>
          <w:jc w:val="center"/>
        </w:trPr>
        <w:tc>
          <w:tcPr>
            <w:tcW w:w="909" w:type="dxa"/>
            <w:tcBorders>
              <w:top w:val="single" w:color="000000" w:sz="4" w:space="0"/>
              <w:left w:val="single" w:color="000000" w:sz="8"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207</w:t>
            </w:r>
          </w:p>
        </w:tc>
        <w:tc>
          <w:tcPr>
            <w:tcW w:w="1579" w:type="dxa"/>
            <w:tcBorders>
              <w:top w:val="single" w:color="000000" w:sz="4" w:space="0"/>
              <w:left w:val="single" w:color="000000" w:sz="4"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020404006003</w:t>
            </w:r>
          </w:p>
        </w:tc>
        <w:tc>
          <w:tcPr>
            <w:tcW w:w="5325" w:type="dxa"/>
            <w:gridSpan w:val="3"/>
            <w:tcBorders>
              <w:top w:val="single" w:color="000000" w:sz="4" w:space="0"/>
              <w:left w:val="single" w:color="000000" w:sz="4"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封玻璃门</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1.做法:1F-PL-02</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2.框材质、外围尺寸:3600*3530mm</w:t>
            </w:r>
          </w:p>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1.门制作、运输、安装</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2.五金安装</w:t>
            </w:r>
          </w:p>
        </w:tc>
        <w:tc>
          <w:tcPr>
            <w:tcW w:w="975" w:type="dxa"/>
            <w:tcBorders>
              <w:top w:val="single" w:color="000000" w:sz="4" w:space="0"/>
              <w:left w:val="single" w:color="000000" w:sz="4"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樘</w:t>
            </w:r>
          </w:p>
        </w:tc>
        <w:tc>
          <w:tcPr>
            <w:tcW w:w="990" w:type="dxa"/>
            <w:tcBorders>
              <w:top w:val="single" w:color="000000" w:sz="4" w:space="0"/>
              <w:left w:val="single" w:color="000000" w:sz="4" w:space="0"/>
              <w:bottom w:val="single" w:color="000000" w:sz="8"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r>
      <w:tr>
        <w:tblPrEx>
          <w:tblCellMar>
            <w:top w:w="0" w:type="dxa"/>
            <w:left w:w="0" w:type="dxa"/>
            <w:bottom w:w="0" w:type="dxa"/>
            <w:right w:w="0" w:type="dxa"/>
          </w:tblCellMar>
        </w:tblPrEx>
        <w:trPr>
          <w:trHeight w:val="1845" w:hRule="atLeast"/>
          <w:jc w:val="center"/>
        </w:trPr>
        <w:tc>
          <w:tcPr>
            <w:tcW w:w="909"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208</w:t>
            </w:r>
          </w:p>
        </w:tc>
        <w:tc>
          <w:tcPr>
            <w:tcW w:w="157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020406003001</w:t>
            </w:r>
          </w:p>
        </w:tc>
        <w:tc>
          <w:tcPr>
            <w:tcW w:w="5325"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金属固定窗</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1.做法:-1F-PL-03</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2.框材质、外围尺寸:900*800mm</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1.窗制作、运输、安装</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2.五金、玻璃安装</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樘</w:t>
            </w:r>
          </w:p>
        </w:tc>
        <w:tc>
          <w:tcPr>
            <w:tcW w:w="990"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r>
      <w:tr>
        <w:tblPrEx>
          <w:tblCellMar>
            <w:top w:w="0" w:type="dxa"/>
            <w:left w:w="0" w:type="dxa"/>
            <w:bottom w:w="0" w:type="dxa"/>
            <w:right w:w="0" w:type="dxa"/>
          </w:tblCellMar>
        </w:tblPrEx>
        <w:trPr>
          <w:trHeight w:val="1845" w:hRule="atLeast"/>
          <w:jc w:val="center"/>
        </w:trPr>
        <w:tc>
          <w:tcPr>
            <w:tcW w:w="909"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209</w:t>
            </w:r>
          </w:p>
        </w:tc>
        <w:tc>
          <w:tcPr>
            <w:tcW w:w="157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020406003002</w:t>
            </w:r>
          </w:p>
        </w:tc>
        <w:tc>
          <w:tcPr>
            <w:tcW w:w="5325"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金属固定窗</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1.做法:1F-PL-03</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2.框材质、外围尺寸:4600*400mm</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1.窗制作、运输、安装</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2.五金、玻璃安装</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樘</w:t>
            </w:r>
          </w:p>
        </w:tc>
        <w:tc>
          <w:tcPr>
            <w:tcW w:w="990"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r>
      <w:tr>
        <w:tblPrEx>
          <w:tblCellMar>
            <w:top w:w="0" w:type="dxa"/>
            <w:left w:w="0" w:type="dxa"/>
            <w:bottom w:w="0" w:type="dxa"/>
            <w:right w:w="0" w:type="dxa"/>
          </w:tblCellMar>
        </w:tblPrEx>
        <w:trPr>
          <w:trHeight w:val="1845" w:hRule="atLeast"/>
          <w:jc w:val="center"/>
        </w:trPr>
        <w:tc>
          <w:tcPr>
            <w:tcW w:w="909"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210</w:t>
            </w:r>
          </w:p>
        </w:tc>
        <w:tc>
          <w:tcPr>
            <w:tcW w:w="157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020406003003</w:t>
            </w:r>
          </w:p>
        </w:tc>
        <w:tc>
          <w:tcPr>
            <w:tcW w:w="5325"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金属固定窗</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1.做法:1F-PL-03</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2.框材质、外围尺寸:6700*400mm</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1.窗制作、运输、安装</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2.五金、玻璃安装</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樘</w:t>
            </w:r>
          </w:p>
        </w:tc>
        <w:tc>
          <w:tcPr>
            <w:tcW w:w="990"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r>
      <w:tr>
        <w:tblPrEx>
          <w:tblCellMar>
            <w:top w:w="0" w:type="dxa"/>
            <w:left w:w="0" w:type="dxa"/>
            <w:bottom w:w="0" w:type="dxa"/>
            <w:right w:w="0" w:type="dxa"/>
          </w:tblCellMar>
        </w:tblPrEx>
        <w:trPr>
          <w:trHeight w:val="345" w:hRule="atLeast"/>
          <w:jc w:val="center"/>
        </w:trPr>
        <w:tc>
          <w:tcPr>
            <w:tcW w:w="909"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rPr>
                <w:rFonts w:hint="eastAsia" w:ascii="宋体" w:hAnsi="宋体" w:eastAsia="宋体" w:cs="宋体"/>
                <w:i w:val="0"/>
                <w:color w:val="000000"/>
                <w:sz w:val="20"/>
                <w:szCs w:val="20"/>
                <w:u w:val="none"/>
              </w:rPr>
            </w:pPr>
          </w:p>
        </w:tc>
        <w:tc>
          <w:tcPr>
            <w:tcW w:w="157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rPr>
                <w:rFonts w:hint="eastAsia" w:ascii="宋体" w:hAnsi="宋体" w:eastAsia="宋体" w:cs="宋体"/>
                <w:i w:val="0"/>
                <w:color w:val="000000"/>
                <w:sz w:val="20"/>
                <w:szCs w:val="20"/>
                <w:u w:val="none"/>
              </w:rPr>
            </w:pPr>
          </w:p>
        </w:tc>
        <w:tc>
          <w:tcPr>
            <w:tcW w:w="5325"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补充分部</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宋体" w:hAnsi="宋体" w:eastAsia="宋体" w:cs="宋体"/>
                <w:i w:val="0"/>
                <w:color w:val="000000"/>
                <w:sz w:val="20"/>
                <w:szCs w:val="20"/>
                <w:u w:val="none"/>
              </w:rPr>
            </w:pPr>
          </w:p>
        </w:tc>
        <w:tc>
          <w:tcPr>
            <w:tcW w:w="990"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宋体" w:hAnsi="宋体" w:eastAsia="宋体" w:cs="宋体"/>
                <w:i w:val="0"/>
                <w:color w:val="000000"/>
                <w:sz w:val="20"/>
                <w:szCs w:val="20"/>
                <w:u w:val="none"/>
              </w:rPr>
            </w:pPr>
          </w:p>
        </w:tc>
      </w:tr>
      <w:tr>
        <w:tblPrEx>
          <w:tblCellMar>
            <w:top w:w="0" w:type="dxa"/>
            <w:left w:w="0" w:type="dxa"/>
            <w:bottom w:w="0" w:type="dxa"/>
            <w:right w:w="0" w:type="dxa"/>
          </w:tblCellMar>
        </w:tblPrEx>
        <w:trPr>
          <w:trHeight w:val="1335" w:hRule="atLeast"/>
          <w:jc w:val="center"/>
        </w:trPr>
        <w:tc>
          <w:tcPr>
            <w:tcW w:w="909"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211</w:t>
            </w:r>
          </w:p>
        </w:tc>
        <w:tc>
          <w:tcPr>
            <w:tcW w:w="157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BB009</w:t>
            </w:r>
          </w:p>
        </w:tc>
        <w:tc>
          <w:tcPr>
            <w:tcW w:w="5325"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原始600*600矿棉板修缮</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1.原始600*600矿棉板修缮</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1.修缮</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项</w:t>
            </w:r>
          </w:p>
        </w:tc>
        <w:tc>
          <w:tcPr>
            <w:tcW w:w="990"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r>
      <w:tr>
        <w:tblPrEx>
          <w:tblCellMar>
            <w:top w:w="0" w:type="dxa"/>
            <w:left w:w="0" w:type="dxa"/>
            <w:bottom w:w="0" w:type="dxa"/>
            <w:right w:w="0" w:type="dxa"/>
          </w:tblCellMar>
        </w:tblPrEx>
        <w:trPr>
          <w:trHeight w:val="345" w:hRule="atLeast"/>
          <w:jc w:val="center"/>
        </w:trPr>
        <w:tc>
          <w:tcPr>
            <w:tcW w:w="909"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rPr>
                <w:rFonts w:hint="eastAsia" w:ascii="宋体" w:hAnsi="宋体" w:eastAsia="宋体" w:cs="宋体"/>
                <w:i w:val="0"/>
                <w:color w:val="000000"/>
                <w:sz w:val="20"/>
                <w:szCs w:val="20"/>
                <w:u w:val="none"/>
              </w:rPr>
            </w:pPr>
          </w:p>
        </w:tc>
        <w:tc>
          <w:tcPr>
            <w:tcW w:w="157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rPr>
                <w:rFonts w:hint="eastAsia" w:ascii="宋体" w:hAnsi="宋体" w:eastAsia="宋体" w:cs="宋体"/>
                <w:i w:val="0"/>
                <w:color w:val="000000"/>
                <w:sz w:val="20"/>
                <w:szCs w:val="20"/>
                <w:u w:val="none"/>
              </w:rPr>
            </w:pPr>
          </w:p>
        </w:tc>
        <w:tc>
          <w:tcPr>
            <w:tcW w:w="5325"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钢结构工程</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宋体" w:hAnsi="宋体" w:eastAsia="宋体" w:cs="宋体"/>
                <w:i w:val="0"/>
                <w:color w:val="000000"/>
                <w:sz w:val="20"/>
                <w:szCs w:val="20"/>
                <w:u w:val="none"/>
              </w:rPr>
            </w:pPr>
          </w:p>
        </w:tc>
        <w:tc>
          <w:tcPr>
            <w:tcW w:w="990"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宋体" w:hAnsi="宋体" w:eastAsia="宋体" w:cs="宋体"/>
                <w:i w:val="0"/>
                <w:color w:val="000000"/>
                <w:sz w:val="20"/>
                <w:szCs w:val="20"/>
                <w:u w:val="none"/>
              </w:rPr>
            </w:pPr>
          </w:p>
        </w:tc>
      </w:tr>
      <w:tr>
        <w:tblPrEx>
          <w:tblCellMar>
            <w:top w:w="0" w:type="dxa"/>
            <w:left w:w="0" w:type="dxa"/>
            <w:bottom w:w="0" w:type="dxa"/>
            <w:right w:w="0" w:type="dxa"/>
          </w:tblCellMar>
        </w:tblPrEx>
        <w:trPr>
          <w:trHeight w:val="345" w:hRule="atLeast"/>
          <w:jc w:val="center"/>
        </w:trPr>
        <w:tc>
          <w:tcPr>
            <w:tcW w:w="909"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rPr>
                <w:rFonts w:hint="eastAsia" w:ascii="宋体" w:hAnsi="宋体" w:eastAsia="宋体" w:cs="宋体"/>
                <w:i w:val="0"/>
                <w:color w:val="000000"/>
                <w:sz w:val="20"/>
                <w:szCs w:val="20"/>
                <w:u w:val="none"/>
              </w:rPr>
            </w:pPr>
          </w:p>
        </w:tc>
        <w:tc>
          <w:tcPr>
            <w:tcW w:w="157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A.4</w:t>
            </w:r>
          </w:p>
        </w:tc>
        <w:tc>
          <w:tcPr>
            <w:tcW w:w="5325"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A.4  混凝土及钢筋混凝土工程</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宋体" w:hAnsi="宋体" w:eastAsia="宋体" w:cs="宋体"/>
                <w:i w:val="0"/>
                <w:color w:val="000000"/>
                <w:sz w:val="20"/>
                <w:szCs w:val="20"/>
                <w:u w:val="none"/>
              </w:rPr>
            </w:pPr>
          </w:p>
        </w:tc>
        <w:tc>
          <w:tcPr>
            <w:tcW w:w="990"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宋体" w:hAnsi="宋体" w:eastAsia="宋体" w:cs="宋体"/>
                <w:i w:val="0"/>
                <w:color w:val="000000"/>
                <w:sz w:val="20"/>
                <w:szCs w:val="20"/>
                <w:u w:val="none"/>
              </w:rPr>
            </w:pPr>
          </w:p>
        </w:tc>
      </w:tr>
      <w:tr>
        <w:tblPrEx>
          <w:tblCellMar>
            <w:top w:w="0" w:type="dxa"/>
            <w:left w:w="0" w:type="dxa"/>
            <w:bottom w:w="0" w:type="dxa"/>
            <w:right w:w="0" w:type="dxa"/>
          </w:tblCellMar>
        </w:tblPrEx>
        <w:trPr>
          <w:trHeight w:val="1335" w:hRule="atLeast"/>
          <w:jc w:val="center"/>
        </w:trPr>
        <w:tc>
          <w:tcPr>
            <w:tcW w:w="909"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212</w:t>
            </w:r>
          </w:p>
        </w:tc>
        <w:tc>
          <w:tcPr>
            <w:tcW w:w="157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010417002003</w:t>
            </w:r>
          </w:p>
        </w:tc>
        <w:tc>
          <w:tcPr>
            <w:tcW w:w="5325"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预埋铁件</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1.钢材种类、规格:预埋铁件</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[工程内容]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1.铁件制作、运输、安装</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t</w:t>
            </w:r>
          </w:p>
        </w:tc>
        <w:tc>
          <w:tcPr>
            <w:tcW w:w="990"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0.251</w:t>
            </w:r>
          </w:p>
        </w:tc>
      </w:tr>
      <w:tr>
        <w:tblPrEx>
          <w:tblCellMar>
            <w:top w:w="0" w:type="dxa"/>
            <w:left w:w="0" w:type="dxa"/>
            <w:bottom w:w="0" w:type="dxa"/>
            <w:right w:w="0" w:type="dxa"/>
          </w:tblCellMar>
        </w:tblPrEx>
        <w:trPr>
          <w:trHeight w:val="345" w:hRule="atLeast"/>
          <w:jc w:val="center"/>
        </w:trPr>
        <w:tc>
          <w:tcPr>
            <w:tcW w:w="909"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rPr>
                <w:rFonts w:hint="eastAsia" w:ascii="宋体" w:hAnsi="宋体" w:eastAsia="宋体" w:cs="宋体"/>
                <w:i w:val="0"/>
                <w:color w:val="000000"/>
                <w:sz w:val="20"/>
                <w:szCs w:val="20"/>
                <w:u w:val="none"/>
              </w:rPr>
            </w:pPr>
          </w:p>
        </w:tc>
        <w:tc>
          <w:tcPr>
            <w:tcW w:w="157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A.6</w:t>
            </w:r>
          </w:p>
        </w:tc>
        <w:tc>
          <w:tcPr>
            <w:tcW w:w="5325"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A.6  金属结构工程</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宋体" w:hAnsi="宋体" w:eastAsia="宋体" w:cs="宋体"/>
                <w:i w:val="0"/>
                <w:color w:val="000000"/>
                <w:sz w:val="20"/>
                <w:szCs w:val="20"/>
                <w:u w:val="none"/>
              </w:rPr>
            </w:pPr>
          </w:p>
        </w:tc>
        <w:tc>
          <w:tcPr>
            <w:tcW w:w="990"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宋体" w:hAnsi="宋体" w:eastAsia="宋体" w:cs="宋体"/>
                <w:i w:val="0"/>
                <w:color w:val="000000"/>
                <w:sz w:val="20"/>
                <w:szCs w:val="20"/>
                <w:u w:val="none"/>
              </w:rPr>
            </w:pPr>
          </w:p>
        </w:tc>
      </w:tr>
      <w:tr>
        <w:tblPrEx>
          <w:tblCellMar>
            <w:top w:w="0" w:type="dxa"/>
            <w:left w:w="0" w:type="dxa"/>
            <w:bottom w:w="0" w:type="dxa"/>
            <w:right w:w="0" w:type="dxa"/>
          </w:tblCellMar>
        </w:tblPrEx>
        <w:trPr>
          <w:trHeight w:val="509" w:hRule="atLeast"/>
          <w:jc w:val="center"/>
        </w:trPr>
        <w:tc>
          <w:tcPr>
            <w:tcW w:w="909" w:type="dxa"/>
            <w:tcBorders>
              <w:top w:val="single" w:color="000000" w:sz="4" w:space="0"/>
              <w:left w:val="single" w:color="000000" w:sz="8"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213</w:t>
            </w:r>
          </w:p>
        </w:tc>
        <w:tc>
          <w:tcPr>
            <w:tcW w:w="1579" w:type="dxa"/>
            <w:tcBorders>
              <w:top w:val="single" w:color="000000" w:sz="4" w:space="0"/>
              <w:left w:val="single" w:color="000000" w:sz="4"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010603001001</w:t>
            </w:r>
          </w:p>
        </w:tc>
        <w:tc>
          <w:tcPr>
            <w:tcW w:w="5325" w:type="dxa"/>
            <w:gridSpan w:val="3"/>
            <w:tcBorders>
              <w:top w:val="single" w:color="000000" w:sz="4" w:space="0"/>
              <w:left w:val="single" w:color="000000" w:sz="4"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钢柱</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1.钢材品种、规格:Q345B</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2.抛丸喷砂除锈 Sa 2.5以上</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3.油漆品种、刷漆遍数:防锈漆、环氧富锌底漆两道、环氧云铁中间漆一道2.5小时）</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1.制作</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2.运输</w:t>
            </w:r>
          </w:p>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rPr>
            </w:pPr>
            <w:r>
              <w:rPr>
                <w:rFonts w:hint="eastAsia" w:ascii="宋体" w:hAnsi="宋体" w:eastAsia="宋体" w:cs="宋体"/>
                <w:i w:val="0"/>
                <w:color w:val="000000"/>
                <w:kern w:val="0"/>
                <w:sz w:val="20"/>
                <w:szCs w:val="20"/>
                <w:u w:val="none"/>
                <w:lang w:val="en-US" w:eastAsia="zh-CN" w:bidi="ar"/>
              </w:rPr>
              <w:t>3.拼装</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4.安装</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5.探伤</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6.刷油漆</w:t>
            </w:r>
          </w:p>
        </w:tc>
        <w:tc>
          <w:tcPr>
            <w:tcW w:w="975" w:type="dxa"/>
            <w:tcBorders>
              <w:top w:val="single" w:color="000000" w:sz="4" w:space="0"/>
              <w:left w:val="single" w:color="000000" w:sz="4"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t</w:t>
            </w:r>
          </w:p>
        </w:tc>
        <w:tc>
          <w:tcPr>
            <w:tcW w:w="990" w:type="dxa"/>
            <w:tcBorders>
              <w:top w:val="single" w:color="000000" w:sz="4" w:space="0"/>
              <w:left w:val="single" w:color="000000" w:sz="4" w:space="0"/>
              <w:bottom w:val="single" w:color="000000" w:sz="8"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1.224</w:t>
            </w:r>
          </w:p>
        </w:tc>
      </w:tr>
      <w:tr>
        <w:tblPrEx>
          <w:tblCellMar>
            <w:top w:w="0" w:type="dxa"/>
            <w:left w:w="0" w:type="dxa"/>
            <w:bottom w:w="0" w:type="dxa"/>
            <w:right w:w="0" w:type="dxa"/>
          </w:tblCellMar>
        </w:tblPrEx>
        <w:trPr>
          <w:trHeight w:val="3375" w:hRule="atLeast"/>
          <w:jc w:val="center"/>
        </w:trPr>
        <w:tc>
          <w:tcPr>
            <w:tcW w:w="909"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214</w:t>
            </w:r>
          </w:p>
        </w:tc>
        <w:tc>
          <w:tcPr>
            <w:tcW w:w="157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010604001001</w:t>
            </w:r>
          </w:p>
        </w:tc>
        <w:tc>
          <w:tcPr>
            <w:tcW w:w="5325"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钢梁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1.钢材品种、规格:Q345B</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2.抛丸喷砂除锈 Sa 2.5以上</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3.油漆品种、刷漆遍数:防锈漆、环氧富锌底漆两道、环氧云铁中间漆一道、薄涂型防火涂料（耐火极限不低于1.5小时）</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1.制作</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2.运输</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3.安装</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4.探伤要求</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5.刷油漆</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t</w:t>
            </w:r>
          </w:p>
        </w:tc>
        <w:tc>
          <w:tcPr>
            <w:tcW w:w="990"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10.664</w:t>
            </w:r>
          </w:p>
        </w:tc>
      </w:tr>
      <w:tr>
        <w:tblPrEx>
          <w:tblCellMar>
            <w:top w:w="0" w:type="dxa"/>
            <w:left w:w="0" w:type="dxa"/>
            <w:bottom w:w="0" w:type="dxa"/>
            <w:right w:w="0" w:type="dxa"/>
          </w:tblCellMar>
        </w:tblPrEx>
        <w:trPr>
          <w:trHeight w:val="3375" w:hRule="atLeast"/>
          <w:jc w:val="center"/>
        </w:trPr>
        <w:tc>
          <w:tcPr>
            <w:tcW w:w="909"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215</w:t>
            </w:r>
          </w:p>
        </w:tc>
        <w:tc>
          <w:tcPr>
            <w:tcW w:w="157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010606008001</w:t>
            </w:r>
          </w:p>
        </w:tc>
        <w:tc>
          <w:tcPr>
            <w:tcW w:w="5325"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钢梯</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1.钢材品种、规格:Q345B</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2.抛丸喷砂除锈 Sa 2.5以上</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3.油漆品种、刷漆遍数:防锈漆、环氧富锌底漆两道、环氧云铁中间漆一道、薄涂型防火涂料</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[工作内容]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1.制作</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2.运输</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3.安装</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4.探伤</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5.刷油漆</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t</w:t>
            </w:r>
          </w:p>
        </w:tc>
        <w:tc>
          <w:tcPr>
            <w:tcW w:w="990"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0.305</w:t>
            </w:r>
          </w:p>
        </w:tc>
      </w:tr>
      <w:tr>
        <w:tblPrEx>
          <w:tblCellMar>
            <w:top w:w="0" w:type="dxa"/>
            <w:left w:w="0" w:type="dxa"/>
            <w:bottom w:w="0" w:type="dxa"/>
            <w:right w:w="0" w:type="dxa"/>
          </w:tblCellMar>
        </w:tblPrEx>
        <w:trPr>
          <w:trHeight w:val="345" w:hRule="atLeast"/>
          <w:jc w:val="center"/>
        </w:trPr>
        <w:tc>
          <w:tcPr>
            <w:tcW w:w="909"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rPr>
                <w:rFonts w:hint="eastAsia" w:ascii="宋体" w:hAnsi="宋体" w:eastAsia="宋体" w:cs="宋体"/>
                <w:i w:val="0"/>
                <w:color w:val="000000"/>
                <w:sz w:val="20"/>
                <w:szCs w:val="20"/>
                <w:u w:val="none"/>
              </w:rPr>
            </w:pPr>
          </w:p>
        </w:tc>
        <w:tc>
          <w:tcPr>
            <w:tcW w:w="157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rPr>
                <w:rFonts w:hint="eastAsia" w:ascii="宋体" w:hAnsi="宋体" w:eastAsia="宋体" w:cs="宋体"/>
                <w:i w:val="0"/>
                <w:color w:val="000000"/>
                <w:sz w:val="20"/>
                <w:szCs w:val="20"/>
                <w:u w:val="none"/>
              </w:rPr>
            </w:pPr>
          </w:p>
        </w:tc>
        <w:tc>
          <w:tcPr>
            <w:tcW w:w="5325"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补充分部</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宋体" w:hAnsi="宋体" w:eastAsia="宋体" w:cs="宋体"/>
                <w:i w:val="0"/>
                <w:color w:val="000000"/>
                <w:sz w:val="20"/>
                <w:szCs w:val="20"/>
                <w:u w:val="none"/>
              </w:rPr>
            </w:pPr>
          </w:p>
        </w:tc>
        <w:tc>
          <w:tcPr>
            <w:tcW w:w="990"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宋体" w:hAnsi="宋体" w:eastAsia="宋体" w:cs="宋体"/>
                <w:i w:val="0"/>
                <w:color w:val="000000"/>
                <w:sz w:val="20"/>
                <w:szCs w:val="20"/>
                <w:u w:val="none"/>
              </w:rPr>
            </w:pPr>
          </w:p>
        </w:tc>
      </w:tr>
      <w:tr>
        <w:tblPrEx>
          <w:tblCellMar>
            <w:top w:w="0" w:type="dxa"/>
            <w:left w:w="0" w:type="dxa"/>
            <w:bottom w:w="0" w:type="dxa"/>
            <w:right w:w="0" w:type="dxa"/>
          </w:tblCellMar>
        </w:tblPrEx>
        <w:trPr>
          <w:trHeight w:val="1335" w:hRule="atLeast"/>
          <w:jc w:val="center"/>
        </w:trPr>
        <w:tc>
          <w:tcPr>
            <w:tcW w:w="909"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216</w:t>
            </w:r>
          </w:p>
        </w:tc>
        <w:tc>
          <w:tcPr>
            <w:tcW w:w="157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AB001</w:t>
            </w:r>
          </w:p>
        </w:tc>
        <w:tc>
          <w:tcPr>
            <w:tcW w:w="5325"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地脚螺栓</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1.地脚螺栓M20</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[工程内容]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1.运输、安装</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个</w:t>
            </w:r>
          </w:p>
        </w:tc>
        <w:tc>
          <w:tcPr>
            <w:tcW w:w="990"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32</w:t>
            </w:r>
          </w:p>
        </w:tc>
      </w:tr>
      <w:tr>
        <w:tblPrEx>
          <w:tblCellMar>
            <w:top w:w="0" w:type="dxa"/>
            <w:left w:w="0" w:type="dxa"/>
            <w:bottom w:w="0" w:type="dxa"/>
            <w:right w:w="0" w:type="dxa"/>
          </w:tblCellMar>
        </w:tblPrEx>
        <w:trPr>
          <w:trHeight w:val="1335" w:hRule="atLeast"/>
          <w:jc w:val="center"/>
        </w:trPr>
        <w:tc>
          <w:tcPr>
            <w:tcW w:w="909"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217</w:t>
            </w:r>
          </w:p>
        </w:tc>
        <w:tc>
          <w:tcPr>
            <w:tcW w:w="157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AB002</w:t>
            </w:r>
          </w:p>
        </w:tc>
        <w:tc>
          <w:tcPr>
            <w:tcW w:w="5325"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地脚螺栓</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[项目特征]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1.地脚螺栓M16</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[工程内容]</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1.运输、安装</w:t>
            </w:r>
          </w:p>
        </w:tc>
        <w:tc>
          <w:tcPr>
            <w:tcW w:w="975"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个</w:t>
            </w:r>
          </w:p>
        </w:tc>
        <w:tc>
          <w:tcPr>
            <w:tcW w:w="990"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16</w:t>
            </w:r>
          </w:p>
        </w:tc>
      </w:tr>
      <w:tr>
        <w:tblPrEx>
          <w:tblCellMar>
            <w:top w:w="0" w:type="dxa"/>
            <w:left w:w="0" w:type="dxa"/>
            <w:bottom w:w="0" w:type="dxa"/>
            <w:right w:w="0" w:type="dxa"/>
          </w:tblCellMar>
        </w:tblPrEx>
        <w:trPr>
          <w:trHeight w:val="345" w:hRule="atLeast"/>
          <w:jc w:val="center"/>
        </w:trPr>
        <w:tc>
          <w:tcPr>
            <w:tcW w:w="909"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宋体" w:hAnsi="宋体" w:eastAsia="宋体" w:cs="宋体"/>
                <w:i w:val="0"/>
                <w:color w:val="000000"/>
                <w:sz w:val="20"/>
                <w:szCs w:val="20"/>
                <w:u w:val="none"/>
              </w:rPr>
            </w:pPr>
          </w:p>
        </w:tc>
        <w:tc>
          <w:tcPr>
            <w:tcW w:w="157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rPr>
                <w:rFonts w:hint="eastAsia" w:ascii="宋体" w:hAnsi="宋体" w:eastAsia="宋体" w:cs="宋体"/>
                <w:i w:val="0"/>
                <w:color w:val="000000"/>
                <w:sz w:val="20"/>
                <w:szCs w:val="20"/>
                <w:u w:val="none"/>
              </w:rPr>
            </w:pPr>
          </w:p>
        </w:tc>
        <w:tc>
          <w:tcPr>
            <w:tcW w:w="5325"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rPr>
                <w:rFonts w:hint="eastAsia" w:ascii="宋体" w:hAnsi="宋体" w:eastAsia="宋体" w:cs="宋体"/>
                <w:i w:val="0"/>
                <w:color w:val="000000"/>
                <w:sz w:val="20"/>
                <w:szCs w:val="20"/>
                <w:u w:val="none"/>
              </w:rPr>
            </w:pPr>
          </w:p>
        </w:tc>
        <w:tc>
          <w:tcPr>
            <w:tcW w:w="975"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宋体" w:hAnsi="宋体" w:eastAsia="宋体" w:cs="宋体"/>
                <w:i w:val="0"/>
                <w:color w:val="000000"/>
                <w:sz w:val="20"/>
                <w:szCs w:val="20"/>
                <w:u w:val="none"/>
              </w:rPr>
            </w:pPr>
          </w:p>
        </w:tc>
        <w:tc>
          <w:tcPr>
            <w:tcW w:w="990"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宋体" w:hAnsi="宋体" w:eastAsia="宋体" w:cs="宋体"/>
                <w:i w:val="0"/>
                <w:color w:val="000000"/>
                <w:sz w:val="20"/>
                <w:szCs w:val="20"/>
                <w:u w:val="none"/>
              </w:rPr>
            </w:pPr>
          </w:p>
        </w:tc>
      </w:tr>
      <w:tr>
        <w:tblPrEx>
          <w:tblCellMar>
            <w:top w:w="0" w:type="dxa"/>
            <w:left w:w="0" w:type="dxa"/>
            <w:bottom w:w="0" w:type="dxa"/>
            <w:right w:w="0" w:type="dxa"/>
          </w:tblCellMar>
        </w:tblPrEx>
        <w:trPr>
          <w:trHeight w:val="345" w:hRule="atLeast"/>
          <w:jc w:val="center"/>
        </w:trPr>
        <w:tc>
          <w:tcPr>
            <w:tcW w:w="909"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宋体" w:hAnsi="宋体" w:eastAsia="宋体" w:cs="宋体"/>
                <w:i w:val="0"/>
                <w:color w:val="000000"/>
                <w:sz w:val="20"/>
                <w:szCs w:val="20"/>
                <w:u w:val="none"/>
              </w:rPr>
            </w:pPr>
          </w:p>
        </w:tc>
        <w:tc>
          <w:tcPr>
            <w:tcW w:w="157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rPr>
                <w:rFonts w:hint="eastAsia" w:ascii="宋体" w:hAnsi="宋体" w:eastAsia="宋体" w:cs="宋体"/>
                <w:i w:val="0"/>
                <w:color w:val="000000"/>
                <w:sz w:val="20"/>
                <w:szCs w:val="20"/>
                <w:u w:val="none"/>
              </w:rPr>
            </w:pPr>
          </w:p>
        </w:tc>
        <w:tc>
          <w:tcPr>
            <w:tcW w:w="5325"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rPr>
                <w:rFonts w:hint="eastAsia" w:ascii="宋体" w:hAnsi="宋体" w:eastAsia="宋体" w:cs="宋体"/>
                <w:i w:val="0"/>
                <w:color w:val="000000"/>
                <w:sz w:val="20"/>
                <w:szCs w:val="20"/>
                <w:u w:val="none"/>
              </w:rPr>
            </w:pPr>
          </w:p>
        </w:tc>
        <w:tc>
          <w:tcPr>
            <w:tcW w:w="975"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宋体" w:hAnsi="宋体" w:eastAsia="宋体" w:cs="宋体"/>
                <w:i w:val="0"/>
                <w:color w:val="000000"/>
                <w:sz w:val="20"/>
                <w:szCs w:val="20"/>
                <w:u w:val="none"/>
              </w:rPr>
            </w:pPr>
          </w:p>
        </w:tc>
        <w:tc>
          <w:tcPr>
            <w:tcW w:w="990"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宋体" w:hAnsi="宋体" w:eastAsia="宋体" w:cs="宋体"/>
                <w:i w:val="0"/>
                <w:color w:val="000000"/>
                <w:sz w:val="20"/>
                <w:szCs w:val="20"/>
                <w:u w:val="none"/>
              </w:rPr>
            </w:pPr>
          </w:p>
        </w:tc>
      </w:tr>
      <w:tr>
        <w:tblPrEx>
          <w:tblCellMar>
            <w:top w:w="0" w:type="dxa"/>
            <w:left w:w="0" w:type="dxa"/>
            <w:bottom w:w="0" w:type="dxa"/>
            <w:right w:w="0" w:type="dxa"/>
          </w:tblCellMar>
        </w:tblPrEx>
        <w:trPr>
          <w:trHeight w:val="345" w:hRule="atLeast"/>
          <w:jc w:val="center"/>
        </w:trPr>
        <w:tc>
          <w:tcPr>
            <w:tcW w:w="909"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宋体" w:hAnsi="宋体" w:eastAsia="宋体" w:cs="宋体"/>
                <w:i w:val="0"/>
                <w:color w:val="000000"/>
                <w:sz w:val="20"/>
                <w:szCs w:val="20"/>
                <w:u w:val="none"/>
              </w:rPr>
            </w:pPr>
          </w:p>
        </w:tc>
        <w:tc>
          <w:tcPr>
            <w:tcW w:w="157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rPr>
                <w:rFonts w:hint="eastAsia" w:ascii="宋体" w:hAnsi="宋体" w:eastAsia="宋体" w:cs="宋体"/>
                <w:i w:val="0"/>
                <w:color w:val="000000"/>
                <w:sz w:val="20"/>
                <w:szCs w:val="20"/>
                <w:u w:val="none"/>
              </w:rPr>
            </w:pPr>
          </w:p>
        </w:tc>
        <w:tc>
          <w:tcPr>
            <w:tcW w:w="5325"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rPr>
                <w:rFonts w:hint="eastAsia" w:ascii="宋体" w:hAnsi="宋体" w:eastAsia="宋体" w:cs="宋体"/>
                <w:i w:val="0"/>
                <w:color w:val="000000"/>
                <w:sz w:val="20"/>
                <w:szCs w:val="20"/>
                <w:u w:val="none"/>
              </w:rPr>
            </w:pPr>
          </w:p>
        </w:tc>
        <w:tc>
          <w:tcPr>
            <w:tcW w:w="975"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宋体" w:hAnsi="宋体" w:eastAsia="宋体" w:cs="宋体"/>
                <w:i w:val="0"/>
                <w:color w:val="000000"/>
                <w:sz w:val="20"/>
                <w:szCs w:val="20"/>
                <w:u w:val="none"/>
              </w:rPr>
            </w:pPr>
          </w:p>
        </w:tc>
        <w:tc>
          <w:tcPr>
            <w:tcW w:w="990"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宋体" w:hAnsi="宋体" w:eastAsia="宋体" w:cs="宋体"/>
                <w:i w:val="0"/>
                <w:color w:val="000000"/>
                <w:sz w:val="20"/>
                <w:szCs w:val="20"/>
                <w:u w:val="none"/>
              </w:rPr>
            </w:pPr>
          </w:p>
        </w:tc>
      </w:tr>
      <w:tr>
        <w:tblPrEx>
          <w:tblCellMar>
            <w:top w:w="0" w:type="dxa"/>
            <w:left w:w="0" w:type="dxa"/>
            <w:bottom w:w="0" w:type="dxa"/>
            <w:right w:w="0" w:type="dxa"/>
          </w:tblCellMar>
        </w:tblPrEx>
        <w:trPr>
          <w:trHeight w:val="345" w:hRule="atLeast"/>
          <w:jc w:val="center"/>
        </w:trPr>
        <w:tc>
          <w:tcPr>
            <w:tcW w:w="909" w:type="dxa"/>
            <w:tcBorders>
              <w:top w:val="single" w:color="000000" w:sz="4" w:space="0"/>
              <w:left w:val="single" w:color="000000" w:sz="8"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宋体" w:hAnsi="宋体" w:eastAsia="宋体" w:cs="宋体"/>
                <w:i w:val="0"/>
                <w:color w:val="000000"/>
                <w:sz w:val="20"/>
                <w:szCs w:val="20"/>
                <w:u w:val="none"/>
              </w:rPr>
            </w:pPr>
          </w:p>
        </w:tc>
        <w:tc>
          <w:tcPr>
            <w:tcW w:w="1579"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rPr>
                <w:rFonts w:hint="eastAsia" w:ascii="宋体" w:hAnsi="宋体" w:eastAsia="宋体" w:cs="宋体"/>
                <w:i w:val="0"/>
                <w:color w:val="000000"/>
                <w:sz w:val="20"/>
                <w:szCs w:val="20"/>
                <w:u w:val="none"/>
              </w:rPr>
            </w:pPr>
          </w:p>
        </w:tc>
        <w:tc>
          <w:tcPr>
            <w:tcW w:w="5325" w:type="dxa"/>
            <w:gridSpan w:val="3"/>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rPr>
                <w:rFonts w:hint="eastAsia" w:ascii="宋体" w:hAnsi="宋体" w:eastAsia="宋体" w:cs="宋体"/>
                <w:i w:val="0"/>
                <w:color w:val="000000"/>
                <w:sz w:val="20"/>
                <w:szCs w:val="20"/>
                <w:u w:val="none"/>
              </w:rPr>
            </w:pPr>
          </w:p>
        </w:tc>
        <w:tc>
          <w:tcPr>
            <w:tcW w:w="975" w:type="dxa"/>
            <w:tcBorders>
              <w:top w:val="single" w:color="000000" w:sz="4" w:space="0"/>
              <w:left w:val="single" w:color="000000" w:sz="4" w:space="0"/>
              <w:bottom w:val="single" w:color="000000" w:sz="4"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宋体" w:hAnsi="宋体" w:eastAsia="宋体" w:cs="宋体"/>
                <w:i w:val="0"/>
                <w:color w:val="000000"/>
                <w:sz w:val="20"/>
                <w:szCs w:val="20"/>
                <w:u w:val="none"/>
              </w:rPr>
            </w:pPr>
          </w:p>
        </w:tc>
        <w:tc>
          <w:tcPr>
            <w:tcW w:w="990" w:type="dxa"/>
            <w:tcBorders>
              <w:top w:val="single" w:color="000000" w:sz="4" w:space="0"/>
              <w:left w:val="single" w:color="000000" w:sz="4" w:space="0"/>
              <w:bottom w:val="single" w:color="000000" w:sz="4"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宋体" w:hAnsi="宋体" w:eastAsia="宋体" w:cs="宋体"/>
                <w:i w:val="0"/>
                <w:color w:val="000000"/>
                <w:sz w:val="20"/>
                <w:szCs w:val="20"/>
                <w:u w:val="none"/>
              </w:rPr>
            </w:pPr>
          </w:p>
        </w:tc>
      </w:tr>
      <w:tr>
        <w:tblPrEx>
          <w:tblCellMar>
            <w:top w:w="0" w:type="dxa"/>
            <w:left w:w="0" w:type="dxa"/>
            <w:bottom w:w="0" w:type="dxa"/>
            <w:right w:w="0" w:type="dxa"/>
          </w:tblCellMar>
        </w:tblPrEx>
        <w:trPr>
          <w:trHeight w:val="345" w:hRule="atLeast"/>
          <w:jc w:val="center"/>
        </w:trPr>
        <w:tc>
          <w:tcPr>
            <w:tcW w:w="909" w:type="dxa"/>
            <w:tcBorders>
              <w:top w:val="single" w:color="000000" w:sz="4" w:space="0"/>
              <w:left w:val="single" w:color="000000" w:sz="8"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宋体" w:hAnsi="宋体" w:eastAsia="宋体" w:cs="宋体"/>
                <w:i w:val="0"/>
                <w:color w:val="000000"/>
                <w:sz w:val="20"/>
                <w:szCs w:val="20"/>
                <w:u w:val="none"/>
              </w:rPr>
            </w:pPr>
          </w:p>
        </w:tc>
        <w:tc>
          <w:tcPr>
            <w:tcW w:w="1579" w:type="dxa"/>
            <w:tcBorders>
              <w:top w:val="single" w:color="000000" w:sz="4" w:space="0"/>
              <w:left w:val="single" w:color="000000" w:sz="4"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rPr>
                <w:rFonts w:hint="eastAsia" w:ascii="宋体" w:hAnsi="宋体" w:eastAsia="宋体" w:cs="宋体"/>
                <w:i w:val="0"/>
                <w:color w:val="000000"/>
                <w:sz w:val="20"/>
                <w:szCs w:val="20"/>
                <w:u w:val="none"/>
              </w:rPr>
            </w:pPr>
          </w:p>
        </w:tc>
        <w:tc>
          <w:tcPr>
            <w:tcW w:w="5325" w:type="dxa"/>
            <w:gridSpan w:val="3"/>
            <w:tcBorders>
              <w:top w:val="single" w:color="000000" w:sz="4" w:space="0"/>
              <w:left w:val="single" w:color="000000" w:sz="4"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rPr>
                <w:rFonts w:hint="eastAsia" w:ascii="宋体" w:hAnsi="宋体" w:eastAsia="宋体" w:cs="宋体"/>
                <w:i w:val="0"/>
                <w:color w:val="000000"/>
                <w:sz w:val="20"/>
                <w:szCs w:val="20"/>
                <w:u w:val="none"/>
              </w:rPr>
            </w:pPr>
          </w:p>
        </w:tc>
        <w:tc>
          <w:tcPr>
            <w:tcW w:w="975" w:type="dxa"/>
            <w:tcBorders>
              <w:top w:val="single" w:color="000000" w:sz="4" w:space="0"/>
              <w:left w:val="single" w:color="000000" w:sz="4" w:space="0"/>
              <w:bottom w:val="single" w:color="000000" w:sz="8" w:space="0"/>
              <w:right w:val="single" w:color="000000" w:sz="4"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宋体" w:hAnsi="宋体" w:eastAsia="宋体" w:cs="宋体"/>
                <w:i w:val="0"/>
                <w:color w:val="000000"/>
                <w:sz w:val="20"/>
                <w:szCs w:val="20"/>
                <w:u w:val="none"/>
              </w:rPr>
            </w:pPr>
          </w:p>
        </w:tc>
        <w:tc>
          <w:tcPr>
            <w:tcW w:w="990" w:type="dxa"/>
            <w:tcBorders>
              <w:top w:val="single" w:color="000000" w:sz="4" w:space="0"/>
              <w:left w:val="single" w:color="000000" w:sz="4" w:space="0"/>
              <w:bottom w:val="single" w:color="000000" w:sz="8" w:space="0"/>
              <w:right w:val="single" w:color="000000" w:sz="8" w:space="0"/>
            </w:tcBorders>
            <w:shd w:val="clear" w:color="FFFFFF" w:fill="FFFFFF"/>
            <w:noWrap w:val="0"/>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宋体" w:hAnsi="宋体" w:eastAsia="宋体" w:cs="宋体"/>
                <w:i w:val="0"/>
                <w:color w:val="000000"/>
                <w:sz w:val="20"/>
                <w:szCs w:val="20"/>
                <w:u w:val="none"/>
              </w:rPr>
            </w:pPr>
          </w:p>
        </w:tc>
      </w:tr>
    </w:tbl>
    <w:p>
      <w:pPr>
        <w:pStyle w:val="2"/>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both"/>
        <w:rPr>
          <w:rFonts w:hint="eastAsia" w:ascii="华文仿宋" w:hAnsi="华文仿宋" w:cs="华文仿宋"/>
          <w:b w:val="0"/>
          <w:bCs w:val="0"/>
          <w:color w:val="auto"/>
          <w:highlight w:val="none"/>
          <w:lang w:val="en-US" w:eastAsia="zh-CN"/>
        </w:rPr>
      </w:pPr>
      <w:r>
        <w:rPr>
          <w:rFonts w:hint="eastAsia" w:ascii="宋体" w:hAnsi="宋体" w:eastAsia="宋体" w:cs="宋体"/>
          <w:i w:val="0"/>
          <w:color w:val="000000"/>
          <w:kern w:val="0"/>
          <w:sz w:val="18"/>
          <w:szCs w:val="18"/>
          <w:u w:val="none"/>
          <w:lang w:val="en-US" w:eastAsia="zh-CN" w:bidi="ar"/>
        </w:rPr>
        <w:t>注：安全文明施工措施费为不可竞争费用，应按规定在规费、税金项目清单计价表计算</w:t>
      </w:r>
    </w:p>
    <w:p>
      <w:pPr>
        <w:pStyle w:val="19"/>
        <w:keepNext w:val="0"/>
        <w:keepLines w:val="0"/>
        <w:pageBreakBefore w:val="0"/>
        <w:widowControl/>
        <w:numPr>
          <w:ilvl w:val="0"/>
          <w:numId w:val="0"/>
        </w:numPr>
        <w:kinsoku/>
        <w:wordWrap/>
        <w:overflowPunct/>
        <w:topLinePunct w:val="0"/>
        <w:autoSpaceDE/>
        <w:autoSpaceDN/>
        <w:bidi w:val="0"/>
        <w:adjustRightInd/>
        <w:snapToGrid/>
        <w:spacing w:line="500" w:lineRule="exact"/>
        <w:ind w:leftChars="200"/>
        <w:textAlignment w:val="auto"/>
        <w:rPr>
          <w:rFonts w:hint="eastAsia" w:ascii="华文仿宋" w:hAnsi="华文仿宋" w:cs="华文仿宋"/>
          <w:b/>
          <w:sz w:val="28"/>
          <w:szCs w:val="28"/>
          <w:lang w:val="en-US" w:eastAsia="zh-CN"/>
        </w:rPr>
      </w:pPr>
      <w:r>
        <w:rPr>
          <w:rFonts w:hint="eastAsia" w:ascii="华文仿宋" w:hAnsi="华文仿宋" w:cs="华文仿宋"/>
          <w:b/>
          <w:sz w:val="28"/>
          <w:szCs w:val="28"/>
          <w:lang w:val="en-US" w:eastAsia="zh-CN"/>
        </w:rPr>
        <w:t>2、人员配置要求★</w:t>
      </w:r>
    </w:p>
    <w:p>
      <w:pPr>
        <w:pStyle w:val="10"/>
        <w:keepNext w:val="0"/>
        <w:keepLines w:val="0"/>
        <w:pageBreakBefore w:val="0"/>
        <w:widowControl/>
        <w:numPr>
          <w:ilvl w:val="0"/>
          <w:numId w:val="0"/>
        </w:numPr>
        <w:kinsoku/>
        <w:wordWrap/>
        <w:overflowPunct/>
        <w:topLinePunct w:val="0"/>
        <w:autoSpaceDE/>
        <w:autoSpaceDN/>
        <w:bidi w:val="0"/>
        <w:adjustRightInd/>
        <w:snapToGrid/>
        <w:spacing w:after="0" w:line="500" w:lineRule="exact"/>
        <w:textAlignment w:val="auto"/>
        <w:rPr>
          <w:rFonts w:hint="eastAsia" w:ascii="华文仿宋" w:hAnsi="华文仿宋" w:eastAsia="华文仿宋" w:cs="华文仿宋"/>
          <w:sz w:val="28"/>
          <w:szCs w:val="28"/>
          <w:lang w:eastAsia="zh-CN"/>
        </w:rPr>
      </w:pPr>
      <w:r>
        <w:rPr>
          <w:rFonts w:hint="eastAsia" w:ascii="华文仿宋" w:hAnsi="华文仿宋" w:eastAsia="华文仿宋" w:cs="华文仿宋"/>
          <w:color w:val="333333"/>
        </w:rPr>
        <w:t>拟派项目经理</w:t>
      </w:r>
      <w:r>
        <w:rPr>
          <w:rFonts w:hint="eastAsia" w:ascii="华文仿宋" w:hAnsi="华文仿宋" w:eastAsia="华文仿宋" w:cs="华文仿宋"/>
          <w:sz w:val="28"/>
          <w:szCs w:val="28"/>
        </w:rPr>
        <w:t>须具有建筑工程专业或机电工程专业二级及以上注册建造师资格和有效的安全生产考核合格证书且无在建工程</w:t>
      </w:r>
      <w:r>
        <w:rPr>
          <w:rFonts w:hint="eastAsia" w:ascii="华文仿宋" w:hAnsi="华文仿宋" w:eastAsia="华文仿宋" w:cs="华文仿宋"/>
          <w:sz w:val="28"/>
          <w:szCs w:val="28"/>
          <w:lang w:eastAsia="zh-CN"/>
        </w:rPr>
        <w:t>。</w:t>
      </w:r>
    </w:p>
    <w:p>
      <w:pPr>
        <w:pStyle w:val="2"/>
        <w:numPr>
          <w:ilvl w:val="0"/>
          <w:numId w:val="0"/>
        </w:numPr>
        <w:spacing w:line="400" w:lineRule="exact"/>
        <w:jc w:val="both"/>
        <w:rPr>
          <w:rFonts w:hint="eastAsia"/>
          <w:lang w:eastAsia="zh-CN"/>
        </w:rPr>
      </w:pPr>
    </w:p>
    <w:p>
      <w:pPr>
        <w:keepNext w:val="0"/>
        <w:keepLines w:val="0"/>
        <w:pageBreakBefore w:val="0"/>
        <w:kinsoku/>
        <w:wordWrap/>
        <w:overflowPunct/>
        <w:topLinePunct w:val="0"/>
        <w:autoSpaceDE/>
        <w:autoSpaceDN/>
        <w:bidi w:val="0"/>
        <w:adjustRightInd/>
        <w:snapToGrid/>
        <w:spacing w:line="400" w:lineRule="exact"/>
        <w:textAlignment w:val="auto"/>
        <w:rPr>
          <w:rFonts w:ascii="宋体" w:hAnsi="宋体" w:eastAsia="宋体" w:cs="宋体"/>
          <w:color w:val="auto"/>
          <w:sz w:val="21"/>
          <w:szCs w:val="21"/>
        </w:rPr>
      </w:pPr>
      <w:r>
        <w:rPr>
          <w:rFonts w:hint="eastAsia" w:ascii="宋体" w:hAnsi="宋体" w:eastAsia="宋体" w:cs="宋体"/>
          <w:color w:val="auto"/>
          <w:sz w:val="21"/>
          <w:szCs w:val="21"/>
        </w:rPr>
        <w:t>备注：1、加“</w:t>
      </w:r>
      <w:r>
        <w:rPr>
          <w:rFonts w:hint="eastAsia" w:asciiTheme="minorEastAsia" w:hAnsiTheme="minorEastAsia" w:eastAsiaTheme="minorEastAsia" w:cstheme="minorEastAsia"/>
          <w:sz w:val="21"/>
          <w:szCs w:val="21"/>
        </w:rPr>
        <w:t>★</w:t>
      </w:r>
      <w:r>
        <w:rPr>
          <w:rFonts w:hint="eastAsia" w:ascii="宋体" w:hAnsi="宋体" w:eastAsia="宋体" w:cs="宋体"/>
          <w:color w:val="auto"/>
          <w:sz w:val="21"/>
          <w:szCs w:val="21"/>
        </w:rPr>
        <w:t>”内容项为实质性要求，投标人未逐条响应、有缺漏或负偏离将视为无效投标；</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 xml:space="preserve">  2、加“▲”内容项为重要要求，投标人未达到这些要求或空白项（即为负偏离）将影响评分。</w:t>
      </w:r>
      <w:bookmarkStart w:id="174" w:name="_Toc4567_WPSOffice_Level1"/>
      <w:bookmarkStart w:id="175" w:name="_Toc22627_WPSOffice_Level1"/>
      <w:bookmarkStart w:id="176" w:name="_Toc25795_WPSOffice_Level1"/>
    </w:p>
    <w:p>
      <w:pPr>
        <w:keepNext w:val="0"/>
        <w:keepLines w:val="0"/>
        <w:pageBreakBefore w:val="0"/>
        <w:widowControl/>
        <w:numPr>
          <w:ilvl w:val="0"/>
          <w:numId w:val="0"/>
        </w:numPr>
        <w:kinsoku/>
        <w:wordWrap/>
        <w:overflowPunct/>
        <w:topLinePunct w:val="0"/>
        <w:autoSpaceDE/>
        <w:autoSpaceDN/>
        <w:bidi w:val="0"/>
        <w:adjustRightInd/>
        <w:snapToGrid/>
        <w:spacing w:line="500" w:lineRule="exact"/>
        <w:ind w:firstLine="561" w:firstLineChars="200"/>
        <w:textAlignment w:val="auto"/>
        <w:rPr>
          <w:rFonts w:hint="eastAsia" w:ascii="华文仿宋" w:hAnsi="华文仿宋" w:eastAsia="华文仿宋" w:cs="华文仿宋"/>
          <w:b/>
          <w:bCs/>
          <w:color w:val="auto"/>
          <w:sz w:val="28"/>
          <w:szCs w:val="28"/>
          <w:highlight w:val="none"/>
          <w:lang w:val="en-US" w:eastAsia="zh-CN"/>
        </w:rPr>
      </w:pPr>
    </w:p>
    <w:p>
      <w:pPr>
        <w:pStyle w:val="4"/>
        <w:bidi w:val="0"/>
        <w:rPr>
          <w:rFonts w:hint="eastAsia"/>
        </w:rPr>
      </w:pPr>
      <w:bookmarkStart w:id="177" w:name="_Toc12795"/>
      <w:r>
        <w:rPr>
          <w:rFonts w:hint="eastAsia"/>
          <w:lang w:val="en-US" w:eastAsia="zh-CN"/>
        </w:rPr>
        <w:t>附件：</w:t>
      </w:r>
      <w:r>
        <w:rPr>
          <w:rFonts w:hint="eastAsia"/>
          <w:lang w:eastAsia="zh-CN"/>
        </w:rPr>
        <w:t>验收标准：</w:t>
      </w:r>
      <w:bookmarkEnd w:id="177"/>
    </w:p>
    <w:p>
      <w:pPr>
        <w:pStyle w:val="2"/>
        <w:keepNext w:val="0"/>
        <w:keepLines w:val="0"/>
        <w:pageBreakBefore w:val="0"/>
        <w:widowControl/>
        <w:kinsoku/>
        <w:wordWrap/>
        <w:overflowPunct/>
        <w:topLinePunct w:val="0"/>
        <w:autoSpaceDE/>
        <w:autoSpaceDN/>
        <w:bidi w:val="0"/>
        <w:adjustRightInd/>
        <w:snapToGrid/>
        <w:spacing w:line="490" w:lineRule="exact"/>
        <w:ind w:firstLine="561" w:firstLineChars="200"/>
        <w:textAlignment w:val="auto"/>
        <w:rPr>
          <w:rFonts w:hint="eastAsia" w:ascii="华文仿宋" w:hAnsi="华文仿宋" w:cs="华文仿宋"/>
          <w:b/>
          <w:bCs/>
          <w:sz w:val="28"/>
          <w:szCs w:val="28"/>
          <w:lang w:val="en-US" w:eastAsia="zh-CN"/>
        </w:rPr>
      </w:pPr>
      <w:r>
        <w:rPr>
          <w:rFonts w:hint="eastAsia" w:ascii="华文仿宋" w:hAnsi="华文仿宋" w:cs="华文仿宋"/>
          <w:b/>
          <w:bCs/>
          <w:sz w:val="28"/>
          <w:szCs w:val="28"/>
          <w:lang w:val="en-US" w:eastAsia="zh-CN"/>
        </w:rPr>
        <w:t>一、音响舞台灯光验收标准</w:t>
      </w:r>
    </w:p>
    <w:p>
      <w:pPr>
        <w:pStyle w:val="53"/>
        <w:keepNext w:val="0"/>
        <w:keepLines w:val="0"/>
        <w:pageBreakBefore w:val="0"/>
        <w:widowControl/>
        <w:numPr>
          <w:ilvl w:val="0"/>
          <w:numId w:val="0"/>
        </w:numPr>
        <w:tabs>
          <w:tab w:val="left" w:pos="1540"/>
        </w:tabs>
        <w:kinsoku/>
        <w:wordWrap/>
        <w:overflowPunct/>
        <w:topLinePunct w:val="0"/>
        <w:autoSpaceDE/>
        <w:autoSpaceDN/>
        <w:bidi w:val="0"/>
        <w:adjustRightInd/>
        <w:snapToGrid/>
        <w:spacing w:after="0" w:line="490" w:lineRule="exact"/>
        <w:ind w:leftChars="0" w:right="0" w:rightChars="0" w:firstLine="560" w:firstLineChars="200"/>
        <w:jc w:val="left"/>
        <w:textAlignment w:val="auto"/>
        <w:rPr>
          <w:rFonts w:hint="eastAsia" w:ascii="华文仿宋" w:hAnsi="华文仿宋" w:eastAsia="华文仿宋" w:cs="华文仿宋"/>
          <w:sz w:val="28"/>
          <w:szCs w:val="28"/>
        </w:rPr>
      </w:pPr>
      <w:r>
        <w:rPr>
          <w:rFonts w:hint="eastAsia" w:ascii="华文仿宋" w:hAnsi="华文仿宋" w:eastAsia="华文仿宋" w:cs="华文仿宋"/>
          <w:sz w:val="28"/>
          <w:szCs w:val="28"/>
        </w:rPr>
        <w:t>扩声系统（演出扩声和会议扩声）</w:t>
      </w:r>
    </w:p>
    <w:p>
      <w:pPr>
        <w:pStyle w:val="53"/>
        <w:keepNext w:val="0"/>
        <w:keepLines w:val="0"/>
        <w:pageBreakBefore w:val="0"/>
        <w:widowControl/>
        <w:numPr>
          <w:ilvl w:val="0"/>
          <w:numId w:val="0"/>
        </w:numPr>
        <w:tabs>
          <w:tab w:val="left" w:pos="1540"/>
        </w:tabs>
        <w:kinsoku/>
        <w:wordWrap/>
        <w:overflowPunct/>
        <w:topLinePunct w:val="0"/>
        <w:autoSpaceDE/>
        <w:autoSpaceDN/>
        <w:bidi w:val="0"/>
        <w:adjustRightInd/>
        <w:snapToGrid/>
        <w:spacing w:after="0" w:line="490" w:lineRule="exact"/>
        <w:ind w:leftChars="0" w:right="0" w:rightChars="0" w:firstLine="560" w:firstLineChars="200"/>
        <w:jc w:val="left"/>
        <w:textAlignment w:val="auto"/>
        <w:rPr>
          <w:rFonts w:hint="eastAsia" w:ascii="华文仿宋" w:hAnsi="华文仿宋" w:eastAsia="华文仿宋" w:cs="华文仿宋"/>
          <w:sz w:val="28"/>
          <w:szCs w:val="28"/>
        </w:rPr>
      </w:pPr>
      <w:r>
        <w:rPr>
          <w:rFonts w:hint="eastAsia" w:ascii="华文仿宋" w:hAnsi="华文仿宋" w:eastAsia="华文仿宋" w:cs="华文仿宋"/>
          <w:sz w:val="28"/>
          <w:szCs w:val="28"/>
        </w:rPr>
        <w:t>灯光系统（演出灯光和会议灯光）</w:t>
      </w:r>
    </w:p>
    <w:p>
      <w:pPr>
        <w:pStyle w:val="2"/>
        <w:keepNext w:val="0"/>
        <w:keepLines w:val="0"/>
        <w:pageBreakBefore w:val="0"/>
        <w:widowControl/>
        <w:kinsoku/>
        <w:wordWrap/>
        <w:overflowPunct/>
        <w:topLinePunct w:val="0"/>
        <w:autoSpaceDE/>
        <w:autoSpaceDN/>
        <w:bidi w:val="0"/>
        <w:adjustRightInd/>
        <w:snapToGrid/>
        <w:spacing w:line="490" w:lineRule="exact"/>
        <w:ind w:firstLine="561" w:firstLineChars="200"/>
        <w:textAlignment w:val="auto"/>
        <w:rPr>
          <w:rFonts w:hint="eastAsia" w:ascii="华文仿宋" w:hAnsi="华文仿宋" w:cs="华文仿宋"/>
          <w:b/>
          <w:bCs/>
          <w:sz w:val="28"/>
          <w:szCs w:val="28"/>
          <w:lang w:val="en-US" w:eastAsia="zh-CN"/>
        </w:rPr>
      </w:pPr>
      <w:bookmarkStart w:id="178" w:name="验收依据标准"/>
      <w:bookmarkEnd w:id="178"/>
      <w:r>
        <w:rPr>
          <w:rFonts w:hint="eastAsia" w:ascii="华文仿宋" w:hAnsi="华文仿宋" w:cs="华文仿宋"/>
          <w:b/>
          <w:bCs/>
          <w:sz w:val="28"/>
          <w:szCs w:val="28"/>
          <w:lang w:val="en-US" w:eastAsia="zh-CN"/>
        </w:rPr>
        <w:t>二、验收依据标准</w:t>
      </w:r>
    </w:p>
    <w:p>
      <w:pPr>
        <w:pStyle w:val="10"/>
        <w:keepNext w:val="0"/>
        <w:keepLines w:val="0"/>
        <w:pageBreakBefore w:val="0"/>
        <w:widowControl/>
        <w:tabs>
          <w:tab w:val="left" w:pos="3219"/>
        </w:tabs>
        <w:kinsoku/>
        <w:wordWrap/>
        <w:overflowPunct/>
        <w:topLinePunct w:val="0"/>
        <w:autoSpaceDE/>
        <w:autoSpaceDN/>
        <w:bidi w:val="0"/>
        <w:adjustRightInd/>
        <w:snapToGrid/>
        <w:spacing w:after="0" w:line="480" w:lineRule="exact"/>
        <w:ind w:right="0" w:firstLine="560" w:firstLineChars="200"/>
        <w:jc w:val="left"/>
        <w:textAlignment w:val="auto"/>
        <w:rPr>
          <w:rFonts w:hint="eastAsia" w:ascii="华文仿宋" w:hAnsi="华文仿宋" w:eastAsia="华文仿宋" w:cs="华文仿宋"/>
          <w:spacing w:val="-19"/>
          <w:sz w:val="28"/>
          <w:szCs w:val="28"/>
        </w:rPr>
      </w:pPr>
      <w:r>
        <w:rPr>
          <w:rFonts w:hint="eastAsia" w:ascii="华文仿宋" w:hAnsi="华文仿宋" w:eastAsia="华文仿宋" w:cs="华文仿宋"/>
          <w:sz w:val="28"/>
          <w:szCs w:val="28"/>
        </w:rPr>
        <w:t>整个项目主要依据技术指标，其中包括设计、安装、测试验收</w:t>
      </w:r>
      <w:r>
        <w:rPr>
          <w:rFonts w:hint="eastAsia" w:ascii="华文仿宋" w:hAnsi="华文仿宋" w:eastAsia="华文仿宋" w:cs="华文仿宋"/>
          <w:spacing w:val="-60"/>
          <w:sz w:val="28"/>
          <w:szCs w:val="28"/>
        </w:rPr>
        <w:t xml:space="preserve"> </w:t>
      </w:r>
      <w:r>
        <w:rPr>
          <w:rFonts w:hint="eastAsia" w:ascii="华文仿宋" w:hAnsi="华文仿宋" w:eastAsia="华文仿宋" w:cs="华文仿宋"/>
          <w:sz w:val="28"/>
          <w:szCs w:val="28"/>
        </w:rPr>
        <w:t>3</w:t>
      </w:r>
      <w:r>
        <w:rPr>
          <w:rFonts w:hint="eastAsia" w:ascii="华文仿宋" w:hAnsi="华文仿宋" w:eastAsia="华文仿宋" w:cs="华文仿宋"/>
          <w:spacing w:val="-60"/>
          <w:sz w:val="28"/>
          <w:szCs w:val="28"/>
        </w:rPr>
        <w:t xml:space="preserve"> </w:t>
      </w:r>
      <w:r>
        <w:rPr>
          <w:rFonts w:hint="eastAsia" w:ascii="华文仿宋" w:hAnsi="华文仿宋" w:eastAsia="华文仿宋" w:cs="华文仿宋"/>
          <w:sz w:val="28"/>
          <w:szCs w:val="28"/>
        </w:rPr>
        <w:t>大项</w:t>
      </w:r>
      <w:r>
        <w:rPr>
          <w:rFonts w:hint="eastAsia" w:ascii="华文仿宋" w:hAnsi="华文仿宋" w:eastAsia="华文仿宋" w:cs="华文仿宋"/>
          <w:spacing w:val="-19"/>
          <w:sz w:val="28"/>
          <w:szCs w:val="28"/>
        </w:rPr>
        <w:t>：</w:t>
      </w:r>
    </w:p>
    <w:p>
      <w:pPr>
        <w:pStyle w:val="10"/>
        <w:keepNext w:val="0"/>
        <w:keepLines w:val="0"/>
        <w:pageBreakBefore w:val="0"/>
        <w:widowControl/>
        <w:tabs>
          <w:tab w:val="left" w:pos="3219"/>
        </w:tabs>
        <w:kinsoku/>
        <w:wordWrap/>
        <w:overflowPunct/>
        <w:topLinePunct w:val="0"/>
        <w:autoSpaceDE/>
        <w:autoSpaceDN/>
        <w:bidi w:val="0"/>
        <w:adjustRightInd/>
        <w:snapToGrid/>
        <w:spacing w:after="0" w:line="480" w:lineRule="exact"/>
        <w:ind w:right="0"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GB/T14476-93</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《客观评价厅堂语言可懂度的‘RASTI’法》</w:t>
      </w:r>
    </w:p>
    <w:p>
      <w:pPr>
        <w:pStyle w:val="10"/>
        <w:keepNext w:val="0"/>
        <w:keepLines w:val="0"/>
        <w:pageBreakBefore w:val="0"/>
        <w:widowControl/>
        <w:tabs>
          <w:tab w:val="left" w:pos="3219"/>
        </w:tabs>
        <w:kinsoku/>
        <w:wordWrap/>
        <w:overflowPunct/>
        <w:topLinePunct w:val="0"/>
        <w:autoSpaceDE/>
        <w:autoSpaceDN/>
        <w:bidi w:val="0"/>
        <w:adjustRightInd/>
        <w:snapToGrid/>
        <w:spacing w:after="0" w:line="480" w:lineRule="exact"/>
        <w:ind w:right="0"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GB4959-1995</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《厅堂扩声特性测量方法》国家标准</w:t>
      </w:r>
    </w:p>
    <w:p>
      <w:pPr>
        <w:pStyle w:val="10"/>
        <w:keepNext w:val="0"/>
        <w:keepLines w:val="0"/>
        <w:pageBreakBefore w:val="0"/>
        <w:widowControl/>
        <w:tabs>
          <w:tab w:val="left" w:pos="3219"/>
        </w:tabs>
        <w:kinsoku/>
        <w:wordWrap/>
        <w:overflowPunct/>
        <w:topLinePunct w:val="0"/>
        <w:autoSpaceDE/>
        <w:autoSpaceDN/>
        <w:bidi w:val="0"/>
        <w:adjustRightInd/>
        <w:snapToGrid/>
        <w:spacing w:after="0" w:line="480" w:lineRule="exact"/>
        <w:ind w:right="0"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GBJ76-84</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《厅堂混响时间测量规范》国家标准</w:t>
      </w:r>
    </w:p>
    <w:p>
      <w:pPr>
        <w:pStyle w:val="10"/>
        <w:keepNext w:val="0"/>
        <w:keepLines w:val="0"/>
        <w:pageBreakBefore w:val="0"/>
        <w:widowControl/>
        <w:tabs>
          <w:tab w:val="left" w:pos="3219"/>
        </w:tabs>
        <w:kinsoku/>
        <w:wordWrap/>
        <w:overflowPunct/>
        <w:topLinePunct w:val="0"/>
        <w:autoSpaceDE/>
        <w:autoSpaceDN/>
        <w:bidi w:val="0"/>
        <w:adjustRightInd/>
        <w:snapToGrid/>
        <w:spacing w:after="0" w:line="480" w:lineRule="exact"/>
        <w:ind w:right="0"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WH/T18-2003</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《演出场所扩声系统声学特性指标》</w:t>
      </w:r>
    </w:p>
    <w:p>
      <w:pPr>
        <w:pStyle w:val="10"/>
        <w:keepNext w:val="0"/>
        <w:keepLines w:val="0"/>
        <w:pageBreakBefore w:val="0"/>
        <w:widowControl/>
        <w:tabs>
          <w:tab w:val="left" w:pos="3339"/>
        </w:tabs>
        <w:kinsoku/>
        <w:wordWrap/>
        <w:overflowPunct/>
        <w:topLinePunct w:val="0"/>
        <w:autoSpaceDE/>
        <w:autoSpaceDN/>
        <w:bidi w:val="0"/>
        <w:adjustRightInd/>
        <w:snapToGrid/>
        <w:spacing w:after="0" w:line="480" w:lineRule="exact"/>
        <w:ind w:right="0"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GB/T 14197-93</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声系统设备互连的优选配接值》国家标准</w:t>
      </w:r>
    </w:p>
    <w:p>
      <w:pPr>
        <w:pStyle w:val="10"/>
        <w:keepNext w:val="0"/>
        <w:keepLines w:val="0"/>
        <w:pageBreakBefore w:val="0"/>
        <w:widowControl/>
        <w:tabs>
          <w:tab w:val="left" w:pos="3339"/>
        </w:tabs>
        <w:kinsoku/>
        <w:wordWrap/>
        <w:overflowPunct/>
        <w:topLinePunct w:val="0"/>
        <w:autoSpaceDE/>
        <w:autoSpaceDN/>
        <w:bidi w:val="0"/>
        <w:adjustRightInd/>
        <w:snapToGrid/>
        <w:spacing w:after="0" w:line="480" w:lineRule="exact"/>
        <w:ind w:right="0"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JGJ/T131-2000</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《多功能厅声学设计及测量规范》</w:t>
      </w:r>
    </w:p>
    <w:p>
      <w:pPr>
        <w:pStyle w:val="10"/>
        <w:keepNext w:val="0"/>
        <w:keepLines w:val="0"/>
        <w:pageBreakBefore w:val="0"/>
        <w:widowControl/>
        <w:tabs>
          <w:tab w:val="left" w:pos="3339"/>
        </w:tabs>
        <w:kinsoku/>
        <w:wordWrap/>
        <w:overflowPunct/>
        <w:topLinePunct w:val="0"/>
        <w:autoSpaceDE/>
        <w:autoSpaceDN/>
        <w:bidi w:val="0"/>
        <w:adjustRightInd/>
        <w:snapToGrid/>
        <w:spacing w:after="0" w:line="480" w:lineRule="exact"/>
        <w:ind w:right="0"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GYJ25-86</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《厅堂扩声系统特性指标》</w:t>
      </w:r>
    </w:p>
    <w:p>
      <w:pPr>
        <w:pStyle w:val="10"/>
        <w:keepNext w:val="0"/>
        <w:keepLines w:val="0"/>
        <w:pageBreakBefore w:val="0"/>
        <w:widowControl/>
        <w:tabs>
          <w:tab w:val="left" w:pos="3339"/>
        </w:tabs>
        <w:kinsoku/>
        <w:wordWrap/>
        <w:overflowPunct/>
        <w:topLinePunct w:val="0"/>
        <w:autoSpaceDE/>
        <w:autoSpaceDN/>
        <w:bidi w:val="0"/>
        <w:adjustRightInd/>
        <w:snapToGrid/>
        <w:spacing w:after="0" w:line="480" w:lineRule="exact"/>
        <w:ind w:right="0"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GB/T 14947-94</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《声系统设备互连的优选配接值》</w:t>
      </w:r>
    </w:p>
    <w:p>
      <w:pPr>
        <w:pStyle w:val="10"/>
        <w:keepNext w:val="0"/>
        <w:keepLines w:val="0"/>
        <w:pageBreakBefore w:val="0"/>
        <w:widowControl/>
        <w:tabs>
          <w:tab w:val="left" w:pos="3339"/>
        </w:tabs>
        <w:kinsoku/>
        <w:wordWrap/>
        <w:overflowPunct/>
        <w:topLinePunct w:val="0"/>
        <w:autoSpaceDE/>
        <w:autoSpaceDN/>
        <w:bidi w:val="0"/>
        <w:adjustRightInd/>
        <w:snapToGrid/>
        <w:spacing w:after="0" w:line="480" w:lineRule="exact"/>
        <w:ind w:right="0"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GB12060-89</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《声系统设备一般术语解释和计算方法》</w:t>
      </w:r>
    </w:p>
    <w:p>
      <w:pPr>
        <w:pStyle w:val="2"/>
        <w:keepNext w:val="0"/>
        <w:keepLines w:val="0"/>
        <w:pageBreakBefore w:val="0"/>
        <w:widowControl/>
        <w:kinsoku/>
        <w:wordWrap/>
        <w:overflowPunct/>
        <w:topLinePunct w:val="0"/>
        <w:autoSpaceDE/>
        <w:autoSpaceDN/>
        <w:bidi w:val="0"/>
        <w:adjustRightInd/>
        <w:snapToGrid/>
        <w:spacing w:line="490" w:lineRule="exact"/>
        <w:ind w:firstLine="561" w:firstLineChars="200"/>
        <w:textAlignment w:val="auto"/>
        <w:rPr>
          <w:rFonts w:hint="eastAsia" w:ascii="华文仿宋" w:hAnsi="华文仿宋" w:cs="华文仿宋"/>
          <w:b/>
          <w:bCs/>
          <w:sz w:val="28"/>
          <w:szCs w:val="28"/>
          <w:lang w:val="en-US" w:eastAsia="zh-CN"/>
        </w:rPr>
      </w:pPr>
      <w:bookmarkStart w:id="179" w:name="检测设备（由施工方提供）"/>
      <w:bookmarkEnd w:id="179"/>
      <w:r>
        <w:rPr>
          <w:rFonts w:hint="eastAsia" w:ascii="华文仿宋" w:hAnsi="华文仿宋" w:cs="华文仿宋"/>
          <w:b/>
          <w:bCs/>
          <w:sz w:val="28"/>
          <w:szCs w:val="28"/>
          <w:lang w:val="en-US" w:eastAsia="zh-CN"/>
        </w:rPr>
        <w:t>三、检测设备（由供应商提供）</w:t>
      </w:r>
    </w:p>
    <w:p>
      <w:pPr>
        <w:keepNext w:val="0"/>
        <w:keepLines w:val="0"/>
        <w:pageBreakBefore w:val="0"/>
        <w:widowControl/>
        <w:kinsoku/>
        <w:wordWrap/>
        <w:overflowPunct/>
        <w:topLinePunct w:val="0"/>
        <w:autoSpaceDE/>
        <w:autoSpaceDN/>
        <w:bidi w:val="0"/>
        <w:adjustRightInd/>
        <w:snapToGrid/>
        <w:spacing w:line="490" w:lineRule="exact"/>
        <w:ind w:firstLine="560" w:firstLineChars="200"/>
        <w:textAlignment w:val="auto"/>
        <w:rPr>
          <w:rFonts w:hint="eastAsia"/>
        </w:rPr>
      </w:pPr>
      <w:r>
        <w:rPr>
          <w:rFonts w:hint="eastAsia"/>
          <w:lang w:val="en-US" w:eastAsia="zh-CN"/>
        </w:rPr>
        <w:t>1、</w:t>
      </w:r>
      <w:r>
        <w:rPr>
          <w:rFonts w:hint="eastAsia" w:ascii="仿宋" w:hAnsi="仿宋" w:eastAsia="仿宋" w:cs="仿宋"/>
        </w:rPr>
        <w:t>PHONIC</w:t>
      </w:r>
      <w:r>
        <w:rPr>
          <w:rFonts w:hint="eastAsia"/>
        </w:rPr>
        <w:t xml:space="preserve"> 音频测试仪</w:t>
      </w:r>
    </w:p>
    <w:p>
      <w:pPr>
        <w:keepNext w:val="0"/>
        <w:keepLines w:val="0"/>
        <w:pageBreakBefore w:val="0"/>
        <w:widowControl/>
        <w:kinsoku/>
        <w:wordWrap/>
        <w:overflowPunct/>
        <w:topLinePunct w:val="0"/>
        <w:autoSpaceDE/>
        <w:autoSpaceDN/>
        <w:bidi w:val="0"/>
        <w:adjustRightInd/>
        <w:snapToGrid/>
        <w:spacing w:line="490" w:lineRule="exact"/>
        <w:ind w:firstLine="560" w:firstLineChars="200"/>
        <w:textAlignment w:val="auto"/>
        <w:rPr>
          <w:rFonts w:hint="eastAsia"/>
        </w:rPr>
      </w:pPr>
      <w:r>
        <w:rPr>
          <w:rFonts w:hint="eastAsia"/>
          <w:lang w:val="en-US" w:eastAsia="zh-CN"/>
        </w:rPr>
        <w:t>2、</w:t>
      </w:r>
      <w:r>
        <w:rPr>
          <w:rFonts w:hint="eastAsia" w:ascii="仿宋" w:hAnsi="仿宋" w:eastAsia="仿宋" w:cs="仿宋"/>
        </w:rPr>
        <w:t>PHONIC</w:t>
      </w:r>
      <w:r>
        <w:rPr>
          <w:rFonts w:hint="eastAsia"/>
        </w:rPr>
        <w:t xml:space="preserve"> 音频测试软件</w:t>
      </w:r>
    </w:p>
    <w:p>
      <w:pPr>
        <w:keepNext w:val="0"/>
        <w:keepLines w:val="0"/>
        <w:pageBreakBefore w:val="0"/>
        <w:widowControl/>
        <w:kinsoku/>
        <w:wordWrap/>
        <w:overflowPunct/>
        <w:topLinePunct w:val="0"/>
        <w:autoSpaceDE/>
        <w:autoSpaceDN/>
        <w:bidi w:val="0"/>
        <w:adjustRightInd/>
        <w:snapToGrid/>
        <w:spacing w:line="490" w:lineRule="exact"/>
        <w:ind w:firstLine="560" w:firstLineChars="200"/>
        <w:textAlignment w:val="auto"/>
        <w:rPr>
          <w:rFonts w:hint="eastAsia"/>
        </w:rPr>
      </w:pPr>
      <w:r>
        <w:rPr>
          <w:rFonts w:hint="eastAsia"/>
          <w:lang w:val="en-US" w:eastAsia="zh-CN"/>
        </w:rPr>
        <w:t>3、</w:t>
      </w:r>
      <w:r>
        <w:rPr>
          <w:rFonts w:hint="eastAsia"/>
        </w:rPr>
        <w:t>高指向电容测试话筒</w:t>
      </w:r>
    </w:p>
    <w:p>
      <w:pPr>
        <w:keepNext w:val="0"/>
        <w:keepLines w:val="0"/>
        <w:pageBreakBefore w:val="0"/>
        <w:widowControl/>
        <w:kinsoku/>
        <w:wordWrap/>
        <w:overflowPunct/>
        <w:topLinePunct w:val="0"/>
        <w:autoSpaceDE/>
        <w:autoSpaceDN/>
        <w:bidi w:val="0"/>
        <w:adjustRightInd/>
        <w:snapToGrid/>
        <w:spacing w:line="490" w:lineRule="exact"/>
        <w:ind w:firstLine="560" w:firstLineChars="200"/>
        <w:textAlignment w:val="auto"/>
        <w:rPr>
          <w:rFonts w:hint="eastAsia"/>
        </w:rPr>
      </w:pPr>
      <w:r>
        <w:rPr>
          <w:rFonts w:hint="eastAsia"/>
          <w:lang w:val="en-US" w:eastAsia="zh-CN"/>
        </w:rPr>
        <w:t>4、</w:t>
      </w:r>
      <w:r>
        <w:rPr>
          <w:rFonts w:hint="eastAsia"/>
        </w:rPr>
        <w:t>系统调试竣工连接图</w:t>
      </w:r>
    </w:p>
    <w:p>
      <w:pPr>
        <w:keepNext w:val="0"/>
        <w:keepLines w:val="0"/>
        <w:pageBreakBefore w:val="0"/>
        <w:widowControl/>
        <w:kinsoku/>
        <w:wordWrap/>
        <w:overflowPunct/>
        <w:topLinePunct w:val="0"/>
        <w:autoSpaceDE/>
        <w:autoSpaceDN/>
        <w:bidi w:val="0"/>
        <w:adjustRightInd/>
        <w:snapToGrid/>
        <w:spacing w:line="490" w:lineRule="exact"/>
        <w:ind w:firstLine="560" w:firstLineChars="200"/>
        <w:textAlignment w:val="auto"/>
        <w:rPr>
          <w:rFonts w:hint="eastAsia"/>
        </w:rPr>
      </w:pPr>
      <w:r>
        <w:rPr>
          <w:rFonts w:hint="eastAsia"/>
          <w:lang w:val="en-US" w:eastAsia="zh-CN"/>
        </w:rPr>
        <w:t>5、</w:t>
      </w:r>
      <w:r>
        <w:rPr>
          <w:rFonts w:hint="eastAsia"/>
        </w:rPr>
        <w:t>系统安装布局图</w:t>
      </w:r>
    </w:p>
    <w:p>
      <w:pPr>
        <w:keepNext w:val="0"/>
        <w:keepLines w:val="0"/>
        <w:pageBreakBefore w:val="0"/>
        <w:widowControl/>
        <w:kinsoku/>
        <w:wordWrap/>
        <w:overflowPunct/>
        <w:topLinePunct w:val="0"/>
        <w:autoSpaceDE/>
        <w:autoSpaceDN/>
        <w:bidi w:val="0"/>
        <w:adjustRightInd/>
        <w:snapToGrid/>
        <w:spacing w:line="490" w:lineRule="exact"/>
        <w:ind w:firstLine="560" w:firstLineChars="200"/>
        <w:textAlignment w:val="auto"/>
        <w:rPr>
          <w:rFonts w:hint="eastAsia"/>
        </w:rPr>
      </w:pPr>
      <w:r>
        <w:rPr>
          <w:rFonts w:hint="eastAsia"/>
          <w:lang w:val="en-US" w:eastAsia="zh-CN"/>
        </w:rPr>
        <w:t>6、</w:t>
      </w:r>
      <w:r>
        <w:rPr>
          <w:rFonts w:hint="eastAsia"/>
        </w:rPr>
        <w:t>声场检测报告（</w:t>
      </w:r>
      <w:r>
        <w:rPr>
          <w:rFonts w:hint="eastAsia"/>
          <w:lang w:eastAsia="zh-CN"/>
        </w:rPr>
        <w:t>采购人</w:t>
      </w:r>
      <w:r>
        <w:rPr>
          <w:rFonts w:hint="eastAsia"/>
        </w:rPr>
        <w:t>邀请有资历专业单位测试结果）</w:t>
      </w:r>
    </w:p>
    <w:p>
      <w:pPr>
        <w:pStyle w:val="2"/>
        <w:keepNext w:val="0"/>
        <w:keepLines w:val="0"/>
        <w:pageBreakBefore w:val="0"/>
        <w:widowControl/>
        <w:kinsoku/>
        <w:wordWrap/>
        <w:overflowPunct/>
        <w:topLinePunct w:val="0"/>
        <w:autoSpaceDE/>
        <w:autoSpaceDN/>
        <w:bidi w:val="0"/>
        <w:adjustRightInd/>
        <w:snapToGrid/>
        <w:spacing w:line="500" w:lineRule="exact"/>
        <w:ind w:firstLine="561" w:firstLineChars="200"/>
        <w:textAlignment w:val="auto"/>
        <w:rPr>
          <w:rFonts w:hint="eastAsia" w:ascii="华文仿宋" w:hAnsi="华文仿宋" w:cs="华文仿宋"/>
          <w:b/>
          <w:bCs/>
          <w:sz w:val="28"/>
          <w:szCs w:val="28"/>
          <w:lang w:val="en-US" w:eastAsia="zh-CN"/>
        </w:rPr>
      </w:pPr>
      <w:r>
        <w:rPr>
          <w:rFonts w:hint="eastAsia" w:ascii="华文仿宋" w:hAnsi="华文仿宋" w:cs="华文仿宋"/>
          <w:b/>
          <w:bCs/>
          <w:sz w:val="28"/>
          <w:szCs w:val="28"/>
          <w:lang w:val="en-US" w:eastAsia="zh-CN"/>
        </w:rPr>
        <w:t>四、测量项目</w:t>
      </w:r>
    </w:p>
    <w:p>
      <w:pPr>
        <w:keepNext w:val="0"/>
        <w:keepLines w:val="0"/>
        <w:pageBreakBefore w:val="0"/>
        <w:widowControl/>
        <w:kinsoku/>
        <w:wordWrap/>
        <w:overflowPunct/>
        <w:topLinePunct w:val="0"/>
        <w:autoSpaceDE/>
        <w:autoSpaceDN/>
        <w:bidi w:val="0"/>
        <w:adjustRightInd/>
        <w:snapToGrid/>
        <w:spacing w:line="500" w:lineRule="exact"/>
        <w:ind w:firstLine="560" w:firstLineChars="200"/>
        <w:textAlignment w:val="auto"/>
        <w:rPr>
          <w:rFonts w:hint="eastAsia"/>
          <w:lang w:val="en-US" w:eastAsia="zh-CN"/>
        </w:rPr>
      </w:pPr>
      <w:r>
        <w:rPr>
          <w:rFonts w:hint="eastAsia"/>
        </w:rPr>
        <w:t>扩声系统声学特性指标：</w:t>
      </w:r>
      <w:r>
        <w:rPr>
          <w:rFonts w:hint="eastAsia"/>
          <w:lang w:val="en-US" w:eastAsia="zh-CN"/>
        </w:rPr>
        <w:t>1、</w:t>
      </w:r>
      <w:r>
        <w:rPr>
          <w:rFonts w:hint="eastAsia"/>
        </w:rPr>
        <w:t>最大声压级；</w:t>
      </w:r>
      <w:r>
        <w:rPr>
          <w:rFonts w:hint="eastAsia"/>
          <w:lang w:val="en-US" w:eastAsia="zh-CN"/>
        </w:rPr>
        <w:t>2、</w:t>
      </w:r>
      <w:r>
        <w:rPr>
          <w:rFonts w:hint="eastAsia"/>
        </w:rPr>
        <w:t>传输频</w:t>
      </w:r>
      <w:r>
        <w:rPr>
          <w:rFonts w:hint="eastAsia"/>
          <w:lang w:val="en-US" w:eastAsia="zh-CN"/>
        </w:rPr>
        <w:t>率特性3、</w:t>
      </w:r>
      <w:r>
        <w:rPr>
          <w:rFonts w:hint="eastAsia"/>
        </w:rPr>
        <w:t>声场不均匀度；</w:t>
      </w:r>
      <w:r>
        <w:rPr>
          <w:rFonts w:hint="eastAsia"/>
          <w:lang w:val="en-US" w:eastAsia="zh-CN"/>
        </w:rPr>
        <w:t>4、</w:t>
      </w:r>
      <w:r>
        <w:rPr>
          <w:rFonts w:hint="eastAsia"/>
        </w:rPr>
        <w:t>传声增益；</w:t>
      </w:r>
      <w:r>
        <w:rPr>
          <w:rFonts w:hint="eastAsia"/>
          <w:lang w:val="en-US" w:eastAsia="zh-CN"/>
        </w:rPr>
        <w:t>5、</w:t>
      </w:r>
      <w:r>
        <w:rPr>
          <w:rFonts w:hint="eastAsia"/>
        </w:rPr>
        <w:t>系统噪声</w:t>
      </w:r>
      <w:r>
        <w:rPr>
          <w:rFonts w:hint="eastAsia"/>
          <w:lang w:val="en-US" w:eastAsia="zh-CN"/>
        </w:rPr>
        <w:t>级。测量依据</w:t>
      </w:r>
    </w:p>
    <w:p>
      <w:pPr>
        <w:keepNext w:val="0"/>
        <w:keepLines w:val="0"/>
        <w:pageBreakBefore w:val="0"/>
        <w:widowControl/>
        <w:kinsoku/>
        <w:wordWrap/>
        <w:overflowPunct/>
        <w:topLinePunct w:val="0"/>
        <w:autoSpaceDE/>
        <w:autoSpaceDN/>
        <w:bidi w:val="0"/>
        <w:adjustRightInd/>
        <w:snapToGrid/>
        <w:spacing w:line="500" w:lineRule="exact"/>
        <w:ind w:firstLine="560" w:firstLineChars="200"/>
        <w:textAlignment w:val="auto"/>
        <w:rPr>
          <w:rFonts w:hint="eastAsia"/>
          <w:lang w:val="en-US" w:eastAsia="zh-CN"/>
        </w:rPr>
      </w:pPr>
      <w:r>
        <w:rPr>
          <w:rFonts w:hint="eastAsia"/>
          <w:lang w:val="en-US" w:eastAsia="zh-CN"/>
        </w:rPr>
        <w:t xml:space="preserve">国家标准 </w:t>
      </w:r>
      <w:r>
        <w:rPr>
          <w:rFonts w:hint="eastAsia" w:ascii="仿宋" w:hAnsi="仿宋" w:eastAsia="仿宋" w:cs="仿宋"/>
          <w:lang w:val="en-US" w:eastAsia="zh-CN"/>
        </w:rPr>
        <w:t>GB4959—95</w:t>
      </w:r>
      <w:r>
        <w:rPr>
          <w:rFonts w:hint="eastAsia"/>
          <w:lang w:val="en-US" w:eastAsia="zh-CN"/>
        </w:rPr>
        <w:t>《厅堂扩声特性测量方法》；</w:t>
      </w:r>
    </w:p>
    <w:p>
      <w:pPr>
        <w:keepNext w:val="0"/>
        <w:keepLines w:val="0"/>
        <w:pageBreakBefore w:val="0"/>
        <w:widowControl/>
        <w:kinsoku/>
        <w:wordWrap/>
        <w:overflowPunct/>
        <w:topLinePunct w:val="0"/>
        <w:autoSpaceDE/>
        <w:autoSpaceDN/>
        <w:bidi w:val="0"/>
        <w:adjustRightInd/>
        <w:snapToGrid/>
        <w:spacing w:line="500" w:lineRule="exact"/>
        <w:ind w:firstLine="560" w:firstLineChars="200"/>
        <w:textAlignment w:val="auto"/>
        <w:rPr>
          <w:rFonts w:hint="eastAsia" w:ascii="华文仿宋" w:hAnsi="华文仿宋" w:eastAsia="华文仿宋" w:cs="华文仿宋"/>
          <w:b w:val="0"/>
          <w:bCs w:val="0"/>
          <w:szCs w:val="28"/>
          <w:lang w:val="en-US" w:eastAsia="zh-CN"/>
        </w:rPr>
      </w:pPr>
      <w:r>
        <w:rPr>
          <w:rFonts w:hint="eastAsia"/>
          <w:lang w:val="en-US" w:eastAsia="zh-CN"/>
        </w:rPr>
        <w:t xml:space="preserve">行业标准 </w:t>
      </w:r>
      <w:r>
        <w:rPr>
          <w:rFonts w:hint="eastAsia" w:ascii="仿宋" w:hAnsi="仿宋" w:eastAsia="仿宋" w:cs="仿宋"/>
          <w:lang w:val="en-US" w:eastAsia="zh-CN"/>
        </w:rPr>
        <w:t>JGJ/T131—2000，J42—2000</w:t>
      </w:r>
      <w:r>
        <w:rPr>
          <w:rFonts w:hint="eastAsia"/>
          <w:lang w:val="en-US" w:eastAsia="zh-CN"/>
        </w:rPr>
        <w:t>《多功能厅声学设计及测量规程》。</w:t>
      </w:r>
    </w:p>
    <w:p>
      <w:pPr>
        <w:pStyle w:val="2"/>
        <w:keepNext w:val="0"/>
        <w:keepLines w:val="0"/>
        <w:pageBreakBefore w:val="0"/>
        <w:widowControl/>
        <w:kinsoku/>
        <w:wordWrap/>
        <w:overflowPunct/>
        <w:topLinePunct w:val="0"/>
        <w:autoSpaceDE/>
        <w:autoSpaceDN/>
        <w:bidi w:val="0"/>
        <w:adjustRightInd/>
        <w:snapToGrid/>
        <w:spacing w:line="500" w:lineRule="exact"/>
        <w:ind w:firstLine="561" w:firstLineChars="200"/>
        <w:textAlignment w:val="auto"/>
        <w:rPr>
          <w:rFonts w:hint="eastAsia" w:ascii="华文仿宋" w:hAnsi="华文仿宋" w:cs="华文仿宋"/>
          <w:b/>
          <w:bCs/>
          <w:sz w:val="28"/>
          <w:szCs w:val="28"/>
          <w:lang w:val="en-US" w:eastAsia="zh-CN"/>
        </w:rPr>
      </w:pPr>
      <w:r>
        <w:rPr>
          <w:rFonts w:hint="eastAsia" w:ascii="华文仿宋" w:hAnsi="华文仿宋" w:cs="华文仿宋"/>
          <w:b/>
          <w:bCs/>
          <w:sz w:val="28"/>
          <w:szCs w:val="28"/>
          <w:lang w:val="en-US" w:eastAsia="zh-CN"/>
        </w:rPr>
        <w:t>五、测量使用仪器</w:t>
      </w:r>
    </w:p>
    <w:p>
      <w:pPr>
        <w:keepNext w:val="0"/>
        <w:keepLines w:val="0"/>
        <w:pageBreakBefore w:val="0"/>
        <w:widowControl/>
        <w:kinsoku/>
        <w:wordWrap/>
        <w:overflowPunct/>
        <w:topLinePunct w:val="0"/>
        <w:autoSpaceDE/>
        <w:autoSpaceDN/>
        <w:bidi w:val="0"/>
        <w:adjustRightInd/>
        <w:snapToGrid/>
        <w:spacing w:line="500" w:lineRule="exact"/>
        <w:ind w:firstLine="560" w:firstLineChars="200"/>
        <w:textAlignment w:val="auto"/>
        <w:rPr>
          <w:rFonts w:hint="eastAsia"/>
          <w:lang w:val="en-US" w:eastAsia="zh-CN"/>
        </w:rPr>
      </w:pPr>
      <w:r>
        <w:rPr>
          <w:rFonts w:hint="eastAsia" w:ascii="仿宋" w:hAnsi="仿宋" w:eastAsia="仿宋" w:cs="仿宋"/>
          <w:lang w:val="en-US" w:eastAsia="zh-CN"/>
        </w:rPr>
        <w:t>PHONIC</w:t>
      </w:r>
      <w:r>
        <w:rPr>
          <w:rFonts w:hint="eastAsia" w:ascii="仿宋" w:hAnsi="仿宋" w:eastAsia="仿宋" w:cs="仿宋"/>
          <w:lang w:val="en-US" w:eastAsia="zh-CN"/>
        </w:rPr>
        <w:tab/>
      </w:r>
      <w:r>
        <w:rPr>
          <w:rFonts w:hint="eastAsia" w:ascii="仿宋" w:hAnsi="仿宋" w:eastAsia="仿宋" w:cs="仿宋"/>
          <w:lang w:val="en-US" w:eastAsia="zh-CN"/>
        </w:rPr>
        <w:t>PPA3</w:t>
      </w:r>
      <w:r>
        <w:rPr>
          <w:rFonts w:hint="eastAsia"/>
          <w:lang w:val="en-US" w:eastAsia="zh-CN"/>
        </w:rPr>
        <w:t xml:space="preserve"> 实时分析仪；</w:t>
      </w:r>
    </w:p>
    <w:p>
      <w:pPr>
        <w:keepNext w:val="0"/>
        <w:keepLines w:val="0"/>
        <w:pageBreakBefore w:val="0"/>
        <w:widowControl/>
        <w:kinsoku/>
        <w:wordWrap/>
        <w:overflowPunct/>
        <w:topLinePunct w:val="0"/>
        <w:autoSpaceDE/>
        <w:autoSpaceDN/>
        <w:bidi w:val="0"/>
        <w:adjustRightInd/>
        <w:snapToGrid/>
        <w:spacing w:line="500" w:lineRule="exact"/>
        <w:ind w:firstLine="560" w:firstLineChars="200"/>
        <w:textAlignment w:val="auto"/>
        <w:rPr>
          <w:rFonts w:hint="eastAsia"/>
          <w:lang w:val="en-US" w:eastAsia="zh-CN"/>
        </w:rPr>
      </w:pPr>
      <w:r>
        <w:rPr>
          <w:rFonts w:hint="eastAsia" w:ascii="仿宋" w:hAnsi="仿宋" w:eastAsia="仿宋" w:cs="仿宋"/>
          <w:lang w:val="en-US" w:eastAsia="zh-CN"/>
        </w:rPr>
        <w:t>PHONIC</w:t>
      </w:r>
      <w:r>
        <w:rPr>
          <w:rFonts w:hint="eastAsia"/>
          <w:lang w:val="en-US" w:eastAsia="zh-CN"/>
        </w:rPr>
        <w:t xml:space="preserve"> 音频测试软件</w:t>
      </w:r>
    </w:p>
    <w:p>
      <w:pPr>
        <w:keepNext w:val="0"/>
        <w:keepLines w:val="0"/>
        <w:pageBreakBefore w:val="0"/>
        <w:widowControl/>
        <w:kinsoku/>
        <w:wordWrap/>
        <w:overflowPunct/>
        <w:topLinePunct w:val="0"/>
        <w:autoSpaceDE/>
        <w:autoSpaceDN/>
        <w:bidi w:val="0"/>
        <w:adjustRightInd/>
        <w:snapToGrid/>
        <w:spacing w:line="500" w:lineRule="exact"/>
        <w:ind w:firstLine="560" w:firstLineChars="200"/>
        <w:textAlignment w:val="auto"/>
        <w:rPr>
          <w:rFonts w:hint="eastAsia"/>
          <w:lang w:val="en-US" w:eastAsia="zh-CN"/>
        </w:rPr>
      </w:pPr>
      <w:r>
        <w:rPr>
          <w:rFonts w:hint="eastAsia"/>
          <w:lang w:val="en-US" w:eastAsia="zh-CN"/>
        </w:rPr>
        <w:t>高指向电容测试话筒</w:t>
      </w:r>
    </w:p>
    <w:p>
      <w:pPr>
        <w:keepNext w:val="0"/>
        <w:keepLines w:val="0"/>
        <w:pageBreakBefore w:val="0"/>
        <w:widowControl/>
        <w:kinsoku/>
        <w:wordWrap/>
        <w:overflowPunct/>
        <w:topLinePunct w:val="0"/>
        <w:autoSpaceDE/>
        <w:autoSpaceDN/>
        <w:bidi w:val="0"/>
        <w:adjustRightInd/>
        <w:snapToGrid/>
        <w:spacing w:line="500" w:lineRule="exact"/>
        <w:ind w:firstLine="560" w:firstLineChars="200"/>
        <w:textAlignment w:val="auto"/>
        <w:rPr>
          <w:rFonts w:hint="eastAsia"/>
          <w:lang w:val="en-US" w:eastAsia="zh-CN"/>
        </w:rPr>
      </w:pPr>
      <w:r>
        <w:rPr>
          <w:rFonts w:hint="eastAsia"/>
          <w:lang w:val="en-US" w:eastAsia="zh-CN"/>
        </w:rPr>
        <w:t>其它需要的测试设备</w:t>
      </w:r>
    </w:p>
    <w:p>
      <w:pPr>
        <w:pStyle w:val="2"/>
        <w:keepNext w:val="0"/>
        <w:keepLines w:val="0"/>
        <w:pageBreakBefore w:val="0"/>
        <w:widowControl/>
        <w:kinsoku/>
        <w:wordWrap/>
        <w:overflowPunct/>
        <w:topLinePunct w:val="0"/>
        <w:autoSpaceDE/>
        <w:autoSpaceDN/>
        <w:bidi w:val="0"/>
        <w:adjustRightInd/>
        <w:snapToGrid/>
        <w:spacing w:line="500" w:lineRule="exact"/>
        <w:ind w:firstLine="561" w:firstLineChars="200"/>
        <w:textAlignment w:val="auto"/>
        <w:rPr>
          <w:rFonts w:hint="eastAsia" w:ascii="华文仿宋" w:hAnsi="华文仿宋" w:cs="华文仿宋"/>
          <w:b/>
          <w:bCs/>
          <w:sz w:val="28"/>
          <w:szCs w:val="28"/>
          <w:lang w:val="en-US" w:eastAsia="zh-CN"/>
        </w:rPr>
      </w:pPr>
      <w:r>
        <w:rPr>
          <w:rFonts w:hint="eastAsia" w:ascii="华文仿宋" w:hAnsi="华文仿宋" w:cs="华文仿宋"/>
          <w:b/>
          <w:bCs/>
          <w:sz w:val="28"/>
          <w:szCs w:val="28"/>
          <w:lang w:val="en-US" w:eastAsia="zh-CN"/>
        </w:rPr>
        <w:t>六、总测量结果</w:t>
      </w:r>
    </w:p>
    <w:p>
      <w:pPr>
        <w:keepNext w:val="0"/>
        <w:keepLines w:val="0"/>
        <w:pageBreakBefore w:val="0"/>
        <w:widowControl/>
        <w:kinsoku/>
        <w:wordWrap/>
        <w:overflowPunct/>
        <w:topLinePunct w:val="0"/>
        <w:autoSpaceDE/>
        <w:autoSpaceDN/>
        <w:bidi w:val="0"/>
        <w:adjustRightInd/>
        <w:snapToGrid/>
        <w:spacing w:line="500" w:lineRule="exact"/>
        <w:ind w:firstLine="560" w:firstLineChars="200"/>
        <w:textAlignment w:val="auto"/>
        <w:rPr>
          <w:rFonts w:hint="eastAsia"/>
          <w:lang w:val="en-US" w:eastAsia="zh-CN"/>
        </w:rPr>
      </w:pPr>
      <w:r>
        <w:rPr>
          <w:rFonts w:hint="eastAsia"/>
          <w:lang w:val="en-US" w:eastAsia="zh-CN"/>
        </w:rPr>
        <w:t>根据《厅堂声学设计及测量规程》一级指标规定的频率范围进行；</w:t>
      </w:r>
    </w:p>
    <w:p>
      <w:pPr>
        <w:keepNext w:val="0"/>
        <w:keepLines w:val="0"/>
        <w:pageBreakBefore w:val="0"/>
        <w:widowControl/>
        <w:kinsoku/>
        <w:wordWrap/>
        <w:overflowPunct/>
        <w:topLinePunct w:val="0"/>
        <w:autoSpaceDE/>
        <w:autoSpaceDN/>
        <w:bidi w:val="0"/>
        <w:adjustRightInd/>
        <w:snapToGrid/>
        <w:spacing w:line="500" w:lineRule="exact"/>
        <w:ind w:firstLine="560" w:firstLineChars="200"/>
        <w:textAlignment w:val="auto"/>
        <w:rPr>
          <w:rFonts w:hint="eastAsia"/>
          <w:lang w:val="en-US" w:eastAsia="zh-CN"/>
        </w:rPr>
      </w:pPr>
      <w:r>
        <w:rPr>
          <w:rFonts w:hint="eastAsia"/>
          <w:lang w:val="en-US" w:eastAsia="zh-CN"/>
        </w:rPr>
        <w:t>数据处理结果按实际达到的指标列出；</w:t>
      </w:r>
    </w:p>
    <w:p>
      <w:pPr>
        <w:keepNext w:val="0"/>
        <w:keepLines w:val="0"/>
        <w:pageBreakBefore w:val="0"/>
        <w:widowControl/>
        <w:kinsoku/>
        <w:wordWrap/>
        <w:overflowPunct/>
        <w:topLinePunct w:val="0"/>
        <w:autoSpaceDE/>
        <w:autoSpaceDN/>
        <w:bidi w:val="0"/>
        <w:adjustRightInd/>
        <w:snapToGrid/>
        <w:spacing w:line="500" w:lineRule="exact"/>
        <w:ind w:firstLine="560" w:firstLineChars="200"/>
        <w:textAlignment w:val="auto"/>
        <w:rPr>
          <w:rFonts w:hint="eastAsia"/>
          <w:lang w:val="en-US" w:eastAsia="zh-CN"/>
        </w:rPr>
      </w:pPr>
      <w:r>
        <w:rPr>
          <w:rFonts w:hint="eastAsia"/>
          <w:lang w:val="en-US" w:eastAsia="zh-CN"/>
        </w:rPr>
        <w:t>测量结果与标准指标比较：</w:t>
      </w:r>
    </w:p>
    <w:p>
      <w:pPr>
        <w:keepNext w:val="0"/>
        <w:keepLines w:val="0"/>
        <w:pageBreakBefore w:val="0"/>
        <w:widowControl/>
        <w:kinsoku/>
        <w:wordWrap/>
        <w:overflowPunct/>
        <w:topLinePunct w:val="0"/>
        <w:autoSpaceDE/>
        <w:autoSpaceDN/>
        <w:bidi w:val="0"/>
        <w:adjustRightInd/>
        <w:snapToGrid/>
        <w:spacing w:line="500" w:lineRule="exact"/>
        <w:ind w:left="0" w:right="0" w:firstLine="0"/>
        <w:jc w:val="center"/>
        <w:textAlignment w:val="auto"/>
        <w:rPr>
          <w:rFonts w:hint="eastAsia" w:ascii="华文仿宋" w:hAnsi="华文仿宋" w:eastAsia="华文仿宋" w:cs="华文仿宋"/>
          <w:b/>
          <w:sz w:val="28"/>
          <w:szCs w:val="28"/>
        </w:rPr>
      </w:pPr>
      <w:r>
        <w:rPr>
          <w:rFonts w:hint="eastAsia" w:ascii="仿宋" w:hAnsi="仿宋" w:eastAsia="仿宋" w:cs="仿宋"/>
          <w:b/>
          <w:bCs/>
          <w:lang w:val="en-US" w:eastAsia="zh-CN"/>
        </w:rPr>
        <w:t xml:space="preserve">PPA3 </w:t>
      </w:r>
      <w:r>
        <w:rPr>
          <w:rFonts w:hint="eastAsia" w:ascii="华文仿宋" w:hAnsi="华文仿宋" w:eastAsia="华文仿宋" w:cs="华文仿宋"/>
          <w:b/>
          <w:sz w:val="28"/>
          <w:szCs w:val="28"/>
        </w:rPr>
        <w:t>调试检测报告</w:t>
      </w:r>
    </w:p>
    <w:p>
      <w:pPr>
        <w:keepNext w:val="0"/>
        <w:keepLines w:val="0"/>
        <w:pageBreakBefore w:val="0"/>
        <w:widowControl/>
        <w:kinsoku/>
        <w:wordWrap/>
        <w:overflowPunct/>
        <w:topLinePunct w:val="0"/>
        <w:autoSpaceDE/>
        <w:autoSpaceDN/>
        <w:bidi w:val="0"/>
        <w:adjustRightInd/>
        <w:snapToGrid/>
        <w:spacing w:line="500" w:lineRule="exact"/>
        <w:ind w:firstLine="560" w:firstLineChars="200"/>
        <w:textAlignment w:val="auto"/>
        <w:rPr>
          <w:rFonts w:hint="eastAsia"/>
          <w:lang w:val="en-US" w:eastAsia="zh-CN"/>
        </w:rPr>
      </w:pPr>
      <w:r>
        <w:rPr>
          <w:rFonts w:hint="eastAsia"/>
          <w:lang w:val="en-US" w:eastAsia="zh-CN"/>
        </w:rPr>
        <w:t>扩声系统调试测试报告，目的在于从用于多功能厅现场扩声（人声及音乐）情况的角度分析该扩声是否达到要求。预期参考人员包括用户、开发人员、测试人员、项目管理者、其他质量管理人员和需要阅读本报告的高层经理。</w:t>
      </w:r>
    </w:p>
    <w:p>
      <w:pPr>
        <w:keepNext w:val="0"/>
        <w:keepLines w:val="0"/>
        <w:pageBreakBefore w:val="0"/>
        <w:widowControl/>
        <w:kinsoku/>
        <w:wordWrap/>
        <w:overflowPunct/>
        <w:topLinePunct w:val="0"/>
        <w:autoSpaceDE/>
        <w:autoSpaceDN/>
        <w:bidi w:val="0"/>
        <w:adjustRightInd/>
        <w:snapToGrid/>
        <w:spacing w:line="500" w:lineRule="exact"/>
        <w:ind w:left="0" w:right="0" w:firstLine="562" w:firstLineChars="200"/>
        <w:jc w:val="left"/>
        <w:textAlignment w:val="auto"/>
        <w:rPr>
          <w:rFonts w:hint="eastAsia" w:ascii="仿宋" w:hAnsi="仿宋" w:eastAsia="仿宋" w:cs="仿宋"/>
          <w:b/>
          <w:sz w:val="28"/>
          <w:szCs w:val="28"/>
        </w:rPr>
      </w:pPr>
      <w:r>
        <w:rPr>
          <w:rFonts w:hint="eastAsia" w:ascii="仿宋" w:hAnsi="仿宋" w:eastAsia="仿宋" w:cs="仿宋"/>
          <w:b/>
          <w:sz w:val="28"/>
          <w:szCs w:val="28"/>
          <w:lang w:val="en-US" w:eastAsia="zh-CN"/>
        </w:rPr>
        <w:t>1、</w:t>
      </w:r>
      <w:r>
        <w:rPr>
          <w:rFonts w:hint="eastAsia" w:ascii="仿宋" w:hAnsi="仿宋" w:eastAsia="仿宋" w:cs="仿宋"/>
          <w:b/>
          <w:sz w:val="28"/>
          <w:szCs w:val="28"/>
        </w:rPr>
        <w:t>系统背景</w:t>
      </w:r>
    </w:p>
    <w:p>
      <w:pPr>
        <w:keepNext w:val="0"/>
        <w:keepLines w:val="0"/>
        <w:pageBreakBefore w:val="0"/>
        <w:widowControl/>
        <w:kinsoku/>
        <w:wordWrap/>
        <w:overflowPunct/>
        <w:topLinePunct w:val="0"/>
        <w:autoSpaceDE/>
        <w:autoSpaceDN/>
        <w:bidi w:val="0"/>
        <w:adjustRightInd/>
        <w:snapToGrid/>
        <w:spacing w:line="500" w:lineRule="exact"/>
        <w:ind w:firstLine="560" w:firstLineChars="200"/>
        <w:textAlignment w:val="auto"/>
        <w:rPr>
          <w:rFonts w:hint="eastAsia"/>
          <w:lang w:val="en-US" w:eastAsia="zh-CN"/>
        </w:rPr>
      </w:pPr>
      <w:r>
        <w:rPr>
          <w:rFonts w:hint="eastAsia"/>
          <w:lang w:val="en-US" w:eastAsia="zh-CN"/>
        </w:rPr>
        <w:t xml:space="preserve">多功能厅扩声系统采用具有高保真、宽音域、高动态范围、快速瞬态反应、低回授声、声像   精准、音质清晰亮丽的扬声器，展现原音重现的最佳音质。能承受全音域高达 </w:t>
      </w:r>
      <w:r>
        <w:rPr>
          <w:rFonts w:hint="eastAsia" w:ascii="仿宋" w:hAnsi="仿宋" w:eastAsia="仿宋" w:cs="仿宋"/>
          <w:b w:val="0"/>
          <w:bCs w:val="0"/>
          <w:lang w:val="en-US" w:eastAsia="zh-CN"/>
        </w:rPr>
        <w:t>129dB SPL</w:t>
      </w:r>
      <w:r>
        <w:rPr>
          <w:rFonts w:hint="eastAsia"/>
          <w:lang w:val="en-US" w:eastAsia="zh-CN"/>
        </w:rPr>
        <w:t xml:space="preserve"> 以上的最大音压输入。可通过参数改变音频响应曲线，让使用者快速选用最喜好的音质。</w:t>
      </w:r>
    </w:p>
    <w:p>
      <w:pPr>
        <w:keepNext w:val="0"/>
        <w:keepLines w:val="0"/>
        <w:pageBreakBefore w:val="0"/>
        <w:widowControl/>
        <w:kinsoku/>
        <w:wordWrap/>
        <w:overflowPunct/>
        <w:topLinePunct w:val="0"/>
        <w:autoSpaceDE/>
        <w:autoSpaceDN/>
        <w:bidi w:val="0"/>
        <w:adjustRightInd/>
        <w:snapToGrid/>
        <w:spacing w:before="0" w:line="500" w:lineRule="exact"/>
        <w:ind w:right="0" w:firstLine="562" w:firstLineChars="200"/>
        <w:jc w:val="left"/>
        <w:textAlignment w:val="auto"/>
        <w:rPr>
          <w:rFonts w:hint="eastAsia" w:ascii="仿宋" w:hAnsi="仿宋" w:eastAsia="仿宋" w:cs="仿宋"/>
          <w:b/>
          <w:sz w:val="28"/>
          <w:szCs w:val="28"/>
        </w:rPr>
      </w:pPr>
      <w:r>
        <w:rPr>
          <w:rFonts w:hint="eastAsia" w:ascii="仿宋" w:hAnsi="仿宋" w:eastAsia="仿宋" w:cs="仿宋"/>
          <w:b/>
          <w:sz w:val="28"/>
          <w:szCs w:val="28"/>
          <w:lang w:val="en-US" w:eastAsia="zh-CN"/>
        </w:rPr>
        <w:t>2、</w:t>
      </w:r>
      <w:r>
        <w:rPr>
          <w:rFonts w:hint="eastAsia" w:ascii="仿宋" w:hAnsi="仿宋" w:eastAsia="仿宋" w:cs="仿宋"/>
          <w:b/>
          <w:sz w:val="28"/>
          <w:szCs w:val="28"/>
        </w:rPr>
        <w:t>系统测试仪器介绍</w:t>
      </w:r>
    </w:p>
    <w:p>
      <w:pPr>
        <w:keepNext w:val="0"/>
        <w:keepLines w:val="0"/>
        <w:pageBreakBefore w:val="0"/>
        <w:widowControl/>
        <w:tabs>
          <w:tab w:val="left" w:pos="2439"/>
        </w:tabs>
        <w:kinsoku/>
        <w:wordWrap/>
        <w:overflowPunct/>
        <w:topLinePunct w:val="0"/>
        <w:autoSpaceDE/>
        <w:autoSpaceDN/>
        <w:bidi w:val="0"/>
        <w:adjustRightInd/>
        <w:snapToGrid/>
        <w:spacing w:before="0" w:line="500" w:lineRule="exact"/>
        <w:ind w:right="0" w:firstLine="560" w:firstLineChars="200"/>
        <w:jc w:val="left"/>
        <w:textAlignment w:val="auto"/>
        <w:rPr>
          <w:rFonts w:hint="eastAsia" w:ascii="仿宋" w:hAnsi="仿宋" w:eastAsia="仿宋" w:cs="仿宋"/>
          <w:b w:val="0"/>
          <w:bCs/>
          <w:color w:val="auto"/>
          <w:sz w:val="28"/>
          <w:szCs w:val="28"/>
        </w:rPr>
      </w:pPr>
      <w:r>
        <w:rPr>
          <w:rFonts w:hint="eastAsia" w:ascii="仿宋" w:hAnsi="仿宋" w:eastAsia="仿宋" w:cs="仿宋"/>
          <w:b w:val="0"/>
          <w:bCs/>
          <w:color w:val="auto"/>
          <w:sz w:val="28"/>
          <w:szCs w:val="28"/>
        </w:rPr>
        <w:t>测试仪器</w:t>
      </w:r>
      <w:r>
        <w:rPr>
          <w:rFonts w:hint="eastAsia" w:ascii="仿宋" w:hAnsi="仿宋" w:eastAsia="仿宋" w:cs="仿宋"/>
          <w:b w:val="0"/>
          <w:bCs w:val="0"/>
          <w:lang w:val="en-US" w:eastAsia="zh-CN"/>
        </w:rPr>
        <w:t xml:space="preserve"> PHONIC</w:t>
      </w:r>
      <w:r>
        <w:rPr>
          <w:rFonts w:hint="eastAsia" w:ascii="仿宋" w:hAnsi="仿宋" w:eastAsia="仿宋" w:cs="仿宋"/>
          <w:b w:val="0"/>
          <w:bCs w:val="0"/>
          <w:lang w:val="en-US" w:eastAsia="zh-CN"/>
        </w:rPr>
        <w:tab/>
      </w:r>
      <w:r>
        <w:rPr>
          <w:rFonts w:hint="eastAsia" w:ascii="仿宋" w:hAnsi="仿宋" w:eastAsia="仿宋" w:cs="仿宋"/>
          <w:b w:val="0"/>
          <w:bCs w:val="0"/>
          <w:lang w:val="en-US" w:eastAsia="zh-CN"/>
        </w:rPr>
        <w:t xml:space="preserve">PPA3 </w:t>
      </w:r>
      <w:r>
        <w:rPr>
          <w:rFonts w:hint="eastAsia" w:ascii="仿宋" w:hAnsi="仿宋" w:eastAsia="仿宋" w:cs="仿宋"/>
          <w:b w:val="0"/>
          <w:bCs/>
          <w:color w:val="auto"/>
          <w:sz w:val="28"/>
          <w:szCs w:val="28"/>
        </w:rPr>
        <w:t>一品测试仪</w:t>
      </w:r>
    </w:p>
    <w:p>
      <w:pPr>
        <w:keepNext w:val="0"/>
        <w:keepLines w:val="0"/>
        <w:pageBreakBefore w:val="0"/>
        <w:widowControl/>
        <w:kinsoku/>
        <w:wordWrap/>
        <w:overflowPunct/>
        <w:topLinePunct w:val="0"/>
        <w:autoSpaceDE/>
        <w:autoSpaceDN/>
        <w:bidi w:val="0"/>
        <w:adjustRightInd/>
        <w:snapToGrid/>
        <w:spacing w:before="0" w:line="500" w:lineRule="exact"/>
        <w:ind w:right="0" w:firstLine="516" w:firstLineChars="200"/>
        <w:jc w:val="left"/>
        <w:textAlignment w:val="auto"/>
        <w:rPr>
          <w:rFonts w:hint="eastAsia" w:ascii="仿宋" w:hAnsi="仿宋" w:eastAsia="仿宋" w:cs="仿宋"/>
          <w:spacing w:val="-15"/>
          <w:w w:val="95"/>
          <w:sz w:val="28"/>
          <w:szCs w:val="28"/>
        </w:rPr>
      </w:pPr>
      <w:r>
        <w:rPr>
          <w:rFonts w:hint="eastAsia" w:ascii="仿宋" w:hAnsi="仿宋" w:eastAsia="仿宋" w:cs="仿宋"/>
          <w:spacing w:val="-11"/>
          <w:sz w:val="28"/>
          <w:szCs w:val="28"/>
        </w:rPr>
        <w:t>测试结合</w:t>
      </w:r>
      <w:r>
        <w:rPr>
          <w:rFonts w:hint="eastAsia" w:ascii="仿宋" w:hAnsi="仿宋" w:eastAsia="仿宋" w:cs="仿宋"/>
          <w:b w:val="0"/>
          <w:bCs w:val="0"/>
          <w:lang w:val="en-US" w:eastAsia="zh-CN"/>
        </w:rPr>
        <w:t xml:space="preserve"> EASE 4.0 </w:t>
      </w:r>
      <w:r>
        <w:rPr>
          <w:rFonts w:hint="eastAsia" w:ascii="仿宋" w:hAnsi="仿宋" w:eastAsia="仿宋" w:cs="仿宋"/>
          <w:spacing w:val="-8"/>
          <w:sz w:val="28"/>
          <w:szCs w:val="28"/>
        </w:rPr>
        <w:t>声学测试电脑分析的理论结果与专业人员耳听主观感受为一体，使</w:t>
      </w:r>
      <w:r>
        <w:rPr>
          <w:rFonts w:hint="eastAsia" w:ascii="仿宋" w:hAnsi="仿宋" w:eastAsia="仿宋" w:cs="仿宋"/>
          <w:spacing w:val="-15"/>
          <w:w w:val="95"/>
          <w:sz w:val="28"/>
          <w:szCs w:val="28"/>
        </w:rPr>
        <w:t>用与参考话筒对比的方式进行电脑分析与主观试听，综合后给出结论。具体系统方框图如下：</w:t>
      </w:r>
    </w:p>
    <w:p>
      <w:pPr>
        <w:pStyle w:val="2"/>
        <w:rPr>
          <w:rFonts w:hint="eastAsia"/>
        </w:rPr>
      </w:pPr>
    </w:p>
    <w:p>
      <w:pPr>
        <w:spacing w:after="0" w:line="321" w:lineRule="auto"/>
        <w:jc w:val="left"/>
        <w:rPr>
          <w:rFonts w:hint="eastAsia" w:ascii="仿宋" w:hAnsi="仿宋" w:eastAsia="仿宋" w:cs="仿宋"/>
          <w:sz w:val="24"/>
          <w:szCs w:val="24"/>
        </w:rPr>
      </w:pPr>
      <w:r>
        <w:rPr>
          <w:rFonts w:hint="eastAsia" w:ascii="仿宋" w:hAnsi="仿宋" w:eastAsia="仿宋" w:cs="仿宋"/>
          <w:sz w:val="24"/>
          <w:szCs w:val="24"/>
        </w:rPr>
        <w:drawing>
          <wp:inline distT="0" distB="0" distL="114300" distR="114300">
            <wp:extent cx="5815965" cy="2912110"/>
            <wp:effectExtent l="0" t="0" r="13335" b="2540"/>
            <wp:docPr id="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pic:cNvPicPr>
                      <a:picLocks noChangeAspect="1"/>
                    </pic:cNvPicPr>
                  </pic:nvPicPr>
                  <pic:blipFill>
                    <a:blip r:embed="rId16"/>
                    <a:stretch>
                      <a:fillRect/>
                    </a:stretch>
                  </pic:blipFill>
                  <pic:spPr>
                    <a:xfrm>
                      <a:off x="0" y="0"/>
                      <a:ext cx="5815965" cy="2912110"/>
                    </a:xfrm>
                    <a:prstGeom prst="rect">
                      <a:avLst/>
                    </a:prstGeom>
                    <a:noFill/>
                    <a:ln>
                      <a:noFill/>
                    </a:ln>
                  </pic:spPr>
                </pic:pic>
              </a:graphicData>
            </a:graphic>
          </wp:inline>
        </w:drawing>
      </w:r>
    </w:p>
    <w:p>
      <w:pPr>
        <w:keepNext w:val="0"/>
        <w:keepLines w:val="0"/>
        <w:pageBreakBefore w:val="0"/>
        <w:widowControl/>
        <w:kinsoku/>
        <w:wordWrap/>
        <w:overflowPunct/>
        <w:topLinePunct w:val="0"/>
        <w:autoSpaceDE/>
        <w:autoSpaceDN/>
        <w:bidi w:val="0"/>
        <w:adjustRightInd/>
        <w:snapToGrid/>
        <w:spacing w:line="500" w:lineRule="exact"/>
        <w:ind w:left="0" w:right="0" w:firstLine="562" w:firstLineChars="200"/>
        <w:jc w:val="left"/>
        <w:textAlignment w:val="auto"/>
        <w:rPr>
          <w:rFonts w:hint="eastAsia" w:ascii="仿宋" w:hAnsi="仿宋" w:eastAsia="仿宋" w:cs="仿宋"/>
          <w:b/>
          <w:sz w:val="28"/>
          <w:szCs w:val="28"/>
        </w:rPr>
      </w:pPr>
      <w:r>
        <w:rPr>
          <w:rFonts w:hint="eastAsia" w:ascii="仿宋" w:hAnsi="仿宋" w:eastAsia="仿宋" w:cs="仿宋"/>
          <w:b/>
          <w:sz w:val="28"/>
          <w:szCs w:val="28"/>
          <w:lang w:val="en-US" w:eastAsia="zh-CN"/>
        </w:rPr>
        <w:t>3、</w:t>
      </w:r>
      <w:r>
        <w:rPr>
          <w:rFonts w:hint="eastAsia" w:ascii="仿宋" w:hAnsi="仿宋" w:eastAsia="仿宋" w:cs="仿宋"/>
          <w:b/>
          <w:sz w:val="28"/>
          <w:szCs w:val="28"/>
        </w:rPr>
        <w:t>测试系统设计</w:t>
      </w:r>
    </w:p>
    <w:p>
      <w:pPr>
        <w:keepNext w:val="0"/>
        <w:keepLines w:val="0"/>
        <w:pageBreakBefore w:val="0"/>
        <w:widowControl/>
        <w:tabs>
          <w:tab w:val="left" w:pos="2852"/>
        </w:tabs>
        <w:kinsoku/>
        <w:wordWrap/>
        <w:overflowPunct/>
        <w:topLinePunct w:val="0"/>
        <w:autoSpaceDE/>
        <w:autoSpaceDN/>
        <w:bidi w:val="0"/>
        <w:adjustRightInd/>
        <w:snapToGrid/>
        <w:spacing w:line="500" w:lineRule="exact"/>
        <w:ind w:left="0" w:right="0" w:firstLine="560" w:firstLineChars="200"/>
        <w:jc w:val="left"/>
        <w:textAlignment w:val="auto"/>
        <w:rPr>
          <w:rFonts w:hint="eastAsia" w:ascii="华文仿宋" w:hAnsi="华文仿宋" w:eastAsia="华文仿宋" w:cs="华文仿宋"/>
          <w:b w:val="0"/>
          <w:bCs w:val="0"/>
          <w:kern w:val="2"/>
          <w:sz w:val="28"/>
          <w:szCs w:val="28"/>
          <w:lang w:val="en-US" w:eastAsia="zh-CN" w:bidi="ar-SA"/>
        </w:rPr>
      </w:pPr>
      <w:r>
        <w:rPr>
          <w:rFonts w:hint="eastAsia" w:ascii="华文仿宋" w:hAnsi="华文仿宋" w:eastAsia="华文仿宋" w:cs="华文仿宋"/>
          <w:b w:val="0"/>
          <w:bCs w:val="0"/>
          <w:kern w:val="2"/>
          <w:sz w:val="28"/>
          <w:szCs w:val="28"/>
          <w:lang w:val="en-US" w:eastAsia="zh-CN" w:bidi="ar-SA"/>
        </w:rPr>
        <w:t>外观及操作性测试主要由专业人员主观给出结论。音质指标测试结合 EASE 4.0 声学测试电脑分析理论结果与专业人员耳听主观感受为一体，使用与参考话筒对比的方式进行电脑分析与主观试听，综合后给出结论。这就要求系统调试时要全面综合，既有主观评价（邀请专家， 有经验的电声工作者，通过自身人耳主观聆听进行调试），又有客观调试手段。该系统调试仪器包括美国 PHONIC</w:t>
      </w:r>
      <w:r>
        <w:rPr>
          <w:rFonts w:hint="eastAsia" w:ascii="华文仿宋" w:hAnsi="华文仿宋" w:eastAsia="华文仿宋" w:cs="华文仿宋"/>
          <w:b w:val="0"/>
          <w:bCs w:val="0"/>
          <w:kern w:val="2"/>
          <w:sz w:val="28"/>
          <w:szCs w:val="28"/>
          <w:lang w:val="en-US" w:eastAsia="zh-CN" w:bidi="ar-SA"/>
        </w:rPr>
        <w:tab/>
      </w:r>
      <w:r>
        <w:rPr>
          <w:rFonts w:hint="eastAsia" w:ascii="华文仿宋" w:hAnsi="华文仿宋" w:eastAsia="华文仿宋" w:cs="华文仿宋"/>
          <w:b w:val="0"/>
          <w:bCs w:val="0"/>
          <w:kern w:val="2"/>
          <w:sz w:val="28"/>
          <w:szCs w:val="28"/>
          <w:lang w:val="en-US" w:eastAsia="zh-CN" w:bidi="ar-SA"/>
        </w:rPr>
        <w:t>PPA3 频谱分析仪，粉红噪声源。首先把各周边设备，调音台推杆都调到正常值-0dB。位置再把粉红噪声输入到调音台某一通道。把频谱分析仪放在观众席选上中下三排。平均取 6 个点，观察频谱显示，同时调整房间均衡器。</w:t>
      </w:r>
    </w:p>
    <w:p>
      <w:pPr>
        <w:keepNext w:val="0"/>
        <w:keepLines w:val="0"/>
        <w:pageBreakBefore w:val="0"/>
        <w:widowControl/>
        <w:kinsoku/>
        <w:wordWrap/>
        <w:overflowPunct/>
        <w:topLinePunct w:val="0"/>
        <w:autoSpaceDE/>
        <w:autoSpaceDN/>
        <w:bidi w:val="0"/>
        <w:adjustRightInd/>
        <w:snapToGrid/>
        <w:spacing w:line="500" w:lineRule="exact"/>
        <w:ind w:left="0" w:right="0" w:firstLine="561" w:firstLineChars="200"/>
        <w:jc w:val="left"/>
        <w:textAlignment w:val="auto"/>
        <w:rPr>
          <w:rFonts w:hint="eastAsia" w:ascii="华文仿宋" w:hAnsi="华文仿宋" w:eastAsia="华文仿宋" w:cs="华文仿宋"/>
          <w:b/>
          <w:sz w:val="28"/>
          <w:szCs w:val="28"/>
        </w:rPr>
      </w:pPr>
      <w:r>
        <w:rPr>
          <w:rFonts w:hint="eastAsia" w:ascii="华文仿宋" w:hAnsi="华文仿宋" w:eastAsia="华文仿宋" w:cs="华文仿宋"/>
          <w:b/>
          <w:sz w:val="28"/>
          <w:szCs w:val="28"/>
          <w:lang w:val="en-US" w:eastAsia="zh-CN"/>
        </w:rPr>
        <w:t>4、</w:t>
      </w:r>
      <w:r>
        <w:rPr>
          <w:rFonts w:hint="eastAsia" w:ascii="华文仿宋" w:hAnsi="华文仿宋" w:eastAsia="华文仿宋" w:cs="华文仿宋"/>
          <w:b/>
          <w:sz w:val="28"/>
          <w:szCs w:val="28"/>
        </w:rPr>
        <w:t>语言测试方法</w:t>
      </w:r>
    </w:p>
    <w:p>
      <w:pPr>
        <w:keepNext w:val="0"/>
        <w:keepLines w:val="0"/>
        <w:pageBreakBefore w:val="0"/>
        <w:widowControl/>
        <w:tabs>
          <w:tab w:val="left" w:pos="2852"/>
        </w:tabs>
        <w:kinsoku/>
        <w:wordWrap/>
        <w:overflowPunct/>
        <w:topLinePunct w:val="0"/>
        <w:autoSpaceDE/>
        <w:autoSpaceDN/>
        <w:bidi w:val="0"/>
        <w:adjustRightInd/>
        <w:snapToGrid/>
        <w:spacing w:line="500" w:lineRule="exact"/>
        <w:ind w:left="0" w:right="0" w:firstLine="560" w:firstLineChars="200"/>
        <w:jc w:val="left"/>
        <w:textAlignment w:val="auto"/>
        <w:rPr>
          <w:rFonts w:hint="eastAsia" w:ascii="华文仿宋" w:hAnsi="华文仿宋" w:eastAsia="华文仿宋" w:cs="华文仿宋"/>
          <w:b w:val="0"/>
          <w:bCs w:val="0"/>
          <w:kern w:val="2"/>
          <w:sz w:val="28"/>
          <w:szCs w:val="28"/>
          <w:lang w:val="en-US" w:eastAsia="zh-CN" w:bidi="ar-SA"/>
        </w:rPr>
      </w:pPr>
      <w:r>
        <w:rPr>
          <w:rFonts w:hint="eastAsia" w:ascii="华文仿宋" w:hAnsi="华文仿宋" w:eastAsia="华文仿宋" w:cs="华文仿宋"/>
          <w:b w:val="0"/>
          <w:bCs w:val="0"/>
          <w:kern w:val="2"/>
          <w:sz w:val="28"/>
          <w:szCs w:val="28"/>
          <w:lang w:val="en-US" w:eastAsia="zh-CN" w:bidi="ar-SA"/>
        </w:rPr>
        <w:t>多次用 2 只话筒在同一位置分别拾取男声和女生语音、演唱，录入电脑后，经软件分析得出物理对比结论。录音完成后回放进行主观试听，并结合录音时的直接监听，由多名   专业人员参与，得出综合主观评价结果。</w:t>
      </w:r>
    </w:p>
    <w:p>
      <w:pPr>
        <w:keepNext w:val="0"/>
        <w:keepLines w:val="0"/>
        <w:pageBreakBefore w:val="0"/>
        <w:widowControl/>
        <w:numPr>
          <w:ilvl w:val="0"/>
          <w:numId w:val="0"/>
        </w:numPr>
        <w:kinsoku/>
        <w:wordWrap/>
        <w:overflowPunct/>
        <w:topLinePunct w:val="0"/>
        <w:autoSpaceDE/>
        <w:autoSpaceDN/>
        <w:bidi w:val="0"/>
        <w:adjustRightInd/>
        <w:snapToGrid/>
        <w:spacing w:line="500" w:lineRule="exact"/>
        <w:ind w:leftChars="200" w:right="0" w:rightChars="0"/>
        <w:jc w:val="left"/>
        <w:textAlignment w:val="auto"/>
        <w:rPr>
          <w:rFonts w:hint="eastAsia" w:ascii="仿宋" w:hAnsi="仿宋" w:eastAsia="仿宋" w:cs="仿宋"/>
          <w:b/>
          <w:sz w:val="28"/>
          <w:szCs w:val="28"/>
        </w:rPr>
      </w:pPr>
      <w:r>
        <w:rPr>
          <w:rFonts w:hint="eastAsia" w:ascii="仿宋" w:hAnsi="仿宋" w:eastAsia="仿宋" w:cs="仿宋"/>
          <w:b/>
          <w:sz w:val="28"/>
          <w:szCs w:val="28"/>
          <w:lang w:val="en-US" w:eastAsia="zh-CN"/>
        </w:rPr>
        <w:t>5、</w:t>
      </w:r>
      <w:r>
        <w:rPr>
          <w:rFonts w:hint="eastAsia" w:ascii="仿宋" w:hAnsi="仿宋" w:eastAsia="仿宋" w:cs="仿宋"/>
          <w:b/>
          <w:sz w:val="28"/>
          <w:szCs w:val="28"/>
        </w:rPr>
        <w:t>声音质量指标测试</w:t>
      </w:r>
    </w:p>
    <w:p>
      <w:pPr>
        <w:keepNext w:val="0"/>
        <w:keepLines w:val="0"/>
        <w:pageBreakBefore w:val="0"/>
        <w:widowControl/>
        <w:numPr>
          <w:ilvl w:val="0"/>
          <w:numId w:val="0"/>
        </w:numPr>
        <w:kinsoku/>
        <w:wordWrap/>
        <w:overflowPunct/>
        <w:topLinePunct w:val="0"/>
        <w:autoSpaceDE/>
        <w:autoSpaceDN/>
        <w:bidi w:val="0"/>
        <w:adjustRightInd/>
        <w:snapToGrid/>
        <w:spacing w:line="500" w:lineRule="exact"/>
        <w:ind w:leftChars="200" w:right="0" w:rightChars="0"/>
        <w:jc w:val="left"/>
        <w:textAlignment w:val="auto"/>
        <w:rPr>
          <w:rFonts w:hint="eastAsia" w:ascii="华文仿宋" w:hAnsi="华文仿宋" w:eastAsia="华文仿宋" w:cs="华文仿宋"/>
          <w:b w:val="0"/>
          <w:bCs w:val="0"/>
          <w:kern w:val="2"/>
          <w:sz w:val="28"/>
          <w:szCs w:val="28"/>
          <w:lang w:val="en-US" w:eastAsia="zh-CN" w:bidi="ar-SA"/>
        </w:rPr>
      </w:pPr>
      <w:r>
        <w:rPr>
          <w:rFonts w:hint="eastAsia" w:ascii="华文仿宋" w:hAnsi="华文仿宋" w:cs="华文仿宋"/>
          <w:b w:val="0"/>
          <w:bCs w:val="0"/>
          <w:kern w:val="2"/>
          <w:sz w:val="28"/>
          <w:szCs w:val="28"/>
          <w:lang w:val="en-US" w:eastAsia="zh-CN" w:bidi="ar-SA"/>
        </w:rPr>
        <w:t>（1）</w:t>
      </w:r>
      <w:r>
        <w:rPr>
          <w:rFonts w:hint="eastAsia" w:ascii="华文仿宋" w:hAnsi="华文仿宋" w:eastAsia="华文仿宋" w:cs="华文仿宋"/>
          <w:b w:val="0"/>
          <w:bCs w:val="0"/>
          <w:kern w:val="2"/>
          <w:sz w:val="28"/>
          <w:szCs w:val="28"/>
          <w:lang w:val="en-US" w:eastAsia="zh-CN" w:bidi="ar-SA"/>
        </w:rPr>
        <w:t>男女声语音</w:t>
      </w:r>
    </w:p>
    <w:p>
      <w:pPr>
        <w:keepNext w:val="0"/>
        <w:keepLines w:val="0"/>
        <w:pageBreakBefore w:val="0"/>
        <w:widowControl/>
        <w:tabs>
          <w:tab w:val="left" w:pos="2852"/>
        </w:tabs>
        <w:kinsoku/>
        <w:wordWrap/>
        <w:overflowPunct/>
        <w:topLinePunct w:val="0"/>
        <w:autoSpaceDE/>
        <w:autoSpaceDN/>
        <w:bidi w:val="0"/>
        <w:adjustRightInd/>
        <w:snapToGrid/>
        <w:spacing w:line="500" w:lineRule="exact"/>
        <w:ind w:left="0" w:right="0" w:firstLine="560" w:firstLineChars="200"/>
        <w:jc w:val="left"/>
        <w:textAlignment w:val="auto"/>
        <w:rPr>
          <w:rFonts w:hint="eastAsia" w:ascii="华文仿宋" w:hAnsi="华文仿宋" w:eastAsia="华文仿宋" w:cs="华文仿宋"/>
          <w:b w:val="0"/>
          <w:bCs w:val="0"/>
          <w:kern w:val="2"/>
          <w:sz w:val="28"/>
          <w:szCs w:val="28"/>
          <w:lang w:val="en-US" w:eastAsia="zh-CN" w:bidi="ar-SA"/>
        </w:rPr>
      </w:pPr>
      <w:r>
        <w:rPr>
          <w:rFonts w:hint="eastAsia" w:ascii="华文仿宋" w:hAnsi="华文仿宋" w:cs="华文仿宋"/>
          <w:b w:val="0"/>
          <w:bCs w:val="0"/>
          <w:kern w:val="2"/>
          <w:sz w:val="28"/>
          <w:szCs w:val="28"/>
          <w:lang w:val="en-US" w:eastAsia="zh-CN" w:bidi="ar-SA"/>
        </w:rPr>
        <w:t>（2）</w:t>
      </w:r>
      <w:r>
        <w:rPr>
          <w:rFonts w:hint="eastAsia" w:ascii="华文仿宋" w:hAnsi="华文仿宋" w:eastAsia="华文仿宋" w:cs="华文仿宋"/>
          <w:b w:val="0"/>
          <w:bCs w:val="0"/>
          <w:kern w:val="2"/>
          <w:sz w:val="28"/>
          <w:szCs w:val="28"/>
          <w:lang w:val="en-US" w:eastAsia="zh-CN" w:bidi="ar-SA"/>
        </w:rPr>
        <w:t>男女声歌唱</w:t>
      </w:r>
    </w:p>
    <w:p>
      <w:pPr>
        <w:keepNext w:val="0"/>
        <w:keepLines w:val="0"/>
        <w:pageBreakBefore w:val="0"/>
        <w:widowControl/>
        <w:tabs>
          <w:tab w:val="left" w:pos="2852"/>
        </w:tabs>
        <w:kinsoku/>
        <w:wordWrap/>
        <w:overflowPunct/>
        <w:topLinePunct w:val="0"/>
        <w:autoSpaceDE/>
        <w:autoSpaceDN/>
        <w:bidi w:val="0"/>
        <w:adjustRightInd/>
        <w:snapToGrid/>
        <w:spacing w:line="500" w:lineRule="exact"/>
        <w:ind w:left="0" w:right="0" w:firstLine="560" w:firstLineChars="200"/>
        <w:jc w:val="left"/>
        <w:textAlignment w:val="auto"/>
        <w:rPr>
          <w:rFonts w:hint="eastAsia" w:ascii="华文仿宋" w:hAnsi="华文仿宋" w:eastAsia="华文仿宋" w:cs="华文仿宋"/>
          <w:b w:val="0"/>
          <w:bCs w:val="0"/>
          <w:kern w:val="2"/>
          <w:sz w:val="28"/>
          <w:szCs w:val="28"/>
          <w:lang w:val="en-US" w:eastAsia="zh-CN" w:bidi="ar-SA"/>
        </w:rPr>
      </w:pPr>
      <w:r>
        <w:rPr>
          <w:rFonts w:hint="eastAsia" w:ascii="华文仿宋" w:hAnsi="华文仿宋" w:eastAsia="华文仿宋" w:cs="华文仿宋"/>
          <w:b w:val="0"/>
          <w:bCs w:val="0"/>
          <w:kern w:val="2"/>
          <w:sz w:val="28"/>
          <w:szCs w:val="28"/>
          <w:lang w:val="en-US" w:eastAsia="zh-CN" w:bidi="ar-SA"/>
        </w:rPr>
        <w:t>phionc PPA-3 对应频谱</w:t>
      </w:r>
    </w:p>
    <w:p>
      <w:pPr>
        <w:pStyle w:val="2"/>
        <w:keepNext w:val="0"/>
        <w:keepLines w:val="0"/>
        <w:pageBreakBefore w:val="0"/>
        <w:widowControl/>
        <w:kinsoku/>
        <w:wordWrap/>
        <w:overflowPunct/>
        <w:topLinePunct w:val="0"/>
        <w:autoSpaceDE/>
        <w:autoSpaceDN/>
        <w:bidi w:val="0"/>
        <w:adjustRightInd/>
        <w:snapToGrid/>
        <w:spacing w:line="500" w:lineRule="exact"/>
        <w:ind w:firstLine="560" w:firstLineChars="200"/>
        <w:textAlignment w:val="auto"/>
        <w:rPr>
          <w:rFonts w:hint="eastAsia" w:ascii="华文仿宋" w:hAnsi="华文仿宋" w:eastAsia="华文仿宋" w:cs="华文仿宋"/>
          <w:b w:val="0"/>
          <w:bCs w:val="0"/>
          <w:kern w:val="2"/>
          <w:sz w:val="28"/>
          <w:szCs w:val="28"/>
          <w:lang w:val="en-US" w:eastAsia="zh-CN" w:bidi="ar-SA"/>
        </w:rPr>
      </w:pPr>
      <w:r>
        <w:rPr>
          <w:rFonts w:hint="eastAsia" w:ascii="华文仿宋" w:hAnsi="华文仿宋" w:cs="华文仿宋"/>
          <w:b w:val="0"/>
          <w:bCs w:val="0"/>
          <w:kern w:val="2"/>
          <w:sz w:val="28"/>
          <w:szCs w:val="28"/>
          <w:lang w:val="en-US" w:eastAsia="zh-CN" w:bidi="ar-SA"/>
        </w:rPr>
        <w:t>1）</w:t>
      </w:r>
      <w:r>
        <w:rPr>
          <w:rFonts w:hint="eastAsia" w:ascii="华文仿宋" w:hAnsi="华文仿宋" w:eastAsia="华文仿宋" w:cs="华文仿宋"/>
          <w:b w:val="0"/>
          <w:bCs w:val="0"/>
          <w:kern w:val="2"/>
          <w:sz w:val="28"/>
          <w:szCs w:val="28"/>
          <w:lang w:val="en-US" w:eastAsia="zh-CN" w:bidi="ar-SA"/>
        </w:rPr>
        <w:t>观众席上有足够的响度</w:t>
      </w:r>
      <w:r>
        <w:rPr>
          <w:rFonts w:hint="eastAsia" w:ascii="华文仿宋" w:hAnsi="华文仿宋" w:cs="华文仿宋"/>
          <w:b w:val="0"/>
          <w:bCs w:val="0"/>
          <w:kern w:val="2"/>
          <w:sz w:val="28"/>
          <w:szCs w:val="28"/>
          <w:lang w:val="en-US" w:eastAsia="zh-CN" w:bidi="ar-SA"/>
        </w:rPr>
        <w:t>。</w:t>
      </w:r>
    </w:p>
    <w:p>
      <w:pPr>
        <w:pStyle w:val="53"/>
        <w:keepNext w:val="0"/>
        <w:keepLines w:val="0"/>
        <w:pageBreakBefore w:val="0"/>
        <w:widowControl/>
        <w:numPr>
          <w:ilvl w:val="0"/>
          <w:numId w:val="0"/>
        </w:numPr>
        <w:tabs>
          <w:tab w:val="left" w:pos="1421"/>
        </w:tabs>
        <w:kinsoku/>
        <w:wordWrap/>
        <w:overflowPunct/>
        <w:topLinePunct w:val="0"/>
        <w:autoSpaceDE/>
        <w:autoSpaceDN/>
        <w:bidi w:val="0"/>
        <w:adjustRightInd/>
        <w:snapToGrid/>
        <w:spacing w:after="0" w:line="500" w:lineRule="exact"/>
        <w:ind w:left="0" w:right="0" w:rightChars="0"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2）</w:t>
      </w:r>
      <w:r>
        <w:rPr>
          <w:rFonts w:hint="eastAsia" w:ascii="仿宋" w:hAnsi="仿宋" w:eastAsia="仿宋" w:cs="仿宋"/>
          <w:sz w:val="28"/>
          <w:szCs w:val="28"/>
        </w:rPr>
        <w:t>扬声器的布置应覆盖整个观众席，尽量使声场均匀，不能出现盲区。</w:t>
      </w:r>
    </w:p>
    <w:p>
      <w:pPr>
        <w:keepNext w:val="0"/>
        <w:keepLines w:val="0"/>
        <w:pageBreakBefore w:val="0"/>
        <w:widowControl/>
        <w:tabs>
          <w:tab w:val="left" w:pos="2852"/>
        </w:tabs>
        <w:kinsoku/>
        <w:wordWrap/>
        <w:overflowPunct/>
        <w:topLinePunct w:val="0"/>
        <w:autoSpaceDE/>
        <w:autoSpaceDN/>
        <w:bidi w:val="0"/>
        <w:adjustRightInd/>
        <w:snapToGrid/>
        <w:spacing w:line="500" w:lineRule="exact"/>
        <w:ind w:left="0" w:right="0" w:firstLine="560" w:firstLineChars="200"/>
        <w:jc w:val="left"/>
        <w:textAlignment w:val="auto"/>
        <w:rPr>
          <w:rFonts w:hint="eastAsia" w:ascii="华文仿宋" w:hAnsi="华文仿宋" w:eastAsia="华文仿宋" w:cs="华文仿宋"/>
          <w:b w:val="0"/>
          <w:bCs w:val="0"/>
          <w:kern w:val="2"/>
          <w:sz w:val="28"/>
          <w:szCs w:val="28"/>
          <w:lang w:val="en-US" w:eastAsia="zh-CN" w:bidi="ar-SA"/>
        </w:rPr>
      </w:pPr>
      <w:r>
        <w:rPr>
          <w:rFonts w:hint="eastAsia" w:ascii="华文仿宋" w:hAnsi="华文仿宋" w:cs="华文仿宋"/>
          <w:b w:val="0"/>
          <w:bCs w:val="0"/>
          <w:kern w:val="2"/>
          <w:sz w:val="28"/>
          <w:szCs w:val="28"/>
          <w:lang w:val="en-US" w:eastAsia="zh-CN" w:bidi="ar-SA"/>
        </w:rPr>
        <w:t>3）</w:t>
      </w:r>
      <w:r>
        <w:rPr>
          <w:rFonts w:hint="eastAsia" w:ascii="华文仿宋" w:hAnsi="华文仿宋" w:eastAsia="华文仿宋" w:cs="华文仿宋"/>
          <w:b w:val="0"/>
          <w:bCs w:val="0"/>
          <w:kern w:val="2"/>
          <w:sz w:val="28"/>
          <w:szCs w:val="28"/>
          <w:lang w:val="en-US" w:eastAsia="zh-CN" w:bidi="ar-SA"/>
        </w:rPr>
        <w:t>具有清晰的听闻条件，良好的方向感和节目的保真度。</w:t>
      </w:r>
    </w:p>
    <w:p>
      <w:pPr>
        <w:keepNext w:val="0"/>
        <w:keepLines w:val="0"/>
        <w:pageBreakBefore w:val="0"/>
        <w:widowControl/>
        <w:tabs>
          <w:tab w:val="left" w:pos="2852"/>
        </w:tabs>
        <w:kinsoku/>
        <w:wordWrap/>
        <w:overflowPunct/>
        <w:topLinePunct w:val="0"/>
        <w:autoSpaceDE/>
        <w:autoSpaceDN/>
        <w:bidi w:val="0"/>
        <w:adjustRightInd/>
        <w:snapToGrid/>
        <w:spacing w:line="500" w:lineRule="exact"/>
        <w:ind w:left="0" w:right="0" w:firstLine="560" w:firstLineChars="200"/>
        <w:jc w:val="left"/>
        <w:textAlignment w:val="auto"/>
        <w:rPr>
          <w:rFonts w:hint="eastAsia" w:ascii="华文仿宋" w:hAnsi="华文仿宋" w:eastAsia="华文仿宋" w:cs="华文仿宋"/>
          <w:b w:val="0"/>
          <w:bCs w:val="0"/>
          <w:kern w:val="2"/>
          <w:sz w:val="28"/>
          <w:szCs w:val="28"/>
          <w:lang w:val="en-US" w:eastAsia="zh-CN" w:bidi="ar-SA"/>
        </w:rPr>
      </w:pPr>
      <w:r>
        <w:rPr>
          <w:rFonts w:hint="eastAsia" w:ascii="华文仿宋" w:hAnsi="华文仿宋" w:cs="华文仿宋"/>
          <w:b w:val="0"/>
          <w:bCs w:val="0"/>
          <w:kern w:val="2"/>
          <w:sz w:val="28"/>
          <w:szCs w:val="28"/>
          <w:lang w:val="en-US" w:eastAsia="zh-CN" w:bidi="ar-SA"/>
        </w:rPr>
        <w:t>4）</w:t>
      </w:r>
      <w:r>
        <w:rPr>
          <w:rFonts w:hint="eastAsia" w:ascii="华文仿宋" w:hAnsi="华文仿宋" w:eastAsia="华文仿宋" w:cs="华文仿宋"/>
          <w:b w:val="0"/>
          <w:bCs w:val="0"/>
          <w:kern w:val="2"/>
          <w:sz w:val="28"/>
          <w:szCs w:val="28"/>
          <w:lang w:val="en-US" w:eastAsia="zh-CN" w:bidi="ar-SA"/>
        </w:rPr>
        <w:t>系统应有足够的稳定度和功率余量。</w:t>
      </w:r>
    </w:p>
    <w:p>
      <w:pPr>
        <w:keepNext w:val="0"/>
        <w:keepLines w:val="0"/>
        <w:pageBreakBefore w:val="0"/>
        <w:widowControl/>
        <w:tabs>
          <w:tab w:val="left" w:pos="2852"/>
        </w:tabs>
        <w:kinsoku/>
        <w:wordWrap/>
        <w:overflowPunct/>
        <w:topLinePunct w:val="0"/>
        <w:autoSpaceDE/>
        <w:autoSpaceDN/>
        <w:bidi w:val="0"/>
        <w:adjustRightInd/>
        <w:snapToGrid/>
        <w:spacing w:line="500" w:lineRule="exact"/>
        <w:ind w:left="0" w:right="0" w:firstLine="560" w:firstLineChars="200"/>
        <w:jc w:val="left"/>
        <w:textAlignment w:val="auto"/>
        <w:rPr>
          <w:rFonts w:hint="eastAsia" w:ascii="华文仿宋" w:hAnsi="华文仿宋" w:eastAsia="华文仿宋" w:cs="华文仿宋"/>
          <w:b w:val="0"/>
          <w:bCs w:val="0"/>
          <w:kern w:val="2"/>
          <w:sz w:val="28"/>
          <w:szCs w:val="28"/>
          <w:lang w:val="en-US" w:eastAsia="zh-CN" w:bidi="ar-SA"/>
        </w:rPr>
      </w:pPr>
      <w:r>
        <w:rPr>
          <w:rFonts w:hint="eastAsia" w:ascii="华文仿宋" w:hAnsi="华文仿宋" w:eastAsia="华文仿宋" w:cs="华文仿宋"/>
          <w:b w:val="0"/>
          <w:bCs w:val="0"/>
          <w:kern w:val="2"/>
          <w:sz w:val="28"/>
          <w:szCs w:val="28"/>
          <w:lang w:val="en-US" w:eastAsia="zh-CN" w:bidi="ar-SA"/>
        </w:rPr>
        <w:t>为了达到上述各项要求，参照原广播电影电视部部颁标准《厅堂扩声系统一级指标》规定的“语言和音乐兼用的扩声系统一级指标”</w:t>
      </w:r>
    </w:p>
    <w:p>
      <w:pPr>
        <w:bidi w:val="0"/>
        <w:jc w:val="center"/>
        <w:rPr>
          <w:rFonts w:hint="eastAsia"/>
          <w:b/>
          <w:bCs/>
        </w:rPr>
      </w:pPr>
      <w:bookmarkStart w:id="180" w:name="扩声系统运行指标数据"/>
      <w:bookmarkEnd w:id="180"/>
      <w:r>
        <w:rPr>
          <w:rFonts w:hint="eastAsia"/>
          <w:b/>
          <w:bCs/>
        </w:rPr>
        <w:t>扩声系统运行指标数据</w:t>
      </w:r>
    </w:p>
    <w:p>
      <w:pPr>
        <w:pStyle w:val="10"/>
        <w:pageBreakBefore w:val="0"/>
        <w:widowControl/>
        <w:kinsoku/>
        <w:wordWrap/>
        <w:overflowPunct/>
        <w:topLinePunct w:val="0"/>
        <w:autoSpaceDE/>
        <w:autoSpaceDN/>
        <w:bidi w:val="0"/>
        <w:adjustRightInd/>
        <w:snapToGrid/>
        <w:spacing w:line="500" w:lineRule="exact"/>
        <w:ind w:left="0" w:right="0"/>
        <w:textAlignment w:val="auto"/>
        <w:rPr>
          <w:rFonts w:hint="eastAsia" w:ascii="仿宋" w:hAnsi="仿宋" w:eastAsia="仿宋" w:cs="仿宋"/>
          <w:sz w:val="28"/>
          <w:szCs w:val="28"/>
        </w:rPr>
      </w:pPr>
      <w:r>
        <w:rPr>
          <w:rFonts w:hint="eastAsia" w:ascii="仿宋" w:hAnsi="仿宋" w:eastAsia="仿宋" w:cs="仿宋"/>
          <w:sz w:val="28"/>
          <w:szCs w:val="28"/>
        </w:rPr>
        <w:t>该大厅扩声系统按下列技术指标设计：</w:t>
      </w:r>
    </w:p>
    <w:tbl>
      <w:tblPr>
        <w:tblStyle w:val="23"/>
        <w:tblW w:w="0" w:type="auto"/>
        <w:tblInd w:w="70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52"/>
        <w:gridCol w:w="1277"/>
        <w:gridCol w:w="1908"/>
        <w:gridCol w:w="1397"/>
        <w:gridCol w:w="1788"/>
        <w:gridCol w:w="139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5" w:hRule="atLeast"/>
        </w:trPr>
        <w:tc>
          <w:tcPr>
            <w:tcW w:w="652" w:type="dxa"/>
            <w:vMerge w:val="restart"/>
            <w:noWrap w:val="0"/>
            <w:vAlign w:val="top"/>
          </w:tcPr>
          <w:p>
            <w:pPr>
              <w:pStyle w:val="51"/>
              <w:pageBreakBefore w:val="0"/>
              <w:widowControl/>
              <w:kinsoku/>
              <w:wordWrap/>
              <w:overflowPunct/>
              <w:topLinePunct w:val="0"/>
              <w:autoSpaceDE/>
              <w:autoSpaceDN/>
              <w:bidi w:val="0"/>
              <w:adjustRightInd/>
              <w:snapToGrid/>
              <w:spacing w:line="500" w:lineRule="exact"/>
              <w:ind w:left="0" w:right="0"/>
              <w:jc w:val="center"/>
              <w:textAlignment w:val="auto"/>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等级</w:t>
            </w:r>
          </w:p>
        </w:tc>
        <w:tc>
          <w:tcPr>
            <w:tcW w:w="7762" w:type="dxa"/>
            <w:gridSpan w:val="5"/>
            <w:noWrap w:val="0"/>
            <w:vAlign w:val="top"/>
          </w:tcPr>
          <w:p>
            <w:pPr>
              <w:pStyle w:val="51"/>
              <w:pageBreakBefore w:val="0"/>
              <w:widowControl/>
              <w:kinsoku/>
              <w:wordWrap/>
              <w:overflowPunct/>
              <w:topLinePunct w:val="0"/>
              <w:autoSpaceDE/>
              <w:autoSpaceDN/>
              <w:bidi w:val="0"/>
              <w:adjustRightInd/>
              <w:snapToGrid/>
              <w:spacing w:line="500" w:lineRule="exact"/>
              <w:ind w:left="0" w:right="0"/>
              <w:jc w:val="center"/>
              <w:textAlignment w:val="auto"/>
              <w:rPr>
                <w:rFonts w:hint="eastAsia" w:ascii="仿宋" w:hAnsi="仿宋" w:eastAsia="仿宋" w:cs="仿宋"/>
                <w:sz w:val="24"/>
                <w:szCs w:val="24"/>
              </w:rPr>
            </w:pPr>
            <w:r>
              <w:rPr>
                <w:rFonts w:hint="eastAsia" w:ascii="仿宋" w:hAnsi="仿宋" w:eastAsia="仿宋" w:cs="仿宋"/>
                <w:sz w:val="24"/>
                <w:szCs w:val="24"/>
              </w:rPr>
              <w:t>特性指标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5" w:hRule="atLeast"/>
        </w:trPr>
        <w:tc>
          <w:tcPr>
            <w:tcW w:w="652" w:type="dxa"/>
            <w:vMerge w:val="continue"/>
            <w:tcBorders>
              <w:top w:val="nil"/>
            </w:tcBorders>
            <w:noWrap w:val="0"/>
            <w:vAlign w:val="top"/>
          </w:tcPr>
          <w:p>
            <w:pPr>
              <w:pageBreakBefore w:val="0"/>
              <w:widowControl/>
              <w:kinsoku/>
              <w:wordWrap/>
              <w:overflowPunct/>
              <w:topLinePunct w:val="0"/>
              <w:autoSpaceDE/>
              <w:autoSpaceDN/>
              <w:bidi w:val="0"/>
              <w:adjustRightInd/>
              <w:snapToGrid/>
              <w:spacing w:line="500" w:lineRule="exact"/>
              <w:ind w:left="0" w:right="0"/>
              <w:jc w:val="center"/>
              <w:textAlignment w:val="auto"/>
              <w:rPr>
                <w:rFonts w:hint="eastAsia" w:ascii="仿宋" w:hAnsi="仿宋" w:eastAsia="仿宋" w:cs="仿宋"/>
                <w:sz w:val="24"/>
                <w:szCs w:val="24"/>
              </w:rPr>
            </w:pPr>
          </w:p>
        </w:tc>
        <w:tc>
          <w:tcPr>
            <w:tcW w:w="1277" w:type="dxa"/>
            <w:noWrap w:val="0"/>
            <w:vAlign w:val="top"/>
          </w:tcPr>
          <w:p>
            <w:pPr>
              <w:pStyle w:val="51"/>
              <w:pageBreakBefore w:val="0"/>
              <w:widowControl/>
              <w:kinsoku/>
              <w:wordWrap/>
              <w:overflowPunct/>
              <w:topLinePunct w:val="0"/>
              <w:autoSpaceDE/>
              <w:autoSpaceDN/>
              <w:bidi w:val="0"/>
              <w:adjustRightInd/>
              <w:snapToGrid/>
              <w:spacing w:line="500" w:lineRule="exact"/>
              <w:ind w:right="0"/>
              <w:jc w:val="center"/>
              <w:textAlignment w:val="auto"/>
              <w:rPr>
                <w:rFonts w:hint="eastAsia" w:ascii="仿宋" w:hAnsi="仿宋" w:eastAsia="仿宋" w:cs="仿宋"/>
                <w:sz w:val="24"/>
                <w:szCs w:val="24"/>
              </w:rPr>
            </w:pPr>
            <w:r>
              <w:rPr>
                <w:rFonts w:hint="eastAsia" w:ascii="仿宋" w:hAnsi="仿宋" w:eastAsia="仿宋" w:cs="仿宋"/>
                <w:szCs w:val="21"/>
              </w:rPr>
              <w:t>最大声压级</w:t>
            </w:r>
          </w:p>
        </w:tc>
        <w:tc>
          <w:tcPr>
            <w:tcW w:w="1908" w:type="dxa"/>
            <w:noWrap w:val="0"/>
            <w:vAlign w:val="top"/>
          </w:tcPr>
          <w:p>
            <w:pPr>
              <w:pStyle w:val="51"/>
              <w:pageBreakBefore w:val="0"/>
              <w:widowControl/>
              <w:kinsoku/>
              <w:wordWrap/>
              <w:overflowPunct/>
              <w:topLinePunct w:val="0"/>
              <w:autoSpaceDE/>
              <w:autoSpaceDN/>
              <w:bidi w:val="0"/>
              <w:adjustRightInd/>
              <w:snapToGrid/>
              <w:spacing w:line="500" w:lineRule="exact"/>
              <w:ind w:left="0" w:right="0"/>
              <w:jc w:val="center"/>
              <w:textAlignment w:val="auto"/>
              <w:rPr>
                <w:rFonts w:hint="eastAsia" w:ascii="仿宋" w:hAnsi="仿宋" w:eastAsia="仿宋" w:cs="仿宋"/>
                <w:sz w:val="24"/>
                <w:szCs w:val="24"/>
              </w:rPr>
            </w:pPr>
            <w:r>
              <w:rPr>
                <w:rFonts w:hint="eastAsia" w:ascii="仿宋" w:hAnsi="仿宋" w:eastAsia="仿宋" w:cs="仿宋"/>
                <w:sz w:val="24"/>
                <w:szCs w:val="24"/>
              </w:rPr>
              <w:t>传输频率特性</w:t>
            </w:r>
          </w:p>
        </w:tc>
        <w:tc>
          <w:tcPr>
            <w:tcW w:w="1397" w:type="dxa"/>
            <w:noWrap w:val="0"/>
            <w:vAlign w:val="top"/>
          </w:tcPr>
          <w:p>
            <w:pPr>
              <w:pStyle w:val="51"/>
              <w:pageBreakBefore w:val="0"/>
              <w:widowControl/>
              <w:kinsoku/>
              <w:wordWrap/>
              <w:overflowPunct/>
              <w:topLinePunct w:val="0"/>
              <w:autoSpaceDE/>
              <w:autoSpaceDN/>
              <w:bidi w:val="0"/>
              <w:adjustRightInd/>
              <w:snapToGrid/>
              <w:spacing w:line="500" w:lineRule="exact"/>
              <w:ind w:left="0" w:right="0"/>
              <w:jc w:val="center"/>
              <w:textAlignment w:val="auto"/>
              <w:rPr>
                <w:rFonts w:hint="eastAsia" w:ascii="仿宋" w:hAnsi="仿宋" w:eastAsia="仿宋" w:cs="仿宋"/>
                <w:sz w:val="24"/>
                <w:szCs w:val="24"/>
              </w:rPr>
            </w:pPr>
            <w:r>
              <w:rPr>
                <w:rFonts w:hint="eastAsia" w:ascii="仿宋" w:hAnsi="仿宋" w:eastAsia="仿宋" w:cs="仿宋"/>
                <w:sz w:val="24"/>
                <w:szCs w:val="24"/>
              </w:rPr>
              <w:t>传声增益</w:t>
            </w:r>
          </w:p>
        </w:tc>
        <w:tc>
          <w:tcPr>
            <w:tcW w:w="1788" w:type="dxa"/>
            <w:noWrap w:val="0"/>
            <w:vAlign w:val="top"/>
          </w:tcPr>
          <w:p>
            <w:pPr>
              <w:pStyle w:val="51"/>
              <w:pageBreakBefore w:val="0"/>
              <w:widowControl/>
              <w:kinsoku/>
              <w:wordWrap/>
              <w:overflowPunct/>
              <w:topLinePunct w:val="0"/>
              <w:autoSpaceDE/>
              <w:autoSpaceDN/>
              <w:bidi w:val="0"/>
              <w:adjustRightInd/>
              <w:snapToGrid/>
              <w:spacing w:line="500" w:lineRule="exact"/>
              <w:ind w:left="0" w:right="0"/>
              <w:jc w:val="center"/>
              <w:textAlignment w:val="auto"/>
              <w:rPr>
                <w:rFonts w:hint="eastAsia" w:ascii="仿宋" w:hAnsi="仿宋" w:eastAsia="仿宋" w:cs="仿宋"/>
                <w:sz w:val="24"/>
                <w:szCs w:val="24"/>
              </w:rPr>
            </w:pPr>
            <w:r>
              <w:rPr>
                <w:rFonts w:hint="eastAsia" w:ascii="仿宋" w:hAnsi="仿宋" w:eastAsia="仿宋" w:cs="仿宋"/>
                <w:sz w:val="24"/>
                <w:szCs w:val="24"/>
              </w:rPr>
              <w:t>声场不均匀度</w:t>
            </w:r>
          </w:p>
        </w:tc>
        <w:tc>
          <w:tcPr>
            <w:tcW w:w="1392" w:type="dxa"/>
            <w:noWrap w:val="0"/>
            <w:vAlign w:val="top"/>
          </w:tcPr>
          <w:p>
            <w:pPr>
              <w:pStyle w:val="51"/>
              <w:pageBreakBefore w:val="0"/>
              <w:widowControl/>
              <w:kinsoku/>
              <w:wordWrap/>
              <w:overflowPunct/>
              <w:topLinePunct w:val="0"/>
              <w:autoSpaceDE/>
              <w:autoSpaceDN/>
              <w:bidi w:val="0"/>
              <w:adjustRightInd/>
              <w:snapToGrid/>
              <w:spacing w:line="500" w:lineRule="exact"/>
              <w:ind w:left="0" w:right="0"/>
              <w:jc w:val="center"/>
              <w:textAlignment w:val="auto"/>
              <w:rPr>
                <w:rFonts w:hint="eastAsia" w:ascii="仿宋" w:hAnsi="仿宋" w:eastAsia="仿宋" w:cs="仿宋"/>
                <w:sz w:val="24"/>
                <w:szCs w:val="24"/>
              </w:rPr>
            </w:pPr>
            <w:r>
              <w:rPr>
                <w:rFonts w:hint="eastAsia" w:ascii="仿宋" w:hAnsi="仿宋" w:eastAsia="仿宋" w:cs="仿宋"/>
                <w:sz w:val="24"/>
                <w:szCs w:val="24"/>
              </w:rPr>
              <w:t>系统噪声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07" w:hRule="atLeast"/>
        </w:trPr>
        <w:tc>
          <w:tcPr>
            <w:tcW w:w="652" w:type="dxa"/>
            <w:noWrap w:val="0"/>
            <w:vAlign w:val="top"/>
          </w:tcPr>
          <w:p>
            <w:pPr>
              <w:pStyle w:val="51"/>
              <w:pageBreakBefore w:val="0"/>
              <w:widowControl/>
              <w:kinsoku/>
              <w:wordWrap/>
              <w:overflowPunct/>
              <w:topLinePunct w:val="0"/>
              <w:autoSpaceDE/>
              <w:autoSpaceDN/>
              <w:bidi w:val="0"/>
              <w:adjustRightInd/>
              <w:snapToGrid/>
              <w:spacing w:line="500" w:lineRule="exact"/>
              <w:ind w:left="0" w:right="0"/>
              <w:jc w:val="center"/>
              <w:textAlignment w:val="auto"/>
              <w:rPr>
                <w:rFonts w:hint="eastAsia" w:ascii="仿宋" w:hAnsi="仿宋" w:eastAsia="仿宋" w:cs="仿宋"/>
                <w:sz w:val="24"/>
                <w:szCs w:val="24"/>
              </w:rPr>
            </w:pPr>
          </w:p>
          <w:p>
            <w:pPr>
              <w:pStyle w:val="51"/>
              <w:pageBreakBefore w:val="0"/>
              <w:widowControl/>
              <w:kinsoku/>
              <w:wordWrap/>
              <w:overflowPunct/>
              <w:topLinePunct w:val="0"/>
              <w:autoSpaceDE/>
              <w:autoSpaceDN/>
              <w:bidi w:val="0"/>
              <w:adjustRightInd/>
              <w:snapToGrid/>
              <w:spacing w:line="500" w:lineRule="exact"/>
              <w:ind w:left="0" w:right="0"/>
              <w:jc w:val="center"/>
              <w:textAlignment w:val="auto"/>
              <w:rPr>
                <w:rFonts w:hint="eastAsia" w:ascii="仿宋" w:hAnsi="仿宋" w:eastAsia="仿宋" w:cs="仿宋"/>
                <w:sz w:val="24"/>
                <w:szCs w:val="24"/>
              </w:rPr>
            </w:pPr>
          </w:p>
          <w:p>
            <w:pPr>
              <w:pStyle w:val="51"/>
              <w:pageBreakBefore w:val="0"/>
              <w:widowControl/>
              <w:kinsoku/>
              <w:wordWrap/>
              <w:overflowPunct/>
              <w:topLinePunct w:val="0"/>
              <w:autoSpaceDE/>
              <w:autoSpaceDN/>
              <w:bidi w:val="0"/>
              <w:adjustRightInd/>
              <w:snapToGrid/>
              <w:spacing w:line="500" w:lineRule="exact"/>
              <w:ind w:left="0" w:right="0"/>
              <w:jc w:val="center"/>
              <w:textAlignment w:val="auto"/>
              <w:rPr>
                <w:rFonts w:hint="eastAsia" w:ascii="仿宋" w:hAnsi="仿宋" w:eastAsia="仿宋" w:cs="仿宋"/>
                <w:sz w:val="24"/>
                <w:szCs w:val="24"/>
              </w:rPr>
            </w:pPr>
          </w:p>
          <w:p>
            <w:pPr>
              <w:pStyle w:val="51"/>
              <w:pageBreakBefore w:val="0"/>
              <w:widowControl/>
              <w:kinsoku/>
              <w:wordWrap/>
              <w:overflowPunct/>
              <w:topLinePunct w:val="0"/>
              <w:autoSpaceDE/>
              <w:autoSpaceDN/>
              <w:bidi w:val="0"/>
              <w:adjustRightInd/>
              <w:snapToGrid/>
              <w:spacing w:line="500" w:lineRule="exact"/>
              <w:ind w:left="0" w:right="0"/>
              <w:jc w:val="center"/>
              <w:textAlignment w:val="auto"/>
              <w:rPr>
                <w:rFonts w:hint="eastAsia" w:ascii="仿宋" w:hAnsi="仿宋" w:eastAsia="仿宋" w:cs="仿宋"/>
                <w:sz w:val="24"/>
                <w:szCs w:val="24"/>
              </w:rPr>
            </w:pPr>
            <w:r>
              <w:rPr>
                <w:rFonts w:hint="eastAsia" w:ascii="仿宋" w:hAnsi="仿宋" w:eastAsia="仿宋" w:cs="仿宋"/>
                <w:sz w:val="24"/>
                <w:szCs w:val="24"/>
              </w:rPr>
              <w:t>一级</w:t>
            </w:r>
          </w:p>
        </w:tc>
        <w:tc>
          <w:tcPr>
            <w:tcW w:w="1277" w:type="dxa"/>
            <w:noWrap w:val="0"/>
            <w:vAlign w:val="top"/>
          </w:tcPr>
          <w:p>
            <w:pPr>
              <w:pStyle w:val="51"/>
              <w:pageBreakBefore w:val="0"/>
              <w:widowControl/>
              <w:kinsoku/>
              <w:wordWrap/>
              <w:overflowPunct/>
              <w:topLinePunct w:val="0"/>
              <w:autoSpaceDE/>
              <w:autoSpaceDN/>
              <w:bidi w:val="0"/>
              <w:adjustRightInd/>
              <w:snapToGrid/>
              <w:spacing w:line="500" w:lineRule="exact"/>
              <w:ind w:left="0" w:right="0"/>
              <w:textAlignment w:val="auto"/>
              <w:rPr>
                <w:rFonts w:hint="eastAsia" w:ascii="仿宋" w:hAnsi="仿宋" w:eastAsia="仿宋" w:cs="仿宋"/>
                <w:sz w:val="24"/>
                <w:szCs w:val="24"/>
              </w:rPr>
            </w:pPr>
          </w:p>
          <w:p>
            <w:pPr>
              <w:pStyle w:val="51"/>
              <w:pageBreakBefore w:val="0"/>
              <w:widowControl/>
              <w:kinsoku/>
              <w:wordWrap/>
              <w:overflowPunct/>
              <w:topLinePunct w:val="0"/>
              <w:autoSpaceDE/>
              <w:autoSpaceDN/>
              <w:bidi w:val="0"/>
              <w:adjustRightInd/>
              <w:snapToGrid/>
              <w:spacing w:line="500" w:lineRule="exact"/>
              <w:ind w:left="0" w:right="0"/>
              <w:textAlignment w:val="auto"/>
              <w:rPr>
                <w:rFonts w:hint="eastAsia" w:ascii="仿宋" w:hAnsi="仿宋" w:eastAsia="仿宋" w:cs="仿宋"/>
                <w:sz w:val="24"/>
                <w:szCs w:val="24"/>
              </w:rPr>
            </w:pPr>
          </w:p>
          <w:p>
            <w:pPr>
              <w:pStyle w:val="51"/>
              <w:pageBreakBefore w:val="0"/>
              <w:widowControl/>
              <w:kinsoku/>
              <w:wordWrap/>
              <w:overflowPunct/>
              <w:topLinePunct w:val="0"/>
              <w:autoSpaceDE/>
              <w:autoSpaceDN/>
              <w:bidi w:val="0"/>
              <w:adjustRightInd/>
              <w:snapToGrid/>
              <w:spacing w:line="500" w:lineRule="exact"/>
              <w:ind w:left="0" w:right="0"/>
              <w:textAlignment w:val="auto"/>
              <w:rPr>
                <w:rFonts w:hint="eastAsia" w:ascii="仿宋" w:hAnsi="仿宋" w:eastAsia="仿宋" w:cs="仿宋"/>
                <w:sz w:val="24"/>
                <w:szCs w:val="24"/>
              </w:rPr>
            </w:pPr>
          </w:p>
          <w:p>
            <w:pPr>
              <w:pStyle w:val="51"/>
              <w:pageBreakBefore w:val="0"/>
              <w:widowControl/>
              <w:kinsoku/>
              <w:wordWrap/>
              <w:overflowPunct/>
              <w:topLinePunct w:val="0"/>
              <w:autoSpaceDE/>
              <w:autoSpaceDN/>
              <w:bidi w:val="0"/>
              <w:adjustRightInd/>
              <w:snapToGrid/>
              <w:spacing w:line="500" w:lineRule="exact"/>
              <w:ind w:left="0" w:right="0"/>
              <w:textAlignment w:val="auto"/>
              <w:rPr>
                <w:rFonts w:hint="eastAsia" w:ascii="仿宋" w:hAnsi="仿宋" w:eastAsia="仿宋" w:cs="仿宋"/>
                <w:sz w:val="24"/>
                <w:szCs w:val="24"/>
              </w:rPr>
            </w:pPr>
            <w:r>
              <w:rPr>
                <w:rFonts w:hint="eastAsia" w:ascii="仿宋" w:hAnsi="仿宋" w:eastAsia="仿宋" w:cs="仿宋"/>
                <w:sz w:val="24"/>
                <w:szCs w:val="24"/>
              </w:rPr>
              <w:t>105dB</w:t>
            </w:r>
          </w:p>
        </w:tc>
        <w:tc>
          <w:tcPr>
            <w:tcW w:w="1908" w:type="dxa"/>
            <w:noWrap w:val="0"/>
            <w:vAlign w:val="top"/>
          </w:tcPr>
          <w:p>
            <w:pPr>
              <w:pStyle w:val="51"/>
              <w:pageBreakBefore w:val="0"/>
              <w:widowControl/>
              <w:kinsoku/>
              <w:wordWrap/>
              <w:overflowPunct/>
              <w:topLinePunct w:val="0"/>
              <w:autoSpaceDE/>
              <w:autoSpaceDN/>
              <w:bidi w:val="0"/>
              <w:adjustRightInd/>
              <w:snapToGrid/>
              <w:spacing w:line="500" w:lineRule="exact"/>
              <w:ind w:left="0" w:right="0"/>
              <w:jc w:val="both"/>
              <w:textAlignment w:val="auto"/>
              <w:rPr>
                <w:rFonts w:hint="eastAsia" w:ascii="仿宋" w:hAnsi="仿宋" w:eastAsia="仿宋" w:cs="仿宋"/>
                <w:sz w:val="24"/>
                <w:szCs w:val="24"/>
              </w:rPr>
            </w:pPr>
            <w:r>
              <w:rPr>
                <w:rFonts w:hint="eastAsia" w:ascii="仿宋" w:hAnsi="仿宋" w:eastAsia="仿宋" w:cs="仿宋"/>
                <w:spacing w:val="6"/>
                <w:sz w:val="24"/>
                <w:szCs w:val="24"/>
              </w:rPr>
              <w:t xml:space="preserve">以 </w:t>
            </w:r>
            <w:r>
              <w:rPr>
                <w:rFonts w:hint="eastAsia" w:ascii="仿宋" w:hAnsi="仿宋" w:eastAsia="仿宋" w:cs="仿宋"/>
                <w:sz w:val="24"/>
                <w:szCs w:val="24"/>
              </w:rPr>
              <w:t>125-4000Hz,</w:t>
            </w:r>
          </w:p>
          <w:p>
            <w:pPr>
              <w:pStyle w:val="51"/>
              <w:pageBreakBefore w:val="0"/>
              <w:widowControl/>
              <w:kinsoku/>
              <w:wordWrap/>
              <w:overflowPunct/>
              <w:topLinePunct w:val="0"/>
              <w:autoSpaceDE/>
              <w:autoSpaceDN/>
              <w:bidi w:val="0"/>
              <w:adjustRightInd/>
              <w:snapToGrid/>
              <w:spacing w:line="500" w:lineRule="exact"/>
              <w:ind w:left="0" w:right="0"/>
              <w:jc w:val="both"/>
              <w:textAlignment w:val="auto"/>
              <w:rPr>
                <w:rFonts w:hint="eastAsia" w:ascii="仿宋" w:hAnsi="仿宋" w:eastAsia="仿宋" w:cs="仿宋"/>
                <w:sz w:val="24"/>
                <w:szCs w:val="24"/>
              </w:rPr>
            </w:pPr>
            <w:r>
              <w:rPr>
                <w:rFonts w:hint="eastAsia" w:ascii="仿宋" w:hAnsi="仿宋" w:eastAsia="仿宋" w:cs="仿宋"/>
                <w:spacing w:val="38"/>
                <w:sz w:val="24"/>
                <w:szCs w:val="24"/>
              </w:rPr>
              <w:t>平均声压级为</w:t>
            </w:r>
            <w:r>
              <w:rPr>
                <w:rFonts w:hint="eastAsia" w:ascii="仿宋" w:hAnsi="仿宋" w:eastAsia="仿宋" w:cs="仿宋"/>
                <w:sz w:val="24"/>
                <w:szCs w:val="24"/>
              </w:rPr>
              <w:t>OdB</w:t>
            </w:r>
            <w:r>
              <w:rPr>
                <w:rFonts w:hint="eastAsia" w:ascii="仿宋" w:hAnsi="仿宋" w:eastAsia="仿宋" w:cs="仿宋"/>
                <w:spacing w:val="-3"/>
                <w:sz w:val="24"/>
                <w:szCs w:val="24"/>
              </w:rPr>
              <w:t>.在此频带内</w:t>
            </w:r>
            <w:r>
              <w:rPr>
                <w:rFonts w:hint="eastAsia" w:ascii="仿宋" w:hAnsi="仿宋" w:eastAsia="仿宋" w:cs="仿宋"/>
                <w:spacing w:val="-14"/>
                <w:sz w:val="24"/>
                <w:szCs w:val="24"/>
              </w:rPr>
              <w:t xml:space="preserve">允许士 </w:t>
            </w:r>
            <w:r>
              <w:rPr>
                <w:rFonts w:hint="eastAsia" w:ascii="仿宋" w:hAnsi="仿宋" w:eastAsia="仿宋" w:cs="仿宋"/>
                <w:sz w:val="24"/>
                <w:szCs w:val="24"/>
              </w:rPr>
              <w:t>4dB</w:t>
            </w:r>
            <w:r>
              <w:rPr>
                <w:rFonts w:hint="eastAsia" w:ascii="仿宋" w:hAnsi="仿宋" w:eastAsia="仿宋" w:cs="仿宋"/>
                <w:spacing w:val="-24"/>
                <w:sz w:val="24"/>
                <w:szCs w:val="24"/>
              </w:rPr>
              <w:t xml:space="preserve"> 的变</w:t>
            </w:r>
            <w:r>
              <w:rPr>
                <w:rFonts w:hint="eastAsia" w:ascii="仿宋" w:hAnsi="仿宋" w:eastAsia="仿宋" w:cs="仿宋"/>
                <w:spacing w:val="48"/>
                <w:sz w:val="24"/>
                <w:szCs w:val="24"/>
              </w:rPr>
              <w:t>化</w:t>
            </w:r>
            <w:r>
              <w:rPr>
                <w:rFonts w:hint="eastAsia" w:ascii="仿宋" w:hAnsi="仿宋" w:eastAsia="仿宋" w:cs="仿宋"/>
                <w:sz w:val="24"/>
                <w:szCs w:val="24"/>
              </w:rPr>
              <w:t>(1/3</w:t>
            </w:r>
            <w:r>
              <w:rPr>
                <w:rFonts w:hint="eastAsia" w:ascii="仿宋" w:hAnsi="仿宋" w:eastAsia="仿宋" w:cs="仿宋"/>
                <w:spacing w:val="16"/>
                <w:sz w:val="24"/>
                <w:szCs w:val="24"/>
              </w:rPr>
              <w:t xml:space="preserve"> 倍频程</w:t>
            </w:r>
            <w:r>
              <w:rPr>
                <w:rFonts w:hint="eastAsia" w:ascii="仿宋" w:hAnsi="仿宋" w:eastAsia="仿宋" w:cs="仿宋"/>
                <w:sz w:val="24"/>
                <w:szCs w:val="24"/>
              </w:rPr>
              <w:t>侧 量 );63</w:t>
            </w:r>
            <w:r>
              <w:rPr>
                <w:rFonts w:hint="eastAsia" w:ascii="仿宋" w:hAnsi="仿宋" w:eastAsia="仿宋" w:cs="仿宋"/>
                <w:spacing w:val="-3"/>
                <w:sz w:val="24"/>
                <w:szCs w:val="24"/>
              </w:rPr>
              <w:t xml:space="preserve"> 一</w:t>
            </w:r>
            <w:r>
              <w:rPr>
                <w:rFonts w:hint="eastAsia" w:ascii="仿宋" w:hAnsi="仿宋" w:eastAsia="仿宋" w:cs="仿宋"/>
                <w:sz w:val="24"/>
                <w:szCs w:val="24"/>
              </w:rPr>
              <w:t>125Hz</w:t>
            </w:r>
            <w:r>
              <w:rPr>
                <w:rFonts w:hint="eastAsia" w:ascii="仿宋" w:hAnsi="仿宋" w:eastAsia="仿宋" w:cs="仿宋"/>
                <w:spacing w:val="-52"/>
                <w:sz w:val="24"/>
                <w:szCs w:val="24"/>
              </w:rPr>
              <w:t xml:space="preserve"> 和 </w:t>
            </w:r>
            <w:r>
              <w:rPr>
                <w:rFonts w:hint="eastAsia" w:ascii="仿宋" w:hAnsi="仿宋" w:eastAsia="仿宋" w:cs="仿宋"/>
                <w:sz w:val="24"/>
                <w:szCs w:val="24"/>
              </w:rPr>
              <w:t>4000</w:t>
            </w:r>
            <w:r>
              <w:rPr>
                <w:rFonts w:hint="eastAsia" w:ascii="仿宋" w:hAnsi="仿宋" w:eastAsia="仿宋" w:cs="仿宋"/>
                <w:spacing w:val="-46"/>
                <w:sz w:val="24"/>
                <w:szCs w:val="24"/>
              </w:rPr>
              <w:t xml:space="preserve"> 一</w:t>
            </w:r>
          </w:p>
          <w:p>
            <w:pPr>
              <w:pStyle w:val="51"/>
              <w:pageBreakBefore w:val="0"/>
              <w:widowControl/>
              <w:kinsoku/>
              <w:wordWrap/>
              <w:overflowPunct/>
              <w:topLinePunct w:val="0"/>
              <w:autoSpaceDE/>
              <w:autoSpaceDN/>
              <w:bidi w:val="0"/>
              <w:adjustRightInd/>
              <w:snapToGrid/>
              <w:spacing w:line="500" w:lineRule="exact"/>
              <w:ind w:left="0" w:right="0"/>
              <w:jc w:val="both"/>
              <w:textAlignment w:val="auto"/>
              <w:rPr>
                <w:rFonts w:hint="eastAsia" w:ascii="仿宋" w:hAnsi="仿宋" w:eastAsia="仿宋" w:cs="仿宋"/>
                <w:sz w:val="24"/>
                <w:szCs w:val="24"/>
              </w:rPr>
            </w:pPr>
            <w:r>
              <w:rPr>
                <w:rFonts w:hint="eastAsia" w:ascii="仿宋" w:hAnsi="仿宋" w:eastAsia="仿宋" w:cs="仿宋"/>
                <w:sz w:val="24"/>
                <w:szCs w:val="24"/>
              </w:rPr>
              <w:t>8000Hz</w:t>
            </w:r>
            <w:r>
              <w:rPr>
                <w:rFonts w:hint="eastAsia" w:ascii="仿宋" w:hAnsi="仿宋" w:eastAsia="仿宋" w:cs="仿宋"/>
                <w:spacing w:val="-22"/>
                <w:sz w:val="24"/>
                <w:szCs w:val="24"/>
              </w:rPr>
              <w:t xml:space="preserve"> 的 允 许</w:t>
            </w:r>
            <w:r>
              <w:rPr>
                <w:rFonts w:hint="eastAsia" w:ascii="仿宋" w:hAnsi="仿宋" w:eastAsia="仿宋" w:cs="仿宋"/>
                <w:sz w:val="24"/>
                <w:szCs w:val="24"/>
              </w:rPr>
              <w:t>变化范围</w:t>
            </w:r>
          </w:p>
        </w:tc>
        <w:tc>
          <w:tcPr>
            <w:tcW w:w="1397" w:type="dxa"/>
            <w:noWrap w:val="0"/>
            <w:vAlign w:val="top"/>
          </w:tcPr>
          <w:p>
            <w:pPr>
              <w:pStyle w:val="51"/>
              <w:pageBreakBefore w:val="0"/>
              <w:widowControl/>
              <w:tabs>
                <w:tab w:val="left" w:pos="1049"/>
              </w:tabs>
              <w:kinsoku/>
              <w:wordWrap/>
              <w:overflowPunct/>
              <w:topLinePunct w:val="0"/>
              <w:autoSpaceDE/>
              <w:autoSpaceDN/>
              <w:bidi w:val="0"/>
              <w:adjustRightInd/>
              <w:snapToGrid/>
              <w:spacing w:line="500" w:lineRule="exact"/>
              <w:ind w:left="0" w:right="0"/>
              <w:textAlignment w:val="auto"/>
              <w:rPr>
                <w:rFonts w:hint="eastAsia" w:ascii="仿宋" w:hAnsi="仿宋" w:eastAsia="仿宋" w:cs="仿宋"/>
                <w:sz w:val="24"/>
                <w:szCs w:val="24"/>
              </w:rPr>
            </w:pPr>
            <w:r>
              <w:rPr>
                <w:rFonts w:hint="eastAsia" w:ascii="仿宋" w:hAnsi="仿宋" w:eastAsia="仿宋" w:cs="仿宋"/>
                <w:sz w:val="24"/>
                <w:szCs w:val="24"/>
              </w:rPr>
              <w:t>125</w:t>
            </w:r>
            <w:r>
              <w:rPr>
                <w:rFonts w:hint="eastAsia" w:ascii="仿宋" w:hAnsi="仿宋" w:eastAsia="仿宋" w:cs="仿宋"/>
                <w:sz w:val="24"/>
                <w:szCs w:val="24"/>
              </w:rPr>
              <w:tab/>
            </w:r>
            <w:r>
              <w:rPr>
                <w:rFonts w:hint="eastAsia" w:ascii="仿宋" w:hAnsi="仿宋" w:eastAsia="仿宋" w:cs="仿宋"/>
                <w:spacing w:val="-17"/>
                <w:sz w:val="24"/>
                <w:szCs w:val="24"/>
              </w:rPr>
              <w:t>一</w:t>
            </w:r>
            <w:r>
              <w:rPr>
                <w:rFonts w:hint="eastAsia" w:ascii="仿宋" w:hAnsi="仿宋" w:eastAsia="仿宋" w:cs="仿宋"/>
                <w:sz w:val="24"/>
                <w:szCs w:val="24"/>
              </w:rPr>
              <w:t>4000Hz</w:t>
            </w:r>
          </w:p>
          <w:p>
            <w:pPr>
              <w:pStyle w:val="51"/>
              <w:pageBreakBefore w:val="0"/>
              <w:widowControl/>
              <w:kinsoku/>
              <w:wordWrap/>
              <w:overflowPunct/>
              <w:topLinePunct w:val="0"/>
              <w:autoSpaceDE/>
              <w:autoSpaceDN/>
              <w:bidi w:val="0"/>
              <w:adjustRightInd/>
              <w:snapToGrid/>
              <w:spacing w:line="500" w:lineRule="exact"/>
              <w:ind w:left="0" w:right="0"/>
              <w:textAlignment w:val="auto"/>
              <w:rPr>
                <w:rFonts w:hint="eastAsia" w:ascii="仿宋" w:hAnsi="仿宋" w:eastAsia="仿宋" w:cs="仿宋"/>
                <w:sz w:val="24"/>
                <w:szCs w:val="24"/>
              </w:rPr>
            </w:pPr>
            <w:r>
              <w:rPr>
                <w:rFonts w:hint="eastAsia" w:ascii="仿宋" w:hAnsi="仿宋" w:eastAsia="仿宋" w:cs="仿宋"/>
                <w:spacing w:val="-24"/>
                <w:sz w:val="24"/>
                <w:szCs w:val="24"/>
              </w:rPr>
              <w:t>平 均 不 小</w:t>
            </w:r>
            <w:r>
              <w:rPr>
                <w:rFonts w:hint="eastAsia" w:ascii="仿宋" w:hAnsi="仿宋" w:eastAsia="仿宋" w:cs="仿宋"/>
                <w:spacing w:val="-20"/>
                <w:sz w:val="24"/>
                <w:szCs w:val="24"/>
              </w:rPr>
              <w:t xml:space="preserve">于一 </w:t>
            </w:r>
            <w:r>
              <w:rPr>
                <w:rFonts w:hint="eastAsia" w:ascii="仿宋" w:hAnsi="仿宋" w:eastAsia="仿宋" w:cs="仿宋"/>
                <w:sz w:val="24"/>
                <w:szCs w:val="24"/>
              </w:rPr>
              <w:t>lOdB</w:t>
            </w:r>
          </w:p>
        </w:tc>
        <w:tc>
          <w:tcPr>
            <w:tcW w:w="1788" w:type="dxa"/>
            <w:noWrap w:val="0"/>
            <w:vAlign w:val="top"/>
          </w:tcPr>
          <w:p>
            <w:pPr>
              <w:pStyle w:val="51"/>
              <w:pageBreakBefore w:val="0"/>
              <w:widowControl/>
              <w:tabs>
                <w:tab w:val="left" w:pos="552"/>
                <w:tab w:val="left" w:pos="996"/>
                <w:tab w:val="left" w:pos="1440"/>
              </w:tabs>
              <w:kinsoku/>
              <w:wordWrap/>
              <w:overflowPunct/>
              <w:topLinePunct w:val="0"/>
              <w:autoSpaceDE/>
              <w:autoSpaceDN/>
              <w:bidi w:val="0"/>
              <w:adjustRightInd/>
              <w:snapToGrid/>
              <w:spacing w:line="500" w:lineRule="exact"/>
              <w:ind w:left="0" w:right="0"/>
              <w:textAlignment w:val="auto"/>
              <w:rPr>
                <w:rFonts w:hint="eastAsia" w:ascii="仿宋" w:hAnsi="仿宋" w:eastAsia="仿宋" w:cs="仿宋"/>
                <w:sz w:val="24"/>
                <w:szCs w:val="24"/>
              </w:rPr>
            </w:pPr>
            <w:r>
              <w:rPr>
                <w:rFonts w:hint="eastAsia" w:ascii="仿宋" w:hAnsi="仿宋" w:eastAsia="仿宋" w:cs="仿宋"/>
                <w:sz w:val="24"/>
                <w:szCs w:val="24"/>
              </w:rPr>
              <w:t>中</w:t>
            </w:r>
            <w:r>
              <w:rPr>
                <w:rFonts w:hint="eastAsia" w:ascii="仿宋" w:hAnsi="仿宋" w:eastAsia="仿宋" w:cs="仿宋"/>
                <w:sz w:val="24"/>
                <w:szCs w:val="24"/>
              </w:rPr>
              <w:tab/>
            </w:r>
            <w:r>
              <w:rPr>
                <w:rFonts w:hint="eastAsia" w:ascii="仿宋" w:hAnsi="仿宋" w:eastAsia="仿宋" w:cs="仿宋"/>
                <w:sz w:val="24"/>
                <w:szCs w:val="24"/>
              </w:rPr>
              <w:t>心</w:t>
            </w:r>
            <w:r>
              <w:rPr>
                <w:rFonts w:hint="eastAsia" w:ascii="仿宋" w:hAnsi="仿宋" w:eastAsia="仿宋" w:cs="仿宋"/>
                <w:sz w:val="24"/>
                <w:szCs w:val="24"/>
              </w:rPr>
              <w:tab/>
            </w:r>
            <w:r>
              <w:rPr>
                <w:rFonts w:hint="eastAsia" w:ascii="仿宋" w:hAnsi="仿宋" w:eastAsia="仿宋" w:cs="仿宋"/>
                <w:sz w:val="24"/>
                <w:szCs w:val="24"/>
              </w:rPr>
              <w:t>频</w:t>
            </w:r>
            <w:r>
              <w:rPr>
                <w:rFonts w:hint="eastAsia" w:ascii="仿宋" w:hAnsi="仿宋" w:eastAsia="仿宋" w:cs="仿宋"/>
                <w:sz w:val="24"/>
                <w:szCs w:val="24"/>
              </w:rPr>
              <w:tab/>
            </w:r>
            <w:r>
              <w:rPr>
                <w:rFonts w:hint="eastAsia" w:ascii="仿宋" w:hAnsi="仿宋" w:eastAsia="仿宋" w:cs="仿宋"/>
                <w:spacing w:val="-17"/>
                <w:sz w:val="24"/>
                <w:szCs w:val="24"/>
              </w:rPr>
              <w:t>率</w:t>
            </w:r>
            <w:r>
              <w:rPr>
                <w:rFonts w:hint="eastAsia" w:ascii="仿宋" w:hAnsi="仿宋" w:eastAsia="仿宋" w:cs="仿宋"/>
                <w:sz w:val="24"/>
                <w:szCs w:val="24"/>
              </w:rPr>
              <w:t>l000Hz, 4000H,(1/3</w:t>
            </w:r>
            <w:r>
              <w:rPr>
                <w:rFonts w:hint="eastAsia" w:ascii="仿宋" w:hAnsi="仿宋" w:eastAsia="仿宋" w:cs="仿宋"/>
                <w:spacing w:val="12"/>
                <w:sz w:val="24"/>
                <w:szCs w:val="24"/>
              </w:rPr>
              <w:t xml:space="preserve"> </w:t>
            </w:r>
            <w:r>
              <w:rPr>
                <w:rFonts w:hint="eastAsia" w:ascii="仿宋" w:hAnsi="仿宋" w:eastAsia="仿宋" w:cs="仿宋"/>
                <w:spacing w:val="-17"/>
                <w:sz w:val="24"/>
                <w:szCs w:val="24"/>
              </w:rPr>
              <w:t>倍</w:t>
            </w:r>
          </w:p>
          <w:p>
            <w:pPr>
              <w:pStyle w:val="51"/>
              <w:pageBreakBefore w:val="0"/>
              <w:widowControl/>
              <w:kinsoku/>
              <w:wordWrap/>
              <w:overflowPunct/>
              <w:topLinePunct w:val="0"/>
              <w:autoSpaceDE/>
              <w:autoSpaceDN/>
              <w:bidi w:val="0"/>
              <w:adjustRightInd/>
              <w:snapToGrid/>
              <w:spacing w:line="500" w:lineRule="exact"/>
              <w:ind w:left="0" w:right="0"/>
              <w:jc w:val="both"/>
              <w:textAlignment w:val="auto"/>
              <w:rPr>
                <w:rFonts w:hint="eastAsia" w:ascii="仿宋" w:hAnsi="仿宋" w:eastAsia="仿宋" w:cs="仿宋"/>
                <w:sz w:val="24"/>
                <w:szCs w:val="24"/>
              </w:rPr>
            </w:pPr>
            <w:r>
              <w:rPr>
                <w:rFonts w:hint="eastAsia" w:ascii="仿宋" w:hAnsi="仿宋" w:eastAsia="仿宋" w:cs="仿宋"/>
                <w:sz w:val="24"/>
                <w:szCs w:val="24"/>
              </w:rPr>
              <w:t>频程带宽) 时. 大部分区域不均匀度不大于8dB</w:t>
            </w:r>
          </w:p>
        </w:tc>
        <w:tc>
          <w:tcPr>
            <w:tcW w:w="1392" w:type="dxa"/>
            <w:noWrap w:val="0"/>
            <w:vAlign w:val="top"/>
          </w:tcPr>
          <w:p>
            <w:pPr>
              <w:pStyle w:val="51"/>
              <w:pageBreakBefore w:val="0"/>
              <w:widowControl/>
              <w:kinsoku/>
              <w:wordWrap/>
              <w:overflowPunct/>
              <w:topLinePunct w:val="0"/>
              <w:autoSpaceDE/>
              <w:autoSpaceDN/>
              <w:bidi w:val="0"/>
              <w:adjustRightInd/>
              <w:snapToGrid/>
              <w:spacing w:line="500" w:lineRule="exact"/>
              <w:ind w:left="0" w:right="0"/>
              <w:jc w:val="both"/>
              <w:textAlignment w:val="auto"/>
              <w:rPr>
                <w:rFonts w:hint="eastAsia" w:ascii="仿宋" w:hAnsi="仿宋" w:eastAsia="仿宋" w:cs="仿宋"/>
                <w:sz w:val="24"/>
                <w:szCs w:val="24"/>
              </w:rPr>
            </w:pPr>
            <w:r>
              <w:rPr>
                <w:rFonts w:hint="eastAsia" w:ascii="仿宋" w:hAnsi="仿宋" w:eastAsia="仿宋" w:cs="仿宋"/>
                <w:spacing w:val="-24"/>
                <w:sz w:val="24"/>
                <w:szCs w:val="24"/>
              </w:rPr>
              <w:t>扩 声 系 统不 产 生 明显 可 觉 察的 噪 声 干</w:t>
            </w:r>
            <w:r>
              <w:rPr>
                <w:rFonts w:hint="eastAsia" w:ascii="仿宋" w:hAnsi="仿宋" w:eastAsia="仿宋" w:cs="仿宋"/>
                <w:spacing w:val="-8"/>
                <w:sz w:val="24"/>
                <w:szCs w:val="24"/>
              </w:rPr>
              <w:t>扰( 如交流</w:t>
            </w:r>
            <w:r>
              <w:rPr>
                <w:rFonts w:hint="eastAsia" w:ascii="仿宋" w:hAnsi="仿宋" w:eastAsia="仿宋" w:cs="仿宋"/>
                <w:sz w:val="24"/>
                <w:szCs w:val="24"/>
              </w:rPr>
              <w:t>噪声等)</w:t>
            </w:r>
          </w:p>
        </w:tc>
      </w:tr>
    </w:tbl>
    <w:p>
      <w:pPr>
        <w:pStyle w:val="10"/>
        <w:keepNext w:val="0"/>
        <w:keepLines w:val="0"/>
        <w:pageBreakBefore w:val="0"/>
        <w:kinsoku/>
        <w:wordWrap/>
        <w:overflowPunct/>
        <w:topLinePunct w:val="0"/>
        <w:autoSpaceDE/>
        <w:autoSpaceDN/>
        <w:bidi w:val="0"/>
        <w:adjustRightInd/>
        <w:snapToGrid/>
        <w:spacing w:after="0" w:line="500" w:lineRule="exact"/>
        <w:ind w:firstLine="560" w:firstLineChars="200"/>
        <w:textAlignment w:val="auto"/>
        <w:rPr>
          <w:rFonts w:hint="eastAsia" w:ascii="仿宋" w:hAnsi="仿宋" w:eastAsia="仿宋" w:cs="仿宋"/>
          <w:sz w:val="28"/>
          <w:szCs w:val="28"/>
        </w:rPr>
      </w:pPr>
    </w:p>
    <w:p>
      <w:pPr>
        <w:pStyle w:val="10"/>
        <w:keepNext w:val="0"/>
        <w:keepLines w:val="0"/>
        <w:pageBreakBefore w:val="0"/>
        <w:kinsoku/>
        <w:wordWrap/>
        <w:overflowPunct/>
        <w:topLinePunct w:val="0"/>
        <w:autoSpaceDE/>
        <w:autoSpaceDN/>
        <w:bidi w:val="0"/>
        <w:adjustRightInd/>
        <w:snapToGrid/>
        <w:spacing w:after="0" w:line="500" w:lineRule="exact"/>
        <w:ind w:firstLine="560" w:firstLineChars="200"/>
        <w:textAlignment w:val="auto"/>
        <w:rPr>
          <w:rFonts w:hint="eastAsia" w:ascii="仿宋" w:hAnsi="仿宋" w:eastAsia="仿宋" w:cs="仿宋"/>
          <w:sz w:val="28"/>
          <w:szCs w:val="28"/>
        </w:rPr>
      </w:pPr>
    </w:p>
    <w:p>
      <w:pPr>
        <w:rPr>
          <w:rFonts w:hint="eastAsia" w:ascii="仿宋" w:hAnsi="仿宋" w:eastAsia="仿宋" w:cs="仿宋"/>
          <w:sz w:val="28"/>
          <w:szCs w:val="28"/>
        </w:rPr>
      </w:pPr>
    </w:p>
    <w:p>
      <w:pPr>
        <w:pStyle w:val="2"/>
        <w:rPr>
          <w:rFonts w:hint="eastAsia" w:ascii="仿宋" w:hAnsi="仿宋" w:eastAsia="仿宋" w:cs="仿宋"/>
          <w:sz w:val="28"/>
          <w:szCs w:val="28"/>
        </w:rPr>
      </w:pPr>
    </w:p>
    <w:p>
      <w:pPr>
        <w:pStyle w:val="2"/>
        <w:rPr>
          <w:rFonts w:hint="eastAsia" w:ascii="仿宋" w:hAnsi="仿宋" w:eastAsia="仿宋" w:cs="仿宋"/>
          <w:sz w:val="28"/>
          <w:szCs w:val="28"/>
        </w:rPr>
      </w:pPr>
    </w:p>
    <w:p>
      <w:pPr>
        <w:pStyle w:val="10"/>
        <w:keepNext w:val="0"/>
        <w:keepLines w:val="0"/>
        <w:pageBreakBefore w:val="0"/>
        <w:kinsoku/>
        <w:wordWrap/>
        <w:overflowPunct/>
        <w:topLinePunct w:val="0"/>
        <w:autoSpaceDE/>
        <w:autoSpaceDN/>
        <w:bidi w:val="0"/>
        <w:adjustRightInd/>
        <w:snapToGrid/>
        <w:spacing w:after="0" w:line="50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传输频率特性一级指标：</w:t>
      </w:r>
    </w:p>
    <w:p>
      <w:pPr>
        <w:pStyle w:val="10"/>
        <w:spacing w:before="11"/>
        <w:rPr>
          <w:rFonts w:hint="eastAsia" w:ascii="仿宋" w:hAnsi="仿宋" w:eastAsia="仿宋" w:cs="仿宋"/>
          <w:sz w:val="24"/>
          <w:szCs w:val="24"/>
        </w:rPr>
      </w:pPr>
      <w:r>
        <w:rPr>
          <w:rFonts w:hint="eastAsia" w:ascii="仿宋" w:hAnsi="仿宋" w:eastAsia="仿宋" w:cs="仿宋"/>
          <w:sz w:val="24"/>
          <w:szCs w:val="24"/>
        </w:rPr>
        <w:drawing>
          <wp:anchor distT="0" distB="0" distL="114300" distR="114300" simplePos="0" relativeHeight="251658240" behindDoc="1" locked="0" layoutInCell="1" allowOverlap="1">
            <wp:simplePos x="0" y="0"/>
            <wp:positionH relativeFrom="page">
              <wp:posOffset>1022350</wp:posOffset>
            </wp:positionH>
            <wp:positionV relativeFrom="paragraph">
              <wp:posOffset>162560</wp:posOffset>
            </wp:positionV>
            <wp:extent cx="5207635" cy="2383790"/>
            <wp:effectExtent l="0" t="0" r="12065" b="16510"/>
            <wp:wrapNone/>
            <wp:docPr id="5"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2.jpeg"/>
                    <pic:cNvPicPr>
                      <a:picLocks noChangeAspect="1"/>
                    </pic:cNvPicPr>
                  </pic:nvPicPr>
                  <pic:blipFill>
                    <a:blip r:embed="rId17"/>
                    <a:stretch>
                      <a:fillRect/>
                    </a:stretch>
                  </pic:blipFill>
                  <pic:spPr>
                    <a:xfrm>
                      <a:off x="0" y="0"/>
                      <a:ext cx="5207635" cy="2383790"/>
                    </a:xfrm>
                    <a:prstGeom prst="rect">
                      <a:avLst/>
                    </a:prstGeom>
                    <a:noFill/>
                    <a:ln>
                      <a:noFill/>
                    </a:ln>
                  </pic:spPr>
                </pic:pic>
              </a:graphicData>
            </a:graphic>
          </wp:anchor>
        </w:drawing>
      </w:r>
    </w:p>
    <w:p>
      <w:pPr>
        <w:rPr>
          <w:rFonts w:hint="eastAsia" w:ascii="仿宋" w:hAnsi="仿宋" w:eastAsia="仿宋" w:cs="仿宋"/>
          <w:sz w:val="24"/>
          <w:szCs w:val="24"/>
        </w:rPr>
      </w:pPr>
    </w:p>
    <w:p>
      <w:pPr>
        <w:pStyle w:val="2"/>
        <w:rPr>
          <w:rFonts w:hint="eastAsia" w:ascii="仿宋" w:hAnsi="仿宋" w:eastAsia="仿宋" w:cs="仿宋"/>
          <w:sz w:val="24"/>
          <w:szCs w:val="24"/>
        </w:rPr>
      </w:pPr>
    </w:p>
    <w:p>
      <w:pPr>
        <w:pStyle w:val="2"/>
        <w:rPr>
          <w:rFonts w:hint="eastAsia" w:ascii="仿宋" w:hAnsi="仿宋" w:eastAsia="仿宋" w:cs="仿宋"/>
          <w:sz w:val="24"/>
          <w:szCs w:val="24"/>
        </w:rPr>
      </w:pPr>
    </w:p>
    <w:p>
      <w:pPr>
        <w:pStyle w:val="2"/>
        <w:rPr>
          <w:rFonts w:hint="eastAsia" w:ascii="仿宋" w:hAnsi="仿宋" w:eastAsia="仿宋" w:cs="仿宋"/>
          <w:sz w:val="24"/>
          <w:szCs w:val="24"/>
        </w:rPr>
      </w:pPr>
    </w:p>
    <w:p>
      <w:pPr>
        <w:pStyle w:val="2"/>
        <w:rPr>
          <w:rFonts w:hint="eastAsia" w:ascii="仿宋" w:hAnsi="仿宋" w:eastAsia="仿宋" w:cs="仿宋"/>
          <w:sz w:val="24"/>
          <w:szCs w:val="24"/>
        </w:rPr>
      </w:pPr>
    </w:p>
    <w:p>
      <w:pPr>
        <w:pStyle w:val="2"/>
        <w:rPr>
          <w:rFonts w:hint="eastAsia" w:ascii="仿宋" w:hAnsi="仿宋" w:eastAsia="仿宋" w:cs="仿宋"/>
          <w:sz w:val="24"/>
          <w:szCs w:val="24"/>
        </w:rPr>
      </w:pPr>
    </w:p>
    <w:p>
      <w:pPr>
        <w:pStyle w:val="2"/>
        <w:rPr>
          <w:rFonts w:hint="eastAsia" w:ascii="仿宋" w:hAnsi="仿宋" w:eastAsia="仿宋" w:cs="仿宋"/>
          <w:sz w:val="24"/>
          <w:szCs w:val="24"/>
        </w:rPr>
      </w:pPr>
    </w:p>
    <w:p>
      <w:pPr>
        <w:pStyle w:val="2"/>
        <w:rPr>
          <w:rFonts w:hint="eastAsia" w:ascii="仿宋" w:hAnsi="仿宋" w:eastAsia="仿宋" w:cs="仿宋"/>
          <w:sz w:val="24"/>
          <w:szCs w:val="24"/>
        </w:rPr>
      </w:pPr>
    </w:p>
    <w:p>
      <w:pPr>
        <w:pStyle w:val="2"/>
        <w:ind w:left="0" w:leftChars="0" w:firstLine="0" w:firstLineChars="0"/>
        <w:rPr>
          <w:rFonts w:hint="eastAsia" w:ascii="仿宋" w:hAnsi="仿宋" w:eastAsia="仿宋" w:cs="仿宋"/>
          <w:sz w:val="24"/>
          <w:szCs w:val="24"/>
        </w:rPr>
      </w:pPr>
    </w:p>
    <w:p>
      <w:pPr>
        <w:keepNext w:val="0"/>
        <w:keepLines w:val="0"/>
        <w:pageBreakBefore w:val="0"/>
        <w:widowControl/>
        <w:numPr>
          <w:ilvl w:val="0"/>
          <w:numId w:val="9"/>
        </w:numPr>
        <w:kinsoku/>
        <w:wordWrap/>
        <w:overflowPunct/>
        <w:topLinePunct w:val="0"/>
        <w:autoSpaceDE/>
        <w:autoSpaceDN/>
        <w:bidi w:val="0"/>
        <w:adjustRightInd/>
        <w:snapToGrid/>
        <w:spacing w:line="500" w:lineRule="exact"/>
        <w:ind w:firstLine="561" w:firstLineChars="200"/>
        <w:textAlignment w:val="auto"/>
        <w:rPr>
          <w:rFonts w:hint="eastAsia"/>
          <w:b/>
          <w:bCs/>
        </w:rPr>
      </w:pPr>
      <w:r>
        <w:rPr>
          <w:rFonts w:hint="eastAsia"/>
          <w:b/>
          <w:bCs/>
        </w:rPr>
        <w:t>分项测量结果</w:t>
      </w:r>
    </w:p>
    <w:p>
      <w:pPr>
        <w:pStyle w:val="10"/>
        <w:keepNext w:val="0"/>
        <w:keepLines w:val="0"/>
        <w:pageBreakBefore w:val="0"/>
        <w:kinsoku/>
        <w:wordWrap/>
        <w:overflowPunct/>
        <w:topLinePunct w:val="0"/>
        <w:autoSpaceDE/>
        <w:autoSpaceDN/>
        <w:bidi w:val="0"/>
        <w:adjustRightInd/>
        <w:snapToGrid/>
        <w:spacing w:after="0" w:line="50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传输频率特性、最大声压级测量</w:t>
      </w:r>
    </w:p>
    <w:p>
      <w:pPr>
        <w:pStyle w:val="10"/>
        <w:keepNext w:val="0"/>
        <w:keepLines w:val="0"/>
        <w:pageBreakBefore w:val="0"/>
        <w:widowControl w:val="0"/>
        <w:kinsoku/>
        <w:wordWrap/>
        <w:overflowPunct/>
        <w:topLinePunct w:val="0"/>
        <w:autoSpaceDE/>
        <w:autoSpaceDN/>
        <w:bidi w:val="0"/>
        <w:adjustRightInd/>
        <w:snapToGrid/>
        <w:spacing w:before="5" w:after="0" w:line="500" w:lineRule="exact"/>
        <w:ind w:right="0" w:firstLine="532" w:firstLineChars="200"/>
        <w:textAlignment w:val="auto"/>
        <w:rPr>
          <w:rFonts w:hint="eastAsia"/>
        </w:rPr>
      </w:pPr>
      <w:r>
        <w:rPr>
          <w:rFonts w:hint="eastAsia" w:ascii="仿宋" w:hAnsi="仿宋" w:eastAsia="仿宋" w:cs="仿宋"/>
          <w:spacing w:val="-7"/>
          <w:sz w:val="28"/>
          <w:szCs w:val="28"/>
        </w:rPr>
        <w:t xml:space="preserve">在观众区选取的 </w:t>
      </w:r>
      <w:r>
        <w:rPr>
          <w:rFonts w:hint="eastAsia" w:ascii="仿宋" w:hAnsi="仿宋" w:eastAsia="仿宋" w:cs="仿宋"/>
          <w:sz w:val="28"/>
          <w:szCs w:val="28"/>
        </w:rPr>
        <w:t xml:space="preserve">28 </w:t>
      </w:r>
      <w:r>
        <w:rPr>
          <w:rFonts w:hint="eastAsia" w:ascii="仿宋" w:hAnsi="仿宋" w:eastAsia="仿宋" w:cs="仿宋"/>
          <w:spacing w:val="-5"/>
          <w:sz w:val="28"/>
          <w:szCs w:val="28"/>
        </w:rPr>
        <w:t xml:space="preserve">个测量点和舞台地选取的 </w:t>
      </w:r>
      <w:r>
        <w:rPr>
          <w:rFonts w:hint="eastAsia" w:ascii="仿宋" w:hAnsi="仿宋" w:eastAsia="仿宋" w:cs="仿宋"/>
          <w:sz w:val="28"/>
          <w:szCs w:val="28"/>
        </w:rPr>
        <w:t xml:space="preserve">5 </w:t>
      </w:r>
      <w:r>
        <w:rPr>
          <w:rFonts w:hint="eastAsia" w:ascii="仿宋" w:hAnsi="仿宋" w:eastAsia="仿宋" w:cs="仿宋"/>
          <w:spacing w:val="-2"/>
          <w:sz w:val="28"/>
          <w:szCs w:val="28"/>
        </w:rPr>
        <w:t>个测点处分别进行测量。对</w:t>
      </w:r>
      <w:r>
        <w:rPr>
          <w:rFonts w:hint="eastAsia" w:ascii="仿宋" w:hAnsi="仿宋" w:eastAsia="仿宋" w:cs="仿宋"/>
          <w:spacing w:val="-10"/>
          <w:sz w:val="28"/>
          <w:szCs w:val="28"/>
        </w:rPr>
        <w:t>于每个测量点，计算机自动测量并自动给出测量的结果，以直方图和表格的形式</w:t>
      </w:r>
      <w:r>
        <w:rPr>
          <w:rFonts w:hint="eastAsia" w:ascii="仿宋" w:hAnsi="仿宋" w:eastAsia="仿宋" w:cs="仿宋"/>
          <w:sz w:val="28"/>
          <w:szCs w:val="28"/>
        </w:rPr>
        <w:t>显示。</w:t>
      </w:r>
    </w:p>
    <w:p>
      <w:pPr>
        <w:pStyle w:val="10"/>
        <w:keepNext w:val="0"/>
        <w:keepLines w:val="0"/>
        <w:pageBreakBefore w:val="0"/>
        <w:widowControl w:val="0"/>
        <w:kinsoku/>
        <w:wordWrap/>
        <w:overflowPunct/>
        <w:topLinePunct w:val="0"/>
        <w:autoSpaceDE/>
        <w:autoSpaceDN/>
        <w:bidi w:val="0"/>
        <w:adjustRightInd/>
        <w:snapToGrid/>
        <w:spacing w:after="0" w:line="500" w:lineRule="exact"/>
        <w:ind w:right="0" w:firstLine="560" w:firstLineChars="200"/>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（1）</w:t>
      </w:r>
      <w:r>
        <w:rPr>
          <w:rFonts w:hint="eastAsia" w:ascii="仿宋" w:hAnsi="仿宋" w:eastAsia="仿宋" w:cs="仿宋"/>
          <w:sz w:val="28"/>
          <w:szCs w:val="28"/>
        </w:rPr>
        <w:t>观众区测量点的测量结果</w:t>
      </w:r>
    </w:p>
    <w:p>
      <w:pPr>
        <w:pStyle w:val="53"/>
        <w:keepNext w:val="0"/>
        <w:keepLines w:val="0"/>
        <w:pageBreakBefore w:val="0"/>
        <w:widowControl w:val="0"/>
        <w:numPr>
          <w:ilvl w:val="0"/>
          <w:numId w:val="0"/>
        </w:numPr>
        <w:tabs>
          <w:tab w:val="left" w:pos="1541"/>
        </w:tabs>
        <w:kinsoku/>
        <w:wordWrap/>
        <w:overflowPunct/>
        <w:topLinePunct w:val="0"/>
        <w:autoSpaceDE/>
        <w:autoSpaceDN/>
        <w:bidi w:val="0"/>
        <w:adjustRightInd/>
        <w:snapToGrid/>
        <w:spacing w:line="500" w:lineRule="exact"/>
        <w:ind w:right="0"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（2）</w:t>
      </w:r>
      <w:r>
        <w:rPr>
          <w:rFonts w:hint="eastAsia" w:ascii="仿宋" w:hAnsi="仿宋" w:eastAsia="仿宋" w:cs="仿宋"/>
          <w:sz w:val="28"/>
          <w:szCs w:val="28"/>
        </w:rPr>
        <w:t>舞台测点的测量平均结果。</w:t>
      </w:r>
    </w:p>
    <w:p>
      <w:pPr>
        <w:pStyle w:val="53"/>
        <w:keepNext w:val="0"/>
        <w:keepLines w:val="0"/>
        <w:pageBreakBefore w:val="0"/>
        <w:widowControl w:val="0"/>
        <w:numPr>
          <w:ilvl w:val="0"/>
          <w:numId w:val="0"/>
        </w:numPr>
        <w:tabs>
          <w:tab w:val="left" w:pos="1541"/>
        </w:tabs>
        <w:kinsoku/>
        <w:wordWrap/>
        <w:overflowPunct/>
        <w:topLinePunct w:val="0"/>
        <w:autoSpaceDE/>
        <w:autoSpaceDN/>
        <w:bidi w:val="0"/>
        <w:adjustRightInd/>
        <w:snapToGrid/>
        <w:spacing w:line="500" w:lineRule="exact"/>
        <w:ind w:right="0"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（3）</w:t>
      </w:r>
      <w:r>
        <w:rPr>
          <w:rFonts w:hint="eastAsia" w:ascii="仿宋" w:hAnsi="仿宋" w:eastAsia="仿宋" w:cs="仿宋"/>
          <w:sz w:val="28"/>
          <w:szCs w:val="28"/>
        </w:rPr>
        <w:t>传输频率特性的测量结果；</w:t>
      </w:r>
    </w:p>
    <w:p>
      <w:pPr>
        <w:pStyle w:val="53"/>
        <w:keepNext w:val="0"/>
        <w:keepLines w:val="0"/>
        <w:pageBreakBefore w:val="0"/>
        <w:widowControl w:val="0"/>
        <w:numPr>
          <w:ilvl w:val="0"/>
          <w:numId w:val="0"/>
        </w:numPr>
        <w:tabs>
          <w:tab w:val="left" w:pos="1480"/>
        </w:tabs>
        <w:kinsoku/>
        <w:wordWrap/>
        <w:overflowPunct/>
        <w:topLinePunct w:val="0"/>
        <w:autoSpaceDE/>
        <w:autoSpaceDN/>
        <w:bidi w:val="0"/>
        <w:adjustRightInd/>
        <w:snapToGrid/>
        <w:spacing w:line="500" w:lineRule="exact"/>
        <w:ind w:right="0"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（4）</w:t>
      </w:r>
      <w:r>
        <w:rPr>
          <w:rFonts w:hint="eastAsia" w:ascii="仿宋" w:hAnsi="仿宋" w:eastAsia="仿宋" w:cs="仿宋"/>
          <w:sz w:val="28"/>
          <w:szCs w:val="28"/>
        </w:rPr>
        <w:t>最大声压级测量结果。</w:t>
      </w:r>
    </w:p>
    <w:p>
      <w:pPr>
        <w:keepNext w:val="0"/>
        <w:keepLines w:val="0"/>
        <w:pageBreakBefore w:val="0"/>
        <w:widowControl/>
        <w:kinsoku/>
        <w:wordWrap/>
        <w:overflowPunct/>
        <w:topLinePunct w:val="0"/>
        <w:autoSpaceDE/>
        <w:autoSpaceDN/>
        <w:bidi w:val="0"/>
        <w:adjustRightInd/>
        <w:snapToGrid/>
        <w:spacing w:line="500" w:lineRule="exact"/>
        <w:ind w:firstLine="561" w:firstLineChars="200"/>
        <w:textAlignment w:val="auto"/>
        <w:rPr>
          <w:rFonts w:hint="eastAsia"/>
          <w:b/>
          <w:bCs/>
          <w:highlight w:val="none"/>
        </w:rPr>
      </w:pPr>
      <w:bookmarkStart w:id="181" w:name="2、舞台灯光验收标准"/>
      <w:bookmarkEnd w:id="181"/>
      <w:r>
        <w:rPr>
          <w:rFonts w:hint="eastAsia"/>
          <w:b/>
          <w:bCs/>
          <w:highlight w:val="none"/>
          <w:lang w:val="en-US" w:eastAsia="zh-CN"/>
        </w:rPr>
        <w:t>七、</w:t>
      </w:r>
      <w:r>
        <w:rPr>
          <w:rFonts w:hint="eastAsia"/>
          <w:b/>
          <w:bCs/>
          <w:highlight w:val="none"/>
        </w:rPr>
        <w:t>舞台灯光验收标准</w:t>
      </w:r>
    </w:p>
    <w:p>
      <w:pPr>
        <w:pStyle w:val="53"/>
        <w:keepNext w:val="0"/>
        <w:keepLines w:val="0"/>
        <w:pageBreakBefore w:val="0"/>
        <w:widowControl w:val="0"/>
        <w:numPr>
          <w:ilvl w:val="0"/>
          <w:numId w:val="0"/>
        </w:numPr>
        <w:tabs>
          <w:tab w:val="left" w:pos="760"/>
        </w:tabs>
        <w:kinsoku/>
        <w:wordWrap/>
        <w:overflowPunct/>
        <w:topLinePunct w:val="0"/>
        <w:autoSpaceDE/>
        <w:autoSpaceDN/>
        <w:bidi w:val="0"/>
        <w:adjustRightInd/>
        <w:snapToGrid/>
        <w:spacing w:line="500" w:lineRule="exact"/>
        <w:ind w:left="0" w:firstLine="600" w:firstLineChars="200"/>
        <w:jc w:val="left"/>
        <w:textAlignment w:val="auto"/>
        <w:rPr>
          <w:rFonts w:hint="eastAsia" w:ascii="仿宋" w:hAnsi="仿宋" w:eastAsia="仿宋" w:cs="仿宋"/>
          <w:sz w:val="28"/>
          <w:szCs w:val="28"/>
          <w:highlight w:val="none"/>
        </w:rPr>
      </w:pPr>
      <w:r>
        <w:rPr>
          <w:rFonts w:hint="eastAsia" w:ascii="仿宋" w:hAnsi="仿宋" w:eastAsia="仿宋" w:cs="仿宋"/>
          <w:spacing w:val="10"/>
          <w:sz w:val="28"/>
          <w:szCs w:val="28"/>
          <w:highlight w:val="none"/>
          <w:lang w:val="en-US" w:eastAsia="zh-CN"/>
        </w:rPr>
        <w:t>1</w:t>
      </w:r>
      <w:r>
        <w:rPr>
          <w:rFonts w:hint="eastAsia" w:ascii="仿宋" w:hAnsi="仿宋" w:eastAsia="仿宋" w:cs="仿宋"/>
          <w:spacing w:val="10"/>
          <w:sz w:val="28"/>
          <w:szCs w:val="28"/>
          <w:highlight w:val="none"/>
          <w:lang w:eastAsia="zh-CN"/>
        </w:rPr>
        <w:t>、</w:t>
      </w:r>
      <w:r>
        <w:rPr>
          <w:rFonts w:hint="eastAsia" w:ascii="仿宋" w:hAnsi="仿宋" w:eastAsia="仿宋" w:cs="仿宋"/>
          <w:spacing w:val="10"/>
          <w:sz w:val="28"/>
          <w:szCs w:val="28"/>
          <w:highlight w:val="none"/>
          <w:lang w:val="en-US" w:eastAsia="zh-CN"/>
        </w:rPr>
        <w:t>0</w:t>
      </w:r>
      <w:r>
        <w:rPr>
          <w:rFonts w:hint="eastAsia" w:ascii="仿宋" w:hAnsi="仿宋" w:eastAsia="仿宋" w:cs="仿宋"/>
          <w:spacing w:val="10"/>
          <w:sz w:val="28"/>
          <w:szCs w:val="28"/>
          <w:highlight w:val="none"/>
        </w:rPr>
        <w:t>WH0201-94</w:t>
      </w:r>
      <w:r>
        <w:rPr>
          <w:rFonts w:hint="eastAsia" w:ascii="仿宋" w:hAnsi="仿宋" w:eastAsia="仿宋" w:cs="仿宋"/>
          <w:spacing w:val="1"/>
          <w:sz w:val="28"/>
          <w:szCs w:val="28"/>
          <w:highlight w:val="none"/>
        </w:rPr>
        <w:t>〈〈歌舞厅照明及光污染限定标准〉〉</w:t>
      </w:r>
    </w:p>
    <w:p>
      <w:pPr>
        <w:pStyle w:val="53"/>
        <w:keepNext w:val="0"/>
        <w:keepLines w:val="0"/>
        <w:pageBreakBefore w:val="0"/>
        <w:widowControl w:val="0"/>
        <w:numPr>
          <w:ilvl w:val="0"/>
          <w:numId w:val="0"/>
        </w:numPr>
        <w:tabs>
          <w:tab w:val="left" w:pos="760"/>
        </w:tabs>
        <w:kinsoku/>
        <w:wordWrap/>
        <w:overflowPunct/>
        <w:topLinePunct w:val="0"/>
        <w:autoSpaceDE/>
        <w:autoSpaceDN/>
        <w:bidi w:val="0"/>
        <w:adjustRightInd/>
        <w:snapToGrid/>
        <w:spacing w:line="500" w:lineRule="exact"/>
        <w:ind w:left="0" w:firstLine="600" w:firstLineChars="200"/>
        <w:jc w:val="left"/>
        <w:textAlignment w:val="auto"/>
        <w:rPr>
          <w:rFonts w:hint="eastAsia" w:ascii="仿宋" w:hAnsi="仿宋" w:eastAsia="仿宋" w:cs="仿宋"/>
          <w:sz w:val="28"/>
          <w:szCs w:val="28"/>
          <w:highlight w:val="none"/>
        </w:rPr>
      </w:pPr>
      <w:r>
        <w:rPr>
          <w:rFonts w:hint="eastAsia" w:ascii="仿宋" w:hAnsi="仿宋" w:eastAsia="仿宋" w:cs="仿宋"/>
          <w:spacing w:val="10"/>
          <w:sz w:val="28"/>
          <w:szCs w:val="28"/>
          <w:highlight w:val="none"/>
          <w:lang w:val="en-US" w:eastAsia="zh-CN"/>
        </w:rPr>
        <w:t>2</w:t>
      </w:r>
      <w:r>
        <w:rPr>
          <w:rFonts w:hint="eastAsia" w:ascii="仿宋" w:hAnsi="仿宋" w:eastAsia="仿宋" w:cs="仿宋"/>
          <w:spacing w:val="10"/>
          <w:sz w:val="28"/>
          <w:szCs w:val="28"/>
          <w:highlight w:val="none"/>
          <w:lang w:eastAsia="zh-CN"/>
        </w:rPr>
        <w:t>、</w:t>
      </w:r>
      <w:r>
        <w:rPr>
          <w:rFonts w:hint="eastAsia" w:ascii="仿宋" w:hAnsi="仿宋" w:eastAsia="仿宋" w:cs="仿宋"/>
          <w:spacing w:val="10"/>
          <w:sz w:val="28"/>
          <w:szCs w:val="28"/>
          <w:highlight w:val="none"/>
        </w:rPr>
        <w:t>JGJ-T16-92</w:t>
      </w:r>
      <w:r>
        <w:rPr>
          <w:rFonts w:hint="eastAsia" w:ascii="仿宋" w:hAnsi="仿宋" w:eastAsia="仿宋" w:cs="仿宋"/>
          <w:sz w:val="28"/>
          <w:szCs w:val="28"/>
          <w:highlight w:val="none"/>
        </w:rPr>
        <w:t>〈〈民用建筑电气设计规范〉〉</w:t>
      </w:r>
    </w:p>
    <w:p>
      <w:pPr>
        <w:pStyle w:val="53"/>
        <w:keepNext w:val="0"/>
        <w:keepLines w:val="0"/>
        <w:pageBreakBefore w:val="0"/>
        <w:widowControl w:val="0"/>
        <w:numPr>
          <w:ilvl w:val="0"/>
          <w:numId w:val="0"/>
        </w:numPr>
        <w:tabs>
          <w:tab w:val="left" w:pos="760"/>
        </w:tabs>
        <w:kinsoku/>
        <w:wordWrap/>
        <w:overflowPunct/>
        <w:topLinePunct w:val="0"/>
        <w:autoSpaceDE/>
        <w:autoSpaceDN/>
        <w:bidi w:val="0"/>
        <w:adjustRightInd/>
        <w:snapToGrid/>
        <w:spacing w:line="500" w:lineRule="exact"/>
        <w:ind w:left="0" w:firstLine="600" w:firstLineChars="200"/>
        <w:jc w:val="left"/>
        <w:textAlignment w:val="auto"/>
        <w:rPr>
          <w:rFonts w:hint="eastAsia" w:ascii="仿宋" w:hAnsi="仿宋" w:eastAsia="仿宋" w:cs="仿宋"/>
          <w:sz w:val="28"/>
          <w:szCs w:val="28"/>
          <w:highlight w:val="none"/>
        </w:rPr>
      </w:pPr>
      <w:r>
        <w:rPr>
          <w:rFonts w:hint="eastAsia" w:ascii="仿宋" w:hAnsi="仿宋" w:eastAsia="仿宋" w:cs="仿宋"/>
          <w:spacing w:val="10"/>
          <w:sz w:val="28"/>
          <w:szCs w:val="28"/>
          <w:highlight w:val="none"/>
          <w:lang w:val="en-US" w:eastAsia="zh-CN"/>
        </w:rPr>
        <w:t>3</w:t>
      </w:r>
      <w:r>
        <w:rPr>
          <w:rFonts w:hint="eastAsia" w:ascii="仿宋" w:hAnsi="仿宋" w:eastAsia="仿宋" w:cs="仿宋"/>
          <w:spacing w:val="10"/>
          <w:sz w:val="28"/>
          <w:szCs w:val="28"/>
          <w:highlight w:val="none"/>
          <w:lang w:eastAsia="zh-CN"/>
        </w:rPr>
        <w:t>、</w:t>
      </w:r>
      <w:r>
        <w:rPr>
          <w:rFonts w:hint="eastAsia" w:ascii="仿宋" w:hAnsi="仿宋" w:eastAsia="仿宋" w:cs="仿宋"/>
          <w:spacing w:val="10"/>
          <w:sz w:val="28"/>
          <w:szCs w:val="28"/>
          <w:highlight w:val="none"/>
        </w:rPr>
        <w:t>GBJ232-82</w:t>
      </w:r>
      <w:r>
        <w:rPr>
          <w:rFonts w:hint="eastAsia" w:ascii="仿宋" w:hAnsi="仿宋" w:eastAsia="仿宋" w:cs="仿宋"/>
          <w:spacing w:val="18"/>
          <w:sz w:val="28"/>
          <w:szCs w:val="28"/>
          <w:highlight w:val="none"/>
        </w:rPr>
        <w:t>《电气装置安装工程施工及验收标准规范》</w:t>
      </w:r>
    </w:p>
    <w:p>
      <w:pPr>
        <w:pStyle w:val="53"/>
        <w:keepNext w:val="0"/>
        <w:keepLines w:val="0"/>
        <w:pageBreakBefore w:val="0"/>
        <w:widowControl w:val="0"/>
        <w:numPr>
          <w:ilvl w:val="0"/>
          <w:numId w:val="0"/>
        </w:numPr>
        <w:tabs>
          <w:tab w:val="left" w:pos="760"/>
        </w:tabs>
        <w:kinsoku/>
        <w:wordWrap/>
        <w:overflowPunct/>
        <w:topLinePunct w:val="0"/>
        <w:autoSpaceDE/>
        <w:autoSpaceDN/>
        <w:bidi w:val="0"/>
        <w:adjustRightInd/>
        <w:snapToGrid/>
        <w:spacing w:line="500" w:lineRule="exact"/>
        <w:ind w:left="0" w:firstLine="600" w:firstLineChars="200"/>
        <w:jc w:val="left"/>
        <w:textAlignment w:val="auto"/>
        <w:rPr>
          <w:rFonts w:hint="eastAsia" w:ascii="仿宋" w:hAnsi="仿宋" w:eastAsia="仿宋" w:cs="仿宋"/>
          <w:sz w:val="28"/>
          <w:szCs w:val="28"/>
          <w:highlight w:val="none"/>
        </w:rPr>
      </w:pPr>
      <w:r>
        <w:rPr>
          <w:rFonts w:hint="eastAsia" w:ascii="仿宋" w:hAnsi="仿宋" w:eastAsia="仿宋" w:cs="仿宋"/>
          <w:spacing w:val="10"/>
          <w:sz w:val="28"/>
          <w:szCs w:val="28"/>
          <w:highlight w:val="none"/>
          <w:lang w:val="en-US" w:eastAsia="zh-CN"/>
        </w:rPr>
        <w:t>4</w:t>
      </w:r>
      <w:r>
        <w:rPr>
          <w:rFonts w:hint="eastAsia" w:ascii="仿宋" w:hAnsi="仿宋" w:eastAsia="仿宋" w:cs="仿宋"/>
          <w:spacing w:val="10"/>
          <w:sz w:val="28"/>
          <w:szCs w:val="28"/>
          <w:highlight w:val="none"/>
          <w:lang w:eastAsia="zh-CN"/>
        </w:rPr>
        <w:t>、</w:t>
      </w:r>
      <w:r>
        <w:rPr>
          <w:rFonts w:hint="eastAsia" w:ascii="仿宋" w:hAnsi="仿宋" w:eastAsia="仿宋" w:cs="仿宋"/>
          <w:spacing w:val="10"/>
          <w:sz w:val="28"/>
          <w:szCs w:val="28"/>
          <w:highlight w:val="none"/>
        </w:rPr>
        <w:t>GBJ300-8</w:t>
      </w:r>
      <w:r>
        <w:rPr>
          <w:rFonts w:hint="eastAsia" w:ascii="仿宋" w:hAnsi="仿宋" w:eastAsia="仿宋" w:cs="仿宋"/>
          <w:spacing w:val="17"/>
          <w:sz w:val="28"/>
          <w:szCs w:val="28"/>
          <w:highlight w:val="none"/>
        </w:rPr>
        <w:t>《建筑安装工程质量检验评定统一标准》</w:t>
      </w:r>
    </w:p>
    <w:p>
      <w:pPr>
        <w:pStyle w:val="53"/>
        <w:keepNext w:val="0"/>
        <w:keepLines w:val="0"/>
        <w:pageBreakBefore w:val="0"/>
        <w:widowControl w:val="0"/>
        <w:numPr>
          <w:ilvl w:val="0"/>
          <w:numId w:val="0"/>
        </w:numPr>
        <w:tabs>
          <w:tab w:val="left" w:pos="760"/>
        </w:tabs>
        <w:kinsoku/>
        <w:wordWrap/>
        <w:overflowPunct/>
        <w:topLinePunct w:val="0"/>
        <w:autoSpaceDE/>
        <w:autoSpaceDN/>
        <w:bidi w:val="0"/>
        <w:adjustRightInd/>
        <w:snapToGrid/>
        <w:spacing w:line="500" w:lineRule="exact"/>
        <w:ind w:left="0" w:leftChars="0" w:firstLine="600" w:firstLineChars="200"/>
        <w:jc w:val="left"/>
        <w:textAlignment w:val="auto"/>
        <w:rPr>
          <w:rFonts w:hint="eastAsia" w:ascii="仿宋" w:hAnsi="仿宋" w:eastAsia="仿宋" w:cs="仿宋"/>
          <w:sz w:val="28"/>
          <w:szCs w:val="28"/>
          <w:highlight w:val="none"/>
        </w:rPr>
      </w:pPr>
      <w:r>
        <w:rPr>
          <w:rFonts w:hint="eastAsia" w:ascii="仿宋" w:hAnsi="仿宋" w:eastAsia="仿宋" w:cs="仿宋"/>
          <w:spacing w:val="10"/>
          <w:sz w:val="28"/>
          <w:szCs w:val="28"/>
          <w:highlight w:val="none"/>
          <w:lang w:val="en-US" w:eastAsia="zh-CN"/>
        </w:rPr>
        <w:t>5</w:t>
      </w:r>
      <w:r>
        <w:rPr>
          <w:rFonts w:hint="eastAsia" w:ascii="仿宋" w:hAnsi="仿宋" w:eastAsia="仿宋" w:cs="仿宋"/>
          <w:spacing w:val="10"/>
          <w:sz w:val="28"/>
          <w:szCs w:val="28"/>
          <w:highlight w:val="none"/>
          <w:lang w:eastAsia="zh-CN"/>
        </w:rPr>
        <w:t>、</w:t>
      </w:r>
      <w:r>
        <w:rPr>
          <w:rFonts w:hint="eastAsia" w:ascii="仿宋" w:hAnsi="仿宋" w:eastAsia="仿宋" w:cs="仿宋"/>
          <w:sz w:val="28"/>
          <w:szCs w:val="28"/>
          <w:highlight w:val="none"/>
        </w:rPr>
        <w:t>《建筑设计防火规范》GBJ16-87（2001</w:t>
      </w:r>
      <w:r>
        <w:rPr>
          <w:rFonts w:hint="eastAsia" w:ascii="仿宋" w:hAnsi="仿宋" w:eastAsia="仿宋" w:cs="仿宋"/>
          <w:spacing w:val="-15"/>
          <w:sz w:val="28"/>
          <w:szCs w:val="28"/>
          <w:highlight w:val="none"/>
        </w:rPr>
        <w:t xml:space="preserve"> 修改版</w:t>
      </w:r>
      <w:r>
        <w:rPr>
          <w:rFonts w:hint="eastAsia" w:ascii="仿宋" w:hAnsi="仿宋" w:eastAsia="仿宋" w:cs="仿宋"/>
          <w:sz w:val="28"/>
          <w:szCs w:val="28"/>
          <w:highlight w:val="none"/>
        </w:rPr>
        <w:t>）</w:t>
      </w:r>
    </w:p>
    <w:p>
      <w:pPr>
        <w:pStyle w:val="53"/>
        <w:keepNext w:val="0"/>
        <w:keepLines w:val="0"/>
        <w:pageBreakBefore w:val="0"/>
        <w:widowControl w:val="0"/>
        <w:numPr>
          <w:ilvl w:val="0"/>
          <w:numId w:val="0"/>
        </w:numPr>
        <w:tabs>
          <w:tab w:val="left" w:pos="760"/>
        </w:tabs>
        <w:kinsoku/>
        <w:wordWrap/>
        <w:overflowPunct/>
        <w:topLinePunct w:val="0"/>
        <w:autoSpaceDE/>
        <w:autoSpaceDN/>
        <w:bidi w:val="0"/>
        <w:adjustRightInd/>
        <w:snapToGrid/>
        <w:spacing w:line="500" w:lineRule="exact"/>
        <w:ind w:left="0" w:leftChars="0" w:firstLine="600" w:firstLineChars="200"/>
        <w:jc w:val="left"/>
        <w:textAlignment w:val="auto"/>
        <w:rPr>
          <w:rFonts w:hint="eastAsia" w:ascii="仿宋" w:hAnsi="仿宋" w:eastAsia="仿宋" w:cs="仿宋"/>
          <w:sz w:val="28"/>
          <w:szCs w:val="28"/>
          <w:highlight w:val="none"/>
        </w:rPr>
      </w:pPr>
      <w:r>
        <w:rPr>
          <w:rFonts w:hint="eastAsia" w:ascii="仿宋" w:hAnsi="仿宋" w:eastAsia="仿宋" w:cs="仿宋"/>
          <w:spacing w:val="10"/>
          <w:sz w:val="28"/>
          <w:szCs w:val="28"/>
          <w:highlight w:val="none"/>
          <w:lang w:val="en-US" w:eastAsia="zh-CN"/>
        </w:rPr>
        <w:t>6</w:t>
      </w:r>
      <w:r>
        <w:rPr>
          <w:rFonts w:hint="eastAsia" w:ascii="仿宋" w:hAnsi="仿宋" w:eastAsia="仿宋" w:cs="仿宋"/>
          <w:spacing w:val="10"/>
          <w:sz w:val="28"/>
          <w:szCs w:val="28"/>
          <w:highlight w:val="none"/>
          <w:lang w:eastAsia="zh-CN"/>
        </w:rPr>
        <w:t>、</w:t>
      </w:r>
      <w:r>
        <w:rPr>
          <w:rFonts w:hint="eastAsia" w:ascii="仿宋" w:hAnsi="仿宋" w:eastAsia="仿宋" w:cs="仿宋"/>
          <w:sz w:val="28"/>
          <w:szCs w:val="28"/>
          <w:highlight w:val="none"/>
        </w:rPr>
        <w:t>《剧场建筑设计规范》JGJ57-2000</w:t>
      </w:r>
    </w:p>
    <w:p>
      <w:pPr>
        <w:pStyle w:val="53"/>
        <w:keepNext w:val="0"/>
        <w:keepLines w:val="0"/>
        <w:pageBreakBefore w:val="0"/>
        <w:widowControl w:val="0"/>
        <w:numPr>
          <w:ilvl w:val="0"/>
          <w:numId w:val="0"/>
        </w:numPr>
        <w:tabs>
          <w:tab w:val="left" w:pos="760"/>
        </w:tabs>
        <w:kinsoku/>
        <w:wordWrap/>
        <w:overflowPunct/>
        <w:topLinePunct w:val="0"/>
        <w:autoSpaceDE/>
        <w:autoSpaceDN/>
        <w:bidi w:val="0"/>
        <w:adjustRightInd/>
        <w:snapToGrid/>
        <w:spacing w:line="500" w:lineRule="exact"/>
        <w:ind w:left="0" w:leftChars="0" w:firstLine="600" w:firstLineChars="200"/>
        <w:jc w:val="left"/>
        <w:textAlignment w:val="auto"/>
        <w:rPr>
          <w:rFonts w:hint="eastAsia" w:ascii="仿宋" w:hAnsi="仿宋" w:eastAsia="仿宋" w:cs="仿宋"/>
          <w:sz w:val="28"/>
          <w:szCs w:val="28"/>
          <w:highlight w:val="none"/>
        </w:rPr>
      </w:pPr>
      <w:r>
        <w:rPr>
          <w:rFonts w:hint="eastAsia" w:ascii="仿宋" w:hAnsi="仿宋" w:eastAsia="仿宋" w:cs="仿宋"/>
          <w:spacing w:val="10"/>
          <w:sz w:val="28"/>
          <w:szCs w:val="28"/>
          <w:highlight w:val="none"/>
          <w:lang w:val="en-US" w:eastAsia="zh-CN"/>
        </w:rPr>
        <w:t>7</w:t>
      </w:r>
      <w:r>
        <w:rPr>
          <w:rFonts w:hint="eastAsia" w:ascii="仿宋" w:hAnsi="仿宋" w:eastAsia="仿宋" w:cs="仿宋"/>
          <w:spacing w:val="10"/>
          <w:sz w:val="28"/>
          <w:szCs w:val="28"/>
          <w:highlight w:val="none"/>
          <w:lang w:eastAsia="zh-CN"/>
        </w:rPr>
        <w:t>、</w:t>
      </w:r>
      <w:r>
        <w:rPr>
          <w:rFonts w:hint="eastAsia" w:ascii="仿宋" w:hAnsi="仿宋" w:eastAsia="仿宋" w:cs="仿宋"/>
          <w:sz w:val="28"/>
          <w:szCs w:val="28"/>
          <w:highlight w:val="none"/>
        </w:rPr>
        <w:t>《供配电系统设计规范》GB50052-1995</w:t>
      </w:r>
    </w:p>
    <w:p>
      <w:pPr>
        <w:pStyle w:val="53"/>
        <w:keepNext w:val="0"/>
        <w:keepLines w:val="0"/>
        <w:pageBreakBefore w:val="0"/>
        <w:widowControl w:val="0"/>
        <w:numPr>
          <w:ilvl w:val="0"/>
          <w:numId w:val="0"/>
        </w:numPr>
        <w:tabs>
          <w:tab w:val="left" w:pos="760"/>
        </w:tabs>
        <w:kinsoku/>
        <w:wordWrap/>
        <w:overflowPunct/>
        <w:topLinePunct w:val="0"/>
        <w:autoSpaceDE/>
        <w:autoSpaceDN/>
        <w:bidi w:val="0"/>
        <w:adjustRightInd/>
        <w:snapToGrid/>
        <w:spacing w:line="500" w:lineRule="exact"/>
        <w:ind w:left="0" w:leftChars="0" w:firstLine="600" w:firstLineChars="200"/>
        <w:jc w:val="left"/>
        <w:textAlignment w:val="auto"/>
        <w:rPr>
          <w:rFonts w:hint="eastAsia" w:ascii="仿宋" w:hAnsi="仿宋" w:eastAsia="仿宋" w:cs="仿宋"/>
          <w:sz w:val="28"/>
          <w:szCs w:val="28"/>
          <w:highlight w:val="none"/>
        </w:rPr>
      </w:pPr>
      <w:r>
        <w:rPr>
          <w:rFonts w:hint="eastAsia" w:ascii="仿宋" w:hAnsi="仿宋" w:eastAsia="仿宋" w:cs="仿宋"/>
          <w:spacing w:val="10"/>
          <w:sz w:val="28"/>
          <w:szCs w:val="28"/>
          <w:highlight w:val="none"/>
          <w:lang w:val="en-US" w:eastAsia="zh-CN"/>
        </w:rPr>
        <w:t>8</w:t>
      </w:r>
      <w:r>
        <w:rPr>
          <w:rFonts w:hint="eastAsia" w:ascii="仿宋" w:hAnsi="仿宋" w:eastAsia="仿宋" w:cs="仿宋"/>
          <w:spacing w:val="10"/>
          <w:sz w:val="28"/>
          <w:szCs w:val="28"/>
          <w:highlight w:val="none"/>
          <w:lang w:eastAsia="zh-CN"/>
        </w:rPr>
        <w:t>、</w:t>
      </w:r>
      <w:r>
        <w:rPr>
          <w:rFonts w:hint="eastAsia" w:ascii="仿宋" w:hAnsi="仿宋" w:eastAsia="仿宋" w:cs="仿宋"/>
          <w:sz w:val="28"/>
          <w:szCs w:val="28"/>
          <w:highlight w:val="none"/>
        </w:rPr>
        <w:t>《电气装置安装工程接地装置施工及验收规范》GB50169-1992</w:t>
      </w:r>
    </w:p>
    <w:p>
      <w:pPr>
        <w:pStyle w:val="53"/>
        <w:keepNext w:val="0"/>
        <w:keepLines w:val="0"/>
        <w:pageBreakBefore w:val="0"/>
        <w:widowControl w:val="0"/>
        <w:numPr>
          <w:ilvl w:val="0"/>
          <w:numId w:val="0"/>
        </w:numPr>
        <w:tabs>
          <w:tab w:val="left" w:pos="760"/>
        </w:tabs>
        <w:kinsoku/>
        <w:wordWrap/>
        <w:overflowPunct/>
        <w:topLinePunct w:val="0"/>
        <w:autoSpaceDE/>
        <w:autoSpaceDN/>
        <w:bidi w:val="0"/>
        <w:adjustRightInd/>
        <w:snapToGrid/>
        <w:spacing w:line="500" w:lineRule="exact"/>
        <w:ind w:left="0" w:leftChars="0" w:firstLine="600" w:firstLineChars="200"/>
        <w:jc w:val="left"/>
        <w:textAlignment w:val="auto"/>
        <w:rPr>
          <w:rFonts w:hint="eastAsia" w:ascii="仿宋" w:hAnsi="仿宋" w:eastAsia="仿宋" w:cs="仿宋"/>
          <w:sz w:val="28"/>
          <w:szCs w:val="28"/>
          <w:highlight w:val="none"/>
        </w:rPr>
      </w:pPr>
      <w:r>
        <w:rPr>
          <w:rFonts w:hint="eastAsia" w:ascii="仿宋" w:hAnsi="仿宋" w:eastAsia="仿宋" w:cs="仿宋"/>
          <w:spacing w:val="10"/>
          <w:sz w:val="28"/>
          <w:szCs w:val="28"/>
          <w:highlight w:val="none"/>
          <w:lang w:val="en-US" w:eastAsia="zh-CN"/>
        </w:rPr>
        <w:t>9</w:t>
      </w:r>
      <w:r>
        <w:rPr>
          <w:rFonts w:hint="eastAsia" w:ascii="仿宋" w:hAnsi="仿宋" w:eastAsia="仿宋" w:cs="仿宋"/>
          <w:spacing w:val="10"/>
          <w:sz w:val="28"/>
          <w:szCs w:val="28"/>
          <w:highlight w:val="none"/>
          <w:lang w:eastAsia="zh-CN"/>
        </w:rPr>
        <w:t>、</w:t>
      </w:r>
      <w:r>
        <w:rPr>
          <w:rFonts w:hint="eastAsia" w:ascii="仿宋" w:hAnsi="仿宋" w:eastAsia="仿宋" w:cs="仿宋"/>
          <w:sz w:val="28"/>
          <w:szCs w:val="28"/>
          <w:highlight w:val="none"/>
        </w:rPr>
        <w:t>《电气装置安装工程电缆线路施工及验收规范》GB50256-1992</w:t>
      </w:r>
    </w:p>
    <w:p>
      <w:pPr>
        <w:pStyle w:val="53"/>
        <w:keepNext w:val="0"/>
        <w:keepLines w:val="0"/>
        <w:pageBreakBefore w:val="0"/>
        <w:widowControl w:val="0"/>
        <w:numPr>
          <w:ilvl w:val="0"/>
          <w:numId w:val="0"/>
        </w:numPr>
        <w:tabs>
          <w:tab w:val="left" w:pos="760"/>
        </w:tabs>
        <w:kinsoku/>
        <w:wordWrap/>
        <w:overflowPunct/>
        <w:topLinePunct w:val="0"/>
        <w:autoSpaceDE/>
        <w:autoSpaceDN/>
        <w:bidi w:val="0"/>
        <w:adjustRightInd/>
        <w:snapToGrid/>
        <w:spacing w:line="500" w:lineRule="exact"/>
        <w:ind w:left="0" w:leftChars="0" w:firstLine="600" w:firstLineChars="200"/>
        <w:jc w:val="left"/>
        <w:textAlignment w:val="auto"/>
        <w:rPr>
          <w:rFonts w:hint="eastAsia" w:ascii="仿宋" w:hAnsi="仿宋" w:eastAsia="仿宋" w:cs="仿宋"/>
          <w:spacing w:val="10"/>
          <w:sz w:val="28"/>
          <w:szCs w:val="28"/>
          <w:highlight w:val="none"/>
          <w:lang w:val="en-US" w:eastAsia="zh-CN"/>
        </w:rPr>
      </w:pPr>
      <w:r>
        <w:rPr>
          <w:rFonts w:hint="eastAsia" w:ascii="仿宋" w:hAnsi="仿宋" w:eastAsia="仿宋" w:cs="仿宋"/>
          <w:spacing w:val="10"/>
          <w:sz w:val="28"/>
          <w:szCs w:val="28"/>
          <w:highlight w:val="none"/>
          <w:lang w:val="en-US" w:eastAsia="zh-CN"/>
        </w:rPr>
        <w:t>10、《电气装置安装工程施工及验收规范》GB50254～50259-</w:t>
      </w:r>
    </w:p>
    <w:p>
      <w:pPr>
        <w:pStyle w:val="10"/>
        <w:keepNext w:val="0"/>
        <w:keepLines w:val="0"/>
        <w:pageBreakBefore w:val="0"/>
        <w:widowControl w:val="0"/>
        <w:kinsoku/>
        <w:wordWrap/>
        <w:overflowPunct/>
        <w:topLinePunct w:val="0"/>
        <w:autoSpaceDE/>
        <w:autoSpaceDN/>
        <w:bidi w:val="0"/>
        <w:adjustRightInd/>
        <w:snapToGrid/>
        <w:spacing w:before="5" w:after="0" w:line="500" w:lineRule="exact"/>
        <w:ind w:right="0" w:firstLine="520" w:firstLineChars="200"/>
        <w:textAlignment w:val="auto"/>
        <w:rPr>
          <w:rFonts w:hint="eastAsia" w:ascii="仿宋" w:hAnsi="仿宋" w:eastAsia="仿宋" w:cs="仿宋"/>
          <w:spacing w:val="-10"/>
          <w:sz w:val="28"/>
          <w:szCs w:val="28"/>
        </w:rPr>
      </w:pPr>
      <w:r>
        <w:rPr>
          <w:rFonts w:hint="eastAsia" w:ascii="仿宋" w:hAnsi="仿宋" w:eastAsia="仿宋" w:cs="仿宋"/>
          <w:spacing w:val="-10"/>
          <w:sz w:val="28"/>
          <w:szCs w:val="28"/>
          <w:lang w:val="en-US" w:eastAsia="zh-CN"/>
        </w:rPr>
        <w:t>八</w:t>
      </w:r>
      <w:r>
        <w:rPr>
          <w:rFonts w:hint="eastAsia" w:ascii="仿宋" w:hAnsi="仿宋" w:eastAsia="仿宋" w:cs="仿宋"/>
          <w:spacing w:val="-10"/>
          <w:sz w:val="28"/>
          <w:szCs w:val="28"/>
        </w:rPr>
        <w:t>、灯光检测报告（第三方省级单位）</w:t>
      </w:r>
    </w:p>
    <w:p>
      <w:pPr>
        <w:pStyle w:val="10"/>
        <w:keepNext w:val="0"/>
        <w:keepLines w:val="0"/>
        <w:pageBreakBefore w:val="0"/>
        <w:widowControl w:val="0"/>
        <w:kinsoku/>
        <w:wordWrap/>
        <w:overflowPunct/>
        <w:topLinePunct w:val="0"/>
        <w:autoSpaceDE/>
        <w:autoSpaceDN/>
        <w:bidi w:val="0"/>
        <w:adjustRightInd/>
        <w:snapToGrid/>
        <w:spacing w:before="5" w:after="0" w:line="500" w:lineRule="exact"/>
        <w:ind w:right="0" w:firstLine="520" w:firstLineChars="200"/>
        <w:textAlignment w:val="auto"/>
        <w:rPr>
          <w:rFonts w:hint="eastAsia" w:ascii="仿宋" w:hAnsi="仿宋" w:eastAsia="仿宋" w:cs="仿宋"/>
          <w:spacing w:val="-10"/>
          <w:sz w:val="28"/>
          <w:szCs w:val="28"/>
        </w:rPr>
      </w:pPr>
      <w:r>
        <w:rPr>
          <w:rFonts w:hint="eastAsia" w:ascii="仿宋" w:hAnsi="仿宋" w:eastAsia="仿宋" w:cs="仿宋"/>
          <w:spacing w:val="-10"/>
          <w:sz w:val="28"/>
          <w:szCs w:val="28"/>
          <w:lang w:val="en-US" w:eastAsia="zh-CN"/>
        </w:rPr>
        <w:t>九</w:t>
      </w:r>
      <w:r>
        <w:rPr>
          <w:rFonts w:hint="eastAsia" w:ascii="仿宋" w:hAnsi="仿宋" w:eastAsia="仿宋" w:cs="仿宋"/>
          <w:spacing w:val="-10"/>
          <w:sz w:val="28"/>
          <w:szCs w:val="28"/>
        </w:rPr>
        <w:t>、竣工布局图</w:t>
      </w:r>
    </w:p>
    <w:p>
      <w:pPr>
        <w:pStyle w:val="10"/>
        <w:keepNext w:val="0"/>
        <w:keepLines w:val="0"/>
        <w:pageBreakBefore w:val="0"/>
        <w:widowControl w:val="0"/>
        <w:kinsoku/>
        <w:wordWrap/>
        <w:overflowPunct/>
        <w:topLinePunct w:val="0"/>
        <w:autoSpaceDE/>
        <w:autoSpaceDN/>
        <w:bidi w:val="0"/>
        <w:adjustRightInd/>
        <w:snapToGrid/>
        <w:spacing w:before="5" w:after="0" w:line="500" w:lineRule="exact"/>
        <w:ind w:right="0" w:firstLine="520" w:firstLineChars="200"/>
        <w:textAlignment w:val="auto"/>
        <w:rPr>
          <w:rFonts w:hint="eastAsia" w:ascii="仿宋" w:hAnsi="仿宋" w:eastAsia="仿宋" w:cs="仿宋"/>
          <w:spacing w:val="-10"/>
          <w:sz w:val="28"/>
          <w:szCs w:val="28"/>
        </w:rPr>
      </w:pPr>
      <w:r>
        <w:rPr>
          <w:rFonts w:hint="eastAsia" w:ascii="仿宋" w:hAnsi="仿宋" w:eastAsia="仿宋" w:cs="仿宋"/>
          <w:spacing w:val="-10"/>
          <w:sz w:val="28"/>
          <w:szCs w:val="28"/>
          <w:lang w:val="en-US" w:eastAsia="zh-CN"/>
        </w:rPr>
        <w:t>十</w:t>
      </w:r>
      <w:r>
        <w:rPr>
          <w:rFonts w:hint="eastAsia" w:ascii="仿宋" w:hAnsi="仿宋" w:eastAsia="仿宋" w:cs="仿宋"/>
          <w:spacing w:val="-10"/>
          <w:sz w:val="28"/>
          <w:szCs w:val="28"/>
        </w:rPr>
        <w:t>、系统连接竣工图</w:t>
      </w:r>
    </w:p>
    <w:p>
      <w:pPr>
        <w:pStyle w:val="10"/>
        <w:keepNext w:val="0"/>
        <w:keepLines w:val="0"/>
        <w:pageBreakBefore w:val="0"/>
        <w:widowControl w:val="0"/>
        <w:kinsoku/>
        <w:wordWrap/>
        <w:overflowPunct/>
        <w:topLinePunct w:val="0"/>
        <w:autoSpaceDE/>
        <w:autoSpaceDN/>
        <w:bidi w:val="0"/>
        <w:adjustRightInd/>
        <w:snapToGrid/>
        <w:spacing w:before="5" w:after="0" w:line="500" w:lineRule="exact"/>
        <w:ind w:right="0" w:firstLine="520" w:firstLineChars="200"/>
        <w:textAlignment w:val="auto"/>
        <w:rPr>
          <w:rFonts w:hint="eastAsia" w:ascii="仿宋" w:hAnsi="仿宋" w:eastAsia="仿宋" w:cs="仿宋"/>
          <w:spacing w:val="-10"/>
          <w:sz w:val="28"/>
          <w:szCs w:val="28"/>
          <w:lang w:val="en-US" w:eastAsia="zh-CN"/>
        </w:rPr>
        <w:sectPr>
          <w:pgSz w:w="11910" w:h="16840"/>
          <w:pgMar w:top="1417" w:right="1417" w:bottom="1417" w:left="1417" w:header="850" w:footer="992" w:gutter="0"/>
          <w:cols w:space="0" w:num="1"/>
          <w:rtlGutter w:val="0"/>
          <w:docGrid w:linePitch="0" w:charSpace="0"/>
        </w:sectPr>
      </w:pPr>
      <w:r>
        <w:rPr>
          <w:rFonts w:hint="eastAsia" w:ascii="仿宋" w:hAnsi="仿宋" w:eastAsia="仿宋" w:cs="仿宋"/>
          <w:spacing w:val="-10"/>
          <w:sz w:val="28"/>
          <w:szCs w:val="28"/>
          <w:lang w:val="en-US" w:eastAsia="zh-CN"/>
        </w:rPr>
        <w:t>十一</w:t>
      </w:r>
      <w:r>
        <w:rPr>
          <w:rFonts w:hint="eastAsia" w:ascii="仿宋" w:hAnsi="仿宋" w:eastAsia="仿宋" w:cs="仿宋"/>
          <w:spacing w:val="-10"/>
          <w:sz w:val="28"/>
          <w:szCs w:val="28"/>
        </w:rPr>
        <w:t>、LUX 照度测量仪（验收测试设备）（</w:t>
      </w:r>
      <w:r>
        <w:rPr>
          <w:rFonts w:hint="eastAsia" w:ascii="仿宋" w:hAnsi="仿宋" w:eastAsia="仿宋" w:cs="仿宋"/>
          <w:spacing w:val="-10"/>
          <w:sz w:val="28"/>
          <w:szCs w:val="28"/>
          <w:lang w:eastAsia="zh-CN"/>
        </w:rPr>
        <w:t>采购人</w:t>
      </w:r>
      <w:r>
        <w:rPr>
          <w:rFonts w:hint="eastAsia" w:ascii="仿宋" w:hAnsi="仿宋" w:eastAsia="仿宋" w:cs="仿宋"/>
          <w:spacing w:val="-10"/>
          <w:sz w:val="28"/>
          <w:szCs w:val="28"/>
        </w:rPr>
        <w:t>邀请有资历专业单位测试结果）</w:t>
      </w:r>
    </w:p>
    <w:p>
      <w:pPr>
        <w:pStyle w:val="3"/>
        <w:keepNext/>
        <w:keepLines/>
        <w:pageBreakBefore/>
        <w:widowControl/>
        <w:kinsoku/>
        <w:wordWrap/>
        <w:overflowPunct/>
        <w:topLinePunct w:val="0"/>
        <w:autoSpaceDE/>
        <w:autoSpaceDN/>
        <w:bidi w:val="0"/>
        <w:adjustRightInd/>
        <w:snapToGrid/>
        <w:jc w:val="center"/>
        <w:textAlignment w:val="auto"/>
        <w:rPr>
          <w:rFonts w:hint="eastAsia" w:ascii="黑体" w:hAnsi="黑体" w:eastAsia="黑体" w:cs="黑体"/>
          <w:b w:val="0"/>
          <w:bCs/>
          <w:color w:val="auto"/>
          <w:sz w:val="32"/>
          <w:szCs w:val="40"/>
        </w:rPr>
      </w:pPr>
      <w:bookmarkStart w:id="182" w:name="_Toc29294"/>
      <w:r>
        <w:rPr>
          <w:rFonts w:hint="eastAsia" w:ascii="黑体" w:hAnsi="黑体" w:eastAsia="黑体" w:cs="黑体"/>
          <w:b w:val="0"/>
          <w:bCs/>
          <w:color w:val="auto"/>
          <w:sz w:val="32"/>
          <w:szCs w:val="40"/>
        </w:rPr>
        <w:t>第四章  合同基本条</w:t>
      </w:r>
      <w:bookmarkEnd w:id="174"/>
      <w:r>
        <w:rPr>
          <w:rFonts w:hint="eastAsia" w:ascii="黑体" w:hAnsi="黑体" w:eastAsia="黑体" w:cs="黑体"/>
          <w:b w:val="0"/>
          <w:bCs/>
          <w:color w:val="auto"/>
          <w:sz w:val="32"/>
          <w:szCs w:val="40"/>
        </w:rPr>
        <w:t>款</w:t>
      </w:r>
      <w:bookmarkEnd w:id="175"/>
      <w:bookmarkEnd w:id="176"/>
      <w:bookmarkEnd w:id="182"/>
    </w:p>
    <w:p>
      <w:pPr>
        <w:pStyle w:val="4"/>
        <w:spacing w:line="500" w:lineRule="exact"/>
        <w:ind w:firstLine="566" w:firstLineChars="200"/>
        <w:rPr>
          <w:rFonts w:ascii="Calibri Light" w:hAnsi="Calibri Light"/>
          <w:color w:val="auto"/>
          <w:sz w:val="28"/>
          <w:szCs w:val="28"/>
        </w:rPr>
      </w:pPr>
      <w:bookmarkStart w:id="183" w:name="_Toc31093"/>
      <w:bookmarkStart w:id="184" w:name="_Toc17826"/>
      <w:bookmarkStart w:id="185" w:name="_Toc11440"/>
      <w:bookmarkStart w:id="186" w:name="_Toc8683"/>
      <w:bookmarkStart w:id="187" w:name="_Toc17681"/>
      <w:r>
        <w:rPr>
          <w:rFonts w:ascii="Calibri Light" w:hAnsi="Calibri Light"/>
          <w:color w:val="auto"/>
          <w:sz w:val="28"/>
          <w:szCs w:val="28"/>
        </w:rPr>
        <w:t>一、</w:t>
      </w:r>
      <w:r>
        <w:rPr>
          <w:rFonts w:hint="eastAsia" w:ascii="Calibri Light" w:hAnsi="Calibri Light"/>
          <w:color w:val="auto"/>
          <w:sz w:val="28"/>
          <w:szCs w:val="28"/>
          <w:lang w:val="en-US" w:eastAsia="zh-CN"/>
        </w:rPr>
        <w:t>施工</w:t>
      </w:r>
      <w:r>
        <w:rPr>
          <w:rFonts w:ascii="Calibri Light" w:hAnsi="Calibri Light"/>
          <w:color w:val="auto"/>
          <w:sz w:val="28"/>
          <w:szCs w:val="28"/>
        </w:rPr>
        <w:t>条件</w:t>
      </w:r>
      <w:bookmarkEnd w:id="183"/>
      <w:bookmarkEnd w:id="184"/>
      <w:bookmarkEnd w:id="185"/>
      <w:bookmarkEnd w:id="186"/>
      <w:bookmarkEnd w:id="187"/>
    </w:p>
    <w:p>
      <w:pPr>
        <w:keepNext w:val="0"/>
        <w:keepLines w:val="0"/>
        <w:pageBreakBefore w:val="0"/>
        <w:widowControl/>
        <w:kinsoku/>
        <w:wordWrap/>
        <w:overflowPunct/>
        <w:topLinePunct w:val="0"/>
        <w:autoSpaceDE/>
        <w:autoSpaceDN/>
        <w:bidi w:val="0"/>
        <w:adjustRightInd/>
        <w:snapToGrid/>
        <w:spacing w:line="500" w:lineRule="exact"/>
        <w:ind w:firstLine="566" w:firstLineChars="200"/>
        <w:textAlignment w:val="auto"/>
        <w:rPr>
          <w:rFonts w:ascii="华文仿宋" w:hAnsi="华文仿宋" w:cs="华文仿宋"/>
          <w:color w:val="auto"/>
          <w:sz w:val="24"/>
          <w:szCs w:val="24"/>
        </w:rPr>
      </w:pPr>
      <w:r>
        <w:rPr>
          <w:rFonts w:hint="eastAsia" w:ascii="仿宋" w:hAnsi="仿宋" w:eastAsia="仿宋"/>
          <w:color w:val="auto"/>
        </w:rPr>
        <w:t>（一）</w:t>
      </w:r>
      <w:r>
        <w:rPr>
          <w:rFonts w:hint="eastAsia" w:eastAsia="仿宋"/>
          <w:color w:val="auto"/>
          <w:lang w:val="en-US" w:eastAsia="zh-CN"/>
        </w:rPr>
        <w:t>施工</w:t>
      </w:r>
      <w:r>
        <w:rPr>
          <w:rFonts w:hint="eastAsia" w:ascii="仿宋" w:hAnsi="仿宋" w:eastAsia="仿宋"/>
          <w:color w:val="auto"/>
        </w:rPr>
        <w:t>地点：</w:t>
      </w:r>
      <w:r>
        <w:rPr>
          <w:rFonts w:hint="eastAsia" w:ascii="华文仿宋" w:hAnsi="华文仿宋" w:cs="华文仿宋"/>
          <w:color w:val="auto"/>
        </w:rPr>
        <w:t>采购人指定地点</w:t>
      </w:r>
    </w:p>
    <w:p>
      <w:pPr>
        <w:keepNext w:val="0"/>
        <w:keepLines w:val="0"/>
        <w:pageBreakBefore w:val="0"/>
        <w:widowControl/>
        <w:kinsoku/>
        <w:wordWrap/>
        <w:overflowPunct/>
        <w:topLinePunct w:val="0"/>
        <w:autoSpaceDE/>
        <w:autoSpaceDN/>
        <w:bidi w:val="0"/>
        <w:adjustRightInd/>
        <w:snapToGrid/>
        <w:spacing w:line="500" w:lineRule="exact"/>
        <w:ind w:firstLine="566" w:firstLineChars="200"/>
        <w:textAlignment w:val="auto"/>
        <w:rPr>
          <w:rFonts w:hint="eastAsia" w:ascii="华文仿宋" w:hAnsi="华文仿宋" w:eastAsia="仿宋" w:cs="华文仿宋"/>
          <w:color w:val="auto"/>
          <w:sz w:val="28"/>
          <w:szCs w:val="28"/>
          <w:lang w:val="en-US" w:eastAsia="zh-CN"/>
        </w:rPr>
      </w:pPr>
      <w:r>
        <w:rPr>
          <w:rFonts w:hint="eastAsia" w:ascii="仿宋" w:hAnsi="仿宋" w:eastAsia="仿宋"/>
          <w:color w:val="auto"/>
        </w:rPr>
        <w:t>（二）</w:t>
      </w:r>
      <w:r>
        <w:rPr>
          <w:rFonts w:hint="eastAsia" w:ascii="华文仿宋" w:hAnsi="华文仿宋" w:eastAsia="仿宋" w:cs="华文仿宋"/>
          <w:color w:val="auto"/>
          <w:lang w:val="en-US" w:eastAsia="zh-CN"/>
        </w:rPr>
        <w:t>工</w:t>
      </w:r>
      <w:r>
        <w:rPr>
          <w:rFonts w:hint="eastAsia" w:ascii="华文仿宋" w:hAnsi="华文仿宋" w:eastAsia="仿宋" w:cs="华文仿宋"/>
          <w:color w:val="auto"/>
        </w:rPr>
        <w:t>期</w:t>
      </w:r>
      <w:r>
        <w:rPr>
          <w:rFonts w:hint="eastAsia" w:ascii="华文仿宋" w:hAnsi="华文仿宋" w:cs="华文仿宋"/>
          <w:color w:val="auto"/>
        </w:rPr>
        <w:t>：</w:t>
      </w:r>
      <w:r>
        <w:rPr>
          <w:rFonts w:hint="eastAsia" w:ascii="华文仿宋" w:hAnsi="华文仿宋" w:eastAsia="仿宋" w:cs="华文仿宋"/>
          <w:color w:val="auto"/>
          <w:sz w:val="28"/>
          <w:szCs w:val="28"/>
        </w:rPr>
        <w:t>自合同签订之日起</w:t>
      </w:r>
      <w:r>
        <w:rPr>
          <w:rFonts w:hint="eastAsia" w:ascii="仿宋" w:hAnsi="仿宋" w:eastAsia="仿宋" w:cs="仿宋"/>
          <w:b w:val="0"/>
          <w:bCs w:val="0"/>
          <w:color w:val="000000" w:themeColor="text1"/>
          <w:kern w:val="2"/>
          <w:sz w:val="28"/>
          <w:szCs w:val="28"/>
          <w:lang w:val="en-US" w:eastAsia="zh-CN" w:bidi="ar-SA"/>
          <w14:textFill>
            <w14:solidFill>
              <w14:schemeClr w14:val="tx1"/>
            </w14:solidFill>
          </w14:textFill>
        </w:rPr>
        <w:t>90</w:t>
      </w:r>
      <w:r>
        <w:rPr>
          <w:rFonts w:hint="eastAsia" w:ascii="华文仿宋" w:hAnsi="华文仿宋" w:eastAsia="仿宋" w:cs="华文仿宋"/>
          <w:color w:val="auto"/>
          <w:sz w:val="28"/>
          <w:szCs w:val="28"/>
          <w:lang w:val="en-US" w:eastAsia="zh-CN"/>
        </w:rPr>
        <w:t>天</w:t>
      </w:r>
    </w:p>
    <w:p>
      <w:pPr>
        <w:keepNext w:val="0"/>
        <w:keepLines w:val="0"/>
        <w:pageBreakBefore w:val="0"/>
        <w:widowControl/>
        <w:kinsoku/>
        <w:wordWrap/>
        <w:overflowPunct/>
        <w:topLinePunct w:val="0"/>
        <w:autoSpaceDE/>
        <w:autoSpaceDN/>
        <w:bidi w:val="0"/>
        <w:adjustRightInd/>
        <w:snapToGrid/>
        <w:spacing w:line="500" w:lineRule="exact"/>
        <w:ind w:firstLine="566" w:firstLineChars="200"/>
        <w:textAlignment w:val="auto"/>
        <w:rPr>
          <w:rFonts w:hint="eastAsia" w:ascii="仿宋" w:hAnsi="仿宋" w:eastAsia="仿宋"/>
        </w:rPr>
      </w:pPr>
      <w:r>
        <w:rPr>
          <w:rFonts w:hint="eastAsia" w:ascii="仿宋" w:hAnsi="仿宋" w:eastAsia="仿宋"/>
          <w:color w:val="auto"/>
        </w:rPr>
        <w:t>（</w:t>
      </w:r>
      <w:r>
        <w:rPr>
          <w:rFonts w:hint="eastAsia" w:ascii="仿宋" w:hAnsi="仿宋" w:eastAsia="仿宋"/>
          <w:color w:val="auto"/>
          <w:lang w:val="en-US" w:eastAsia="zh-CN"/>
        </w:rPr>
        <w:t>三</w:t>
      </w:r>
      <w:r>
        <w:rPr>
          <w:rFonts w:hint="eastAsia" w:ascii="仿宋" w:hAnsi="仿宋" w:eastAsia="仿宋"/>
          <w:color w:val="auto"/>
        </w:rPr>
        <w:t>）</w:t>
      </w:r>
      <w:r>
        <w:rPr>
          <w:rFonts w:hint="eastAsia" w:ascii="仿宋" w:hAnsi="仿宋" w:eastAsia="仿宋"/>
        </w:rPr>
        <w:t>质保期：竣工验收合格后</w:t>
      </w:r>
      <w:r>
        <w:rPr>
          <w:rFonts w:hint="eastAsia" w:ascii="仿宋" w:hAnsi="仿宋" w:eastAsia="仿宋" w:cs="仿宋"/>
          <w:b w:val="0"/>
          <w:bCs w:val="0"/>
          <w:color w:val="000000" w:themeColor="text1"/>
          <w:kern w:val="2"/>
          <w:sz w:val="28"/>
          <w:szCs w:val="28"/>
          <w:lang w:val="en-US" w:eastAsia="zh-CN" w:bidi="ar-SA"/>
          <w14:textFill>
            <w14:solidFill>
              <w14:schemeClr w14:val="tx1"/>
            </w14:solidFill>
          </w14:textFill>
        </w:rPr>
        <w:t>5</w:t>
      </w:r>
      <w:r>
        <w:rPr>
          <w:rFonts w:hint="eastAsia" w:ascii="仿宋" w:hAnsi="仿宋" w:eastAsia="仿宋"/>
        </w:rPr>
        <w:t>年</w:t>
      </w:r>
    </w:p>
    <w:p>
      <w:pPr>
        <w:keepNext w:val="0"/>
        <w:keepLines w:val="0"/>
        <w:pageBreakBefore w:val="0"/>
        <w:widowControl/>
        <w:kinsoku/>
        <w:wordWrap/>
        <w:overflowPunct/>
        <w:topLinePunct w:val="0"/>
        <w:autoSpaceDE/>
        <w:autoSpaceDN/>
        <w:bidi w:val="0"/>
        <w:adjustRightInd/>
        <w:snapToGrid/>
        <w:spacing w:line="500" w:lineRule="exact"/>
        <w:ind w:firstLine="566" w:firstLineChars="200"/>
        <w:textAlignment w:val="auto"/>
        <w:rPr>
          <w:rFonts w:hint="default" w:ascii="华文仿宋" w:hAnsi="华文仿宋" w:cs="华文仿宋"/>
          <w:b w:val="0"/>
          <w:bCs w:val="0"/>
          <w:color w:val="auto"/>
          <w:sz w:val="28"/>
          <w:szCs w:val="28"/>
          <w:highlight w:val="none"/>
          <w:lang w:val="en-US"/>
        </w:rPr>
      </w:pPr>
      <w:r>
        <w:rPr>
          <w:rFonts w:hint="eastAsia" w:ascii="华文仿宋" w:hAnsi="华文仿宋" w:cs="华文仿宋"/>
          <w:b w:val="0"/>
          <w:bCs w:val="0"/>
          <w:color w:val="auto"/>
          <w:sz w:val="28"/>
          <w:szCs w:val="28"/>
          <w:highlight w:val="none"/>
        </w:rPr>
        <w:t>（</w:t>
      </w:r>
      <w:r>
        <w:rPr>
          <w:rFonts w:hint="eastAsia" w:ascii="华文仿宋" w:hAnsi="华文仿宋" w:cs="华文仿宋"/>
          <w:b w:val="0"/>
          <w:bCs w:val="0"/>
          <w:color w:val="auto"/>
          <w:sz w:val="28"/>
          <w:szCs w:val="28"/>
          <w:highlight w:val="none"/>
          <w:lang w:val="en-US" w:eastAsia="zh-CN"/>
        </w:rPr>
        <w:t>四</w:t>
      </w:r>
      <w:r>
        <w:rPr>
          <w:rFonts w:hint="eastAsia" w:ascii="华文仿宋" w:hAnsi="华文仿宋" w:cs="华文仿宋"/>
          <w:b w:val="0"/>
          <w:bCs w:val="0"/>
          <w:color w:val="auto"/>
          <w:sz w:val="28"/>
          <w:szCs w:val="28"/>
          <w:highlight w:val="none"/>
        </w:rPr>
        <w:t>）服务响应时间：</w:t>
      </w:r>
      <w:r>
        <w:rPr>
          <w:rFonts w:hint="eastAsia" w:ascii="仿宋" w:hAnsi="仿宋" w:eastAsia="仿宋"/>
          <w:color w:val="auto"/>
          <w:highlight w:val="none"/>
        </w:rPr>
        <w:t>即时响应（包括电话响应）</w:t>
      </w:r>
      <w:r>
        <w:rPr>
          <w:rFonts w:hint="eastAsia" w:ascii="华文仿宋" w:hAnsi="华文仿宋" w:cs="华文仿宋"/>
          <w:b w:val="0"/>
          <w:bCs w:val="0"/>
          <w:color w:val="auto"/>
          <w:sz w:val="28"/>
          <w:szCs w:val="28"/>
          <w:highlight w:val="none"/>
        </w:rPr>
        <w:t>；</w:t>
      </w:r>
      <w:r>
        <w:rPr>
          <w:rFonts w:hint="eastAsia" w:ascii="仿宋" w:hAnsi="仿宋" w:eastAsia="仿宋" w:cs="仿宋"/>
          <w:b w:val="0"/>
          <w:bCs w:val="0"/>
          <w:color w:val="auto"/>
          <w:kern w:val="2"/>
          <w:sz w:val="28"/>
          <w:szCs w:val="28"/>
          <w:highlight w:val="none"/>
          <w:lang w:val="en-US" w:eastAsia="zh-CN" w:bidi="ar-SA"/>
        </w:rPr>
        <w:t>24</w:t>
      </w:r>
      <w:r>
        <w:rPr>
          <w:rFonts w:hint="eastAsia" w:ascii="华文仿宋" w:hAnsi="华文仿宋" w:cs="华文仿宋"/>
          <w:b w:val="0"/>
          <w:bCs w:val="0"/>
          <w:color w:val="auto"/>
          <w:sz w:val="28"/>
          <w:szCs w:val="28"/>
          <w:highlight w:val="none"/>
        </w:rPr>
        <w:t xml:space="preserve">小时内到达现场（如电话响应无法解决）。修复时间（质保期内）： </w:t>
      </w:r>
      <w:r>
        <w:rPr>
          <w:rFonts w:hint="eastAsia" w:ascii="仿宋" w:hAnsi="仿宋" w:eastAsia="仿宋" w:cs="仿宋"/>
          <w:b w:val="0"/>
          <w:bCs w:val="0"/>
          <w:color w:val="auto"/>
          <w:kern w:val="2"/>
          <w:sz w:val="28"/>
          <w:szCs w:val="28"/>
          <w:highlight w:val="none"/>
          <w:lang w:val="en-US" w:eastAsia="zh-CN" w:bidi="ar-SA"/>
        </w:rPr>
        <w:t>48</w:t>
      </w:r>
      <w:r>
        <w:rPr>
          <w:rFonts w:hint="eastAsia" w:ascii="华文仿宋" w:hAnsi="华文仿宋" w:cs="华文仿宋"/>
          <w:b w:val="0"/>
          <w:bCs w:val="0"/>
          <w:color w:val="auto"/>
          <w:sz w:val="28"/>
          <w:szCs w:val="28"/>
          <w:highlight w:val="none"/>
        </w:rPr>
        <w:t>小时内解决。</w:t>
      </w:r>
    </w:p>
    <w:p>
      <w:pPr>
        <w:pStyle w:val="4"/>
        <w:spacing w:line="500" w:lineRule="exact"/>
        <w:ind w:firstLine="566" w:firstLineChars="200"/>
        <w:rPr>
          <w:rFonts w:ascii="Calibri Light" w:hAnsi="Calibri Light"/>
          <w:color w:val="auto"/>
          <w:sz w:val="28"/>
          <w:szCs w:val="28"/>
        </w:rPr>
      </w:pPr>
      <w:bookmarkStart w:id="188" w:name="_Toc7309"/>
      <w:bookmarkStart w:id="189" w:name="_Toc3604"/>
      <w:bookmarkStart w:id="190" w:name="_Toc29861"/>
      <w:bookmarkStart w:id="191" w:name="_Toc13797"/>
      <w:bookmarkStart w:id="192" w:name="_Toc10368"/>
      <w:r>
        <w:rPr>
          <w:rFonts w:ascii="Calibri Light" w:hAnsi="Calibri Light"/>
          <w:color w:val="auto"/>
          <w:sz w:val="28"/>
          <w:szCs w:val="28"/>
        </w:rPr>
        <w:t>二、合同价款</w:t>
      </w:r>
      <w:bookmarkEnd w:id="188"/>
      <w:bookmarkEnd w:id="189"/>
      <w:bookmarkEnd w:id="190"/>
      <w:bookmarkEnd w:id="191"/>
      <w:bookmarkEnd w:id="192"/>
    </w:p>
    <w:p>
      <w:pPr>
        <w:pStyle w:val="2"/>
        <w:keepNext w:val="0"/>
        <w:keepLines w:val="0"/>
        <w:pageBreakBefore w:val="0"/>
        <w:widowControl w:val="0"/>
        <w:kinsoku/>
        <w:wordWrap/>
        <w:overflowPunct/>
        <w:topLinePunct w:val="0"/>
        <w:autoSpaceDE/>
        <w:autoSpaceDN/>
        <w:bidi w:val="0"/>
        <w:adjustRightInd/>
        <w:snapToGrid/>
        <w:spacing w:line="500" w:lineRule="exact"/>
        <w:ind w:firstLine="566" w:firstLineChars="200"/>
        <w:textAlignment w:val="auto"/>
        <w:rPr>
          <w:rFonts w:hint="eastAsia" w:ascii="华文仿宋" w:hAnsi="华文仿宋" w:eastAsia="华文仿宋" w:cs="华文仿宋"/>
          <w:b w:val="0"/>
          <w:bCs w:val="0"/>
          <w:color w:val="000000" w:themeColor="text1"/>
          <w:kern w:val="2"/>
          <w:sz w:val="28"/>
          <w:szCs w:val="28"/>
          <w:lang w:val="en-US" w:eastAsia="zh-CN" w:bidi="ar-SA"/>
          <w14:textFill>
            <w14:solidFill>
              <w14:schemeClr w14:val="tx1"/>
            </w14:solidFill>
          </w14:textFill>
        </w:rPr>
      </w:pPr>
      <w:r>
        <w:rPr>
          <w:rFonts w:hint="eastAsia" w:ascii="华文仿宋" w:hAnsi="华文仿宋" w:eastAsia="华文仿宋" w:cs="华文仿宋"/>
          <w:b w:val="0"/>
          <w:bCs w:val="0"/>
          <w:color w:val="000000" w:themeColor="text1"/>
          <w:kern w:val="2"/>
          <w:sz w:val="28"/>
          <w:szCs w:val="28"/>
          <w:lang w:val="en-US" w:eastAsia="zh-CN" w:bidi="ar-SA"/>
          <w14:textFill>
            <w14:solidFill>
              <w14:schemeClr w14:val="tx1"/>
            </w14:solidFill>
          </w14:textFill>
        </w:rPr>
        <w:t>本工程实行工程量范围内投标报价(固定总价)一次包干的办法。招标范围内:招标文件的工程量与实际发生量不符时,单项按照±</w:t>
      </w:r>
      <w:r>
        <w:rPr>
          <w:rFonts w:hint="eastAsia" w:ascii="仿宋" w:hAnsi="仿宋" w:eastAsia="仿宋" w:cs="仿宋"/>
          <w:b w:val="0"/>
          <w:bCs w:val="0"/>
          <w:color w:val="000000" w:themeColor="text1"/>
          <w:kern w:val="2"/>
          <w:sz w:val="28"/>
          <w:szCs w:val="28"/>
          <w:lang w:val="en-US" w:eastAsia="zh-CN" w:bidi="ar-SA"/>
          <w14:textFill>
            <w14:solidFill>
              <w14:schemeClr w14:val="tx1"/>
            </w14:solidFill>
          </w14:textFill>
        </w:rPr>
        <w:t>5%</w:t>
      </w:r>
      <w:r>
        <w:rPr>
          <w:rFonts w:hint="eastAsia" w:ascii="华文仿宋" w:hAnsi="华文仿宋" w:eastAsia="华文仿宋" w:cs="华文仿宋"/>
          <w:b w:val="0"/>
          <w:bCs w:val="0"/>
          <w:color w:val="000000" w:themeColor="text1"/>
          <w:kern w:val="2"/>
          <w:sz w:val="28"/>
          <w:szCs w:val="28"/>
          <w:lang w:val="en-US" w:eastAsia="zh-CN" w:bidi="ar-SA"/>
          <w14:textFill>
            <w14:solidFill>
              <w14:schemeClr w14:val="tx1"/>
            </w14:solidFill>
          </w14:textFill>
        </w:rPr>
        <w:t>比例划分,±</w:t>
      </w:r>
      <w:r>
        <w:rPr>
          <w:rFonts w:hint="eastAsia" w:ascii="仿宋" w:hAnsi="仿宋" w:eastAsia="仿宋" w:cs="仿宋"/>
          <w:b w:val="0"/>
          <w:bCs w:val="0"/>
          <w:color w:val="000000" w:themeColor="text1"/>
          <w:kern w:val="2"/>
          <w:sz w:val="28"/>
          <w:szCs w:val="28"/>
          <w:lang w:val="en-US" w:eastAsia="zh-CN" w:bidi="ar-SA"/>
          <w14:textFill>
            <w14:solidFill>
              <w14:schemeClr w14:val="tx1"/>
            </w14:solidFill>
          </w14:textFill>
        </w:rPr>
        <w:t>5%</w:t>
      </w:r>
      <w:r>
        <w:rPr>
          <w:rFonts w:hint="eastAsia" w:ascii="华文仿宋" w:hAnsi="华文仿宋" w:eastAsia="华文仿宋" w:cs="华文仿宋"/>
          <w:b w:val="0"/>
          <w:bCs w:val="0"/>
          <w:color w:val="000000" w:themeColor="text1"/>
          <w:kern w:val="2"/>
          <w:sz w:val="28"/>
          <w:szCs w:val="28"/>
          <w:lang w:val="en-US" w:eastAsia="zh-CN" w:bidi="ar-SA"/>
          <w14:textFill>
            <w14:solidFill>
              <w14:schemeClr w14:val="tx1"/>
            </w14:solidFill>
          </w14:textFill>
        </w:rPr>
        <w:t>之内总价不变,超出±</w:t>
      </w:r>
      <w:r>
        <w:rPr>
          <w:rFonts w:hint="eastAsia" w:ascii="仿宋" w:hAnsi="仿宋" w:eastAsia="仿宋" w:cs="仿宋"/>
          <w:b w:val="0"/>
          <w:bCs w:val="0"/>
          <w:color w:val="000000" w:themeColor="text1"/>
          <w:kern w:val="2"/>
          <w:sz w:val="28"/>
          <w:szCs w:val="28"/>
          <w:lang w:val="en-US" w:eastAsia="zh-CN" w:bidi="ar-SA"/>
          <w14:textFill>
            <w14:solidFill>
              <w14:schemeClr w14:val="tx1"/>
            </w14:solidFill>
          </w14:textFill>
        </w:rPr>
        <w:t>5%</w:t>
      </w:r>
      <w:r>
        <w:rPr>
          <w:rFonts w:hint="eastAsia" w:ascii="华文仿宋" w:hAnsi="华文仿宋" w:eastAsia="华文仿宋" w:cs="华文仿宋"/>
          <w:b w:val="0"/>
          <w:bCs w:val="0"/>
          <w:color w:val="000000" w:themeColor="text1"/>
          <w:kern w:val="2"/>
          <w:sz w:val="28"/>
          <w:szCs w:val="28"/>
          <w:lang w:val="en-US" w:eastAsia="zh-CN" w:bidi="ar-SA"/>
          <w14:textFill>
            <w14:solidFill>
              <w14:schemeClr w14:val="tx1"/>
            </w14:solidFill>
          </w14:textFill>
        </w:rPr>
        <w:t>部分的工程量按陕西省执行的最新工程量和计价规则据实结算。招标范图外变更签证,</w:t>
      </w:r>
      <w:r>
        <w:rPr>
          <w:rFonts w:hint="eastAsia" w:ascii="华文仿宋" w:hAnsi="华文仿宋" w:cs="华文仿宋"/>
          <w:b w:val="0"/>
          <w:bCs w:val="0"/>
          <w:color w:val="000000" w:themeColor="text1"/>
          <w:kern w:val="2"/>
          <w:sz w:val="28"/>
          <w:szCs w:val="28"/>
          <w:lang w:val="en-US" w:eastAsia="zh-CN" w:bidi="ar-SA"/>
          <w14:textFill>
            <w14:solidFill>
              <w14:schemeClr w14:val="tx1"/>
            </w14:solidFill>
          </w14:textFill>
        </w:rPr>
        <w:t>成交施工方</w:t>
      </w:r>
      <w:r>
        <w:rPr>
          <w:rFonts w:hint="eastAsia" w:ascii="华文仿宋" w:hAnsi="华文仿宋" w:eastAsia="华文仿宋" w:cs="华文仿宋"/>
          <w:b w:val="0"/>
          <w:bCs w:val="0"/>
          <w:color w:val="000000" w:themeColor="text1"/>
          <w:kern w:val="2"/>
          <w:sz w:val="28"/>
          <w:szCs w:val="28"/>
          <w:lang w:val="en-US" w:eastAsia="zh-CN" w:bidi="ar-SA"/>
          <w14:textFill>
            <w14:solidFill>
              <w14:schemeClr w14:val="tx1"/>
            </w14:solidFill>
          </w14:textFill>
        </w:rPr>
        <w:t>必须事先报请西北大学教师发展中心和西北大学后勤集团审定,经同意确认后实施,最终按学校审计处审结果进行结算。</w:t>
      </w:r>
    </w:p>
    <w:p>
      <w:pPr>
        <w:pStyle w:val="4"/>
        <w:spacing w:line="500" w:lineRule="exact"/>
        <w:ind w:left="566" w:leftChars="200"/>
        <w:rPr>
          <w:color w:val="auto"/>
        </w:rPr>
      </w:pPr>
      <w:bookmarkStart w:id="193" w:name="_Toc15272"/>
      <w:bookmarkStart w:id="194" w:name="_Toc28510"/>
      <w:bookmarkStart w:id="195" w:name="_Toc7528"/>
      <w:bookmarkStart w:id="196" w:name="_Toc20919"/>
      <w:bookmarkStart w:id="197" w:name="_Toc2370"/>
      <w:r>
        <w:rPr>
          <w:rFonts w:hint="eastAsia" w:ascii="Calibri Light" w:hAnsi="Calibri Light"/>
          <w:color w:val="auto"/>
          <w:sz w:val="28"/>
          <w:szCs w:val="28"/>
        </w:rPr>
        <w:t>三、</w:t>
      </w:r>
      <w:r>
        <w:rPr>
          <w:rFonts w:ascii="Calibri Light" w:hAnsi="Calibri Light"/>
          <w:color w:val="auto"/>
          <w:sz w:val="28"/>
          <w:szCs w:val="28"/>
        </w:rPr>
        <w:t>款项结算</w:t>
      </w:r>
      <w:bookmarkEnd w:id="193"/>
      <w:bookmarkEnd w:id="194"/>
      <w:bookmarkEnd w:id="195"/>
      <w:bookmarkEnd w:id="196"/>
      <w:bookmarkEnd w:id="197"/>
    </w:p>
    <w:p>
      <w:pPr>
        <w:pStyle w:val="45"/>
        <w:spacing w:line="500" w:lineRule="exact"/>
        <w:ind w:firstLine="567"/>
        <w:rPr>
          <w:rFonts w:ascii="华文仿宋" w:hAnsi="华文仿宋" w:cs="华文仿宋"/>
          <w:color w:val="auto"/>
        </w:rPr>
      </w:pPr>
      <w:r>
        <w:rPr>
          <w:rFonts w:hint="eastAsia" w:ascii="华文仿宋" w:hAnsi="华文仿宋" w:cs="华文仿宋"/>
          <w:color w:val="auto"/>
        </w:rPr>
        <w:t>（一）支付方式：银行转账</w:t>
      </w:r>
    </w:p>
    <w:p>
      <w:pPr>
        <w:pStyle w:val="45"/>
        <w:spacing w:line="500" w:lineRule="exact"/>
        <w:ind w:firstLine="567"/>
        <w:rPr>
          <w:rFonts w:ascii="华文仿宋" w:hAnsi="华文仿宋" w:cs="华文仿宋"/>
          <w:color w:val="auto"/>
        </w:rPr>
      </w:pPr>
      <w:r>
        <w:rPr>
          <w:rFonts w:hint="eastAsia" w:ascii="华文仿宋" w:hAnsi="华文仿宋" w:cs="华文仿宋"/>
          <w:color w:val="auto"/>
        </w:rPr>
        <w:t>（二）货币单位：人民币</w:t>
      </w:r>
    </w:p>
    <w:p>
      <w:pPr>
        <w:spacing w:line="480" w:lineRule="exact"/>
        <w:ind w:firstLine="566" w:firstLineChars="200"/>
        <w:rPr>
          <w:rFonts w:hint="eastAsia" w:ascii="华文仿宋" w:hAnsi="华文仿宋" w:cs="华文仿宋"/>
          <w:color w:val="auto"/>
        </w:rPr>
      </w:pPr>
      <w:r>
        <w:rPr>
          <w:rFonts w:hint="eastAsia" w:ascii="华文仿宋" w:hAnsi="华文仿宋" w:cs="华文仿宋"/>
          <w:color w:val="auto"/>
        </w:rPr>
        <w:t>（三）结算方式：</w:t>
      </w:r>
      <w:bookmarkStart w:id="198" w:name="_Toc17983_WPSOffice_Level2"/>
      <w:bookmarkStart w:id="199" w:name="_Toc27759"/>
    </w:p>
    <w:p>
      <w:pPr>
        <w:pStyle w:val="2"/>
        <w:keepNext w:val="0"/>
        <w:keepLines w:val="0"/>
        <w:pageBreakBefore w:val="0"/>
        <w:widowControl w:val="0"/>
        <w:kinsoku/>
        <w:wordWrap/>
        <w:overflowPunct/>
        <w:topLinePunct w:val="0"/>
        <w:autoSpaceDE/>
        <w:autoSpaceDN/>
        <w:bidi w:val="0"/>
        <w:adjustRightInd/>
        <w:snapToGrid/>
        <w:spacing w:line="500" w:lineRule="exact"/>
        <w:ind w:firstLine="566" w:firstLineChars="200"/>
        <w:textAlignment w:val="auto"/>
        <w:rPr>
          <w:rFonts w:hint="eastAsia" w:ascii="仿宋" w:hAnsi="仿宋" w:eastAsia="仿宋" w:cs="仿宋"/>
          <w:color w:val="auto"/>
          <w:kern w:val="2"/>
          <w:sz w:val="28"/>
          <w:szCs w:val="28"/>
          <w:highlight w:val="none"/>
          <w:lang w:val="en-US" w:eastAsia="zh-CN" w:bidi="ar-SA"/>
        </w:rPr>
      </w:pPr>
      <w:r>
        <w:rPr>
          <w:rFonts w:hint="eastAsia" w:ascii="华文仿宋" w:hAnsi="华文仿宋" w:cs="华文仿宋"/>
          <w:color w:val="auto"/>
        </w:rPr>
        <w:t>竣工验收后付到合同价款的</w:t>
      </w:r>
      <w:r>
        <w:rPr>
          <w:rFonts w:hint="eastAsia" w:ascii="仿宋" w:hAnsi="仿宋" w:eastAsia="仿宋" w:cs="仿宋"/>
          <w:color w:val="auto"/>
        </w:rPr>
        <w:t>80%</w:t>
      </w:r>
      <w:r>
        <w:rPr>
          <w:rFonts w:hint="eastAsia" w:ascii="华文仿宋" w:hAnsi="华文仿宋" w:cs="华文仿宋"/>
          <w:color w:val="auto"/>
        </w:rPr>
        <w:t>，审计完毕付至审定价款的</w:t>
      </w:r>
      <w:r>
        <w:rPr>
          <w:rFonts w:hint="eastAsia" w:ascii="仿宋" w:hAnsi="仿宋" w:eastAsia="仿宋" w:cs="仿宋"/>
          <w:color w:val="auto"/>
        </w:rPr>
        <w:t>95%</w:t>
      </w:r>
      <w:r>
        <w:rPr>
          <w:rFonts w:hint="eastAsia" w:ascii="华文仿宋" w:hAnsi="华文仿宋" w:cs="华文仿宋"/>
          <w:color w:val="auto"/>
        </w:rPr>
        <w:t>，剩余</w:t>
      </w:r>
      <w:r>
        <w:rPr>
          <w:rFonts w:hint="eastAsia" w:ascii="仿宋" w:hAnsi="仿宋" w:eastAsia="仿宋" w:cs="仿宋"/>
          <w:color w:val="auto"/>
        </w:rPr>
        <w:t>5%</w:t>
      </w:r>
      <w:r>
        <w:rPr>
          <w:rFonts w:hint="eastAsia" w:ascii="华文仿宋" w:hAnsi="华文仿宋" w:cs="华文仿宋"/>
          <w:color w:val="auto"/>
        </w:rPr>
        <w:t>做为质保金</w:t>
      </w:r>
      <w:r>
        <w:rPr>
          <w:rFonts w:hint="eastAsia" w:ascii="华文仿宋" w:hAnsi="华文仿宋" w:cs="华文仿宋"/>
          <w:color w:val="auto"/>
          <w:lang w:eastAsia="zh-CN"/>
        </w:rPr>
        <w:t>，</w:t>
      </w:r>
      <w:r>
        <w:rPr>
          <w:rFonts w:hint="eastAsia" w:ascii="仿宋" w:hAnsi="仿宋" w:eastAsia="仿宋"/>
        </w:rPr>
        <w:t>质保期满后</w:t>
      </w:r>
      <w:r>
        <w:rPr>
          <w:rFonts w:hint="eastAsia" w:ascii="华文仿宋" w:hAnsi="华文仿宋" w:cs="华文仿宋"/>
          <w:color w:val="auto"/>
        </w:rPr>
        <w:t>无质量问题</w:t>
      </w:r>
      <w:r>
        <w:rPr>
          <w:rFonts w:hint="eastAsia" w:ascii="仿宋" w:hAnsi="仿宋" w:eastAsia="仿宋"/>
        </w:rPr>
        <w:t>，</w:t>
      </w:r>
      <w:r>
        <w:rPr>
          <w:rFonts w:hint="eastAsia" w:ascii="仿宋" w:hAnsi="仿宋" w:eastAsia="仿宋"/>
          <w:lang w:val="en-US" w:eastAsia="zh-CN"/>
        </w:rPr>
        <w:t>一次性</w:t>
      </w:r>
      <w:r>
        <w:rPr>
          <w:rFonts w:hint="eastAsia" w:ascii="仿宋" w:hAnsi="仿宋" w:eastAsia="仿宋"/>
        </w:rPr>
        <w:t>无息退还</w:t>
      </w:r>
      <w:r>
        <w:rPr>
          <w:rFonts w:hint="eastAsia" w:ascii="仿宋" w:hAnsi="仿宋" w:eastAsia="仿宋"/>
          <w:lang w:val="en-US" w:eastAsia="zh-CN"/>
        </w:rPr>
        <w:t>5%的</w:t>
      </w:r>
      <w:r>
        <w:rPr>
          <w:rFonts w:hint="eastAsia" w:ascii="仿宋" w:hAnsi="仿宋" w:eastAsia="仿宋"/>
        </w:rPr>
        <w:t>质保金。</w:t>
      </w:r>
    </w:p>
    <w:bookmarkEnd w:id="198"/>
    <w:bookmarkEnd w:id="199"/>
    <w:p>
      <w:pPr>
        <w:pStyle w:val="4"/>
        <w:spacing w:line="500" w:lineRule="exact"/>
        <w:ind w:left="566" w:leftChars="200"/>
        <w:rPr>
          <w:rFonts w:hint="eastAsia" w:ascii="Calibri Light" w:hAnsi="Calibri Light"/>
          <w:color w:val="auto"/>
          <w:sz w:val="28"/>
          <w:szCs w:val="28"/>
          <w:lang w:val="en-US" w:eastAsia="zh-CN"/>
        </w:rPr>
      </w:pPr>
      <w:bookmarkStart w:id="200" w:name="_Toc23466"/>
      <w:bookmarkStart w:id="201" w:name="_Toc29299"/>
      <w:bookmarkStart w:id="202" w:name="_Toc9859"/>
      <w:bookmarkStart w:id="203" w:name="_Toc8604"/>
      <w:bookmarkStart w:id="204" w:name="_Toc1013"/>
      <w:bookmarkStart w:id="205" w:name="_Toc18479"/>
      <w:bookmarkStart w:id="206" w:name="_Toc31253"/>
      <w:bookmarkStart w:id="207" w:name="_Toc1928"/>
      <w:bookmarkStart w:id="208" w:name="_Toc9670"/>
      <w:r>
        <w:rPr>
          <w:rFonts w:hint="eastAsia" w:ascii="Calibri Light" w:hAnsi="Calibri Light"/>
          <w:color w:val="auto"/>
          <w:sz w:val="28"/>
          <w:szCs w:val="28"/>
          <w:lang w:val="en-US" w:eastAsia="zh-CN"/>
        </w:rPr>
        <w:t>四、运输</w:t>
      </w:r>
      <w:bookmarkEnd w:id="200"/>
      <w:bookmarkEnd w:id="201"/>
    </w:p>
    <w:p>
      <w:pPr>
        <w:pStyle w:val="22"/>
        <w:keepNext w:val="0"/>
        <w:keepLines w:val="0"/>
        <w:pageBreakBefore w:val="0"/>
        <w:widowControl/>
        <w:kinsoku/>
        <w:wordWrap/>
        <w:overflowPunct/>
        <w:topLinePunct w:val="0"/>
        <w:autoSpaceDE/>
        <w:autoSpaceDN/>
        <w:bidi w:val="0"/>
        <w:adjustRightInd/>
        <w:snapToGrid/>
        <w:spacing w:after="0" w:line="500" w:lineRule="exact"/>
        <w:ind w:left="0" w:leftChars="0" w:firstLine="566" w:firstLineChars="200"/>
        <w:textAlignment w:val="auto"/>
        <w:rPr>
          <w:rFonts w:hint="eastAsia" w:ascii="仿宋" w:hAnsi="仿宋" w:eastAsia="仿宋" w:cs="Calibri Light"/>
          <w:kern w:val="2"/>
          <w:sz w:val="28"/>
          <w:szCs w:val="28"/>
          <w:lang w:val="en-US" w:eastAsia="zh-CN" w:bidi="ar-SA"/>
        </w:rPr>
      </w:pPr>
      <w:r>
        <w:rPr>
          <w:rFonts w:hint="eastAsia" w:ascii="仿宋" w:hAnsi="仿宋" w:eastAsia="仿宋" w:cs="Calibri Light"/>
          <w:kern w:val="2"/>
          <w:sz w:val="28"/>
          <w:szCs w:val="28"/>
          <w:lang w:val="en-US" w:eastAsia="zh-CN" w:bidi="ar-SA"/>
        </w:rPr>
        <w:t>1、运输由成交供应商负责，运杂费已包含在合同总价内。</w:t>
      </w:r>
    </w:p>
    <w:p>
      <w:pPr>
        <w:pStyle w:val="22"/>
        <w:keepNext w:val="0"/>
        <w:keepLines w:val="0"/>
        <w:pageBreakBefore w:val="0"/>
        <w:widowControl/>
        <w:kinsoku/>
        <w:wordWrap/>
        <w:overflowPunct/>
        <w:topLinePunct w:val="0"/>
        <w:autoSpaceDE/>
        <w:autoSpaceDN/>
        <w:bidi w:val="0"/>
        <w:adjustRightInd/>
        <w:snapToGrid/>
        <w:spacing w:after="0" w:line="500" w:lineRule="exact"/>
        <w:ind w:left="0" w:leftChars="0" w:firstLine="566" w:firstLineChars="200"/>
        <w:textAlignment w:val="auto"/>
        <w:rPr>
          <w:rFonts w:hint="eastAsia" w:ascii="仿宋" w:hAnsi="仿宋" w:eastAsia="仿宋" w:cs="Calibri Light"/>
          <w:kern w:val="2"/>
          <w:sz w:val="28"/>
          <w:szCs w:val="28"/>
          <w:lang w:val="en-US" w:eastAsia="zh-CN" w:bidi="ar-SA"/>
        </w:rPr>
      </w:pPr>
      <w:r>
        <w:rPr>
          <w:rFonts w:hint="eastAsia" w:ascii="仿宋" w:hAnsi="仿宋" w:eastAsia="仿宋" w:cs="Calibri Light"/>
          <w:kern w:val="2"/>
          <w:sz w:val="28"/>
          <w:szCs w:val="28"/>
          <w:lang w:val="en-US" w:eastAsia="zh-CN" w:bidi="ar-SA"/>
        </w:rPr>
        <w:t>2、运输方式由供应商自行选择，但必须保证按期交付。不得断货，因断货造成的损失由供货商负责赔偿。</w:t>
      </w:r>
    </w:p>
    <w:p>
      <w:pPr>
        <w:pStyle w:val="4"/>
        <w:spacing w:line="500" w:lineRule="exact"/>
        <w:ind w:left="566" w:leftChars="200"/>
        <w:rPr>
          <w:rFonts w:hint="eastAsia" w:ascii="Calibri Light" w:hAnsi="Calibri Light"/>
          <w:color w:val="auto"/>
          <w:sz w:val="28"/>
          <w:szCs w:val="28"/>
        </w:rPr>
      </w:pPr>
      <w:bookmarkStart w:id="209" w:name="_Toc21168"/>
      <w:r>
        <w:rPr>
          <w:rFonts w:hint="eastAsia" w:ascii="Calibri Light" w:hAnsi="Calibri Light"/>
          <w:color w:val="auto"/>
          <w:sz w:val="28"/>
          <w:szCs w:val="28"/>
        </w:rPr>
        <w:t>五、验收</w:t>
      </w:r>
      <w:bookmarkEnd w:id="209"/>
    </w:p>
    <w:p>
      <w:pPr>
        <w:pageBreakBefore w:val="0"/>
        <w:widowControl/>
        <w:kinsoku/>
        <w:wordWrap/>
        <w:overflowPunct/>
        <w:topLinePunct w:val="0"/>
        <w:autoSpaceDE/>
        <w:autoSpaceDN/>
        <w:bidi w:val="0"/>
        <w:adjustRightInd/>
        <w:snapToGrid/>
        <w:spacing w:line="500" w:lineRule="exact"/>
        <w:ind w:left="0" w:leftChars="0" w:firstLine="566" w:firstLineChars="200"/>
        <w:textAlignment w:val="auto"/>
        <w:rPr>
          <w:rFonts w:hint="eastAsia" w:ascii="华文仿宋" w:hAnsi="华文仿宋" w:cs="华文仿宋"/>
        </w:rPr>
      </w:pPr>
      <w:r>
        <w:rPr>
          <w:rFonts w:hint="eastAsia" w:ascii="华文仿宋" w:hAnsi="华文仿宋" w:cs="华文仿宋"/>
        </w:rPr>
        <w:t>产品经采购人根据合同要求，进行验收，确认规格和数量。验收依据：</w:t>
      </w:r>
    </w:p>
    <w:p>
      <w:pPr>
        <w:pStyle w:val="22"/>
        <w:keepNext w:val="0"/>
        <w:keepLines w:val="0"/>
        <w:pageBreakBefore w:val="0"/>
        <w:widowControl/>
        <w:kinsoku/>
        <w:wordWrap/>
        <w:overflowPunct/>
        <w:topLinePunct w:val="0"/>
        <w:autoSpaceDE/>
        <w:autoSpaceDN/>
        <w:bidi w:val="0"/>
        <w:adjustRightInd/>
        <w:snapToGrid/>
        <w:spacing w:after="0" w:line="500" w:lineRule="exact"/>
        <w:ind w:left="0" w:leftChars="0" w:firstLine="566" w:firstLineChars="200"/>
        <w:textAlignment w:val="auto"/>
        <w:rPr>
          <w:rFonts w:hint="eastAsia" w:ascii="华文仿宋" w:hAnsi="华文仿宋" w:eastAsia="华文仿宋" w:cs="华文仿宋"/>
          <w:color w:val="auto"/>
          <w:kern w:val="2"/>
          <w:sz w:val="28"/>
          <w:szCs w:val="28"/>
          <w:lang w:val="en-US" w:eastAsia="zh-CN" w:bidi="ar-SA"/>
        </w:rPr>
      </w:pPr>
      <w:r>
        <w:rPr>
          <w:rFonts w:hint="eastAsia" w:ascii="华文仿宋" w:hAnsi="华文仿宋" w:cs="华文仿宋"/>
          <w:color w:val="auto"/>
          <w:kern w:val="2"/>
          <w:sz w:val="28"/>
          <w:szCs w:val="28"/>
          <w:lang w:val="en-US" w:eastAsia="zh-CN" w:bidi="ar-SA"/>
        </w:rPr>
        <w:t>1</w:t>
      </w:r>
      <w:r>
        <w:rPr>
          <w:rFonts w:hint="eastAsia" w:ascii="华文仿宋" w:hAnsi="华文仿宋" w:eastAsia="华文仿宋" w:cs="华文仿宋"/>
          <w:color w:val="auto"/>
          <w:kern w:val="2"/>
          <w:sz w:val="28"/>
          <w:szCs w:val="28"/>
          <w:lang w:val="en-US" w:eastAsia="zh-CN" w:bidi="ar-SA"/>
        </w:rPr>
        <w:t>、磋商文件、响应文件、澄清表（函）；</w:t>
      </w:r>
    </w:p>
    <w:p>
      <w:pPr>
        <w:pStyle w:val="22"/>
        <w:keepNext w:val="0"/>
        <w:keepLines w:val="0"/>
        <w:pageBreakBefore w:val="0"/>
        <w:widowControl/>
        <w:kinsoku/>
        <w:wordWrap/>
        <w:overflowPunct/>
        <w:topLinePunct w:val="0"/>
        <w:autoSpaceDE/>
        <w:autoSpaceDN/>
        <w:bidi w:val="0"/>
        <w:adjustRightInd/>
        <w:snapToGrid/>
        <w:spacing w:after="0" w:line="500" w:lineRule="exact"/>
        <w:ind w:left="0" w:leftChars="0" w:firstLine="566" w:firstLineChars="200"/>
        <w:textAlignment w:val="auto"/>
        <w:rPr>
          <w:rFonts w:hint="eastAsia" w:ascii="华文仿宋" w:hAnsi="华文仿宋" w:cs="华文仿宋"/>
          <w:color w:val="auto"/>
          <w:kern w:val="2"/>
          <w:sz w:val="28"/>
          <w:szCs w:val="28"/>
          <w:lang w:val="en-US" w:eastAsia="zh-CN" w:bidi="ar-SA"/>
        </w:rPr>
      </w:pPr>
      <w:r>
        <w:rPr>
          <w:rFonts w:hint="eastAsia" w:ascii="华文仿宋" w:hAnsi="华文仿宋" w:cs="华文仿宋"/>
          <w:color w:val="auto"/>
          <w:kern w:val="2"/>
          <w:sz w:val="28"/>
          <w:szCs w:val="28"/>
          <w:lang w:val="en-US" w:eastAsia="zh-CN" w:bidi="ar-SA"/>
        </w:rPr>
        <w:t>2、国家相应的标准、规范。</w:t>
      </w:r>
    </w:p>
    <w:p>
      <w:pPr>
        <w:pStyle w:val="4"/>
        <w:pageBreakBefore w:val="0"/>
        <w:widowControl/>
        <w:kinsoku/>
        <w:wordWrap/>
        <w:overflowPunct/>
        <w:topLinePunct w:val="0"/>
        <w:autoSpaceDE/>
        <w:autoSpaceDN/>
        <w:bidi w:val="0"/>
        <w:adjustRightInd/>
        <w:snapToGrid/>
        <w:spacing w:line="500" w:lineRule="exact"/>
        <w:ind w:left="0" w:leftChars="0" w:firstLine="566" w:firstLineChars="200"/>
        <w:textAlignment w:val="auto"/>
        <w:rPr>
          <w:rFonts w:hint="eastAsia" w:ascii="华文仿宋" w:hAnsi="华文仿宋" w:cs="华文仿宋"/>
          <w:b w:val="0"/>
          <w:bCs w:val="0"/>
          <w:color w:val="auto"/>
          <w:kern w:val="2"/>
          <w:sz w:val="28"/>
          <w:szCs w:val="28"/>
          <w:lang w:val="en-US" w:eastAsia="zh-CN" w:bidi="ar-SA"/>
        </w:rPr>
      </w:pPr>
      <w:bookmarkStart w:id="210" w:name="_Toc8526"/>
      <w:r>
        <w:rPr>
          <w:rFonts w:hint="eastAsia" w:ascii="华文仿宋" w:hAnsi="华文仿宋" w:cs="华文仿宋"/>
          <w:b w:val="0"/>
          <w:bCs w:val="0"/>
          <w:color w:val="auto"/>
          <w:kern w:val="2"/>
          <w:sz w:val="28"/>
          <w:szCs w:val="28"/>
          <w:lang w:val="en-US" w:eastAsia="zh-CN" w:bidi="ar-SA"/>
        </w:rPr>
        <w:t>3、验收时，产品质量要与样品保持一致。</w:t>
      </w:r>
      <w:bookmarkEnd w:id="210"/>
    </w:p>
    <w:p>
      <w:pPr>
        <w:pStyle w:val="4"/>
        <w:spacing w:line="500" w:lineRule="exact"/>
        <w:ind w:left="566" w:leftChars="200"/>
        <w:rPr>
          <w:rFonts w:hint="eastAsia" w:ascii="Calibri Light" w:hAnsi="Calibri Light"/>
          <w:color w:val="auto"/>
          <w:sz w:val="28"/>
          <w:szCs w:val="28"/>
          <w:lang w:val="en-US" w:eastAsia="zh-CN"/>
        </w:rPr>
      </w:pPr>
      <w:bookmarkStart w:id="211" w:name="_Toc12255"/>
      <w:r>
        <w:rPr>
          <w:rFonts w:hint="eastAsia" w:ascii="Calibri Light" w:hAnsi="Calibri Light"/>
          <w:color w:val="auto"/>
          <w:sz w:val="28"/>
          <w:szCs w:val="28"/>
          <w:lang w:val="en-US" w:eastAsia="zh-CN"/>
        </w:rPr>
        <w:t>六、质量保修</w:t>
      </w:r>
      <w:bookmarkEnd w:id="211"/>
    </w:p>
    <w:p>
      <w:pPr>
        <w:keepNext w:val="0"/>
        <w:keepLines w:val="0"/>
        <w:pageBreakBefore w:val="0"/>
        <w:widowControl/>
        <w:kinsoku/>
        <w:wordWrap/>
        <w:overflowPunct/>
        <w:topLinePunct w:val="0"/>
        <w:autoSpaceDE/>
        <w:autoSpaceDN/>
        <w:bidi w:val="0"/>
        <w:adjustRightInd/>
        <w:snapToGrid w:val="0"/>
        <w:spacing w:line="500" w:lineRule="exact"/>
        <w:ind w:firstLine="566" w:firstLineChars="200"/>
        <w:textAlignment w:val="auto"/>
        <w:rPr>
          <w:rFonts w:hint="eastAsia" w:ascii="华文仿宋" w:hAnsi="华文仿宋" w:eastAsia="华文仿宋" w:cs="华文仿宋"/>
          <w:color w:val="auto"/>
          <w:kern w:val="2"/>
          <w:sz w:val="28"/>
          <w:szCs w:val="28"/>
          <w:lang w:val="en-US" w:eastAsia="zh-CN" w:bidi="ar-SA"/>
        </w:rPr>
      </w:pPr>
      <w:r>
        <w:rPr>
          <w:rFonts w:hint="eastAsia" w:ascii="华文仿宋" w:hAnsi="华文仿宋" w:cs="华文仿宋"/>
          <w:color w:val="auto"/>
          <w:kern w:val="2"/>
          <w:sz w:val="28"/>
          <w:szCs w:val="28"/>
          <w:lang w:val="en-US" w:eastAsia="zh-CN" w:bidi="ar-SA"/>
        </w:rPr>
        <w:t>1、</w:t>
      </w:r>
      <w:r>
        <w:rPr>
          <w:rFonts w:hint="eastAsia" w:ascii="华文仿宋" w:hAnsi="华文仿宋" w:eastAsia="华文仿宋" w:cs="华文仿宋"/>
          <w:color w:val="auto"/>
          <w:kern w:val="2"/>
          <w:sz w:val="28"/>
          <w:szCs w:val="28"/>
          <w:lang w:val="en-US" w:eastAsia="zh-CN" w:bidi="ar-SA"/>
        </w:rPr>
        <w:t>属于保修范围和内容的项目，</w:t>
      </w:r>
      <w:r>
        <w:rPr>
          <w:rFonts w:hint="eastAsia" w:ascii="华文仿宋" w:hAnsi="华文仿宋" w:cs="华文仿宋"/>
          <w:color w:val="auto"/>
          <w:kern w:val="2"/>
          <w:sz w:val="28"/>
          <w:szCs w:val="28"/>
          <w:lang w:val="en-US" w:eastAsia="zh-CN" w:bidi="ar-SA"/>
        </w:rPr>
        <w:t>成交供应商</w:t>
      </w:r>
      <w:r>
        <w:rPr>
          <w:rFonts w:hint="eastAsia" w:ascii="华文仿宋" w:hAnsi="华文仿宋" w:eastAsia="华文仿宋" w:cs="华文仿宋"/>
          <w:color w:val="auto"/>
          <w:kern w:val="2"/>
          <w:sz w:val="28"/>
          <w:szCs w:val="28"/>
          <w:lang w:val="en-US" w:eastAsia="zh-CN" w:bidi="ar-SA"/>
        </w:rPr>
        <w:t>应在接到修理通知之日后</w:t>
      </w:r>
      <w:r>
        <w:rPr>
          <w:rFonts w:hint="eastAsia" w:ascii="仿宋" w:hAnsi="仿宋" w:eastAsia="仿宋" w:cs="仿宋"/>
          <w:color w:val="auto"/>
          <w:kern w:val="2"/>
          <w:sz w:val="28"/>
          <w:szCs w:val="28"/>
          <w:lang w:val="en-US" w:eastAsia="zh-CN" w:bidi="ar-SA"/>
        </w:rPr>
        <w:t>2</w:t>
      </w:r>
      <w:r>
        <w:rPr>
          <w:rFonts w:hint="eastAsia" w:ascii="华文仿宋" w:hAnsi="华文仿宋" w:eastAsia="华文仿宋" w:cs="华文仿宋"/>
          <w:color w:val="auto"/>
          <w:kern w:val="2"/>
          <w:sz w:val="28"/>
          <w:szCs w:val="28"/>
          <w:lang w:val="en-US" w:eastAsia="zh-CN" w:bidi="ar-SA"/>
        </w:rPr>
        <w:t>天内派人修理。</w:t>
      </w:r>
      <w:r>
        <w:rPr>
          <w:rFonts w:hint="eastAsia" w:ascii="华文仿宋" w:hAnsi="华文仿宋" w:cs="华文仿宋"/>
          <w:color w:val="auto"/>
          <w:kern w:val="2"/>
          <w:sz w:val="28"/>
          <w:szCs w:val="28"/>
          <w:lang w:val="en-US" w:eastAsia="zh-CN" w:bidi="ar-SA"/>
        </w:rPr>
        <w:t>成交供应商</w:t>
      </w:r>
      <w:r>
        <w:rPr>
          <w:rFonts w:hint="eastAsia" w:ascii="华文仿宋" w:hAnsi="华文仿宋" w:eastAsia="华文仿宋" w:cs="华文仿宋"/>
          <w:color w:val="auto"/>
          <w:kern w:val="2"/>
          <w:sz w:val="28"/>
          <w:szCs w:val="28"/>
          <w:lang w:val="en-US" w:eastAsia="zh-CN" w:bidi="ar-SA"/>
        </w:rPr>
        <w:t>不在约定期限内派人修理，</w:t>
      </w:r>
      <w:r>
        <w:rPr>
          <w:rFonts w:hint="eastAsia" w:ascii="华文仿宋" w:hAnsi="华文仿宋" w:cs="华文仿宋"/>
          <w:color w:val="auto"/>
          <w:kern w:val="2"/>
          <w:sz w:val="28"/>
          <w:szCs w:val="28"/>
          <w:lang w:val="en-US" w:eastAsia="zh-CN" w:bidi="ar-SA"/>
        </w:rPr>
        <w:t>采购</w:t>
      </w:r>
      <w:r>
        <w:rPr>
          <w:rFonts w:hint="eastAsia" w:ascii="华文仿宋" w:hAnsi="华文仿宋" w:eastAsia="华文仿宋" w:cs="华文仿宋"/>
          <w:color w:val="auto"/>
          <w:kern w:val="2"/>
          <w:sz w:val="28"/>
          <w:szCs w:val="28"/>
          <w:lang w:val="en-US" w:eastAsia="zh-CN" w:bidi="ar-SA"/>
        </w:rPr>
        <w:t xml:space="preserve">人可委托其他人员修理，保修费用从质量保修金内扣除。 </w:t>
      </w:r>
    </w:p>
    <w:p>
      <w:pPr>
        <w:keepNext w:val="0"/>
        <w:keepLines w:val="0"/>
        <w:pageBreakBefore w:val="0"/>
        <w:widowControl/>
        <w:kinsoku/>
        <w:wordWrap/>
        <w:overflowPunct/>
        <w:topLinePunct w:val="0"/>
        <w:autoSpaceDE/>
        <w:autoSpaceDN/>
        <w:bidi w:val="0"/>
        <w:adjustRightInd/>
        <w:snapToGrid w:val="0"/>
        <w:spacing w:line="500" w:lineRule="exact"/>
        <w:ind w:firstLine="566" w:firstLineChars="200"/>
        <w:textAlignment w:val="auto"/>
        <w:rPr>
          <w:rFonts w:hint="eastAsia" w:ascii="华文仿宋" w:hAnsi="华文仿宋" w:eastAsia="华文仿宋" w:cs="华文仿宋"/>
          <w:color w:val="auto"/>
          <w:kern w:val="2"/>
          <w:sz w:val="28"/>
          <w:szCs w:val="28"/>
          <w:lang w:val="en-US" w:eastAsia="zh-CN" w:bidi="ar-SA"/>
        </w:rPr>
      </w:pPr>
      <w:r>
        <w:rPr>
          <w:rFonts w:hint="eastAsia" w:ascii="华文仿宋" w:hAnsi="华文仿宋" w:eastAsia="华文仿宋" w:cs="华文仿宋"/>
          <w:color w:val="auto"/>
          <w:kern w:val="2"/>
          <w:sz w:val="28"/>
          <w:szCs w:val="28"/>
          <w:lang w:val="en-US" w:eastAsia="zh-CN" w:bidi="ar-SA"/>
        </w:rPr>
        <w:t>2、发生须紧急抢修事故（如上水跑水、暖气漏水漏气、燃气漏气等），</w:t>
      </w:r>
      <w:r>
        <w:rPr>
          <w:rFonts w:hint="eastAsia" w:ascii="华文仿宋" w:hAnsi="华文仿宋" w:cs="华文仿宋"/>
          <w:color w:val="auto"/>
          <w:kern w:val="2"/>
          <w:sz w:val="28"/>
          <w:szCs w:val="28"/>
          <w:lang w:val="en-US" w:eastAsia="zh-CN" w:bidi="ar-SA"/>
        </w:rPr>
        <w:t>成交供应商</w:t>
      </w:r>
      <w:r>
        <w:rPr>
          <w:rFonts w:hint="eastAsia" w:ascii="华文仿宋" w:hAnsi="华文仿宋" w:eastAsia="华文仿宋" w:cs="华文仿宋"/>
          <w:color w:val="auto"/>
          <w:kern w:val="2"/>
          <w:sz w:val="28"/>
          <w:szCs w:val="28"/>
          <w:lang w:val="en-US" w:eastAsia="zh-CN" w:bidi="ar-SA"/>
        </w:rPr>
        <w:t>接到事故通知后，应立即到达事故现场抢修。非</w:t>
      </w:r>
      <w:r>
        <w:rPr>
          <w:rFonts w:hint="eastAsia" w:ascii="华文仿宋" w:hAnsi="华文仿宋" w:cs="华文仿宋"/>
          <w:color w:val="auto"/>
          <w:kern w:val="2"/>
          <w:sz w:val="28"/>
          <w:szCs w:val="28"/>
          <w:lang w:val="en-US" w:eastAsia="zh-CN" w:bidi="ar-SA"/>
        </w:rPr>
        <w:t>成交供应商</w:t>
      </w:r>
      <w:r>
        <w:rPr>
          <w:rFonts w:hint="eastAsia" w:ascii="华文仿宋" w:hAnsi="华文仿宋" w:eastAsia="华文仿宋" w:cs="华文仿宋"/>
          <w:color w:val="auto"/>
          <w:kern w:val="2"/>
          <w:sz w:val="28"/>
          <w:szCs w:val="28"/>
          <w:lang w:val="en-US" w:eastAsia="zh-CN" w:bidi="ar-SA"/>
        </w:rPr>
        <w:t>施工质量引起的事故，抢修费用由</w:t>
      </w:r>
      <w:r>
        <w:rPr>
          <w:rFonts w:hint="eastAsia" w:ascii="华文仿宋" w:hAnsi="华文仿宋" w:cs="华文仿宋"/>
          <w:color w:val="auto"/>
          <w:kern w:val="2"/>
          <w:sz w:val="28"/>
          <w:szCs w:val="28"/>
          <w:lang w:val="en-US" w:eastAsia="zh-CN" w:bidi="ar-SA"/>
        </w:rPr>
        <w:t>采购人</w:t>
      </w:r>
      <w:r>
        <w:rPr>
          <w:rFonts w:hint="eastAsia" w:ascii="华文仿宋" w:hAnsi="华文仿宋" w:eastAsia="华文仿宋" w:cs="华文仿宋"/>
          <w:color w:val="auto"/>
          <w:kern w:val="2"/>
          <w:sz w:val="28"/>
          <w:szCs w:val="28"/>
          <w:lang w:val="en-US" w:eastAsia="zh-CN" w:bidi="ar-SA"/>
        </w:rPr>
        <w:t xml:space="preserve">承担。 </w:t>
      </w:r>
    </w:p>
    <w:p>
      <w:pPr>
        <w:keepNext w:val="0"/>
        <w:keepLines w:val="0"/>
        <w:pageBreakBefore w:val="0"/>
        <w:widowControl/>
        <w:kinsoku/>
        <w:wordWrap/>
        <w:overflowPunct/>
        <w:topLinePunct w:val="0"/>
        <w:autoSpaceDE/>
        <w:autoSpaceDN/>
        <w:bidi w:val="0"/>
        <w:adjustRightInd/>
        <w:snapToGrid w:val="0"/>
        <w:spacing w:line="500" w:lineRule="exact"/>
        <w:ind w:firstLine="566" w:firstLineChars="200"/>
        <w:textAlignment w:val="auto"/>
        <w:rPr>
          <w:rFonts w:hint="eastAsia" w:ascii="华文仿宋" w:hAnsi="华文仿宋" w:eastAsia="华文仿宋" w:cs="华文仿宋"/>
          <w:color w:val="auto"/>
          <w:kern w:val="2"/>
          <w:sz w:val="28"/>
          <w:szCs w:val="28"/>
          <w:lang w:val="zh-CN" w:eastAsia="zh-CN" w:bidi="ar-SA"/>
        </w:rPr>
      </w:pPr>
      <w:r>
        <w:rPr>
          <w:rFonts w:hint="eastAsia" w:ascii="华文仿宋" w:hAnsi="华文仿宋" w:eastAsia="华文仿宋" w:cs="华文仿宋"/>
          <w:color w:val="auto"/>
          <w:kern w:val="2"/>
          <w:sz w:val="28"/>
          <w:szCs w:val="28"/>
          <w:lang w:val="en-US" w:eastAsia="zh-CN" w:bidi="ar-SA"/>
        </w:rPr>
        <w:t>3、在国家规定的工程合理使用期限内，</w:t>
      </w:r>
      <w:r>
        <w:rPr>
          <w:rFonts w:hint="eastAsia" w:ascii="华文仿宋" w:hAnsi="华文仿宋" w:cs="华文仿宋"/>
          <w:color w:val="auto"/>
          <w:kern w:val="2"/>
          <w:sz w:val="28"/>
          <w:szCs w:val="28"/>
          <w:lang w:val="en-US" w:eastAsia="zh-CN" w:bidi="ar-SA"/>
        </w:rPr>
        <w:t>成交供应商</w:t>
      </w:r>
      <w:r>
        <w:rPr>
          <w:rFonts w:hint="eastAsia" w:ascii="华文仿宋" w:hAnsi="华文仿宋" w:eastAsia="华文仿宋" w:cs="华文仿宋"/>
          <w:color w:val="auto"/>
          <w:kern w:val="2"/>
          <w:sz w:val="28"/>
          <w:szCs w:val="28"/>
          <w:lang w:val="en-US" w:eastAsia="zh-CN" w:bidi="ar-SA"/>
        </w:rPr>
        <w:t>确保地基基础工程和主体结构的质量。因</w:t>
      </w:r>
      <w:r>
        <w:rPr>
          <w:rFonts w:hint="eastAsia" w:ascii="华文仿宋" w:hAnsi="华文仿宋" w:cs="华文仿宋"/>
          <w:color w:val="auto"/>
          <w:kern w:val="2"/>
          <w:sz w:val="28"/>
          <w:szCs w:val="28"/>
          <w:lang w:val="en-US" w:eastAsia="zh-CN" w:bidi="ar-SA"/>
        </w:rPr>
        <w:t>成交供应商</w:t>
      </w:r>
      <w:r>
        <w:rPr>
          <w:rFonts w:hint="eastAsia" w:ascii="华文仿宋" w:hAnsi="华文仿宋" w:eastAsia="华文仿宋" w:cs="华文仿宋"/>
          <w:color w:val="auto"/>
          <w:kern w:val="2"/>
          <w:sz w:val="28"/>
          <w:szCs w:val="28"/>
          <w:lang w:val="en-US" w:eastAsia="zh-CN" w:bidi="ar-SA"/>
        </w:rPr>
        <w:t>原因致使工程在合理使用期限内造成人身和财产损害的，</w:t>
      </w:r>
      <w:r>
        <w:rPr>
          <w:rFonts w:hint="eastAsia" w:ascii="华文仿宋" w:hAnsi="华文仿宋" w:cs="华文仿宋"/>
          <w:color w:val="auto"/>
          <w:kern w:val="2"/>
          <w:sz w:val="28"/>
          <w:szCs w:val="28"/>
          <w:lang w:val="en-US" w:eastAsia="zh-CN" w:bidi="ar-SA"/>
        </w:rPr>
        <w:t>成交供应商</w:t>
      </w:r>
      <w:r>
        <w:rPr>
          <w:rFonts w:hint="eastAsia" w:ascii="华文仿宋" w:hAnsi="华文仿宋" w:eastAsia="华文仿宋" w:cs="华文仿宋"/>
          <w:color w:val="auto"/>
          <w:kern w:val="2"/>
          <w:sz w:val="28"/>
          <w:szCs w:val="28"/>
          <w:lang w:val="en-US" w:eastAsia="zh-CN" w:bidi="ar-SA"/>
        </w:rPr>
        <w:t xml:space="preserve">应承担损害赔偿责任。 </w:t>
      </w:r>
    </w:p>
    <w:p>
      <w:pPr>
        <w:keepNext w:val="0"/>
        <w:keepLines w:val="0"/>
        <w:pageBreakBefore w:val="0"/>
        <w:widowControl/>
        <w:kinsoku/>
        <w:wordWrap/>
        <w:overflowPunct/>
        <w:topLinePunct w:val="0"/>
        <w:autoSpaceDE/>
        <w:autoSpaceDN/>
        <w:bidi w:val="0"/>
        <w:adjustRightInd/>
        <w:snapToGrid w:val="0"/>
        <w:spacing w:line="500" w:lineRule="exact"/>
        <w:ind w:firstLine="566" w:firstLineChars="200"/>
        <w:textAlignment w:val="auto"/>
        <w:rPr>
          <w:rFonts w:hint="eastAsia" w:ascii="华文仿宋" w:hAnsi="华文仿宋" w:eastAsia="华文仿宋" w:cs="华文仿宋"/>
          <w:color w:val="auto"/>
          <w:kern w:val="2"/>
          <w:sz w:val="28"/>
          <w:szCs w:val="28"/>
          <w:lang w:val="en-US" w:eastAsia="zh-CN" w:bidi="ar-SA"/>
        </w:rPr>
      </w:pPr>
      <w:r>
        <w:rPr>
          <w:rFonts w:hint="eastAsia" w:ascii="华文仿宋" w:hAnsi="华文仿宋" w:cs="华文仿宋"/>
          <w:color w:val="auto"/>
          <w:kern w:val="2"/>
          <w:sz w:val="28"/>
          <w:szCs w:val="28"/>
          <w:lang w:val="en-US" w:eastAsia="zh-CN" w:bidi="ar-SA"/>
        </w:rPr>
        <w:t>4</w:t>
      </w:r>
      <w:r>
        <w:rPr>
          <w:rFonts w:hint="eastAsia" w:ascii="华文仿宋" w:hAnsi="华文仿宋" w:eastAsia="华文仿宋" w:cs="华文仿宋"/>
          <w:color w:val="auto"/>
          <w:kern w:val="2"/>
          <w:sz w:val="28"/>
          <w:szCs w:val="28"/>
          <w:lang w:val="en-US" w:eastAsia="zh-CN" w:bidi="ar-SA"/>
        </w:rPr>
        <w:t>、属于保修范围和内容的项目，</w:t>
      </w:r>
      <w:r>
        <w:rPr>
          <w:rFonts w:hint="eastAsia" w:ascii="华文仿宋" w:hAnsi="华文仿宋" w:cs="华文仿宋"/>
          <w:color w:val="auto"/>
          <w:kern w:val="2"/>
          <w:sz w:val="28"/>
          <w:szCs w:val="28"/>
          <w:lang w:val="en-US" w:eastAsia="zh-CN" w:bidi="ar-SA"/>
        </w:rPr>
        <w:t>成交供应商</w:t>
      </w:r>
      <w:r>
        <w:rPr>
          <w:rFonts w:hint="eastAsia" w:ascii="华文仿宋" w:hAnsi="华文仿宋" w:eastAsia="华文仿宋" w:cs="华文仿宋"/>
          <w:color w:val="auto"/>
          <w:kern w:val="2"/>
          <w:sz w:val="28"/>
          <w:szCs w:val="28"/>
          <w:lang w:val="en-US" w:eastAsia="zh-CN" w:bidi="ar-SA"/>
        </w:rPr>
        <w:t>应在接到修理通知之日后7天内派人修理。</w:t>
      </w:r>
      <w:r>
        <w:rPr>
          <w:rFonts w:hint="eastAsia" w:ascii="华文仿宋" w:hAnsi="华文仿宋" w:cs="华文仿宋"/>
          <w:color w:val="auto"/>
          <w:kern w:val="2"/>
          <w:sz w:val="28"/>
          <w:szCs w:val="28"/>
          <w:lang w:val="en-US" w:eastAsia="zh-CN" w:bidi="ar-SA"/>
        </w:rPr>
        <w:t>成交供应商</w:t>
      </w:r>
      <w:r>
        <w:rPr>
          <w:rFonts w:hint="eastAsia" w:ascii="华文仿宋" w:hAnsi="华文仿宋" w:eastAsia="华文仿宋" w:cs="华文仿宋"/>
          <w:color w:val="auto"/>
          <w:kern w:val="2"/>
          <w:sz w:val="28"/>
          <w:szCs w:val="28"/>
          <w:lang w:val="en-US" w:eastAsia="zh-CN" w:bidi="ar-SA"/>
        </w:rPr>
        <w:t>不在约定期限内派人修理，</w:t>
      </w:r>
      <w:r>
        <w:rPr>
          <w:rFonts w:hint="eastAsia" w:ascii="华文仿宋" w:hAnsi="华文仿宋" w:cs="华文仿宋"/>
          <w:color w:val="auto"/>
          <w:kern w:val="2"/>
          <w:sz w:val="28"/>
          <w:szCs w:val="28"/>
          <w:lang w:val="en-US" w:eastAsia="zh-CN" w:bidi="ar-SA"/>
        </w:rPr>
        <w:t>采购人</w:t>
      </w:r>
      <w:r>
        <w:rPr>
          <w:rFonts w:hint="eastAsia" w:ascii="华文仿宋" w:hAnsi="华文仿宋" w:eastAsia="华文仿宋" w:cs="华文仿宋"/>
          <w:color w:val="auto"/>
          <w:kern w:val="2"/>
          <w:sz w:val="28"/>
          <w:szCs w:val="28"/>
          <w:lang w:val="en-US" w:eastAsia="zh-CN" w:bidi="ar-SA"/>
        </w:rPr>
        <w:t xml:space="preserve">可委托其他人员修理，保修费用从质量保修金内扣除。 </w:t>
      </w:r>
    </w:p>
    <w:p>
      <w:pPr>
        <w:keepNext w:val="0"/>
        <w:keepLines w:val="0"/>
        <w:pageBreakBefore w:val="0"/>
        <w:widowControl/>
        <w:kinsoku/>
        <w:wordWrap/>
        <w:overflowPunct/>
        <w:topLinePunct w:val="0"/>
        <w:autoSpaceDE/>
        <w:autoSpaceDN/>
        <w:bidi w:val="0"/>
        <w:adjustRightInd/>
        <w:snapToGrid w:val="0"/>
        <w:spacing w:line="500" w:lineRule="exact"/>
        <w:ind w:firstLine="566" w:firstLineChars="200"/>
        <w:textAlignment w:val="auto"/>
        <w:rPr>
          <w:rFonts w:hint="eastAsia" w:ascii="华文仿宋" w:hAnsi="华文仿宋" w:eastAsia="华文仿宋" w:cs="华文仿宋"/>
          <w:color w:val="auto"/>
          <w:kern w:val="2"/>
          <w:sz w:val="28"/>
          <w:szCs w:val="28"/>
          <w:lang w:val="en-US" w:eastAsia="zh-CN" w:bidi="ar-SA"/>
        </w:rPr>
      </w:pPr>
      <w:r>
        <w:rPr>
          <w:rFonts w:hint="eastAsia" w:ascii="华文仿宋" w:hAnsi="华文仿宋" w:cs="华文仿宋"/>
          <w:color w:val="auto"/>
          <w:kern w:val="2"/>
          <w:sz w:val="28"/>
          <w:szCs w:val="28"/>
          <w:lang w:val="en-US" w:eastAsia="zh-CN" w:bidi="ar-SA"/>
        </w:rPr>
        <w:t>5</w:t>
      </w:r>
      <w:r>
        <w:rPr>
          <w:rFonts w:hint="eastAsia" w:ascii="华文仿宋" w:hAnsi="华文仿宋" w:eastAsia="华文仿宋" w:cs="华文仿宋"/>
          <w:color w:val="auto"/>
          <w:kern w:val="2"/>
          <w:sz w:val="28"/>
          <w:szCs w:val="28"/>
          <w:lang w:val="en-US" w:eastAsia="zh-CN" w:bidi="ar-SA"/>
        </w:rPr>
        <w:t>、发生须紧急抢修事故（如上水跑水、暖气漏水漏气、燃气漏气等），</w:t>
      </w:r>
      <w:r>
        <w:rPr>
          <w:rFonts w:hint="eastAsia" w:ascii="华文仿宋" w:hAnsi="华文仿宋" w:cs="华文仿宋"/>
          <w:color w:val="auto"/>
          <w:kern w:val="2"/>
          <w:sz w:val="28"/>
          <w:szCs w:val="28"/>
          <w:lang w:val="en-US" w:eastAsia="zh-CN" w:bidi="ar-SA"/>
        </w:rPr>
        <w:t>成交供应商</w:t>
      </w:r>
      <w:r>
        <w:rPr>
          <w:rFonts w:hint="eastAsia" w:ascii="华文仿宋" w:hAnsi="华文仿宋" w:eastAsia="华文仿宋" w:cs="华文仿宋"/>
          <w:color w:val="auto"/>
          <w:kern w:val="2"/>
          <w:sz w:val="28"/>
          <w:szCs w:val="28"/>
          <w:lang w:val="en-US" w:eastAsia="zh-CN" w:bidi="ar-SA"/>
        </w:rPr>
        <w:t>接到事故通知后，应立即到达事故现场抢修。非</w:t>
      </w:r>
      <w:r>
        <w:rPr>
          <w:rFonts w:hint="eastAsia" w:ascii="华文仿宋" w:hAnsi="华文仿宋" w:cs="华文仿宋"/>
          <w:color w:val="auto"/>
          <w:kern w:val="2"/>
          <w:sz w:val="28"/>
          <w:szCs w:val="28"/>
          <w:lang w:val="en-US" w:eastAsia="zh-CN" w:bidi="ar-SA"/>
        </w:rPr>
        <w:t>成交供应商</w:t>
      </w:r>
      <w:r>
        <w:rPr>
          <w:rFonts w:hint="eastAsia" w:ascii="华文仿宋" w:hAnsi="华文仿宋" w:eastAsia="华文仿宋" w:cs="华文仿宋"/>
          <w:color w:val="auto"/>
          <w:kern w:val="2"/>
          <w:sz w:val="28"/>
          <w:szCs w:val="28"/>
          <w:lang w:val="en-US" w:eastAsia="zh-CN" w:bidi="ar-SA"/>
        </w:rPr>
        <w:t>施工质量引起的事故，抢修费用由</w:t>
      </w:r>
      <w:r>
        <w:rPr>
          <w:rFonts w:hint="eastAsia" w:ascii="华文仿宋" w:hAnsi="华文仿宋" w:cs="华文仿宋"/>
          <w:color w:val="auto"/>
          <w:kern w:val="2"/>
          <w:sz w:val="28"/>
          <w:szCs w:val="28"/>
          <w:lang w:val="en-US" w:eastAsia="zh-CN" w:bidi="ar-SA"/>
        </w:rPr>
        <w:t>采购人</w:t>
      </w:r>
      <w:r>
        <w:rPr>
          <w:rFonts w:hint="eastAsia" w:ascii="华文仿宋" w:hAnsi="华文仿宋" w:eastAsia="华文仿宋" w:cs="华文仿宋"/>
          <w:color w:val="auto"/>
          <w:kern w:val="2"/>
          <w:sz w:val="28"/>
          <w:szCs w:val="28"/>
          <w:lang w:val="en-US" w:eastAsia="zh-CN" w:bidi="ar-SA"/>
        </w:rPr>
        <w:t xml:space="preserve">承担。 </w:t>
      </w:r>
    </w:p>
    <w:p>
      <w:pPr>
        <w:keepNext w:val="0"/>
        <w:keepLines w:val="0"/>
        <w:pageBreakBefore w:val="0"/>
        <w:widowControl/>
        <w:kinsoku/>
        <w:wordWrap/>
        <w:overflowPunct/>
        <w:topLinePunct w:val="0"/>
        <w:autoSpaceDE/>
        <w:autoSpaceDN/>
        <w:bidi w:val="0"/>
        <w:adjustRightInd/>
        <w:snapToGrid w:val="0"/>
        <w:spacing w:line="500" w:lineRule="exact"/>
        <w:ind w:firstLine="566" w:firstLineChars="200"/>
        <w:textAlignment w:val="auto"/>
        <w:rPr>
          <w:rFonts w:hint="eastAsia" w:ascii="华文仿宋" w:hAnsi="华文仿宋" w:eastAsia="华文仿宋" w:cs="华文仿宋"/>
          <w:color w:val="auto"/>
          <w:kern w:val="2"/>
          <w:sz w:val="28"/>
          <w:szCs w:val="28"/>
          <w:lang w:val="en-US" w:eastAsia="zh-CN" w:bidi="ar-SA"/>
        </w:rPr>
      </w:pPr>
      <w:r>
        <w:rPr>
          <w:rFonts w:hint="eastAsia" w:ascii="华文仿宋" w:hAnsi="华文仿宋" w:cs="华文仿宋"/>
          <w:color w:val="auto"/>
          <w:kern w:val="2"/>
          <w:sz w:val="28"/>
          <w:szCs w:val="28"/>
          <w:lang w:val="en-US" w:eastAsia="zh-CN" w:bidi="ar-SA"/>
        </w:rPr>
        <w:t>6</w:t>
      </w:r>
      <w:r>
        <w:rPr>
          <w:rFonts w:hint="eastAsia" w:ascii="华文仿宋" w:hAnsi="华文仿宋" w:eastAsia="华文仿宋" w:cs="华文仿宋"/>
          <w:color w:val="auto"/>
          <w:kern w:val="2"/>
          <w:sz w:val="28"/>
          <w:szCs w:val="28"/>
          <w:lang w:val="en-US" w:eastAsia="zh-CN" w:bidi="ar-SA"/>
        </w:rPr>
        <w:t>、在国家规定的工程合理使用期限内，</w:t>
      </w:r>
      <w:r>
        <w:rPr>
          <w:rFonts w:hint="eastAsia" w:ascii="华文仿宋" w:hAnsi="华文仿宋" w:cs="华文仿宋"/>
          <w:color w:val="auto"/>
          <w:kern w:val="2"/>
          <w:sz w:val="28"/>
          <w:szCs w:val="28"/>
          <w:lang w:val="en-US" w:eastAsia="zh-CN" w:bidi="ar-SA"/>
        </w:rPr>
        <w:t>成交供应商</w:t>
      </w:r>
      <w:r>
        <w:rPr>
          <w:rFonts w:hint="eastAsia" w:ascii="华文仿宋" w:hAnsi="华文仿宋" w:eastAsia="华文仿宋" w:cs="华文仿宋"/>
          <w:color w:val="auto"/>
          <w:kern w:val="2"/>
          <w:sz w:val="28"/>
          <w:szCs w:val="28"/>
          <w:lang w:val="en-US" w:eastAsia="zh-CN" w:bidi="ar-SA"/>
        </w:rPr>
        <w:t>确保地基基础工程和主体结构的质量。因</w:t>
      </w:r>
      <w:r>
        <w:rPr>
          <w:rFonts w:hint="eastAsia" w:ascii="华文仿宋" w:hAnsi="华文仿宋" w:cs="华文仿宋"/>
          <w:color w:val="auto"/>
          <w:kern w:val="2"/>
          <w:sz w:val="28"/>
          <w:szCs w:val="28"/>
          <w:lang w:val="en-US" w:eastAsia="zh-CN" w:bidi="ar-SA"/>
        </w:rPr>
        <w:t>成交供应商</w:t>
      </w:r>
      <w:r>
        <w:rPr>
          <w:rFonts w:hint="eastAsia" w:ascii="华文仿宋" w:hAnsi="华文仿宋" w:eastAsia="华文仿宋" w:cs="华文仿宋"/>
          <w:color w:val="auto"/>
          <w:kern w:val="2"/>
          <w:sz w:val="28"/>
          <w:szCs w:val="28"/>
          <w:lang w:val="en-US" w:eastAsia="zh-CN" w:bidi="ar-SA"/>
        </w:rPr>
        <w:t>原因致使工程在合理使用期限内造成人身和财产损害的，</w:t>
      </w:r>
      <w:r>
        <w:rPr>
          <w:rFonts w:hint="eastAsia" w:ascii="华文仿宋" w:hAnsi="华文仿宋" w:cs="华文仿宋"/>
          <w:color w:val="auto"/>
          <w:kern w:val="2"/>
          <w:sz w:val="28"/>
          <w:szCs w:val="28"/>
          <w:lang w:val="en-US" w:eastAsia="zh-CN" w:bidi="ar-SA"/>
        </w:rPr>
        <w:t>成交供应商</w:t>
      </w:r>
      <w:r>
        <w:rPr>
          <w:rFonts w:hint="eastAsia" w:ascii="华文仿宋" w:hAnsi="华文仿宋" w:eastAsia="华文仿宋" w:cs="华文仿宋"/>
          <w:color w:val="auto"/>
          <w:kern w:val="2"/>
          <w:sz w:val="28"/>
          <w:szCs w:val="28"/>
          <w:lang w:val="en-US" w:eastAsia="zh-CN" w:bidi="ar-SA"/>
        </w:rPr>
        <w:t xml:space="preserve">应承担损害赔偿责任。 </w:t>
      </w:r>
    </w:p>
    <w:p>
      <w:pPr>
        <w:pStyle w:val="4"/>
        <w:keepNext/>
        <w:keepLines/>
        <w:pageBreakBefore w:val="0"/>
        <w:widowControl/>
        <w:kinsoku/>
        <w:wordWrap/>
        <w:overflowPunct/>
        <w:topLinePunct w:val="0"/>
        <w:autoSpaceDE/>
        <w:autoSpaceDN/>
        <w:bidi w:val="0"/>
        <w:adjustRightInd/>
        <w:snapToGrid/>
        <w:spacing w:line="500" w:lineRule="exact"/>
        <w:ind w:left="566" w:leftChars="200"/>
        <w:textAlignment w:val="auto"/>
        <w:rPr>
          <w:rFonts w:hint="eastAsia" w:ascii="Calibri Light" w:hAnsi="Calibri Light"/>
          <w:color w:val="auto"/>
          <w:sz w:val="28"/>
          <w:szCs w:val="28"/>
          <w:lang w:val="en-US" w:eastAsia="zh-CN"/>
        </w:rPr>
      </w:pPr>
      <w:bookmarkStart w:id="212" w:name="_Toc31648"/>
      <w:r>
        <w:rPr>
          <w:rFonts w:hint="eastAsia" w:ascii="Calibri Light" w:hAnsi="Calibri Light"/>
          <w:color w:val="auto"/>
          <w:sz w:val="28"/>
          <w:szCs w:val="28"/>
          <w:lang w:val="en-US" w:eastAsia="zh-CN"/>
        </w:rPr>
        <w:t>七、违约责任</w:t>
      </w:r>
      <w:bookmarkEnd w:id="202"/>
      <w:bookmarkEnd w:id="203"/>
      <w:bookmarkEnd w:id="204"/>
      <w:bookmarkEnd w:id="205"/>
      <w:bookmarkEnd w:id="206"/>
      <w:bookmarkEnd w:id="207"/>
      <w:bookmarkEnd w:id="208"/>
      <w:bookmarkEnd w:id="212"/>
    </w:p>
    <w:p>
      <w:pPr>
        <w:spacing w:line="500" w:lineRule="exact"/>
        <w:ind w:firstLine="566" w:firstLineChars="200"/>
        <w:rPr>
          <w:rFonts w:ascii="华文仿宋" w:hAnsi="华文仿宋" w:cs="华文仿宋"/>
          <w:color w:val="auto"/>
        </w:rPr>
      </w:pPr>
      <w:r>
        <w:rPr>
          <w:rFonts w:hint="eastAsia" w:ascii="华文仿宋" w:hAnsi="华文仿宋" w:cs="华文仿宋"/>
          <w:color w:val="auto"/>
        </w:rPr>
        <w:t>（一）按《合同法》中的相关条款执行。</w:t>
      </w:r>
    </w:p>
    <w:p>
      <w:pPr>
        <w:spacing w:line="500" w:lineRule="exact"/>
        <w:ind w:firstLine="566" w:firstLineChars="200"/>
        <w:rPr>
          <w:color w:val="auto"/>
        </w:rPr>
      </w:pPr>
      <w:r>
        <w:rPr>
          <w:rFonts w:hint="eastAsia" w:ascii="华文仿宋" w:hAnsi="华文仿宋" w:cs="华文仿宋"/>
          <w:color w:val="auto"/>
        </w:rPr>
        <w:t>（二）未按合同要求提供服务或服务质量不能满足合同要求，采购人有权依据《合同法》有关条款及合同约定终止合同，并要求供应商承担违约责任。</w:t>
      </w:r>
    </w:p>
    <w:p>
      <w:pPr>
        <w:pStyle w:val="4"/>
        <w:spacing w:line="500" w:lineRule="exact"/>
        <w:ind w:firstLine="566" w:firstLineChars="200"/>
        <w:rPr>
          <w:rFonts w:ascii="Calibri Light" w:hAnsi="Calibri Light"/>
          <w:color w:val="auto"/>
          <w:sz w:val="28"/>
          <w:szCs w:val="28"/>
        </w:rPr>
      </w:pPr>
      <w:bookmarkStart w:id="213" w:name="_Toc27290"/>
      <w:bookmarkStart w:id="214" w:name="_Toc1540"/>
      <w:bookmarkStart w:id="215" w:name="_Toc29554"/>
      <w:bookmarkStart w:id="216" w:name="_Toc15862"/>
      <w:bookmarkStart w:id="217" w:name="_Toc30027"/>
      <w:bookmarkStart w:id="218" w:name="_Toc27319"/>
      <w:bookmarkStart w:id="219" w:name="_Toc11377"/>
      <w:bookmarkStart w:id="220" w:name="_Toc22632"/>
      <w:r>
        <w:rPr>
          <w:rFonts w:hint="eastAsia" w:ascii="Calibri Light" w:hAnsi="Calibri Light"/>
          <w:color w:val="auto"/>
          <w:sz w:val="28"/>
          <w:szCs w:val="28"/>
          <w:lang w:val="en-US" w:eastAsia="zh-CN"/>
        </w:rPr>
        <w:t>八</w:t>
      </w:r>
      <w:r>
        <w:rPr>
          <w:rFonts w:hint="eastAsia" w:ascii="Calibri Light" w:hAnsi="Calibri Light"/>
          <w:color w:val="auto"/>
          <w:sz w:val="28"/>
          <w:szCs w:val="28"/>
        </w:rPr>
        <w:t>、争议解决</w:t>
      </w:r>
      <w:bookmarkEnd w:id="213"/>
      <w:bookmarkEnd w:id="214"/>
      <w:bookmarkEnd w:id="215"/>
      <w:bookmarkEnd w:id="216"/>
      <w:bookmarkEnd w:id="217"/>
      <w:bookmarkEnd w:id="218"/>
      <w:bookmarkEnd w:id="219"/>
      <w:bookmarkEnd w:id="220"/>
    </w:p>
    <w:p>
      <w:pPr>
        <w:spacing w:line="500" w:lineRule="exact"/>
        <w:ind w:firstLine="566" w:firstLineChars="200"/>
        <w:rPr>
          <w:rFonts w:ascii="华文仿宋" w:hAnsi="华文仿宋" w:cs="华文仿宋"/>
          <w:b/>
          <w:color w:val="auto"/>
        </w:rPr>
      </w:pPr>
      <w:r>
        <w:rPr>
          <w:rFonts w:hint="eastAsia" w:ascii="华文仿宋" w:hAnsi="华文仿宋" w:cs="华文仿宋"/>
          <w:color w:val="auto"/>
        </w:rPr>
        <w:t>执行本合同中产生纠纷，由采购人与成交供应商双方协商解决；协商不成，向有管辖权的人民法院提起诉讼。</w:t>
      </w:r>
    </w:p>
    <w:p>
      <w:pPr>
        <w:pStyle w:val="4"/>
        <w:spacing w:line="500" w:lineRule="exact"/>
        <w:ind w:firstLine="566" w:firstLineChars="200"/>
        <w:rPr>
          <w:rFonts w:ascii="Calibri Light" w:hAnsi="Calibri Light"/>
          <w:color w:val="auto"/>
          <w:sz w:val="28"/>
          <w:szCs w:val="28"/>
        </w:rPr>
      </w:pPr>
      <w:bookmarkStart w:id="221" w:name="_Toc27351"/>
      <w:bookmarkStart w:id="222" w:name="_Toc5620"/>
      <w:bookmarkStart w:id="223" w:name="_Toc4348"/>
      <w:bookmarkStart w:id="224" w:name="_Toc8792"/>
      <w:bookmarkStart w:id="225" w:name="_Toc13662"/>
      <w:bookmarkStart w:id="226" w:name="_Toc20728"/>
      <w:bookmarkStart w:id="227" w:name="_Toc32130"/>
      <w:bookmarkStart w:id="228" w:name="_Toc25916"/>
      <w:r>
        <w:rPr>
          <w:rFonts w:hint="eastAsia" w:ascii="Calibri Light" w:hAnsi="Calibri Light"/>
          <w:color w:val="auto"/>
          <w:sz w:val="28"/>
          <w:szCs w:val="28"/>
          <w:lang w:val="en-US" w:eastAsia="zh-CN"/>
        </w:rPr>
        <w:t>九</w:t>
      </w:r>
      <w:r>
        <w:rPr>
          <w:rFonts w:ascii="Calibri Light" w:hAnsi="Calibri Light"/>
          <w:color w:val="auto"/>
          <w:sz w:val="28"/>
          <w:szCs w:val="28"/>
        </w:rPr>
        <w:t>、</w:t>
      </w:r>
      <w:r>
        <w:rPr>
          <w:rFonts w:hint="eastAsia" w:ascii="Calibri Light" w:hAnsi="Calibri Light"/>
          <w:color w:val="auto"/>
          <w:sz w:val="28"/>
          <w:szCs w:val="28"/>
        </w:rPr>
        <w:t>合同生效</w:t>
      </w:r>
      <w:bookmarkEnd w:id="221"/>
      <w:bookmarkEnd w:id="222"/>
      <w:bookmarkEnd w:id="223"/>
      <w:r>
        <w:rPr>
          <w:rFonts w:hint="eastAsia" w:ascii="Calibri Light" w:hAnsi="Calibri Light"/>
          <w:color w:val="auto"/>
          <w:sz w:val="28"/>
          <w:szCs w:val="28"/>
        </w:rPr>
        <w:t>及其他</w:t>
      </w:r>
      <w:bookmarkEnd w:id="224"/>
      <w:bookmarkEnd w:id="225"/>
      <w:bookmarkEnd w:id="226"/>
      <w:bookmarkEnd w:id="227"/>
      <w:bookmarkEnd w:id="228"/>
    </w:p>
    <w:p>
      <w:pPr>
        <w:spacing w:line="500" w:lineRule="exact"/>
        <w:ind w:firstLine="566" w:firstLineChars="200"/>
        <w:rPr>
          <w:rFonts w:ascii="华文仿宋" w:hAnsi="华文仿宋" w:cs="华文仿宋"/>
          <w:color w:val="auto"/>
        </w:rPr>
      </w:pPr>
      <w:r>
        <w:rPr>
          <w:rFonts w:hint="eastAsia" w:ascii="华文仿宋" w:hAnsi="华文仿宋" w:cs="华文仿宋"/>
          <w:color w:val="auto"/>
        </w:rPr>
        <w:t xml:space="preserve">（一）本合同自签订之日起生效。 </w:t>
      </w:r>
    </w:p>
    <w:p>
      <w:pPr>
        <w:spacing w:line="500" w:lineRule="exact"/>
        <w:ind w:firstLine="566" w:firstLineChars="200"/>
        <w:rPr>
          <w:rFonts w:ascii="华文仿宋" w:hAnsi="华文仿宋" w:cs="华文仿宋"/>
          <w:color w:val="auto"/>
        </w:rPr>
      </w:pPr>
      <w:r>
        <w:rPr>
          <w:rFonts w:hint="eastAsia" w:ascii="华文仿宋" w:hAnsi="华文仿宋" w:cs="华文仿宋"/>
          <w:color w:val="auto"/>
        </w:rPr>
        <w:t>（二）合同一式八份，采购人三份，成交供应商、陕西省省级单位政府采购中心各执一份；政府采购监管机构备案一份，成交供应商办理结算两份。</w:t>
      </w:r>
    </w:p>
    <w:p>
      <w:pPr>
        <w:spacing w:line="500" w:lineRule="exact"/>
        <w:ind w:firstLine="566" w:firstLineChars="200"/>
        <w:rPr>
          <w:rFonts w:hint="eastAsia" w:ascii="华文仿宋" w:hAnsi="华文仿宋" w:cs="华文仿宋"/>
          <w:color w:val="auto"/>
        </w:rPr>
      </w:pPr>
      <w:r>
        <w:rPr>
          <w:rFonts w:hint="eastAsia" w:ascii="华文仿宋" w:hAnsi="华文仿宋" w:cs="华文仿宋"/>
          <w:color w:val="auto"/>
        </w:rPr>
        <w:t>（三）未尽事宜由双方在签订合同时具体明确。</w:t>
      </w:r>
    </w:p>
    <w:p>
      <w:pPr>
        <w:pStyle w:val="10"/>
      </w:pPr>
    </w:p>
    <w:p>
      <w:pPr>
        <w:jc w:val="left"/>
        <w:rPr>
          <w:rFonts w:ascii="Calibri" w:hAnsi="Calibri"/>
          <w:color w:val="auto"/>
          <w:highlight w:val="yellow"/>
        </w:rPr>
      </w:pPr>
    </w:p>
    <w:p>
      <w:pPr>
        <w:pStyle w:val="15"/>
        <w:rPr>
          <w:color w:val="auto"/>
        </w:rPr>
        <w:sectPr>
          <w:headerReference r:id="rId9" w:type="first"/>
          <w:footerReference r:id="rId12" w:type="first"/>
          <w:headerReference r:id="rId7" w:type="default"/>
          <w:footerReference r:id="rId10" w:type="default"/>
          <w:headerReference r:id="rId8" w:type="even"/>
          <w:footerReference r:id="rId11" w:type="even"/>
          <w:pgSz w:w="11906" w:h="16838"/>
          <w:pgMar w:top="1417" w:right="1417" w:bottom="1417" w:left="1417" w:header="850" w:footer="992" w:gutter="0"/>
          <w:pgNumType w:fmt="decimal"/>
          <w:cols w:space="720" w:num="1"/>
          <w:docGrid w:type="linesAndChars" w:linePitch="381" w:charSpace="704"/>
        </w:sectPr>
      </w:pPr>
    </w:p>
    <w:p>
      <w:pPr>
        <w:pStyle w:val="3"/>
        <w:rPr>
          <w:rFonts w:ascii="黑体" w:hAnsi="黑体" w:eastAsia="黑体" w:cs="黑体"/>
          <w:b w:val="0"/>
          <w:bCs/>
          <w:color w:val="auto"/>
          <w:sz w:val="32"/>
          <w:szCs w:val="32"/>
        </w:rPr>
      </w:pPr>
      <w:bookmarkStart w:id="229" w:name="_Toc18466_WPSOffice_Level1"/>
      <w:bookmarkStart w:id="230" w:name="_Toc24181"/>
      <w:bookmarkStart w:id="231" w:name="_Toc495012773"/>
      <w:bookmarkStart w:id="232" w:name="_Toc495014651"/>
      <w:bookmarkStart w:id="233" w:name="_Toc495014922"/>
      <w:bookmarkStart w:id="234" w:name="_Toc18484_WPSOffice_Level1"/>
      <w:bookmarkStart w:id="235" w:name="_Toc495014613"/>
      <w:bookmarkStart w:id="236" w:name="_Toc495014587"/>
      <w:bookmarkStart w:id="237" w:name="_Toc495014956"/>
      <w:bookmarkStart w:id="238" w:name="_Toc445306495"/>
      <w:bookmarkStart w:id="239" w:name="_Toc495012823"/>
      <w:bookmarkStart w:id="240" w:name="_Toc784_WPSOffice_Level1"/>
      <w:r>
        <w:rPr>
          <w:rFonts w:hint="eastAsia" w:ascii="黑体" w:hAnsi="黑体" w:eastAsia="黑体" w:cs="黑体"/>
          <w:b w:val="0"/>
          <w:bCs/>
          <w:color w:val="auto"/>
          <w:sz w:val="32"/>
          <w:szCs w:val="32"/>
        </w:rPr>
        <w:t>第五章  响应文件构成及格式</w:t>
      </w:r>
      <w:bookmarkEnd w:id="229"/>
      <w:bookmarkEnd w:id="230"/>
    </w:p>
    <w:p>
      <w:pPr>
        <w:pStyle w:val="43"/>
        <w:rPr>
          <w:color w:val="auto"/>
        </w:rPr>
      </w:pPr>
    </w:p>
    <w:p>
      <w:pPr>
        <w:pStyle w:val="43"/>
        <w:rPr>
          <w:color w:val="auto"/>
        </w:rPr>
      </w:pPr>
    </w:p>
    <w:p>
      <w:pPr>
        <w:pStyle w:val="43"/>
        <w:rPr>
          <w:color w:val="auto"/>
        </w:rPr>
      </w:pPr>
    </w:p>
    <w:p>
      <w:pPr>
        <w:pStyle w:val="43"/>
        <w:rPr>
          <w:color w:val="auto"/>
        </w:rPr>
      </w:pPr>
      <w:r>
        <w:rPr>
          <w:rFonts w:hint="eastAsia"/>
          <w:color w:val="auto"/>
        </w:rPr>
        <w:t xml:space="preserve">  </w:t>
      </w:r>
    </w:p>
    <w:tbl>
      <w:tblPr>
        <w:tblStyle w:val="23"/>
        <w:tblW w:w="8190" w:type="dxa"/>
        <w:tblInd w:w="42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 w:hRule="atLeast"/>
        </w:trPr>
        <w:tc>
          <w:tcPr>
            <w:tcW w:w="8190" w:type="dxa"/>
          </w:tcPr>
          <w:p>
            <w:pPr>
              <w:spacing w:before="120"/>
              <w:rPr>
                <w:rFonts w:ascii="仿宋" w:hAnsi="仿宋" w:eastAsia="仿宋" w:cs="仿宋"/>
                <w:color w:val="auto"/>
                <w:sz w:val="24"/>
                <w:szCs w:val="24"/>
              </w:rPr>
            </w:pPr>
            <w:r>
              <w:rPr>
                <w:rFonts w:hint="eastAsia" w:ascii="仿宋" w:hAnsi="仿宋" w:eastAsia="仿宋" w:cs="仿宋"/>
                <w:color w:val="auto"/>
                <w:sz w:val="24"/>
                <w:szCs w:val="24"/>
              </w:rPr>
              <w:t xml:space="preserve">注释： </w:t>
            </w:r>
          </w:p>
          <w:p>
            <w:pPr>
              <w:spacing w:before="120" w:line="420" w:lineRule="exact"/>
              <w:ind w:firstLine="486" w:firstLineChars="200"/>
              <w:jc w:val="left"/>
              <w:rPr>
                <w:rFonts w:ascii="仿宋" w:hAnsi="仿宋" w:eastAsia="仿宋" w:cs="仿宋"/>
                <w:color w:val="auto"/>
                <w:sz w:val="24"/>
                <w:szCs w:val="24"/>
              </w:rPr>
            </w:pPr>
            <w:r>
              <w:rPr>
                <w:rFonts w:hint="eastAsia" w:ascii="仿宋" w:hAnsi="仿宋" w:eastAsia="仿宋" w:cs="仿宋"/>
                <w:color w:val="auto"/>
                <w:sz w:val="24"/>
                <w:szCs w:val="24"/>
              </w:rPr>
              <w:t>1、本章分为三部分，是为方便投标人制作响应文件设计。第一、二部分应按要求或给定格式选择填报。</w:t>
            </w:r>
          </w:p>
          <w:p>
            <w:pPr>
              <w:spacing w:before="120" w:line="420" w:lineRule="exact"/>
              <w:ind w:firstLine="486" w:firstLineChars="200"/>
              <w:jc w:val="left"/>
              <w:rPr>
                <w:rFonts w:ascii="仿宋" w:hAnsi="仿宋" w:eastAsia="仿宋" w:cs="仿宋"/>
                <w:color w:val="auto"/>
                <w:sz w:val="24"/>
                <w:szCs w:val="24"/>
              </w:rPr>
            </w:pPr>
            <w:r>
              <w:rPr>
                <w:rFonts w:hint="eastAsia" w:ascii="仿宋" w:hAnsi="仿宋" w:eastAsia="仿宋" w:cs="仿宋"/>
                <w:color w:val="auto"/>
                <w:sz w:val="24"/>
                <w:szCs w:val="24"/>
              </w:rPr>
              <w:t>2、第三部分响应方案格式仅供参考，投标人应根据项目特点，结合本次招标要求，对有关表格进行补充或修改，但不得对实质性文件的相关条款作出变动。</w:t>
            </w:r>
          </w:p>
        </w:tc>
      </w:tr>
    </w:tbl>
    <w:p>
      <w:pPr>
        <w:pStyle w:val="43"/>
        <w:rPr>
          <w:color w:val="auto"/>
          <w:sz w:val="20"/>
        </w:rPr>
      </w:pPr>
    </w:p>
    <w:p>
      <w:pPr>
        <w:pStyle w:val="45"/>
        <w:spacing w:line="240" w:lineRule="auto"/>
        <w:ind w:firstLine="253" w:firstLineChars="70"/>
        <w:jc w:val="center"/>
        <w:rPr>
          <w:rFonts w:ascii="宋体" w:hAnsi="宋体" w:eastAsia="宋体"/>
          <w:color w:val="auto"/>
          <w:sz w:val="36"/>
          <w:szCs w:val="36"/>
        </w:rPr>
      </w:pPr>
    </w:p>
    <w:p>
      <w:pPr>
        <w:pStyle w:val="45"/>
        <w:spacing w:line="240" w:lineRule="auto"/>
        <w:ind w:firstLine="253" w:firstLineChars="70"/>
        <w:jc w:val="center"/>
        <w:rPr>
          <w:rFonts w:ascii="宋体" w:hAnsi="宋体" w:eastAsia="宋体"/>
          <w:color w:val="auto"/>
          <w:sz w:val="36"/>
          <w:szCs w:val="36"/>
        </w:rPr>
      </w:pPr>
      <w:r>
        <w:rPr>
          <w:rFonts w:ascii="宋体" w:hAnsi="宋体" w:eastAsia="宋体"/>
          <w:color w:val="auto"/>
          <w:sz w:val="36"/>
          <w:szCs w:val="36"/>
        </w:rPr>
        <w:br w:type="page"/>
      </w:r>
    </w:p>
    <w:bookmarkEnd w:id="231"/>
    <w:bookmarkEnd w:id="232"/>
    <w:bookmarkEnd w:id="233"/>
    <w:bookmarkEnd w:id="234"/>
    <w:bookmarkEnd w:id="235"/>
    <w:bookmarkEnd w:id="236"/>
    <w:bookmarkEnd w:id="237"/>
    <w:bookmarkEnd w:id="238"/>
    <w:bookmarkEnd w:id="239"/>
    <w:bookmarkEnd w:id="240"/>
    <w:p>
      <w:pPr>
        <w:pStyle w:val="45"/>
        <w:spacing w:line="240" w:lineRule="auto"/>
        <w:ind w:firstLine="0" w:firstLineChars="0"/>
        <w:rPr>
          <w:rFonts w:ascii="黑体" w:hAnsi="黑体" w:eastAsia="黑体" w:cs="黑体"/>
          <w:color w:val="auto"/>
        </w:rPr>
      </w:pPr>
      <w:bookmarkStart w:id="241" w:name="_Toc31082_WPSOffice_Level1"/>
      <w:bookmarkStart w:id="242" w:name="_Toc21571_WPSOffice_Level1"/>
      <w:bookmarkStart w:id="243" w:name="_Toc22476_WPSOffice_Level1"/>
      <w:bookmarkStart w:id="244" w:name="_Toc2071_WPSOffice_Level1"/>
      <w:r>
        <w:rPr>
          <w:rFonts w:hint="eastAsia" w:ascii="黑体" w:hAnsi="黑体" w:eastAsia="黑体" w:cs="黑体"/>
          <w:color w:val="auto"/>
        </w:rPr>
        <w:t>封面格式</w:t>
      </w:r>
    </w:p>
    <w:p>
      <w:pPr>
        <w:pStyle w:val="45"/>
        <w:spacing w:line="240" w:lineRule="auto"/>
        <w:ind w:firstLine="0" w:firstLineChars="0"/>
        <w:rPr>
          <w:rFonts w:ascii="华文仿宋" w:hAnsi="华文仿宋" w:cs="华文仿宋"/>
          <w:color w:val="auto"/>
          <w:sz w:val="36"/>
        </w:rPr>
      </w:pPr>
    </w:p>
    <w:p>
      <w:pPr>
        <w:pStyle w:val="45"/>
        <w:spacing w:line="240" w:lineRule="auto"/>
        <w:ind w:firstLine="0" w:firstLineChars="0"/>
        <w:rPr>
          <w:rFonts w:ascii="华文中宋" w:hAnsi="华文中宋" w:eastAsia="华文中宋" w:cs="华文中宋"/>
          <w:color w:val="auto"/>
          <w:sz w:val="60"/>
          <w:szCs w:val="60"/>
        </w:rPr>
      </w:pPr>
      <w:bookmarkStart w:id="245" w:name="_Toc22682_WPSOffice_Level1"/>
      <w:r>
        <w:rPr>
          <w:rFonts w:hint="eastAsia" w:ascii="华文中宋" w:hAnsi="华文中宋" w:eastAsia="华文中宋" w:cs="华文中宋"/>
          <w:color w:val="auto"/>
          <w:sz w:val="60"/>
          <w:szCs w:val="60"/>
        </w:rPr>
        <w:t>陕西省政府采购货物和服务项目</w:t>
      </w:r>
      <w:bookmarkEnd w:id="245"/>
    </w:p>
    <w:p>
      <w:pPr>
        <w:pStyle w:val="45"/>
        <w:spacing w:line="240" w:lineRule="auto"/>
        <w:ind w:firstLine="0" w:firstLineChars="0"/>
        <w:rPr>
          <w:rFonts w:ascii="华文仿宋" w:hAnsi="华文仿宋" w:cs="华文仿宋"/>
          <w:color w:val="auto"/>
          <w:sz w:val="36"/>
        </w:rPr>
      </w:pPr>
    </w:p>
    <w:p>
      <w:pPr>
        <w:pStyle w:val="45"/>
        <w:spacing w:line="240" w:lineRule="auto"/>
        <w:ind w:firstLine="0" w:firstLineChars="0"/>
        <w:rPr>
          <w:rFonts w:ascii="华文仿宋" w:hAnsi="华文仿宋" w:cs="华文仿宋"/>
          <w:color w:val="auto"/>
          <w:sz w:val="36"/>
        </w:rPr>
      </w:pPr>
    </w:p>
    <w:p>
      <w:pPr>
        <w:pStyle w:val="45"/>
        <w:spacing w:line="240" w:lineRule="auto"/>
        <w:ind w:firstLine="0" w:firstLineChars="0"/>
        <w:jc w:val="center"/>
        <w:rPr>
          <w:rFonts w:ascii="华文仿宋" w:hAnsi="华文仿宋" w:cs="华文仿宋"/>
          <w:color w:val="auto"/>
          <w:spacing w:val="323"/>
          <w:kern w:val="0"/>
          <w:sz w:val="96"/>
          <w:szCs w:val="96"/>
        </w:rPr>
      </w:pPr>
      <w:bookmarkStart w:id="246" w:name="_Toc21191_WPSOffice_Level1"/>
      <w:r>
        <w:rPr>
          <w:rFonts w:hint="eastAsia" w:ascii="华文仿宋" w:hAnsi="华文仿宋" w:cs="华文仿宋"/>
          <w:color w:val="auto"/>
          <w:spacing w:val="323"/>
          <w:kern w:val="0"/>
          <w:sz w:val="96"/>
          <w:szCs w:val="96"/>
        </w:rPr>
        <w:t>响应文件</w:t>
      </w:r>
      <w:bookmarkEnd w:id="246"/>
    </w:p>
    <w:p>
      <w:pPr>
        <w:pStyle w:val="45"/>
        <w:spacing w:line="240" w:lineRule="auto"/>
        <w:ind w:firstLine="0" w:firstLineChars="0"/>
        <w:rPr>
          <w:rFonts w:ascii="华文仿宋" w:hAnsi="华文仿宋" w:cs="华文仿宋"/>
          <w:color w:val="auto"/>
          <w:sz w:val="36"/>
        </w:rPr>
      </w:pPr>
    </w:p>
    <w:p>
      <w:pPr>
        <w:pStyle w:val="45"/>
        <w:spacing w:line="240" w:lineRule="auto"/>
        <w:ind w:firstLine="0" w:firstLineChars="0"/>
        <w:rPr>
          <w:rFonts w:ascii="华文仿宋" w:hAnsi="华文仿宋" w:cs="华文仿宋"/>
          <w:color w:val="auto"/>
          <w:sz w:val="36"/>
        </w:rPr>
      </w:pPr>
    </w:p>
    <w:p>
      <w:pPr>
        <w:pStyle w:val="45"/>
        <w:spacing w:line="240" w:lineRule="auto"/>
        <w:ind w:firstLine="1452" w:firstLineChars="400"/>
        <w:rPr>
          <w:rFonts w:ascii="仿宋" w:hAnsi="仿宋" w:eastAsia="仿宋" w:cs="仿宋"/>
          <w:bCs/>
          <w:color w:val="auto"/>
          <w:sz w:val="36"/>
          <w:szCs w:val="36"/>
          <w:u w:val="single"/>
        </w:rPr>
      </w:pPr>
      <w:bookmarkStart w:id="247" w:name="_Toc660_WPSOffice_Level1"/>
      <w:r>
        <w:rPr>
          <w:rFonts w:hint="eastAsia" w:ascii="仿宋" w:hAnsi="仿宋" w:eastAsia="仿宋" w:cs="仿宋"/>
          <w:bCs/>
          <w:color w:val="auto"/>
          <w:sz w:val="36"/>
          <w:szCs w:val="36"/>
        </w:rPr>
        <w:t>项目名称：</w:t>
      </w:r>
      <w:bookmarkEnd w:id="247"/>
      <w:r>
        <w:rPr>
          <w:rFonts w:hint="eastAsia" w:ascii="仿宋" w:hAnsi="仿宋" w:eastAsia="仿宋" w:cs="仿宋"/>
          <w:bCs/>
          <w:color w:val="auto"/>
          <w:sz w:val="36"/>
          <w:szCs w:val="36"/>
          <w:u w:val="single"/>
        </w:rPr>
        <w:t xml:space="preserve">             </w:t>
      </w:r>
    </w:p>
    <w:p>
      <w:pPr>
        <w:pStyle w:val="45"/>
        <w:spacing w:line="240" w:lineRule="auto"/>
        <w:ind w:firstLine="1452" w:firstLineChars="400"/>
        <w:rPr>
          <w:rFonts w:ascii="仿宋" w:hAnsi="仿宋" w:eastAsia="仿宋" w:cs="仿宋"/>
          <w:bCs/>
          <w:color w:val="auto"/>
          <w:sz w:val="36"/>
          <w:szCs w:val="36"/>
          <w:u w:val="single"/>
        </w:rPr>
      </w:pPr>
      <w:bookmarkStart w:id="248" w:name="_Toc15325_WPSOffice_Level1"/>
      <w:r>
        <w:rPr>
          <w:rFonts w:hint="eastAsia" w:ascii="仿宋" w:hAnsi="仿宋" w:eastAsia="仿宋" w:cs="仿宋"/>
          <w:bCs/>
          <w:color w:val="auto"/>
          <w:sz w:val="36"/>
          <w:szCs w:val="36"/>
        </w:rPr>
        <w:t>项目编号：</w:t>
      </w:r>
      <w:bookmarkEnd w:id="248"/>
      <w:r>
        <w:rPr>
          <w:rFonts w:hint="eastAsia" w:ascii="仿宋" w:hAnsi="仿宋" w:eastAsia="仿宋" w:cs="仿宋"/>
          <w:bCs/>
          <w:color w:val="auto"/>
          <w:sz w:val="36"/>
          <w:szCs w:val="36"/>
          <w:u w:val="single"/>
        </w:rPr>
        <w:t xml:space="preserve">             </w:t>
      </w:r>
    </w:p>
    <w:p>
      <w:pPr>
        <w:pStyle w:val="45"/>
        <w:spacing w:line="240" w:lineRule="auto"/>
        <w:ind w:firstLine="1452" w:firstLineChars="400"/>
        <w:rPr>
          <w:rFonts w:ascii="仿宋" w:hAnsi="仿宋" w:eastAsia="仿宋" w:cs="仿宋"/>
          <w:bCs/>
          <w:color w:val="auto"/>
          <w:sz w:val="36"/>
          <w:szCs w:val="36"/>
          <w:u w:val="single"/>
        </w:rPr>
      </w:pPr>
      <w:bookmarkStart w:id="249" w:name="_Toc2784_WPSOffice_Level1"/>
      <w:r>
        <w:rPr>
          <w:rFonts w:hint="eastAsia" w:ascii="仿宋" w:hAnsi="仿宋" w:eastAsia="仿宋" w:cs="仿宋"/>
          <w:bCs/>
          <w:color w:val="auto"/>
          <w:sz w:val="36"/>
          <w:szCs w:val="36"/>
        </w:rPr>
        <w:t>标段名称：</w:t>
      </w:r>
      <w:bookmarkEnd w:id="249"/>
      <w:r>
        <w:rPr>
          <w:rFonts w:hint="eastAsia" w:ascii="仿宋" w:hAnsi="仿宋" w:eastAsia="仿宋" w:cs="仿宋"/>
          <w:bCs/>
          <w:color w:val="auto"/>
          <w:sz w:val="36"/>
          <w:szCs w:val="36"/>
          <w:u w:val="single"/>
        </w:rPr>
        <w:t xml:space="preserve">             </w:t>
      </w:r>
    </w:p>
    <w:p>
      <w:pPr>
        <w:pStyle w:val="45"/>
        <w:spacing w:line="240" w:lineRule="auto"/>
        <w:ind w:firstLine="1452" w:firstLineChars="400"/>
        <w:rPr>
          <w:rFonts w:ascii="仿宋" w:hAnsi="仿宋" w:eastAsia="仿宋" w:cs="仿宋"/>
          <w:bCs/>
          <w:color w:val="auto"/>
          <w:sz w:val="36"/>
          <w:szCs w:val="36"/>
          <w:u w:val="single"/>
        </w:rPr>
      </w:pPr>
      <w:bookmarkStart w:id="250" w:name="_Toc28268_WPSOffice_Level1"/>
      <w:r>
        <w:rPr>
          <w:rFonts w:hint="eastAsia" w:ascii="仿宋" w:hAnsi="仿宋" w:eastAsia="仿宋" w:cs="仿宋"/>
          <w:bCs/>
          <w:color w:val="auto"/>
          <w:sz w:val="36"/>
          <w:szCs w:val="36"/>
        </w:rPr>
        <w:t>标段编号：</w:t>
      </w:r>
      <w:bookmarkEnd w:id="250"/>
      <w:r>
        <w:rPr>
          <w:rFonts w:hint="eastAsia" w:ascii="仿宋" w:hAnsi="仿宋" w:eastAsia="仿宋" w:cs="仿宋"/>
          <w:bCs/>
          <w:color w:val="auto"/>
          <w:sz w:val="36"/>
          <w:szCs w:val="36"/>
          <w:u w:val="single"/>
        </w:rPr>
        <w:t xml:space="preserve">             </w:t>
      </w:r>
    </w:p>
    <w:p>
      <w:pPr>
        <w:pStyle w:val="45"/>
        <w:spacing w:line="240" w:lineRule="auto"/>
        <w:ind w:firstLine="1452" w:firstLineChars="400"/>
        <w:rPr>
          <w:rFonts w:ascii="仿宋" w:hAnsi="仿宋" w:eastAsia="仿宋" w:cs="仿宋"/>
          <w:bCs/>
          <w:color w:val="auto"/>
          <w:sz w:val="36"/>
          <w:szCs w:val="36"/>
        </w:rPr>
      </w:pPr>
      <w:bookmarkStart w:id="251" w:name="_Toc20093_WPSOffice_Level1"/>
      <w:r>
        <w:rPr>
          <w:rFonts w:hint="eastAsia" w:ascii="仿宋" w:hAnsi="仿宋" w:eastAsia="仿宋" w:cs="仿宋"/>
          <w:bCs/>
          <w:color w:val="auto"/>
          <w:sz w:val="36"/>
          <w:szCs w:val="36"/>
        </w:rPr>
        <w:t>供</w:t>
      </w:r>
      <w:r>
        <w:rPr>
          <w:rFonts w:hint="eastAsia" w:ascii="仿宋" w:hAnsi="仿宋" w:eastAsia="仿宋" w:cs="仿宋"/>
          <w:bCs/>
          <w:color w:val="auto"/>
          <w:sz w:val="36"/>
          <w:szCs w:val="36"/>
          <w:lang w:val="en-US" w:eastAsia="zh-CN"/>
        </w:rPr>
        <w:t xml:space="preserve"> </w:t>
      </w:r>
      <w:r>
        <w:rPr>
          <w:rFonts w:hint="eastAsia" w:ascii="仿宋" w:hAnsi="仿宋" w:eastAsia="仿宋" w:cs="仿宋"/>
          <w:bCs/>
          <w:color w:val="auto"/>
          <w:sz w:val="36"/>
          <w:szCs w:val="36"/>
        </w:rPr>
        <w:t>应</w:t>
      </w:r>
      <w:r>
        <w:rPr>
          <w:rFonts w:hint="eastAsia" w:ascii="仿宋" w:hAnsi="仿宋" w:eastAsia="仿宋" w:cs="仿宋"/>
          <w:bCs/>
          <w:color w:val="auto"/>
          <w:sz w:val="36"/>
          <w:szCs w:val="36"/>
          <w:lang w:val="en-US" w:eastAsia="zh-CN"/>
        </w:rPr>
        <w:t xml:space="preserve"> </w:t>
      </w:r>
      <w:r>
        <w:rPr>
          <w:rFonts w:hint="eastAsia" w:ascii="仿宋" w:hAnsi="仿宋" w:eastAsia="仿宋" w:cs="仿宋"/>
          <w:bCs/>
          <w:color w:val="auto"/>
          <w:sz w:val="36"/>
          <w:szCs w:val="36"/>
        </w:rPr>
        <w:t>商：</w:t>
      </w:r>
      <w:r>
        <w:rPr>
          <w:rFonts w:hint="eastAsia" w:ascii="仿宋" w:hAnsi="仿宋" w:eastAsia="仿宋" w:cs="仿宋"/>
          <w:bCs/>
          <w:color w:val="auto"/>
          <w:sz w:val="36"/>
          <w:szCs w:val="36"/>
          <w:u w:val="single"/>
        </w:rPr>
        <w:t xml:space="preserve">             </w:t>
      </w:r>
      <w:r>
        <w:rPr>
          <w:rFonts w:hint="eastAsia" w:ascii="仿宋" w:hAnsi="仿宋" w:eastAsia="仿宋" w:cs="仿宋"/>
          <w:bCs/>
          <w:color w:val="auto"/>
          <w:sz w:val="36"/>
          <w:szCs w:val="36"/>
        </w:rPr>
        <w:t>（公章）</w:t>
      </w:r>
      <w:bookmarkEnd w:id="251"/>
    </w:p>
    <w:p>
      <w:pPr>
        <w:pStyle w:val="45"/>
        <w:spacing w:line="240" w:lineRule="auto"/>
        <w:ind w:firstLine="1452" w:firstLineChars="400"/>
        <w:rPr>
          <w:rFonts w:ascii="仿宋" w:hAnsi="仿宋" w:eastAsia="仿宋" w:cs="仿宋"/>
          <w:bCs/>
          <w:color w:val="auto"/>
          <w:sz w:val="36"/>
          <w:szCs w:val="36"/>
          <w:u w:val="single"/>
        </w:rPr>
      </w:pPr>
      <w:bookmarkStart w:id="252" w:name="_Toc22753_WPSOffice_Level1"/>
      <w:r>
        <w:rPr>
          <w:rFonts w:hint="eastAsia" w:ascii="仿宋" w:hAnsi="仿宋" w:eastAsia="仿宋" w:cs="仿宋"/>
          <w:bCs/>
          <w:color w:val="auto"/>
          <w:sz w:val="36"/>
          <w:szCs w:val="36"/>
        </w:rPr>
        <w:t>时　</w:t>
      </w:r>
      <w:r>
        <w:rPr>
          <w:rFonts w:hint="eastAsia" w:ascii="仿宋" w:hAnsi="仿宋" w:eastAsia="仿宋" w:cs="仿宋"/>
          <w:bCs/>
          <w:color w:val="auto"/>
          <w:sz w:val="36"/>
          <w:szCs w:val="36"/>
          <w:lang w:val="en-US" w:eastAsia="zh-CN"/>
        </w:rPr>
        <w:t xml:space="preserve">  </w:t>
      </w:r>
      <w:r>
        <w:rPr>
          <w:rFonts w:hint="eastAsia" w:ascii="仿宋" w:hAnsi="仿宋" w:eastAsia="仿宋" w:cs="仿宋"/>
          <w:bCs/>
          <w:color w:val="auto"/>
          <w:sz w:val="36"/>
          <w:szCs w:val="36"/>
        </w:rPr>
        <w:t>间：</w:t>
      </w:r>
      <w:bookmarkEnd w:id="252"/>
      <w:r>
        <w:rPr>
          <w:rFonts w:hint="eastAsia" w:ascii="仿宋" w:hAnsi="仿宋" w:eastAsia="仿宋" w:cs="仿宋"/>
          <w:bCs/>
          <w:color w:val="auto"/>
          <w:sz w:val="36"/>
          <w:szCs w:val="36"/>
          <w:u w:val="single"/>
        </w:rPr>
        <w:t xml:space="preserve">             </w:t>
      </w:r>
    </w:p>
    <w:p>
      <w:pPr>
        <w:pStyle w:val="45"/>
        <w:spacing w:line="240" w:lineRule="auto"/>
        <w:ind w:firstLine="1698" w:firstLineChars="468"/>
        <w:rPr>
          <w:rFonts w:ascii="华文仿宋" w:hAnsi="华文仿宋" w:cs="华文仿宋"/>
          <w:color w:val="auto"/>
          <w:sz w:val="36"/>
        </w:rPr>
      </w:pPr>
    </w:p>
    <w:p>
      <w:pPr>
        <w:pStyle w:val="45"/>
        <w:spacing w:line="240" w:lineRule="auto"/>
        <w:ind w:firstLine="1698" w:firstLineChars="468"/>
        <w:rPr>
          <w:rFonts w:ascii="华文仿宋" w:hAnsi="华文仿宋" w:cs="华文仿宋"/>
          <w:color w:val="auto"/>
          <w:sz w:val="36"/>
        </w:rPr>
      </w:pPr>
    </w:p>
    <w:p>
      <w:pPr>
        <w:pStyle w:val="45"/>
        <w:spacing w:line="240" w:lineRule="auto"/>
        <w:ind w:firstLine="0" w:firstLineChars="0"/>
        <w:rPr>
          <w:rFonts w:ascii="华文仿宋" w:hAnsi="华文仿宋" w:cs="华文仿宋"/>
          <w:color w:val="auto"/>
          <w:sz w:val="36"/>
        </w:rPr>
      </w:pPr>
    </w:p>
    <w:p>
      <w:pPr>
        <w:pStyle w:val="50"/>
        <w:rPr>
          <w:rFonts w:ascii="Calibri Light" w:hAnsi="Calibri Light"/>
          <w:color w:val="auto"/>
          <w:sz w:val="36"/>
          <w:szCs w:val="36"/>
        </w:rPr>
      </w:pPr>
      <w:bookmarkStart w:id="253" w:name="_Toc24906"/>
      <w:bookmarkStart w:id="254" w:name="_Toc1873"/>
      <w:bookmarkStart w:id="255" w:name="_Toc3942"/>
      <w:bookmarkStart w:id="256" w:name="_Toc10276"/>
      <w:bookmarkStart w:id="257" w:name="_Toc10193"/>
      <w:bookmarkStart w:id="258" w:name="_Toc27651"/>
      <w:r>
        <w:rPr>
          <w:rFonts w:hint="eastAsia" w:ascii="华文仿宋" w:hAnsi="华文仿宋" w:cs="华文仿宋"/>
          <w:color w:val="auto"/>
          <w:sz w:val="44"/>
          <w:szCs w:val="44"/>
        </w:rPr>
        <w:t>目  录</w:t>
      </w:r>
      <w:bookmarkEnd w:id="241"/>
      <w:bookmarkEnd w:id="242"/>
      <w:bookmarkEnd w:id="243"/>
      <w:bookmarkEnd w:id="244"/>
      <w:bookmarkEnd w:id="253"/>
      <w:bookmarkEnd w:id="254"/>
      <w:bookmarkEnd w:id="255"/>
      <w:bookmarkEnd w:id="256"/>
      <w:bookmarkEnd w:id="257"/>
      <w:bookmarkEnd w:id="258"/>
    </w:p>
    <w:p>
      <w:pPr>
        <w:tabs>
          <w:tab w:val="right" w:leader="hyphen" w:pos="8504"/>
        </w:tabs>
        <w:spacing w:line="500" w:lineRule="exact"/>
        <w:ind w:left="1981" w:leftChars="200" w:right="849" w:rightChars="300" w:hanging="1415" w:hangingChars="500"/>
        <w:rPr>
          <w:rFonts w:ascii="黑体" w:hAnsi="黑体" w:eastAsia="黑体" w:cs="黑体"/>
          <w:color w:val="auto"/>
        </w:rPr>
      </w:pPr>
      <w:bookmarkStart w:id="259" w:name="_Toc8294_WPSOffice_Level1"/>
      <w:bookmarkStart w:id="260" w:name="_Toc19993_WPSOffice_Level1"/>
      <w:bookmarkStart w:id="261" w:name="_Toc26192_WPSOffice_Level1"/>
      <w:bookmarkStart w:id="262" w:name="_Toc25537_WPSOffice_Level1"/>
      <w:r>
        <w:rPr>
          <w:rFonts w:hint="eastAsia" w:ascii="黑体" w:hAnsi="黑体" w:eastAsia="黑体" w:cs="黑体"/>
          <w:color w:val="auto"/>
        </w:rPr>
        <w:t>第一部分  资格证明文件</w:t>
      </w:r>
      <w:r>
        <w:rPr>
          <w:rFonts w:hint="eastAsia" w:ascii="黑体" w:hAnsi="黑体" w:eastAsia="黑体" w:cs="黑体"/>
          <w:color w:val="auto"/>
        </w:rPr>
        <w:tab/>
      </w:r>
      <w:r>
        <w:rPr>
          <w:rFonts w:hint="eastAsia" w:ascii="黑体" w:hAnsi="黑体" w:eastAsia="黑体" w:cs="黑体"/>
          <w:color w:val="auto"/>
        </w:rPr>
        <w:t>X</w:t>
      </w:r>
      <w:bookmarkEnd w:id="259"/>
      <w:bookmarkEnd w:id="260"/>
      <w:bookmarkEnd w:id="261"/>
      <w:bookmarkEnd w:id="262"/>
    </w:p>
    <w:p>
      <w:pPr>
        <w:tabs>
          <w:tab w:val="right" w:leader="hyphen" w:pos="8504"/>
        </w:tabs>
        <w:spacing w:line="500" w:lineRule="exact"/>
        <w:ind w:left="1981" w:leftChars="200" w:right="849" w:rightChars="300" w:hanging="1415" w:hangingChars="500"/>
        <w:rPr>
          <w:color w:val="auto"/>
        </w:rPr>
      </w:pPr>
      <w:r>
        <w:rPr>
          <w:color w:val="auto"/>
        </w:rPr>
        <w:t>　　　</w:t>
      </w:r>
      <w:bookmarkStart w:id="263" w:name="_Toc14464_WPSOffice_Level2"/>
      <w:bookmarkStart w:id="264" w:name="_Toc19993_WPSOffice_Level2"/>
      <w:bookmarkStart w:id="265" w:name="_Toc25969_WPSOffice_Level2"/>
      <w:bookmarkStart w:id="266" w:name="_Toc31082_WPSOffice_Level2"/>
      <w:r>
        <w:rPr>
          <w:rFonts w:hint="eastAsia"/>
          <w:color w:val="auto"/>
        </w:rPr>
        <w:t>一、营业执照等主体资格证明文件</w:t>
      </w:r>
      <w:r>
        <w:rPr>
          <w:color w:val="auto"/>
        </w:rPr>
        <w:tab/>
      </w:r>
      <w:r>
        <w:rPr>
          <w:color w:val="auto"/>
        </w:rPr>
        <w:t>X</w:t>
      </w:r>
      <w:bookmarkEnd w:id="263"/>
      <w:bookmarkEnd w:id="264"/>
      <w:bookmarkEnd w:id="265"/>
      <w:bookmarkEnd w:id="266"/>
    </w:p>
    <w:p>
      <w:pPr>
        <w:tabs>
          <w:tab w:val="right" w:leader="hyphen" w:pos="8504"/>
        </w:tabs>
        <w:spacing w:line="500" w:lineRule="exact"/>
        <w:ind w:right="849" w:rightChars="300" w:firstLine="1415" w:firstLineChars="500"/>
        <w:rPr>
          <w:color w:val="auto"/>
        </w:rPr>
      </w:pPr>
      <w:bookmarkStart w:id="267" w:name="_Toc10078_WPSOffice_Level2"/>
      <w:bookmarkStart w:id="268" w:name="_Toc25537_WPSOffice_Level2"/>
      <w:bookmarkStart w:id="269" w:name="_Toc27026_WPSOffice_Level2"/>
      <w:bookmarkStart w:id="270" w:name="_Toc5830_WPSOffice_Level2"/>
      <w:r>
        <w:rPr>
          <w:rFonts w:hint="eastAsia"/>
          <w:color w:val="auto"/>
        </w:rPr>
        <w:t>二、财务状况报告</w:t>
      </w:r>
      <w:r>
        <w:rPr>
          <w:color w:val="auto"/>
        </w:rPr>
        <w:tab/>
      </w:r>
      <w:r>
        <w:rPr>
          <w:color w:val="auto"/>
        </w:rPr>
        <w:t>X</w:t>
      </w:r>
      <w:bookmarkEnd w:id="267"/>
      <w:bookmarkEnd w:id="268"/>
      <w:bookmarkEnd w:id="269"/>
      <w:bookmarkEnd w:id="270"/>
    </w:p>
    <w:p>
      <w:pPr>
        <w:tabs>
          <w:tab w:val="right" w:leader="hyphen" w:pos="8504"/>
        </w:tabs>
        <w:spacing w:line="500" w:lineRule="exact"/>
        <w:ind w:right="849" w:rightChars="300" w:firstLine="1415" w:firstLineChars="500"/>
        <w:rPr>
          <w:color w:val="auto"/>
        </w:rPr>
      </w:pPr>
      <w:bookmarkStart w:id="271" w:name="_Toc22808_WPSOffice_Level2"/>
      <w:bookmarkStart w:id="272" w:name="_Toc30252_WPSOffice_Level2"/>
      <w:bookmarkStart w:id="273" w:name="_Toc17853_WPSOffice_Level2"/>
      <w:bookmarkStart w:id="274" w:name="_Toc6392_WPSOffice_Level2"/>
      <w:r>
        <w:rPr>
          <w:rFonts w:hint="eastAsia"/>
          <w:color w:val="auto"/>
        </w:rPr>
        <w:t>三、社保缴纳证明</w:t>
      </w:r>
      <w:r>
        <w:rPr>
          <w:color w:val="auto"/>
        </w:rPr>
        <w:tab/>
      </w:r>
      <w:r>
        <w:rPr>
          <w:color w:val="auto"/>
        </w:rPr>
        <w:t>X</w:t>
      </w:r>
      <w:bookmarkEnd w:id="271"/>
      <w:bookmarkEnd w:id="272"/>
      <w:bookmarkEnd w:id="273"/>
      <w:bookmarkEnd w:id="274"/>
    </w:p>
    <w:p>
      <w:pPr>
        <w:tabs>
          <w:tab w:val="right" w:leader="hyphen" w:pos="8504"/>
        </w:tabs>
        <w:spacing w:line="500" w:lineRule="exact"/>
        <w:ind w:right="849" w:rightChars="300" w:firstLine="1415" w:firstLineChars="500"/>
        <w:rPr>
          <w:color w:val="auto"/>
        </w:rPr>
      </w:pPr>
      <w:bookmarkStart w:id="275" w:name="_Toc27464_WPSOffice_Level2"/>
      <w:bookmarkStart w:id="276" w:name="_Toc26939_WPSOffice_Level2"/>
      <w:bookmarkStart w:id="277" w:name="_Toc25958_WPSOffice_Level2"/>
      <w:bookmarkStart w:id="278" w:name="_Toc6376_WPSOffice_Level2"/>
      <w:r>
        <w:rPr>
          <w:rFonts w:hint="eastAsia"/>
          <w:color w:val="auto"/>
        </w:rPr>
        <w:t>四、税收缴纳证明</w:t>
      </w:r>
      <w:r>
        <w:rPr>
          <w:color w:val="auto"/>
        </w:rPr>
        <w:tab/>
      </w:r>
      <w:r>
        <w:rPr>
          <w:color w:val="auto"/>
        </w:rPr>
        <w:t>X</w:t>
      </w:r>
      <w:bookmarkEnd w:id="275"/>
      <w:bookmarkEnd w:id="276"/>
      <w:bookmarkEnd w:id="277"/>
      <w:bookmarkEnd w:id="278"/>
    </w:p>
    <w:p>
      <w:pPr>
        <w:tabs>
          <w:tab w:val="right" w:leader="hyphen" w:pos="8504"/>
        </w:tabs>
        <w:spacing w:line="500" w:lineRule="exact"/>
        <w:ind w:right="849" w:rightChars="300" w:firstLine="1415" w:firstLineChars="500"/>
        <w:rPr>
          <w:color w:val="auto"/>
        </w:rPr>
      </w:pPr>
      <w:bookmarkStart w:id="279" w:name="_Toc25801_WPSOffice_Level2"/>
      <w:bookmarkStart w:id="280" w:name="_Toc10792_WPSOffice_Level2"/>
      <w:bookmarkStart w:id="281" w:name="_Toc3534_WPSOffice_Level2"/>
      <w:bookmarkStart w:id="282" w:name="_Toc17511_WPSOffice_Level2"/>
      <w:r>
        <w:rPr>
          <w:rFonts w:hint="eastAsia"/>
          <w:color w:val="auto"/>
        </w:rPr>
        <w:t>五、供应</w:t>
      </w:r>
      <w:r>
        <w:rPr>
          <w:color w:val="auto"/>
        </w:rPr>
        <w:t>商书面声明函</w:t>
      </w:r>
      <w:r>
        <w:rPr>
          <w:color w:val="auto"/>
        </w:rPr>
        <w:tab/>
      </w:r>
      <w:r>
        <w:rPr>
          <w:color w:val="auto"/>
        </w:rPr>
        <w:t>X</w:t>
      </w:r>
      <w:bookmarkEnd w:id="279"/>
      <w:bookmarkEnd w:id="280"/>
      <w:bookmarkEnd w:id="281"/>
      <w:bookmarkEnd w:id="282"/>
    </w:p>
    <w:p>
      <w:pPr>
        <w:tabs>
          <w:tab w:val="right" w:leader="hyphen" w:pos="8504"/>
        </w:tabs>
        <w:spacing w:line="500" w:lineRule="exact"/>
        <w:ind w:left="1981" w:leftChars="200" w:right="849" w:rightChars="300" w:hanging="1415" w:hangingChars="500"/>
        <w:rPr>
          <w:color w:val="auto"/>
        </w:rPr>
      </w:pPr>
      <w:r>
        <w:rPr>
          <w:color w:val="auto"/>
        </w:rPr>
        <w:t>　　　</w:t>
      </w:r>
      <w:bookmarkStart w:id="283" w:name="_Toc12145_WPSOffice_Level2"/>
      <w:bookmarkStart w:id="284" w:name="_Toc17236_WPSOffice_Level2"/>
      <w:bookmarkStart w:id="285" w:name="_Toc5115_WPSOffice_Level2"/>
      <w:bookmarkStart w:id="286" w:name="_Toc21196_WPSOffice_Level2"/>
      <w:r>
        <w:rPr>
          <w:rFonts w:hint="eastAsia"/>
          <w:color w:val="auto"/>
        </w:rPr>
        <w:t>六、</w:t>
      </w:r>
      <w:r>
        <w:rPr>
          <w:color w:val="auto"/>
        </w:rPr>
        <w:t>法定代表人授权委托书</w:t>
      </w:r>
      <w:r>
        <w:rPr>
          <w:color w:val="auto"/>
        </w:rPr>
        <w:tab/>
      </w:r>
      <w:r>
        <w:rPr>
          <w:color w:val="auto"/>
        </w:rPr>
        <w:t>X</w:t>
      </w:r>
    </w:p>
    <w:p>
      <w:pPr>
        <w:keepNext w:val="0"/>
        <w:keepLines w:val="0"/>
        <w:pageBreakBefore w:val="0"/>
        <w:widowControl/>
        <w:tabs>
          <w:tab w:val="right" w:leader="hyphen" w:pos="8504"/>
        </w:tabs>
        <w:kinsoku/>
        <w:wordWrap/>
        <w:overflowPunct/>
        <w:topLinePunct w:val="0"/>
        <w:autoSpaceDE/>
        <w:autoSpaceDN/>
        <w:bidi w:val="0"/>
        <w:adjustRightInd/>
        <w:snapToGrid/>
        <w:spacing w:line="500" w:lineRule="exact"/>
        <w:ind w:left="566" w:leftChars="200" w:right="849" w:rightChars="300" w:firstLine="849" w:firstLineChars="300"/>
        <w:textAlignment w:val="auto"/>
        <w:rPr>
          <w:rFonts w:hint="eastAsia" w:eastAsia="华文仿宋"/>
          <w:lang w:val="en-US" w:eastAsia="zh-CN"/>
        </w:rPr>
      </w:pPr>
      <w:r>
        <w:rPr>
          <w:rFonts w:hint="eastAsia"/>
          <w:color w:val="auto"/>
          <w:lang w:val="en-US" w:eastAsia="zh-CN"/>
        </w:rPr>
        <w:t>七</w:t>
      </w:r>
      <w:r>
        <w:rPr>
          <w:rFonts w:hint="eastAsia"/>
          <w:color w:val="auto"/>
        </w:rPr>
        <w:t>、</w:t>
      </w:r>
      <w:r>
        <w:rPr>
          <w:rFonts w:hint="eastAsia"/>
          <w:b w:val="0"/>
          <w:bCs/>
        </w:rPr>
        <w:t>特定资格要求</w:t>
      </w:r>
      <w:r>
        <w:rPr>
          <w:color w:val="auto"/>
        </w:rPr>
        <w:tab/>
      </w:r>
      <w:r>
        <w:rPr>
          <w:color w:val="auto"/>
        </w:rPr>
        <w:t>X</w:t>
      </w:r>
    </w:p>
    <w:bookmarkEnd w:id="283"/>
    <w:bookmarkEnd w:id="284"/>
    <w:bookmarkEnd w:id="285"/>
    <w:bookmarkEnd w:id="286"/>
    <w:p>
      <w:pPr>
        <w:tabs>
          <w:tab w:val="right" w:leader="hyphen" w:pos="8504"/>
        </w:tabs>
        <w:spacing w:line="500" w:lineRule="exact"/>
        <w:ind w:left="1981" w:leftChars="200" w:right="849" w:rightChars="300" w:hanging="1415" w:hangingChars="500"/>
        <w:rPr>
          <w:rFonts w:ascii="黑体" w:hAnsi="黑体" w:eastAsia="黑体" w:cs="黑体"/>
          <w:color w:val="auto"/>
        </w:rPr>
      </w:pPr>
      <w:bookmarkStart w:id="287" w:name="_Toc30252_WPSOffice_Level1"/>
      <w:bookmarkStart w:id="288" w:name="_Toc22849_WPSOffice_Level1"/>
      <w:bookmarkStart w:id="289" w:name="_Toc27026_WPSOffice_Level1"/>
      <w:bookmarkStart w:id="290" w:name="_Toc28184_WPSOffice_Level1"/>
      <w:r>
        <w:rPr>
          <w:rFonts w:hint="eastAsia" w:ascii="黑体" w:hAnsi="黑体" w:eastAsia="黑体" w:cs="黑体"/>
          <w:color w:val="auto"/>
        </w:rPr>
        <w:t>第二部分  符合性证明文件</w:t>
      </w:r>
      <w:r>
        <w:rPr>
          <w:color w:val="auto"/>
        </w:rPr>
        <w:tab/>
      </w:r>
      <w:r>
        <w:rPr>
          <w:color w:val="auto"/>
        </w:rPr>
        <w:t>X</w:t>
      </w:r>
      <w:bookmarkEnd w:id="287"/>
      <w:bookmarkEnd w:id="288"/>
      <w:bookmarkEnd w:id="289"/>
      <w:bookmarkEnd w:id="290"/>
    </w:p>
    <w:p>
      <w:pPr>
        <w:tabs>
          <w:tab w:val="right" w:leader="hyphen" w:pos="8504"/>
        </w:tabs>
        <w:spacing w:line="500" w:lineRule="exact"/>
        <w:ind w:right="849" w:rightChars="300" w:firstLine="1415" w:firstLineChars="500"/>
        <w:rPr>
          <w:color w:val="auto"/>
        </w:rPr>
      </w:pPr>
      <w:bookmarkStart w:id="291" w:name="_Toc183_WPSOffice_Level2"/>
      <w:bookmarkStart w:id="292" w:name="_Toc28631_WPSOffice_Level2"/>
      <w:bookmarkStart w:id="293" w:name="_Toc5795_WPSOffice_Level2"/>
      <w:bookmarkStart w:id="294" w:name="_Toc7348_WPSOffice_Level2"/>
      <w:r>
        <w:rPr>
          <w:rFonts w:hint="eastAsia"/>
          <w:color w:val="auto"/>
        </w:rPr>
        <w:t>一、响应</w:t>
      </w:r>
      <w:r>
        <w:rPr>
          <w:color w:val="auto"/>
        </w:rPr>
        <w:t>函</w:t>
      </w:r>
      <w:r>
        <w:rPr>
          <w:rFonts w:hint="eastAsia"/>
          <w:color w:val="auto"/>
        </w:rPr>
        <w:t>格式</w:t>
      </w:r>
      <w:r>
        <w:rPr>
          <w:color w:val="auto"/>
        </w:rPr>
        <w:tab/>
      </w:r>
      <w:r>
        <w:rPr>
          <w:color w:val="auto"/>
        </w:rPr>
        <w:t>X</w:t>
      </w:r>
      <w:bookmarkEnd w:id="291"/>
      <w:bookmarkEnd w:id="292"/>
      <w:bookmarkEnd w:id="293"/>
      <w:bookmarkEnd w:id="294"/>
    </w:p>
    <w:p>
      <w:pPr>
        <w:tabs>
          <w:tab w:val="right" w:leader="hyphen" w:pos="8504"/>
        </w:tabs>
        <w:spacing w:line="500" w:lineRule="exact"/>
        <w:ind w:left="1981" w:leftChars="200" w:right="849" w:rightChars="300" w:hanging="1415" w:hangingChars="500"/>
        <w:rPr>
          <w:color w:val="auto"/>
        </w:rPr>
      </w:pPr>
      <w:r>
        <w:rPr>
          <w:color w:val="auto"/>
        </w:rPr>
        <w:t xml:space="preserve">  </w:t>
      </w:r>
      <w:r>
        <w:rPr>
          <w:rFonts w:hint="eastAsia"/>
          <w:color w:val="auto"/>
        </w:rPr>
        <w:t xml:space="preserve">    </w:t>
      </w:r>
      <w:bookmarkStart w:id="295" w:name="_Toc1168_WPSOffice_Level2"/>
      <w:bookmarkStart w:id="296" w:name="_Toc27223_WPSOffice_Level2"/>
      <w:bookmarkStart w:id="297" w:name="_Toc9021_WPSOffice_Level2"/>
      <w:bookmarkStart w:id="298" w:name="_Toc8116_WPSOffice_Level2"/>
      <w:r>
        <w:rPr>
          <w:rFonts w:hint="eastAsia"/>
          <w:color w:val="auto"/>
        </w:rPr>
        <w:t>二、第一次磋商报价表</w:t>
      </w:r>
      <w:r>
        <w:rPr>
          <w:color w:val="auto"/>
        </w:rPr>
        <w:tab/>
      </w:r>
      <w:r>
        <w:rPr>
          <w:color w:val="auto"/>
        </w:rPr>
        <w:t>X</w:t>
      </w:r>
      <w:bookmarkEnd w:id="295"/>
      <w:bookmarkEnd w:id="296"/>
      <w:bookmarkEnd w:id="297"/>
      <w:bookmarkEnd w:id="298"/>
    </w:p>
    <w:p>
      <w:pPr>
        <w:tabs>
          <w:tab w:val="right" w:leader="hyphen" w:pos="8504"/>
        </w:tabs>
        <w:spacing w:line="500" w:lineRule="exact"/>
        <w:ind w:left="1981" w:leftChars="200" w:right="849" w:rightChars="300" w:hanging="1415" w:hangingChars="500"/>
        <w:rPr>
          <w:color w:val="auto"/>
        </w:rPr>
      </w:pPr>
      <w:r>
        <w:rPr>
          <w:color w:val="auto"/>
        </w:rPr>
        <w:t>　　　</w:t>
      </w:r>
      <w:r>
        <w:rPr>
          <w:rFonts w:hint="eastAsia"/>
          <w:color w:val="auto"/>
        </w:rPr>
        <w:t xml:space="preserve">    </w:t>
      </w:r>
      <w:r>
        <w:rPr>
          <w:color w:val="auto"/>
        </w:rPr>
        <w:t>分项报价表</w:t>
      </w:r>
      <w:r>
        <w:rPr>
          <w:color w:val="auto"/>
        </w:rPr>
        <w:tab/>
      </w:r>
      <w:r>
        <w:rPr>
          <w:color w:val="auto"/>
        </w:rPr>
        <w:t>X</w:t>
      </w:r>
    </w:p>
    <w:p>
      <w:pPr>
        <w:tabs>
          <w:tab w:val="right" w:leader="hyphen" w:pos="8504"/>
        </w:tabs>
        <w:spacing w:line="500" w:lineRule="exact"/>
        <w:ind w:left="1981" w:leftChars="500" w:right="849" w:rightChars="300" w:hanging="566" w:hangingChars="200"/>
        <w:rPr>
          <w:color w:val="auto"/>
        </w:rPr>
      </w:pPr>
      <w:bookmarkStart w:id="299" w:name="_Toc3525_WPSOffice_Level2"/>
      <w:bookmarkStart w:id="300" w:name="_Toc27170_WPSOffice_Level2"/>
      <w:bookmarkStart w:id="301" w:name="_Toc11630_WPSOffice_Level2"/>
      <w:bookmarkStart w:id="302" w:name="_Toc29414_WPSOffice_Level2"/>
      <w:r>
        <w:rPr>
          <w:rFonts w:hint="eastAsia"/>
          <w:color w:val="auto"/>
        </w:rPr>
        <w:t>三、磋商保证金交纳凭证</w:t>
      </w:r>
      <w:r>
        <w:rPr>
          <w:rFonts w:hint="eastAsia"/>
          <w:color w:val="auto"/>
        </w:rPr>
        <w:tab/>
      </w:r>
      <w:r>
        <w:rPr>
          <w:rFonts w:hint="eastAsia"/>
          <w:color w:val="auto"/>
        </w:rPr>
        <w:t>X</w:t>
      </w:r>
    </w:p>
    <w:p>
      <w:pPr>
        <w:tabs>
          <w:tab w:val="right" w:leader="hyphen" w:pos="8504"/>
        </w:tabs>
        <w:spacing w:line="500" w:lineRule="exact"/>
        <w:ind w:left="1981" w:leftChars="500" w:right="849" w:rightChars="300" w:hanging="566" w:hangingChars="200"/>
        <w:rPr>
          <w:color w:val="auto"/>
        </w:rPr>
      </w:pPr>
      <w:r>
        <w:rPr>
          <w:rFonts w:hint="eastAsia"/>
          <w:color w:val="auto"/>
        </w:rPr>
        <w:t>四、供应</w:t>
      </w:r>
      <w:r>
        <w:rPr>
          <w:color w:val="auto"/>
        </w:rPr>
        <w:t>商</w:t>
      </w:r>
      <w:r>
        <w:rPr>
          <w:rFonts w:hint="eastAsia"/>
          <w:color w:val="auto"/>
        </w:rPr>
        <w:t>参加政府采购活动</w:t>
      </w:r>
      <w:r>
        <w:rPr>
          <w:color w:val="auto"/>
        </w:rPr>
        <w:t>承诺书</w:t>
      </w:r>
      <w:r>
        <w:rPr>
          <w:color w:val="auto"/>
        </w:rPr>
        <w:tab/>
      </w:r>
      <w:r>
        <w:rPr>
          <w:color w:val="auto"/>
        </w:rPr>
        <w:t>X</w:t>
      </w:r>
      <w:bookmarkEnd w:id="299"/>
      <w:bookmarkEnd w:id="300"/>
      <w:bookmarkEnd w:id="301"/>
      <w:bookmarkEnd w:id="302"/>
    </w:p>
    <w:p>
      <w:pPr>
        <w:tabs>
          <w:tab w:val="right" w:leader="hyphen" w:pos="8504"/>
        </w:tabs>
        <w:spacing w:line="500" w:lineRule="exact"/>
        <w:ind w:right="849" w:rightChars="300" w:firstLine="1415" w:firstLineChars="500"/>
        <w:rPr>
          <w:color w:val="auto"/>
        </w:rPr>
      </w:pPr>
      <w:bookmarkStart w:id="303" w:name="_Toc31457_WPSOffice_Level2"/>
      <w:bookmarkStart w:id="304" w:name="_Toc18811_WPSOffice_Level2"/>
      <w:bookmarkStart w:id="305" w:name="_Toc1782_WPSOffice_Level2"/>
      <w:bookmarkStart w:id="306" w:name="_Toc20504_WPSOffice_Level2"/>
      <w:r>
        <w:rPr>
          <w:rFonts w:hint="eastAsia"/>
          <w:color w:val="auto"/>
        </w:rPr>
        <w:t>五、技术服务偏差表</w:t>
      </w:r>
      <w:r>
        <w:rPr>
          <w:color w:val="auto"/>
        </w:rPr>
        <w:tab/>
      </w:r>
      <w:r>
        <w:rPr>
          <w:color w:val="auto"/>
        </w:rPr>
        <w:t>X</w:t>
      </w:r>
      <w:bookmarkEnd w:id="303"/>
      <w:bookmarkEnd w:id="304"/>
      <w:bookmarkEnd w:id="305"/>
      <w:bookmarkEnd w:id="306"/>
    </w:p>
    <w:p>
      <w:pPr>
        <w:tabs>
          <w:tab w:val="right" w:leader="hyphen" w:pos="8504"/>
        </w:tabs>
        <w:spacing w:line="500" w:lineRule="exact"/>
        <w:ind w:left="1981" w:leftChars="200" w:right="849" w:rightChars="300" w:hanging="1415" w:hangingChars="500"/>
        <w:rPr>
          <w:color w:val="auto"/>
        </w:rPr>
      </w:pPr>
      <w:r>
        <w:rPr>
          <w:rFonts w:hint="eastAsia"/>
          <w:color w:val="auto"/>
        </w:rPr>
        <w:t xml:space="preserve">      </w:t>
      </w:r>
      <w:bookmarkStart w:id="307" w:name="_Toc28279_WPSOffice_Level2"/>
      <w:bookmarkStart w:id="308" w:name="_Toc17428_WPSOffice_Level2"/>
      <w:bookmarkStart w:id="309" w:name="_Toc13258_WPSOffice_Level2"/>
      <w:bookmarkStart w:id="310" w:name="_Toc19486_WPSOffice_Level2"/>
      <w:r>
        <w:rPr>
          <w:rFonts w:hint="eastAsia"/>
          <w:color w:val="auto"/>
        </w:rPr>
        <w:t>六、合同条款响应</w:t>
      </w:r>
      <w:r>
        <w:rPr>
          <w:color w:val="auto"/>
        </w:rPr>
        <w:tab/>
      </w:r>
      <w:r>
        <w:rPr>
          <w:color w:val="auto"/>
        </w:rPr>
        <w:t>X</w:t>
      </w:r>
      <w:bookmarkEnd w:id="307"/>
      <w:bookmarkEnd w:id="308"/>
      <w:bookmarkEnd w:id="309"/>
      <w:bookmarkEnd w:id="310"/>
    </w:p>
    <w:p>
      <w:pPr>
        <w:tabs>
          <w:tab w:val="right" w:leader="hyphen" w:pos="8504"/>
        </w:tabs>
        <w:spacing w:line="500" w:lineRule="exact"/>
        <w:ind w:right="849" w:rightChars="300"/>
        <w:rPr>
          <w:rFonts w:ascii="黑体" w:hAnsi="黑体" w:eastAsia="黑体" w:cs="黑体"/>
          <w:color w:val="auto"/>
        </w:rPr>
      </w:pPr>
      <w:r>
        <w:rPr>
          <w:rFonts w:hint="eastAsia" w:ascii="黑体" w:hAnsi="黑体" w:eastAsia="黑体" w:cs="黑体"/>
          <w:color w:val="auto"/>
        </w:rPr>
        <w:t xml:space="preserve">    </w:t>
      </w:r>
      <w:bookmarkStart w:id="311" w:name="_Toc27464_WPSOffice_Level1"/>
      <w:bookmarkStart w:id="312" w:name="_Toc22808_WPSOffice_Level1"/>
      <w:bookmarkStart w:id="313" w:name="_Toc23092_WPSOffice_Level1"/>
      <w:bookmarkStart w:id="314" w:name="_Toc21905_WPSOffice_Level1"/>
      <w:r>
        <w:rPr>
          <w:rFonts w:hint="eastAsia" w:ascii="黑体" w:hAnsi="黑体" w:eastAsia="黑体" w:cs="黑体"/>
          <w:color w:val="auto"/>
        </w:rPr>
        <w:t>第三部分  响应方案</w:t>
      </w:r>
      <w:bookmarkEnd w:id="311"/>
      <w:bookmarkEnd w:id="312"/>
      <w:bookmarkEnd w:id="313"/>
      <w:bookmarkEnd w:id="314"/>
    </w:p>
    <w:p>
      <w:pPr>
        <w:tabs>
          <w:tab w:val="right" w:leader="hyphen" w:pos="8504"/>
        </w:tabs>
        <w:spacing w:line="500" w:lineRule="exact"/>
        <w:ind w:left="1981" w:leftChars="200" w:right="849" w:rightChars="300" w:hanging="1415" w:hangingChars="500"/>
        <w:rPr>
          <w:color w:val="auto"/>
        </w:rPr>
      </w:pPr>
      <w:r>
        <w:rPr>
          <w:rFonts w:hint="eastAsia"/>
          <w:color w:val="auto"/>
        </w:rPr>
        <w:t xml:space="preserve">      </w:t>
      </w:r>
      <w:bookmarkStart w:id="315" w:name="_Toc7951_WPSOffice_Level2"/>
      <w:bookmarkStart w:id="316" w:name="_Toc7544_WPSOffice_Level2"/>
      <w:bookmarkStart w:id="317" w:name="_Toc980_WPSOffice_Level2"/>
      <w:bookmarkStart w:id="318" w:name="_Toc8316_WPSOffice_Level2"/>
      <w:r>
        <w:rPr>
          <w:rFonts w:hint="eastAsia"/>
          <w:color w:val="auto"/>
        </w:rPr>
        <w:t>一、</w:t>
      </w:r>
      <w:bookmarkEnd w:id="315"/>
      <w:r>
        <w:rPr>
          <w:rFonts w:hint="eastAsia"/>
          <w:color w:val="auto"/>
        </w:rPr>
        <w:t>供应商性质及其概况</w:t>
      </w:r>
      <w:r>
        <w:rPr>
          <w:color w:val="auto"/>
        </w:rPr>
        <w:tab/>
      </w:r>
      <w:r>
        <w:rPr>
          <w:color w:val="auto"/>
        </w:rPr>
        <w:t>X</w:t>
      </w:r>
      <w:bookmarkEnd w:id="316"/>
      <w:bookmarkEnd w:id="317"/>
      <w:bookmarkEnd w:id="318"/>
    </w:p>
    <w:p>
      <w:pPr>
        <w:tabs>
          <w:tab w:val="right" w:leader="hyphen" w:pos="8504"/>
        </w:tabs>
        <w:spacing w:line="500" w:lineRule="exact"/>
        <w:ind w:left="1981" w:leftChars="700" w:right="849" w:rightChars="300"/>
        <w:rPr>
          <w:color w:val="auto"/>
        </w:rPr>
      </w:pPr>
      <w:r>
        <w:rPr>
          <w:rFonts w:hint="eastAsia"/>
          <w:color w:val="auto"/>
        </w:rPr>
        <w:t>供应商基本信息</w:t>
      </w:r>
      <w:r>
        <w:rPr>
          <w:color w:val="auto"/>
        </w:rPr>
        <w:tab/>
      </w:r>
      <w:r>
        <w:rPr>
          <w:color w:val="auto"/>
        </w:rPr>
        <w:t>X</w:t>
      </w:r>
    </w:p>
    <w:p>
      <w:pPr>
        <w:tabs>
          <w:tab w:val="right" w:leader="hyphen" w:pos="8504"/>
        </w:tabs>
        <w:spacing w:line="500" w:lineRule="exact"/>
        <w:ind w:left="1981" w:leftChars="200" w:right="849" w:rightChars="300" w:hanging="1415" w:hangingChars="500"/>
        <w:rPr>
          <w:color w:val="auto"/>
        </w:rPr>
      </w:pPr>
      <w:r>
        <w:rPr>
          <w:rFonts w:hint="eastAsia"/>
          <w:color w:val="auto"/>
        </w:rPr>
        <w:t xml:space="preserve">          供应商性质</w:t>
      </w:r>
      <w:r>
        <w:rPr>
          <w:color w:val="auto"/>
        </w:rPr>
        <w:tab/>
      </w:r>
      <w:r>
        <w:rPr>
          <w:color w:val="auto"/>
        </w:rPr>
        <w:t>X</w:t>
      </w:r>
    </w:p>
    <w:p>
      <w:pPr>
        <w:tabs>
          <w:tab w:val="right" w:leader="hyphen" w:pos="8504"/>
        </w:tabs>
        <w:spacing w:line="500" w:lineRule="exact"/>
        <w:ind w:left="1981" w:leftChars="200" w:right="849" w:rightChars="300" w:hanging="1415" w:hangingChars="500"/>
        <w:rPr>
          <w:color w:val="auto"/>
        </w:rPr>
      </w:pPr>
      <w:r>
        <w:rPr>
          <w:rFonts w:hint="eastAsia"/>
          <w:color w:val="auto"/>
        </w:rPr>
        <w:t xml:space="preserve">          其他</w:t>
      </w:r>
      <w:r>
        <w:rPr>
          <w:color w:val="auto"/>
        </w:rPr>
        <w:tab/>
      </w:r>
      <w:r>
        <w:rPr>
          <w:color w:val="auto"/>
        </w:rPr>
        <w:t>X</w:t>
      </w:r>
    </w:p>
    <w:p>
      <w:pPr>
        <w:tabs>
          <w:tab w:val="right" w:leader="hyphen" w:pos="8504"/>
        </w:tabs>
        <w:spacing w:line="500" w:lineRule="exact"/>
        <w:ind w:left="849" w:leftChars="300" w:right="849" w:rightChars="300" w:firstLine="566" w:firstLineChars="200"/>
        <w:rPr>
          <w:color w:val="auto"/>
        </w:rPr>
      </w:pPr>
      <w:bookmarkStart w:id="319" w:name="_Toc10127_WPSOffice_Level2"/>
      <w:bookmarkStart w:id="320" w:name="_Toc2999_WPSOffice_Level2"/>
      <w:bookmarkStart w:id="321" w:name="_Toc2987_WPSOffice_Level2"/>
      <w:bookmarkStart w:id="322" w:name="_Toc15474_WPSOffice_Level2"/>
      <w:r>
        <w:rPr>
          <w:rFonts w:hint="eastAsia"/>
          <w:color w:val="auto"/>
        </w:rPr>
        <w:t>二、技术服务</w:t>
      </w:r>
      <w:r>
        <w:rPr>
          <w:color w:val="auto"/>
        </w:rPr>
        <w:t>方案</w:t>
      </w:r>
      <w:r>
        <w:rPr>
          <w:color w:val="auto"/>
        </w:rPr>
        <w:tab/>
      </w:r>
      <w:r>
        <w:rPr>
          <w:color w:val="auto"/>
        </w:rPr>
        <w:t>X</w:t>
      </w:r>
      <w:bookmarkEnd w:id="319"/>
      <w:bookmarkEnd w:id="320"/>
      <w:bookmarkEnd w:id="321"/>
      <w:bookmarkEnd w:id="322"/>
    </w:p>
    <w:p>
      <w:pPr>
        <w:numPr>
          <w:ilvl w:val="0"/>
          <w:numId w:val="10"/>
        </w:numPr>
        <w:tabs>
          <w:tab w:val="right" w:leader="hyphen" w:pos="8504"/>
        </w:tabs>
        <w:spacing w:line="500" w:lineRule="exact"/>
        <w:ind w:left="1981" w:leftChars="500" w:right="849" w:rightChars="300" w:hanging="566" w:hangingChars="200"/>
        <w:rPr>
          <w:color w:val="auto"/>
        </w:rPr>
      </w:pPr>
      <w:bookmarkStart w:id="323" w:name="_Toc13401_WPSOffice_Level2"/>
      <w:bookmarkStart w:id="324" w:name="_Toc22913_WPSOffice_Level2"/>
      <w:bookmarkStart w:id="325" w:name="_Toc28542_WPSOffice_Level2"/>
      <w:bookmarkStart w:id="326" w:name="_Toc15492_WPSOffice_Level2"/>
      <w:r>
        <w:rPr>
          <w:rFonts w:hint="eastAsia"/>
          <w:color w:val="auto"/>
        </w:rPr>
        <w:t>参考样表</w:t>
      </w:r>
      <w:r>
        <w:rPr>
          <w:color w:val="auto"/>
        </w:rPr>
        <w:tab/>
      </w:r>
      <w:r>
        <w:rPr>
          <w:color w:val="auto"/>
        </w:rPr>
        <w:t>X</w:t>
      </w:r>
      <w:bookmarkEnd w:id="323"/>
      <w:bookmarkEnd w:id="324"/>
      <w:bookmarkEnd w:id="325"/>
      <w:bookmarkEnd w:id="326"/>
    </w:p>
    <w:p>
      <w:pPr>
        <w:numPr>
          <w:ilvl w:val="0"/>
          <w:numId w:val="10"/>
        </w:numPr>
        <w:tabs>
          <w:tab w:val="right" w:leader="hyphen" w:pos="8504"/>
        </w:tabs>
        <w:spacing w:line="500" w:lineRule="exact"/>
        <w:ind w:left="1981" w:leftChars="500" w:right="849" w:rightChars="300" w:hanging="566" w:hangingChars="200"/>
        <w:rPr>
          <w:color w:val="auto"/>
        </w:rPr>
      </w:pPr>
      <w:bookmarkStart w:id="327" w:name="_Toc31039_WPSOffice_Level2"/>
      <w:bookmarkStart w:id="328" w:name="_Toc18939_WPSOffice_Level2"/>
      <w:bookmarkStart w:id="329" w:name="_Toc5988_WPSOffice_Level2"/>
      <w:bookmarkStart w:id="330" w:name="_Toc31677_WPSOffice_Level2"/>
      <w:r>
        <w:rPr>
          <w:rFonts w:hint="eastAsia"/>
          <w:color w:val="auto"/>
        </w:rPr>
        <w:t>供应商认为有利于成交的其他情况说明</w:t>
      </w:r>
      <w:bookmarkEnd w:id="327"/>
      <w:r>
        <w:rPr>
          <w:color w:val="auto"/>
        </w:rPr>
        <w:tab/>
      </w:r>
      <w:r>
        <w:rPr>
          <w:color w:val="auto"/>
        </w:rPr>
        <w:t>X</w:t>
      </w:r>
      <w:bookmarkEnd w:id="328"/>
      <w:bookmarkEnd w:id="329"/>
      <w:bookmarkEnd w:id="330"/>
    </w:p>
    <w:p>
      <w:pPr>
        <w:spacing w:line="500" w:lineRule="exact"/>
        <w:jc w:val="center"/>
        <w:rPr>
          <w:rFonts w:ascii="黑体" w:hAnsi="黑体" w:eastAsia="黑体"/>
          <w:b/>
          <w:color w:val="auto"/>
        </w:rPr>
      </w:pPr>
      <w:r>
        <w:rPr>
          <w:rFonts w:ascii="黑体" w:hAnsi="黑体" w:eastAsia="黑体"/>
          <w:b/>
          <w:color w:val="auto"/>
        </w:rPr>
        <w:br w:type="page"/>
      </w:r>
      <w:bookmarkStart w:id="331" w:name="_Toc5115_WPSOffice_Level1"/>
      <w:bookmarkStart w:id="332" w:name="_Toc14670_WPSOffice_Level1"/>
      <w:bookmarkStart w:id="333" w:name="_Toc3534_WPSOffice_Level1"/>
      <w:bookmarkStart w:id="334" w:name="_Toc17561"/>
      <w:r>
        <w:rPr>
          <w:rStyle w:val="60"/>
          <w:rFonts w:hint="eastAsia" w:ascii="黑体" w:hAnsi="黑体" w:eastAsia="黑体" w:cs="黑体"/>
          <w:b w:val="0"/>
          <w:bCs/>
          <w:color w:val="auto"/>
          <w:sz w:val="32"/>
          <w:szCs w:val="40"/>
        </w:rPr>
        <w:t>第一部分  资格证明文件</w:t>
      </w:r>
      <w:bookmarkEnd w:id="331"/>
      <w:bookmarkEnd w:id="332"/>
      <w:bookmarkEnd w:id="333"/>
      <w:bookmarkEnd w:id="334"/>
    </w:p>
    <w:p>
      <w:pPr>
        <w:spacing w:line="500" w:lineRule="exact"/>
        <w:ind w:firstLine="562"/>
        <w:rPr>
          <w:color w:val="auto"/>
        </w:rPr>
      </w:pPr>
      <w:bookmarkStart w:id="335" w:name="_Toc19075_WPSOffice_Level2"/>
      <w:bookmarkStart w:id="336" w:name="_Toc6967_WPSOffice_Level2"/>
      <w:bookmarkStart w:id="337" w:name="_Toc26041_WPSOffice_Level2"/>
      <w:bookmarkStart w:id="338" w:name="_Toc9954_WPSOffice_Level2"/>
      <w:r>
        <w:rPr>
          <w:rFonts w:hint="eastAsia"/>
          <w:color w:val="auto"/>
        </w:rPr>
        <w:t>供应商应按照磋商文件第一章第八项所列“供应商资格要求”逐一提供全部资格证明文件。缺少其中任何一项，其响应文件将被视为无效文件。</w:t>
      </w:r>
    </w:p>
    <w:p>
      <w:pPr>
        <w:spacing w:line="500" w:lineRule="exact"/>
        <w:ind w:firstLine="562"/>
        <w:rPr>
          <w:color w:val="auto"/>
        </w:rPr>
      </w:pPr>
      <w:r>
        <w:rPr>
          <w:rFonts w:hint="eastAsia"/>
          <w:color w:val="auto"/>
        </w:rPr>
        <w:t>其中，《供应商书面声明函》、《法定代表人授权委托书》须按下文给定格式填写，否则按无效处理。特别说明，法定代表人亲自参加投标的，可不提供法定代表人授权委托书，但须提供其本人身份证（正反面）复印件。</w:t>
      </w:r>
    </w:p>
    <w:p>
      <w:pPr>
        <w:pStyle w:val="49"/>
        <w:keepNext/>
        <w:keepLines/>
        <w:pageBreakBefore w:val="0"/>
        <w:widowControl/>
        <w:kinsoku/>
        <w:wordWrap/>
        <w:overflowPunct/>
        <w:topLinePunct w:val="0"/>
        <w:autoSpaceDE/>
        <w:autoSpaceDN/>
        <w:bidi w:val="0"/>
        <w:adjustRightInd/>
        <w:snapToGrid/>
        <w:spacing w:line="500" w:lineRule="atLeast"/>
        <w:textAlignment w:val="auto"/>
        <w:rPr>
          <w:color w:val="auto"/>
          <w:sz w:val="30"/>
          <w:szCs w:val="30"/>
        </w:rPr>
      </w:pPr>
      <w:r>
        <w:rPr>
          <w:rFonts w:hint="eastAsia"/>
          <w:color w:val="auto"/>
          <w:sz w:val="30"/>
          <w:szCs w:val="30"/>
        </w:rPr>
        <w:t>一、</w:t>
      </w:r>
      <w:r>
        <w:rPr>
          <w:color w:val="auto"/>
          <w:sz w:val="30"/>
          <w:szCs w:val="30"/>
        </w:rPr>
        <w:t>营业执照等主体资格证明文件</w:t>
      </w:r>
      <w:bookmarkEnd w:id="335"/>
      <w:bookmarkEnd w:id="336"/>
      <w:bookmarkEnd w:id="337"/>
      <w:bookmarkEnd w:id="338"/>
    </w:p>
    <w:p>
      <w:pPr>
        <w:pStyle w:val="49"/>
        <w:keepNext/>
        <w:keepLines/>
        <w:pageBreakBefore w:val="0"/>
        <w:widowControl/>
        <w:kinsoku/>
        <w:wordWrap/>
        <w:overflowPunct/>
        <w:topLinePunct w:val="0"/>
        <w:autoSpaceDE/>
        <w:autoSpaceDN/>
        <w:bidi w:val="0"/>
        <w:adjustRightInd/>
        <w:snapToGrid/>
        <w:spacing w:line="500" w:lineRule="atLeast"/>
        <w:textAlignment w:val="auto"/>
        <w:rPr>
          <w:color w:val="auto"/>
          <w:sz w:val="30"/>
          <w:szCs w:val="30"/>
        </w:rPr>
      </w:pPr>
      <w:bookmarkStart w:id="339" w:name="_Toc24324_WPSOffice_Level2"/>
      <w:bookmarkStart w:id="340" w:name="_Toc6228_WPSOffice_Level2"/>
      <w:bookmarkStart w:id="341" w:name="_Toc8228_WPSOffice_Level2"/>
      <w:bookmarkStart w:id="342" w:name="_Toc18116_WPSOffice_Level2"/>
      <w:r>
        <w:rPr>
          <w:rFonts w:hint="eastAsia"/>
          <w:color w:val="auto"/>
          <w:sz w:val="30"/>
          <w:szCs w:val="30"/>
        </w:rPr>
        <w:t>二、</w:t>
      </w:r>
      <w:r>
        <w:rPr>
          <w:color w:val="auto"/>
          <w:sz w:val="30"/>
          <w:szCs w:val="30"/>
        </w:rPr>
        <w:t>财务状况报告</w:t>
      </w:r>
      <w:bookmarkEnd w:id="339"/>
      <w:bookmarkEnd w:id="340"/>
      <w:bookmarkEnd w:id="341"/>
      <w:bookmarkEnd w:id="342"/>
    </w:p>
    <w:p>
      <w:pPr>
        <w:pStyle w:val="49"/>
        <w:keepNext/>
        <w:keepLines/>
        <w:pageBreakBefore w:val="0"/>
        <w:widowControl/>
        <w:kinsoku/>
        <w:wordWrap/>
        <w:overflowPunct/>
        <w:topLinePunct w:val="0"/>
        <w:autoSpaceDE/>
        <w:autoSpaceDN/>
        <w:bidi w:val="0"/>
        <w:adjustRightInd/>
        <w:snapToGrid/>
        <w:spacing w:line="500" w:lineRule="atLeast"/>
        <w:textAlignment w:val="auto"/>
        <w:rPr>
          <w:color w:val="auto"/>
          <w:sz w:val="30"/>
          <w:szCs w:val="30"/>
        </w:rPr>
      </w:pPr>
      <w:bookmarkStart w:id="343" w:name="_Toc25438_WPSOffice_Level2"/>
      <w:bookmarkStart w:id="344" w:name="_Toc9514_WPSOffice_Level2"/>
      <w:bookmarkStart w:id="345" w:name="_Toc29597_WPSOffice_Level2"/>
      <w:bookmarkStart w:id="346" w:name="_Toc8724_WPSOffice_Level2"/>
      <w:r>
        <w:rPr>
          <w:rFonts w:hint="eastAsia"/>
          <w:color w:val="auto"/>
          <w:sz w:val="30"/>
          <w:szCs w:val="30"/>
        </w:rPr>
        <w:t>三、</w:t>
      </w:r>
      <w:r>
        <w:rPr>
          <w:color w:val="auto"/>
          <w:sz w:val="30"/>
          <w:szCs w:val="30"/>
        </w:rPr>
        <w:t>社保缴纳证明</w:t>
      </w:r>
      <w:bookmarkEnd w:id="343"/>
      <w:bookmarkEnd w:id="344"/>
      <w:bookmarkEnd w:id="345"/>
      <w:bookmarkEnd w:id="346"/>
    </w:p>
    <w:p>
      <w:pPr>
        <w:pStyle w:val="49"/>
        <w:keepNext/>
        <w:keepLines/>
        <w:pageBreakBefore w:val="0"/>
        <w:widowControl/>
        <w:kinsoku/>
        <w:wordWrap/>
        <w:overflowPunct/>
        <w:topLinePunct w:val="0"/>
        <w:autoSpaceDE/>
        <w:autoSpaceDN/>
        <w:bidi w:val="0"/>
        <w:adjustRightInd/>
        <w:snapToGrid/>
        <w:spacing w:line="500" w:lineRule="atLeast"/>
        <w:textAlignment w:val="auto"/>
        <w:rPr>
          <w:color w:val="auto"/>
          <w:sz w:val="30"/>
          <w:szCs w:val="30"/>
        </w:rPr>
      </w:pPr>
      <w:bookmarkStart w:id="347" w:name="_Toc22563_WPSOffice_Level2"/>
      <w:bookmarkStart w:id="348" w:name="_Toc26260_WPSOffice_Level2"/>
      <w:bookmarkStart w:id="349" w:name="_Toc18154_WPSOffice_Level2"/>
      <w:bookmarkStart w:id="350" w:name="_Toc960_WPSOffice_Level2"/>
      <w:r>
        <w:rPr>
          <w:rFonts w:hint="eastAsia"/>
          <w:color w:val="auto"/>
          <w:sz w:val="30"/>
          <w:szCs w:val="30"/>
        </w:rPr>
        <w:t>四、</w:t>
      </w:r>
      <w:r>
        <w:rPr>
          <w:color w:val="auto"/>
          <w:sz w:val="30"/>
          <w:szCs w:val="30"/>
        </w:rPr>
        <w:t>税收缴纳证明</w:t>
      </w:r>
      <w:bookmarkEnd w:id="347"/>
      <w:bookmarkEnd w:id="348"/>
      <w:bookmarkEnd w:id="349"/>
      <w:bookmarkEnd w:id="350"/>
    </w:p>
    <w:p>
      <w:pPr>
        <w:pStyle w:val="49"/>
        <w:keepNext/>
        <w:keepLines/>
        <w:pageBreakBefore w:val="0"/>
        <w:widowControl/>
        <w:kinsoku/>
        <w:wordWrap/>
        <w:overflowPunct/>
        <w:topLinePunct w:val="0"/>
        <w:autoSpaceDE/>
        <w:autoSpaceDN/>
        <w:bidi w:val="0"/>
        <w:adjustRightInd/>
        <w:snapToGrid/>
        <w:spacing w:line="500" w:lineRule="atLeast"/>
        <w:textAlignment w:val="auto"/>
        <w:rPr>
          <w:color w:val="auto"/>
          <w:sz w:val="30"/>
          <w:szCs w:val="30"/>
        </w:rPr>
      </w:pPr>
      <w:bookmarkStart w:id="351" w:name="_Toc32533_WPSOffice_Level2"/>
      <w:bookmarkStart w:id="352" w:name="_Toc1079_WPSOffice_Level2"/>
      <w:bookmarkStart w:id="353" w:name="_Toc10483_WPSOffice_Level2"/>
      <w:bookmarkStart w:id="354" w:name="_Toc30636_WPSOffice_Level2"/>
      <w:r>
        <w:rPr>
          <w:rFonts w:hint="eastAsia"/>
          <w:color w:val="auto"/>
          <w:sz w:val="30"/>
          <w:szCs w:val="30"/>
        </w:rPr>
        <w:t>五、</w:t>
      </w:r>
      <w:r>
        <w:rPr>
          <w:color w:val="auto"/>
          <w:sz w:val="30"/>
          <w:szCs w:val="30"/>
        </w:rPr>
        <w:t>供应商书面声明函</w:t>
      </w:r>
      <w:bookmarkEnd w:id="351"/>
      <w:bookmarkEnd w:id="352"/>
      <w:bookmarkEnd w:id="353"/>
      <w:bookmarkEnd w:id="354"/>
    </w:p>
    <w:p>
      <w:pPr>
        <w:spacing w:line="500" w:lineRule="exact"/>
        <w:ind w:firstLine="566" w:firstLineChars="200"/>
        <w:rPr>
          <w:color w:val="auto"/>
        </w:rPr>
      </w:pPr>
    </w:p>
    <w:p>
      <w:pPr>
        <w:pStyle w:val="49"/>
        <w:jc w:val="center"/>
        <w:outlineLvl w:val="9"/>
        <w:rPr>
          <w:color w:val="auto"/>
          <w:sz w:val="30"/>
          <w:szCs w:val="30"/>
        </w:rPr>
      </w:pPr>
    </w:p>
    <w:p>
      <w:pPr>
        <w:pStyle w:val="49"/>
        <w:jc w:val="center"/>
        <w:rPr>
          <w:color w:val="auto"/>
          <w:sz w:val="30"/>
          <w:szCs w:val="30"/>
        </w:rPr>
      </w:pPr>
      <w:bookmarkStart w:id="355" w:name="_Toc26983"/>
      <w:bookmarkStart w:id="356" w:name="_Toc12492"/>
      <w:bookmarkStart w:id="357" w:name="_Toc27403"/>
      <w:bookmarkStart w:id="358" w:name="_Toc2068"/>
      <w:bookmarkStart w:id="359" w:name="_Toc28079"/>
      <w:r>
        <w:rPr>
          <w:rFonts w:hint="eastAsia"/>
          <w:color w:val="auto"/>
          <w:sz w:val="30"/>
          <w:szCs w:val="30"/>
        </w:rPr>
        <w:t>供应</w:t>
      </w:r>
      <w:r>
        <w:rPr>
          <w:color w:val="auto"/>
          <w:sz w:val="30"/>
          <w:szCs w:val="30"/>
        </w:rPr>
        <w:t>商书面声明函</w:t>
      </w:r>
      <w:bookmarkEnd w:id="355"/>
      <w:bookmarkEnd w:id="356"/>
      <w:bookmarkEnd w:id="357"/>
      <w:bookmarkEnd w:id="358"/>
      <w:bookmarkEnd w:id="359"/>
    </w:p>
    <w:p>
      <w:pPr>
        <w:spacing w:line="500" w:lineRule="exact"/>
        <w:rPr>
          <w:color w:val="auto"/>
        </w:rPr>
      </w:pPr>
      <w:r>
        <w:rPr>
          <w:rFonts w:hint="eastAsia" w:ascii="华文仿宋" w:hAnsi="华文仿宋" w:cs="华文仿宋"/>
          <w:color w:val="auto"/>
        </w:rPr>
        <w:t>陕西省省级单位政府采购中心</w:t>
      </w:r>
      <w:r>
        <w:rPr>
          <w:color w:val="auto"/>
        </w:rPr>
        <w:t>：</w:t>
      </w:r>
    </w:p>
    <w:p>
      <w:pPr>
        <w:spacing w:line="500" w:lineRule="exact"/>
        <w:ind w:firstLine="566" w:firstLineChars="200"/>
        <w:rPr>
          <w:rFonts w:ascii="仿宋" w:hAnsi="仿宋" w:eastAsia="仿宋" w:cs="仿宋"/>
          <w:color w:val="auto"/>
        </w:rPr>
      </w:pPr>
      <w:r>
        <w:rPr>
          <w:rFonts w:hint="eastAsia" w:ascii="仿宋" w:hAnsi="仿宋" w:eastAsia="仿宋" w:cs="仿宋"/>
          <w:color w:val="auto"/>
        </w:rPr>
        <w:t>我方作为</w:t>
      </w:r>
      <w:r>
        <w:rPr>
          <w:rFonts w:hint="eastAsia" w:ascii="仿宋" w:hAnsi="仿宋" w:eastAsia="仿宋" w:cs="仿宋"/>
          <w:color w:val="auto"/>
          <w:u w:val="single"/>
        </w:rPr>
        <w:t>项目名称</w:t>
      </w:r>
      <w:r>
        <w:rPr>
          <w:rFonts w:hint="eastAsia" w:ascii="仿宋" w:hAnsi="仿宋" w:eastAsia="仿宋" w:cs="仿宋"/>
          <w:color w:val="auto"/>
        </w:rPr>
        <w:t>（项目编号：____）第___标段的投标供应商，在此郑重声明：</w:t>
      </w:r>
    </w:p>
    <w:p>
      <w:pPr>
        <w:spacing w:line="500" w:lineRule="exact"/>
        <w:ind w:firstLine="566" w:firstLineChars="200"/>
        <w:rPr>
          <w:rFonts w:ascii="仿宋" w:hAnsi="仿宋" w:eastAsia="仿宋" w:cs="仿宋"/>
          <w:color w:val="auto"/>
        </w:rPr>
      </w:pPr>
      <w:r>
        <w:rPr>
          <w:rFonts w:hint="eastAsia" w:ascii="仿宋" w:hAnsi="仿宋" w:eastAsia="仿宋" w:cs="仿宋"/>
          <w:color w:val="auto"/>
        </w:rPr>
        <w:t>1、在参加本次政府采购活动前3年内的经营活动中____（填“没有”或“有”）重大违法记录。</w:t>
      </w:r>
      <w:r>
        <w:rPr>
          <w:rFonts w:hint="eastAsia" w:ascii="仿宋" w:hAnsi="仿宋" w:eastAsia="仿宋" w:cs="仿宋"/>
          <w:b/>
          <w:bCs/>
          <w:color w:val="auto"/>
        </w:rPr>
        <w:t>供应商在参加政府采购活动前3年内因违法经营被禁止在一定期限内参加政府采购活动，期限届满的，可以参加政府采购活动，但应提供期限届满的证明材料。</w:t>
      </w:r>
    </w:p>
    <w:p>
      <w:pPr>
        <w:spacing w:line="500" w:lineRule="exact"/>
        <w:ind w:firstLine="566" w:firstLineChars="200"/>
        <w:rPr>
          <w:rFonts w:ascii="仿宋" w:hAnsi="仿宋" w:eastAsia="仿宋" w:cs="仿宋"/>
          <w:color w:val="auto"/>
        </w:rPr>
      </w:pPr>
      <w:r>
        <w:rPr>
          <w:rFonts w:hint="eastAsia" w:ascii="仿宋" w:hAnsi="仿宋" w:eastAsia="仿宋" w:cs="仿宋"/>
          <w:color w:val="auto"/>
        </w:rPr>
        <w:t>2、我方______（填“未被列入”或“被列入”）失信被执行人名单。</w:t>
      </w:r>
    </w:p>
    <w:p>
      <w:pPr>
        <w:spacing w:line="500" w:lineRule="exact"/>
        <w:ind w:firstLine="566" w:firstLineChars="200"/>
        <w:rPr>
          <w:rFonts w:ascii="仿宋" w:hAnsi="仿宋" w:eastAsia="仿宋" w:cs="仿宋"/>
          <w:color w:val="auto"/>
        </w:rPr>
      </w:pPr>
      <w:r>
        <w:rPr>
          <w:rFonts w:hint="eastAsia" w:ascii="仿宋" w:hAnsi="仿宋" w:eastAsia="仿宋" w:cs="仿宋"/>
          <w:color w:val="auto"/>
        </w:rPr>
        <w:t>3、我方______（填“未被列入”或“被列入”）重大税收违法案件当事人名单。</w:t>
      </w:r>
    </w:p>
    <w:p>
      <w:pPr>
        <w:spacing w:line="500" w:lineRule="exact"/>
        <w:ind w:firstLine="566" w:firstLineChars="200"/>
        <w:rPr>
          <w:rFonts w:ascii="仿宋" w:hAnsi="仿宋" w:eastAsia="仿宋" w:cs="仿宋"/>
          <w:color w:val="auto"/>
        </w:rPr>
      </w:pPr>
      <w:r>
        <w:rPr>
          <w:rFonts w:hint="eastAsia" w:ascii="仿宋" w:hAnsi="仿宋" w:eastAsia="仿宋" w:cs="仿宋"/>
          <w:color w:val="auto"/>
        </w:rPr>
        <w:t>4、我方______（填“未被列入”或“被列入”）政府采购严重违法失信行为记录名单。</w:t>
      </w:r>
    </w:p>
    <w:p>
      <w:pPr>
        <w:pStyle w:val="22"/>
        <w:ind w:firstLine="183"/>
        <w:rPr>
          <w:color w:val="auto"/>
        </w:rPr>
      </w:pPr>
    </w:p>
    <w:p>
      <w:pPr>
        <w:spacing w:line="500" w:lineRule="exact"/>
        <w:ind w:firstLine="566" w:firstLineChars="200"/>
        <w:rPr>
          <w:rFonts w:ascii="仿宋" w:hAnsi="仿宋" w:eastAsia="仿宋" w:cs="仿宋"/>
          <w:color w:val="auto"/>
        </w:rPr>
      </w:pPr>
      <w:r>
        <w:rPr>
          <w:rFonts w:hint="eastAsia" w:ascii="仿宋" w:hAnsi="仿宋" w:eastAsia="仿宋" w:cs="仿宋"/>
          <w:color w:val="auto"/>
        </w:rPr>
        <w:t>如有不实，我方将无条件地退出本项目的采购活动，并遵照《政府采购法》有关“提供虚假材料的规定”接受处罚。</w:t>
      </w:r>
    </w:p>
    <w:p>
      <w:pPr>
        <w:spacing w:line="500" w:lineRule="exact"/>
        <w:ind w:firstLine="566" w:firstLineChars="200"/>
        <w:rPr>
          <w:rFonts w:ascii="仿宋" w:hAnsi="仿宋" w:eastAsia="仿宋" w:cs="仿宋"/>
          <w:color w:val="auto"/>
        </w:rPr>
      </w:pPr>
      <w:r>
        <w:rPr>
          <w:rFonts w:hint="eastAsia" w:ascii="仿宋" w:hAnsi="仿宋" w:eastAsia="仿宋" w:cs="仿宋"/>
          <w:color w:val="auto"/>
        </w:rPr>
        <w:t>特此声明。</w:t>
      </w:r>
    </w:p>
    <w:p>
      <w:pPr>
        <w:spacing w:line="500" w:lineRule="exact"/>
        <w:ind w:firstLine="4245" w:firstLineChars="1500"/>
        <w:rPr>
          <w:rFonts w:ascii="仿宋" w:hAnsi="仿宋" w:eastAsia="仿宋" w:cs="仿宋"/>
          <w:color w:val="auto"/>
        </w:rPr>
      </w:pPr>
      <w:r>
        <w:rPr>
          <w:rFonts w:hint="eastAsia" w:ascii="仿宋" w:hAnsi="仿宋" w:eastAsia="仿宋" w:cs="仿宋"/>
          <w:color w:val="auto"/>
        </w:rPr>
        <w:t>供应商：</w:t>
      </w:r>
      <w:r>
        <w:rPr>
          <w:rFonts w:hint="eastAsia" w:ascii="仿宋" w:hAnsi="仿宋" w:eastAsia="仿宋" w:cs="仿宋"/>
          <w:color w:val="auto"/>
          <w:u w:val="single"/>
        </w:rPr>
        <w:t>名称</w:t>
      </w:r>
      <w:r>
        <w:rPr>
          <w:rFonts w:hint="eastAsia" w:ascii="仿宋" w:hAnsi="仿宋" w:eastAsia="仿宋" w:cs="仿宋"/>
          <w:color w:val="auto"/>
        </w:rPr>
        <w:t>（加盖公章）</w:t>
      </w:r>
    </w:p>
    <w:p>
      <w:pPr>
        <w:spacing w:line="500" w:lineRule="exact"/>
        <w:ind w:firstLine="4528" w:firstLineChars="1600"/>
        <w:rPr>
          <w:rFonts w:ascii="仿宋" w:hAnsi="仿宋" w:eastAsia="仿宋" w:cs="仿宋"/>
          <w:color w:val="auto"/>
        </w:rPr>
      </w:pPr>
      <w:r>
        <w:rPr>
          <w:rFonts w:hint="eastAsia" w:ascii="仿宋" w:hAnsi="仿宋" w:eastAsia="仿宋" w:cs="仿宋"/>
          <w:color w:val="auto"/>
        </w:rPr>
        <w:t>日期：　　年　月　日</w:t>
      </w:r>
    </w:p>
    <w:p>
      <w:pPr>
        <w:spacing w:line="500" w:lineRule="exact"/>
        <w:ind w:firstLine="566" w:firstLineChars="200"/>
        <w:rPr>
          <w:rFonts w:ascii="仿宋" w:hAnsi="仿宋" w:eastAsia="仿宋" w:cs="仿宋"/>
          <w:color w:val="auto"/>
          <w:highlight w:val="yellow"/>
        </w:rPr>
      </w:pPr>
    </w:p>
    <w:p>
      <w:pPr>
        <w:spacing w:line="500" w:lineRule="exact"/>
        <w:ind w:firstLine="426" w:firstLineChars="200"/>
        <w:rPr>
          <w:color w:val="auto"/>
        </w:rPr>
      </w:pPr>
      <w:r>
        <w:rPr>
          <w:rFonts w:hint="eastAsia" w:ascii="宋体" w:hAnsi="宋体" w:eastAsia="宋体" w:cs="宋体"/>
          <w:color w:val="auto"/>
          <w:sz w:val="21"/>
          <w:szCs w:val="21"/>
        </w:rPr>
        <w:t>备注：项目不分标段的，第___标段空白处填写“/”。</w:t>
      </w:r>
    </w:p>
    <w:p>
      <w:pPr>
        <w:spacing w:line="240" w:lineRule="auto"/>
        <w:jc w:val="left"/>
        <w:rPr>
          <w:b/>
          <w:bCs/>
          <w:color w:val="auto"/>
          <w:sz w:val="30"/>
          <w:szCs w:val="30"/>
        </w:rPr>
      </w:pPr>
    </w:p>
    <w:p>
      <w:pPr>
        <w:pStyle w:val="22"/>
        <w:ind w:firstLine="304"/>
        <w:rPr>
          <w:b/>
          <w:bCs/>
          <w:color w:val="auto"/>
          <w:sz w:val="30"/>
          <w:szCs w:val="30"/>
        </w:rPr>
      </w:pPr>
    </w:p>
    <w:p>
      <w:pPr>
        <w:pStyle w:val="22"/>
        <w:ind w:firstLine="304"/>
        <w:rPr>
          <w:b/>
          <w:bCs/>
          <w:color w:val="auto"/>
          <w:sz w:val="30"/>
          <w:szCs w:val="30"/>
        </w:rPr>
      </w:pPr>
    </w:p>
    <w:p>
      <w:pPr>
        <w:pStyle w:val="22"/>
        <w:ind w:firstLine="304"/>
        <w:rPr>
          <w:b/>
          <w:bCs/>
          <w:color w:val="auto"/>
          <w:sz w:val="30"/>
          <w:szCs w:val="30"/>
        </w:rPr>
      </w:pPr>
    </w:p>
    <w:p>
      <w:pPr>
        <w:pStyle w:val="22"/>
        <w:ind w:firstLine="304"/>
        <w:rPr>
          <w:b/>
          <w:bCs/>
          <w:color w:val="auto"/>
          <w:sz w:val="30"/>
          <w:szCs w:val="30"/>
        </w:rPr>
      </w:pPr>
    </w:p>
    <w:p>
      <w:pPr>
        <w:pStyle w:val="22"/>
        <w:ind w:firstLine="0" w:firstLineChars="0"/>
        <w:rPr>
          <w:b/>
          <w:bCs/>
          <w:color w:val="auto"/>
          <w:sz w:val="30"/>
          <w:szCs w:val="30"/>
        </w:rPr>
      </w:pPr>
    </w:p>
    <w:p>
      <w:pPr>
        <w:pStyle w:val="22"/>
        <w:ind w:firstLine="304"/>
        <w:rPr>
          <w:b/>
          <w:bCs/>
          <w:color w:val="auto"/>
          <w:sz w:val="30"/>
          <w:szCs w:val="30"/>
        </w:rPr>
      </w:pPr>
    </w:p>
    <w:p>
      <w:pPr>
        <w:pStyle w:val="22"/>
        <w:ind w:firstLine="304"/>
        <w:rPr>
          <w:b/>
          <w:bCs/>
          <w:color w:val="auto"/>
          <w:sz w:val="30"/>
          <w:szCs w:val="30"/>
        </w:rPr>
      </w:pPr>
    </w:p>
    <w:p>
      <w:pPr>
        <w:pStyle w:val="22"/>
        <w:ind w:firstLine="304"/>
        <w:rPr>
          <w:b/>
          <w:bCs/>
          <w:color w:val="auto"/>
          <w:sz w:val="30"/>
          <w:szCs w:val="30"/>
        </w:rPr>
      </w:pPr>
    </w:p>
    <w:p>
      <w:pPr>
        <w:pStyle w:val="22"/>
        <w:ind w:firstLine="304"/>
        <w:rPr>
          <w:b/>
          <w:bCs/>
          <w:color w:val="auto"/>
          <w:sz w:val="30"/>
          <w:szCs w:val="30"/>
        </w:rPr>
      </w:pPr>
    </w:p>
    <w:p>
      <w:pPr>
        <w:pStyle w:val="22"/>
        <w:ind w:firstLine="304"/>
        <w:rPr>
          <w:b/>
          <w:bCs/>
          <w:color w:val="auto"/>
          <w:sz w:val="30"/>
          <w:szCs w:val="30"/>
        </w:rPr>
      </w:pPr>
    </w:p>
    <w:p>
      <w:pPr>
        <w:pStyle w:val="22"/>
        <w:ind w:firstLine="304"/>
        <w:rPr>
          <w:b/>
          <w:bCs/>
          <w:color w:val="auto"/>
          <w:sz w:val="30"/>
          <w:szCs w:val="30"/>
        </w:rPr>
      </w:pPr>
    </w:p>
    <w:p>
      <w:pPr>
        <w:pStyle w:val="22"/>
        <w:ind w:firstLine="304"/>
        <w:rPr>
          <w:b/>
          <w:bCs/>
          <w:color w:val="auto"/>
          <w:sz w:val="30"/>
          <w:szCs w:val="30"/>
        </w:rPr>
      </w:pPr>
    </w:p>
    <w:p>
      <w:pPr>
        <w:pStyle w:val="22"/>
        <w:ind w:firstLine="304"/>
        <w:rPr>
          <w:b/>
          <w:bCs/>
          <w:color w:val="auto"/>
          <w:sz w:val="30"/>
          <w:szCs w:val="30"/>
        </w:rPr>
      </w:pPr>
    </w:p>
    <w:p>
      <w:pPr>
        <w:pStyle w:val="22"/>
        <w:ind w:firstLine="304"/>
        <w:rPr>
          <w:b/>
          <w:bCs/>
          <w:color w:val="auto"/>
          <w:sz w:val="30"/>
          <w:szCs w:val="30"/>
        </w:rPr>
      </w:pPr>
    </w:p>
    <w:p>
      <w:pPr>
        <w:pStyle w:val="22"/>
        <w:ind w:firstLine="304"/>
        <w:rPr>
          <w:b/>
          <w:bCs/>
          <w:color w:val="auto"/>
          <w:sz w:val="30"/>
          <w:szCs w:val="30"/>
        </w:rPr>
      </w:pPr>
    </w:p>
    <w:p>
      <w:pPr>
        <w:pStyle w:val="22"/>
        <w:ind w:firstLine="304"/>
        <w:rPr>
          <w:b/>
          <w:bCs/>
          <w:color w:val="auto"/>
          <w:sz w:val="30"/>
          <w:szCs w:val="30"/>
        </w:rPr>
      </w:pPr>
    </w:p>
    <w:p>
      <w:pPr>
        <w:pStyle w:val="49"/>
        <w:keepNext/>
        <w:keepLines/>
        <w:pageBreakBefore/>
        <w:widowControl/>
        <w:kinsoku/>
        <w:wordWrap/>
        <w:overflowPunct/>
        <w:topLinePunct w:val="0"/>
        <w:autoSpaceDE/>
        <w:autoSpaceDN/>
        <w:bidi w:val="0"/>
        <w:adjustRightInd/>
        <w:snapToGrid/>
        <w:spacing w:line="500" w:lineRule="atLeast"/>
        <w:textAlignment w:val="auto"/>
        <w:rPr>
          <w:color w:val="auto"/>
          <w:sz w:val="30"/>
          <w:szCs w:val="30"/>
        </w:rPr>
      </w:pPr>
      <w:bookmarkStart w:id="360" w:name="_Toc13298_WPSOffice_Level2"/>
      <w:bookmarkStart w:id="361" w:name="_Toc23486_WPSOffice_Level2"/>
      <w:bookmarkStart w:id="362" w:name="_Toc14516_WPSOffice_Level2"/>
      <w:bookmarkStart w:id="363" w:name="_Toc24625_WPSOffice_Level2"/>
      <w:r>
        <w:rPr>
          <w:color w:val="auto"/>
          <w:sz w:val="30"/>
          <w:szCs w:val="30"/>
        </w:rPr>
        <w:t>六</w:t>
      </w:r>
      <w:r>
        <w:rPr>
          <w:rFonts w:hint="eastAsia"/>
          <w:color w:val="auto"/>
          <w:sz w:val="30"/>
          <w:szCs w:val="30"/>
        </w:rPr>
        <w:t>、</w:t>
      </w:r>
      <w:r>
        <w:rPr>
          <w:color w:val="auto"/>
          <w:sz w:val="30"/>
          <w:szCs w:val="30"/>
        </w:rPr>
        <w:t>法定代表人授权委托书</w:t>
      </w:r>
      <w:bookmarkEnd w:id="360"/>
      <w:bookmarkEnd w:id="361"/>
      <w:bookmarkEnd w:id="362"/>
      <w:bookmarkEnd w:id="363"/>
    </w:p>
    <w:p>
      <w:pPr>
        <w:bidi w:val="0"/>
        <w:jc w:val="center"/>
        <w:rPr>
          <w:b/>
          <w:bCs/>
        </w:rPr>
      </w:pPr>
      <w:bookmarkStart w:id="364" w:name="_Toc19993_WPSOffice_Level3"/>
      <w:r>
        <w:rPr>
          <w:b/>
          <w:bCs/>
        </w:rPr>
        <w:t>法定代表人授权委托书</w:t>
      </w:r>
      <w:bookmarkEnd w:id="364"/>
    </w:p>
    <w:p>
      <w:pPr>
        <w:snapToGrid w:val="0"/>
        <w:spacing w:line="500" w:lineRule="exact"/>
        <w:rPr>
          <w:color w:val="auto"/>
        </w:rPr>
      </w:pPr>
      <w:r>
        <w:rPr>
          <w:rFonts w:hint="eastAsia" w:ascii="华文仿宋" w:hAnsi="华文仿宋" w:cs="华文仿宋"/>
          <w:color w:val="auto"/>
        </w:rPr>
        <w:t>陕西省省级单位政府采购中心</w:t>
      </w:r>
      <w:r>
        <w:rPr>
          <w:color w:val="auto"/>
        </w:rPr>
        <w:t>：</w:t>
      </w:r>
    </w:p>
    <w:p>
      <w:pPr>
        <w:spacing w:line="500" w:lineRule="exact"/>
        <w:ind w:firstLine="424" w:firstLineChars="150"/>
        <w:jc w:val="left"/>
        <w:rPr>
          <w:color w:val="auto"/>
        </w:rPr>
      </w:pPr>
      <w:r>
        <w:rPr>
          <w:color w:val="auto"/>
        </w:rPr>
        <w:t>现委派</w:t>
      </w:r>
      <w:r>
        <w:rPr>
          <w:color w:val="auto"/>
          <w:u w:val="single"/>
        </w:rPr>
        <w:t>（</w:t>
      </w:r>
      <w:r>
        <w:rPr>
          <w:rFonts w:hint="eastAsia"/>
          <w:color w:val="auto"/>
          <w:u w:val="single"/>
        </w:rPr>
        <w:t>授权代表</w:t>
      </w:r>
      <w:r>
        <w:rPr>
          <w:color w:val="auto"/>
          <w:u w:val="single"/>
        </w:rPr>
        <w:t>姓名）</w:t>
      </w:r>
      <w:r>
        <w:rPr>
          <w:color w:val="auto"/>
        </w:rPr>
        <w:t>为本公司的</w:t>
      </w:r>
      <w:r>
        <w:rPr>
          <w:rFonts w:hint="eastAsia"/>
          <w:color w:val="auto"/>
        </w:rPr>
        <w:t>授权代表</w:t>
      </w:r>
      <w:r>
        <w:rPr>
          <w:color w:val="auto"/>
        </w:rPr>
        <w:t>，参加</w:t>
      </w:r>
      <w:r>
        <w:rPr>
          <w:rFonts w:hint="eastAsia"/>
          <w:color w:val="auto"/>
        </w:rPr>
        <w:t>贵方</w:t>
      </w:r>
      <w:r>
        <w:rPr>
          <w:color w:val="auto"/>
        </w:rPr>
        <w:t>组织的</w:t>
      </w:r>
      <w:r>
        <w:rPr>
          <w:rFonts w:hint="eastAsia" w:ascii="华文仿宋" w:hAnsi="华文仿宋" w:cs="华文仿宋"/>
          <w:color w:val="auto"/>
        </w:rPr>
        <w:t>《</w:t>
      </w:r>
      <w:r>
        <w:rPr>
          <w:rFonts w:hint="eastAsia" w:ascii="华文仿宋" w:hAnsi="华文仿宋" w:cs="华文仿宋"/>
          <w:color w:val="auto"/>
          <w:u w:val="single"/>
        </w:rPr>
        <w:t xml:space="preserve"> 项目名称 </w:t>
      </w:r>
      <w:r>
        <w:rPr>
          <w:rFonts w:hint="eastAsia" w:ascii="华文仿宋" w:hAnsi="华文仿宋" w:cs="华文仿宋"/>
          <w:color w:val="auto"/>
        </w:rPr>
        <w:t>》</w:t>
      </w:r>
      <w:r>
        <w:rPr>
          <w:rFonts w:hint="eastAsia"/>
          <w:color w:val="auto"/>
        </w:rPr>
        <w:t>（项目编号：</w:t>
      </w:r>
      <w:r>
        <w:rPr>
          <w:rFonts w:hint="eastAsia"/>
          <w:color w:val="auto"/>
          <w:u w:val="single"/>
        </w:rPr>
        <w:t xml:space="preserve">     </w:t>
      </w:r>
      <w:r>
        <w:rPr>
          <w:rFonts w:hint="eastAsia"/>
          <w:color w:val="auto"/>
        </w:rPr>
        <w:t>）第___标段的</w:t>
      </w:r>
      <w:r>
        <w:rPr>
          <w:color w:val="auto"/>
        </w:rPr>
        <w:t>政府采购活动，就该项目的</w:t>
      </w:r>
      <w:r>
        <w:rPr>
          <w:rFonts w:hint="eastAsia"/>
          <w:color w:val="auto"/>
        </w:rPr>
        <w:t>磋商</w:t>
      </w:r>
      <w:r>
        <w:rPr>
          <w:color w:val="auto"/>
        </w:rPr>
        <w:t>及</w:t>
      </w:r>
      <w:r>
        <w:rPr>
          <w:rFonts w:hint="eastAsia"/>
          <w:color w:val="auto"/>
        </w:rPr>
        <w:t>合同</w:t>
      </w:r>
      <w:r>
        <w:rPr>
          <w:color w:val="auto"/>
        </w:rPr>
        <w:t>的执行和完成，以本公司的名义处理一切与之有关的事宜。</w:t>
      </w:r>
    </w:p>
    <w:p>
      <w:pPr>
        <w:tabs>
          <w:tab w:val="left" w:pos="5245"/>
          <w:tab w:val="left" w:pos="6946"/>
        </w:tabs>
        <w:snapToGrid w:val="0"/>
        <w:spacing w:line="500" w:lineRule="exact"/>
        <w:ind w:firstLine="566" w:firstLineChars="200"/>
        <w:rPr>
          <w:color w:val="auto"/>
        </w:rPr>
      </w:pPr>
      <w:r>
        <w:rPr>
          <w:rFonts w:hint="eastAsia"/>
          <w:color w:val="auto"/>
        </w:rPr>
        <w:t>授权代表</w:t>
      </w:r>
      <w:r>
        <w:rPr>
          <w:color w:val="auto"/>
        </w:rPr>
        <w:t>姓名：_______________</w:t>
      </w:r>
      <w:r>
        <w:rPr>
          <w:color w:val="auto"/>
        </w:rPr>
        <w:tab/>
      </w:r>
      <w:r>
        <w:rPr>
          <w:color w:val="auto"/>
        </w:rPr>
        <w:t>性别：_____</w:t>
      </w:r>
      <w:r>
        <w:rPr>
          <w:color w:val="auto"/>
        </w:rPr>
        <w:tab/>
      </w:r>
    </w:p>
    <w:p>
      <w:pPr>
        <w:tabs>
          <w:tab w:val="left" w:pos="5245"/>
        </w:tabs>
        <w:snapToGrid w:val="0"/>
        <w:spacing w:line="500" w:lineRule="exact"/>
        <w:ind w:firstLine="566" w:firstLineChars="200"/>
        <w:rPr>
          <w:color w:val="auto"/>
        </w:rPr>
      </w:pPr>
      <w:r>
        <w:rPr>
          <w:color w:val="auto"/>
        </w:rPr>
        <w:t>职务：________________           电话：_________</w:t>
      </w:r>
    </w:p>
    <w:p>
      <w:pPr>
        <w:tabs>
          <w:tab w:val="left" w:pos="3828"/>
          <w:tab w:val="left" w:pos="6237"/>
        </w:tabs>
        <w:snapToGrid w:val="0"/>
        <w:spacing w:line="500" w:lineRule="exact"/>
        <w:ind w:firstLine="566" w:firstLineChars="200"/>
        <w:rPr>
          <w:color w:val="auto"/>
        </w:rPr>
      </w:pPr>
      <w:r>
        <w:rPr>
          <w:color w:val="auto"/>
        </w:rPr>
        <w:t>通讯地址：__________________     邮政编码：__________</w:t>
      </w:r>
    </w:p>
    <w:tbl>
      <w:tblPr>
        <w:tblStyle w:val="23"/>
        <w:tblW w:w="81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72"/>
        <w:gridCol w:w="40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7" w:hRule="atLeast"/>
          <w:jc w:val="center"/>
        </w:trPr>
        <w:tc>
          <w:tcPr>
            <w:tcW w:w="4072" w:type="dxa"/>
            <w:tcBorders>
              <w:top w:val="single" w:color="auto" w:sz="4" w:space="0"/>
              <w:left w:val="single" w:color="auto" w:sz="4" w:space="0"/>
              <w:bottom w:val="single" w:color="auto" w:sz="4" w:space="0"/>
              <w:right w:val="single" w:color="auto" w:sz="4" w:space="0"/>
            </w:tcBorders>
            <w:vAlign w:val="center"/>
          </w:tcPr>
          <w:p>
            <w:pPr>
              <w:ind w:firstLine="8" w:firstLineChars="3"/>
              <w:jc w:val="center"/>
              <w:rPr>
                <w:color w:val="auto"/>
              </w:rPr>
            </w:pPr>
            <w:r>
              <w:rPr>
                <w:color w:val="auto"/>
              </w:rPr>
              <w:t>法定代表人身份证复印件</w:t>
            </w:r>
          </w:p>
          <w:p>
            <w:pPr>
              <w:ind w:firstLine="8" w:firstLineChars="3"/>
              <w:jc w:val="center"/>
              <w:rPr>
                <w:color w:val="auto"/>
              </w:rPr>
            </w:pPr>
            <w:r>
              <w:rPr>
                <w:color w:val="auto"/>
              </w:rPr>
              <w:t>（</w:t>
            </w:r>
            <w:r>
              <w:rPr>
                <w:rFonts w:hint="eastAsia"/>
                <w:color w:val="auto"/>
              </w:rPr>
              <w:t>有人像</w:t>
            </w:r>
            <w:r>
              <w:rPr>
                <w:color w:val="auto"/>
              </w:rPr>
              <w:t>面粘贴处）</w:t>
            </w:r>
          </w:p>
        </w:tc>
        <w:tc>
          <w:tcPr>
            <w:tcW w:w="4098" w:type="dxa"/>
            <w:tcBorders>
              <w:top w:val="single" w:color="auto" w:sz="4" w:space="0"/>
              <w:left w:val="single" w:color="auto" w:sz="4" w:space="0"/>
              <w:bottom w:val="single" w:color="auto" w:sz="4" w:space="0"/>
              <w:right w:val="single" w:color="auto" w:sz="4" w:space="0"/>
            </w:tcBorders>
            <w:vAlign w:val="center"/>
          </w:tcPr>
          <w:p>
            <w:pPr>
              <w:jc w:val="center"/>
              <w:rPr>
                <w:color w:val="auto"/>
              </w:rPr>
            </w:pPr>
            <w:r>
              <w:rPr>
                <w:color w:val="auto"/>
              </w:rPr>
              <w:t>授权</w:t>
            </w:r>
            <w:r>
              <w:rPr>
                <w:rFonts w:hint="eastAsia"/>
                <w:color w:val="auto"/>
              </w:rPr>
              <w:t>代表</w:t>
            </w:r>
          </w:p>
          <w:p>
            <w:pPr>
              <w:jc w:val="center"/>
              <w:rPr>
                <w:color w:val="auto"/>
              </w:rPr>
            </w:pPr>
            <w:r>
              <w:rPr>
                <w:color w:val="auto"/>
              </w:rPr>
              <w:t>身份证复印件</w:t>
            </w:r>
          </w:p>
          <w:p>
            <w:pPr>
              <w:jc w:val="center"/>
              <w:rPr>
                <w:color w:val="auto"/>
              </w:rPr>
            </w:pPr>
            <w:r>
              <w:rPr>
                <w:color w:val="auto"/>
              </w:rPr>
              <w:t>（</w:t>
            </w:r>
            <w:r>
              <w:rPr>
                <w:rFonts w:hint="eastAsia"/>
                <w:color w:val="auto"/>
              </w:rPr>
              <w:t>有人像</w:t>
            </w:r>
            <w:r>
              <w:rPr>
                <w:color w:val="auto"/>
              </w:rPr>
              <w:t>面粘贴处）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7" w:hRule="atLeast"/>
          <w:jc w:val="center"/>
        </w:trPr>
        <w:tc>
          <w:tcPr>
            <w:tcW w:w="4072" w:type="dxa"/>
            <w:vAlign w:val="center"/>
          </w:tcPr>
          <w:p>
            <w:pPr>
              <w:jc w:val="center"/>
              <w:rPr>
                <w:color w:val="auto"/>
              </w:rPr>
            </w:pPr>
            <w:r>
              <w:rPr>
                <w:color w:val="auto"/>
              </w:rPr>
              <w:t>法定代表人身份证复印件</w:t>
            </w:r>
          </w:p>
          <w:p>
            <w:pPr>
              <w:jc w:val="center"/>
              <w:rPr>
                <w:color w:val="auto"/>
              </w:rPr>
            </w:pPr>
            <w:r>
              <w:rPr>
                <w:color w:val="auto"/>
              </w:rPr>
              <w:t>（</w:t>
            </w:r>
            <w:r>
              <w:rPr>
                <w:rFonts w:hint="eastAsia"/>
                <w:color w:val="auto"/>
              </w:rPr>
              <w:t>有</w:t>
            </w:r>
            <w:r>
              <w:rPr>
                <w:color w:val="auto"/>
              </w:rPr>
              <w:t>国徽面粘贴处）</w:t>
            </w:r>
          </w:p>
        </w:tc>
        <w:tc>
          <w:tcPr>
            <w:tcW w:w="4098" w:type="dxa"/>
            <w:vAlign w:val="center"/>
          </w:tcPr>
          <w:p>
            <w:pPr>
              <w:jc w:val="center"/>
              <w:rPr>
                <w:color w:val="auto"/>
              </w:rPr>
            </w:pPr>
            <w:r>
              <w:rPr>
                <w:color w:val="auto"/>
              </w:rPr>
              <w:t>授权</w:t>
            </w:r>
            <w:r>
              <w:rPr>
                <w:rFonts w:hint="eastAsia"/>
                <w:color w:val="auto"/>
              </w:rPr>
              <w:t>代表</w:t>
            </w:r>
          </w:p>
          <w:p>
            <w:pPr>
              <w:jc w:val="center"/>
              <w:rPr>
                <w:color w:val="auto"/>
              </w:rPr>
            </w:pPr>
            <w:r>
              <w:rPr>
                <w:color w:val="auto"/>
              </w:rPr>
              <w:t>身份证复印件</w:t>
            </w:r>
          </w:p>
          <w:p>
            <w:pPr>
              <w:jc w:val="center"/>
              <w:rPr>
                <w:color w:val="auto"/>
              </w:rPr>
            </w:pPr>
            <w:r>
              <w:rPr>
                <w:color w:val="auto"/>
              </w:rPr>
              <w:t>（</w:t>
            </w:r>
            <w:r>
              <w:rPr>
                <w:rFonts w:hint="eastAsia"/>
                <w:color w:val="auto"/>
              </w:rPr>
              <w:t>有</w:t>
            </w:r>
            <w:r>
              <w:rPr>
                <w:color w:val="auto"/>
              </w:rPr>
              <w:t>国徽面粘贴处）</w:t>
            </w:r>
          </w:p>
        </w:tc>
      </w:tr>
    </w:tbl>
    <w:p>
      <w:pPr>
        <w:spacing w:line="440" w:lineRule="exact"/>
        <w:rPr>
          <w:color w:val="auto"/>
        </w:rPr>
      </w:pPr>
      <w:r>
        <w:rPr>
          <w:rFonts w:hint="eastAsia"/>
          <w:color w:val="auto"/>
        </w:rPr>
        <w:t>供应</w:t>
      </w:r>
      <w:r>
        <w:rPr>
          <w:color w:val="auto"/>
        </w:rPr>
        <w:t>商：</w:t>
      </w:r>
      <w:r>
        <w:rPr>
          <w:rFonts w:hint="eastAsia"/>
          <w:color w:val="auto"/>
        </w:rPr>
        <w:t>名称</w:t>
      </w:r>
      <w:r>
        <w:rPr>
          <w:color w:val="auto"/>
        </w:rPr>
        <w:t>（加盖公章）</w:t>
      </w:r>
      <w:r>
        <w:rPr>
          <w:rFonts w:hint="eastAsia"/>
          <w:color w:val="auto"/>
        </w:rPr>
        <w:t xml:space="preserve">             </w:t>
      </w:r>
      <w:r>
        <w:rPr>
          <w:color w:val="auto"/>
        </w:rPr>
        <w:t>法定代表人：</w:t>
      </w:r>
      <w:r>
        <w:rPr>
          <w:rFonts w:hint="eastAsia"/>
          <w:color w:val="auto"/>
        </w:rPr>
        <w:t>（签字或盖章）</w:t>
      </w:r>
    </w:p>
    <w:p>
      <w:pPr>
        <w:spacing w:line="440" w:lineRule="exact"/>
        <w:ind w:firstLine="6047" w:firstLineChars="2137"/>
        <w:rPr>
          <w:color w:val="auto"/>
        </w:rPr>
      </w:pPr>
      <w:r>
        <w:rPr>
          <w:rFonts w:hint="eastAsia"/>
          <w:color w:val="auto"/>
        </w:rPr>
        <w:t>日期：　年　月　日</w:t>
      </w:r>
    </w:p>
    <w:p>
      <w:pPr>
        <w:spacing w:line="240" w:lineRule="auto"/>
        <w:rPr>
          <w:rFonts w:ascii="宋体" w:hAnsi="宋体" w:eastAsia="宋体" w:cs="宋体"/>
          <w:color w:val="auto"/>
          <w:sz w:val="21"/>
          <w:szCs w:val="21"/>
        </w:rPr>
      </w:pPr>
      <w:r>
        <w:rPr>
          <w:rFonts w:hint="eastAsia" w:ascii="宋体" w:hAnsi="宋体" w:eastAsia="宋体" w:cs="宋体"/>
          <w:color w:val="auto"/>
          <w:sz w:val="21"/>
          <w:szCs w:val="21"/>
        </w:rPr>
        <w:t>备注：1、项目不分标段的，第___标段空白处填写“/”。</w:t>
      </w:r>
    </w:p>
    <w:p>
      <w:pPr>
        <w:spacing w:line="240" w:lineRule="auto"/>
        <w:rPr>
          <w:rFonts w:ascii="宋体" w:hAnsi="宋体" w:eastAsia="宋体" w:cs="宋体"/>
          <w:color w:val="auto"/>
          <w:sz w:val="21"/>
          <w:szCs w:val="21"/>
        </w:rPr>
      </w:pPr>
      <w:r>
        <w:rPr>
          <w:rFonts w:hint="eastAsia" w:ascii="宋体" w:hAnsi="宋体" w:eastAsia="宋体" w:cs="宋体"/>
          <w:color w:val="auto"/>
          <w:sz w:val="21"/>
          <w:szCs w:val="21"/>
        </w:rPr>
        <w:t xml:space="preserve">      2、法定代表人亲自参加投标的，无需提供该委托授权书，但须提供法定代表人本人身份证（正反面）复印件。</w:t>
      </w:r>
    </w:p>
    <w:p>
      <w:pPr>
        <w:spacing w:line="240" w:lineRule="auto"/>
        <w:ind w:firstLine="639" w:firstLineChars="300"/>
        <w:rPr>
          <w:rFonts w:hint="eastAsia" w:ascii="宋体" w:hAnsi="宋体" w:eastAsia="宋体" w:cs="宋体"/>
          <w:color w:val="auto"/>
          <w:sz w:val="21"/>
          <w:szCs w:val="21"/>
        </w:rPr>
      </w:pPr>
      <w:r>
        <w:rPr>
          <w:rFonts w:hint="eastAsia" w:ascii="宋体" w:hAnsi="宋体" w:eastAsia="宋体" w:cs="宋体"/>
          <w:color w:val="auto"/>
          <w:sz w:val="21"/>
          <w:szCs w:val="21"/>
        </w:rPr>
        <w:t>3、法定代表人签字或盖章可采用纸质签字或盖章后，上传至电子响应文件，也可使用法定代表人CA锁在电子响应文件制作软件中签章。</w:t>
      </w:r>
    </w:p>
    <w:p>
      <w:pPr>
        <w:pStyle w:val="2"/>
        <w:rPr>
          <w:rFonts w:hint="eastAsia" w:ascii="宋体" w:hAnsi="宋体" w:eastAsia="宋体" w:cs="宋体"/>
          <w:color w:val="auto"/>
          <w:sz w:val="21"/>
          <w:szCs w:val="21"/>
        </w:rPr>
      </w:pPr>
    </w:p>
    <w:p>
      <w:pPr>
        <w:pStyle w:val="49"/>
        <w:spacing w:line="500" w:lineRule="atLeast"/>
        <w:rPr>
          <w:color w:val="auto"/>
          <w:sz w:val="30"/>
          <w:szCs w:val="30"/>
        </w:rPr>
      </w:pPr>
      <w:r>
        <w:rPr>
          <w:rFonts w:hint="eastAsia"/>
          <w:color w:val="auto"/>
          <w:sz w:val="30"/>
          <w:szCs w:val="30"/>
        </w:rPr>
        <w:t>七、特定资格要求</w:t>
      </w:r>
    </w:p>
    <w:p>
      <w:pPr>
        <w:widowControl w:val="0"/>
        <w:spacing w:line="500" w:lineRule="exact"/>
        <w:ind w:firstLine="566" w:firstLineChars="200"/>
        <w:jc w:val="left"/>
      </w:pPr>
      <w:r>
        <w:rPr>
          <w:rFonts w:hint="eastAsia" w:ascii="华文仿宋" w:hAnsi="华文仿宋" w:cs="华文仿宋"/>
          <w:sz w:val="28"/>
          <w:szCs w:val="28"/>
          <w:lang w:val="en-US" w:eastAsia="zh-CN"/>
        </w:rPr>
        <w:t>供应商应具备</w:t>
      </w:r>
      <w:r>
        <w:rPr>
          <w:rFonts w:hint="eastAsia" w:ascii="华文仿宋" w:hAnsi="华文仿宋" w:eastAsia="华文仿宋" w:cs="华文仿宋"/>
          <w:sz w:val="28"/>
          <w:szCs w:val="28"/>
        </w:rPr>
        <w:t>建筑工程施工总承包三级及以上资质或建筑装修装饰工程专业承包二级及以上资质，同时具备电子与智能化工程专业承包二级及以上资质及建筑机电安装工程专业承包三级及以上资质，并具备有效的安全生产许可证</w:t>
      </w:r>
      <w:r>
        <w:rPr>
          <w:rFonts w:hint="eastAsia" w:ascii="华文仿宋" w:hAnsi="华文仿宋" w:cs="华文仿宋"/>
          <w:sz w:val="28"/>
          <w:szCs w:val="28"/>
          <w:lang w:eastAsia="zh-CN"/>
        </w:rPr>
        <w:t>。</w:t>
      </w:r>
    </w:p>
    <w:p>
      <w:pPr>
        <w:pStyle w:val="2"/>
        <w:rPr>
          <w:rFonts w:hint="eastAsia" w:ascii="宋体" w:hAnsi="宋体" w:eastAsia="宋体" w:cs="宋体"/>
          <w:color w:val="auto"/>
          <w:sz w:val="21"/>
          <w:szCs w:val="21"/>
        </w:rPr>
      </w:pPr>
    </w:p>
    <w:p>
      <w:pPr>
        <w:pStyle w:val="50"/>
        <w:keepNext/>
        <w:keepLines/>
        <w:pageBreakBefore/>
        <w:widowControl/>
        <w:kinsoku/>
        <w:wordWrap/>
        <w:overflowPunct/>
        <w:topLinePunct w:val="0"/>
        <w:autoSpaceDE/>
        <w:autoSpaceDN/>
        <w:bidi w:val="0"/>
        <w:adjustRightInd/>
        <w:snapToGrid/>
        <w:jc w:val="center"/>
        <w:textAlignment w:val="auto"/>
        <w:rPr>
          <w:rFonts w:ascii="黑体" w:hAnsi="黑体" w:eastAsia="黑体"/>
          <w:b w:val="0"/>
          <w:color w:val="auto"/>
        </w:rPr>
      </w:pPr>
      <w:bookmarkStart w:id="365" w:name="_Toc29866"/>
      <w:bookmarkStart w:id="366" w:name="_Toc8772"/>
      <w:bookmarkStart w:id="367" w:name="_Toc28770"/>
      <w:bookmarkStart w:id="368" w:name="_Toc29102_WPSOffice_Level2"/>
      <w:bookmarkStart w:id="369" w:name="_Toc29990_WPSOffice_Level2"/>
      <w:bookmarkStart w:id="370" w:name="_Toc20137"/>
      <w:bookmarkStart w:id="371" w:name="_Toc9519_WPSOffice_Level2"/>
      <w:bookmarkStart w:id="372" w:name="_Toc17773_WPSOffice_Level2"/>
      <w:r>
        <w:rPr>
          <w:rFonts w:hint="eastAsia" w:ascii="黑体" w:hAnsi="黑体" w:eastAsia="黑体"/>
          <w:b w:val="0"/>
          <w:color w:val="auto"/>
        </w:rPr>
        <w:t>第二部分  符合性证明文件</w:t>
      </w:r>
      <w:bookmarkEnd w:id="365"/>
      <w:bookmarkEnd w:id="366"/>
      <w:bookmarkEnd w:id="367"/>
    </w:p>
    <w:p>
      <w:pPr>
        <w:pStyle w:val="50"/>
        <w:jc w:val="both"/>
        <w:rPr>
          <w:rFonts w:ascii="仿宋" w:hAnsi="仿宋" w:eastAsia="仿宋" w:cs="仿宋"/>
          <w:bCs w:val="0"/>
          <w:color w:val="auto"/>
        </w:rPr>
      </w:pPr>
      <w:bookmarkStart w:id="373" w:name="_Toc20844"/>
      <w:bookmarkStart w:id="374" w:name="_Toc26623"/>
      <w:bookmarkStart w:id="375" w:name="_Toc28071"/>
      <w:bookmarkStart w:id="376" w:name="_Toc28961"/>
      <w:bookmarkStart w:id="377" w:name="_Toc3857"/>
      <w:bookmarkStart w:id="378" w:name="_Toc30686"/>
      <w:bookmarkStart w:id="379" w:name="_Toc14262"/>
      <w:bookmarkStart w:id="380" w:name="_Toc19788"/>
      <w:bookmarkStart w:id="381" w:name="_Toc11594"/>
      <w:bookmarkStart w:id="382" w:name="_Toc2230"/>
      <w:r>
        <w:rPr>
          <w:rFonts w:hint="eastAsia" w:ascii="仿宋" w:hAnsi="仿宋" w:eastAsia="仿宋" w:cs="仿宋"/>
          <w:bCs w:val="0"/>
          <w:color w:val="auto"/>
        </w:rPr>
        <w:t>一、响应函格式</w:t>
      </w:r>
      <w:bookmarkEnd w:id="373"/>
      <w:bookmarkEnd w:id="374"/>
      <w:bookmarkEnd w:id="375"/>
      <w:bookmarkEnd w:id="376"/>
      <w:bookmarkEnd w:id="377"/>
      <w:bookmarkEnd w:id="378"/>
      <w:bookmarkEnd w:id="379"/>
      <w:bookmarkEnd w:id="380"/>
      <w:bookmarkEnd w:id="381"/>
      <w:bookmarkEnd w:id="382"/>
    </w:p>
    <w:p>
      <w:pPr>
        <w:pStyle w:val="45"/>
        <w:spacing w:line="240" w:lineRule="auto"/>
        <w:ind w:left="0" w:leftChars="0" w:firstLine="0" w:firstLineChars="0"/>
        <w:jc w:val="center"/>
        <w:rPr>
          <w:rFonts w:ascii="黑体" w:hAnsi="黑体" w:eastAsia="黑体" w:cs="黑体"/>
          <w:color w:val="auto"/>
          <w:sz w:val="32"/>
          <w:szCs w:val="32"/>
        </w:rPr>
      </w:pPr>
      <w:bookmarkStart w:id="383" w:name="_Toc22777"/>
      <w:bookmarkStart w:id="384" w:name="_Toc23334"/>
      <w:bookmarkStart w:id="385" w:name="_Toc10617"/>
      <w:r>
        <w:rPr>
          <w:rFonts w:hint="eastAsia" w:ascii="黑体" w:hAnsi="黑体" w:eastAsia="黑体" w:cs="黑体"/>
          <w:color w:val="auto"/>
          <w:sz w:val="32"/>
          <w:szCs w:val="32"/>
        </w:rPr>
        <w:t>响应函</w:t>
      </w:r>
      <w:bookmarkEnd w:id="383"/>
      <w:bookmarkEnd w:id="384"/>
      <w:bookmarkEnd w:id="385"/>
    </w:p>
    <w:p>
      <w:pPr>
        <w:pStyle w:val="45"/>
        <w:spacing w:line="500" w:lineRule="exact"/>
        <w:ind w:firstLine="0" w:firstLineChars="0"/>
        <w:rPr>
          <w:rFonts w:ascii="华文仿宋" w:hAnsi="华文仿宋" w:cs="华文仿宋"/>
          <w:color w:val="auto"/>
          <w:lang w:val="zh-CN"/>
        </w:rPr>
      </w:pPr>
      <w:r>
        <w:rPr>
          <w:rFonts w:hint="eastAsia" w:ascii="华文仿宋" w:hAnsi="华文仿宋" w:cs="华文仿宋"/>
          <w:color w:val="auto"/>
        </w:rPr>
        <w:t>陕西省省级单位政府采购中心</w:t>
      </w:r>
      <w:r>
        <w:rPr>
          <w:rFonts w:hint="eastAsia" w:ascii="华文仿宋" w:hAnsi="华文仿宋" w:cs="华文仿宋"/>
          <w:color w:val="auto"/>
          <w:lang w:val="zh-CN"/>
        </w:rPr>
        <w:t>：</w:t>
      </w:r>
    </w:p>
    <w:p>
      <w:pPr>
        <w:pStyle w:val="45"/>
        <w:spacing w:line="500" w:lineRule="exact"/>
        <w:ind w:firstLine="567"/>
        <w:rPr>
          <w:rFonts w:ascii="仿宋" w:hAnsi="仿宋" w:eastAsia="仿宋" w:cs="仿宋"/>
          <w:color w:val="auto"/>
        </w:rPr>
      </w:pPr>
      <w:r>
        <w:rPr>
          <w:rFonts w:hint="eastAsia" w:ascii="仿宋" w:hAnsi="仿宋" w:eastAsia="仿宋" w:cs="仿宋"/>
          <w:color w:val="auto"/>
        </w:rPr>
        <w:t>我方收到贵中心发布的《</w:t>
      </w:r>
      <w:r>
        <w:rPr>
          <w:rFonts w:hint="eastAsia" w:ascii="仿宋" w:hAnsi="仿宋" w:eastAsia="仿宋" w:cs="仿宋"/>
          <w:color w:val="auto"/>
          <w:u w:val="single"/>
        </w:rPr>
        <w:t>项目名称</w:t>
      </w:r>
      <w:r>
        <w:rPr>
          <w:rFonts w:hint="eastAsia" w:ascii="仿宋" w:hAnsi="仿宋" w:eastAsia="仿宋" w:cs="仿宋"/>
          <w:color w:val="auto"/>
        </w:rPr>
        <w:t>》（项目编号：</w:t>
      </w:r>
      <w:r>
        <w:rPr>
          <w:rFonts w:hint="eastAsia" w:ascii="仿宋" w:hAnsi="仿宋" w:eastAsia="仿宋" w:cs="仿宋"/>
          <w:color w:val="auto"/>
          <w:u w:val="single"/>
        </w:rPr>
        <w:t xml:space="preserve">      </w:t>
      </w:r>
      <w:r>
        <w:rPr>
          <w:rFonts w:hint="eastAsia" w:ascii="仿宋" w:hAnsi="仿宋" w:eastAsia="仿宋" w:cs="仿宋"/>
          <w:color w:val="auto"/>
        </w:rPr>
        <w:t>）第___标段磋商文件，经详细研究，我方决定参加该项目第</w:t>
      </w:r>
      <w:r>
        <w:rPr>
          <w:rFonts w:hint="eastAsia" w:ascii="仿宋" w:hAnsi="仿宋" w:eastAsia="仿宋" w:cs="仿宋"/>
          <w:color w:val="auto"/>
          <w:u w:val="single"/>
        </w:rPr>
        <w:t xml:space="preserve">  </w:t>
      </w:r>
      <w:r>
        <w:rPr>
          <w:rFonts w:hint="eastAsia" w:ascii="仿宋" w:hAnsi="仿宋" w:eastAsia="仿宋" w:cs="仿宋"/>
          <w:color w:val="auto"/>
        </w:rPr>
        <w:t>标段招标活动。为此，我方郑重声明以下诸点，并负法律责任。</w:t>
      </w:r>
    </w:p>
    <w:p>
      <w:pPr>
        <w:pStyle w:val="45"/>
        <w:spacing w:line="500" w:lineRule="exact"/>
        <w:ind w:firstLine="567"/>
        <w:rPr>
          <w:rFonts w:ascii="仿宋" w:hAnsi="仿宋" w:eastAsia="仿宋" w:cs="仿宋"/>
          <w:color w:val="auto"/>
        </w:rPr>
      </w:pPr>
      <w:r>
        <w:rPr>
          <w:rFonts w:hint="eastAsia" w:ascii="仿宋" w:hAnsi="仿宋" w:eastAsia="仿宋" w:cs="仿宋"/>
          <w:color w:val="auto"/>
        </w:rPr>
        <w:t>一、我方已详细阅读了磋商文件，完全理解并同意磋商文件的所有事项及内容。</w:t>
      </w:r>
    </w:p>
    <w:p>
      <w:pPr>
        <w:pStyle w:val="45"/>
        <w:spacing w:line="500" w:lineRule="exact"/>
        <w:ind w:firstLine="567"/>
        <w:rPr>
          <w:rFonts w:ascii="仿宋" w:hAnsi="仿宋" w:eastAsia="仿宋" w:cs="仿宋"/>
          <w:color w:val="auto"/>
        </w:rPr>
      </w:pPr>
      <w:r>
        <w:rPr>
          <w:rFonts w:hint="eastAsia" w:ascii="仿宋" w:hAnsi="仿宋" w:eastAsia="仿宋" w:cs="仿宋"/>
          <w:color w:val="auto"/>
        </w:rPr>
        <w:t>二、我方已悉知并关注了贵方在政府采购信息发布媒体（详见磋商文件第二章第三条中的“磋商文件的修改、澄清”）上发布的关于本项目的有关变更公告（包括但不限于对磋商文件做出的修改或澄清、答疑纪要，以及项目暂停、重启、延期、终止等）。</w:t>
      </w:r>
    </w:p>
    <w:p>
      <w:pPr>
        <w:pStyle w:val="45"/>
        <w:spacing w:line="500" w:lineRule="exact"/>
        <w:ind w:firstLine="567"/>
        <w:rPr>
          <w:rFonts w:ascii="仿宋" w:hAnsi="仿宋" w:eastAsia="仿宋" w:cs="仿宋"/>
          <w:color w:val="auto"/>
        </w:rPr>
      </w:pPr>
      <w:r>
        <w:rPr>
          <w:rFonts w:hint="eastAsia" w:ascii="仿宋" w:hAnsi="仿宋" w:eastAsia="仿宋" w:cs="仿宋"/>
          <w:color w:val="auto"/>
        </w:rPr>
        <w:t>三、我方同意向贵方提供与本投标有关的任何证明材料，保证所提交的证明材料真实、合法、有效。我方理解</w:t>
      </w:r>
      <w:r>
        <w:rPr>
          <w:rFonts w:hint="eastAsia" w:ascii="仿宋" w:hAnsi="仿宋" w:eastAsia="仿宋" w:cs="仿宋"/>
          <w:b/>
          <w:bCs/>
          <w:color w:val="auto"/>
        </w:rPr>
        <w:t>最低报价</w:t>
      </w:r>
      <w:r>
        <w:rPr>
          <w:rFonts w:hint="eastAsia" w:ascii="仿宋" w:hAnsi="仿宋" w:eastAsia="仿宋" w:cs="仿宋"/>
          <w:color w:val="auto"/>
        </w:rPr>
        <w:t>不是成交的唯一条件，并尊重磋商小组的评审结果。</w:t>
      </w:r>
    </w:p>
    <w:p>
      <w:pPr>
        <w:pStyle w:val="45"/>
        <w:spacing w:line="500" w:lineRule="exact"/>
        <w:ind w:firstLine="567"/>
        <w:rPr>
          <w:rFonts w:ascii="仿宋" w:hAnsi="仿宋" w:eastAsia="仿宋" w:cs="仿宋"/>
          <w:color w:val="auto"/>
        </w:rPr>
      </w:pPr>
      <w:r>
        <w:rPr>
          <w:rFonts w:hint="eastAsia" w:ascii="仿宋" w:hAnsi="仿宋" w:eastAsia="仿宋" w:cs="仿宋"/>
          <w:color w:val="auto"/>
        </w:rPr>
        <w:t>四、我方愿意按照磋商文件中的一切要求，完成本项目合同责任和义务。</w:t>
      </w:r>
    </w:p>
    <w:p>
      <w:pPr>
        <w:pStyle w:val="45"/>
        <w:spacing w:line="500" w:lineRule="exact"/>
        <w:ind w:firstLine="567"/>
        <w:rPr>
          <w:rFonts w:ascii="仿宋" w:hAnsi="仿宋" w:eastAsia="仿宋" w:cs="仿宋"/>
          <w:color w:val="auto"/>
        </w:rPr>
      </w:pPr>
      <w:r>
        <w:rPr>
          <w:rFonts w:hint="eastAsia" w:ascii="仿宋" w:hAnsi="仿宋" w:eastAsia="仿宋" w:cs="仿宋"/>
          <w:color w:val="auto"/>
        </w:rPr>
        <w:t>五、我方提交的</w:t>
      </w:r>
      <w:r>
        <w:rPr>
          <w:rFonts w:hint="eastAsia" w:ascii="仿宋" w:hAnsi="仿宋" w:eastAsia="仿宋" w:cs="仿宋"/>
          <w:b/>
          <w:color w:val="auto"/>
        </w:rPr>
        <w:t>电子响应文件一份</w:t>
      </w:r>
      <w:r>
        <w:rPr>
          <w:rFonts w:hint="eastAsia" w:ascii="仿宋" w:hAnsi="仿宋" w:eastAsia="仿宋" w:cs="仿宋"/>
          <w:b/>
          <w:bCs/>
          <w:color w:val="auto"/>
        </w:rPr>
        <w:t>。</w:t>
      </w:r>
    </w:p>
    <w:p>
      <w:pPr>
        <w:pStyle w:val="45"/>
        <w:spacing w:line="500" w:lineRule="exact"/>
        <w:ind w:firstLine="567"/>
        <w:rPr>
          <w:rFonts w:ascii="仿宋" w:hAnsi="仿宋" w:eastAsia="仿宋" w:cs="仿宋"/>
          <w:color w:val="auto"/>
        </w:rPr>
      </w:pPr>
      <w:r>
        <w:rPr>
          <w:rFonts w:hint="eastAsia" w:ascii="仿宋" w:hAnsi="仿宋" w:eastAsia="仿宋" w:cs="仿宋"/>
          <w:color w:val="auto"/>
        </w:rPr>
        <w:t>六、供应商在提交响应文件截止时间后撤回响应文件的，我们愿接受政府采购的有关处罚决定。</w:t>
      </w:r>
    </w:p>
    <w:p>
      <w:pPr>
        <w:pStyle w:val="45"/>
        <w:spacing w:line="500" w:lineRule="exact"/>
        <w:ind w:firstLine="567"/>
        <w:rPr>
          <w:rFonts w:ascii="华文仿宋" w:hAnsi="华文仿宋" w:cs="华文仿宋"/>
          <w:color w:val="auto"/>
        </w:rPr>
      </w:pPr>
      <w:r>
        <w:rPr>
          <w:rFonts w:hint="eastAsia" w:ascii="仿宋" w:hAnsi="仿宋" w:eastAsia="仿宋" w:cs="仿宋"/>
          <w:color w:val="auto"/>
        </w:rPr>
        <w:t>七、我方的响应文件在开标之日起</w:t>
      </w:r>
      <w:r>
        <w:rPr>
          <w:rFonts w:hint="eastAsia" w:ascii="仿宋" w:hAnsi="仿宋" w:eastAsia="仿宋" w:cs="仿宋"/>
          <w:b/>
          <w:bCs/>
          <w:color w:val="auto"/>
          <w:u w:val="single"/>
        </w:rPr>
        <w:t xml:space="preserve"> 90 </w:t>
      </w:r>
      <w:r>
        <w:rPr>
          <w:rFonts w:hint="eastAsia" w:ascii="仿宋" w:hAnsi="仿宋" w:eastAsia="仿宋" w:cs="仿宋"/>
          <w:color w:val="auto"/>
        </w:rPr>
        <w:t>个日历日内有效，如成交，延长至合同执行完毕时止。</w:t>
      </w:r>
    </w:p>
    <w:p>
      <w:pPr>
        <w:pStyle w:val="45"/>
        <w:spacing w:line="500" w:lineRule="exact"/>
        <w:ind w:firstLine="567"/>
        <w:rPr>
          <w:rFonts w:ascii="仿宋" w:hAnsi="仿宋" w:eastAsia="仿宋" w:cs="仿宋"/>
          <w:color w:val="auto"/>
        </w:rPr>
      </w:pPr>
      <w:r>
        <w:rPr>
          <w:rFonts w:hint="eastAsia" w:ascii="仿宋" w:hAnsi="仿宋" w:eastAsia="仿宋" w:cs="仿宋"/>
          <w:color w:val="auto"/>
        </w:rPr>
        <w:t>八、所有关于此次招标活动的函电，请按下列地址联系：</w:t>
      </w:r>
    </w:p>
    <w:p>
      <w:pPr>
        <w:pStyle w:val="45"/>
        <w:spacing w:line="500" w:lineRule="exact"/>
        <w:ind w:firstLine="567"/>
        <w:rPr>
          <w:rFonts w:ascii="华文仿宋" w:hAnsi="华文仿宋" w:cs="华文仿宋"/>
          <w:color w:val="auto"/>
        </w:rPr>
      </w:pPr>
    </w:p>
    <w:p>
      <w:pPr>
        <w:pStyle w:val="45"/>
        <w:spacing w:line="500" w:lineRule="exact"/>
        <w:ind w:firstLine="567"/>
        <w:rPr>
          <w:rFonts w:ascii="华文仿宋" w:hAnsi="华文仿宋" w:cs="华文仿宋"/>
          <w:color w:val="auto"/>
        </w:rPr>
      </w:pPr>
      <w:r>
        <w:rPr>
          <w:rFonts w:hint="eastAsia" w:ascii="华文仿宋" w:hAnsi="华文仿宋" w:cs="华文仿宋"/>
          <w:color w:val="auto"/>
        </w:rPr>
        <w:t>供应商：名称（加盖公章）</w:t>
      </w:r>
    </w:p>
    <w:p>
      <w:pPr>
        <w:pStyle w:val="45"/>
        <w:spacing w:line="500" w:lineRule="exact"/>
        <w:ind w:firstLine="567"/>
        <w:rPr>
          <w:rFonts w:ascii="华文仿宋" w:hAnsi="华文仿宋" w:cs="华文仿宋"/>
          <w:color w:val="auto"/>
        </w:rPr>
      </w:pPr>
      <w:r>
        <w:rPr>
          <w:rFonts w:hint="eastAsia" w:ascii="华文仿宋" w:hAnsi="华文仿宋" w:cs="华文仿宋"/>
          <w:color w:val="auto"/>
        </w:rPr>
        <w:t>地址：</w:t>
      </w:r>
    </w:p>
    <w:p>
      <w:pPr>
        <w:pStyle w:val="45"/>
        <w:spacing w:line="500" w:lineRule="exact"/>
        <w:ind w:firstLine="567"/>
        <w:rPr>
          <w:rFonts w:ascii="华文仿宋" w:hAnsi="华文仿宋" w:cs="华文仿宋"/>
          <w:color w:val="auto"/>
        </w:rPr>
      </w:pPr>
      <w:r>
        <w:rPr>
          <w:rFonts w:hint="eastAsia" w:ascii="华文仿宋" w:hAnsi="华文仿宋" w:cs="华文仿宋"/>
          <w:color w:val="auto"/>
        </w:rPr>
        <w:t>开户银行：</w:t>
      </w:r>
    </w:p>
    <w:p>
      <w:pPr>
        <w:pStyle w:val="45"/>
        <w:spacing w:line="500" w:lineRule="exact"/>
        <w:ind w:firstLine="567"/>
        <w:rPr>
          <w:rFonts w:ascii="华文仿宋" w:hAnsi="华文仿宋" w:cs="华文仿宋"/>
          <w:color w:val="auto"/>
        </w:rPr>
      </w:pPr>
      <w:r>
        <w:rPr>
          <w:rFonts w:hint="eastAsia" w:ascii="华文仿宋" w:hAnsi="华文仿宋" w:cs="华文仿宋"/>
          <w:color w:val="auto"/>
        </w:rPr>
        <w:t>账号：</w:t>
      </w:r>
    </w:p>
    <w:p>
      <w:pPr>
        <w:pStyle w:val="45"/>
        <w:spacing w:line="500" w:lineRule="exact"/>
        <w:ind w:firstLine="567"/>
        <w:rPr>
          <w:rFonts w:ascii="华文仿宋" w:hAnsi="华文仿宋" w:cs="华文仿宋"/>
          <w:color w:val="auto"/>
        </w:rPr>
      </w:pPr>
      <w:r>
        <w:rPr>
          <w:rFonts w:hint="eastAsia" w:ascii="华文仿宋" w:hAnsi="华文仿宋" w:cs="华文仿宋"/>
          <w:color w:val="auto"/>
        </w:rPr>
        <w:t>电话：</w:t>
      </w:r>
    </w:p>
    <w:p>
      <w:pPr>
        <w:pStyle w:val="45"/>
        <w:spacing w:line="500" w:lineRule="exact"/>
        <w:ind w:firstLine="567"/>
        <w:rPr>
          <w:rFonts w:ascii="华文仿宋" w:hAnsi="华文仿宋" w:cs="华文仿宋"/>
          <w:color w:val="auto"/>
        </w:rPr>
      </w:pPr>
      <w:r>
        <w:rPr>
          <w:rFonts w:hint="eastAsia" w:ascii="华文仿宋" w:hAnsi="华文仿宋" w:cs="华文仿宋"/>
          <w:color w:val="auto"/>
        </w:rPr>
        <w:t>传真：</w:t>
      </w:r>
    </w:p>
    <w:p>
      <w:pPr>
        <w:pStyle w:val="45"/>
        <w:spacing w:line="500" w:lineRule="exact"/>
        <w:ind w:firstLine="567"/>
        <w:rPr>
          <w:rFonts w:ascii="华文仿宋" w:hAnsi="华文仿宋" w:cs="华文仿宋"/>
          <w:color w:val="auto"/>
        </w:rPr>
      </w:pPr>
      <w:r>
        <w:rPr>
          <w:rFonts w:hint="eastAsia" w:ascii="华文仿宋" w:hAnsi="华文仿宋" w:cs="华文仿宋"/>
          <w:color w:val="auto"/>
        </w:rPr>
        <w:t>邮编：</w:t>
      </w:r>
    </w:p>
    <w:p>
      <w:pPr>
        <w:pStyle w:val="45"/>
        <w:spacing w:line="500" w:lineRule="exact"/>
        <w:ind w:firstLine="567"/>
        <w:rPr>
          <w:rFonts w:ascii="华文仿宋" w:hAnsi="华文仿宋" w:cs="华文仿宋"/>
          <w:b/>
          <w:bCs/>
          <w:color w:val="auto"/>
        </w:rPr>
      </w:pPr>
      <w:r>
        <w:rPr>
          <w:rFonts w:hint="eastAsia" w:ascii="华文仿宋" w:hAnsi="华文仿宋" w:cs="华文仿宋"/>
          <w:color w:val="auto"/>
        </w:rPr>
        <w:t xml:space="preserve">电子邮箱：           </w:t>
      </w:r>
      <w:r>
        <w:rPr>
          <w:rFonts w:hint="eastAsia" w:ascii="华文仿宋" w:hAnsi="华文仿宋" w:cs="华文仿宋"/>
          <w:b/>
          <w:bCs/>
          <w:color w:val="auto"/>
        </w:rPr>
        <w:t>（专用邮箱）</w:t>
      </w:r>
    </w:p>
    <w:p>
      <w:pPr>
        <w:pStyle w:val="45"/>
        <w:spacing w:line="500" w:lineRule="exact"/>
        <w:ind w:firstLine="567"/>
        <w:rPr>
          <w:rFonts w:ascii="华文仿宋" w:hAnsi="华文仿宋" w:cs="华文仿宋"/>
          <w:color w:val="auto"/>
        </w:rPr>
      </w:pPr>
      <w:r>
        <w:rPr>
          <w:rFonts w:hint="eastAsia" w:ascii="华文仿宋" w:hAnsi="华文仿宋" w:cs="华文仿宋"/>
          <w:color w:val="auto"/>
        </w:rPr>
        <w:t>日期：　　年　月　日</w:t>
      </w:r>
    </w:p>
    <w:p>
      <w:pPr>
        <w:pStyle w:val="45"/>
        <w:ind w:firstLine="0" w:firstLineChars="0"/>
        <w:rPr>
          <w:rFonts w:ascii="华文仿宋" w:hAnsi="华文仿宋" w:cs="华文仿宋"/>
          <w:color w:val="auto"/>
          <w:sz w:val="36"/>
        </w:rPr>
      </w:pPr>
    </w:p>
    <w:p>
      <w:pPr>
        <w:pStyle w:val="45"/>
        <w:ind w:firstLine="0" w:firstLineChars="0"/>
        <w:rPr>
          <w:rFonts w:ascii="华文仿宋" w:hAnsi="华文仿宋" w:cs="华文仿宋"/>
          <w:color w:val="auto"/>
          <w:sz w:val="36"/>
        </w:rPr>
      </w:pPr>
    </w:p>
    <w:p>
      <w:pPr>
        <w:pStyle w:val="45"/>
        <w:ind w:firstLine="0" w:firstLineChars="0"/>
        <w:rPr>
          <w:rFonts w:ascii="华文仿宋" w:hAnsi="华文仿宋" w:cs="华文仿宋"/>
          <w:color w:val="auto"/>
          <w:sz w:val="36"/>
        </w:rPr>
      </w:pPr>
    </w:p>
    <w:p>
      <w:pPr>
        <w:pStyle w:val="45"/>
        <w:ind w:firstLine="0" w:firstLineChars="0"/>
        <w:rPr>
          <w:rFonts w:ascii="华文仿宋" w:hAnsi="华文仿宋" w:cs="华文仿宋"/>
          <w:color w:val="auto"/>
          <w:sz w:val="36"/>
        </w:rPr>
      </w:pPr>
    </w:p>
    <w:p>
      <w:pPr>
        <w:pStyle w:val="45"/>
        <w:bidi w:val="0"/>
        <w:ind w:left="0" w:leftChars="0" w:firstLine="0" w:firstLineChars="0"/>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备注：1、项目不分标段的，第___标段空白处填写“/”。</w:t>
      </w:r>
    </w:p>
    <w:p>
      <w:pPr>
        <w:pStyle w:val="45"/>
        <w:bidi w:val="0"/>
        <w:ind w:firstLine="639" w:firstLineChars="300"/>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lang w:val="en-US" w:eastAsia="zh-CN"/>
        </w:rPr>
        <w:t>2、</w:t>
      </w:r>
      <w:r>
        <w:rPr>
          <w:rFonts w:hint="eastAsia" w:asciiTheme="minorEastAsia" w:hAnsiTheme="minorEastAsia" w:eastAsiaTheme="minorEastAsia" w:cstheme="minorEastAsia"/>
          <w:color w:val="auto"/>
          <w:sz w:val="21"/>
          <w:szCs w:val="21"/>
        </w:rPr>
        <w:t>除可填报项目外，对本响应函的任何实质性内容修改将被视为非实质性响应，在评审时将其视为无效响应。</w:t>
      </w:r>
    </w:p>
    <w:p>
      <w:pPr>
        <w:pStyle w:val="45"/>
        <w:numPr>
          <w:ilvl w:val="0"/>
          <w:numId w:val="0"/>
        </w:numPr>
        <w:rPr>
          <w:rFonts w:hint="eastAsia" w:ascii="宋体" w:hAnsi="宋体" w:eastAsia="宋体" w:cs="宋体"/>
          <w:color w:val="auto"/>
          <w:sz w:val="21"/>
          <w:szCs w:val="21"/>
          <w:highlight w:val="none"/>
        </w:rPr>
      </w:pPr>
    </w:p>
    <w:p>
      <w:pPr>
        <w:pStyle w:val="45"/>
        <w:ind w:firstLine="0" w:firstLineChars="0"/>
        <w:rPr>
          <w:rFonts w:ascii="华文仿宋" w:hAnsi="华文仿宋" w:cs="华文仿宋"/>
          <w:color w:val="auto"/>
          <w:sz w:val="36"/>
        </w:rPr>
      </w:pPr>
    </w:p>
    <w:bookmarkEnd w:id="368"/>
    <w:bookmarkEnd w:id="369"/>
    <w:bookmarkEnd w:id="370"/>
    <w:bookmarkEnd w:id="371"/>
    <w:bookmarkEnd w:id="372"/>
    <w:p>
      <w:pPr>
        <w:pStyle w:val="50"/>
        <w:jc w:val="both"/>
        <w:rPr>
          <w:rFonts w:hint="eastAsia" w:ascii="仿宋" w:hAnsi="仿宋" w:eastAsia="仿宋" w:cs="仿宋"/>
          <w:bCs w:val="0"/>
          <w:color w:val="auto"/>
        </w:rPr>
      </w:pPr>
      <w:bookmarkStart w:id="386" w:name="_Toc23955"/>
      <w:bookmarkStart w:id="387" w:name="_Toc24876"/>
      <w:bookmarkStart w:id="388" w:name="_Toc6921"/>
      <w:bookmarkStart w:id="389" w:name="_Toc13841"/>
      <w:bookmarkStart w:id="390" w:name="_Toc23660"/>
      <w:bookmarkStart w:id="391" w:name="_Toc15538"/>
      <w:bookmarkStart w:id="392" w:name="_Toc8175"/>
      <w:bookmarkStart w:id="393" w:name="_Toc15883"/>
      <w:bookmarkStart w:id="394" w:name="_Toc31532"/>
      <w:bookmarkStart w:id="395" w:name="_Toc17656_WPSOffice_Level2"/>
    </w:p>
    <w:p>
      <w:pPr>
        <w:pStyle w:val="50"/>
        <w:jc w:val="both"/>
        <w:rPr>
          <w:rFonts w:hint="eastAsia" w:ascii="仿宋" w:hAnsi="仿宋" w:eastAsia="仿宋" w:cs="仿宋"/>
          <w:bCs w:val="0"/>
          <w:color w:val="auto"/>
        </w:rPr>
      </w:pPr>
    </w:p>
    <w:p>
      <w:pPr>
        <w:bidi w:val="0"/>
        <w:rPr>
          <w:rFonts w:hint="eastAsia"/>
          <w:color w:val="auto"/>
        </w:rPr>
      </w:pPr>
    </w:p>
    <w:p>
      <w:pPr>
        <w:bidi w:val="0"/>
        <w:rPr>
          <w:rFonts w:hint="eastAsia"/>
          <w:color w:val="auto"/>
        </w:rPr>
      </w:pPr>
    </w:p>
    <w:p>
      <w:pPr>
        <w:bidi w:val="0"/>
        <w:rPr>
          <w:rFonts w:hint="eastAsia"/>
          <w:color w:val="auto"/>
        </w:rPr>
      </w:pPr>
    </w:p>
    <w:p>
      <w:pPr>
        <w:bidi w:val="0"/>
        <w:rPr>
          <w:rFonts w:hint="eastAsia"/>
          <w:color w:val="auto"/>
        </w:rPr>
      </w:pPr>
    </w:p>
    <w:p>
      <w:pPr>
        <w:bidi w:val="0"/>
        <w:rPr>
          <w:rFonts w:hint="eastAsia"/>
          <w:color w:val="auto"/>
        </w:rPr>
      </w:pPr>
    </w:p>
    <w:p>
      <w:pPr>
        <w:bidi w:val="0"/>
        <w:rPr>
          <w:rFonts w:hint="eastAsia"/>
          <w:color w:val="auto"/>
        </w:rPr>
      </w:pPr>
    </w:p>
    <w:p>
      <w:pPr>
        <w:bidi w:val="0"/>
        <w:rPr>
          <w:rFonts w:hint="eastAsia"/>
          <w:color w:val="auto"/>
        </w:rPr>
      </w:pPr>
    </w:p>
    <w:p>
      <w:pPr>
        <w:bidi w:val="0"/>
        <w:rPr>
          <w:rFonts w:hint="eastAsia"/>
          <w:color w:val="auto"/>
        </w:rPr>
      </w:pPr>
    </w:p>
    <w:p>
      <w:pPr>
        <w:bidi w:val="0"/>
        <w:rPr>
          <w:rFonts w:hint="eastAsia"/>
          <w:color w:val="auto"/>
        </w:rPr>
      </w:pPr>
    </w:p>
    <w:p>
      <w:pPr>
        <w:bidi w:val="0"/>
        <w:rPr>
          <w:rFonts w:hint="eastAsia"/>
          <w:color w:val="auto"/>
        </w:rPr>
      </w:pPr>
    </w:p>
    <w:p>
      <w:pPr>
        <w:bidi w:val="0"/>
        <w:rPr>
          <w:rFonts w:hint="eastAsia"/>
          <w:color w:val="auto"/>
        </w:rPr>
      </w:pPr>
    </w:p>
    <w:p>
      <w:pPr>
        <w:bidi w:val="0"/>
        <w:rPr>
          <w:rFonts w:hint="eastAsia"/>
          <w:color w:val="auto"/>
        </w:rPr>
      </w:pPr>
    </w:p>
    <w:p>
      <w:pPr>
        <w:pStyle w:val="50"/>
        <w:jc w:val="both"/>
        <w:rPr>
          <w:rFonts w:hint="eastAsia" w:ascii="仿宋" w:hAnsi="仿宋" w:eastAsia="仿宋" w:cs="仿宋"/>
          <w:bCs w:val="0"/>
          <w:color w:val="auto"/>
        </w:rPr>
      </w:pPr>
      <w:bookmarkStart w:id="396" w:name="_Toc12329"/>
      <w:r>
        <w:rPr>
          <w:rFonts w:hint="eastAsia" w:ascii="仿宋" w:hAnsi="仿宋" w:eastAsia="仿宋" w:cs="仿宋"/>
          <w:bCs w:val="0"/>
          <w:color w:val="auto"/>
        </w:rPr>
        <w:t>二、第一次磋商报价表</w:t>
      </w:r>
      <w:bookmarkEnd w:id="386"/>
      <w:bookmarkEnd w:id="387"/>
      <w:bookmarkEnd w:id="388"/>
      <w:bookmarkEnd w:id="389"/>
      <w:bookmarkEnd w:id="390"/>
      <w:bookmarkEnd w:id="391"/>
      <w:bookmarkEnd w:id="392"/>
      <w:bookmarkEnd w:id="393"/>
      <w:bookmarkEnd w:id="394"/>
      <w:bookmarkEnd w:id="396"/>
    </w:p>
    <w:p>
      <w:pPr>
        <w:keepNext w:val="0"/>
        <w:keepLines w:val="0"/>
        <w:pageBreakBefore w:val="0"/>
        <w:widowControl/>
        <w:kinsoku/>
        <w:wordWrap/>
        <w:overflowPunct/>
        <w:topLinePunct w:val="0"/>
        <w:autoSpaceDE/>
        <w:autoSpaceDN/>
        <w:bidi w:val="0"/>
        <w:adjustRightInd/>
        <w:snapToGrid/>
        <w:spacing w:line="500" w:lineRule="exact"/>
        <w:textAlignment w:val="auto"/>
        <w:rPr>
          <w:color w:val="auto"/>
        </w:rPr>
      </w:pPr>
      <w:r>
        <w:rPr>
          <w:rFonts w:hint="eastAsia"/>
          <w:color w:val="auto"/>
        </w:rPr>
        <w:t>项目名称：</w:t>
      </w:r>
    </w:p>
    <w:p>
      <w:pPr>
        <w:keepNext w:val="0"/>
        <w:keepLines w:val="0"/>
        <w:pageBreakBefore w:val="0"/>
        <w:widowControl/>
        <w:kinsoku/>
        <w:wordWrap/>
        <w:overflowPunct/>
        <w:topLinePunct w:val="0"/>
        <w:autoSpaceDE/>
        <w:autoSpaceDN/>
        <w:bidi w:val="0"/>
        <w:adjustRightInd/>
        <w:snapToGrid/>
        <w:spacing w:line="500" w:lineRule="exact"/>
        <w:textAlignment w:val="auto"/>
        <w:rPr>
          <w:color w:val="auto"/>
        </w:rPr>
      </w:pPr>
      <w:r>
        <w:rPr>
          <w:rFonts w:hint="eastAsia"/>
          <w:color w:val="auto"/>
        </w:rPr>
        <w:t>项目编号：</w:t>
      </w:r>
    </w:p>
    <w:p>
      <w:pPr>
        <w:pStyle w:val="20"/>
        <w:wordWrap w:val="0"/>
        <w:spacing w:beforeAutospacing="0" w:afterAutospacing="0" w:line="500" w:lineRule="exact"/>
        <w:rPr>
          <w:rFonts w:ascii="仿宋" w:hAnsi="仿宋" w:eastAsia="仿宋" w:cs="仿宋"/>
          <w:color w:val="auto"/>
          <w:sz w:val="28"/>
          <w:shd w:val="clear" w:color="auto" w:fill="FFFFFF"/>
        </w:rPr>
      </w:pPr>
    </w:p>
    <w:p>
      <w:pPr>
        <w:spacing w:line="440" w:lineRule="exact"/>
        <w:ind w:right="560"/>
        <w:jc w:val="right"/>
        <w:rPr>
          <w:rFonts w:ascii="仿宋" w:hAnsi="仿宋" w:eastAsia="仿宋"/>
          <w:color w:val="auto"/>
          <w:sz w:val="24"/>
          <w:szCs w:val="24"/>
        </w:rPr>
      </w:pPr>
    </w:p>
    <w:tbl>
      <w:tblPr>
        <w:tblStyle w:val="23"/>
        <w:tblW w:w="835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
      <w:tblGrid>
        <w:gridCol w:w="1943"/>
        <w:gridCol w:w="64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3" w:hRule="atLeast"/>
          <w:jc w:val="center"/>
        </w:trPr>
        <w:tc>
          <w:tcPr>
            <w:tcW w:w="1943" w:type="dxa"/>
            <w:vAlign w:val="center"/>
          </w:tcPr>
          <w:p>
            <w:pPr>
              <w:pStyle w:val="2"/>
              <w:spacing w:line="360" w:lineRule="auto"/>
              <w:ind w:firstLine="0"/>
              <w:jc w:val="center"/>
              <w:rPr>
                <w:rFonts w:ascii="宋体" w:hAnsi="宋体" w:cs="宋体"/>
                <w:color w:val="auto"/>
                <w:szCs w:val="24"/>
              </w:rPr>
            </w:pPr>
          </w:p>
        </w:tc>
        <w:tc>
          <w:tcPr>
            <w:tcW w:w="6410" w:type="dxa"/>
            <w:vAlign w:val="center"/>
          </w:tcPr>
          <w:p>
            <w:pPr>
              <w:spacing w:line="440" w:lineRule="exact"/>
              <w:jc w:val="center"/>
              <w:rPr>
                <w:rFonts w:ascii="宋体" w:hAnsi="宋体" w:cs="宋体"/>
                <w:color w:val="auto"/>
                <w:szCs w:val="24"/>
              </w:rPr>
            </w:pPr>
            <w:r>
              <w:rPr>
                <w:rFonts w:hint="eastAsia" w:ascii="宋体" w:hAnsi="宋体" w:cs="宋体"/>
                <w:color w:val="auto"/>
                <w:szCs w:val="24"/>
              </w:rPr>
              <w:t>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3" w:hRule="atLeast"/>
          <w:jc w:val="center"/>
        </w:trPr>
        <w:tc>
          <w:tcPr>
            <w:tcW w:w="1943" w:type="dxa"/>
            <w:vAlign w:val="center"/>
          </w:tcPr>
          <w:p>
            <w:pPr>
              <w:pStyle w:val="2"/>
              <w:spacing w:line="360" w:lineRule="auto"/>
              <w:ind w:firstLine="0"/>
              <w:jc w:val="center"/>
              <w:rPr>
                <w:rFonts w:ascii="宋体" w:hAnsi="宋体" w:cs="宋体"/>
                <w:color w:val="auto"/>
                <w:szCs w:val="24"/>
              </w:rPr>
            </w:pPr>
            <w:r>
              <w:rPr>
                <w:rFonts w:hint="eastAsia" w:ascii="宋体" w:hAnsi="宋体" w:cs="宋体"/>
                <w:color w:val="auto"/>
                <w:szCs w:val="24"/>
              </w:rPr>
              <w:t>磋商报价</w:t>
            </w:r>
          </w:p>
        </w:tc>
        <w:tc>
          <w:tcPr>
            <w:tcW w:w="6410" w:type="dxa"/>
            <w:vAlign w:val="center"/>
          </w:tcPr>
          <w:p>
            <w:pPr>
              <w:autoSpaceDE w:val="0"/>
              <w:autoSpaceDN w:val="0"/>
              <w:spacing w:line="360" w:lineRule="auto"/>
              <w:rPr>
                <w:rFonts w:ascii="宋体" w:hAnsi="宋体" w:cs="宋体"/>
                <w:color w:val="auto"/>
                <w:kern w:val="0"/>
                <w:szCs w:val="24"/>
                <w:lang w:val="zh-CN"/>
              </w:rPr>
            </w:pPr>
            <w:r>
              <w:rPr>
                <w:rFonts w:hint="eastAsia" w:ascii="宋体" w:hAnsi="宋体" w:cs="宋体"/>
                <w:color w:val="auto"/>
                <w:kern w:val="0"/>
                <w:szCs w:val="24"/>
                <w:lang w:val="zh-CN"/>
              </w:rPr>
              <w:t>小写：</w:t>
            </w:r>
          </w:p>
          <w:p>
            <w:pPr>
              <w:pStyle w:val="15"/>
              <w:rPr>
                <w:rFonts w:ascii="宋体" w:hAnsi="宋体" w:cs="宋体"/>
                <w:color w:val="auto"/>
                <w:kern w:val="0"/>
                <w:szCs w:val="24"/>
                <w:lang w:val="zh-CN"/>
              </w:rPr>
            </w:pPr>
          </w:p>
          <w:p>
            <w:pPr>
              <w:autoSpaceDE w:val="0"/>
              <w:autoSpaceDN w:val="0"/>
              <w:spacing w:line="360" w:lineRule="auto"/>
              <w:rPr>
                <w:rFonts w:ascii="宋体" w:hAnsi="宋体" w:cs="宋体"/>
                <w:color w:val="auto"/>
                <w:kern w:val="0"/>
                <w:szCs w:val="24"/>
              </w:rPr>
            </w:pPr>
            <w:r>
              <w:rPr>
                <w:rFonts w:hint="eastAsia" w:ascii="宋体" w:hAnsi="宋体" w:cs="宋体"/>
                <w:color w:val="auto"/>
                <w:kern w:val="0"/>
                <w:szCs w:val="24"/>
              </w:rPr>
              <w:t>大写：</w:t>
            </w:r>
          </w:p>
          <w:p>
            <w:pPr>
              <w:autoSpaceDE w:val="0"/>
              <w:autoSpaceDN w:val="0"/>
              <w:spacing w:line="360" w:lineRule="auto"/>
              <w:rPr>
                <w:color w:val="auto"/>
              </w:rPr>
            </w:pPr>
            <w:r>
              <w:rPr>
                <w:rFonts w:hint="eastAsia" w:ascii="仿宋" w:hAnsi="仿宋" w:eastAsia="仿宋"/>
                <w:color w:val="auto"/>
                <w:sz w:val="24"/>
                <w:szCs w:val="24"/>
              </w:rPr>
              <w:t xml:space="preserve">           </w:t>
            </w:r>
            <w:r>
              <w:rPr>
                <w:rFonts w:hint="eastAsia" w:ascii="仿宋" w:hAnsi="仿宋" w:eastAsia="仿宋"/>
                <w:color w:val="auto"/>
                <w:sz w:val="24"/>
                <w:szCs w:val="24"/>
                <w:lang w:val="en-US" w:eastAsia="zh-CN"/>
              </w:rPr>
              <w:t xml:space="preserve">             </w:t>
            </w:r>
            <w:r>
              <w:rPr>
                <w:rFonts w:ascii="仿宋" w:hAnsi="仿宋" w:eastAsia="仿宋"/>
                <w:color w:val="auto"/>
                <w:sz w:val="24"/>
                <w:szCs w:val="24"/>
              </w:rPr>
              <w:t>单位：元（</w:t>
            </w:r>
            <w:r>
              <w:rPr>
                <w:rFonts w:hint="eastAsia" w:ascii="仿宋" w:hAnsi="仿宋" w:eastAsia="仿宋"/>
                <w:color w:val="auto"/>
                <w:sz w:val="24"/>
                <w:szCs w:val="24"/>
              </w:rPr>
              <w:t>保留到元</w:t>
            </w:r>
            <w:r>
              <w:rPr>
                <w:rFonts w:ascii="仿宋" w:hAnsi="仿宋" w:eastAsia="仿宋"/>
                <w:color w:val="auto"/>
                <w:sz w:val="24"/>
                <w:szCs w:val="24"/>
              </w:rPr>
              <w:t>）</w:t>
            </w:r>
          </w:p>
        </w:tc>
      </w:tr>
    </w:tbl>
    <w:p>
      <w:pPr>
        <w:spacing w:line="440" w:lineRule="exact"/>
        <w:ind w:right="560"/>
        <w:jc w:val="right"/>
        <w:rPr>
          <w:rFonts w:ascii="仿宋" w:hAnsi="仿宋" w:eastAsia="仿宋"/>
          <w:color w:val="auto"/>
          <w:sz w:val="24"/>
          <w:szCs w:val="24"/>
        </w:rPr>
      </w:pPr>
    </w:p>
    <w:p>
      <w:pPr>
        <w:spacing w:line="500" w:lineRule="exact"/>
        <w:ind w:firstLine="4528" w:firstLineChars="1600"/>
        <w:rPr>
          <w:rFonts w:ascii="仿宋" w:hAnsi="仿宋" w:eastAsia="仿宋" w:cs="仿宋"/>
          <w:color w:val="auto"/>
        </w:rPr>
      </w:pPr>
      <w:r>
        <w:rPr>
          <w:rFonts w:hint="eastAsia" w:ascii="仿宋" w:hAnsi="仿宋" w:eastAsia="仿宋" w:cs="仿宋"/>
          <w:color w:val="auto"/>
        </w:rPr>
        <w:t>供应商：</w:t>
      </w:r>
      <w:r>
        <w:rPr>
          <w:rFonts w:hint="eastAsia" w:ascii="仿宋" w:hAnsi="仿宋" w:eastAsia="仿宋" w:cs="仿宋"/>
          <w:color w:val="auto"/>
          <w:u w:val="single"/>
        </w:rPr>
        <w:t>名称</w:t>
      </w:r>
      <w:r>
        <w:rPr>
          <w:rFonts w:hint="eastAsia" w:ascii="仿宋" w:hAnsi="仿宋" w:eastAsia="仿宋" w:cs="仿宋"/>
          <w:color w:val="auto"/>
        </w:rPr>
        <w:t>（加盖公章）</w:t>
      </w:r>
    </w:p>
    <w:p>
      <w:pPr>
        <w:spacing w:line="500" w:lineRule="exact"/>
        <w:ind w:firstLine="4811" w:firstLineChars="1700"/>
        <w:rPr>
          <w:rFonts w:ascii="华文仿宋" w:hAnsi="华文仿宋" w:cs="华文仿宋"/>
          <w:color w:val="auto"/>
        </w:rPr>
      </w:pPr>
      <w:r>
        <w:rPr>
          <w:rFonts w:hint="eastAsia" w:ascii="仿宋" w:hAnsi="仿宋" w:eastAsia="仿宋" w:cs="仿宋"/>
          <w:color w:val="auto"/>
        </w:rPr>
        <w:t>日期：　　年　月　日</w:t>
      </w:r>
      <w:r>
        <w:rPr>
          <w:rFonts w:hint="eastAsia" w:ascii="仿宋" w:hAnsi="仿宋" w:eastAsia="仿宋"/>
          <w:color w:val="auto"/>
        </w:rPr>
        <w:t xml:space="preserve">     </w:t>
      </w:r>
      <w:bookmarkEnd w:id="395"/>
    </w:p>
    <w:p>
      <w:pPr>
        <w:autoSpaceDE w:val="0"/>
        <w:autoSpaceDN w:val="0"/>
        <w:spacing w:line="240" w:lineRule="auto"/>
        <w:ind w:firstLine="480"/>
        <w:rPr>
          <w:rFonts w:ascii="宋体" w:hAnsi="宋体" w:eastAsia="宋体" w:cs="宋体"/>
          <w:b/>
          <w:bCs/>
          <w:color w:val="auto"/>
          <w:kern w:val="0"/>
          <w:sz w:val="21"/>
          <w:szCs w:val="21"/>
        </w:rPr>
      </w:pPr>
    </w:p>
    <w:p>
      <w:pPr>
        <w:autoSpaceDE w:val="0"/>
        <w:autoSpaceDN w:val="0"/>
        <w:spacing w:line="240" w:lineRule="auto"/>
        <w:ind w:firstLine="480"/>
        <w:rPr>
          <w:rFonts w:hint="eastAsia" w:ascii="宋体" w:hAnsi="宋体" w:eastAsia="宋体" w:cs="宋体"/>
          <w:color w:val="auto"/>
          <w:kern w:val="0"/>
          <w:sz w:val="21"/>
          <w:szCs w:val="21"/>
          <w:lang w:val="zh-CN"/>
        </w:rPr>
      </w:pPr>
      <w:r>
        <w:rPr>
          <w:rFonts w:hint="eastAsia" w:ascii="宋体" w:hAnsi="宋体" w:eastAsia="宋体" w:cs="宋体"/>
          <w:color w:val="auto"/>
          <w:kern w:val="0"/>
          <w:sz w:val="21"/>
          <w:szCs w:val="21"/>
        </w:rPr>
        <w:t>备注</w:t>
      </w:r>
      <w:r>
        <w:rPr>
          <w:rFonts w:hint="eastAsia" w:ascii="宋体" w:hAnsi="宋体" w:eastAsia="宋体" w:cs="宋体"/>
          <w:color w:val="auto"/>
          <w:kern w:val="0"/>
          <w:sz w:val="21"/>
          <w:szCs w:val="21"/>
          <w:lang w:val="zh-CN"/>
        </w:rPr>
        <w:t>： “磋商报价”为磋商总价。磋商</w:t>
      </w:r>
      <w:r>
        <w:rPr>
          <w:rFonts w:ascii="宋体" w:hAnsi="宋体" w:eastAsia="宋体" w:cs="宋体"/>
          <w:color w:val="auto"/>
          <w:kern w:val="0"/>
          <w:sz w:val="21"/>
          <w:szCs w:val="21"/>
          <w:lang w:val="zh-CN"/>
        </w:rPr>
        <w:t>报价必须包括</w:t>
      </w:r>
      <w:r>
        <w:rPr>
          <w:rFonts w:hint="eastAsia" w:ascii="宋体" w:hAnsi="宋体" w:eastAsia="宋体" w:cs="宋体"/>
          <w:color w:val="auto"/>
          <w:kern w:val="0"/>
          <w:sz w:val="21"/>
          <w:szCs w:val="21"/>
          <w:lang w:val="zh-CN"/>
        </w:rPr>
        <w:t>本项目所需</w:t>
      </w:r>
      <w:r>
        <w:rPr>
          <w:rFonts w:ascii="宋体" w:hAnsi="宋体" w:eastAsia="宋体" w:cs="宋体"/>
          <w:color w:val="auto"/>
          <w:kern w:val="0"/>
          <w:sz w:val="21"/>
          <w:szCs w:val="21"/>
          <w:lang w:val="zh-CN"/>
        </w:rPr>
        <w:t>全部费用</w:t>
      </w:r>
      <w:r>
        <w:rPr>
          <w:rFonts w:hint="eastAsia" w:ascii="宋体" w:hAnsi="宋体" w:eastAsia="宋体" w:cs="宋体"/>
          <w:color w:val="auto"/>
          <w:kern w:val="0"/>
          <w:sz w:val="21"/>
          <w:szCs w:val="21"/>
          <w:lang w:val="zh-CN"/>
        </w:rPr>
        <w:t>。</w:t>
      </w:r>
    </w:p>
    <w:p>
      <w:pPr>
        <w:spacing w:beforeLines="50" w:afterLines="50" w:line="500" w:lineRule="exact"/>
        <w:jc w:val="center"/>
        <w:rPr>
          <w:rFonts w:hint="eastAsia" w:ascii="华文仿宋" w:hAnsi="华文仿宋" w:cs="华文仿宋"/>
          <w:b/>
          <w:color w:val="000000" w:themeColor="text1"/>
          <w14:textFill>
            <w14:solidFill>
              <w14:schemeClr w14:val="tx1"/>
            </w14:solidFill>
          </w14:textFill>
        </w:rPr>
      </w:pPr>
    </w:p>
    <w:p>
      <w:pPr>
        <w:spacing w:beforeLines="50" w:afterLines="50" w:line="500" w:lineRule="exact"/>
        <w:jc w:val="center"/>
        <w:rPr>
          <w:rFonts w:hint="eastAsia" w:ascii="华文仿宋" w:hAnsi="华文仿宋" w:cs="华文仿宋"/>
          <w:b/>
          <w:color w:val="000000" w:themeColor="text1"/>
          <w14:textFill>
            <w14:solidFill>
              <w14:schemeClr w14:val="tx1"/>
            </w14:solidFill>
          </w14:textFill>
        </w:rPr>
      </w:pPr>
    </w:p>
    <w:p>
      <w:pPr>
        <w:spacing w:beforeLines="50" w:afterLines="50" w:line="500" w:lineRule="exact"/>
        <w:jc w:val="center"/>
        <w:rPr>
          <w:rFonts w:hint="eastAsia" w:ascii="华文仿宋" w:hAnsi="华文仿宋" w:cs="华文仿宋"/>
          <w:b/>
          <w:color w:val="000000" w:themeColor="text1"/>
          <w14:textFill>
            <w14:solidFill>
              <w14:schemeClr w14:val="tx1"/>
            </w14:solidFill>
          </w14:textFill>
        </w:rPr>
      </w:pPr>
    </w:p>
    <w:p>
      <w:pPr>
        <w:spacing w:beforeLines="50" w:afterLines="50" w:line="500" w:lineRule="exact"/>
        <w:jc w:val="center"/>
        <w:rPr>
          <w:rFonts w:hint="eastAsia" w:ascii="华文仿宋" w:hAnsi="华文仿宋" w:cs="华文仿宋"/>
          <w:b/>
          <w:color w:val="000000" w:themeColor="text1"/>
          <w14:textFill>
            <w14:solidFill>
              <w14:schemeClr w14:val="tx1"/>
            </w14:solidFill>
          </w14:textFill>
        </w:rPr>
      </w:pPr>
    </w:p>
    <w:p>
      <w:pPr>
        <w:spacing w:beforeLines="50" w:afterLines="50" w:line="500" w:lineRule="exact"/>
        <w:jc w:val="center"/>
        <w:rPr>
          <w:rFonts w:hint="eastAsia" w:ascii="华文仿宋" w:hAnsi="华文仿宋" w:cs="华文仿宋"/>
          <w:b/>
          <w:color w:val="000000" w:themeColor="text1"/>
          <w14:textFill>
            <w14:solidFill>
              <w14:schemeClr w14:val="tx1"/>
            </w14:solidFill>
          </w14:textFill>
        </w:rPr>
      </w:pPr>
    </w:p>
    <w:p>
      <w:pPr>
        <w:spacing w:beforeLines="50" w:afterLines="50" w:line="500" w:lineRule="exact"/>
        <w:jc w:val="center"/>
        <w:rPr>
          <w:rFonts w:hint="eastAsia" w:ascii="华文仿宋" w:hAnsi="华文仿宋" w:cs="华文仿宋"/>
          <w:b/>
          <w:color w:val="000000" w:themeColor="text1"/>
          <w14:textFill>
            <w14:solidFill>
              <w14:schemeClr w14:val="tx1"/>
            </w14:solidFill>
          </w14:textFill>
        </w:rPr>
      </w:pPr>
    </w:p>
    <w:p>
      <w:pPr>
        <w:spacing w:beforeLines="50" w:afterLines="50" w:line="500" w:lineRule="exact"/>
        <w:jc w:val="center"/>
        <w:rPr>
          <w:rFonts w:hint="eastAsia" w:ascii="华文仿宋" w:hAnsi="华文仿宋" w:cs="华文仿宋"/>
          <w:b/>
          <w:color w:val="000000" w:themeColor="text1"/>
          <w14:textFill>
            <w14:solidFill>
              <w14:schemeClr w14:val="tx1"/>
            </w14:solidFill>
          </w14:textFill>
        </w:rPr>
      </w:pPr>
    </w:p>
    <w:p>
      <w:pPr>
        <w:spacing w:beforeLines="50" w:afterLines="50" w:line="500" w:lineRule="exact"/>
        <w:jc w:val="both"/>
        <w:rPr>
          <w:rFonts w:hint="eastAsia" w:ascii="华文仿宋" w:hAnsi="华文仿宋" w:cs="华文仿宋"/>
          <w:b/>
          <w:color w:val="000000" w:themeColor="text1"/>
          <w14:textFill>
            <w14:solidFill>
              <w14:schemeClr w14:val="tx1"/>
            </w14:solidFill>
          </w14:textFill>
        </w:rPr>
      </w:pPr>
    </w:p>
    <w:p>
      <w:pPr>
        <w:rPr>
          <w:rFonts w:hint="eastAsia" w:ascii="华文仿宋" w:hAnsi="华文仿宋" w:cs="华文仿宋"/>
          <w:b/>
          <w:color w:val="000000" w:themeColor="text1"/>
          <w14:textFill>
            <w14:solidFill>
              <w14:schemeClr w14:val="tx1"/>
            </w14:solidFill>
          </w14:textFill>
        </w:rPr>
        <w:sectPr>
          <w:footerReference r:id="rId14" w:type="first"/>
          <w:footerReference r:id="rId13" w:type="default"/>
          <w:pgSz w:w="11906" w:h="16838"/>
          <w:pgMar w:top="1417" w:right="1417" w:bottom="1417" w:left="1417" w:header="850" w:footer="992" w:gutter="0"/>
          <w:pgNumType w:fmt="decimal"/>
          <w:cols w:space="720" w:num="1"/>
          <w:docGrid w:type="linesAndChars" w:linePitch="381" w:charSpace="704"/>
        </w:sectPr>
      </w:pPr>
      <w:r>
        <w:rPr>
          <w:rFonts w:hint="eastAsia" w:ascii="华文仿宋" w:hAnsi="华文仿宋" w:cs="华文仿宋"/>
          <w:b/>
          <w:color w:val="000000" w:themeColor="text1"/>
          <w14:textFill>
            <w14:solidFill>
              <w14:schemeClr w14:val="tx1"/>
            </w14:solidFill>
          </w14:textFill>
        </w:rPr>
        <w:br w:type="page"/>
      </w:r>
    </w:p>
    <w:p>
      <w:pPr>
        <w:spacing w:beforeLines="50" w:afterLines="50" w:line="500" w:lineRule="exact"/>
        <w:jc w:val="center"/>
        <w:rPr>
          <w:rFonts w:hint="default" w:ascii="华文仿宋" w:hAnsi="华文仿宋" w:eastAsia="华文仿宋" w:cs="华文仿宋"/>
          <w:b/>
          <w:color w:val="000000" w:themeColor="text1"/>
          <w:lang w:val="en-US" w:eastAsia="zh-CN"/>
          <w14:textFill>
            <w14:solidFill>
              <w14:schemeClr w14:val="tx1"/>
            </w14:solidFill>
          </w14:textFill>
        </w:rPr>
      </w:pPr>
      <w:r>
        <w:rPr>
          <w:rFonts w:hint="eastAsia" w:ascii="华文仿宋" w:hAnsi="华文仿宋" w:cs="华文仿宋"/>
          <w:b/>
          <w:color w:val="000000" w:themeColor="text1"/>
          <w14:textFill>
            <w14:solidFill>
              <w14:schemeClr w14:val="tx1"/>
            </w14:solidFill>
          </w14:textFill>
        </w:rPr>
        <w:t>分项报价表</w:t>
      </w:r>
      <w:r>
        <w:rPr>
          <w:rFonts w:hint="eastAsia" w:ascii="华文仿宋" w:hAnsi="华文仿宋" w:cs="华文仿宋"/>
          <w:b/>
          <w:color w:val="000000" w:themeColor="text1"/>
          <w:lang w:eastAsia="zh-CN"/>
          <w14:textFill>
            <w14:solidFill>
              <w14:schemeClr w14:val="tx1"/>
            </w14:solidFill>
          </w14:textFill>
        </w:rPr>
        <w:t>（</w:t>
      </w:r>
      <w:r>
        <w:rPr>
          <w:rFonts w:hint="eastAsia" w:ascii="华文仿宋" w:hAnsi="华文仿宋" w:cs="华文仿宋"/>
          <w:b/>
          <w:color w:val="000000" w:themeColor="text1"/>
          <w:lang w:val="en-US" w:eastAsia="zh-CN"/>
          <w14:textFill>
            <w14:solidFill>
              <w14:schemeClr w14:val="tx1"/>
            </w14:solidFill>
          </w14:textFill>
        </w:rPr>
        <w:t>仅供参考</w:t>
      </w:r>
      <w:r>
        <w:rPr>
          <w:rFonts w:hint="eastAsia" w:ascii="华文仿宋" w:hAnsi="华文仿宋" w:cs="华文仿宋"/>
          <w:b/>
          <w:color w:val="000000" w:themeColor="text1"/>
          <w:lang w:eastAsia="zh-CN"/>
          <w14:textFill>
            <w14:solidFill>
              <w14:schemeClr w14:val="tx1"/>
            </w14:solidFill>
          </w14:textFill>
        </w:rPr>
        <w:t>）</w:t>
      </w:r>
    </w:p>
    <w:tbl>
      <w:tblPr>
        <w:tblStyle w:val="23"/>
        <w:tblW w:w="13719" w:type="dxa"/>
        <w:jc w:val="center"/>
        <w:tblLayout w:type="fixed"/>
        <w:tblCellMar>
          <w:top w:w="0" w:type="dxa"/>
          <w:left w:w="28" w:type="dxa"/>
          <w:bottom w:w="0" w:type="dxa"/>
          <w:right w:w="28" w:type="dxa"/>
        </w:tblCellMar>
      </w:tblPr>
      <w:tblGrid>
        <w:gridCol w:w="1038"/>
        <w:gridCol w:w="1680"/>
        <w:gridCol w:w="1620"/>
        <w:gridCol w:w="1453"/>
        <w:gridCol w:w="1729"/>
        <w:gridCol w:w="1170"/>
        <w:gridCol w:w="1755"/>
        <w:gridCol w:w="1425"/>
        <w:gridCol w:w="1849"/>
      </w:tblGrid>
      <w:tr>
        <w:tblPrEx>
          <w:tblCellMar>
            <w:top w:w="0" w:type="dxa"/>
            <w:left w:w="28" w:type="dxa"/>
            <w:bottom w:w="0" w:type="dxa"/>
            <w:right w:w="28" w:type="dxa"/>
          </w:tblCellMar>
        </w:tblPrEx>
        <w:trPr>
          <w:trHeight w:val="1034" w:hRule="atLeast"/>
          <w:jc w:val="center"/>
        </w:trPr>
        <w:tc>
          <w:tcPr>
            <w:tcW w:w="1038" w:type="dxa"/>
            <w:tcBorders>
              <w:top w:val="single" w:color="000000" w:sz="8" w:space="0"/>
              <w:left w:val="single" w:color="000000" w:sz="8" w:space="0"/>
              <w:bottom w:val="single" w:color="000000" w:sz="6" w:space="0"/>
              <w:right w:val="single" w:color="000000" w:sz="6" w:space="0"/>
            </w:tcBorders>
            <w:vAlign w:val="center"/>
          </w:tcPr>
          <w:p>
            <w:pPr>
              <w:autoSpaceDE w:val="0"/>
              <w:autoSpaceDN w:val="0"/>
              <w:spacing w:line="240" w:lineRule="auto"/>
              <w:jc w:val="center"/>
              <w:rPr>
                <w:rFonts w:ascii="宋体" w:hAnsi="宋体" w:eastAsia="宋体" w:cs="宋体"/>
                <w:b/>
                <w:bCs/>
                <w:color w:val="000000" w:themeColor="text1"/>
                <w:kern w:val="0"/>
                <w:sz w:val="21"/>
                <w:szCs w:val="21"/>
                <w:lang w:val="zh-CN"/>
                <w14:textFill>
                  <w14:solidFill>
                    <w14:schemeClr w14:val="tx1"/>
                  </w14:solidFill>
                </w14:textFill>
              </w:rPr>
            </w:pPr>
            <w:r>
              <w:rPr>
                <w:rFonts w:hint="eastAsia" w:ascii="宋体" w:hAnsi="宋体" w:eastAsia="宋体" w:cs="宋体"/>
                <w:b/>
                <w:bCs/>
                <w:color w:val="000000" w:themeColor="text1"/>
                <w:kern w:val="0"/>
                <w:sz w:val="21"/>
                <w:szCs w:val="21"/>
                <w:lang w:val="zh-CN"/>
                <w14:textFill>
                  <w14:solidFill>
                    <w14:schemeClr w14:val="tx1"/>
                  </w14:solidFill>
                </w14:textFill>
              </w:rPr>
              <w:t>序号</w:t>
            </w:r>
          </w:p>
        </w:tc>
        <w:tc>
          <w:tcPr>
            <w:tcW w:w="1680" w:type="dxa"/>
            <w:tcBorders>
              <w:top w:val="single" w:color="000000" w:sz="8" w:space="0"/>
              <w:left w:val="single" w:color="000000" w:sz="6" w:space="0"/>
              <w:bottom w:val="single" w:color="000000" w:sz="6" w:space="0"/>
              <w:right w:val="single" w:color="000000" w:sz="6" w:space="0"/>
            </w:tcBorders>
            <w:vAlign w:val="center"/>
          </w:tcPr>
          <w:p>
            <w:pPr>
              <w:autoSpaceDE w:val="0"/>
              <w:autoSpaceDN w:val="0"/>
              <w:spacing w:line="240" w:lineRule="auto"/>
              <w:jc w:val="center"/>
              <w:rPr>
                <w:rFonts w:hint="default" w:ascii="宋体" w:hAnsi="宋体" w:eastAsia="宋体" w:cs="宋体"/>
                <w:b/>
                <w:bCs/>
                <w:color w:val="000000" w:themeColor="text1"/>
                <w:kern w:val="0"/>
                <w:sz w:val="21"/>
                <w:szCs w:val="21"/>
                <w:lang w:val="en-US" w:eastAsia="zh-CN"/>
                <w14:textFill>
                  <w14:solidFill>
                    <w14:schemeClr w14:val="tx1"/>
                  </w14:solidFill>
                </w14:textFill>
              </w:rPr>
            </w:pPr>
            <w:r>
              <w:rPr>
                <w:rFonts w:hint="eastAsia" w:ascii="宋体" w:hAnsi="宋体" w:eastAsia="宋体" w:cs="宋体"/>
                <w:b/>
                <w:bCs/>
                <w:color w:val="000000" w:themeColor="text1"/>
                <w:kern w:val="0"/>
                <w:sz w:val="21"/>
                <w:szCs w:val="21"/>
                <w:lang w:val="en-US" w:eastAsia="zh-CN"/>
                <w14:textFill>
                  <w14:solidFill>
                    <w14:schemeClr w14:val="tx1"/>
                  </w14:solidFill>
                </w14:textFill>
              </w:rPr>
              <w:t>项目编码</w:t>
            </w:r>
          </w:p>
        </w:tc>
        <w:tc>
          <w:tcPr>
            <w:tcW w:w="1620" w:type="dxa"/>
            <w:tcBorders>
              <w:top w:val="single" w:color="000000" w:sz="8" w:space="0"/>
              <w:left w:val="single" w:color="000000" w:sz="6" w:space="0"/>
              <w:bottom w:val="single" w:color="000000" w:sz="6" w:space="0"/>
              <w:right w:val="single" w:color="000000" w:sz="6" w:space="0"/>
            </w:tcBorders>
            <w:vAlign w:val="center"/>
          </w:tcPr>
          <w:p>
            <w:pPr>
              <w:autoSpaceDE w:val="0"/>
              <w:autoSpaceDN w:val="0"/>
              <w:spacing w:line="240" w:lineRule="auto"/>
              <w:jc w:val="center"/>
              <w:rPr>
                <w:rFonts w:ascii="宋体" w:hAnsi="宋体" w:eastAsia="宋体" w:cs="宋体"/>
                <w:b/>
                <w:bCs/>
                <w:color w:val="000000" w:themeColor="text1"/>
                <w:kern w:val="0"/>
                <w:sz w:val="21"/>
                <w:szCs w:val="21"/>
                <w:lang w:val="zh-CN"/>
                <w14:textFill>
                  <w14:solidFill>
                    <w14:schemeClr w14:val="tx1"/>
                  </w14:solidFill>
                </w14:textFill>
              </w:rPr>
            </w:pPr>
            <w:r>
              <w:rPr>
                <w:rFonts w:hint="eastAsia" w:ascii="宋体" w:hAnsi="宋体" w:eastAsia="宋体" w:cs="宋体"/>
                <w:b/>
                <w:bCs/>
                <w:color w:val="000000" w:themeColor="text1"/>
                <w:kern w:val="0"/>
                <w:sz w:val="21"/>
                <w:szCs w:val="21"/>
                <w:lang w:val="en-US" w:eastAsia="zh-CN"/>
                <w14:textFill>
                  <w14:solidFill>
                    <w14:schemeClr w14:val="tx1"/>
                  </w14:solidFill>
                </w14:textFill>
              </w:rPr>
              <w:t>工程</w:t>
            </w:r>
            <w:r>
              <w:rPr>
                <w:rFonts w:hint="eastAsia" w:ascii="宋体" w:hAnsi="宋体" w:eastAsia="宋体" w:cs="宋体"/>
                <w:b/>
                <w:bCs/>
                <w:color w:val="000000" w:themeColor="text1"/>
                <w:kern w:val="0"/>
                <w:sz w:val="21"/>
                <w:szCs w:val="21"/>
                <w:lang w:val="zh-CN"/>
                <w14:textFill>
                  <w14:solidFill>
                    <w14:schemeClr w14:val="tx1"/>
                  </w14:solidFill>
                </w14:textFill>
              </w:rPr>
              <w:t>名称</w:t>
            </w:r>
          </w:p>
        </w:tc>
        <w:tc>
          <w:tcPr>
            <w:tcW w:w="1453" w:type="dxa"/>
            <w:tcBorders>
              <w:top w:val="single" w:color="000000" w:sz="8" w:space="0"/>
              <w:left w:val="single" w:color="000000" w:sz="6" w:space="0"/>
              <w:bottom w:val="single" w:color="000000" w:sz="6" w:space="0"/>
              <w:right w:val="single" w:color="000000" w:sz="6" w:space="0"/>
            </w:tcBorders>
            <w:vAlign w:val="center"/>
          </w:tcPr>
          <w:p>
            <w:pPr>
              <w:autoSpaceDE w:val="0"/>
              <w:autoSpaceDN w:val="0"/>
              <w:spacing w:line="240" w:lineRule="auto"/>
              <w:jc w:val="center"/>
              <w:rPr>
                <w:rFonts w:ascii="宋体" w:hAnsi="宋体" w:eastAsia="宋体" w:cs="宋体"/>
                <w:b/>
                <w:bCs/>
                <w:color w:val="000000" w:themeColor="text1"/>
                <w:kern w:val="0"/>
                <w:sz w:val="21"/>
                <w:szCs w:val="21"/>
                <w:lang w:val="zh-CN"/>
                <w14:textFill>
                  <w14:solidFill>
                    <w14:schemeClr w14:val="tx1"/>
                  </w14:solidFill>
                </w14:textFill>
              </w:rPr>
            </w:pPr>
            <w:r>
              <w:rPr>
                <w:rFonts w:hint="eastAsia" w:ascii="宋体" w:hAnsi="宋体" w:eastAsia="宋体" w:cs="宋体"/>
                <w:b/>
                <w:bCs/>
                <w:color w:val="000000" w:themeColor="text1"/>
                <w:kern w:val="0"/>
                <w:sz w:val="21"/>
                <w:szCs w:val="21"/>
                <w:lang w:val="zh-CN"/>
                <w14:textFill>
                  <w14:solidFill>
                    <w14:schemeClr w14:val="tx1"/>
                  </w14:solidFill>
                </w14:textFill>
              </w:rPr>
              <w:t>品牌</w:t>
            </w:r>
          </w:p>
        </w:tc>
        <w:tc>
          <w:tcPr>
            <w:tcW w:w="1729" w:type="dxa"/>
            <w:tcBorders>
              <w:top w:val="single" w:color="000000" w:sz="8" w:space="0"/>
              <w:left w:val="single" w:color="000000" w:sz="6" w:space="0"/>
              <w:bottom w:val="single" w:color="000000" w:sz="6" w:space="0"/>
              <w:right w:val="single" w:color="000000" w:sz="6" w:space="0"/>
            </w:tcBorders>
            <w:vAlign w:val="center"/>
          </w:tcPr>
          <w:p>
            <w:pPr>
              <w:autoSpaceDE w:val="0"/>
              <w:autoSpaceDN w:val="0"/>
              <w:spacing w:line="240" w:lineRule="auto"/>
              <w:jc w:val="center"/>
              <w:rPr>
                <w:rFonts w:ascii="宋体" w:hAnsi="宋体" w:eastAsia="宋体" w:cs="宋体"/>
                <w:b/>
                <w:bCs/>
                <w:color w:val="000000" w:themeColor="text1"/>
                <w:kern w:val="0"/>
                <w:sz w:val="21"/>
                <w:szCs w:val="21"/>
                <w:lang w:val="zh-CN"/>
                <w14:textFill>
                  <w14:solidFill>
                    <w14:schemeClr w14:val="tx1"/>
                  </w14:solidFill>
                </w14:textFill>
              </w:rPr>
            </w:pPr>
            <w:r>
              <w:rPr>
                <w:rFonts w:hint="eastAsia" w:ascii="宋体" w:hAnsi="宋体" w:eastAsia="宋体" w:cs="宋体"/>
                <w:b/>
                <w:bCs/>
                <w:color w:val="000000" w:themeColor="text1"/>
                <w:kern w:val="0"/>
                <w:sz w:val="21"/>
                <w:szCs w:val="21"/>
                <w:lang w:val="zh-CN"/>
                <w14:textFill>
                  <w14:solidFill>
                    <w14:schemeClr w14:val="tx1"/>
                  </w14:solidFill>
                </w14:textFill>
              </w:rPr>
              <w:t>规格型号</w:t>
            </w:r>
          </w:p>
        </w:tc>
        <w:tc>
          <w:tcPr>
            <w:tcW w:w="1170" w:type="dxa"/>
            <w:tcBorders>
              <w:top w:val="single" w:color="000000" w:sz="8" w:space="0"/>
              <w:left w:val="single" w:color="000000" w:sz="6" w:space="0"/>
              <w:bottom w:val="single" w:color="000000" w:sz="6" w:space="0"/>
              <w:right w:val="single" w:color="000000" w:sz="6" w:space="0"/>
            </w:tcBorders>
            <w:vAlign w:val="center"/>
          </w:tcPr>
          <w:p>
            <w:pPr>
              <w:autoSpaceDE w:val="0"/>
              <w:autoSpaceDN w:val="0"/>
              <w:spacing w:line="240" w:lineRule="auto"/>
              <w:jc w:val="center"/>
              <w:rPr>
                <w:rFonts w:ascii="宋体" w:hAnsi="宋体" w:eastAsia="宋体" w:cs="宋体"/>
                <w:b/>
                <w:bCs/>
                <w:color w:val="000000" w:themeColor="text1"/>
                <w:kern w:val="0"/>
                <w:sz w:val="21"/>
                <w:szCs w:val="21"/>
                <w:lang w:val="zh-CN"/>
                <w14:textFill>
                  <w14:solidFill>
                    <w14:schemeClr w14:val="tx1"/>
                  </w14:solidFill>
                </w14:textFill>
              </w:rPr>
            </w:pPr>
            <w:r>
              <w:rPr>
                <w:rFonts w:hint="eastAsia" w:ascii="宋体" w:hAnsi="宋体" w:eastAsia="宋体" w:cs="宋体"/>
                <w:b/>
                <w:bCs/>
                <w:color w:val="000000" w:themeColor="text1"/>
                <w:kern w:val="0"/>
                <w:sz w:val="21"/>
                <w:szCs w:val="21"/>
                <w:lang w:val="en-US" w:eastAsia="zh-CN"/>
                <w14:textFill>
                  <w14:solidFill>
                    <w14:schemeClr w14:val="tx1"/>
                  </w14:solidFill>
                </w14:textFill>
              </w:rPr>
              <w:t>计量</w:t>
            </w:r>
            <w:r>
              <w:rPr>
                <w:rFonts w:hint="eastAsia" w:ascii="宋体" w:hAnsi="宋体" w:eastAsia="宋体" w:cs="宋体"/>
                <w:b/>
                <w:bCs/>
                <w:color w:val="000000" w:themeColor="text1"/>
                <w:kern w:val="0"/>
                <w:sz w:val="21"/>
                <w:szCs w:val="21"/>
                <w:lang w:val="zh-CN"/>
                <w14:textFill>
                  <w14:solidFill>
                    <w14:schemeClr w14:val="tx1"/>
                  </w14:solidFill>
                </w14:textFill>
              </w:rPr>
              <w:t>单价</w:t>
            </w:r>
          </w:p>
        </w:tc>
        <w:tc>
          <w:tcPr>
            <w:tcW w:w="1755" w:type="dxa"/>
            <w:tcBorders>
              <w:top w:val="single" w:color="000000" w:sz="8" w:space="0"/>
              <w:left w:val="single" w:color="000000" w:sz="6" w:space="0"/>
              <w:bottom w:val="single" w:color="000000" w:sz="6" w:space="0"/>
              <w:right w:val="single" w:color="000000" w:sz="6" w:space="0"/>
            </w:tcBorders>
            <w:vAlign w:val="center"/>
          </w:tcPr>
          <w:p>
            <w:pPr>
              <w:autoSpaceDE w:val="0"/>
              <w:autoSpaceDN w:val="0"/>
              <w:spacing w:line="240" w:lineRule="auto"/>
              <w:jc w:val="center"/>
              <w:rPr>
                <w:rFonts w:ascii="宋体" w:hAnsi="宋体" w:eastAsia="宋体" w:cs="宋体"/>
                <w:b/>
                <w:bCs/>
                <w:color w:val="000000" w:themeColor="text1"/>
                <w:kern w:val="0"/>
                <w:sz w:val="21"/>
                <w:szCs w:val="21"/>
                <w:lang w:val="zh-CN"/>
                <w14:textFill>
                  <w14:solidFill>
                    <w14:schemeClr w14:val="tx1"/>
                  </w14:solidFill>
                </w14:textFill>
              </w:rPr>
            </w:pPr>
            <w:r>
              <w:rPr>
                <w:rFonts w:hint="eastAsia" w:ascii="宋体" w:hAnsi="宋体" w:eastAsia="宋体" w:cs="宋体"/>
                <w:b/>
                <w:bCs/>
                <w:color w:val="000000" w:themeColor="text1"/>
                <w:kern w:val="0"/>
                <w:sz w:val="21"/>
                <w:szCs w:val="21"/>
                <w:lang w:val="en-US" w:eastAsia="zh-CN"/>
                <w14:textFill>
                  <w14:solidFill>
                    <w14:schemeClr w14:val="tx1"/>
                  </w14:solidFill>
                </w14:textFill>
              </w:rPr>
              <w:t>工程</w:t>
            </w:r>
            <w:r>
              <w:rPr>
                <w:rFonts w:hint="eastAsia" w:ascii="宋体" w:hAnsi="宋体" w:eastAsia="宋体" w:cs="宋体"/>
                <w:b/>
                <w:bCs/>
                <w:color w:val="000000" w:themeColor="text1"/>
                <w:kern w:val="0"/>
                <w:sz w:val="21"/>
                <w:szCs w:val="21"/>
                <w:lang w:val="zh-CN"/>
                <w14:textFill>
                  <w14:solidFill>
                    <w14:schemeClr w14:val="tx1"/>
                  </w14:solidFill>
                </w14:textFill>
              </w:rPr>
              <w:t>数量</w:t>
            </w:r>
          </w:p>
        </w:tc>
        <w:tc>
          <w:tcPr>
            <w:tcW w:w="1425" w:type="dxa"/>
            <w:tcBorders>
              <w:top w:val="single" w:color="000000" w:sz="8" w:space="0"/>
              <w:left w:val="single" w:color="000000" w:sz="6" w:space="0"/>
              <w:bottom w:val="single" w:color="000000" w:sz="6" w:space="0"/>
              <w:right w:val="single" w:color="000000" w:sz="6" w:space="0"/>
            </w:tcBorders>
            <w:vAlign w:val="center"/>
          </w:tcPr>
          <w:p>
            <w:pPr>
              <w:autoSpaceDE w:val="0"/>
              <w:autoSpaceDN w:val="0"/>
              <w:spacing w:line="240" w:lineRule="auto"/>
              <w:jc w:val="center"/>
              <w:rPr>
                <w:rFonts w:ascii="宋体" w:hAnsi="宋体" w:eastAsia="宋体" w:cs="宋体"/>
                <w:b/>
                <w:bCs/>
                <w:color w:val="000000" w:themeColor="text1"/>
                <w:kern w:val="0"/>
                <w:sz w:val="21"/>
                <w:szCs w:val="21"/>
                <w:lang w:val="zh-CN"/>
                <w14:textFill>
                  <w14:solidFill>
                    <w14:schemeClr w14:val="tx1"/>
                  </w14:solidFill>
                </w14:textFill>
              </w:rPr>
            </w:pPr>
            <w:r>
              <w:rPr>
                <w:rFonts w:hint="eastAsia" w:ascii="宋体" w:hAnsi="宋体" w:eastAsia="宋体" w:cs="宋体"/>
                <w:b/>
                <w:bCs/>
                <w:color w:val="000000" w:themeColor="text1"/>
                <w:kern w:val="0"/>
                <w:sz w:val="21"/>
                <w:szCs w:val="21"/>
                <w:lang w:val="zh-CN"/>
                <w14:textFill>
                  <w14:solidFill>
                    <w14:schemeClr w14:val="tx1"/>
                  </w14:solidFill>
                </w14:textFill>
              </w:rPr>
              <w:t>合计</w:t>
            </w:r>
          </w:p>
        </w:tc>
        <w:tc>
          <w:tcPr>
            <w:tcW w:w="1849" w:type="dxa"/>
            <w:tcBorders>
              <w:top w:val="single" w:color="000000" w:sz="8" w:space="0"/>
              <w:left w:val="single" w:color="000000" w:sz="6" w:space="0"/>
              <w:bottom w:val="single" w:color="000000" w:sz="6" w:space="0"/>
              <w:right w:val="single" w:color="000000" w:sz="8" w:space="0"/>
            </w:tcBorders>
            <w:vAlign w:val="center"/>
          </w:tcPr>
          <w:p>
            <w:pPr>
              <w:autoSpaceDE w:val="0"/>
              <w:autoSpaceDN w:val="0"/>
              <w:spacing w:line="240" w:lineRule="auto"/>
              <w:jc w:val="center"/>
              <w:rPr>
                <w:rFonts w:ascii="宋体" w:hAnsi="宋体" w:eastAsia="宋体" w:cs="宋体"/>
                <w:b/>
                <w:bCs/>
                <w:color w:val="000000" w:themeColor="text1"/>
                <w:sz w:val="21"/>
                <w:szCs w:val="21"/>
                <w14:textFill>
                  <w14:solidFill>
                    <w14:schemeClr w14:val="tx1"/>
                  </w14:solidFill>
                </w14:textFill>
              </w:rPr>
            </w:pPr>
            <w:r>
              <w:rPr>
                <w:rFonts w:hint="eastAsia" w:ascii="宋体" w:hAnsi="宋体" w:eastAsia="宋体" w:cs="宋体"/>
                <w:b/>
                <w:bCs/>
                <w:color w:val="000000" w:themeColor="text1"/>
                <w:sz w:val="21"/>
                <w:szCs w:val="21"/>
                <w14:textFill>
                  <w14:solidFill>
                    <w14:schemeClr w14:val="tx1"/>
                  </w14:solidFill>
                </w14:textFill>
              </w:rPr>
              <w:t>免费质保期</w:t>
            </w:r>
          </w:p>
        </w:tc>
      </w:tr>
      <w:tr>
        <w:tblPrEx>
          <w:tblCellMar>
            <w:top w:w="0" w:type="dxa"/>
            <w:left w:w="28" w:type="dxa"/>
            <w:bottom w:w="0" w:type="dxa"/>
            <w:right w:w="28" w:type="dxa"/>
          </w:tblCellMar>
        </w:tblPrEx>
        <w:trPr>
          <w:trHeight w:val="375" w:hRule="atLeast"/>
          <w:jc w:val="center"/>
        </w:trPr>
        <w:tc>
          <w:tcPr>
            <w:tcW w:w="1038" w:type="dxa"/>
            <w:tcBorders>
              <w:top w:val="single" w:color="000000" w:sz="6" w:space="0"/>
              <w:left w:val="single" w:color="000000" w:sz="8" w:space="0"/>
              <w:bottom w:val="single" w:color="000000" w:sz="6" w:space="0"/>
              <w:right w:val="single" w:color="000000" w:sz="6" w:space="0"/>
            </w:tcBorders>
            <w:vAlign w:val="center"/>
          </w:tcPr>
          <w:p>
            <w:pPr>
              <w:autoSpaceDE w:val="0"/>
              <w:autoSpaceDN w:val="0"/>
              <w:spacing w:line="240" w:lineRule="auto"/>
              <w:jc w:val="center"/>
              <w:rPr>
                <w:rFonts w:ascii="宋体" w:hAnsi="宋体" w:eastAsia="宋体" w:cs="宋体"/>
                <w:color w:val="000000" w:themeColor="text1"/>
                <w:kern w:val="0"/>
                <w:sz w:val="21"/>
                <w:szCs w:val="21"/>
                <w:lang w:val="zh-CN"/>
                <w14:textFill>
                  <w14:solidFill>
                    <w14:schemeClr w14:val="tx1"/>
                  </w14:solidFill>
                </w14:textFill>
              </w:rPr>
            </w:pPr>
            <w:r>
              <w:rPr>
                <w:rFonts w:hint="eastAsia" w:ascii="宋体" w:hAnsi="宋体" w:eastAsia="宋体" w:cs="宋体"/>
                <w:color w:val="000000" w:themeColor="text1"/>
                <w:kern w:val="0"/>
                <w:sz w:val="21"/>
                <w:szCs w:val="21"/>
                <w:lang w:val="zh-CN"/>
                <w14:textFill>
                  <w14:solidFill>
                    <w14:schemeClr w14:val="tx1"/>
                  </w14:solidFill>
                </w14:textFill>
              </w:rPr>
              <w:t>1</w:t>
            </w:r>
          </w:p>
        </w:tc>
        <w:tc>
          <w:tcPr>
            <w:tcW w:w="1680" w:type="dxa"/>
            <w:tcBorders>
              <w:top w:val="single" w:color="000000" w:sz="6" w:space="0"/>
              <w:left w:val="single" w:color="000000" w:sz="6" w:space="0"/>
              <w:bottom w:val="single" w:color="000000" w:sz="6" w:space="0"/>
              <w:right w:val="single" w:color="000000" w:sz="6" w:space="0"/>
            </w:tcBorders>
            <w:vAlign w:val="center"/>
          </w:tcPr>
          <w:p>
            <w:pPr>
              <w:autoSpaceDE w:val="0"/>
              <w:autoSpaceDN w:val="0"/>
              <w:spacing w:line="240" w:lineRule="auto"/>
              <w:jc w:val="center"/>
              <w:rPr>
                <w:rFonts w:ascii="宋体" w:hAnsi="宋体" w:eastAsia="宋体" w:cs="宋体"/>
                <w:color w:val="000000" w:themeColor="text1"/>
                <w:kern w:val="0"/>
                <w:sz w:val="21"/>
                <w:szCs w:val="21"/>
                <w:lang w:val="zh-CN"/>
                <w14:textFill>
                  <w14:solidFill>
                    <w14:schemeClr w14:val="tx1"/>
                  </w14:solidFill>
                </w14:textFill>
              </w:rPr>
            </w:pPr>
          </w:p>
        </w:tc>
        <w:tc>
          <w:tcPr>
            <w:tcW w:w="1620" w:type="dxa"/>
            <w:tcBorders>
              <w:top w:val="single" w:color="000000" w:sz="6" w:space="0"/>
              <w:left w:val="single" w:color="000000" w:sz="6" w:space="0"/>
              <w:bottom w:val="single" w:color="000000" w:sz="6" w:space="0"/>
              <w:right w:val="single" w:color="000000" w:sz="6" w:space="0"/>
            </w:tcBorders>
            <w:vAlign w:val="center"/>
          </w:tcPr>
          <w:p>
            <w:pPr>
              <w:autoSpaceDE w:val="0"/>
              <w:autoSpaceDN w:val="0"/>
              <w:spacing w:line="240" w:lineRule="auto"/>
              <w:jc w:val="center"/>
              <w:rPr>
                <w:rFonts w:ascii="宋体" w:hAnsi="宋体" w:eastAsia="宋体" w:cs="宋体"/>
                <w:color w:val="000000" w:themeColor="text1"/>
                <w:kern w:val="0"/>
                <w:sz w:val="21"/>
                <w:szCs w:val="21"/>
                <w:lang w:val="zh-CN"/>
                <w14:textFill>
                  <w14:solidFill>
                    <w14:schemeClr w14:val="tx1"/>
                  </w14:solidFill>
                </w14:textFill>
              </w:rPr>
            </w:pPr>
          </w:p>
        </w:tc>
        <w:tc>
          <w:tcPr>
            <w:tcW w:w="1453" w:type="dxa"/>
            <w:tcBorders>
              <w:top w:val="single" w:color="000000" w:sz="6" w:space="0"/>
              <w:left w:val="single" w:color="000000" w:sz="6" w:space="0"/>
              <w:bottom w:val="single" w:color="000000" w:sz="6" w:space="0"/>
              <w:right w:val="single" w:color="000000" w:sz="6" w:space="0"/>
            </w:tcBorders>
            <w:vAlign w:val="center"/>
          </w:tcPr>
          <w:p>
            <w:pPr>
              <w:autoSpaceDE w:val="0"/>
              <w:autoSpaceDN w:val="0"/>
              <w:spacing w:line="240" w:lineRule="auto"/>
              <w:jc w:val="center"/>
              <w:rPr>
                <w:rFonts w:ascii="宋体" w:hAnsi="宋体" w:eastAsia="宋体" w:cs="宋体"/>
                <w:color w:val="000000" w:themeColor="text1"/>
                <w:kern w:val="0"/>
                <w:sz w:val="21"/>
                <w:szCs w:val="21"/>
                <w:lang w:val="zh-CN"/>
                <w14:textFill>
                  <w14:solidFill>
                    <w14:schemeClr w14:val="tx1"/>
                  </w14:solidFill>
                </w14:textFill>
              </w:rPr>
            </w:pPr>
          </w:p>
        </w:tc>
        <w:tc>
          <w:tcPr>
            <w:tcW w:w="1729" w:type="dxa"/>
            <w:tcBorders>
              <w:top w:val="single" w:color="000000" w:sz="6" w:space="0"/>
              <w:left w:val="single" w:color="000000" w:sz="6" w:space="0"/>
              <w:bottom w:val="single" w:color="000000" w:sz="6" w:space="0"/>
              <w:right w:val="single" w:color="000000" w:sz="6" w:space="0"/>
            </w:tcBorders>
            <w:vAlign w:val="center"/>
          </w:tcPr>
          <w:p>
            <w:pPr>
              <w:autoSpaceDE w:val="0"/>
              <w:autoSpaceDN w:val="0"/>
              <w:spacing w:line="240" w:lineRule="auto"/>
              <w:jc w:val="center"/>
              <w:rPr>
                <w:rFonts w:ascii="宋体" w:hAnsi="宋体" w:eastAsia="宋体" w:cs="宋体"/>
                <w:color w:val="000000" w:themeColor="text1"/>
                <w:kern w:val="0"/>
                <w:sz w:val="21"/>
                <w:szCs w:val="21"/>
                <w:lang w:val="zh-CN"/>
                <w14:textFill>
                  <w14:solidFill>
                    <w14:schemeClr w14:val="tx1"/>
                  </w14:solidFill>
                </w14:textFill>
              </w:rPr>
            </w:pPr>
          </w:p>
        </w:tc>
        <w:tc>
          <w:tcPr>
            <w:tcW w:w="1170" w:type="dxa"/>
            <w:tcBorders>
              <w:top w:val="single" w:color="000000" w:sz="6" w:space="0"/>
              <w:left w:val="single" w:color="000000" w:sz="6" w:space="0"/>
              <w:bottom w:val="single" w:color="000000" w:sz="6" w:space="0"/>
              <w:right w:val="single" w:color="000000" w:sz="6" w:space="0"/>
            </w:tcBorders>
            <w:vAlign w:val="center"/>
          </w:tcPr>
          <w:p>
            <w:pPr>
              <w:autoSpaceDE w:val="0"/>
              <w:autoSpaceDN w:val="0"/>
              <w:spacing w:line="240" w:lineRule="auto"/>
              <w:jc w:val="center"/>
              <w:rPr>
                <w:rFonts w:ascii="宋体" w:hAnsi="宋体" w:eastAsia="宋体" w:cs="宋体"/>
                <w:color w:val="000000" w:themeColor="text1"/>
                <w:kern w:val="0"/>
                <w:sz w:val="21"/>
                <w:szCs w:val="21"/>
                <w:lang w:val="zh-CN"/>
                <w14:textFill>
                  <w14:solidFill>
                    <w14:schemeClr w14:val="tx1"/>
                  </w14:solidFill>
                </w14:textFill>
              </w:rPr>
            </w:pPr>
          </w:p>
        </w:tc>
        <w:tc>
          <w:tcPr>
            <w:tcW w:w="1755" w:type="dxa"/>
            <w:tcBorders>
              <w:top w:val="single" w:color="000000" w:sz="6" w:space="0"/>
              <w:left w:val="single" w:color="000000" w:sz="6" w:space="0"/>
              <w:bottom w:val="single" w:color="000000" w:sz="6" w:space="0"/>
              <w:right w:val="single" w:color="000000" w:sz="6" w:space="0"/>
            </w:tcBorders>
            <w:vAlign w:val="center"/>
          </w:tcPr>
          <w:p>
            <w:pPr>
              <w:autoSpaceDE w:val="0"/>
              <w:autoSpaceDN w:val="0"/>
              <w:spacing w:line="240" w:lineRule="auto"/>
              <w:jc w:val="center"/>
              <w:rPr>
                <w:rFonts w:ascii="宋体" w:hAnsi="宋体" w:eastAsia="宋体" w:cs="宋体"/>
                <w:color w:val="000000" w:themeColor="text1"/>
                <w:kern w:val="0"/>
                <w:sz w:val="21"/>
                <w:szCs w:val="21"/>
                <w:lang w:val="zh-CN"/>
                <w14:textFill>
                  <w14:solidFill>
                    <w14:schemeClr w14:val="tx1"/>
                  </w14:solidFill>
                </w14:textFill>
              </w:rPr>
            </w:pPr>
          </w:p>
        </w:tc>
        <w:tc>
          <w:tcPr>
            <w:tcW w:w="1425" w:type="dxa"/>
            <w:tcBorders>
              <w:top w:val="single" w:color="000000" w:sz="6" w:space="0"/>
              <w:left w:val="single" w:color="000000" w:sz="6" w:space="0"/>
              <w:bottom w:val="single" w:color="000000" w:sz="6" w:space="0"/>
              <w:right w:val="single" w:color="000000" w:sz="6" w:space="0"/>
            </w:tcBorders>
            <w:vAlign w:val="center"/>
          </w:tcPr>
          <w:p>
            <w:pPr>
              <w:autoSpaceDE w:val="0"/>
              <w:autoSpaceDN w:val="0"/>
              <w:spacing w:line="240" w:lineRule="auto"/>
              <w:jc w:val="center"/>
              <w:rPr>
                <w:rFonts w:ascii="宋体" w:hAnsi="宋体" w:eastAsia="宋体" w:cs="宋体"/>
                <w:color w:val="000000" w:themeColor="text1"/>
                <w:kern w:val="0"/>
                <w:sz w:val="21"/>
                <w:szCs w:val="21"/>
                <w:lang w:val="zh-CN"/>
                <w14:textFill>
                  <w14:solidFill>
                    <w14:schemeClr w14:val="tx1"/>
                  </w14:solidFill>
                </w14:textFill>
              </w:rPr>
            </w:pPr>
          </w:p>
        </w:tc>
        <w:tc>
          <w:tcPr>
            <w:tcW w:w="1849" w:type="dxa"/>
            <w:tcBorders>
              <w:top w:val="single" w:color="000000" w:sz="6" w:space="0"/>
              <w:left w:val="single" w:color="000000" w:sz="6" w:space="0"/>
              <w:bottom w:val="single" w:color="000000" w:sz="6" w:space="0"/>
              <w:right w:val="single" w:color="000000" w:sz="8" w:space="0"/>
            </w:tcBorders>
            <w:vAlign w:val="center"/>
          </w:tcPr>
          <w:p>
            <w:pPr>
              <w:autoSpaceDE w:val="0"/>
              <w:autoSpaceDN w:val="0"/>
              <w:spacing w:line="240" w:lineRule="auto"/>
              <w:jc w:val="center"/>
              <w:rPr>
                <w:rFonts w:ascii="宋体" w:hAnsi="宋体" w:eastAsia="宋体" w:cs="宋体"/>
                <w:color w:val="000000" w:themeColor="text1"/>
                <w:kern w:val="0"/>
                <w:sz w:val="21"/>
                <w:szCs w:val="21"/>
                <w:lang w:val="zh-CN"/>
                <w14:textFill>
                  <w14:solidFill>
                    <w14:schemeClr w14:val="tx1"/>
                  </w14:solidFill>
                </w14:textFill>
              </w:rPr>
            </w:pPr>
          </w:p>
        </w:tc>
      </w:tr>
      <w:tr>
        <w:tblPrEx>
          <w:tblCellMar>
            <w:top w:w="0" w:type="dxa"/>
            <w:left w:w="28" w:type="dxa"/>
            <w:bottom w:w="0" w:type="dxa"/>
            <w:right w:w="28" w:type="dxa"/>
          </w:tblCellMar>
        </w:tblPrEx>
        <w:trPr>
          <w:trHeight w:val="375" w:hRule="atLeast"/>
          <w:jc w:val="center"/>
        </w:trPr>
        <w:tc>
          <w:tcPr>
            <w:tcW w:w="1038" w:type="dxa"/>
            <w:tcBorders>
              <w:top w:val="single" w:color="000000" w:sz="6" w:space="0"/>
              <w:left w:val="single" w:color="000000" w:sz="8" w:space="0"/>
              <w:bottom w:val="single" w:color="000000" w:sz="6" w:space="0"/>
              <w:right w:val="single" w:color="000000" w:sz="6" w:space="0"/>
            </w:tcBorders>
            <w:vAlign w:val="center"/>
          </w:tcPr>
          <w:p>
            <w:pPr>
              <w:autoSpaceDE w:val="0"/>
              <w:autoSpaceDN w:val="0"/>
              <w:spacing w:line="240" w:lineRule="auto"/>
              <w:jc w:val="center"/>
              <w:rPr>
                <w:rFonts w:ascii="宋体" w:hAnsi="宋体" w:eastAsia="宋体" w:cs="宋体"/>
                <w:color w:val="000000" w:themeColor="text1"/>
                <w:kern w:val="0"/>
                <w:sz w:val="21"/>
                <w:szCs w:val="21"/>
                <w:lang w:val="zh-CN"/>
                <w14:textFill>
                  <w14:solidFill>
                    <w14:schemeClr w14:val="tx1"/>
                  </w14:solidFill>
                </w14:textFill>
              </w:rPr>
            </w:pPr>
            <w:r>
              <w:rPr>
                <w:rFonts w:hint="eastAsia" w:ascii="宋体" w:hAnsi="宋体" w:eastAsia="宋体" w:cs="宋体"/>
                <w:color w:val="000000" w:themeColor="text1"/>
                <w:kern w:val="0"/>
                <w:sz w:val="21"/>
                <w:szCs w:val="21"/>
                <w:lang w:val="zh-CN"/>
                <w14:textFill>
                  <w14:solidFill>
                    <w14:schemeClr w14:val="tx1"/>
                  </w14:solidFill>
                </w14:textFill>
              </w:rPr>
              <w:t>2</w:t>
            </w:r>
          </w:p>
        </w:tc>
        <w:tc>
          <w:tcPr>
            <w:tcW w:w="1680" w:type="dxa"/>
            <w:tcBorders>
              <w:top w:val="single" w:color="000000" w:sz="6" w:space="0"/>
              <w:left w:val="single" w:color="000000" w:sz="6" w:space="0"/>
              <w:bottom w:val="single" w:color="000000" w:sz="6" w:space="0"/>
              <w:right w:val="single" w:color="000000" w:sz="6" w:space="0"/>
            </w:tcBorders>
            <w:vAlign w:val="center"/>
          </w:tcPr>
          <w:p>
            <w:pPr>
              <w:autoSpaceDE w:val="0"/>
              <w:autoSpaceDN w:val="0"/>
              <w:spacing w:line="240" w:lineRule="auto"/>
              <w:jc w:val="center"/>
              <w:rPr>
                <w:rFonts w:ascii="宋体" w:hAnsi="宋体" w:eastAsia="宋体" w:cs="宋体"/>
                <w:color w:val="000000" w:themeColor="text1"/>
                <w:kern w:val="0"/>
                <w:sz w:val="21"/>
                <w:szCs w:val="21"/>
                <w:lang w:val="zh-CN"/>
                <w14:textFill>
                  <w14:solidFill>
                    <w14:schemeClr w14:val="tx1"/>
                  </w14:solidFill>
                </w14:textFill>
              </w:rPr>
            </w:pPr>
          </w:p>
        </w:tc>
        <w:tc>
          <w:tcPr>
            <w:tcW w:w="1620" w:type="dxa"/>
            <w:tcBorders>
              <w:top w:val="single" w:color="000000" w:sz="6" w:space="0"/>
              <w:left w:val="single" w:color="000000" w:sz="6" w:space="0"/>
              <w:bottom w:val="single" w:color="000000" w:sz="6" w:space="0"/>
              <w:right w:val="single" w:color="000000" w:sz="6" w:space="0"/>
            </w:tcBorders>
            <w:vAlign w:val="center"/>
          </w:tcPr>
          <w:p>
            <w:pPr>
              <w:autoSpaceDE w:val="0"/>
              <w:autoSpaceDN w:val="0"/>
              <w:spacing w:line="240" w:lineRule="auto"/>
              <w:jc w:val="center"/>
              <w:rPr>
                <w:rFonts w:ascii="宋体" w:hAnsi="宋体" w:eastAsia="宋体" w:cs="宋体"/>
                <w:color w:val="000000" w:themeColor="text1"/>
                <w:kern w:val="0"/>
                <w:sz w:val="21"/>
                <w:szCs w:val="21"/>
                <w:lang w:val="zh-CN"/>
                <w14:textFill>
                  <w14:solidFill>
                    <w14:schemeClr w14:val="tx1"/>
                  </w14:solidFill>
                </w14:textFill>
              </w:rPr>
            </w:pPr>
          </w:p>
        </w:tc>
        <w:tc>
          <w:tcPr>
            <w:tcW w:w="1453" w:type="dxa"/>
            <w:tcBorders>
              <w:top w:val="single" w:color="000000" w:sz="6" w:space="0"/>
              <w:left w:val="single" w:color="000000" w:sz="6" w:space="0"/>
              <w:bottom w:val="single" w:color="000000" w:sz="6" w:space="0"/>
              <w:right w:val="single" w:color="000000" w:sz="6" w:space="0"/>
            </w:tcBorders>
            <w:vAlign w:val="center"/>
          </w:tcPr>
          <w:p>
            <w:pPr>
              <w:autoSpaceDE w:val="0"/>
              <w:autoSpaceDN w:val="0"/>
              <w:spacing w:line="240" w:lineRule="auto"/>
              <w:jc w:val="center"/>
              <w:rPr>
                <w:rFonts w:ascii="宋体" w:hAnsi="宋体" w:eastAsia="宋体" w:cs="宋体"/>
                <w:color w:val="000000" w:themeColor="text1"/>
                <w:kern w:val="0"/>
                <w:sz w:val="21"/>
                <w:szCs w:val="21"/>
                <w:lang w:val="zh-CN"/>
                <w14:textFill>
                  <w14:solidFill>
                    <w14:schemeClr w14:val="tx1"/>
                  </w14:solidFill>
                </w14:textFill>
              </w:rPr>
            </w:pPr>
          </w:p>
        </w:tc>
        <w:tc>
          <w:tcPr>
            <w:tcW w:w="1729" w:type="dxa"/>
            <w:tcBorders>
              <w:top w:val="single" w:color="000000" w:sz="6" w:space="0"/>
              <w:left w:val="single" w:color="000000" w:sz="6" w:space="0"/>
              <w:bottom w:val="single" w:color="000000" w:sz="6" w:space="0"/>
              <w:right w:val="single" w:color="000000" w:sz="6" w:space="0"/>
            </w:tcBorders>
            <w:vAlign w:val="center"/>
          </w:tcPr>
          <w:p>
            <w:pPr>
              <w:autoSpaceDE w:val="0"/>
              <w:autoSpaceDN w:val="0"/>
              <w:spacing w:line="240" w:lineRule="auto"/>
              <w:jc w:val="center"/>
              <w:rPr>
                <w:rFonts w:ascii="宋体" w:hAnsi="宋体" w:eastAsia="宋体" w:cs="宋体"/>
                <w:color w:val="000000" w:themeColor="text1"/>
                <w:kern w:val="0"/>
                <w:sz w:val="21"/>
                <w:szCs w:val="21"/>
                <w:lang w:val="zh-CN"/>
                <w14:textFill>
                  <w14:solidFill>
                    <w14:schemeClr w14:val="tx1"/>
                  </w14:solidFill>
                </w14:textFill>
              </w:rPr>
            </w:pPr>
          </w:p>
        </w:tc>
        <w:tc>
          <w:tcPr>
            <w:tcW w:w="1170" w:type="dxa"/>
            <w:tcBorders>
              <w:top w:val="single" w:color="000000" w:sz="6" w:space="0"/>
              <w:left w:val="single" w:color="000000" w:sz="6" w:space="0"/>
              <w:bottom w:val="single" w:color="000000" w:sz="6" w:space="0"/>
              <w:right w:val="single" w:color="000000" w:sz="6" w:space="0"/>
            </w:tcBorders>
            <w:vAlign w:val="center"/>
          </w:tcPr>
          <w:p>
            <w:pPr>
              <w:autoSpaceDE w:val="0"/>
              <w:autoSpaceDN w:val="0"/>
              <w:spacing w:line="240" w:lineRule="auto"/>
              <w:jc w:val="center"/>
              <w:rPr>
                <w:rFonts w:ascii="宋体" w:hAnsi="宋体" w:eastAsia="宋体" w:cs="宋体"/>
                <w:color w:val="000000" w:themeColor="text1"/>
                <w:kern w:val="0"/>
                <w:sz w:val="21"/>
                <w:szCs w:val="21"/>
                <w:lang w:val="zh-CN"/>
                <w14:textFill>
                  <w14:solidFill>
                    <w14:schemeClr w14:val="tx1"/>
                  </w14:solidFill>
                </w14:textFill>
              </w:rPr>
            </w:pPr>
          </w:p>
        </w:tc>
        <w:tc>
          <w:tcPr>
            <w:tcW w:w="1755" w:type="dxa"/>
            <w:tcBorders>
              <w:top w:val="single" w:color="000000" w:sz="6" w:space="0"/>
              <w:left w:val="single" w:color="000000" w:sz="6" w:space="0"/>
              <w:bottom w:val="single" w:color="000000" w:sz="6" w:space="0"/>
              <w:right w:val="single" w:color="000000" w:sz="6" w:space="0"/>
            </w:tcBorders>
            <w:vAlign w:val="center"/>
          </w:tcPr>
          <w:p>
            <w:pPr>
              <w:autoSpaceDE w:val="0"/>
              <w:autoSpaceDN w:val="0"/>
              <w:spacing w:line="240" w:lineRule="auto"/>
              <w:jc w:val="center"/>
              <w:rPr>
                <w:rFonts w:ascii="宋体" w:hAnsi="宋体" w:eastAsia="宋体" w:cs="宋体"/>
                <w:color w:val="000000" w:themeColor="text1"/>
                <w:kern w:val="0"/>
                <w:sz w:val="21"/>
                <w:szCs w:val="21"/>
                <w:lang w:val="zh-CN"/>
                <w14:textFill>
                  <w14:solidFill>
                    <w14:schemeClr w14:val="tx1"/>
                  </w14:solidFill>
                </w14:textFill>
              </w:rPr>
            </w:pPr>
          </w:p>
        </w:tc>
        <w:tc>
          <w:tcPr>
            <w:tcW w:w="1425" w:type="dxa"/>
            <w:tcBorders>
              <w:top w:val="single" w:color="000000" w:sz="6" w:space="0"/>
              <w:left w:val="single" w:color="000000" w:sz="6" w:space="0"/>
              <w:bottom w:val="single" w:color="000000" w:sz="6" w:space="0"/>
              <w:right w:val="single" w:color="000000" w:sz="6" w:space="0"/>
            </w:tcBorders>
            <w:vAlign w:val="center"/>
          </w:tcPr>
          <w:p>
            <w:pPr>
              <w:autoSpaceDE w:val="0"/>
              <w:autoSpaceDN w:val="0"/>
              <w:spacing w:line="240" w:lineRule="auto"/>
              <w:jc w:val="center"/>
              <w:rPr>
                <w:rFonts w:ascii="宋体" w:hAnsi="宋体" w:eastAsia="宋体" w:cs="宋体"/>
                <w:color w:val="000000" w:themeColor="text1"/>
                <w:kern w:val="0"/>
                <w:sz w:val="21"/>
                <w:szCs w:val="21"/>
                <w:lang w:val="zh-CN"/>
                <w14:textFill>
                  <w14:solidFill>
                    <w14:schemeClr w14:val="tx1"/>
                  </w14:solidFill>
                </w14:textFill>
              </w:rPr>
            </w:pPr>
          </w:p>
        </w:tc>
        <w:tc>
          <w:tcPr>
            <w:tcW w:w="1849" w:type="dxa"/>
            <w:tcBorders>
              <w:top w:val="single" w:color="000000" w:sz="6" w:space="0"/>
              <w:left w:val="single" w:color="000000" w:sz="6" w:space="0"/>
              <w:bottom w:val="single" w:color="000000" w:sz="6" w:space="0"/>
              <w:right w:val="single" w:color="000000" w:sz="8" w:space="0"/>
            </w:tcBorders>
            <w:vAlign w:val="center"/>
          </w:tcPr>
          <w:p>
            <w:pPr>
              <w:autoSpaceDE w:val="0"/>
              <w:autoSpaceDN w:val="0"/>
              <w:spacing w:line="240" w:lineRule="auto"/>
              <w:jc w:val="center"/>
              <w:rPr>
                <w:rFonts w:ascii="宋体" w:hAnsi="宋体" w:eastAsia="宋体" w:cs="宋体"/>
                <w:color w:val="000000" w:themeColor="text1"/>
                <w:kern w:val="0"/>
                <w:sz w:val="21"/>
                <w:szCs w:val="21"/>
                <w:lang w:val="zh-CN"/>
                <w14:textFill>
                  <w14:solidFill>
                    <w14:schemeClr w14:val="tx1"/>
                  </w14:solidFill>
                </w14:textFill>
              </w:rPr>
            </w:pPr>
          </w:p>
        </w:tc>
      </w:tr>
      <w:tr>
        <w:tblPrEx>
          <w:tblCellMar>
            <w:top w:w="0" w:type="dxa"/>
            <w:left w:w="28" w:type="dxa"/>
            <w:bottom w:w="0" w:type="dxa"/>
            <w:right w:w="28" w:type="dxa"/>
          </w:tblCellMar>
        </w:tblPrEx>
        <w:trPr>
          <w:trHeight w:val="375" w:hRule="atLeast"/>
          <w:jc w:val="center"/>
        </w:trPr>
        <w:tc>
          <w:tcPr>
            <w:tcW w:w="1038" w:type="dxa"/>
            <w:tcBorders>
              <w:top w:val="single" w:color="000000" w:sz="6" w:space="0"/>
              <w:left w:val="single" w:color="000000" w:sz="8" w:space="0"/>
              <w:bottom w:val="single" w:color="000000" w:sz="6" w:space="0"/>
              <w:right w:val="single" w:color="000000" w:sz="6" w:space="0"/>
            </w:tcBorders>
            <w:vAlign w:val="center"/>
          </w:tcPr>
          <w:p>
            <w:pPr>
              <w:autoSpaceDE w:val="0"/>
              <w:autoSpaceDN w:val="0"/>
              <w:spacing w:line="240" w:lineRule="auto"/>
              <w:jc w:val="center"/>
              <w:rPr>
                <w:rFonts w:ascii="宋体" w:hAnsi="宋体" w:eastAsia="宋体" w:cs="宋体"/>
                <w:color w:val="000000" w:themeColor="text1"/>
                <w:kern w:val="0"/>
                <w:sz w:val="21"/>
                <w:szCs w:val="21"/>
                <w:lang w:val="zh-CN"/>
                <w14:textFill>
                  <w14:solidFill>
                    <w14:schemeClr w14:val="tx1"/>
                  </w14:solidFill>
                </w14:textFill>
              </w:rPr>
            </w:pPr>
            <w:r>
              <w:rPr>
                <w:rFonts w:hint="eastAsia" w:ascii="宋体" w:hAnsi="宋体" w:eastAsia="宋体" w:cs="宋体"/>
                <w:color w:val="000000" w:themeColor="text1"/>
                <w:kern w:val="0"/>
                <w:sz w:val="21"/>
                <w:szCs w:val="21"/>
                <w:lang w:val="zh-CN"/>
                <w14:textFill>
                  <w14:solidFill>
                    <w14:schemeClr w14:val="tx1"/>
                  </w14:solidFill>
                </w14:textFill>
              </w:rPr>
              <w:t>…</w:t>
            </w:r>
          </w:p>
        </w:tc>
        <w:tc>
          <w:tcPr>
            <w:tcW w:w="1680" w:type="dxa"/>
            <w:tcBorders>
              <w:top w:val="single" w:color="000000" w:sz="6" w:space="0"/>
              <w:left w:val="single" w:color="000000" w:sz="6" w:space="0"/>
              <w:bottom w:val="single" w:color="000000" w:sz="6" w:space="0"/>
              <w:right w:val="single" w:color="000000" w:sz="6" w:space="0"/>
            </w:tcBorders>
            <w:vAlign w:val="center"/>
          </w:tcPr>
          <w:p>
            <w:pPr>
              <w:autoSpaceDE w:val="0"/>
              <w:autoSpaceDN w:val="0"/>
              <w:spacing w:line="240" w:lineRule="auto"/>
              <w:jc w:val="center"/>
              <w:rPr>
                <w:rFonts w:ascii="宋体" w:hAnsi="宋体" w:eastAsia="宋体" w:cs="宋体"/>
                <w:color w:val="000000" w:themeColor="text1"/>
                <w:kern w:val="0"/>
                <w:sz w:val="21"/>
                <w:szCs w:val="21"/>
                <w:lang w:val="zh-CN"/>
                <w14:textFill>
                  <w14:solidFill>
                    <w14:schemeClr w14:val="tx1"/>
                  </w14:solidFill>
                </w14:textFill>
              </w:rPr>
            </w:pPr>
          </w:p>
        </w:tc>
        <w:tc>
          <w:tcPr>
            <w:tcW w:w="1620" w:type="dxa"/>
            <w:tcBorders>
              <w:top w:val="single" w:color="000000" w:sz="6" w:space="0"/>
              <w:left w:val="single" w:color="000000" w:sz="6" w:space="0"/>
              <w:bottom w:val="single" w:color="000000" w:sz="6" w:space="0"/>
              <w:right w:val="single" w:color="000000" w:sz="6" w:space="0"/>
            </w:tcBorders>
            <w:vAlign w:val="center"/>
          </w:tcPr>
          <w:p>
            <w:pPr>
              <w:autoSpaceDE w:val="0"/>
              <w:autoSpaceDN w:val="0"/>
              <w:spacing w:line="240" w:lineRule="auto"/>
              <w:jc w:val="center"/>
              <w:rPr>
                <w:rFonts w:ascii="宋体" w:hAnsi="宋体" w:eastAsia="宋体" w:cs="宋体"/>
                <w:color w:val="000000" w:themeColor="text1"/>
                <w:kern w:val="0"/>
                <w:sz w:val="21"/>
                <w:szCs w:val="21"/>
                <w:lang w:val="zh-CN"/>
                <w14:textFill>
                  <w14:solidFill>
                    <w14:schemeClr w14:val="tx1"/>
                  </w14:solidFill>
                </w14:textFill>
              </w:rPr>
            </w:pPr>
          </w:p>
        </w:tc>
        <w:tc>
          <w:tcPr>
            <w:tcW w:w="1453" w:type="dxa"/>
            <w:tcBorders>
              <w:top w:val="single" w:color="000000" w:sz="6" w:space="0"/>
              <w:left w:val="single" w:color="000000" w:sz="6" w:space="0"/>
              <w:bottom w:val="single" w:color="000000" w:sz="6" w:space="0"/>
              <w:right w:val="single" w:color="000000" w:sz="6" w:space="0"/>
            </w:tcBorders>
            <w:vAlign w:val="center"/>
          </w:tcPr>
          <w:p>
            <w:pPr>
              <w:autoSpaceDE w:val="0"/>
              <w:autoSpaceDN w:val="0"/>
              <w:spacing w:line="240" w:lineRule="auto"/>
              <w:jc w:val="center"/>
              <w:rPr>
                <w:rFonts w:ascii="宋体" w:hAnsi="宋体" w:eastAsia="宋体" w:cs="宋体"/>
                <w:color w:val="000000" w:themeColor="text1"/>
                <w:kern w:val="0"/>
                <w:sz w:val="21"/>
                <w:szCs w:val="21"/>
                <w:lang w:val="zh-CN"/>
                <w14:textFill>
                  <w14:solidFill>
                    <w14:schemeClr w14:val="tx1"/>
                  </w14:solidFill>
                </w14:textFill>
              </w:rPr>
            </w:pPr>
          </w:p>
        </w:tc>
        <w:tc>
          <w:tcPr>
            <w:tcW w:w="1729" w:type="dxa"/>
            <w:tcBorders>
              <w:top w:val="single" w:color="000000" w:sz="6" w:space="0"/>
              <w:left w:val="single" w:color="000000" w:sz="6" w:space="0"/>
              <w:bottom w:val="single" w:color="000000" w:sz="6" w:space="0"/>
              <w:right w:val="single" w:color="000000" w:sz="6" w:space="0"/>
            </w:tcBorders>
            <w:vAlign w:val="center"/>
          </w:tcPr>
          <w:p>
            <w:pPr>
              <w:autoSpaceDE w:val="0"/>
              <w:autoSpaceDN w:val="0"/>
              <w:spacing w:line="240" w:lineRule="auto"/>
              <w:jc w:val="center"/>
              <w:rPr>
                <w:rFonts w:ascii="宋体" w:hAnsi="宋体" w:eastAsia="宋体" w:cs="宋体"/>
                <w:color w:val="000000" w:themeColor="text1"/>
                <w:kern w:val="0"/>
                <w:sz w:val="21"/>
                <w:szCs w:val="21"/>
                <w:lang w:val="zh-CN"/>
                <w14:textFill>
                  <w14:solidFill>
                    <w14:schemeClr w14:val="tx1"/>
                  </w14:solidFill>
                </w14:textFill>
              </w:rPr>
            </w:pPr>
          </w:p>
        </w:tc>
        <w:tc>
          <w:tcPr>
            <w:tcW w:w="1170" w:type="dxa"/>
            <w:tcBorders>
              <w:top w:val="single" w:color="000000" w:sz="6" w:space="0"/>
              <w:left w:val="single" w:color="000000" w:sz="6" w:space="0"/>
              <w:bottom w:val="single" w:color="000000" w:sz="6" w:space="0"/>
              <w:right w:val="single" w:color="000000" w:sz="6" w:space="0"/>
            </w:tcBorders>
            <w:vAlign w:val="center"/>
          </w:tcPr>
          <w:p>
            <w:pPr>
              <w:autoSpaceDE w:val="0"/>
              <w:autoSpaceDN w:val="0"/>
              <w:spacing w:line="240" w:lineRule="auto"/>
              <w:jc w:val="center"/>
              <w:rPr>
                <w:rFonts w:ascii="宋体" w:hAnsi="宋体" w:eastAsia="宋体" w:cs="宋体"/>
                <w:color w:val="000000" w:themeColor="text1"/>
                <w:kern w:val="0"/>
                <w:sz w:val="21"/>
                <w:szCs w:val="21"/>
                <w:lang w:val="zh-CN"/>
                <w14:textFill>
                  <w14:solidFill>
                    <w14:schemeClr w14:val="tx1"/>
                  </w14:solidFill>
                </w14:textFill>
              </w:rPr>
            </w:pPr>
          </w:p>
        </w:tc>
        <w:tc>
          <w:tcPr>
            <w:tcW w:w="1755" w:type="dxa"/>
            <w:tcBorders>
              <w:top w:val="single" w:color="000000" w:sz="6" w:space="0"/>
              <w:left w:val="single" w:color="000000" w:sz="6" w:space="0"/>
              <w:bottom w:val="single" w:color="000000" w:sz="6" w:space="0"/>
              <w:right w:val="single" w:color="000000" w:sz="6" w:space="0"/>
            </w:tcBorders>
            <w:vAlign w:val="center"/>
          </w:tcPr>
          <w:p>
            <w:pPr>
              <w:autoSpaceDE w:val="0"/>
              <w:autoSpaceDN w:val="0"/>
              <w:spacing w:line="240" w:lineRule="auto"/>
              <w:jc w:val="center"/>
              <w:rPr>
                <w:rFonts w:ascii="宋体" w:hAnsi="宋体" w:eastAsia="宋体" w:cs="宋体"/>
                <w:color w:val="000000" w:themeColor="text1"/>
                <w:kern w:val="0"/>
                <w:sz w:val="21"/>
                <w:szCs w:val="21"/>
                <w:lang w:val="zh-CN"/>
                <w14:textFill>
                  <w14:solidFill>
                    <w14:schemeClr w14:val="tx1"/>
                  </w14:solidFill>
                </w14:textFill>
              </w:rPr>
            </w:pPr>
          </w:p>
        </w:tc>
        <w:tc>
          <w:tcPr>
            <w:tcW w:w="1425" w:type="dxa"/>
            <w:tcBorders>
              <w:top w:val="single" w:color="000000" w:sz="6" w:space="0"/>
              <w:left w:val="single" w:color="000000" w:sz="6" w:space="0"/>
              <w:bottom w:val="single" w:color="000000" w:sz="6" w:space="0"/>
              <w:right w:val="single" w:color="000000" w:sz="6" w:space="0"/>
            </w:tcBorders>
            <w:vAlign w:val="center"/>
          </w:tcPr>
          <w:p>
            <w:pPr>
              <w:autoSpaceDE w:val="0"/>
              <w:autoSpaceDN w:val="0"/>
              <w:spacing w:line="240" w:lineRule="auto"/>
              <w:jc w:val="center"/>
              <w:rPr>
                <w:rFonts w:ascii="宋体" w:hAnsi="宋体" w:eastAsia="宋体" w:cs="宋体"/>
                <w:color w:val="000000" w:themeColor="text1"/>
                <w:kern w:val="0"/>
                <w:sz w:val="21"/>
                <w:szCs w:val="21"/>
                <w:lang w:val="zh-CN"/>
                <w14:textFill>
                  <w14:solidFill>
                    <w14:schemeClr w14:val="tx1"/>
                  </w14:solidFill>
                </w14:textFill>
              </w:rPr>
            </w:pPr>
          </w:p>
        </w:tc>
        <w:tc>
          <w:tcPr>
            <w:tcW w:w="1849" w:type="dxa"/>
            <w:tcBorders>
              <w:top w:val="single" w:color="000000" w:sz="6" w:space="0"/>
              <w:left w:val="single" w:color="000000" w:sz="6" w:space="0"/>
              <w:bottom w:val="single" w:color="000000" w:sz="6" w:space="0"/>
              <w:right w:val="single" w:color="000000" w:sz="8" w:space="0"/>
            </w:tcBorders>
            <w:vAlign w:val="center"/>
          </w:tcPr>
          <w:p>
            <w:pPr>
              <w:autoSpaceDE w:val="0"/>
              <w:autoSpaceDN w:val="0"/>
              <w:spacing w:line="240" w:lineRule="auto"/>
              <w:jc w:val="center"/>
              <w:rPr>
                <w:rFonts w:ascii="宋体" w:hAnsi="宋体" w:eastAsia="宋体" w:cs="宋体"/>
                <w:color w:val="000000" w:themeColor="text1"/>
                <w:kern w:val="0"/>
                <w:sz w:val="21"/>
                <w:szCs w:val="21"/>
                <w:lang w:val="zh-CN"/>
                <w14:textFill>
                  <w14:solidFill>
                    <w14:schemeClr w14:val="tx1"/>
                  </w14:solidFill>
                </w14:textFill>
              </w:rPr>
            </w:pPr>
          </w:p>
        </w:tc>
      </w:tr>
      <w:tr>
        <w:tblPrEx>
          <w:tblCellMar>
            <w:top w:w="0" w:type="dxa"/>
            <w:left w:w="28" w:type="dxa"/>
            <w:bottom w:w="0" w:type="dxa"/>
            <w:right w:w="28" w:type="dxa"/>
          </w:tblCellMar>
        </w:tblPrEx>
        <w:trPr>
          <w:trHeight w:val="1341" w:hRule="atLeast"/>
          <w:jc w:val="center"/>
        </w:trPr>
        <w:tc>
          <w:tcPr>
            <w:tcW w:w="1038" w:type="dxa"/>
            <w:tcBorders>
              <w:top w:val="single" w:color="000000" w:sz="6" w:space="0"/>
              <w:left w:val="single" w:color="000000" w:sz="8" w:space="0"/>
              <w:bottom w:val="single" w:color="000000" w:sz="6" w:space="0"/>
              <w:right w:val="single" w:color="000000" w:sz="6" w:space="0"/>
            </w:tcBorders>
            <w:vAlign w:val="center"/>
          </w:tcPr>
          <w:p>
            <w:pPr>
              <w:autoSpaceDE w:val="0"/>
              <w:autoSpaceDN w:val="0"/>
              <w:spacing w:line="240" w:lineRule="auto"/>
              <w:jc w:val="center"/>
              <w:rPr>
                <w:rFonts w:hint="eastAsia" w:ascii="宋体" w:hAnsi="宋体" w:eastAsia="宋体" w:cs="宋体"/>
                <w:color w:val="000000" w:themeColor="text1"/>
                <w:kern w:val="0"/>
                <w:sz w:val="21"/>
                <w:szCs w:val="21"/>
                <w:lang w:val="zh-CN"/>
                <w14:textFill>
                  <w14:solidFill>
                    <w14:schemeClr w14:val="tx1"/>
                  </w14:solidFill>
                </w14:textFill>
              </w:rPr>
            </w:pPr>
          </w:p>
        </w:tc>
        <w:tc>
          <w:tcPr>
            <w:tcW w:w="1680" w:type="dxa"/>
            <w:tcBorders>
              <w:top w:val="single" w:color="000000" w:sz="6" w:space="0"/>
              <w:left w:val="single" w:color="000000" w:sz="6" w:space="0"/>
              <w:bottom w:val="single" w:color="000000" w:sz="6" w:space="0"/>
              <w:right w:val="single" w:color="000000" w:sz="6" w:space="0"/>
            </w:tcBorders>
            <w:vAlign w:val="center"/>
          </w:tcPr>
          <w:p>
            <w:pPr>
              <w:autoSpaceDE w:val="0"/>
              <w:autoSpaceDN w:val="0"/>
              <w:spacing w:line="240" w:lineRule="auto"/>
              <w:jc w:val="center"/>
              <w:rPr>
                <w:rFonts w:ascii="宋体" w:hAnsi="宋体" w:eastAsia="宋体" w:cs="宋体"/>
                <w:color w:val="000000" w:themeColor="text1"/>
                <w:kern w:val="0"/>
                <w:sz w:val="21"/>
                <w:szCs w:val="21"/>
                <w:lang w:val="zh-CN"/>
                <w14:textFill>
                  <w14:solidFill>
                    <w14:schemeClr w14:val="tx1"/>
                  </w14:solidFill>
                </w14:textFill>
              </w:rPr>
            </w:pPr>
            <w:r>
              <w:rPr>
                <w:rFonts w:hint="eastAsia" w:ascii="宋体" w:hAnsi="宋体" w:eastAsia="宋体" w:cs="宋体"/>
                <w:color w:val="000000" w:themeColor="text1"/>
                <w:kern w:val="0"/>
                <w:sz w:val="21"/>
                <w:szCs w:val="21"/>
                <w:lang w:val="zh-CN"/>
                <w14:textFill>
                  <w14:solidFill>
                    <w14:schemeClr w14:val="tx1"/>
                  </w14:solidFill>
                </w14:textFill>
              </w:rPr>
              <w:t>投标报价</w:t>
            </w:r>
          </w:p>
        </w:tc>
        <w:tc>
          <w:tcPr>
            <w:tcW w:w="11001" w:type="dxa"/>
            <w:gridSpan w:val="7"/>
            <w:tcBorders>
              <w:top w:val="single" w:color="000000" w:sz="6" w:space="0"/>
              <w:left w:val="single" w:color="000000" w:sz="6" w:space="0"/>
              <w:bottom w:val="single" w:color="000000" w:sz="6" w:space="0"/>
              <w:right w:val="single" w:color="000000" w:sz="8" w:space="0"/>
            </w:tcBorders>
            <w:vAlign w:val="center"/>
          </w:tcPr>
          <w:p>
            <w:pPr>
              <w:autoSpaceDE w:val="0"/>
              <w:autoSpaceDN w:val="0"/>
              <w:spacing w:line="240" w:lineRule="auto"/>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lang w:val="zh-CN"/>
                <w14:textFill>
                  <w14:solidFill>
                    <w14:schemeClr w14:val="tx1"/>
                  </w14:solidFill>
                </w14:textFill>
              </w:rPr>
              <w:t>小写：</w:t>
            </w:r>
            <w:r>
              <w:rPr>
                <w:rFonts w:hint="eastAsia" w:ascii="宋体" w:hAnsi="宋体" w:eastAsia="宋体" w:cs="宋体"/>
                <w:color w:val="000000" w:themeColor="text1"/>
                <w:kern w:val="0"/>
                <w:sz w:val="21"/>
                <w:szCs w:val="21"/>
                <w14:textFill>
                  <w14:solidFill>
                    <w14:schemeClr w14:val="tx1"/>
                  </w14:solidFill>
                </w14:textFill>
              </w:rPr>
              <w:t xml:space="preserve"> </w:t>
            </w:r>
          </w:p>
          <w:p>
            <w:pPr>
              <w:autoSpaceDE w:val="0"/>
              <w:autoSpaceDN w:val="0"/>
              <w:spacing w:line="240" w:lineRule="auto"/>
              <w:rPr>
                <w:rFonts w:hint="eastAsia" w:ascii="宋体" w:hAnsi="宋体" w:eastAsia="宋体" w:cs="宋体"/>
                <w:color w:val="000000" w:themeColor="text1"/>
                <w:kern w:val="0"/>
                <w:sz w:val="21"/>
                <w:szCs w:val="21"/>
                <w14:textFill>
                  <w14:solidFill>
                    <w14:schemeClr w14:val="tx1"/>
                  </w14:solidFill>
                </w14:textFill>
              </w:rPr>
            </w:pPr>
          </w:p>
          <w:p>
            <w:pPr>
              <w:autoSpaceDE w:val="0"/>
              <w:autoSpaceDN w:val="0"/>
              <w:spacing w:line="240" w:lineRule="auto"/>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大写：</w:t>
            </w:r>
          </w:p>
          <w:p>
            <w:pPr>
              <w:autoSpaceDE w:val="0"/>
              <w:autoSpaceDN w:val="0"/>
              <w:spacing w:line="240" w:lineRule="auto"/>
              <w:jc w:val="center"/>
              <w:rPr>
                <w:rFonts w:ascii="宋体" w:hAnsi="宋体" w:eastAsia="宋体" w:cs="宋体"/>
                <w:color w:val="000000" w:themeColor="text1"/>
                <w:kern w:val="0"/>
                <w:sz w:val="21"/>
                <w:szCs w:val="21"/>
                <w:lang w:val="zh-CN"/>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 xml:space="preserve">                            </w:t>
            </w:r>
            <w:r>
              <w:rPr>
                <w:rFonts w:hint="eastAsia" w:ascii="宋体" w:hAnsi="宋体" w:eastAsia="宋体" w:cs="宋体"/>
                <w:color w:val="000000" w:themeColor="text1"/>
                <w:kern w:val="0"/>
                <w:sz w:val="21"/>
                <w:szCs w:val="21"/>
                <w:lang w:val="en-US" w:eastAsia="zh-CN"/>
                <w14:textFill>
                  <w14:solidFill>
                    <w14:schemeClr w14:val="tx1"/>
                  </w14:solidFill>
                </w14:textFill>
              </w:rPr>
              <w:t xml:space="preserve">                        </w:t>
            </w:r>
            <w:r>
              <w:rPr>
                <w:rFonts w:ascii="仿宋" w:hAnsi="仿宋" w:eastAsia="仿宋"/>
                <w:color w:val="000000" w:themeColor="text1"/>
                <w:sz w:val="24"/>
                <w:szCs w:val="24"/>
                <w14:textFill>
                  <w14:solidFill>
                    <w14:schemeClr w14:val="tx1"/>
                  </w14:solidFill>
                </w14:textFill>
              </w:rPr>
              <w:t>单位：元（</w:t>
            </w:r>
            <w:r>
              <w:rPr>
                <w:rFonts w:hint="eastAsia" w:ascii="仿宋" w:hAnsi="仿宋" w:eastAsia="仿宋"/>
                <w:color w:val="000000" w:themeColor="text1"/>
                <w:sz w:val="24"/>
                <w:szCs w:val="24"/>
                <w14:textFill>
                  <w14:solidFill>
                    <w14:schemeClr w14:val="tx1"/>
                  </w14:solidFill>
                </w14:textFill>
              </w:rPr>
              <w:t>保留到元</w:t>
            </w:r>
            <w:r>
              <w:rPr>
                <w:rFonts w:ascii="仿宋" w:hAnsi="仿宋" w:eastAsia="仿宋"/>
                <w:color w:val="000000" w:themeColor="text1"/>
                <w:sz w:val="24"/>
                <w:szCs w:val="24"/>
                <w14:textFill>
                  <w14:solidFill>
                    <w14:schemeClr w14:val="tx1"/>
                  </w14:solidFill>
                </w14:textFill>
              </w:rPr>
              <w:t>）</w:t>
            </w:r>
          </w:p>
        </w:tc>
      </w:tr>
    </w:tbl>
    <w:p>
      <w:pPr>
        <w:autoSpaceDE w:val="0"/>
        <w:autoSpaceDN w:val="0"/>
        <w:spacing w:line="240" w:lineRule="auto"/>
        <w:ind w:firstLine="480"/>
        <w:rPr>
          <w:rFonts w:hint="eastAsia" w:ascii="宋体" w:hAnsi="宋体" w:eastAsia="宋体" w:cs="宋体"/>
          <w:color w:val="auto"/>
          <w:kern w:val="0"/>
          <w:sz w:val="21"/>
          <w:szCs w:val="21"/>
        </w:rPr>
      </w:pPr>
    </w:p>
    <w:p>
      <w:pPr>
        <w:autoSpaceDE w:val="0"/>
        <w:autoSpaceDN w:val="0"/>
        <w:spacing w:line="240" w:lineRule="auto"/>
        <w:ind w:firstLine="480"/>
        <w:rPr>
          <w:rFonts w:hint="eastAsia" w:ascii="宋体" w:hAnsi="宋体" w:eastAsia="宋体" w:cs="宋体"/>
          <w:color w:val="auto"/>
          <w:kern w:val="0"/>
          <w:sz w:val="21"/>
          <w:szCs w:val="21"/>
          <w:lang w:val="zh-CN"/>
        </w:rPr>
      </w:pPr>
      <w:r>
        <w:rPr>
          <w:rFonts w:hint="eastAsia" w:ascii="宋体" w:hAnsi="宋体" w:eastAsia="宋体" w:cs="宋体"/>
          <w:color w:val="auto"/>
          <w:kern w:val="0"/>
          <w:sz w:val="21"/>
          <w:szCs w:val="21"/>
        </w:rPr>
        <w:t>备注</w:t>
      </w:r>
      <w:r>
        <w:rPr>
          <w:rFonts w:hint="eastAsia" w:ascii="宋体" w:hAnsi="宋体" w:eastAsia="宋体" w:cs="宋体"/>
          <w:color w:val="auto"/>
          <w:kern w:val="0"/>
          <w:sz w:val="21"/>
          <w:szCs w:val="21"/>
          <w:lang w:val="zh-CN"/>
        </w:rPr>
        <w:t>：</w:t>
      </w:r>
      <w:r>
        <w:rPr>
          <w:rFonts w:hint="eastAsia" w:ascii="宋体" w:hAnsi="宋体" w:eastAsia="宋体" w:cs="宋体"/>
          <w:color w:val="auto"/>
          <w:kern w:val="0"/>
          <w:sz w:val="21"/>
          <w:szCs w:val="21"/>
        </w:rPr>
        <w:t>1、</w:t>
      </w:r>
      <w:r>
        <w:rPr>
          <w:rFonts w:hint="eastAsia" w:ascii="宋体" w:hAnsi="宋体" w:eastAsia="宋体" w:cs="宋体"/>
          <w:color w:val="auto"/>
          <w:kern w:val="0"/>
          <w:sz w:val="21"/>
          <w:szCs w:val="21"/>
          <w:lang w:val="zh-CN"/>
        </w:rPr>
        <w:t>本表应对第</w:t>
      </w:r>
      <w:r>
        <w:rPr>
          <w:rFonts w:hint="eastAsia" w:ascii="宋体" w:hAnsi="宋体" w:eastAsia="宋体" w:cs="宋体"/>
          <w:color w:val="auto"/>
          <w:kern w:val="0"/>
          <w:sz w:val="21"/>
          <w:szCs w:val="21"/>
          <w:lang w:val="en-US" w:eastAsia="zh-CN"/>
        </w:rPr>
        <w:t>三</w:t>
      </w:r>
      <w:r>
        <w:rPr>
          <w:rFonts w:hint="eastAsia" w:ascii="宋体" w:hAnsi="宋体" w:eastAsia="宋体" w:cs="宋体"/>
          <w:color w:val="auto"/>
          <w:kern w:val="0"/>
          <w:sz w:val="21"/>
          <w:szCs w:val="21"/>
          <w:lang w:val="zh-CN"/>
        </w:rPr>
        <w:t>章采购内容中的</w:t>
      </w:r>
      <w:r>
        <w:rPr>
          <w:rFonts w:hint="eastAsia" w:ascii="宋体" w:hAnsi="宋体" w:eastAsia="宋体" w:cs="宋体"/>
          <w:color w:val="auto"/>
          <w:kern w:val="0"/>
          <w:sz w:val="21"/>
          <w:szCs w:val="21"/>
          <w:lang w:val="en-US" w:eastAsia="zh-CN"/>
        </w:rPr>
        <w:t>工程量</w:t>
      </w:r>
      <w:r>
        <w:rPr>
          <w:rFonts w:hint="eastAsia" w:ascii="宋体" w:hAnsi="宋体" w:eastAsia="宋体" w:cs="宋体"/>
          <w:color w:val="auto"/>
          <w:kern w:val="0"/>
          <w:sz w:val="21"/>
          <w:szCs w:val="21"/>
          <w:lang w:val="zh-CN"/>
        </w:rPr>
        <w:t>清单按顺序逐项填写数量和价格，不得遗漏，</w:t>
      </w:r>
      <w:r>
        <w:rPr>
          <w:rFonts w:hint="eastAsia" w:ascii="宋体" w:hAnsi="宋体" w:eastAsia="宋体" w:cs="宋体"/>
          <w:color w:val="auto"/>
          <w:kern w:val="0"/>
          <w:sz w:val="21"/>
          <w:szCs w:val="21"/>
        </w:rPr>
        <w:t>否则按无效投标处理</w:t>
      </w:r>
      <w:r>
        <w:rPr>
          <w:rFonts w:hint="eastAsia" w:ascii="宋体" w:hAnsi="宋体" w:eastAsia="宋体" w:cs="宋体"/>
          <w:color w:val="auto"/>
          <w:kern w:val="0"/>
          <w:sz w:val="21"/>
          <w:szCs w:val="21"/>
          <w:lang w:val="zh-CN"/>
        </w:rPr>
        <w:t>。</w:t>
      </w:r>
    </w:p>
    <w:p>
      <w:pPr>
        <w:autoSpaceDE w:val="0"/>
        <w:autoSpaceDN w:val="0"/>
        <w:spacing w:line="240" w:lineRule="auto"/>
        <w:ind w:firstLine="480"/>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 xml:space="preserve"> 2、</w:t>
      </w:r>
      <w:r>
        <w:rPr>
          <w:rFonts w:hint="eastAsia" w:ascii="宋体" w:hAnsi="宋体" w:eastAsia="宋体" w:cs="宋体"/>
          <w:color w:val="auto"/>
          <w:kern w:val="0"/>
          <w:sz w:val="21"/>
          <w:szCs w:val="21"/>
          <w:lang w:val="zh-CN"/>
        </w:rPr>
        <w:t>投标报价不能有两个或两个以上的报价方案。</w:t>
      </w:r>
    </w:p>
    <w:p>
      <w:pPr>
        <w:keepNext w:val="0"/>
        <w:keepLines w:val="0"/>
        <w:pageBreakBefore w:val="0"/>
        <w:widowControl/>
        <w:kinsoku/>
        <w:wordWrap/>
        <w:overflowPunct/>
        <w:topLinePunct w:val="0"/>
        <w:bidi w:val="0"/>
        <w:adjustRightInd/>
        <w:snapToGrid/>
        <w:spacing w:line="500" w:lineRule="exact"/>
        <w:ind w:firstLine="566" w:firstLineChars="200"/>
        <w:textAlignment w:val="auto"/>
        <w:rPr>
          <w:rFonts w:ascii="仿宋" w:hAnsi="仿宋" w:eastAsia="仿宋" w:cstheme="minorHAnsi"/>
          <w:b/>
          <w:bCs/>
          <w:color w:val="000000" w:themeColor="text1"/>
          <w14:textFill>
            <w14:solidFill>
              <w14:schemeClr w14:val="tx1"/>
            </w14:solidFill>
          </w14:textFill>
        </w:rPr>
      </w:pPr>
    </w:p>
    <w:p>
      <w:pPr>
        <w:pStyle w:val="2"/>
        <w:rPr>
          <w:rFonts w:ascii="仿宋" w:hAnsi="仿宋" w:eastAsia="仿宋" w:cstheme="minorHAnsi"/>
          <w:b/>
          <w:bCs/>
          <w:color w:val="000000" w:themeColor="text1"/>
          <w14:textFill>
            <w14:solidFill>
              <w14:schemeClr w14:val="tx1"/>
            </w14:solidFill>
          </w14:textFill>
        </w:rPr>
      </w:pPr>
    </w:p>
    <w:p>
      <w:pPr>
        <w:pStyle w:val="2"/>
        <w:rPr>
          <w:rFonts w:ascii="仿宋" w:hAnsi="仿宋" w:eastAsia="仿宋" w:cstheme="minorHAnsi"/>
          <w:b/>
          <w:bCs/>
          <w:color w:val="000000" w:themeColor="text1"/>
          <w14:textFill>
            <w14:solidFill>
              <w14:schemeClr w14:val="tx1"/>
            </w14:solidFill>
          </w14:textFill>
        </w:rPr>
      </w:pPr>
    </w:p>
    <w:p>
      <w:pPr>
        <w:pStyle w:val="10"/>
        <w:spacing w:afterLines="0" w:line="500" w:lineRule="exact"/>
        <w:rPr>
          <w:rFonts w:ascii="仿宋" w:hAnsi="仿宋" w:eastAsia="仿宋"/>
          <w:bCs/>
          <w:color w:val="000000" w:themeColor="text1"/>
          <w14:textFill>
            <w14:solidFill>
              <w14:schemeClr w14:val="tx1"/>
            </w14:solidFill>
          </w14:textFill>
        </w:rPr>
      </w:pPr>
      <w:r>
        <w:rPr>
          <w:rFonts w:hint="eastAsia" w:ascii="华文仿宋" w:hAnsi="华文仿宋" w:cs="华文仿宋"/>
          <w:bCs/>
          <w:color w:val="000000" w:themeColor="text1"/>
          <w:sz w:val="28"/>
          <w:szCs w:val="32"/>
          <w14:textFill>
            <w14:solidFill>
              <w14:schemeClr w14:val="tx1"/>
            </w14:solidFill>
          </w14:textFill>
        </w:rPr>
        <w:t>供应商：</w:t>
      </w:r>
      <w:r>
        <w:rPr>
          <w:rFonts w:hint="eastAsia" w:ascii="华文仿宋" w:hAnsi="华文仿宋" w:cs="华文仿宋"/>
          <w:color w:val="000000" w:themeColor="text1"/>
          <w:sz w:val="28"/>
          <w:szCs w:val="32"/>
          <w:u w:val="single"/>
          <w14:textFill>
            <w14:solidFill>
              <w14:schemeClr w14:val="tx1"/>
            </w14:solidFill>
          </w14:textFill>
        </w:rPr>
        <w:t>名称</w:t>
      </w:r>
      <w:r>
        <w:rPr>
          <w:rFonts w:hint="eastAsia" w:ascii="华文仿宋" w:hAnsi="华文仿宋" w:cs="华文仿宋"/>
          <w:bCs/>
          <w:color w:val="000000" w:themeColor="text1"/>
          <w:sz w:val="28"/>
          <w:szCs w:val="32"/>
          <w14:textFill>
            <w14:solidFill>
              <w14:schemeClr w14:val="tx1"/>
            </w14:solidFill>
          </w14:textFill>
        </w:rPr>
        <w:t>（加盖公章）</w:t>
      </w:r>
      <w:r>
        <w:rPr>
          <w:rFonts w:ascii="仿宋" w:hAnsi="仿宋" w:eastAsia="仿宋"/>
          <w:bCs/>
          <w:color w:val="000000" w:themeColor="text1"/>
          <w14:textFill>
            <w14:solidFill>
              <w14:schemeClr w14:val="tx1"/>
            </w14:solidFill>
          </w14:textFill>
        </w:rPr>
        <w:tab/>
      </w:r>
    </w:p>
    <w:p>
      <w:pPr>
        <w:spacing w:line="500" w:lineRule="exact"/>
        <w:rPr>
          <w:rFonts w:ascii="宋体" w:hAnsi="宋体"/>
          <w:b/>
          <w:bCs/>
          <w:color w:val="auto"/>
          <w:sz w:val="32"/>
          <w:szCs w:val="32"/>
        </w:rPr>
        <w:sectPr>
          <w:pgSz w:w="16838" w:h="11906" w:orient="landscape"/>
          <w:pgMar w:top="1417" w:right="1417" w:bottom="1417" w:left="1417" w:header="850" w:footer="992" w:gutter="0"/>
          <w:pgNumType w:fmt="decimal"/>
          <w:cols w:space="720" w:num="1"/>
          <w:docGrid w:type="linesAndChars" w:linePitch="381" w:charSpace="704"/>
        </w:sectPr>
      </w:pPr>
      <w:r>
        <w:rPr>
          <w:color w:val="000000" w:themeColor="text1"/>
          <w14:textFill>
            <w14:solidFill>
              <w14:schemeClr w14:val="tx1"/>
            </w14:solidFill>
          </w14:textFill>
        </w:rPr>
        <w:t>日期：　</w:t>
      </w:r>
      <w:r>
        <w:rPr>
          <w:rFonts w:hint="eastAsia"/>
          <w:color w:val="000000" w:themeColor="text1"/>
          <w14:textFill>
            <w14:solidFill>
              <w14:schemeClr w14:val="tx1"/>
            </w14:solidFill>
          </w14:textFill>
        </w:rPr>
        <w:t xml:space="preserve"> </w:t>
      </w:r>
      <w:r>
        <w:rPr>
          <w:color w:val="000000" w:themeColor="text1"/>
          <w14:textFill>
            <w14:solidFill>
              <w14:schemeClr w14:val="tx1"/>
            </w14:solidFill>
          </w14:textFill>
        </w:rPr>
        <w:t>年　月　</w:t>
      </w:r>
    </w:p>
    <w:p>
      <w:pPr>
        <w:tabs>
          <w:tab w:val="right" w:pos="9070"/>
        </w:tabs>
        <w:spacing w:line="500" w:lineRule="exact"/>
        <w:jc w:val="left"/>
        <w:rPr>
          <w:rFonts w:hint="eastAsia" w:ascii="仿宋" w:hAnsi="仿宋" w:eastAsia="仿宋" w:cs="仿宋"/>
          <w:bCs w:val="0"/>
          <w:color w:val="auto"/>
        </w:rPr>
      </w:pPr>
      <w:bookmarkStart w:id="397" w:name="_Toc13309_WPSOffice_Level2"/>
      <w:bookmarkStart w:id="398" w:name="_Toc26585"/>
      <w:bookmarkStart w:id="399" w:name="_Toc18036_WPSOffice_Level2"/>
      <w:bookmarkStart w:id="400" w:name="_Toc1823_WPSOffice_Level2"/>
      <w:bookmarkStart w:id="401" w:name="_Toc13794"/>
      <w:bookmarkStart w:id="402" w:name="_Toc26668"/>
      <w:bookmarkStart w:id="403" w:name="_Toc26536_WPSOffice_Level2"/>
      <w:bookmarkStart w:id="404" w:name="_Toc9727_WPSOffice_Level2"/>
      <w:r>
        <w:rPr>
          <w:rFonts w:hint="eastAsia" w:ascii="仿宋" w:hAnsi="仿宋" w:eastAsia="仿宋" w:cs="仿宋"/>
          <w:b/>
          <w:bCs w:val="0"/>
          <w:color w:val="auto"/>
          <w:kern w:val="2"/>
          <w:sz w:val="32"/>
          <w:szCs w:val="32"/>
          <w:lang w:val="en-US" w:eastAsia="zh-CN" w:bidi="ar-SA"/>
        </w:rPr>
        <w:t>三、磋商保证金交纳凭证</w:t>
      </w:r>
      <w:bookmarkEnd w:id="397"/>
      <w:bookmarkStart w:id="405" w:name="_Toc31082"/>
    </w:p>
    <w:bookmarkEnd w:id="405"/>
    <w:p>
      <w:pPr>
        <w:pStyle w:val="15"/>
        <w:spacing w:line="500" w:lineRule="exact"/>
        <w:ind w:firstLine="566" w:firstLineChars="200"/>
        <w:rPr>
          <w:rFonts w:ascii="仿宋" w:hAnsi="仿宋" w:eastAsia="仿宋" w:cs="仿宋"/>
          <w:color w:val="auto"/>
          <w:sz w:val="28"/>
        </w:rPr>
      </w:pPr>
      <w:r>
        <w:rPr>
          <w:rFonts w:hint="eastAsia" w:ascii="华文仿宋" w:hAnsi="华文仿宋" w:eastAsia="华文仿宋" w:cs="华文仿宋"/>
          <w:color w:val="auto"/>
          <w:sz w:val="28"/>
          <w:szCs w:val="28"/>
        </w:rPr>
        <w:t>保证金以纸质银行保函方式交纳的，提供采购人开具的保函回执复印件并加盖供应商公章。</w:t>
      </w:r>
    </w:p>
    <w:p>
      <w:pPr>
        <w:pStyle w:val="15"/>
        <w:rPr>
          <w:rFonts w:ascii="仿宋" w:hAnsi="仿宋" w:eastAsia="仿宋" w:cs="仿宋"/>
          <w:color w:val="auto"/>
          <w:sz w:val="28"/>
        </w:rPr>
      </w:pPr>
    </w:p>
    <w:p>
      <w:pPr>
        <w:pStyle w:val="15"/>
        <w:rPr>
          <w:rFonts w:ascii="仿宋" w:hAnsi="仿宋" w:eastAsia="仿宋" w:cs="仿宋"/>
          <w:color w:val="auto"/>
          <w:sz w:val="28"/>
        </w:rPr>
      </w:pPr>
    </w:p>
    <w:p>
      <w:pPr>
        <w:pStyle w:val="15"/>
        <w:rPr>
          <w:rFonts w:ascii="仿宋" w:hAnsi="仿宋" w:eastAsia="仿宋" w:cs="仿宋"/>
          <w:color w:val="auto"/>
          <w:sz w:val="28"/>
        </w:rPr>
      </w:pPr>
    </w:p>
    <w:p>
      <w:pPr>
        <w:pStyle w:val="15"/>
        <w:rPr>
          <w:rFonts w:ascii="仿宋" w:hAnsi="仿宋" w:eastAsia="仿宋" w:cs="仿宋"/>
          <w:color w:val="auto"/>
          <w:sz w:val="28"/>
        </w:rPr>
      </w:pPr>
    </w:p>
    <w:p>
      <w:pPr>
        <w:pStyle w:val="15"/>
        <w:rPr>
          <w:rFonts w:ascii="仿宋" w:hAnsi="仿宋" w:eastAsia="仿宋" w:cs="仿宋"/>
          <w:color w:val="auto"/>
          <w:sz w:val="28"/>
        </w:rPr>
      </w:pPr>
    </w:p>
    <w:p>
      <w:pPr>
        <w:pStyle w:val="15"/>
        <w:rPr>
          <w:rFonts w:ascii="仿宋" w:hAnsi="仿宋" w:eastAsia="仿宋" w:cs="仿宋"/>
          <w:color w:val="auto"/>
          <w:sz w:val="28"/>
        </w:rPr>
      </w:pPr>
    </w:p>
    <w:p>
      <w:pPr>
        <w:pStyle w:val="15"/>
        <w:rPr>
          <w:rFonts w:ascii="仿宋" w:hAnsi="仿宋" w:eastAsia="仿宋" w:cs="仿宋"/>
          <w:color w:val="auto"/>
          <w:sz w:val="28"/>
        </w:rPr>
      </w:pPr>
    </w:p>
    <w:p>
      <w:pPr>
        <w:pStyle w:val="15"/>
        <w:rPr>
          <w:rFonts w:ascii="仿宋" w:hAnsi="仿宋" w:eastAsia="仿宋" w:cs="仿宋"/>
          <w:color w:val="auto"/>
          <w:sz w:val="28"/>
        </w:rPr>
      </w:pPr>
    </w:p>
    <w:p>
      <w:pPr>
        <w:pStyle w:val="15"/>
        <w:rPr>
          <w:rFonts w:ascii="仿宋" w:hAnsi="仿宋" w:eastAsia="仿宋" w:cs="仿宋"/>
          <w:color w:val="auto"/>
          <w:sz w:val="28"/>
        </w:rPr>
      </w:pPr>
    </w:p>
    <w:p>
      <w:pPr>
        <w:pStyle w:val="15"/>
        <w:rPr>
          <w:rFonts w:ascii="仿宋" w:hAnsi="仿宋" w:eastAsia="仿宋" w:cs="仿宋"/>
          <w:color w:val="auto"/>
          <w:sz w:val="28"/>
        </w:rPr>
      </w:pPr>
    </w:p>
    <w:p>
      <w:pPr>
        <w:pStyle w:val="15"/>
        <w:rPr>
          <w:rFonts w:ascii="仿宋" w:hAnsi="仿宋" w:eastAsia="仿宋" w:cs="仿宋"/>
          <w:color w:val="auto"/>
          <w:sz w:val="28"/>
        </w:rPr>
      </w:pPr>
    </w:p>
    <w:p>
      <w:pPr>
        <w:pStyle w:val="15"/>
        <w:rPr>
          <w:rFonts w:ascii="仿宋" w:hAnsi="仿宋" w:eastAsia="仿宋" w:cs="仿宋"/>
          <w:color w:val="auto"/>
          <w:sz w:val="28"/>
        </w:rPr>
      </w:pPr>
    </w:p>
    <w:p>
      <w:pPr>
        <w:pStyle w:val="15"/>
        <w:rPr>
          <w:rFonts w:ascii="仿宋" w:hAnsi="仿宋" w:eastAsia="仿宋" w:cs="仿宋"/>
          <w:color w:val="auto"/>
          <w:sz w:val="28"/>
        </w:rPr>
      </w:pPr>
    </w:p>
    <w:p>
      <w:pPr>
        <w:pStyle w:val="15"/>
        <w:rPr>
          <w:rFonts w:ascii="仿宋" w:hAnsi="仿宋" w:eastAsia="仿宋" w:cs="仿宋"/>
          <w:color w:val="auto"/>
          <w:sz w:val="28"/>
        </w:rPr>
      </w:pPr>
    </w:p>
    <w:p>
      <w:pPr>
        <w:pStyle w:val="15"/>
        <w:rPr>
          <w:rFonts w:ascii="仿宋" w:hAnsi="仿宋" w:eastAsia="仿宋" w:cs="仿宋"/>
          <w:color w:val="auto"/>
          <w:sz w:val="28"/>
        </w:rPr>
      </w:pPr>
    </w:p>
    <w:p>
      <w:pPr>
        <w:pStyle w:val="15"/>
        <w:rPr>
          <w:rFonts w:ascii="仿宋" w:hAnsi="仿宋" w:eastAsia="仿宋" w:cs="仿宋"/>
          <w:color w:val="auto"/>
          <w:sz w:val="28"/>
        </w:rPr>
      </w:pPr>
    </w:p>
    <w:p>
      <w:pPr>
        <w:pStyle w:val="15"/>
        <w:rPr>
          <w:rFonts w:ascii="仿宋" w:hAnsi="仿宋" w:eastAsia="仿宋" w:cs="仿宋"/>
          <w:color w:val="auto"/>
          <w:sz w:val="28"/>
        </w:rPr>
      </w:pPr>
    </w:p>
    <w:p>
      <w:pPr>
        <w:pStyle w:val="15"/>
        <w:rPr>
          <w:rFonts w:ascii="仿宋" w:hAnsi="仿宋" w:eastAsia="仿宋" w:cs="仿宋"/>
          <w:color w:val="auto"/>
          <w:sz w:val="28"/>
        </w:rPr>
      </w:pPr>
    </w:p>
    <w:p>
      <w:pPr>
        <w:pStyle w:val="15"/>
        <w:rPr>
          <w:rFonts w:ascii="仿宋" w:hAnsi="仿宋" w:eastAsia="仿宋" w:cs="仿宋"/>
          <w:color w:val="auto"/>
          <w:sz w:val="28"/>
        </w:rPr>
      </w:pPr>
    </w:p>
    <w:p>
      <w:pPr>
        <w:pStyle w:val="15"/>
        <w:rPr>
          <w:rFonts w:ascii="仿宋" w:hAnsi="仿宋" w:eastAsia="仿宋" w:cs="仿宋"/>
          <w:color w:val="auto"/>
          <w:sz w:val="28"/>
        </w:rPr>
      </w:pPr>
    </w:p>
    <w:p>
      <w:pPr>
        <w:pStyle w:val="15"/>
        <w:rPr>
          <w:rFonts w:ascii="仿宋" w:hAnsi="仿宋" w:eastAsia="仿宋" w:cs="仿宋"/>
          <w:color w:val="auto"/>
          <w:sz w:val="28"/>
        </w:rPr>
      </w:pPr>
    </w:p>
    <w:p>
      <w:pPr>
        <w:pStyle w:val="15"/>
        <w:rPr>
          <w:rFonts w:ascii="仿宋" w:hAnsi="仿宋" w:eastAsia="仿宋" w:cs="仿宋"/>
          <w:color w:val="auto"/>
          <w:sz w:val="28"/>
        </w:rPr>
      </w:pPr>
    </w:p>
    <w:p>
      <w:pPr>
        <w:pStyle w:val="15"/>
        <w:rPr>
          <w:rFonts w:ascii="仿宋" w:hAnsi="仿宋" w:eastAsia="仿宋" w:cs="仿宋"/>
          <w:color w:val="auto"/>
          <w:sz w:val="28"/>
        </w:rPr>
      </w:pPr>
    </w:p>
    <w:p>
      <w:pPr>
        <w:pStyle w:val="15"/>
        <w:rPr>
          <w:rFonts w:ascii="仿宋" w:hAnsi="仿宋" w:eastAsia="仿宋" w:cs="仿宋"/>
          <w:color w:val="auto"/>
          <w:sz w:val="28"/>
        </w:rPr>
      </w:pPr>
    </w:p>
    <w:p>
      <w:pPr>
        <w:pStyle w:val="15"/>
        <w:rPr>
          <w:rFonts w:ascii="仿宋" w:hAnsi="仿宋" w:eastAsia="仿宋" w:cs="仿宋"/>
          <w:color w:val="auto"/>
          <w:sz w:val="28"/>
        </w:rPr>
      </w:pPr>
    </w:p>
    <w:p>
      <w:pPr>
        <w:pStyle w:val="15"/>
        <w:rPr>
          <w:rFonts w:ascii="仿宋" w:hAnsi="仿宋" w:eastAsia="仿宋" w:cs="仿宋"/>
          <w:color w:val="auto"/>
          <w:sz w:val="28"/>
        </w:rPr>
      </w:pPr>
    </w:p>
    <w:p>
      <w:pPr>
        <w:pStyle w:val="15"/>
        <w:rPr>
          <w:rFonts w:ascii="仿宋" w:hAnsi="仿宋" w:eastAsia="仿宋" w:cs="仿宋"/>
          <w:color w:val="auto"/>
          <w:sz w:val="28"/>
        </w:rPr>
      </w:pPr>
    </w:p>
    <w:p>
      <w:pPr>
        <w:pStyle w:val="50"/>
        <w:jc w:val="both"/>
        <w:rPr>
          <w:rFonts w:ascii="仿宋" w:hAnsi="仿宋" w:eastAsia="仿宋" w:cs="仿宋"/>
          <w:bCs w:val="0"/>
          <w:color w:val="auto"/>
        </w:rPr>
      </w:pPr>
    </w:p>
    <w:p>
      <w:pPr>
        <w:spacing w:line="240" w:lineRule="auto"/>
        <w:rPr>
          <w:rFonts w:ascii="仿宋" w:hAnsi="仿宋" w:eastAsia="仿宋" w:cs="仿宋"/>
          <w:b/>
          <w:color w:val="auto"/>
        </w:rPr>
      </w:pPr>
    </w:p>
    <w:p>
      <w:pPr>
        <w:spacing w:line="240" w:lineRule="auto"/>
        <w:rPr>
          <w:rFonts w:hint="eastAsia" w:ascii="仿宋" w:hAnsi="仿宋" w:eastAsia="仿宋" w:cs="仿宋"/>
          <w:b/>
          <w:color w:val="auto"/>
          <w:sz w:val="32"/>
          <w:szCs w:val="32"/>
        </w:rPr>
      </w:pPr>
    </w:p>
    <w:p>
      <w:pPr>
        <w:spacing w:line="240" w:lineRule="auto"/>
        <w:rPr>
          <w:rFonts w:hint="eastAsia" w:ascii="仿宋" w:hAnsi="仿宋" w:eastAsia="仿宋" w:cs="仿宋"/>
          <w:b/>
          <w:color w:val="auto"/>
          <w:sz w:val="32"/>
          <w:szCs w:val="32"/>
        </w:rPr>
      </w:pPr>
    </w:p>
    <w:p>
      <w:pPr>
        <w:spacing w:line="240" w:lineRule="auto"/>
        <w:rPr>
          <w:rFonts w:ascii="仿宋" w:hAnsi="仿宋" w:eastAsia="仿宋" w:cs="仿宋"/>
          <w:b/>
          <w:color w:val="auto"/>
          <w:sz w:val="32"/>
          <w:szCs w:val="32"/>
        </w:rPr>
      </w:pPr>
      <w:r>
        <w:rPr>
          <w:rFonts w:hint="eastAsia" w:ascii="仿宋" w:hAnsi="仿宋" w:eastAsia="仿宋" w:cs="仿宋"/>
          <w:b/>
          <w:color w:val="auto"/>
          <w:sz w:val="32"/>
          <w:szCs w:val="32"/>
        </w:rPr>
        <w:t>四、供应商参加政府采购活动承诺书</w:t>
      </w:r>
      <w:bookmarkEnd w:id="398"/>
      <w:bookmarkEnd w:id="399"/>
      <w:bookmarkEnd w:id="400"/>
      <w:bookmarkEnd w:id="401"/>
      <w:bookmarkEnd w:id="402"/>
      <w:bookmarkEnd w:id="403"/>
      <w:bookmarkEnd w:id="404"/>
    </w:p>
    <w:p>
      <w:pPr>
        <w:spacing w:line="500" w:lineRule="exact"/>
        <w:ind w:firstLine="566" w:firstLineChars="200"/>
        <w:rPr>
          <w:color w:val="auto"/>
        </w:rPr>
      </w:pPr>
      <w:r>
        <w:rPr>
          <w:color w:val="auto"/>
        </w:rPr>
        <w:t>未签署下列承诺书的，其责任由</w:t>
      </w:r>
      <w:r>
        <w:rPr>
          <w:rFonts w:hint="eastAsia"/>
          <w:color w:val="auto"/>
        </w:rPr>
        <w:t>供应商</w:t>
      </w:r>
      <w:r>
        <w:rPr>
          <w:color w:val="auto"/>
        </w:rPr>
        <w:t>自行承担。</w:t>
      </w:r>
    </w:p>
    <w:p>
      <w:pPr>
        <w:spacing w:before="190" w:beforeLines="50" w:line="500" w:lineRule="exact"/>
        <w:ind w:firstLine="566" w:firstLineChars="200"/>
        <w:rPr>
          <w:b/>
          <w:color w:val="auto"/>
        </w:rPr>
      </w:pPr>
      <w:bookmarkStart w:id="406" w:name="_Toc3534_WPSOffice_Level3"/>
      <w:r>
        <w:rPr>
          <w:rFonts w:hint="eastAsia"/>
          <w:b/>
          <w:color w:val="auto"/>
        </w:rPr>
        <w:t>（</w:t>
      </w:r>
      <w:r>
        <w:rPr>
          <w:b/>
          <w:color w:val="auto"/>
        </w:rPr>
        <w:t>一</w:t>
      </w:r>
      <w:r>
        <w:rPr>
          <w:rFonts w:hint="eastAsia"/>
          <w:b/>
          <w:color w:val="auto"/>
        </w:rPr>
        <w:t>）</w:t>
      </w:r>
      <w:r>
        <w:rPr>
          <w:b/>
          <w:color w:val="auto"/>
        </w:rPr>
        <w:t>质量安全责任承诺书</w:t>
      </w:r>
      <w:bookmarkEnd w:id="406"/>
    </w:p>
    <w:p>
      <w:pPr>
        <w:spacing w:line="500" w:lineRule="exact"/>
        <w:ind w:firstLine="566" w:firstLineChars="200"/>
        <w:rPr>
          <w:color w:val="auto"/>
        </w:rPr>
      </w:pPr>
      <w:r>
        <w:rPr>
          <w:color w:val="auto"/>
        </w:rPr>
        <w:t>为保证本采购项目顺利进行，作为投标</w:t>
      </w:r>
      <w:r>
        <w:rPr>
          <w:rFonts w:hint="eastAsia"/>
          <w:color w:val="auto"/>
        </w:rPr>
        <w:t>供应商</w:t>
      </w:r>
      <w:r>
        <w:rPr>
          <w:color w:val="auto"/>
        </w:rPr>
        <w:t>，现郑重承诺：</w:t>
      </w:r>
    </w:p>
    <w:p>
      <w:pPr>
        <w:spacing w:line="500" w:lineRule="exact"/>
        <w:ind w:firstLine="566" w:firstLineChars="200"/>
        <w:rPr>
          <w:color w:val="auto"/>
        </w:rPr>
      </w:pPr>
      <w:r>
        <w:rPr>
          <w:color w:val="auto"/>
        </w:rPr>
        <w:t>1、我方投标产品的生产（包括设计、制造、安装、改造、维修等）、投入使用的材料等均完全符合国家现行</w:t>
      </w:r>
      <w:r>
        <w:rPr>
          <w:rFonts w:hint="eastAsia"/>
          <w:color w:val="auto"/>
        </w:rPr>
        <w:t>质量、安全、环保标准和要求。</w:t>
      </w:r>
    </w:p>
    <w:p>
      <w:pPr>
        <w:spacing w:line="500" w:lineRule="exact"/>
        <w:ind w:firstLine="566" w:firstLineChars="200"/>
        <w:rPr>
          <w:color w:val="auto"/>
        </w:rPr>
      </w:pPr>
      <w:r>
        <w:rPr>
          <w:color w:val="auto"/>
        </w:rPr>
        <w:t>2、我方将严格按照国家现行相关储存、运输、安装调试技术标准及规范、服务标准及规范、施工标准及规范，在规定的时限内，保质、保量完成项目全部内容，并向采购人交付合格产品。</w:t>
      </w:r>
    </w:p>
    <w:p>
      <w:pPr>
        <w:spacing w:line="500" w:lineRule="exact"/>
        <w:ind w:firstLine="566" w:firstLineChars="200"/>
        <w:rPr>
          <w:color w:val="auto"/>
        </w:rPr>
      </w:pPr>
      <w:r>
        <w:rPr>
          <w:color w:val="auto"/>
        </w:rPr>
        <w:t>3、对于因产品生产质量以及储存、运输、安装调试、服务、施工等过程中产生的任何安全事故，我方承担全部责任。</w:t>
      </w:r>
    </w:p>
    <w:p>
      <w:pPr>
        <w:spacing w:line="500" w:lineRule="exact"/>
        <w:ind w:firstLine="566" w:firstLineChars="200"/>
        <w:rPr>
          <w:color w:val="auto"/>
        </w:rPr>
      </w:pPr>
      <w:r>
        <w:rPr>
          <w:color w:val="auto"/>
        </w:rPr>
        <w:t>4、我方提供的货物、工程、服务等符合现行的国家、行业、地区、企业标准及要求，标准不一致的，以更为严格的为准，我方对提供的货物、工程、服务等的质量、安全、环保等承担全部责任。</w:t>
      </w:r>
    </w:p>
    <w:p>
      <w:pPr>
        <w:spacing w:line="500" w:lineRule="exact"/>
        <w:ind w:firstLine="566" w:firstLineChars="200"/>
        <w:rPr>
          <w:color w:val="auto"/>
        </w:rPr>
      </w:pPr>
    </w:p>
    <w:p>
      <w:pPr>
        <w:spacing w:line="500" w:lineRule="exact"/>
        <w:ind w:firstLine="5094" w:firstLineChars="1800"/>
        <w:rPr>
          <w:color w:val="auto"/>
        </w:rPr>
      </w:pPr>
      <w:r>
        <w:rPr>
          <w:rFonts w:hint="eastAsia"/>
          <w:color w:val="auto"/>
        </w:rPr>
        <w:t>供应商</w:t>
      </w:r>
      <w:r>
        <w:rPr>
          <w:color w:val="auto"/>
        </w:rPr>
        <w:t>：</w:t>
      </w:r>
      <w:r>
        <w:rPr>
          <w:rFonts w:hint="eastAsia"/>
          <w:color w:val="auto"/>
          <w:u w:val="single"/>
        </w:rPr>
        <w:t>名称</w:t>
      </w:r>
      <w:r>
        <w:rPr>
          <w:color w:val="auto"/>
        </w:rPr>
        <w:t>（加盖公章）</w:t>
      </w:r>
    </w:p>
    <w:p>
      <w:pPr>
        <w:spacing w:line="500" w:lineRule="exact"/>
        <w:ind w:firstLine="566" w:firstLineChars="200"/>
        <w:rPr>
          <w:color w:val="auto"/>
        </w:rPr>
      </w:pPr>
      <w:r>
        <w:rPr>
          <w:rFonts w:hint="eastAsia"/>
          <w:color w:val="auto"/>
        </w:rPr>
        <w:t xml:space="preserve">                                  </w:t>
      </w:r>
      <w:r>
        <w:rPr>
          <w:color w:val="auto"/>
        </w:rPr>
        <w:t>日期：　　年　月　日</w:t>
      </w:r>
    </w:p>
    <w:p>
      <w:pPr>
        <w:spacing w:line="500" w:lineRule="exact"/>
        <w:rPr>
          <w:color w:val="auto"/>
        </w:rPr>
      </w:pPr>
    </w:p>
    <w:p>
      <w:pPr>
        <w:keepNext w:val="0"/>
        <w:keepLines w:val="0"/>
        <w:pageBreakBefore w:val="0"/>
        <w:widowControl/>
        <w:kinsoku/>
        <w:wordWrap/>
        <w:overflowPunct/>
        <w:topLinePunct w:val="0"/>
        <w:autoSpaceDE/>
        <w:autoSpaceDN/>
        <w:bidi w:val="0"/>
        <w:adjustRightInd/>
        <w:snapToGrid/>
        <w:spacing w:line="500" w:lineRule="exact"/>
        <w:ind w:firstLine="566" w:firstLineChars="200"/>
        <w:textAlignment w:val="auto"/>
        <w:rPr>
          <w:b/>
          <w:color w:val="auto"/>
        </w:rPr>
      </w:pPr>
      <w:r>
        <w:rPr>
          <w:rFonts w:hint="eastAsia"/>
          <w:b/>
          <w:color w:val="auto"/>
        </w:rPr>
        <w:br w:type="page"/>
      </w:r>
      <w:r>
        <w:rPr>
          <w:rFonts w:hint="eastAsia"/>
          <w:b/>
          <w:color w:val="auto"/>
        </w:rPr>
        <w:t>（</w:t>
      </w:r>
      <w:r>
        <w:rPr>
          <w:b/>
          <w:color w:val="auto"/>
        </w:rPr>
        <w:t>二</w:t>
      </w:r>
      <w:r>
        <w:rPr>
          <w:rFonts w:hint="eastAsia"/>
          <w:b/>
          <w:color w:val="auto"/>
        </w:rPr>
        <w:t>）拒绝政府采购领域商业贿赂承诺书</w:t>
      </w:r>
    </w:p>
    <w:p>
      <w:pPr>
        <w:overflowPunct w:val="0"/>
        <w:topLinePunct/>
        <w:spacing w:line="440" w:lineRule="exact"/>
        <w:jc w:val="center"/>
        <w:rPr>
          <w:rFonts w:ascii="仿宋" w:hAnsi="仿宋" w:eastAsia="仿宋" w:cs="宋体-18030"/>
          <w:bCs/>
          <w:color w:val="auto"/>
        </w:rPr>
      </w:pPr>
      <w:r>
        <w:rPr>
          <w:rFonts w:hint="eastAsia" w:ascii="仿宋" w:hAnsi="仿宋" w:eastAsia="仿宋" w:cs="宋体-18030"/>
          <w:bCs/>
          <w:color w:val="auto"/>
        </w:rPr>
        <w:t>（执行陕财办采管[2006]21号文件）</w:t>
      </w:r>
    </w:p>
    <w:p>
      <w:pPr>
        <w:spacing w:line="500" w:lineRule="exact"/>
        <w:ind w:firstLine="566" w:firstLineChars="200"/>
        <w:rPr>
          <w:color w:val="auto"/>
        </w:rPr>
      </w:pPr>
      <w:r>
        <w:rPr>
          <w:rFonts w:hint="eastAsia"/>
          <w:color w:val="auto"/>
        </w:rPr>
        <w:t>为响应党中央、国务院关于治理政府采购领域商业贿赂行为的号召，我公司在此庄严承诺：</w:t>
      </w:r>
    </w:p>
    <w:p>
      <w:pPr>
        <w:spacing w:line="500" w:lineRule="exact"/>
        <w:ind w:firstLine="566" w:firstLineChars="200"/>
        <w:rPr>
          <w:color w:val="auto"/>
        </w:rPr>
      </w:pPr>
      <w:r>
        <w:rPr>
          <w:rFonts w:hint="eastAsia"/>
          <w:color w:val="auto"/>
        </w:rPr>
        <w:t>1、在参与政府采购活动中遵纪守法、诚信经营、公平竞标。</w:t>
      </w:r>
    </w:p>
    <w:p>
      <w:pPr>
        <w:spacing w:line="500" w:lineRule="exact"/>
        <w:ind w:firstLine="566" w:firstLineChars="200"/>
        <w:rPr>
          <w:color w:val="auto"/>
        </w:rPr>
      </w:pPr>
      <w:r>
        <w:rPr>
          <w:rFonts w:hint="eastAsia"/>
          <w:color w:val="auto"/>
        </w:rPr>
        <w:t>2、不向政府采购人、采购代理机构和政府采购评审专家进行任何形式的商业贿赂以谋取交易机会。</w:t>
      </w:r>
    </w:p>
    <w:p>
      <w:pPr>
        <w:spacing w:line="500" w:lineRule="exact"/>
        <w:ind w:firstLine="566" w:firstLineChars="200"/>
        <w:rPr>
          <w:color w:val="auto"/>
        </w:rPr>
      </w:pPr>
      <w:r>
        <w:rPr>
          <w:rFonts w:hint="eastAsia"/>
          <w:color w:val="auto"/>
        </w:rPr>
        <w:t>3、不向政府采购代理机构和采购人提供虚假资质文件或采用虚假应标方式参与政府采购市场竞争并谋取中标、成交。</w:t>
      </w:r>
    </w:p>
    <w:p>
      <w:pPr>
        <w:spacing w:line="500" w:lineRule="exact"/>
        <w:ind w:firstLine="566" w:firstLineChars="200"/>
        <w:rPr>
          <w:color w:val="auto"/>
        </w:rPr>
      </w:pPr>
      <w:r>
        <w:rPr>
          <w:rFonts w:hint="eastAsia"/>
          <w:color w:val="auto"/>
        </w:rPr>
        <w:t>4、不采取“围标、陪标”等商业欺诈手段获得政府采购定单。</w:t>
      </w:r>
    </w:p>
    <w:p>
      <w:pPr>
        <w:spacing w:line="500" w:lineRule="exact"/>
        <w:ind w:firstLine="566" w:firstLineChars="200"/>
        <w:rPr>
          <w:color w:val="auto"/>
        </w:rPr>
      </w:pPr>
      <w:r>
        <w:rPr>
          <w:rFonts w:hint="eastAsia"/>
          <w:color w:val="auto"/>
        </w:rPr>
        <w:t>5、不采取不正当手段诋毁、排挤其他供应商。</w:t>
      </w:r>
    </w:p>
    <w:p>
      <w:pPr>
        <w:spacing w:line="500" w:lineRule="exact"/>
        <w:ind w:firstLine="566" w:firstLineChars="200"/>
        <w:rPr>
          <w:color w:val="auto"/>
        </w:rPr>
      </w:pPr>
      <w:r>
        <w:rPr>
          <w:rFonts w:hint="eastAsia"/>
          <w:color w:val="auto"/>
        </w:rPr>
        <w:t>6、不在提供商品和服务时“偷梁换柱、以次充好”损害采购人的合法权益。</w:t>
      </w:r>
    </w:p>
    <w:p>
      <w:pPr>
        <w:spacing w:line="500" w:lineRule="exact"/>
        <w:ind w:firstLine="566" w:firstLineChars="200"/>
        <w:rPr>
          <w:color w:val="auto"/>
        </w:rPr>
      </w:pPr>
      <w:r>
        <w:rPr>
          <w:rFonts w:hint="eastAsia"/>
          <w:color w:val="auto"/>
        </w:rPr>
        <w:t>7、不与采购人、采购代理机构政府采购评审专家或其它供应商恶意串通，进行质疑和投诉，维护政府采购市场秩序。</w:t>
      </w:r>
    </w:p>
    <w:p>
      <w:pPr>
        <w:spacing w:line="500" w:lineRule="exact"/>
        <w:ind w:firstLine="566" w:firstLineChars="200"/>
        <w:rPr>
          <w:color w:val="auto"/>
        </w:rPr>
      </w:pPr>
      <w:r>
        <w:rPr>
          <w:rFonts w:hint="eastAsia"/>
          <w:color w:val="auto"/>
        </w:rPr>
        <w:t>8、尊重和接受政府采购监督管理部门的监督和政府采购代理机构招标采购要求，承担因违约行为给采购人造成的损失。</w:t>
      </w:r>
    </w:p>
    <w:p>
      <w:pPr>
        <w:spacing w:line="500" w:lineRule="exact"/>
        <w:ind w:firstLine="566" w:firstLineChars="200"/>
        <w:rPr>
          <w:color w:val="auto"/>
        </w:rPr>
      </w:pPr>
      <w:r>
        <w:rPr>
          <w:rFonts w:hint="eastAsia"/>
          <w:color w:val="auto"/>
        </w:rPr>
        <w:t>9、不发生其他有悖于政府采购公开、公平、公正和诚信原则的行为。</w:t>
      </w:r>
    </w:p>
    <w:p>
      <w:pPr>
        <w:spacing w:line="500" w:lineRule="exact"/>
        <w:rPr>
          <w:color w:val="auto"/>
        </w:rPr>
      </w:pPr>
    </w:p>
    <w:p>
      <w:pPr>
        <w:spacing w:line="500" w:lineRule="exact"/>
        <w:ind w:firstLine="5377" w:firstLineChars="1900"/>
        <w:rPr>
          <w:color w:val="auto"/>
        </w:rPr>
      </w:pPr>
      <w:r>
        <w:rPr>
          <w:rFonts w:hint="eastAsia"/>
          <w:color w:val="auto"/>
        </w:rPr>
        <w:t>供应商：</w:t>
      </w:r>
      <w:r>
        <w:rPr>
          <w:rFonts w:hint="eastAsia"/>
          <w:color w:val="auto"/>
          <w:u w:val="single"/>
        </w:rPr>
        <w:t>名称</w:t>
      </w:r>
      <w:r>
        <w:rPr>
          <w:rFonts w:hint="eastAsia"/>
          <w:color w:val="auto"/>
        </w:rPr>
        <w:t>（加盖公章）</w:t>
      </w:r>
    </w:p>
    <w:p>
      <w:pPr>
        <w:spacing w:line="500" w:lineRule="exact"/>
        <w:ind w:firstLine="566" w:firstLineChars="200"/>
        <w:rPr>
          <w:color w:val="auto"/>
        </w:rPr>
      </w:pPr>
      <w:r>
        <w:rPr>
          <w:rFonts w:hint="eastAsia"/>
          <w:color w:val="auto"/>
        </w:rPr>
        <w:t xml:space="preserve">                                    日期：　 年　月　日</w:t>
      </w:r>
    </w:p>
    <w:p>
      <w:pPr>
        <w:spacing w:line="500" w:lineRule="exact"/>
        <w:rPr>
          <w:rFonts w:ascii="仿宋" w:hAnsi="仿宋" w:eastAsia="仿宋"/>
          <w:b/>
          <w:color w:val="auto"/>
          <w:sz w:val="32"/>
          <w:szCs w:val="32"/>
        </w:rPr>
      </w:pPr>
      <w:r>
        <w:rPr>
          <w:rFonts w:hint="eastAsia"/>
          <w:color w:val="auto"/>
        </w:rPr>
        <w:br w:type="page"/>
      </w:r>
      <w:bookmarkStart w:id="407" w:name="_Toc10928_WPSOffice_Level2"/>
      <w:bookmarkStart w:id="408" w:name="_Toc16442_WPSOffice_Level2"/>
      <w:bookmarkStart w:id="409" w:name="_Toc27976_WPSOffice_Level2"/>
      <w:bookmarkStart w:id="410" w:name="_Toc16564_WPSOffice_Level2"/>
      <w:r>
        <w:rPr>
          <w:rFonts w:hint="eastAsia" w:ascii="仿宋" w:hAnsi="仿宋" w:eastAsia="仿宋" w:cs="仿宋"/>
          <w:b/>
          <w:color w:val="auto"/>
          <w:sz w:val="32"/>
          <w:szCs w:val="32"/>
        </w:rPr>
        <w:t>五、</w:t>
      </w:r>
      <w:r>
        <w:rPr>
          <w:rFonts w:ascii="仿宋" w:hAnsi="仿宋" w:eastAsia="仿宋"/>
          <w:b/>
          <w:color w:val="auto"/>
          <w:sz w:val="32"/>
          <w:szCs w:val="32"/>
        </w:rPr>
        <w:t>技术</w:t>
      </w:r>
      <w:r>
        <w:rPr>
          <w:rFonts w:hint="eastAsia" w:ascii="仿宋" w:hAnsi="仿宋" w:eastAsia="仿宋"/>
          <w:b/>
          <w:color w:val="auto"/>
          <w:sz w:val="32"/>
          <w:szCs w:val="32"/>
        </w:rPr>
        <w:t>服务偏差表</w:t>
      </w:r>
      <w:bookmarkEnd w:id="407"/>
      <w:bookmarkEnd w:id="408"/>
      <w:bookmarkEnd w:id="409"/>
      <w:bookmarkEnd w:id="410"/>
    </w:p>
    <w:tbl>
      <w:tblPr>
        <w:tblStyle w:val="23"/>
        <w:tblW w:w="929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7"/>
        <w:gridCol w:w="1698"/>
        <w:gridCol w:w="3451"/>
        <w:gridCol w:w="1320"/>
        <w:gridCol w:w="19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5" w:hRule="atLeast"/>
          <w:jc w:val="center"/>
        </w:trPr>
        <w:tc>
          <w:tcPr>
            <w:tcW w:w="867" w:type="dxa"/>
            <w:shd w:val="clear" w:color="auto" w:fill="D8D8D8"/>
            <w:vAlign w:val="center"/>
          </w:tcPr>
          <w:p>
            <w:pPr>
              <w:spacing w:line="320" w:lineRule="exact"/>
              <w:jc w:val="center"/>
              <w:rPr>
                <w:rFonts w:ascii="仿宋" w:hAnsi="仿宋" w:eastAsia="仿宋"/>
                <w:b/>
                <w:color w:val="auto"/>
                <w:sz w:val="24"/>
                <w:szCs w:val="24"/>
              </w:rPr>
            </w:pPr>
            <w:r>
              <w:rPr>
                <w:rFonts w:ascii="仿宋" w:hAnsi="仿宋" w:eastAsia="仿宋"/>
                <w:b/>
                <w:color w:val="auto"/>
                <w:sz w:val="24"/>
                <w:szCs w:val="24"/>
              </w:rPr>
              <w:t>序号</w:t>
            </w:r>
          </w:p>
        </w:tc>
        <w:tc>
          <w:tcPr>
            <w:tcW w:w="1698" w:type="dxa"/>
            <w:shd w:val="clear" w:color="auto" w:fill="D8D8D8"/>
            <w:vAlign w:val="center"/>
          </w:tcPr>
          <w:p>
            <w:pPr>
              <w:spacing w:line="320" w:lineRule="exact"/>
              <w:jc w:val="center"/>
              <w:rPr>
                <w:rFonts w:ascii="仿宋" w:hAnsi="仿宋" w:eastAsia="仿宋"/>
                <w:b/>
                <w:color w:val="auto"/>
                <w:sz w:val="24"/>
                <w:szCs w:val="24"/>
              </w:rPr>
            </w:pPr>
            <w:r>
              <w:rPr>
                <w:rFonts w:hint="eastAsia" w:ascii="仿宋" w:hAnsi="仿宋" w:eastAsia="仿宋"/>
                <w:b/>
                <w:color w:val="auto"/>
                <w:sz w:val="24"/>
                <w:szCs w:val="24"/>
              </w:rPr>
              <w:t>磋商</w:t>
            </w:r>
            <w:r>
              <w:rPr>
                <w:rFonts w:ascii="仿宋" w:hAnsi="仿宋" w:eastAsia="仿宋"/>
                <w:b/>
                <w:color w:val="auto"/>
                <w:sz w:val="24"/>
                <w:szCs w:val="24"/>
              </w:rPr>
              <w:t>文件</w:t>
            </w:r>
            <w:r>
              <w:rPr>
                <w:rFonts w:hint="eastAsia" w:ascii="仿宋" w:hAnsi="仿宋" w:eastAsia="仿宋"/>
                <w:b/>
                <w:color w:val="auto"/>
                <w:sz w:val="24"/>
                <w:szCs w:val="24"/>
              </w:rPr>
              <w:t>要求</w:t>
            </w:r>
          </w:p>
        </w:tc>
        <w:tc>
          <w:tcPr>
            <w:tcW w:w="3451" w:type="dxa"/>
            <w:shd w:val="clear" w:color="auto" w:fill="D8D8D8"/>
            <w:vAlign w:val="center"/>
          </w:tcPr>
          <w:p>
            <w:pPr>
              <w:spacing w:line="320" w:lineRule="exact"/>
              <w:jc w:val="center"/>
              <w:rPr>
                <w:rFonts w:ascii="仿宋" w:hAnsi="仿宋" w:eastAsia="仿宋"/>
                <w:b/>
                <w:color w:val="auto"/>
                <w:sz w:val="24"/>
                <w:szCs w:val="24"/>
              </w:rPr>
            </w:pPr>
            <w:r>
              <w:rPr>
                <w:rFonts w:hint="eastAsia" w:ascii="仿宋" w:hAnsi="仿宋" w:eastAsia="仿宋"/>
                <w:b/>
                <w:color w:val="auto"/>
                <w:sz w:val="24"/>
                <w:szCs w:val="24"/>
              </w:rPr>
              <w:t>响应</w:t>
            </w:r>
            <w:r>
              <w:rPr>
                <w:rFonts w:ascii="仿宋" w:hAnsi="仿宋" w:eastAsia="仿宋"/>
                <w:b/>
                <w:color w:val="auto"/>
                <w:sz w:val="24"/>
                <w:szCs w:val="24"/>
              </w:rPr>
              <w:t>文件</w:t>
            </w:r>
            <w:r>
              <w:rPr>
                <w:rFonts w:hint="eastAsia" w:ascii="仿宋" w:hAnsi="仿宋" w:eastAsia="仿宋"/>
                <w:b/>
                <w:color w:val="auto"/>
                <w:sz w:val="24"/>
                <w:szCs w:val="24"/>
              </w:rPr>
              <w:t>响应</w:t>
            </w:r>
            <w:r>
              <w:rPr>
                <w:rFonts w:ascii="仿宋" w:hAnsi="仿宋" w:eastAsia="仿宋"/>
                <w:b/>
                <w:color w:val="auto"/>
                <w:sz w:val="24"/>
                <w:szCs w:val="24"/>
              </w:rPr>
              <w:t>条款</w:t>
            </w:r>
          </w:p>
        </w:tc>
        <w:tc>
          <w:tcPr>
            <w:tcW w:w="1320" w:type="dxa"/>
            <w:shd w:val="clear" w:color="auto" w:fill="D8D8D8"/>
            <w:vAlign w:val="center"/>
          </w:tcPr>
          <w:p>
            <w:pPr>
              <w:spacing w:line="320" w:lineRule="exact"/>
              <w:jc w:val="center"/>
              <w:rPr>
                <w:rFonts w:ascii="仿宋" w:hAnsi="仿宋" w:eastAsia="仿宋"/>
                <w:b/>
                <w:color w:val="auto"/>
                <w:sz w:val="24"/>
                <w:szCs w:val="24"/>
              </w:rPr>
            </w:pPr>
            <w:r>
              <w:rPr>
                <w:rFonts w:hint="eastAsia" w:ascii="仿宋" w:hAnsi="仿宋" w:eastAsia="仿宋"/>
                <w:b/>
                <w:color w:val="auto"/>
                <w:sz w:val="24"/>
                <w:szCs w:val="24"/>
              </w:rPr>
              <w:t>偏离程度</w:t>
            </w:r>
          </w:p>
        </w:tc>
        <w:tc>
          <w:tcPr>
            <w:tcW w:w="1957" w:type="dxa"/>
            <w:shd w:val="clear" w:color="auto" w:fill="D8D8D8"/>
            <w:vAlign w:val="center"/>
          </w:tcPr>
          <w:p>
            <w:pPr>
              <w:spacing w:line="320" w:lineRule="exact"/>
              <w:jc w:val="center"/>
              <w:rPr>
                <w:rFonts w:ascii="仿宋" w:hAnsi="仿宋" w:eastAsia="仿宋"/>
                <w:b/>
                <w:color w:val="auto"/>
                <w:sz w:val="24"/>
                <w:szCs w:val="24"/>
              </w:rPr>
            </w:pPr>
            <w:r>
              <w:rPr>
                <w:rFonts w:hint="eastAsia" w:ascii="仿宋" w:hAnsi="仿宋" w:eastAsia="仿宋"/>
                <w:b/>
                <w:color w:val="auto"/>
                <w:sz w:val="24"/>
                <w:szCs w:val="24"/>
              </w:rPr>
              <w:t>偏离简述</w:t>
            </w:r>
          </w:p>
          <w:p>
            <w:pPr>
              <w:spacing w:line="320" w:lineRule="exact"/>
              <w:jc w:val="center"/>
              <w:rPr>
                <w:rFonts w:ascii="仿宋" w:hAnsi="仿宋" w:eastAsia="仿宋"/>
                <w:b/>
                <w:color w:val="auto"/>
                <w:sz w:val="24"/>
                <w:szCs w:val="24"/>
              </w:rPr>
            </w:pPr>
            <w:r>
              <w:rPr>
                <w:rFonts w:hint="eastAsia" w:ascii="仿宋" w:hAnsi="仿宋" w:eastAsia="仿宋"/>
                <w:b/>
                <w:color w:val="auto"/>
                <w:sz w:val="24"/>
                <w:szCs w:val="24"/>
              </w:rPr>
              <w:t>或相关证明材料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67" w:type="dxa"/>
            <w:vAlign w:val="center"/>
          </w:tcPr>
          <w:p>
            <w:pPr>
              <w:spacing w:line="440" w:lineRule="exact"/>
              <w:rPr>
                <w:rFonts w:ascii="仿宋" w:hAnsi="仿宋" w:eastAsia="仿宋"/>
                <w:color w:val="auto"/>
                <w:sz w:val="24"/>
                <w:szCs w:val="24"/>
              </w:rPr>
            </w:pPr>
            <w:r>
              <w:rPr>
                <w:rFonts w:hint="eastAsia" w:ascii="仿宋" w:hAnsi="仿宋" w:eastAsia="仿宋"/>
                <w:color w:val="auto"/>
                <w:sz w:val="24"/>
                <w:szCs w:val="24"/>
              </w:rPr>
              <w:t>1</w:t>
            </w:r>
          </w:p>
        </w:tc>
        <w:tc>
          <w:tcPr>
            <w:tcW w:w="1698" w:type="dxa"/>
            <w:vAlign w:val="center"/>
          </w:tcPr>
          <w:p>
            <w:pPr>
              <w:spacing w:line="440" w:lineRule="exact"/>
              <w:rPr>
                <w:rFonts w:ascii="仿宋" w:hAnsi="仿宋" w:eastAsia="仿宋"/>
                <w:color w:val="auto"/>
                <w:sz w:val="24"/>
                <w:szCs w:val="24"/>
              </w:rPr>
            </w:pPr>
          </w:p>
        </w:tc>
        <w:tc>
          <w:tcPr>
            <w:tcW w:w="3451" w:type="dxa"/>
            <w:vAlign w:val="center"/>
          </w:tcPr>
          <w:p>
            <w:pPr>
              <w:spacing w:line="440" w:lineRule="exact"/>
              <w:rPr>
                <w:rFonts w:ascii="仿宋" w:hAnsi="仿宋" w:eastAsia="仿宋"/>
                <w:color w:val="auto"/>
                <w:sz w:val="24"/>
                <w:szCs w:val="24"/>
              </w:rPr>
            </w:pPr>
          </w:p>
        </w:tc>
        <w:tc>
          <w:tcPr>
            <w:tcW w:w="1320" w:type="dxa"/>
            <w:vAlign w:val="center"/>
          </w:tcPr>
          <w:p>
            <w:pPr>
              <w:spacing w:line="440" w:lineRule="exact"/>
              <w:rPr>
                <w:rFonts w:ascii="仿宋" w:hAnsi="仿宋" w:eastAsia="仿宋"/>
                <w:color w:val="auto"/>
                <w:sz w:val="24"/>
                <w:szCs w:val="24"/>
              </w:rPr>
            </w:pPr>
          </w:p>
        </w:tc>
        <w:tc>
          <w:tcPr>
            <w:tcW w:w="1957" w:type="dxa"/>
            <w:vAlign w:val="center"/>
          </w:tcPr>
          <w:p>
            <w:pPr>
              <w:spacing w:line="440" w:lineRule="exact"/>
              <w:rPr>
                <w:rFonts w:ascii="仿宋" w:hAnsi="仿宋" w:eastAsia="仿宋"/>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67" w:type="dxa"/>
            <w:vAlign w:val="center"/>
          </w:tcPr>
          <w:p>
            <w:pPr>
              <w:spacing w:line="440" w:lineRule="exact"/>
              <w:rPr>
                <w:rFonts w:ascii="仿宋" w:hAnsi="仿宋" w:eastAsia="仿宋"/>
                <w:color w:val="auto"/>
                <w:sz w:val="24"/>
                <w:szCs w:val="24"/>
              </w:rPr>
            </w:pPr>
            <w:r>
              <w:rPr>
                <w:rFonts w:hint="eastAsia" w:ascii="仿宋" w:hAnsi="仿宋" w:eastAsia="仿宋"/>
                <w:color w:val="auto"/>
                <w:sz w:val="24"/>
                <w:szCs w:val="24"/>
              </w:rPr>
              <w:t>2</w:t>
            </w:r>
          </w:p>
        </w:tc>
        <w:tc>
          <w:tcPr>
            <w:tcW w:w="1698" w:type="dxa"/>
            <w:vAlign w:val="center"/>
          </w:tcPr>
          <w:p>
            <w:pPr>
              <w:spacing w:line="440" w:lineRule="exact"/>
              <w:rPr>
                <w:rFonts w:ascii="仿宋" w:hAnsi="仿宋" w:eastAsia="仿宋"/>
                <w:color w:val="auto"/>
                <w:sz w:val="24"/>
                <w:szCs w:val="24"/>
              </w:rPr>
            </w:pPr>
          </w:p>
        </w:tc>
        <w:tc>
          <w:tcPr>
            <w:tcW w:w="3451" w:type="dxa"/>
            <w:vAlign w:val="center"/>
          </w:tcPr>
          <w:p>
            <w:pPr>
              <w:spacing w:line="440" w:lineRule="exact"/>
              <w:rPr>
                <w:rFonts w:ascii="仿宋" w:hAnsi="仿宋" w:eastAsia="仿宋"/>
                <w:color w:val="auto"/>
                <w:sz w:val="24"/>
                <w:szCs w:val="24"/>
              </w:rPr>
            </w:pPr>
          </w:p>
        </w:tc>
        <w:tc>
          <w:tcPr>
            <w:tcW w:w="1320" w:type="dxa"/>
            <w:vAlign w:val="center"/>
          </w:tcPr>
          <w:p>
            <w:pPr>
              <w:spacing w:line="440" w:lineRule="exact"/>
              <w:rPr>
                <w:rFonts w:ascii="仿宋" w:hAnsi="仿宋" w:eastAsia="仿宋"/>
                <w:color w:val="auto"/>
                <w:sz w:val="24"/>
                <w:szCs w:val="24"/>
              </w:rPr>
            </w:pPr>
          </w:p>
        </w:tc>
        <w:tc>
          <w:tcPr>
            <w:tcW w:w="1957" w:type="dxa"/>
            <w:vAlign w:val="center"/>
          </w:tcPr>
          <w:p>
            <w:pPr>
              <w:spacing w:line="440" w:lineRule="exact"/>
              <w:rPr>
                <w:rFonts w:ascii="仿宋" w:hAnsi="仿宋" w:eastAsia="仿宋"/>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67" w:type="dxa"/>
            <w:vAlign w:val="center"/>
          </w:tcPr>
          <w:p>
            <w:pPr>
              <w:spacing w:line="440" w:lineRule="exact"/>
              <w:rPr>
                <w:rFonts w:ascii="仿宋" w:hAnsi="仿宋" w:eastAsia="仿宋"/>
                <w:color w:val="auto"/>
                <w:sz w:val="24"/>
                <w:szCs w:val="24"/>
              </w:rPr>
            </w:pPr>
            <w:r>
              <w:rPr>
                <w:rFonts w:hint="eastAsia" w:ascii="仿宋" w:hAnsi="仿宋" w:eastAsia="仿宋"/>
                <w:color w:val="auto"/>
                <w:sz w:val="24"/>
                <w:szCs w:val="24"/>
              </w:rPr>
              <w:t>3</w:t>
            </w:r>
          </w:p>
        </w:tc>
        <w:tc>
          <w:tcPr>
            <w:tcW w:w="1698" w:type="dxa"/>
            <w:vAlign w:val="center"/>
          </w:tcPr>
          <w:p>
            <w:pPr>
              <w:spacing w:line="440" w:lineRule="exact"/>
              <w:rPr>
                <w:rFonts w:ascii="仿宋" w:hAnsi="仿宋" w:eastAsia="仿宋"/>
                <w:color w:val="auto"/>
                <w:sz w:val="24"/>
                <w:szCs w:val="24"/>
              </w:rPr>
            </w:pPr>
          </w:p>
        </w:tc>
        <w:tc>
          <w:tcPr>
            <w:tcW w:w="3451" w:type="dxa"/>
            <w:vAlign w:val="center"/>
          </w:tcPr>
          <w:p>
            <w:pPr>
              <w:spacing w:line="440" w:lineRule="exact"/>
              <w:rPr>
                <w:rFonts w:ascii="仿宋" w:hAnsi="仿宋" w:eastAsia="仿宋"/>
                <w:color w:val="auto"/>
                <w:sz w:val="24"/>
                <w:szCs w:val="24"/>
              </w:rPr>
            </w:pPr>
          </w:p>
        </w:tc>
        <w:tc>
          <w:tcPr>
            <w:tcW w:w="1320" w:type="dxa"/>
            <w:vAlign w:val="center"/>
          </w:tcPr>
          <w:p>
            <w:pPr>
              <w:spacing w:line="440" w:lineRule="exact"/>
              <w:rPr>
                <w:rFonts w:ascii="仿宋" w:hAnsi="仿宋" w:eastAsia="仿宋"/>
                <w:color w:val="auto"/>
                <w:sz w:val="24"/>
                <w:szCs w:val="24"/>
              </w:rPr>
            </w:pPr>
          </w:p>
        </w:tc>
        <w:tc>
          <w:tcPr>
            <w:tcW w:w="1957" w:type="dxa"/>
            <w:vAlign w:val="center"/>
          </w:tcPr>
          <w:p>
            <w:pPr>
              <w:spacing w:line="440" w:lineRule="exact"/>
              <w:rPr>
                <w:rFonts w:ascii="仿宋" w:hAnsi="仿宋" w:eastAsia="仿宋"/>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67" w:type="dxa"/>
            <w:vAlign w:val="center"/>
          </w:tcPr>
          <w:p>
            <w:pPr>
              <w:spacing w:line="440" w:lineRule="exact"/>
              <w:rPr>
                <w:rFonts w:ascii="仿宋" w:hAnsi="仿宋" w:eastAsia="仿宋"/>
                <w:color w:val="auto"/>
                <w:sz w:val="24"/>
                <w:szCs w:val="24"/>
              </w:rPr>
            </w:pPr>
          </w:p>
        </w:tc>
        <w:tc>
          <w:tcPr>
            <w:tcW w:w="1698" w:type="dxa"/>
            <w:vAlign w:val="center"/>
          </w:tcPr>
          <w:p>
            <w:pPr>
              <w:spacing w:line="440" w:lineRule="exact"/>
              <w:rPr>
                <w:rFonts w:ascii="仿宋" w:hAnsi="仿宋" w:eastAsia="仿宋"/>
                <w:color w:val="auto"/>
                <w:sz w:val="24"/>
                <w:szCs w:val="24"/>
              </w:rPr>
            </w:pPr>
          </w:p>
        </w:tc>
        <w:tc>
          <w:tcPr>
            <w:tcW w:w="3451" w:type="dxa"/>
            <w:vAlign w:val="center"/>
          </w:tcPr>
          <w:p>
            <w:pPr>
              <w:spacing w:line="440" w:lineRule="exact"/>
              <w:rPr>
                <w:rFonts w:ascii="仿宋" w:hAnsi="仿宋" w:eastAsia="仿宋"/>
                <w:color w:val="auto"/>
                <w:sz w:val="24"/>
                <w:szCs w:val="24"/>
              </w:rPr>
            </w:pPr>
          </w:p>
        </w:tc>
        <w:tc>
          <w:tcPr>
            <w:tcW w:w="1320" w:type="dxa"/>
            <w:vAlign w:val="center"/>
          </w:tcPr>
          <w:p>
            <w:pPr>
              <w:spacing w:line="440" w:lineRule="exact"/>
              <w:rPr>
                <w:rFonts w:ascii="仿宋" w:hAnsi="仿宋" w:eastAsia="仿宋"/>
                <w:color w:val="auto"/>
                <w:sz w:val="24"/>
                <w:szCs w:val="24"/>
              </w:rPr>
            </w:pPr>
          </w:p>
        </w:tc>
        <w:tc>
          <w:tcPr>
            <w:tcW w:w="1957" w:type="dxa"/>
            <w:vAlign w:val="center"/>
          </w:tcPr>
          <w:p>
            <w:pPr>
              <w:spacing w:line="440" w:lineRule="exact"/>
              <w:rPr>
                <w:rFonts w:ascii="仿宋" w:hAnsi="仿宋" w:eastAsia="仿宋"/>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67" w:type="dxa"/>
            <w:vAlign w:val="center"/>
          </w:tcPr>
          <w:p>
            <w:pPr>
              <w:spacing w:line="440" w:lineRule="exact"/>
              <w:rPr>
                <w:rFonts w:ascii="仿宋" w:hAnsi="仿宋" w:eastAsia="仿宋"/>
                <w:color w:val="auto"/>
                <w:sz w:val="24"/>
                <w:szCs w:val="24"/>
              </w:rPr>
            </w:pPr>
          </w:p>
        </w:tc>
        <w:tc>
          <w:tcPr>
            <w:tcW w:w="1698" w:type="dxa"/>
            <w:vAlign w:val="center"/>
          </w:tcPr>
          <w:p>
            <w:pPr>
              <w:spacing w:line="440" w:lineRule="exact"/>
              <w:rPr>
                <w:rFonts w:ascii="仿宋" w:hAnsi="仿宋" w:eastAsia="仿宋"/>
                <w:color w:val="auto"/>
                <w:sz w:val="24"/>
                <w:szCs w:val="24"/>
              </w:rPr>
            </w:pPr>
          </w:p>
        </w:tc>
        <w:tc>
          <w:tcPr>
            <w:tcW w:w="3451" w:type="dxa"/>
            <w:vAlign w:val="center"/>
          </w:tcPr>
          <w:p>
            <w:pPr>
              <w:spacing w:line="440" w:lineRule="exact"/>
              <w:rPr>
                <w:rFonts w:ascii="仿宋" w:hAnsi="仿宋" w:eastAsia="仿宋"/>
                <w:color w:val="auto"/>
                <w:sz w:val="24"/>
                <w:szCs w:val="24"/>
              </w:rPr>
            </w:pPr>
          </w:p>
        </w:tc>
        <w:tc>
          <w:tcPr>
            <w:tcW w:w="1320" w:type="dxa"/>
            <w:vAlign w:val="center"/>
          </w:tcPr>
          <w:p>
            <w:pPr>
              <w:spacing w:line="440" w:lineRule="exact"/>
              <w:rPr>
                <w:rFonts w:ascii="仿宋" w:hAnsi="仿宋" w:eastAsia="仿宋"/>
                <w:color w:val="auto"/>
                <w:sz w:val="24"/>
                <w:szCs w:val="24"/>
              </w:rPr>
            </w:pPr>
          </w:p>
        </w:tc>
        <w:tc>
          <w:tcPr>
            <w:tcW w:w="1957" w:type="dxa"/>
            <w:vAlign w:val="center"/>
          </w:tcPr>
          <w:p>
            <w:pPr>
              <w:spacing w:line="440" w:lineRule="exact"/>
              <w:rPr>
                <w:rFonts w:ascii="仿宋" w:hAnsi="仿宋" w:eastAsia="仿宋"/>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67" w:type="dxa"/>
            <w:vAlign w:val="center"/>
          </w:tcPr>
          <w:p>
            <w:pPr>
              <w:spacing w:line="440" w:lineRule="exact"/>
              <w:rPr>
                <w:rFonts w:ascii="仿宋" w:hAnsi="仿宋" w:eastAsia="仿宋"/>
                <w:color w:val="auto"/>
                <w:sz w:val="24"/>
                <w:szCs w:val="24"/>
              </w:rPr>
            </w:pPr>
          </w:p>
        </w:tc>
        <w:tc>
          <w:tcPr>
            <w:tcW w:w="1698" w:type="dxa"/>
            <w:vAlign w:val="center"/>
          </w:tcPr>
          <w:p>
            <w:pPr>
              <w:spacing w:line="440" w:lineRule="exact"/>
              <w:rPr>
                <w:rFonts w:ascii="仿宋" w:hAnsi="仿宋" w:eastAsia="仿宋"/>
                <w:color w:val="auto"/>
                <w:sz w:val="24"/>
                <w:szCs w:val="24"/>
              </w:rPr>
            </w:pPr>
          </w:p>
        </w:tc>
        <w:tc>
          <w:tcPr>
            <w:tcW w:w="3451" w:type="dxa"/>
            <w:vAlign w:val="center"/>
          </w:tcPr>
          <w:p>
            <w:pPr>
              <w:spacing w:line="440" w:lineRule="exact"/>
              <w:rPr>
                <w:rFonts w:ascii="仿宋" w:hAnsi="仿宋" w:eastAsia="仿宋"/>
                <w:color w:val="auto"/>
                <w:sz w:val="24"/>
                <w:szCs w:val="24"/>
              </w:rPr>
            </w:pPr>
          </w:p>
        </w:tc>
        <w:tc>
          <w:tcPr>
            <w:tcW w:w="1320" w:type="dxa"/>
            <w:vAlign w:val="center"/>
          </w:tcPr>
          <w:p>
            <w:pPr>
              <w:spacing w:line="440" w:lineRule="exact"/>
              <w:rPr>
                <w:rFonts w:ascii="仿宋" w:hAnsi="仿宋" w:eastAsia="仿宋"/>
                <w:color w:val="auto"/>
                <w:sz w:val="24"/>
                <w:szCs w:val="24"/>
              </w:rPr>
            </w:pPr>
          </w:p>
        </w:tc>
        <w:tc>
          <w:tcPr>
            <w:tcW w:w="1957" w:type="dxa"/>
            <w:vAlign w:val="center"/>
          </w:tcPr>
          <w:p>
            <w:pPr>
              <w:spacing w:line="440" w:lineRule="exact"/>
              <w:rPr>
                <w:rFonts w:ascii="仿宋" w:hAnsi="仿宋" w:eastAsia="仿宋"/>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67" w:type="dxa"/>
            <w:vAlign w:val="center"/>
          </w:tcPr>
          <w:p>
            <w:pPr>
              <w:spacing w:line="440" w:lineRule="exact"/>
              <w:rPr>
                <w:rFonts w:ascii="仿宋" w:hAnsi="仿宋" w:eastAsia="仿宋"/>
                <w:color w:val="auto"/>
                <w:sz w:val="24"/>
                <w:szCs w:val="24"/>
              </w:rPr>
            </w:pPr>
            <w:r>
              <w:rPr>
                <w:rFonts w:hint="eastAsia" w:ascii="仿宋" w:hAnsi="仿宋" w:eastAsia="仿宋"/>
                <w:color w:val="auto"/>
                <w:sz w:val="24"/>
                <w:szCs w:val="24"/>
              </w:rPr>
              <w:t>……</w:t>
            </w:r>
          </w:p>
        </w:tc>
        <w:tc>
          <w:tcPr>
            <w:tcW w:w="1698" w:type="dxa"/>
            <w:vAlign w:val="center"/>
          </w:tcPr>
          <w:p>
            <w:pPr>
              <w:spacing w:line="440" w:lineRule="exact"/>
              <w:rPr>
                <w:rFonts w:ascii="仿宋" w:hAnsi="仿宋" w:eastAsia="仿宋"/>
                <w:color w:val="auto"/>
                <w:sz w:val="24"/>
                <w:szCs w:val="24"/>
              </w:rPr>
            </w:pPr>
          </w:p>
        </w:tc>
        <w:tc>
          <w:tcPr>
            <w:tcW w:w="3451" w:type="dxa"/>
            <w:vAlign w:val="center"/>
          </w:tcPr>
          <w:p>
            <w:pPr>
              <w:spacing w:line="440" w:lineRule="exact"/>
              <w:rPr>
                <w:rFonts w:ascii="仿宋" w:hAnsi="仿宋" w:eastAsia="仿宋"/>
                <w:color w:val="auto"/>
                <w:sz w:val="24"/>
                <w:szCs w:val="24"/>
              </w:rPr>
            </w:pPr>
          </w:p>
        </w:tc>
        <w:tc>
          <w:tcPr>
            <w:tcW w:w="1320" w:type="dxa"/>
            <w:vAlign w:val="center"/>
          </w:tcPr>
          <w:p>
            <w:pPr>
              <w:spacing w:line="440" w:lineRule="exact"/>
              <w:rPr>
                <w:rFonts w:ascii="仿宋" w:hAnsi="仿宋" w:eastAsia="仿宋"/>
                <w:color w:val="auto"/>
                <w:sz w:val="24"/>
                <w:szCs w:val="24"/>
              </w:rPr>
            </w:pPr>
          </w:p>
        </w:tc>
        <w:tc>
          <w:tcPr>
            <w:tcW w:w="1957" w:type="dxa"/>
            <w:vAlign w:val="center"/>
          </w:tcPr>
          <w:p>
            <w:pPr>
              <w:spacing w:line="440" w:lineRule="exact"/>
              <w:rPr>
                <w:rFonts w:ascii="仿宋" w:hAnsi="仿宋" w:eastAsia="仿宋"/>
                <w:color w:val="auto"/>
                <w:sz w:val="24"/>
                <w:szCs w:val="24"/>
              </w:rPr>
            </w:pPr>
          </w:p>
        </w:tc>
      </w:tr>
    </w:tbl>
    <w:p>
      <w:pPr>
        <w:tabs>
          <w:tab w:val="right" w:pos="9070"/>
        </w:tabs>
        <w:spacing w:line="240" w:lineRule="auto"/>
        <w:rPr>
          <w:rFonts w:ascii="华文仿宋" w:hAnsi="华文仿宋" w:cs="华文仿宋"/>
          <w:color w:val="auto"/>
          <w:sz w:val="24"/>
          <w:szCs w:val="24"/>
        </w:rPr>
      </w:pPr>
      <w:r>
        <w:rPr>
          <w:rFonts w:hint="eastAsia" w:ascii="华文仿宋" w:hAnsi="华文仿宋" w:cs="华文仿宋"/>
          <w:color w:val="auto"/>
          <w:sz w:val="24"/>
          <w:szCs w:val="24"/>
        </w:rPr>
        <w:t>备注：1、填写此表时以第三章“磋商内容及采购要求”各条款为基本响应要求，满足磋商文件要求的，“偏离程度”注明“0”，无需填写“偏离简述”项。超出、不满足磋商文件要求的，列出“+”、“-”偏差，并在“偏离简述”项做出详细说明；如果“偏离程度”项未填写，将视为该项指标未响应。</w:t>
      </w:r>
    </w:p>
    <w:p>
      <w:pPr>
        <w:spacing w:line="240" w:lineRule="auto"/>
        <w:ind w:left="1" w:firstLine="607" w:firstLineChars="250"/>
        <w:rPr>
          <w:rFonts w:ascii="宋体" w:hAnsi="宋体" w:eastAsia="宋体" w:cs="宋体"/>
          <w:color w:val="auto"/>
          <w:sz w:val="21"/>
          <w:szCs w:val="21"/>
        </w:rPr>
      </w:pPr>
      <w:r>
        <w:rPr>
          <w:rFonts w:hint="eastAsia" w:ascii="华文仿宋" w:hAnsi="华文仿宋" w:cs="华文仿宋"/>
          <w:color w:val="auto"/>
          <w:sz w:val="24"/>
          <w:szCs w:val="24"/>
        </w:rPr>
        <w:t>2、“响应文件响应条款”必须与响应文件中提供的证明材料的实质性响应情况相一致。若在评审环节发现该项与响应文件证明材料的实质性响应情况不一致，按无效响应处理。</w:t>
      </w:r>
    </w:p>
    <w:p>
      <w:pPr>
        <w:spacing w:line="500" w:lineRule="exact"/>
        <w:ind w:firstLine="566" w:firstLineChars="200"/>
        <w:rPr>
          <w:color w:val="auto"/>
        </w:rPr>
      </w:pPr>
      <w:bookmarkStart w:id="411" w:name="_Toc9021_WPSOffice_Level1"/>
      <w:bookmarkStart w:id="412" w:name="_Toc5795_WPSOffice_Level1"/>
      <w:bookmarkStart w:id="413" w:name="_Toc31624_WPSOffice_Level1"/>
    </w:p>
    <w:p>
      <w:pPr>
        <w:spacing w:line="500" w:lineRule="exact"/>
        <w:ind w:firstLine="5094" w:firstLineChars="1800"/>
        <w:rPr>
          <w:rFonts w:ascii="仿宋" w:hAnsi="仿宋" w:eastAsia="仿宋" w:cs="仿宋"/>
          <w:color w:val="auto"/>
        </w:rPr>
      </w:pPr>
      <w:r>
        <w:rPr>
          <w:rFonts w:hint="eastAsia" w:ascii="仿宋" w:hAnsi="仿宋" w:eastAsia="仿宋" w:cs="仿宋"/>
          <w:color w:val="auto"/>
        </w:rPr>
        <w:t>供应商：</w:t>
      </w:r>
      <w:r>
        <w:rPr>
          <w:rFonts w:hint="eastAsia" w:ascii="仿宋" w:hAnsi="仿宋" w:eastAsia="仿宋" w:cs="仿宋"/>
          <w:color w:val="auto"/>
          <w:u w:val="single"/>
        </w:rPr>
        <w:t>名称</w:t>
      </w:r>
      <w:r>
        <w:rPr>
          <w:rFonts w:hint="eastAsia" w:ascii="仿宋" w:hAnsi="仿宋" w:eastAsia="仿宋" w:cs="仿宋"/>
          <w:color w:val="auto"/>
        </w:rPr>
        <w:t>（加盖公章）</w:t>
      </w:r>
    </w:p>
    <w:p>
      <w:pPr>
        <w:tabs>
          <w:tab w:val="right" w:pos="9070"/>
        </w:tabs>
        <w:spacing w:line="500" w:lineRule="exact"/>
        <w:ind w:firstLine="5377" w:firstLineChars="1900"/>
        <w:rPr>
          <w:rFonts w:ascii="仿宋" w:hAnsi="仿宋" w:eastAsia="仿宋"/>
          <w:bCs/>
          <w:color w:val="auto"/>
        </w:rPr>
      </w:pPr>
      <w:r>
        <w:rPr>
          <w:rFonts w:hint="eastAsia" w:ascii="仿宋" w:hAnsi="仿宋" w:eastAsia="仿宋" w:cs="仿宋"/>
          <w:color w:val="auto"/>
        </w:rPr>
        <w:t>日期：　　年　月　日</w:t>
      </w:r>
      <w:r>
        <w:rPr>
          <w:rFonts w:ascii="仿宋" w:hAnsi="仿宋" w:eastAsia="仿宋"/>
          <w:bCs/>
          <w:color w:val="auto"/>
        </w:rPr>
        <w:tab/>
      </w:r>
    </w:p>
    <w:p>
      <w:pPr>
        <w:tabs>
          <w:tab w:val="right" w:pos="9070"/>
        </w:tabs>
        <w:spacing w:line="500" w:lineRule="exact"/>
        <w:ind w:firstLine="566" w:firstLineChars="200"/>
        <w:rPr>
          <w:rFonts w:ascii="仿宋" w:hAnsi="仿宋" w:eastAsia="仿宋"/>
          <w:bCs/>
          <w:color w:val="auto"/>
        </w:rPr>
      </w:pPr>
    </w:p>
    <w:p>
      <w:pPr>
        <w:spacing w:line="240" w:lineRule="auto"/>
        <w:jc w:val="left"/>
        <w:rPr>
          <w:rFonts w:ascii="仿宋" w:hAnsi="仿宋" w:eastAsia="仿宋" w:cs="仿宋"/>
          <w:b/>
          <w:color w:val="auto"/>
          <w:sz w:val="32"/>
          <w:szCs w:val="32"/>
        </w:rPr>
      </w:pPr>
    </w:p>
    <w:p>
      <w:pPr>
        <w:pStyle w:val="15"/>
        <w:rPr>
          <w:rFonts w:ascii="仿宋" w:hAnsi="仿宋" w:eastAsia="仿宋" w:cs="仿宋"/>
          <w:b/>
          <w:color w:val="auto"/>
          <w:sz w:val="32"/>
          <w:szCs w:val="32"/>
        </w:rPr>
      </w:pPr>
    </w:p>
    <w:p>
      <w:pPr>
        <w:pStyle w:val="15"/>
        <w:rPr>
          <w:rFonts w:ascii="仿宋" w:hAnsi="仿宋" w:eastAsia="仿宋" w:cs="仿宋"/>
          <w:b/>
          <w:color w:val="auto"/>
          <w:sz w:val="32"/>
          <w:szCs w:val="32"/>
        </w:rPr>
      </w:pPr>
    </w:p>
    <w:p>
      <w:pPr>
        <w:spacing w:line="240" w:lineRule="auto"/>
        <w:jc w:val="left"/>
        <w:rPr>
          <w:rFonts w:ascii="仿宋" w:hAnsi="仿宋" w:eastAsia="仿宋" w:cs="仿宋"/>
          <w:b/>
          <w:color w:val="auto"/>
          <w:sz w:val="32"/>
          <w:szCs w:val="32"/>
        </w:rPr>
      </w:pPr>
    </w:p>
    <w:p>
      <w:pPr>
        <w:pStyle w:val="15"/>
        <w:rPr>
          <w:rFonts w:ascii="仿宋" w:hAnsi="仿宋" w:eastAsia="仿宋" w:cs="仿宋"/>
          <w:b/>
          <w:color w:val="auto"/>
          <w:sz w:val="32"/>
          <w:szCs w:val="32"/>
        </w:rPr>
      </w:pPr>
    </w:p>
    <w:p>
      <w:pPr>
        <w:pStyle w:val="15"/>
        <w:rPr>
          <w:rFonts w:ascii="仿宋" w:hAnsi="仿宋" w:eastAsia="仿宋" w:cs="仿宋"/>
          <w:b/>
          <w:color w:val="auto"/>
          <w:sz w:val="32"/>
          <w:szCs w:val="32"/>
        </w:rPr>
      </w:pPr>
    </w:p>
    <w:p>
      <w:pPr>
        <w:pStyle w:val="15"/>
        <w:rPr>
          <w:rFonts w:ascii="仿宋" w:hAnsi="仿宋" w:eastAsia="仿宋" w:cs="仿宋"/>
          <w:b/>
          <w:color w:val="auto"/>
          <w:sz w:val="32"/>
          <w:szCs w:val="32"/>
        </w:rPr>
      </w:pPr>
    </w:p>
    <w:p>
      <w:pPr>
        <w:spacing w:line="240" w:lineRule="auto"/>
        <w:jc w:val="left"/>
        <w:rPr>
          <w:rFonts w:ascii="仿宋" w:hAnsi="仿宋" w:eastAsia="仿宋"/>
          <w:bCs/>
          <w:color w:val="auto"/>
        </w:rPr>
      </w:pPr>
      <w:r>
        <w:rPr>
          <w:rFonts w:hint="eastAsia" w:ascii="仿宋" w:hAnsi="仿宋" w:eastAsia="仿宋" w:cs="仿宋"/>
          <w:b/>
          <w:color w:val="auto"/>
          <w:sz w:val="32"/>
          <w:szCs w:val="32"/>
        </w:rPr>
        <w:t>六、合同</w:t>
      </w:r>
      <w:r>
        <w:rPr>
          <w:rFonts w:ascii="仿宋" w:hAnsi="仿宋" w:eastAsia="仿宋" w:cs="仿宋"/>
          <w:b/>
          <w:color w:val="auto"/>
          <w:sz w:val="32"/>
          <w:szCs w:val="32"/>
        </w:rPr>
        <w:t>条款</w:t>
      </w:r>
      <w:r>
        <w:rPr>
          <w:rFonts w:hint="eastAsia" w:ascii="仿宋" w:hAnsi="仿宋" w:eastAsia="仿宋" w:cs="仿宋"/>
          <w:b/>
          <w:color w:val="auto"/>
          <w:sz w:val="32"/>
          <w:szCs w:val="32"/>
        </w:rPr>
        <w:t>响应</w:t>
      </w:r>
    </w:p>
    <w:p>
      <w:pPr>
        <w:spacing w:line="500" w:lineRule="exact"/>
        <w:ind w:firstLine="566" w:firstLineChars="200"/>
        <w:rPr>
          <w:bCs/>
          <w:color w:val="auto"/>
        </w:rPr>
      </w:pPr>
      <w:r>
        <w:rPr>
          <w:rFonts w:hint="eastAsia"/>
          <w:bCs/>
          <w:color w:val="auto"/>
        </w:rPr>
        <w:t>完全理解并接受磋商文件中“合同基本条款”要求。</w:t>
      </w:r>
    </w:p>
    <w:p>
      <w:pPr>
        <w:pStyle w:val="22"/>
        <w:ind w:firstLine="183"/>
        <w:rPr>
          <w:color w:val="auto"/>
        </w:rPr>
      </w:pPr>
    </w:p>
    <w:p>
      <w:pPr>
        <w:spacing w:line="500" w:lineRule="exact"/>
        <w:ind w:firstLine="5094" w:firstLineChars="1800"/>
        <w:rPr>
          <w:rFonts w:ascii="仿宋" w:hAnsi="仿宋" w:eastAsia="仿宋" w:cs="仿宋"/>
          <w:color w:val="auto"/>
        </w:rPr>
      </w:pPr>
      <w:r>
        <w:rPr>
          <w:rFonts w:hint="eastAsia" w:ascii="仿宋" w:hAnsi="仿宋" w:eastAsia="仿宋" w:cs="仿宋"/>
          <w:color w:val="auto"/>
        </w:rPr>
        <w:t>供应商：</w:t>
      </w:r>
      <w:r>
        <w:rPr>
          <w:rFonts w:hint="eastAsia" w:ascii="仿宋" w:hAnsi="仿宋" w:eastAsia="仿宋" w:cs="仿宋"/>
          <w:color w:val="auto"/>
          <w:u w:val="single"/>
        </w:rPr>
        <w:t>名称</w:t>
      </w:r>
      <w:r>
        <w:rPr>
          <w:rFonts w:hint="eastAsia" w:ascii="仿宋" w:hAnsi="仿宋" w:eastAsia="仿宋" w:cs="仿宋"/>
          <w:color w:val="auto"/>
        </w:rPr>
        <w:t>（加盖公章）</w:t>
      </w:r>
    </w:p>
    <w:p>
      <w:pPr>
        <w:tabs>
          <w:tab w:val="right" w:pos="9070"/>
        </w:tabs>
        <w:spacing w:line="500" w:lineRule="exact"/>
        <w:ind w:firstLine="5377" w:firstLineChars="1900"/>
        <w:rPr>
          <w:rFonts w:ascii="仿宋" w:hAnsi="仿宋" w:eastAsia="仿宋"/>
          <w:bCs/>
          <w:color w:val="auto"/>
        </w:rPr>
      </w:pPr>
      <w:r>
        <w:rPr>
          <w:rFonts w:hint="eastAsia" w:ascii="仿宋" w:hAnsi="仿宋" w:eastAsia="仿宋" w:cs="仿宋"/>
          <w:color w:val="auto"/>
        </w:rPr>
        <w:t>日期：　　年　月　日</w:t>
      </w:r>
      <w:r>
        <w:rPr>
          <w:rFonts w:ascii="仿宋" w:hAnsi="仿宋" w:eastAsia="仿宋"/>
          <w:bCs/>
          <w:color w:val="auto"/>
        </w:rPr>
        <w:tab/>
      </w:r>
    </w:p>
    <w:p>
      <w:pPr>
        <w:pStyle w:val="22"/>
        <w:ind w:firstLine="183"/>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spacing w:line="240" w:lineRule="auto"/>
        <w:jc w:val="center"/>
        <w:rPr>
          <w:rStyle w:val="74"/>
          <w:rFonts w:ascii="黑体" w:hAnsi="黑体" w:eastAsia="黑体"/>
          <w:b w:val="0"/>
          <w:bCs w:val="0"/>
          <w:color w:val="auto"/>
        </w:rPr>
      </w:pPr>
      <w:bookmarkStart w:id="414" w:name="_Toc16711"/>
      <w:r>
        <w:rPr>
          <w:rStyle w:val="74"/>
          <w:rFonts w:hint="eastAsia" w:ascii="黑体" w:hAnsi="黑体" w:eastAsia="黑体"/>
          <w:b w:val="0"/>
          <w:bCs w:val="0"/>
          <w:color w:val="auto"/>
        </w:rPr>
        <w:t>第三部分  响应方案</w:t>
      </w:r>
      <w:bookmarkEnd w:id="411"/>
      <w:bookmarkEnd w:id="412"/>
      <w:bookmarkEnd w:id="413"/>
    </w:p>
    <w:bookmarkEnd w:id="414"/>
    <w:p>
      <w:pPr>
        <w:pStyle w:val="50"/>
        <w:spacing w:line="500" w:lineRule="exact"/>
        <w:jc w:val="both"/>
        <w:rPr>
          <w:rFonts w:ascii="仿宋" w:hAnsi="仿宋" w:eastAsia="仿宋" w:cs="仿宋"/>
          <w:bCs w:val="0"/>
          <w:color w:val="auto"/>
        </w:rPr>
      </w:pPr>
      <w:bookmarkStart w:id="415" w:name="_Toc24887"/>
      <w:bookmarkStart w:id="416" w:name="_Toc7732"/>
      <w:bookmarkStart w:id="417" w:name="_Toc28702"/>
      <w:bookmarkStart w:id="418" w:name="_Toc15660_WPSOffice_Level2"/>
      <w:bookmarkStart w:id="419" w:name="_Toc9337_WPSOffice_Level2"/>
      <w:bookmarkStart w:id="420" w:name="_Toc29975_WPSOffice_Level2"/>
      <w:bookmarkStart w:id="421" w:name="_Toc17062_WPSOffice_Level2"/>
      <w:bookmarkStart w:id="422" w:name="_Toc11555"/>
      <w:bookmarkStart w:id="423" w:name="_Toc17621"/>
      <w:bookmarkStart w:id="424" w:name="_Toc9079"/>
      <w:r>
        <w:rPr>
          <w:rFonts w:hint="eastAsia" w:ascii="仿宋" w:hAnsi="仿宋" w:eastAsia="仿宋" w:cs="仿宋"/>
          <w:bCs w:val="0"/>
          <w:color w:val="auto"/>
        </w:rPr>
        <w:t>一、供应商性质及其概况</w:t>
      </w:r>
      <w:bookmarkEnd w:id="415"/>
      <w:bookmarkEnd w:id="416"/>
      <w:bookmarkEnd w:id="417"/>
      <w:bookmarkEnd w:id="418"/>
      <w:bookmarkEnd w:id="419"/>
      <w:bookmarkEnd w:id="420"/>
      <w:bookmarkEnd w:id="421"/>
      <w:bookmarkEnd w:id="422"/>
      <w:bookmarkEnd w:id="423"/>
      <w:bookmarkEnd w:id="424"/>
    </w:p>
    <w:p>
      <w:pPr>
        <w:spacing w:line="500" w:lineRule="exact"/>
        <w:ind w:firstLine="566" w:firstLineChars="200"/>
        <w:rPr>
          <w:rFonts w:ascii="仿宋" w:hAnsi="仿宋" w:eastAsia="仿宋" w:cs="仿宋"/>
          <w:b/>
          <w:color w:val="auto"/>
        </w:rPr>
      </w:pPr>
      <w:bookmarkStart w:id="425" w:name="_Toc27223_WPSOffice_Level3"/>
      <w:r>
        <w:rPr>
          <w:rFonts w:hint="eastAsia"/>
          <w:b/>
          <w:color w:val="auto"/>
        </w:rPr>
        <w:t>（</w:t>
      </w:r>
      <w:r>
        <w:rPr>
          <w:b/>
          <w:color w:val="auto"/>
        </w:rPr>
        <w:t>一</w:t>
      </w:r>
      <w:r>
        <w:rPr>
          <w:rFonts w:hint="eastAsia"/>
          <w:b/>
          <w:color w:val="auto"/>
        </w:rPr>
        <w:t>）供应</w:t>
      </w:r>
      <w:r>
        <w:rPr>
          <w:b/>
          <w:color w:val="auto"/>
        </w:rPr>
        <w:t>商基本信息</w:t>
      </w:r>
      <w:bookmarkEnd w:id="425"/>
    </w:p>
    <w:tbl>
      <w:tblPr>
        <w:tblStyle w:val="23"/>
        <w:tblW w:w="9180" w:type="dxa"/>
        <w:jc w:val="center"/>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1686"/>
        <w:gridCol w:w="1239"/>
        <w:gridCol w:w="1770"/>
        <w:gridCol w:w="1395"/>
        <w:gridCol w:w="1692"/>
        <w:gridCol w:w="1398"/>
      </w:tblGrid>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9180" w:type="dxa"/>
            <w:gridSpan w:val="6"/>
            <w:tcBorders>
              <w:top w:val="single" w:color="auto" w:sz="12" w:space="0"/>
              <w:left w:val="single" w:color="auto" w:sz="12" w:space="0"/>
              <w:bottom w:val="single" w:color="auto" w:sz="6" w:space="0"/>
              <w:right w:val="single" w:color="auto" w:sz="12" w:space="0"/>
            </w:tcBorders>
            <w:shd w:val="clear" w:color="auto" w:fill="E5B8B7"/>
            <w:vAlign w:val="center"/>
          </w:tcPr>
          <w:p>
            <w:pPr>
              <w:autoSpaceDE w:val="0"/>
              <w:autoSpaceDN w:val="0"/>
              <w:adjustRightInd w:val="0"/>
              <w:spacing w:line="320" w:lineRule="exact"/>
              <w:jc w:val="center"/>
              <w:rPr>
                <w:rFonts w:ascii="仿宋" w:hAnsi="仿宋" w:eastAsia="仿宋" w:cs="仿宋"/>
                <w:color w:val="auto"/>
                <w:kern w:val="0"/>
                <w:sz w:val="24"/>
                <w:szCs w:val="24"/>
              </w:rPr>
            </w:pPr>
            <w:r>
              <w:rPr>
                <w:rFonts w:hint="eastAsia" w:ascii="仿宋" w:hAnsi="仿宋" w:eastAsia="仿宋" w:cs="仿宋"/>
                <w:color w:val="auto"/>
                <w:kern w:val="0"/>
                <w:sz w:val="24"/>
                <w:szCs w:val="24"/>
              </w:rPr>
              <w:t>单位基本情况</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1686" w:type="dxa"/>
            <w:tcBorders>
              <w:top w:val="single" w:color="auto" w:sz="6" w:space="0"/>
              <w:left w:val="single" w:color="auto" w:sz="12" w:space="0"/>
              <w:bottom w:val="single" w:color="auto" w:sz="6" w:space="0"/>
            </w:tcBorders>
            <w:vAlign w:val="center"/>
          </w:tcPr>
          <w:p>
            <w:pPr>
              <w:autoSpaceDE w:val="0"/>
              <w:autoSpaceDN w:val="0"/>
              <w:adjustRightInd w:val="0"/>
              <w:spacing w:line="320" w:lineRule="exact"/>
              <w:jc w:val="center"/>
              <w:rPr>
                <w:rFonts w:ascii="仿宋" w:hAnsi="仿宋" w:eastAsia="仿宋" w:cs="仿宋"/>
                <w:color w:val="auto"/>
                <w:kern w:val="0"/>
                <w:sz w:val="24"/>
                <w:szCs w:val="24"/>
              </w:rPr>
            </w:pPr>
            <w:r>
              <w:rPr>
                <w:rFonts w:hint="eastAsia" w:ascii="仿宋" w:hAnsi="仿宋" w:eastAsia="仿宋" w:cs="仿宋"/>
                <w:color w:val="auto"/>
                <w:kern w:val="0"/>
                <w:sz w:val="24"/>
                <w:szCs w:val="24"/>
              </w:rPr>
              <w:t>供应商全称</w:t>
            </w:r>
          </w:p>
        </w:tc>
        <w:tc>
          <w:tcPr>
            <w:tcW w:w="7494" w:type="dxa"/>
            <w:gridSpan w:val="5"/>
            <w:tcBorders>
              <w:top w:val="single" w:color="auto" w:sz="6" w:space="0"/>
              <w:bottom w:val="single" w:color="auto" w:sz="6" w:space="0"/>
              <w:right w:val="single" w:color="auto" w:sz="12" w:space="0"/>
            </w:tcBorders>
            <w:vAlign w:val="center"/>
          </w:tcPr>
          <w:p>
            <w:pPr>
              <w:autoSpaceDE w:val="0"/>
              <w:autoSpaceDN w:val="0"/>
              <w:adjustRightInd w:val="0"/>
              <w:spacing w:line="320" w:lineRule="exact"/>
              <w:jc w:val="center"/>
              <w:rPr>
                <w:rFonts w:ascii="仿宋" w:hAnsi="仿宋" w:eastAsia="仿宋" w:cs="仿宋"/>
                <w:color w:val="auto"/>
                <w:kern w:val="0"/>
                <w:sz w:val="24"/>
                <w:szCs w:val="24"/>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1686" w:type="dxa"/>
            <w:tcBorders>
              <w:top w:val="single" w:color="auto" w:sz="6" w:space="0"/>
              <w:left w:val="single" w:color="auto" w:sz="12" w:space="0"/>
            </w:tcBorders>
            <w:vAlign w:val="center"/>
          </w:tcPr>
          <w:p>
            <w:pPr>
              <w:autoSpaceDE w:val="0"/>
              <w:autoSpaceDN w:val="0"/>
              <w:adjustRightInd w:val="0"/>
              <w:spacing w:line="320" w:lineRule="exact"/>
              <w:jc w:val="center"/>
              <w:rPr>
                <w:rFonts w:ascii="仿宋" w:hAnsi="仿宋" w:eastAsia="仿宋" w:cs="仿宋"/>
                <w:color w:val="auto"/>
                <w:kern w:val="0"/>
                <w:sz w:val="24"/>
                <w:szCs w:val="24"/>
              </w:rPr>
            </w:pPr>
            <w:r>
              <w:rPr>
                <w:rFonts w:hint="eastAsia" w:ascii="仿宋" w:hAnsi="仿宋" w:eastAsia="仿宋" w:cs="仿宋"/>
                <w:color w:val="auto"/>
                <w:kern w:val="0"/>
                <w:sz w:val="24"/>
                <w:szCs w:val="24"/>
              </w:rPr>
              <w:t>注册地址</w:t>
            </w:r>
          </w:p>
        </w:tc>
        <w:tc>
          <w:tcPr>
            <w:tcW w:w="3009" w:type="dxa"/>
            <w:gridSpan w:val="2"/>
            <w:tcBorders>
              <w:top w:val="single" w:color="auto" w:sz="6" w:space="0"/>
            </w:tcBorders>
            <w:vAlign w:val="center"/>
          </w:tcPr>
          <w:p>
            <w:pPr>
              <w:autoSpaceDE w:val="0"/>
              <w:autoSpaceDN w:val="0"/>
              <w:adjustRightInd w:val="0"/>
              <w:spacing w:line="320" w:lineRule="exact"/>
              <w:jc w:val="center"/>
              <w:rPr>
                <w:rFonts w:ascii="仿宋" w:hAnsi="仿宋" w:eastAsia="仿宋" w:cs="仿宋"/>
                <w:color w:val="auto"/>
                <w:kern w:val="0"/>
                <w:sz w:val="24"/>
                <w:szCs w:val="24"/>
              </w:rPr>
            </w:pPr>
          </w:p>
        </w:tc>
        <w:tc>
          <w:tcPr>
            <w:tcW w:w="1395" w:type="dxa"/>
            <w:tcBorders>
              <w:top w:val="single" w:color="auto" w:sz="6" w:space="0"/>
            </w:tcBorders>
            <w:vAlign w:val="center"/>
          </w:tcPr>
          <w:p>
            <w:pPr>
              <w:autoSpaceDE w:val="0"/>
              <w:autoSpaceDN w:val="0"/>
              <w:adjustRightInd w:val="0"/>
              <w:spacing w:line="320" w:lineRule="exact"/>
              <w:jc w:val="center"/>
              <w:rPr>
                <w:rFonts w:ascii="仿宋" w:hAnsi="仿宋" w:eastAsia="仿宋" w:cs="仿宋"/>
                <w:color w:val="auto"/>
                <w:kern w:val="0"/>
                <w:sz w:val="24"/>
                <w:szCs w:val="24"/>
              </w:rPr>
            </w:pPr>
            <w:r>
              <w:rPr>
                <w:rFonts w:hint="eastAsia" w:ascii="仿宋" w:hAnsi="仿宋" w:eastAsia="仿宋" w:cs="仿宋"/>
                <w:color w:val="auto"/>
                <w:kern w:val="0"/>
                <w:sz w:val="24"/>
                <w:szCs w:val="24"/>
              </w:rPr>
              <w:t>成立时间</w:t>
            </w:r>
          </w:p>
        </w:tc>
        <w:tc>
          <w:tcPr>
            <w:tcW w:w="3090" w:type="dxa"/>
            <w:gridSpan w:val="2"/>
            <w:tcBorders>
              <w:top w:val="single" w:color="auto" w:sz="6" w:space="0"/>
              <w:right w:val="single" w:color="auto" w:sz="12" w:space="0"/>
            </w:tcBorders>
            <w:vAlign w:val="center"/>
          </w:tcPr>
          <w:p>
            <w:pPr>
              <w:autoSpaceDE w:val="0"/>
              <w:autoSpaceDN w:val="0"/>
              <w:adjustRightInd w:val="0"/>
              <w:spacing w:line="320" w:lineRule="exact"/>
              <w:jc w:val="center"/>
              <w:rPr>
                <w:rFonts w:ascii="仿宋" w:hAnsi="仿宋" w:eastAsia="仿宋" w:cs="仿宋"/>
                <w:color w:val="auto"/>
                <w:kern w:val="0"/>
                <w:sz w:val="24"/>
                <w:szCs w:val="24"/>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1686" w:type="dxa"/>
            <w:tcBorders>
              <w:left w:val="single" w:color="auto" w:sz="12" w:space="0"/>
            </w:tcBorders>
            <w:vAlign w:val="center"/>
          </w:tcPr>
          <w:p>
            <w:pPr>
              <w:autoSpaceDE w:val="0"/>
              <w:autoSpaceDN w:val="0"/>
              <w:adjustRightInd w:val="0"/>
              <w:spacing w:line="320" w:lineRule="exact"/>
              <w:jc w:val="center"/>
              <w:rPr>
                <w:rFonts w:ascii="仿宋" w:hAnsi="仿宋" w:eastAsia="仿宋" w:cs="仿宋"/>
                <w:color w:val="auto"/>
                <w:kern w:val="0"/>
                <w:sz w:val="24"/>
                <w:szCs w:val="24"/>
              </w:rPr>
            </w:pPr>
            <w:r>
              <w:rPr>
                <w:rFonts w:hint="eastAsia" w:ascii="仿宋" w:hAnsi="仿宋" w:eastAsia="仿宋" w:cs="仿宋"/>
                <w:color w:val="auto"/>
                <w:kern w:val="0"/>
                <w:sz w:val="24"/>
                <w:szCs w:val="24"/>
              </w:rPr>
              <w:t>登记证号</w:t>
            </w:r>
          </w:p>
        </w:tc>
        <w:tc>
          <w:tcPr>
            <w:tcW w:w="3009" w:type="dxa"/>
            <w:gridSpan w:val="2"/>
            <w:vAlign w:val="center"/>
          </w:tcPr>
          <w:p>
            <w:pPr>
              <w:autoSpaceDE w:val="0"/>
              <w:autoSpaceDN w:val="0"/>
              <w:adjustRightInd w:val="0"/>
              <w:spacing w:line="320" w:lineRule="exact"/>
              <w:jc w:val="center"/>
              <w:rPr>
                <w:rFonts w:ascii="仿宋" w:hAnsi="仿宋" w:eastAsia="仿宋" w:cs="仿宋"/>
                <w:color w:val="auto"/>
                <w:kern w:val="0"/>
                <w:sz w:val="24"/>
                <w:szCs w:val="24"/>
              </w:rPr>
            </w:pPr>
          </w:p>
        </w:tc>
        <w:tc>
          <w:tcPr>
            <w:tcW w:w="1395" w:type="dxa"/>
            <w:vAlign w:val="center"/>
          </w:tcPr>
          <w:p>
            <w:pPr>
              <w:autoSpaceDE w:val="0"/>
              <w:autoSpaceDN w:val="0"/>
              <w:adjustRightInd w:val="0"/>
              <w:spacing w:line="320" w:lineRule="exact"/>
              <w:jc w:val="center"/>
              <w:rPr>
                <w:rFonts w:ascii="仿宋" w:hAnsi="仿宋" w:eastAsia="仿宋" w:cs="仿宋"/>
                <w:color w:val="auto"/>
                <w:kern w:val="0"/>
                <w:sz w:val="24"/>
                <w:szCs w:val="24"/>
              </w:rPr>
            </w:pPr>
            <w:r>
              <w:rPr>
                <w:rFonts w:hint="eastAsia" w:ascii="仿宋" w:hAnsi="仿宋" w:eastAsia="仿宋" w:cs="仿宋"/>
                <w:color w:val="auto"/>
                <w:kern w:val="0"/>
                <w:sz w:val="24"/>
                <w:szCs w:val="24"/>
              </w:rPr>
              <w:t>单位性质</w:t>
            </w:r>
          </w:p>
        </w:tc>
        <w:tc>
          <w:tcPr>
            <w:tcW w:w="3090" w:type="dxa"/>
            <w:gridSpan w:val="2"/>
            <w:tcBorders>
              <w:right w:val="single" w:color="auto" w:sz="12" w:space="0"/>
            </w:tcBorders>
            <w:vAlign w:val="center"/>
          </w:tcPr>
          <w:p>
            <w:pPr>
              <w:autoSpaceDE w:val="0"/>
              <w:autoSpaceDN w:val="0"/>
              <w:adjustRightInd w:val="0"/>
              <w:spacing w:line="320" w:lineRule="exact"/>
              <w:jc w:val="center"/>
              <w:rPr>
                <w:rFonts w:ascii="仿宋" w:hAnsi="仿宋" w:eastAsia="仿宋" w:cs="仿宋"/>
                <w:color w:val="auto"/>
                <w:kern w:val="0"/>
                <w:sz w:val="24"/>
                <w:szCs w:val="24"/>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1686" w:type="dxa"/>
            <w:tcBorders>
              <w:left w:val="single" w:color="auto" w:sz="12" w:space="0"/>
            </w:tcBorders>
            <w:vAlign w:val="center"/>
          </w:tcPr>
          <w:p>
            <w:pPr>
              <w:autoSpaceDE w:val="0"/>
              <w:autoSpaceDN w:val="0"/>
              <w:adjustRightInd w:val="0"/>
              <w:spacing w:line="320" w:lineRule="exact"/>
              <w:jc w:val="center"/>
              <w:rPr>
                <w:rFonts w:ascii="仿宋" w:hAnsi="仿宋" w:eastAsia="仿宋" w:cs="仿宋"/>
                <w:color w:val="auto"/>
                <w:kern w:val="0"/>
                <w:sz w:val="24"/>
                <w:szCs w:val="24"/>
              </w:rPr>
            </w:pPr>
            <w:r>
              <w:rPr>
                <w:rFonts w:hint="eastAsia" w:ascii="仿宋" w:hAnsi="仿宋" w:eastAsia="仿宋" w:cs="仿宋"/>
                <w:color w:val="auto"/>
                <w:kern w:val="0"/>
                <w:sz w:val="24"/>
                <w:szCs w:val="24"/>
              </w:rPr>
              <w:t>法定代表人</w:t>
            </w:r>
          </w:p>
          <w:p>
            <w:pPr>
              <w:autoSpaceDE w:val="0"/>
              <w:autoSpaceDN w:val="0"/>
              <w:adjustRightInd w:val="0"/>
              <w:spacing w:line="320" w:lineRule="exact"/>
              <w:jc w:val="center"/>
              <w:rPr>
                <w:rFonts w:ascii="仿宋" w:hAnsi="仿宋" w:eastAsia="仿宋" w:cs="仿宋"/>
                <w:color w:val="auto"/>
                <w:kern w:val="0"/>
                <w:sz w:val="24"/>
                <w:szCs w:val="24"/>
              </w:rPr>
            </w:pPr>
            <w:r>
              <w:rPr>
                <w:rFonts w:hint="eastAsia" w:ascii="仿宋" w:hAnsi="仿宋" w:eastAsia="仿宋" w:cs="仿宋"/>
                <w:color w:val="auto"/>
                <w:kern w:val="0"/>
                <w:sz w:val="24"/>
                <w:szCs w:val="24"/>
              </w:rPr>
              <w:t>(主要负责人)</w:t>
            </w:r>
          </w:p>
        </w:tc>
        <w:tc>
          <w:tcPr>
            <w:tcW w:w="3009" w:type="dxa"/>
            <w:gridSpan w:val="2"/>
            <w:vAlign w:val="center"/>
          </w:tcPr>
          <w:p>
            <w:pPr>
              <w:autoSpaceDE w:val="0"/>
              <w:autoSpaceDN w:val="0"/>
              <w:adjustRightInd w:val="0"/>
              <w:spacing w:line="320" w:lineRule="exact"/>
              <w:jc w:val="center"/>
              <w:rPr>
                <w:rFonts w:ascii="仿宋" w:hAnsi="仿宋" w:eastAsia="仿宋" w:cs="仿宋"/>
                <w:color w:val="auto"/>
                <w:kern w:val="0"/>
                <w:sz w:val="24"/>
                <w:szCs w:val="24"/>
              </w:rPr>
            </w:pPr>
          </w:p>
        </w:tc>
        <w:tc>
          <w:tcPr>
            <w:tcW w:w="1395" w:type="dxa"/>
            <w:vAlign w:val="center"/>
          </w:tcPr>
          <w:p>
            <w:pPr>
              <w:autoSpaceDE w:val="0"/>
              <w:autoSpaceDN w:val="0"/>
              <w:adjustRightInd w:val="0"/>
              <w:spacing w:line="320" w:lineRule="exact"/>
              <w:jc w:val="center"/>
              <w:rPr>
                <w:rFonts w:ascii="仿宋" w:hAnsi="仿宋" w:eastAsia="仿宋" w:cs="仿宋"/>
                <w:color w:val="auto"/>
                <w:kern w:val="0"/>
                <w:sz w:val="24"/>
                <w:szCs w:val="24"/>
              </w:rPr>
            </w:pPr>
            <w:r>
              <w:rPr>
                <w:rFonts w:hint="eastAsia" w:ascii="仿宋" w:hAnsi="仿宋" w:eastAsia="仿宋" w:cs="仿宋"/>
                <w:color w:val="auto"/>
                <w:kern w:val="0"/>
                <w:sz w:val="24"/>
                <w:szCs w:val="24"/>
              </w:rPr>
              <w:t>所属行业</w:t>
            </w:r>
          </w:p>
        </w:tc>
        <w:tc>
          <w:tcPr>
            <w:tcW w:w="3090" w:type="dxa"/>
            <w:gridSpan w:val="2"/>
            <w:tcBorders>
              <w:right w:val="single" w:color="auto" w:sz="12" w:space="0"/>
            </w:tcBorders>
            <w:vAlign w:val="center"/>
          </w:tcPr>
          <w:p>
            <w:pPr>
              <w:autoSpaceDE w:val="0"/>
              <w:autoSpaceDN w:val="0"/>
              <w:adjustRightInd w:val="0"/>
              <w:spacing w:line="320" w:lineRule="exact"/>
              <w:jc w:val="center"/>
              <w:rPr>
                <w:rFonts w:ascii="仿宋" w:hAnsi="仿宋" w:eastAsia="仿宋" w:cs="仿宋"/>
                <w:color w:val="auto"/>
                <w:kern w:val="0"/>
                <w:sz w:val="24"/>
                <w:szCs w:val="24"/>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1686" w:type="dxa"/>
            <w:tcBorders>
              <w:left w:val="single" w:color="auto" w:sz="12" w:space="0"/>
            </w:tcBorders>
            <w:vAlign w:val="center"/>
          </w:tcPr>
          <w:p>
            <w:pPr>
              <w:autoSpaceDE w:val="0"/>
              <w:autoSpaceDN w:val="0"/>
              <w:adjustRightInd w:val="0"/>
              <w:spacing w:line="320" w:lineRule="exact"/>
              <w:jc w:val="center"/>
              <w:rPr>
                <w:rFonts w:ascii="仿宋" w:hAnsi="仿宋" w:eastAsia="仿宋" w:cs="仿宋"/>
                <w:color w:val="auto"/>
                <w:kern w:val="0"/>
                <w:sz w:val="24"/>
                <w:szCs w:val="24"/>
              </w:rPr>
            </w:pPr>
            <w:r>
              <w:rPr>
                <w:rFonts w:hint="eastAsia" w:ascii="仿宋" w:hAnsi="仿宋" w:eastAsia="仿宋" w:cs="仿宋"/>
                <w:color w:val="auto"/>
                <w:kern w:val="0"/>
                <w:sz w:val="24"/>
                <w:szCs w:val="24"/>
              </w:rPr>
              <w:t>上年度</w:t>
            </w:r>
            <w:r>
              <w:rPr>
                <w:rFonts w:hint="eastAsia" w:ascii="仿宋" w:hAnsi="仿宋" w:eastAsia="仿宋" w:cs="仿宋"/>
                <w:color w:val="auto"/>
                <w:kern w:val="0"/>
                <w:sz w:val="24"/>
                <w:szCs w:val="24"/>
              </w:rPr>
              <w:br w:type="textWrapping"/>
            </w:r>
            <w:r>
              <w:rPr>
                <w:rFonts w:hint="eastAsia" w:ascii="仿宋" w:hAnsi="仿宋" w:eastAsia="仿宋" w:cs="仿宋"/>
                <w:color w:val="auto"/>
                <w:kern w:val="0"/>
                <w:sz w:val="24"/>
                <w:szCs w:val="24"/>
              </w:rPr>
              <w:t>营业收入</w:t>
            </w:r>
          </w:p>
        </w:tc>
        <w:tc>
          <w:tcPr>
            <w:tcW w:w="3009" w:type="dxa"/>
            <w:gridSpan w:val="2"/>
            <w:vAlign w:val="center"/>
          </w:tcPr>
          <w:p>
            <w:pPr>
              <w:autoSpaceDE w:val="0"/>
              <w:autoSpaceDN w:val="0"/>
              <w:adjustRightInd w:val="0"/>
              <w:spacing w:line="320" w:lineRule="exact"/>
              <w:jc w:val="center"/>
              <w:rPr>
                <w:rFonts w:ascii="仿宋" w:hAnsi="仿宋" w:eastAsia="仿宋" w:cs="仿宋"/>
                <w:color w:val="auto"/>
                <w:kern w:val="0"/>
                <w:sz w:val="24"/>
                <w:szCs w:val="24"/>
              </w:rPr>
            </w:pPr>
          </w:p>
        </w:tc>
        <w:tc>
          <w:tcPr>
            <w:tcW w:w="1395" w:type="dxa"/>
            <w:vAlign w:val="center"/>
          </w:tcPr>
          <w:p>
            <w:pPr>
              <w:autoSpaceDE w:val="0"/>
              <w:autoSpaceDN w:val="0"/>
              <w:adjustRightInd w:val="0"/>
              <w:spacing w:line="320" w:lineRule="exact"/>
              <w:jc w:val="center"/>
              <w:rPr>
                <w:rFonts w:ascii="仿宋" w:hAnsi="仿宋" w:eastAsia="仿宋" w:cs="仿宋"/>
                <w:color w:val="auto"/>
                <w:kern w:val="0"/>
                <w:sz w:val="24"/>
                <w:szCs w:val="24"/>
              </w:rPr>
            </w:pPr>
            <w:r>
              <w:rPr>
                <w:rFonts w:hint="eastAsia" w:ascii="仿宋" w:hAnsi="仿宋" w:eastAsia="仿宋" w:cs="仿宋"/>
                <w:color w:val="auto"/>
                <w:kern w:val="0"/>
                <w:sz w:val="24"/>
                <w:szCs w:val="24"/>
              </w:rPr>
              <w:t>资产总额</w:t>
            </w:r>
          </w:p>
        </w:tc>
        <w:tc>
          <w:tcPr>
            <w:tcW w:w="3090" w:type="dxa"/>
            <w:gridSpan w:val="2"/>
            <w:tcBorders>
              <w:right w:val="single" w:color="auto" w:sz="12" w:space="0"/>
            </w:tcBorders>
            <w:vAlign w:val="center"/>
          </w:tcPr>
          <w:p>
            <w:pPr>
              <w:autoSpaceDE w:val="0"/>
              <w:autoSpaceDN w:val="0"/>
              <w:adjustRightInd w:val="0"/>
              <w:spacing w:line="320" w:lineRule="exact"/>
              <w:jc w:val="center"/>
              <w:rPr>
                <w:rFonts w:ascii="仿宋" w:hAnsi="仿宋" w:eastAsia="仿宋" w:cs="仿宋"/>
                <w:color w:val="auto"/>
                <w:kern w:val="0"/>
                <w:sz w:val="24"/>
                <w:szCs w:val="24"/>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686" w:type="dxa"/>
            <w:tcBorders>
              <w:left w:val="single" w:color="auto" w:sz="12" w:space="0"/>
            </w:tcBorders>
            <w:vAlign w:val="center"/>
          </w:tcPr>
          <w:p>
            <w:pPr>
              <w:autoSpaceDE w:val="0"/>
              <w:autoSpaceDN w:val="0"/>
              <w:adjustRightInd w:val="0"/>
              <w:spacing w:line="320" w:lineRule="exact"/>
              <w:jc w:val="center"/>
              <w:rPr>
                <w:rFonts w:ascii="仿宋" w:hAnsi="仿宋" w:eastAsia="仿宋" w:cs="仿宋"/>
                <w:color w:val="auto"/>
                <w:kern w:val="0"/>
                <w:sz w:val="24"/>
                <w:szCs w:val="24"/>
              </w:rPr>
            </w:pPr>
            <w:r>
              <w:rPr>
                <w:rFonts w:hint="eastAsia" w:ascii="仿宋" w:hAnsi="仿宋" w:eastAsia="仿宋" w:cs="仿宋"/>
                <w:color w:val="auto"/>
                <w:kern w:val="0"/>
                <w:sz w:val="24"/>
                <w:szCs w:val="24"/>
              </w:rPr>
              <w:t>所获得资质及等级(国家行政部门颁发)</w:t>
            </w:r>
          </w:p>
        </w:tc>
        <w:tc>
          <w:tcPr>
            <w:tcW w:w="7494" w:type="dxa"/>
            <w:gridSpan w:val="5"/>
            <w:tcBorders>
              <w:right w:val="single" w:color="auto" w:sz="12" w:space="0"/>
            </w:tcBorders>
            <w:vAlign w:val="center"/>
          </w:tcPr>
          <w:p>
            <w:pPr>
              <w:autoSpaceDE w:val="0"/>
              <w:autoSpaceDN w:val="0"/>
              <w:adjustRightInd w:val="0"/>
              <w:spacing w:line="320" w:lineRule="exact"/>
              <w:rPr>
                <w:rFonts w:ascii="仿宋" w:hAnsi="仿宋" w:eastAsia="仿宋" w:cs="仿宋"/>
                <w:color w:val="auto"/>
                <w:kern w:val="0"/>
                <w:sz w:val="24"/>
                <w:szCs w:val="24"/>
              </w:rPr>
            </w:pPr>
          </w:p>
          <w:p>
            <w:pPr>
              <w:autoSpaceDE w:val="0"/>
              <w:autoSpaceDN w:val="0"/>
              <w:adjustRightInd w:val="0"/>
              <w:spacing w:line="320" w:lineRule="exact"/>
              <w:rPr>
                <w:rFonts w:ascii="仿宋" w:hAnsi="仿宋" w:eastAsia="仿宋" w:cs="仿宋"/>
                <w:color w:val="auto"/>
                <w:kern w:val="0"/>
                <w:sz w:val="24"/>
                <w:szCs w:val="24"/>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624" w:hRule="atLeast"/>
          <w:jc w:val="center"/>
        </w:trPr>
        <w:tc>
          <w:tcPr>
            <w:tcW w:w="1686" w:type="dxa"/>
            <w:tcBorders>
              <w:left w:val="single" w:color="auto" w:sz="12" w:space="0"/>
            </w:tcBorders>
            <w:vAlign w:val="center"/>
          </w:tcPr>
          <w:p>
            <w:pPr>
              <w:autoSpaceDE w:val="0"/>
              <w:autoSpaceDN w:val="0"/>
              <w:adjustRightInd w:val="0"/>
              <w:spacing w:line="320" w:lineRule="exact"/>
              <w:jc w:val="center"/>
              <w:rPr>
                <w:rFonts w:ascii="仿宋" w:hAnsi="仿宋" w:eastAsia="仿宋" w:cs="仿宋"/>
                <w:color w:val="auto"/>
                <w:kern w:val="0"/>
                <w:sz w:val="24"/>
                <w:szCs w:val="24"/>
              </w:rPr>
            </w:pPr>
            <w:r>
              <w:rPr>
                <w:rFonts w:hint="eastAsia" w:ascii="仿宋" w:hAnsi="仿宋" w:eastAsia="仿宋" w:cs="仿宋"/>
                <w:color w:val="auto"/>
                <w:kern w:val="0"/>
                <w:sz w:val="24"/>
                <w:szCs w:val="24"/>
              </w:rPr>
              <w:t>经营范围</w:t>
            </w:r>
          </w:p>
        </w:tc>
        <w:tc>
          <w:tcPr>
            <w:tcW w:w="7494" w:type="dxa"/>
            <w:gridSpan w:val="5"/>
            <w:tcBorders>
              <w:right w:val="single" w:color="auto" w:sz="12" w:space="0"/>
            </w:tcBorders>
            <w:vAlign w:val="center"/>
          </w:tcPr>
          <w:p>
            <w:pPr>
              <w:autoSpaceDE w:val="0"/>
              <w:autoSpaceDN w:val="0"/>
              <w:adjustRightInd w:val="0"/>
              <w:spacing w:line="320" w:lineRule="exact"/>
              <w:rPr>
                <w:rFonts w:ascii="仿宋" w:hAnsi="仿宋" w:eastAsia="仿宋" w:cs="仿宋"/>
                <w:color w:val="auto"/>
                <w:kern w:val="0"/>
                <w:sz w:val="24"/>
                <w:szCs w:val="24"/>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9180" w:type="dxa"/>
            <w:gridSpan w:val="6"/>
            <w:tcBorders>
              <w:left w:val="single" w:color="auto" w:sz="12" w:space="0"/>
              <w:right w:val="single" w:color="auto" w:sz="12" w:space="0"/>
            </w:tcBorders>
            <w:shd w:val="clear" w:color="auto" w:fill="E5B8B7"/>
            <w:vAlign w:val="center"/>
          </w:tcPr>
          <w:p>
            <w:pPr>
              <w:autoSpaceDE w:val="0"/>
              <w:autoSpaceDN w:val="0"/>
              <w:adjustRightInd w:val="0"/>
              <w:spacing w:line="320" w:lineRule="exact"/>
              <w:jc w:val="center"/>
              <w:rPr>
                <w:rFonts w:ascii="仿宋" w:hAnsi="仿宋" w:eastAsia="仿宋" w:cs="仿宋"/>
                <w:color w:val="auto"/>
                <w:kern w:val="0"/>
                <w:sz w:val="24"/>
                <w:szCs w:val="24"/>
              </w:rPr>
            </w:pPr>
            <w:r>
              <w:rPr>
                <w:rFonts w:hint="eastAsia" w:ascii="仿宋" w:hAnsi="仿宋" w:eastAsia="仿宋" w:cs="仿宋"/>
                <w:color w:val="auto"/>
                <w:kern w:val="0"/>
                <w:sz w:val="24"/>
                <w:szCs w:val="24"/>
              </w:rPr>
              <w:t>人员情况</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1686" w:type="dxa"/>
            <w:vMerge w:val="restart"/>
            <w:tcBorders>
              <w:left w:val="single" w:color="auto" w:sz="12" w:space="0"/>
            </w:tcBorders>
            <w:vAlign w:val="center"/>
          </w:tcPr>
          <w:p>
            <w:pPr>
              <w:autoSpaceDE w:val="0"/>
              <w:autoSpaceDN w:val="0"/>
              <w:adjustRightInd w:val="0"/>
              <w:spacing w:line="320" w:lineRule="exact"/>
              <w:jc w:val="center"/>
              <w:rPr>
                <w:rFonts w:ascii="仿宋" w:hAnsi="仿宋" w:eastAsia="仿宋" w:cs="仿宋"/>
                <w:color w:val="auto"/>
                <w:kern w:val="0"/>
                <w:sz w:val="24"/>
                <w:szCs w:val="24"/>
              </w:rPr>
            </w:pPr>
            <w:r>
              <w:rPr>
                <w:rFonts w:hint="eastAsia" w:ascii="仿宋" w:hAnsi="仿宋" w:eastAsia="仿宋" w:cs="仿宋"/>
                <w:color w:val="auto"/>
                <w:kern w:val="0"/>
                <w:sz w:val="24"/>
                <w:szCs w:val="24"/>
              </w:rPr>
              <w:t>从业人员总数</w:t>
            </w:r>
          </w:p>
        </w:tc>
        <w:tc>
          <w:tcPr>
            <w:tcW w:w="1239" w:type="dxa"/>
            <w:vMerge w:val="restart"/>
            <w:vAlign w:val="center"/>
          </w:tcPr>
          <w:p>
            <w:pPr>
              <w:autoSpaceDE w:val="0"/>
              <w:autoSpaceDN w:val="0"/>
              <w:adjustRightInd w:val="0"/>
              <w:spacing w:line="320" w:lineRule="exact"/>
              <w:jc w:val="center"/>
              <w:rPr>
                <w:rFonts w:ascii="仿宋" w:hAnsi="仿宋" w:eastAsia="仿宋" w:cs="仿宋"/>
                <w:color w:val="auto"/>
                <w:kern w:val="0"/>
                <w:sz w:val="24"/>
                <w:szCs w:val="24"/>
              </w:rPr>
            </w:pPr>
          </w:p>
        </w:tc>
        <w:tc>
          <w:tcPr>
            <w:tcW w:w="1770" w:type="dxa"/>
            <w:vAlign w:val="center"/>
          </w:tcPr>
          <w:p>
            <w:pPr>
              <w:autoSpaceDE w:val="0"/>
              <w:autoSpaceDN w:val="0"/>
              <w:adjustRightInd w:val="0"/>
              <w:spacing w:line="320" w:lineRule="exact"/>
              <w:jc w:val="center"/>
              <w:rPr>
                <w:rFonts w:ascii="仿宋" w:hAnsi="仿宋" w:eastAsia="仿宋" w:cs="仿宋"/>
                <w:color w:val="auto"/>
                <w:kern w:val="0"/>
                <w:sz w:val="24"/>
                <w:szCs w:val="24"/>
              </w:rPr>
            </w:pPr>
            <w:r>
              <w:rPr>
                <w:rFonts w:hint="eastAsia" w:ascii="仿宋" w:hAnsi="仿宋" w:eastAsia="仿宋" w:cs="仿宋"/>
                <w:color w:val="auto"/>
                <w:kern w:val="0"/>
                <w:sz w:val="24"/>
                <w:szCs w:val="24"/>
              </w:rPr>
              <w:t>管理人员数量</w:t>
            </w:r>
          </w:p>
        </w:tc>
        <w:tc>
          <w:tcPr>
            <w:tcW w:w="1395" w:type="dxa"/>
            <w:vAlign w:val="center"/>
          </w:tcPr>
          <w:p>
            <w:pPr>
              <w:autoSpaceDE w:val="0"/>
              <w:autoSpaceDN w:val="0"/>
              <w:adjustRightInd w:val="0"/>
              <w:spacing w:line="320" w:lineRule="exact"/>
              <w:jc w:val="center"/>
              <w:rPr>
                <w:rFonts w:ascii="仿宋" w:hAnsi="仿宋" w:eastAsia="仿宋" w:cs="仿宋"/>
                <w:color w:val="auto"/>
                <w:kern w:val="0"/>
                <w:sz w:val="24"/>
                <w:szCs w:val="24"/>
              </w:rPr>
            </w:pPr>
          </w:p>
        </w:tc>
        <w:tc>
          <w:tcPr>
            <w:tcW w:w="1692" w:type="dxa"/>
            <w:vAlign w:val="center"/>
          </w:tcPr>
          <w:p>
            <w:pPr>
              <w:autoSpaceDE w:val="0"/>
              <w:autoSpaceDN w:val="0"/>
              <w:adjustRightInd w:val="0"/>
              <w:spacing w:line="320" w:lineRule="exact"/>
              <w:jc w:val="center"/>
              <w:rPr>
                <w:rFonts w:ascii="仿宋" w:hAnsi="仿宋" w:eastAsia="仿宋" w:cs="仿宋"/>
                <w:color w:val="auto"/>
                <w:kern w:val="0"/>
                <w:sz w:val="24"/>
                <w:szCs w:val="24"/>
              </w:rPr>
            </w:pPr>
            <w:r>
              <w:rPr>
                <w:rFonts w:hint="eastAsia" w:ascii="仿宋" w:hAnsi="仿宋" w:eastAsia="仿宋" w:cs="仿宋"/>
                <w:color w:val="auto"/>
                <w:kern w:val="0"/>
                <w:sz w:val="24"/>
                <w:szCs w:val="24"/>
              </w:rPr>
              <w:t>专业技术</w:t>
            </w:r>
            <w:r>
              <w:rPr>
                <w:rFonts w:hint="eastAsia" w:ascii="仿宋" w:hAnsi="仿宋" w:eastAsia="仿宋" w:cs="仿宋"/>
                <w:color w:val="auto"/>
                <w:kern w:val="0"/>
                <w:sz w:val="24"/>
                <w:szCs w:val="24"/>
              </w:rPr>
              <w:br w:type="textWrapping"/>
            </w:r>
            <w:r>
              <w:rPr>
                <w:rFonts w:hint="eastAsia" w:ascii="仿宋" w:hAnsi="仿宋" w:eastAsia="仿宋" w:cs="仿宋"/>
                <w:color w:val="auto"/>
                <w:kern w:val="0"/>
                <w:sz w:val="24"/>
                <w:szCs w:val="24"/>
              </w:rPr>
              <w:t>人员数量</w:t>
            </w:r>
          </w:p>
        </w:tc>
        <w:tc>
          <w:tcPr>
            <w:tcW w:w="1398" w:type="dxa"/>
            <w:tcBorders>
              <w:right w:val="single" w:color="auto" w:sz="12" w:space="0"/>
            </w:tcBorders>
            <w:vAlign w:val="center"/>
          </w:tcPr>
          <w:p>
            <w:pPr>
              <w:autoSpaceDE w:val="0"/>
              <w:autoSpaceDN w:val="0"/>
              <w:adjustRightInd w:val="0"/>
              <w:spacing w:line="320" w:lineRule="exact"/>
              <w:jc w:val="center"/>
              <w:rPr>
                <w:rFonts w:ascii="仿宋" w:hAnsi="仿宋" w:eastAsia="仿宋" w:cs="仿宋"/>
                <w:bCs/>
                <w:color w:val="auto"/>
                <w:kern w:val="0"/>
                <w:sz w:val="24"/>
                <w:szCs w:val="24"/>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1686" w:type="dxa"/>
            <w:vMerge w:val="continue"/>
            <w:tcBorders>
              <w:left w:val="single" w:color="auto" w:sz="12" w:space="0"/>
              <w:bottom w:val="single" w:color="auto" w:sz="4" w:space="0"/>
            </w:tcBorders>
            <w:vAlign w:val="center"/>
          </w:tcPr>
          <w:p>
            <w:pPr>
              <w:autoSpaceDE w:val="0"/>
              <w:autoSpaceDN w:val="0"/>
              <w:adjustRightInd w:val="0"/>
              <w:spacing w:line="320" w:lineRule="exact"/>
              <w:jc w:val="center"/>
              <w:rPr>
                <w:rFonts w:ascii="仿宋" w:hAnsi="仿宋" w:eastAsia="仿宋" w:cs="仿宋"/>
                <w:color w:val="auto"/>
                <w:kern w:val="0"/>
                <w:sz w:val="24"/>
                <w:szCs w:val="24"/>
              </w:rPr>
            </w:pPr>
          </w:p>
        </w:tc>
        <w:tc>
          <w:tcPr>
            <w:tcW w:w="1239" w:type="dxa"/>
            <w:vMerge w:val="continue"/>
            <w:tcBorders>
              <w:bottom w:val="single" w:color="auto" w:sz="4" w:space="0"/>
            </w:tcBorders>
            <w:vAlign w:val="center"/>
          </w:tcPr>
          <w:p>
            <w:pPr>
              <w:autoSpaceDE w:val="0"/>
              <w:autoSpaceDN w:val="0"/>
              <w:adjustRightInd w:val="0"/>
              <w:spacing w:line="320" w:lineRule="exact"/>
              <w:jc w:val="center"/>
              <w:rPr>
                <w:rFonts w:ascii="仿宋" w:hAnsi="仿宋" w:eastAsia="仿宋" w:cs="仿宋"/>
                <w:color w:val="auto"/>
                <w:kern w:val="0"/>
                <w:sz w:val="24"/>
                <w:szCs w:val="24"/>
              </w:rPr>
            </w:pPr>
          </w:p>
        </w:tc>
        <w:tc>
          <w:tcPr>
            <w:tcW w:w="1770" w:type="dxa"/>
            <w:tcBorders>
              <w:bottom w:val="single" w:color="auto" w:sz="4" w:space="0"/>
            </w:tcBorders>
            <w:vAlign w:val="center"/>
          </w:tcPr>
          <w:p>
            <w:pPr>
              <w:autoSpaceDE w:val="0"/>
              <w:autoSpaceDN w:val="0"/>
              <w:adjustRightInd w:val="0"/>
              <w:spacing w:line="320" w:lineRule="exact"/>
              <w:jc w:val="center"/>
              <w:rPr>
                <w:rFonts w:ascii="仿宋" w:hAnsi="仿宋" w:eastAsia="仿宋" w:cs="仿宋"/>
                <w:color w:val="auto"/>
                <w:kern w:val="0"/>
                <w:sz w:val="24"/>
                <w:szCs w:val="24"/>
              </w:rPr>
            </w:pPr>
            <w:r>
              <w:rPr>
                <w:rFonts w:hint="eastAsia" w:ascii="仿宋" w:hAnsi="仿宋" w:eastAsia="仿宋" w:cs="仿宋"/>
                <w:color w:val="auto"/>
                <w:kern w:val="0"/>
                <w:sz w:val="24"/>
                <w:szCs w:val="24"/>
              </w:rPr>
              <w:t>残疾人人数</w:t>
            </w:r>
          </w:p>
        </w:tc>
        <w:tc>
          <w:tcPr>
            <w:tcW w:w="1395" w:type="dxa"/>
            <w:tcBorders>
              <w:bottom w:val="single" w:color="auto" w:sz="4" w:space="0"/>
            </w:tcBorders>
            <w:vAlign w:val="center"/>
          </w:tcPr>
          <w:p>
            <w:pPr>
              <w:autoSpaceDE w:val="0"/>
              <w:autoSpaceDN w:val="0"/>
              <w:adjustRightInd w:val="0"/>
              <w:spacing w:line="320" w:lineRule="exact"/>
              <w:jc w:val="center"/>
              <w:rPr>
                <w:rFonts w:ascii="仿宋" w:hAnsi="仿宋" w:eastAsia="仿宋" w:cs="仿宋"/>
                <w:color w:val="auto"/>
                <w:kern w:val="0"/>
                <w:sz w:val="24"/>
                <w:szCs w:val="24"/>
              </w:rPr>
            </w:pPr>
          </w:p>
        </w:tc>
        <w:tc>
          <w:tcPr>
            <w:tcW w:w="1692" w:type="dxa"/>
            <w:tcBorders>
              <w:bottom w:val="single" w:color="auto" w:sz="4" w:space="0"/>
            </w:tcBorders>
            <w:vAlign w:val="center"/>
          </w:tcPr>
          <w:p>
            <w:pPr>
              <w:autoSpaceDE w:val="0"/>
              <w:autoSpaceDN w:val="0"/>
              <w:adjustRightInd w:val="0"/>
              <w:spacing w:line="320" w:lineRule="exact"/>
              <w:jc w:val="center"/>
              <w:rPr>
                <w:rFonts w:ascii="仿宋" w:hAnsi="仿宋" w:eastAsia="仿宋" w:cs="仿宋"/>
                <w:color w:val="auto"/>
                <w:kern w:val="0"/>
                <w:sz w:val="24"/>
                <w:szCs w:val="24"/>
              </w:rPr>
            </w:pPr>
            <w:r>
              <w:rPr>
                <w:rFonts w:hint="eastAsia" w:ascii="仿宋" w:hAnsi="仿宋" w:eastAsia="仿宋" w:cs="仿宋"/>
                <w:color w:val="auto"/>
                <w:kern w:val="0"/>
                <w:sz w:val="24"/>
                <w:szCs w:val="24"/>
              </w:rPr>
              <w:t>少数民族人数</w:t>
            </w:r>
          </w:p>
        </w:tc>
        <w:tc>
          <w:tcPr>
            <w:tcW w:w="1398" w:type="dxa"/>
            <w:tcBorders>
              <w:bottom w:val="single" w:color="auto" w:sz="4" w:space="0"/>
              <w:right w:val="single" w:color="auto" w:sz="12" w:space="0"/>
            </w:tcBorders>
            <w:vAlign w:val="center"/>
          </w:tcPr>
          <w:p>
            <w:pPr>
              <w:autoSpaceDE w:val="0"/>
              <w:autoSpaceDN w:val="0"/>
              <w:adjustRightInd w:val="0"/>
              <w:spacing w:line="320" w:lineRule="exact"/>
              <w:jc w:val="center"/>
              <w:rPr>
                <w:rFonts w:ascii="仿宋" w:hAnsi="仿宋" w:eastAsia="仿宋" w:cs="仿宋"/>
                <w:bCs/>
                <w:color w:val="auto"/>
                <w:kern w:val="0"/>
                <w:sz w:val="24"/>
                <w:szCs w:val="24"/>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9180" w:type="dxa"/>
            <w:gridSpan w:val="6"/>
            <w:tcBorders>
              <w:left w:val="single" w:color="auto" w:sz="12" w:space="0"/>
              <w:right w:val="single" w:color="auto" w:sz="12" w:space="0"/>
            </w:tcBorders>
            <w:shd w:val="clear" w:color="auto" w:fill="E5B8B7"/>
            <w:vAlign w:val="center"/>
          </w:tcPr>
          <w:p>
            <w:pPr>
              <w:autoSpaceDE w:val="0"/>
              <w:autoSpaceDN w:val="0"/>
              <w:adjustRightInd w:val="0"/>
              <w:spacing w:line="320" w:lineRule="exact"/>
              <w:jc w:val="center"/>
              <w:rPr>
                <w:rFonts w:ascii="仿宋" w:hAnsi="仿宋" w:eastAsia="仿宋" w:cs="仿宋"/>
                <w:color w:val="auto"/>
                <w:kern w:val="0"/>
                <w:sz w:val="24"/>
                <w:szCs w:val="24"/>
              </w:rPr>
            </w:pPr>
            <w:r>
              <w:rPr>
                <w:rFonts w:hint="eastAsia" w:ascii="仿宋" w:hAnsi="仿宋" w:eastAsia="仿宋" w:cs="仿宋"/>
                <w:color w:val="auto"/>
                <w:kern w:val="0"/>
                <w:sz w:val="24"/>
                <w:szCs w:val="24"/>
              </w:rPr>
              <w:t>存在直接控股、管理关系的相关供应商</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686" w:type="dxa"/>
            <w:tcBorders>
              <w:left w:val="single" w:color="auto" w:sz="12" w:space="0"/>
            </w:tcBorders>
            <w:vAlign w:val="center"/>
          </w:tcPr>
          <w:p>
            <w:pPr>
              <w:autoSpaceDE w:val="0"/>
              <w:autoSpaceDN w:val="0"/>
              <w:adjustRightInd w:val="0"/>
              <w:spacing w:line="320" w:lineRule="exact"/>
              <w:jc w:val="center"/>
              <w:rPr>
                <w:rFonts w:ascii="仿宋" w:hAnsi="仿宋" w:eastAsia="仿宋" w:cs="仿宋"/>
                <w:color w:val="auto"/>
                <w:kern w:val="0"/>
                <w:sz w:val="24"/>
                <w:szCs w:val="24"/>
              </w:rPr>
            </w:pPr>
            <w:r>
              <w:rPr>
                <w:rFonts w:hint="eastAsia" w:ascii="仿宋" w:hAnsi="仿宋" w:eastAsia="仿宋" w:cs="仿宋"/>
                <w:bCs/>
                <w:color w:val="auto"/>
                <w:kern w:val="0"/>
                <w:sz w:val="24"/>
                <w:szCs w:val="24"/>
              </w:rPr>
              <w:t>关系</w:t>
            </w:r>
          </w:p>
        </w:tc>
        <w:tc>
          <w:tcPr>
            <w:tcW w:w="7494" w:type="dxa"/>
            <w:gridSpan w:val="5"/>
            <w:tcBorders>
              <w:right w:val="single" w:color="auto" w:sz="12" w:space="0"/>
            </w:tcBorders>
            <w:vAlign w:val="center"/>
          </w:tcPr>
          <w:p>
            <w:pPr>
              <w:autoSpaceDE w:val="0"/>
              <w:autoSpaceDN w:val="0"/>
              <w:adjustRightInd w:val="0"/>
              <w:spacing w:line="320" w:lineRule="exact"/>
              <w:jc w:val="center"/>
              <w:rPr>
                <w:rFonts w:ascii="仿宋" w:hAnsi="仿宋" w:eastAsia="仿宋" w:cs="仿宋"/>
                <w:bCs/>
                <w:color w:val="auto"/>
                <w:kern w:val="0"/>
                <w:sz w:val="24"/>
                <w:szCs w:val="24"/>
              </w:rPr>
            </w:pPr>
            <w:r>
              <w:rPr>
                <w:rFonts w:hint="eastAsia" w:ascii="仿宋" w:hAnsi="仿宋" w:eastAsia="仿宋" w:cs="仿宋"/>
                <w:bCs/>
                <w:color w:val="auto"/>
                <w:kern w:val="0"/>
                <w:sz w:val="24"/>
                <w:szCs w:val="24"/>
              </w:rPr>
              <w:t>供应商名称</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686" w:type="dxa"/>
            <w:tcBorders>
              <w:left w:val="single" w:color="auto" w:sz="12" w:space="0"/>
            </w:tcBorders>
            <w:vAlign w:val="center"/>
          </w:tcPr>
          <w:p>
            <w:pPr>
              <w:autoSpaceDE w:val="0"/>
              <w:autoSpaceDN w:val="0"/>
              <w:adjustRightInd w:val="0"/>
              <w:spacing w:line="320" w:lineRule="exact"/>
              <w:jc w:val="center"/>
              <w:rPr>
                <w:rFonts w:ascii="仿宋" w:hAnsi="仿宋" w:eastAsia="仿宋" w:cs="仿宋"/>
                <w:color w:val="auto"/>
                <w:kern w:val="0"/>
                <w:sz w:val="24"/>
                <w:szCs w:val="24"/>
              </w:rPr>
            </w:pPr>
          </w:p>
        </w:tc>
        <w:tc>
          <w:tcPr>
            <w:tcW w:w="7494" w:type="dxa"/>
            <w:gridSpan w:val="5"/>
            <w:tcBorders>
              <w:right w:val="single" w:color="auto" w:sz="12" w:space="0"/>
            </w:tcBorders>
            <w:vAlign w:val="center"/>
          </w:tcPr>
          <w:p>
            <w:pPr>
              <w:autoSpaceDE w:val="0"/>
              <w:autoSpaceDN w:val="0"/>
              <w:adjustRightInd w:val="0"/>
              <w:spacing w:line="320" w:lineRule="exact"/>
              <w:rPr>
                <w:rFonts w:ascii="仿宋" w:hAnsi="仿宋" w:eastAsia="仿宋" w:cs="仿宋"/>
                <w:bCs/>
                <w:color w:val="auto"/>
                <w:kern w:val="0"/>
                <w:sz w:val="24"/>
                <w:szCs w:val="24"/>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686" w:type="dxa"/>
            <w:tcBorders>
              <w:left w:val="single" w:color="auto" w:sz="12" w:space="0"/>
            </w:tcBorders>
            <w:vAlign w:val="center"/>
          </w:tcPr>
          <w:p>
            <w:pPr>
              <w:autoSpaceDE w:val="0"/>
              <w:autoSpaceDN w:val="0"/>
              <w:adjustRightInd w:val="0"/>
              <w:spacing w:line="320" w:lineRule="exact"/>
              <w:jc w:val="center"/>
              <w:rPr>
                <w:rFonts w:ascii="仿宋" w:hAnsi="仿宋" w:eastAsia="仿宋" w:cs="仿宋"/>
                <w:color w:val="auto"/>
                <w:kern w:val="0"/>
                <w:sz w:val="24"/>
                <w:szCs w:val="24"/>
              </w:rPr>
            </w:pPr>
          </w:p>
        </w:tc>
        <w:tc>
          <w:tcPr>
            <w:tcW w:w="7494" w:type="dxa"/>
            <w:gridSpan w:val="5"/>
            <w:tcBorders>
              <w:right w:val="single" w:color="auto" w:sz="12" w:space="0"/>
            </w:tcBorders>
            <w:vAlign w:val="center"/>
          </w:tcPr>
          <w:p>
            <w:pPr>
              <w:autoSpaceDE w:val="0"/>
              <w:autoSpaceDN w:val="0"/>
              <w:adjustRightInd w:val="0"/>
              <w:spacing w:line="320" w:lineRule="exact"/>
              <w:rPr>
                <w:rFonts w:ascii="仿宋" w:hAnsi="仿宋" w:eastAsia="仿宋" w:cs="仿宋"/>
                <w:bCs/>
                <w:color w:val="auto"/>
                <w:kern w:val="0"/>
                <w:sz w:val="24"/>
                <w:szCs w:val="24"/>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686" w:type="dxa"/>
            <w:tcBorders>
              <w:left w:val="single" w:color="auto" w:sz="12" w:space="0"/>
            </w:tcBorders>
            <w:vAlign w:val="center"/>
          </w:tcPr>
          <w:p>
            <w:pPr>
              <w:autoSpaceDE w:val="0"/>
              <w:autoSpaceDN w:val="0"/>
              <w:adjustRightInd w:val="0"/>
              <w:spacing w:line="320" w:lineRule="exact"/>
              <w:jc w:val="center"/>
              <w:rPr>
                <w:rFonts w:ascii="仿宋" w:hAnsi="仿宋" w:eastAsia="仿宋" w:cs="仿宋"/>
                <w:color w:val="auto"/>
                <w:kern w:val="0"/>
                <w:sz w:val="24"/>
                <w:szCs w:val="24"/>
              </w:rPr>
            </w:pPr>
          </w:p>
        </w:tc>
        <w:tc>
          <w:tcPr>
            <w:tcW w:w="7494" w:type="dxa"/>
            <w:gridSpan w:val="5"/>
            <w:tcBorders>
              <w:right w:val="single" w:color="auto" w:sz="12" w:space="0"/>
            </w:tcBorders>
            <w:vAlign w:val="center"/>
          </w:tcPr>
          <w:p>
            <w:pPr>
              <w:autoSpaceDE w:val="0"/>
              <w:autoSpaceDN w:val="0"/>
              <w:adjustRightInd w:val="0"/>
              <w:spacing w:line="320" w:lineRule="exact"/>
              <w:rPr>
                <w:rFonts w:ascii="仿宋" w:hAnsi="仿宋" w:eastAsia="仿宋" w:cs="仿宋"/>
                <w:bCs/>
                <w:color w:val="auto"/>
                <w:kern w:val="0"/>
                <w:sz w:val="24"/>
                <w:szCs w:val="24"/>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2096" w:hRule="atLeast"/>
          <w:jc w:val="center"/>
        </w:trPr>
        <w:tc>
          <w:tcPr>
            <w:tcW w:w="1686" w:type="dxa"/>
            <w:tcBorders>
              <w:left w:val="single" w:color="auto" w:sz="12" w:space="0"/>
              <w:bottom w:val="single" w:color="auto" w:sz="12" w:space="0"/>
            </w:tcBorders>
            <w:vAlign w:val="center"/>
          </w:tcPr>
          <w:p>
            <w:pPr>
              <w:autoSpaceDE w:val="0"/>
              <w:autoSpaceDN w:val="0"/>
              <w:adjustRightInd w:val="0"/>
              <w:spacing w:line="320" w:lineRule="exact"/>
              <w:jc w:val="center"/>
              <w:rPr>
                <w:rFonts w:ascii="仿宋" w:hAnsi="仿宋" w:eastAsia="仿宋" w:cs="仿宋"/>
                <w:color w:val="auto"/>
                <w:kern w:val="0"/>
                <w:sz w:val="24"/>
                <w:szCs w:val="24"/>
              </w:rPr>
            </w:pPr>
            <w:r>
              <w:rPr>
                <w:rFonts w:hint="eastAsia" w:ascii="仿宋" w:hAnsi="仿宋" w:eastAsia="仿宋" w:cs="仿宋"/>
                <w:color w:val="auto"/>
                <w:kern w:val="0"/>
                <w:sz w:val="24"/>
                <w:szCs w:val="24"/>
              </w:rPr>
              <w:t>说明</w:t>
            </w:r>
          </w:p>
        </w:tc>
        <w:tc>
          <w:tcPr>
            <w:tcW w:w="7494" w:type="dxa"/>
            <w:gridSpan w:val="5"/>
            <w:tcBorders>
              <w:bottom w:val="single" w:color="auto" w:sz="12" w:space="0"/>
              <w:right w:val="single" w:color="auto" w:sz="12" w:space="0"/>
            </w:tcBorders>
            <w:vAlign w:val="center"/>
          </w:tcPr>
          <w:p>
            <w:pPr>
              <w:spacing w:line="320" w:lineRule="exact"/>
              <w:ind w:left="360" w:hanging="360"/>
              <w:rPr>
                <w:rFonts w:ascii="仿宋" w:hAnsi="仿宋" w:eastAsia="仿宋" w:cs="仿宋"/>
                <w:color w:val="auto"/>
                <w:sz w:val="24"/>
                <w:szCs w:val="24"/>
              </w:rPr>
            </w:pPr>
            <w:r>
              <w:rPr>
                <w:rFonts w:hint="eastAsia" w:ascii="仿宋" w:hAnsi="仿宋" w:eastAsia="仿宋" w:cs="仿宋"/>
                <w:color w:val="auto"/>
                <w:sz w:val="24"/>
                <w:szCs w:val="24"/>
              </w:rPr>
              <w:t>1、登记证号指营业执照/事业单位法人证书/专业服务机构执业许可证/民办非企业单位登记证书中的登记号。</w:t>
            </w:r>
          </w:p>
          <w:p>
            <w:pPr>
              <w:spacing w:line="320" w:lineRule="exact"/>
              <w:ind w:left="360" w:hanging="360"/>
              <w:rPr>
                <w:rFonts w:ascii="仿宋" w:hAnsi="仿宋" w:eastAsia="仿宋" w:cs="仿宋"/>
                <w:color w:val="auto"/>
                <w:sz w:val="24"/>
                <w:szCs w:val="24"/>
              </w:rPr>
            </w:pPr>
            <w:r>
              <w:rPr>
                <w:rFonts w:hint="eastAsia" w:ascii="仿宋" w:hAnsi="仿宋" w:eastAsia="仿宋" w:cs="仿宋"/>
                <w:color w:val="auto"/>
                <w:sz w:val="24"/>
                <w:szCs w:val="24"/>
              </w:rPr>
              <w:t>2、成立时间至提交响应文件截止时间不足一年的可不提供“上年度营业收入”。</w:t>
            </w:r>
          </w:p>
          <w:p>
            <w:pPr>
              <w:spacing w:line="320" w:lineRule="exact"/>
              <w:ind w:left="360" w:hanging="360"/>
              <w:rPr>
                <w:rFonts w:ascii="仿宋" w:hAnsi="仿宋" w:eastAsia="仿宋" w:cs="仿宋"/>
                <w:color w:val="auto"/>
                <w:kern w:val="0"/>
                <w:sz w:val="24"/>
                <w:szCs w:val="24"/>
              </w:rPr>
            </w:pPr>
            <w:r>
              <w:rPr>
                <w:rFonts w:hint="eastAsia" w:ascii="仿宋" w:hAnsi="仿宋" w:eastAsia="仿宋" w:cs="仿宋"/>
                <w:color w:val="auto"/>
                <w:sz w:val="24"/>
                <w:szCs w:val="24"/>
              </w:rPr>
              <w:t>3、供应商应如实填写上述信息。</w:t>
            </w:r>
            <w:bookmarkStart w:id="426" w:name="■AcceptUnion_CH5_A■"/>
            <w:r>
              <w:rPr>
                <w:rFonts w:hint="eastAsia" w:ascii="仿宋" w:hAnsi="仿宋" w:eastAsia="仿宋" w:cs="仿宋"/>
                <w:color w:val="auto"/>
                <w:sz w:val="24"/>
                <w:szCs w:val="24"/>
              </w:rPr>
              <w:t>磋商文件允许联合体投标的，联合体各方均应提供。</w:t>
            </w:r>
            <w:bookmarkEnd w:id="426"/>
          </w:p>
        </w:tc>
      </w:tr>
    </w:tbl>
    <w:p>
      <w:pPr>
        <w:spacing w:before="190" w:beforeLines="50" w:line="500" w:lineRule="exact"/>
        <w:ind w:firstLine="566" w:firstLineChars="200"/>
        <w:rPr>
          <w:b/>
          <w:color w:val="auto"/>
        </w:rPr>
      </w:pPr>
    </w:p>
    <w:p>
      <w:pPr>
        <w:spacing w:before="190" w:beforeLines="50" w:line="500" w:lineRule="exact"/>
        <w:ind w:firstLine="566" w:firstLineChars="200"/>
        <w:rPr>
          <w:b/>
          <w:color w:val="auto"/>
        </w:rPr>
      </w:pPr>
      <w:r>
        <w:rPr>
          <w:rFonts w:hint="eastAsia"/>
          <w:b/>
          <w:color w:val="auto"/>
        </w:rPr>
        <w:t>（二）供应商性质</w:t>
      </w:r>
    </w:p>
    <w:p>
      <w:pPr>
        <w:spacing w:line="500" w:lineRule="exact"/>
        <w:ind w:firstLine="566" w:firstLineChars="200"/>
        <w:rPr>
          <w:color w:val="auto"/>
        </w:rPr>
      </w:pPr>
      <w:r>
        <w:rPr>
          <w:rFonts w:hint="eastAsia"/>
          <w:color w:val="auto"/>
        </w:rPr>
        <w:t>中小企业、残疾人福利性单位投标时，应提供声明函（按下文给定格式）。未提供或未按给定格式提供</w:t>
      </w:r>
      <w:r>
        <w:rPr>
          <w:rFonts w:hint="eastAsia"/>
          <w:b/>
          <w:bCs/>
          <w:color w:val="auto"/>
        </w:rPr>
        <w:t>声明函</w:t>
      </w:r>
      <w:r>
        <w:rPr>
          <w:rFonts w:hint="eastAsia"/>
          <w:color w:val="auto"/>
        </w:rPr>
        <w:t>的，其投标产品中的小型、微型企业产品、残疾人福利性单位生产的产品将不能享受磋商文件规定的价格扣除，但不影响响应文件的有效性。</w:t>
      </w:r>
    </w:p>
    <w:p>
      <w:pPr>
        <w:spacing w:line="500" w:lineRule="exact"/>
        <w:ind w:firstLine="566" w:firstLineChars="200"/>
        <w:rPr>
          <w:color w:val="auto"/>
        </w:rPr>
      </w:pPr>
      <w:r>
        <w:rPr>
          <w:rFonts w:hint="eastAsia"/>
          <w:color w:val="auto"/>
        </w:rPr>
        <w:t>监狱企业投标时，应当提供由省级以上监狱管理局、戒毒管理局（含新疆生产建设兵团）出具的属于监狱企业的</w:t>
      </w:r>
      <w:r>
        <w:rPr>
          <w:rFonts w:hint="eastAsia"/>
          <w:b/>
          <w:bCs/>
          <w:color w:val="auto"/>
        </w:rPr>
        <w:t>证明文件</w:t>
      </w:r>
      <w:r>
        <w:rPr>
          <w:rFonts w:hint="eastAsia"/>
          <w:color w:val="auto"/>
        </w:rPr>
        <w:t>（格式不做要求）。未提供证明文件的不能享受磋商文件规定的价格扣除，但不影响响应文件的有效性。</w:t>
      </w:r>
    </w:p>
    <w:p>
      <w:pPr>
        <w:spacing w:line="500" w:lineRule="exact"/>
        <w:ind w:firstLine="566" w:firstLineChars="200"/>
        <w:rPr>
          <w:color w:val="auto"/>
        </w:rPr>
      </w:pPr>
      <w:r>
        <w:rPr>
          <w:rFonts w:hint="eastAsia"/>
          <w:color w:val="auto"/>
        </w:rPr>
        <w:t>磋商文件允许联合体投标的，联合体成员应分别提供上述声明函或证明文件，此外，还须按下文给定格式提供联合体协议书。投标联合体未提供联合体协议书的，其响应文件无效。</w:t>
      </w:r>
    </w:p>
    <w:p>
      <w:pPr>
        <w:spacing w:line="500" w:lineRule="exact"/>
        <w:ind w:firstLine="566" w:firstLineChars="200"/>
        <w:rPr>
          <w:b/>
          <w:bCs/>
          <w:color w:val="auto"/>
        </w:rPr>
      </w:pPr>
      <w:r>
        <w:rPr>
          <w:rFonts w:hint="eastAsia"/>
          <w:b/>
          <w:bCs/>
          <w:color w:val="auto"/>
        </w:rPr>
        <w:t>特别提醒：供应商性质（声明函或证明文件）将随成交公告一同公布，接受社会监督。</w:t>
      </w:r>
    </w:p>
    <w:p>
      <w:pPr>
        <w:spacing w:before="190" w:beforeLines="50" w:line="500" w:lineRule="exact"/>
        <w:ind w:firstLine="566" w:firstLineChars="200"/>
        <w:rPr>
          <w:b/>
          <w:color w:val="auto"/>
        </w:rPr>
      </w:pPr>
      <w:r>
        <w:rPr>
          <w:rFonts w:hint="eastAsia"/>
          <w:b/>
          <w:color w:val="auto"/>
        </w:rPr>
        <w:t>（三）</w:t>
      </w:r>
      <w:r>
        <w:rPr>
          <w:b/>
          <w:color w:val="auto"/>
        </w:rPr>
        <w:t>其他</w:t>
      </w:r>
    </w:p>
    <w:p>
      <w:pPr>
        <w:tabs>
          <w:tab w:val="right" w:pos="8364"/>
        </w:tabs>
        <w:spacing w:line="500" w:lineRule="exact"/>
        <w:ind w:firstLine="566" w:firstLineChars="200"/>
        <w:jc w:val="left"/>
        <w:rPr>
          <w:color w:val="auto"/>
        </w:rPr>
      </w:pPr>
      <w:r>
        <w:rPr>
          <w:rFonts w:hint="eastAsia"/>
          <w:color w:val="auto"/>
        </w:rPr>
        <w:t>如：</w:t>
      </w:r>
      <w:r>
        <w:rPr>
          <w:color w:val="auto"/>
        </w:rPr>
        <w:t>经营状况</w:t>
      </w:r>
      <w:r>
        <w:rPr>
          <w:rFonts w:hint="eastAsia"/>
          <w:color w:val="auto"/>
        </w:rPr>
        <w:t>、相关产品、</w:t>
      </w:r>
      <w:r>
        <w:rPr>
          <w:color w:val="auto"/>
        </w:rPr>
        <w:t>用户评价</w:t>
      </w:r>
      <w:r>
        <w:rPr>
          <w:rFonts w:hint="eastAsia"/>
          <w:color w:val="auto"/>
        </w:rPr>
        <w:t>等</w:t>
      </w:r>
      <w:r>
        <w:rPr>
          <w:color w:val="auto"/>
        </w:rPr>
        <w:t>。</w:t>
      </w:r>
    </w:p>
    <w:p>
      <w:pPr>
        <w:spacing w:line="500" w:lineRule="exact"/>
        <w:ind w:firstLine="566" w:firstLineChars="200"/>
        <w:rPr>
          <w:color w:val="auto"/>
        </w:rPr>
      </w:pPr>
    </w:p>
    <w:p>
      <w:pPr>
        <w:spacing w:line="500" w:lineRule="exact"/>
        <w:jc w:val="center"/>
        <w:rPr>
          <w:b/>
          <w:color w:val="auto"/>
          <w:sz w:val="30"/>
          <w:szCs w:val="30"/>
        </w:rPr>
      </w:pPr>
      <w:r>
        <w:rPr>
          <w:rFonts w:hint="eastAsia"/>
          <w:b/>
          <w:color w:val="auto"/>
          <w:sz w:val="30"/>
          <w:szCs w:val="30"/>
        </w:rPr>
        <w:br w:type="page"/>
      </w:r>
      <w:r>
        <w:rPr>
          <w:rFonts w:hint="eastAsia"/>
          <w:b/>
          <w:color w:val="auto"/>
          <w:sz w:val="30"/>
          <w:szCs w:val="30"/>
        </w:rPr>
        <w:t>中小企业声明函（格式）</w:t>
      </w:r>
    </w:p>
    <w:p>
      <w:pPr>
        <w:spacing w:line="500" w:lineRule="exact"/>
        <w:ind w:firstLine="566" w:firstLineChars="200"/>
        <w:rPr>
          <w:color w:val="auto"/>
        </w:rPr>
      </w:pPr>
      <w:r>
        <w:rPr>
          <w:rFonts w:hint="eastAsia"/>
          <w:color w:val="auto"/>
        </w:rPr>
        <w:t>本公司郑重声明，根据《政府采购促进中小企业发展暂行办法》（财库[2011]181号）的规定，本公司为______（请填写：中型、小型、微型）企业。即，本公司同时满足以下条件：</w:t>
      </w:r>
    </w:p>
    <w:p>
      <w:pPr>
        <w:spacing w:line="500" w:lineRule="exact"/>
        <w:ind w:firstLine="566" w:firstLineChars="200"/>
        <w:rPr>
          <w:color w:val="auto"/>
        </w:rPr>
      </w:pPr>
      <w:r>
        <w:rPr>
          <w:rFonts w:hint="eastAsia"/>
          <w:color w:val="auto"/>
        </w:rPr>
        <w:t>1、根据《工业和信息化部、国家统计局、国家发展和改革委员会、财政部关于印发中小企业划型标准规定的通知》（工信部联企业[2011]300号）规定的划分标准，本公司为______（请填写：中型、小型、微型）企业。</w:t>
      </w:r>
    </w:p>
    <w:p>
      <w:pPr>
        <w:spacing w:line="500" w:lineRule="exact"/>
        <w:ind w:firstLine="566" w:firstLineChars="200"/>
        <w:rPr>
          <w:color w:val="auto"/>
        </w:rPr>
      </w:pPr>
      <w:r>
        <w:rPr>
          <w:rFonts w:hint="eastAsia"/>
          <w:color w:val="auto"/>
        </w:rPr>
        <w:t>2、本公司参加</w:t>
      </w:r>
      <w:r>
        <w:rPr>
          <w:rFonts w:hint="eastAsia"/>
          <w:color w:val="auto"/>
          <w:u w:val="single"/>
        </w:rPr>
        <w:t xml:space="preserve">  项目名称      </w:t>
      </w:r>
      <w:r>
        <w:rPr>
          <w:rFonts w:hint="eastAsia"/>
          <w:color w:val="auto"/>
        </w:rPr>
        <w:t>（项目编号：</w:t>
      </w:r>
      <w:r>
        <w:rPr>
          <w:rFonts w:hint="eastAsia" w:ascii="仿宋" w:hAnsi="仿宋" w:eastAsia="仿宋" w:cs="仿宋"/>
          <w:color w:val="auto"/>
          <w:u w:val="single"/>
        </w:rPr>
        <w:t xml:space="preserve">      </w:t>
      </w:r>
      <w:r>
        <w:rPr>
          <w:rFonts w:hint="eastAsia"/>
          <w:color w:val="auto"/>
        </w:rPr>
        <w:t xml:space="preserve"> ）</w:t>
      </w:r>
      <w:r>
        <w:rPr>
          <w:color w:val="auto"/>
        </w:rPr>
        <w:t>第</w:t>
      </w:r>
      <w:r>
        <w:rPr>
          <w:rFonts w:hint="eastAsia"/>
          <w:color w:val="auto"/>
        </w:rPr>
        <w:t>___标段采购活动提供本企业制造的货物，由本企业承担工程、提供服务，或者提供其他______（请填写：中型、小型、微型）企业制造的货物。本条所称货物不包括使用大型企业注册商标的货物。</w:t>
      </w:r>
    </w:p>
    <w:p>
      <w:pPr>
        <w:spacing w:line="500" w:lineRule="exact"/>
        <w:ind w:firstLine="566" w:firstLineChars="200"/>
        <w:rPr>
          <w:color w:val="auto"/>
        </w:rPr>
      </w:pPr>
      <w:r>
        <w:rPr>
          <w:rFonts w:hint="eastAsia"/>
          <w:b/>
          <w:bCs/>
          <w:color w:val="auto"/>
        </w:rPr>
        <w:t>本公司对上述声明的真实性负责。如有虚假，将依法承担相应责任。</w:t>
      </w:r>
    </w:p>
    <w:p>
      <w:pPr>
        <w:tabs>
          <w:tab w:val="left" w:pos="5670"/>
        </w:tabs>
        <w:spacing w:line="500" w:lineRule="exact"/>
        <w:ind w:firstLine="3679" w:firstLineChars="1300"/>
        <w:jc w:val="left"/>
        <w:rPr>
          <w:color w:val="auto"/>
        </w:rPr>
      </w:pPr>
    </w:p>
    <w:p>
      <w:pPr>
        <w:spacing w:line="500" w:lineRule="exact"/>
        <w:ind w:firstLine="5094" w:firstLineChars="1800"/>
        <w:rPr>
          <w:rFonts w:ascii="仿宋" w:hAnsi="仿宋" w:eastAsia="仿宋" w:cs="仿宋"/>
          <w:color w:val="auto"/>
        </w:rPr>
      </w:pPr>
      <w:r>
        <w:rPr>
          <w:rFonts w:hint="eastAsia" w:ascii="仿宋" w:hAnsi="仿宋" w:eastAsia="仿宋" w:cs="仿宋"/>
          <w:color w:val="auto"/>
        </w:rPr>
        <w:t>供应商：</w:t>
      </w:r>
      <w:r>
        <w:rPr>
          <w:rFonts w:hint="eastAsia" w:ascii="仿宋" w:hAnsi="仿宋" w:eastAsia="仿宋" w:cs="仿宋"/>
          <w:color w:val="auto"/>
          <w:u w:val="single"/>
        </w:rPr>
        <w:t>名称</w:t>
      </w:r>
      <w:r>
        <w:rPr>
          <w:rFonts w:hint="eastAsia" w:ascii="仿宋" w:hAnsi="仿宋" w:eastAsia="仿宋" w:cs="仿宋"/>
          <w:color w:val="auto"/>
        </w:rPr>
        <w:t>（加盖公章）</w:t>
      </w:r>
    </w:p>
    <w:p>
      <w:pPr>
        <w:tabs>
          <w:tab w:val="left" w:pos="5670"/>
        </w:tabs>
        <w:spacing w:line="500" w:lineRule="exact"/>
        <w:ind w:firstLine="5377" w:firstLineChars="1900"/>
        <w:jc w:val="left"/>
        <w:rPr>
          <w:color w:val="auto"/>
        </w:rPr>
      </w:pPr>
      <w:r>
        <w:rPr>
          <w:rFonts w:hint="eastAsia" w:ascii="仿宋" w:hAnsi="仿宋" w:eastAsia="仿宋" w:cs="仿宋"/>
          <w:color w:val="auto"/>
        </w:rPr>
        <w:t>日期：　　年　月　日</w:t>
      </w:r>
    </w:p>
    <w:p>
      <w:pPr>
        <w:tabs>
          <w:tab w:val="left" w:pos="5670"/>
        </w:tabs>
        <w:spacing w:line="500" w:lineRule="exact"/>
        <w:ind w:firstLine="566" w:firstLineChars="200"/>
        <w:jc w:val="left"/>
        <w:rPr>
          <w:color w:val="auto"/>
        </w:rPr>
      </w:pPr>
    </w:p>
    <w:p>
      <w:pPr>
        <w:tabs>
          <w:tab w:val="left" w:pos="5670"/>
        </w:tabs>
        <w:spacing w:line="500" w:lineRule="exact"/>
        <w:ind w:firstLine="566" w:firstLineChars="200"/>
        <w:jc w:val="left"/>
        <w:rPr>
          <w:color w:val="auto"/>
        </w:rPr>
      </w:pPr>
    </w:p>
    <w:p>
      <w:pPr>
        <w:tabs>
          <w:tab w:val="left" w:pos="5670"/>
        </w:tabs>
        <w:spacing w:line="500" w:lineRule="exact"/>
        <w:ind w:firstLine="426" w:firstLineChars="200"/>
        <w:jc w:val="left"/>
        <w:rPr>
          <w:rFonts w:ascii="宋体" w:hAnsi="宋体" w:eastAsia="宋体" w:cs="宋体"/>
          <w:color w:val="auto"/>
          <w:sz w:val="21"/>
          <w:szCs w:val="21"/>
        </w:rPr>
      </w:pPr>
      <w:r>
        <w:rPr>
          <w:rFonts w:hint="eastAsia" w:ascii="宋体" w:hAnsi="宋体" w:eastAsia="宋体" w:cs="宋体"/>
          <w:color w:val="auto"/>
          <w:sz w:val="21"/>
          <w:szCs w:val="21"/>
        </w:rPr>
        <w:t>备注：1、填写前请认真阅读《工业和信息化部、国家统计局、国家发展和改革委员会、财政部关于印发中小企业划型标准规定的通知》（工信部联企业[2011]300号）和《财政部 工业和信息化部关于印发政府采购促进中小企业发展暂行办法的通知》(财库[2011]181号)相关规定。</w:t>
      </w:r>
    </w:p>
    <w:p>
      <w:pPr>
        <w:numPr>
          <w:ilvl w:val="0"/>
          <w:numId w:val="11"/>
        </w:numPr>
        <w:tabs>
          <w:tab w:val="left" w:pos="5670"/>
        </w:tabs>
        <w:spacing w:line="500" w:lineRule="exact"/>
        <w:ind w:firstLine="426" w:firstLineChars="200"/>
        <w:jc w:val="left"/>
        <w:rPr>
          <w:rFonts w:ascii="宋体" w:hAnsi="宋体" w:eastAsia="宋体" w:cs="宋体"/>
          <w:color w:val="auto"/>
          <w:sz w:val="21"/>
          <w:szCs w:val="21"/>
        </w:rPr>
      </w:pPr>
      <w:r>
        <w:rPr>
          <w:rFonts w:hint="eastAsia" w:ascii="宋体" w:hAnsi="宋体" w:eastAsia="宋体" w:cs="宋体"/>
          <w:color w:val="auto"/>
          <w:sz w:val="21"/>
          <w:szCs w:val="21"/>
        </w:rPr>
        <w:t>项目不分标段的，第___标段空白处填写“/”。</w:t>
      </w:r>
    </w:p>
    <w:p>
      <w:pPr>
        <w:pStyle w:val="15"/>
        <w:spacing w:line="500" w:lineRule="exact"/>
        <w:ind w:firstLine="426" w:firstLineChars="200"/>
        <w:rPr>
          <w:rFonts w:ascii="宋体" w:hAnsi="宋体" w:eastAsia="宋体" w:cs="宋体"/>
          <w:color w:val="auto"/>
          <w:sz w:val="21"/>
          <w:szCs w:val="21"/>
        </w:rPr>
      </w:pPr>
      <w:bookmarkStart w:id="427" w:name="_Toc15890_WPSOffice_Level3"/>
      <w:r>
        <w:rPr>
          <w:rFonts w:ascii="宋体" w:hAnsi="宋体" w:eastAsia="宋体" w:cs="宋体"/>
          <w:color w:val="auto"/>
          <w:sz w:val="21"/>
          <w:szCs w:val="21"/>
        </w:rPr>
        <w:t>3</w:t>
      </w:r>
      <w:r>
        <w:rPr>
          <w:rFonts w:hint="eastAsia" w:ascii="宋体" w:hAnsi="宋体" w:eastAsia="宋体" w:cs="宋体"/>
          <w:color w:val="auto"/>
          <w:sz w:val="21"/>
          <w:szCs w:val="21"/>
        </w:rPr>
        <w:t>、供应商非小微企业不填写此表。</w:t>
      </w:r>
      <w:bookmarkEnd w:id="427"/>
    </w:p>
    <w:p>
      <w:pPr>
        <w:pStyle w:val="15"/>
        <w:rPr>
          <w:color w:val="auto"/>
        </w:rPr>
      </w:pPr>
    </w:p>
    <w:p>
      <w:pPr>
        <w:pStyle w:val="52"/>
        <w:ind w:firstLine="567"/>
        <w:rPr>
          <w:color w:val="auto"/>
        </w:rPr>
      </w:pPr>
    </w:p>
    <w:p>
      <w:pPr>
        <w:tabs>
          <w:tab w:val="left" w:pos="5670"/>
        </w:tabs>
        <w:spacing w:line="500" w:lineRule="exact"/>
        <w:jc w:val="center"/>
        <w:rPr>
          <w:b/>
          <w:color w:val="auto"/>
          <w:sz w:val="30"/>
          <w:szCs w:val="30"/>
        </w:rPr>
      </w:pPr>
      <w:r>
        <w:rPr>
          <w:color w:val="auto"/>
        </w:rPr>
        <w:br w:type="page"/>
      </w:r>
      <w:bookmarkStart w:id="428" w:name="_Toc28279_WPSOffice_Level3"/>
      <w:r>
        <w:rPr>
          <w:rFonts w:hint="eastAsia"/>
          <w:b/>
          <w:color w:val="auto"/>
          <w:sz w:val="30"/>
          <w:szCs w:val="30"/>
        </w:rPr>
        <w:t>残疾人福利性单位声明函</w:t>
      </w:r>
      <w:bookmarkEnd w:id="428"/>
      <w:r>
        <w:rPr>
          <w:rFonts w:hint="eastAsia"/>
          <w:b/>
          <w:color w:val="auto"/>
          <w:sz w:val="30"/>
          <w:szCs w:val="30"/>
        </w:rPr>
        <w:t>（格式）</w:t>
      </w:r>
    </w:p>
    <w:p>
      <w:pPr>
        <w:spacing w:line="500" w:lineRule="exact"/>
        <w:ind w:firstLine="566" w:firstLineChars="200"/>
        <w:jc w:val="left"/>
        <w:rPr>
          <w:color w:val="auto"/>
        </w:rPr>
      </w:pPr>
      <w:r>
        <w:rPr>
          <w:rFonts w:hint="eastAsia"/>
          <w:color w:val="auto"/>
        </w:rPr>
        <w:t>本单位郑重声明，根据《财政部 民政部 中国残疾人联合会关于促进残疾人就业政府采购政策的通知》（财库〔</w:t>
      </w:r>
      <w:r>
        <w:rPr>
          <w:rFonts w:hint="eastAsia" w:ascii="仿宋" w:hAnsi="仿宋" w:eastAsia="仿宋" w:cs="仿宋"/>
          <w:color w:val="auto"/>
        </w:rPr>
        <w:t>2017</w:t>
      </w:r>
      <w:r>
        <w:rPr>
          <w:rFonts w:hint="eastAsia"/>
          <w:color w:val="auto"/>
        </w:rPr>
        <w:t>〕</w:t>
      </w:r>
      <w:r>
        <w:rPr>
          <w:rFonts w:hint="eastAsia" w:ascii="仿宋" w:hAnsi="仿宋" w:eastAsia="仿宋" w:cs="仿宋"/>
          <w:color w:val="auto"/>
        </w:rPr>
        <w:t>141</w:t>
      </w:r>
      <w:r>
        <w:rPr>
          <w:rFonts w:hint="eastAsia"/>
          <w:color w:val="auto"/>
        </w:rPr>
        <w:t>号）的规定，本单位为符合条件的残疾人福利性单位，且本单位参加</w:t>
      </w:r>
      <w:r>
        <w:rPr>
          <w:rFonts w:hint="eastAsia"/>
          <w:color w:val="auto"/>
          <w:u w:val="single"/>
        </w:rPr>
        <w:t>（项目名称）</w:t>
      </w:r>
      <w:r>
        <w:rPr>
          <w:rFonts w:hint="eastAsia"/>
          <w:color w:val="auto"/>
        </w:rPr>
        <w:t>（项目编号：</w:t>
      </w:r>
      <w:r>
        <w:rPr>
          <w:rFonts w:hint="eastAsia"/>
          <w:color w:val="auto"/>
          <w:u w:val="single"/>
        </w:rPr>
        <w:t xml:space="preserve">       </w:t>
      </w:r>
      <w:r>
        <w:rPr>
          <w:rFonts w:hint="eastAsia"/>
          <w:color w:val="auto"/>
        </w:rPr>
        <w:t>）第___标段采购活动提供本单位制造的货物（由本单位承担工程/提供服务），或者提供其他残疾人福利性单位制造的货物（不包括使用非残疾人福利性单位注册商标的货物）。</w:t>
      </w:r>
    </w:p>
    <w:p>
      <w:pPr>
        <w:spacing w:line="500" w:lineRule="exact"/>
        <w:ind w:firstLine="566" w:firstLineChars="200"/>
        <w:jc w:val="left"/>
        <w:rPr>
          <w:color w:val="auto"/>
        </w:rPr>
      </w:pPr>
      <w:r>
        <w:rPr>
          <w:rFonts w:hint="eastAsia"/>
          <w:color w:val="auto"/>
        </w:rPr>
        <w:t>本单位对上述声明的真实性负责。如有虚假，将依法承担相应责任。</w:t>
      </w:r>
    </w:p>
    <w:p>
      <w:pPr>
        <w:spacing w:line="500" w:lineRule="exact"/>
        <w:ind w:firstLine="566" w:firstLineChars="200"/>
        <w:jc w:val="left"/>
        <w:rPr>
          <w:color w:val="auto"/>
        </w:rPr>
      </w:pPr>
    </w:p>
    <w:p>
      <w:pPr>
        <w:spacing w:line="500" w:lineRule="exact"/>
        <w:ind w:firstLine="5094" w:firstLineChars="1800"/>
        <w:rPr>
          <w:rFonts w:ascii="仿宋" w:hAnsi="仿宋" w:eastAsia="仿宋" w:cs="仿宋"/>
          <w:color w:val="auto"/>
        </w:rPr>
      </w:pPr>
      <w:r>
        <w:rPr>
          <w:rFonts w:hint="eastAsia" w:ascii="仿宋" w:hAnsi="仿宋" w:eastAsia="仿宋" w:cs="仿宋"/>
          <w:color w:val="auto"/>
        </w:rPr>
        <w:t>供应商：</w:t>
      </w:r>
      <w:r>
        <w:rPr>
          <w:rFonts w:hint="eastAsia" w:ascii="仿宋" w:hAnsi="仿宋" w:eastAsia="仿宋" w:cs="仿宋"/>
          <w:color w:val="auto"/>
          <w:u w:val="single"/>
        </w:rPr>
        <w:t>名称</w:t>
      </w:r>
      <w:r>
        <w:rPr>
          <w:rFonts w:hint="eastAsia" w:ascii="仿宋" w:hAnsi="仿宋" w:eastAsia="仿宋" w:cs="仿宋"/>
          <w:color w:val="auto"/>
        </w:rPr>
        <w:t>（加盖公章）</w:t>
      </w:r>
    </w:p>
    <w:p>
      <w:pPr>
        <w:tabs>
          <w:tab w:val="left" w:pos="5670"/>
        </w:tabs>
        <w:spacing w:line="500" w:lineRule="exact"/>
        <w:ind w:firstLine="5377" w:firstLineChars="1900"/>
        <w:jc w:val="left"/>
        <w:rPr>
          <w:color w:val="auto"/>
        </w:rPr>
      </w:pPr>
      <w:r>
        <w:rPr>
          <w:rFonts w:hint="eastAsia" w:ascii="仿宋" w:hAnsi="仿宋" w:eastAsia="仿宋" w:cs="仿宋"/>
          <w:color w:val="auto"/>
        </w:rPr>
        <w:t>日期：　　年　月　日</w:t>
      </w:r>
    </w:p>
    <w:p>
      <w:pPr>
        <w:tabs>
          <w:tab w:val="left" w:pos="5670"/>
        </w:tabs>
        <w:spacing w:line="500" w:lineRule="exact"/>
        <w:ind w:firstLine="566" w:firstLineChars="200"/>
        <w:jc w:val="left"/>
        <w:rPr>
          <w:color w:val="auto"/>
        </w:rPr>
      </w:pPr>
    </w:p>
    <w:p>
      <w:pPr>
        <w:tabs>
          <w:tab w:val="left" w:pos="5670"/>
        </w:tabs>
        <w:spacing w:line="240" w:lineRule="auto"/>
        <w:ind w:firstLine="566"/>
        <w:jc w:val="left"/>
        <w:rPr>
          <w:rFonts w:ascii="宋体" w:hAnsi="宋体" w:eastAsia="宋体" w:cs="宋体"/>
          <w:color w:val="auto"/>
          <w:sz w:val="21"/>
          <w:szCs w:val="21"/>
        </w:rPr>
      </w:pPr>
      <w:r>
        <w:rPr>
          <w:rFonts w:hint="eastAsia" w:ascii="宋体" w:hAnsi="宋体" w:eastAsia="宋体" w:cs="宋体"/>
          <w:b/>
          <w:bCs/>
          <w:color w:val="auto"/>
          <w:sz w:val="21"/>
          <w:szCs w:val="21"/>
        </w:rPr>
        <w:t>备注：</w:t>
      </w:r>
      <w:r>
        <w:rPr>
          <w:rFonts w:hint="eastAsia" w:ascii="宋体" w:hAnsi="宋体" w:eastAsia="宋体" w:cs="宋体"/>
          <w:color w:val="auto"/>
          <w:sz w:val="21"/>
          <w:szCs w:val="21"/>
        </w:rPr>
        <w:t>项目不分标段的，第___标段空白处填写“/”。</w:t>
      </w:r>
    </w:p>
    <w:p>
      <w:pPr>
        <w:tabs>
          <w:tab w:val="left" w:pos="5670"/>
        </w:tabs>
        <w:spacing w:line="240" w:lineRule="auto"/>
        <w:ind w:firstLine="566"/>
        <w:jc w:val="left"/>
        <w:rPr>
          <w:rFonts w:ascii="宋体" w:hAnsi="宋体" w:eastAsia="宋体" w:cs="宋体"/>
          <w:color w:val="auto"/>
          <w:sz w:val="21"/>
          <w:szCs w:val="21"/>
        </w:rPr>
      </w:pPr>
      <w:r>
        <w:rPr>
          <w:rFonts w:hint="eastAsia" w:ascii="宋体" w:hAnsi="宋体" w:eastAsia="宋体" w:cs="宋体"/>
          <w:color w:val="auto"/>
          <w:sz w:val="21"/>
          <w:szCs w:val="21"/>
        </w:rPr>
        <w:t>根据《财政部 民政部 中国残疾人联合会关于促进残疾人就业政府采购政策的通知》（财库〔2017〕141号）的规定：</w:t>
      </w:r>
    </w:p>
    <w:p>
      <w:pPr>
        <w:tabs>
          <w:tab w:val="left" w:pos="5670"/>
        </w:tabs>
        <w:spacing w:line="240" w:lineRule="auto"/>
        <w:ind w:firstLine="566"/>
        <w:jc w:val="left"/>
        <w:rPr>
          <w:rFonts w:ascii="宋体" w:hAnsi="宋体" w:eastAsia="宋体" w:cs="宋体"/>
          <w:color w:val="auto"/>
          <w:sz w:val="21"/>
          <w:szCs w:val="21"/>
        </w:rPr>
      </w:pPr>
      <w:r>
        <w:rPr>
          <w:rFonts w:hint="eastAsia" w:ascii="宋体" w:hAnsi="宋体" w:eastAsia="宋体" w:cs="宋体"/>
          <w:color w:val="auto"/>
          <w:sz w:val="21"/>
          <w:szCs w:val="21"/>
        </w:rPr>
        <w:t>一、享受政府采购支持政策的残疾人福利性单位应当同时满足以下条件：</w:t>
      </w:r>
    </w:p>
    <w:p>
      <w:pPr>
        <w:tabs>
          <w:tab w:val="left" w:pos="5670"/>
        </w:tabs>
        <w:spacing w:line="240" w:lineRule="auto"/>
        <w:ind w:firstLine="566"/>
        <w:jc w:val="left"/>
        <w:rPr>
          <w:rFonts w:ascii="宋体" w:hAnsi="宋体" w:eastAsia="宋体" w:cs="宋体"/>
          <w:color w:val="auto"/>
          <w:sz w:val="21"/>
          <w:szCs w:val="21"/>
        </w:rPr>
      </w:pPr>
      <w:r>
        <w:rPr>
          <w:rFonts w:hint="eastAsia" w:ascii="宋体" w:hAnsi="宋体" w:eastAsia="宋体" w:cs="宋体"/>
          <w:color w:val="auto"/>
          <w:sz w:val="21"/>
          <w:szCs w:val="21"/>
        </w:rPr>
        <w:t>（一）安置的残疾人占本单位在职职工人数的比例不低于</w:t>
      </w:r>
      <w:r>
        <w:rPr>
          <w:rFonts w:hint="eastAsia" w:ascii="仿宋" w:hAnsi="仿宋" w:eastAsia="仿宋" w:cs="仿宋"/>
          <w:color w:val="auto"/>
          <w:sz w:val="21"/>
          <w:szCs w:val="21"/>
        </w:rPr>
        <w:t>25</w:t>
      </w:r>
      <w:r>
        <w:rPr>
          <w:rFonts w:hint="eastAsia" w:ascii="宋体" w:hAnsi="宋体" w:eastAsia="宋体" w:cs="宋体"/>
          <w:color w:val="auto"/>
          <w:sz w:val="21"/>
          <w:szCs w:val="21"/>
        </w:rPr>
        <w:t>%（含</w:t>
      </w:r>
      <w:r>
        <w:rPr>
          <w:rFonts w:hint="eastAsia" w:ascii="仿宋" w:hAnsi="仿宋" w:eastAsia="仿宋" w:cs="仿宋"/>
          <w:color w:val="auto"/>
          <w:sz w:val="21"/>
          <w:szCs w:val="21"/>
        </w:rPr>
        <w:t>25</w:t>
      </w:r>
      <w:r>
        <w:rPr>
          <w:rFonts w:hint="eastAsia" w:ascii="宋体" w:hAnsi="宋体" w:eastAsia="宋体" w:cs="宋体"/>
          <w:color w:val="auto"/>
          <w:sz w:val="21"/>
          <w:szCs w:val="21"/>
        </w:rPr>
        <w:t>%），并且安置的残疾人人数不少于10人（含10人）；</w:t>
      </w:r>
    </w:p>
    <w:p>
      <w:pPr>
        <w:tabs>
          <w:tab w:val="left" w:pos="5670"/>
        </w:tabs>
        <w:spacing w:line="240" w:lineRule="auto"/>
        <w:ind w:firstLine="566"/>
        <w:jc w:val="left"/>
        <w:rPr>
          <w:rFonts w:ascii="宋体" w:hAnsi="宋体" w:eastAsia="宋体" w:cs="宋体"/>
          <w:color w:val="auto"/>
          <w:sz w:val="21"/>
          <w:szCs w:val="21"/>
        </w:rPr>
      </w:pPr>
      <w:r>
        <w:rPr>
          <w:rFonts w:hint="eastAsia" w:ascii="宋体" w:hAnsi="宋体" w:eastAsia="宋体" w:cs="宋体"/>
          <w:color w:val="auto"/>
          <w:sz w:val="21"/>
          <w:szCs w:val="21"/>
        </w:rPr>
        <w:t>（二）依法与安置的每位残疾人签订了一年以上（含一年）的劳动合同或服务协议；</w:t>
      </w:r>
    </w:p>
    <w:p>
      <w:pPr>
        <w:tabs>
          <w:tab w:val="left" w:pos="5670"/>
        </w:tabs>
        <w:spacing w:line="240" w:lineRule="auto"/>
        <w:ind w:firstLine="566"/>
        <w:jc w:val="left"/>
        <w:rPr>
          <w:rFonts w:ascii="宋体" w:hAnsi="宋体" w:eastAsia="宋体" w:cs="宋体"/>
          <w:color w:val="auto"/>
          <w:sz w:val="21"/>
          <w:szCs w:val="21"/>
        </w:rPr>
      </w:pPr>
      <w:r>
        <w:rPr>
          <w:rFonts w:hint="eastAsia" w:ascii="宋体" w:hAnsi="宋体" w:eastAsia="宋体" w:cs="宋体"/>
          <w:color w:val="auto"/>
          <w:sz w:val="21"/>
          <w:szCs w:val="21"/>
        </w:rPr>
        <w:t>（三）为安置的每位残疾人按月足额缴纳了基本养老保险、基本医疗保险、失业保险、工伤保险和生育保险等社会保险费；</w:t>
      </w:r>
    </w:p>
    <w:p>
      <w:pPr>
        <w:tabs>
          <w:tab w:val="left" w:pos="5670"/>
        </w:tabs>
        <w:spacing w:line="240" w:lineRule="auto"/>
        <w:ind w:firstLine="566"/>
        <w:jc w:val="left"/>
        <w:rPr>
          <w:rFonts w:ascii="宋体" w:hAnsi="宋体" w:eastAsia="宋体" w:cs="宋体"/>
          <w:color w:val="auto"/>
          <w:sz w:val="21"/>
          <w:szCs w:val="21"/>
        </w:rPr>
      </w:pPr>
      <w:r>
        <w:rPr>
          <w:rFonts w:hint="eastAsia" w:ascii="宋体" w:hAnsi="宋体" w:eastAsia="宋体" w:cs="宋体"/>
          <w:color w:val="auto"/>
          <w:sz w:val="21"/>
          <w:szCs w:val="21"/>
        </w:rPr>
        <w:t>（四）通过银行等金融机构向安置的每位残疾人，按月支付了不低于单位所在区县适用的经省级人民政府批准的月最低工资标准的工资；</w:t>
      </w:r>
    </w:p>
    <w:p>
      <w:pPr>
        <w:tabs>
          <w:tab w:val="left" w:pos="5670"/>
        </w:tabs>
        <w:spacing w:line="240" w:lineRule="auto"/>
        <w:ind w:firstLine="566"/>
        <w:jc w:val="left"/>
        <w:rPr>
          <w:rFonts w:ascii="宋体" w:hAnsi="宋体" w:eastAsia="宋体" w:cs="宋体"/>
          <w:color w:val="auto"/>
          <w:sz w:val="21"/>
          <w:szCs w:val="21"/>
        </w:rPr>
      </w:pPr>
      <w:r>
        <w:rPr>
          <w:rFonts w:hint="eastAsia" w:ascii="宋体" w:hAnsi="宋体" w:eastAsia="宋体" w:cs="宋体"/>
          <w:color w:val="auto"/>
          <w:sz w:val="21"/>
          <w:szCs w:val="21"/>
        </w:rPr>
        <w:t>（五）提供本单位制造的货物、承担的工程或者服务（以下简称产品），或者提供其他残疾人福利性单位制造的货物（不包括使用非残疾人福利性单位注册商标的货物）。</w:t>
      </w:r>
    </w:p>
    <w:p>
      <w:pPr>
        <w:tabs>
          <w:tab w:val="left" w:pos="5670"/>
        </w:tabs>
        <w:spacing w:line="240" w:lineRule="auto"/>
        <w:ind w:firstLine="566"/>
        <w:jc w:val="left"/>
        <w:rPr>
          <w:rFonts w:ascii="宋体" w:hAnsi="宋体" w:eastAsia="宋体" w:cs="宋体"/>
          <w:color w:val="auto"/>
          <w:sz w:val="21"/>
          <w:szCs w:val="21"/>
        </w:rPr>
      </w:pPr>
      <w:r>
        <w:rPr>
          <w:rFonts w:hint="eastAsia" w:ascii="宋体" w:hAnsi="宋体" w:eastAsia="宋体" w:cs="宋体"/>
          <w:color w:val="auto"/>
          <w:sz w:val="21"/>
          <w:szCs w:val="21"/>
        </w:rPr>
        <w:t>前款所称残疾人是指法定劳动年龄内，持有《中华人民共和国残疾人证》或者《中华人民共和国残疾军人证（1至8级）》的自然人，包括具有劳动条件和劳动意愿的精神残疾人。在职职工人数是指与残疾人福利性单位建立劳动关系并依法签订劳动合同或者服务协议的雇员人数。</w:t>
      </w:r>
    </w:p>
    <w:p>
      <w:pPr>
        <w:tabs>
          <w:tab w:val="left" w:pos="5670"/>
        </w:tabs>
        <w:spacing w:line="240" w:lineRule="auto"/>
        <w:ind w:firstLine="426" w:firstLineChars="200"/>
        <w:jc w:val="left"/>
        <w:rPr>
          <w:rFonts w:ascii="宋体" w:hAnsi="宋体" w:eastAsia="宋体" w:cs="宋体"/>
          <w:color w:val="auto"/>
          <w:sz w:val="21"/>
          <w:szCs w:val="21"/>
        </w:rPr>
      </w:pPr>
      <w:r>
        <w:rPr>
          <w:rFonts w:hint="eastAsia" w:ascii="宋体" w:hAnsi="宋体" w:eastAsia="宋体" w:cs="宋体"/>
          <w:color w:val="auto"/>
          <w:sz w:val="21"/>
          <w:szCs w:val="21"/>
        </w:rPr>
        <w:t>二、中标、成交供应商为残疾人福利性单位的，采购人或者其委托的采购代理机构应当随中标、成交结果同时公告其《残疾人福利性单位声明函》，接受社会监督。</w:t>
      </w:r>
    </w:p>
    <w:p>
      <w:pPr>
        <w:tabs>
          <w:tab w:val="left" w:pos="5670"/>
        </w:tabs>
        <w:spacing w:line="240" w:lineRule="auto"/>
        <w:jc w:val="center"/>
        <w:rPr>
          <w:b/>
          <w:color w:val="auto"/>
          <w:sz w:val="30"/>
          <w:szCs w:val="30"/>
        </w:rPr>
      </w:pPr>
      <w:r>
        <w:rPr>
          <w:rFonts w:hint="eastAsia" w:ascii="宋体" w:hAnsi="宋体" w:eastAsia="宋体" w:cs="宋体"/>
          <w:color w:val="auto"/>
          <w:sz w:val="21"/>
          <w:szCs w:val="21"/>
        </w:rPr>
        <w:br w:type="page"/>
      </w:r>
      <w:bookmarkStart w:id="429" w:name="_Toc980_WPSOffice_Level3"/>
      <w:r>
        <w:rPr>
          <w:rFonts w:hint="eastAsia"/>
          <w:b/>
          <w:color w:val="auto"/>
          <w:sz w:val="30"/>
          <w:szCs w:val="30"/>
        </w:rPr>
        <w:t>监狱企业证明函</w:t>
      </w:r>
      <w:bookmarkEnd w:id="429"/>
    </w:p>
    <w:p>
      <w:pPr>
        <w:spacing w:line="500" w:lineRule="exact"/>
        <w:ind w:firstLine="566" w:firstLineChars="200"/>
        <w:jc w:val="left"/>
        <w:rPr>
          <w:color w:val="auto"/>
        </w:rPr>
      </w:pPr>
      <w:r>
        <w:rPr>
          <w:rFonts w:hint="eastAsia"/>
          <w:color w:val="auto"/>
        </w:rPr>
        <w:t>根据财政部、司法部《关于政府采购支持监狱企业发展有关问题的通知》（财库〔</w:t>
      </w:r>
      <w:r>
        <w:rPr>
          <w:rFonts w:hint="eastAsia" w:ascii="仿宋" w:hAnsi="仿宋" w:eastAsia="仿宋" w:cs="仿宋"/>
          <w:color w:val="auto"/>
        </w:rPr>
        <w:t>2014</w:t>
      </w:r>
      <w:r>
        <w:rPr>
          <w:rFonts w:hint="eastAsia"/>
          <w:color w:val="auto"/>
        </w:rPr>
        <w:t>〕</w:t>
      </w:r>
      <w:r>
        <w:rPr>
          <w:rFonts w:hint="eastAsia" w:ascii="仿宋" w:hAnsi="仿宋" w:eastAsia="仿宋" w:cs="仿宋"/>
          <w:color w:val="auto"/>
        </w:rPr>
        <w:t>68</w:t>
      </w:r>
      <w:r>
        <w:rPr>
          <w:rFonts w:hint="eastAsia"/>
          <w:color w:val="auto"/>
        </w:rPr>
        <w:t>号）的规定，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w:t>
      </w:r>
    </w:p>
    <w:p>
      <w:pPr>
        <w:spacing w:line="500" w:lineRule="exact"/>
        <w:ind w:firstLine="566" w:firstLineChars="200"/>
        <w:jc w:val="left"/>
        <w:rPr>
          <w:color w:val="auto"/>
        </w:rPr>
      </w:pPr>
      <w:r>
        <w:rPr>
          <w:rFonts w:hint="eastAsia"/>
          <w:color w:val="auto"/>
        </w:rPr>
        <w:t>监狱企业参加政府采购活动时，应当提供由省级以上监狱管理局、戒毒管理局（含新疆生产建设兵团）出具的属于监狱企业的证明文件。</w:t>
      </w:r>
    </w:p>
    <w:p>
      <w:pPr>
        <w:spacing w:line="500" w:lineRule="exact"/>
        <w:rPr>
          <w:b/>
          <w:color w:val="auto"/>
          <w:sz w:val="32"/>
          <w:szCs w:val="32"/>
        </w:rPr>
      </w:pPr>
      <w:r>
        <w:rPr>
          <w:b/>
          <w:color w:val="auto"/>
        </w:rPr>
        <w:br w:type="page"/>
      </w:r>
      <w:r>
        <w:rPr>
          <w:rFonts w:hint="eastAsia"/>
          <w:b/>
          <w:color w:val="auto"/>
          <w:sz w:val="32"/>
          <w:szCs w:val="32"/>
        </w:rPr>
        <w:t>二、技术服务方案</w:t>
      </w:r>
    </w:p>
    <w:p>
      <w:pPr>
        <w:spacing w:line="500" w:lineRule="exact"/>
        <w:ind w:firstLine="566" w:firstLineChars="200"/>
        <w:rPr>
          <w:bCs/>
          <w:color w:val="auto"/>
        </w:rPr>
      </w:pPr>
      <w:r>
        <w:rPr>
          <w:bCs/>
          <w:color w:val="auto"/>
        </w:rPr>
        <w:t>参照</w:t>
      </w:r>
      <w:r>
        <w:rPr>
          <w:rFonts w:hint="eastAsia"/>
          <w:bCs/>
          <w:color w:val="auto"/>
        </w:rPr>
        <w:t>磋商</w:t>
      </w:r>
      <w:r>
        <w:rPr>
          <w:bCs/>
          <w:color w:val="auto"/>
        </w:rPr>
        <w:t>文件第二章《</w:t>
      </w:r>
      <w:r>
        <w:rPr>
          <w:rFonts w:hint="eastAsia"/>
          <w:bCs/>
          <w:color w:val="auto"/>
        </w:rPr>
        <w:t>组织评审</w:t>
      </w:r>
      <w:r>
        <w:rPr>
          <w:bCs/>
          <w:color w:val="auto"/>
        </w:rPr>
        <w:t>》各条款的要求，结合第三章《</w:t>
      </w:r>
      <w:r>
        <w:rPr>
          <w:rFonts w:hint="eastAsia"/>
          <w:bCs/>
          <w:color w:val="auto"/>
        </w:rPr>
        <w:t>磋商</w:t>
      </w:r>
      <w:r>
        <w:rPr>
          <w:bCs/>
          <w:color w:val="auto"/>
        </w:rPr>
        <w:t>内容及</w:t>
      </w:r>
      <w:r>
        <w:rPr>
          <w:rFonts w:hint="eastAsia"/>
          <w:bCs/>
          <w:color w:val="auto"/>
        </w:rPr>
        <w:t>采购要求</w:t>
      </w:r>
      <w:r>
        <w:rPr>
          <w:bCs/>
          <w:color w:val="auto"/>
        </w:rPr>
        <w:t>》编制</w:t>
      </w:r>
      <w:r>
        <w:rPr>
          <w:rFonts w:hint="eastAsia"/>
          <w:bCs/>
          <w:color w:val="auto"/>
        </w:rPr>
        <w:t>技术服务</w:t>
      </w:r>
      <w:r>
        <w:rPr>
          <w:bCs/>
          <w:color w:val="auto"/>
        </w:rPr>
        <w:t>方案。</w:t>
      </w:r>
    </w:p>
    <w:p>
      <w:pPr>
        <w:tabs>
          <w:tab w:val="right" w:pos="9070"/>
        </w:tabs>
        <w:spacing w:line="500" w:lineRule="exact"/>
        <w:ind w:firstLine="646" w:firstLineChars="200"/>
        <w:rPr>
          <w:rFonts w:ascii="仿宋" w:hAnsi="仿宋" w:eastAsia="仿宋"/>
          <w:b/>
          <w:color w:val="auto"/>
          <w:sz w:val="32"/>
          <w:szCs w:val="32"/>
        </w:rPr>
      </w:pPr>
    </w:p>
    <w:p>
      <w:pPr>
        <w:tabs>
          <w:tab w:val="right" w:pos="9070"/>
        </w:tabs>
        <w:spacing w:line="500" w:lineRule="exact"/>
        <w:rPr>
          <w:rFonts w:hint="eastAsia" w:ascii="仿宋" w:hAnsi="仿宋" w:eastAsia="仿宋"/>
          <w:b/>
          <w:color w:val="auto"/>
          <w:sz w:val="32"/>
          <w:szCs w:val="32"/>
        </w:rPr>
      </w:pPr>
    </w:p>
    <w:p>
      <w:pPr>
        <w:tabs>
          <w:tab w:val="right" w:pos="9070"/>
        </w:tabs>
        <w:spacing w:line="500" w:lineRule="exact"/>
        <w:rPr>
          <w:rFonts w:hint="eastAsia" w:ascii="仿宋" w:hAnsi="仿宋" w:eastAsia="仿宋"/>
          <w:b/>
          <w:color w:val="auto"/>
          <w:sz w:val="32"/>
          <w:szCs w:val="32"/>
        </w:rPr>
      </w:pPr>
    </w:p>
    <w:p>
      <w:pPr>
        <w:tabs>
          <w:tab w:val="right" w:pos="9070"/>
        </w:tabs>
        <w:spacing w:line="500" w:lineRule="exact"/>
        <w:rPr>
          <w:rFonts w:hint="eastAsia" w:ascii="仿宋" w:hAnsi="仿宋" w:eastAsia="仿宋"/>
          <w:b/>
          <w:color w:val="auto"/>
          <w:sz w:val="32"/>
          <w:szCs w:val="32"/>
        </w:rPr>
      </w:pPr>
    </w:p>
    <w:p>
      <w:pPr>
        <w:tabs>
          <w:tab w:val="right" w:pos="9070"/>
        </w:tabs>
        <w:spacing w:line="500" w:lineRule="exact"/>
        <w:rPr>
          <w:rFonts w:hint="eastAsia" w:ascii="仿宋" w:hAnsi="仿宋" w:eastAsia="仿宋"/>
          <w:b/>
          <w:color w:val="auto"/>
          <w:sz w:val="32"/>
          <w:szCs w:val="32"/>
        </w:rPr>
      </w:pPr>
    </w:p>
    <w:p>
      <w:pPr>
        <w:tabs>
          <w:tab w:val="right" w:pos="9070"/>
        </w:tabs>
        <w:spacing w:line="500" w:lineRule="exact"/>
        <w:rPr>
          <w:rFonts w:hint="eastAsia" w:ascii="仿宋" w:hAnsi="仿宋" w:eastAsia="仿宋"/>
          <w:b/>
          <w:color w:val="auto"/>
          <w:sz w:val="32"/>
          <w:szCs w:val="32"/>
        </w:rPr>
      </w:pPr>
    </w:p>
    <w:p>
      <w:pPr>
        <w:tabs>
          <w:tab w:val="right" w:pos="9070"/>
        </w:tabs>
        <w:spacing w:line="500" w:lineRule="exact"/>
        <w:rPr>
          <w:rFonts w:hint="eastAsia" w:ascii="仿宋" w:hAnsi="仿宋" w:eastAsia="仿宋"/>
          <w:b/>
          <w:color w:val="auto"/>
          <w:sz w:val="32"/>
          <w:szCs w:val="32"/>
        </w:rPr>
      </w:pPr>
    </w:p>
    <w:p>
      <w:pPr>
        <w:tabs>
          <w:tab w:val="right" w:pos="9070"/>
        </w:tabs>
        <w:spacing w:line="500" w:lineRule="exact"/>
        <w:rPr>
          <w:rFonts w:hint="eastAsia" w:ascii="仿宋" w:hAnsi="仿宋" w:eastAsia="仿宋"/>
          <w:b/>
          <w:color w:val="auto"/>
          <w:sz w:val="32"/>
          <w:szCs w:val="32"/>
        </w:rPr>
      </w:pPr>
    </w:p>
    <w:p>
      <w:pPr>
        <w:tabs>
          <w:tab w:val="right" w:pos="9070"/>
        </w:tabs>
        <w:spacing w:line="500" w:lineRule="exact"/>
        <w:rPr>
          <w:rFonts w:hint="eastAsia" w:ascii="仿宋" w:hAnsi="仿宋" w:eastAsia="仿宋"/>
          <w:b/>
          <w:color w:val="auto"/>
          <w:sz w:val="32"/>
          <w:szCs w:val="32"/>
        </w:rPr>
      </w:pPr>
    </w:p>
    <w:p>
      <w:pPr>
        <w:tabs>
          <w:tab w:val="right" w:pos="9070"/>
        </w:tabs>
        <w:spacing w:line="500" w:lineRule="exact"/>
        <w:rPr>
          <w:rFonts w:hint="eastAsia" w:ascii="仿宋" w:hAnsi="仿宋" w:eastAsia="仿宋"/>
          <w:b/>
          <w:color w:val="auto"/>
          <w:sz w:val="32"/>
          <w:szCs w:val="32"/>
        </w:rPr>
      </w:pPr>
    </w:p>
    <w:p>
      <w:pPr>
        <w:tabs>
          <w:tab w:val="right" w:pos="9070"/>
        </w:tabs>
        <w:spacing w:line="500" w:lineRule="exact"/>
        <w:rPr>
          <w:rFonts w:hint="eastAsia" w:ascii="仿宋" w:hAnsi="仿宋" w:eastAsia="仿宋"/>
          <w:b/>
          <w:color w:val="auto"/>
          <w:sz w:val="32"/>
          <w:szCs w:val="32"/>
        </w:rPr>
      </w:pPr>
    </w:p>
    <w:p>
      <w:pPr>
        <w:tabs>
          <w:tab w:val="right" w:pos="9070"/>
        </w:tabs>
        <w:spacing w:line="500" w:lineRule="exact"/>
        <w:rPr>
          <w:rFonts w:hint="eastAsia" w:ascii="仿宋" w:hAnsi="仿宋" w:eastAsia="仿宋"/>
          <w:b/>
          <w:color w:val="auto"/>
          <w:sz w:val="32"/>
          <w:szCs w:val="32"/>
        </w:rPr>
      </w:pPr>
    </w:p>
    <w:p>
      <w:pPr>
        <w:tabs>
          <w:tab w:val="right" w:pos="9070"/>
        </w:tabs>
        <w:spacing w:line="500" w:lineRule="exact"/>
        <w:rPr>
          <w:rFonts w:hint="eastAsia" w:ascii="仿宋" w:hAnsi="仿宋" w:eastAsia="仿宋"/>
          <w:b/>
          <w:color w:val="auto"/>
          <w:sz w:val="32"/>
          <w:szCs w:val="32"/>
        </w:rPr>
      </w:pPr>
    </w:p>
    <w:p>
      <w:pPr>
        <w:tabs>
          <w:tab w:val="right" w:pos="9070"/>
        </w:tabs>
        <w:spacing w:line="500" w:lineRule="exact"/>
        <w:rPr>
          <w:rFonts w:hint="eastAsia" w:ascii="仿宋" w:hAnsi="仿宋" w:eastAsia="仿宋"/>
          <w:b/>
          <w:color w:val="auto"/>
          <w:sz w:val="32"/>
          <w:szCs w:val="32"/>
        </w:rPr>
      </w:pPr>
    </w:p>
    <w:p>
      <w:pPr>
        <w:tabs>
          <w:tab w:val="right" w:pos="9070"/>
        </w:tabs>
        <w:spacing w:line="500" w:lineRule="exact"/>
        <w:rPr>
          <w:rFonts w:hint="eastAsia" w:ascii="仿宋" w:hAnsi="仿宋" w:eastAsia="仿宋"/>
          <w:b/>
          <w:color w:val="auto"/>
          <w:sz w:val="32"/>
          <w:szCs w:val="32"/>
        </w:rPr>
      </w:pPr>
    </w:p>
    <w:p>
      <w:pPr>
        <w:tabs>
          <w:tab w:val="right" w:pos="9070"/>
        </w:tabs>
        <w:spacing w:line="500" w:lineRule="exact"/>
        <w:rPr>
          <w:rFonts w:hint="eastAsia" w:ascii="仿宋" w:hAnsi="仿宋" w:eastAsia="仿宋"/>
          <w:b/>
          <w:color w:val="auto"/>
          <w:sz w:val="32"/>
          <w:szCs w:val="32"/>
        </w:rPr>
      </w:pPr>
    </w:p>
    <w:p>
      <w:pPr>
        <w:tabs>
          <w:tab w:val="right" w:pos="9070"/>
        </w:tabs>
        <w:spacing w:line="500" w:lineRule="exact"/>
        <w:rPr>
          <w:rFonts w:hint="eastAsia" w:ascii="仿宋" w:hAnsi="仿宋" w:eastAsia="仿宋"/>
          <w:b/>
          <w:color w:val="auto"/>
          <w:sz w:val="32"/>
          <w:szCs w:val="32"/>
        </w:rPr>
      </w:pPr>
    </w:p>
    <w:p>
      <w:pPr>
        <w:tabs>
          <w:tab w:val="right" w:pos="9070"/>
        </w:tabs>
        <w:spacing w:line="500" w:lineRule="exact"/>
        <w:rPr>
          <w:rFonts w:hint="eastAsia" w:ascii="仿宋" w:hAnsi="仿宋" w:eastAsia="仿宋"/>
          <w:b/>
          <w:color w:val="auto"/>
          <w:sz w:val="32"/>
          <w:szCs w:val="32"/>
        </w:rPr>
      </w:pPr>
    </w:p>
    <w:p>
      <w:pPr>
        <w:tabs>
          <w:tab w:val="right" w:pos="9070"/>
        </w:tabs>
        <w:spacing w:line="500" w:lineRule="exact"/>
        <w:rPr>
          <w:rFonts w:hint="eastAsia" w:ascii="仿宋" w:hAnsi="仿宋" w:eastAsia="仿宋"/>
          <w:b/>
          <w:color w:val="auto"/>
          <w:sz w:val="32"/>
          <w:szCs w:val="32"/>
        </w:rPr>
      </w:pPr>
    </w:p>
    <w:p>
      <w:pPr>
        <w:tabs>
          <w:tab w:val="right" w:pos="9070"/>
        </w:tabs>
        <w:spacing w:line="500" w:lineRule="exact"/>
        <w:rPr>
          <w:rFonts w:hint="eastAsia" w:ascii="仿宋" w:hAnsi="仿宋" w:eastAsia="仿宋"/>
          <w:b/>
          <w:color w:val="auto"/>
          <w:sz w:val="32"/>
          <w:szCs w:val="32"/>
        </w:rPr>
      </w:pPr>
    </w:p>
    <w:p>
      <w:pPr>
        <w:tabs>
          <w:tab w:val="right" w:pos="9070"/>
        </w:tabs>
        <w:spacing w:line="500" w:lineRule="exact"/>
        <w:rPr>
          <w:rFonts w:hint="eastAsia" w:ascii="仿宋" w:hAnsi="仿宋" w:eastAsia="仿宋"/>
          <w:b/>
          <w:color w:val="auto"/>
          <w:sz w:val="32"/>
          <w:szCs w:val="32"/>
        </w:rPr>
      </w:pPr>
    </w:p>
    <w:p>
      <w:pPr>
        <w:tabs>
          <w:tab w:val="right" w:pos="9070"/>
        </w:tabs>
        <w:spacing w:line="500" w:lineRule="exact"/>
        <w:rPr>
          <w:rFonts w:hint="eastAsia" w:ascii="仿宋" w:hAnsi="仿宋" w:eastAsia="仿宋"/>
          <w:b/>
          <w:color w:val="auto"/>
          <w:sz w:val="32"/>
          <w:szCs w:val="32"/>
        </w:rPr>
      </w:pPr>
    </w:p>
    <w:p>
      <w:pPr>
        <w:tabs>
          <w:tab w:val="right" w:pos="9070"/>
        </w:tabs>
        <w:spacing w:line="500" w:lineRule="exact"/>
        <w:rPr>
          <w:rFonts w:hint="eastAsia" w:ascii="仿宋" w:hAnsi="仿宋" w:eastAsia="仿宋"/>
          <w:b/>
          <w:color w:val="auto"/>
          <w:sz w:val="32"/>
          <w:szCs w:val="32"/>
        </w:rPr>
      </w:pPr>
    </w:p>
    <w:p>
      <w:pPr>
        <w:tabs>
          <w:tab w:val="right" w:pos="9070"/>
        </w:tabs>
        <w:spacing w:line="500" w:lineRule="exact"/>
        <w:rPr>
          <w:rFonts w:hint="eastAsia" w:ascii="仿宋" w:hAnsi="仿宋" w:eastAsia="仿宋"/>
          <w:b/>
          <w:color w:val="auto"/>
          <w:sz w:val="32"/>
          <w:szCs w:val="32"/>
        </w:rPr>
      </w:pPr>
    </w:p>
    <w:p>
      <w:pPr>
        <w:tabs>
          <w:tab w:val="right" w:pos="9070"/>
        </w:tabs>
        <w:spacing w:line="500" w:lineRule="exact"/>
        <w:rPr>
          <w:rFonts w:hint="eastAsia" w:ascii="仿宋" w:hAnsi="仿宋" w:eastAsia="仿宋"/>
          <w:b/>
          <w:color w:val="auto"/>
          <w:sz w:val="32"/>
          <w:szCs w:val="32"/>
        </w:rPr>
      </w:pPr>
    </w:p>
    <w:p>
      <w:pPr>
        <w:tabs>
          <w:tab w:val="right" w:pos="9070"/>
        </w:tabs>
        <w:spacing w:line="500" w:lineRule="exact"/>
        <w:rPr>
          <w:rFonts w:ascii="仿宋" w:hAnsi="仿宋" w:eastAsia="仿宋"/>
          <w:bCs/>
          <w:color w:val="auto"/>
          <w:sz w:val="32"/>
          <w:szCs w:val="32"/>
        </w:rPr>
      </w:pPr>
      <w:r>
        <w:rPr>
          <w:rFonts w:hint="eastAsia" w:ascii="仿宋" w:hAnsi="仿宋" w:eastAsia="仿宋"/>
          <w:b/>
          <w:color w:val="auto"/>
          <w:sz w:val="32"/>
          <w:szCs w:val="32"/>
        </w:rPr>
        <w:t>三、参考样表</w:t>
      </w:r>
    </w:p>
    <w:p>
      <w:pPr>
        <w:spacing w:line="500" w:lineRule="exact"/>
        <w:ind w:firstLine="566" w:firstLineChars="200"/>
        <w:rPr>
          <w:rFonts w:ascii="华文仿宋" w:hAnsi="华文仿宋" w:cs="华文仿宋"/>
          <w:b/>
          <w:bCs/>
          <w:color w:val="auto"/>
        </w:rPr>
      </w:pPr>
      <w:r>
        <w:rPr>
          <w:rFonts w:hint="eastAsia" w:ascii="华文仿宋" w:hAnsi="华文仿宋" w:cs="华文仿宋"/>
          <w:b/>
          <w:bCs/>
          <w:color w:val="auto"/>
        </w:rPr>
        <w:t>（一）业绩合同样表（仅供参考）</w:t>
      </w:r>
    </w:p>
    <w:tbl>
      <w:tblPr>
        <w:tblStyle w:val="23"/>
        <w:tblW w:w="878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1"/>
        <w:gridCol w:w="1736"/>
        <w:gridCol w:w="1701"/>
        <w:gridCol w:w="2557"/>
        <w:gridCol w:w="19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811" w:type="dxa"/>
            <w:vAlign w:val="center"/>
          </w:tcPr>
          <w:p>
            <w:pPr>
              <w:widowControl w:val="0"/>
              <w:adjustRightInd w:val="0"/>
              <w:snapToGrid w:val="0"/>
              <w:spacing w:line="440" w:lineRule="exact"/>
              <w:jc w:val="center"/>
              <w:rPr>
                <w:rFonts w:ascii="宋体"/>
                <w:b/>
                <w:color w:val="auto"/>
                <w:sz w:val="24"/>
                <w:szCs w:val="24"/>
              </w:rPr>
            </w:pPr>
            <w:r>
              <w:rPr>
                <w:rFonts w:hint="eastAsia" w:ascii="宋体"/>
                <w:b/>
                <w:color w:val="auto"/>
                <w:sz w:val="24"/>
                <w:szCs w:val="24"/>
              </w:rPr>
              <w:t>序号</w:t>
            </w:r>
          </w:p>
        </w:tc>
        <w:tc>
          <w:tcPr>
            <w:tcW w:w="1736" w:type="dxa"/>
            <w:vAlign w:val="center"/>
          </w:tcPr>
          <w:p>
            <w:pPr>
              <w:jc w:val="center"/>
              <w:rPr>
                <w:rFonts w:ascii="仿宋" w:hAnsi="仿宋" w:eastAsia="仿宋" w:cs="仿宋"/>
                <w:b/>
                <w:color w:val="auto"/>
                <w:sz w:val="24"/>
                <w:szCs w:val="24"/>
              </w:rPr>
            </w:pPr>
            <w:r>
              <w:rPr>
                <w:rFonts w:hint="eastAsia" w:ascii="仿宋" w:hAnsi="仿宋" w:eastAsia="仿宋" w:cs="仿宋"/>
                <w:b/>
                <w:color w:val="auto"/>
                <w:sz w:val="24"/>
                <w:szCs w:val="24"/>
              </w:rPr>
              <w:t>采购单位名称</w:t>
            </w:r>
          </w:p>
        </w:tc>
        <w:tc>
          <w:tcPr>
            <w:tcW w:w="1701" w:type="dxa"/>
            <w:vAlign w:val="center"/>
          </w:tcPr>
          <w:p>
            <w:pPr>
              <w:jc w:val="center"/>
              <w:rPr>
                <w:rFonts w:ascii="仿宋" w:hAnsi="仿宋" w:eastAsia="仿宋" w:cs="仿宋"/>
                <w:b/>
                <w:color w:val="auto"/>
                <w:sz w:val="24"/>
                <w:szCs w:val="24"/>
              </w:rPr>
            </w:pPr>
            <w:r>
              <w:rPr>
                <w:rFonts w:hint="eastAsia" w:ascii="仿宋" w:hAnsi="仿宋" w:eastAsia="仿宋" w:cs="仿宋"/>
                <w:b/>
                <w:color w:val="auto"/>
                <w:sz w:val="24"/>
                <w:szCs w:val="24"/>
              </w:rPr>
              <w:t>合同名称</w:t>
            </w:r>
          </w:p>
        </w:tc>
        <w:tc>
          <w:tcPr>
            <w:tcW w:w="2557" w:type="dxa"/>
            <w:vAlign w:val="center"/>
          </w:tcPr>
          <w:p>
            <w:pPr>
              <w:jc w:val="center"/>
              <w:rPr>
                <w:rFonts w:ascii="仿宋" w:hAnsi="仿宋" w:eastAsia="仿宋" w:cs="仿宋"/>
                <w:b/>
                <w:color w:val="auto"/>
                <w:sz w:val="24"/>
                <w:szCs w:val="24"/>
              </w:rPr>
            </w:pPr>
            <w:r>
              <w:rPr>
                <w:rFonts w:hint="eastAsia" w:ascii="仿宋" w:hAnsi="仿宋" w:eastAsia="仿宋" w:cs="仿宋"/>
                <w:b/>
                <w:color w:val="auto"/>
                <w:sz w:val="24"/>
                <w:szCs w:val="24"/>
              </w:rPr>
              <w:t>合同起止时间</w:t>
            </w:r>
          </w:p>
        </w:tc>
        <w:tc>
          <w:tcPr>
            <w:tcW w:w="1984" w:type="dxa"/>
            <w:vAlign w:val="center"/>
          </w:tcPr>
          <w:p>
            <w:pPr>
              <w:jc w:val="center"/>
              <w:rPr>
                <w:rFonts w:ascii="仿宋" w:hAnsi="仿宋" w:eastAsia="仿宋" w:cs="仿宋"/>
                <w:b/>
                <w:color w:val="auto"/>
                <w:sz w:val="24"/>
                <w:szCs w:val="24"/>
              </w:rPr>
            </w:pPr>
            <w:r>
              <w:rPr>
                <w:rFonts w:hint="eastAsia" w:ascii="仿宋" w:hAnsi="仿宋" w:eastAsia="仿宋" w:cs="仿宋"/>
                <w:b/>
                <w:color w:val="auto"/>
                <w:sz w:val="24"/>
                <w:szCs w:val="24"/>
              </w:rPr>
              <w:t>合同金额（万元）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811" w:type="dxa"/>
            <w:vAlign w:val="center"/>
          </w:tcPr>
          <w:p>
            <w:pPr>
              <w:widowControl w:val="0"/>
              <w:spacing w:line="440" w:lineRule="exact"/>
              <w:jc w:val="center"/>
              <w:rPr>
                <w:rFonts w:ascii="宋体" w:hAnsi="宋体"/>
                <w:color w:val="auto"/>
                <w:sz w:val="24"/>
                <w:szCs w:val="24"/>
              </w:rPr>
            </w:pPr>
          </w:p>
        </w:tc>
        <w:tc>
          <w:tcPr>
            <w:tcW w:w="1736" w:type="dxa"/>
            <w:vAlign w:val="center"/>
          </w:tcPr>
          <w:p>
            <w:pPr>
              <w:widowControl w:val="0"/>
              <w:spacing w:line="440" w:lineRule="exact"/>
              <w:jc w:val="center"/>
              <w:rPr>
                <w:rFonts w:ascii="宋体" w:hAnsi="宋体"/>
                <w:color w:val="auto"/>
                <w:sz w:val="24"/>
                <w:szCs w:val="24"/>
              </w:rPr>
            </w:pPr>
          </w:p>
        </w:tc>
        <w:tc>
          <w:tcPr>
            <w:tcW w:w="1701" w:type="dxa"/>
            <w:vAlign w:val="center"/>
          </w:tcPr>
          <w:p>
            <w:pPr>
              <w:widowControl w:val="0"/>
              <w:spacing w:line="440" w:lineRule="exact"/>
              <w:jc w:val="center"/>
              <w:rPr>
                <w:rFonts w:ascii="宋体" w:hAnsi="宋体"/>
                <w:color w:val="auto"/>
                <w:sz w:val="24"/>
                <w:szCs w:val="24"/>
              </w:rPr>
            </w:pPr>
          </w:p>
        </w:tc>
        <w:tc>
          <w:tcPr>
            <w:tcW w:w="2557" w:type="dxa"/>
            <w:vAlign w:val="center"/>
          </w:tcPr>
          <w:p>
            <w:pPr>
              <w:widowControl w:val="0"/>
              <w:spacing w:line="440" w:lineRule="exact"/>
              <w:jc w:val="center"/>
              <w:rPr>
                <w:rFonts w:ascii="宋体" w:hAnsi="宋体"/>
                <w:color w:val="auto"/>
                <w:sz w:val="24"/>
                <w:szCs w:val="24"/>
              </w:rPr>
            </w:pPr>
          </w:p>
        </w:tc>
        <w:tc>
          <w:tcPr>
            <w:tcW w:w="1984" w:type="dxa"/>
            <w:vAlign w:val="center"/>
          </w:tcPr>
          <w:p>
            <w:pPr>
              <w:widowControl w:val="0"/>
              <w:spacing w:line="440" w:lineRule="exact"/>
              <w:jc w:val="center"/>
              <w:rPr>
                <w:rFonts w:ascii="宋体" w:hAnsi="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811" w:type="dxa"/>
            <w:vAlign w:val="center"/>
          </w:tcPr>
          <w:p>
            <w:pPr>
              <w:widowControl w:val="0"/>
              <w:spacing w:line="440" w:lineRule="exact"/>
              <w:jc w:val="center"/>
              <w:rPr>
                <w:rFonts w:ascii="宋体" w:hAnsi="宋体"/>
                <w:color w:val="auto"/>
                <w:sz w:val="24"/>
                <w:szCs w:val="24"/>
              </w:rPr>
            </w:pPr>
            <w:r>
              <w:rPr>
                <w:rFonts w:ascii="宋体" w:hAnsi="宋体"/>
                <w:color w:val="auto"/>
                <w:sz w:val="24"/>
                <w:szCs w:val="24"/>
              </w:rPr>
              <w:t>……</w:t>
            </w:r>
          </w:p>
        </w:tc>
        <w:tc>
          <w:tcPr>
            <w:tcW w:w="1736" w:type="dxa"/>
            <w:vAlign w:val="center"/>
          </w:tcPr>
          <w:p>
            <w:pPr>
              <w:widowControl w:val="0"/>
              <w:spacing w:line="440" w:lineRule="exact"/>
              <w:jc w:val="center"/>
              <w:rPr>
                <w:rFonts w:ascii="宋体" w:hAnsi="宋体"/>
                <w:color w:val="auto"/>
                <w:sz w:val="24"/>
                <w:szCs w:val="24"/>
              </w:rPr>
            </w:pPr>
          </w:p>
        </w:tc>
        <w:tc>
          <w:tcPr>
            <w:tcW w:w="1701" w:type="dxa"/>
            <w:vAlign w:val="center"/>
          </w:tcPr>
          <w:p>
            <w:pPr>
              <w:widowControl w:val="0"/>
              <w:spacing w:line="440" w:lineRule="exact"/>
              <w:jc w:val="center"/>
              <w:rPr>
                <w:rFonts w:ascii="宋体" w:hAnsi="宋体"/>
                <w:color w:val="auto"/>
                <w:sz w:val="24"/>
                <w:szCs w:val="24"/>
              </w:rPr>
            </w:pPr>
          </w:p>
        </w:tc>
        <w:tc>
          <w:tcPr>
            <w:tcW w:w="2557" w:type="dxa"/>
            <w:vAlign w:val="center"/>
          </w:tcPr>
          <w:p>
            <w:pPr>
              <w:widowControl w:val="0"/>
              <w:spacing w:line="440" w:lineRule="exact"/>
              <w:jc w:val="center"/>
              <w:rPr>
                <w:rFonts w:ascii="宋体" w:hAnsi="宋体"/>
                <w:color w:val="auto"/>
                <w:sz w:val="24"/>
                <w:szCs w:val="24"/>
              </w:rPr>
            </w:pPr>
          </w:p>
        </w:tc>
        <w:tc>
          <w:tcPr>
            <w:tcW w:w="1984" w:type="dxa"/>
            <w:vAlign w:val="center"/>
          </w:tcPr>
          <w:p>
            <w:pPr>
              <w:widowControl w:val="0"/>
              <w:spacing w:line="440" w:lineRule="exact"/>
              <w:jc w:val="center"/>
              <w:rPr>
                <w:rFonts w:ascii="宋体" w:hAnsi="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8789" w:type="dxa"/>
            <w:gridSpan w:val="5"/>
            <w:vAlign w:val="center"/>
          </w:tcPr>
          <w:p>
            <w:pPr>
              <w:widowControl w:val="0"/>
              <w:spacing w:line="440" w:lineRule="exact"/>
              <w:jc w:val="left"/>
              <w:rPr>
                <w:rFonts w:ascii="宋体" w:hAnsi="宋体"/>
                <w:color w:val="auto"/>
                <w:sz w:val="24"/>
                <w:szCs w:val="24"/>
              </w:rPr>
            </w:pPr>
            <w:r>
              <w:rPr>
                <w:rFonts w:hint="eastAsia" w:ascii="仿宋" w:hAnsi="仿宋" w:eastAsia="仿宋"/>
                <w:b/>
                <w:color w:val="auto"/>
                <w:sz w:val="24"/>
                <w:szCs w:val="24"/>
              </w:rPr>
              <w:t>数量合计（个）</w:t>
            </w:r>
            <w:r>
              <w:rPr>
                <w:rFonts w:hint="eastAsia" w:ascii="宋体" w:hAnsi="宋体"/>
                <w:color w:val="auto"/>
                <w:sz w:val="24"/>
                <w:szCs w:val="24"/>
              </w:rPr>
              <w:t>：</w:t>
            </w:r>
          </w:p>
        </w:tc>
      </w:tr>
    </w:tbl>
    <w:p>
      <w:pPr>
        <w:tabs>
          <w:tab w:val="right" w:pos="9070"/>
        </w:tabs>
        <w:snapToGrid w:val="0"/>
        <w:spacing w:line="240" w:lineRule="auto"/>
        <w:rPr>
          <w:rFonts w:ascii="华文仿宋" w:hAnsi="华文仿宋" w:cs="华文仿宋"/>
          <w:b/>
          <w:bCs/>
          <w:color w:val="auto"/>
        </w:rPr>
      </w:pPr>
      <w:r>
        <w:rPr>
          <w:rFonts w:hint="eastAsia"/>
          <w:color w:val="auto"/>
          <w:sz w:val="24"/>
          <w:szCs w:val="24"/>
        </w:rPr>
        <w:t xml:space="preserve">    注：后附</w:t>
      </w:r>
      <w:r>
        <w:rPr>
          <w:rFonts w:hint="eastAsia" w:ascii="仿宋" w:hAnsi="仿宋" w:eastAsia="仿宋" w:cs="仿宋"/>
          <w:bCs/>
          <w:color w:val="auto"/>
          <w:sz w:val="24"/>
          <w:szCs w:val="24"/>
        </w:rPr>
        <w:t>201</w:t>
      </w:r>
      <w:r>
        <w:rPr>
          <w:rFonts w:hint="eastAsia" w:ascii="仿宋" w:hAnsi="仿宋" w:eastAsia="仿宋" w:cs="仿宋"/>
          <w:bCs/>
          <w:color w:val="auto"/>
          <w:sz w:val="24"/>
          <w:szCs w:val="24"/>
          <w:lang w:val="en-US" w:eastAsia="zh-CN"/>
        </w:rPr>
        <w:t>5</w:t>
      </w:r>
      <w:r>
        <w:rPr>
          <w:rFonts w:hint="eastAsia" w:ascii="仿宋" w:hAnsi="仿宋" w:eastAsia="仿宋" w:cs="仿宋"/>
          <w:bCs/>
          <w:color w:val="auto"/>
          <w:sz w:val="24"/>
          <w:szCs w:val="24"/>
        </w:rPr>
        <w:t>年</w:t>
      </w:r>
      <w:r>
        <w:rPr>
          <w:rFonts w:hint="eastAsia" w:ascii="仿宋" w:hAnsi="仿宋" w:eastAsia="仿宋" w:cs="仿宋"/>
          <w:bCs/>
          <w:color w:val="auto"/>
          <w:sz w:val="24"/>
          <w:szCs w:val="24"/>
          <w:lang w:val="en-US" w:eastAsia="zh-CN"/>
        </w:rPr>
        <w:t>7</w:t>
      </w:r>
      <w:r>
        <w:rPr>
          <w:rFonts w:hint="eastAsia" w:ascii="仿宋" w:hAnsi="仿宋" w:eastAsia="仿宋" w:cs="仿宋"/>
          <w:bCs/>
          <w:color w:val="auto"/>
          <w:sz w:val="24"/>
          <w:szCs w:val="24"/>
        </w:rPr>
        <w:t>月1日以来同类项目业绩，以合同签订日期为准，并加盖供应商公章的合同关键页复印件</w:t>
      </w:r>
      <w:r>
        <w:rPr>
          <w:rFonts w:hint="eastAsia" w:ascii="华文仿宋" w:hAnsi="华文仿宋" w:cs="华文仿宋"/>
          <w:color w:val="auto"/>
          <w:sz w:val="24"/>
          <w:szCs w:val="24"/>
        </w:rPr>
        <w:t>。</w:t>
      </w:r>
    </w:p>
    <w:p>
      <w:pPr>
        <w:tabs>
          <w:tab w:val="right" w:pos="9070"/>
        </w:tabs>
        <w:snapToGrid w:val="0"/>
        <w:spacing w:line="500" w:lineRule="exact"/>
        <w:ind w:left="566" w:leftChars="200"/>
        <w:rPr>
          <w:rFonts w:ascii="Calibri" w:hAnsi="Calibri" w:cs="Calibri"/>
          <w:color w:val="auto"/>
          <w:szCs w:val="21"/>
        </w:rPr>
      </w:pPr>
      <w:r>
        <w:rPr>
          <w:rFonts w:hint="eastAsia" w:ascii="华文仿宋" w:hAnsi="华文仿宋" w:cs="华文仿宋"/>
          <w:b/>
          <w:bCs/>
          <w:color w:val="auto"/>
        </w:rPr>
        <w:t>（二）</w:t>
      </w:r>
      <w:r>
        <w:rPr>
          <w:rFonts w:hint="eastAsia" w:ascii="Calibri" w:hAnsi="Calibri" w:cs="Calibri"/>
          <w:b/>
          <w:bCs/>
          <w:color w:val="auto"/>
          <w:szCs w:val="21"/>
        </w:rPr>
        <w:t>项目团队样表（仅供参考）</w:t>
      </w:r>
    </w:p>
    <w:p>
      <w:pPr>
        <w:tabs>
          <w:tab w:val="right" w:pos="9070"/>
        </w:tabs>
        <w:spacing w:line="500" w:lineRule="exact"/>
        <w:ind w:firstLine="566" w:firstLineChars="200"/>
        <w:rPr>
          <w:rFonts w:ascii="Calibri" w:hAnsi="Calibri" w:cs="Calibri"/>
          <w:color w:val="auto"/>
        </w:rPr>
      </w:pPr>
      <w:r>
        <w:rPr>
          <w:rFonts w:hint="eastAsia" w:ascii="Calibri" w:hAnsi="Calibri" w:cs="Calibri"/>
          <w:color w:val="auto"/>
        </w:rPr>
        <w:t>1、项目团队情况概述</w:t>
      </w:r>
    </w:p>
    <w:p>
      <w:pPr>
        <w:tabs>
          <w:tab w:val="right" w:pos="9070"/>
        </w:tabs>
        <w:spacing w:line="500" w:lineRule="exact"/>
        <w:ind w:firstLine="566" w:firstLineChars="200"/>
        <w:rPr>
          <w:rFonts w:ascii="Calibri" w:hAnsi="Calibri" w:cs="Calibri"/>
          <w:color w:val="auto"/>
        </w:rPr>
      </w:pPr>
      <w:r>
        <w:rPr>
          <w:rFonts w:hint="eastAsia" w:ascii="Calibri" w:hAnsi="Calibri" w:cs="Calibri"/>
          <w:color w:val="auto"/>
        </w:rPr>
        <w:t>概述内容包括但不限于为本项目提供服务的团队整体情况、团队负责人、联系人基本情况、背景、能力介绍等，具体内容自行编制。</w:t>
      </w:r>
    </w:p>
    <w:p>
      <w:pPr>
        <w:tabs>
          <w:tab w:val="right" w:pos="9070"/>
        </w:tabs>
        <w:spacing w:line="500" w:lineRule="exact"/>
        <w:ind w:firstLine="566" w:firstLineChars="200"/>
        <w:rPr>
          <w:rFonts w:ascii="Calibri" w:hAnsi="Calibri" w:cs="Calibri"/>
          <w:color w:val="auto"/>
        </w:rPr>
      </w:pPr>
      <w:r>
        <w:rPr>
          <w:rFonts w:hint="eastAsia" w:ascii="Calibri" w:hAnsi="Calibri" w:cs="Calibri"/>
          <w:color w:val="auto"/>
        </w:rPr>
        <w:t>2、项目团队人员清单</w:t>
      </w:r>
    </w:p>
    <w:tbl>
      <w:tblPr>
        <w:tblStyle w:val="23"/>
        <w:tblW w:w="918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4"/>
        <w:gridCol w:w="969"/>
        <w:gridCol w:w="1260"/>
        <w:gridCol w:w="24"/>
        <w:gridCol w:w="1363"/>
        <w:gridCol w:w="17"/>
        <w:gridCol w:w="6"/>
        <w:gridCol w:w="1581"/>
        <w:gridCol w:w="1740"/>
        <w:gridCol w:w="42"/>
        <w:gridCol w:w="10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185" w:type="dxa"/>
            <w:gridSpan w:val="11"/>
            <w:tcBorders>
              <w:top w:val="single" w:color="auto" w:sz="12" w:space="0"/>
              <w:left w:val="single" w:color="auto" w:sz="12" w:space="0"/>
              <w:bottom w:val="single" w:color="auto" w:sz="6" w:space="0"/>
              <w:right w:val="single" w:color="auto" w:sz="12" w:space="0"/>
            </w:tcBorders>
            <w:vAlign w:val="center"/>
          </w:tcPr>
          <w:p>
            <w:pPr>
              <w:tabs>
                <w:tab w:val="right" w:pos="9070"/>
              </w:tabs>
              <w:spacing w:line="500" w:lineRule="exact"/>
              <w:ind w:firstLine="486" w:firstLineChars="200"/>
              <w:rPr>
                <w:rFonts w:ascii="仿宋" w:hAnsi="仿宋" w:eastAsia="仿宋" w:cs="仿宋"/>
                <w:color w:val="auto"/>
                <w:sz w:val="24"/>
                <w:szCs w:val="24"/>
              </w:rPr>
            </w:pPr>
            <w:r>
              <w:rPr>
                <w:rFonts w:hint="eastAsia" w:ascii="仿宋" w:hAnsi="仿宋" w:eastAsia="仿宋" w:cs="仿宋"/>
                <w:color w:val="auto"/>
                <w:sz w:val="24"/>
                <w:szCs w:val="24"/>
              </w:rPr>
              <w:t>1、项目负责人/技术负责人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34" w:type="dxa"/>
            <w:tcBorders>
              <w:top w:val="single" w:color="auto" w:sz="6" w:space="0"/>
              <w:left w:val="single" w:color="auto" w:sz="12" w:space="0"/>
              <w:bottom w:val="single" w:color="auto" w:sz="6" w:space="0"/>
              <w:right w:val="single" w:color="auto" w:sz="6" w:space="0"/>
            </w:tcBorders>
            <w:vAlign w:val="center"/>
          </w:tcPr>
          <w:p>
            <w:pPr>
              <w:jc w:val="center"/>
              <w:rPr>
                <w:rFonts w:ascii="仿宋" w:hAnsi="仿宋" w:eastAsia="仿宋" w:cs="仿宋"/>
                <w:color w:val="auto"/>
                <w:sz w:val="24"/>
                <w:szCs w:val="24"/>
              </w:rPr>
            </w:pPr>
            <w:r>
              <w:rPr>
                <w:rFonts w:hint="eastAsia" w:ascii="仿宋" w:hAnsi="仿宋" w:eastAsia="仿宋" w:cs="仿宋"/>
                <w:color w:val="auto"/>
                <w:sz w:val="24"/>
                <w:szCs w:val="24"/>
              </w:rPr>
              <w:t>姓名</w:t>
            </w:r>
          </w:p>
        </w:tc>
        <w:tc>
          <w:tcPr>
            <w:tcW w:w="969" w:type="dxa"/>
            <w:tcBorders>
              <w:left w:val="single" w:color="auto" w:sz="6" w:space="0"/>
            </w:tcBorders>
            <w:vAlign w:val="center"/>
          </w:tcPr>
          <w:p>
            <w:pPr>
              <w:jc w:val="center"/>
              <w:rPr>
                <w:rFonts w:ascii="仿宋" w:hAnsi="仿宋" w:eastAsia="仿宋" w:cs="仿宋"/>
                <w:color w:val="auto"/>
                <w:sz w:val="24"/>
                <w:szCs w:val="24"/>
              </w:rPr>
            </w:pPr>
            <w:r>
              <w:rPr>
                <w:rFonts w:hint="eastAsia" w:ascii="仿宋" w:hAnsi="仿宋" w:eastAsia="仿宋" w:cs="仿宋"/>
                <w:color w:val="auto"/>
                <w:sz w:val="24"/>
                <w:szCs w:val="24"/>
              </w:rPr>
              <w:t>年龄</w:t>
            </w:r>
          </w:p>
        </w:tc>
        <w:tc>
          <w:tcPr>
            <w:tcW w:w="1260" w:type="dxa"/>
            <w:vAlign w:val="center"/>
          </w:tcPr>
          <w:p>
            <w:pPr>
              <w:jc w:val="center"/>
              <w:rPr>
                <w:rFonts w:ascii="仿宋" w:hAnsi="仿宋" w:eastAsia="仿宋" w:cs="仿宋"/>
                <w:color w:val="auto"/>
                <w:sz w:val="24"/>
                <w:szCs w:val="24"/>
              </w:rPr>
            </w:pPr>
            <w:r>
              <w:rPr>
                <w:rFonts w:hint="eastAsia" w:ascii="仿宋" w:hAnsi="仿宋" w:eastAsia="仿宋" w:cs="仿宋"/>
                <w:color w:val="auto"/>
                <w:sz w:val="24"/>
                <w:szCs w:val="24"/>
              </w:rPr>
              <w:t>资格</w:t>
            </w:r>
          </w:p>
        </w:tc>
        <w:tc>
          <w:tcPr>
            <w:tcW w:w="1387" w:type="dxa"/>
            <w:gridSpan w:val="2"/>
            <w:vAlign w:val="center"/>
          </w:tcPr>
          <w:p>
            <w:pPr>
              <w:jc w:val="center"/>
              <w:rPr>
                <w:rFonts w:ascii="仿宋" w:hAnsi="仿宋" w:eastAsia="仿宋" w:cs="仿宋"/>
                <w:color w:val="auto"/>
                <w:sz w:val="24"/>
                <w:szCs w:val="24"/>
              </w:rPr>
            </w:pPr>
            <w:r>
              <w:rPr>
                <w:rFonts w:hint="eastAsia" w:ascii="仿宋" w:hAnsi="仿宋" w:eastAsia="仿宋" w:cs="仿宋"/>
                <w:color w:val="auto"/>
                <w:sz w:val="24"/>
                <w:szCs w:val="24"/>
              </w:rPr>
              <w:t>职称</w:t>
            </w:r>
          </w:p>
        </w:tc>
        <w:tc>
          <w:tcPr>
            <w:tcW w:w="1604" w:type="dxa"/>
            <w:gridSpan w:val="3"/>
            <w:vAlign w:val="center"/>
          </w:tcPr>
          <w:p>
            <w:pPr>
              <w:spacing w:line="280" w:lineRule="exact"/>
              <w:jc w:val="center"/>
              <w:rPr>
                <w:rFonts w:ascii="仿宋" w:hAnsi="仿宋" w:eastAsia="仿宋" w:cs="仿宋"/>
                <w:color w:val="auto"/>
                <w:sz w:val="24"/>
                <w:szCs w:val="24"/>
              </w:rPr>
            </w:pPr>
            <w:r>
              <w:rPr>
                <w:rFonts w:hint="eastAsia" w:ascii="仿宋" w:hAnsi="仿宋" w:eastAsia="仿宋" w:cs="仿宋"/>
                <w:color w:val="auto"/>
                <w:sz w:val="24"/>
                <w:szCs w:val="24"/>
              </w:rPr>
              <w:t>在本行业从业工作年限</w:t>
            </w:r>
          </w:p>
        </w:tc>
        <w:tc>
          <w:tcPr>
            <w:tcW w:w="1740" w:type="dxa"/>
            <w:tcBorders>
              <w:right w:val="single" w:color="auto" w:sz="2" w:space="0"/>
            </w:tcBorders>
            <w:vAlign w:val="center"/>
          </w:tcPr>
          <w:p>
            <w:pPr>
              <w:spacing w:line="240" w:lineRule="exact"/>
              <w:jc w:val="center"/>
              <w:rPr>
                <w:rFonts w:ascii="仿宋" w:hAnsi="仿宋" w:eastAsia="仿宋" w:cs="仿宋"/>
                <w:color w:val="auto"/>
                <w:sz w:val="24"/>
                <w:szCs w:val="24"/>
              </w:rPr>
            </w:pPr>
            <w:r>
              <w:rPr>
                <w:rFonts w:hint="eastAsia" w:ascii="仿宋" w:hAnsi="仿宋" w:eastAsia="仿宋" w:cs="仿宋"/>
                <w:color w:val="auto"/>
                <w:sz w:val="24"/>
                <w:szCs w:val="24"/>
              </w:rPr>
              <w:t>主要工作</w:t>
            </w:r>
          </w:p>
          <w:p>
            <w:pPr>
              <w:spacing w:line="240" w:lineRule="exact"/>
              <w:jc w:val="center"/>
              <w:rPr>
                <w:rFonts w:ascii="仿宋" w:hAnsi="仿宋" w:eastAsia="仿宋" w:cs="仿宋"/>
                <w:color w:val="auto"/>
                <w:sz w:val="24"/>
                <w:szCs w:val="24"/>
              </w:rPr>
            </w:pPr>
            <w:r>
              <w:rPr>
                <w:rFonts w:hint="eastAsia" w:ascii="仿宋" w:hAnsi="仿宋" w:eastAsia="仿宋" w:cs="仿宋"/>
                <w:color w:val="auto"/>
                <w:sz w:val="24"/>
                <w:szCs w:val="24"/>
              </w:rPr>
              <w:t>业绩和经历</w:t>
            </w:r>
          </w:p>
        </w:tc>
        <w:tc>
          <w:tcPr>
            <w:tcW w:w="1091" w:type="dxa"/>
            <w:gridSpan w:val="2"/>
            <w:tcBorders>
              <w:left w:val="single" w:color="auto" w:sz="2" w:space="0"/>
              <w:right w:val="single" w:color="auto" w:sz="12" w:space="0"/>
            </w:tcBorders>
            <w:vAlign w:val="center"/>
          </w:tcPr>
          <w:p>
            <w:pPr>
              <w:spacing w:line="240" w:lineRule="exact"/>
              <w:jc w:val="center"/>
              <w:rPr>
                <w:rFonts w:ascii="仿宋" w:hAnsi="仿宋" w:eastAsia="仿宋" w:cs="仿宋"/>
                <w:color w:val="auto"/>
                <w:sz w:val="24"/>
                <w:szCs w:val="24"/>
              </w:rPr>
            </w:pPr>
            <w:r>
              <w:rPr>
                <w:rFonts w:hint="eastAsia" w:ascii="仿宋" w:hAnsi="仿宋" w:eastAsia="仿宋" w:cs="仿宋"/>
                <w:color w:val="auto"/>
                <w:sz w:val="24"/>
                <w:szCs w:val="24"/>
              </w:rPr>
              <w:t>当前</w:t>
            </w:r>
          </w:p>
          <w:p>
            <w:pPr>
              <w:spacing w:line="240" w:lineRule="exact"/>
              <w:jc w:val="center"/>
              <w:rPr>
                <w:rFonts w:ascii="仿宋" w:hAnsi="仿宋" w:eastAsia="仿宋" w:cs="仿宋"/>
                <w:color w:val="auto"/>
                <w:sz w:val="24"/>
                <w:szCs w:val="24"/>
              </w:rPr>
            </w:pPr>
            <w:r>
              <w:rPr>
                <w:rFonts w:hint="eastAsia" w:ascii="仿宋" w:hAnsi="仿宋" w:eastAsia="仿宋" w:cs="仿宋"/>
                <w:color w:val="auto"/>
                <w:sz w:val="24"/>
                <w:szCs w:val="24"/>
              </w:rPr>
              <w:t>分工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34" w:type="dxa"/>
            <w:tcBorders>
              <w:top w:val="single" w:color="auto" w:sz="6" w:space="0"/>
              <w:left w:val="single" w:color="auto" w:sz="12" w:space="0"/>
              <w:bottom w:val="single" w:color="auto" w:sz="6" w:space="0"/>
              <w:right w:val="single" w:color="auto" w:sz="6" w:space="0"/>
            </w:tcBorders>
            <w:vAlign w:val="center"/>
          </w:tcPr>
          <w:p>
            <w:pPr>
              <w:rPr>
                <w:rFonts w:ascii="仿宋" w:hAnsi="仿宋" w:eastAsia="仿宋" w:cs="仿宋"/>
                <w:color w:val="auto"/>
                <w:sz w:val="24"/>
                <w:szCs w:val="24"/>
              </w:rPr>
            </w:pPr>
          </w:p>
        </w:tc>
        <w:tc>
          <w:tcPr>
            <w:tcW w:w="969" w:type="dxa"/>
            <w:tcBorders>
              <w:left w:val="single" w:color="auto" w:sz="6" w:space="0"/>
            </w:tcBorders>
            <w:vAlign w:val="center"/>
          </w:tcPr>
          <w:p>
            <w:pPr>
              <w:rPr>
                <w:rFonts w:ascii="仿宋" w:hAnsi="仿宋" w:eastAsia="仿宋" w:cs="仿宋"/>
                <w:color w:val="auto"/>
                <w:sz w:val="24"/>
                <w:szCs w:val="24"/>
              </w:rPr>
            </w:pPr>
          </w:p>
        </w:tc>
        <w:tc>
          <w:tcPr>
            <w:tcW w:w="1260" w:type="dxa"/>
            <w:vAlign w:val="center"/>
          </w:tcPr>
          <w:p>
            <w:pPr>
              <w:rPr>
                <w:rFonts w:ascii="仿宋" w:hAnsi="仿宋" w:eastAsia="仿宋" w:cs="仿宋"/>
                <w:color w:val="auto"/>
                <w:sz w:val="24"/>
                <w:szCs w:val="24"/>
              </w:rPr>
            </w:pPr>
          </w:p>
        </w:tc>
        <w:tc>
          <w:tcPr>
            <w:tcW w:w="1387" w:type="dxa"/>
            <w:gridSpan w:val="2"/>
            <w:vAlign w:val="center"/>
          </w:tcPr>
          <w:p>
            <w:pPr>
              <w:rPr>
                <w:rFonts w:ascii="仿宋" w:hAnsi="仿宋" w:eastAsia="仿宋" w:cs="仿宋"/>
                <w:color w:val="auto"/>
                <w:sz w:val="24"/>
                <w:szCs w:val="24"/>
              </w:rPr>
            </w:pPr>
          </w:p>
        </w:tc>
        <w:tc>
          <w:tcPr>
            <w:tcW w:w="1604" w:type="dxa"/>
            <w:gridSpan w:val="3"/>
            <w:vAlign w:val="center"/>
          </w:tcPr>
          <w:p>
            <w:pPr>
              <w:rPr>
                <w:rFonts w:ascii="仿宋" w:hAnsi="仿宋" w:eastAsia="仿宋" w:cs="仿宋"/>
                <w:color w:val="auto"/>
                <w:sz w:val="24"/>
                <w:szCs w:val="24"/>
              </w:rPr>
            </w:pPr>
          </w:p>
        </w:tc>
        <w:tc>
          <w:tcPr>
            <w:tcW w:w="1740" w:type="dxa"/>
            <w:tcBorders>
              <w:right w:val="single" w:color="auto" w:sz="2" w:space="0"/>
            </w:tcBorders>
            <w:vAlign w:val="center"/>
          </w:tcPr>
          <w:p>
            <w:pPr>
              <w:rPr>
                <w:rFonts w:ascii="仿宋" w:hAnsi="仿宋" w:eastAsia="仿宋" w:cs="仿宋"/>
                <w:color w:val="auto"/>
                <w:sz w:val="24"/>
                <w:szCs w:val="24"/>
              </w:rPr>
            </w:pPr>
          </w:p>
        </w:tc>
        <w:tc>
          <w:tcPr>
            <w:tcW w:w="1091" w:type="dxa"/>
            <w:gridSpan w:val="2"/>
            <w:tcBorders>
              <w:left w:val="single" w:color="auto" w:sz="2" w:space="0"/>
              <w:right w:val="single" w:color="auto" w:sz="12" w:space="0"/>
            </w:tcBorders>
            <w:vAlign w:val="center"/>
          </w:tcPr>
          <w:p>
            <w:pPr>
              <w:rPr>
                <w:rFonts w:ascii="仿宋" w:hAnsi="仿宋" w:eastAsia="仿宋" w:cs="仿宋"/>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34" w:type="dxa"/>
            <w:tcBorders>
              <w:top w:val="single" w:color="auto" w:sz="6" w:space="0"/>
              <w:left w:val="single" w:color="auto" w:sz="12" w:space="0"/>
              <w:bottom w:val="single" w:color="auto" w:sz="6" w:space="0"/>
              <w:right w:val="single" w:color="auto" w:sz="6" w:space="0"/>
            </w:tcBorders>
            <w:vAlign w:val="center"/>
          </w:tcPr>
          <w:p>
            <w:pPr>
              <w:rPr>
                <w:rFonts w:ascii="仿宋" w:hAnsi="仿宋" w:eastAsia="仿宋" w:cs="仿宋"/>
                <w:color w:val="auto"/>
                <w:sz w:val="24"/>
                <w:szCs w:val="24"/>
              </w:rPr>
            </w:pPr>
          </w:p>
        </w:tc>
        <w:tc>
          <w:tcPr>
            <w:tcW w:w="969" w:type="dxa"/>
            <w:tcBorders>
              <w:left w:val="single" w:color="auto" w:sz="6" w:space="0"/>
            </w:tcBorders>
            <w:vAlign w:val="center"/>
          </w:tcPr>
          <w:p>
            <w:pPr>
              <w:rPr>
                <w:rFonts w:ascii="仿宋" w:hAnsi="仿宋" w:eastAsia="仿宋" w:cs="仿宋"/>
                <w:color w:val="auto"/>
                <w:sz w:val="24"/>
                <w:szCs w:val="24"/>
              </w:rPr>
            </w:pPr>
          </w:p>
        </w:tc>
        <w:tc>
          <w:tcPr>
            <w:tcW w:w="1260" w:type="dxa"/>
            <w:vAlign w:val="center"/>
          </w:tcPr>
          <w:p>
            <w:pPr>
              <w:rPr>
                <w:rFonts w:ascii="仿宋" w:hAnsi="仿宋" w:eastAsia="仿宋" w:cs="仿宋"/>
                <w:color w:val="auto"/>
                <w:sz w:val="24"/>
                <w:szCs w:val="24"/>
              </w:rPr>
            </w:pPr>
          </w:p>
        </w:tc>
        <w:tc>
          <w:tcPr>
            <w:tcW w:w="1387" w:type="dxa"/>
            <w:gridSpan w:val="2"/>
            <w:vAlign w:val="center"/>
          </w:tcPr>
          <w:p>
            <w:pPr>
              <w:rPr>
                <w:rFonts w:ascii="仿宋" w:hAnsi="仿宋" w:eastAsia="仿宋" w:cs="仿宋"/>
                <w:color w:val="auto"/>
                <w:sz w:val="24"/>
                <w:szCs w:val="24"/>
              </w:rPr>
            </w:pPr>
          </w:p>
        </w:tc>
        <w:tc>
          <w:tcPr>
            <w:tcW w:w="1604" w:type="dxa"/>
            <w:gridSpan w:val="3"/>
            <w:vAlign w:val="center"/>
          </w:tcPr>
          <w:p>
            <w:pPr>
              <w:rPr>
                <w:rFonts w:ascii="仿宋" w:hAnsi="仿宋" w:eastAsia="仿宋" w:cs="仿宋"/>
                <w:color w:val="auto"/>
                <w:sz w:val="24"/>
                <w:szCs w:val="24"/>
              </w:rPr>
            </w:pPr>
          </w:p>
        </w:tc>
        <w:tc>
          <w:tcPr>
            <w:tcW w:w="1740" w:type="dxa"/>
            <w:tcBorders>
              <w:right w:val="single" w:color="auto" w:sz="2" w:space="0"/>
            </w:tcBorders>
            <w:vAlign w:val="center"/>
          </w:tcPr>
          <w:p>
            <w:pPr>
              <w:rPr>
                <w:rFonts w:ascii="仿宋" w:hAnsi="仿宋" w:eastAsia="仿宋" w:cs="仿宋"/>
                <w:color w:val="auto"/>
                <w:sz w:val="24"/>
                <w:szCs w:val="24"/>
              </w:rPr>
            </w:pPr>
          </w:p>
        </w:tc>
        <w:tc>
          <w:tcPr>
            <w:tcW w:w="1091" w:type="dxa"/>
            <w:gridSpan w:val="2"/>
            <w:tcBorders>
              <w:left w:val="single" w:color="auto" w:sz="2" w:space="0"/>
              <w:right w:val="single" w:color="auto" w:sz="12" w:space="0"/>
            </w:tcBorders>
            <w:vAlign w:val="center"/>
          </w:tcPr>
          <w:p>
            <w:pPr>
              <w:rPr>
                <w:rFonts w:ascii="仿宋" w:hAnsi="仿宋" w:eastAsia="仿宋" w:cs="仿宋"/>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34" w:type="dxa"/>
            <w:tcBorders>
              <w:top w:val="single" w:color="auto" w:sz="6" w:space="0"/>
              <w:left w:val="single" w:color="auto" w:sz="12" w:space="0"/>
              <w:bottom w:val="single" w:color="auto" w:sz="6" w:space="0"/>
              <w:right w:val="single" w:color="auto" w:sz="6" w:space="0"/>
            </w:tcBorders>
            <w:vAlign w:val="center"/>
          </w:tcPr>
          <w:p>
            <w:pPr>
              <w:rPr>
                <w:rFonts w:ascii="仿宋" w:hAnsi="仿宋" w:eastAsia="仿宋" w:cs="仿宋"/>
                <w:color w:val="auto"/>
                <w:sz w:val="24"/>
                <w:szCs w:val="24"/>
              </w:rPr>
            </w:pPr>
          </w:p>
        </w:tc>
        <w:tc>
          <w:tcPr>
            <w:tcW w:w="969" w:type="dxa"/>
            <w:tcBorders>
              <w:left w:val="single" w:color="auto" w:sz="6" w:space="0"/>
            </w:tcBorders>
            <w:vAlign w:val="center"/>
          </w:tcPr>
          <w:p>
            <w:pPr>
              <w:rPr>
                <w:rFonts w:ascii="仿宋" w:hAnsi="仿宋" w:eastAsia="仿宋" w:cs="仿宋"/>
                <w:color w:val="auto"/>
                <w:sz w:val="24"/>
                <w:szCs w:val="24"/>
              </w:rPr>
            </w:pPr>
          </w:p>
        </w:tc>
        <w:tc>
          <w:tcPr>
            <w:tcW w:w="1260" w:type="dxa"/>
            <w:vAlign w:val="center"/>
          </w:tcPr>
          <w:p>
            <w:pPr>
              <w:rPr>
                <w:rFonts w:ascii="仿宋" w:hAnsi="仿宋" w:eastAsia="仿宋" w:cs="仿宋"/>
                <w:color w:val="auto"/>
                <w:sz w:val="24"/>
                <w:szCs w:val="24"/>
              </w:rPr>
            </w:pPr>
          </w:p>
        </w:tc>
        <w:tc>
          <w:tcPr>
            <w:tcW w:w="1387" w:type="dxa"/>
            <w:gridSpan w:val="2"/>
            <w:vAlign w:val="center"/>
          </w:tcPr>
          <w:p>
            <w:pPr>
              <w:rPr>
                <w:rFonts w:ascii="仿宋" w:hAnsi="仿宋" w:eastAsia="仿宋" w:cs="仿宋"/>
                <w:color w:val="auto"/>
                <w:sz w:val="24"/>
                <w:szCs w:val="24"/>
              </w:rPr>
            </w:pPr>
          </w:p>
        </w:tc>
        <w:tc>
          <w:tcPr>
            <w:tcW w:w="1604" w:type="dxa"/>
            <w:gridSpan w:val="3"/>
            <w:vAlign w:val="center"/>
          </w:tcPr>
          <w:p>
            <w:pPr>
              <w:rPr>
                <w:rFonts w:ascii="仿宋" w:hAnsi="仿宋" w:eastAsia="仿宋" w:cs="仿宋"/>
                <w:color w:val="auto"/>
                <w:sz w:val="24"/>
                <w:szCs w:val="24"/>
              </w:rPr>
            </w:pPr>
          </w:p>
        </w:tc>
        <w:tc>
          <w:tcPr>
            <w:tcW w:w="1740" w:type="dxa"/>
            <w:tcBorders>
              <w:right w:val="single" w:color="auto" w:sz="2" w:space="0"/>
            </w:tcBorders>
            <w:vAlign w:val="center"/>
          </w:tcPr>
          <w:p>
            <w:pPr>
              <w:rPr>
                <w:rFonts w:ascii="仿宋" w:hAnsi="仿宋" w:eastAsia="仿宋" w:cs="仿宋"/>
                <w:color w:val="auto"/>
                <w:sz w:val="24"/>
                <w:szCs w:val="24"/>
              </w:rPr>
            </w:pPr>
          </w:p>
        </w:tc>
        <w:tc>
          <w:tcPr>
            <w:tcW w:w="1091" w:type="dxa"/>
            <w:gridSpan w:val="2"/>
            <w:tcBorders>
              <w:left w:val="single" w:color="auto" w:sz="2" w:space="0"/>
              <w:right w:val="single" w:color="auto" w:sz="12" w:space="0"/>
            </w:tcBorders>
            <w:vAlign w:val="center"/>
          </w:tcPr>
          <w:p>
            <w:pPr>
              <w:rPr>
                <w:rFonts w:ascii="仿宋" w:hAnsi="仿宋" w:eastAsia="仿宋" w:cs="仿宋"/>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jc w:val="center"/>
        </w:trPr>
        <w:tc>
          <w:tcPr>
            <w:tcW w:w="9185" w:type="dxa"/>
            <w:gridSpan w:val="11"/>
            <w:tcBorders>
              <w:top w:val="single" w:color="auto" w:sz="6" w:space="0"/>
              <w:left w:val="single" w:color="auto" w:sz="12" w:space="0"/>
              <w:bottom w:val="single" w:color="auto" w:sz="6" w:space="0"/>
              <w:right w:val="single" w:color="auto" w:sz="12" w:space="0"/>
            </w:tcBorders>
            <w:vAlign w:val="center"/>
          </w:tcPr>
          <w:p>
            <w:pPr>
              <w:rPr>
                <w:rFonts w:ascii="仿宋" w:hAnsi="仿宋" w:eastAsia="仿宋" w:cs="仿宋"/>
                <w:color w:val="auto"/>
                <w:sz w:val="24"/>
                <w:szCs w:val="24"/>
              </w:rPr>
            </w:pPr>
            <w:r>
              <w:rPr>
                <w:rFonts w:hint="eastAsia" w:ascii="仿宋" w:hAnsi="仿宋" w:eastAsia="仿宋" w:cs="仿宋"/>
                <w:color w:val="auto"/>
                <w:sz w:val="24"/>
                <w:szCs w:val="24"/>
              </w:rPr>
              <w:t>2、专业人员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34" w:type="dxa"/>
            <w:tcBorders>
              <w:top w:val="single" w:color="auto" w:sz="6" w:space="0"/>
              <w:left w:val="single" w:color="auto" w:sz="12" w:space="0"/>
              <w:bottom w:val="single" w:color="auto" w:sz="6" w:space="0"/>
              <w:right w:val="single" w:color="auto" w:sz="6" w:space="0"/>
            </w:tcBorders>
            <w:vAlign w:val="center"/>
          </w:tcPr>
          <w:p>
            <w:pPr>
              <w:jc w:val="center"/>
              <w:rPr>
                <w:rFonts w:ascii="仿宋" w:hAnsi="仿宋" w:eastAsia="仿宋" w:cs="仿宋"/>
                <w:color w:val="auto"/>
                <w:sz w:val="24"/>
                <w:szCs w:val="24"/>
              </w:rPr>
            </w:pPr>
            <w:r>
              <w:rPr>
                <w:rFonts w:hint="eastAsia" w:ascii="仿宋" w:hAnsi="仿宋" w:eastAsia="仿宋" w:cs="仿宋"/>
                <w:color w:val="auto"/>
                <w:sz w:val="24"/>
                <w:szCs w:val="24"/>
              </w:rPr>
              <w:t>姓名</w:t>
            </w:r>
          </w:p>
        </w:tc>
        <w:tc>
          <w:tcPr>
            <w:tcW w:w="969" w:type="dxa"/>
            <w:tcBorders>
              <w:left w:val="single" w:color="auto" w:sz="6" w:space="0"/>
            </w:tcBorders>
            <w:vAlign w:val="center"/>
          </w:tcPr>
          <w:p>
            <w:pPr>
              <w:jc w:val="center"/>
              <w:rPr>
                <w:rFonts w:ascii="仿宋" w:hAnsi="仿宋" w:eastAsia="仿宋" w:cs="仿宋"/>
                <w:color w:val="auto"/>
                <w:sz w:val="24"/>
                <w:szCs w:val="24"/>
              </w:rPr>
            </w:pPr>
            <w:r>
              <w:rPr>
                <w:rFonts w:hint="eastAsia" w:ascii="仿宋" w:hAnsi="仿宋" w:eastAsia="仿宋" w:cs="仿宋"/>
                <w:color w:val="auto"/>
                <w:sz w:val="24"/>
                <w:szCs w:val="24"/>
              </w:rPr>
              <w:t>年龄</w:t>
            </w:r>
          </w:p>
        </w:tc>
        <w:tc>
          <w:tcPr>
            <w:tcW w:w="1260" w:type="dxa"/>
            <w:vAlign w:val="center"/>
          </w:tcPr>
          <w:p>
            <w:pPr>
              <w:jc w:val="center"/>
              <w:rPr>
                <w:rFonts w:ascii="仿宋" w:hAnsi="仿宋" w:eastAsia="仿宋" w:cs="仿宋"/>
                <w:color w:val="auto"/>
                <w:sz w:val="24"/>
                <w:szCs w:val="24"/>
              </w:rPr>
            </w:pPr>
            <w:r>
              <w:rPr>
                <w:rFonts w:hint="eastAsia" w:ascii="仿宋" w:hAnsi="仿宋" w:eastAsia="仿宋" w:cs="仿宋"/>
                <w:color w:val="auto"/>
                <w:sz w:val="24"/>
                <w:szCs w:val="24"/>
              </w:rPr>
              <w:t>资格</w:t>
            </w:r>
          </w:p>
        </w:tc>
        <w:tc>
          <w:tcPr>
            <w:tcW w:w="1404" w:type="dxa"/>
            <w:gridSpan w:val="3"/>
            <w:vAlign w:val="center"/>
          </w:tcPr>
          <w:p>
            <w:pPr>
              <w:jc w:val="center"/>
              <w:rPr>
                <w:rFonts w:ascii="仿宋" w:hAnsi="仿宋" w:eastAsia="仿宋" w:cs="仿宋"/>
                <w:color w:val="auto"/>
                <w:sz w:val="24"/>
                <w:szCs w:val="24"/>
              </w:rPr>
            </w:pPr>
            <w:r>
              <w:rPr>
                <w:rFonts w:hint="eastAsia" w:ascii="仿宋" w:hAnsi="仿宋" w:eastAsia="仿宋" w:cs="仿宋"/>
                <w:color w:val="auto"/>
                <w:sz w:val="24"/>
                <w:szCs w:val="24"/>
              </w:rPr>
              <w:t>职称</w:t>
            </w:r>
          </w:p>
        </w:tc>
        <w:tc>
          <w:tcPr>
            <w:tcW w:w="1587" w:type="dxa"/>
            <w:gridSpan w:val="2"/>
            <w:vAlign w:val="center"/>
          </w:tcPr>
          <w:p>
            <w:pPr>
              <w:spacing w:line="280" w:lineRule="exact"/>
              <w:jc w:val="center"/>
              <w:rPr>
                <w:rFonts w:ascii="仿宋" w:hAnsi="仿宋" w:eastAsia="仿宋" w:cs="仿宋"/>
                <w:color w:val="auto"/>
                <w:sz w:val="24"/>
                <w:szCs w:val="24"/>
              </w:rPr>
            </w:pPr>
            <w:r>
              <w:rPr>
                <w:rFonts w:hint="eastAsia" w:ascii="仿宋" w:hAnsi="仿宋" w:eastAsia="仿宋" w:cs="仿宋"/>
                <w:color w:val="auto"/>
                <w:sz w:val="24"/>
                <w:szCs w:val="24"/>
              </w:rPr>
              <w:t>在本行业从业工作年限</w:t>
            </w:r>
          </w:p>
        </w:tc>
        <w:tc>
          <w:tcPr>
            <w:tcW w:w="1782" w:type="dxa"/>
            <w:gridSpan w:val="2"/>
            <w:vAlign w:val="center"/>
          </w:tcPr>
          <w:p>
            <w:pPr>
              <w:spacing w:line="240" w:lineRule="exact"/>
              <w:jc w:val="center"/>
              <w:rPr>
                <w:rFonts w:ascii="仿宋" w:hAnsi="仿宋" w:eastAsia="仿宋" w:cs="仿宋"/>
                <w:color w:val="auto"/>
                <w:sz w:val="24"/>
                <w:szCs w:val="24"/>
              </w:rPr>
            </w:pPr>
            <w:r>
              <w:rPr>
                <w:rFonts w:hint="eastAsia" w:ascii="仿宋" w:hAnsi="仿宋" w:eastAsia="仿宋" w:cs="仿宋"/>
                <w:color w:val="auto"/>
                <w:sz w:val="24"/>
                <w:szCs w:val="24"/>
              </w:rPr>
              <w:t>主要工作</w:t>
            </w:r>
          </w:p>
          <w:p>
            <w:pPr>
              <w:spacing w:line="240" w:lineRule="exact"/>
              <w:jc w:val="center"/>
              <w:rPr>
                <w:rFonts w:ascii="仿宋" w:hAnsi="仿宋" w:eastAsia="仿宋" w:cs="仿宋"/>
                <w:color w:val="auto"/>
                <w:sz w:val="24"/>
                <w:szCs w:val="24"/>
              </w:rPr>
            </w:pPr>
            <w:r>
              <w:rPr>
                <w:rFonts w:hint="eastAsia" w:ascii="仿宋" w:hAnsi="仿宋" w:eastAsia="仿宋" w:cs="仿宋"/>
                <w:color w:val="auto"/>
                <w:sz w:val="24"/>
                <w:szCs w:val="24"/>
              </w:rPr>
              <w:t>业绩和经历</w:t>
            </w:r>
          </w:p>
        </w:tc>
        <w:tc>
          <w:tcPr>
            <w:tcW w:w="1049" w:type="dxa"/>
            <w:tcBorders>
              <w:right w:val="single" w:color="auto" w:sz="12" w:space="0"/>
            </w:tcBorders>
            <w:vAlign w:val="center"/>
          </w:tcPr>
          <w:p>
            <w:pPr>
              <w:spacing w:line="240" w:lineRule="exact"/>
              <w:jc w:val="center"/>
              <w:rPr>
                <w:rFonts w:ascii="仿宋" w:hAnsi="仿宋" w:eastAsia="仿宋" w:cs="仿宋"/>
                <w:color w:val="auto"/>
                <w:sz w:val="24"/>
                <w:szCs w:val="24"/>
              </w:rPr>
            </w:pPr>
            <w:r>
              <w:rPr>
                <w:rFonts w:hint="eastAsia" w:ascii="仿宋" w:hAnsi="仿宋" w:eastAsia="仿宋" w:cs="仿宋"/>
                <w:color w:val="auto"/>
                <w:sz w:val="24"/>
                <w:szCs w:val="24"/>
              </w:rPr>
              <w:t>当前</w:t>
            </w:r>
          </w:p>
          <w:p>
            <w:pPr>
              <w:spacing w:line="240" w:lineRule="exact"/>
              <w:jc w:val="center"/>
              <w:rPr>
                <w:rFonts w:ascii="仿宋" w:hAnsi="仿宋" w:eastAsia="仿宋" w:cs="仿宋"/>
                <w:color w:val="auto"/>
                <w:sz w:val="24"/>
                <w:szCs w:val="24"/>
              </w:rPr>
            </w:pPr>
            <w:r>
              <w:rPr>
                <w:rFonts w:hint="eastAsia" w:ascii="仿宋" w:hAnsi="仿宋" w:eastAsia="仿宋" w:cs="仿宋"/>
                <w:color w:val="auto"/>
                <w:sz w:val="24"/>
                <w:szCs w:val="24"/>
              </w:rPr>
              <w:t>分工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34" w:type="dxa"/>
            <w:tcBorders>
              <w:top w:val="single" w:color="auto" w:sz="6" w:space="0"/>
              <w:left w:val="single" w:color="auto" w:sz="12" w:space="0"/>
              <w:bottom w:val="single" w:color="auto" w:sz="6" w:space="0"/>
              <w:right w:val="single" w:color="auto" w:sz="6" w:space="0"/>
            </w:tcBorders>
            <w:vAlign w:val="center"/>
          </w:tcPr>
          <w:p>
            <w:pPr>
              <w:rPr>
                <w:rFonts w:ascii="仿宋" w:hAnsi="仿宋" w:eastAsia="仿宋" w:cs="仿宋"/>
                <w:color w:val="auto"/>
                <w:sz w:val="24"/>
                <w:szCs w:val="24"/>
              </w:rPr>
            </w:pPr>
          </w:p>
        </w:tc>
        <w:tc>
          <w:tcPr>
            <w:tcW w:w="969" w:type="dxa"/>
            <w:tcBorders>
              <w:left w:val="single" w:color="auto" w:sz="6" w:space="0"/>
            </w:tcBorders>
            <w:vAlign w:val="center"/>
          </w:tcPr>
          <w:p>
            <w:pPr>
              <w:rPr>
                <w:rFonts w:ascii="仿宋" w:hAnsi="仿宋" w:eastAsia="仿宋" w:cs="仿宋"/>
                <w:color w:val="auto"/>
                <w:sz w:val="24"/>
                <w:szCs w:val="24"/>
              </w:rPr>
            </w:pPr>
          </w:p>
        </w:tc>
        <w:tc>
          <w:tcPr>
            <w:tcW w:w="1260" w:type="dxa"/>
            <w:vAlign w:val="center"/>
          </w:tcPr>
          <w:p>
            <w:pPr>
              <w:rPr>
                <w:rFonts w:ascii="仿宋" w:hAnsi="仿宋" w:eastAsia="仿宋" w:cs="仿宋"/>
                <w:color w:val="auto"/>
                <w:sz w:val="24"/>
                <w:szCs w:val="24"/>
              </w:rPr>
            </w:pPr>
          </w:p>
        </w:tc>
        <w:tc>
          <w:tcPr>
            <w:tcW w:w="1404" w:type="dxa"/>
            <w:gridSpan w:val="3"/>
            <w:vAlign w:val="center"/>
          </w:tcPr>
          <w:p>
            <w:pPr>
              <w:rPr>
                <w:rFonts w:ascii="仿宋" w:hAnsi="仿宋" w:eastAsia="仿宋" w:cs="仿宋"/>
                <w:color w:val="auto"/>
                <w:sz w:val="24"/>
                <w:szCs w:val="24"/>
              </w:rPr>
            </w:pPr>
          </w:p>
        </w:tc>
        <w:tc>
          <w:tcPr>
            <w:tcW w:w="1587" w:type="dxa"/>
            <w:gridSpan w:val="2"/>
            <w:vAlign w:val="center"/>
          </w:tcPr>
          <w:p>
            <w:pPr>
              <w:rPr>
                <w:rFonts w:ascii="仿宋" w:hAnsi="仿宋" w:eastAsia="仿宋" w:cs="仿宋"/>
                <w:color w:val="auto"/>
                <w:sz w:val="24"/>
                <w:szCs w:val="24"/>
              </w:rPr>
            </w:pPr>
          </w:p>
        </w:tc>
        <w:tc>
          <w:tcPr>
            <w:tcW w:w="1782" w:type="dxa"/>
            <w:gridSpan w:val="2"/>
            <w:vAlign w:val="center"/>
          </w:tcPr>
          <w:p>
            <w:pPr>
              <w:rPr>
                <w:rFonts w:ascii="仿宋" w:hAnsi="仿宋" w:eastAsia="仿宋" w:cs="仿宋"/>
                <w:color w:val="auto"/>
                <w:sz w:val="24"/>
                <w:szCs w:val="24"/>
              </w:rPr>
            </w:pPr>
          </w:p>
        </w:tc>
        <w:tc>
          <w:tcPr>
            <w:tcW w:w="1049" w:type="dxa"/>
            <w:tcBorders>
              <w:right w:val="single" w:color="auto" w:sz="12" w:space="0"/>
            </w:tcBorders>
            <w:vAlign w:val="center"/>
          </w:tcPr>
          <w:p>
            <w:pPr>
              <w:rPr>
                <w:rFonts w:ascii="仿宋" w:hAnsi="仿宋" w:eastAsia="仿宋" w:cs="仿宋"/>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34" w:type="dxa"/>
            <w:tcBorders>
              <w:top w:val="single" w:color="auto" w:sz="6" w:space="0"/>
              <w:left w:val="single" w:color="auto" w:sz="12" w:space="0"/>
              <w:bottom w:val="single" w:color="auto" w:sz="6" w:space="0"/>
              <w:right w:val="single" w:color="auto" w:sz="6" w:space="0"/>
            </w:tcBorders>
            <w:vAlign w:val="center"/>
          </w:tcPr>
          <w:p>
            <w:pPr>
              <w:rPr>
                <w:rFonts w:ascii="仿宋" w:hAnsi="仿宋" w:eastAsia="仿宋" w:cs="仿宋"/>
                <w:color w:val="auto"/>
                <w:sz w:val="24"/>
                <w:szCs w:val="24"/>
              </w:rPr>
            </w:pPr>
          </w:p>
        </w:tc>
        <w:tc>
          <w:tcPr>
            <w:tcW w:w="969" w:type="dxa"/>
            <w:tcBorders>
              <w:left w:val="single" w:color="auto" w:sz="6" w:space="0"/>
            </w:tcBorders>
            <w:vAlign w:val="center"/>
          </w:tcPr>
          <w:p>
            <w:pPr>
              <w:rPr>
                <w:rFonts w:ascii="仿宋" w:hAnsi="仿宋" w:eastAsia="仿宋" w:cs="仿宋"/>
                <w:color w:val="auto"/>
                <w:sz w:val="24"/>
                <w:szCs w:val="24"/>
              </w:rPr>
            </w:pPr>
          </w:p>
        </w:tc>
        <w:tc>
          <w:tcPr>
            <w:tcW w:w="1260" w:type="dxa"/>
            <w:vAlign w:val="center"/>
          </w:tcPr>
          <w:p>
            <w:pPr>
              <w:rPr>
                <w:rFonts w:ascii="仿宋" w:hAnsi="仿宋" w:eastAsia="仿宋" w:cs="仿宋"/>
                <w:color w:val="auto"/>
                <w:sz w:val="24"/>
                <w:szCs w:val="24"/>
              </w:rPr>
            </w:pPr>
          </w:p>
        </w:tc>
        <w:tc>
          <w:tcPr>
            <w:tcW w:w="1404" w:type="dxa"/>
            <w:gridSpan w:val="3"/>
            <w:vAlign w:val="center"/>
          </w:tcPr>
          <w:p>
            <w:pPr>
              <w:rPr>
                <w:rFonts w:ascii="仿宋" w:hAnsi="仿宋" w:eastAsia="仿宋" w:cs="仿宋"/>
                <w:color w:val="auto"/>
                <w:sz w:val="24"/>
                <w:szCs w:val="24"/>
              </w:rPr>
            </w:pPr>
          </w:p>
        </w:tc>
        <w:tc>
          <w:tcPr>
            <w:tcW w:w="1587" w:type="dxa"/>
            <w:gridSpan w:val="2"/>
            <w:vAlign w:val="center"/>
          </w:tcPr>
          <w:p>
            <w:pPr>
              <w:rPr>
                <w:rFonts w:ascii="仿宋" w:hAnsi="仿宋" w:eastAsia="仿宋" w:cs="仿宋"/>
                <w:color w:val="auto"/>
                <w:sz w:val="24"/>
                <w:szCs w:val="24"/>
              </w:rPr>
            </w:pPr>
          </w:p>
        </w:tc>
        <w:tc>
          <w:tcPr>
            <w:tcW w:w="1782" w:type="dxa"/>
            <w:gridSpan w:val="2"/>
            <w:vAlign w:val="center"/>
          </w:tcPr>
          <w:p>
            <w:pPr>
              <w:rPr>
                <w:rFonts w:ascii="仿宋" w:hAnsi="仿宋" w:eastAsia="仿宋" w:cs="仿宋"/>
                <w:color w:val="auto"/>
                <w:sz w:val="24"/>
                <w:szCs w:val="24"/>
              </w:rPr>
            </w:pPr>
          </w:p>
        </w:tc>
        <w:tc>
          <w:tcPr>
            <w:tcW w:w="1049" w:type="dxa"/>
            <w:tcBorders>
              <w:right w:val="single" w:color="auto" w:sz="12" w:space="0"/>
            </w:tcBorders>
            <w:vAlign w:val="center"/>
          </w:tcPr>
          <w:p>
            <w:pPr>
              <w:rPr>
                <w:rFonts w:ascii="仿宋" w:hAnsi="仿宋" w:eastAsia="仿宋" w:cs="仿宋"/>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34" w:type="dxa"/>
            <w:tcBorders>
              <w:top w:val="single" w:color="auto" w:sz="6" w:space="0"/>
              <w:left w:val="single" w:color="auto" w:sz="12" w:space="0"/>
              <w:bottom w:val="single" w:color="auto" w:sz="6" w:space="0"/>
              <w:right w:val="single" w:color="auto" w:sz="6" w:space="0"/>
            </w:tcBorders>
            <w:vAlign w:val="center"/>
          </w:tcPr>
          <w:p>
            <w:pPr>
              <w:rPr>
                <w:rFonts w:ascii="仿宋" w:hAnsi="仿宋" w:eastAsia="仿宋" w:cs="仿宋"/>
                <w:color w:val="auto"/>
                <w:sz w:val="24"/>
                <w:szCs w:val="24"/>
              </w:rPr>
            </w:pPr>
          </w:p>
        </w:tc>
        <w:tc>
          <w:tcPr>
            <w:tcW w:w="969" w:type="dxa"/>
            <w:tcBorders>
              <w:left w:val="single" w:color="auto" w:sz="6" w:space="0"/>
            </w:tcBorders>
            <w:vAlign w:val="center"/>
          </w:tcPr>
          <w:p>
            <w:pPr>
              <w:rPr>
                <w:rFonts w:ascii="仿宋" w:hAnsi="仿宋" w:eastAsia="仿宋" w:cs="仿宋"/>
                <w:color w:val="auto"/>
                <w:sz w:val="24"/>
                <w:szCs w:val="24"/>
              </w:rPr>
            </w:pPr>
          </w:p>
        </w:tc>
        <w:tc>
          <w:tcPr>
            <w:tcW w:w="1260" w:type="dxa"/>
            <w:vAlign w:val="center"/>
          </w:tcPr>
          <w:p>
            <w:pPr>
              <w:rPr>
                <w:rFonts w:ascii="仿宋" w:hAnsi="仿宋" w:eastAsia="仿宋" w:cs="仿宋"/>
                <w:color w:val="auto"/>
                <w:sz w:val="24"/>
                <w:szCs w:val="24"/>
              </w:rPr>
            </w:pPr>
          </w:p>
        </w:tc>
        <w:tc>
          <w:tcPr>
            <w:tcW w:w="1404" w:type="dxa"/>
            <w:gridSpan w:val="3"/>
            <w:vAlign w:val="center"/>
          </w:tcPr>
          <w:p>
            <w:pPr>
              <w:rPr>
                <w:rFonts w:ascii="仿宋" w:hAnsi="仿宋" w:eastAsia="仿宋" w:cs="仿宋"/>
                <w:color w:val="auto"/>
                <w:sz w:val="24"/>
                <w:szCs w:val="24"/>
              </w:rPr>
            </w:pPr>
          </w:p>
        </w:tc>
        <w:tc>
          <w:tcPr>
            <w:tcW w:w="1587" w:type="dxa"/>
            <w:gridSpan w:val="2"/>
            <w:vAlign w:val="center"/>
          </w:tcPr>
          <w:p>
            <w:pPr>
              <w:rPr>
                <w:rFonts w:ascii="仿宋" w:hAnsi="仿宋" w:eastAsia="仿宋" w:cs="仿宋"/>
                <w:color w:val="auto"/>
                <w:sz w:val="24"/>
                <w:szCs w:val="24"/>
              </w:rPr>
            </w:pPr>
          </w:p>
        </w:tc>
        <w:tc>
          <w:tcPr>
            <w:tcW w:w="1782" w:type="dxa"/>
            <w:gridSpan w:val="2"/>
            <w:vAlign w:val="center"/>
          </w:tcPr>
          <w:p>
            <w:pPr>
              <w:rPr>
                <w:rFonts w:ascii="仿宋" w:hAnsi="仿宋" w:eastAsia="仿宋" w:cs="仿宋"/>
                <w:color w:val="auto"/>
                <w:sz w:val="24"/>
                <w:szCs w:val="24"/>
              </w:rPr>
            </w:pPr>
          </w:p>
        </w:tc>
        <w:tc>
          <w:tcPr>
            <w:tcW w:w="1049" w:type="dxa"/>
            <w:tcBorders>
              <w:right w:val="single" w:color="auto" w:sz="12" w:space="0"/>
            </w:tcBorders>
            <w:vAlign w:val="center"/>
          </w:tcPr>
          <w:p>
            <w:pPr>
              <w:rPr>
                <w:rFonts w:ascii="仿宋" w:hAnsi="仿宋" w:eastAsia="仿宋" w:cs="仿宋"/>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jc w:val="center"/>
        </w:trPr>
        <w:tc>
          <w:tcPr>
            <w:tcW w:w="9185" w:type="dxa"/>
            <w:gridSpan w:val="11"/>
            <w:tcBorders>
              <w:top w:val="single" w:color="auto" w:sz="6" w:space="0"/>
              <w:left w:val="single" w:color="auto" w:sz="12" w:space="0"/>
              <w:bottom w:val="single" w:color="auto" w:sz="6" w:space="0"/>
              <w:right w:val="single" w:color="auto" w:sz="12" w:space="0"/>
            </w:tcBorders>
            <w:vAlign w:val="center"/>
          </w:tcPr>
          <w:p>
            <w:pPr>
              <w:rPr>
                <w:rFonts w:ascii="仿宋" w:hAnsi="仿宋" w:eastAsia="仿宋" w:cs="仿宋"/>
                <w:color w:val="auto"/>
                <w:sz w:val="24"/>
                <w:szCs w:val="24"/>
              </w:rPr>
            </w:pPr>
            <w:r>
              <w:rPr>
                <w:rFonts w:hint="eastAsia" w:ascii="仿宋" w:hAnsi="仿宋" w:eastAsia="仿宋" w:cs="仿宋"/>
                <w:color w:val="auto"/>
                <w:sz w:val="24"/>
                <w:szCs w:val="24"/>
              </w:rPr>
              <w:t>3、辅助人员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3" w:hRule="atLeast"/>
          <w:jc w:val="center"/>
        </w:trPr>
        <w:tc>
          <w:tcPr>
            <w:tcW w:w="1134" w:type="dxa"/>
            <w:tcBorders>
              <w:top w:val="single" w:color="auto" w:sz="6" w:space="0"/>
              <w:left w:val="single" w:color="auto" w:sz="12" w:space="0"/>
              <w:bottom w:val="single" w:color="auto" w:sz="6" w:space="0"/>
              <w:right w:val="single" w:color="auto" w:sz="6" w:space="0"/>
            </w:tcBorders>
            <w:vAlign w:val="center"/>
          </w:tcPr>
          <w:p>
            <w:pPr>
              <w:jc w:val="center"/>
              <w:rPr>
                <w:rFonts w:ascii="仿宋" w:hAnsi="仿宋" w:eastAsia="仿宋" w:cs="仿宋"/>
                <w:color w:val="auto"/>
                <w:sz w:val="24"/>
                <w:szCs w:val="24"/>
              </w:rPr>
            </w:pPr>
            <w:r>
              <w:rPr>
                <w:rFonts w:hint="eastAsia" w:ascii="仿宋" w:hAnsi="仿宋" w:eastAsia="仿宋" w:cs="仿宋"/>
                <w:color w:val="auto"/>
                <w:sz w:val="24"/>
                <w:szCs w:val="24"/>
              </w:rPr>
              <w:t>姓名</w:t>
            </w:r>
          </w:p>
        </w:tc>
        <w:tc>
          <w:tcPr>
            <w:tcW w:w="969" w:type="dxa"/>
            <w:tcBorders>
              <w:left w:val="single" w:color="auto" w:sz="6" w:space="0"/>
            </w:tcBorders>
            <w:vAlign w:val="center"/>
          </w:tcPr>
          <w:p>
            <w:pPr>
              <w:jc w:val="center"/>
              <w:rPr>
                <w:rFonts w:ascii="仿宋" w:hAnsi="仿宋" w:eastAsia="仿宋" w:cs="仿宋"/>
                <w:color w:val="auto"/>
                <w:sz w:val="24"/>
                <w:szCs w:val="24"/>
              </w:rPr>
            </w:pPr>
            <w:r>
              <w:rPr>
                <w:rFonts w:hint="eastAsia" w:ascii="仿宋" w:hAnsi="仿宋" w:eastAsia="仿宋" w:cs="仿宋"/>
                <w:color w:val="auto"/>
                <w:sz w:val="24"/>
                <w:szCs w:val="24"/>
              </w:rPr>
              <w:t>年龄</w:t>
            </w:r>
          </w:p>
        </w:tc>
        <w:tc>
          <w:tcPr>
            <w:tcW w:w="1284" w:type="dxa"/>
            <w:gridSpan w:val="2"/>
            <w:tcBorders>
              <w:right w:val="single" w:color="auto" w:sz="2" w:space="0"/>
            </w:tcBorders>
            <w:vAlign w:val="center"/>
          </w:tcPr>
          <w:p>
            <w:pPr>
              <w:jc w:val="center"/>
              <w:rPr>
                <w:rFonts w:ascii="仿宋" w:hAnsi="仿宋" w:eastAsia="仿宋" w:cs="仿宋"/>
                <w:color w:val="auto"/>
                <w:sz w:val="24"/>
                <w:szCs w:val="24"/>
              </w:rPr>
            </w:pPr>
            <w:r>
              <w:rPr>
                <w:rFonts w:hint="eastAsia" w:ascii="仿宋" w:hAnsi="仿宋" w:eastAsia="仿宋" w:cs="仿宋"/>
                <w:color w:val="auto"/>
                <w:sz w:val="24"/>
                <w:szCs w:val="24"/>
              </w:rPr>
              <w:t>学历</w:t>
            </w:r>
          </w:p>
        </w:tc>
        <w:tc>
          <w:tcPr>
            <w:tcW w:w="1386" w:type="dxa"/>
            <w:gridSpan w:val="3"/>
            <w:tcBorders>
              <w:left w:val="single" w:color="auto" w:sz="2" w:space="0"/>
            </w:tcBorders>
            <w:vAlign w:val="center"/>
          </w:tcPr>
          <w:p>
            <w:pPr>
              <w:jc w:val="center"/>
              <w:rPr>
                <w:rFonts w:ascii="仿宋" w:hAnsi="仿宋" w:eastAsia="仿宋" w:cs="仿宋"/>
                <w:color w:val="auto"/>
                <w:sz w:val="24"/>
                <w:szCs w:val="24"/>
              </w:rPr>
            </w:pPr>
            <w:r>
              <w:rPr>
                <w:rFonts w:hint="eastAsia" w:ascii="仿宋" w:hAnsi="仿宋" w:eastAsia="仿宋" w:cs="仿宋"/>
                <w:color w:val="auto"/>
                <w:sz w:val="24"/>
                <w:szCs w:val="24"/>
              </w:rPr>
              <w:t>职称</w:t>
            </w:r>
          </w:p>
        </w:tc>
        <w:tc>
          <w:tcPr>
            <w:tcW w:w="1581" w:type="dxa"/>
            <w:vAlign w:val="center"/>
          </w:tcPr>
          <w:p>
            <w:pPr>
              <w:spacing w:line="280" w:lineRule="exact"/>
              <w:jc w:val="center"/>
              <w:rPr>
                <w:rFonts w:ascii="仿宋" w:hAnsi="仿宋" w:eastAsia="仿宋" w:cs="仿宋"/>
                <w:color w:val="auto"/>
                <w:sz w:val="24"/>
                <w:szCs w:val="24"/>
              </w:rPr>
            </w:pPr>
            <w:r>
              <w:rPr>
                <w:rFonts w:hint="eastAsia" w:ascii="仿宋" w:hAnsi="仿宋" w:eastAsia="仿宋" w:cs="仿宋"/>
                <w:color w:val="auto"/>
                <w:sz w:val="24"/>
                <w:szCs w:val="24"/>
              </w:rPr>
              <w:t>从事类似项目工作年限</w:t>
            </w:r>
          </w:p>
        </w:tc>
        <w:tc>
          <w:tcPr>
            <w:tcW w:w="1782" w:type="dxa"/>
            <w:gridSpan w:val="2"/>
            <w:vAlign w:val="center"/>
          </w:tcPr>
          <w:p>
            <w:pPr>
              <w:spacing w:line="240" w:lineRule="exact"/>
              <w:jc w:val="center"/>
              <w:rPr>
                <w:rFonts w:ascii="仿宋" w:hAnsi="仿宋" w:eastAsia="仿宋" w:cs="仿宋"/>
                <w:color w:val="auto"/>
                <w:sz w:val="24"/>
                <w:szCs w:val="24"/>
              </w:rPr>
            </w:pPr>
            <w:r>
              <w:rPr>
                <w:rFonts w:hint="eastAsia" w:ascii="仿宋" w:hAnsi="仿宋" w:eastAsia="仿宋" w:cs="仿宋"/>
                <w:color w:val="auto"/>
                <w:sz w:val="24"/>
                <w:szCs w:val="24"/>
              </w:rPr>
              <w:t>主要工作</w:t>
            </w:r>
          </w:p>
          <w:p>
            <w:pPr>
              <w:spacing w:line="240" w:lineRule="exact"/>
              <w:jc w:val="center"/>
              <w:rPr>
                <w:rFonts w:ascii="仿宋" w:hAnsi="仿宋" w:eastAsia="仿宋" w:cs="仿宋"/>
                <w:color w:val="auto"/>
                <w:sz w:val="24"/>
                <w:szCs w:val="24"/>
              </w:rPr>
            </w:pPr>
            <w:r>
              <w:rPr>
                <w:rFonts w:hint="eastAsia" w:ascii="仿宋" w:hAnsi="仿宋" w:eastAsia="仿宋" w:cs="仿宋"/>
                <w:color w:val="auto"/>
                <w:sz w:val="24"/>
                <w:szCs w:val="24"/>
              </w:rPr>
              <w:t>业绩和经历</w:t>
            </w:r>
          </w:p>
        </w:tc>
        <w:tc>
          <w:tcPr>
            <w:tcW w:w="1049" w:type="dxa"/>
            <w:tcBorders>
              <w:right w:val="single" w:color="auto" w:sz="12" w:space="0"/>
            </w:tcBorders>
            <w:vAlign w:val="center"/>
          </w:tcPr>
          <w:p>
            <w:pPr>
              <w:spacing w:line="240" w:lineRule="exact"/>
              <w:jc w:val="center"/>
              <w:rPr>
                <w:rFonts w:ascii="仿宋" w:hAnsi="仿宋" w:eastAsia="仿宋" w:cs="仿宋"/>
                <w:color w:val="auto"/>
                <w:sz w:val="24"/>
                <w:szCs w:val="24"/>
              </w:rPr>
            </w:pPr>
            <w:r>
              <w:rPr>
                <w:rFonts w:hint="eastAsia" w:ascii="仿宋" w:hAnsi="仿宋" w:eastAsia="仿宋" w:cs="仿宋"/>
                <w:color w:val="auto"/>
                <w:sz w:val="24"/>
                <w:szCs w:val="24"/>
              </w:rPr>
              <w:t>当前</w:t>
            </w:r>
          </w:p>
          <w:p>
            <w:pPr>
              <w:spacing w:line="240" w:lineRule="exact"/>
              <w:jc w:val="center"/>
              <w:rPr>
                <w:rFonts w:ascii="仿宋" w:hAnsi="仿宋" w:eastAsia="仿宋" w:cs="仿宋"/>
                <w:color w:val="auto"/>
                <w:sz w:val="24"/>
                <w:szCs w:val="24"/>
              </w:rPr>
            </w:pPr>
            <w:r>
              <w:rPr>
                <w:rFonts w:hint="eastAsia" w:ascii="仿宋" w:hAnsi="仿宋" w:eastAsia="仿宋" w:cs="仿宋"/>
                <w:color w:val="auto"/>
                <w:sz w:val="24"/>
                <w:szCs w:val="24"/>
              </w:rPr>
              <w:t>分工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34" w:type="dxa"/>
            <w:tcBorders>
              <w:top w:val="single" w:color="auto" w:sz="6" w:space="0"/>
              <w:left w:val="single" w:color="auto" w:sz="12" w:space="0"/>
              <w:bottom w:val="single" w:color="auto" w:sz="6" w:space="0"/>
              <w:right w:val="single" w:color="auto" w:sz="6" w:space="0"/>
            </w:tcBorders>
            <w:vAlign w:val="center"/>
          </w:tcPr>
          <w:p>
            <w:pPr>
              <w:rPr>
                <w:rFonts w:ascii="仿宋" w:hAnsi="仿宋" w:eastAsia="仿宋" w:cs="仿宋"/>
                <w:color w:val="auto"/>
                <w:sz w:val="24"/>
                <w:szCs w:val="24"/>
              </w:rPr>
            </w:pPr>
          </w:p>
        </w:tc>
        <w:tc>
          <w:tcPr>
            <w:tcW w:w="969" w:type="dxa"/>
            <w:tcBorders>
              <w:left w:val="single" w:color="auto" w:sz="6" w:space="0"/>
            </w:tcBorders>
            <w:vAlign w:val="center"/>
          </w:tcPr>
          <w:p>
            <w:pPr>
              <w:rPr>
                <w:rFonts w:ascii="仿宋" w:hAnsi="仿宋" w:eastAsia="仿宋" w:cs="仿宋"/>
                <w:color w:val="auto"/>
                <w:sz w:val="24"/>
                <w:szCs w:val="24"/>
              </w:rPr>
            </w:pPr>
          </w:p>
        </w:tc>
        <w:tc>
          <w:tcPr>
            <w:tcW w:w="1284" w:type="dxa"/>
            <w:gridSpan w:val="2"/>
            <w:tcBorders>
              <w:right w:val="single" w:color="auto" w:sz="2" w:space="0"/>
            </w:tcBorders>
            <w:vAlign w:val="center"/>
          </w:tcPr>
          <w:p>
            <w:pPr>
              <w:rPr>
                <w:rFonts w:ascii="仿宋" w:hAnsi="仿宋" w:eastAsia="仿宋" w:cs="仿宋"/>
                <w:color w:val="auto"/>
                <w:sz w:val="24"/>
                <w:szCs w:val="24"/>
              </w:rPr>
            </w:pPr>
          </w:p>
        </w:tc>
        <w:tc>
          <w:tcPr>
            <w:tcW w:w="1386" w:type="dxa"/>
            <w:gridSpan w:val="3"/>
            <w:tcBorders>
              <w:left w:val="single" w:color="auto" w:sz="2" w:space="0"/>
            </w:tcBorders>
            <w:vAlign w:val="center"/>
          </w:tcPr>
          <w:p>
            <w:pPr>
              <w:rPr>
                <w:rFonts w:ascii="仿宋" w:hAnsi="仿宋" w:eastAsia="仿宋" w:cs="仿宋"/>
                <w:color w:val="auto"/>
                <w:sz w:val="24"/>
                <w:szCs w:val="24"/>
              </w:rPr>
            </w:pPr>
          </w:p>
        </w:tc>
        <w:tc>
          <w:tcPr>
            <w:tcW w:w="1581" w:type="dxa"/>
            <w:vAlign w:val="center"/>
          </w:tcPr>
          <w:p>
            <w:pPr>
              <w:rPr>
                <w:rFonts w:ascii="仿宋" w:hAnsi="仿宋" w:eastAsia="仿宋" w:cs="仿宋"/>
                <w:color w:val="auto"/>
                <w:sz w:val="24"/>
                <w:szCs w:val="24"/>
              </w:rPr>
            </w:pPr>
          </w:p>
        </w:tc>
        <w:tc>
          <w:tcPr>
            <w:tcW w:w="1782" w:type="dxa"/>
            <w:gridSpan w:val="2"/>
            <w:vAlign w:val="center"/>
          </w:tcPr>
          <w:p>
            <w:pPr>
              <w:rPr>
                <w:rFonts w:ascii="仿宋" w:hAnsi="仿宋" w:eastAsia="仿宋" w:cs="仿宋"/>
                <w:color w:val="auto"/>
                <w:sz w:val="24"/>
                <w:szCs w:val="24"/>
              </w:rPr>
            </w:pPr>
          </w:p>
        </w:tc>
        <w:tc>
          <w:tcPr>
            <w:tcW w:w="1049" w:type="dxa"/>
            <w:tcBorders>
              <w:right w:val="single" w:color="auto" w:sz="12" w:space="0"/>
            </w:tcBorders>
            <w:vAlign w:val="center"/>
          </w:tcPr>
          <w:p>
            <w:pPr>
              <w:rPr>
                <w:rFonts w:ascii="仿宋" w:hAnsi="仿宋" w:eastAsia="仿宋" w:cs="仿宋"/>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34" w:type="dxa"/>
            <w:tcBorders>
              <w:top w:val="single" w:color="auto" w:sz="6" w:space="0"/>
              <w:left w:val="single" w:color="auto" w:sz="12" w:space="0"/>
              <w:bottom w:val="single" w:color="auto" w:sz="6" w:space="0"/>
              <w:right w:val="single" w:color="auto" w:sz="6" w:space="0"/>
            </w:tcBorders>
            <w:vAlign w:val="center"/>
          </w:tcPr>
          <w:p>
            <w:pPr>
              <w:rPr>
                <w:rFonts w:ascii="仿宋" w:hAnsi="仿宋" w:eastAsia="仿宋" w:cs="仿宋"/>
                <w:color w:val="auto"/>
                <w:sz w:val="24"/>
                <w:szCs w:val="24"/>
              </w:rPr>
            </w:pPr>
          </w:p>
        </w:tc>
        <w:tc>
          <w:tcPr>
            <w:tcW w:w="969" w:type="dxa"/>
            <w:tcBorders>
              <w:left w:val="single" w:color="auto" w:sz="6" w:space="0"/>
            </w:tcBorders>
            <w:vAlign w:val="center"/>
          </w:tcPr>
          <w:p>
            <w:pPr>
              <w:rPr>
                <w:rFonts w:ascii="仿宋" w:hAnsi="仿宋" w:eastAsia="仿宋" w:cs="仿宋"/>
                <w:color w:val="auto"/>
                <w:sz w:val="24"/>
                <w:szCs w:val="24"/>
              </w:rPr>
            </w:pPr>
          </w:p>
        </w:tc>
        <w:tc>
          <w:tcPr>
            <w:tcW w:w="1284" w:type="dxa"/>
            <w:gridSpan w:val="2"/>
            <w:tcBorders>
              <w:right w:val="single" w:color="auto" w:sz="2" w:space="0"/>
            </w:tcBorders>
            <w:vAlign w:val="center"/>
          </w:tcPr>
          <w:p>
            <w:pPr>
              <w:rPr>
                <w:rFonts w:ascii="仿宋" w:hAnsi="仿宋" w:eastAsia="仿宋" w:cs="仿宋"/>
                <w:color w:val="auto"/>
                <w:sz w:val="24"/>
                <w:szCs w:val="24"/>
              </w:rPr>
            </w:pPr>
          </w:p>
        </w:tc>
        <w:tc>
          <w:tcPr>
            <w:tcW w:w="1386" w:type="dxa"/>
            <w:gridSpan w:val="3"/>
            <w:tcBorders>
              <w:left w:val="single" w:color="auto" w:sz="2" w:space="0"/>
            </w:tcBorders>
            <w:vAlign w:val="center"/>
          </w:tcPr>
          <w:p>
            <w:pPr>
              <w:rPr>
                <w:rFonts w:ascii="仿宋" w:hAnsi="仿宋" w:eastAsia="仿宋" w:cs="仿宋"/>
                <w:color w:val="auto"/>
                <w:sz w:val="24"/>
                <w:szCs w:val="24"/>
              </w:rPr>
            </w:pPr>
          </w:p>
        </w:tc>
        <w:tc>
          <w:tcPr>
            <w:tcW w:w="1581" w:type="dxa"/>
            <w:vAlign w:val="center"/>
          </w:tcPr>
          <w:p>
            <w:pPr>
              <w:rPr>
                <w:rFonts w:ascii="仿宋" w:hAnsi="仿宋" w:eastAsia="仿宋" w:cs="仿宋"/>
                <w:color w:val="auto"/>
                <w:sz w:val="24"/>
                <w:szCs w:val="24"/>
              </w:rPr>
            </w:pPr>
          </w:p>
        </w:tc>
        <w:tc>
          <w:tcPr>
            <w:tcW w:w="1782" w:type="dxa"/>
            <w:gridSpan w:val="2"/>
            <w:vAlign w:val="center"/>
          </w:tcPr>
          <w:p>
            <w:pPr>
              <w:rPr>
                <w:rFonts w:ascii="仿宋" w:hAnsi="仿宋" w:eastAsia="仿宋" w:cs="仿宋"/>
                <w:color w:val="auto"/>
                <w:sz w:val="24"/>
                <w:szCs w:val="24"/>
              </w:rPr>
            </w:pPr>
          </w:p>
        </w:tc>
        <w:tc>
          <w:tcPr>
            <w:tcW w:w="1049" w:type="dxa"/>
            <w:tcBorders>
              <w:right w:val="single" w:color="auto" w:sz="12" w:space="0"/>
            </w:tcBorders>
            <w:vAlign w:val="center"/>
          </w:tcPr>
          <w:p>
            <w:pPr>
              <w:rPr>
                <w:rFonts w:ascii="仿宋" w:hAnsi="仿宋" w:eastAsia="仿宋" w:cs="仿宋"/>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34" w:type="dxa"/>
            <w:tcBorders>
              <w:top w:val="single" w:color="auto" w:sz="6" w:space="0"/>
              <w:left w:val="single" w:color="auto" w:sz="12" w:space="0"/>
              <w:bottom w:val="single" w:color="auto" w:sz="6" w:space="0"/>
              <w:right w:val="single" w:color="auto" w:sz="6" w:space="0"/>
            </w:tcBorders>
            <w:vAlign w:val="center"/>
          </w:tcPr>
          <w:p>
            <w:pPr>
              <w:rPr>
                <w:rFonts w:ascii="仿宋" w:hAnsi="仿宋" w:eastAsia="仿宋" w:cs="仿宋"/>
                <w:color w:val="auto"/>
                <w:sz w:val="24"/>
                <w:szCs w:val="24"/>
              </w:rPr>
            </w:pPr>
          </w:p>
        </w:tc>
        <w:tc>
          <w:tcPr>
            <w:tcW w:w="969" w:type="dxa"/>
            <w:tcBorders>
              <w:left w:val="single" w:color="auto" w:sz="6" w:space="0"/>
            </w:tcBorders>
            <w:vAlign w:val="center"/>
          </w:tcPr>
          <w:p>
            <w:pPr>
              <w:rPr>
                <w:rFonts w:ascii="仿宋" w:hAnsi="仿宋" w:eastAsia="仿宋" w:cs="仿宋"/>
                <w:color w:val="auto"/>
                <w:sz w:val="24"/>
                <w:szCs w:val="24"/>
              </w:rPr>
            </w:pPr>
          </w:p>
        </w:tc>
        <w:tc>
          <w:tcPr>
            <w:tcW w:w="1284" w:type="dxa"/>
            <w:gridSpan w:val="2"/>
            <w:tcBorders>
              <w:right w:val="single" w:color="auto" w:sz="2" w:space="0"/>
            </w:tcBorders>
            <w:vAlign w:val="center"/>
          </w:tcPr>
          <w:p>
            <w:pPr>
              <w:rPr>
                <w:rFonts w:ascii="仿宋" w:hAnsi="仿宋" w:eastAsia="仿宋" w:cs="仿宋"/>
                <w:color w:val="auto"/>
                <w:sz w:val="24"/>
                <w:szCs w:val="24"/>
              </w:rPr>
            </w:pPr>
          </w:p>
        </w:tc>
        <w:tc>
          <w:tcPr>
            <w:tcW w:w="1386" w:type="dxa"/>
            <w:gridSpan w:val="3"/>
            <w:tcBorders>
              <w:left w:val="single" w:color="auto" w:sz="2" w:space="0"/>
            </w:tcBorders>
            <w:vAlign w:val="center"/>
          </w:tcPr>
          <w:p>
            <w:pPr>
              <w:rPr>
                <w:rFonts w:ascii="仿宋" w:hAnsi="仿宋" w:eastAsia="仿宋" w:cs="仿宋"/>
                <w:color w:val="auto"/>
                <w:sz w:val="24"/>
                <w:szCs w:val="24"/>
              </w:rPr>
            </w:pPr>
          </w:p>
        </w:tc>
        <w:tc>
          <w:tcPr>
            <w:tcW w:w="1581" w:type="dxa"/>
            <w:vAlign w:val="center"/>
          </w:tcPr>
          <w:p>
            <w:pPr>
              <w:rPr>
                <w:rFonts w:ascii="仿宋" w:hAnsi="仿宋" w:eastAsia="仿宋" w:cs="仿宋"/>
                <w:color w:val="auto"/>
                <w:sz w:val="24"/>
                <w:szCs w:val="24"/>
              </w:rPr>
            </w:pPr>
          </w:p>
        </w:tc>
        <w:tc>
          <w:tcPr>
            <w:tcW w:w="1782" w:type="dxa"/>
            <w:gridSpan w:val="2"/>
            <w:vAlign w:val="center"/>
          </w:tcPr>
          <w:p>
            <w:pPr>
              <w:rPr>
                <w:rFonts w:ascii="仿宋" w:hAnsi="仿宋" w:eastAsia="仿宋" w:cs="仿宋"/>
                <w:color w:val="auto"/>
                <w:sz w:val="24"/>
                <w:szCs w:val="24"/>
              </w:rPr>
            </w:pPr>
          </w:p>
        </w:tc>
        <w:tc>
          <w:tcPr>
            <w:tcW w:w="1049" w:type="dxa"/>
            <w:tcBorders>
              <w:right w:val="single" w:color="auto" w:sz="12" w:space="0"/>
            </w:tcBorders>
            <w:vAlign w:val="center"/>
          </w:tcPr>
          <w:p>
            <w:pPr>
              <w:rPr>
                <w:rFonts w:ascii="仿宋" w:hAnsi="仿宋" w:eastAsia="仿宋" w:cs="仿宋"/>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34" w:type="dxa"/>
            <w:tcBorders>
              <w:top w:val="single" w:color="auto" w:sz="6" w:space="0"/>
              <w:left w:val="single" w:color="auto" w:sz="12" w:space="0"/>
              <w:bottom w:val="single" w:color="auto" w:sz="12" w:space="0"/>
              <w:right w:val="single" w:color="auto" w:sz="6" w:space="0"/>
            </w:tcBorders>
            <w:vAlign w:val="center"/>
          </w:tcPr>
          <w:p>
            <w:pPr>
              <w:jc w:val="center"/>
              <w:rPr>
                <w:rFonts w:ascii="仿宋" w:hAnsi="仿宋" w:eastAsia="仿宋" w:cs="仿宋"/>
                <w:color w:val="auto"/>
                <w:sz w:val="24"/>
                <w:szCs w:val="24"/>
              </w:rPr>
            </w:pPr>
            <w:r>
              <w:rPr>
                <w:rFonts w:hint="eastAsia" w:ascii="仿宋" w:hAnsi="仿宋" w:eastAsia="仿宋" w:cs="仿宋"/>
                <w:color w:val="auto"/>
                <w:sz w:val="24"/>
                <w:szCs w:val="24"/>
              </w:rPr>
              <w:t>备注</w:t>
            </w:r>
          </w:p>
        </w:tc>
        <w:tc>
          <w:tcPr>
            <w:tcW w:w="8051" w:type="dxa"/>
            <w:gridSpan w:val="10"/>
            <w:tcBorders>
              <w:left w:val="single" w:color="auto" w:sz="6" w:space="0"/>
              <w:bottom w:val="single" w:color="auto" w:sz="12" w:space="0"/>
              <w:right w:val="single" w:color="auto" w:sz="12" w:space="0"/>
            </w:tcBorders>
            <w:vAlign w:val="center"/>
          </w:tcPr>
          <w:p>
            <w:pPr>
              <w:rPr>
                <w:rFonts w:ascii="仿宋" w:hAnsi="仿宋" w:eastAsia="仿宋" w:cs="仿宋"/>
                <w:color w:val="auto"/>
                <w:sz w:val="24"/>
                <w:szCs w:val="24"/>
              </w:rPr>
            </w:pPr>
            <w:r>
              <w:rPr>
                <w:rFonts w:hint="eastAsia" w:ascii="仿宋" w:hAnsi="仿宋" w:eastAsia="仿宋" w:cs="仿宋"/>
                <w:color w:val="auto"/>
                <w:sz w:val="24"/>
                <w:szCs w:val="24"/>
              </w:rPr>
              <w:t>表格空间不足时请自行扩展。</w:t>
            </w:r>
          </w:p>
        </w:tc>
      </w:tr>
    </w:tbl>
    <w:p>
      <w:pPr>
        <w:pStyle w:val="22"/>
        <w:ind w:firstLine="0" w:firstLineChars="0"/>
        <w:rPr>
          <w:rFonts w:ascii="黑体" w:hAnsi="黑体" w:eastAsia="黑体"/>
          <w:color w:val="auto"/>
        </w:rPr>
      </w:pPr>
      <w:bookmarkStart w:id="430" w:name="_Toc29023_WPSOffice_Level2"/>
      <w:r>
        <w:rPr>
          <w:rFonts w:hint="eastAsia" w:ascii="华文仿宋" w:hAnsi="华文仿宋" w:cs="华文仿宋"/>
          <w:b/>
          <w:color w:val="auto"/>
          <w:sz w:val="32"/>
          <w:szCs w:val="32"/>
        </w:rPr>
        <w:t>四、供应商认为有利于中标的其他情况说明。</w:t>
      </w:r>
      <w:bookmarkEnd w:id="430"/>
    </w:p>
    <w:sectPr>
      <w:pgSz w:w="11906" w:h="16838"/>
      <w:pgMar w:top="1417" w:right="1417" w:bottom="1417" w:left="1417" w:header="850" w:footer="992" w:gutter="0"/>
      <w:pgNumType w:fmt="decimal"/>
      <w:cols w:space="720" w:num="1"/>
      <w:docGrid w:type="linesAndChars" w:linePitch="381" w:charSpace="704"/>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Calibri Light">
    <w:panose1 w:val="020F0302020204030204"/>
    <w:charset w:val="00"/>
    <w:family w:val="swiss"/>
    <w:pitch w:val="default"/>
    <w:sig w:usb0="E0002AFF" w:usb1="C000247B" w:usb2="00000009" w:usb3="00000000" w:csb0="200001FF" w:csb1="00000000"/>
  </w:font>
  <w:font w:name="华文仿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monospace">
    <w:altName w:val="微软雅黑"/>
    <w:panose1 w:val="00000000000000000000"/>
    <w:charset w:val="00"/>
    <w:family w:val="auto"/>
    <w:pitch w:val="default"/>
    <w:sig w:usb0="00000000" w:usb1="00000000" w:usb2="00000000" w:usb3="00000000" w:csb0="00040001" w:csb1="00000000"/>
  </w:font>
  <w:font w:name="华文中宋">
    <w:panose1 w:val="02010600040101010101"/>
    <w:charset w:val="86"/>
    <w:family w:val="auto"/>
    <w:pitch w:val="default"/>
    <w:sig w:usb0="00000287" w:usb1="080F0000" w:usb2="00000000" w:usb3="00000000" w:csb0="0004009F" w:csb1="DFD70000"/>
  </w:font>
  <w:font w:name="宋体-18030">
    <w:altName w:val="宋体"/>
    <w:panose1 w:val="00000000000000000000"/>
    <w:charset w:val="86"/>
    <w:family w:val="modern"/>
    <w:pitch w:val="default"/>
    <w:sig w:usb0="00000000" w:usb1="00000000" w:usb2="000A005E"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tabs>
        <w:tab w:val="clear" w:pos="4153"/>
        <w:tab w:val="clear" w:pos="8306"/>
      </w:tabs>
      <w:jc w:val="center"/>
      <w:rPr>
        <w:rFonts w:ascii="宋体" w:hAnsi="宋体" w:eastAsia="宋体"/>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tabs>
        <w:tab w:val="clear" w:pos="4153"/>
        <w:tab w:val="clear" w:pos="8306"/>
      </w:tabs>
      <w:jc w:val="center"/>
      <w:rPr>
        <w:rFonts w:ascii="宋体" w:hAnsi="宋体" w:eastAsia="宋体"/>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tabs>
        <w:tab w:val="center" w:pos="4536"/>
        <w:tab w:val="right" w:pos="10489"/>
        <w:tab w:val="clear" w:pos="4153"/>
        <w:tab w:val="clear" w:pos="8306"/>
      </w:tabs>
      <w:jc w:val="center"/>
      <w:rPr>
        <w:rFonts w:ascii="宋体" w:hAnsi="宋体" w:eastAsia="宋体"/>
      </w:rPr>
    </w:pPr>
    <w:r>
      <w:rPr>
        <w:sz w:val="18"/>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5"/>
                            <w:rPr>
                              <w:rFonts w:hint="eastAsia" w:eastAsia="华文仿宋"/>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w:t>
                          </w:r>
                          <w:r>
                            <w:rPr>
                              <w:rFonts w:hint="eastAsia"/>
                              <w:lang w:val="en-US" w:eastAsia="zh-CN"/>
                            </w:rPr>
                            <w:t>155</w:t>
                          </w:r>
                          <w:r>
                            <w:rPr>
                              <w:rFonts w:hint="eastAsia"/>
                              <w:lang w:eastAsia="zh-CN"/>
                            </w:rPr>
                            <w:t>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LNJWO7QAAAABQEAAA8AAAAAAAAAAQAgAAAA&#10;IgAAAGRycy9kb3ducmV2LnhtbFBLAQIUABQAAAAIAIdO4kAR1yZaEwIAABMEAAAOAAAAAAAAAAEA&#10;IAAAAB8BAABkcnMvZTJvRG9jLnhtbFBLBQYAAAAABgAGAFkBAACkBQAAAAA=&#10;">
              <v:fill on="f" focussize="0,0"/>
              <v:stroke on="f" weight="0.5pt"/>
              <v:imagedata o:title=""/>
              <o:lock v:ext="edit" aspectratio="f"/>
              <v:textbox inset="0mm,0mm,0mm,0mm" style="mso-fit-shape-to-text:t;">
                <w:txbxContent>
                  <w:p>
                    <w:pPr>
                      <w:pStyle w:val="15"/>
                      <w:rPr>
                        <w:rFonts w:hint="eastAsia" w:eastAsia="华文仿宋"/>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w:t>
                    </w:r>
                    <w:r>
                      <w:rPr>
                        <w:rFonts w:hint="eastAsia"/>
                        <w:lang w:val="en-US" w:eastAsia="zh-CN"/>
                      </w:rPr>
                      <w:t>155</w:t>
                    </w:r>
                    <w:r>
                      <w:rPr>
                        <w:rFonts w:hint="eastAsia"/>
                        <w:lang w:eastAsia="zh-CN"/>
                      </w:rPr>
                      <w:t>页</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tabs>
        <w:tab w:val="clear" w:pos="4153"/>
        <w:tab w:val="clear" w:pos="8306"/>
      </w:tabs>
      <w:rPr>
        <w:rFonts w:ascii="宋体" w:hAnsi="宋体" w:eastAsia="宋体"/>
      </w:rP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5"/>
                            <w:rPr>
                              <w:rFonts w:hint="eastAsia" w:eastAsia="华文仿宋"/>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33</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61</w:t>
                          </w:r>
                          <w:r>
                            <w:rPr>
                              <w:rFonts w:hint="eastAsia"/>
                              <w:lang w:eastAsia="zh-CN"/>
                            </w:rPr>
                            <w:fldChar w:fldCharType="end"/>
                          </w:r>
                          <w:r>
                            <w:rPr>
                              <w:rFonts w:hint="eastAsia"/>
                              <w:lang w:eastAsia="zh-CN"/>
                            </w:rPr>
                            <w:t xml:space="preserve"> 页</w:t>
                          </w:r>
                        </w:p>
                      </w:txbxContent>
                    </wps:txbx>
                    <wps:bodyPr vert="horz" wrap="none" lIns="0" tIns="0" rIns="0" bIns="0" anchor="t">
                      <a:spAutoFit/>
                    </wps:bodyPr>
                  </wps:wsp>
                </a:graphicData>
              </a:graphic>
            </wp:anchor>
          </w:drawing>
        </mc:Choice>
        <mc:Fallback>
          <w:pict>
            <v:shape id="文本框 11"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zql5uc8A&#10;AAAFAQAADwAAAAAAAAABACAAAAAiAAAAZHJzL2Rvd25yZXYueG1sUEsBAhQAFAAAAAgAh07iQF9G&#10;lMC2AQAAVwMAAA4AAAAAAAAAAQAgAAAAHgEAAGRycy9lMm9Eb2MueG1sUEsFBgAAAAAGAAYAWQEA&#10;AEYFAAAAAA==&#10;">
              <v:fill on="f" focussize="0,0"/>
              <v:stroke on="f"/>
              <v:imagedata o:title=""/>
              <o:lock v:ext="edit" aspectratio="f"/>
              <v:textbox inset="0mm,0mm,0mm,0mm" style="mso-fit-shape-to-text:t;">
                <w:txbxContent>
                  <w:p>
                    <w:pPr>
                      <w:pStyle w:val="15"/>
                      <w:rPr>
                        <w:rFonts w:hint="eastAsia" w:eastAsia="华文仿宋"/>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33</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61</w:t>
                    </w:r>
                    <w:r>
                      <w:rPr>
                        <w:rFonts w:hint="eastAsia"/>
                        <w:lang w:eastAsia="zh-CN"/>
                      </w:rPr>
                      <w:fldChar w:fldCharType="end"/>
                    </w:r>
                    <w:r>
                      <w:rPr>
                        <w:rFonts w:hint="eastAsia"/>
                        <w:lang w:eastAsia="zh-CN"/>
                      </w:rPr>
                      <w:t xml:space="preserve"> 页</w:t>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tabs>
        <w:tab w:val="clear" w:pos="4153"/>
        <w:tab w:val="clear" w:pos="8306"/>
      </w:tabs>
      <w:jc w:val="center"/>
      <w:rPr>
        <w:rFonts w:ascii="宋体" w:hAnsi="宋体" w:eastAsia="宋体"/>
      </w:rPr>
    </w:pPr>
    <w:r>
      <w:rPr>
        <w:rFonts w:ascii="宋体" w:hAnsi="宋体" w:eastAsia="宋体"/>
      </w:rPr>
      <w:t>第</w:t>
    </w:r>
    <w:r>
      <w:rPr>
        <w:rFonts w:ascii="宋体" w:hAnsi="宋体" w:eastAsia="宋体"/>
      </w:rPr>
      <w:fldChar w:fldCharType="begin"/>
    </w:r>
    <w:r>
      <w:rPr>
        <w:rFonts w:ascii="宋体" w:hAnsi="宋体" w:eastAsia="宋体"/>
      </w:rPr>
      <w:instrText xml:space="preserve"> PAGE  \* MERGEFORMAT </w:instrText>
    </w:r>
    <w:r>
      <w:rPr>
        <w:rFonts w:ascii="宋体" w:hAnsi="宋体" w:eastAsia="宋体"/>
      </w:rPr>
      <w:fldChar w:fldCharType="separate"/>
    </w:r>
    <w:r>
      <w:rPr>
        <w:rFonts w:ascii="宋体" w:hAnsi="宋体" w:eastAsia="宋体"/>
      </w:rPr>
      <w:t>68</w:t>
    </w:r>
    <w:r>
      <w:rPr>
        <w:rFonts w:ascii="宋体" w:hAnsi="宋体" w:eastAsia="宋体"/>
      </w:rPr>
      <w:fldChar w:fldCharType="end"/>
    </w:r>
    <w:r>
      <w:rPr>
        <w:rFonts w:ascii="宋体" w:hAnsi="宋体" w:eastAsia="宋体"/>
      </w:rPr>
      <w:t>页　共</w:t>
    </w:r>
    <w:r>
      <w:rPr>
        <w:rFonts w:ascii="宋体" w:hAnsi="宋体" w:eastAsia="宋体"/>
      </w:rPr>
      <w:fldChar w:fldCharType="begin"/>
    </w:r>
    <w:r>
      <w:rPr>
        <w:rFonts w:ascii="宋体" w:hAnsi="宋体" w:eastAsia="宋体"/>
      </w:rPr>
      <w:instrText xml:space="preserve"> =</w:instrText>
    </w:r>
    <w:r>
      <w:fldChar w:fldCharType="begin"/>
    </w:r>
    <w:r>
      <w:instrText xml:space="preserve"> NUMPAGES  \* MERGEFORMAT </w:instrText>
    </w:r>
    <w:r>
      <w:fldChar w:fldCharType="separate"/>
    </w:r>
    <w:r>
      <w:rPr>
        <w:rFonts w:ascii="宋体" w:hAnsi="宋体" w:eastAsia="宋体"/>
      </w:rPr>
      <w:instrText xml:space="preserve">114</w:instrText>
    </w:r>
    <w:r>
      <w:rPr>
        <w:rFonts w:ascii="宋体" w:hAnsi="宋体" w:eastAsia="宋体"/>
      </w:rPr>
      <w:fldChar w:fldCharType="end"/>
    </w:r>
    <w:r>
      <w:rPr>
        <w:rFonts w:ascii="宋体" w:hAnsi="宋体" w:eastAsia="宋体"/>
      </w:rPr>
      <w:instrText xml:space="preserve">-2 \* MERGEFORMAT </w:instrText>
    </w:r>
    <w:r>
      <w:rPr>
        <w:rFonts w:ascii="宋体" w:hAnsi="宋体" w:eastAsia="宋体"/>
      </w:rPr>
      <w:fldChar w:fldCharType="separate"/>
    </w:r>
    <w:r>
      <w:rPr>
        <w:rFonts w:ascii="宋体" w:hAnsi="宋体" w:eastAsia="宋体"/>
      </w:rPr>
      <w:t>112</w:t>
    </w:r>
    <w:r>
      <w:rPr>
        <w:rFonts w:ascii="宋体" w:hAnsi="宋体" w:eastAsia="宋体"/>
      </w:rPr>
      <w:fldChar w:fldCharType="end"/>
    </w:r>
    <w:r>
      <w:rPr>
        <w:rFonts w:ascii="宋体" w:hAnsi="宋体" w:eastAsia="宋体"/>
      </w:rPr>
      <w:t>页</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tabs>
        <w:tab w:val="clear" w:pos="4153"/>
        <w:tab w:val="clear" w:pos="8306"/>
      </w:tabs>
      <w:rPr>
        <w:rFonts w:ascii="宋体" w:hAnsi="宋体" w:eastAsia="宋体"/>
      </w:rPr>
    </w:pPr>
    <w:r>
      <w:rPr>
        <w:rFonts w:hint="eastAsia" w:ascii="宋体" w:hAnsi="宋体" w:eastAsia="宋体"/>
      </w:rPr>
      <w:t>西安市市级单位政府采购中心第</w:t>
    </w:r>
    <w:r>
      <w:rPr>
        <w:rFonts w:ascii="宋体" w:hAnsi="宋体" w:eastAsia="宋体"/>
      </w:rPr>
      <w:fldChar w:fldCharType="begin"/>
    </w:r>
    <w:r>
      <w:rPr>
        <w:rFonts w:ascii="宋体" w:hAnsi="宋体" w:eastAsia="宋体"/>
      </w:rPr>
      <w:instrText xml:space="preserve"> PAGE </w:instrText>
    </w:r>
    <w:r>
      <w:rPr>
        <w:rFonts w:ascii="宋体" w:hAnsi="宋体" w:eastAsia="宋体"/>
      </w:rPr>
      <w:fldChar w:fldCharType="separate"/>
    </w:r>
    <w:r>
      <w:rPr>
        <w:rFonts w:ascii="宋体" w:hAnsi="宋体" w:eastAsia="宋体"/>
      </w:rPr>
      <w:t>27</w:t>
    </w:r>
    <w:r>
      <w:rPr>
        <w:rFonts w:ascii="宋体" w:hAnsi="宋体" w:eastAsia="宋体"/>
      </w:rPr>
      <w:fldChar w:fldCharType="end"/>
    </w:r>
    <w:r>
      <w:rPr>
        <w:rFonts w:hint="eastAsia" w:ascii="宋体" w:hAnsi="宋体" w:eastAsia="宋体"/>
      </w:rPr>
      <w:t>页　共</w:t>
    </w:r>
    <w:r>
      <w:rPr>
        <w:rFonts w:ascii="宋体" w:hAnsi="宋体" w:eastAsia="宋体"/>
      </w:rPr>
      <w:fldChar w:fldCharType="begin"/>
    </w:r>
    <w:r>
      <w:rPr>
        <w:rFonts w:ascii="宋体" w:hAnsi="宋体" w:eastAsia="宋体"/>
      </w:rPr>
      <w:instrText xml:space="preserve"> =</w:instrText>
    </w:r>
    <w:r>
      <w:rPr>
        <w:rFonts w:ascii="宋体" w:hAnsi="宋体" w:eastAsia="宋体"/>
      </w:rPr>
      <w:fldChar w:fldCharType="begin"/>
    </w:r>
    <w:r>
      <w:rPr>
        <w:rFonts w:ascii="宋体" w:hAnsi="宋体" w:eastAsia="宋体"/>
      </w:rPr>
      <w:instrText xml:space="preserve"> NUMPAGES </w:instrText>
    </w:r>
    <w:r>
      <w:rPr>
        <w:rFonts w:ascii="宋体" w:hAnsi="宋体" w:eastAsia="宋体"/>
      </w:rPr>
      <w:fldChar w:fldCharType="separate"/>
    </w:r>
    <w:r>
      <w:rPr>
        <w:rFonts w:ascii="宋体" w:hAnsi="宋体" w:eastAsia="宋体"/>
      </w:rPr>
      <w:instrText xml:space="preserve">55</w:instrText>
    </w:r>
    <w:r>
      <w:rPr>
        <w:rFonts w:ascii="宋体" w:hAnsi="宋体" w:eastAsia="宋体"/>
      </w:rPr>
      <w:fldChar w:fldCharType="end"/>
    </w:r>
    <w:r>
      <w:rPr>
        <w:rFonts w:ascii="宋体" w:hAnsi="宋体" w:eastAsia="宋体"/>
      </w:rPr>
      <w:instrText xml:space="preserve">-1 </w:instrText>
    </w:r>
    <w:r>
      <w:rPr>
        <w:rFonts w:ascii="宋体" w:hAnsi="宋体" w:eastAsia="宋体"/>
      </w:rPr>
      <w:fldChar w:fldCharType="separate"/>
    </w:r>
    <w:r>
      <w:rPr>
        <w:rFonts w:ascii="宋体" w:hAnsi="宋体" w:eastAsia="宋体"/>
      </w:rPr>
      <w:t>54</w:t>
    </w:r>
    <w:r>
      <w:rPr>
        <w:rFonts w:ascii="宋体" w:hAnsi="宋体" w:eastAsia="宋体"/>
      </w:rPr>
      <w:fldChar w:fldCharType="end"/>
    </w:r>
    <w:r>
      <w:rPr>
        <w:rFonts w:hint="eastAsia" w:ascii="宋体" w:hAnsi="宋体" w:eastAsia="宋体"/>
      </w:rPr>
      <w:t>页</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tabs>
        <w:tab w:val="clear" w:pos="4153"/>
        <w:tab w:val="clear" w:pos="8306"/>
      </w:tabs>
      <w:rPr>
        <w:rFonts w:ascii="宋体" w:hAnsi="宋体" w:eastAsia="宋体"/>
      </w:rPr>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1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5"/>
                            <w:rPr>
                              <w:rFonts w:hint="eastAsia" w:eastAsia="华文仿宋"/>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36</w:t>
                          </w:r>
                          <w:r>
                            <w:rPr>
                              <w:rFonts w:hint="eastAsia"/>
                              <w:lang w:eastAsia="zh-CN"/>
                            </w:rPr>
                            <w:fldChar w:fldCharType="end"/>
                          </w:r>
                          <w:r>
                            <w:rPr>
                              <w:rFonts w:hint="eastAsia"/>
                              <w:lang w:eastAsia="zh-CN"/>
                            </w:rPr>
                            <w:t xml:space="preserve"> 页 共</w:t>
                          </w:r>
                          <w:r>
                            <w:rPr>
                              <w:rFonts w:hint="eastAsia"/>
                              <w:lang w:val="en-US" w:eastAsia="zh-CN"/>
                            </w:rPr>
                            <w:t>155</w:t>
                          </w:r>
                          <w:r>
                            <w:rPr>
                              <w:rFonts w:hint="eastAsia"/>
                              <w:lang w:eastAsia="zh-CN"/>
                            </w:rPr>
                            <w:t>页</w:t>
                          </w:r>
                        </w:p>
                      </w:txbxContent>
                    </wps:txbx>
                    <wps:bodyPr vert="horz" wrap="none" lIns="0" tIns="0" rIns="0" bIns="0" anchor="t">
                      <a:spAutoFit/>
                    </wps:bodyPr>
                  </wps:wsp>
                </a:graphicData>
              </a:graphic>
            </wp:anchor>
          </w:drawing>
        </mc:Choice>
        <mc:Fallback>
          <w:pict>
            <v:shape id="文本框 13"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zql5uc8A&#10;AAAFAQAADwAAAAAAAAABACAAAAAiAAAAZHJzL2Rvd25yZXYueG1sUEsBAhQAFAAAAAgAh07iQC65&#10;flS2AQAAVwMAAA4AAAAAAAAAAQAgAAAAHgEAAGRycy9lMm9Eb2MueG1sUEsFBgAAAAAGAAYAWQEA&#10;AEYFAAAAAA==&#10;">
              <v:fill on="f" focussize="0,0"/>
              <v:stroke on="f"/>
              <v:imagedata o:title=""/>
              <o:lock v:ext="edit" aspectratio="f"/>
              <v:textbox inset="0mm,0mm,0mm,0mm" style="mso-fit-shape-to-text:t;">
                <w:txbxContent>
                  <w:p>
                    <w:pPr>
                      <w:pStyle w:val="15"/>
                      <w:rPr>
                        <w:rFonts w:hint="eastAsia" w:eastAsia="华文仿宋"/>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36</w:t>
                    </w:r>
                    <w:r>
                      <w:rPr>
                        <w:rFonts w:hint="eastAsia"/>
                        <w:lang w:eastAsia="zh-CN"/>
                      </w:rPr>
                      <w:fldChar w:fldCharType="end"/>
                    </w:r>
                    <w:r>
                      <w:rPr>
                        <w:rFonts w:hint="eastAsia"/>
                        <w:lang w:eastAsia="zh-CN"/>
                      </w:rPr>
                      <w:t xml:space="preserve"> 页 共</w:t>
                    </w:r>
                    <w:r>
                      <w:rPr>
                        <w:rFonts w:hint="eastAsia"/>
                        <w:lang w:val="en-US" w:eastAsia="zh-CN"/>
                      </w:rPr>
                      <w:t>155</w:t>
                    </w:r>
                    <w:r>
                      <w:rPr>
                        <w:rFonts w:hint="eastAsia"/>
                        <w:lang w:eastAsia="zh-CN"/>
                      </w:rPr>
                      <w:t>页</w:t>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tabs>
        <w:tab w:val="clear" w:pos="4153"/>
        <w:tab w:val="clear" w:pos="8306"/>
      </w:tabs>
    </w:pPr>
    <w:r>
      <w:rPr>
        <w:rFonts w:hint="eastAsia" w:ascii="宋体" w:hAnsi="宋体" w:eastAsia="宋体"/>
      </w:rPr>
      <w:t>西安市市级单位政府采购中心第</w:t>
    </w:r>
    <w:r>
      <w:rPr>
        <w:rFonts w:ascii="宋体" w:hAnsi="宋体" w:eastAsia="宋体"/>
      </w:rPr>
      <w:fldChar w:fldCharType="begin"/>
    </w:r>
    <w:r>
      <w:rPr>
        <w:rFonts w:ascii="宋体" w:hAnsi="宋体" w:eastAsia="宋体"/>
      </w:rPr>
      <w:instrText xml:space="preserve"> PAGE </w:instrText>
    </w:r>
    <w:r>
      <w:rPr>
        <w:rFonts w:ascii="宋体" w:hAnsi="宋体" w:eastAsia="宋体"/>
      </w:rPr>
      <w:fldChar w:fldCharType="separate"/>
    </w:r>
    <w:r>
      <w:rPr>
        <w:rFonts w:ascii="宋体" w:hAnsi="宋体" w:eastAsia="宋体"/>
      </w:rPr>
      <w:t>31</w:t>
    </w:r>
    <w:r>
      <w:rPr>
        <w:rFonts w:ascii="宋体" w:hAnsi="宋体" w:eastAsia="宋体"/>
      </w:rPr>
      <w:fldChar w:fldCharType="end"/>
    </w:r>
    <w:r>
      <w:rPr>
        <w:rFonts w:hint="eastAsia" w:ascii="宋体" w:hAnsi="宋体" w:eastAsia="宋体"/>
      </w:rPr>
      <w:t>页　共</w:t>
    </w:r>
    <w:r>
      <w:rPr>
        <w:rFonts w:ascii="宋体" w:hAnsi="宋体" w:eastAsia="宋体"/>
      </w:rPr>
      <w:fldChar w:fldCharType="begin"/>
    </w:r>
    <w:r>
      <w:rPr>
        <w:rFonts w:ascii="宋体" w:hAnsi="宋体" w:eastAsia="宋体"/>
      </w:rPr>
      <w:instrText xml:space="preserve"> =</w:instrText>
    </w:r>
    <w:r>
      <w:rPr>
        <w:rFonts w:ascii="宋体" w:hAnsi="宋体" w:eastAsia="宋体"/>
      </w:rPr>
      <w:fldChar w:fldCharType="begin"/>
    </w:r>
    <w:r>
      <w:rPr>
        <w:rFonts w:ascii="宋体" w:hAnsi="宋体" w:eastAsia="宋体"/>
      </w:rPr>
      <w:instrText xml:space="preserve"> NUMPAGES </w:instrText>
    </w:r>
    <w:r>
      <w:rPr>
        <w:rFonts w:ascii="宋体" w:hAnsi="宋体" w:eastAsia="宋体"/>
      </w:rPr>
      <w:fldChar w:fldCharType="separate"/>
    </w:r>
    <w:r>
      <w:rPr>
        <w:rFonts w:ascii="宋体" w:hAnsi="宋体" w:eastAsia="宋体"/>
      </w:rPr>
      <w:instrText xml:space="preserve">68</w:instrText>
    </w:r>
    <w:r>
      <w:rPr>
        <w:rFonts w:ascii="宋体" w:hAnsi="宋体" w:eastAsia="宋体"/>
      </w:rPr>
      <w:fldChar w:fldCharType="end"/>
    </w:r>
    <w:r>
      <w:rPr>
        <w:rFonts w:ascii="宋体" w:hAnsi="宋体" w:eastAsia="宋体"/>
      </w:rPr>
      <w:instrText xml:space="preserve">-1 </w:instrText>
    </w:r>
    <w:r>
      <w:rPr>
        <w:rFonts w:ascii="宋体" w:hAnsi="宋体" w:eastAsia="宋体"/>
      </w:rPr>
      <w:fldChar w:fldCharType="separate"/>
    </w:r>
    <w:r>
      <w:rPr>
        <w:rFonts w:ascii="宋体" w:hAnsi="宋体" w:eastAsia="宋体"/>
      </w:rPr>
      <w:t>67</w:t>
    </w:r>
    <w:r>
      <w:rPr>
        <w:rFonts w:ascii="宋体" w:hAnsi="宋体" w:eastAsia="宋体"/>
      </w:rPr>
      <w:fldChar w:fldCharType="end"/>
    </w:r>
    <w:r>
      <w:rPr>
        <w:rFonts w:hint="eastAsia" w:ascii="宋体" w:hAnsi="宋体" w:eastAsia="宋体"/>
      </w:rPr>
      <w:t>页</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rPr>
        <w:rFonts w:hint="eastAsia" w:ascii="仿宋" w:hAnsi="仿宋" w:eastAsia="仿宋" w:cs="仿宋"/>
        <w:sz w:val="21"/>
        <w:szCs w:val="21"/>
        <w:lang w:val="en-US" w:eastAsia="zh-CN"/>
      </w:rPr>
    </w:pPr>
    <w:r>
      <w:rPr>
        <w:rFonts w:hint="eastAsia" w:ascii="仿宋" w:hAnsi="仿宋" w:eastAsia="仿宋" w:cs="仿宋"/>
        <w:color w:val="auto"/>
        <w:sz w:val="21"/>
        <w:szCs w:val="21"/>
        <w:lang w:val="en-US" w:eastAsia="zh-CN"/>
      </w:rPr>
      <w:t>西北大学新闻传播学院多功能报告厅工程</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rPr>
        <w:rFonts w:hint="eastAsia" w:eastAsia="宋体"/>
        <w:sz w:val="21"/>
        <w:szCs w:val="21"/>
        <w:lang w:val="en-US" w:eastAsia="zh-CN"/>
      </w:rPr>
    </w:pPr>
    <w:r>
      <w:rPr>
        <w:rFonts w:hint="eastAsia" w:ascii="仿宋" w:hAnsi="仿宋" w:eastAsia="仿宋" w:cs="仿宋"/>
        <w:color w:val="auto"/>
        <w:sz w:val="21"/>
        <w:szCs w:val="21"/>
        <w:lang w:val="en-US" w:eastAsia="zh-CN"/>
      </w:rPr>
      <w:t>西北大学新闻传播学院多功能报告厅工程</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jc w:val="left"/>
      <w:rPr>
        <w:rFonts w:ascii="宋体" w:hAnsi="宋体" w:eastAsia="宋体" w:cs="宋体"/>
      </w:rPr>
    </w:pPr>
    <w:r>
      <w:rPr>
        <w:rFonts w:hint="eastAsia" w:ascii="宋体" w:hAnsi="宋体" w:eastAsia="宋体" w:cs="宋体"/>
      </w:rPr>
      <w:t>西安石油大学雁塔、鄠邑校区室内常年物业服务采购项目</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jc w:val="right"/>
      <w:rPr>
        <w:rFonts w:ascii="宋体" w:hAnsi="宋体" w:eastAsia="宋体"/>
      </w:rPr>
    </w:pPr>
    <w:r>
      <w:rPr>
        <w:rFonts w:hint="eastAsia" w:ascii="宋体" w:hAnsi="宋体" w:eastAsia="宋体"/>
      </w:rPr>
      <w:t>bbb〈项目</w:t>
    </w:r>
    <w:r>
      <w:rPr>
        <w:rFonts w:ascii="宋体" w:hAnsi="宋体" w:eastAsia="宋体"/>
      </w:rPr>
      <w:t>名称</w:t>
    </w:r>
    <w:r>
      <w:rPr>
        <w:rFonts w:hint="eastAsia" w:ascii="宋体" w:hAnsi="宋体" w:eastAsia="宋体"/>
      </w:rPr>
      <w:t>〉</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6BDE864"/>
    <w:multiLevelType w:val="singleLevel"/>
    <w:tmpl w:val="96BDE864"/>
    <w:lvl w:ilvl="0" w:tentative="0">
      <w:start w:val="2"/>
      <w:numFmt w:val="decimal"/>
      <w:lvlText w:val="%1."/>
      <w:lvlJc w:val="left"/>
      <w:pPr>
        <w:tabs>
          <w:tab w:val="left" w:pos="312"/>
        </w:tabs>
      </w:pPr>
    </w:lvl>
  </w:abstractNum>
  <w:abstractNum w:abstractNumId="1">
    <w:nsid w:val="D48979FB"/>
    <w:multiLevelType w:val="singleLevel"/>
    <w:tmpl w:val="D48979FB"/>
    <w:lvl w:ilvl="0" w:tentative="0">
      <w:start w:val="3"/>
      <w:numFmt w:val="decimal"/>
      <w:lvlText w:val="%1."/>
      <w:lvlJc w:val="left"/>
      <w:pPr>
        <w:tabs>
          <w:tab w:val="left" w:pos="312"/>
        </w:tabs>
      </w:pPr>
    </w:lvl>
  </w:abstractNum>
  <w:abstractNum w:abstractNumId="2">
    <w:nsid w:val="DB425B2E"/>
    <w:multiLevelType w:val="singleLevel"/>
    <w:tmpl w:val="DB425B2E"/>
    <w:lvl w:ilvl="0" w:tentative="0">
      <w:start w:val="4"/>
      <w:numFmt w:val="chineseCounting"/>
      <w:suff w:val="nothing"/>
      <w:lvlText w:val="%1、"/>
      <w:lvlJc w:val="left"/>
      <w:rPr>
        <w:rFonts w:hint="eastAsia"/>
      </w:rPr>
    </w:lvl>
  </w:abstractNum>
  <w:abstractNum w:abstractNumId="3">
    <w:nsid w:val="E695937C"/>
    <w:multiLevelType w:val="singleLevel"/>
    <w:tmpl w:val="E695937C"/>
    <w:lvl w:ilvl="0" w:tentative="0">
      <w:start w:val="2"/>
      <w:numFmt w:val="decimal"/>
      <w:suff w:val="nothing"/>
      <w:lvlText w:val="%1、"/>
      <w:lvlJc w:val="left"/>
    </w:lvl>
  </w:abstractNum>
  <w:abstractNum w:abstractNumId="4">
    <w:nsid w:val="E844F563"/>
    <w:multiLevelType w:val="singleLevel"/>
    <w:tmpl w:val="E844F563"/>
    <w:lvl w:ilvl="0" w:tentative="0">
      <w:start w:val="1"/>
      <w:numFmt w:val="decimal"/>
      <w:suff w:val="nothing"/>
      <w:lvlText w:val="%1、"/>
      <w:lvlJc w:val="left"/>
    </w:lvl>
  </w:abstractNum>
  <w:abstractNum w:abstractNumId="5">
    <w:nsid w:val="F528E638"/>
    <w:multiLevelType w:val="singleLevel"/>
    <w:tmpl w:val="F528E638"/>
    <w:lvl w:ilvl="0" w:tentative="0">
      <w:start w:val="6"/>
      <w:numFmt w:val="decimal"/>
      <w:suff w:val="nothing"/>
      <w:lvlText w:val="%1、"/>
      <w:lvlJc w:val="left"/>
    </w:lvl>
  </w:abstractNum>
  <w:abstractNum w:abstractNumId="6">
    <w:nsid w:val="00000006"/>
    <w:multiLevelType w:val="singleLevel"/>
    <w:tmpl w:val="00000006"/>
    <w:lvl w:ilvl="0" w:tentative="0">
      <w:start w:val="3"/>
      <w:numFmt w:val="chineseCounting"/>
      <w:suff w:val="nothing"/>
      <w:lvlText w:val="%1、"/>
      <w:lvlJc w:val="left"/>
    </w:lvl>
  </w:abstractNum>
  <w:abstractNum w:abstractNumId="7">
    <w:nsid w:val="0053208E"/>
    <w:multiLevelType w:val="multilevel"/>
    <w:tmpl w:val="0053208E"/>
    <w:lvl w:ilvl="0" w:tentative="0">
      <w:start w:val="1"/>
      <w:numFmt w:val="chineseCounting"/>
      <w:suff w:val="nothing"/>
      <w:lvlText w:val="（%1）"/>
      <w:lvlJc w:val="left"/>
      <w:rPr>
        <w:rFonts w:hint="eastAsia"/>
      </w:rPr>
    </w:lvl>
    <w:lvl w:ilvl="1" w:tentative="0">
      <w:start w:val="0"/>
      <w:numFmt w:val="bullet"/>
      <w:lvlText w:val="•"/>
      <w:lvlJc w:val="left"/>
      <w:pPr>
        <w:ind w:left="2390" w:hanging="360"/>
      </w:pPr>
      <w:rPr>
        <w:rFonts w:hint="default"/>
        <w:lang w:val="zh-CN" w:eastAsia="zh-CN" w:bidi="zh-CN"/>
      </w:rPr>
    </w:lvl>
    <w:lvl w:ilvl="2" w:tentative="0">
      <w:start w:val="0"/>
      <w:numFmt w:val="bullet"/>
      <w:lvlText w:val="•"/>
      <w:lvlJc w:val="left"/>
      <w:pPr>
        <w:ind w:left="3241" w:hanging="360"/>
      </w:pPr>
      <w:rPr>
        <w:rFonts w:hint="default"/>
        <w:lang w:val="zh-CN" w:eastAsia="zh-CN" w:bidi="zh-CN"/>
      </w:rPr>
    </w:lvl>
    <w:lvl w:ilvl="3" w:tentative="0">
      <w:start w:val="0"/>
      <w:numFmt w:val="bullet"/>
      <w:lvlText w:val="•"/>
      <w:lvlJc w:val="left"/>
      <w:pPr>
        <w:ind w:left="4091" w:hanging="360"/>
      </w:pPr>
      <w:rPr>
        <w:rFonts w:hint="default"/>
        <w:lang w:val="zh-CN" w:eastAsia="zh-CN" w:bidi="zh-CN"/>
      </w:rPr>
    </w:lvl>
    <w:lvl w:ilvl="4" w:tentative="0">
      <w:start w:val="0"/>
      <w:numFmt w:val="bullet"/>
      <w:lvlText w:val="•"/>
      <w:lvlJc w:val="left"/>
      <w:pPr>
        <w:ind w:left="4942" w:hanging="360"/>
      </w:pPr>
      <w:rPr>
        <w:rFonts w:hint="default"/>
        <w:lang w:val="zh-CN" w:eastAsia="zh-CN" w:bidi="zh-CN"/>
      </w:rPr>
    </w:lvl>
    <w:lvl w:ilvl="5" w:tentative="0">
      <w:start w:val="0"/>
      <w:numFmt w:val="bullet"/>
      <w:lvlText w:val="•"/>
      <w:lvlJc w:val="left"/>
      <w:pPr>
        <w:ind w:left="5793" w:hanging="360"/>
      </w:pPr>
      <w:rPr>
        <w:rFonts w:hint="default"/>
        <w:lang w:val="zh-CN" w:eastAsia="zh-CN" w:bidi="zh-CN"/>
      </w:rPr>
    </w:lvl>
    <w:lvl w:ilvl="6" w:tentative="0">
      <w:start w:val="0"/>
      <w:numFmt w:val="bullet"/>
      <w:lvlText w:val="•"/>
      <w:lvlJc w:val="left"/>
      <w:pPr>
        <w:ind w:left="6643" w:hanging="360"/>
      </w:pPr>
      <w:rPr>
        <w:rFonts w:hint="default"/>
        <w:lang w:val="zh-CN" w:eastAsia="zh-CN" w:bidi="zh-CN"/>
      </w:rPr>
    </w:lvl>
    <w:lvl w:ilvl="7" w:tentative="0">
      <w:start w:val="0"/>
      <w:numFmt w:val="bullet"/>
      <w:lvlText w:val="•"/>
      <w:lvlJc w:val="left"/>
      <w:pPr>
        <w:ind w:left="7494" w:hanging="360"/>
      </w:pPr>
      <w:rPr>
        <w:rFonts w:hint="default"/>
        <w:lang w:val="zh-CN" w:eastAsia="zh-CN" w:bidi="zh-CN"/>
      </w:rPr>
    </w:lvl>
    <w:lvl w:ilvl="8" w:tentative="0">
      <w:start w:val="0"/>
      <w:numFmt w:val="bullet"/>
      <w:lvlText w:val="•"/>
      <w:lvlJc w:val="left"/>
      <w:pPr>
        <w:ind w:left="8344" w:hanging="360"/>
      </w:pPr>
      <w:rPr>
        <w:rFonts w:hint="default"/>
        <w:lang w:val="zh-CN" w:eastAsia="zh-CN" w:bidi="zh-CN"/>
      </w:rPr>
    </w:lvl>
  </w:abstractNum>
  <w:abstractNum w:abstractNumId="8">
    <w:nsid w:val="31121E30"/>
    <w:multiLevelType w:val="singleLevel"/>
    <w:tmpl w:val="31121E30"/>
    <w:lvl w:ilvl="0" w:tentative="0">
      <w:start w:val="2"/>
      <w:numFmt w:val="decimal"/>
      <w:suff w:val="nothing"/>
      <w:lvlText w:val="%1、"/>
      <w:lvlJc w:val="left"/>
    </w:lvl>
  </w:abstractNum>
  <w:abstractNum w:abstractNumId="9">
    <w:nsid w:val="44F80952"/>
    <w:multiLevelType w:val="singleLevel"/>
    <w:tmpl w:val="44F80952"/>
    <w:lvl w:ilvl="0" w:tentative="0">
      <w:start w:val="1"/>
      <w:numFmt w:val="decimal"/>
      <w:suff w:val="nothing"/>
      <w:lvlText w:val="%1）"/>
      <w:lvlJc w:val="left"/>
    </w:lvl>
  </w:abstractNum>
  <w:abstractNum w:abstractNumId="10">
    <w:nsid w:val="5CC125A1"/>
    <w:multiLevelType w:val="singleLevel"/>
    <w:tmpl w:val="5CC125A1"/>
    <w:lvl w:ilvl="0" w:tentative="0">
      <w:start w:val="2"/>
      <w:numFmt w:val="decimal"/>
      <w:suff w:val="nothing"/>
      <w:lvlText w:val="%1、"/>
      <w:lvlJc w:val="left"/>
    </w:lvl>
  </w:abstractNum>
  <w:num w:numId="1">
    <w:abstractNumId w:val="3"/>
  </w:num>
  <w:num w:numId="2">
    <w:abstractNumId w:val="1"/>
  </w:num>
  <w:num w:numId="3">
    <w:abstractNumId w:val="7"/>
  </w:num>
  <w:num w:numId="4">
    <w:abstractNumId w:val="10"/>
  </w:num>
  <w:num w:numId="5">
    <w:abstractNumId w:val="4"/>
  </w:num>
  <w:num w:numId="6">
    <w:abstractNumId w:val="9"/>
  </w:num>
  <w:num w:numId="7">
    <w:abstractNumId w:val="2"/>
  </w:num>
  <w:num w:numId="8">
    <w:abstractNumId w:val="0"/>
  </w:num>
  <w:num w:numId="9">
    <w:abstractNumId w:val="5"/>
  </w:num>
  <w:num w:numId="10">
    <w:abstractNumId w:val="6"/>
  </w:num>
  <w:num w:numId="11">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HorizontalSpacing w:val="283"/>
  <w:drawingGridVerticalSpacing w:val="381"/>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733D3"/>
    <w:rsid w:val="000015E9"/>
    <w:rsid w:val="00010397"/>
    <w:rsid w:val="00020C6A"/>
    <w:rsid w:val="000A515B"/>
    <w:rsid w:val="000E4F88"/>
    <w:rsid w:val="00132234"/>
    <w:rsid w:val="00151BEC"/>
    <w:rsid w:val="00181635"/>
    <w:rsid w:val="001B76D9"/>
    <w:rsid w:val="00205C0B"/>
    <w:rsid w:val="002236FE"/>
    <w:rsid w:val="00242392"/>
    <w:rsid w:val="0029327C"/>
    <w:rsid w:val="002A4EF7"/>
    <w:rsid w:val="003044EA"/>
    <w:rsid w:val="00322F34"/>
    <w:rsid w:val="003733D3"/>
    <w:rsid w:val="003874C8"/>
    <w:rsid w:val="003F25D6"/>
    <w:rsid w:val="00402F2E"/>
    <w:rsid w:val="00412C07"/>
    <w:rsid w:val="00455500"/>
    <w:rsid w:val="00466D12"/>
    <w:rsid w:val="00486192"/>
    <w:rsid w:val="004960FA"/>
    <w:rsid w:val="004C3BFB"/>
    <w:rsid w:val="004F6180"/>
    <w:rsid w:val="00517359"/>
    <w:rsid w:val="00525D2F"/>
    <w:rsid w:val="00550CCB"/>
    <w:rsid w:val="0056187B"/>
    <w:rsid w:val="006263F8"/>
    <w:rsid w:val="00660B7D"/>
    <w:rsid w:val="00683E29"/>
    <w:rsid w:val="006912C2"/>
    <w:rsid w:val="006A545F"/>
    <w:rsid w:val="006F0231"/>
    <w:rsid w:val="00700B19"/>
    <w:rsid w:val="0070116B"/>
    <w:rsid w:val="00716CA4"/>
    <w:rsid w:val="00742FC4"/>
    <w:rsid w:val="007C1E2C"/>
    <w:rsid w:val="007E0F77"/>
    <w:rsid w:val="008469EB"/>
    <w:rsid w:val="0089438C"/>
    <w:rsid w:val="008A411B"/>
    <w:rsid w:val="0090280D"/>
    <w:rsid w:val="00935384"/>
    <w:rsid w:val="00974C22"/>
    <w:rsid w:val="00A222C7"/>
    <w:rsid w:val="00A521A8"/>
    <w:rsid w:val="00A77A89"/>
    <w:rsid w:val="00A949A4"/>
    <w:rsid w:val="00AC3552"/>
    <w:rsid w:val="00AF796A"/>
    <w:rsid w:val="00B26471"/>
    <w:rsid w:val="00B30DBF"/>
    <w:rsid w:val="00B43435"/>
    <w:rsid w:val="00B4629C"/>
    <w:rsid w:val="00B47056"/>
    <w:rsid w:val="00B84020"/>
    <w:rsid w:val="00BB0BD9"/>
    <w:rsid w:val="00BB4AE8"/>
    <w:rsid w:val="00C72491"/>
    <w:rsid w:val="00C84FE9"/>
    <w:rsid w:val="00C933C5"/>
    <w:rsid w:val="00CA214F"/>
    <w:rsid w:val="00CB4D7C"/>
    <w:rsid w:val="00D972A1"/>
    <w:rsid w:val="00DB046C"/>
    <w:rsid w:val="00E05C22"/>
    <w:rsid w:val="00E473FE"/>
    <w:rsid w:val="00E77D53"/>
    <w:rsid w:val="00EF7226"/>
    <w:rsid w:val="00F32311"/>
    <w:rsid w:val="00F80235"/>
    <w:rsid w:val="00FC4E8F"/>
    <w:rsid w:val="00FF2DB6"/>
    <w:rsid w:val="013A4BF2"/>
    <w:rsid w:val="01711782"/>
    <w:rsid w:val="01A057F8"/>
    <w:rsid w:val="01C419A4"/>
    <w:rsid w:val="01C809BB"/>
    <w:rsid w:val="01CA6A18"/>
    <w:rsid w:val="01E718AA"/>
    <w:rsid w:val="01FD4EAF"/>
    <w:rsid w:val="024C0602"/>
    <w:rsid w:val="025001F7"/>
    <w:rsid w:val="02695A21"/>
    <w:rsid w:val="028A115D"/>
    <w:rsid w:val="02B21AC4"/>
    <w:rsid w:val="02ED0CB5"/>
    <w:rsid w:val="035C5B9F"/>
    <w:rsid w:val="03FC6CF1"/>
    <w:rsid w:val="03FD02CC"/>
    <w:rsid w:val="041038B6"/>
    <w:rsid w:val="043812DD"/>
    <w:rsid w:val="048C4823"/>
    <w:rsid w:val="05337D05"/>
    <w:rsid w:val="05CA7E9A"/>
    <w:rsid w:val="05CD786F"/>
    <w:rsid w:val="05FC3D67"/>
    <w:rsid w:val="05FD5AF6"/>
    <w:rsid w:val="061C0CEA"/>
    <w:rsid w:val="06257756"/>
    <w:rsid w:val="065A24C9"/>
    <w:rsid w:val="068336E6"/>
    <w:rsid w:val="06864D08"/>
    <w:rsid w:val="06910260"/>
    <w:rsid w:val="06A8726C"/>
    <w:rsid w:val="06C902A0"/>
    <w:rsid w:val="07174B9D"/>
    <w:rsid w:val="07281C48"/>
    <w:rsid w:val="0729578F"/>
    <w:rsid w:val="075C770B"/>
    <w:rsid w:val="077272F1"/>
    <w:rsid w:val="07836A90"/>
    <w:rsid w:val="07B21088"/>
    <w:rsid w:val="07DB19CB"/>
    <w:rsid w:val="07FF59C0"/>
    <w:rsid w:val="080301AD"/>
    <w:rsid w:val="081578FD"/>
    <w:rsid w:val="08164FCE"/>
    <w:rsid w:val="08667A48"/>
    <w:rsid w:val="08670478"/>
    <w:rsid w:val="08D025CA"/>
    <w:rsid w:val="08D248EC"/>
    <w:rsid w:val="08EE1822"/>
    <w:rsid w:val="095F1D8B"/>
    <w:rsid w:val="09813826"/>
    <w:rsid w:val="098B62C0"/>
    <w:rsid w:val="09EB63CD"/>
    <w:rsid w:val="0A0650BA"/>
    <w:rsid w:val="0A2059CE"/>
    <w:rsid w:val="0A604ADF"/>
    <w:rsid w:val="0A814CDC"/>
    <w:rsid w:val="0A882B2A"/>
    <w:rsid w:val="0AAA6B7F"/>
    <w:rsid w:val="0ABA1A31"/>
    <w:rsid w:val="0B174E9E"/>
    <w:rsid w:val="0B291BC7"/>
    <w:rsid w:val="0B3327E1"/>
    <w:rsid w:val="0B472ABD"/>
    <w:rsid w:val="0B6A13B7"/>
    <w:rsid w:val="0B7D04D2"/>
    <w:rsid w:val="0B8256FC"/>
    <w:rsid w:val="0BA613EC"/>
    <w:rsid w:val="0BB40C28"/>
    <w:rsid w:val="0C276BBF"/>
    <w:rsid w:val="0C494D00"/>
    <w:rsid w:val="0C5C520B"/>
    <w:rsid w:val="0C6B6FE6"/>
    <w:rsid w:val="0CB26664"/>
    <w:rsid w:val="0CCB31E3"/>
    <w:rsid w:val="0CEC51FC"/>
    <w:rsid w:val="0CEE2E17"/>
    <w:rsid w:val="0CF57C70"/>
    <w:rsid w:val="0D4E4874"/>
    <w:rsid w:val="0D5B4516"/>
    <w:rsid w:val="0D65321D"/>
    <w:rsid w:val="0D804EFF"/>
    <w:rsid w:val="0D9D684F"/>
    <w:rsid w:val="0DA86354"/>
    <w:rsid w:val="0DBF2DDC"/>
    <w:rsid w:val="0DD54FC8"/>
    <w:rsid w:val="0DE85340"/>
    <w:rsid w:val="0DFF5C46"/>
    <w:rsid w:val="0DFF7E47"/>
    <w:rsid w:val="0E0308FA"/>
    <w:rsid w:val="0E0A411F"/>
    <w:rsid w:val="0E1925FE"/>
    <w:rsid w:val="0E330515"/>
    <w:rsid w:val="0E5453D5"/>
    <w:rsid w:val="0EBC4B1E"/>
    <w:rsid w:val="0EBC4CF4"/>
    <w:rsid w:val="0ED823C5"/>
    <w:rsid w:val="0EFD40D7"/>
    <w:rsid w:val="0F6E2287"/>
    <w:rsid w:val="0FA7500E"/>
    <w:rsid w:val="0FC31A7A"/>
    <w:rsid w:val="0FCB7AE1"/>
    <w:rsid w:val="0FD72A11"/>
    <w:rsid w:val="10192B54"/>
    <w:rsid w:val="10272363"/>
    <w:rsid w:val="103E0E03"/>
    <w:rsid w:val="10702FBC"/>
    <w:rsid w:val="10971607"/>
    <w:rsid w:val="10D7425D"/>
    <w:rsid w:val="10DA6997"/>
    <w:rsid w:val="10EA604D"/>
    <w:rsid w:val="11015FEE"/>
    <w:rsid w:val="11240CA0"/>
    <w:rsid w:val="11273E2A"/>
    <w:rsid w:val="11440B90"/>
    <w:rsid w:val="11596D7F"/>
    <w:rsid w:val="115D1B8E"/>
    <w:rsid w:val="1171474D"/>
    <w:rsid w:val="11777D6B"/>
    <w:rsid w:val="11C71AC5"/>
    <w:rsid w:val="11FC402C"/>
    <w:rsid w:val="12271C9F"/>
    <w:rsid w:val="1244150F"/>
    <w:rsid w:val="1254769B"/>
    <w:rsid w:val="12575851"/>
    <w:rsid w:val="12706FEC"/>
    <w:rsid w:val="127308CA"/>
    <w:rsid w:val="128672B1"/>
    <w:rsid w:val="129F29BF"/>
    <w:rsid w:val="13052DFD"/>
    <w:rsid w:val="133C3AD2"/>
    <w:rsid w:val="13A15150"/>
    <w:rsid w:val="13AB5BE1"/>
    <w:rsid w:val="13B12DEB"/>
    <w:rsid w:val="13BF6033"/>
    <w:rsid w:val="13F82B49"/>
    <w:rsid w:val="140417EA"/>
    <w:rsid w:val="141D3040"/>
    <w:rsid w:val="142A46B8"/>
    <w:rsid w:val="14671120"/>
    <w:rsid w:val="147E4D14"/>
    <w:rsid w:val="14A53911"/>
    <w:rsid w:val="14AF1488"/>
    <w:rsid w:val="14EA1C6A"/>
    <w:rsid w:val="1503199D"/>
    <w:rsid w:val="15132D38"/>
    <w:rsid w:val="151E6764"/>
    <w:rsid w:val="1587766A"/>
    <w:rsid w:val="15984E09"/>
    <w:rsid w:val="15A90334"/>
    <w:rsid w:val="15A97945"/>
    <w:rsid w:val="15F2736F"/>
    <w:rsid w:val="161011F1"/>
    <w:rsid w:val="1613007A"/>
    <w:rsid w:val="161E6A30"/>
    <w:rsid w:val="16332BCD"/>
    <w:rsid w:val="163F613D"/>
    <w:rsid w:val="164D6A38"/>
    <w:rsid w:val="16722097"/>
    <w:rsid w:val="167F3E4C"/>
    <w:rsid w:val="169C0D4D"/>
    <w:rsid w:val="16C3613A"/>
    <w:rsid w:val="16C86D6E"/>
    <w:rsid w:val="16D9609B"/>
    <w:rsid w:val="173005FD"/>
    <w:rsid w:val="17331F2B"/>
    <w:rsid w:val="174A47E5"/>
    <w:rsid w:val="175D7C84"/>
    <w:rsid w:val="177846E9"/>
    <w:rsid w:val="17A13473"/>
    <w:rsid w:val="17B67E21"/>
    <w:rsid w:val="17BE54D4"/>
    <w:rsid w:val="17D11251"/>
    <w:rsid w:val="17E24C4E"/>
    <w:rsid w:val="184500D8"/>
    <w:rsid w:val="185A1DE5"/>
    <w:rsid w:val="18802524"/>
    <w:rsid w:val="1886643A"/>
    <w:rsid w:val="18904413"/>
    <w:rsid w:val="189640E9"/>
    <w:rsid w:val="189E10CA"/>
    <w:rsid w:val="18A311E5"/>
    <w:rsid w:val="18EE11EA"/>
    <w:rsid w:val="19511D9A"/>
    <w:rsid w:val="195B3F5D"/>
    <w:rsid w:val="19737C1A"/>
    <w:rsid w:val="197E445E"/>
    <w:rsid w:val="199B6731"/>
    <w:rsid w:val="19C60223"/>
    <w:rsid w:val="19F53273"/>
    <w:rsid w:val="1A7A2A64"/>
    <w:rsid w:val="1A823AEE"/>
    <w:rsid w:val="1AC55B36"/>
    <w:rsid w:val="1ACB4461"/>
    <w:rsid w:val="1B0309F6"/>
    <w:rsid w:val="1B163D41"/>
    <w:rsid w:val="1B1B4F00"/>
    <w:rsid w:val="1B2E16CE"/>
    <w:rsid w:val="1B7D5C90"/>
    <w:rsid w:val="1BB97E1C"/>
    <w:rsid w:val="1BBA6F4E"/>
    <w:rsid w:val="1BCE1A87"/>
    <w:rsid w:val="1C214B3B"/>
    <w:rsid w:val="1C512559"/>
    <w:rsid w:val="1C535DC2"/>
    <w:rsid w:val="1C5B2BF6"/>
    <w:rsid w:val="1C5C090B"/>
    <w:rsid w:val="1C6A2B24"/>
    <w:rsid w:val="1C751D12"/>
    <w:rsid w:val="1CA42A42"/>
    <w:rsid w:val="1CDC56F7"/>
    <w:rsid w:val="1CDE5C59"/>
    <w:rsid w:val="1D0331CD"/>
    <w:rsid w:val="1D1B1455"/>
    <w:rsid w:val="1D4A3D6D"/>
    <w:rsid w:val="1D4C7BAF"/>
    <w:rsid w:val="1D7C07C1"/>
    <w:rsid w:val="1E652915"/>
    <w:rsid w:val="1E6E1BBD"/>
    <w:rsid w:val="1E844DD9"/>
    <w:rsid w:val="1F9143BE"/>
    <w:rsid w:val="1FE93A82"/>
    <w:rsid w:val="1FF82720"/>
    <w:rsid w:val="20001820"/>
    <w:rsid w:val="201F53FE"/>
    <w:rsid w:val="20276DFD"/>
    <w:rsid w:val="20592CBC"/>
    <w:rsid w:val="20962CB9"/>
    <w:rsid w:val="20C2664F"/>
    <w:rsid w:val="20D17540"/>
    <w:rsid w:val="210C17F7"/>
    <w:rsid w:val="212B3D81"/>
    <w:rsid w:val="212C6804"/>
    <w:rsid w:val="212F3408"/>
    <w:rsid w:val="215F515E"/>
    <w:rsid w:val="216B2168"/>
    <w:rsid w:val="21AD50A9"/>
    <w:rsid w:val="21CC1F50"/>
    <w:rsid w:val="220A443A"/>
    <w:rsid w:val="223A733C"/>
    <w:rsid w:val="22582DB7"/>
    <w:rsid w:val="22D0581D"/>
    <w:rsid w:val="22F85BEB"/>
    <w:rsid w:val="230C31C5"/>
    <w:rsid w:val="234E225A"/>
    <w:rsid w:val="23881A78"/>
    <w:rsid w:val="23923E6F"/>
    <w:rsid w:val="23E15550"/>
    <w:rsid w:val="23F55DD4"/>
    <w:rsid w:val="249847D2"/>
    <w:rsid w:val="24C77FBE"/>
    <w:rsid w:val="250D4CCA"/>
    <w:rsid w:val="250E399E"/>
    <w:rsid w:val="2515686B"/>
    <w:rsid w:val="2516352F"/>
    <w:rsid w:val="25875216"/>
    <w:rsid w:val="25AC0DC0"/>
    <w:rsid w:val="25B81194"/>
    <w:rsid w:val="25F543B3"/>
    <w:rsid w:val="260310C2"/>
    <w:rsid w:val="260513DD"/>
    <w:rsid w:val="26091B0E"/>
    <w:rsid w:val="26685B33"/>
    <w:rsid w:val="26A620B8"/>
    <w:rsid w:val="26BD529F"/>
    <w:rsid w:val="26C6369E"/>
    <w:rsid w:val="26E42E9B"/>
    <w:rsid w:val="272B78E2"/>
    <w:rsid w:val="27954D29"/>
    <w:rsid w:val="27BD0126"/>
    <w:rsid w:val="27C63036"/>
    <w:rsid w:val="281102E0"/>
    <w:rsid w:val="281A5D26"/>
    <w:rsid w:val="283B4F06"/>
    <w:rsid w:val="286D2553"/>
    <w:rsid w:val="286D4AD2"/>
    <w:rsid w:val="28B41F7A"/>
    <w:rsid w:val="28BD4EF4"/>
    <w:rsid w:val="28D87C69"/>
    <w:rsid w:val="28F052B4"/>
    <w:rsid w:val="29166DC5"/>
    <w:rsid w:val="29330171"/>
    <w:rsid w:val="29335353"/>
    <w:rsid w:val="29441212"/>
    <w:rsid w:val="294D4342"/>
    <w:rsid w:val="295B63CE"/>
    <w:rsid w:val="2986329B"/>
    <w:rsid w:val="298D1DEF"/>
    <w:rsid w:val="29983CCA"/>
    <w:rsid w:val="299D3CC2"/>
    <w:rsid w:val="29B644DD"/>
    <w:rsid w:val="29BE146F"/>
    <w:rsid w:val="29E41C4D"/>
    <w:rsid w:val="29E86FDB"/>
    <w:rsid w:val="2A155334"/>
    <w:rsid w:val="2A4C5AC5"/>
    <w:rsid w:val="2A7C06E4"/>
    <w:rsid w:val="2AD044D2"/>
    <w:rsid w:val="2AFD5C0F"/>
    <w:rsid w:val="2B152E78"/>
    <w:rsid w:val="2B357C84"/>
    <w:rsid w:val="2BB279CA"/>
    <w:rsid w:val="2BBE094C"/>
    <w:rsid w:val="2BE960A7"/>
    <w:rsid w:val="2BEF0E61"/>
    <w:rsid w:val="2C2460A5"/>
    <w:rsid w:val="2C254256"/>
    <w:rsid w:val="2C794ED2"/>
    <w:rsid w:val="2CD9000B"/>
    <w:rsid w:val="2CD90624"/>
    <w:rsid w:val="2D1F7D40"/>
    <w:rsid w:val="2D4B2D47"/>
    <w:rsid w:val="2D4D5B40"/>
    <w:rsid w:val="2D4F6326"/>
    <w:rsid w:val="2D984220"/>
    <w:rsid w:val="2DB13959"/>
    <w:rsid w:val="2DB969AC"/>
    <w:rsid w:val="2DD423A0"/>
    <w:rsid w:val="2E243043"/>
    <w:rsid w:val="2E400088"/>
    <w:rsid w:val="2EB8349A"/>
    <w:rsid w:val="2EBF2C6C"/>
    <w:rsid w:val="2ED736A6"/>
    <w:rsid w:val="2EDF54E3"/>
    <w:rsid w:val="2F0A4BAE"/>
    <w:rsid w:val="2F1572B8"/>
    <w:rsid w:val="2F2A5C08"/>
    <w:rsid w:val="2F387A25"/>
    <w:rsid w:val="2F5E064D"/>
    <w:rsid w:val="2F64717C"/>
    <w:rsid w:val="2F6D3820"/>
    <w:rsid w:val="2F701ED2"/>
    <w:rsid w:val="2F7615E1"/>
    <w:rsid w:val="2F875579"/>
    <w:rsid w:val="2FD433B5"/>
    <w:rsid w:val="2FD45805"/>
    <w:rsid w:val="2FE94B2C"/>
    <w:rsid w:val="30044FB7"/>
    <w:rsid w:val="300E1390"/>
    <w:rsid w:val="3026787D"/>
    <w:rsid w:val="307F0A3C"/>
    <w:rsid w:val="308B28D4"/>
    <w:rsid w:val="30A30275"/>
    <w:rsid w:val="30C93A0B"/>
    <w:rsid w:val="30D47F92"/>
    <w:rsid w:val="30D624BF"/>
    <w:rsid w:val="30DD53AC"/>
    <w:rsid w:val="3195481E"/>
    <w:rsid w:val="31B9717D"/>
    <w:rsid w:val="31C4687B"/>
    <w:rsid w:val="31C807B9"/>
    <w:rsid w:val="31DF3964"/>
    <w:rsid w:val="32194D38"/>
    <w:rsid w:val="32292DA1"/>
    <w:rsid w:val="32534D86"/>
    <w:rsid w:val="32F736C5"/>
    <w:rsid w:val="32FF10AD"/>
    <w:rsid w:val="331C0C69"/>
    <w:rsid w:val="331E1E4A"/>
    <w:rsid w:val="33203BAA"/>
    <w:rsid w:val="332E011C"/>
    <w:rsid w:val="3346695F"/>
    <w:rsid w:val="33673827"/>
    <w:rsid w:val="337D7C03"/>
    <w:rsid w:val="33F7573B"/>
    <w:rsid w:val="34150310"/>
    <w:rsid w:val="341A591D"/>
    <w:rsid w:val="342055CF"/>
    <w:rsid w:val="34307457"/>
    <w:rsid w:val="3432222D"/>
    <w:rsid w:val="345C7A22"/>
    <w:rsid w:val="349E285C"/>
    <w:rsid w:val="34A82DEB"/>
    <w:rsid w:val="34AC1ECE"/>
    <w:rsid w:val="34D13509"/>
    <w:rsid w:val="34EF202C"/>
    <w:rsid w:val="34F44C90"/>
    <w:rsid w:val="352A6255"/>
    <w:rsid w:val="353A6118"/>
    <w:rsid w:val="35A60A42"/>
    <w:rsid w:val="35D6618E"/>
    <w:rsid w:val="3614318A"/>
    <w:rsid w:val="365A4D9F"/>
    <w:rsid w:val="36D604AD"/>
    <w:rsid w:val="36EA118E"/>
    <w:rsid w:val="36EB6D88"/>
    <w:rsid w:val="36F07299"/>
    <w:rsid w:val="3704535B"/>
    <w:rsid w:val="37310D32"/>
    <w:rsid w:val="373F0F59"/>
    <w:rsid w:val="37494AF1"/>
    <w:rsid w:val="376D4183"/>
    <w:rsid w:val="377F5C0B"/>
    <w:rsid w:val="3782403C"/>
    <w:rsid w:val="37B53F93"/>
    <w:rsid w:val="37DF6208"/>
    <w:rsid w:val="380C785E"/>
    <w:rsid w:val="381410BD"/>
    <w:rsid w:val="383D57C8"/>
    <w:rsid w:val="38637125"/>
    <w:rsid w:val="3892123A"/>
    <w:rsid w:val="395450B0"/>
    <w:rsid w:val="3979516F"/>
    <w:rsid w:val="39891DF6"/>
    <w:rsid w:val="39B21850"/>
    <w:rsid w:val="39E229C1"/>
    <w:rsid w:val="39EF6540"/>
    <w:rsid w:val="3A3263E4"/>
    <w:rsid w:val="3A79657C"/>
    <w:rsid w:val="3A823B4C"/>
    <w:rsid w:val="3A833763"/>
    <w:rsid w:val="3AAE5877"/>
    <w:rsid w:val="3AD1456B"/>
    <w:rsid w:val="3AFF512B"/>
    <w:rsid w:val="3B3E1BCF"/>
    <w:rsid w:val="3B415613"/>
    <w:rsid w:val="3B505D1C"/>
    <w:rsid w:val="3B675739"/>
    <w:rsid w:val="3B73130F"/>
    <w:rsid w:val="3BCE1D3B"/>
    <w:rsid w:val="3BF41B76"/>
    <w:rsid w:val="3C0843CD"/>
    <w:rsid w:val="3C1E03FE"/>
    <w:rsid w:val="3C467AD2"/>
    <w:rsid w:val="3C9906FB"/>
    <w:rsid w:val="3C9F1331"/>
    <w:rsid w:val="3CEC5150"/>
    <w:rsid w:val="3D334A82"/>
    <w:rsid w:val="3D3C7ADF"/>
    <w:rsid w:val="3D3E26BB"/>
    <w:rsid w:val="3D475C1D"/>
    <w:rsid w:val="3D5F1B51"/>
    <w:rsid w:val="3D6812FF"/>
    <w:rsid w:val="3D990DB8"/>
    <w:rsid w:val="3D9A3E3F"/>
    <w:rsid w:val="3DA64568"/>
    <w:rsid w:val="3DBA6431"/>
    <w:rsid w:val="3DF04860"/>
    <w:rsid w:val="3DF82C60"/>
    <w:rsid w:val="3E015723"/>
    <w:rsid w:val="3E3C0DB0"/>
    <w:rsid w:val="3E6C3EE8"/>
    <w:rsid w:val="3E725372"/>
    <w:rsid w:val="3E8D4137"/>
    <w:rsid w:val="3E941FCC"/>
    <w:rsid w:val="3E95071B"/>
    <w:rsid w:val="3EF06B3F"/>
    <w:rsid w:val="3F035F67"/>
    <w:rsid w:val="3F073968"/>
    <w:rsid w:val="3F4B4D62"/>
    <w:rsid w:val="3F5F6ACA"/>
    <w:rsid w:val="3F7F2557"/>
    <w:rsid w:val="3FAB2A4E"/>
    <w:rsid w:val="3FB22C15"/>
    <w:rsid w:val="3FB94F73"/>
    <w:rsid w:val="3FCC5DE0"/>
    <w:rsid w:val="3FD52033"/>
    <w:rsid w:val="3FE62EDB"/>
    <w:rsid w:val="3FF06335"/>
    <w:rsid w:val="40082EB7"/>
    <w:rsid w:val="403265A7"/>
    <w:rsid w:val="404F4FF9"/>
    <w:rsid w:val="409067D3"/>
    <w:rsid w:val="40E77B27"/>
    <w:rsid w:val="40F11107"/>
    <w:rsid w:val="41642DB4"/>
    <w:rsid w:val="41724DC9"/>
    <w:rsid w:val="41C826FB"/>
    <w:rsid w:val="41CC62BD"/>
    <w:rsid w:val="41D403DB"/>
    <w:rsid w:val="41F12AD4"/>
    <w:rsid w:val="42787319"/>
    <w:rsid w:val="42A104CF"/>
    <w:rsid w:val="42B17586"/>
    <w:rsid w:val="42DE4919"/>
    <w:rsid w:val="42DF18C8"/>
    <w:rsid w:val="42EB50BF"/>
    <w:rsid w:val="43161A86"/>
    <w:rsid w:val="432A2FBF"/>
    <w:rsid w:val="434A713C"/>
    <w:rsid w:val="43645DC1"/>
    <w:rsid w:val="43810970"/>
    <w:rsid w:val="43AE1D0A"/>
    <w:rsid w:val="43DB6805"/>
    <w:rsid w:val="44111604"/>
    <w:rsid w:val="441E067A"/>
    <w:rsid w:val="442B32FB"/>
    <w:rsid w:val="44A46CB6"/>
    <w:rsid w:val="44B33A29"/>
    <w:rsid w:val="44D73A7D"/>
    <w:rsid w:val="44DE06DD"/>
    <w:rsid w:val="451E4130"/>
    <w:rsid w:val="45204392"/>
    <w:rsid w:val="45276D82"/>
    <w:rsid w:val="452D5C18"/>
    <w:rsid w:val="453D1FF5"/>
    <w:rsid w:val="453D29A2"/>
    <w:rsid w:val="453D5329"/>
    <w:rsid w:val="4541738F"/>
    <w:rsid w:val="459939D1"/>
    <w:rsid w:val="45CB1245"/>
    <w:rsid w:val="461509F9"/>
    <w:rsid w:val="463D6767"/>
    <w:rsid w:val="464072C9"/>
    <w:rsid w:val="465C63C2"/>
    <w:rsid w:val="465F4AC3"/>
    <w:rsid w:val="46686956"/>
    <w:rsid w:val="46D12ADD"/>
    <w:rsid w:val="46D4642D"/>
    <w:rsid w:val="46D83708"/>
    <w:rsid w:val="473B563D"/>
    <w:rsid w:val="47686719"/>
    <w:rsid w:val="47773FF6"/>
    <w:rsid w:val="477A0A48"/>
    <w:rsid w:val="477A74BD"/>
    <w:rsid w:val="479D04A0"/>
    <w:rsid w:val="47B5084F"/>
    <w:rsid w:val="47D73B7A"/>
    <w:rsid w:val="47E14AAB"/>
    <w:rsid w:val="47EF724B"/>
    <w:rsid w:val="4822605B"/>
    <w:rsid w:val="48233C25"/>
    <w:rsid w:val="482665A4"/>
    <w:rsid w:val="4838545B"/>
    <w:rsid w:val="48413B48"/>
    <w:rsid w:val="48420215"/>
    <w:rsid w:val="48476F13"/>
    <w:rsid w:val="4858763B"/>
    <w:rsid w:val="48B82645"/>
    <w:rsid w:val="48DF13F8"/>
    <w:rsid w:val="48F348B7"/>
    <w:rsid w:val="490153E1"/>
    <w:rsid w:val="49522A05"/>
    <w:rsid w:val="49980EDD"/>
    <w:rsid w:val="49A11195"/>
    <w:rsid w:val="49A31507"/>
    <w:rsid w:val="49B06A7B"/>
    <w:rsid w:val="49B25D27"/>
    <w:rsid w:val="4A3A478F"/>
    <w:rsid w:val="4A551470"/>
    <w:rsid w:val="4A5902F9"/>
    <w:rsid w:val="4A8C448D"/>
    <w:rsid w:val="4A977403"/>
    <w:rsid w:val="4AAE3FCC"/>
    <w:rsid w:val="4AAF5AC2"/>
    <w:rsid w:val="4ADF2B28"/>
    <w:rsid w:val="4AFA65F4"/>
    <w:rsid w:val="4B686CCB"/>
    <w:rsid w:val="4B7031B5"/>
    <w:rsid w:val="4BBB6F0C"/>
    <w:rsid w:val="4BBD50B4"/>
    <w:rsid w:val="4BCE7FEF"/>
    <w:rsid w:val="4BD863F1"/>
    <w:rsid w:val="4C0D3C8B"/>
    <w:rsid w:val="4C227762"/>
    <w:rsid w:val="4C2679BB"/>
    <w:rsid w:val="4C295184"/>
    <w:rsid w:val="4C2D7B4E"/>
    <w:rsid w:val="4CAC25C3"/>
    <w:rsid w:val="4CB23119"/>
    <w:rsid w:val="4D01262F"/>
    <w:rsid w:val="4D112354"/>
    <w:rsid w:val="4D1825E1"/>
    <w:rsid w:val="4D4C55C4"/>
    <w:rsid w:val="4D980E7B"/>
    <w:rsid w:val="4DCB6E45"/>
    <w:rsid w:val="4DD242A4"/>
    <w:rsid w:val="4DD619D5"/>
    <w:rsid w:val="4DFE632A"/>
    <w:rsid w:val="4E6D2AF2"/>
    <w:rsid w:val="4E7E2558"/>
    <w:rsid w:val="4E8537F5"/>
    <w:rsid w:val="4E98403C"/>
    <w:rsid w:val="4EB24A85"/>
    <w:rsid w:val="4EB61A10"/>
    <w:rsid w:val="4EC50822"/>
    <w:rsid w:val="4F341C79"/>
    <w:rsid w:val="4F3E7127"/>
    <w:rsid w:val="4F415546"/>
    <w:rsid w:val="4F4933EE"/>
    <w:rsid w:val="4F893BB7"/>
    <w:rsid w:val="4F930BBF"/>
    <w:rsid w:val="4FA61A4E"/>
    <w:rsid w:val="4FB63FD3"/>
    <w:rsid w:val="4FB83762"/>
    <w:rsid w:val="4FBA13DB"/>
    <w:rsid w:val="4FBB08DB"/>
    <w:rsid w:val="4FE46514"/>
    <w:rsid w:val="4FEF0785"/>
    <w:rsid w:val="501A48CC"/>
    <w:rsid w:val="502637CF"/>
    <w:rsid w:val="505F1778"/>
    <w:rsid w:val="5062789C"/>
    <w:rsid w:val="5069797A"/>
    <w:rsid w:val="506E65BA"/>
    <w:rsid w:val="50766BFF"/>
    <w:rsid w:val="509D1641"/>
    <w:rsid w:val="50C04386"/>
    <w:rsid w:val="50CB3BF0"/>
    <w:rsid w:val="50FF4027"/>
    <w:rsid w:val="512C4F38"/>
    <w:rsid w:val="513E1F04"/>
    <w:rsid w:val="517F71A5"/>
    <w:rsid w:val="51BB36B4"/>
    <w:rsid w:val="51C141D2"/>
    <w:rsid w:val="51C145D5"/>
    <w:rsid w:val="51EF7CAA"/>
    <w:rsid w:val="51FA34DF"/>
    <w:rsid w:val="51FB2322"/>
    <w:rsid w:val="520D477C"/>
    <w:rsid w:val="52131A3E"/>
    <w:rsid w:val="521A7529"/>
    <w:rsid w:val="524C06BE"/>
    <w:rsid w:val="524E3EDA"/>
    <w:rsid w:val="524F384E"/>
    <w:rsid w:val="528F02B9"/>
    <w:rsid w:val="52A65A45"/>
    <w:rsid w:val="52B82B66"/>
    <w:rsid w:val="52EA2759"/>
    <w:rsid w:val="52F67E97"/>
    <w:rsid w:val="53000F98"/>
    <w:rsid w:val="53152C11"/>
    <w:rsid w:val="53BA11DE"/>
    <w:rsid w:val="53C3122A"/>
    <w:rsid w:val="53DE417E"/>
    <w:rsid w:val="544248FE"/>
    <w:rsid w:val="544438F5"/>
    <w:rsid w:val="54574E3A"/>
    <w:rsid w:val="547D620B"/>
    <w:rsid w:val="549D5D50"/>
    <w:rsid w:val="54B45EFE"/>
    <w:rsid w:val="54BA3ED0"/>
    <w:rsid w:val="54D01DC4"/>
    <w:rsid w:val="54D63194"/>
    <w:rsid w:val="54EB23C5"/>
    <w:rsid w:val="5503356C"/>
    <w:rsid w:val="55305A00"/>
    <w:rsid w:val="55346726"/>
    <w:rsid w:val="55531FC1"/>
    <w:rsid w:val="55A63C51"/>
    <w:rsid w:val="55B420F3"/>
    <w:rsid w:val="55DB654D"/>
    <w:rsid w:val="55ED65C8"/>
    <w:rsid w:val="55F517D4"/>
    <w:rsid w:val="56275399"/>
    <w:rsid w:val="56311114"/>
    <w:rsid w:val="56492110"/>
    <w:rsid w:val="56740E4C"/>
    <w:rsid w:val="56AC1796"/>
    <w:rsid w:val="56B62977"/>
    <w:rsid w:val="56BA001B"/>
    <w:rsid w:val="56E212BA"/>
    <w:rsid w:val="56F20A7A"/>
    <w:rsid w:val="56FD54A4"/>
    <w:rsid w:val="570662F8"/>
    <w:rsid w:val="570F258C"/>
    <w:rsid w:val="57285EED"/>
    <w:rsid w:val="573C7004"/>
    <w:rsid w:val="573D677C"/>
    <w:rsid w:val="579D3504"/>
    <w:rsid w:val="57E624C7"/>
    <w:rsid w:val="57EA57FD"/>
    <w:rsid w:val="57FA52FE"/>
    <w:rsid w:val="581C1BD5"/>
    <w:rsid w:val="582C7B70"/>
    <w:rsid w:val="5856745C"/>
    <w:rsid w:val="58715E3B"/>
    <w:rsid w:val="587C44DF"/>
    <w:rsid w:val="587D7A88"/>
    <w:rsid w:val="58865111"/>
    <w:rsid w:val="588E6BAC"/>
    <w:rsid w:val="58AA0D73"/>
    <w:rsid w:val="58B50DEB"/>
    <w:rsid w:val="58C043D5"/>
    <w:rsid w:val="58D371B8"/>
    <w:rsid w:val="58DC6B0B"/>
    <w:rsid w:val="590506EA"/>
    <w:rsid w:val="591A7813"/>
    <w:rsid w:val="592C0441"/>
    <w:rsid w:val="593307CE"/>
    <w:rsid w:val="595A1462"/>
    <w:rsid w:val="595B3C9E"/>
    <w:rsid w:val="595B528C"/>
    <w:rsid w:val="59952DA6"/>
    <w:rsid w:val="59C7467A"/>
    <w:rsid w:val="5A117946"/>
    <w:rsid w:val="5A5E795E"/>
    <w:rsid w:val="5AAF2195"/>
    <w:rsid w:val="5AB232D9"/>
    <w:rsid w:val="5AC0510A"/>
    <w:rsid w:val="5AC2230F"/>
    <w:rsid w:val="5ACD17A3"/>
    <w:rsid w:val="5AD0652E"/>
    <w:rsid w:val="5AD65011"/>
    <w:rsid w:val="5AF2692D"/>
    <w:rsid w:val="5B013582"/>
    <w:rsid w:val="5B3B38CF"/>
    <w:rsid w:val="5B4E18A9"/>
    <w:rsid w:val="5B792C96"/>
    <w:rsid w:val="5B877229"/>
    <w:rsid w:val="5B880FF3"/>
    <w:rsid w:val="5B8B264A"/>
    <w:rsid w:val="5BE97C3F"/>
    <w:rsid w:val="5BED018D"/>
    <w:rsid w:val="5C2A1BB8"/>
    <w:rsid w:val="5C2C1267"/>
    <w:rsid w:val="5C3F0628"/>
    <w:rsid w:val="5C4F3347"/>
    <w:rsid w:val="5C6F3EAC"/>
    <w:rsid w:val="5C840ED6"/>
    <w:rsid w:val="5D191015"/>
    <w:rsid w:val="5D3C5BE7"/>
    <w:rsid w:val="5D4B55DA"/>
    <w:rsid w:val="5D70601B"/>
    <w:rsid w:val="5D7B3933"/>
    <w:rsid w:val="5D931C3C"/>
    <w:rsid w:val="5DAC264E"/>
    <w:rsid w:val="5DC76B75"/>
    <w:rsid w:val="5DCF066C"/>
    <w:rsid w:val="5DE551C1"/>
    <w:rsid w:val="5E147497"/>
    <w:rsid w:val="5E24446B"/>
    <w:rsid w:val="5E3029A5"/>
    <w:rsid w:val="5E9C19B3"/>
    <w:rsid w:val="5E9D3AE3"/>
    <w:rsid w:val="5ECA68E9"/>
    <w:rsid w:val="5F031CF5"/>
    <w:rsid w:val="5F476F1D"/>
    <w:rsid w:val="5F4A5335"/>
    <w:rsid w:val="5F8C263F"/>
    <w:rsid w:val="5FD04064"/>
    <w:rsid w:val="603C1A98"/>
    <w:rsid w:val="605F2DA7"/>
    <w:rsid w:val="60603BA3"/>
    <w:rsid w:val="608218BA"/>
    <w:rsid w:val="60D8053F"/>
    <w:rsid w:val="60F47B8C"/>
    <w:rsid w:val="60F524FF"/>
    <w:rsid w:val="611952C9"/>
    <w:rsid w:val="61EA66B8"/>
    <w:rsid w:val="61EC14C8"/>
    <w:rsid w:val="621B11C6"/>
    <w:rsid w:val="625D2260"/>
    <w:rsid w:val="62755B30"/>
    <w:rsid w:val="627D4A9C"/>
    <w:rsid w:val="62B75892"/>
    <w:rsid w:val="62CE073E"/>
    <w:rsid w:val="62DB38F4"/>
    <w:rsid w:val="630C7E02"/>
    <w:rsid w:val="631967AA"/>
    <w:rsid w:val="63355C69"/>
    <w:rsid w:val="635650A3"/>
    <w:rsid w:val="6378356B"/>
    <w:rsid w:val="639E143D"/>
    <w:rsid w:val="63EB73FF"/>
    <w:rsid w:val="64067038"/>
    <w:rsid w:val="64103798"/>
    <w:rsid w:val="64120A14"/>
    <w:rsid w:val="64275E55"/>
    <w:rsid w:val="6483152A"/>
    <w:rsid w:val="64907EC8"/>
    <w:rsid w:val="64C640D7"/>
    <w:rsid w:val="64D2572D"/>
    <w:rsid w:val="64DD1299"/>
    <w:rsid w:val="650A2CFB"/>
    <w:rsid w:val="651A0BBF"/>
    <w:rsid w:val="653E2BF7"/>
    <w:rsid w:val="655367D4"/>
    <w:rsid w:val="65657E70"/>
    <w:rsid w:val="65700A0C"/>
    <w:rsid w:val="658125A9"/>
    <w:rsid w:val="65933954"/>
    <w:rsid w:val="659E4D34"/>
    <w:rsid w:val="66054FBB"/>
    <w:rsid w:val="66561B7B"/>
    <w:rsid w:val="668C0CCE"/>
    <w:rsid w:val="66921B4C"/>
    <w:rsid w:val="66AE5311"/>
    <w:rsid w:val="66B006C2"/>
    <w:rsid w:val="66C855AF"/>
    <w:rsid w:val="670511DB"/>
    <w:rsid w:val="6722313F"/>
    <w:rsid w:val="6768590E"/>
    <w:rsid w:val="677D1C92"/>
    <w:rsid w:val="67A706DD"/>
    <w:rsid w:val="67B96FA3"/>
    <w:rsid w:val="67D503C6"/>
    <w:rsid w:val="68004798"/>
    <w:rsid w:val="68075936"/>
    <w:rsid w:val="680E46A0"/>
    <w:rsid w:val="68171AA4"/>
    <w:rsid w:val="683E5489"/>
    <w:rsid w:val="68684A6E"/>
    <w:rsid w:val="68726BB9"/>
    <w:rsid w:val="68935ACB"/>
    <w:rsid w:val="68AE40EE"/>
    <w:rsid w:val="68CB114A"/>
    <w:rsid w:val="68CF008F"/>
    <w:rsid w:val="68E7119E"/>
    <w:rsid w:val="68F535D2"/>
    <w:rsid w:val="692B187E"/>
    <w:rsid w:val="6945757E"/>
    <w:rsid w:val="69532C84"/>
    <w:rsid w:val="69676797"/>
    <w:rsid w:val="69CA3466"/>
    <w:rsid w:val="69D55ED0"/>
    <w:rsid w:val="6A174007"/>
    <w:rsid w:val="6A286534"/>
    <w:rsid w:val="6A366E64"/>
    <w:rsid w:val="6A435026"/>
    <w:rsid w:val="6A43513D"/>
    <w:rsid w:val="6A5D57D0"/>
    <w:rsid w:val="6A6C1EC0"/>
    <w:rsid w:val="6AA36D2D"/>
    <w:rsid w:val="6AC675E7"/>
    <w:rsid w:val="6AC8265E"/>
    <w:rsid w:val="6AE13E7C"/>
    <w:rsid w:val="6AF57A02"/>
    <w:rsid w:val="6B092904"/>
    <w:rsid w:val="6B145E12"/>
    <w:rsid w:val="6B1731A8"/>
    <w:rsid w:val="6B1C292A"/>
    <w:rsid w:val="6B235386"/>
    <w:rsid w:val="6B355626"/>
    <w:rsid w:val="6B4E2B43"/>
    <w:rsid w:val="6B666008"/>
    <w:rsid w:val="6B6A57BF"/>
    <w:rsid w:val="6B8822CD"/>
    <w:rsid w:val="6BAA126B"/>
    <w:rsid w:val="6BD720A6"/>
    <w:rsid w:val="6C1C67BD"/>
    <w:rsid w:val="6C1E30E2"/>
    <w:rsid w:val="6C331761"/>
    <w:rsid w:val="6C4056B5"/>
    <w:rsid w:val="6C567F48"/>
    <w:rsid w:val="6C6145F3"/>
    <w:rsid w:val="6CAB5E61"/>
    <w:rsid w:val="6CBA405B"/>
    <w:rsid w:val="6D064AA8"/>
    <w:rsid w:val="6D070D51"/>
    <w:rsid w:val="6D3B76CD"/>
    <w:rsid w:val="6DC24E6E"/>
    <w:rsid w:val="6DCC4F2A"/>
    <w:rsid w:val="6DDA10C7"/>
    <w:rsid w:val="6DE2420A"/>
    <w:rsid w:val="6E0930D6"/>
    <w:rsid w:val="6E1F69B4"/>
    <w:rsid w:val="6E4B28EF"/>
    <w:rsid w:val="6E5D65B9"/>
    <w:rsid w:val="6E6725F1"/>
    <w:rsid w:val="6E6F2E2C"/>
    <w:rsid w:val="6E7E342F"/>
    <w:rsid w:val="6E9203ED"/>
    <w:rsid w:val="6F031862"/>
    <w:rsid w:val="6F1C6B59"/>
    <w:rsid w:val="6F590636"/>
    <w:rsid w:val="6F804E32"/>
    <w:rsid w:val="6F813F24"/>
    <w:rsid w:val="6F97468E"/>
    <w:rsid w:val="6FBE4DA2"/>
    <w:rsid w:val="70202AF1"/>
    <w:rsid w:val="70876FCA"/>
    <w:rsid w:val="708B73C2"/>
    <w:rsid w:val="70A65107"/>
    <w:rsid w:val="70EB69B6"/>
    <w:rsid w:val="71067F3F"/>
    <w:rsid w:val="7110465D"/>
    <w:rsid w:val="716C17CB"/>
    <w:rsid w:val="71900EF2"/>
    <w:rsid w:val="71E32FCD"/>
    <w:rsid w:val="71F2516A"/>
    <w:rsid w:val="7223270E"/>
    <w:rsid w:val="726C2657"/>
    <w:rsid w:val="727A4FEC"/>
    <w:rsid w:val="72B134EA"/>
    <w:rsid w:val="72E6068B"/>
    <w:rsid w:val="72F23BB7"/>
    <w:rsid w:val="730C151F"/>
    <w:rsid w:val="73A20C10"/>
    <w:rsid w:val="73CF5090"/>
    <w:rsid w:val="73EF2706"/>
    <w:rsid w:val="74043FE8"/>
    <w:rsid w:val="74164D6E"/>
    <w:rsid w:val="7442173D"/>
    <w:rsid w:val="745615E4"/>
    <w:rsid w:val="74601AE6"/>
    <w:rsid w:val="74622BF2"/>
    <w:rsid w:val="7473067A"/>
    <w:rsid w:val="748B45F9"/>
    <w:rsid w:val="748F7E55"/>
    <w:rsid w:val="749A4372"/>
    <w:rsid w:val="74BB3C95"/>
    <w:rsid w:val="74CC6B9A"/>
    <w:rsid w:val="74F01658"/>
    <w:rsid w:val="74FE79FB"/>
    <w:rsid w:val="750402FB"/>
    <w:rsid w:val="75076C3F"/>
    <w:rsid w:val="7552626B"/>
    <w:rsid w:val="756A4CBA"/>
    <w:rsid w:val="756D14B7"/>
    <w:rsid w:val="75DE5534"/>
    <w:rsid w:val="75EF0F11"/>
    <w:rsid w:val="76284868"/>
    <w:rsid w:val="76570354"/>
    <w:rsid w:val="768F25AC"/>
    <w:rsid w:val="76905D7C"/>
    <w:rsid w:val="769168A2"/>
    <w:rsid w:val="76952CC0"/>
    <w:rsid w:val="76985C08"/>
    <w:rsid w:val="76BC5E50"/>
    <w:rsid w:val="76E01E86"/>
    <w:rsid w:val="773360E4"/>
    <w:rsid w:val="774844C1"/>
    <w:rsid w:val="774A3B80"/>
    <w:rsid w:val="775921F3"/>
    <w:rsid w:val="775C54DD"/>
    <w:rsid w:val="77726C94"/>
    <w:rsid w:val="77B463F3"/>
    <w:rsid w:val="77D549BF"/>
    <w:rsid w:val="78664C00"/>
    <w:rsid w:val="78A433A1"/>
    <w:rsid w:val="78BE2403"/>
    <w:rsid w:val="78C04A64"/>
    <w:rsid w:val="78DD2921"/>
    <w:rsid w:val="78E42201"/>
    <w:rsid w:val="794020D6"/>
    <w:rsid w:val="79420570"/>
    <w:rsid w:val="79454423"/>
    <w:rsid w:val="79460D37"/>
    <w:rsid w:val="797C01BA"/>
    <w:rsid w:val="79AA3EF0"/>
    <w:rsid w:val="79B9146D"/>
    <w:rsid w:val="79F23361"/>
    <w:rsid w:val="7A10264B"/>
    <w:rsid w:val="7A3C0EF3"/>
    <w:rsid w:val="7A441054"/>
    <w:rsid w:val="7A763400"/>
    <w:rsid w:val="7ABE7D76"/>
    <w:rsid w:val="7B0D0F42"/>
    <w:rsid w:val="7B1D1864"/>
    <w:rsid w:val="7B4473F4"/>
    <w:rsid w:val="7B4E3C75"/>
    <w:rsid w:val="7B6041DA"/>
    <w:rsid w:val="7B993429"/>
    <w:rsid w:val="7BA120A9"/>
    <w:rsid w:val="7BB773E3"/>
    <w:rsid w:val="7C7C0EB6"/>
    <w:rsid w:val="7C7C6A44"/>
    <w:rsid w:val="7C9328CE"/>
    <w:rsid w:val="7CB71316"/>
    <w:rsid w:val="7CCA10C8"/>
    <w:rsid w:val="7CD87F67"/>
    <w:rsid w:val="7D013C14"/>
    <w:rsid w:val="7D1B5EE0"/>
    <w:rsid w:val="7D4367ED"/>
    <w:rsid w:val="7D6A2F00"/>
    <w:rsid w:val="7DB86B88"/>
    <w:rsid w:val="7DF86B73"/>
    <w:rsid w:val="7E312174"/>
    <w:rsid w:val="7E3304BB"/>
    <w:rsid w:val="7E4C2D05"/>
    <w:rsid w:val="7E83799E"/>
    <w:rsid w:val="7EA30EA4"/>
    <w:rsid w:val="7EAC393A"/>
    <w:rsid w:val="7EB75FF5"/>
    <w:rsid w:val="7EC80343"/>
    <w:rsid w:val="7ED06673"/>
    <w:rsid w:val="7EF546CA"/>
    <w:rsid w:val="7F3B0911"/>
    <w:rsid w:val="7F474E7A"/>
    <w:rsid w:val="7F5E4746"/>
    <w:rsid w:val="7FA505DA"/>
    <w:rsid w:val="7FB4266B"/>
    <w:rsid w:val="7FD82FD3"/>
    <w:rsid w:val="7FE84E53"/>
    <w:rsid w:val="7FEA131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0" w:semiHidden="0" w:name="heading 4"/>
    <w:lsdException w:qFormat="1" w:uiPriority="0" w:semiHidden="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nhideWhenUsed="0" w:uiPriority="39" w:semiHidden="0" w:name="toc 1"/>
    <w:lsdException w:qFormat="1" w:uiPriority="39" w:semiHidden="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qFormat="1" w:unhideWhenUsed="0" w:uiPriority="99" w:semiHidden="0" w:name="Normal Indent"/>
    <w:lsdException w:uiPriority="0" w:name="footnote text"/>
    <w:lsdException w:qFormat="1" w:unhideWhenUsed="0" w:uiPriority="99" w:semiHidden="0" w:name="annotation text"/>
    <w:lsdException w:qFormat="1" w:unhideWhenUsed="0" w:uiPriority="0"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99" w:semiHidden="0" w:name="annotation reference"/>
    <w:lsdException w:uiPriority="0" w:name="line number"/>
    <w:lsdException w:qFormat="1" w:unhideWhenUsed="0" w:uiPriority="0" w:semiHidden="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semiHidden="0" w:name="Default Paragraph Font"/>
    <w:lsdException w:qFormat="1" w:unhideWhenUsed="0" w:uiPriority="99" w:semiHidden="0" w:name="Body Text"/>
    <w:lsdException w:qFormat="1" w:unhideWhenUsed="0" w:uiPriority="0" w:semiHidden="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qFormat="1" w:unhideWhenUsed="0" w:uiPriority="99" w:semiHidden="0" w:name="Date"/>
    <w:lsdException w:qFormat="1"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nhideWhenUsed="0" w:uiPriority="99" w:semiHidden="0" w:name="Hyperlink"/>
    <w:lsdException w:qFormat="1" w:unhideWhenUsed="0" w:uiPriority="99" w:semiHidden="0" w:name="FollowedHyperlink"/>
    <w:lsdException w:qFormat="1" w:unhideWhenUsed="0" w:uiPriority="22" w:semiHidden="0" w:name="Strong"/>
    <w:lsdException w:qFormat="1" w:unhideWhenUsed="0" w:uiPriority="20" w:semiHidden="0" w:name="Emphasis"/>
    <w:lsdException w:qFormat="1" w:unhideWhenUsed="0" w:uiPriority="99" w:semiHidden="0" w:name="Document Map"/>
    <w:lsdException w:qFormat="1" w:unhideWhenUsed="0" w:uiPriority="0" w:semiHidden="0" w:name="Plain Text"/>
    <w:lsdException w:uiPriority="0" w:name="E-mail Signature"/>
    <w:lsdException w:qFormat="1" w:unhideWhenUsed="0" w:uiPriority="99" w:semiHidden="0" w:name="Normal (Web)"/>
    <w:lsdException w:qFormat="1" w:unhideWhenUsed="0" w:uiPriority="99" w:semiHidden="0" w:name="HTML Acronym"/>
    <w:lsdException w:uiPriority="0" w:name="HTML Address"/>
    <w:lsdException w:qFormat="1" w:unhideWhenUsed="0" w:uiPriority="99" w:semiHidden="0" w:name="HTML Cite"/>
    <w:lsdException w:qFormat="1" w:unhideWhenUsed="0" w:uiPriority="99" w:semiHidden="0" w:name="HTML Code"/>
    <w:lsdException w:qFormat="1" w:unhideWhenUsed="0" w:uiPriority="99" w:semiHidden="0" w:name="HTML Definition"/>
    <w:lsdException w:qFormat="1" w:unhideWhenUsed="0" w:uiPriority="99" w:semiHidden="0" w:name="HTML Keyboard"/>
    <w:lsdException w:qFormat="1" w:unhideWhenUsed="0" w:uiPriority="0" w:semiHidden="0" w:name="HTML Preformatted"/>
    <w:lsdException w:qFormat="1" w:unhideWhenUsed="0" w:uiPriority="99" w:semiHidden="0" w:name="HTML Sample"/>
    <w:lsdException w:qFormat="1" w:unhideWhenUsed="0" w:uiPriority="99" w:semiHidden="0" w:name="HTML Typewriter"/>
    <w:lsdException w:qFormat="1" w:unhideWhenUsed="0" w:uiPriority="99" w:semiHidden="0" w:name="HTML Variable"/>
    <w:lsdException w:qFormat="1" w:uiPriority="99" w:semiHidden="0" w:name="Normal Table"/>
    <w:lsdException w:qFormat="1" w:unhideWhenUsed="0" w:uiPriority="99"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99"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spacing w:line="400" w:lineRule="exact"/>
      <w:jc w:val="both"/>
    </w:pPr>
    <w:rPr>
      <w:rFonts w:ascii="Calibri Light" w:hAnsi="Calibri Light" w:eastAsia="华文仿宋" w:cs="Calibri Light"/>
      <w:kern w:val="2"/>
      <w:sz w:val="28"/>
      <w:szCs w:val="28"/>
      <w:lang w:val="en-US" w:eastAsia="zh-CN" w:bidi="ar-SA"/>
    </w:rPr>
  </w:style>
  <w:style w:type="paragraph" w:styleId="3">
    <w:name w:val="heading 1"/>
    <w:basedOn w:val="1"/>
    <w:next w:val="1"/>
    <w:link w:val="60"/>
    <w:qFormat/>
    <w:uiPriority w:val="9"/>
    <w:pPr>
      <w:keepNext/>
      <w:keepLines/>
      <w:spacing w:line="240" w:lineRule="auto"/>
      <w:jc w:val="center"/>
      <w:outlineLvl w:val="0"/>
    </w:pPr>
    <w:rPr>
      <w:rFonts w:eastAsia="仿宋"/>
      <w:b/>
      <w:color w:val="000000"/>
      <w:kern w:val="44"/>
      <w:sz w:val="36"/>
      <w:szCs w:val="44"/>
    </w:rPr>
  </w:style>
  <w:style w:type="paragraph" w:styleId="4">
    <w:name w:val="heading 2"/>
    <w:basedOn w:val="1"/>
    <w:next w:val="1"/>
    <w:link w:val="74"/>
    <w:qFormat/>
    <w:uiPriority w:val="9"/>
    <w:pPr>
      <w:keepNext/>
      <w:keepLines/>
      <w:spacing w:line="240" w:lineRule="auto"/>
      <w:outlineLvl w:val="1"/>
    </w:pPr>
    <w:rPr>
      <w:rFonts w:ascii="Calibri" w:hAnsi="Calibri" w:cs="黑体"/>
      <w:b/>
      <w:bCs/>
      <w:sz w:val="32"/>
      <w:szCs w:val="32"/>
    </w:rPr>
  </w:style>
  <w:style w:type="paragraph" w:styleId="5">
    <w:name w:val="heading 3"/>
    <w:basedOn w:val="1"/>
    <w:next w:val="1"/>
    <w:link w:val="68"/>
    <w:qFormat/>
    <w:uiPriority w:val="9"/>
    <w:pPr>
      <w:keepNext/>
      <w:keepLines/>
      <w:spacing w:line="400" w:lineRule="atLeast"/>
      <w:jc w:val="center"/>
      <w:outlineLvl w:val="2"/>
    </w:pPr>
    <w:rPr>
      <w:b/>
      <w:bCs/>
      <w:sz w:val="32"/>
      <w:szCs w:val="32"/>
      <w:u w:val="double"/>
    </w:rPr>
  </w:style>
  <w:style w:type="paragraph" w:styleId="6">
    <w:name w:val="heading 4"/>
    <w:basedOn w:val="1"/>
    <w:next w:val="1"/>
    <w:qFormat/>
    <w:uiPriority w:val="0"/>
    <w:pPr>
      <w:keepNext/>
      <w:keepLines/>
      <w:spacing w:before="280" w:after="290" w:line="376" w:lineRule="auto"/>
      <w:outlineLvl w:val="3"/>
    </w:pPr>
    <w:rPr>
      <w:rFonts w:ascii="Arial" w:hAnsi="Arial" w:eastAsia="黑体"/>
      <w:b/>
      <w:bCs/>
    </w:rPr>
  </w:style>
  <w:style w:type="paragraph" w:styleId="7">
    <w:name w:val="heading 5"/>
    <w:basedOn w:val="1"/>
    <w:next w:val="1"/>
    <w:unhideWhenUsed/>
    <w:qFormat/>
    <w:uiPriority w:val="0"/>
    <w:pPr>
      <w:keepNext/>
      <w:keepLines/>
      <w:spacing w:before="280" w:beforeLines="0" w:beforeAutospacing="0" w:after="290" w:afterLines="0" w:afterAutospacing="0" w:line="372" w:lineRule="auto"/>
      <w:outlineLvl w:val="4"/>
    </w:pPr>
    <w:rPr>
      <w:b/>
      <w:sz w:val="28"/>
    </w:rPr>
  </w:style>
  <w:style w:type="character" w:default="1" w:styleId="25">
    <w:name w:val="Default Paragraph Font"/>
    <w:unhideWhenUsed/>
    <w:qFormat/>
    <w:uiPriority w:val="1"/>
  </w:style>
  <w:style w:type="table" w:default="1" w:styleId="23">
    <w:name w:val="Normal Table"/>
    <w:unhideWhenUsed/>
    <w:qFormat/>
    <w:uiPriority w:val="99"/>
    <w:tblPr>
      <w:tblCellMar>
        <w:top w:w="0" w:type="dxa"/>
        <w:left w:w="108" w:type="dxa"/>
        <w:bottom w:w="0" w:type="dxa"/>
        <w:right w:w="108" w:type="dxa"/>
      </w:tblCellMar>
    </w:tblPr>
  </w:style>
  <w:style w:type="paragraph" w:styleId="2">
    <w:name w:val="Normal Indent"/>
    <w:basedOn w:val="1"/>
    <w:qFormat/>
    <w:uiPriority w:val="99"/>
    <w:pPr>
      <w:ind w:firstLine="420"/>
    </w:pPr>
  </w:style>
  <w:style w:type="paragraph" w:styleId="8">
    <w:name w:val="Document Map"/>
    <w:basedOn w:val="1"/>
    <w:link w:val="67"/>
    <w:qFormat/>
    <w:uiPriority w:val="99"/>
    <w:rPr>
      <w:rFonts w:ascii="宋体" w:eastAsia="宋体"/>
      <w:sz w:val="18"/>
      <w:szCs w:val="18"/>
    </w:rPr>
  </w:style>
  <w:style w:type="paragraph" w:styleId="9">
    <w:name w:val="annotation text"/>
    <w:basedOn w:val="1"/>
    <w:link w:val="61"/>
    <w:qFormat/>
    <w:uiPriority w:val="99"/>
    <w:pPr>
      <w:jc w:val="left"/>
    </w:pPr>
  </w:style>
  <w:style w:type="paragraph" w:styleId="10">
    <w:name w:val="Body Text"/>
    <w:basedOn w:val="1"/>
    <w:next w:val="1"/>
    <w:qFormat/>
    <w:uiPriority w:val="99"/>
    <w:pPr>
      <w:spacing w:after="120"/>
    </w:pPr>
  </w:style>
  <w:style w:type="paragraph" w:styleId="11">
    <w:name w:val="Body Text Indent"/>
    <w:basedOn w:val="1"/>
    <w:qFormat/>
    <w:uiPriority w:val="0"/>
    <w:pPr>
      <w:ind w:firstLine="830" w:firstLineChars="352"/>
    </w:pPr>
    <w:rPr>
      <w:rFonts w:ascii="仿宋_GB2312" w:eastAsia="仿宋_GB2312"/>
      <w:sz w:val="32"/>
    </w:rPr>
  </w:style>
  <w:style w:type="paragraph" w:styleId="12">
    <w:name w:val="Plain Text"/>
    <w:basedOn w:val="1"/>
    <w:qFormat/>
    <w:uiPriority w:val="0"/>
    <w:pPr>
      <w:spacing w:line="324" w:lineRule="auto"/>
    </w:pPr>
    <w:rPr>
      <w:rFonts w:ascii="宋体" w:hAnsi="Courier New"/>
      <w:szCs w:val="21"/>
    </w:rPr>
  </w:style>
  <w:style w:type="paragraph" w:styleId="13">
    <w:name w:val="Date"/>
    <w:basedOn w:val="1"/>
    <w:next w:val="1"/>
    <w:link w:val="65"/>
    <w:qFormat/>
    <w:uiPriority w:val="99"/>
    <w:pPr>
      <w:ind w:left="100" w:leftChars="2500"/>
    </w:pPr>
  </w:style>
  <w:style w:type="paragraph" w:styleId="14">
    <w:name w:val="Balloon Text"/>
    <w:basedOn w:val="1"/>
    <w:link w:val="72"/>
    <w:qFormat/>
    <w:uiPriority w:val="99"/>
    <w:pPr>
      <w:spacing w:line="240" w:lineRule="auto"/>
    </w:pPr>
    <w:rPr>
      <w:sz w:val="18"/>
      <w:szCs w:val="18"/>
    </w:rPr>
  </w:style>
  <w:style w:type="paragraph" w:styleId="15">
    <w:name w:val="footer"/>
    <w:basedOn w:val="1"/>
    <w:link w:val="70"/>
    <w:qFormat/>
    <w:uiPriority w:val="99"/>
    <w:pPr>
      <w:widowControl w:val="0"/>
      <w:tabs>
        <w:tab w:val="center" w:pos="4153"/>
        <w:tab w:val="right" w:pos="8306"/>
      </w:tabs>
      <w:snapToGrid w:val="0"/>
      <w:spacing w:line="240" w:lineRule="auto"/>
      <w:jc w:val="left"/>
    </w:pPr>
    <w:rPr>
      <w:sz w:val="18"/>
    </w:rPr>
  </w:style>
  <w:style w:type="paragraph" w:styleId="16">
    <w:name w:val="header"/>
    <w:basedOn w:val="1"/>
    <w:link w:val="73"/>
    <w:qFormat/>
    <w:uiPriority w:val="0"/>
    <w:pPr>
      <w:widowControl w:val="0"/>
      <w:pBdr>
        <w:bottom w:val="single" w:color="auto" w:sz="6" w:space="1"/>
      </w:pBdr>
      <w:tabs>
        <w:tab w:val="center" w:pos="4153"/>
        <w:tab w:val="right" w:pos="8306"/>
      </w:tabs>
      <w:snapToGrid w:val="0"/>
      <w:spacing w:line="240" w:lineRule="auto"/>
      <w:jc w:val="center"/>
    </w:pPr>
    <w:rPr>
      <w:sz w:val="18"/>
    </w:rPr>
  </w:style>
  <w:style w:type="paragraph" w:styleId="17">
    <w:name w:val="toc 1"/>
    <w:basedOn w:val="1"/>
    <w:next w:val="1"/>
    <w:qFormat/>
    <w:uiPriority w:val="39"/>
  </w:style>
  <w:style w:type="paragraph" w:styleId="18">
    <w:name w:val="toc 2"/>
    <w:basedOn w:val="1"/>
    <w:next w:val="1"/>
    <w:unhideWhenUsed/>
    <w:qFormat/>
    <w:uiPriority w:val="39"/>
    <w:pPr>
      <w:ind w:left="420" w:leftChars="200"/>
    </w:pPr>
  </w:style>
  <w:style w:type="paragraph" w:styleId="19">
    <w:name w:val="HTML Preformatted"/>
    <w:basedOn w:val="1"/>
    <w:qFormat/>
    <w:uiPriority w:val="0"/>
    <w:pPr>
      <w:jc w:val="left"/>
    </w:pPr>
    <w:rPr>
      <w:rFonts w:ascii="Arial" w:hAnsi="Arial" w:cs="Arial"/>
      <w:kern w:val="0"/>
      <w:sz w:val="24"/>
    </w:rPr>
  </w:style>
  <w:style w:type="paragraph" w:styleId="20">
    <w:name w:val="Normal (Web)"/>
    <w:basedOn w:val="1"/>
    <w:qFormat/>
    <w:uiPriority w:val="99"/>
    <w:pPr>
      <w:spacing w:beforeAutospacing="1" w:afterAutospacing="1"/>
      <w:jc w:val="left"/>
    </w:pPr>
    <w:rPr>
      <w:rFonts w:cs="Times New Roman"/>
      <w:kern w:val="0"/>
      <w:sz w:val="24"/>
    </w:rPr>
  </w:style>
  <w:style w:type="paragraph" w:styleId="21">
    <w:name w:val="annotation subject"/>
    <w:basedOn w:val="9"/>
    <w:next w:val="9"/>
    <w:link w:val="75"/>
    <w:qFormat/>
    <w:uiPriority w:val="99"/>
    <w:rPr>
      <w:b/>
      <w:bCs/>
    </w:rPr>
  </w:style>
  <w:style w:type="paragraph" w:styleId="22">
    <w:name w:val="Body Text First Indent"/>
    <w:basedOn w:val="10"/>
    <w:unhideWhenUsed/>
    <w:qFormat/>
    <w:uiPriority w:val="0"/>
    <w:pPr>
      <w:spacing w:line="240" w:lineRule="auto"/>
      <w:ind w:firstLine="420" w:firstLineChars="100"/>
    </w:pPr>
    <w:rPr>
      <w:rFonts w:ascii="Times New Roman" w:hAnsi="Times New Roman"/>
      <w:sz w:val="18"/>
      <w:szCs w:val="18"/>
    </w:rPr>
  </w:style>
  <w:style w:type="table" w:styleId="24">
    <w:name w:val="Table Grid"/>
    <w:basedOn w:val="2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6">
    <w:name w:val="Strong"/>
    <w:basedOn w:val="25"/>
    <w:qFormat/>
    <w:uiPriority w:val="22"/>
    <w:rPr>
      <w:b/>
      <w:vertAlign w:val="baseline"/>
    </w:rPr>
  </w:style>
  <w:style w:type="character" w:styleId="27">
    <w:name w:val="page number"/>
    <w:qFormat/>
    <w:uiPriority w:val="0"/>
    <w:rPr>
      <w:rFonts w:ascii="Times New Roman" w:hAnsi="Times New Roman" w:eastAsia="宋体" w:cs="Times New Roman"/>
    </w:rPr>
  </w:style>
  <w:style w:type="character" w:styleId="28">
    <w:name w:val="FollowedHyperlink"/>
    <w:qFormat/>
    <w:uiPriority w:val="99"/>
    <w:rPr>
      <w:rFonts w:hint="eastAsia" w:ascii="宋体" w:hAnsi="宋体" w:eastAsia="宋体" w:cs="宋体"/>
      <w:color w:val="000000"/>
      <w:sz w:val="18"/>
      <w:szCs w:val="18"/>
      <w:u w:val="none"/>
    </w:rPr>
  </w:style>
  <w:style w:type="character" w:styleId="29">
    <w:name w:val="Emphasis"/>
    <w:qFormat/>
    <w:uiPriority w:val="20"/>
    <w:rPr>
      <w:b/>
    </w:rPr>
  </w:style>
  <w:style w:type="character" w:styleId="30">
    <w:name w:val="HTML Definition"/>
    <w:basedOn w:val="25"/>
    <w:qFormat/>
    <w:uiPriority w:val="99"/>
  </w:style>
  <w:style w:type="character" w:styleId="31">
    <w:name w:val="HTML Typewriter"/>
    <w:qFormat/>
    <w:uiPriority w:val="99"/>
    <w:rPr>
      <w:rFonts w:hint="default" w:ascii="monospace" w:hAnsi="monospace" w:eastAsia="monospace" w:cs="monospace"/>
      <w:sz w:val="20"/>
    </w:rPr>
  </w:style>
  <w:style w:type="character" w:styleId="32">
    <w:name w:val="HTML Acronym"/>
    <w:basedOn w:val="25"/>
    <w:qFormat/>
    <w:uiPriority w:val="99"/>
  </w:style>
  <w:style w:type="character" w:styleId="33">
    <w:name w:val="HTML Variable"/>
    <w:basedOn w:val="25"/>
    <w:qFormat/>
    <w:uiPriority w:val="99"/>
  </w:style>
  <w:style w:type="character" w:styleId="34">
    <w:name w:val="Hyperlink"/>
    <w:qFormat/>
    <w:uiPriority w:val="99"/>
    <w:rPr>
      <w:color w:val="000000"/>
      <w:sz w:val="18"/>
      <w:szCs w:val="18"/>
      <w:u w:val="none"/>
    </w:rPr>
  </w:style>
  <w:style w:type="character" w:styleId="35">
    <w:name w:val="HTML Code"/>
    <w:qFormat/>
    <w:uiPriority w:val="99"/>
    <w:rPr>
      <w:rFonts w:ascii="monospace" w:hAnsi="monospace" w:eastAsia="monospace" w:cs="monospace"/>
      <w:sz w:val="20"/>
    </w:rPr>
  </w:style>
  <w:style w:type="character" w:styleId="36">
    <w:name w:val="annotation reference"/>
    <w:qFormat/>
    <w:uiPriority w:val="99"/>
    <w:rPr>
      <w:sz w:val="21"/>
      <w:szCs w:val="21"/>
    </w:rPr>
  </w:style>
  <w:style w:type="character" w:styleId="37">
    <w:name w:val="HTML Cite"/>
    <w:basedOn w:val="25"/>
    <w:qFormat/>
    <w:uiPriority w:val="99"/>
  </w:style>
  <w:style w:type="character" w:styleId="38">
    <w:name w:val="HTML Keyboard"/>
    <w:qFormat/>
    <w:uiPriority w:val="99"/>
    <w:rPr>
      <w:rFonts w:hint="default" w:ascii="monospace" w:hAnsi="monospace" w:eastAsia="monospace" w:cs="monospace"/>
      <w:sz w:val="20"/>
    </w:rPr>
  </w:style>
  <w:style w:type="character" w:styleId="39">
    <w:name w:val="HTML Sample"/>
    <w:qFormat/>
    <w:uiPriority w:val="99"/>
    <w:rPr>
      <w:rFonts w:hint="default" w:ascii="monospace" w:hAnsi="monospace" w:eastAsia="monospace" w:cs="monospace"/>
    </w:rPr>
  </w:style>
  <w:style w:type="paragraph" w:customStyle="1" w:styleId="40">
    <w:name w:val="列出段落3"/>
    <w:basedOn w:val="1"/>
    <w:qFormat/>
    <w:uiPriority w:val="99"/>
    <w:pPr>
      <w:ind w:firstLine="420" w:firstLineChars="200"/>
    </w:pPr>
  </w:style>
  <w:style w:type="paragraph" w:customStyle="1" w:styleId="41">
    <w:name w:val="正文首行缩进1"/>
    <w:basedOn w:val="10"/>
    <w:qFormat/>
    <w:uiPriority w:val="0"/>
    <w:pPr>
      <w:ind w:firstLine="420"/>
      <w:jc w:val="left"/>
    </w:pPr>
    <w:rPr>
      <w:rFonts w:eastAsia="宋体"/>
      <w:sz w:val="24"/>
      <w:szCs w:val="24"/>
    </w:rPr>
  </w:style>
  <w:style w:type="paragraph" w:customStyle="1" w:styleId="42">
    <w:name w:val="正文（缩进 4 字符）"/>
    <w:basedOn w:val="1"/>
    <w:qFormat/>
    <w:uiPriority w:val="0"/>
    <w:pPr>
      <w:ind w:firstLine="1134" w:firstLineChars="400"/>
    </w:pPr>
  </w:style>
  <w:style w:type="paragraph" w:customStyle="1" w:styleId="43">
    <w:name w:val="Default"/>
    <w:qFormat/>
    <w:uiPriority w:val="0"/>
    <w:pPr>
      <w:widowControl w:val="0"/>
      <w:autoSpaceDE w:val="0"/>
      <w:autoSpaceDN w:val="0"/>
      <w:adjustRightInd w:val="0"/>
    </w:pPr>
    <w:rPr>
      <w:rFonts w:ascii="宋体" w:hAnsi="Times New Roman" w:eastAsia="宋体" w:cs="Times New Roman"/>
      <w:color w:val="000000"/>
      <w:sz w:val="24"/>
      <w:lang w:val="en-US" w:eastAsia="zh-CN" w:bidi="ar-SA"/>
    </w:rPr>
  </w:style>
  <w:style w:type="paragraph" w:customStyle="1" w:styleId="44">
    <w:name w:val="列出段落2"/>
    <w:basedOn w:val="1"/>
    <w:qFormat/>
    <w:uiPriority w:val="99"/>
    <w:pPr>
      <w:ind w:firstLine="420" w:firstLineChars="200"/>
    </w:pPr>
  </w:style>
  <w:style w:type="paragraph" w:customStyle="1" w:styleId="45">
    <w:name w:val="正文（缩进 2 字符）"/>
    <w:basedOn w:val="1"/>
    <w:qFormat/>
    <w:uiPriority w:val="0"/>
    <w:pPr>
      <w:ind w:firstLine="200" w:firstLineChars="200"/>
    </w:pPr>
  </w:style>
  <w:style w:type="paragraph" w:customStyle="1" w:styleId="46">
    <w:name w:val="List Paragraph1"/>
    <w:basedOn w:val="1"/>
    <w:qFormat/>
    <w:uiPriority w:val="99"/>
    <w:pPr>
      <w:ind w:firstLine="420" w:firstLineChars="200"/>
    </w:pPr>
  </w:style>
  <w:style w:type="paragraph" w:customStyle="1" w:styleId="47">
    <w:name w:val="列出段落1"/>
    <w:basedOn w:val="1"/>
    <w:qFormat/>
    <w:uiPriority w:val="0"/>
    <w:pPr>
      <w:spacing w:line="240" w:lineRule="auto"/>
      <w:ind w:firstLine="420" w:firstLineChars="200"/>
      <w:jc w:val="left"/>
    </w:pPr>
    <w:rPr>
      <w:rFonts w:ascii="Times New Roman" w:hAnsi="Times New Roman" w:eastAsia="宋体" w:cs="Times New Roman"/>
      <w:kern w:val="0"/>
      <w:sz w:val="24"/>
      <w:szCs w:val="24"/>
      <w:lang w:eastAsia="en-US"/>
    </w:rPr>
  </w:style>
  <w:style w:type="paragraph" w:customStyle="1" w:styleId="48">
    <w:name w:val="WPSOffice手动目录 1"/>
    <w:qFormat/>
    <w:uiPriority w:val="0"/>
    <w:rPr>
      <w:rFonts w:ascii="Times New Roman" w:hAnsi="Times New Roman" w:eastAsia="宋体" w:cs="Times New Roman"/>
      <w:lang w:val="en-US" w:eastAsia="zh-CN" w:bidi="ar-SA"/>
    </w:rPr>
  </w:style>
  <w:style w:type="paragraph" w:customStyle="1" w:styleId="49">
    <w:name w:val="标题 3（投标文件）"/>
    <w:basedOn w:val="5"/>
    <w:qFormat/>
    <w:uiPriority w:val="0"/>
    <w:pPr>
      <w:jc w:val="left"/>
    </w:pPr>
    <w:rPr>
      <w:u w:val="none"/>
    </w:rPr>
  </w:style>
  <w:style w:type="paragraph" w:customStyle="1" w:styleId="50">
    <w:name w:val="标题 2（投标文件）"/>
    <w:basedOn w:val="4"/>
    <w:qFormat/>
    <w:uiPriority w:val="0"/>
    <w:pPr>
      <w:jc w:val="center"/>
    </w:pPr>
  </w:style>
  <w:style w:type="paragraph" w:customStyle="1" w:styleId="51">
    <w:name w:val="Table Paragraph"/>
    <w:basedOn w:val="1"/>
    <w:qFormat/>
    <w:uiPriority w:val="1"/>
    <w:pPr>
      <w:jc w:val="left"/>
    </w:pPr>
    <w:rPr>
      <w:rFonts w:ascii="Calibri" w:hAnsi="Calibri" w:eastAsia="Calibri" w:cs="Times New Roman"/>
      <w:kern w:val="0"/>
      <w:sz w:val="22"/>
      <w:szCs w:val="22"/>
      <w:lang w:eastAsia="en-US"/>
    </w:rPr>
  </w:style>
  <w:style w:type="paragraph" w:customStyle="1" w:styleId="52">
    <w:name w:val="正文缩进1"/>
    <w:basedOn w:val="1"/>
    <w:qFormat/>
    <w:uiPriority w:val="0"/>
    <w:pPr>
      <w:ind w:firstLine="420" w:firstLineChars="200"/>
    </w:pPr>
  </w:style>
  <w:style w:type="paragraph" w:customStyle="1" w:styleId="53">
    <w:name w:val="List Paragraph"/>
    <w:basedOn w:val="1"/>
    <w:qFormat/>
    <w:uiPriority w:val="34"/>
    <w:pPr>
      <w:ind w:firstLine="420" w:firstLineChars="200"/>
    </w:pPr>
    <w:rPr>
      <w:rFonts w:ascii="Times New Roman" w:hAnsi="Times New Roman"/>
    </w:rPr>
  </w:style>
  <w:style w:type="paragraph" w:customStyle="1" w:styleId="54">
    <w:name w:val="列出段落11"/>
    <w:basedOn w:val="1"/>
    <w:qFormat/>
    <w:uiPriority w:val="99"/>
    <w:pPr>
      <w:ind w:firstLine="420" w:firstLineChars="200"/>
    </w:pPr>
    <w:rPr>
      <w:rFonts w:ascii="Calibri" w:hAnsi="Calibri" w:cs="Calibri"/>
    </w:rPr>
  </w:style>
  <w:style w:type="paragraph" w:customStyle="1" w:styleId="55">
    <w:name w:val="列出段落31"/>
    <w:basedOn w:val="1"/>
    <w:qFormat/>
    <w:uiPriority w:val="0"/>
    <w:pPr>
      <w:widowControl w:val="0"/>
      <w:spacing w:line="240" w:lineRule="auto"/>
      <w:ind w:firstLine="420" w:firstLineChars="200"/>
    </w:pPr>
    <w:rPr>
      <w:rFonts w:ascii="Calibri" w:hAnsi="Calibri" w:eastAsia="宋体" w:cs="Times New Roman"/>
      <w:sz w:val="21"/>
      <w:szCs w:val="22"/>
    </w:rPr>
  </w:style>
  <w:style w:type="paragraph" w:customStyle="1" w:styleId="56">
    <w:name w:val="WPSOffice手动目录 2"/>
    <w:qFormat/>
    <w:uiPriority w:val="0"/>
    <w:pPr>
      <w:ind w:left="200" w:leftChars="200"/>
    </w:pPr>
    <w:rPr>
      <w:rFonts w:ascii="Times New Roman" w:hAnsi="Times New Roman" w:eastAsia="宋体" w:cs="Times New Roman"/>
      <w:lang w:val="en-US" w:eastAsia="zh-CN" w:bidi="ar-SA"/>
    </w:rPr>
  </w:style>
  <w:style w:type="paragraph" w:customStyle="1" w:styleId="57">
    <w:name w:val="WPSOffice手动目录 3"/>
    <w:qFormat/>
    <w:uiPriority w:val="0"/>
    <w:pPr>
      <w:ind w:left="400" w:leftChars="400"/>
    </w:pPr>
    <w:rPr>
      <w:rFonts w:ascii="Times New Roman" w:hAnsi="Times New Roman" w:eastAsia="宋体" w:cs="Times New Roman"/>
      <w:lang w:val="en-US" w:eastAsia="zh-CN" w:bidi="ar-SA"/>
    </w:rPr>
  </w:style>
  <w:style w:type="character" w:customStyle="1" w:styleId="58">
    <w:name w:val="hover"/>
    <w:qFormat/>
    <w:uiPriority w:val="0"/>
    <w:rPr>
      <w:shd w:val="clear" w:color="000000" w:fill="EEEEEE"/>
    </w:rPr>
  </w:style>
  <w:style w:type="character" w:customStyle="1" w:styleId="59">
    <w:name w:val="页眉 Char1"/>
    <w:qFormat/>
    <w:uiPriority w:val="99"/>
    <w:rPr>
      <w:sz w:val="18"/>
      <w:szCs w:val="18"/>
    </w:rPr>
  </w:style>
  <w:style w:type="character" w:customStyle="1" w:styleId="60">
    <w:name w:val="标题 1 Char"/>
    <w:link w:val="3"/>
    <w:qFormat/>
    <w:uiPriority w:val="9"/>
    <w:rPr>
      <w:rFonts w:eastAsia="仿宋" w:cs="Calibri Light"/>
      <w:b/>
      <w:color w:val="000000"/>
      <w:kern w:val="44"/>
      <w:sz w:val="36"/>
      <w:szCs w:val="44"/>
    </w:rPr>
  </w:style>
  <w:style w:type="character" w:customStyle="1" w:styleId="61">
    <w:name w:val="批注文字 Char"/>
    <w:basedOn w:val="25"/>
    <w:link w:val="9"/>
    <w:qFormat/>
    <w:uiPriority w:val="99"/>
  </w:style>
  <w:style w:type="character" w:customStyle="1" w:styleId="62">
    <w:name w:val="占位符文本1"/>
    <w:qFormat/>
    <w:uiPriority w:val="99"/>
    <w:rPr>
      <w:color w:val="808080"/>
    </w:rPr>
  </w:style>
  <w:style w:type="character" w:customStyle="1" w:styleId="63">
    <w:name w:val="button"/>
    <w:basedOn w:val="25"/>
    <w:qFormat/>
    <w:uiPriority w:val="0"/>
  </w:style>
  <w:style w:type="character" w:customStyle="1" w:styleId="64">
    <w:name w:val="tmpztreemove_arrow"/>
    <w:qFormat/>
    <w:uiPriority w:val="0"/>
    <w:rPr>
      <w:shd w:val="clear" w:color="000000" w:fill="FFFFFF"/>
    </w:rPr>
  </w:style>
  <w:style w:type="character" w:customStyle="1" w:styleId="65">
    <w:name w:val="日期 Char"/>
    <w:link w:val="13"/>
    <w:qFormat/>
    <w:uiPriority w:val="99"/>
    <w:rPr>
      <w:rFonts w:ascii="Calibri Light" w:hAnsi="Calibri Light" w:eastAsia="华文仿宋"/>
      <w:sz w:val="28"/>
    </w:rPr>
  </w:style>
  <w:style w:type="character" w:customStyle="1" w:styleId="66">
    <w:name w:val="font11"/>
    <w:qFormat/>
    <w:uiPriority w:val="0"/>
    <w:rPr>
      <w:rFonts w:hint="eastAsia" w:ascii="宋体" w:hAnsi="宋体" w:eastAsia="宋体" w:cs="宋体"/>
      <w:color w:val="FF0000"/>
      <w:sz w:val="22"/>
      <w:szCs w:val="22"/>
      <w:u w:val="none"/>
    </w:rPr>
  </w:style>
  <w:style w:type="character" w:customStyle="1" w:styleId="67">
    <w:name w:val="文档结构图 Char"/>
    <w:link w:val="8"/>
    <w:qFormat/>
    <w:uiPriority w:val="99"/>
    <w:rPr>
      <w:rFonts w:ascii="宋体" w:eastAsia="宋体"/>
      <w:sz w:val="18"/>
      <w:szCs w:val="18"/>
    </w:rPr>
  </w:style>
  <w:style w:type="character" w:customStyle="1" w:styleId="68">
    <w:name w:val="标题 3 Char"/>
    <w:link w:val="5"/>
    <w:qFormat/>
    <w:uiPriority w:val="9"/>
    <w:rPr>
      <w:b/>
      <w:bCs/>
      <w:sz w:val="32"/>
      <w:szCs w:val="32"/>
      <w:u w:val="double"/>
    </w:rPr>
  </w:style>
  <w:style w:type="character" w:customStyle="1" w:styleId="69">
    <w:name w:val="glyphicon"/>
    <w:basedOn w:val="25"/>
    <w:qFormat/>
    <w:uiPriority w:val="0"/>
  </w:style>
  <w:style w:type="character" w:customStyle="1" w:styleId="70">
    <w:name w:val="页脚 Char"/>
    <w:link w:val="15"/>
    <w:qFormat/>
    <w:uiPriority w:val="99"/>
    <w:rPr>
      <w:sz w:val="18"/>
    </w:rPr>
  </w:style>
  <w:style w:type="character" w:customStyle="1" w:styleId="71">
    <w:name w:val="old"/>
    <w:qFormat/>
    <w:uiPriority w:val="0"/>
    <w:rPr>
      <w:color w:val="999999"/>
    </w:rPr>
  </w:style>
  <w:style w:type="character" w:customStyle="1" w:styleId="72">
    <w:name w:val="批注框文本 Char"/>
    <w:link w:val="14"/>
    <w:qFormat/>
    <w:uiPriority w:val="99"/>
    <w:rPr>
      <w:sz w:val="18"/>
      <w:szCs w:val="18"/>
    </w:rPr>
  </w:style>
  <w:style w:type="character" w:customStyle="1" w:styleId="73">
    <w:name w:val="页眉 Char"/>
    <w:link w:val="16"/>
    <w:qFormat/>
    <w:uiPriority w:val="0"/>
    <w:rPr>
      <w:sz w:val="18"/>
    </w:rPr>
  </w:style>
  <w:style w:type="character" w:customStyle="1" w:styleId="74">
    <w:name w:val="标题 2 Char"/>
    <w:link w:val="4"/>
    <w:qFormat/>
    <w:uiPriority w:val="9"/>
    <w:rPr>
      <w:rFonts w:ascii="Calibri" w:hAnsi="Calibri" w:eastAsia="华文仿宋" w:cs="黑体"/>
      <w:b/>
      <w:bCs/>
      <w:sz w:val="32"/>
      <w:szCs w:val="32"/>
    </w:rPr>
  </w:style>
  <w:style w:type="character" w:customStyle="1" w:styleId="75">
    <w:name w:val="批注主题 Char"/>
    <w:link w:val="21"/>
    <w:qFormat/>
    <w:uiPriority w:val="99"/>
    <w:rPr>
      <w:b/>
      <w:bCs/>
    </w:rPr>
  </w:style>
  <w:style w:type="character" w:customStyle="1" w:styleId="76">
    <w:name w:val="hour_pm"/>
    <w:basedOn w:val="25"/>
    <w:qFormat/>
    <w:uiPriority w:val="0"/>
  </w:style>
  <w:style w:type="character" w:customStyle="1" w:styleId="77">
    <w:name w:val="hour_am"/>
    <w:basedOn w:val="25"/>
    <w:qFormat/>
    <w:uiPriority w:val="0"/>
  </w:style>
  <w:style w:type="character" w:customStyle="1" w:styleId="78">
    <w:name w:val="页脚 Char1"/>
    <w:qFormat/>
    <w:uiPriority w:val="99"/>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header" Target="header3.xml"/><Relationship Id="rId7" Type="http://schemas.openxmlformats.org/officeDocument/2006/relationships/header" Target="header2.xml"/><Relationship Id="rId6" Type="http://schemas.openxmlformats.org/officeDocument/2006/relationships/footer" Target="footer3.xml"/><Relationship Id="rId5" Type="http://schemas.openxmlformats.org/officeDocument/2006/relationships/header" Target="header1.xml"/><Relationship Id="rId4" Type="http://schemas.openxmlformats.org/officeDocument/2006/relationships/footer" Target="footer2.xml"/><Relationship Id="rId3" Type="http://schemas.openxmlformats.org/officeDocument/2006/relationships/footer" Target="footer1.xml"/><Relationship Id="rId21" Type="http://schemas.openxmlformats.org/officeDocument/2006/relationships/fontTable" Target="fontTable.xml"/><Relationship Id="rId20" Type="http://schemas.openxmlformats.org/officeDocument/2006/relationships/customXml" Target="../customXml/item2.xml"/><Relationship Id="rId2" Type="http://schemas.openxmlformats.org/officeDocument/2006/relationships/settings" Target="settings.xml"/><Relationship Id="rId19" Type="http://schemas.openxmlformats.org/officeDocument/2006/relationships/numbering" Target="numbering.xml"/><Relationship Id="rId18" Type="http://schemas.openxmlformats.org/officeDocument/2006/relationships/customXml" Target="../customXml/item1.xml"/><Relationship Id="rId17" Type="http://schemas.openxmlformats.org/officeDocument/2006/relationships/image" Target="media/image2.jpeg"/><Relationship Id="rId16" Type="http://schemas.openxmlformats.org/officeDocument/2006/relationships/image" Target="media/image1.jpeg"/><Relationship Id="rId15" Type="http://schemas.openxmlformats.org/officeDocument/2006/relationships/theme" Target="theme/theme1.xml"/><Relationship Id="rId14" Type="http://schemas.openxmlformats.org/officeDocument/2006/relationships/footer" Target="footer8.xml"/><Relationship Id="rId13" Type="http://schemas.openxmlformats.org/officeDocument/2006/relationships/footer" Target="footer7.xml"/><Relationship Id="rId12" Type="http://schemas.openxmlformats.org/officeDocument/2006/relationships/footer" Target="footer6.xml"/><Relationship Id="rId11" Type="http://schemas.openxmlformats.org/officeDocument/2006/relationships/footer" Target="footer5.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7CF434E-E5BB-4C41-9EE6-60DBB3EB51B6}">
  <ds:schemaRefs/>
</ds:datastoreItem>
</file>

<file path=docProps/app.xml><?xml version="1.0" encoding="utf-8"?>
<Properties xmlns="http://schemas.openxmlformats.org/officeDocument/2006/extended-properties" xmlns:vt="http://schemas.openxmlformats.org/officeDocument/2006/docPropsVTypes">
  <Template>Normal</Template>
  <Company>xczx</Company>
  <Pages>64</Pages>
  <Words>29998</Words>
  <Characters>31323</Characters>
  <Lines>434</Lines>
  <Paragraphs>122</Paragraphs>
  <TotalTime>0</TotalTime>
  <ScaleCrop>false</ScaleCrop>
  <LinksUpToDate>false</LinksUpToDate>
  <CharactersWithSpaces>32064</CharactersWithSpaces>
  <Application>WPS Office_11.1.0.9999_F1E327BC-269C-435d-A152-05C5408002CA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2019-10-09T01:10:00Z</dcterms:created>
  <dc:creator>lenovo</dc:creator>
  <cp:lastModifiedBy>信仰 ぺ solar</cp:lastModifiedBy>
  <cp:lastPrinted>2020-06-22T01:45:00Z</cp:lastPrinted>
  <dcterms:modified xsi:type="dcterms:W3CDTF">2020-09-22T07:39:37Z</dcterms:modified>
  <dc:title>陕西省省级单位政府采购中心</dc:title>
  <cp:revision>40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