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84" w:name="_GoBack"/>
      <w:bookmarkEnd w:id="84"/>
    </w:p>
    <w:p/>
    <w:p>
      <w:pPr>
        <w:jc w:val="center"/>
        <w:rPr>
          <w:sz w:val="44"/>
          <w:szCs w:val="44"/>
        </w:rPr>
      </w:pPr>
      <w:r>
        <w:rPr>
          <w:rFonts w:hint="eastAsia" w:asciiTheme="minorEastAsia" w:hAnsiTheme="minorEastAsia" w:eastAsiaTheme="minorEastAsia" w:cstheme="minorEastAsia"/>
          <w:b/>
          <w:bCs/>
          <w:color w:val="000000" w:themeColor="text1"/>
          <w:sz w:val="44"/>
          <w:szCs w:val="44"/>
        </w:rPr>
        <w:t>西安市高陵区银王中心小学户外提升改造项目</w:t>
      </w:r>
    </w:p>
    <w:p/>
    <w:p>
      <w:pPr>
        <w:rPr>
          <w:sz w:val="24"/>
        </w:rPr>
      </w:pPr>
    </w:p>
    <w:p>
      <w:pPr>
        <w:pStyle w:val="9"/>
      </w:pPr>
    </w:p>
    <w:p>
      <w:pPr>
        <w:pStyle w:val="9"/>
      </w:pPr>
    </w:p>
    <w:p>
      <w:pPr>
        <w:pStyle w:val="9"/>
      </w:pPr>
    </w:p>
    <w:p>
      <w:pPr>
        <w:pStyle w:val="9"/>
      </w:pPr>
    </w:p>
    <w:p>
      <w:pPr>
        <w:pStyle w:val="9"/>
      </w:pPr>
    </w:p>
    <w:p>
      <w:pPr>
        <w:pStyle w:val="9"/>
      </w:pPr>
    </w:p>
    <w:p>
      <w:pPr>
        <w:overflowPunct w:val="0"/>
        <w:topLinePunct/>
        <w:spacing w:line="360" w:lineRule="auto"/>
        <w:jc w:val="center"/>
        <w:rPr>
          <w:bCs/>
          <w:sz w:val="56"/>
          <w:szCs w:val="56"/>
        </w:rPr>
      </w:pPr>
      <w:r>
        <w:rPr>
          <w:b/>
          <w:sz w:val="56"/>
          <w:szCs w:val="56"/>
        </w:rPr>
        <w:t>竞争性磋商文件</w:t>
      </w:r>
    </w:p>
    <w:p>
      <w:pPr>
        <w:jc w:val="center"/>
        <w:rPr>
          <w:rFonts w:asciiTheme="minorEastAsia" w:hAnsiTheme="minorEastAsia" w:eastAsiaTheme="minorEastAsia" w:cstheme="minorEastAsia"/>
          <w:b/>
          <w:bCs/>
          <w:color w:val="FF0000"/>
          <w:sz w:val="32"/>
          <w:szCs w:val="32"/>
        </w:rPr>
      </w:pPr>
      <w:r>
        <w:rPr>
          <w:rFonts w:hint="eastAsia" w:asciiTheme="minorEastAsia" w:hAnsiTheme="minorEastAsia" w:eastAsiaTheme="minorEastAsia" w:cstheme="minorEastAsia"/>
          <w:b/>
          <w:bCs/>
          <w:sz w:val="32"/>
          <w:szCs w:val="32"/>
        </w:rPr>
        <w:t>项目编号：TZZB-2021026G</w:t>
      </w:r>
    </w:p>
    <w:p>
      <w:pPr>
        <w:jc w:val="center"/>
        <w:rPr>
          <w:b/>
          <w:bCs/>
          <w:sz w:val="24"/>
        </w:rPr>
      </w:pPr>
    </w:p>
    <w:p>
      <w:pPr>
        <w:rPr>
          <w:b/>
          <w:bCs/>
          <w:sz w:val="24"/>
        </w:rPr>
      </w:pPr>
    </w:p>
    <w:p>
      <w:pPr>
        <w:rPr>
          <w:b/>
          <w:bCs/>
          <w:sz w:val="24"/>
        </w:rPr>
      </w:pPr>
    </w:p>
    <w:p>
      <w:pPr>
        <w:ind w:right="-307" w:rightChars="-146"/>
        <w:rPr>
          <w:b/>
          <w:bCs/>
          <w:sz w:val="24"/>
        </w:rPr>
      </w:pPr>
    </w:p>
    <w:p>
      <w:pPr>
        <w:ind w:left="-199" w:leftChars="-95" w:right="-307" w:rightChars="-146"/>
        <w:rPr>
          <w:b/>
          <w:bCs/>
          <w:sz w:val="24"/>
        </w:rPr>
      </w:pPr>
    </w:p>
    <w:p>
      <w:pPr>
        <w:ind w:left="-199" w:leftChars="-95" w:right="-307" w:rightChars="-146"/>
        <w:rPr>
          <w:b/>
          <w:bCs/>
          <w:sz w:val="24"/>
        </w:rPr>
      </w:pPr>
    </w:p>
    <w:p>
      <w:pPr>
        <w:ind w:left="-199" w:leftChars="-95" w:right="-307" w:rightChars="-146"/>
        <w:rPr>
          <w:b/>
          <w:bCs/>
          <w:sz w:val="24"/>
        </w:rPr>
      </w:pPr>
    </w:p>
    <w:p>
      <w:pPr>
        <w:ind w:left="-199" w:leftChars="-95" w:right="-307" w:rightChars="-146"/>
        <w:rPr>
          <w:b/>
          <w:bCs/>
          <w:sz w:val="24"/>
        </w:rPr>
      </w:pPr>
    </w:p>
    <w:p>
      <w:pPr>
        <w:ind w:right="-307" w:rightChars="-146"/>
        <w:rPr>
          <w:b/>
          <w:bCs/>
          <w:sz w:val="24"/>
        </w:rPr>
      </w:pPr>
    </w:p>
    <w:p>
      <w:pPr>
        <w:rPr>
          <w:b/>
          <w:bCs/>
          <w:sz w:val="24"/>
        </w:rPr>
      </w:pPr>
    </w:p>
    <w:p>
      <w:pPr>
        <w:snapToGrid w:val="0"/>
        <w:spacing w:line="540" w:lineRule="atLeast"/>
        <w:rPr>
          <w:sz w:val="30"/>
          <w:szCs w:val="30"/>
        </w:rPr>
      </w:pPr>
    </w:p>
    <w:p>
      <w:pPr>
        <w:pStyle w:val="9"/>
      </w:pPr>
    </w:p>
    <w:p>
      <w:pPr>
        <w:pStyle w:val="9"/>
        <w:ind w:firstLine="0" w:firstLineChars="0"/>
        <w:rPr>
          <w:sz w:val="30"/>
          <w:szCs w:val="30"/>
        </w:rPr>
      </w:pPr>
    </w:p>
    <w:p>
      <w:pPr>
        <w:snapToGrid w:val="0"/>
        <w:spacing w:line="480" w:lineRule="auto"/>
        <w:ind w:firstLine="1506" w:firstLineChars="500"/>
        <w:rPr>
          <w:rFonts w:asciiTheme="majorEastAsia" w:hAnsiTheme="majorEastAsia" w:eastAsiaTheme="majorEastAsia" w:cstheme="majorEastAsia"/>
          <w:b/>
          <w:color w:val="000000" w:themeColor="text1"/>
          <w:sz w:val="30"/>
          <w:szCs w:val="30"/>
          <w:u w:val="single"/>
        </w:rPr>
      </w:pPr>
      <w:r>
        <w:rPr>
          <w:b/>
          <w:sz w:val="30"/>
          <w:szCs w:val="30"/>
        </w:rPr>
        <w:t>采</w:t>
      </w:r>
      <w:r>
        <w:rPr>
          <w:rFonts w:hint="eastAsia"/>
          <w:b/>
          <w:sz w:val="30"/>
          <w:szCs w:val="30"/>
        </w:rPr>
        <w:t xml:space="preserve">   </w:t>
      </w:r>
      <w:r>
        <w:rPr>
          <w:b/>
          <w:sz w:val="30"/>
          <w:szCs w:val="30"/>
        </w:rPr>
        <w:t>购</w:t>
      </w:r>
      <w:r>
        <w:rPr>
          <w:rFonts w:hint="eastAsia"/>
          <w:b/>
          <w:sz w:val="30"/>
          <w:szCs w:val="30"/>
        </w:rPr>
        <w:t xml:space="preserve">   </w:t>
      </w:r>
      <w:r>
        <w:rPr>
          <w:b/>
          <w:sz w:val="30"/>
          <w:szCs w:val="30"/>
        </w:rPr>
        <w:t>人：</w:t>
      </w:r>
      <w:r>
        <w:rPr>
          <w:rFonts w:hint="eastAsia" w:asciiTheme="majorEastAsia" w:hAnsiTheme="majorEastAsia" w:eastAsiaTheme="majorEastAsia" w:cstheme="majorEastAsia"/>
          <w:b/>
          <w:color w:val="000000" w:themeColor="text1"/>
          <w:sz w:val="30"/>
          <w:szCs w:val="30"/>
          <w:u w:val="single"/>
        </w:rPr>
        <w:t>西安市高陵区药惠银王中心小学</w:t>
      </w:r>
    </w:p>
    <w:p>
      <w:pPr>
        <w:snapToGrid w:val="0"/>
        <w:spacing w:line="480" w:lineRule="auto"/>
        <w:ind w:firstLine="1506" w:firstLineChars="500"/>
        <w:rPr>
          <w:b/>
          <w:sz w:val="30"/>
          <w:szCs w:val="30"/>
        </w:rPr>
      </w:pPr>
      <w:r>
        <w:rPr>
          <w:b/>
          <w:sz w:val="30"/>
          <w:szCs w:val="30"/>
        </w:rPr>
        <w:t>采购代理机构：</w:t>
      </w:r>
      <w:r>
        <w:rPr>
          <w:rFonts w:hint="eastAsia" w:asciiTheme="majorEastAsia" w:hAnsiTheme="majorEastAsia" w:eastAsiaTheme="majorEastAsia" w:cstheme="majorEastAsia"/>
          <w:b/>
          <w:color w:val="000000" w:themeColor="text1"/>
          <w:sz w:val="30"/>
          <w:szCs w:val="30"/>
          <w:u w:val="single"/>
        </w:rPr>
        <w:t>同正项目管理有限公司</w:t>
      </w:r>
    </w:p>
    <w:p>
      <w:pPr>
        <w:snapToGrid w:val="0"/>
        <w:spacing w:line="480" w:lineRule="auto"/>
        <w:ind w:firstLine="1506" w:firstLineChars="500"/>
        <w:rPr>
          <w:b/>
          <w:sz w:val="30"/>
          <w:szCs w:val="30"/>
        </w:rPr>
        <w:sectPr>
          <w:footerReference r:id="rId5" w:type="first"/>
          <w:headerReference r:id="rId3" w:type="default"/>
          <w:footerReference r:id="rId4" w:type="even"/>
          <w:pgSz w:w="11906" w:h="16838"/>
          <w:pgMar w:top="1440" w:right="1457" w:bottom="1440" w:left="1463" w:header="851" w:footer="992" w:gutter="0"/>
          <w:pgNumType w:start="1"/>
          <w:cols w:space="0" w:num="1"/>
          <w:titlePg/>
          <w:docGrid w:type="lines" w:linePitch="312" w:charSpace="0"/>
        </w:sectPr>
      </w:pPr>
      <w:r>
        <w:rPr>
          <w:b/>
          <w:sz w:val="30"/>
          <w:szCs w:val="30"/>
        </w:rPr>
        <w:t xml:space="preserve">日   </w:t>
      </w:r>
      <w:r>
        <w:rPr>
          <w:rFonts w:hint="eastAsia"/>
          <w:b/>
          <w:sz w:val="30"/>
          <w:szCs w:val="30"/>
        </w:rPr>
        <w:t xml:space="preserve">     </w:t>
      </w:r>
      <w:r>
        <w:rPr>
          <w:b/>
          <w:sz w:val="30"/>
          <w:szCs w:val="30"/>
        </w:rPr>
        <w:t>期：二〇二</w:t>
      </w:r>
      <w:r>
        <w:rPr>
          <w:rFonts w:hint="eastAsia"/>
          <w:b/>
          <w:sz w:val="30"/>
          <w:szCs w:val="30"/>
        </w:rPr>
        <w:t>一</w:t>
      </w:r>
      <w:r>
        <w:rPr>
          <w:b/>
          <w:sz w:val="30"/>
          <w:szCs w:val="30"/>
        </w:rPr>
        <w:t>年</w:t>
      </w:r>
      <w:r>
        <w:rPr>
          <w:rFonts w:hint="eastAsia"/>
          <w:b/>
          <w:sz w:val="30"/>
          <w:szCs w:val="30"/>
          <w:lang w:eastAsia="zh-CN"/>
        </w:rPr>
        <w:t>五</w:t>
      </w:r>
      <w:r>
        <w:rPr>
          <w:b/>
          <w:sz w:val="30"/>
          <w:szCs w:val="30"/>
        </w:rPr>
        <w:t>月</w:t>
      </w:r>
    </w:p>
    <w:sdt>
      <w:sdtPr>
        <w:rPr>
          <w:rFonts w:ascii="宋体" w:hAnsi="宋体"/>
          <w:sz w:val="32"/>
          <w:szCs w:val="32"/>
        </w:rPr>
        <w:id w:val="147475742"/>
        <w:docPartObj>
          <w:docPartGallery w:val="Table of Contents"/>
          <w:docPartUnique/>
        </w:docPartObj>
      </w:sdtPr>
      <w:sdtEndPr>
        <w:rPr>
          <w:rFonts w:ascii="Times New Roman" w:hAnsi="Times New Roman"/>
          <w:sz w:val="21"/>
          <w:szCs w:val="28"/>
        </w:rPr>
      </w:sdtEndPr>
      <w:sdtContent>
        <w:p>
          <w:pPr>
            <w:jc w:val="center"/>
            <w:rPr>
              <w:rFonts w:ascii="宋体" w:hAnsi="宋体"/>
              <w:sz w:val="32"/>
              <w:szCs w:val="32"/>
            </w:rPr>
          </w:pPr>
          <w:r>
            <w:rPr>
              <w:rFonts w:ascii="宋体" w:hAnsi="宋体"/>
              <w:b/>
              <w:bCs/>
              <w:sz w:val="48"/>
              <w:szCs w:val="48"/>
            </w:rPr>
            <w:t>目</w:t>
          </w:r>
          <w:r>
            <w:rPr>
              <w:rFonts w:hint="eastAsia" w:ascii="宋体" w:hAnsi="宋体"/>
              <w:b/>
              <w:bCs/>
              <w:sz w:val="48"/>
              <w:szCs w:val="48"/>
            </w:rPr>
            <w:t xml:space="preserve">    </w:t>
          </w:r>
          <w:r>
            <w:rPr>
              <w:rFonts w:ascii="宋体" w:hAnsi="宋体"/>
              <w:b/>
              <w:bCs/>
              <w:sz w:val="48"/>
              <w:szCs w:val="48"/>
            </w:rPr>
            <w:t>录</w:t>
          </w:r>
        </w:p>
        <w:p>
          <w:pPr>
            <w:pStyle w:val="19"/>
            <w:rPr>
              <w:sz w:val="24"/>
              <w:szCs w:val="24"/>
            </w:rPr>
          </w:pPr>
        </w:p>
        <w:p>
          <w:pPr>
            <w:rPr>
              <w:rFonts w:ascii="宋体" w:hAnsi="宋体"/>
              <w:sz w:val="24"/>
            </w:rPr>
          </w:pPr>
        </w:p>
        <w:p>
          <w:pPr>
            <w:pStyle w:val="19"/>
            <w:rPr>
              <w:sz w:val="24"/>
              <w:szCs w:val="24"/>
            </w:rPr>
          </w:pPr>
        </w:p>
        <w:p/>
        <w:p>
          <w:pPr>
            <w:pStyle w:val="66"/>
            <w:tabs>
              <w:tab w:val="right" w:leader="dot" w:pos="8986"/>
            </w:tabs>
            <w:spacing w:line="360" w:lineRule="auto"/>
            <w:rPr>
              <w:rFonts w:ascii="宋体" w:hAnsi="宋体" w:cs="宋体"/>
              <w:sz w:val="32"/>
              <w:szCs w:val="32"/>
            </w:rPr>
          </w:pPr>
          <w:r>
            <w:rPr>
              <w:sz w:val="28"/>
              <w:szCs w:val="28"/>
            </w:rPr>
            <w:fldChar w:fldCharType="begin"/>
          </w:r>
          <w:r>
            <w:rPr>
              <w:sz w:val="28"/>
              <w:szCs w:val="28"/>
            </w:rPr>
            <w:instrText xml:space="preserve">TOC \o "1-1" \h \u </w:instrText>
          </w:r>
          <w:r>
            <w:rPr>
              <w:sz w:val="28"/>
              <w:szCs w:val="28"/>
            </w:rPr>
            <w:fldChar w:fldCharType="separate"/>
          </w:r>
          <w:r>
            <w:fldChar w:fldCharType="begin"/>
          </w:r>
          <w:r>
            <w:instrText xml:space="preserve"> HYPERLINK \l "_Toc12126" </w:instrText>
          </w:r>
          <w:r>
            <w:fldChar w:fldCharType="separate"/>
          </w:r>
          <w:r>
            <w:rPr>
              <w:rFonts w:hint="eastAsia" w:ascii="宋体" w:hAnsi="宋体" w:cs="宋体"/>
              <w:bCs/>
              <w:sz w:val="32"/>
              <w:szCs w:val="32"/>
            </w:rPr>
            <w:t>第一章　磋商公告</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_Toc12126 </w:instrText>
          </w:r>
          <w:r>
            <w:rPr>
              <w:rFonts w:hint="eastAsia" w:ascii="宋体" w:hAnsi="宋体" w:cs="宋体"/>
              <w:sz w:val="32"/>
              <w:szCs w:val="32"/>
            </w:rPr>
            <w:fldChar w:fldCharType="separate"/>
          </w:r>
          <w:r>
            <w:rPr>
              <w:rFonts w:hint="eastAsia" w:ascii="宋体" w:hAnsi="宋体" w:cs="宋体"/>
              <w:sz w:val="32"/>
              <w:szCs w:val="32"/>
            </w:rPr>
            <w:t>1</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"_Toc27252" </w:instrText>
          </w:r>
          <w:r>
            <w:fldChar w:fldCharType="separate"/>
          </w:r>
          <w:r>
            <w:rPr>
              <w:rFonts w:hint="eastAsia" w:ascii="宋体" w:hAnsi="宋体" w:cs="宋体"/>
              <w:bCs/>
              <w:sz w:val="32"/>
              <w:szCs w:val="32"/>
            </w:rPr>
            <w:t>第二章　磋商须知</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_Toc27252 </w:instrText>
          </w:r>
          <w:r>
            <w:rPr>
              <w:rFonts w:hint="eastAsia" w:ascii="宋体" w:hAnsi="宋体" w:cs="宋体"/>
              <w:sz w:val="32"/>
              <w:szCs w:val="32"/>
            </w:rPr>
            <w:fldChar w:fldCharType="separate"/>
          </w:r>
          <w:r>
            <w:rPr>
              <w:rFonts w:hint="eastAsia" w:ascii="宋体" w:hAnsi="宋体" w:cs="宋体"/>
              <w:sz w:val="32"/>
              <w:szCs w:val="32"/>
            </w:rPr>
            <w:t>4</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"_Toc22384" </w:instrText>
          </w:r>
          <w:r>
            <w:fldChar w:fldCharType="separate"/>
          </w:r>
          <w:r>
            <w:rPr>
              <w:rFonts w:hint="eastAsia" w:ascii="宋体" w:hAnsi="宋体" w:cs="宋体"/>
              <w:bCs/>
              <w:kern w:val="2"/>
              <w:sz w:val="32"/>
              <w:szCs w:val="32"/>
            </w:rPr>
            <w:t>第三章　磋商响应单位资格证明文件</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_Toc22384 </w:instrText>
          </w:r>
          <w:r>
            <w:rPr>
              <w:rFonts w:hint="eastAsia" w:ascii="宋体" w:hAnsi="宋体" w:cs="宋体"/>
              <w:sz w:val="32"/>
              <w:szCs w:val="32"/>
            </w:rPr>
            <w:fldChar w:fldCharType="separate"/>
          </w:r>
          <w:r>
            <w:rPr>
              <w:rFonts w:hint="eastAsia" w:ascii="宋体" w:hAnsi="宋体" w:cs="宋体"/>
              <w:sz w:val="32"/>
              <w:szCs w:val="32"/>
            </w:rPr>
            <w:t>19</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"_Toc23091" </w:instrText>
          </w:r>
          <w:r>
            <w:fldChar w:fldCharType="separate"/>
          </w:r>
          <w:r>
            <w:rPr>
              <w:rFonts w:hint="eastAsia" w:ascii="宋体" w:hAnsi="宋体" w:cs="宋体"/>
              <w:bCs/>
              <w:sz w:val="32"/>
              <w:szCs w:val="32"/>
            </w:rPr>
            <w:t>第四章　磋商及评审办法</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_Toc23091 </w:instrText>
          </w:r>
          <w:r>
            <w:rPr>
              <w:rFonts w:hint="eastAsia" w:ascii="宋体" w:hAnsi="宋体" w:cs="宋体"/>
              <w:sz w:val="32"/>
              <w:szCs w:val="32"/>
            </w:rPr>
            <w:fldChar w:fldCharType="separate"/>
          </w:r>
          <w:r>
            <w:rPr>
              <w:rFonts w:hint="eastAsia" w:ascii="宋体" w:hAnsi="宋体" w:cs="宋体"/>
              <w:sz w:val="32"/>
              <w:szCs w:val="32"/>
            </w:rPr>
            <w:t>20</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"_Toc18298" </w:instrText>
          </w:r>
          <w:r>
            <w:fldChar w:fldCharType="separate"/>
          </w:r>
          <w:r>
            <w:rPr>
              <w:rFonts w:hint="eastAsia" w:ascii="宋体" w:hAnsi="宋体" w:cs="宋体"/>
              <w:bCs/>
              <w:kern w:val="2"/>
              <w:sz w:val="32"/>
              <w:szCs w:val="32"/>
              <w:lang w:val="zh-CN"/>
            </w:rPr>
            <w:t>第五章</w:t>
          </w:r>
          <w:r>
            <w:rPr>
              <w:rFonts w:hint="eastAsia" w:ascii="宋体" w:hAnsi="宋体" w:cs="宋体"/>
              <w:sz w:val="32"/>
              <w:szCs w:val="32"/>
              <w:lang w:val="zh-CN"/>
            </w:rPr>
            <w:t>　</w:t>
          </w:r>
          <w:r>
            <w:rPr>
              <w:rFonts w:hint="eastAsia" w:ascii="宋体" w:hAnsi="宋体" w:cs="宋体"/>
              <w:bCs/>
              <w:kern w:val="2"/>
              <w:sz w:val="32"/>
              <w:szCs w:val="32"/>
            </w:rPr>
            <w:t>采购内容及要求</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_Toc18298 </w:instrText>
          </w:r>
          <w:r>
            <w:rPr>
              <w:rFonts w:hint="eastAsia" w:ascii="宋体" w:hAnsi="宋体" w:cs="宋体"/>
              <w:sz w:val="32"/>
              <w:szCs w:val="32"/>
            </w:rPr>
            <w:fldChar w:fldCharType="separate"/>
          </w:r>
          <w:r>
            <w:rPr>
              <w:rFonts w:hint="eastAsia" w:ascii="宋体" w:hAnsi="宋体" w:cs="宋体"/>
              <w:sz w:val="32"/>
              <w:szCs w:val="32"/>
            </w:rPr>
            <w:t>27</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"_Toc26337" </w:instrText>
          </w:r>
          <w:r>
            <w:fldChar w:fldCharType="separate"/>
          </w:r>
          <w:r>
            <w:rPr>
              <w:rFonts w:hint="eastAsia" w:ascii="宋体" w:hAnsi="宋体" w:cs="宋体"/>
              <w:bCs/>
              <w:sz w:val="32"/>
              <w:szCs w:val="32"/>
            </w:rPr>
            <w:t>第六章　合同草案条款</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_Toc26337 </w:instrText>
          </w:r>
          <w:r>
            <w:rPr>
              <w:rFonts w:hint="eastAsia" w:ascii="宋体" w:hAnsi="宋体" w:cs="宋体"/>
              <w:sz w:val="32"/>
              <w:szCs w:val="32"/>
            </w:rPr>
            <w:fldChar w:fldCharType="separate"/>
          </w:r>
          <w:r>
            <w:rPr>
              <w:rFonts w:hint="eastAsia" w:ascii="宋体" w:hAnsi="宋体" w:cs="宋体"/>
              <w:sz w:val="32"/>
              <w:szCs w:val="32"/>
            </w:rPr>
            <w:t>28</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spacing w:line="360" w:lineRule="auto"/>
            <w:rPr>
              <w:rFonts w:ascii="宋体" w:hAnsi="宋体" w:cs="宋体"/>
              <w:sz w:val="32"/>
              <w:szCs w:val="32"/>
            </w:rPr>
          </w:pPr>
          <w:r>
            <w:fldChar w:fldCharType="begin"/>
          </w:r>
          <w:r>
            <w:instrText xml:space="preserve"> HYPERLINK \l "_Toc17185" </w:instrText>
          </w:r>
          <w:r>
            <w:fldChar w:fldCharType="separate"/>
          </w:r>
          <w:r>
            <w:rPr>
              <w:rFonts w:hint="eastAsia" w:ascii="宋体" w:hAnsi="宋体" w:cs="宋体"/>
              <w:bCs/>
              <w:sz w:val="32"/>
              <w:szCs w:val="32"/>
              <w:lang w:val="zh-CN"/>
            </w:rPr>
            <w:t>第七章　响应文件格式</w:t>
          </w:r>
          <w:r>
            <w:rPr>
              <w:rFonts w:hint="eastAsia" w:ascii="宋体" w:hAnsi="宋体" w:cs="宋体"/>
              <w:sz w:val="32"/>
              <w:szCs w:val="32"/>
            </w:rPr>
            <w:tab/>
          </w:r>
          <w:r>
            <w:rPr>
              <w:rFonts w:hint="eastAsia" w:ascii="宋体" w:hAnsi="宋体" w:cs="宋体"/>
              <w:sz w:val="32"/>
              <w:szCs w:val="32"/>
            </w:rPr>
            <w:fldChar w:fldCharType="begin"/>
          </w:r>
          <w:r>
            <w:rPr>
              <w:rFonts w:hint="eastAsia" w:ascii="宋体" w:hAnsi="宋体" w:cs="宋体"/>
              <w:sz w:val="32"/>
              <w:szCs w:val="32"/>
            </w:rPr>
            <w:instrText xml:space="preserve"> PAGEREF _Toc17185 </w:instrText>
          </w:r>
          <w:r>
            <w:rPr>
              <w:rFonts w:hint="eastAsia" w:ascii="宋体" w:hAnsi="宋体" w:cs="宋体"/>
              <w:sz w:val="32"/>
              <w:szCs w:val="32"/>
            </w:rPr>
            <w:fldChar w:fldCharType="separate"/>
          </w:r>
          <w:r>
            <w:rPr>
              <w:rFonts w:hint="eastAsia" w:ascii="宋体" w:hAnsi="宋体" w:cs="宋体"/>
              <w:sz w:val="32"/>
              <w:szCs w:val="32"/>
            </w:rPr>
            <w:t>71</w:t>
          </w:r>
          <w:r>
            <w:rPr>
              <w:rFonts w:hint="eastAsia" w:ascii="宋体" w:hAnsi="宋体" w:cs="宋体"/>
              <w:sz w:val="32"/>
              <w:szCs w:val="32"/>
            </w:rPr>
            <w:fldChar w:fldCharType="end"/>
          </w:r>
          <w:r>
            <w:rPr>
              <w:rFonts w:hint="eastAsia" w:ascii="宋体" w:hAnsi="宋体" w:cs="宋体"/>
              <w:sz w:val="32"/>
              <w:szCs w:val="32"/>
            </w:rPr>
            <w:fldChar w:fldCharType="end"/>
          </w:r>
        </w:p>
        <w:p>
          <w:pPr>
            <w:pStyle w:val="66"/>
            <w:tabs>
              <w:tab w:val="right" w:leader="dot" w:pos="8986"/>
            </w:tabs>
          </w:pPr>
        </w:p>
        <w:p>
          <w:pPr>
            <w:jc w:val="left"/>
            <w:rPr>
              <w:sz w:val="28"/>
              <w:szCs w:val="28"/>
            </w:rPr>
          </w:pPr>
          <w:r>
            <w:rPr>
              <w:szCs w:val="28"/>
            </w:rPr>
            <w:fldChar w:fldCharType="end"/>
          </w:r>
        </w:p>
      </w:sdtContent>
    </w:sdt>
    <w:p>
      <w:pPr>
        <w:jc w:val="left"/>
        <w:rPr>
          <w:sz w:val="28"/>
          <w:szCs w:val="28"/>
        </w:rPr>
      </w:pPr>
    </w:p>
    <w:p>
      <w:pPr>
        <w:pStyle w:val="4"/>
        <w:numPr>
          <w:ilvl w:val="0"/>
          <w:numId w:val="0"/>
        </w:numPr>
        <w:adjustRightInd w:val="0"/>
        <w:snapToGrid w:val="0"/>
        <w:spacing w:afterLines="50" w:line="360" w:lineRule="auto"/>
        <w:rPr>
          <w:rFonts w:ascii="Times New Roman" w:eastAsia="宋体"/>
          <w:b/>
          <w:bCs/>
          <w:sz w:val="32"/>
          <w:szCs w:val="32"/>
        </w:rPr>
        <w:sectPr>
          <w:headerReference r:id="rId7" w:type="first"/>
          <w:footerReference r:id="rId9" w:type="first"/>
          <w:headerReference r:id="rId6" w:type="default"/>
          <w:footerReference r:id="rId8" w:type="default"/>
          <w:pgSz w:w="11906" w:h="16838"/>
          <w:pgMar w:top="1440" w:right="1457" w:bottom="1440" w:left="1463" w:header="851" w:footer="992" w:gutter="0"/>
          <w:pgNumType w:start="1"/>
          <w:cols w:space="0" w:num="1"/>
          <w:titlePg/>
          <w:docGrid w:type="lines" w:linePitch="312" w:charSpace="0"/>
        </w:sectPr>
      </w:pPr>
    </w:p>
    <w:p>
      <w:pPr>
        <w:pStyle w:val="4"/>
        <w:numPr>
          <w:ilvl w:val="0"/>
          <w:numId w:val="0"/>
        </w:numPr>
        <w:adjustRightInd w:val="0"/>
        <w:snapToGrid w:val="0"/>
        <w:spacing w:afterLines="50" w:line="360" w:lineRule="auto"/>
        <w:rPr>
          <w:rFonts w:asciiTheme="majorEastAsia" w:hAnsiTheme="majorEastAsia" w:eastAsiaTheme="majorEastAsia" w:cstheme="majorEastAsia"/>
          <w:b/>
          <w:bCs/>
          <w:sz w:val="32"/>
          <w:szCs w:val="32"/>
        </w:rPr>
      </w:pPr>
      <w:bookmarkStart w:id="0" w:name="_Toc12126"/>
      <w:r>
        <w:rPr>
          <w:rFonts w:hint="eastAsia" w:asciiTheme="majorEastAsia" w:hAnsiTheme="majorEastAsia" w:eastAsiaTheme="majorEastAsia" w:cstheme="majorEastAsia"/>
          <w:b/>
          <w:bCs/>
          <w:sz w:val="32"/>
          <w:szCs w:val="32"/>
        </w:rPr>
        <w:t>第一章　磋商公告</w:t>
      </w:r>
      <w:bookmarkEnd w:id="0"/>
    </w:p>
    <w:p>
      <w:pPr>
        <w:pStyle w:val="43"/>
        <w:spacing w:beforeAutospacing="0" w:afterAutospacing="0" w:line="360" w:lineRule="auto"/>
        <w:ind w:firstLine="480" w:firstLineChars="200"/>
        <w:jc w:val="both"/>
        <w:rPr>
          <w:b/>
          <w:highlight w:val="none"/>
        </w:rPr>
      </w:pPr>
      <w:r>
        <w:rPr>
          <w:rFonts w:hint="eastAsia"/>
          <w:bCs/>
        </w:rPr>
        <w:t>西安市高陵区银王中心小学户外提升改造项目招标项目潜在的供应商可在西安市未央区凤城九路与明光路十字中登文景大厦A座1508室获取采购文件，</w:t>
      </w:r>
      <w:r>
        <w:rPr>
          <w:rFonts w:hint="eastAsia"/>
          <w:bCs/>
          <w:highlight w:val="none"/>
        </w:rPr>
        <w:t>并于</w:t>
      </w:r>
      <w:r>
        <w:rPr>
          <w:rFonts w:hint="eastAsia"/>
          <w:highlight w:val="none"/>
        </w:rPr>
        <w:t>2021-0</w:t>
      </w:r>
      <w:r>
        <w:rPr>
          <w:rFonts w:hint="eastAsia"/>
          <w:highlight w:val="none"/>
          <w:lang w:val="en-US" w:eastAsia="zh-CN"/>
        </w:rPr>
        <w:t>6</w:t>
      </w:r>
      <w:r>
        <w:rPr>
          <w:rFonts w:hint="eastAsia"/>
          <w:highlight w:val="none"/>
        </w:rPr>
        <w:t xml:space="preserve">- </w:t>
      </w:r>
      <w:r>
        <w:rPr>
          <w:rFonts w:hint="eastAsia"/>
          <w:highlight w:val="none"/>
          <w:lang w:val="en-US" w:eastAsia="zh-CN"/>
        </w:rPr>
        <w:t>10</w:t>
      </w:r>
      <w:r>
        <w:rPr>
          <w:rFonts w:hint="eastAsia"/>
          <w:highlight w:val="none"/>
        </w:rPr>
        <w:t xml:space="preserve">  </w:t>
      </w:r>
      <w:r>
        <w:rPr>
          <w:rFonts w:hint="eastAsia"/>
          <w:bCs/>
          <w:highlight w:val="none"/>
          <w:lang w:val="en-US" w:eastAsia="zh-CN"/>
        </w:rPr>
        <w:t>15</w:t>
      </w:r>
      <w:r>
        <w:rPr>
          <w:rFonts w:hint="eastAsia"/>
          <w:bCs/>
          <w:highlight w:val="none"/>
        </w:rPr>
        <w:t>:30:00前递交响应文件。</w:t>
      </w:r>
    </w:p>
    <w:p>
      <w:pPr>
        <w:pStyle w:val="43"/>
        <w:numPr>
          <w:ilvl w:val="0"/>
          <w:numId w:val="2"/>
        </w:numPr>
        <w:spacing w:beforeAutospacing="0" w:afterAutospacing="0" w:line="360" w:lineRule="auto"/>
        <w:rPr>
          <w:sz w:val="28"/>
          <w:szCs w:val="28"/>
        </w:rPr>
      </w:pPr>
      <w:r>
        <w:rPr>
          <w:rFonts w:hint="eastAsia"/>
          <w:b/>
          <w:sz w:val="28"/>
          <w:szCs w:val="28"/>
        </w:rPr>
        <w:t>项目基本情况：</w:t>
      </w:r>
    </w:p>
    <w:p>
      <w:pPr>
        <w:pStyle w:val="43"/>
        <w:spacing w:beforeAutospacing="0" w:afterAutospacing="0" w:line="360" w:lineRule="auto"/>
        <w:ind w:firstLine="420"/>
      </w:pPr>
      <w:r>
        <w:rPr>
          <w:rFonts w:hint="eastAsia"/>
        </w:rPr>
        <w:t>1、项目编号</w:t>
      </w:r>
      <w:r>
        <w:rPr>
          <w:rFonts w:hint="eastAsia"/>
          <w:highlight w:val="none"/>
        </w:rPr>
        <w:t>：TZZB-2021026G</w:t>
      </w:r>
    </w:p>
    <w:p>
      <w:pPr>
        <w:pStyle w:val="43"/>
        <w:spacing w:beforeAutospacing="0" w:afterAutospacing="0" w:line="360" w:lineRule="auto"/>
        <w:ind w:firstLine="420"/>
      </w:pPr>
      <w:r>
        <w:rPr>
          <w:rFonts w:hint="eastAsia"/>
        </w:rPr>
        <w:t>2、项目名称：西安市高陵区银王中心小学户外提升改造项目</w:t>
      </w:r>
    </w:p>
    <w:p>
      <w:pPr>
        <w:pStyle w:val="43"/>
        <w:spacing w:beforeAutospacing="0" w:afterAutospacing="0" w:line="360" w:lineRule="auto"/>
        <w:ind w:firstLine="420"/>
      </w:pPr>
      <w:r>
        <w:rPr>
          <w:rFonts w:hint="eastAsia"/>
        </w:rPr>
        <w:t>3、预算金额：</w:t>
      </w:r>
      <w:r>
        <w:rPr>
          <w:rFonts w:hint="eastAsia"/>
          <w:lang w:eastAsia="zh-CN"/>
        </w:rPr>
        <w:t>1600000</w:t>
      </w:r>
      <w:r>
        <w:rPr>
          <w:rFonts w:hint="eastAsia"/>
        </w:rPr>
        <w:t>.00元</w:t>
      </w:r>
    </w:p>
    <w:p>
      <w:pPr>
        <w:pStyle w:val="43"/>
        <w:spacing w:beforeAutospacing="0" w:afterAutospacing="0" w:line="360" w:lineRule="auto"/>
        <w:ind w:firstLine="420"/>
      </w:pPr>
      <w:r>
        <w:rPr>
          <w:rFonts w:hint="eastAsia"/>
        </w:rPr>
        <w:t>4、最高限价：</w:t>
      </w:r>
      <w:r>
        <w:rPr>
          <w:rFonts w:hint="eastAsia"/>
          <w:highlight w:val="none"/>
          <w:lang w:eastAsia="zh-CN"/>
        </w:rPr>
        <w:t>1598054.75</w:t>
      </w:r>
      <w:r>
        <w:rPr>
          <w:rFonts w:hint="eastAsia"/>
          <w:highlight w:val="none"/>
        </w:rPr>
        <w:t>元</w:t>
      </w:r>
    </w:p>
    <w:p>
      <w:pPr>
        <w:pStyle w:val="43"/>
        <w:spacing w:beforeAutospacing="0" w:afterAutospacing="0" w:line="360" w:lineRule="auto"/>
        <w:ind w:firstLine="420"/>
      </w:pPr>
      <w:r>
        <w:rPr>
          <w:rFonts w:hint="eastAsia"/>
        </w:rPr>
        <w:t>5、采购需求：西安市高陵区银王中心小学户外提升改造项目，1项，采购预算：1</w:t>
      </w:r>
      <w:r>
        <w:rPr>
          <w:rFonts w:hint="eastAsia"/>
          <w:lang w:val="en-US" w:eastAsia="zh-CN"/>
        </w:rPr>
        <w:t>60</w:t>
      </w:r>
      <w:r>
        <w:rPr>
          <w:rFonts w:hint="eastAsia"/>
        </w:rPr>
        <w:t>0000.00元，项目概况：西安市高陵区银王中心小学户外提升改造项目</w:t>
      </w:r>
      <w:r>
        <w:rPr>
          <w:rFonts w:hint="eastAsia"/>
          <w:lang w:eastAsia="zh-CN"/>
        </w:rPr>
        <w:t>，工作内容为</w:t>
      </w:r>
      <w:r>
        <w:rPr>
          <w:rFonts w:hint="eastAsia"/>
          <w:lang w:val="en-US" w:eastAsia="zh-CN"/>
        </w:rPr>
        <w:t>道路</w:t>
      </w:r>
      <w:r>
        <w:rPr>
          <w:rFonts w:hint="eastAsia"/>
          <w:lang w:eastAsia="zh-CN"/>
        </w:rPr>
        <w:t>改造、</w:t>
      </w:r>
      <w:r>
        <w:rPr>
          <w:rFonts w:hint="eastAsia"/>
          <w:lang w:val="en-US" w:eastAsia="zh-CN"/>
        </w:rPr>
        <w:t>操场铺种草皮及塑胶跑道、</w:t>
      </w:r>
      <w:r>
        <w:rPr>
          <w:rFonts w:hint="eastAsia"/>
          <w:lang w:eastAsia="zh-CN"/>
        </w:rPr>
        <w:t>新砌围墙、</w:t>
      </w:r>
      <w:r>
        <w:rPr>
          <w:rFonts w:hint="eastAsia"/>
          <w:lang w:val="en-US" w:eastAsia="zh-CN"/>
        </w:rPr>
        <w:t>拆除工程及</w:t>
      </w:r>
      <w:r>
        <w:rPr>
          <w:rFonts w:hint="eastAsia"/>
          <w:lang w:eastAsia="zh-CN"/>
        </w:rPr>
        <w:t>新</w:t>
      </w:r>
      <w:r>
        <w:rPr>
          <w:rFonts w:hint="eastAsia"/>
          <w:lang w:val="en-US" w:eastAsia="zh-CN"/>
        </w:rPr>
        <w:t>建</w:t>
      </w:r>
      <w:r>
        <w:rPr>
          <w:rFonts w:hint="eastAsia"/>
          <w:lang w:eastAsia="zh-CN"/>
        </w:rPr>
        <w:t>零星</w:t>
      </w:r>
      <w:r>
        <w:rPr>
          <w:rFonts w:hint="eastAsia"/>
          <w:lang w:val="en-US" w:eastAsia="zh-CN"/>
        </w:rPr>
        <w:t>等</w:t>
      </w:r>
      <w:r>
        <w:rPr>
          <w:rFonts w:hint="eastAsia"/>
          <w:lang w:eastAsia="zh-CN"/>
        </w:rPr>
        <w:t>工程施工</w:t>
      </w:r>
      <w:r>
        <w:rPr>
          <w:rFonts w:hint="eastAsia"/>
        </w:rPr>
        <w:t>。简要技术要求、用途：自用</w:t>
      </w:r>
    </w:p>
    <w:p>
      <w:pPr>
        <w:pStyle w:val="43"/>
        <w:spacing w:beforeAutospacing="0" w:afterAutospacing="0" w:line="360" w:lineRule="auto"/>
        <w:ind w:firstLine="420"/>
      </w:pPr>
      <w:r>
        <w:rPr>
          <w:rFonts w:hint="eastAsia"/>
        </w:rPr>
        <w:t>6、合同履行期限</w:t>
      </w:r>
      <w:r>
        <w:rPr>
          <w:rFonts w:hint="eastAsia"/>
          <w:highlight w:val="none"/>
        </w:rPr>
        <w:t>：2021-0</w:t>
      </w:r>
      <w:r>
        <w:rPr>
          <w:rFonts w:hint="eastAsia"/>
          <w:highlight w:val="none"/>
          <w:lang w:val="en-US" w:eastAsia="zh-CN"/>
        </w:rPr>
        <w:t>6</w:t>
      </w:r>
      <w:r>
        <w:rPr>
          <w:rFonts w:hint="eastAsia"/>
          <w:highlight w:val="none"/>
        </w:rPr>
        <w:t>-</w:t>
      </w:r>
      <w:r>
        <w:rPr>
          <w:rFonts w:hint="eastAsia"/>
          <w:highlight w:val="none"/>
          <w:lang w:val="en-US" w:eastAsia="zh-CN"/>
        </w:rPr>
        <w:t>15</w:t>
      </w:r>
      <w:r>
        <w:rPr>
          <w:rFonts w:hint="eastAsia"/>
          <w:highlight w:val="none"/>
        </w:rPr>
        <w:t xml:space="preserve">  00:00:00 至 2021- </w:t>
      </w:r>
      <w:r>
        <w:rPr>
          <w:rFonts w:hint="eastAsia"/>
          <w:highlight w:val="none"/>
          <w:lang w:val="en-US" w:eastAsia="zh-CN"/>
        </w:rPr>
        <w:t>08</w:t>
      </w:r>
      <w:r>
        <w:rPr>
          <w:rFonts w:hint="eastAsia"/>
          <w:highlight w:val="none"/>
        </w:rPr>
        <w:t xml:space="preserve"> - </w:t>
      </w:r>
      <w:r>
        <w:rPr>
          <w:rFonts w:hint="eastAsia"/>
          <w:highlight w:val="none"/>
          <w:lang w:val="en-US" w:eastAsia="zh-CN"/>
        </w:rPr>
        <w:t>23</w:t>
      </w:r>
      <w:r>
        <w:rPr>
          <w:rFonts w:hint="eastAsia"/>
          <w:highlight w:val="none"/>
        </w:rPr>
        <w:t xml:space="preserve"> </w:t>
      </w:r>
      <w:r>
        <w:rPr>
          <w:rFonts w:hint="eastAsia"/>
          <w:highlight w:val="none"/>
          <w:lang w:val="en-US" w:eastAsia="zh-CN"/>
        </w:rPr>
        <w:t>23</w:t>
      </w:r>
      <w:r>
        <w:rPr>
          <w:rFonts w:hint="eastAsia"/>
          <w:highlight w:val="none"/>
        </w:rPr>
        <w:t>:</w:t>
      </w:r>
      <w:r>
        <w:rPr>
          <w:rFonts w:hint="eastAsia"/>
          <w:highlight w:val="none"/>
          <w:lang w:val="en-US" w:eastAsia="zh-CN"/>
        </w:rPr>
        <w:t>59</w:t>
      </w:r>
      <w:r>
        <w:rPr>
          <w:rFonts w:hint="eastAsia"/>
          <w:highlight w:val="none"/>
        </w:rPr>
        <w:t>:</w:t>
      </w:r>
      <w:r>
        <w:rPr>
          <w:rFonts w:hint="eastAsia"/>
          <w:highlight w:val="none"/>
          <w:lang w:val="en-US" w:eastAsia="zh-CN"/>
        </w:rPr>
        <w:t>59</w:t>
      </w:r>
      <w:r>
        <w:rPr>
          <w:rFonts w:hint="eastAsia"/>
          <w:highlight w:val="none"/>
        </w:rPr>
        <w:t>（</w:t>
      </w:r>
      <w:r>
        <w:rPr>
          <w:rFonts w:hint="eastAsia"/>
        </w:rPr>
        <w:t>具体服务起止日期可随合同签订时间相应顺延）</w:t>
      </w:r>
    </w:p>
    <w:p>
      <w:pPr>
        <w:pStyle w:val="43"/>
        <w:spacing w:beforeAutospacing="0" w:afterAutospacing="0" w:line="360" w:lineRule="auto"/>
        <w:ind w:firstLine="420"/>
      </w:pPr>
      <w:r>
        <w:rPr>
          <w:rFonts w:hint="eastAsia"/>
        </w:rPr>
        <w:t>7、本项目是否接受联合体磋商：否</w:t>
      </w:r>
    </w:p>
    <w:p>
      <w:pPr>
        <w:pStyle w:val="43"/>
        <w:numPr>
          <w:ilvl w:val="0"/>
          <w:numId w:val="2"/>
        </w:numPr>
        <w:spacing w:beforeAutospacing="0" w:afterAutospacing="0" w:line="360" w:lineRule="auto"/>
        <w:rPr>
          <w:sz w:val="28"/>
          <w:szCs w:val="28"/>
        </w:rPr>
      </w:pPr>
      <w:r>
        <w:rPr>
          <w:rFonts w:hint="eastAsia"/>
          <w:b/>
          <w:sz w:val="28"/>
          <w:szCs w:val="28"/>
        </w:rPr>
        <w:t xml:space="preserve">响应供应商的资格要求 </w:t>
      </w:r>
    </w:p>
    <w:p>
      <w:pPr>
        <w:pStyle w:val="43"/>
        <w:spacing w:beforeAutospacing="0" w:afterAutospacing="0" w:line="360" w:lineRule="auto"/>
        <w:ind w:firstLine="420"/>
      </w:pPr>
      <w:r>
        <w:rPr>
          <w:rFonts w:hint="eastAsia"/>
        </w:rPr>
        <w:t>1、满足《中华人民共和国政府采购法》第二十二条规定</w:t>
      </w:r>
    </w:p>
    <w:p>
      <w:pPr>
        <w:pStyle w:val="43"/>
        <w:spacing w:beforeAutospacing="0" w:afterAutospacing="0" w:line="360" w:lineRule="auto"/>
        <w:ind w:firstLine="420"/>
      </w:pPr>
      <w:r>
        <w:rPr>
          <w:rFonts w:hint="eastAsia"/>
        </w:rPr>
        <w:t>2、落实政府采购政策需满足的资格要求：1、《政府采购促进中小企业发展管理办法》（财库〔2020〕46号）； 2、《财政部、司法部关于政府采购支持监狱企业发展有关问题的通知》（财库〔2014〕68号）； 3、《民政部、财政部、中国残疾人联合会关于促进残疾人就业政府采购政策的通知》（财库〔2017〕141号）； 4、 《国务院办公厅关于建立政府强制采购节能产品制度的通知》（国办发〔2007〕51号）；5、《财政部、国家环保总局关于环境标志产品政府采购实施的意见》（财库[2006]90号）；6、《财政部办公厅关于政府采购进口产品管理有关问题的通知》（财办库[2008]248号）；7、其他需要落实的政府采购政策。</w:t>
      </w:r>
    </w:p>
    <w:p>
      <w:pPr>
        <w:autoSpaceDE w:val="0"/>
        <w:autoSpaceDN w:val="0"/>
        <w:spacing w:line="360" w:lineRule="auto"/>
        <w:ind w:firstLine="480" w:firstLineChars="200"/>
        <w:jc w:val="left"/>
      </w:pPr>
      <w:r>
        <w:rPr>
          <w:rFonts w:hint="eastAsia" w:ascii="宋体" w:hAnsi="宋体" w:cs="宋体"/>
          <w:kern w:val="0"/>
          <w:sz w:val="24"/>
          <w:szCs w:val="22"/>
        </w:rPr>
        <w:t>3、本项目的特定资格要求：</w:t>
      </w:r>
      <w:r>
        <w:rPr>
          <w:rFonts w:hint="eastAsia" w:ascii="宋体" w:hAnsi="宋体" w:cs="宋体"/>
          <w:sz w:val="24"/>
        </w:rPr>
        <w:t>1、具有合格有效的企业法人营业执照、税务登记证、组织机构代码证（或三证合一营业执照）； 2、磋商响应单位应授权合法的人员参加磋商全过程，其中法定代表人直接参加磋商的，须出具法人身份证，并与营业执照上信息一致。法定代表人授权代表参加磋商的，须出具法定代表人授权书及授权代表身份证； 3、具备建设部门颁发的建筑工程施工总承包三级（含）以上资质，具有有效的安全生产许可证； 4、拟委派项目经理须具有相关专业贰级（含）以上注册建造师资质并具有安全生产考核合格证，在本单位注册且无在建工程； 5、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6、税收缴纳证明：提供</w:t>
      </w:r>
      <w:r>
        <w:rPr>
          <w:rFonts w:hint="eastAsia" w:ascii="宋体" w:hAnsi="宋体" w:cs="宋体"/>
          <w:sz w:val="24"/>
          <w:lang w:eastAsia="zh-CN"/>
        </w:rPr>
        <w:t>2021年1月</w:t>
      </w:r>
      <w:r>
        <w:rPr>
          <w:rFonts w:hint="eastAsia" w:ascii="宋体" w:hAnsi="宋体" w:cs="宋体"/>
          <w:sz w:val="24"/>
        </w:rPr>
        <w:t>至今已缴纳的至少一个月的纳税证明或完税证明（任意税种），依法免税的单位应提供相关证明材料； 7、社会保障资金缴纳证明：提供</w:t>
      </w:r>
      <w:r>
        <w:rPr>
          <w:rFonts w:hint="eastAsia" w:ascii="宋体" w:hAnsi="宋体" w:cs="宋体"/>
          <w:sz w:val="24"/>
          <w:lang w:eastAsia="zh-CN"/>
        </w:rPr>
        <w:t>2021年1月</w:t>
      </w:r>
      <w:r>
        <w:rPr>
          <w:rFonts w:hint="eastAsia" w:ascii="宋体" w:hAnsi="宋体" w:cs="宋体"/>
          <w:sz w:val="24"/>
        </w:rPr>
        <w:t>至今已缴存的至少一个月的社会保障资金缴存单据或社保机构开具的社会保险参保缴费情况证明，依法不需要缴纳社会保障资金的单位应提供相关证明材料； 8、财务状况报告：提供供应商2019年经审计的财务报告或磋商前三个月内开户银行开具的资信证明； 9、参加政府采购活动前三年内，在经营活动中没有重大违法记录的书面声明； 10、磋商响应单位负责人不得为同一人或者存在控股、管理关系。</w:t>
      </w:r>
    </w:p>
    <w:p>
      <w:pPr>
        <w:pStyle w:val="43"/>
        <w:numPr>
          <w:ilvl w:val="0"/>
          <w:numId w:val="2"/>
        </w:numPr>
        <w:spacing w:beforeAutospacing="0" w:afterAutospacing="0" w:line="360" w:lineRule="auto"/>
        <w:rPr>
          <w:sz w:val="28"/>
          <w:szCs w:val="28"/>
        </w:rPr>
      </w:pPr>
      <w:r>
        <w:rPr>
          <w:rFonts w:hint="eastAsia"/>
          <w:b/>
          <w:sz w:val="28"/>
          <w:szCs w:val="28"/>
        </w:rPr>
        <w:t xml:space="preserve">采购文件的获取方式 </w:t>
      </w:r>
    </w:p>
    <w:p>
      <w:pPr>
        <w:pStyle w:val="43"/>
        <w:spacing w:beforeAutospacing="0" w:afterAutospacing="0" w:line="360" w:lineRule="auto"/>
        <w:ind w:firstLine="420"/>
      </w:pPr>
      <w:r>
        <w:rPr>
          <w:rFonts w:hint="eastAsia"/>
        </w:rPr>
        <w:t>时间：即日</w:t>
      </w:r>
      <w:r>
        <w:rPr>
          <w:rFonts w:hint="eastAsia"/>
          <w:highlight w:val="none"/>
        </w:rPr>
        <w:t>起至2021-0</w:t>
      </w:r>
      <w:r>
        <w:rPr>
          <w:rFonts w:hint="eastAsia"/>
          <w:highlight w:val="none"/>
          <w:lang w:val="en-US" w:eastAsia="zh-CN"/>
        </w:rPr>
        <w:t>6</w:t>
      </w:r>
      <w:r>
        <w:rPr>
          <w:rFonts w:hint="eastAsia"/>
          <w:highlight w:val="none"/>
        </w:rPr>
        <w:t>-</w:t>
      </w:r>
      <w:r>
        <w:rPr>
          <w:rFonts w:hint="eastAsia"/>
          <w:highlight w:val="none"/>
          <w:lang w:val="en-US" w:eastAsia="zh-CN"/>
        </w:rPr>
        <w:t>04</w:t>
      </w:r>
      <w:r>
        <w:rPr>
          <w:rFonts w:hint="eastAsia"/>
          <w:highlight w:val="none"/>
        </w:rPr>
        <w:t xml:space="preserve">  17:00:00止</w:t>
      </w:r>
    </w:p>
    <w:p>
      <w:pPr>
        <w:pStyle w:val="43"/>
        <w:spacing w:beforeAutospacing="0" w:afterAutospacing="0" w:line="360" w:lineRule="auto"/>
        <w:ind w:firstLine="420"/>
      </w:pPr>
      <w:r>
        <w:rPr>
          <w:rFonts w:hint="eastAsia"/>
        </w:rPr>
        <w:t>地点：西安市未央区凤城九路与明光路十字中登文景大厦A座1508室</w:t>
      </w:r>
    </w:p>
    <w:p>
      <w:pPr>
        <w:pStyle w:val="43"/>
        <w:spacing w:beforeAutospacing="0" w:afterAutospacing="0" w:line="360" w:lineRule="auto"/>
        <w:ind w:firstLine="420"/>
      </w:pPr>
      <w:r>
        <w:rPr>
          <w:rFonts w:hint="eastAsia"/>
        </w:rPr>
        <w:t>方式：现场购买/邮寄</w:t>
      </w:r>
    </w:p>
    <w:p>
      <w:pPr>
        <w:pStyle w:val="43"/>
        <w:spacing w:beforeAutospacing="0" w:afterAutospacing="0" w:line="360" w:lineRule="auto"/>
        <w:ind w:firstLine="420"/>
      </w:pPr>
      <w:r>
        <w:rPr>
          <w:rFonts w:hint="eastAsia"/>
        </w:rPr>
        <w:t xml:space="preserve">售价：免费赠送 </w:t>
      </w:r>
    </w:p>
    <w:p>
      <w:pPr>
        <w:pStyle w:val="43"/>
        <w:spacing w:beforeAutospacing="0" w:afterAutospacing="0" w:line="360" w:lineRule="auto"/>
        <w:ind w:firstLine="420"/>
        <w:rPr>
          <w:bCs/>
        </w:rPr>
      </w:pPr>
      <w:r>
        <w:rPr>
          <w:rStyle w:val="51"/>
          <w:rFonts w:hint="eastAsia"/>
          <w:b w:val="0"/>
        </w:rPr>
        <w:t>注：获取采购文件时请携带单位介绍信和经办人身份证原件及加盖公章的复印件。</w:t>
      </w:r>
    </w:p>
    <w:p>
      <w:pPr>
        <w:pStyle w:val="43"/>
        <w:spacing w:beforeAutospacing="0" w:afterAutospacing="0" w:line="360" w:lineRule="auto"/>
        <w:rPr>
          <w:b/>
          <w:sz w:val="28"/>
          <w:szCs w:val="28"/>
        </w:rPr>
      </w:pPr>
      <w:r>
        <w:rPr>
          <w:rFonts w:hint="eastAsia"/>
          <w:b/>
          <w:sz w:val="28"/>
          <w:szCs w:val="28"/>
        </w:rPr>
        <w:t xml:space="preserve">四、响应文件递交 </w:t>
      </w:r>
    </w:p>
    <w:p>
      <w:pPr>
        <w:pStyle w:val="43"/>
        <w:spacing w:beforeAutospacing="0" w:afterAutospacing="0" w:line="360" w:lineRule="auto"/>
        <w:ind w:firstLine="420"/>
      </w:pPr>
      <w:r>
        <w:rPr>
          <w:rFonts w:hint="eastAsia"/>
        </w:rPr>
        <w:t>截止时间</w:t>
      </w:r>
      <w:r>
        <w:rPr>
          <w:rFonts w:hint="eastAsia"/>
          <w:highlight w:val="none"/>
        </w:rPr>
        <w:t>： 2021-0</w:t>
      </w:r>
      <w:r>
        <w:rPr>
          <w:rFonts w:hint="eastAsia"/>
          <w:highlight w:val="none"/>
          <w:lang w:val="en-US" w:eastAsia="zh-CN"/>
        </w:rPr>
        <w:t>6</w:t>
      </w:r>
      <w:r>
        <w:rPr>
          <w:rFonts w:hint="eastAsia"/>
          <w:highlight w:val="none"/>
        </w:rPr>
        <w:t>-</w:t>
      </w:r>
      <w:r>
        <w:rPr>
          <w:rFonts w:hint="eastAsia"/>
          <w:highlight w:val="none"/>
          <w:lang w:val="en-US" w:eastAsia="zh-CN"/>
        </w:rPr>
        <w:t>10</w:t>
      </w:r>
      <w:r>
        <w:rPr>
          <w:rFonts w:hint="eastAsia"/>
          <w:highlight w:val="none"/>
        </w:rPr>
        <w:t xml:space="preserve">  </w:t>
      </w:r>
      <w:r>
        <w:rPr>
          <w:rFonts w:hint="eastAsia"/>
          <w:highlight w:val="none"/>
          <w:lang w:val="en-US" w:eastAsia="zh-CN"/>
        </w:rPr>
        <w:t>15</w:t>
      </w:r>
      <w:r>
        <w:rPr>
          <w:rFonts w:hint="eastAsia"/>
          <w:highlight w:val="none"/>
        </w:rPr>
        <w:t>:30:00</w:t>
      </w:r>
    </w:p>
    <w:p>
      <w:pPr>
        <w:pStyle w:val="43"/>
        <w:spacing w:beforeAutospacing="0" w:afterAutospacing="0" w:line="360" w:lineRule="auto"/>
        <w:ind w:firstLine="420"/>
      </w:pPr>
      <w:r>
        <w:rPr>
          <w:rFonts w:hint="eastAsia"/>
        </w:rPr>
        <w:t>地点：西安市未央区凤城九路与明光路十字中登文景大厦A座1508室</w:t>
      </w:r>
    </w:p>
    <w:p>
      <w:pPr>
        <w:pStyle w:val="43"/>
        <w:spacing w:beforeAutospacing="0" w:afterAutospacing="0" w:line="360" w:lineRule="auto"/>
        <w:rPr>
          <w:b/>
          <w:sz w:val="28"/>
          <w:szCs w:val="28"/>
        </w:rPr>
      </w:pPr>
      <w:r>
        <w:rPr>
          <w:rFonts w:hint="eastAsia"/>
          <w:b/>
          <w:sz w:val="28"/>
          <w:szCs w:val="28"/>
        </w:rPr>
        <w:t>五、公告期限</w:t>
      </w:r>
    </w:p>
    <w:p>
      <w:pPr>
        <w:pStyle w:val="43"/>
        <w:spacing w:beforeAutospacing="0" w:afterAutospacing="0" w:line="360" w:lineRule="auto"/>
        <w:ind w:firstLine="420"/>
      </w:pPr>
      <w:r>
        <w:rPr>
          <w:rFonts w:hint="eastAsia"/>
        </w:rPr>
        <w:t>自本公告发布之日起3个工作日。</w:t>
      </w:r>
    </w:p>
    <w:p>
      <w:pPr>
        <w:pStyle w:val="43"/>
        <w:numPr>
          <w:ilvl w:val="0"/>
          <w:numId w:val="3"/>
        </w:numPr>
        <w:spacing w:beforeAutospacing="0" w:afterAutospacing="0" w:line="360" w:lineRule="auto"/>
        <w:rPr>
          <w:b/>
          <w:sz w:val="28"/>
          <w:szCs w:val="28"/>
        </w:rPr>
      </w:pPr>
      <w:r>
        <w:rPr>
          <w:rFonts w:hint="eastAsia"/>
          <w:b/>
          <w:sz w:val="28"/>
          <w:szCs w:val="28"/>
        </w:rPr>
        <w:t>其他补充事宜</w:t>
      </w:r>
    </w:p>
    <w:p>
      <w:pPr>
        <w:pStyle w:val="43"/>
        <w:spacing w:beforeAutospacing="0" w:afterAutospacing="0" w:line="360" w:lineRule="auto"/>
        <w:rPr>
          <w:b/>
          <w:sz w:val="28"/>
          <w:szCs w:val="28"/>
        </w:rPr>
      </w:pPr>
      <w:r>
        <w:rPr>
          <w:rFonts w:hint="eastAsia"/>
          <w:b/>
          <w:sz w:val="28"/>
          <w:szCs w:val="28"/>
        </w:rPr>
        <w:t>七、对本次采购提出询问，请按以下方式联系</w:t>
      </w:r>
    </w:p>
    <w:p>
      <w:pPr>
        <w:pStyle w:val="43"/>
        <w:spacing w:beforeAutospacing="0" w:afterAutospacing="0" w:line="360" w:lineRule="auto"/>
        <w:ind w:firstLine="720" w:firstLineChars="300"/>
      </w:pPr>
      <w:r>
        <w:rPr>
          <w:rFonts w:hint="eastAsia"/>
        </w:rPr>
        <w:t>1、采购人信息：西安市高陵区药惠银王中心小学</w:t>
      </w:r>
    </w:p>
    <w:p>
      <w:pPr>
        <w:pStyle w:val="43"/>
        <w:spacing w:beforeAutospacing="0" w:afterAutospacing="0" w:line="360" w:lineRule="auto"/>
        <w:ind w:firstLine="720" w:firstLineChars="300"/>
        <w:rPr>
          <w:rFonts w:hint="eastAsia"/>
        </w:rPr>
      </w:pPr>
      <w:r>
        <w:rPr>
          <w:rFonts w:hint="eastAsia"/>
        </w:rPr>
        <w:t>地址：西安市高陵区药惠银王村</w:t>
      </w:r>
    </w:p>
    <w:p>
      <w:pPr>
        <w:pStyle w:val="43"/>
        <w:spacing w:beforeAutospacing="0" w:afterAutospacing="0" w:line="360" w:lineRule="auto"/>
        <w:ind w:firstLine="720" w:firstLineChars="300"/>
      </w:pPr>
      <w:r>
        <w:rPr>
          <w:rFonts w:hint="eastAsia"/>
        </w:rPr>
        <w:t>联系人：秦老师</w:t>
      </w:r>
    </w:p>
    <w:p>
      <w:pPr>
        <w:pStyle w:val="43"/>
        <w:spacing w:beforeAutospacing="0" w:afterAutospacing="0" w:line="360" w:lineRule="auto"/>
        <w:ind w:firstLine="720" w:firstLineChars="300"/>
      </w:pPr>
      <w:r>
        <w:rPr>
          <w:rFonts w:hint="eastAsia"/>
        </w:rPr>
        <w:t>电话：029-86921342</w:t>
      </w:r>
    </w:p>
    <w:p>
      <w:pPr>
        <w:pStyle w:val="43"/>
        <w:spacing w:beforeAutospacing="0" w:afterAutospacing="0" w:line="360" w:lineRule="auto"/>
        <w:ind w:firstLine="720" w:firstLineChars="300"/>
      </w:pPr>
      <w:r>
        <w:rPr>
          <w:rFonts w:hint="eastAsia"/>
        </w:rPr>
        <w:t>2、项目联系方式</w:t>
      </w:r>
    </w:p>
    <w:p>
      <w:pPr>
        <w:pStyle w:val="43"/>
        <w:spacing w:beforeAutospacing="0" w:afterAutospacing="0" w:line="360" w:lineRule="auto"/>
        <w:ind w:firstLine="720" w:firstLineChars="300"/>
        <w:rPr>
          <w:color w:val="0070C0"/>
        </w:rPr>
      </w:pPr>
      <w:r>
        <w:rPr>
          <w:rFonts w:hint="eastAsia"/>
        </w:rPr>
        <w:t>项目联系人：段伟超</w:t>
      </w:r>
    </w:p>
    <w:p>
      <w:pPr>
        <w:pStyle w:val="43"/>
        <w:spacing w:beforeAutospacing="0" w:afterAutospacing="0" w:line="360" w:lineRule="auto"/>
        <w:ind w:firstLine="720" w:firstLineChars="300"/>
      </w:pPr>
      <w:r>
        <w:rPr>
          <w:rFonts w:hint="eastAsia"/>
        </w:rPr>
        <w:t>电 话：</w:t>
      </w:r>
      <w:r>
        <w:rPr>
          <w:rFonts w:hint="eastAsia"/>
          <w:color w:val="000000"/>
        </w:rPr>
        <w:t>029-86522030</w:t>
      </w:r>
    </w:p>
    <w:p>
      <w:pPr>
        <w:pStyle w:val="43"/>
        <w:spacing w:beforeAutospacing="0" w:afterAutospacing="0" w:line="360" w:lineRule="auto"/>
        <w:ind w:firstLine="720" w:firstLineChars="300"/>
      </w:pPr>
      <w:r>
        <w:rPr>
          <w:rFonts w:hint="eastAsia"/>
        </w:rPr>
        <w:t>传 真：</w:t>
      </w:r>
      <w:r>
        <w:rPr>
          <w:rFonts w:hint="eastAsia"/>
          <w:color w:val="000000"/>
        </w:rPr>
        <w:t>029-86522030</w:t>
      </w:r>
    </w:p>
    <w:p>
      <w:pPr>
        <w:pStyle w:val="43"/>
        <w:spacing w:beforeAutospacing="0" w:afterAutospacing="0" w:line="360" w:lineRule="auto"/>
        <w:ind w:firstLine="720" w:firstLineChars="300"/>
      </w:pPr>
      <w:r>
        <w:rPr>
          <w:rFonts w:hint="eastAsia"/>
        </w:rPr>
        <w:t>3、采购代理机构信息</w:t>
      </w:r>
    </w:p>
    <w:p>
      <w:pPr>
        <w:pStyle w:val="43"/>
        <w:spacing w:beforeAutospacing="0" w:afterAutospacing="0" w:line="360" w:lineRule="auto"/>
        <w:ind w:firstLine="720" w:firstLineChars="300"/>
      </w:pPr>
      <w:r>
        <w:rPr>
          <w:rFonts w:hint="eastAsia"/>
        </w:rPr>
        <w:t>名称：同正项目管理有限公司</w:t>
      </w:r>
    </w:p>
    <w:p>
      <w:pPr>
        <w:pStyle w:val="43"/>
        <w:spacing w:beforeAutospacing="0" w:afterAutospacing="0" w:line="360" w:lineRule="auto"/>
        <w:ind w:firstLine="720" w:firstLineChars="300"/>
      </w:pPr>
      <w:r>
        <w:rPr>
          <w:rFonts w:hint="eastAsia"/>
        </w:rPr>
        <w:t>联系地址：西安市未央区凤城九路与明光路十字中登文景大厦A座1508室</w:t>
      </w:r>
    </w:p>
    <w:p>
      <w:pPr>
        <w:pStyle w:val="43"/>
        <w:spacing w:beforeAutospacing="0" w:afterAutospacing="0" w:line="360" w:lineRule="auto"/>
        <w:ind w:firstLine="720" w:firstLineChars="300"/>
      </w:pPr>
      <w:r>
        <w:rPr>
          <w:rFonts w:hint="eastAsia"/>
        </w:rPr>
        <w:t>联系方式：</w:t>
      </w:r>
      <w:r>
        <w:fldChar w:fldCharType="begin"/>
      </w:r>
      <w:r>
        <w:instrText xml:space="preserve"> HYPERLINK "http://www.ccgp.gov.cn/agency/a_agencylist.html" \t "http://www.ccgp-shaanxi.gov.cn/notice/_blank" </w:instrText>
      </w:r>
      <w:r>
        <w:fldChar w:fldCharType="separate"/>
      </w:r>
      <w:r>
        <w:rPr>
          <w:rFonts w:hint="eastAsia"/>
        </w:rPr>
        <w:t>http://www.ccgp.gov.cn/agency/a_agencylist.html</w:t>
      </w:r>
      <w:r>
        <w:rPr>
          <w:rFonts w:hint="eastAsia"/>
        </w:rPr>
        <w:fldChar w:fldCharType="end"/>
      </w:r>
    </w:p>
    <w:p>
      <w:pPr>
        <w:sectPr>
          <w:footerReference r:id="rId11" w:type="first"/>
          <w:footerReference r:id="rId10" w:type="default"/>
          <w:pgSz w:w="11906" w:h="16838"/>
          <w:pgMar w:top="1440" w:right="1457" w:bottom="1440" w:left="1463" w:header="851" w:footer="992" w:gutter="0"/>
          <w:pgNumType w:start="1"/>
          <w:cols w:space="0" w:num="1"/>
          <w:docGrid w:type="lines" w:linePitch="312" w:charSpace="0"/>
        </w:sectPr>
      </w:pPr>
    </w:p>
    <w:p>
      <w:pPr>
        <w:spacing w:line="360" w:lineRule="auto"/>
        <w:jc w:val="center"/>
        <w:outlineLvl w:val="0"/>
        <w:rPr>
          <w:rFonts w:asciiTheme="majorEastAsia" w:hAnsiTheme="majorEastAsia" w:eastAsiaTheme="majorEastAsia" w:cstheme="majorEastAsia"/>
          <w:sz w:val="32"/>
          <w:szCs w:val="32"/>
        </w:rPr>
      </w:pPr>
      <w:bookmarkStart w:id="1" w:name="_Toc27252"/>
      <w:r>
        <w:rPr>
          <w:rFonts w:hint="eastAsia" w:asciiTheme="majorEastAsia" w:hAnsiTheme="majorEastAsia" w:eastAsiaTheme="majorEastAsia" w:cstheme="majorEastAsia"/>
          <w:b/>
          <w:bCs/>
          <w:sz w:val="32"/>
          <w:szCs w:val="32"/>
        </w:rPr>
        <w:t>第二章　磋商须知</w:t>
      </w:r>
      <w:bookmarkEnd w:id="1"/>
    </w:p>
    <w:p>
      <w:pPr>
        <w:spacing w:line="360" w:lineRule="auto"/>
        <w:jc w:val="center"/>
        <w:rPr>
          <w:sz w:val="28"/>
          <w:szCs w:val="28"/>
        </w:rPr>
      </w:pPr>
      <w:bookmarkStart w:id="2" w:name="_Toc220257383"/>
      <w:r>
        <w:rPr>
          <w:sz w:val="28"/>
          <w:szCs w:val="28"/>
        </w:rPr>
        <w:t>磋商须知前附表</w:t>
      </w:r>
      <w:bookmarkEnd w:id="2"/>
    </w:p>
    <w:tbl>
      <w:tblPr>
        <w:tblStyle w:val="48"/>
        <w:tblW w:w="904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700"/>
        <w:gridCol w:w="2023"/>
        <w:gridCol w:w="631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33" w:hRule="atLeast"/>
          <w:jc w:val="center"/>
        </w:trPr>
        <w:tc>
          <w:tcPr>
            <w:tcW w:w="700" w:type="dxa"/>
            <w:shd w:val="clear" w:color="auto" w:fill="auto"/>
            <w:tcMar>
              <w:left w:w="108" w:type="dxa"/>
              <w:right w:w="108" w:type="dxa"/>
            </w:tcMar>
            <w:vAlign w:val="center"/>
          </w:tcPr>
          <w:p>
            <w:pPr>
              <w:widowControl/>
              <w:spacing w:line="360" w:lineRule="auto"/>
              <w:jc w:val="center"/>
              <w:rPr>
                <w:sz w:val="24"/>
              </w:rPr>
            </w:pPr>
            <w:r>
              <w:rPr>
                <w:kern w:val="0"/>
                <w:sz w:val="24"/>
              </w:rPr>
              <w:t>序号</w:t>
            </w:r>
          </w:p>
        </w:tc>
        <w:tc>
          <w:tcPr>
            <w:tcW w:w="2023" w:type="dxa"/>
            <w:shd w:val="clear" w:color="auto" w:fill="auto"/>
            <w:tcMar>
              <w:left w:w="108" w:type="dxa"/>
              <w:right w:w="108" w:type="dxa"/>
            </w:tcMar>
            <w:vAlign w:val="center"/>
          </w:tcPr>
          <w:p>
            <w:pPr>
              <w:widowControl/>
              <w:spacing w:line="360" w:lineRule="auto"/>
              <w:jc w:val="center"/>
              <w:rPr>
                <w:sz w:val="24"/>
              </w:rPr>
            </w:pPr>
            <w:r>
              <w:rPr>
                <w:kern w:val="0"/>
                <w:sz w:val="24"/>
              </w:rPr>
              <w:t>条款名称</w:t>
            </w:r>
          </w:p>
        </w:tc>
        <w:tc>
          <w:tcPr>
            <w:tcW w:w="6319" w:type="dxa"/>
            <w:shd w:val="clear" w:color="auto" w:fill="auto"/>
            <w:tcMar>
              <w:left w:w="108" w:type="dxa"/>
              <w:right w:w="108" w:type="dxa"/>
            </w:tcMar>
            <w:vAlign w:val="center"/>
          </w:tcPr>
          <w:p>
            <w:pPr>
              <w:widowControl/>
              <w:spacing w:line="360" w:lineRule="auto"/>
              <w:jc w:val="center"/>
              <w:rPr>
                <w:sz w:val="24"/>
              </w:rPr>
            </w:pPr>
            <w:r>
              <w:rPr>
                <w:kern w:val="0"/>
                <w:sz w:val="24"/>
              </w:rPr>
              <w:t>内    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149" w:hRule="atLeast"/>
          <w:jc w:val="center"/>
        </w:trPr>
        <w:tc>
          <w:tcPr>
            <w:tcW w:w="700" w:type="dxa"/>
            <w:shd w:val="clear" w:color="auto" w:fill="auto"/>
            <w:tcMar>
              <w:left w:w="108" w:type="dxa"/>
              <w:right w:w="108" w:type="dxa"/>
            </w:tcMar>
            <w:vAlign w:val="center"/>
          </w:tcPr>
          <w:p>
            <w:pPr>
              <w:widowControl/>
              <w:spacing w:line="360" w:lineRule="auto"/>
              <w:jc w:val="center"/>
              <w:rPr>
                <w:sz w:val="24"/>
              </w:rPr>
            </w:pPr>
            <w:r>
              <w:rPr>
                <w:kern w:val="0"/>
                <w:sz w:val="24"/>
              </w:rPr>
              <w:t>1</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采购人</w:t>
            </w:r>
          </w:p>
        </w:tc>
        <w:tc>
          <w:tcPr>
            <w:tcW w:w="6319" w:type="dxa"/>
            <w:shd w:val="clear" w:color="auto" w:fill="auto"/>
            <w:tcMar>
              <w:left w:w="108" w:type="dxa"/>
              <w:right w:w="108" w:type="dxa"/>
            </w:tcMar>
            <w:vAlign w:val="center"/>
          </w:tcPr>
          <w:p>
            <w:pPr>
              <w:pStyle w:val="303"/>
              <w:spacing w:line="360" w:lineRule="auto"/>
              <w:rPr>
                <w:kern w:val="2"/>
                <w:lang w:val="zh-CN"/>
              </w:rPr>
            </w:pPr>
            <w:r>
              <w:rPr>
                <w:rFonts w:hint="eastAsia"/>
                <w:kern w:val="2"/>
                <w:lang w:val="zh-CN"/>
              </w:rPr>
              <w:t>采购人名称：</w:t>
            </w:r>
            <w:r>
              <w:rPr>
                <w:rFonts w:hint="eastAsia"/>
                <w:kern w:val="2"/>
              </w:rPr>
              <w:t>西安市高陵区药惠银王中心小学</w:t>
            </w:r>
          </w:p>
          <w:p>
            <w:pPr>
              <w:pStyle w:val="303"/>
              <w:spacing w:line="360" w:lineRule="auto"/>
              <w:rPr>
                <w:rFonts w:hint="eastAsia"/>
                <w:kern w:val="2"/>
              </w:rPr>
            </w:pPr>
            <w:r>
              <w:rPr>
                <w:rFonts w:hint="eastAsia"/>
                <w:kern w:val="2"/>
              </w:rPr>
              <w:t>地址：西安市高陵区药惠银王村</w:t>
            </w:r>
          </w:p>
          <w:p>
            <w:pPr>
              <w:adjustRightInd w:val="0"/>
              <w:snapToGrid w:val="0"/>
              <w:spacing w:line="360" w:lineRule="auto"/>
              <w:rPr>
                <w:rFonts w:ascii="宋体" w:hAnsi="宋体" w:cs="宋体"/>
                <w:color w:val="000000" w:themeColor="text1"/>
                <w:sz w:val="24"/>
              </w:rPr>
            </w:pPr>
            <w:r>
              <w:rPr>
                <w:rFonts w:hint="eastAsia" w:ascii="宋体" w:hAnsi="宋体" w:cs="宋体"/>
                <w:color w:val="000000" w:themeColor="text1"/>
                <w:sz w:val="24"/>
              </w:rPr>
              <w:t>联系人：秦老师</w:t>
            </w:r>
          </w:p>
          <w:p>
            <w:pPr>
              <w:adjustRightInd w:val="0"/>
              <w:snapToGrid w:val="0"/>
              <w:spacing w:line="360" w:lineRule="auto"/>
              <w:rPr>
                <w:sz w:val="24"/>
              </w:rPr>
            </w:pPr>
            <w:r>
              <w:rPr>
                <w:rFonts w:hint="eastAsia" w:ascii="宋体" w:hAnsi="宋体" w:cs="宋体"/>
                <w:color w:val="000000" w:themeColor="text1"/>
                <w:sz w:val="24"/>
              </w:rPr>
              <w:t>电话：029-86921342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600" w:hRule="atLeast"/>
          <w:jc w:val="center"/>
        </w:trPr>
        <w:tc>
          <w:tcPr>
            <w:tcW w:w="700" w:type="dxa"/>
            <w:shd w:val="clear" w:color="auto" w:fill="auto"/>
            <w:tcMar>
              <w:left w:w="108" w:type="dxa"/>
              <w:right w:w="108" w:type="dxa"/>
            </w:tcMar>
            <w:vAlign w:val="center"/>
          </w:tcPr>
          <w:p>
            <w:pPr>
              <w:widowControl/>
              <w:spacing w:line="360" w:lineRule="auto"/>
              <w:jc w:val="center"/>
              <w:rPr>
                <w:sz w:val="24"/>
              </w:rPr>
            </w:pPr>
            <w:r>
              <w:rPr>
                <w:kern w:val="0"/>
                <w:sz w:val="24"/>
              </w:rPr>
              <w:t>2</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采购代理机构</w:t>
            </w:r>
          </w:p>
        </w:tc>
        <w:tc>
          <w:tcPr>
            <w:tcW w:w="6319" w:type="dxa"/>
            <w:shd w:val="clear" w:color="auto" w:fill="auto"/>
            <w:tcMar>
              <w:left w:w="108" w:type="dxa"/>
              <w:right w:w="108" w:type="dxa"/>
            </w:tcMar>
            <w:vAlign w:val="center"/>
          </w:tcPr>
          <w:p>
            <w:pPr>
              <w:pStyle w:val="303"/>
              <w:spacing w:line="360" w:lineRule="auto"/>
              <w:rPr>
                <w:rFonts w:cs="Times New Roman"/>
                <w:kern w:val="2"/>
                <w:lang w:val="zh-CN"/>
              </w:rPr>
            </w:pPr>
            <w:r>
              <w:rPr>
                <w:rFonts w:hint="eastAsia" w:cs="Times New Roman"/>
                <w:kern w:val="2"/>
                <w:lang w:val="zh-CN"/>
              </w:rPr>
              <w:t>名  称: 同正项目管理有限公司</w:t>
            </w:r>
          </w:p>
          <w:p>
            <w:pPr>
              <w:pStyle w:val="303"/>
              <w:spacing w:line="360" w:lineRule="auto"/>
              <w:rPr>
                <w:rFonts w:cs="Times New Roman"/>
                <w:kern w:val="2"/>
              </w:rPr>
            </w:pPr>
            <w:r>
              <w:rPr>
                <w:rFonts w:hint="eastAsia" w:cs="Times New Roman"/>
                <w:kern w:val="2"/>
                <w:lang w:val="zh-CN"/>
              </w:rPr>
              <w:t>地  址:</w:t>
            </w:r>
            <w:r>
              <w:rPr>
                <w:rFonts w:hint="eastAsia" w:cs="Times New Roman"/>
                <w:kern w:val="2"/>
              </w:rPr>
              <w:t xml:space="preserve"> 西安市未央区凤城九路与明光路十字中登文景大厦A座1508室</w:t>
            </w:r>
          </w:p>
          <w:p>
            <w:pPr>
              <w:pStyle w:val="303"/>
              <w:spacing w:line="360" w:lineRule="auto"/>
              <w:rPr>
                <w:rFonts w:cs="Times New Roman"/>
                <w:kern w:val="2"/>
                <w:lang w:val="zh-CN"/>
              </w:rPr>
            </w:pPr>
            <w:r>
              <w:rPr>
                <w:rFonts w:hint="eastAsia" w:cs="Times New Roman"/>
                <w:kern w:val="2"/>
                <w:lang w:val="zh-CN"/>
              </w:rPr>
              <w:t>联系人:</w:t>
            </w:r>
            <w:r>
              <w:rPr>
                <w:rFonts w:hint="eastAsia" w:cs="Times New Roman"/>
                <w:kern w:val="2"/>
              </w:rPr>
              <w:t xml:space="preserve"> </w:t>
            </w:r>
            <w:r>
              <w:rPr>
                <w:rFonts w:hint="eastAsia"/>
              </w:rPr>
              <w:t>段伟超</w:t>
            </w:r>
            <w:r>
              <w:rPr>
                <w:rFonts w:hint="eastAsia" w:cs="Times New Roman"/>
                <w:kern w:val="2"/>
                <w:lang w:val="zh-CN"/>
              </w:rPr>
              <w:t xml:space="preserve">  </w:t>
            </w:r>
          </w:p>
          <w:p>
            <w:pPr>
              <w:overflowPunct w:val="0"/>
              <w:topLinePunct/>
              <w:spacing w:line="400" w:lineRule="exact"/>
              <w:rPr>
                <w:rFonts w:eastAsiaTheme="minorEastAsia"/>
                <w:sz w:val="24"/>
              </w:rPr>
            </w:pPr>
            <w:r>
              <w:rPr>
                <w:rFonts w:hint="eastAsia" w:ascii="宋体" w:hAnsi="宋体"/>
                <w:sz w:val="24"/>
                <w:lang w:val="zh-CN"/>
              </w:rPr>
              <w:t>联系方法：</w:t>
            </w:r>
            <w:r>
              <w:rPr>
                <w:rFonts w:hint="eastAsia" w:ascii="宋体" w:hAnsi="宋体"/>
                <w:sz w:val="24"/>
              </w:rPr>
              <w:t>029-86522030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81" w:hRule="atLeast"/>
          <w:jc w:val="center"/>
        </w:trPr>
        <w:tc>
          <w:tcPr>
            <w:tcW w:w="700" w:type="dxa"/>
            <w:shd w:val="clear" w:color="auto" w:fill="auto"/>
            <w:tcMar>
              <w:left w:w="108" w:type="dxa"/>
              <w:right w:w="108" w:type="dxa"/>
            </w:tcMar>
            <w:vAlign w:val="center"/>
          </w:tcPr>
          <w:p>
            <w:pPr>
              <w:widowControl/>
              <w:spacing w:line="360" w:lineRule="auto"/>
              <w:jc w:val="center"/>
              <w:rPr>
                <w:sz w:val="24"/>
              </w:rPr>
            </w:pPr>
            <w:r>
              <w:rPr>
                <w:kern w:val="0"/>
                <w:sz w:val="24"/>
              </w:rPr>
              <w:t>3</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项目名称</w:t>
            </w:r>
          </w:p>
        </w:tc>
        <w:tc>
          <w:tcPr>
            <w:tcW w:w="6319" w:type="dxa"/>
            <w:shd w:val="clear" w:color="auto" w:fill="auto"/>
            <w:tcMar>
              <w:left w:w="108" w:type="dxa"/>
              <w:right w:w="108" w:type="dxa"/>
            </w:tcMar>
            <w:vAlign w:val="center"/>
          </w:tcPr>
          <w:p>
            <w:pPr>
              <w:widowControl/>
              <w:spacing w:line="400" w:lineRule="exact"/>
              <w:jc w:val="left"/>
              <w:rPr>
                <w:sz w:val="24"/>
              </w:rPr>
            </w:pPr>
            <w:r>
              <w:rPr>
                <w:rFonts w:hint="eastAsia"/>
                <w:sz w:val="24"/>
              </w:rPr>
              <w:t>西安市高陵区银王中心小学户外提升改造项目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20"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4</w:t>
            </w:r>
          </w:p>
        </w:tc>
        <w:tc>
          <w:tcPr>
            <w:tcW w:w="2023" w:type="dxa"/>
            <w:shd w:val="clear" w:color="auto" w:fill="auto"/>
            <w:tcMar>
              <w:left w:w="108" w:type="dxa"/>
              <w:right w:w="108" w:type="dxa"/>
            </w:tcMar>
            <w:vAlign w:val="center"/>
          </w:tcPr>
          <w:p>
            <w:pPr>
              <w:widowControl/>
              <w:spacing w:line="360" w:lineRule="auto"/>
              <w:jc w:val="center"/>
              <w:rPr>
                <w:color w:val="000000" w:themeColor="text1"/>
                <w:kern w:val="0"/>
                <w:sz w:val="24"/>
              </w:rPr>
            </w:pPr>
            <w:r>
              <w:rPr>
                <w:color w:val="000000" w:themeColor="text1"/>
                <w:sz w:val="24"/>
              </w:rPr>
              <w:t>资金来源</w:t>
            </w:r>
          </w:p>
        </w:tc>
        <w:tc>
          <w:tcPr>
            <w:tcW w:w="6319" w:type="dxa"/>
            <w:shd w:val="clear" w:color="auto" w:fill="auto"/>
            <w:tcMar>
              <w:left w:w="108" w:type="dxa"/>
              <w:right w:w="108" w:type="dxa"/>
            </w:tcMar>
            <w:vAlign w:val="center"/>
          </w:tcPr>
          <w:p>
            <w:pPr>
              <w:widowControl/>
              <w:spacing w:line="400" w:lineRule="exact"/>
              <w:rPr>
                <w:color w:val="000000" w:themeColor="text1"/>
                <w:sz w:val="24"/>
              </w:rPr>
            </w:pPr>
            <w:r>
              <w:rPr>
                <w:rFonts w:hint="eastAsia" w:asciiTheme="minorEastAsia" w:hAnsiTheme="minorEastAsia" w:eastAsiaTheme="minorEastAsia"/>
                <w:color w:val="000000" w:themeColor="text1"/>
                <w:sz w:val="24"/>
              </w:rPr>
              <w:t>财政资金</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21"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5</w:t>
            </w:r>
          </w:p>
        </w:tc>
        <w:tc>
          <w:tcPr>
            <w:tcW w:w="2023" w:type="dxa"/>
            <w:shd w:val="clear" w:color="auto" w:fill="auto"/>
            <w:tcMar>
              <w:left w:w="108" w:type="dxa"/>
              <w:right w:w="108" w:type="dxa"/>
            </w:tcMar>
            <w:vAlign w:val="center"/>
          </w:tcPr>
          <w:p>
            <w:pPr>
              <w:widowControl/>
              <w:spacing w:line="360" w:lineRule="auto"/>
              <w:jc w:val="center"/>
              <w:rPr>
                <w:kern w:val="0"/>
                <w:sz w:val="24"/>
              </w:rPr>
            </w:pPr>
            <w:r>
              <w:rPr>
                <w:color w:val="000000" w:themeColor="text1"/>
                <w:sz w:val="24"/>
              </w:rPr>
              <w:t>项目概算</w:t>
            </w:r>
          </w:p>
        </w:tc>
        <w:tc>
          <w:tcPr>
            <w:tcW w:w="6319" w:type="dxa"/>
            <w:shd w:val="clear" w:color="auto" w:fill="auto"/>
            <w:tcMar>
              <w:left w:w="108" w:type="dxa"/>
              <w:right w:w="108" w:type="dxa"/>
            </w:tcMar>
            <w:vAlign w:val="center"/>
          </w:tcPr>
          <w:p>
            <w:pPr>
              <w:widowControl/>
              <w:jc w:val="left"/>
              <w:rPr>
                <w:rFonts w:eastAsiaTheme="minorEastAsia"/>
                <w:sz w:val="24"/>
              </w:rPr>
            </w:pPr>
            <w:r>
              <w:rPr>
                <w:rFonts w:hint="eastAsia" w:asciiTheme="minorEastAsia" w:hAnsiTheme="minorEastAsia" w:eastAsiaTheme="minorEastAsia"/>
                <w:color w:val="000000" w:themeColor="text1"/>
                <w:sz w:val="24"/>
                <w:lang w:eastAsia="zh-CN"/>
              </w:rPr>
              <w:t>1600000</w:t>
            </w:r>
            <w:r>
              <w:rPr>
                <w:rFonts w:hint="eastAsia" w:asciiTheme="minorEastAsia" w:hAnsiTheme="minorEastAsia" w:eastAsiaTheme="minorEastAsia"/>
                <w:color w:val="000000" w:themeColor="text1"/>
                <w:sz w:val="24"/>
              </w:rPr>
              <w:t>.00元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13"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6</w:t>
            </w:r>
          </w:p>
        </w:tc>
        <w:tc>
          <w:tcPr>
            <w:tcW w:w="2023" w:type="dxa"/>
            <w:shd w:val="clear" w:color="auto" w:fill="auto"/>
            <w:tcMar>
              <w:left w:w="108" w:type="dxa"/>
              <w:right w:w="108" w:type="dxa"/>
            </w:tcMar>
            <w:vAlign w:val="center"/>
          </w:tcPr>
          <w:p>
            <w:pPr>
              <w:widowControl/>
              <w:spacing w:line="360" w:lineRule="auto"/>
              <w:jc w:val="center"/>
              <w:rPr>
                <w:sz w:val="24"/>
              </w:rPr>
            </w:pPr>
            <w:r>
              <w:rPr>
                <w:sz w:val="24"/>
              </w:rPr>
              <w:t>采购方式</w:t>
            </w:r>
          </w:p>
        </w:tc>
        <w:tc>
          <w:tcPr>
            <w:tcW w:w="6319" w:type="dxa"/>
            <w:shd w:val="clear" w:color="auto" w:fill="auto"/>
            <w:tcMar>
              <w:left w:w="108" w:type="dxa"/>
              <w:right w:w="108" w:type="dxa"/>
            </w:tcMar>
            <w:vAlign w:val="center"/>
          </w:tcPr>
          <w:p>
            <w:pPr>
              <w:widowControl/>
              <w:spacing w:line="400" w:lineRule="exact"/>
              <w:rPr>
                <w:rFonts w:ascii="宋体" w:hAnsi="宋体" w:cs="宋体"/>
                <w:sz w:val="24"/>
              </w:rPr>
            </w:pPr>
            <w:r>
              <w:rPr>
                <w:rFonts w:hint="eastAsia" w:ascii="宋体" w:hAnsi="宋体" w:cs="宋体"/>
                <w:sz w:val="24"/>
              </w:rPr>
              <w:t>竞争性磋商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07"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7</w:t>
            </w:r>
          </w:p>
        </w:tc>
        <w:tc>
          <w:tcPr>
            <w:tcW w:w="2023" w:type="dxa"/>
            <w:shd w:val="clear" w:color="auto" w:fill="auto"/>
            <w:tcMar>
              <w:left w:w="108" w:type="dxa"/>
              <w:right w:w="108" w:type="dxa"/>
            </w:tcMar>
            <w:vAlign w:val="center"/>
          </w:tcPr>
          <w:p>
            <w:pPr>
              <w:widowControl/>
              <w:spacing w:line="360" w:lineRule="auto"/>
              <w:jc w:val="center"/>
              <w:rPr>
                <w:bCs/>
                <w:sz w:val="24"/>
              </w:rPr>
            </w:pPr>
            <w:r>
              <w:rPr>
                <w:bCs/>
                <w:sz w:val="24"/>
              </w:rPr>
              <w:t>采购内容</w:t>
            </w:r>
          </w:p>
        </w:tc>
        <w:tc>
          <w:tcPr>
            <w:tcW w:w="6319" w:type="dxa"/>
            <w:shd w:val="clear" w:color="auto" w:fill="auto"/>
            <w:tcMar>
              <w:left w:w="108" w:type="dxa"/>
              <w:right w:w="108" w:type="dxa"/>
            </w:tcMar>
            <w:vAlign w:val="center"/>
          </w:tcPr>
          <w:p>
            <w:pPr>
              <w:widowControl/>
              <w:spacing w:line="360" w:lineRule="auto"/>
              <w:jc w:val="left"/>
              <w:rPr>
                <w:rFonts w:ascii="宋体" w:hAnsi="宋体" w:cs="宋体"/>
                <w:bCs/>
                <w:sz w:val="24"/>
              </w:rPr>
            </w:pPr>
            <w:r>
              <w:rPr>
                <w:rFonts w:hint="eastAsia"/>
                <w:kern w:val="0"/>
                <w:sz w:val="24"/>
              </w:rPr>
              <w:t>西安市高陵区银王中心小学户外提升改造项目</w:t>
            </w:r>
            <w:r>
              <w:rPr>
                <w:rFonts w:hint="eastAsia"/>
                <w:kern w:val="0"/>
                <w:sz w:val="24"/>
                <w:lang w:eastAsia="zh-CN"/>
              </w:rPr>
              <w:t>，工作内容为</w:t>
            </w:r>
            <w:r>
              <w:rPr>
                <w:rFonts w:hint="eastAsia"/>
                <w:kern w:val="0"/>
                <w:sz w:val="24"/>
                <w:lang w:val="en-US" w:eastAsia="zh-CN"/>
              </w:rPr>
              <w:t>道路</w:t>
            </w:r>
            <w:r>
              <w:rPr>
                <w:rFonts w:hint="eastAsia"/>
                <w:kern w:val="0"/>
                <w:sz w:val="24"/>
                <w:lang w:eastAsia="zh-CN"/>
              </w:rPr>
              <w:t>改造、</w:t>
            </w:r>
            <w:r>
              <w:rPr>
                <w:rFonts w:hint="eastAsia"/>
                <w:kern w:val="0"/>
                <w:sz w:val="24"/>
                <w:lang w:val="en-US" w:eastAsia="zh-CN"/>
              </w:rPr>
              <w:t>操场铺种草皮及塑胶跑道、</w:t>
            </w:r>
            <w:r>
              <w:rPr>
                <w:rFonts w:hint="eastAsia"/>
                <w:kern w:val="0"/>
                <w:sz w:val="24"/>
                <w:lang w:eastAsia="zh-CN"/>
              </w:rPr>
              <w:t>新砌围墙、</w:t>
            </w:r>
            <w:r>
              <w:rPr>
                <w:rFonts w:hint="eastAsia"/>
                <w:kern w:val="0"/>
                <w:sz w:val="24"/>
                <w:lang w:val="en-US" w:eastAsia="zh-CN"/>
              </w:rPr>
              <w:t>拆除工程及</w:t>
            </w:r>
            <w:r>
              <w:rPr>
                <w:rFonts w:hint="eastAsia"/>
                <w:kern w:val="0"/>
                <w:sz w:val="24"/>
                <w:lang w:eastAsia="zh-CN"/>
              </w:rPr>
              <w:t>新</w:t>
            </w:r>
            <w:r>
              <w:rPr>
                <w:rFonts w:hint="eastAsia"/>
                <w:kern w:val="0"/>
                <w:sz w:val="24"/>
                <w:lang w:val="en-US" w:eastAsia="zh-CN"/>
              </w:rPr>
              <w:t>建</w:t>
            </w:r>
            <w:r>
              <w:rPr>
                <w:rFonts w:hint="eastAsia"/>
                <w:kern w:val="0"/>
                <w:sz w:val="24"/>
                <w:lang w:eastAsia="zh-CN"/>
              </w:rPr>
              <w:t>零星</w:t>
            </w:r>
            <w:r>
              <w:rPr>
                <w:rFonts w:hint="eastAsia"/>
                <w:kern w:val="0"/>
                <w:sz w:val="24"/>
                <w:lang w:val="en-US" w:eastAsia="zh-CN"/>
              </w:rPr>
              <w:t>等</w:t>
            </w:r>
            <w:r>
              <w:rPr>
                <w:rFonts w:hint="eastAsia"/>
                <w:kern w:val="0"/>
                <w:sz w:val="24"/>
                <w:lang w:eastAsia="zh-CN"/>
              </w:rPr>
              <w:t>工程施工。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2"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8</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磋商有效期</w:t>
            </w:r>
          </w:p>
        </w:tc>
        <w:tc>
          <w:tcPr>
            <w:tcW w:w="6319" w:type="dxa"/>
            <w:shd w:val="clear" w:color="auto" w:fill="auto"/>
            <w:tcMar>
              <w:left w:w="108" w:type="dxa"/>
              <w:right w:w="108" w:type="dxa"/>
            </w:tcMar>
            <w:vAlign w:val="center"/>
          </w:tcPr>
          <w:p>
            <w:pPr>
              <w:widowControl/>
              <w:spacing w:line="400" w:lineRule="exact"/>
              <w:jc w:val="left"/>
              <w:rPr>
                <w:rFonts w:ascii="宋体" w:hAnsi="宋体" w:cs="宋体"/>
                <w:kern w:val="0"/>
                <w:sz w:val="24"/>
              </w:rPr>
            </w:pPr>
            <w:r>
              <w:rPr>
                <w:rFonts w:hint="eastAsia" w:ascii="宋体" w:hAnsi="宋体" w:cs="宋体"/>
                <w:kern w:val="0"/>
                <w:sz w:val="24"/>
              </w:rPr>
              <w:t>自磋商响应文件递交之日起</w:t>
            </w:r>
            <w:r>
              <w:rPr>
                <w:rFonts w:hint="eastAsia" w:ascii="宋体" w:hAnsi="宋体" w:cs="宋体"/>
                <w:kern w:val="0"/>
                <w:sz w:val="24"/>
                <w:u w:val="single"/>
              </w:rPr>
              <w:t>90</w:t>
            </w:r>
            <w:r>
              <w:rPr>
                <w:rFonts w:hint="eastAsia" w:ascii="宋体" w:hAnsi="宋体" w:cs="宋体"/>
                <w:kern w:val="0"/>
                <w:sz w:val="24"/>
              </w:rPr>
              <w:t>日历天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42"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9</w:t>
            </w:r>
          </w:p>
        </w:tc>
        <w:tc>
          <w:tcPr>
            <w:tcW w:w="2023" w:type="dxa"/>
            <w:shd w:val="clear" w:color="auto" w:fill="auto"/>
            <w:tcMar>
              <w:left w:w="108" w:type="dxa"/>
              <w:right w:w="108" w:type="dxa"/>
            </w:tcMar>
            <w:vAlign w:val="center"/>
          </w:tcPr>
          <w:p>
            <w:pPr>
              <w:adjustRightInd w:val="0"/>
              <w:snapToGrid w:val="0"/>
              <w:spacing w:line="400" w:lineRule="exact"/>
              <w:jc w:val="center"/>
              <w:rPr>
                <w:rFonts w:asciiTheme="minorEastAsia" w:hAnsiTheme="minorEastAsia" w:eastAsiaTheme="minorEastAsia" w:cstheme="minorEastAsia"/>
                <w:sz w:val="24"/>
                <w:highlight w:val="none"/>
              </w:rPr>
            </w:pPr>
            <w:r>
              <w:rPr>
                <w:rFonts w:hint="eastAsia" w:asciiTheme="minorEastAsia" w:hAnsiTheme="minorEastAsia" w:eastAsiaTheme="minorEastAsia" w:cstheme="minorEastAsia"/>
                <w:sz w:val="24"/>
                <w:highlight w:val="none"/>
              </w:rPr>
              <w:t>工期</w:t>
            </w:r>
          </w:p>
        </w:tc>
        <w:tc>
          <w:tcPr>
            <w:tcW w:w="6319" w:type="dxa"/>
            <w:shd w:val="clear" w:color="auto" w:fill="auto"/>
            <w:tcMar>
              <w:left w:w="108" w:type="dxa"/>
              <w:right w:w="108" w:type="dxa"/>
            </w:tcMar>
            <w:vAlign w:val="center"/>
          </w:tcPr>
          <w:p>
            <w:pPr>
              <w:adjustRightInd w:val="0"/>
              <w:snapToGrid w:val="0"/>
              <w:spacing w:line="400" w:lineRule="exact"/>
              <w:rPr>
                <w:rFonts w:ascii="宋体" w:hAnsi="宋体" w:cs="宋体"/>
                <w:sz w:val="24"/>
                <w:highlight w:val="none"/>
              </w:rPr>
            </w:pPr>
            <w:r>
              <w:rPr>
                <w:rFonts w:hint="eastAsia" w:ascii="宋体" w:hAnsi="宋体" w:cs="宋体"/>
                <w:sz w:val="24"/>
                <w:highlight w:val="none"/>
              </w:rPr>
              <w:t>60日历天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83"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10</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质量</w:t>
            </w:r>
            <w:r>
              <w:rPr>
                <w:rFonts w:hint="eastAsia"/>
                <w:kern w:val="0"/>
                <w:sz w:val="24"/>
              </w:rPr>
              <w:t>标准</w:t>
            </w:r>
          </w:p>
        </w:tc>
        <w:tc>
          <w:tcPr>
            <w:tcW w:w="6319" w:type="dxa"/>
            <w:shd w:val="clear" w:color="auto" w:fill="auto"/>
            <w:tcMar>
              <w:left w:w="108" w:type="dxa"/>
              <w:right w:w="108" w:type="dxa"/>
            </w:tcMar>
            <w:vAlign w:val="center"/>
          </w:tcPr>
          <w:p>
            <w:pPr>
              <w:adjustRightInd w:val="0"/>
              <w:snapToGrid w:val="0"/>
              <w:spacing w:line="400" w:lineRule="exact"/>
              <w:rPr>
                <w:szCs w:val="21"/>
              </w:rPr>
            </w:pPr>
            <w:r>
              <w:rPr>
                <w:kern w:val="0"/>
                <w:sz w:val="24"/>
              </w:rPr>
              <w:t>达到国家相关质量合格标准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11"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1</w:t>
            </w:r>
          </w:p>
        </w:tc>
        <w:tc>
          <w:tcPr>
            <w:tcW w:w="2023" w:type="dxa"/>
            <w:shd w:val="clear" w:color="auto" w:fill="auto"/>
            <w:tcMar>
              <w:left w:w="108" w:type="dxa"/>
              <w:right w:w="108" w:type="dxa"/>
            </w:tcMar>
            <w:vAlign w:val="center"/>
          </w:tcPr>
          <w:p>
            <w:pPr>
              <w:widowControl/>
              <w:spacing w:line="360" w:lineRule="auto"/>
              <w:jc w:val="center"/>
              <w:rPr>
                <w:kern w:val="0"/>
                <w:sz w:val="24"/>
              </w:rPr>
            </w:pPr>
            <w:r>
              <w:rPr>
                <w:rFonts w:hint="eastAsia" w:asciiTheme="minorEastAsia" w:hAnsiTheme="minorEastAsia" w:eastAsiaTheme="minorEastAsia" w:cstheme="minorEastAsia"/>
                <w:sz w:val="24"/>
              </w:rPr>
              <w:t>磋商响应单位资格条件、能力</w:t>
            </w:r>
          </w:p>
        </w:tc>
        <w:tc>
          <w:tcPr>
            <w:tcW w:w="6319" w:type="dxa"/>
            <w:shd w:val="clear" w:color="auto" w:fill="auto"/>
            <w:tcMar>
              <w:left w:w="108" w:type="dxa"/>
              <w:right w:w="108" w:type="dxa"/>
            </w:tcMar>
            <w:vAlign w:val="center"/>
          </w:tcPr>
          <w:p>
            <w:pPr>
              <w:adjustRightInd w:val="0"/>
              <w:snapToGrid w:val="0"/>
              <w:spacing w:line="36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磋商响应单位除应具备《中华人民共和国政府采购法》第二十二条规定的条件外还需：</w:t>
            </w:r>
          </w:p>
          <w:p>
            <w:pPr>
              <w:overflowPunct w:val="0"/>
              <w:topLinePunct/>
              <w:spacing w:line="360" w:lineRule="auto"/>
              <w:rPr>
                <w:rFonts w:ascii="宋体" w:hAnsi="宋体" w:cs="宋体"/>
                <w:sz w:val="24"/>
              </w:rPr>
            </w:pPr>
            <w:r>
              <w:rPr>
                <w:rFonts w:hint="eastAsia" w:ascii="宋体" w:hAnsi="宋体" w:cs="宋体"/>
                <w:sz w:val="24"/>
              </w:rPr>
              <w:t>1、具有合格有效的企业法人营业执照、税务登记证、组织机构代码证（或三证合一营业执照）；</w:t>
            </w:r>
          </w:p>
          <w:p>
            <w:pPr>
              <w:overflowPunct w:val="0"/>
              <w:topLinePunct/>
              <w:spacing w:line="360" w:lineRule="auto"/>
              <w:rPr>
                <w:rFonts w:ascii="宋体" w:hAnsi="宋体" w:cs="宋体"/>
                <w:sz w:val="24"/>
              </w:rPr>
            </w:pPr>
            <w:r>
              <w:rPr>
                <w:rFonts w:hint="eastAsia" w:ascii="宋体" w:hAnsi="宋体" w:cs="宋体"/>
                <w:sz w:val="24"/>
              </w:rPr>
              <w:t>2、磋商响应单位应授权合法的人员参加磋商全过程，其中法定代表人直接参加磋商的，须出具法人身份证，并与营业执照上信息一致。法定代表人授权代表参加磋商的，须出具法定代表人授权书及授权代表身份证；</w:t>
            </w:r>
          </w:p>
          <w:p>
            <w:pPr>
              <w:overflowPunct w:val="0"/>
              <w:topLinePunct/>
              <w:spacing w:line="360" w:lineRule="auto"/>
              <w:rPr>
                <w:rFonts w:ascii="宋体" w:hAnsi="宋体" w:cs="宋体"/>
                <w:sz w:val="24"/>
              </w:rPr>
            </w:pPr>
            <w:r>
              <w:rPr>
                <w:rFonts w:hint="eastAsia" w:ascii="宋体" w:hAnsi="宋体" w:cs="宋体"/>
                <w:sz w:val="24"/>
              </w:rPr>
              <w:t>3、具备建设部门颁发合法有效的建筑工程施工总承包三级及以上资质，具有有效的安全生产许可证；</w:t>
            </w:r>
          </w:p>
          <w:p>
            <w:pPr>
              <w:overflowPunct w:val="0"/>
              <w:topLinePunct/>
              <w:spacing w:line="360" w:lineRule="auto"/>
              <w:rPr>
                <w:rFonts w:ascii="宋体" w:hAnsi="宋体" w:cs="宋体"/>
                <w:sz w:val="24"/>
              </w:rPr>
            </w:pPr>
            <w:r>
              <w:rPr>
                <w:rFonts w:hint="eastAsia" w:ascii="宋体" w:hAnsi="宋体" w:cs="宋体"/>
                <w:sz w:val="24"/>
              </w:rPr>
              <w:t>4、拟委派项目经理须具有相关专业贰级（含）以上注册建造师资质并具有安全生产考核合格证，在本单位注册且无在建工程；</w:t>
            </w:r>
          </w:p>
          <w:p>
            <w:pPr>
              <w:overflowPunct w:val="0"/>
              <w:topLinePunct/>
              <w:spacing w:line="360" w:lineRule="auto"/>
              <w:rPr>
                <w:rFonts w:ascii="宋体" w:hAnsi="宋体" w:cs="宋体"/>
                <w:sz w:val="24"/>
              </w:rPr>
            </w:pPr>
            <w:r>
              <w:rPr>
                <w:rFonts w:hint="eastAsia" w:ascii="宋体" w:hAnsi="宋体" w:cs="宋体"/>
                <w:sz w:val="24"/>
              </w:rPr>
              <w:t>5、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overflowPunct w:val="0"/>
              <w:topLinePunct/>
              <w:spacing w:line="360" w:lineRule="auto"/>
              <w:rPr>
                <w:rFonts w:ascii="宋体" w:hAnsi="宋体" w:cs="宋体"/>
                <w:sz w:val="24"/>
              </w:rPr>
            </w:pPr>
            <w:r>
              <w:rPr>
                <w:rFonts w:hint="eastAsia" w:ascii="宋体" w:hAnsi="宋体" w:cs="宋体"/>
                <w:sz w:val="24"/>
              </w:rPr>
              <w:t>6、税收缴纳证明：提供上一年度至今已缴纳的至少一个月的纳税证明或完税证明（任意税种），依法免税的单位应提供相关证明材料；</w:t>
            </w:r>
          </w:p>
          <w:p>
            <w:pPr>
              <w:overflowPunct w:val="0"/>
              <w:topLinePunct/>
              <w:spacing w:line="360" w:lineRule="auto"/>
              <w:rPr>
                <w:rFonts w:ascii="宋体" w:hAnsi="宋体" w:cs="宋体"/>
                <w:sz w:val="24"/>
              </w:rPr>
            </w:pPr>
            <w:r>
              <w:rPr>
                <w:rFonts w:hint="eastAsia" w:ascii="宋体" w:hAnsi="宋体" w:cs="宋体"/>
                <w:sz w:val="24"/>
              </w:rPr>
              <w:t>7、社会保障资金缴纳证明：提供上一年度至今已缴存的至少一个月的社会保障资金缴存单据或社保机构开具的社会保险参保缴费情况证明，依法不需要缴纳社会保障资金的单位应提供相关证明材料；</w:t>
            </w:r>
          </w:p>
          <w:p>
            <w:pPr>
              <w:overflowPunct w:val="0"/>
              <w:topLinePunct/>
              <w:spacing w:line="360" w:lineRule="auto"/>
              <w:rPr>
                <w:rFonts w:ascii="宋体" w:hAnsi="宋体" w:cs="宋体"/>
                <w:sz w:val="24"/>
              </w:rPr>
            </w:pPr>
            <w:r>
              <w:rPr>
                <w:rFonts w:hint="eastAsia" w:ascii="宋体" w:hAnsi="宋体" w:cs="宋体"/>
                <w:sz w:val="24"/>
              </w:rPr>
              <w:t>8、财务状况报告：提供供应商2019年经审计的财务报告或磋商前三个月内开户银行开具的资信证明；</w:t>
            </w:r>
          </w:p>
          <w:p>
            <w:pPr>
              <w:overflowPunct w:val="0"/>
              <w:topLinePunct/>
              <w:spacing w:line="360" w:lineRule="auto"/>
              <w:rPr>
                <w:rFonts w:ascii="宋体" w:hAnsi="宋体" w:cs="宋体"/>
                <w:sz w:val="24"/>
              </w:rPr>
            </w:pPr>
            <w:r>
              <w:rPr>
                <w:rFonts w:hint="eastAsia" w:ascii="宋体" w:hAnsi="宋体" w:cs="宋体"/>
                <w:sz w:val="24"/>
              </w:rPr>
              <w:t>9、参加政府采购活动前三年内，在经营活动中没有重大违法记录的书面声明（原件）；</w:t>
            </w:r>
          </w:p>
          <w:p>
            <w:pPr>
              <w:overflowPunct w:val="0"/>
              <w:topLinePunct/>
              <w:spacing w:line="360" w:lineRule="auto"/>
              <w:rPr>
                <w:rFonts w:ascii="宋体" w:hAnsi="宋体" w:cs="宋体"/>
                <w:sz w:val="24"/>
              </w:rPr>
            </w:pPr>
            <w:r>
              <w:rPr>
                <w:rFonts w:hint="eastAsia" w:ascii="宋体" w:hAnsi="宋体" w:cs="宋体"/>
                <w:sz w:val="24"/>
              </w:rPr>
              <w:t>10、磋商响应单位负责人不得为同一人或者存在控股、 管理关系；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2</w:t>
            </w:r>
          </w:p>
        </w:tc>
        <w:tc>
          <w:tcPr>
            <w:tcW w:w="2023" w:type="dxa"/>
            <w:shd w:val="clear" w:color="auto" w:fill="auto"/>
            <w:tcMar>
              <w:left w:w="108" w:type="dxa"/>
              <w:right w:w="108" w:type="dxa"/>
            </w:tcMar>
            <w:vAlign w:val="center"/>
          </w:tcPr>
          <w:p>
            <w:pPr>
              <w:widowControl/>
              <w:spacing w:line="360" w:lineRule="auto"/>
              <w:jc w:val="center"/>
              <w:rPr>
                <w:kern w:val="0"/>
                <w:sz w:val="24"/>
              </w:rPr>
            </w:pPr>
            <w:r>
              <w:rPr>
                <w:sz w:val="24"/>
              </w:rPr>
              <w:t>磋商答疑会</w:t>
            </w:r>
          </w:p>
        </w:tc>
        <w:tc>
          <w:tcPr>
            <w:tcW w:w="6319" w:type="dxa"/>
            <w:shd w:val="clear" w:color="auto" w:fill="auto"/>
            <w:tcMar>
              <w:left w:w="108" w:type="dxa"/>
              <w:right w:w="108" w:type="dxa"/>
            </w:tcMar>
            <w:vAlign w:val="center"/>
          </w:tcPr>
          <w:p>
            <w:pPr>
              <w:widowControl/>
              <w:spacing w:line="400" w:lineRule="exact"/>
              <w:rPr>
                <w:rFonts w:ascii="宋体" w:hAnsi="宋体" w:cs="宋体"/>
                <w:kern w:val="0"/>
                <w:sz w:val="24"/>
              </w:rPr>
            </w:pPr>
            <w:r>
              <w:rPr>
                <w:rFonts w:hint="eastAsia" w:ascii="宋体" w:hAnsi="宋体" w:cs="宋体"/>
                <w:sz w:val="24"/>
              </w:rPr>
              <w:t>不召开，相关事宜以书面提问和答复方式进行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6"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3</w:t>
            </w:r>
          </w:p>
        </w:tc>
        <w:tc>
          <w:tcPr>
            <w:tcW w:w="2023" w:type="dxa"/>
            <w:shd w:val="clear" w:color="auto" w:fill="auto"/>
            <w:tcMar>
              <w:left w:w="108" w:type="dxa"/>
              <w:right w:w="108" w:type="dxa"/>
            </w:tcMar>
            <w:vAlign w:val="center"/>
          </w:tcPr>
          <w:p>
            <w:pPr>
              <w:widowControl/>
              <w:spacing w:line="360" w:lineRule="auto"/>
              <w:jc w:val="center"/>
              <w:rPr>
                <w:kern w:val="0"/>
                <w:sz w:val="24"/>
              </w:rPr>
            </w:pPr>
            <w:r>
              <w:rPr>
                <w:sz w:val="24"/>
              </w:rPr>
              <w:t>磋商文件份数</w:t>
            </w:r>
          </w:p>
        </w:tc>
        <w:tc>
          <w:tcPr>
            <w:tcW w:w="6319" w:type="dxa"/>
            <w:shd w:val="clear" w:color="auto" w:fill="auto"/>
            <w:tcMar>
              <w:left w:w="108" w:type="dxa"/>
              <w:right w:w="108" w:type="dxa"/>
            </w:tcMar>
            <w:vAlign w:val="center"/>
          </w:tcPr>
          <w:p>
            <w:pPr>
              <w:widowControl/>
              <w:spacing w:line="400" w:lineRule="exact"/>
              <w:rPr>
                <w:rFonts w:ascii="宋体" w:hAnsi="宋体" w:cs="宋体"/>
                <w:kern w:val="0"/>
                <w:sz w:val="24"/>
              </w:rPr>
            </w:pPr>
            <w:r>
              <w:rPr>
                <w:rFonts w:hint="eastAsia" w:ascii="宋体" w:hAnsi="宋体" w:cs="宋体"/>
                <w:sz w:val="24"/>
              </w:rPr>
              <w:t>正本</w:t>
            </w:r>
            <w:r>
              <w:rPr>
                <w:rFonts w:hint="eastAsia" w:ascii="宋体" w:hAnsi="宋体" w:cs="宋体"/>
                <w:sz w:val="24"/>
                <w:u w:val="single"/>
              </w:rPr>
              <w:t xml:space="preserve"> 1 </w:t>
            </w:r>
            <w:r>
              <w:rPr>
                <w:rFonts w:hint="eastAsia" w:ascii="宋体" w:hAnsi="宋体" w:cs="宋体"/>
                <w:sz w:val="24"/>
              </w:rPr>
              <w:t>份、副本</w:t>
            </w:r>
            <w:r>
              <w:rPr>
                <w:rFonts w:hint="eastAsia" w:ascii="宋体" w:hAnsi="宋体" w:cs="宋体"/>
                <w:sz w:val="24"/>
                <w:u w:val="single"/>
              </w:rPr>
              <w:t xml:space="preserve"> 2 </w:t>
            </w:r>
            <w:r>
              <w:rPr>
                <w:rFonts w:hint="eastAsia" w:ascii="宋体" w:hAnsi="宋体" w:cs="宋体"/>
                <w:sz w:val="24"/>
              </w:rPr>
              <w:t>份、电子文件（Ｕ盘）</w:t>
            </w:r>
            <w:r>
              <w:rPr>
                <w:rFonts w:hint="eastAsia" w:ascii="宋体" w:hAnsi="宋体" w:cs="宋体"/>
                <w:sz w:val="24"/>
                <w:u w:val="single"/>
              </w:rPr>
              <w:t xml:space="preserve"> 1 </w:t>
            </w:r>
            <w:r>
              <w:rPr>
                <w:rFonts w:hint="eastAsia" w:ascii="宋体" w:hAnsi="宋体" w:cs="宋体"/>
                <w:sz w:val="24"/>
              </w:rPr>
              <w:t>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90"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4</w:t>
            </w:r>
          </w:p>
        </w:tc>
        <w:tc>
          <w:tcPr>
            <w:tcW w:w="2023" w:type="dxa"/>
            <w:shd w:val="clear" w:color="auto" w:fill="auto"/>
            <w:tcMar>
              <w:left w:w="108" w:type="dxa"/>
              <w:right w:w="108" w:type="dxa"/>
            </w:tcMar>
            <w:vAlign w:val="center"/>
          </w:tcPr>
          <w:p>
            <w:pPr>
              <w:overflowPunct w:val="0"/>
              <w:topLinePunct/>
              <w:spacing w:line="400" w:lineRule="exact"/>
              <w:jc w:val="center"/>
              <w:rPr>
                <w:rFonts w:asciiTheme="minorEastAsia" w:hAnsiTheme="minorEastAsia" w:cstheme="minorEastAsia"/>
                <w:sz w:val="24"/>
              </w:rPr>
            </w:pPr>
            <w:r>
              <w:rPr>
                <w:rFonts w:hint="eastAsia" w:asciiTheme="minorEastAsia" w:hAnsiTheme="minorEastAsia" w:cstheme="minorEastAsia"/>
                <w:sz w:val="24"/>
              </w:rPr>
              <w:t>首次响应文件</w:t>
            </w:r>
          </w:p>
          <w:p>
            <w:pPr>
              <w:overflowPunct w:val="0"/>
              <w:topLinePunct/>
              <w:spacing w:line="400" w:lineRule="exact"/>
              <w:jc w:val="center"/>
              <w:rPr>
                <w:sz w:val="24"/>
              </w:rPr>
            </w:pPr>
            <w:r>
              <w:rPr>
                <w:rFonts w:hint="eastAsia" w:asciiTheme="minorEastAsia" w:hAnsiTheme="minorEastAsia" w:cstheme="minorEastAsia"/>
                <w:sz w:val="24"/>
              </w:rPr>
              <w:t>递交地点</w:t>
            </w:r>
          </w:p>
        </w:tc>
        <w:tc>
          <w:tcPr>
            <w:tcW w:w="6319" w:type="dxa"/>
            <w:shd w:val="clear" w:color="auto" w:fill="auto"/>
            <w:tcMar>
              <w:left w:w="108" w:type="dxa"/>
              <w:right w:w="108" w:type="dxa"/>
            </w:tcMar>
            <w:vAlign w:val="center"/>
          </w:tcPr>
          <w:p>
            <w:pPr>
              <w:overflowPunct w:val="0"/>
              <w:topLinePunct/>
              <w:spacing w:line="400" w:lineRule="exact"/>
              <w:rPr>
                <w:rFonts w:ascii="宋体" w:hAnsi="宋体" w:cs="宋体"/>
                <w:kern w:val="0"/>
                <w:sz w:val="24"/>
              </w:rPr>
            </w:pPr>
            <w:r>
              <w:rPr>
                <w:rFonts w:hint="eastAsia" w:ascii="宋体" w:hAnsi="宋体" w:cs="宋体"/>
                <w:sz w:val="24"/>
              </w:rPr>
              <w:t>同正项目管理有限公司会议室（西安市未央区凤城九路与明光路十字中登文景大厦A座1508室）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54"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5</w:t>
            </w:r>
          </w:p>
        </w:tc>
        <w:tc>
          <w:tcPr>
            <w:tcW w:w="2023" w:type="dxa"/>
            <w:shd w:val="clear" w:color="auto" w:fill="auto"/>
            <w:tcMar>
              <w:left w:w="108" w:type="dxa"/>
              <w:right w:w="108" w:type="dxa"/>
            </w:tcMar>
            <w:vAlign w:val="center"/>
          </w:tcPr>
          <w:p>
            <w:pPr>
              <w:overflowPunct w:val="0"/>
              <w:topLinePunct/>
              <w:spacing w:line="400" w:lineRule="exact"/>
              <w:jc w:val="center"/>
              <w:rPr>
                <w:rFonts w:asciiTheme="minorEastAsia" w:hAnsiTheme="minorEastAsia" w:cstheme="minorEastAsia"/>
                <w:color w:val="000000" w:themeColor="text1"/>
                <w:sz w:val="24"/>
                <w:highlight w:val="none"/>
              </w:rPr>
            </w:pPr>
            <w:r>
              <w:rPr>
                <w:rFonts w:hint="eastAsia" w:asciiTheme="minorEastAsia" w:hAnsiTheme="minorEastAsia" w:cstheme="minorEastAsia"/>
                <w:color w:val="000000" w:themeColor="text1"/>
                <w:sz w:val="24"/>
                <w:highlight w:val="none"/>
              </w:rPr>
              <w:t>首次响应文件</w:t>
            </w:r>
          </w:p>
          <w:p>
            <w:pPr>
              <w:overflowPunct w:val="0"/>
              <w:topLinePunct/>
              <w:spacing w:line="400" w:lineRule="exact"/>
              <w:jc w:val="center"/>
              <w:rPr>
                <w:color w:val="000000" w:themeColor="text1"/>
                <w:kern w:val="0"/>
                <w:sz w:val="24"/>
                <w:highlight w:val="none"/>
              </w:rPr>
            </w:pPr>
            <w:r>
              <w:rPr>
                <w:rFonts w:hint="eastAsia" w:asciiTheme="minorEastAsia" w:hAnsiTheme="minorEastAsia" w:cstheme="minorEastAsia"/>
                <w:color w:val="000000" w:themeColor="text1"/>
                <w:sz w:val="24"/>
                <w:highlight w:val="none"/>
              </w:rPr>
              <w:t>递交截止时间</w:t>
            </w:r>
          </w:p>
        </w:tc>
        <w:tc>
          <w:tcPr>
            <w:tcW w:w="6319" w:type="dxa"/>
            <w:shd w:val="clear" w:color="auto" w:fill="auto"/>
            <w:tcMar>
              <w:left w:w="108" w:type="dxa"/>
              <w:right w:w="108" w:type="dxa"/>
            </w:tcMar>
            <w:vAlign w:val="center"/>
          </w:tcPr>
          <w:p>
            <w:pPr>
              <w:adjustRightInd w:val="0"/>
              <w:snapToGrid w:val="0"/>
              <w:spacing w:line="360" w:lineRule="auto"/>
              <w:rPr>
                <w:rFonts w:ascii="宋体" w:hAnsi="宋体" w:cs="宋体"/>
                <w:kern w:val="0"/>
                <w:sz w:val="24"/>
                <w:highlight w:val="none"/>
              </w:rPr>
            </w:pPr>
            <w:r>
              <w:rPr>
                <w:rFonts w:hint="eastAsia" w:ascii="宋体" w:hAnsi="宋体" w:cs="宋体"/>
                <w:kern w:val="0"/>
                <w:sz w:val="24"/>
                <w:highlight w:val="none"/>
              </w:rPr>
              <w:t>2021年0</w:t>
            </w:r>
            <w:r>
              <w:rPr>
                <w:rFonts w:hint="eastAsia" w:ascii="宋体" w:hAnsi="宋体" w:cs="宋体"/>
                <w:kern w:val="0"/>
                <w:sz w:val="24"/>
                <w:highlight w:val="none"/>
                <w:lang w:val="en-US" w:eastAsia="zh-CN"/>
              </w:rPr>
              <w:t>6</w:t>
            </w:r>
            <w:r>
              <w:rPr>
                <w:rFonts w:hint="eastAsia" w:ascii="宋体" w:hAnsi="宋体" w:cs="宋体"/>
                <w:kern w:val="0"/>
                <w:sz w:val="24"/>
                <w:highlight w:val="none"/>
              </w:rPr>
              <w:t>月</w:t>
            </w:r>
            <w:r>
              <w:rPr>
                <w:rFonts w:hint="eastAsia" w:ascii="宋体" w:hAnsi="宋体" w:cs="宋体"/>
                <w:kern w:val="0"/>
                <w:sz w:val="24"/>
                <w:highlight w:val="none"/>
                <w:lang w:val="en-US" w:eastAsia="zh-CN"/>
              </w:rPr>
              <w:t>10</w:t>
            </w:r>
            <w:r>
              <w:rPr>
                <w:rFonts w:hint="eastAsia" w:ascii="宋体" w:hAnsi="宋体" w:cs="宋体"/>
                <w:kern w:val="0"/>
                <w:sz w:val="24"/>
                <w:highlight w:val="none"/>
              </w:rPr>
              <w:t>日</w:t>
            </w:r>
            <w:r>
              <w:rPr>
                <w:rFonts w:hint="eastAsia" w:ascii="宋体" w:hAnsi="宋体" w:cs="宋体"/>
                <w:sz w:val="24"/>
                <w:highlight w:val="none"/>
                <w:lang w:val="en-US" w:eastAsia="zh-CN"/>
              </w:rPr>
              <w:t>15</w:t>
            </w:r>
            <w:r>
              <w:rPr>
                <w:rFonts w:hint="eastAsia" w:ascii="宋体" w:hAnsi="宋体" w:cs="宋体"/>
                <w:sz w:val="24"/>
                <w:highlight w:val="none"/>
              </w:rPr>
              <w:t>时30分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75"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6</w:t>
            </w:r>
          </w:p>
        </w:tc>
        <w:tc>
          <w:tcPr>
            <w:tcW w:w="2023" w:type="dxa"/>
            <w:shd w:val="clear" w:color="auto" w:fill="auto"/>
            <w:tcMar>
              <w:left w:w="108" w:type="dxa"/>
              <w:right w:w="108" w:type="dxa"/>
            </w:tcMar>
            <w:vAlign w:val="center"/>
          </w:tcPr>
          <w:p>
            <w:pPr>
              <w:widowControl/>
              <w:spacing w:line="360" w:lineRule="auto"/>
              <w:jc w:val="center"/>
              <w:rPr>
                <w:kern w:val="0"/>
                <w:sz w:val="24"/>
              </w:rPr>
            </w:pPr>
            <w:r>
              <w:rPr>
                <w:sz w:val="24"/>
              </w:rPr>
              <w:t>磋商时间和地点</w:t>
            </w:r>
          </w:p>
        </w:tc>
        <w:tc>
          <w:tcPr>
            <w:tcW w:w="6319" w:type="dxa"/>
            <w:shd w:val="clear" w:color="auto" w:fill="auto"/>
            <w:tcMar>
              <w:left w:w="108" w:type="dxa"/>
              <w:right w:w="108" w:type="dxa"/>
            </w:tcMar>
            <w:vAlign w:val="center"/>
          </w:tcPr>
          <w:p>
            <w:pPr>
              <w:overflowPunct w:val="0"/>
              <w:topLinePunct/>
              <w:spacing w:line="400" w:lineRule="exact"/>
              <w:rPr>
                <w:rFonts w:asciiTheme="minorEastAsia" w:hAnsiTheme="minorEastAsia" w:cstheme="minorEastAsia"/>
                <w:sz w:val="24"/>
              </w:rPr>
            </w:pPr>
            <w:r>
              <w:rPr>
                <w:rFonts w:hint="eastAsia" w:asciiTheme="minorEastAsia" w:hAnsiTheme="minorEastAsia" w:cstheme="minorEastAsia"/>
                <w:sz w:val="24"/>
              </w:rPr>
              <w:t>磋商</w:t>
            </w:r>
            <w:r>
              <w:rPr>
                <w:rFonts w:hint="eastAsia" w:asciiTheme="minorEastAsia" w:hAnsiTheme="minorEastAsia" w:cstheme="minorEastAsia"/>
                <w:sz w:val="24"/>
                <w:highlight w:val="none"/>
              </w:rPr>
              <w:t>时间：</w:t>
            </w:r>
            <w:r>
              <w:rPr>
                <w:rFonts w:hint="eastAsia" w:ascii="宋体" w:hAnsi="宋体"/>
                <w:kern w:val="0"/>
                <w:sz w:val="24"/>
                <w:highlight w:val="none"/>
              </w:rPr>
              <w:t>2021年</w:t>
            </w:r>
            <w:r>
              <w:rPr>
                <w:rFonts w:hint="eastAsia" w:ascii="宋体" w:hAnsi="宋体"/>
                <w:color w:val="000000" w:themeColor="text1"/>
                <w:kern w:val="0"/>
                <w:sz w:val="24"/>
                <w:highlight w:val="none"/>
              </w:rPr>
              <w:t>0</w:t>
            </w:r>
            <w:r>
              <w:rPr>
                <w:rFonts w:hint="eastAsia" w:ascii="宋体" w:hAnsi="宋体"/>
                <w:color w:val="000000" w:themeColor="text1"/>
                <w:kern w:val="0"/>
                <w:sz w:val="24"/>
                <w:highlight w:val="none"/>
                <w:lang w:val="en-US" w:eastAsia="zh-CN"/>
              </w:rPr>
              <w:t>6</w:t>
            </w:r>
            <w:r>
              <w:rPr>
                <w:rFonts w:hint="eastAsia" w:ascii="宋体" w:hAnsi="宋体"/>
                <w:kern w:val="0"/>
                <w:sz w:val="24"/>
                <w:highlight w:val="none"/>
              </w:rPr>
              <w:t>月</w:t>
            </w:r>
            <w:r>
              <w:rPr>
                <w:rFonts w:hint="eastAsia" w:ascii="宋体" w:hAnsi="宋体"/>
                <w:kern w:val="0"/>
                <w:sz w:val="24"/>
                <w:highlight w:val="none"/>
                <w:lang w:val="en-US" w:eastAsia="zh-CN"/>
              </w:rPr>
              <w:t>10</w:t>
            </w:r>
            <w:r>
              <w:rPr>
                <w:rFonts w:hint="eastAsia" w:ascii="宋体" w:hAnsi="宋体"/>
                <w:kern w:val="0"/>
                <w:sz w:val="24"/>
                <w:highlight w:val="none"/>
              </w:rPr>
              <w:t>日</w:t>
            </w:r>
            <w:r>
              <w:rPr>
                <w:rFonts w:hint="eastAsia" w:asciiTheme="minorEastAsia" w:hAnsiTheme="minorEastAsia" w:eastAsiaTheme="minorEastAsia" w:cstheme="minorEastAsia"/>
                <w:sz w:val="24"/>
                <w:highlight w:val="none"/>
                <w:lang w:val="en-US" w:eastAsia="zh-CN"/>
              </w:rPr>
              <w:t>15</w:t>
            </w:r>
            <w:r>
              <w:rPr>
                <w:rFonts w:hint="eastAsia" w:asciiTheme="minorEastAsia" w:hAnsiTheme="minorEastAsia" w:eastAsiaTheme="minorEastAsia" w:cstheme="minorEastAsia"/>
                <w:sz w:val="24"/>
                <w:highlight w:val="none"/>
              </w:rPr>
              <w:t>时30分</w:t>
            </w:r>
          </w:p>
          <w:p>
            <w:pPr>
              <w:overflowPunct w:val="0"/>
              <w:topLinePunct/>
              <w:spacing w:line="400" w:lineRule="exact"/>
              <w:rPr>
                <w:sz w:val="24"/>
              </w:rPr>
            </w:pPr>
            <w:r>
              <w:rPr>
                <w:rFonts w:hint="eastAsia" w:asciiTheme="minorEastAsia" w:hAnsiTheme="minorEastAsia" w:cstheme="minorEastAsia"/>
                <w:sz w:val="24"/>
              </w:rPr>
              <w:t xml:space="preserve">磋商地点：同递交响应文件地点。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775"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7</w:t>
            </w:r>
          </w:p>
        </w:tc>
        <w:tc>
          <w:tcPr>
            <w:tcW w:w="2023" w:type="dxa"/>
            <w:shd w:val="clear" w:color="auto" w:fill="auto"/>
            <w:tcMar>
              <w:left w:w="108" w:type="dxa"/>
              <w:right w:w="108" w:type="dxa"/>
            </w:tcMar>
            <w:vAlign w:val="center"/>
          </w:tcPr>
          <w:p>
            <w:pPr>
              <w:widowControl/>
              <w:spacing w:line="360" w:lineRule="auto"/>
              <w:jc w:val="center"/>
              <w:rPr>
                <w:kern w:val="0"/>
                <w:sz w:val="24"/>
              </w:rPr>
            </w:pPr>
            <w:r>
              <w:rPr>
                <w:sz w:val="24"/>
              </w:rPr>
              <w:t>磋商小组的组建</w:t>
            </w:r>
          </w:p>
        </w:tc>
        <w:tc>
          <w:tcPr>
            <w:tcW w:w="6319" w:type="dxa"/>
            <w:shd w:val="clear" w:color="auto" w:fill="auto"/>
            <w:tcMar>
              <w:left w:w="108" w:type="dxa"/>
              <w:right w:w="108" w:type="dxa"/>
            </w:tcMar>
            <w:vAlign w:val="center"/>
          </w:tcPr>
          <w:p>
            <w:pPr>
              <w:pStyle w:val="303"/>
              <w:spacing w:line="360" w:lineRule="auto"/>
              <w:rPr>
                <w:color w:val="000000" w:themeColor="text1"/>
              </w:rPr>
            </w:pPr>
            <w:r>
              <w:rPr>
                <w:color w:val="000000" w:themeColor="text1"/>
              </w:rPr>
              <w:t>磋商小组构成：3人</w:t>
            </w:r>
            <w:r>
              <w:rPr>
                <w:rFonts w:hint="eastAsia"/>
                <w:color w:val="000000" w:themeColor="text1"/>
              </w:rPr>
              <w:t>，</w:t>
            </w:r>
            <w:r>
              <w:rPr>
                <w:rFonts w:hint="eastAsia"/>
                <w:color w:val="000000" w:themeColor="text1"/>
                <w:lang w:val="zh-CN"/>
              </w:rPr>
              <w:t>其中采购人代表</w:t>
            </w:r>
            <w:r>
              <w:rPr>
                <w:rFonts w:hint="eastAsia"/>
                <w:color w:val="000000" w:themeColor="text1"/>
                <w:u w:val="single"/>
              </w:rPr>
              <w:t xml:space="preserve"> 1 </w:t>
            </w:r>
            <w:r>
              <w:rPr>
                <w:rFonts w:hint="eastAsia"/>
                <w:color w:val="000000" w:themeColor="text1"/>
                <w:lang w:val="zh-CN"/>
              </w:rPr>
              <w:t>人，磋商专家</w:t>
            </w:r>
            <w:r>
              <w:rPr>
                <w:rFonts w:hint="eastAsia"/>
                <w:color w:val="000000" w:themeColor="text1"/>
                <w:u w:val="single"/>
              </w:rPr>
              <w:t xml:space="preserve"> 2 </w:t>
            </w:r>
            <w:r>
              <w:rPr>
                <w:rFonts w:hint="eastAsia"/>
                <w:color w:val="000000" w:themeColor="text1"/>
                <w:lang w:val="zh-CN"/>
              </w:rPr>
              <w:t>人。</w:t>
            </w:r>
          </w:p>
          <w:p>
            <w:pPr>
              <w:widowControl/>
              <w:spacing w:line="400" w:lineRule="exact"/>
              <w:rPr>
                <w:sz w:val="24"/>
              </w:rPr>
            </w:pPr>
            <w:r>
              <w:rPr>
                <w:sz w:val="24"/>
              </w:rPr>
              <w:t>磋商专家确定方式：按照相关规定，专家评委在陕西省财政厅《政府采购评审专家库》中随机抽取。</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88"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1</w:t>
            </w:r>
            <w:r>
              <w:rPr>
                <w:rFonts w:hint="eastAsia"/>
                <w:kern w:val="0"/>
                <w:sz w:val="24"/>
              </w:rPr>
              <w:t>8</w:t>
            </w:r>
          </w:p>
        </w:tc>
        <w:tc>
          <w:tcPr>
            <w:tcW w:w="2023" w:type="dxa"/>
            <w:shd w:val="clear" w:color="auto" w:fill="auto"/>
            <w:tcMar>
              <w:left w:w="108" w:type="dxa"/>
              <w:right w:w="108" w:type="dxa"/>
            </w:tcMar>
            <w:vAlign w:val="center"/>
          </w:tcPr>
          <w:p>
            <w:pPr>
              <w:widowControl/>
              <w:spacing w:line="360" w:lineRule="auto"/>
              <w:jc w:val="center"/>
              <w:rPr>
                <w:kern w:val="0"/>
                <w:sz w:val="24"/>
              </w:rPr>
            </w:pPr>
            <w:r>
              <w:rPr>
                <w:sz w:val="24"/>
              </w:rPr>
              <w:t>磋商办法</w:t>
            </w:r>
          </w:p>
        </w:tc>
        <w:tc>
          <w:tcPr>
            <w:tcW w:w="6319" w:type="dxa"/>
            <w:shd w:val="clear" w:color="auto" w:fill="auto"/>
            <w:tcMar>
              <w:left w:w="108" w:type="dxa"/>
              <w:right w:w="108" w:type="dxa"/>
            </w:tcMar>
            <w:vAlign w:val="center"/>
          </w:tcPr>
          <w:p>
            <w:pPr>
              <w:widowControl/>
              <w:spacing w:line="400" w:lineRule="exact"/>
              <w:rPr>
                <w:sz w:val="24"/>
              </w:rPr>
            </w:pPr>
            <w:r>
              <w:rPr>
                <w:sz w:val="24"/>
              </w:rPr>
              <w:t>综合评分法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08"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rFonts w:hint="eastAsia"/>
                <w:kern w:val="0"/>
                <w:sz w:val="24"/>
              </w:rPr>
              <w:t>19</w:t>
            </w:r>
          </w:p>
        </w:tc>
        <w:tc>
          <w:tcPr>
            <w:tcW w:w="2023" w:type="dxa"/>
            <w:shd w:val="clear" w:color="auto" w:fill="auto"/>
            <w:tcMar>
              <w:left w:w="108" w:type="dxa"/>
              <w:right w:w="108" w:type="dxa"/>
            </w:tcMar>
            <w:vAlign w:val="center"/>
          </w:tcPr>
          <w:p>
            <w:pPr>
              <w:snapToGrid w:val="0"/>
              <w:spacing w:line="360" w:lineRule="auto"/>
              <w:jc w:val="center"/>
              <w:rPr>
                <w:kern w:val="0"/>
                <w:sz w:val="24"/>
              </w:rPr>
            </w:pPr>
            <w:r>
              <w:rPr>
                <w:sz w:val="24"/>
              </w:rPr>
              <w:t>复印件或扫描件</w:t>
            </w:r>
          </w:p>
        </w:tc>
        <w:tc>
          <w:tcPr>
            <w:tcW w:w="6319" w:type="dxa"/>
            <w:shd w:val="clear" w:color="auto" w:fill="auto"/>
            <w:tcMar>
              <w:left w:w="108" w:type="dxa"/>
              <w:right w:w="108" w:type="dxa"/>
            </w:tcMar>
            <w:vAlign w:val="center"/>
          </w:tcPr>
          <w:p>
            <w:pPr>
              <w:snapToGrid w:val="0"/>
              <w:spacing w:line="400" w:lineRule="exact"/>
              <w:rPr>
                <w:sz w:val="24"/>
              </w:rPr>
            </w:pPr>
            <w:r>
              <w:rPr>
                <w:b/>
                <w:bCs/>
                <w:sz w:val="24"/>
              </w:rPr>
              <w:t>正本中的复印件（或扫描件）必须加盖</w:t>
            </w:r>
            <w:r>
              <w:rPr>
                <w:rFonts w:hint="eastAsia"/>
                <w:b/>
                <w:bCs/>
                <w:sz w:val="24"/>
              </w:rPr>
              <w:t>磋商响应单位</w:t>
            </w:r>
            <w:r>
              <w:rPr>
                <w:b/>
                <w:bCs/>
                <w:sz w:val="24"/>
              </w:rPr>
              <w:t>的公章（红章），否则按无效文件处理</w:t>
            </w:r>
            <w:r>
              <w:rPr>
                <w:sz w:val="24"/>
              </w:rPr>
              <w:t>。</w:t>
            </w:r>
          </w:p>
          <w:p>
            <w:pPr>
              <w:snapToGrid w:val="0"/>
              <w:spacing w:line="400" w:lineRule="exact"/>
              <w:rPr>
                <w:kern w:val="0"/>
                <w:sz w:val="24"/>
              </w:rPr>
            </w:pPr>
            <w:r>
              <w:rPr>
                <w:sz w:val="24"/>
              </w:rPr>
              <w:t>所有复印件（或扫描件）（含</w:t>
            </w:r>
            <w:r>
              <w:rPr>
                <w:rFonts w:hint="eastAsia"/>
                <w:sz w:val="24"/>
              </w:rPr>
              <w:t>磋商响应单位</w:t>
            </w:r>
            <w:r>
              <w:rPr>
                <w:sz w:val="24"/>
              </w:rPr>
              <w:t>认为须提交的其他证明材料复印件、扫描件、网页截图等）应是最新、有效、清晰的。因复印件（或扫描件）不清晰而可能导致资料无效，由</w:t>
            </w:r>
            <w:r>
              <w:rPr>
                <w:rFonts w:hint="eastAsia"/>
                <w:sz w:val="24"/>
              </w:rPr>
              <w:t>磋商响应单位</w:t>
            </w:r>
            <w:r>
              <w:rPr>
                <w:sz w:val="24"/>
              </w:rPr>
              <w:t>自行负责。</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95"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2</w:t>
            </w:r>
            <w:r>
              <w:rPr>
                <w:rFonts w:hint="eastAsia"/>
                <w:kern w:val="0"/>
                <w:sz w:val="24"/>
              </w:rPr>
              <w:t>0</w:t>
            </w:r>
          </w:p>
        </w:tc>
        <w:tc>
          <w:tcPr>
            <w:tcW w:w="2023" w:type="dxa"/>
            <w:shd w:val="clear" w:color="auto" w:fill="auto"/>
            <w:tcMar>
              <w:left w:w="108" w:type="dxa"/>
              <w:right w:w="108" w:type="dxa"/>
            </w:tcMar>
            <w:vAlign w:val="center"/>
          </w:tcPr>
          <w:p>
            <w:pPr>
              <w:snapToGrid w:val="0"/>
              <w:spacing w:line="360" w:lineRule="auto"/>
              <w:jc w:val="center"/>
              <w:rPr>
                <w:kern w:val="0"/>
                <w:sz w:val="24"/>
              </w:rPr>
            </w:pPr>
            <w:r>
              <w:rPr>
                <w:rFonts w:hint="eastAsia"/>
                <w:sz w:val="24"/>
              </w:rPr>
              <w:t>开标时须携带的原件（无需密封）</w:t>
            </w:r>
          </w:p>
        </w:tc>
        <w:tc>
          <w:tcPr>
            <w:tcW w:w="6319" w:type="dxa"/>
            <w:shd w:val="clear" w:color="auto" w:fill="auto"/>
            <w:tcMar>
              <w:left w:w="108" w:type="dxa"/>
              <w:right w:w="108" w:type="dxa"/>
            </w:tcMar>
            <w:vAlign w:val="center"/>
          </w:tcPr>
          <w:p>
            <w:pPr>
              <w:widowControl/>
              <w:spacing w:line="360" w:lineRule="auto"/>
              <w:rPr>
                <w:rFonts w:ascii="宋体" w:hAnsi="宋体" w:cs="宋体"/>
                <w:sz w:val="24"/>
              </w:rPr>
            </w:pPr>
            <w:r>
              <w:rPr>
                <w:rFonts w:hint="eastAsia" w:ascii="宋体" w:hAnsi="宋体" w:cs="宋体"/>
                <w:sz w:val="24"/>
              </w:rPr>
              <w:t>开标会现场由监标人查验以下资料原件，如未提供或提供资料不符合要求或资料有误的，视为不合格，将不得参与下一环节评审。</w:t>
            </w:r>
          </w:p>
          <w:p>
            <w:pPr>
              <w:widowControl/>
              <w:spacing w:line="360" w:lineRule="auto"/>
              <w:rPr>
                <w:rFonts w:ascii="宋体" w:hAnsi="宋体" w:cs="宋体"/>
                <w:sz w:val="24"/>
              </w:rPr>
            </w:pPr>
            <w:r>
              <w:rPr>
                <w:rFonts w:hint="eastAsia" w:ascii="宋体" w:hAnsi="宋体" w:cs="宋体"/>
                <w:sz w:val="24"/>
              </w:rPr>
              <w:t>（1）磋商响应单位法定代表人授权委托书或法定代表人身份证明书（法人直接参加磋商时提供）；</w:t>
            </w:r>
          </w:p>
          <w:p>
            <w:pPr>
              <w:widowControl/>
              <w:spacing w:line="360" w:lineRule="auto"/>
              <w:rPr>
                <w:kern w:val="0"/>
                <w:sz w:val="24"/>
              </w:rPr>
            </w:pPr>
            <w:r>
              <w:rPr>
                <w:rFonts w:hint="eastAsia" w:ascii="宋体" w:hAnsi="宋体" w:cs="宋体"/>
                <w:sz w:val="24"/>
              </w:rPr>
              <w:t>（2）被授权委托人或法定代表人的身份证原件及身份证复印件加盖单位公章。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76"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2</w:t>
            </w:r>
            <w:r>
              <w:rPr>
                <w:rFonts w:hint="eastAsia"/>
                <w:kern w:val="0"/>
                <w:sz w:val="24"/>
              </w:rPr>
              <w:t>1</w:t>
            </w:r>
          </w:p>
        </w:tc>
        <w:tc>
          <w:tcPr>
            <w:tcW w:w="2023" w:type="dxa"/>
            <w:shd w:val="clear" w:color="auto" w:fill="auto"/>
            <w:tcMar>
              <w:left w:w="108" w:type="dxa"/>
              <w:right w:w="108" w:type="dxa"/>
            </w:tcMar>
            <w:vAlign w:val="center"/>
          </w:tcPr>
          <w:p>
            <w:pPr>
              <w:widowControl/>
              <w:spacing w:line="360" w:lineRule="auto"/>
              <w:jc w:val="center"/>
              <w:rPr>
                <w:kern w:val="0"/>
                <w:sz w:val="24"/>
              </w:rPr>
            </w:pPr>
            <w:r>
              <w:rPr>
                <w:kern w:val="0"/>
                <w:sz w:val="24"/>
              </w:rPr>
              <w:t>解释权</w:t>
            </w:r>
          </w:p>
        </w:tc>
        <w:tc>
          <w:tcPr>
            <w:tcW w:w="6319" w:type="dxa"/>
            <w:shd w:val="clear" w:color="auto" w:fill="auto"/>
            <w:tcMar>
              <w:left w:w="108" w:type="dxa"/>
              <w:right w:w="108" w:type="dxa"/>
            </w:tcMar>
            <w:vAlign w:val="center"/>
          </w:tcPr>
          <w:p>
            <w:pPr>
              <w:widowControl/>
              <w:spacing w:line="400" w:lineRule="exact"/>
              <w:rPr>
                <w:kern w:val="0"/>
                <w:sz w:val="24"/>
              </w:rPr>
            </w:pPr>
            <w:r>
              <w:rPr>
                <w:kern w:val="0"/>
                <w:sz w:val="24"/>
              </w:rPr>
              <w:t>本磋商文件解释权归采购人和采购代理机构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56"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kern w:val="0"/>
                <w:sz w:val="24"/>
              </w:rPr>
              <w:t>2</w:t>
            </w:r>
            <w:r>
              <w:rPr>
                <w:rFonts w:hint="eastAsia"/>
                <w:kern w:val="0"/>
                <w:sz w:val="24"/>
              </w:rPr>
              <w:t>2</w:t>
            </w:r>
          </w:p>
        </w:tc>
        <w:tc>
          <w:tcPr>
            <w:tcW w:w="2023" w:type="dxa"/>
            <w:shd w:val="clear" w:color="auto" w:fill="auto"/>
            <w:tcMar>
              <w:left w:w="108" w:type="dxa"/>
              <w:right w:w="108" w:type="dxa"/>
            </w:tcMar>
            <w:vAlign w:val="center"/>
          </w:tcPr>
          <w:p>
            <w:pPr>
              <w:widowControl/>
              <w:spacing w:line="360" w:lineRule="auto"/>
              <w:jc w:val="center"/>
              <w:rPr>
                <w:rFonts w:eastAsiaTheme="minorEastAsia"/>
                <w:kern w:val="0"/>
                <w:sz w:val="24"/>
              </w:rPr>
            </w:pPr>
            <w:r>
              <w:rPr>
                <w:rFonts w:hint="eastAsia" w:asciiTheme="minorEastAsia" w:hAnsiTheme="minorEastAsia" w:eastAsiaTheme="minorEastAsia" w:cstheme="minorEastAsia"/>
                <w:sz w:val="24"/>
              </w:rPr>
              <w:t>招标代理服务费及造价咨询费</w:t>
            </w:r>
          </w:p>
        </w:tc>
        <w:tc>
          <w:tcPr>
            <w:tcW w:w="6319" w:type="dxa"/>
            <w:shd w:val="clear" w:color="auto" w:fill="auto"/>
            <w:tcMar>
              <w:left w:w="108" w:type="dxa"/>
              <w:right w:w="108" w:type="dxa"/>
            </w:tcMar>
            <w:vAlign w:val="center"/>
          </w:tcPr>
          <w:p>
            <w:pPr>
              <w:widowControl/>
              <w:spacing w:line="400" w:lineRule="exact"/>
              <w:jc w:val="left"/>
              <w:rPr>
                <w:sz w:val="24"/>
              </w:rPr>
            </w:pPr>
            <w:r>
              <w:rPr>
                <w:rFonts w:hint="eastAsia" w:asciiTheme="minorEastAsia" w:hAnsiTheme="minorEastAsia" w:eastAsiaTheme="minorEastAsia" w:cstheme="minorEastAsia"/>
                <w:sz w:val="24"/>
              </w:rPr>
              <w:t>按国家发展计划委员会文件计价格【2002】1980号、发改价格【2011】534号、发改价格的【2015】299号，招标代理费用及造价咨询费根据实际中标价格据实结算，由中标单位进行支付。</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64" w:hRule="atLeast"/>
          <w:jc w:val="center"/>
        </w:trPr>
        <w:tc>
          <w:tcPr>
            <w:tcW w:w="700" w:type="dxa"/>
            <w:shd w:val="clear" w:color="auto" w:fill="auto"/>
            <w:tcMar>
              <w:left w:w="108" w:type="dxa"/>
              <w:right w:w="108" w:type="dxa"/>
            </w:tcMar>
            <w:vAlign w:val="center"/>
          </w:tcPr>
          <w:p>
            <w:pPr>
              <w:widowControl/>
              <w:spacing w:line="360" w:lineRule="auto"/>
              <w:jc w:val="center"/>
              <w:rPr>
                <w:sz w:val="24"/>
              </w:rPr>
            </w:pPr>
            <w:r>
              <w:rPr>
                <w:kern w:val="0"/>
                <w:sz w:val="24"/>
              </w:rPr>
              <w:t>2</w:t>
            </w:r>
            <w:r>
              <w:rPr>
                <w:rFonts w:hint="eastAsia"/>
                <w:kern w:val="0"/>
                <w:sz w:val="24"/>
              </w:rPr>
              <w:t>3</w:t>
            </w:r>
          </w:p>
        </w:tc>
        <w:tc>
          <w:tcPr>
            <w:tcW w:w="2023" w:type="dxa"/>
            <w:shd w:val="clear" w:color="auto" w:fill="auto"/>
            <w:tcMar>
              <w:left w:w="108" w:type="dxa"/>
              <w:right w:w="108" w:type="dxa"/>
            </w:tcMar>
            <w:vAlign w:val="center"/>
          </w:tcPr>
          <w:p>
            <w:pPr>
              <w:widowControl/>
              <w:spacing w:line="360" w:lineRule="auto"/>
              <w:jc w:val="center"/>
              <w:rPr>
                <w:kern w:val="0"/>
                <w:sz w:val="24"/>
                <w:highlight w:val="none"/>
              </w:rPr>
            </w:pPr>
            <w:r>
              <w:rPr>
                <w:rFonts w:hint="eastAsia"/>
                <w:kern w:val="0"/>
                <w:sz w:val="24"/>
                <w:highlight w:val="none"/>
              </w:rPr>
              <w:t>磋商最高限价</w:t>
            </w:r>
          </w:p>
        </w:tc>
        <w:tc>
          <w:tcPr>
            <w:tcW w:w="6319" w:type="dxa"/>
            <w:shd w:val="clear" w:color="auto" w:fill="auto"/>
            <w:tcMar>
              <w:left w:w="108" w:type="dxa"/>
              <w:right w:w="108" w:type="dxa"/>
            </w:tcMar>
            <w:vAlign w:val="center"/>
          </w:tcPr>
          <w:p>
            <w:pPr>
              <w:widowControl/>
              <w:spacing w:line="360" w:lineRule="auto"/>
              <w:jc w:val="left"/>
              <w:rPr>
                <w:kern w:val="0"/>
                <w:sz w:val="24"/>
                <w:highlight w:val="none"/>
              </w:rPr>
            </w:pPr>
            <w:r>
              <w:rPr>
                <w:rFonts w:hint="eastAsia" w:ascii="宋体" w:hAnsi="宋体" w:cs="宋体"/>
                <w:color w:val="000000" w:themeColor="text1"/>
                <w:kern w:val="0"/>
                <w:sz w:val="24"/>
                <w:highlight w:val="none"/>
              </w:rPr>
              <w:t>本项目采购预算为人民币</w:t>
            </w:r>
            <w:r>
              <w:rPr>
                <w:rFonts w:hint="eastAsia" w:ascii="宋体" w:hAnsi="宋体" w:cs="宋体"/>
                <w:color w:val="000000" w:themeColor="text1"/>
                <w:kern w:val="0"/>
                <w:sz w:val="24"/>
                <w:highlight w:val="none"/>
                <w:lang w:eastAsia="zh-CN"/>
              </w:rPr>
              <w:t>1600000</w:t>
            </w:r>
            <w:r>
              <w:rPr>
                <w:rFonts w:hint="eastAsia" w:ascii="宋体" w:hAnsi="宋体" w:cs="宋体"/>
                <w:color w:val="000000" w:themeColor="text1"/>
                <w:kern w:val="0"/>
                <w:sz w:val="24"/>
                <w:highlight w:val="none"/>
              </w:rPr>
              <w:t>.00元，最高限价:</w:t>
            </w:r>
            <w:r>
              <w:rPr>
                <w:rFonts w:hint="eastAsia" w:ascii="宋体" w:hAnsi="宋体" w:cs="宋体"/>
                <w:color w:val="000000" w:themeColor="text1"/>
                <w:kern w:val="0"/>
                <w:sz w:val="24"/>
                <w:highlight w:val="none"/>
                <w:lang w:eastAsia="zh-CN"/>
              </w:rPr>
              <w:t>1598054.75</w:t>
            </w:r>
            <w:r>
              <w:rPr>
                <w:rFonts w:hint="eastAsia" w:ascii="宋体" w:hAnsi="宋体" w:cs="宋体"/>
                <w:color w:val="000000" w:themeColor="text1"/>
                <w:kern w:val="0"/>
                <w:sz w:val="24"/>
                <w:highlight w:val="none"/>
              </w:rPr>
              <w:t>元，首次报价超出采购预算或者最高限价的磋商响应单位不进入下一步磋商程序。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689" w:hRule="atLeast"/>
          <w:jc w:val="center"/>
        </w:trPr>
        <w:tc>
          <w:tcPr>
            <w:tcW w:w="700" w:type="dxa"/>
            <w:shd w:val="clear" w:color="auto" w:fill="auto"/>
            <w:tcMar>
              <w:left w:w="108" w:type="dxa"/>
              <w:right w:w="108" w:type="dxa"/>
            </w:tcMar>
            <w:vAlign w:val="center"/>
          </w:tcPr>
          <w:p>
            <w:pPr>
              <w:widowControl/>
              <w:spacing w:line="360" w:lineRule="auto"/>
              <w:jc w:val="center"/>
              <w:rPr>
                <w:kern w:val="0"/>
                <w:sz w:val="24"/>
              </w:rPr>
            </w:pPr>
            <w:r>
              <w:rPr>
                <w:rFonts w:hint="eastAsia"/>
                <w:kern w:val="0"/>
                <w:sz w:val="24"/>
              </w:rPr>
              <w:t>24</w:t>
            </w:r>
          </w:p>
        </w:tc>
        <w:tc>
          <w:tcPr>
            <w:tcW w:w="2023" w:type="dxa"/>
            <w:shd w:val="clear" w:color="auto" w:fill="auto"/>
            <w:tcMar>
              <w:left w:w="108" w:type="dxa"/>
              <w:right w:w="108" w:type="dxa"/>
            </w:tcMar>
            <w:vAlign w:val="center"/>
          </w:tcPr>
          <w:p>
            <w:pPr>
              <w:widowControl/>
              <w:spacing w:line="360" w:lineRule="auto"/>
              <w:jc w:val="center"/>
              <w:rPr>
                <w:color w:val="FF0000"/>
                <w:kern w:val="0"/>
                <w:sz w:val="24"/>
                <w:highlight w:val="yellow"/>
              </w:rPr>
            </w:pPr>
            <w:r>
              <w:rPr>
                <w:rFonts w:hint="eastAsia"/>
                <w:color w:val="000000" w:themeColor="text1"/>
                <w:kern w:val="0"/>
                <w:sz w:val="24"/>
              </w:rPr>
              <w:t>工程计价方式</w:t>
            </w:r>
          </w:p>
        </w:tc>
        <w:tc>
          <w:tcPr>
            <w:tcW w:w="6319" w:type="dxa"/>
            <w:shd w:val="clear" w:color="auto" w:fill="auto"/>
            <w:tcMar>
              <w:left w:w="108" w:type="dxa"/>
              <w:right w:w="108" w:type="dxa"/>
            </w:tcMar>
            <w:vAlign w:val="center"/>
          </w:tcPr>
          <w:p>
            <w:pPr>
              <w:widowControl/>
              <w:spacing w:line="360" w:lineRule="auto"/>
              <w:jc w:val="left"/>
              <w:rPr>
                <w:rFonts w:hint="eastAsia" w:ascii="宋体" w:hAnsi="宋体" w:cs="宋体"/>
                <w:color w:val="000000" w:themeColor="text1"/>
                <w:kern w:val="0"/>
                <w:sz w:val="24"/>
                <w:highlight w:val="none"/>
              </w:rPr>
            </w:pPr>
            <w:r>
              <w:rPr>
                <w:rFonts w:hint="eastAsia" w:ascii="宋体" w:hAnsi="宋体" w:cs="宋体"/>
                <w:color w:val="000000" w:themeColor="text1"/>
                <w:kern w:val="0"/>
                <w:sz w:val="24"/>
                <w:highlight w:val="none"/>
                <w:lang w:val="en-US" w:eastAsia="zh-CN"/>
              </w:rPr>
              <w:t>1.</w:t>
            </w:r>
            <w:r>
              <w:rPr>
                <w:rFonts w:hint="eastAsia" w:ascii="宋体" w:hAnsi="宋体" w:cs="宋体"/>
                <w:color w:val="000000" w:themeColor="text1"/>
                <w:kern w:val="0"/>
                <w:sz w:val="24"/>
                <w:highlight w:val="none"/>
              </w:rPr>
              <w:t>《陕西省建设工程工程量清单计价规则》（2009）和《陕西建筑装饰工程消耗量定额》（2004）及其补充定额、《陕西省园林绿化工程消耗量定额》（2004）及其补充定额、《陕西省市政工程消耗量定额》（2004）及其补充定额、《陕西省建筑装饰工程价目表》（2009）、《陕西省园林绿化工程价目表》（2009）、《陕西省市政工程价目表》（2009）及其配套的费用文件。</w:t>
            </w:r>
          </w:p>
          <w:p>
            <w:pPr>
              <w:widowControl/>
              <w:spacing w:line="360" w:lineRule="auto"/>
              <w:jc w:val="left"/>
              <w:rPr>
                <w:rFonts w:hint="eastAsia" w:ascii="宋体" w:hAnsi="宋体" w:cs="宋体"/>
                <w:color w:val="000000" w:themeColor="text1"/>
                <w:kern w:val="0"/>
                <w:sz w:val="24"/>
                <w:highlight w:val="none"/>
              </w:rPr>
            </w:pPr>
            <w:r>
              <w:rPr>
                <w:rFonts w:hint="eastAsia" w:ascii="宋体" w:hAnsi="宋体" w:cs="宋体"/>
                <w:color w:val="000000" w:themeColor="text1"/>
                <w:kern w:val="0"/>
                <w:sz w:val="24"/>
                <w:highlight w:val="none"/>
              </w:rPr>
              <w:t>2.税金按陕建发【2019】45号文件综合系数调整计入，</w:t>
            </w:r>
            <w:r>
              <w:rPr>
                <w:rFonts w:hint="eastAsia" w:ascii="宋体" w:hAnsi="宋体" w:cs="宋体"/>
                <w:color w:val="000000" w:themeColor="text1"/>
                <w:kern w:val="0"/>
                <w:sz w:val="24"/>
                <w:highlight w:val="none"/>
                <w:lang w:val="en-US" w:eastAsia="zh-CN"/>
              </w:rPr>
              <w:t>按</w:t>
            </w:r>
            <w:r>
              <w:rPr>
                <w:rFonts w:hint="eastAsia" w:ascii="宋体" w:hAnsi="宋体" w:cs="宋体"/>
                <w:color w:val="000000" w:themeColor="text1"/>
                <w:kern w:val="0"/>
                <w:sz w:val="24"/>
                <w:highlight w:val="none"/>
                <w:lang w:eastAsia="zh-CN"/>
              </w:rPr>
              <w:t>县</w:t>
            </w:r>
            <w:r>
              <w:rPr>
                <w:rFonts w:hint="eastAsia" w:ascii="宋体" w:hAnsi="宋体" w:cs="宋体"/>
                <w:color w:val="000000" w:themeColor="text1"/>
                <w:kern w:val="0"/>
                <w:sz w:val="24"/>
                <w:highlight w:val="none"/>
              </w:rPr>
              <w:t xml:space="preserve">计入； </w:t>
            </w:r>
          </w:p>
          <w:p>
            <w:pPr>
              <w:widowControl/>
              <w:spacing w:line="360" w:lineRule="auto"/>
              <w:jc w:val="left"/>
              <w:rPr>
                <w:rFonts w:hint="eastAsia" w:ascii="宋体" w:hAnsi="宋体" w:cs="宋体"/>
                <w:color w:val="000000" w:themeColor="text1"/>
                <w:kern w:val="0"/>
                <w:sz w:val="24"/>
                <w:highlight w:val="none"/>
              </w:rPr>
            </w:pPr>
            <w:r>
              <w:rPr>
                <w:rFonts w:hint="eastAsia" w:ascii="宋体" w:hAnsi="宋体" w:cs="宋体"/>
                <w:color w:val="000000" w:themeColor="text1"/>
                <w:kern w:val="0"/>
                <w:sz w:val="24"/>
                <w:highlight w:val="none"/>
                <w:lang w:val="en-US" w:eastAsia="zh-CN"/>
              </w:rPr>
              <w:t>3.</w:t>
            </w:r>
            <w:r>
              <w:rPr>
                <w:rFonts w:hint="eastAsia" w:ascii="宋体" w:hAnsi="宋体" w:cs="宋体"/>
                <w:color w:val="000000" w:themeColor="text1"/>
                <w:kern w:val="0"/>
                <w:sz w:val="24"/>
                <w:highlight w:val="none"/>
              </w:rPr>
              <w:t>材料价依据</w:t>
            </w:r>
            <w:r>
              <w:rPr>
                <w:rFonts w:hint="eastAsia" w:ascii="宋体" w:hAnsi="宋体" w:cs="宋体"/>
                <w:color w:val="000000" w:themeColor="text1"/>
                <w:kern w:val="0"/>
                <w:sz w:val="24"/>
                <w:highlight w:val="none"/>
                <w:lang w:eastAsia="zh-CN"/>
              </w:rPr>
              <w:t>高陵区</w:t>
            </w:r>
            <w:r>
              <w:rPr>
                <w:rFonts w:hint="eastAsia" w:ascii="宋体" w:hAnsi="宋体" w:cs="宋体"/>
                <w:color w:val="000000" w:themeColor="text1"/>
                <w:kern w:val="0"/>
                <w:sz w:val="24"/>
                <w:highlight w:val="none"/>
                <w:lang w:val="en-US" w:eastAsia="zh-CN"/>
              </w:rPr>
              <w:t>2021年3月及</w:t>
            </w:r>
            <w:r>
              <w:rPr>
                <w:rFonts w:hint="eastAsia" w:ascii="宋体" w:hAnsi="宋体" w:cs="宋体"/>
                <w:color w:val="000000" w:themeColor="text1"/>
                <w:kern w:val="0"/>
                <w:sz w:val="24"/>
                <w:highlight w:val="none"/>
              </w:rPr>
              <w:t>陕西省近期市场价计入；</w:t>
            </w:r>
          </w:p>
          <w:p>
            <w:pPr>
              <w:widowControl/>
              <w:spacing w:line="360" w:lineRule="auto"/>
              <w:jc w:val="left"/>
              <w:rPr>
                <w:rFonts w:hint="eastAsia" w:ascii="宋体" w:hAnsi="宋体" w:cs="宋体"/>
                <w:color w:val="000000" w:themeColor="text1"/>
                <w:kern w:val="0"/>
                <w:sz w:val="24"/>
                <w:highlight w:val="none"/>
              </w:rPr>
            </w:pPr>
            <w:r>
              <w:rPr>
                <w:rFonts w:hint="eastAsia" w:ascii="宋体" w:hAnsi="宋体" w:cs="宋体"/>
                <w:color w:val="000000" w:themeColor="text1"/>
                <w:kern w:val="0"/>
                <w:sz w:val="24"/>
                <w:highlight w:val="none"/>
                <w:lang w:val="en-US" w:eastAsia="zh-CN"/>
              </w:rPr>
              <w:t>4.</w:t>
            </w:r>
            <w:r>
              <w:rPr>
                <w:rFonts w:hint="eastAsia" w:ascii="宋体" w:hAnsi="宋体" w:cs="宋体"/>
                <w:color w:val="000000" w:themeColor="text1"/>
                <w:kern w:val="0"/>
                <w:sz w:val="24"/>
                <w:highlight w:val="none"/>
              </w:rPr>
              <w:t>采用广联达云计价平台GCCP</w:t>
            </w:r>
            <w:r>
              <w:rPr>
                <w:rFonts w:hint="eastAsia" w:ascii="宋体" w:hAnsi="宋体" w:cs="宋体"/>
                <w:color w:val="000000" w:themeColor="text1"/>
                <w:kern w:val="0"/>
                <w:sz w:val="24"/>
                <w:highlight w:val="none"/>
                <w:lang w:val="en-US" w:eastAsia="zh-CN"/>
              </w:rPr>
              <w:t>6</w:t>
            </w:r>
            <w:r>
              <w:rPr>
                <w:rFonts w:hint="eastAsia" w:ascii="宋体" w:hAnsi="宋体" w:cs="宋体"/>
                <w:color w:val="000000" w:themeColor="text1"/>
                <w:kern w:val="0"/>
                <w:sz w:val="24"/>
                <w:highlight w:val="none"/>
              </w:rPr>
              <w:t>.0（</w:t>
            </w:r>
            <w:r>
              <w:rPr>
                <w:rFonts w:hint="eastAsia" w:ascii="宋体" w:hAnsi="宋体" w:cs="宋体"/>
                <w:color w:val="000000" w:themeColor="text1"/>
                <w:kern w:val="0"/>
                <w:sz w:val="24"/>
                <w:highlight w:val="none"/>
                <w:lang w:val="en-US" w:eastAsia="zh-CN"/>
              </w:rPr>
              <w:t>6.3000.23.106</w:t>
            </w:r>
            <w:r>
              <w:rPr>
                <w:rFonts w:hint="eastAsia" w:ascii="宋体" w:hAnsi="宋体" w:cs="宋体"/>
                <w:color w:val="000000" w:themeColor="text1"/>
                <w:kern w:val="0"/>
                <w:sz w:val="24"/>
                <w:highlight w:val="none"/>
              </w:rPr>
              <w:t>）版本；</w:t>
            </w:r>
          </w:p>
          <w:p>
            <w:pPr>
              <w:widowControl/>
              <w:spacing w:line="360" w:lineRule="auto"/>
              <w:jc w:val="left"/>
              <w:rPr>
                <w:rFonts w:hint="eastAsia" w:ascii="宋体" w:hAnsi="宋体" w:cs="宋体"/>
                <w:color w:val="000000" w:themeColor="text1"/>
                <w:kern w:val="0"/>
                <w:sz w:val="24"/>
                <w:highlight w:val="none"/>
              </w:rPr>
            </w:pPr>
            <w:r>
              <w:rPr>
                <w:rFonts w:hint="eastAsia" w:ascii="宋体" w:hAnsi="宋体" w:cs="宋体"/>
                <w:color w:val="000000" w:themeColor="text1"/>
                <w:kern w:val="0"/>
                <w:sz w:val="24"/>
                <w:highlight w:val="none"/>
                <w:lang w:val="en-US" w:eastAsia="zh-CN"/>
              </w:rPr>
              <w:t>5.养老保险执行陕建发【2021】1021号文件。</w:t>
            </w:r>
          </w:p>
          <w:p>
            <w:pPr>
              <w:widowControl/>
              <w:spacing w:line="360" w:lineRule="auto"/>
              <w:jc w:val="left"/>
              <w:rPr>
                <w:rFonts w:eastAsiaTheme="minorEastAsia"/>
                <w:color w:val="FF0000"/>
                <w:kern w:val="0"/>
                <w:sz w:val="24"/>
                <w:highlight w:val="yellow"/>
              </w:rPr>
            </w:pPr>
            <w:r>
              <w:rPr>
                <w:rFonts w:hint="eastAsia" w:ascii="宋体" w:hAnsi="宋体" w:cs="宋体"/>
                <w:color w:val="000000" w:themeColor="text1"/>
                <w:kern w:val="0"/>
                <w:sz w:val="24"/>
                <w:highlight w:val="none"/>
                <w:lang w:val="en-US" w:eastAsia="zh-CN"/>
              </w:rPr>
              <w:t>6</w:t>
            </w:r>
            <w:r>
              <w:rPr>
                <w:rFonts w:hint="eastAsia" w:ascii="宋体" w:hAnsi="宋体" w:cs="宋体"/>
                <w:color w:val="000000" w:themeColor="text1"/>
                <w:kern w:val="0"/>
                <w:sz w:val="24"/>
                <w:highlight w:val="none"/>
              </w:rPr>
              <w:t>.他未尽事宜详见工程量清单</w:t>
            </w:r>
            <w:r>
              <w:rPr>
                <w:rFonts w:hint="eastAsia" w:ascii="宋体" w:hAnsi="宋体" w:cs="宋体"/>
                <w:color w:val="000000" w:themeColor="text1"/>
                <w:kern w:val="0"/>
                <w:sz w:val="24"/>
                <w:highlight w:val="none"/>
                <w:lang w:eastAsia="zh-CN"/>
              </w:rPr>
              <w:t>、</w:t>
            </w:r>
            <w:r>
              <w:rPr>
                <w:rFonts w:hint="eastAsia" w:ascii="宋体" w:hAnsi="宋体" w:cs="宋体"/>
                <w:color w:val="000000" w:themeColor="text1"/>
                <w:kern w:val="0"/>
                <w:sz w:val="24"/>
                <w:highlight w:val="none"/>
              </w:rPr>
              <w:t>施工图</w:t>
            </w:r>
            <w:r>
              <w:rPr>
                <w:rFonts w:hint="eastAsia" w:ascii="宋体" w:hAnsi="宋体" w:cs="宋体"/>
                <w:color w:val="000000" w:themeColor="text1"/>
                <w:kern w:val="0"/>
                <w:sz w:val="24"/>
                <w:highlight w:val="none"/>
                <w:lang w:val="en-US" w:eastAsia="zh-CN"/>
              </w:rPr>
              <w:t>及设计答复。</w:t>
            </w:r>
          </w:p>
        </w:tc>
      </w:tr>
    </w:tbl>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pStyle w:val="9"/>
        <w:ind w:firstLine="0" w:firstLineChars="0"/>
      </w:pPr>
    </w:p>
    <w:p>
      <w:pPr>
        <w:adjustRightInd w:val="0"/>
        <w:snapToGrid w:val="0"/>
        <w:spacing w:after="240" w:line="360" w:lineRule="auto"/>
        <w:jc w:val="both"/>
        <w:rPr>
          <w:rFonts w:asciiTheme="minorEastAsia" w:hAnsiTheme="minorEastAsia" w:eastAsiaTheme="minorEastAsia" w:cstheme="minorEastAsia"/>
          <w:b/>
          <w:sz w:val="24"/>
        </w:rPr>
      </w:pPr>
    </w:p>
    <w:p>
      <w:pPr>
        <w:adjustRightInd w:val="0"/>
        <w:snapToGrid w:val="0"/>
        <w:spacing w:after="240" w:line="360" w:lineRule="auto"/>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一、总  则</w:t>
      </w:r>
    </w:p>
    <w:p>
      <w:pPr>
        <w:adjustRightInd w:val="0"/>
        <w:snapToGrid w:val="0"/>
        <w:spacing w:line="360" w:lineRule="auto"/>
        <w:ind w:firstLine="482" w:firstLineChars="200"/>
        <w:rPr>
          <w:rFonts w:asciiTheme="minorEastAsia" w:hAnsiTheme="minorEastAsia" w:eastAsiaTheme="minorEastAsia" w:cstheme="minorEastAsia"/>
          <w:b/>
          <w:bCs/>
          <w:color w:val="000000" w:themeColor="text1"/>
          <w:sz w:val="24"/>
        </w:rPr>
      </w:pPr>
      <w:r>
        <w:rPr>
          <w:rFonts w:hint="eastAsia" w:asciiTheme="minorEastAsia" w:hAnsiTheme="minorEastAsia" w:eastAsiaTheme="minorEastAsia" w:cstheme="minorEastAsia"/>
          <w:b/>
          <w:bCs/>
          <w:color w:val="000000" w:themeColor="text1"/>
          <w:sz w:val="24"/>
        </w:rPr>
        <w:t>1、适用范围</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1.1本磋商文件仅适用于本磋商文件中所述项目的采购。</w:t>
      </w:r>
    </w:p>
    <w:p>
      <w:pPr>
        <w:adjustRightInd w:val="0"/>
        <w:snapToGrid w:val="0"/>
        <w:spacing w:line="360" w:lineRule="auto"/>
        <w:ind w:firstLine="482" w:firstLineChars="200"/>
        <w:rPr>
          <w:rFonts w:asciiTheme="minorEastAsia" w:hAnsiTheme="minorEastAsia" w:eastAsiaTheme="minorEastAsia" w:cstheme="minorEastAsia"/>
          <w:b/>
          <w:bCs/>
          <w:color w:val="000000" w:themeColor="text1"/>
          <w:sz w:val="24"/>
        </w:rPr>
      </w:pPr>
      <w:r>
        <w:rPr>
          <w:rFonts w:hint="eastAsia" w:asciiTheme="minorEastAsia" w:hAnsiTheme="minorEastAsia" w:eastAsiaTheme="minorEastAsia" w:cstheme="minorEastAsia"/>
          <w:b/>
          <w:bCs/>
          <w:color w:val="000000" w:themeColor="text1"/>
          <w:sz w:val="24"/>
        </w:rPr>
        <w:t>2、有关定义</w:t>
      </w:r>
    </w:p>
    <w:p>
      <w:pPr>
        <w:adjustRightInd w:val="0"/>
        <w:snapToGrid w:val="0"/>
        <w:spacing w:line="360" w:lineRule="auto"/>
        <w:ind w:firstLine="480" w:firstLineChars="200"/>
        <w:rPr>
          <w:rFonts w:asciiTheme="minorEastAsia" w:hAnsiTheme="minorEastAsia" w:eastAsiaTheme="minorEastAsia" w:cstheme="minorEastAsia"/>
          <w:bCs/>
          <w:color w:val="000000" w:themeColor="text1"/>
          <w:sz w:val="24"/>
        </w:rPr>
      </w:pPr>
      <w:r>
        <w:rPr>
          <w:rFonts w:hint="eastAsia" w:asciiTheme="minorEastAsia" w:hAnsiTheme="minorEastAsia" w:eastAsiaTheme="minorEastAsia" w:cstheme="minorEastAsia"/>
          <w:bCs/>
          <w:color w:val="000000" w:themeColor="text1"/>
          <w:sz w:val="24"/>
        </w:rPr>
        <w:t>2.1采购人：西安市高陵区药惠银王中心小学</w:t>
      </w:r>
    </w:p>
    <w:p>
      <w:pPr>
        <w:adjustRightInd w:val="0"/>
        <w:snapToGrid w:val="0"/>
        <w:spacing w:line="360" w:lineRule="auto"/>
        <w:ind w:firstLine="480" w:firstLineChars="200"/>
        <w:rPr>
          <w:rFonts w:asciiTheme="minorEastAsia" w:hAnsiTheme="minorEastAsia" w:eastAsiaTheme="minorEastAsia" w:cstheme="minorEastAsia"/>
          <w:bCs/>
          <w:color w:val="000000" w:themeColor="text1"/>
          <w:sz w:val="24"/>
        </w:rPr>
      </w:pPr>
      <w:r>
        <w:rPr>
          <w:rFonts w:hint="eastAsia" w:asciiTheme="minorEastAsia" w:hAnsiTheme="minorEastAsia" w:eastAsiaTheme="minorEastAsia" w:cstheme="minorEastAsia"/>
          <w:bCs/>
          <w:color w:val="000000" w:themeColor="text1"/>
          <w:sz w:val="24"/>
        </w:rPr>
        <w:t>2.2监督机构：西安市高陵区财政局</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2.3采购代理机构：同正项目管理有限公司。</w:t>
      </w:r>
    </w:p>
    <w:p>
      <w:pPr>
        <w:adjustRightInd w:val="0"/>
        <w:snapToGrid w:val="0"/>
        <w:spacing w:line="360" w:lineRule="auto"/>
        <w:ind w:firstLine="480" w:firstLineChars="200"/>
        <w:rPr>
          <w:rFonts w:asciiTheme="minorEastAsia" w:hAnsiTheme="minorEastAsia" w:eastAsiaTheme="minorEastAsia" w:cstheme="minorEastAsia"/>
          <w:bCs/>
          <w:sz w:val="24"/>
          <w:lang w:val="zh-CN"/>
        </w:rPr>
      </w:pPr>
      <w:r>
        <w:rPr>
          <w:rFonts w:hint="eastAsia" w:asciiTheme="minorEastAsia" w:hAnsiTheme="minorEastAsia" w:eastAsiaTheme="minorEastAsia" w:cstheme="minorEastAsia"/>
          <w:bCs/>
          <w:sz w:val="24"/>
        </w:rPr>
        <w:t>2.4</w:t>
      </w:r>
      <w:r>
        <w:rPr>
          <w:rFonts w:hint="eastAsia" w:asciiTheme="minorEastAsia" w:hAnsiTheme="minorEastAsia" w:eastAsiaTheme="minorEastAsia" w:cstheme="minorEastAsia"/>
          <w:bCs/>
          <w:sz w:val="24"/>
          <w:lang w:val="zh-CN"/>
        </w:rPr>
        <w:t>磋商响应单位（也称投标人）：响应磋商并且符合磋商文件规定的资格条件、参加磋商竞争的合法企业。</w:t>
      </w:r>
    </w:p>
    <w:p>
      <w:pPr>
        <w:adjustRightInd w:val="0"/>
        <w:snapToGrid w:val="0"/>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3、服务</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3.1“服务”系指合同规定磋商响应单位须承担的拟进行工程施工全过程服务。</w:t>
      </w:r>
    </w:p>
    <w:p>
      <w:pPr>
        <w:adjustRightInd w:val="0"/>
        <w:snapToGrid w:val="0"/>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4、合格的磋商响应单位</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4.1合格磋商响应单位应具备磋商公告中要求磋商响应单位需具备的资格条件和能力。</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4.2合格磋商响应单位是响应磋商公告、已在采购人或采购代理机构处领购磋商文件并参加磋商的法人。任何未在采购人或采购代理机构处领购磋商文件的法人或其他组织均不得参加磋商。</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4.3限制磋商的磋商响应单位</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4.3.1 单位负责人为同一人或者存在直接控股、管理关系的不同磋商响应单位，不得参加同一合同项下的政府采购活动，如出现同时参加同一项目的投标均按无效投标处理。</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4.3.2 本项目不接受联合体磋商。</w:t>
      </w:r>
    </w:p>
    <w:p>
      <w:pPr>
        <w:adjustRightInd w:val="0"/>
        <w:snapToGrid w:val="0"/>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5. 磋商费用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不论磋商的进程、结果如何，磋商响应单位应自行承担所有准备和参加磋商有关的全部费用。采购代理机构和采购人在任何情况下均无义务和责任承担这些费用。</w:t>
      </w:r>
    </w:p>
    <w:p>
      <w:pPr>
        <w:adjustRightInd w:val="0"/>
        <w:snapToGrid w:val="0"/>
        <w:spacing w:line="360" w:lineRule="auto"/>
        <w:ind w:firstLine="482" w:firstLineChars="200"/>
        <w:rPr>
          <w:rFonts w:asciiTheme="minorEastAsia" w:hAnsiTheme="minorEastAsia" w:eastAsiaTheme="minorEastAsia" w:cstheme="minorEastAsia"/>
          <w:b/>
          <w:bCs/>
          <w:sz w:val="24"/>
        </w:rPr>
      </w:pPr>
      <w:r>
        <w:rPr>
          <w:rFonts w:hint="eastAsia" w:asciiTheme="minorEastAsia" w:hAnsiTheme="minorEastAsia" w:eastAsiaTheme="minorEastAsia" w:cstheme="minorEastAsia"/>
          <w:b/>
          <w:bCs/>
          <w:sz w:val="24"/>
        </w:rPr>
        <w:t>6. 语言文字和计量单位</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6.1磋商文件以及磋商响应单位与采购代理机构和采购人就有关磋商的所有来往函电均应使用简体中文书写。专用术语使用外文的，应附有中文注释。</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6.2除磋商文件另有规定外，均使用中华人民共和国法定计量单位。</w:t>
      </w:r>
    </w:p>
    <w:p>
      <w:pPr>
        <w:adjustRightInd w:val="0"/>
        <w:snapToGrid w:val="0"/>
        <w:spacing w:line="360" w:lineRule="auto"/>
        <w:ind w:firstLine="482" w:firstLineChars="200"/>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b/>
          <w:bCs/>
          <w:sz w:val="24"/>
        </w:rPr>
        <w:t>7. 现场踏勘</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7.1 </w:t>
      </w:r>
      <w:r>
        <w:rPr>
          <w:rFonts w:hint="eastAsia" w:asciiTheme="minorEastAsia" w:hAnsiTheme="minorEastAsia" w:eastAsiaTheme="minorEastAsia" w:cstheme="minorEastAsia"/>
          <w:bCs/>
          <w:color w:val="000000" w:themeColor="text1"/>
          <w:sz w:val="24"/>
        </w:rPr>
        <w:t>磋商响应单位自行组织踏勘项目现场</w:t>
      </w:r>
      <w:r>
        <w:rPr>
          <w:rFonts w:hint="eastAsia" w:asciiTheme="minorEastAsia" w:hAnsiTheme="minorEastAsia" w:eastAsiaTheme="minorEastAsia" w:cstheme="minorEastAsia"/>
          <w:bCs/>
          <w:sz w:val="24"/>
        </w:rPr>
        <w:t xml:space="preserve">。 </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7.2 磋商响应单位踏勘现场发生的费用自理。磋商响应单位自行负责在踏勘现场中所发生的人员伤亡和财产损失。磋商响应单位也不得因进入现场的踏勘而使采购人承担有关的责任和蒙受损失。</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7.3 在踏勘现场中采购人介绍的项目场地和相关的周边环境情况以及有关现场的数据和资料，是采购人现有的能被磋商响应单位作参考使用的资料，供磋商响应单位在编制磋商响应文件时参考，采购人不对磋商响应单位据此作出的判断、推论、理解和决策负责。</w:t>
      </w:r>
    </w:p>
    <w:p>
      <w:pPr>
        <w:adjustRightInd w:val="0"/>
        <w:snapToGrid w:val="0"/>
        <w:spacing w:line="360" w:lineRule="auto"/>
        <w:ind w:firstLine="480" w:firstLineChars="20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sz w:val="24"/>
        </w:rPr>
        <w:t>7.4 磋商响应单位应当根据踏勘的现场实际情况及其影响因素在磋商报价中综合考虑。一旦响应成交，不得再以现场条件复杂、不清楚、报价时未考虑等各种理由要求对报价进行调整。</w:t>
      </w:r>
    </w:p>
    <w:p>
      <w:pPr>
        <w:adjustRightInd w:val="0"/>
        <w:snapToGrid w:val="0"/>
        <w:spacing w:line="360" w:lineRule="auto"/>
        <w:ind w:firstLine="482" w:firstLineChars="200"/>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
          <w:bCs/>
          <w:sz w:val="24"/>
        </w:rPr>
        <w:t>8. 磋商答疑会</w:t>
      </w:r>
      <w:r>
        <w:rPr>
          <w:rFonts w:hint="eastAsia" w:asciiTheme="minorEastAsia" w:hAnsiTheme="minorEastAsia" w:eastAsiaTheme="minorEastAsia" w:cstheme="minorEastAsia"/>
          <w:bCs/>
          <w:sz w:val="24"/>
        </w:rPr>
        <w:t>：</w:t>
      </w:r>
      <w:r>
        <w:rPr>
          <w:rFonts w:hint="eastAsia" w:asciiTheme="minorEastAsia" w:hAnsiTheme="minorEastAsia" w:eastAsiaTheme="minorEastAsia" w:cstheme="minorEastAsia"/>
          <w:bCs/>
          <w:kern w:val="0"/>
          <w:sz w:val="24"/>
        </w:rPr>
        <w:t>见“磋商须知前附表”。</w:t>
      </w:r>
    </w:p>
    <w:p>
      <w:pPr>
        <w:pStyle w:val="5"/>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二、磋商文件</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1、磋商文件的构成</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1.1本磋商文件包括下列内容：</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第一章　磋商公告</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第二章  磋商须知</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第三章  磋商响应单位资格证明文件</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第四章  磋商及评标标准</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第五章  采购内容及要求</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第六章  合同草案条款</w:t>
      </w:r>
    </w:p>
    <w:p>
      <w:pPr>
        <w:adjustRightInd w:val="0"/>
        <w:snapToGrid w:val="0"/>
        <w:spacing w:line="360" w:lineRule="auto"/>
        <w:ind w:firstLine="960" w:firstLineChars="4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第七章  磋商文件格式</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1.2采购代理机构以书面形式发给磋商响应单位的关于对磋商文件的澄清、修改、补充通知等均是本磋商文件的组成部分，对采购人和磋商响应单位起约束作用。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2、澄清与答疑</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2.1任何要求对磋商文件进行澄清（答疑）的磋商响应单位，应在磋商截止日期3天前以书面形式（加盖磋商响应单位公章并注明单位名称、联系人及电话）送达采购代理机构。采购代理机构将在陕西省政府采购网发布澄清公告，各磋商响应单位应密切关注网站发布的有关澄清公告。</w:t>
      </w:r>
    </w:p>
    <w:p>
      <w:pPr>
        <w:adjustRightInd w:val="0"/>
        <w:snapToGrid w:val="0"/>
        <w:spacing w:line="360" w:lineRule="auto"/>
        <w:ind w:firstLine="420" w:firstLineChars="200"/>
        <w:rPr>
          <w:rFonts w:asciiTheme="minorEastAsia" w:hAnsiTheme="minorEastAsia" w:eastAsiaTheme="minorEastAsia" w:cstheme="minorEastAsia"/>
          <w:bCs/>
          <w:sz w:val="24"/>
        </w:rPr>
      </w:pPr>
      <w:r>
        <w:rPr>
          <w:rFonts w:hint="eastAsia"/>
        </w:rPr>
        <w:t xml:space="preserve"> </w:t>
      </w:r>
      <w:r>
        <w:rPr>
          <w:rFonts w:hint="eastAsia" w:asciiTheme="minorEastAsia" w:hAnsiTheme="minorEastAsia" w:eastAsiaTheme="minorEastAsia" w:cstheme="minorEastAsia"/>
          <w:bCs/>
          <w:sz w:val="24"/>
        </w:rPr>
        <w:t>2.2磋商响应单位在规定的时间内未对磋商文件要求澄清或提出疑问的，采购代理机构将视其为同意。</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 3、磋商文件的修改</w:t>
      </w:r>
    </w:p>
    <w:p>
      <w:pPr>
        <w:widowControl/>
        <w:adjustRightInd w:val="0"/>
        <w:snapToGrid w:val="0"/>
        <w:spacing w:line="360" w:lineRule="auto"/>
        <w:rPr>
          <w:rFonts w:asciiTheme="minorEastAsia" w:hAnsiTheme="minorEastAsia" w:eastAsiaTheme="minorEastAsia" w:cstheme="minorEastAsia"/>
          <w:bCs/>
          <w:snapToGrid w:val="0"/>
          <w:kern w:val="0"/>
          <w:sz w:val="24"/>
        </w:rPr>
      </w:pPr>
      <w:r>
        <w:rPr>
          <w:rFonts w:hint="eastAsia" w:asciiTheme="minorEastAsia" w:hAnsiTheme="minorEastAsia" w:eastAsiaTheme="minorEastAsia" w:cstheme="minorEastAsia"/>
          <w:bCs/>
          <w:snapToGrid w:val="0"/>
          <w:kern w:val="0"/>
          <w:sz w:val="24"/>
        </w:rPr>
        <w:t xml:space="preserve">    3.1提交首次响应文件截止之日前，采购人、采购代理机构可以对已发出的磋商文件进行必要的澄清或者修改，澄清或者修改的内容作为磋商文件的组成部分。澄清或者修改的内容可能影响响应文件编制的，采购人、采购代理机构应当在提交首次响应文件截止时间至少5日前，以书面形式通知所有获取磋商文件的磋商响应单位；不足5日的，采购人、采购代理机构应当顺延提交首次响应文件截止时间。</w:t>
      </w:r>
    </w:p>
    <w:p>
      <w:pPr>
        <w:widowControl/>
        <w:adjustRightInd w:val="0"/>
        <w:snapToGrid w:val="0"/>
        <w:spacing w:line="360" w:lineRule="auto"/>
        <w:rPr>
          <w:rFonts w:asciiTheme="minorEastAsia" w:hAnsiTheme="minorEastAsia" w:eastAsiaTheme="minorEastAsia" w:cstheme="minorEastAsia"/>
          <w:bCs/>
          <w:snapToGrid w:val="0"/>
          <w:kern w:val="0"/>
          <w:sz w:val="24"/>
        </w:rPr>
      </w:pPr>
      <w:r>
        <w:rPr>
          <w:rFonts w:hint="eastAsia"/>
        </w:rPr>
        <w:t xml:space="preserve">    </w:t>
      </w:r>
      <w:r>
        <w:rPr>
          <w:rFonts w:hint="eastAsia" w:asciiTheme="minorEastAsia" w:hAnsiTheme="minorEastAsia" w:eastAsiaTheme="minorEastAsia" w:cstheme="minorEastAsia"/>
          <w:bCs/>
          <w:snapToGrid w:val="0"/>
          <w:kern w:val="0"/>
          <w:sz w:val="24"/>
        </w:rPr>
        <w:t>3.2补充（变更）公告将在陕西省政府采购网上公布。磋商响应单位有义务在采购活动期间预览陕西政府采购网，采购代理机构在网上公布的与本次磋商项目有关的信息视为已送达各磋商响应单位。修改后的内容是磋商文件的组成部分。</w:t>
      </w:r>
    </w:p>
    <w:p>
      <w:pPr>
        <w:widowControl/>
        <w:adjustRightInd w:val="0"/>
        <w:snapToGrid w:val="0"/>
        <w:spacing w:line="360" w:lineRule="auto"/>
        <w:rPr>
          <w:rFonts w:asciiTheme="minorEastAsia" w:hAnsiTheme="minorEastAsia" w:eastAsiaTheme="minorEastAsia" w:cstheme="minorEastAsia"/>
          <w:bCs/>
          <w:snapToGrid w:val="0"/>
          <w:kern w:val="0"/>
          <w:sz w:val="24"/>
          <w:lang w:val="zh-CN"/>
        </w:rPr>
      </w:pPr>
      <w:r>
        <w:rPr>
          <w:rFonts w:hint="eastAsia" w:asciiTheme="minorEastAsia" w:hAnsiTheme="minorEastAsia" w:eastAsiaTheme="minorEastAsia" w:cstheme="minorEastAsia"/>
          <w:bCs/>
          <w:snapToGrid w:val="0"/>
          <w:kern w:val="0"/>
          <w:sz w:val="24"/>
        </w:rPr>
        <w:t>　　3.3</w:t>
      </w:r>
      <w:r>
        <w:rPr>
          <w:rFonts w:hint="eastAsia" w:asciiTheme="minorEastAsia" w:hAnsiTheme="minorEastAsia" w:eastAsiaTheme="minorEastAsia" w:cstheme="minorEastAsia"/>
          <w:bCs/>
          <w:snapToGrid w:val="0"/>
          <w:kern w:val="0"/>
          <w:sz w:val="24"/>
          <w:lang w:val="zh-CN"/>
        </w:rPr>
        <w:t>磋商文件的解释权归采购人和采购代理机构。</w:t>
      </w:r>
    </w:p>
    <w:p>
      <w:pPr>
        <w:pStyle w:val="5"/>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三、响应文件</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1、响应文件编制</w:t>
      </w:r>
    </w:p>
    <w:p>
      <w:pPr>
        <w:adjustRightInd w:val="0"/>
        <w:snapToGrid w:val="0"/>
        <w:spacing w:line="360" w:lineRule="auto"/>
        <w:ind w:firstLine="480" w:firstLineChars="200"/>
        <w:rPr>
          <w:rFonts w:asciiTheme="minorEastAsia" w:hAnsiTheme="minorEastAsia" w:eastAsiaTheme="minorEastAsia" w:cstheme="minorEastAsia"/>
          <w:bCs/>
          <w:sz w:val="24"/>
          <w:lang w:val="zh-CN"/>
        </w:rPr>
      </w:pPr>
      <w:r>
        <w:rPr>
          <w:rFonts w:hint="eastAsia" w:asciiTheme="minorEastAsia" w:hAnsiTheme="minorEastAsia" w:eastAsiaTheme="minorEastAsia" w:cstheme="minorEastAsia"/>
          <w:bCs/>
          <w:sz w:val="24"/>
        </w:rPr>
        <w:t xml:space="preserve">1.1 </w:t>
      </w:r>
      <w:r>
        <w:rPr>
          <w:rFonts w:hint="eastAsia" w:asciiTheme="minorEastAsia" w:hAnsiTheme="minorEastAsia" w:eastAsiaTheme="minorEastAsia" w:cstheme="minorEastAsia"/>
          <w:bCs/>
          <w:sz w:val="24"/>
          <w:lang w:val="zh-CN"/>
        </w:rPr>
        <w:t>各磋商响应单位应仔细阅读磋商文件中的所有事项、格式、条款和要求，对磋商文件的实质性要求和条件作出响应、提交相应资料。</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 以下内容如有缺失或无效按无效文件处理</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1.2.1 磋商响应单位资格证明文件：</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 xml:space="preserve">(1)、具有合格有效的企业法人营业执照、税务登记证、组织机构代码证（或三证合一营业执照）；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 xml:space="preserve">(2)、磋商响应单位应授权合法的人员参加磋商全过程，其中法定代表人直接参加磋商的，须出具法人身份证，并与营业执照上信息一致。法定代表人授权代表参加磋商的，须出具法定代表人授权书及授权代表身份证；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 xml:space="preserve">(3)、具备建设部门颁发的建筑工程施工总承包三级（含）以上资质，具有有效的安全生产许可证；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 xml:space="preserve">(4)、拟委派项目经理须具有相关专业贰级（含）以上注册建造师资质并具有安全生产考核合格证，在本单位注册且无在建工程；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(5)、</w:t>
      </w:r>
      <w:r>
        <w:rPr>
          <w:rFonts w:hint="eastAsia" w:ascii="宋体" w:hAnsi="宋体" w:cs="宋体"/>
          <w:sz w:val="24"/>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(6)、税收缴纳证明：提供</w:t>
      </w:r>
      <w:r>
        <w:rPr>
          <w:rFonts w:hint="eastAsia" w:ascii="宋体" w:hAnsi="宋体" w:cs="宋体"/>
          <w:bCs/>
          <w:sz w:val="24"/>
          <w:lang w:eastAsia="zh-CN"/>
        </w:rPr>
        <w:t>2021年1月</w:t>
      </w:r>
      <w:r>
        <w:rPr>
          <w:rFonts w:hint="eastAsia" w:ascii="宋体" w:hAnsi="宋体" w:cs="宋体"/>
          <w:bCs/>
          <w:sz w:val="24"/>
        </w:rPr>
        <w:t xml:space="preserve">至今已缴纳的至少一个月的纳税证明或完税证明（任意税种），依法免税的单位应提供相关证明材料；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(7)、社会保障资金缴纳证明：提供</w:t>
      </w:r>
      <w:r>
        <w:rPr>
          <w:rFonts w:hint="eastAsia" w:ascii="宋体" w:hAnsi="宋体" w:cs="宋体"/>
          <w:bCs/>
          <w:sz w:val="24"/>
          <w:lang w:eastAsia="zh-CN"/>
        </w:rPr>
        <w:t>2021年1月</w:t>
      </w:r>
      <w:r>
        <w:rPr>
          <w:rFonts w:hint="eastAsia" w:ascii="宋体" w:hAnsi="宋体" w:cs="宋体"/>
          <w:bCs/>
          <w:sz w:val="24"/>
        </w:rPr>
        <w:t xml:space="preserve">至今已缴存的至少一个月的社会保障资金缴存单据或社保机构开具的社会保险参保缴费情况证明，依法不需要缴纳社会保障资金的单位应提供相关证明材料；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 xml:space="preserve">(8)、财务状况报告：提供供应商2019年经审计的财务报告或磋商前三个月内开户银行开具的资信证明；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 xml:space="preserve">(9)、参加政府采购活动前三年内，在经营活动中没有重大违法记录的书面声明（原件）； </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(10)、磋商响应单位负责人不得为同一人或者存在控股、 管理关系；</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1.2.2 商务文件</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（1）磋商响应函</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（2）首次报价一览表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（3）工程量清单报价表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（4）磋商响应单位一般情况表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（5）商务条款偏离表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（6）业绩</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（7）保修期服务承诺</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1.2.3 技术文件</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（1）磋商响应单位根据磋商文件采购内容和评分因素，结合自身实际情况编制响应磋商文件的施工组织设计。</w:t>
      </w:r>
    </w:p>
    <w:p>
      <w:pPr>
        <w:adjustRightInd w:val="0"/>
        <w:snapToGrid w:val="0"/>
        <w:spacing w:line="360" w:lineRule="auto"/>
        <w:ind w:firstLine="480" w:firstLineChars="200"/>
        <w:rPr>
          <w:rFonts w:asciiTheme="minorEastAsia" w:hAnsiTheme="minorEastAsia" w:eastAsiaTheme="minorEastAsia" w:cstheme="minorEastAsia"/>
          <w:bCs/>
          <w:color w:val="000000" w:themeColor="text1"/>
          <w:sz w:val="24"/>
        </w:rPr>
      </w:pPr>
      <w:r>
        <w:rPr>
          <w:rFonts w:hint="eastAsia" w:asciiTheme="minorEastAsia" w:hAnsiTheme="minorEastAsia" w:eastAsiaTheme="minorEastAsia" w:cstheme="minorEastAsia"/>
          <w:bCs/>
          <w:color w:val="000000" w:themeColor="text1"/>
          <w:sz w:val="24"/>
        </w:rPr>
        <w:t>（2）服务承诺。</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1.3 </w:t>
      </w:r>
      <w:r>
        <w:rPr>
          <w:rFonts w:hint="eastAsia" w:asciiTheme="minorEastAsia" w:hAnsiTheme="minorEastAsia" w:eastAsiaTheme="minorEastAsia" w:cstheme="minorEastAsia"/>
          <w:bCs/>
          <w:sz w:val="24"/>
          <w:lang w:val="zh-CN"/>
        </w:rPr>
        <w:t>磋商响应单位应以采购代理机构提供的响应文件格式编制响应文件，</w:t>
      </w:r>
      <w:r>
        <w:rPr>
          <w:rFonts w:hint="eastAsia" w:asciiTheme="minorEastAsia" w:hAnsiTheme="minorEastAsia" w:eastAsiaTheme="minorEastAsia" w:cstheme="minorEastAsia"/>
          <w:bCs/>
          <w:sz w:val="24"/>
        </w:rPr>
        <w:t>响应文件格式中的表格不能满足填写时可按照格式表格扩展。</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1.4磋商响应单位必须保证响应文件所提供的全部信息和资料是真实和有效的，提供虚假信息和资料的，除按无效文件处理外，还将按照政府采购的有关规定进行处罚。</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1.5 磋商响应单位提交的资料将被保密，且不予退还（原件除外）。</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2、响应文件的印制及签署</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2.1 磋商响应文件的正本和所有的副本均需用A4幅面纸张打印（宜双面打印）或用不褪色的蓝（黑）墨水填写，注明“正本”“副本”字样。</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2.2 本次磋商需提交纸质响应文件共三份，其中正本1份，副本2份，电子版文件（U盘）1份。</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2.3 磋商响应单位应在响应文件中指定落款处，按文件要求盖章或签字；</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2.4 磋商响应单位名称应填写全称，否则按无效投标处理（含不填）；</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2.5 响应文件的任何行间插字、涂改和增删，必须由法定代表人或被授权人在改动处签字或盖章方为有效；</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2.6 响应文件因字迹潦草或表达不清所引起的对磋商响应单位不利后果由磋商响应单位自行负责；</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2.6 以电报、电话、传真、电子邮件等形式的响应磋商一概不予接受。</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3、响应文件的装订、密封和标记</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3.1 响应文件正、副本分别装订成册，胶装（不允许用可换页的活页夹装订），装订应牢固，内容较多时可分册装订但应注明册序号。</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3.2 响应文件的正本，副本，电子版文件（U盘）分别封装在封袋（包）内，共计三个封袋。全部封袋须密封（封袋不得破损），在封袋（包）正面粘贴标识，封袋（包）封口处用封条密封，封线处加盖单位公章。</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3.3 电子版文件载体上应标明磋商响应单位名称。</w:t>
      </w:r>
    </w:p>
    <w:p>
      <w:pPr>
        <w:adjustRightInd w:val="0"/>
        <w:snapToGrid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Cs/>
          <w:sz w:val="24"/>
        </w:rPr>
        <w:t xml:space="preserve">  ★ </w:t>
      </w:r>
      <w:r>
        <w:rPr>
          <w:rFonts w:hint="eastAsia" w:asciiTheme="minorEastAsia" w:hAnsiTheme="minorEastAsia" w:eastAsiaTheme="minorEastAsia" w:cstheme="minorEastAsia"/>
          <w:b/>
          <w:sz w:val="24"/>
        </w:rPr>
        <w:t>3.4如果响应文件未按上述要求装订、密封、签署、标识的，采购代理机构将拒绝接收或按无效文件处理。</w:t>
      </w:r>
    </w:p>
    <w:p>
      <w:pPr>
        <w:adjustRightInd w:val="0"/>
        <w:snapToGrid w:val="0"/>
        <w:spacing w:line="360" w:lineRule="auto"/>
        <w:rPr>
          <w:rFonts w:asciiTheme="minorEastAsia" w:hAnsiTheme="minorEastAsia" w:eastAsiaTheme="minorEastAsia" w:cstheme="minorEastAsia"/>
          <w:bCs/>
          <w:sz w:val="24"/>
        </w:rPr>
      </w:pPr>
      <w:r>
        <w:rPr>
          <w:rFonts w:hint="eastAsia" w:asciiTheme="minorEastAsia" w:hAnsiTheme="minorEastAsia" w:eastAsiaTheme="minorEastAsia" w:cstheme="minorEastAsia"/>
          <w:b/>
          <w:sz w:val="24"/>
        </w:rPr>
        <w:t xml:space="preserve">    </w:t>
      </w:r>
      <w:r>
        <w:rPr>
          <w:rFonts w:hint="eastAsia" w:asciiTheme="minorEastAsia" w:hAnsiTheme="minorEastAsia" w:eastAsiaTheme="minorEastAsia" w:cstheme="minorEastAsia"/>
          <w:bCs/>
          <w:color w:val="000000" w:themeColor="text1"/>
          <w:sz w:val="24"/>
        </w:rPr>
        <w:t>3.5 评标所需的原件资料用文件袋袋装提供不需密封（如需），</w:t>
      </w:r>
      <w:r>
        <w:rPr>
          <w:rFonts w:hint="eastAsia" w:asciiTheme="minorEastAsia" w:hAnsiTheme="minorEastAsia" w:eastAsiaTheme="minorEastAsia" w:cstheme="minorEastAsia"/>
          <w:bCs/>
          <w:sz w:val="24"/>
        </w:rPr>
        <w:t>文件袋上应标明单位名称。</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4、报价</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4.1 磋商响应单位应按照磋商文件规定的服务要求，在责任范围和合同条件下进行报价，在响应文件中的首次报价一览表上按要求标明投标总价等项，任何有选择或可调整的报价将不予接受，并按无效投标处理。</w:t>
      </w:r>
    </w:p>
    <w:p>
      <w:pPr>
        <w:widowControl/>
        <w:adjustRightInd w:val="0"/>
        <w:snapToGrid w:val="0"/>
        <w:spacing w:line="360" w:lineRule="auto"/>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根据</w:t>
      </w:r>
      <w:r>
        <w:rPr>
          <w:rFonts w:hint="eastAsia" w:asciiTheme="minorEastAsia" w:hAnsiTheme="minorEastAsia" w:eastAsiaTheme="minorEastAsia" w:cstheme="minorEastAsia"/>
          <w:color w:val="000000" w:themeColor="text1"/>
          <w:sz w:val="24"/>
        </w:rPr>
        <w:t>陕西省住房和城乡建设厅陕建发[2009]199号文件规定，本工程的投标报价和竣工结算的计价方式采用工程量清单计价方式，按综合单价法进行计价。投标报价应由投标人按照招标人给定的工程量清单（</w:t>
      </w:r>
      <w:r>
        <w:rPr>
          <w:rFonts w:hint="eastAsia" w:asciiTheme="minorEastAsia" w:hAnsiTheme="minorEastAsia" w:eastAsiaTheme="minorEastAsia" w:cstheme="minorEastAsia"/>
          <w:sz w:val="24"/>
        </w:rPr>
        <w:t>招标人给定清单的工作内容和工程量不允许有任何改变），按照“清单编制说明”，结合施工现场条件、工程特点及拟定的投标施工组织设计或方案以及市场价格信息、企业自身技术力量、设备装备水平、企业管理水平等自主进行报价。</w:t>
      </w:r>
    </w:p>
    <w:p>
      <w:pPr>
        <w:widowControl/>
        <w:spacing w:line="360" w:lineRule="auto"/>
        <w:ind w:firstLine="480" w:firstLineChars="200"/>
        <w:jc w:val="left"/>
        <w:rPr>
          <w:rFonts w:eastAsiaTheme="minorEastAsia"/>
          <w:color w:val="FF0000"/>
          <w:kern w:val="0"/>
          <w:sz w:val="24"/>
        </w:rPr>
      </w:pPr>
      <w:r>
        <w:rPr>
          <w:rFonts w:hint="eastAsia" w:asciiTheme="minorEastAsia" w:hAnsiTheme="minorEastAsia" w:eastAsiaTheme="minorEastAsia" w:cstheme="minorEastAsia"/>
          <w:bCs/>
          <w:sz w:val="24"/>
        </w:rPr>
        <w:t>4.2 磋商</w:t>
      </w:r>
      <w:r>
        <w:rPr>
          <w:rFonts w:hint="eastAsia" w:eastAsiaTheme="minorEastAsia"/>
          <w:color w:val="000000" w:themeColor="text1"/>
          <w:kern w:val="0"/>
          <w:sz w:val="24"/>
        </w:rPr>
        <w:t>响应单位磋商报价金额不得超过</w:t>
      </w:r>
      <w:r>
        <w:rPr>
          <w:rFonts w:hint="eastAsia" w:eastAsiaTheme="minorEastAsia"/>
          <w:kern w:val="0"/>
          <w:sz w:val="24"/>
        </w:rPr>
        <w:t>采购预算或者最高限价，</w:t>
      </w:r>
      <w:r>
        <w:rPr>
          <w:rFonts w:hint="eastAsia" w:eastAsiaTheme="minorEastAsia"/>
          <w:color w:val="000000" w:themeColor="text1"/>
          <w:kern w:val="0"/>
          <w:sz w:val="24"/>
        </w:rPr>
        <w:t>首次</w:t>
      </w:r>
      <w:r>
        <w:rPr>
          <w:rFonts w:hint="eastAsia" w:eastAsiaTheme="minorEastAsia"/>
          <w:kern w:val="0"/>
          <w:sz w:val="24"/>
        </w:rPr>
        <w:t>报价超出采购预算或者最高限价的磋商响应单位不进入下一步磋商程序。</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4.3 最低报价不是中标的唯一依据。</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4.4 投标货币：一律用人民币填报。</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4.5 本项目采用两次报价。响应文件中的报价为第一次报价，磋商最终响应函中的报价为第二次报价即最终报价，报价不得超过磋商最高限价，最终报价不得超过第一次报价，评审以最终报价为依据。</w:t>
      </w:r>
    </w:p>
    <w:p>
      <w:pPr>
        <w:pStyle w:val="9"/>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bCs/>
          <w:sz w:val="24"/>
        </w:rPr>
        <w:t>4.6 磋商响应单位的最终报价在合同执行过程中固定不变，不得以任何理由予以变更。</w:t>
      </w:r>
    </w:p>
    <w:p>
      <w:pPr>
        <w:pStyle w:val="9"/>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5、首次响应文件递交</w:t>
      </w:r>
    </w:p>
    <w:p>
      <w:pPr>
        <w:pStyle w:val="9"/>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磋商响应单位法定代表人或其授权代表人应在磋商须知前附表规定的首次响应文件递交截止时间前将响应文件（须密封）和评标所需原件（如有）送达指定地点，在截止时间后送达的响应文件和任何补充资料采购代理机构将拒绝接收。</w:t>
      </w:r>
    </w:p>
    <w:p>
      <w:pPr>
        <w:pStyle w:val="9"/>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6、响应文件的补充、修改和撤回</w:t>
      </w:r>
    </w:p>
    <w:p>
      <w:pPr>
        <w:pStyle w:val="9"/>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6.1 在首次响应文件递交截止时间前，磋商响应单位可以书面形式提出补充、修改或撤回其递交的响应文件。</w:t>
      </w:r>
    </w:p>
    <w:p>
      <w:pPr>
        <w:pStyle w:val="9"/>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6.2 磋商响应单位的补充、修改材料或撤回通知，应按规定进行编制、密封、标记和递交，且在密封袋上标明“磋商响应文件补充”“磋商响应文件修改”或“磋商响应文件撤回通知”字样。</w:t>
      </w:r>
    </w:p>
    <w:p>
      <w:pPr>
        <w:pStyle w:val="9"/>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6.3 在首次响应文件递交截止时间至磋商文件规定的磋商有效期终止日之间的这段时间内，磋商响应单位不能撤回响应文件，否则其响应保证金将不予退还（磋商后退出除外）。</w:t>
      </w:r>
    </w:p>
    <w:p>
      <w:pPr>
        <w:pStyle w:val="5"/>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四、磋商与评审</w:t>
      </w:r>
    </w:p>
    <w:p>
      <w:pPr>
        <w:pStyle w:val="9"/>
        <w:spacing w:line="360" w:lineRule="auto"/>
        <w:ind w:firstLine="480"/>
        <w:rPr>
          <w:rFonts w:ascii="宋体" w:hAnsi="宋体" w:cs="宋体"/>
          <w:sz w:val="24"/>
        </w:rPr>
      </w:pPr>
      <w:r>
        <w:rPr>
          <w:rFonts w:hint="eastAsia" w:asciiTheme="minorEastAsia" w:hAnsiTheme="minorEastAsia" w:eastAsiaTheme="minorEastAsia" w:cstheme="minorEastAsia"/>
          <w:bCs/>
          <w:sz w:val="24"/>
        </w:rPr>
        <w:t>1</w:t>
      </w:r>
      <w:r>
        <w:rPr>
          <w:rFonts w:hint="eastAsia" w:ascii="宋体" w:hAnsi="宋体" w:cs="宋体"/>
          <w:sz w:val="24"/>
        </w:rPr>
        <w:t>、磋商</w:t>
      </w:r>
    </w:p>
    <w:p>
      <w:pPr>
        <w:pStyle w:val="9"/>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1.1采购代理机构将在规定的时间和地点组织召开磋商大会。</w:t>
      </w:r>
      <w:r>
        <w:rPr>
          <w:rFonts w:hint="eastAsia" w:asciiTheme="minorEastAsia" w:hAnsiTheme="minorEastAsia" w:eastAsiaTheme="minorEastAsia" w:cstheme="minorEastAsia"/>
          <w:sz w:val="24"/>
        </w:rPr>
        <w:t>磋商响应单位</w:t>
      </w:r>
      <w:r>
        <w:rPr>
          <w:rFonts w:asciiTheme="minorEastAsia" w:hAnsiTheme="minorEastAsia" w:eastAsiaTheme="minorEastAsia" w:cstheme="minorEastAsia"/>
          <w:sz w:val="24"/>
        </w:rPr>
        <w:t>应派法定代表人或授权代表参加，参加磋商的代表应签名报到以证明其出席。政府采购监督管理部门可以视情况到场监督磋商情况。</w:t>
      </w:r>
    </w:p>
    <w:p>
      <w:pPr>
        <w:pStyle w:val="9"/>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1.2磋商大会由采购代理机构主持，会议主要内容：</w:t>
      </w:r>
    </w:p>
    <w:p>
      <w:pPr>
        <w:pStyle w:val="9"/>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（1）宣布会场纪律；</w:t>
      </w:r>
    </w:p>
    <w:p>
      <w:pPr>
        <w:pStyle w:val="9"/>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（2）介绍参加磋商大会的单位及工作人员；</w:t>
      </w:r>
    </w:p>
    <w:p>
      <w:pPr>
        <w:pStyle w:val="9"/>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（3）</w:t>
      </w:r>
      <w:r>
        <w:rPr>
          <w:rFonts w:hint="eastAsia" w:asciiTheme="minorEastAsia" w:hAnsiTheme="minorEastAsia" w:eastAsiaTheme="minorEastAsia" w:cstheme="minorEastAsia"/>
          <w:sz w:val="24"/>
        </w:rPr>
        <w:t>查验相关资料；</w:t>
      </w:r>
    </w:p>
    <w:p>
      <w:pPr>
        <w:pStyle w:val="9"/>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（4）所有</w:t>
      </w:r>
      <w:r>
        <w:rPr>
          <w:rFonts w:hint="eastAsia" w:asciiTheme="minorEastAsia" w:hAnsiTheme="minorEastAsia" w:eastAsiaTheme="minorEastAsia" w:cstheme="minorEastAsia"/>
          <w:sz w:val="24"/>
        </w:rPr>
        <w:t>磋商响应单位</w:t>
      </w:r>
      <w:r>
        <w:rPr>
          <w:rFonts w:asciiTheme="minorEastAsia" w:hAnsiTheme="minorEastAsia" w:eastAsiaTheme="minorEastAsia" w:cstheme="minorEastAsia"/>
          <w:sz w:val="24"/>
        </w:rPr>
        <w:t>共同检查响应文件的密封情况，当众宣布检查结果；</w:t>
      </w:r>
    </w:p>
    <w:p>
      <w:pPr>
        <w:pStyle w:val="9"/>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（5）现场工作人员按</w:t>
      </w:r>
      <w:r>
        <w:rPr>
          <w:rFonts w:hint="eastAsia" w:asciiTheme="minorEastAsia" w:hAnsiTheme="minorEastAsia" w:eastAsiaTheme="minorEastAsia" w:cstheme="minorEastAsia"/>
          <w:sz w:val="24"/>
        </w:rPr>
        <w:t>签到先后</w:t>
      </w:r>
      <w:r>
        <w:rPr>
          <w:rFonts w:asciiTheme="minorEastAsia" w:hAnsiTheme="minorEastAsia" w:eastAsiaTheme="minorEastAsia" w:cstheme="minorEastAsia"/>
          <w:sz w:val="24"/>
        </w:rPr>
        <w:t>顺序当众开启响应文件；</w:t>
      </w:r>
    </w:p>
    <w:p>
      <w:pPr>
        <w:pStyle w:val="9"/>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（6）响应文件初审（</w:t>
      </w:r>
      <w:r>
        <w:rPr>
          <w:rFonts w:hint="eastAsia" w:asciiTheme="minorEastAsia" w:hAnsiTheme="minorEastAsia" w:eastAsiaTheme="minorEastAsia" w:cstheme="minorEastAsia"/>
          <w:sz w:val="24"/>
        </w:rPr>
        <w:t>磋商响应单位</w:t>
      </w:r>
      <w:r>
        <w:rPr>
          <w:rFonts w:asciiTheme="minorEastAsia" w:hAnsiTheme="minorEastAsia" w:eastAsiaTheme="minorEastAsia" w:cstheme="minorEastAsia"/>
          <w:sz w:val="24"/>
        </w:rPr>
        <w:t>离场）；</w:t>
      </w:r>
    </w:p>
    <w:p>
      <w:pPr>
        <w:pStyle w:val="9"/>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（7）根据情况，磋商小组集中与单一</w:t>
      </w:r>
      <w:r>
        <w:rPr>
          <w:rFonts w:hint="eastAsia" w:asciiTheme="minorEastAsia" w:hAnsiTheme="minorEastAsia" w:eastAsiaTheme="minorEastAsia" w:cstheme="minorEastAsia"/>
          <w:sz w:val="24"/>
        </w:rPr>
        <w:t>磋商响应单位</w:t>
      </w:r>
      <w:r>
        <w:rPr>
          <w:rFonts w:asciiTheme="minorEastAsia" w:hAnsiTheme="minorEastAsia" w:eastAsiaTheme="minorEastAsia" w:cstheme="minorEastAsia"/>
          <w:sz w:val="24"/>
        </w:rPr>
        <w:t>一对一磋商；</w:t>
      </w:r>
    </w:p>
    <w:p>
      <w:pPr>
        <w:pStyle w:val="9"/>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（8）</w:t>
      </w:r>
      <w:r>
        <w:rPr>
          <w:rFonts w:hint="eastAsia" w:asciiTheme="minorEastAsia" w:hAnsiTheme="minorEastAsia" w:eastAsiaTheme="minorEastAsia" w:cstheme="minorEastAsia"/>
          <w:sz w:val="24"/>
        </w:rPr>
        <w:t>磋商响应单位</w:t>
      </w:r>
      <w:r>
        <w:rPr>
          <w:rFonts w:asciiTheme="minorEastAsia" w:hAnsiTheme="minorEastAsia" w:eastAsiaTheme="minorEastAsia" w:cstheme="minorEastAsia"/>
          <w:sz w:val="24"/>
        </w:rPr>
        <w:t>磋商响应及递交最终响应函（含最终报价）；</w:t>
      </w:r>
    </w:p>
    <w:p>
      <w:pPr>
        <w:pStyle w:val="9"/>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（9）磋商大会结束；</w:t>
      </w:r>
    </w:p>
    <w:p>
      <w:pPr>
        <w:pStyle w:val="9"/>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2、响应文件的评</w:t>
      </w:r>
      <w:r>
        <w:rPr>
          <w:rFonts w:hint="eastAsia" w:asciiTheme="minorEastAsia" w:hAnsiTheme="minorEastAsia" w:eastAsiaTheme="minorEastAsia" w:cstheme="minorEastAsia"/>
          <w:sz w:val="24"/>
        </w:rPr>
        <w:t>审</w:t>
      </w:r>
      <w:r>
        <w:rPr>
          <w:rFonts w:asciiTheme="minorEastAsia" w:hAnsiTheme="minorEastAsia" w:eastAsiaTheme="minorEastAsia" w:cstheme="minorEastAsia"/>
          <w:sz w:val="24"/>
        </w:rPr>
        <w:t>和比较</w:t>
      </w:r>
    </w:p>
    <w:p>
      <w:pPr>
        <w:pStyle w:val="9"/>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2.1 磋商小组将按照磋商文件规定的评审办法进行评审。</w:t>
      </w:r>
    </w:p>
    <w:p>
      <w:pPr>
        <w:pStyle w:val="9"/>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2.2 磋商方法具体见第四章。</w:t>
      </w:r>
    </w:p>
    <w:p>
      <w:pPr>
        <w:pStyle w:val="9"/>
        <w:spacing w:line="360" w:lineRule="auto"/>
        <w:ind w:firstLine="480"/>
        <w:rPr>
          <w:rFonts w:asciiTheme="minorEastAsia" w:hAnsiTheme="minorEastAsia" w:eastAsiaTheme="minorEastAsia" w:cstheme="minorEastAsia"/>
          <w:sz w:val="24"/>
        </w:rPr>
      </w:pPr>
      <w:r>
        <w:rPr>
          <w:rFonts w:asciiTheme="minorEastAsia" w:hAnsiTheme="minorEastAsia" w:eastAsiaTheme="minorEastAsia" w:cstheme="minorEastAsia"/>
          <w:sz w:val="24"/>
        </w:rPr>
        <w:t>3、推荐成交候选人</w:t>
      </w:r>
    </w:p>
    <w:p>
      <w:pPr>
        <w:adjustRightInd w:val="0"/>
        <w:snapToGrid w:val="0"/>
        <w:spacing w:line="360" w:lineRule="auto"/>
        <w:ind w:firstLine="480" w:firstLineChars="200"/>
        <w:rPr>
          <w:bCs/>
          <w:sz w:val="24"/>
        </w:rPr>
      </w:pPr>
      <w:r>
        <w:rPr>
          <w:rFonts w:hint="eastAsia" w:ascii="宋体" w:hAnsi="宋体" w:cs="宋体"/>
          <w:bCs/>
          <w:sz w:val="24"/>
        </w:rPr>
        <w:t xml:space="preserve">3.1 </w:t>
      </w:r>
      <w:r>
        <w:rPr>
          <w:rFonts w:hint="eastAsia" w:ascii="宋体" w:hAnsi="宋体" w:cs="宋体"/>
          <w:bCs/>
          <w:spacing w:val="-4"/>
          <w:sz w:val="24"/>
        </w:rPr>
        <w:t>磋</w:t>
      </w:r>
      <w:r>
        <w:rPr>
          <w:bCs/>
          <w:spacing w:val="-4"/>
          <w:sz w:val="24"/>
        </w:rPr>
        <w:t>商小组将磋商情况及评审结果写成书面报告，按照综合得分由高至低顺序，推荐3名成交候选</w:t>
      </w:r>
      <w:r>
        <w:rPr>
          <w:bCs/>
          <w:sz w:val="24"/>
        </w:rPr>
        <w:t>人。</w:t>
      </w:r>
    </w:p>
    <w:p>
      <w:pPr>
        <w:adjustRightInd w:val="0"/>
        <w:snapToGrid w:val="0"/>
        <w:spacing w:line="360" w:lineRule="auto"/>
        <w:ind w:firstLine="480"/>
        <w:rPr>
          <w:bCs/>
          <w:sz w:val="24"/>
        </w:rPr>
      </w:pPr>
      <w:r>
        <w:rPr>
          <w:rFonts w:hint="eastAsia" w:ascii="宋体" w:hAnsi="宋体" w:cs="宋体"/>
          <w:bCs/>
          <w:sz w:val="24"/>
        </w:rPr>
        <w:t xml:space="preserve">3.2 </w:t>
      </w:r>
      <w:r>
        <w:rPr>
          <w:bCs/>
          <w:sz w:val="24"/>
        </w:rPr>
        <w:t>成交候选人综合得分相同的，按磋商报价由低到高顺序排列。得分且磋商报价相同的，按技术指标优劣顺序排列。</w:t>
      </w:r>
    </w:p>
    <w:p>
      <w:pPr>
        <w:adjustRightInd w:val="0"/>
        <w:snapToGrid w:val="0"/>
        <w:spacing w:line="360" w:lineRule="auto"/>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    4、磋商过程的保密</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凡属于对响应文件的审查、澄清、评审和比较有关的资料、成交候选人的推荐情况，以及与磋商有关的其它任何情况均严格保密，任何磋商响应单位不得向磋商小组人员或其他有关人员索问磋商过程的情况和材料。采购代理机构不向未成交磋商响应单位解释未成交原因，不退还响应文件。</w:t>
      </w:r>
    </w:p>
    <w:p>
      <w:pPr>
        <w:pStyle w:val="5"/>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五、确定磋商响应单位</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1、确定磋商响应单位的原则</w:t>
      </w:r>
    </w:p>
    <w:p>
      <w:pPr>
        <w:pStyle w:val="3"/>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采购人根据磋商小组推荐的成交候选人名单，按排序确定磋商响应单位。</w:t>
      </w:r>
    </w:p>
    <w:p>
      <w:pPr>
        <w:pStyle w:val="3"/>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2、确定磋商响应单位的程序</w:t>
      </w:r>
    </w:p>
    <w:p>
      <w:pPr>
        <w:pStyle w:val="3"/>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2.1 采购代理机构在磋商结束后二个工作日内将磋商报告送采购人。</w:t>
      </w:r>
    </w:p>
    <w:p>
      <w:pPr>
        <w:pStyle w:val="3"/>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2.2 采购人在收到磋商报告后五个工作日内，按照磋商报告中推荐的成交候选人顺序确定成交人，同时函复采购代理机构。</w:t>
      </w:r>
    </w:p>
    <w:p>
      <w:pPr>
        <w:pStyle w:val="3"/>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2.3 采购代理机构收到采购人定标通知（成交复函）后，在陕西省政府采购网发布公告，公示期满无异议后，以书面形式发出成交通知书。如有特殊原因也可延期发出，但发出时间不超过磋商有效期。</w:t>
      </w:r>
    </w:p>
    <w:p>
      <w:pPr>
        <w:pStyle w:val="3"/>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2.4 成交通知书作为签订合同的法律依据。成交通知书发出后，采购人改变磋商结果，或者成交人无正当理由放弃的，应当承担相应的法律责任。</w:t>
      </w:r>
    </w:p>
    <w:p>
      <w:pPr>
        <w:pStyle w:val="3"/>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3、磋商结果的公示和异议</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3.1 磋商结束后，采购人或采购代理机构自成交磋商响应单位确定之日起2个工作日在陕西省政府采购网公告成交结果，公示期1个工作日。</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3.2 磋商响应单位或者其他利害关系人对磋商结果有异议的，可以在知道或者应知其权益受到损害之日起7个工作日内，以书面形式向采购人或代理机构提出质疑。</w:t>
      </w:r>
    </w:p>
    <w:p>
      <w:pPr>
        <w:pStyle w:val="5"/>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六、签订合同</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1、签订合同</w:t>
      </w:r>
    </w:p>
    <w:p>
      <w:pPr>
        <w:pStyle w:val="3"/>
        <w:adjustRightInd w:val="0"/>
        <w:snapToGrid w:val="0"/>
        <w:spacing w:after="0" w:line="360" w:lineRule="auto"/>
        <w:ind w:left="0" w:leftChars="0"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1.1 采购人和成交磋商响应单位应当自成交通知书发出之日起30天内，根据磋商文件和成交磋商响应单位的响应文件订立书面合同。</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1.2 成交通知书、磋商文件、响应文件及其澄清文件等，均为合同的组成部分，与合同具有同等法律效力。</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1.3 发出成交通知书后，因成交磋商响应单位的原因，不与采购人签订合同的，采购人将废除其成交资格。</w:t>
      </w:r>
    </w:p>
    <w:p>
      <w:pPr>
        <w:numPr>
          <w:ilvl w:val="0"/>
          <w:numId w:val="4"/>
        </w:num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履约保证金</w:t>
      </w:r>
    </w:p>
    <w:p>
      <w:pPr>
        <w:adjustRightInd w:val="0"/>
        <w:snapToGrid w:val="0"/>
        <w:spacing w:line="360" w:lineRule="auto"/>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    成交磋商响应单位与采购人签订合同后，成交磋商响应单位应向采购人提交履约保证金，形式见合同要求。</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3、签订合同时变更数量的权力</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采购合同履行过程中，采购人需要追加与合同标的相同的货物或者服务的，在不改变合同其他条款的前提下，可以与成交磋商响应单位协商签订补充合同，但不得超过原合同采购金额的百分之十。</w:t>
      </w:r>
    </w:p>
    <w:p>
      <w:pPr>
        <w:pStyle w:val="5"/>
        <w:adjustRightInd w:val="0"/>
        <w:snapToGrid w:val="0"/>
        <w:spacing w:before="0" w:after="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w:t>
      </w:r>
      <w:r>
        <w:rPr>
          <w:rFonts w:hint="eastAsia" w:asciiTheme="minorEastAsia" w:hAnsiTheme="minorEastAsia" w:eastAsiaTheme="minorEastAsia" w:cstheme="minorEastAsia"/>
          <w:sz w:val="24"/>
          <w:szCs w:val="24"/>
          <w:lang w:val="zh-CN"/>
        </w:rPr>
        <w:t>询问与质疑</w:t>
      </w:r>
    </w:p>
    <w:p>
      <w:pPr>
        <w:adjustRightInd w:val="0"/>
        <w:snapToGrid w:val="0"/>
        <w:spacing w:line="360" w:lineRule="auto"/>
        <w:ind w:firstLine="480" w:firstLineChars="200"/>
        <w:rPr>
          <w:rFonts w:asciiTheme="minorEastAsia" w:hAnsiTheme="minorEastAsia" w:eastAsiaTheme="minorEastAsia" w:cstheme="minorEastAsia"/>
          <w:bCs/>
          <w:sz w:val="24"/>
          <w:lang w:val="zh-CN"/>
        </w:rPr>
      </w:pPr>
      <w:r>
        <w:rPr>
          <w:rFonts w:hint="eastAsia" w:asciiTheme="minorEastAsia" w:hAnsiTheme="minorEastAsia" w:eastAsiaTheme="minorEastAsia" w:cstheme="minorEastAsia"/>
          <w:bCs/>
          <w:sz w:val="24"/>
        </w:rPr>
        <w:t>1、</w:t>
      </w:r>
      <w:r>
        <w:rPr>
          <w:rFonts w:hint="eastAsia" w:asciiTheme="minorEastAsia" w:hAnsiTheme="minorEastAsia" w:eastAsiaTheme="minorEastAsia" w:cstheme="minorEastAsia"/>
          <w:bCs/>
          <w:sz w:val="24"/>
          <w:lang w:val="zh-CN"/>
        </w:rPr>
        <w:t>磋商程序受《中华人民共和国政府采购法》和相关法律及行政命令约束，并受到严格的内部监督，以确保授予合同过程的公平公正。</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2、采购代理机构质疑受理：</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联系电话：</w:t>
      </w:r>
      <w:r>
        <w:rPr>
          <w:rFonts w:hint="eastAsia" w:ascii="宋体" w:hAnsi="宋体"/>
          <w:color w:val="000000"/>
          <w:kern w:val="0"/>
          <w:sz w:val="24"/>
        </w:rPr>
        <w:t>029-86522030</w:t>
      </w:r>
      <w:r>
        <w:rPr>
          <w:rFonts w:hint="eastAsia" w:asciiTheme="minorEastAsia" w:hAnsiTheme="minorEastAsia" w:eastAsiaTheme="minorEastAsia" w:cstheme="minorEastAsia"/>
          <w:bCs/>
          <w:sz w:val="24"/>
        </w:rPr>
        <w:t>，联系人：段伟超。</w:t>
      </w:r>
    </w:p>
    <w:p>
      <w:pPr>
        <w:adjustRightInd w:val="0"/>
        <w:snapToGrid w:val="0"/>
        <w:spacing w:line="360" w:lineRule="auto"/>
        <w:ind w:firstLine="480" w:firstLineChars="200"/>
        <w:rPr>
          <w:rFonts w:ascii="宋体" w:hAnsi="宋体" w:cs="宋体"/>
          <w:color w:val="000000"/>
          <w:kern w:val="0"/>
          <w:sz w:val="24"/>
          <w:lang w:val="zh-CN"/>
        </w:rPr>
      </w:pPr>
      <w:r>
        <w:rPr>
          <w:rFonts w:hint="eastAsia" w:asciiTheme="minorEastAsia" w:hAnsiTheme="minorEastAsia" w:eastAsiaTheme="minorEastAsia" w:cstheme="minorEastAsia"/>
          <w:bCs/>
          <w:sz w:val="24"/>
        </w:rPr>
        <w:t>3、</w:t>
      </w:r>
      <w:r>
        <w:rPr>
          <w:rFonts w:hint="eastAsia" w:asciiTheme="minorEastAsia" w:hAnsiTheme="minorEastAsia" w:eastAsiaTheme="minorEastAsia" w:cstheme="minorEastAsia"/>
          <w:bCs/>
          <w:sz w:val="24"/>
          <w:lang w:val="zh-CN"/>
        </w:rPr>
        <w:t>磋商响应单位对磋商文件条款或技术、商务参数有异议的，应当在磋商前通过</w:t>
      </w:r>
      <w:r>
        <w:rPr>
          <w:rFonts w:hint="eastAsia" w:ascii="宋体" w:hAnsi="宋体" w:cs="宋体"/>
          <w:color w:val="000000"/>
          <w:kern w:val="0"/>
          <w:sz w:val="24"/>
          <w:lang w:val="zh-CN"/>
        </w:rPr>
        <w:t>澄清或修改程序提出。</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4、</w:t>
      </w:r>
      <w:r>
        <w:rPr>
          <w:rFonts w:hint="eastAsia" w:ascii="宋体" w:hAnsi="宋体" w:cs="宋体"/>
          <w:color w:val="000000"/>
          <w:kern w:val="0"/>
          <w:sz w:val="24"/>
          <w:lang w:val="zh-CN"/>
        </w:rPr>
        <w:t>磋商响应单位对采购事项有疑问的，可以向采购代理机构（或采购人）提出询问。</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5、</w:t>
      </w:r>
      <w:r>
        <w:rPr>
          <w:rFonts w:hint="eastAsia" w:ascii="宋体" w:hAnsi="宋体" w:cs="宋体"/>
          <w:color w:val="000000"/>
          <w:kern w:val="0"/>
          <w:sz w:val="24"/>
          <w:lang w:val="zh-CN"/>
        </w:rPr>
        <w:t>磋商响应单位认为其磋商响应文件未获公平评审或采购过程和磋商结果使自己的合法权益受到损害的，应当在知道或者应知其权益受到损害之日起7个工作日内提出质疑。</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6、</w:t>
      </w:r>
      <w:r>
        <w:rPr>
          <w:rFonts w:hint="eastAsia" w:ascii="宋体" w:hAnsi="宋体" w:cs="宋体"/>
          <w:color w:val="000000"/>
          <w:kern w:val="0"/>
          <w:sz w:val="24"/>
          <w:lang w:val="zh-CN"/>
        </w:rPr>
        <w:t>质疑应当以书面形式向采购代理机构（或采购人）提出，经法定代表人签字并加盖公章。</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7、</w:t>
      </w:r>
      <w:r>
        <w:rPr>
          <w:rFonts w:hint="eastAsia" w:ascii="宋体" w:hAnsi="宋体" w:cs="宋体"/>
          <w:color w:val="000000"/>
          <w:kern w:val="0"/>
          <w:sz w:val="24"/>
          <w:lang w:val="zh-CN"/>
        </w:rPr>
        <w:t>质疑书应当包括以下主要内容：被质疑项目名称、项目编号、磋商公告发布时间、质疑事项、法律依据（具体条款）、质疑人全称、法定代表人签字、盖章、有效联系方式（包括手机、传真号码）。</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8、</w:t>
      </w:r>
      <w:r>
        <w:rPr>
          <w:rFonts w:hint="eastAsia" w:ascii="宋体" w:hAnsi="宋体" w:cs="宋体"/>
          <w:color w:val="000000"/>
          <w:kern w:val="0"/>
          <w:sz w:val="24"/>
          <w:lang w:val="zh-CN"/>
        </w:rPr>
        <w:t>质疑应按照“谁主张、谁举证”的原则，质疑书应当附相关证明材料。质疑材料应为简体中文，一式二份。</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9、</w:t>
      </w:r>
      <w:r>
        <w:rPr>
          <w:rFonts w:hint="eastAsia" w:ascii="宋体" w:hAnsi="宋体" w:cs="宋体"/>
          <w:color w:val="000000"/>
          <w:kern w:val="0"/>
          <w:sz w:val="24"/>
          <w:lang w:val="zh-CN"/>
        </w:rPr>
        <w:t>有下列情形之一的，属于无效质疑，采购代理机构（或采购人）可不予受理：</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（1）未在有效期限内提出质疑的；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（2）质疑未以书面形式提出的；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（3）所提交材料未明示属于质疑材料的；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（4）质疑书没有法定代表人签署本人姓名或印盖本人姓名章并加盖单位公章的；质疑书由参加采购项目的授权代表签署本人姓名或印盖本人姓名章，但没有法定代表人特别授权的；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（5）质疑书未提供有效联系人或联系方式的；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（6）质疑事项已经进入投诉或者行政复议或者诉讼程序的；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（7）质疑书未附相关证明材料，被视为无有效证据支持的。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（8）磋商响应单位对磋商文件条款或技术参数有异议，未在评审前通过澄清或修改程序提出，并且磋商响应单位已经参与磋商，而于评审后对磋商文件提出质疑的；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（9）在提出本次质疑前半年内连续三次质疑而无事实依据的；</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（10）其它不符合受理条件的情形。</w:t>
      </w:r>
    </w:p>
    <w:p>
      <w:pPr>
        <w:spacing w:line="360" w:lineRule="auto"/>
        <w:ind w:firstLine="480" w:firstLineChars="200"/>
        <w:rPr>
          <w:rFonts w:ascii="宋体" w:hAnsi="宋体" w:cs="宋体"/>
          <w:color w:val="000000"/>
          <w:kern w:val="0"/>
          <w:sz w:val="24"/>
          <w:lang w:val="zh-CN"/>
        </w:rPr>
      </w:pPr>
      <w:r>
        <w:rPr>
          <w:rFonts w:hint="eastAsia" w:ascii="宋体" w:hAnsi="宋体" w:cs="宋体"/>
          <w:color w:val="000000"/>
          <w:kern w:val="0"/>
          <w:sz w:val="24"/>
        </w:rPr>
        <w:t>10、</w:t>
      </w:r>
      <w:r>
        <w:rPr>
          <w:rFonts w:hint="eastAsia" w:ascii="宋体" w:hAnsi="宋体" w:cs="宋体"/>
          <w:color w:val="000000"/>
          <w:kern w:val="0"/>
          <w:sz w:val="24"/>
          <w:lang w:val="zh-CN"/>
        </w:rPr>
        <w:t>采购代理机构（或采购人）将在收到书面质疑后7个工作日内审查质疑事项，做出答复或相关处理决定，并以书面形式通知质疑磋商响应单位和其他有关磋商响应单位，但答复的内容不涉及商业秘密。</w:t>
      </w:r>
    </w:p>
    <w:p>
      <w:pPr>
        <w:pStyle w:val="3"/>
        <w:adjustRightInd w:val="0"/>
        <w:snapToGrid w:val="0"/>
        <w:spacing w:after="0" w:line="360" w:lineRule="auto"/>
        <w:ind w:left="0" w:leftChars="0"/>
        <w:rPr>
          <w:rFonts w:asciiTheme="minorEastAsia" w:hAnsiTheme="minorEastAsia" w:eastAsiaTheme="minorEastAsia" w:cstheme="minorEastAsia"/>
          <w:sz w:val="24"/>
        </w:rPr>
      </w:pPr>
      <w:r>
        <w:rPr>
          <w:rFonts w:hint="eastAsia" w:ascii="宋体" w:hAnsi="宋体" w:cs="宋体"/>
          <w:color w:val="000000"/>
          <w:kern w:val="0"/>
          <w:sz w:val="24"/>
        </w:rPr>
        <w:t>　　11、</w:t>
      </w:r>
      <w:r>
        <w:rPr>
          <w:rFonts w:hint="eastAsia" w:ascii="宋体" w:hAnsi="宋体" w:cs="宋体"/>
          <w:color w:val="000000"/>
          <w:kern w:val="0"/>
          <w:sz w:val="24"/>
          <w:lang w:val="zh-CN"/>
        </w:rPr>
        <w:t>质疑磋商响应单位对采购代理机构（或采购人）的答复不满意以及采购代理机构（或采购人）未在规定的时间内做出答复的，可以在答复期满后15个工作日内向政府采购监管部门投诉。</w:t>
      </w:r>
    </w:p>
    <w:p>
      <w:pPr>
        <w:pStyle w:val="5"/>
        <w:adjustRightInd w:val="0"/>
        <w:snapToGrid w:val="0"/>
        <w:spacing w:before="120" w:after="120" w:line="360"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八、其 他</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1、招标代理服务费</w:t>
      </w:r>
      <w:r>
        <w:rPr>
          <w:rFonts w:hint="eastAsia" w:asciiTheme="minorEastAsia" w:hAnsiTheme="minorEastAsia" w:eastAsiaTheme="minorEastAsia" w:cstheme="minorEastAsia"/>
          <w:sz w:val="24"/>
        </w:rPr>
        <w:t>及造价咨询费用</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1.1 </w:t>
      </w:r>
      <w:r>
        <w:rPr>
          <w:rFonts w:hint="eastAsia" w:asciiTheme="minorEastAsia" w:hAnsiTheme="minorEastAsia" w:eastAsiaTheme="minorEastAsia" w:cstheme="minorEastAsia"/>
          <w:sz w:val="24"/>
        </w:rPr>
        <w:t>按国家发展计划委员会文件计价格【2002】1980号、发改价格【2011】534号、发改价格的【2015】299号，招标代理费用及造价咨询费用根据实际中标价格据实结算，由中标单位进行支付。</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sz w:val="24"/>
        </w:rPr>
        <w:t>1.2 成交磋商响应单位应依据以上内容在领取中标通知书前向采购代理机构足额</w:t>
      </w:r>
      <w:r>
        <w:rPr>
          <w:rFonts w:hint="eastAsia" w:asciiTheme="minorEastAsia" w:hAnsiTheme="minorEastAsia" w:eastAsiaTheme="minorEastAsia" w:cstheme="minorEastAsia"/>
          <w:bCs/>
          <w:sz w:val="24"/>
        </w:rPr>
        <w:t>交纳招标代理服务费及造价咨询费。</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1.3 招标代理服务费及造价咨询费以银行转账形式缴纳。</w:t>
      </w:r>
    </w:p>
    <w:p>
      <w:pPr>
        <w:adjustRightInd w:val="0"/>
        <w:snapToGrid w:val="0"/>
        <w:spacing w:line="360" w:lineRule="auto"/>
        <w:ind w:firstLine="480" w:firstLineChars="2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1.4 成交磋商响应单位服务费交纳信息</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户    名：同正项目管理有限公司</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开户银行：中信银行西安经济技术开发区支行</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账    号：7251210182600131313</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2、本项目落实的政府采购政策：</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2.1 投标企业政府采购政策</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2.1.1中小企业落实政府采购政策</w:t>
      </w:r>
    </w:p>
    <w:p>
      <w:pPr>
        <w:adjustRightInd w:val="0"/>
        <w:snapToGrid w:val="0"/>
        <w:spacing w:line="360" w:lineRule="auto"/>
        <w:rPr>
          <w:rFonts w:asciiTheme="minorEastAsia" w:hAnsiTheme="minorEastAsia" w:eastAsiaTheme="minorEastAsia" w:cstheme="minorEastAsia"/>
          <w:sz w:val="24"/>
          <w:highlight w:val="yellow"/>
        </w:rPr>
      </w:pPr>
      <w:r>
        <w:rPr>
          <w:rFonts w:hint="eastAsia" w:asciiTheme="minorEastAsia" w:hAnsiTheme="minorEastAsia" w:eastAsiaTheme="minorEastAsia" w:cstheme="minorEastAsia"/>
          <w:sz w:val="24"/>
        </w:rPr>
        <w:t>　　（1）中小企业应符合工信部联企业[2011]300号文件规定，采购活动执行《政府采购促进中小企业发展管理办法》的规定。</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2.1.2 监狱和戒毒企业应符合《财政部司法部关于政府采购支持监狱企业发展有关问题的通知》--财库〔2014〕68号，并提供由省级以上监狱管理局、戒毒管理局(含新疆生产建设兵团)出具的属于监狱企业的证明。</w:t>
      </w:r>
    </w:p>
    <w:p>
      <w:pPr>
        <w:adjustRightInd w:val="0"/>
        <w:snapToGrid w:val="0"/>
        <w:spacing w:line="360" w:lineRule="auto"/>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2.1.3 磋商响应单位应如实提供以上证明文件，如存在虚假应标，将取消其投标资格。</w:t>
      </w:r>
    </w:p>
    <w:p>
      <w:pPr>
        <w:adjustRightInd w:val="0"/>
        <w:snapToGrid w:val="0"/>
        <w:spacing w:line="360" w:lineRule="auto"/>
        <w:ind w:firstLine="240" w:firstLineChars="100"/>
        <w:rPr>
          <w:rFonts w:asciiTheme="minorEastAsia" w:hAnsiTheme="minorEastAsia" w:eastAsiaTheme="minorEastAsia" w:cstheme="minorEastAsia"/>
          <w:sz w:val="24"/>
          <w:lang w:val="zh-CN"/>
        </w:rPr>
      </w:pPr>
      <w:r>
        <w:rPr>
          <w:rFonts w:hint="eastAsia" w:asciiTheme="minorEastAsia" w:hAnsiTheme="minorEastAsia" w:eastAsiaTheme="minorEastAsia" w:cstheme="minorEastAsia"/>
          <w:sz w:val="24"/>
        </w:rPr>
        <w:t>　3</w:t>
      </w:r>
      <w:r>
        <w:rPr>
          <w:rFonts w:hint="eastAsia" w:asciiTheme="minorEastAsia" w:hAnsiTheme="minorEastAsia" w:eastAsiaTheme="minorEastAsia" w:cstheme="minorEastAsia"/>
          <w:sz w:val="24"/>
          <w:lang w:val="zh-CN"/>
        </w:rPr>
        <w:t>、</w:t>
      </w:r>
      <w:r>
        <w:rPr>
          <w:rFonts w:hint="eastAsia" w:asciiTheme="minorEastAsia" w:hAnsiTheme="minorEastAsia" w:eastAsiaTheme="minorEastAsia" w:cstheme="minorEastAsia"/>
          <w:sz w:val="24"/>
        </w:rPr>
        <w:t>在采购过程中符合要求磋商响应单位或者报价未超出采购预算的磋商响应单位不足</w:t>
      </w:r>
      <w:r>
        <w:rPr>
          <w:rFonts w:hint="eastAsia" w:asciiTheme="minorEastAsia" w:hAnsiTheme="minorEastAsia" w:eastAsiaTheme="minorEastAsia" w:cstheme="minorEastAsia"/>
          <w:sz w:val="24"/>
          <w:lang w:val="zh-CN"/>
        </w:rPr>
        <w:t>3家的，采购代理机构请示监督机构后，终止竞争性磋商活动或继续磋商。</w:t>
      </w:r>
    </w:p>
    <w:p>
      <w:pPr>
        <w:adjustRightInd w:val="0"/>
        <w:snapToGrid w:val="0"/>
        <w:spacing w:line="360" w:lineRule="auto"/>
        <w:ind w:firstLine="240" w:firstLineChars="100"/>
        <w:rPr>
          <w:rFonts w:hint="eastAsia" w:asciiTheme="minorEastAsia" w:hAnsiTheme="minorEastAsia" w:eastAsiaTheme="minorEastAsia" w:cstheme="minorEastAsia"/>
          <w:sz w:val="24"/>
          <w:lang w:val="zh-CN"/>
        </w:rPr>
      </w:pPr>
      <w:r>
        <w:rPr>
          <w:rFonts w:hint="eastAsia" w:asciiTheme="minorEastAsia" w:hAnsiTheme="minorEastAsia" w:eastAsiaTheme="minorEastAsia" w:cstheme="minorEastAsia"/>
          <w:sz w:val="24"/>
        </w:rPr>
        <w:t>　4</w:t>
      </w:r>
      <w:r>
        <w:rPr>
          <w:rFonts w:hint="eastAsia" w:asciiTheme="minorEastAsia" w:hAnsiTheme="minorEastAsia" w:eastAsiaTheme="minorEastAsia" w:cstheme="minorEastAsia"/>
          <w:sz w:val="24"/>
          <w:lang w:val="zh-CN"/>
        </w:rPr>
        <w:t>、确定成交单位后，成交单位无正当理由拖延或拒签合同，采购人有权取消其成交资格，并报请监督机构予以通报，取消其进入政府采购市场的资格，并按规定予以处罚。</w:t>
      </w:r>
    </w:p>
    <w:p>
      <w:pPr>
        <w:adjustRightInd w:val="0"/>
        <w:snapToGrid w:val="0"/>
        <w:spacing w:line="360" w:lineRule="auto"/>
        <w:ind w:firstLine="480" w:firstLineChars="200"/>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lang w:val="en-US" w:eastAsia="zh-CN"/>
        </w:rPr>
        <w:t>5.</w:t>
      </w:r>
      <w:bookmarkStart w:id="3" w:name="_Toc1185"/>
      <w:bookmarkStart w:id="4" w:name="_Toc7524"/>
      <w:r>
        <w:rPr>
          <w:rFonts w:hint="eastAsia" w:asciiTheme="minorEastAsia" w:hAnsiTheme="minorEastAsia" w:eastAsiaTheme="minorEastAsia" w:cstheme="minorEastAsia"/>
          <w:sz w:val="24"/>
          <w:lang w:val="en-US" w:eastAsia="zh-CN"/>
        </w:rPr>
        <w:t>信用担保</w:t>
      </w:r>
      <w:bookmarkEnd w:id="3"/>
      <w:r>
        <w:rPr>
          <w:rFonts w:hint="eastAsia" w:asciiTheme="minorEastAsia" w:hAnsiTheme="minorEastAsia" w:eastAsiaTheme="minorEastAsia" w:cstheme="minorEastAsia"/>
          <w:sz w:val="24"/>
          <w:lang w:val="en-US" w:eastAsia="zh-CN"/>
        </w:rPr>
        <w:t>及信用融资</w:t>
      </w:r>
      <w:bookmarkEnd w:id="4"/>
    </w:p>
    <w:p>
      <w:pPr>
        <w:adjustRightInd w:val="0"/>
        <w:snapToGrid w:val="0"/>
        <w:spacing w:line="360" w:lineRule="auto"/>
        <w:ind w:firstLine="480" w:firstLineChars="200"/>
        <w:rPr>
          <w:rFonts w:hint="eastAsia" w:asciiTheme="minorEastAsia" w:hAnsiTheme="minorEastAsia" w:eastAsiaTheme="minorEastAsia" w:cstheme="minorEastAsia"/>
          <w:sz w:val="24"/>
          <w:lang w:val="en-US" w:eastAsia="zh-CN"/>
        </w:rPr>
      </w:pPr>
      <w:r>
        <w:rPr>
          <w:rFonts w:hint="eastAsia" w:asciiTheme="minorEastAsia" w:hAnsiTheme="minorEastAsia" w:eastAsiaTheme="minorEastAsia" w:cstheme="minorEastAsia"/>
          <w:sz w:val="24"/>
          <w:lang w:val="en-US" w:eastAsia="zh-CN"/>
        </w:rPr>
        <w:t>5.1陕西省政府采购信用担保及信用融资政策：</w:t>
      </w:r>
    </w:p>
    <w:p>
      <w:pPr>
        <w:spacing w:line="360" w:lineRule="auto"/>
        <w:ind w:firstLine="480" w:firstLineChars="200"/>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（1）为支持和促进中小企业发展，进一步发挥政府采购政策功能作用，有效缓解中小企业融资难等问题，根据财政部财库【2011】</w:t>
      </w:r>
      <w:r>
        <w:rPr>
          <w:rFonts w:hint="eastAsia" w:ascii="宋体" w:hAnsi="宋体" w:eastAsia="宋体" w:cs="Times New Roman"/>
          <w:sz w:val="24"/>
        </w:rPr>
        <w:t>124号文件的精神，陕西省财政厅制订了《陕西省政府采购信用担保试点工作实施方案（试行）》，为参与陕西省政府采购项目的</w:t>
      </w:r>
      <w:r>
        <w:rPr>
          <w:rFonts w:hint="eastAsia" w:ascii="宋体" w:hAnsi="宋体" w:eastAsia="宋体" w:cs="Times New Roman"/>
          <w:sz w:val="24"/>
          <w:lang w:eastAsia="zh-CN"/>
        </w:rPr>
        <w:t>供应商</w:t>
      </w:r>
      <w:r>
        <w:rPr>
          <w:rFonts w:hint="eastAsia" w:ascii="宋体" w:hAnsi="宋体" w:eastAsia="宋体" w:cs="Times New Roman"/>
          <w:sz w:val="24"/>
        </w:rPr>
        <w:t>提供政府采购信用担保，并按照程序确定了合作的担保机构。</w:t>
      </w:r>
      <w:r>
        <w:rPr>
          <w:rFonts w:hint="eastAsia" w:ascii="宋体" w:hAnsi="宋体" w:eastAsia="宋体" w:cs="Times New Roman"/>
          <w:sz w:val="24"/>
          <w:lang w:eastAsia="zh-CN"/>
        </w:rPr>
        <w:t>供应商</w:t>
      </w:r>
      <w:r>
        <w:rPr>
          <w:rFonts w:hint="eastAsia" w:ascii="宋体" w:hAnsi="宋体" w:eastAsia="宋体" w:cs="Times New Roman"/>
          <w:sz w:val="24"/>
        </w:rPr>
        <w:t>在缴纳投标保证金及</w:t>
      </w:r>
      <w:r>
        <w:rPr>
          <w:rFonts w:hint="eastAsia" w:ascii="宋体" w:hAnsi="宋体" w:eastAsia="宋体" w:cs="Times New Roman"/>
          <w:sz w:val="24"/>
          <w:lang w:eastAsia="zh-CN"/>
        </w:rPr>
        <w:t>成交</w:t>
      </w:r>
      <w:r>
        <w:rPr>
          <w:rFonts w:hint="eastAsia" w:ascii="宋体" w:hAnsi="宋体" w:eastAsia="宋体" w:cs="Times New Roman"/>
          <w:sz w:val="24"/>
        </w:rPr>
        <w:t>供应商缴纳履约保证金时</w:t>
      </w:r>
      <w:r>
        <w:rPr>
          <w:rFonts w:hint="eastAsia" w:ascii="宋体" w:hAnsi="宋体" w:eastAsia="宋体" w:cs="Times New Roman"/>
          <w:sz w:val="24"/>
          <w:lang w:val="en-US" w:eastAsia="zh-CN"/>
        </w:rPr>
        <w:t>可自愿选择通过担保机构保函的形式缴纳。</w:t>
      </w:r>
    </w:p>
    <w:p>
      <w:pPr>
        <w:spacing w:line="360" w:lineRule="auto"/>
        <w:ind w:firstLine="480" w:firstLineChars="200"/>
        <w:jc w:val="left"/>
        <w:rPr>
          <w:rFonts w:hint="eastAsia" w:ascii="宋体" w:hAnsi="宋体" w:eastAsia="宋体" w:cs="Times New Roman"/>
          <w:sz w:val="24"/>
          <w:lang w:val="en-US" w:eastAsia="zh-CN"/>
        </w:rPr>
      </w:pPr>
      <w:r>
        <w:rPr>
          <w:rFonts w:hint="eastAsia" w:ascii="宋体" w:hAnsi="宋体" w:eastAsia="宋体" w:cs="Times New Roman"/>
          <w:sz w:val="24"/>
          <w:lang w:val="en-US" w:eastAsia="zh-CN"/>
        </w:rPr>
        <w:t>（2）根据陕西省财政厅关于印发《陕西省中小企业政府采购信用融资办法》（陕财办采〔2018〕23号）和《陕西省财政厅关于加快推进我省中小企业政府采购信用融资工作的通知》（陕财办采〔2020〕15号）文件精神，有融资需求的供应商可根据自身情况，在陕西省政府采购信用融资平台（含各市分平台）自主选择金融机构及其融资产品，凭政府采购中标（成交）通知书或政府采购合同向金融机构提出融资申请。</w:t>
      </w:r>
    </w:p>
    <w:p>
      <w:pPr>
        <w:pStyle w:val="19"/>
        <w:rPr>
          <w:lang w:val="zh-CN"/>
        </w:rPr>
      </w:pPr>
    </w:p>
    <w:p>
      <w:pPr>
        <w:pStyle w:val="19"/>
        <w:rPr>
          <w:lang w:val="zh-CN"/>
        </w:rPr>
      </w:pPr>
      <w:r>
        <w:rPr>
          <w:lang w:val="zh-CN"/>
        </w:rPr>
        <w:br w:type="page"/>
      </w:r>
    </w:p>
    <w:p>
      <w:pPr>
        <w:pStyle w:val="4"/>
        <w:numPr>
          <w:ilvl w:val="0"/>
          <w:numId w:val="0"/>
        </w:numPr>
        <w:adjustRightInd w:val="0"/>
        <w:snapToGrid w:val="0"/>
        <w:spacing w:afterLines="50" w:line="360" w:lineRule="auto"/>
        <w:ind w:firstLine="1606" w:firstLineChars="500"/>
        <w:jc w:val="both"/>
        <w:rPr>
          <w:bCs/>
          <w:sz w:val="24"/>
        </w:rPr>
      </w:pPr>
      <w:bookmarkStart w:id="5" w:name="_Toc22384"/>
      <w:bookmarkStart w:id="6" w:name="_Toc22540"/>
      <w:bookmarkStart w:id="7" w:name="_Toc414957515"/>
      <w:bookmarkStart w:id="8" w:name="_Toc414957201"/>
      <w:r>
        <w:rPr>
          <w:rFonts w:hint="eastAsia" w:asciiTheme="majorEastAsia" w:hAnsiTheme="majorEastAsia" w:eastAsiaTheme="majorEastAsia" w:cstheme="majorEastAsia"/>
          <w:b/>
          <w:bCs/>
          <w:kern w:val="2"/>
          <w:sz w:val="32"/>
          <w:szCs w:val="32"/>
        </w:rPr>
        <w:t>第三章</w:t>
      </w:r>
      <w:bookmarkStart w:id="9" w:name="OLE_LINK11"/>
      <w:r>
        <w:rPr>
          <w:rFonts w:hint="eastAsia" w:asciiTheme="majorEastAsia" w:hAnsiTheme="majorEastAsia" w:eastAsiaTheme="majorEastAsia" w:cstheme="majorEastAsia"/>
          <w:b/>
          <w:bCs/>
          <w:kern w:val="2"/>
          <w:sz w:val="32"/>
          <w:szCs w:val="32"/>
        </w:rPr>
        <w:t>　磋商响应单位资格证明</w:t>
      </w:r>
      <w:bookmarkEnd w:id="9"/>
      <w:r>
        <w:rPr>
          <w:rFonts w:hint="eastAsia" w:asciiTheme="majorEastAsia" w:hAnsiTheme="majorEastAsia" w:eastAsiaTheme="majorEastAsia" w:cstheme="majorEastAsia"/>
          <w:b/>
          <w:bCs/>
          <w:kern w:val="2"/>
          <w:sz w:val="32"/>
          <w:szCs w:val="32"/>
        </w:rPr>
        <w:t>文件</w:t>
      </w:r>
      <w:bookmarkEnd w:id="5"/>
    </w:p>
    <w:p>
      <w:pPr>
        <w:pStyle w:val="3"/>
        <w:kinsoku w:val="0"/>
        <w:autoSpaceDE w:val="0"/>
        <w:autoSpaceDN w:val="0"/>
        <w:adjustRightInd w:val="0"/>
        <w:snapToGrid w:val="0"/>
        <w:spacing w:after="0" w:line="360" w:lineRule="auto"/>
        <w:ind w:left="0" w:leftChars="0"/>
        <w:rPr>
          <w:rFonts w:ascii="宋体" w:hAnsi="宋体" w:cs="宋体"/>
          <w:bCs/>
          <w:sz w:val="24"/>
        </w:rPr>
      </w:pPr>
      <w:r>
        <w:rPr>
          <w:bCs/>
          <w:sz w:val="24"/>
        </w:rPr>
        <w:t xml:space="preserve"> </w:t>
      </w:r>
      <w:r>
        <w:rPr>
          <w:rFonts w:hint="eastAsia" w:ascii="宋体" w:hAnsi="宋体" w:cs="宋体"/>
          <w:bCs/>
          <w:sz w:val="24"/>
        </w:rPr>
        <w:t xml:space="preserve">   1、磋商响应单位参加本次磋商必须提供以下资格证明文件： </w:t>
      </w:r>
    </w:p>
    <w:p>
      <w:pPr>
        <w:adjustRightInd w:val="0"/>
        <w:snapToGrid w:val="0"/>
        <w:spacing w:line="360" w:lineRule="auto"/>
        <w:rPr>
          <w:rFonts w:ascii="宋体" w:hAnsi="宋体" w:cs="宋体"/>
          <w:bCs/>
          <w:sz w:val="24"/>
        </w:rPr>
      </w:pPr>
      <w:r>
        <w:rPr>
          <w:rFonts w:hint="eastAsia" w:ascii="宋体" w:hAnsi="宋体" w:cs="宋体"/>
          <w:bCs/>
          <w:sz w:val="24"/>
        </w:rPr>
        <w:t>磋商响应单位除应具备《中华人民共和国政府采购法》第二十二条规定的条件外还需：</w:t>
      </w:r>
    </w:p>
    <w:p>
      <w:pPr>
        <w:overflowPunct w:val="0"/>
        <w:topLinePunct/>
        <w:spacing w:line="360" w:lineRule="auto"/>
        <w:rPr>
          <w:rFonts w:ascii="宋体" w:hAnsi="宋体" w:cs="宋体"/>
          <w:bCs/>
          <w:sz w:val="24"/>
        </w:rPr>
      </w:pPr>
      <w:r>
        <w:rPr>
          <w:rFonts w:hint="eastAsia" w:ascii="宋体" w:hAnsi="宋体" w:cs="宋体"/>
          <w:bCs/>
          <w:sz w:val="24"/>
        </w:rPr>
        <w:t>　　（1）、具有合格有效的企业法人营业执照、税务登记证、组织机构代码证（或三证合一营业执照）；</w:t>
      </w:r>
    </w:p>
    <w:p>
      <w:pPr>
        <w:spacing w:line="360" w:lineRule="auto"/>
        <w:ind w:firstLine="480" w:firstLineChars="200"/>
        <w:rPr>
          <w:rFonts w:ascii="宋体" w:hAnsi="宋体" w:cs="宋体"/>
          <w:bCs/>
          <w:sz w:val="24"/>
        </w:rPr>
      </w:pPr>
      <w:r>
        <w:rPr>
          <w:rFonts w:hint="eastAsia" w:ascii="宋体" w:hAnsi="宋体" w:cs="宋体"/>
          <w:bCs/>
          <w:sz w:val="24"/>
        </w:rPr>
        <w:t>（2）、磋商响应单位应授权合法的人员参加磋商全过程，其中法定代表人直接参加磋商的，须出具法人身份证，并与营业执照上信息一致。法定代表人授权代表参加磋商的，须出具法定代表人授权书及授权代表身份证；</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（3）、具备建设部门颁发的建筑工程施工总承包三级（含）以上资质，具有有效的安全生产许可证；</w:t>
      </w:r>
    </w:p>
    <w:p>
      <w:pPr>
        <w:adjustRightInd w:val="0"/>
        <w:snapToGrid w:val="0"/>
        <w:spacing w:line="360" w:lineRule="auto"/>
        <w:ind w:firstLine="480" w:firstLineChars="200"/>
        <w:rPr>
          <w:rFonts w:ascii="宋体" w:hAnsi="宋体" w:cs="宋体"/>
          <w:bCs/>
          <w:sz w:val="24"/>
        </w:rPr>
      </w:pPr>
      <w:r>
        <w:rPr>
          <w:rFonts w:hint="eastAsia" w:ascii="宋体" w:hAnsi="宋体" w:cs="宋体"/>
          <w:bCs/>
          <w:sz w:val="24"/>
        </w:rPr>
        <w:t>（4）、拟委派项目经理须具有相关专业贰级（含）以上注册建造师资质并具有安全生产考核合格证，在本单位注册且无在建工程；</w:t>
      </w:r>
    </w:p>
    <w:p>
      <w:pPr>
        <w:overflowPunct w:val="0"/>
        <w:topLinePunct/>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（5）、</w:t>
      </w:r>
      <w:r>
        <w:rPr>
          <w:rFonts w:hint="eastAsia" w:ascii="宋体" w:hAnsi="宋体" w:cs="宋体"/>
          <w:sz w:val="24"/>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r>
        <w:rPr>
          <w:rFonts w:hint="eastAsia" w:asciiTheme="minorEastAsia" w:hAnsiTheme="minorEastAsia" w:eastAsiaTheme="minorEastAsia" w:cstheme="minorEastAsia"/>
          <w:sz w:val="24"/>
        </w:rPr>
        <w:t>；</w:t>
      </w:r>
    </w:p>
    <w:p>
      <w:pPr>
        <w:overflowPunct w:val="0"/>
        <w:topLinePunct/>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（6）、税收缴纳证明：提供</w:t>
      </w:r>
      <w:r>
        <w:rPr>
          <w:rFonts w:hint="eastAsia" w:asciiTheme="minorEastAsia" w:hAnsiTheme="minorEastAsia" w:eastAsiaTheme="minorEastAsia" w:cstheme="minorEastAsia"/>
          <w:sz w:val="24"/>
          <w:lang w:eastAsia="zh-CN"/>
        </w:rPr>
        <w:t>2021年1月</w:t>
      </w:r>
      <w:r>
        <w:rPr>
          <w:rFonts w:hint="eastAsia" w:asciiTheme="minorEastAsia" w:hAnsiTheme="minorEastAsia" w:eastAsiaTheme="minorEastAsia" w:cstheme="minorEastAsia"/>
          <w:sz w:val="24"/>
        </w:rPr>
        <w:t>至今已缴纳的至少一个月的纳税证明或完税证明（任意税种），依法免税的单位应提供相关证明材料；</w:t>
      </w:r>
    </w:p>
    <w:p>
      <w:pPr>
        <w:overflowPunct w:val="0"/>
        <w:topLinePunct/>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（7）、社会保障资金缴纳证明：提供</w:t>
      </w:r>
      <w:r>
        <w:rPr>
          <w:rFonts w:hint="eastAsia" w:asciiTheme="minorEastAsia" w:hAnsiTheme="minorEastAsia" w:eastAsiaTheme="minorEastAsia" w:cstheme="minorEastAsia"/>
          <w:sz w:val="24"/>
          <w:lang w:eastAsia="zh-CN"/>
        </w:rPr>
        <w:t>2021年1月</w:t>
      </w:r>
      <w:r>
        <w:rPr>
          <w:rFonts w:hint="eastAsia" w:asciiTheme="minorEastAsia" w:hAnsiTheme="minorEastAsia" w:eastAsiaTheme="minorEastAsia" w:cstheme="minorEastAsia"/>
          <w:sz w:val="24"/>
        </w:rPr>
        <w:t>至今已缴存的至少一个月的社会保障资金缴存单据或社保机构开具的社会保险参保缴费情况证明，依法不需要缴纳社会保障资金的单位应提供相关证明材料；</w:t>
      </w:r>
    </w:p>
    <w:p>
      <w:pPr>
        <w:overflowPunct w:val="0"/>
        <w:topLinePunct/>
        <w:spacing w:line="360" w:lineRule="auto"/>
        <w:ind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（8）、财务状况报告：提供供应商2019年经审计的财务报告或磋商前三个月内开户银行开具的资信证明；</w:t>
      </w:r>
    </w:p>
    <w:p>
      <w:pPr>
        <w:pStyle w:val="9"/>
        <w:spacing w:line="360" w:lineRule="auto"/>
        <w:ind w:firstLine="480"/>
        <w:rPr>
          <w:rFonts w:ascii="宋体" w:hAnsi="宋体"/>
          <w:kern w:val="0"/>
          <w:sz w:val="24"/>
        </w:rPr>
      </w:pPr>
      <w:r>
        <w:rPr>
          <w:rFonts w:hint="eastAsia" w:ascii="宋体" w:hAnsi="宋体"/>
          <w:kern w:val="0"/>
          <w:sz w:val="24"/>
        </w:rPr>
        <w:t>（9）、参加政府采购活动前三年内，在经营活动中没有重大违法记录的书面声明；</w:t>
      </w:r>
    </w:p>
    <w:p>
      <w:pPr>
        <w:pStyle w:val="9"/>
        <w:spacing w:line="360" w:lineRule="auto"/>
        <w:ind w:firstLine="480"/>
        <w:rPr>
          <w:rFonts w:ascii="宋体" w:hAnsi="宋体"/>
          <w:kern w:val="0"/>
          <w:sz w:val="24"/>
        </w:rPr>
      </w:pPr>
      <w:r>
        <w:rPr>
          <w:rFonts w:hint="eastAsia" w:ascii="宋体" w:hAnsi="宋体"/>
          <w:kern w:val="0"/>
          <w:sz w:val="24"/>
        </w:rPr>
        <w:t>（10）</w:t>
      </w:r>
      <w:r>
        <w:rPr>
          <w:rFonts w:hint="eastAsia" w:asciiTheme="minorEastAsia" w:hAnsiTheme="minorEastAsia" w:eastAsiaTheme="minorEastAsia" w:cstheme="minorEastAsia"/>
          <w:sz w:val="24"/>
        </w:rPr>
        <w:t>、</w:t>
      </w:r>
      <w:r>
        <w:rPr>
          <w:rFonts w:hint="eastAsia" w:ascii="宋体" w:hAnsi="宋体"/>
          <w:kern w:val="0"/>
          <w:sz w:val="24"/>
        </w:rPr>
        <w:t>磋商响应单位负责人不得为同一人或者存在控股、 管理关系。</w:t>
      </w:r>
    </w:p>
    <w:p>
      <w:pPr>
        <w:adjustRightInd w:val="0"/>
        <w:snapToGrid w:val="0"/>
        <w:spacing w:line="360" w:lineRule="auto"/>
        <w:rPr>
          <w:rFonts w:ascii="宋体" w:hAnsi="宋体" w:cs="宋体"/>
          <w:bCs/>
          <w:sz w:val="24"/>
        </w:rPr>
      </w:pPr>
      <w:r>
        <w:rPr>
          <w:rFonts w:hint="eastAsia" w:ascii="宋体" w:hAnsi="宋体" w:cs="宋体"/>
          <w:bCs/>
          <w:sz w:val="24"/>
        </w:rPr>
        <w:t xml:space="preserve">    2、说明：</w:t>
      </w:r>
    </w:p>
    <w:p>
      <w:pPr>
        <w:adjustRightInd w:val="0"/>
        <w:snapToGrid w:val="0"/>
        <w:spacing w:line="360" w:lineRule="auto"/>
        <w:rPr>
          <w:rFonts w:ascii="宋体" w:hAnsi="宋体" w:cs="宋体"/>
          <w:sz w:val="24"/>
        </w:rPr>
      </w:pPr>
      <w:r>
        <w:rPr>
          <w:rFonts w:hint="eastAsia" w:ascii="宋体" w:hAnsi="宋体" w:cs="宋体"/>
          <w:bCs/>
          <w:spacing w:val="-4"/>
          <w:kern w:val="24"/>
          <w:sz w:val="24"/>
        </w:rPr>
        <w:t>2.1 上述资料项为必备资质，在响应文件中</w:t>
      </w:r>
      <w:r>
        <w:rPr>
          <w:rFonts w:hint="eastAsia" w:ascii="宋体" w:hAnsi="宋体" w:cs="宋体"/>
          <w:bCs/>
          <w:sz w:val="24"/>
        </w:rPr>
        <w:t>附原件或复印件加盖磋商响应单位公章。</w:t>
      </w:r>
    </w:p>
    <w:p>
      <w:pPr>
        <w:snapToGrid w:val="0"/>
        <w:spacing w:after="120" w:line="360" w:lineRule="auto"/>
        <w:jc w:val="center"/>
        <w:outlineLvl w:val="0"/>
        <w:rPr>
          <w:rFonts w:asciiTheme="majorEastAsia" w:hAnsiTheme="majorEastAsia" w:eastAsiaTheme="majorEastAsia" w:cstheme="majorEastAsia"/>
          <w:b/>
          <w:bCs/>
          <w:sz w:val="30"/>
          <w:szCs w:val="30"/>
        </w:rPr>
      </w:pPr>
      <w:r>
        <w:rPr>
          <w:b/>
          <w:bCs/>
          <w:sz w:val="30"/>
          <w:szCs w:val="30"/>
        </w:rPr>
        <w:br w:type="page"/>
      </w:r>
      <w:bookmarkStart w:id="10" w:name="_Toc23091"/>
      <w:r>
        <w:rPr>
          <w:rFonts w:hint="eastAsia" w:asciiTheme="majorEastAsia" w:hAnsiTheme="majorEastAsia" w:eastAsiaTheme="majorEastAsia" w:cstheme="majorEastAsia"/>
          <w:b/>
          <w:bCs/>
          <w:sz w:val="32"/>
          <w:szCs w:val="32"/>
        </w:rPr>
        <w:t>第四章　磋商及评审</w:t>
      </w:r>
      <w:bookmarkEnd w:id="6"/>
      <w:bookmarkEnd w:id="7"/>
      <w:bookmarkEnd w:id="8"/>
      <w:r>
        <w:rPr>
          <w:rFonts w:hint="eastAsia" w:asciiTheme="majorEastAsia" w:hAnsiTheme="majorEastAsia" w:eastAsiaTheme="majorEastAsia" w:cstheme="majorEastAsia"/>
          <w:b/>
          <w:bCs/>
          <w:sz w:val="32"/>
          <w:szCs w:val="32"/>
        </w:rPr>
        <w:t>办法</w:t>
      </w:r>
      <w:bookmarkEnd w:id="10"/>
    </w:p>
    <w:p>
      <w:pPr>
        <w:adjustRightInd w:val="0"/>
        <w:snapToGrid w:val="0"/>
        <w:spacing w:line="360" w:lineRule="auto"/>
        <w:ind w:firstLine="480" w:firstLineChars="200"/>
        <w:rPr>
          <w:rFonts w:ascii="宋体" w:hAnsi="宋体" w:cs="宋体"/>
          <w:sz w:val="24"/>
        </w:rPr>
      </w:pPr>
      <w:r>
        <w:rPr>
          <w:rFonts w:hint="eastAsia" w:ascii="宋体" w:hAnsi="宋体" w:cs="宋体"/>
          <w:sz w:val="24"/>
        </w:rPr>
        <w:t>1、总则</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 xml:space="preserve">根据《政府采购竞争性磋商采购方式管理暂行办法》等法律规章，结合采购项目特点制定本磋商办法。                                                                                                                                                                                                                                                                                                                                                                                                                                                                                                           </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2、磋商小组</w:t>
      </w:r>
    </w:p>
    <w:p>
      <w:pPr>
        <w:adjustRightInd w:val="0"/>
        <w:snapToGrid w:val="0"/>
        <w:spacing w:line="360" w:lineRule="auto"/>
        <w:rPr>
          <w:rFonts w:ascii="宋体" w:hAnsi="宋体" w:cs="宋体"/>
          <w:sz w:val="24"/>
        </w:rPr>
      </w:pPr>
      <w:r>
        <w:rPr>
          <w:rFonts w:hint="eastAsia" w:ascii="宋体" w:hAnsi="宋体" w:cs="宋体"/>
          <w:sz w:val="24"/>
        </w:rPr>
        <w:t>　　2.1 磋商小组组成：在磋商开始前，组建磋商小组，磋商小组由采购人代表和有关专业评审专家共3人以上单数组成，其中评审专家人数不得少于磋商小组成员总数的2/3。</w:t>
      </w:r>
    </w:p>
    <w:p>
      <w:pPr>
        <w:adjustRightInd w:val="0"/>
        <w:snapToGrid w:val="0"/>
        <w:spacing w:line="360" w:lineRule="auto"/>
        <w:rPr>
          <w:rFonts w:ascii="宋体" w:hAnsi="宋体" w:cs="宋体"/>
          <w:sz w:val="24"/>
        </w:rPr>
      </w:pPr>
      <w:r>
        <w:rPr>
          <w:rFonts w:hint="eastAsia" w:ascii="宋体" w:hAnsi="宋体" w:cs="宋体"/>
          <w:sz w:val="24"/>
        </w:rPr>
        <w:t>　　2.2 磋商小组按照磋商文件规定的磋商方法和评审标准进行磋商、评审，并独立履行下列职责：</w:t>
      </w:r>
    </w:p>
    <w:p>
      <w:pPr>
        <w:adjustRightInd w:val="0"/>
        <w:snapToGrid w:val="0"/>
        <w:spacing w:line="360" w:lineRule="auto"/>
        <w:rPr>
          <w:rFonts w:ascii="宋体" w:hAnsi="宋体" w:cs="宋体"/>
          <w:sz w:val="24"/>
        </w:rPr>
      </w:pPr>
      <w:r>
        <w:rPr>
          <w:rFonts w:hint="eastAsia" w:ascii="宋体" w:hAnsi="宋体" w:cs="宋体"/>
          <w:sz w:val="24"/>
        </w:rPr>
        <w:t xml:space="preserve">   （1）审查磋商响应文件是否符合磋商文件要求，并作出评价；</w:t>
      </w:r>
    </w:p>
    <w:p>
      <w:pPr>
        <w:adjustRightInd w:val="0"/>
        <w:snapToGrid w:val="0"/>
        <w:spacing w:line="360" w:lineRule="auto"/>
        <w:rPr>
          <w:rFonts w:ascii="宋体" w:hAnsi="宋体" w:cs="宋体"/>
          <w:sz w:val="24"/>
        </w:rPr>
      </w:pPr>
      <w:r>
        <w:rPr>
          <w:rFonts w:hint="eastAsia" w:ascii="宋体" w:hAnsi="宋体" w:cs="宋体"/>
          <w:sz w:val="24"/>
        </w:rPr>
        <w:t xml:space="preserve">   （2）要求磋商响应单位对其文件有关事项作出解释或者澄清；</w:t>
      </w:r>
    </w:p>
    <w:p>
      <w:pPr>
        <w:adjustRightInd w:val="0"/>
        <w:snapToGrid w:val="0"/>
        <w:spacing w:line="360" w:lineRule="auto"/>
        <w:rPr>
          <w:rFonts w:ascii="宋体" w:hAnsi="宋体" w:cs="宋体"/>
          <w:sz w:val="24"/>
        </w:rPr>
      </w:pPr>
      <w:r>
        <w:rPr>
          <w:rFonts w:hint="eastAsia" w:ascii="宋体" w:hAnsi="宋体" w:cs="宋体"/>
          <w:sz w:val="24"/>
        </w:rPr>
        <w:t xml:space="preserve">   （3）推荐成交候选磋商响应单位名单；</w:t>
      </w:r>
    </w:p>
    <w:p>
      <w:pPr>
        <w:adjustRightInd w:val="0"/>
        <w:snapToGrid w:val="0"/>
        <w:spacing w:line="360" w:lineRule="auto"/>
        <w:rPr>
          <w:rFonts w:ascii="宋体" w:hAnsi="宋体" w:cs="宋体"/>
          <w:sz w:val="24"/>
        </w:rPr>
      </w:pPr>
      <w:r>
        <w:rPr>
          <w:rFonts w:hint="eastAsia" w:ascii="宋体" w:hAnsi="宋体" w:cs="宋体"/>
          <w:sz w:val="24"/>
        </w:rPr>
        <w:t xml:space="preserve">   （4）向采购单位或者有关部门报告非法干预磋商工作的行为。</w:t>
      </w:r>
    </w:p>
    <w:p>
      <w:pPr>
        <w:adjustRightInd w:val="0"/>
        <w:snapToGrid w:val="0"/>
        <w:spacing w:line="360" w:lineRule="auto"/>
        <w:rPr>
          <w:rFonts w:ascii="宋体" w:hAnsi="宋体" w:cs="宋体"/>
          <w:sz w:val="24"/>
        </w:rPr>
      </w:pPr>
      <w:r>
        <w:rPr>
          <w:rFonts w:hint="eastAsia" w:ascii="宋体" w:hAnsi="宋体" w:cs="宋体"/>
          <w:sz w:val="24"/>
        </w:rPr>
        <w:t xml:space="preserve">   （5）解答有关方面对政府采购评审工作中有关问题的询问，配合采购人或者政府采购代理机构答复磋商响应单位质疑，配合财政部门的投诉处理工作等事宜。</w:t>
      </w:r>
    </w:p>
    <w:p>
      <w:pPr>
        <w:adjustRightInd w:val="0"/>
        <w:snapToGrid w:val="0"/>
        <w:spacing w:line="360" w:lineRule="auto"/>
        <w:rPr>
          <w:rFonts w:ascii="宋体" w:hAnsi="宋体" w:cs="宋体"/>
          <w:sz w:val="24"/>
        </w:rPr>
      </w:pPr>
      <w:r>
        <w:rPr>
          <w:rFonts w:hint="eastAsia" w:ascii="宋体" w:hAnsi="宋体" w:cs="宋体"/>
          <w:sz w:val="24"/>
        </w:rPr>
        <w:t xml:space="preserve">   （6）法律、法规和规章规定的其他义务。</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3、评标办法</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3.1 采用综合评审法。</w:t>
      </w:r>
    </w:p>
    <w:p>
      <w:pPr>
        <w:autoSpaceDE w:val="0"/>
        <w:autoSpaceDN w:val="0"/>
        <w:adjustRightInd w:val="0"/>
        <w:snapToGrid w:val="0"/>
        <w:spacing w:line="360" w:lineRule="auto"/>
        <w:ind w:firstLine="480" w:firstLineChars="200"/>
        <w:rPr>
          <w:rFonts w:ascii="宋体" w:hAnsi="宋体" w:cs="宋体"/>
          <w:sz w:val="24"/>
        </w:rPr>
      </w:pPr>
      <w:r>
        <w:rPr>
          <w:rFonts w:hint="eastAsia" w:ascii="宋体" w:hAnsi="宋体" w:cs="宋体"/>
          <w:sz w:val="24"/>
        </w:rPr>
        <w:t>3.2 评审程序：初步评审、磋商、详细评审。每一步评审不符合者，不进入下一步评审。</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4、初步评审及无效投标文件评定</w:t>
      </w:r>
    </w:p>
    <w:p>
      <w:pPr>
        <w:pStyle w:val="17"/>
        <w:widowControl/>
        <w:adjustRightInd w:val="0"/>
        <w:snapToGrid w:val="0"/>
        <w:spacing w:line="360" w:lineRule="auto"/>
        <w:ind w:firstLine="480" w:firstLineChars="200"/>
        <w:jc w:val="both"/>
        <w:rPr>
          <w:rFonts w:ascii="宋体" w:hAnsi="宋体" w:cs="宋体"/>
          <w:sz w:val="24"/>
        </w:rPr>
      </w:pPr>
      <w:r>
        <w:rPr>
          <w:rFonts w:hint="eastAsia" w:ascii="宋体" w:hAnsi="宋体" w:cs="宋体"/>
          <w:sz w:val="24"/>
        </w:rPr>
        <w:t>4.1初步评审分为资格性审查和符合性审查。</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4.2无效磋商响应文件评定</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（1）磋商响应单位没有经过正常渠道购买磋商文件或磋商响应单位的名称与登记领取磋商文件单位的名称或与营业执照不符；</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（2）响应文件中未提交法定代表人授权书（法定代表人直接投标未按要求提交其有效身份证）或授权书的合法性或有效性不符合磋商文件规定。</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（4）响应文件未按招标文件的规定进行签署、盖章的；响应文件份数不符合磋商文件规定的；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（5）不具备磋商文件中规定的资格要求的或证明文件不齐全的；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（6）报价超过规定的最高限价的；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（7）响应文件中含有采购人不能接受的附加条件的;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（8）无磋商有效期或磋商有效期不足的；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（9）磋商内容出现严重漏项或数量与要求不符的；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（10）报价明显低于其他通过符合性审查磋商响应单位的报价，且在现场规定的时间内不能提供有效证明材料、经评委认定形成不正当竞争的。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（11）提供虚假证明，开具虚假资质，出现虚假应答或故意隐瞒行为，除按无效标处理外，还进行相应的处罚。</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（12）不符合法律、法规和磋商文件规定的其他实质性要求的。</w:t>
      </w:r>
    </w:p>
    <w:p>
      <w:pPr>
        <w:pStyle w:val="9"/>
        <w:spacing w:line="360" w:lineRule="auto"/>
        <w:ind w:firstLine="480"/>
        <w:rPr>
          <w:rFonts w:ascii="宋体" w:hAnsi="宋体" w:cs="宋体"/>
          <w:sz w:val="24"/>
        </w:rPr>
      </w:pPr>
      <w:r>
        <w:rPr>
          <w:rFonts w:hint="eastAsia" w:ascii="宋体" w:hAnsi="宋体" w:cs="宋体"/>
          <w:sz w:val="24"/>
        </w:rPr>
        <w:t>（13）被列入失信被执行人、重大税收违法案件当事人名单、政府采购严重违法失信行为记录名单的单位。</w:t>
      </w:r>
    </w:p>
    <w:p>
      <w:pPr>
        <w:adjustRightInd w:val="0"/>
        <w:snapToGrid w:val="0"/>
        <w:spacing w:line="360" w:lineRule="auto"/>
        <w:ind w:firstLine="480" w:firstLineChars="200"/>
        <w:rPr>
          <w:sz w:val="24"/>
        </w:rPr>
      </w:pPr>
    </w:p>
    <w:p>
      <w:pPr>
        <w:adjustRightInd w:val="0"/>
        <w:snapToGrid w:val="0"/>
        <w:spacing w:line="324" w:lineRule="auto"/>
        <w:jc w:val="center"/>
        <w:outlineLvl w:val="1"/>
        <w:rPr>
          <w:b/>
          <w:bCs/>
          <w:spacing w:val="-6"/>
          <w:sz w:val="24"/>
        </w:rPr>
      </w:pPr>
      <w:r>
        <w:rPr>
          <w:b/>
          <w:bCs/>
          <w:spacing w:val="-6"/>
          <w:sz w:val="24"/>
        </w:rPr>
        <w:br w:type="page"/>
      </w:r>
      <w:r>
        <w:rPr>
          <w:b/>
          <w:bCs/>
          <w:spacing w:val="-6"/>
          <w:sz w:val="24"/>
        </w:rPr>
        <w:t>初步审查标准</w:t>
      </w:r>
    </w:p>
    <w:tbl>
      <w:tblPr>
        <w:tblStyle w:val="48"/>
        <w:tblpPr w:leftFromText="180" w:rightFromText="180" w:vertAnchor="text" w:horzAnchor="page" w:tblpX="1607" w:tblpY="426"/>
        <w:tblOverlap w:val="never"/>
        <w:tblW w:w="9220"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57"/>
        <w:gridCol w:w="618"/>
        <w:gridCol w:w="2153"/>
        <w:gridCol w:w="5429"/>
        <w:gridCol w:w="46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08" w:hRule="atLeast"/>
        </w:trPr>
        <w:tc>
          <w:tcPr>
            <w:tcW w:w="1175" w:type="dxa"/>
            <w:gridSpan w:val="2"/>
            <w:vAlign w:val="center"/>
          </w:tcPr>
          <w:p>
            <w:pPr>
              <w:spacing w:line="273" w:lineRule="auto"/>
              <w:jc w:val="center"/>
              <w:rPr>
                <w:b/>
                <w:bCs/>
                <w:sz w:val="24"/>
              </w:rPr>
            </w:pPr>
            <w:r>
              <w:rPr>
                <w:b/>
                <w:bCs/>
                <w:sz w:val="24"/>
              </w:rPr>
              <w:t>条款号</w:t>
            </w:r>
          </w:p>
        </w:tc>
        <w:tc>
          <w:tcPr>
            <w:tcW w:w="2153" w:type="dxa"/>
            <w:vAlign w:val="center"/>
          </w:tcPr>
          <w:p>
            <w:pPr>
              <w:jc w:val="center"/>
              <w:rPr>
                <w:b/>
                <w:bCs/>
                <w:sz w:val="24"/>
              </w:rPr>
            </w:pPr>
            <w:r>
              <w:rPr>
                <w:b/>
                <w:bCs/>
                <w:sz w:val="24"/>
              </w:rPr>
              <w:t>审查因素</w:t>
            </w:r>
          </w:p>
        </w:tc>
        <w:tc>
          <w:tcPr>
            <w:tcW w:w="5429" w:type="dxa"/>
            <w:vAlign w:val="center"/>
          </w:tcPr>
          <w:p>
            <w:pPr>
              <w:jc w:val="center"/>
              <w:rPr>
                <w:b/>
                <w:bCs/>
                <w:sz w:val="24"/>
              </w:rPr>
            </w:pPr>
            <w:r>
              <w:rPr>
                <w:b/>
                <w:bCs/>
                <w:sz w:val="24"/>
              </w:rPr>
              <w:t>审查标准</w:t>
            </w:r>
          </w:p>
        </w:tc>
        <w:tc>
          <w:tcPr>
            <w:tcW w:w="463" w:type="dxa"/>
            <w:vAlign w:val="center"/>
          </w:tcPr>
          <w:p>
            <w:pPr>
              <w:jc w:val="center"/>
              <w:rPr>
                <w:b/>
                <w:bCs/>
                <w:sz w:val="24"/>
              </w:rPr>
            </w:pPr>
            <w:r>
              <w:rPr>
                <w:b/>
                <w:bCs/>
                <w:sz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4" w:hRule="atLeast"/>
        </w:trPr>
        <w:tc>
          <w:tcPr>
            <w:tcW w:w="557" w:type="dxa"/>
            <w:vMerge w:val="restart"/>
            <w:vAlign w:val="center"/>
          </w:tcPr>
          <w:p>
            <w:pPr>
              <w:spacing w:line="273" w:lineRule="auto"/>
              <w:jc w:val="center"/>
              <w:rPr>
                <w:b/>
                <w:bCs/>
                <w:sz w:val="24"/>
              </w:rPr>
            </w:pPr>
            <w:r>
              <w:rPr>
                <w:b/>
                <w:bCs/>
                <w:sz w:val="24"/>
              </w:rPr>
              <w:t>3.1</w:t>
            </w:r>
          </w:p>
        </w:tc>
        <w:tc>
          <w:tcPr>
            <w:tcW w:w="618" w:type="dxa"/>
            <w:vMerge w:val="restart"/>
            <w:vAlign w:val="center"/>
          </w:tcPr>
          <w:p>
            <w:pPr>
              <w:jc w:val="center"/>
              <w:rPr>
                <w:sz w:val="24"/>
              </w:rPr>
            </w:pPr>
            <w:r>
              <w:rPr>
                <w:sz w:val="24"/>
              </w:rPr>
              <w:t>资格</w:t>
            </w:r>
          </w:p>
          <w:p>
            <w:pPr>
              <w:jc w:val="center"/>
              <w:rPr>
                <w:sz w:val="24"/>
              </w:rPr>
            </w:pPr>
            <w:r>
              <w:rPr>
                <w:sz w:val="24"/>
              </w:rPr>
              <w:t>审查</w:t>
            </w:r>
          </w:p>
          <w:p>
            <w:pPr>
              <w:jc w:val="center"/>
              <w:rPr>
                <w:b/>
                <w:bCs/>
                <w:sz w:val="24"/>
              </w:rPr>
            </w:pPr>
            <w:r>
              <w:rPr>
                <w:sz w:val="24"/>
              </w:rPr>
              <w:t>标准</w:t>
            </w:r>
          </w:p>
        </w:tc>
        <w:tc>
          <w:tcPr>
            <w:tcW w:w="2153" w:type="dxa"/>
            <w:vAlign w:val="center"/>
          </w:tcPr>
          <w:p>
            <w:pPr>
              <w:spacing w:line="360" w:lineRule="auto"/>
              <w:jc w:val="center"/>
              <w:rPr>
                <w:rFonts w:ascii="宋体" w:hAnsi="宋体" w:cs="宋体"/>
                <w:sz w:val="24"/>
              </w:rPr>
            </w:pPr>
            <w:r>
              <w:rPr>
                <w:rFonts w:hint="eastAsia" w:ascii="宋体" w:hAnsi="宋体" w:cs="宋体"/>
                <w:sz w:val="24"/>
              </w:rPr>
              <w:t>营业执照（副本）</w:t>
            </w:r>
          </w:p>
        </w:tc>
        <w:tc>
          <w:tcPr>
            <w:tcW w:w="5429" w:type="dxa"/>
            <w:vAlign w:val="center"/>
          </w:tcPr>
          <w:p>
            <w:pPr>
              <w:spacing w:line="360" w:lineRule="auto"/>
              <w:rPr>
                <w:rFonts w:ascii="宋体" w:hAnsi="宋体" w:cs="宋体"/>
                <w:sz w:val="24"/>
              </w:rPr>
            </w:pPr>
            <w:r>
              <w:rPr>
                <w:rFonts w:hint="eastAsia" w:ascii="宋体" w:hAnsi="宋体" w:cs="宋体"/>
                <w:sz w:val="24"/>
              </w:rPr>
              <w:t>具有合格有效的企业法人营业执照、税务登记证、组织机构代码证（或三证合一营业执照）</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1"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磋商响应单位代表身份</w:t>
            </w:r>
          </w:p>
        </w:tc>
        <w:tc>
          <w:tcPr>
            <w:tcW w:w="5429" w:type="dxa"/>
            <w:vAlign w:val="center"/>
          </w:tcPr>
          <w:p>
            <w:pPr>
              <w:spacing w:line="360" w:lineRule="auto"/>
              <w:rPr>
                <w:rFonts w:ascii="宋体" w:hAnsi="宋体" w:cs="宋体"/>
                <w:sz w:val="24"/>
              </w:rPr>
            </w:pPr>
            <w:r>
              <w:rPr>
                <w:rFonts w:hint="eastAsia" w:ascii="宋体" w:hAnsi="宋体" w:cs="宋体"/>
                <w:sz w:val="24"/>
              </w:rPr>
              <w:t>有效的法定代表人授权书及法定代表人证明书（法定代表人投标时不需提供授权书）</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2"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企业资质</w:t>
            </w:r>
          </w:p>
        </w:tc>
        <w:tc>
          <w:tcPr>
            <w:tcW w:w="5429" w:type="dxa"/>
            <w:vAlign w:val="center"/>
          </w:tcPr>
          <w:p>
            <w:pPr>
              <w:spacing w:line="360" w:lineRule="auto"/>
              <w:rPr>
                <w:rFonts w:ascii="宋体" w:hAnsi="宋体" w:cs="宋体"/>
                <w:sz w:val="24"/>
              </w:rPr>
            </w:pPr>
            <w:r>
              <w:rPr>
                <w:rFonts w:hint="eastAsia" w:ascii="宋体" w:hAnsi="宋体" w:cs="宋体"/>
                <w:sz w:val="24"/>
              </w:rPr>
              <w:t>具备建设部门颁发合法有效的建筑工程施工总承包三级及以上资质，具有有效的安全生产许可证</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4"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项目经理</w:t>
            </w:r>
          </w:p>
        </w:tc>
        <w:tc>
          <w:tcPr>
            <w:tcW w:w="5429" w:type="dxa"/>
            <w:vAlign w:val="center"/>
          </w:tcPr>
          <w:p>
            <w:pPr>
              <w:spacing w:line="360" w:lineRule="auto"/>
              <w:rPr>
                <w:rFonts w:ascii="宋体" w:hAnsi="宋体" w:cs="宋体"/>
                <w:sz w:val="24"/>
              </w:rPr>
            </w:pPr>
            <w:r>
              <w:rPr>
                <w:rFonts w:hint="eastAsia" w:ascii="宋体" w:hAnsi="宋体" w:cs="宋体"/>
                <w:sz w:val="24"/>
              </w:rPr>
              <w:t>具有相关专业贰级（含）以上注册建造师资质并具有安全生产考核合格证，在本单位注册且无在建工程证明</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1"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供应商</w:t>
            </w:r>
          </w:p>
        </w:tc>
        <w:tc>
          <w:tcPr>
            <w:tcW w:w="5429" w:type="dxa"/>
            <w:vAlign w:val="center"/>
          </w:tcPr>
          <w:p>
            <w:pPr>
              <w:spacing w:line="360" w:lineRule="auto"/>
              <w:rPr>
                <w:rFonts w:ascii="宋体" w:hAnsi="宋体" w:cs="宋体"/>
                <w:sz w:val="24"/>
              </w:rPr>
            </w:pPr>
            <w:r>
              <w:rPr>
                <w:rFonts w:hint="eastAsia" w:ascii="宋体" w:hAnsi="宋体" w:cs="宋体"/>
                <w:sz w:val="24"/>
              </w:rPr>
              <w:t>供应商不得为“信用中国”网站（www.creditchina.gov.cn）中列入失信被执行人和重大税收违法案件当事人名单的供应商，不得为中国政府采购网（www.ccgp.gov.cn）政府采购严重违法失信行为记录名单中被财政部门禁止参加政府采购活动的供应商</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3"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税收缴纳证明</w:t>
            </w:r>
          </w:p>
        </w:tc>
        <w:tc>
          <w:tcPr>
            <w:tcW w:w="5429" w:type="dxa"/>
            <w:vAlign w:val="center"/>
          </w:tcPr>
          <w:p>
            <w:pPr>
              <w:spacing w:line="360" w:lineRule="auto"/>
              <w:jc w:val="left"/>
              <w:rPr>
                <w:rFonts w:ascii="宋体" w:hAnsi="宋体" w:cs="宋体"/>
                <w:sz w:val="24"/>
              </w:rPr>
            </w:pPr>
            <w:r>
              <w:rPr>
                <w:rFonts w:hint="eastAsia" w:ascii="宋体" w:hAnsi="宋体" w:cs="宋体"/>
                <w:sz w:val="24"/>
              </w:rPr>
              <w:t>提供</w:t>
            </w:r>
            <w:r>
              <w:rPr>
                <w:rFonts w:hint="eastAsia" w:ascii="宋体" w:hAnsi="宋体" w:cs="宋体"/>
                <w:sz w:val="24"/>
                <w:lang w:eastAsia="zh-CN"/>
              </w:rPr>
              <w:t>2021年1月</w:t>
            </w:r>
            <w:r>
              <w:rPr>
                <w:rFonts w:hint="eastAsia" w:ascii="宋体" w:hAnsi="宋体" w:cs="宋体"/>
                <w:sz w:val="24"/>
              </w:rPr>
              <w:t>至今已缴纳的至少一个月的纳税证明或完税证明（任意税种），依法免税的单位应提供相关证明材料</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383"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sz w:val="24"/>
              </w:rPr>
            </w:pPr>
            <w:r>
              <w:rPr>
                <w:rFonts w:hint="eastAsia" w:ascii="宋体" w:hAnsi="宋体" w:cs="宋体"/>
                <w:sz w:val="24"/>
              </w:rPr>
              <w:t>社会保障资金缴纳证明</w:t>
            </w:r>
          </w:p>
        </w:tc>
        <w:tc>
          <w:tcPr>
            <w:tcW w:w="5429" w:type="dxa"/>
            <w:vAlign w:val="center"/>
          </w:tcPr>
          <w:p>
            <w:pPr>
              <w:spacing w:line="360" w:lineRule="auto"/>
              <w:jc w:val="left"/>
              <w:rPr>
                <w:rFonts w:ascii="宋体" w:hAnsi="宋体" w:cs="宋体"/>
                <w:sz w:val="24"/>
              </w:rPr>
            </w:pPr>
            <w:r>
              <w:rPr>
                <w:rFonts w:hint="eastAsia" w:ascii="宋体" w:hAnsi="宋体" w:cs="宋体"/>
                <w:sz w:val="24"/>
              </w:rPr>
              <w:t>提供</w:t>
            </w:r>
            <w:r>
              <w:rPr>
                <w:rFonts w:hint="eastAsia" w:ascii="宋体" w:hAnsi="宋体" w:cs="宋体"/>
                <w:sz w:val="24"/>
                <w:lang w:eastAsia="zh-CN"/>
              </w:rPr>
              <w:t>2021年1月</w:t>
            </w:r>
            <w:r>
              <w:rPr>
                <w:rFonts w:hint="eastAsia" w:ascii="宋体" w:hAnsi="宋体" w:cs="宋体"/>
                <w:sz w:val="24"/>
              </w:rPr>
              <w:t>至今已缴存的至少一个月的社会保障资金缴存单据或社保机构开具的社会保险参保缴费情况证明，依法不需要缴纳社会保障资金的单位应提供相关证明材料；</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83"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kern w:val="0"/>
                <w:sz w:val="24"/>
              </w:rPr>
            </w:pPr>
            <w:r>
              <w:rPr>
                <w:rFonts w:hint="eastAsia" w:ascii="宋体" w:hAnsi="宋体" w:cs="宋体"/>
                <w:kern w:val="0"/>
                <w:sz w:val="24"/>
              </w:rPr>
              <w:t>财务状况</w:t>
            </w:r>
          </w:p>
        </w:tc>
        <w:tc>
          <w:tcPr>
            <w:tcW w:w="5429" w:type="dxa"/>
            <w:vAlign w:val="center"/>
          </w:tcPr>
          <w:p>
            <w:pPr>
              <w:spacing w:line="360" w:lineRule="auto"/>
              <w:rPr>
                <w:rFonts w:ascii="宋体" w:hAnsi="宋体" w:cs="宋体"/>
                <w:bCs/>
                <w:sz w:val="24"/>
              </w:rPr>
            </w:pPr>
            <w:r>
              <w:rPr>
                <w:rFonts w:hint="eastAsia" w:ascii="宋体" w:hAnsi="宋体" w:cs="宋体"/>
                <w:bCs/>
                <w:sz w:val="24"/>
              </w:rPr>
              <w:t>提供供应商2019年经审计的财务报告或磋商前三个月内开户银行开具的资信证明；</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7"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kern w:val="0"/>
                <w:sz w:val="24"/>
              </w:rPr>
            </w:pPr>
            <w:r>
              <w:rPr>
                <w:rFonts w:hint="eastAsia" w:ascii="宋体" w:hAnsi="宋体" w:cs="宋体"/>
                <w:kern w:val="0"/>
                <w:sz w:val="24"/>
              </w:rPr>
              <w:t>经营活动</w:t>
            </w:r>
          </w:p>
        </w:tc>
        <w:tc>
          <w:tcPr>
            <w:tcW w:w="5429" w:type="dxa"/>
            <w:vAlign w:val="center"/>
          </w:tcPr>
          <w:p>
            <w:pPr>
              <w:spacing w:line="360" w:lineRule="auto"/>
              <w:rPr>
                <w:rFonts w:ascii="宋体" w:hAnsi="宋体" w:cs="宋体"/>
                <w:kern w:val="0"/>
                <w:sz w:val="24"/>
              </w:rPr>
            </w:pPr>
            <w:r>
              <w:rPr>
                <w:rFonts w:hint="eastAsia" w:ascii="宋体" w:hAnsi="宋体" w:cs="宋体"/>
                <w:bCs/>
                <w:sz w:val="24"/>
              </w:rPr>
              <w:t>参加政府采购活动前三年内，在经营活动中没有重大违法记录的书面声明（原件）</w:t>
            </w:r>
            <w:r>
              <w:rPr>
                <w:rFonts w:hint="eastAsia" w:ascii="宋体" w:hAnsi="宋体" w:cs="宋体"/>
                <w:kern w:val="0"/>
                <w:sz w:val="24"/>
              </w:rPr>
              <w:t>；</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57" w:hRule="atLeast"/>
        </w:trPr>
        <w:tc>
          <w:tcPr>
            <w:tcW w:w="557" w:type="dxa"/>
            <w:vMerge w:val="continue"/>
          </w:tcPr>
          <w:p>
            <w:pPr>
              <w:spacing w:line="360" w:lineRule="auto"/>
              <w:rPr>
                <w:b/>
                <w:bCs/>
                <w:sz w:val="24"/>
              </w:rPr>
            </w:pPr>
          </w:p>
        </w:tc>
        <w:tc>
          <w:tcPr>
            <w:tcW w:w="618" w:type="dxa"/>
            <w:vMerge w:val="continue"/>
          </w:tcPr>
          <w:p>
            <w:pPr>
              <w:spacing w:line="360" w:lineRule="auto"/>
              <w:rPr>
                <w:b/>
                <w:bCs/>
                <w:sz w:val="24"/>
              </w:rPr>
            </w:pPr>
          </w:p>
        </w:tc>
        <w:tc>
          <w:tcPr>
            <w:tcW w:w="2153" w:type="dxa"/>
            <w:vAlign w:val="center"/>
          </w:tcPr>
          <w:p>
            <w:pPr>
              <w:spacing w:line="360" w:lineRule="auto"/>
              <w:jc w:val="center"/>
              <w:rPr>
                <w:rFonts w:ascii="宋体" w:hAnsi="宋体" w:cs="宋体"/>
                <w:kern w:val="0"/>
                <w:sz w:val="24"/>
              </w:rPr>
            </w:pPr>
            <w:r>
              <w:rPr>
                <w:rFonts w:hint="eastAsia" w:ascii="宋体" w:hAnsi="宋体" w:cs="宋体"/>
                <w:kern w:val="0"/>
                <w:sz w:val="24"/>
              </w:rPr>
              <w:t>控股、管理关系</w:t>
            </w:r>
          </w:p>
        </w:tc>
        <w:tc>
          <w:tcPr>
            <w:tcW w:w="5429" w:type="dxa"/>
            <w:vAlign w:val="center"/>
          </w:tcPr>
          <w:p>
            <w:pPr>
              <w:spacing w:line="360" w:lineRule="auto"/>
              <w:rPr>
                <w:rFonts w:ascii="宋体" w:hAnsi="宋体" w:cs="宋体"/>
                <w:bCs/>
                <w:sz w:val="24"/>
              </w:rPr>
            </w:pPr>
            <w:r>
              <w:rPr>
                <w:rFonts w:hint="eastAsia" w:ascii="宋体" w:hAnsi="宋体" w:cs="宋体"/>
                <w:kern w:val="0"/>
                <w:sz w:val="24"/>
              </w:rPr>
              <w:t>磋商响应单位负责人不得为同一人或者存在控股、管理关系；</w:t>
            </w:r>
          </w:p>
        </w:tc>
        <w:tc>
          <w:tcPr>
            <w:tcW w:w="463" w:type="dxa"/>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6" w:hRule="atLeast"/>
        </w:trPr>
        <w:tc>
          <w:tcPr>
            <w:tcW w:w="557" w:type="dxa"/>
            <w:vMerge w:val="continue"/>
            <w:tcBorders>
              <w:bottom w:val="single" w:color="auto" w:sz="12" w:space="0"/>
            </w:tcBorders>
          </w:tcPr>
          <w:p>
            <w:pPr>
              <w:spacing w:line="360" w:lineRule="auto"/>
              <w:rPr>
                <w:b/>
                <w:bCs/>
                <w:sz w:val="24"/>
              </w:rPr>
            </w:pPr>
          </w:p>
        </w:tc>
        <w:tc>
          <w:tcPr>
            <w:tcW w:w="618" w:type="dxa"/>
            <w:vMerge w:val="continue"/>
            <w:tcBorders>
              <w:bottom w:val="single" w:color="auto" w:sz="12" w:space="0"/>
            </w:tcBorders>
          </w:tcPr>
          <w:p>
            <w:pPr>
              <w:spacing w:line="360" w:lineRule="auto"/>
              <w:rPr>
                <w:b/>
                <w:bCs/>
                <w:sz w:val="24"/>
              </w:rPr>
            </w:pPr>
          </w:p>
        </w:tc>
        <w:tc>
          <w:tcPr>
            <w:tcW w:w="2153" w:type="dxa"/>
            <w:tcBorders>
              <w:bottom w:val="single" w:color="auto" w:sz="12" w:space="0"/>
            </w:tcBorders>
            <w:vAlign w:val="center"/>
          </w:tcPr>
          <w:p>
            <w:pPr>
              <w:spacing w:line="360" w:lineRule="auto"/>
              <w:jc w:val="center"/>
              <w:rPr>
                <w:rFonts w:ascii="宋体" w:hAnsi="宋体" w:cs="宋体"/>
                <w:kern w:val="0"/>
                <w:sz w:val="24"/>
              </w:rPr>
            </w:pPr>
            <w:r>
              <w:rPr>
                <w:rFonts w:hint="eastAsia" w:ascii="宋体" w:hAnsi="宋体" w:cs="宋体"/>
                <w:kern w:val="0"/>
                <w:sz w:val="24"/>
              </w:rPr>
              <w:t>联合体磋商</w:t>
            </w:r>
          </w:p>
        </w:tc>
        <w:tc>
          <w:tcPr>
            <w:tcW w:w="5429" w:type="dxa"/>
            <w:tcBorders>
              <w:bottom w:val="single" w:color="auto" w:sz="12" w:space="0"/>
            </w:tcBorders>
            <w:vAlign w:val="center"/>
          </w:tcPr>
          <w:p>
            <w:pPr>
              <w:spacing w:line="360" w:lineRule="auto"/>
              <w:rPr>
                <w:rFonts w:ascii="宋体" w:hAnsi="宋体" w:cs="宋体"/>
                <w:kern w:val="0"/>
                <w:sz w:val="24"/>
              </w:rPr>
            </w:pPr>
            <w:r>
              <w:rPr>
                <w:rFonts w:hint="eastAsia" w:ascii="宋体" w:hAnsi="宋体" w:cs="宋体"/>
                <w:kern w:val="0"/>
                <w:sz w:val="24"/>
              </w:rPr>
              <w:t>不接受</w:t>
            </w:r>
          </w:p>
        </w:tc>
        <w:tc>
          <w:tcPr>
            <w:tcW w:w="463" w:type="dxa"/>
            <w:tcBorders>
              <w:bottom w:val="single" w:color="auto" w:sz="12"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4" w:hRule="atLeast"/>
        </w:trPr>
        <w:tc>
          <w:tcPr>
            <w:tcW w:w="557" w:type="dxa"/>
            <w:vMerge w:val="restart"/>
            <w:tcBorders>
              <w:top w:val="single" w:color="auto" w:sz="12" w:space="0"/>
              <w:bottom w:val="single" w:color="auto" w:sz="6" w:space="0"/>
            </w:tcBorders>
            <w:vAlign w:val="center"/>
          </w:tcPr>
          <w:p>
            <w:pPr>
              <w:spacing w:line="273" w:lineRule="auto"/>
              <w:rPr>
                <w:b/>
                <w:bCs/>
                <w:sz w:val="24"/>
              </w:rPr>
            </w:pPr>
            <w:r>
              <w:rPr>
                <w:b/>
                <w:bCs/>
                <w:sz w:val="24"/>
              </w:rPr>
              <w:t>3.2</w:t>
            </w:r>
          </w:p>
        </w:tc>
        <w:tc>
          <w:tcPr>
            <w:tcW w:w="618" w:type="dxa"/>
            <w:vMerge w:val="restart"/>
            <w:tcBorders>
              <w:top w:val="single" w:color="auto" w:sz="12" w:space="0"/>
              <w:bottom w:val="single" w:color="auto" w:sz="6" w:space="0"/>
            </w:tcBorders>
            <w:vAlign w:val="center"/>
          </w:tcPr>
          <w:p>
            <w:pPr>
              <w:spacing w:line="360" w:lineRule="auto"/>
              <w:jc w:val="center"/>
              <w:rPr>
                <w:b/>
                <w:bCs/>
                <w:sz w:val="24"/>
              </w:rPr>
            </w:pPr>
            <w:r>
              <w:rPr>
                <w:sz w:val="24"/>
              </w:rPr>
              <w:t>符合性审查标准</w:t>
            </w:r>
          </w:p>
        </w:tc>
        <w:tc>
          <w:tcPr>
            <w:tcW w:w="2153" w:type="dxa"/>
            <w:tcBorders>
              <w:top w:val="single" w:color="auto" w:sz="12"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磋商响应单位名称</w:t>
            </w:r>
          </w:p>
        </w:tc>
        <w:tc>
          <w:tcPr>
            <w:tcW w:w="5429" w:type="dxa"/>
            <w:tcBorders>
              <w:top w:val="single" w:color="auto" w:sz="12"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与营业执照一致</w:t>
            </w:r>
          </w:p>
        </w:tc>
        <w:tc>
          <w:tcPr>
            <w:tcW w:w="463" w:type="dxa"/>
            <w:tcBorders>
              <w:top w:val="single" w:color="auto" w:sz="12"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响应文件签字盖章</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在磋商响应文件中指定落款处，按文件要求盖章或签字</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8"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磋商响应文件格式</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符合磋商文件的格式要求无重大偏离</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8"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响应文件数量</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1正2副，电子版文件1份</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2"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响应（投标）内容</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与磋商内容一致，无重大偏离</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4"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磋商有效期</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自开标之日起不少于90日历天</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3"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首次磋商报价</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未超过磋商最高限价</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74" w:hRule="atLeast"/>
        </w:trPr>
        <w:tc>
          <w:tcPr>
            <w:tcW w:w="557" w:type="dxa"/>
            <w:vMerge w:val="continue"/>
            <w:tcBorders>
              <w:top w:val="single" w:color="auto" w:sz="6" w:space="0"/>
              <w:bottom w:val="single" w:color="auto" w:sz="6" w:space="0"/>
            </w:tcBorders>
          </w:tcPr>
          <w:p>
            <w:pPr>
              <w:spacing w:line="273" w:lineRule="auto"/>
              <w:rPr>
                <w:b/>
                <w:bCs/>
                <w:sz w:val="24"/>
              </w:rPr>
            </w:pPr>
          </w:p>
        </w:tc>
        <w:tc>
          <w:tcPr>
            <w:tcW w:w="618" w:type="dxa"/>
            <w:vMerge w:val="continue"/>
            <w:tcBorders>
              <w:top w:val="single" w:color="auto" w:sz="6" w:space="0"/>
              <w:bottom w:val="single" w:color="auto" w:sz="6" w:space="0"/>
            </w:tcBorders>
          </w:tcPr>
          <w:p>
            <w:pPr>
              <w:spacing w:line="360" w:lineRule="auto"/>
              <w:rPr>
                <w:sz w:val="24"/>
              </w:rPr>
            </w:pPr>
          </w:p>
        </w:tc>
        <w:tc>
          <w:tcPr>
            <w:tcW w:w="2153" w:type="dxa"/>
            <w:tcBorders>
              <w:top w:val="single" w:color="auto" w:sz="6" w:space="0"/>
              <w:bottom w:val="single" w:color="auto" w:sz="6" w:space="0"/>
            </w:tcBorders>
            <w:vAlign w:val="center"/>
          </w:tcPr>
          <w:p>
            <w:pPr>
              <w:spacing w:line="360" w:lineRule="auto"/>
              <w:jc w:val="center"/>
              <w:rPr>
                <w:rFonts w:ascii="宋体" w:hAnsi="宋体" w:cs="宋体"/>
                <w:sz w:val="24"/>
              </w:rPr>
            </w:pPr>
            <w:r>
              <w:rPr>
                <w:rFonts w:hint="eastAsia" w:ascii="宋体" w:hAnsi="宋体" w:cs="宋体"/>
                <w:sz w:val="24"/>
              </w:rPr>
              <w:t>工期</w:t>
            </w:r>
          </w:p>
        </w:tc>
        <w:tc>
          <w:tcPr>
            <w:tcW w:w="5429" w:type="dxa"/>
            <w:tcBorders>
              <w:top w:val="single" w:color="auto" w:sz="6" w:space="0"/>
              <w:bottom w:val="single" w:color="auto" w:sz="6" w:space="0"/>
            </w:tcBorders>
            <w:vAlign w:val="center"/>
          </w:tcPr>
          <w:p>
            <w:pPr>
              <w:spacing w:line="360" w:lineRule="auto"/>
              <w:rPr>
                <w:rFonts w:ascii="宋体" w:hAnsi="宋体" w:cs="宋体"/>
                <w:sz w:val="24"/>
              </w:rPr>
            </w:pPr>
            <w:r>
              <w:rPr>
                <w:rFonts w:hint="eastAsia" w:ascii="宋体" w:hAnsi="宋体" w:cs="宋体"/>
                <w:sz w:val="24"/>
              </w:rPr>
              <w:t>符合磋商文件要求</w:t>
            </w:r>
          </w:p>
        </w:tc>
        <w:tc>
          <w:tcPr>
            <w:tcW w:w="463" w:type="dxa"/>
            <w:tcBorders>
              <w:top w:val="single" w:color="auto" w:sz="6" w:space="0"/>
              <w:bottom w:val="single" w:color="auto" w:sz="6" w:space="0"/>
            </w:tcBorders>
            <w:vAlign w:val="center"/>
          </w:tcPr>
          <w:p>
            <w:pP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1" w:hRule="atLeast"/>
        </w:trPr>
        <w:tc>
          <w:tcPr>
            <w:tcW w:w="557" w:type="dxa"/>
            <w:vMerge w:val="continue"/>
            <w:tcBorders>
              <w:top w:val="single" w:color="auto" w:sz="6" w:space="0"/>
              <w:bottom w:val="single" w:color="auto" w:sz="12" w:space="0"/>
            </w:tcBorders>
          </w:tcPr>
          <w:p>
            <w:pPr>
              <w:spacing w:line="273" w:lineRule="auto"/>
              <w:rPr>
                <w:b/>
                <w:bCs/>
                <w:sz w:val="24"/>
              </w:rPr>
            </w:pPr>
          </w:p>
        </w:tc>
        <w:tc>
          <w:tcPr>
            <w:tcW w:w="618" w:type="dxa"/>
            <w:vMerge w:val="continue"/>
            <w:tcBorders>
              <w:top w:val="single" w:color="auto" w:sz="6" w:space="0"/>
              <w:bottom w:val="single" w:color="auto" w:sz="12" w:space="0"/>
            </w:tcBorders>
          </w:tcPr>
          <w:p>
            <w:pPr>
              <w:spacing w:line="360" w:lineRule="auto"/>
              <w:rPr>
                <w:sz w:val="24"/>
              </w:rPr>
            </w:pPr>
          </w:p>
        </w:tc>
        <w:tc>
          <w:tcPr>
            <w:tcW w:w="2153" w:type="dxa"/>
            <w:tcBorders>
              <w:top w:val="single" w:color="auto" w:sz="6" w:space="0"/>
              <w:bottom w:val="single" w:color="auto" w:sz="12" w:space="0"/>
            </w:tcBorders>
            <w:vAlign w:val="center"/>
          </w:tcPr>
          <w:p>
            <w:pPr>
              <w:spacing w:line="360" w:lineRule="auto"/>
              <w:jc w:val="center"/>
              <w:rPr>
                <w:rFonts w:ascii="宋体" w:hAnsi="宋体" w:cs="宋体"/>
                <w:sz w:val="24"/>
              </w:rPr>
            </w:pPr>
            <w:r>
              <w:rPr>
                <w:rFonts w:hint="eastAsia" w:ascii="宋体" w:hAnsi="宋体" w:cs="宋体"/>
                <w:sz w:val="24"/>
              </w:rPr>
              <w:t>质量标准</w:t>
            </w:r>
          </w:p>
        </w:tc>
        <w:tc>
          <w:tcPr>
            <w:tcW w:w="5429" w:type="dxa"/>
            <w:tcBorders>
              <w:top w:val="single" w:color="auto" w:sz="6" w:space="0"/>
              <w:bottom w:val="single" w:color="auto" w:sz="12" w:space="0"/>
            </w:tcBorders>
            <w:vAlign w:val="center"/>
          </w:tcPr>
          <w:p>
            <w:pPr>
              <w:spacing w:line="360" w:lineRule="auto"/>
              <w:rPr>
                <w:rFonts w:ascii="宋体" w:hAnsi="宋体" w:cs="宋体"/>
                <w:sz w:val="24"/>
              </w:rPr>
            </w:pPr>
            <w:r>
              <w:rPr>
                <w:rFonts w:hint="eastAsia" w:ascii="宋体" w:hAnsi="宋体" w:cs="宋体"/>
                <w:sz w:val="24"/>
              </w:rPr>
              <w:t>合格</w:t>
            </w:r>
          </w:p>
        </w:tc>
        <w:tc>
          <w:tcPr>
            <w:tcW w:w="463" w:type="dxa"/>
            <w:tcBorders>
              <w:top w:val="single" w:color="auto" w:sz="6" w:space="0"/>
              <w:bottom w:val="single" w:color="auto" w:sz="12" w:space="0"/>
            </w:tcBorders>
            <w:vAlign w:val="center"/>
          </w:tcPr>
          <w:p>
            <w:pPr>
              <w:rPr>
                <w:sz w:val="24"/>
              </w:rPr>
            </w:pPr>
          </w:p>
        </w:tc>
      </w:tr>
    </w:tbl>
    <w:p>
      <w:pPr>
        <w:adjustRightInd w:val="0"/>
        <w:snapToGrid w:val="0"/>
        <w:spacing w:beforeLines="50" w:line="324" w:lineRule="auto"/>
        <w:rPr>
          <w:rFonts w:ascii="宋体" w:hAnsi="宋体" w:cs="宋体"/>
          <w:sz w:val="24"/>
        </w:rPr>
      </w:pPr>
      <w:r>
        <w:rPr>
          <w:sz w:val="24"/>
        </w:rPr>
        <w:t xml:space="preserve">   </w:t>
      </w:r>
      <w:r>
        <w:rPr>
          <w:rFonts w:hint="eastAsia" w:ascii="宋体" w:hAnsi="宋体" w:cs="宋体"/>
          <w:sz w:val="24"/>
        </w:rPr>
        <w:t xml:space="preserve"> 4.3 磋商小组在对响应文件的有效性、完整性和响应程度进行审查时，可以要求磋商响应单位对响应文件中含义不明确、同类问题表述不一致或者有明显文字和计算错误的内容等作出必要的澄清、说明或者更正。磋商响应单位的澄清、说明或者更正不得超出响应文件的范围或者改变响应文件的实质性内容。</w:t>
      </w:r>
    </w:p>
    <w:p>
      <w:pPr>
        <w:adjustRightInd w:val="0"/>
        <w:snapToGrid w:val="0"/>
        <w:spacing w:line="324" w:lineRule="auto"/>
        <w:ind w:firstLine="480" w:firstLineChars="200"/>
        <w:rPr>
          <w:rFonts w:ascii="宋体" w:hAnsi="宋体" w:cs="宋体"/>
          <w:sz w:val="24"/>
        </w:rPr>
      </w:pPr>
      <w:r>
        <w:rPr>
          <w:rFonts w:hint="eastAsia" w:ascii="宋体" w:hAnsi="宋体" w:cs="宋体"/>
          <w:sz w:val="24"/>
        </w:rPr>
        <w:t>磋商小组要求磋商响应单位澄清、说明或者更正响应文件应当以书面形式作出。磋商响应单位的澄清、说明或者更正应当由法定代表人或其授权代表签字或者加盖公章。由授权代表签字的，应当附法定代表人授权书。磋商响应单位为自然人的，应当由本人签字并附身份证明。</w:t>
      </w:r>
    </w:p>
    <w:p>
      <w:pPr>
        <w:adjustRightInd w:val="0"/>
        <w:snapToGrid w:val="0"/>
        <w:spacing w:line="324" w:lineRule="auto"/>
        <w:ind w:firstLine="480" w:firstLineChars="200"/>
        <w:rPr>
          <w:rFonts w:ascii="宋体" w:hAnsi="宋体" w:cs="宋体"/>
          <w:sz w:val="24"/>
        </w:rPr>
      </w:pPr>
      <w:r>
        <w:rPr>
          <w:rFonts w:hint="eastAsia" w:ascii="宋体" w:hAnsi="宋体" w:cs="宋体"/>
          <w:sz w:val="24"/>
        </w:rPr>
        <w:t>5、磋商</w:t>
      </w:r>
    </w:p>
    <w:p>
      <w:pPr>
        <w:adjustRightInd w:val="0"/>
        <w:snapToGrid w:val="0"/>
        <w:spacing w:line="324" w:lineRule="auto"/>
        <w:ind w:firstLine="480" w:firstLineChars="200"/>
        <w:rPr>
          <w:rFonts w:ascii="宋体" w:hAnsi="宋体" w:cs="宋体"/>
          <w:sz w:val="24"/>
        </w:rPr>
      </w:pPr>
      <w:r>
        <w:rPr>
          <w:rFonts w:hint="eastAsia" w:ascii="宋体" w:hAnsi="宋体" w:cs="宋体"/>
          <w:sz w:val="24"/>
        </w:rPr>
        <w:t>只和通过初审的磋商响应单位进行磋商。</w:t>
      </w:r>
    </w:p>
    <w:p>
      <w:pPr>
        <w:adjustRightInd w:val="0"/>
        <w:snapToGrid w:val="0"/>
        <w:spacing w:line="324" w:lineRule="auto"/>
        <w:ind w:firstLine="480" w:firstLineChars="200"/>
        <w:rPr>
          <w:rFonts w:ascii="宋体" w:hAnsi="宋体" w:cs="宋体"/>
          <w:sz w:val="24"/>
        </w:rPr>
      </w:pPr>
      <w:r>
        <w:rPr>
          <w:rFonts w:hint="eastAsia" w:ascii="宋体" w:hAnsi="宋体" w:cs="宋体"/>
          <w:sz w:val="24"/>
        </w:rPr>
        <w:t>5.1磋商</w:t>
      </w:r>
    </w:p>
    <w:p>
      <w:pPr>
        <w:adjustRightInd w:val="0"/>
        <w:snapToGrid w:val="0"/>
        <w:spacing w:line="324" w:lineRule="auto"/>
        <w:ind w:firstLine="480" w:firstLineChars="200"/>
        <w:rPr>
          <w:rFonts w:ascii="宋体" w:hAnsi="宋体" w:cs="宋体"/>
          <w:sz w:val="24"/>
        </w:rPr>
      </w:pPr>
      <w:r>
        <w:rPr>
          <w:rFonts w:hint="eastAsia" w:ascii="宋体" w:hAnsi="宋体" w:cs="宋体"/>
          <w:sz w:val="24"/>
        </w:rPr>
        <w:t>磋商小组可根据需要，由磋商小组所有成员集中与单一磋商响应单位分别进行磋商。采购代理机构对磋商过程和重要磋商内容进行记录，磋商小组召集人和磋商响应单位在记录上签字确认。</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5.2 在磋商过程中，磋商小组可以根据磋商文件和磋商情况实质性变动采购需求中的技术、服务要求以及合同草案条款，但不得变动磋商文件中的其他内容。实质性变动的内容，须经采购人代表确认，并成为磋商文件有效组成部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5.3 最终响应（第二次报价）</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磋商响应单位根据磋商情况和磋商文件修改书面通知（如有）对原响应文件进行修正，并在现场规定时间内将修正文件（如有）和最终报价由磋商响应单位法定代表人或其授权委托人签字或盖章后送交磋商小组。逾时不交的，视同放弃磋商。修正文件与磋商响应文件同具法律效力。</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5.4 所有磋商响应单位的最终响应未超过政府采购预算不足3家，磋商活动终止。</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5.5 磋商过程由政府采购代理机构指定专人负责记录，并存档备查。</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6、详细评审</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评标委员会只对磋商最终响应的磋商响应单位进行评审和比较。</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6.1 本次磋商采用综合评分法</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6.2 磋商响应单位的评审总得分满分100分（商务标35分、技术标65分）</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评分标准</w:t>
      </w:r>
    </w:p>
    <w:tbl>
      <w:tblPr>
        <w:tblStyle w:val="48"/>
        <w:tblW w:w="907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20"/>
        <w:gridCol w:w="816"/>
        <w:gridCol w:w="6525"/>
        <w:gridCol w:w="9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73" w:hRule="atLeast"/>
          <w:jc w:val="center"/>
        </w:trPr>
        <w:tc>
          <w:tcPr>
            <w:tcW w:w="820" w:type="dxa"/>
            <w:tcBorders>
              <w:tl2br w:val="nil"/>
              <w:tr2bl w:val="nil"/>
            </w:tcBorders>
            <w:vAlign w:val="center"/>
          </w:tcPr>
          <w:p>
            <w:pPr>
              <w:widowControl/>
              <w:jc w:val="center"/>
              <w:rPr>
                <w:bCs/>
                <w:kern w:val="0"/>
                <w:sz w:val="24"/>
              </w:rPr>
            </w:pPr>
            <w:r>
              <w:rPr>
                <w:bCs/>
                <w:kern w:val="0"/>
                <w:sz w:val="24"/>
              </w:rPr>
              <w:t>项别</w:t>
            </w:r>
          </w:p>
        </w:tc>
        <w:tc>
          <w:tcPr>
            <w:tcW w:w="816" w:type="dxa"/>
            <w:tcBorders>
              <w:tl2br w:val="nil"/>
              <w:tr2bl w:val="nil"/>
            </w:tcBorders>
            <w:vAlign w:val="center"/>
          </w:tcPr>
          <w:p>
            <w:pPr>
              <w:widowControl/>
              <w:jc w:val="center"/>
              <w:rPr>
                <w:bCs/>
                <w:kern w:val="0"/>
                <w:sz w:val="24"/>
              </w:rPr>
            </w:pPr>
            <w:r>
              <w:rPr>
                <w:bCs/>
                <w:kern w:val="0"/>
                <w:sz w:val="24"/>
              </w:rPr>
              <w:t>分值</w:t>
            </w:r>
          </w:p>
        </w:tc>
        <w:tc>
          <w:tcPr>
            <w:tcW w:w="6525" w:type="dxa"/>
            <w:tcBorders>
              <w:tl2br w:val="nil"/>
              <w:tr2bl w:val="nil"/>
            </w:tcBorders>
            <w:vAlign w:val="center"/>
          </w:tcPr>
          <w:p>
            <w:pPr>
              <w:widowControl/>
              <w:jc w:val="center"/>
              <w:rPr>
                <w:bCs/>
                <w:kern w:val="0"/>
                <w:sz w:val="24"/>
              </w:rPr>
            </w:pPr>
            <w:r>
              <w:rPr>
                <w:bCs/>
                <w:kern w:val="0"/>
                <w:sz w:val="24"/>
              </w:rPr>
              <w:t>评标要素</w:t>
            </w:r>
          </w:p>
        </w:tc>
        <w:tc>
          <w:tcPr>
            <w:tcW w:w="913" w:type="dxa"/>
            <w:tcBorders>
              <w:tl2br w:val="nil"/>
              <w:tr2bl w:val="nil"/>
            </w:tcBorders>
            <w:vAlign w:val="center"/>
          </w:tcPr>
          <w:p>
            <w:pPr>
              <w:widowControl/>
              <w:jc w:val="center"/>
              <w:rPr>
                <w:bCs/>
                <w:kern w:val="0"/>
                <w:sz w:val="24"/>
              </w:rPr>
            </w:pPr>
            <w:r>
              <w:rPr>
                <w:bCs/>
                <w:kern w:val="0"/>
                <w:sz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4" w:hRule="atLeast"/>
          <w:jc w:val="center"/>
        </w:trPr>
        <w:tc>
          <w:tcPr>
            <w:tcW w:w="9074" w:type="dxa"/>
            <w:gridSpan w:val="4"/>
            <w:tcBorders>
              <w:tl2br w:val="nil"/>
              <w:tr2bl w:val="nil"/>
            </w:tcBorders>
            <w:vAlign w:val="center"/>
          </w:tcPr>
          <w:p>
            <w:pPr>
              <w:widowControl/>
              <w:jc w:val="center"/>
              <w:rPr>
                <w:b/>
                <w:bCs/>
                <w:kern w:val="0"/>
                <w:sz w:val="24"/>
              </w:rPr>
            </w:pPr>
            <w:r>
              <w:rPr>
                <w:rFonts w:hint="eastAsia" w:ascii="宋体" w:hAnsi="宋体" w:cs="宋体"/>
                <w:b/>
                <w:bCs/>
                <w:kern w:val="0"/>
                <w:sz w:val="24"/>
              </w:rPr>
              <w:t>商务标（35分）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709" w:hRule="atLeast"/>
          <w:jc w:val="center"/>
        </w:trPr>
        <w:tc>
          <w:tcPr>
            <w:tcW w:w="820" w:type="dxa"/>
            <w:tcBorders>
              <w:tl2br w:val="nil"/>
              <w:tr2bl w:val="nil"/>
            </w:tcBorders>
            <w:vAlign w:val="center"/>
          </w:tcPr>
          <w:p>
            <w:pPr>
              <w:widowControl/>
              <w:jc w:val="center"/>
              <w:rPr>
                <w:bCs/>
                <w:kern w:val="0"/>
                <w:sz w:val="24"/>
              </w:rPr>
            </w:pPr>
            <w:r>
              <w:rPr>
                <w:bCs/>
                <w:kern w:val="0"/>
                <w:sz w:val="24"/>
              </w:rPr>
              <w:t>价格</w:t>
            </w:r>
          </w:p>
        </w:tc>
        <w:tc>
          <w:tcPr>
            <w:tcW w:w="816" w:type="dxa"/>
            <w:tcBorders>
              <w:tl2br w:val="nil"/>
              <w:tr2bl w:val="nil"/>
            </w:tcBorders>
            <w:vAlign w:val="center"/>
          </w:tcPr>
          <w:p>
            <w:pPr>
              <w:widowControl/>
              <w:jc w:val="center"/>
              <w:rPr>
                <w:sz w:val="24"/>
              </w:rPr>
            </w:pPr>
            <w:r>
              <w:rPr>
                <w:rFonts w:hint="eastAsia" w:ascii="宋体" w:hAnsi="宋体" w:cs="宋体"/>
                <w:sz w:val="24"/>
              </w:rPr>
              <w:t>0-30</w:t>
            </w:r>
          </w:p>
        </w:tc>
        <w:tc>
          <w:tcPr>
            <w:tcW w:w="6525" w:type="dxa"/>
            <w:tcBorders>
              <w:tl2br w:val="nil"/>
              <w:tr2bl w:val="nil"/>
            </w:tcBorders>
            <w:vAlign w:val="center"/>
          </w:tcPr>
          <w:p>
            <w:pPr>
              <w:tabs>
                <w:tab w:val="left" w:pos="540"/>
              </w:tabs>
              <w:adjustRightInd w:val="0"/>
              <w:spacing w:line="360" w:lineRule="auto"/>
              <w:ind w:right="105" w:rightChars="50"/>
              <w:rPr>
                <w:rFonts w:ascii="宋体" w:hAnsi="宋体" w:cs="宋体"/>
                <w:sz w:val="24"/>
              </w:rPr>
            </w:pPr>
            <w:r>
              <w:rPr>
                <w:rFonts w:hint="eastAsia" w:ascii="宋体" w:hAnsi="宋体" w:cs="宋体"/>
                <w:sz w:val="24"/>
              </w:rPr>
              <w:t>投标报价分应当采用最低价优先法计算，即满足磋商文件要求且投标价格最低的投标报价为评标基准价，其价格分为满分。</w:t>
            </w:r>
          </w:p>
          <w:p>
            <w:pPr>
              <w:tabs>
                <w:tab w:val="left" w:pos="540"/>
              </w:tabs>
              <w:adjustRightInd w:val="0"/>
              <w:spacing w:line="360" w:lineRule="auto"/>
              <w:ind w:right="105" w:rightChars="50"/>
              <w:rPr>
                <w:rFonts w:ascii="宋体" w:hAnsi="宋体" w:cs="宋体"/>
                <w:sz w:val="24"/>
              </w:rPr>
            </w:pPr>
            <w:r>
              <w:rPr>
                <w:rFonts w:hint="eastAsia" w:ascii="宋体" w:hAnsi="宋体" w:cs="宋体"/>
                <w:sz w:val="24"/>
              </w:rPr>
              <w:t>评标基准价=评审报价的最低值，评审报价等于评标基准价的得满分30分。</w:t>
            </w:r>
          </w:p>
          <w:p>
            <w:pPr>
              <w:tabs>
                <w:tab w:val="left" w:pos="540"/>
              </w:tabs>
              <w:adjustRightInd w:val="0"/>
              <w:spacing w:line="360" w:lineRule="auto"/>
              <w:ind w:right="105" w:rightChars="50"/>
              <w:rPr>
                <w:rFonts w:ascii="宋体" w:hAnsi="宋体" w:cs="宋体"/>
                <w:sz w:val="24"/>
              </w:rPr>
            </w:pPr>
            <w:r>
              <w:rPr>
                <w:rFonts w:hint="eastAsia" w:ascii="宋体" w:hAnsi="宋体" w:cs="宋体"/>
                <w:sz w:val="24"/>
              </w:rPr>
              <w:t>投标报价得分=（评标基准价/评审报价）× 30。</w:t>
            </w:r>
          </w:p>
          <w:p>
            <w:pPr>
              <w:widowControl/>
              <w:spacing w:line="360" w:lineRule="auto"/>
              <w:jc w:val="left"/>
              <w:rPr>
                <w:rFonts w:ascii="宋体" w:hAnsi="宋体" w:cs="宋体"/>
                <w:sz w:val="24"/>
              </w:rPr>
            </w:pPr>
            <w:r>
              <w:rPr>
                <w:rFonts w:hint="eastAsia" w:ascii="宋体" w:hAnsi="宋体" w:cs="宋体"/>
                <w:sz w:val="24"/>
              </w:rPr>
              <w:t>若磋商响应单位的报价明显低于成本价，或报价明显无法达到服务要求，评标委员会有权要求磋商响应单位做出报价澄清并提供相关证明，若在限定时间内无法澄清或无法出具合理的证明，经评标委员会二分之一以上成员认定，该报价为无效报价。</w:t>
            </w:r>
          </w:p>
          <w:p>
            <w:pPr>
              <w:widowControl/>
              <w:spacing w:line="360" w:lineRule="auto"/>
              <w:jc w:val="left"/>
              <w:rPr>
                <w:sz w:val="24"/>
              </w:rPr>
            </w:pPr>
            <w:r>
              <w:rPr>
                <w:rFonts w:hint="eastAsia" w:ascii="宋体" w:hAnsi="宋体" w:cs="宋体"/>
                <w:sz w:val="24"/>
              </w:rPr>
              <w:t>符合磋商文件规定的小微企业、监狱、福利企业企业优惠条件的磋商响应单位，价格给予3%的扣除，用扣除后的价格参与评审</w:t>
            </w:r>
            <w:r>
              <w:rPr>
                <w:sz w:val="24"/>
              </w:rPr>
              <w:t>。</w:t>
            </w:r>
          </w:p>
        </w:tc>
        <w:tc>
          <w:tcPr>
            <w:tcW w:w="913" w:type="dxa"/>
            <w:tcBorders>
              <w:tl2br w:val="nil"/>
              <w:tr2bl w:val="nil"/>
            </w:tcBorders>
            <w:vAlign w:val="center"/>
          </w:tcPr>
          <w:p>
            <w:pPr>
              <w:spacing w:line="300" w:lineRule="exact"/>
              <w:rPr>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64" w:hRule="atLeast"/>
          <w:jc w:val="center"/>
        </w:trPr>
        <w:tc>
          <w:tcPr>
            <w:tcW w:w="820" w:type="dxa"/>
            <w:tcBorders>
              <w:tl2br w:val="nil"/>
              <w:tr2bl w:val="nil"/>
            </w:tcBorders>
            <w:vAlign w:val="center"/>
          </w:tcPr>
          <w:p>
            <w:pPr>
              <w:widowControl/>
              <w:spacing w:line="360" w:lineRule="auto"/>
              <w:jc w:val="center"/>
              <w:rPr>
                <w:rFonts w:ascii="宋体" w:hAnsi="宋体" w:cs="宋体"/>
                <w:bCs/>
                <w:kern w:val="0"/>
                <w:sz w:val="24"/>
              </w:rPr>
            </w:pPr>
            <w:r>
              <w:rPr>
                <w:rFonts w:hint="eastAsia" w:ascii="宋体" w:hAnsi="宋体" w:cs="宋体"/>
                <w:bCs/>
                <w:kern w:val="0"/>
                <w:sz w:val="24"/>
              </w:rPr>
              <w:t>类似项目业绩</w:t>
            </w: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2018年至今完成类似项目业绩，有1项得1分；每增加1项，加1分，最高得5分（以合同协议书和中标通知书为准）</w:t>
            </w:r>
          </w:p>
        </w:tc>
        <w:tc>
          <w:tcPr>
            <w:tcW w:w="913" w:type="dxa"/>
            <w:tcBorders>
              <w:tl2br w:val="nil"/>
              <w:tr2bl w:val="nil"/>
            </w:tcBorders>
            <w:vAlign w:val="center"/>
          </w:tcPr>
          <w:p>
            <w:pPr>
              <w:spacing w:line="360" w:lineRule="auto"/>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88" w:hRule="atLeast"/>
          <w:jc w:val="center"/>
        </w:trPr>
        <w:tc>
          <w:tcPr>
            <w:tcW w:w="9074" w:type="dxa"/>
            <w:gridSpan w:val="4"/>
            <w:tcBorders>
              <w:tl2br w:val="nil"/>
              <w:tr2bl w:val="nil"/>
            </w:tcBorders>
            <w:vAlign w:val="center"/>
          </w:tcPr>
          <w:p>
            <w:pPr>
              <w:spacing w:line="360" w:lineRule="auto"/>
              <w:jc w:val="center"/>
              <w:rPr>
                <w:rFonts w:ascii="宋体" w:hAnsi="宋体" w:cs="宋体"/>
                <w:b/>
                <w:sz w:val="24"/>
              </w:rPr>
            </w:pPr>
            <w:r>
              <w:rPr>
                <w:rFonts w:hint="eastAsia" w:ascii="宋体" w:hAnsi="宋体" w:cs="宋体"/>
                <w:b/>
                <w:sz w:val="24"/>
              </w:rPr>
              <w:t>技术标（65分）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48" w:hRule="atLeast"/>
          <w:jc w:val="center"/>
        </w:trPr>
        <w:tc>
          <w:tcPr>
            <w:tcW w:w="820" w:type="dxa"/>
            <w:vMerge w:val="restart"/>
            <w:tcBorders>
              <w:tl2br w:val="nil"/>
              <w:tr2bl w:val="nil"/>
            </w:tcBorders>
            <w:vAlign w:val="center"/>
          </w:tcPr>
          <w:p>
            <w:pPr>
              <w:tabs>
                <w:tab w:val="left" w:pos="540"/>
              </w:tabs>
              <w:spacing w:line="360" w:lineRule="auto"/>
              <w:ind w:right="105" w:rightChars="50"/>
              <w:jc w:val="center"/>
              <w:rPr>
                <w:rFonts w:ascii="宋体" w:hAnsi="宋体" w:cs="宋体"/>
                <w:sz w:val="24"/>
              </w:rPr>
            </w:pPr>
            <w:r>
              <w:rPr>
                <w:rFonts w:hint="eastAsia" w:ascii="宋体" w:hAnsi="宋体" w:cs="宋体"/>
                <w:bCs/>
                <w:kern w:val="0"/>
                <w:sz w:val="24"/>
              </w:rPr>
              <w:t>施工组织设计55分</w:t>
            </w: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tabs>
                <w:tab w:val="left" w:pos="540"/>
              </w:tabs>
              <w:spacing w:line="360" w:lineRule="auto"/>
              <w:ind w:right="105" w:rightChars="50"/>
              <w:rPr>
                <w:rFonts w:ascii="宋体" w:hAnsi="宋体" w:cs="宋体"/>
                <w:sz w:val="24"/>
              </w:rPr>
            </w:pPr>
            <w:r>
              <w:rPr>
                <w:rFonts w:hint="eastAsia" w:ascii="宋体" w:hAnsi="宋体" w:cs="宋体"/>
                <w:sz w:val="24"/>
              </w:rPr>
              <w:t>项目管理机构及项目经理部组成</w:t>
            </w:r>
          </w:p>
        </w:tc>
        <w:tc>
          <w:tcPr>
            <w:tcW w:w="913" w:type="dxa"/>
            <w:vMerge w:val="restart"/>
            <w:tcBorders>
              <w:tl2br w:val="nil"/>
              <w:tr2bl w:val="nil"/>
            </w:tcBorders>
            <w:vAlign w:val="center"/>
          </w:tcPr>
          <w:p>
            <w:pPr>
              <w:tabs>
                <w:tab w:val="left" w:pos="540"/>
              </w:tabs>
              <w:spacing w:line="360" w:lineRule="auto"/>
              <w:ind w:right="105" w:rightChars="50"/>
              <w:rPr>
                <w:rFonts w:ascii="宋体" w:hAnsi="宋体" w:cs="宋体"/>
                <w:sz w:val="24"/>
              </w:rPr>
            </w:pPr>
            <w:r>
              <w:rPr>
                <w:rFonts w:hint="eastAsia" w:ascii="宋体" w:hAnsi="宋体" w:cs="宋体"/>
                <w:sz w:val="24"/>
              </w:rPr>
              <w:t>有严重错误或</w:t>
            </w:r>
          </w:p>
          <w:p>
            <w:pPr>
              <w:tabs>
                <w:tab w:val="left" w:pos="540"/>
              </w:tabs>
              <w:spacing w:line="360" w:lineRule="auto"/>
              <w:ind w:right="105" w:rightChars="50"/>
              <w:jc w:val="center"/>
              <w:rPr>
                <w:rFonts w:ascii="宋体" w:hAnsi="宋体" w:cs="宋体"/>
                <w:sz w:val="24"/>
              </w:rPr>
            </w:pPr>
            <w:r>
              <w:rPr>
                <w:rFonts w:hint="eastAsia" w:ascii="宋体" w:hAnsi="宋体" w:cs="宋体"/>
                <w:sz w:val="24"/>
              </w:rPr>
              <w:t>漏项，该分项得0分</w:t>
            </w:r>
          </w:p>
          <w:p>
            <w:pPr>
              <w:widowControl/>
              <w:spacing w:line="360" w:lineRule="auto"/>
              <w:jc w:val="left"/>
              <w:rPr>
                <w:rFonts w:ascii="宋体" w:hAnsi="宋体" w:cs="宋体"/>
                <w:bCs/>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14" w:hRule="atLeast"/>
          <w:jc w:val="center"/>
        </w:trPr>
        <w:tc>
          <w:tcPr>
            <w:tcW w:w="820" w:type="dxa"/>
            <w:vMerge w:val="continue"/>
            <w:tcBorders>
              <w:tl2br w:val="nil"/>
              <w:tr2bl w:val="nil"/>
            </w:tcBorders>
            <w:vAlign w:val="center"/>
          </w:tcPr>
          <w:p>
            <w:pPr>
              <w:tabs>
                <w:tab w:val="left" w:pos="540"/>
              </w:tabs>
              <w:spacing w:line="360" w:lineRule="auto"/>
              <w:ind w:right="105" w:rightChars="50"/>
              <w:jc w:val="center"/>
              <w:rPr>
                <w:rFonts w:ascii="宋体" w:hAnsi="宋体" w:cs="宋体"/>
                <w:bCs/>
                <w:kern w:val="0"/>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tabs>
                <w:tab w:val="left" w:pos="540"/>
              </w:tabs>
              <w:spacing w:line="360" w:lineRule="auto"/>
              <w:ind w:right="105" w:rightChars="50"/>
              <w:rPr>
                <w:rFonts w:ascii="宋体" w:hAnsi="宋体" w:cs="宋体"/>
                <w:sz w:val="24"/>
              </w:rPr>
            </w:pPr>
            <w:r>
              <w:rPr>
                <w:rFonts w:hint="eastAsia" w:ascii="宋体" w:hAnsi="宋体" w:cs="宋体"/>
                <w:sz w:val="24"/>
              </w:rPr>
              <w:t>施工方案</w:t>
            </w:r>
          </w:p>
        </w:tc>
        <w:tc>
          <w:tcPr>
            <w:tcW w:w="913" w:type="dxa"/>
            <w:vMerge w:val="continue"/>
            <w:tcBorders>
              <w:tl2br w:val="nil"/>
              <w:tr2bl w:val="nil"/>
            </w:tcBorders>
            <w:vAlign w:val="center"/>
          </w:tcPr>
          <w:p>
            <w:pPr>
              <w:widowControl/>
              <w:spacing w:line="360" w:lineRule="auto"/>
              <w:jc w:val="left"/>
              <w:rPr>
                <w:rFonts w:ascii="宋体" w:hAnsi="宋体" w:cs="宋体"/>
                <w:bCs/>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rPr>
                <w:rFonts w:ascii="宋体" w:hAnsi="宋体" w:cs="宋体"/>
                <w:sz w:val="24"/>
              </w:rPr>
            </w:pPr>
            <w:r>
              <w:rPr>
                <w:rFonts w:hint="eastAsia" w:ascii="宋体" w:hAnsi="宋体" w:cs="宋体"/>
                <w:sz w:val="24"/>
              </w:rPr>
              <w:t>确保安全生产的技术组织措施</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rPr>
                <w:rFonts w:ascii="宋体" w:hAnsi="宋体" w:cs="宋体"/>
                <w:sz w:val="24"/>
              </w:rPr>
            </w:pPr>
            <w:r>
              <w:rPr>
                <w:rFonts w:hint="eastAsia" w:ascii="宋体" w:hAnsi="宋体" w:cs="宋体"/>
                <w:sz w:val="24"/>
              </w:rPr>
              <w:t>确保文明工地的技术组织措施及环境保护</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rPr>
                <w:rFonts w:ascii="宋体" w:hAnsi="宋体" w:cs="宋体"/>
                <w:sz w:val="24"/>
              </w:rPr>
            </w:pPr>
            <w:r>
              <w:rPr>
                <w:rFonts w:hint="eastAsia" w:ascii="宋体" w:hAnsi="宋体" w:cs="宋体"/>
                <w:sz w:val="24"/>
              </w:rPr>
              <w:t>劳动力计划及主要材料供应计划</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rPr>
                <w:rFonts w:ascii="宋体" w:hAnsi="宋体" w:cs="宋体"/>
                <w:sz w:val="24"/>
              </w:rPr>
            </w:pPr>
            <w:r>
              <w:rPr>
                <w:rFonts w:hint="eastAsia" w:ascii="宋体" w:hAnsi="宋体" w:cs="宋体"/>
                <w:sz w:val="24"/>
              </w:rPr>
              <w:t>施工机械设备供应计划表</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rPr>
                <w:rFonts w:ascii="宋体" w:hAnsi="宋体" w:cs="宋体"/>
                <w:sz w:val="24"/>
              </w:rPr>
            </w:pPr>
            <w:r>
              <w:rPr>
                <w:rFonts w:hint="eastAsia" w:ascii="宋体" w:hAnsi="宋体" w:cs="宋体"/>
                <w:sz w:val="24"/>
              </w:rPr>
              <w:t>确保工程质量保证措施</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施工进度计划及确保工期的技术措施</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9"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雨季施工管理防范措施</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820"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垃圾清运的计划</w:t>
            </w:r>
          </w:p>
        </w:tc>
        <w:tc>
          <w:tcPr>
            <w:tcW w:w="913" w:type="dxa"/>
            <w:vMerge w:val="continue"/>
            <w:tcBorders>
              <w:tl2br w:val="nil"/>
              <w:tr2bl w:val="nil"/>
            </w:tcBorders>
            <w:vAlign w:val="center"/>
          </w:tcPr>
          <w:p>
            <w:pPr>
              <w:tabs>
                <w:tab w:val="left" w:pos="540"/>
              </w:tabs>
              <w:spacing w:line="360" w:lineRule="auto"/>
              <w:ind w:right="105" w:rightChars="50"/>
              <w:rPr>
                <w:rFonts w:ascii="宋体" w:hAnsi="宋体" w:cs="宋体"/>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849" w:hRule="atLeast"/>
          <w:jc w:val="center"/>
        </w:trPr>
        <w:tc>
          <w:tcPr>
            <w:tcW w:w="820" w:type="dxa"/>
            <w:vMerge w:val="continue"/>
            <w:tcBorders>
              <w:tl2br w:val="nil"/>
              <w:tr2bl w:val="nil"/>
            </w:tcBorders>
            <w:vAlign w:val="center"/>
          </w:tcPr>
          <w:p>
            <w:pPr>
              <w:widowControl/>
              <w:spacing w:line="360" w:lineRule="auto"/>
              <w:jc w:val="center"/>
              <w:rPr>
                <w:rFonts w:ascii="宋体" w:hAnsi="宋体" w:cs="宋体"/>
                <w:bCs/>
                <w:kern w:val="0"/>
                <w:sz w:val="24"/>
              </w:rPr>
            </w:pP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jc w:val="left"/>
              <w:rPr>
                <w:rFonts w:ascii="宋体" w:hAnsi="宋体" w:cs="宋体"/>
                <w:bCs/>
                <w:kern w:val="0"/>
                <w:sz w:val="24"/>
              </w:rPr>
            </w:pPr>
            <w:r>
              <w:rPr>
                <w:rFonts w:hint="eastAsia" w:ascii="宋体" w:hAnsi="宋体" w:cs="宋体"/>
                <w:sz w:val="24"/>
              </w:rPr>
              <w:t>对项目经理及主要人员竣工前不得更换做出实质性承诺，不拖欠农民工工资承诺，确保工程进度不拖延工期承诺，评委自主赋分</w:t>
            </w:r>
          </w:p>
        </w:tc>
        <w:tc>
          <w:tcPr>
            <w:tcW w:w="913" w:type="dxa"/>
            <w:vMerge w:val="continue"/>
            <w:tcBorders>
              <w:tl2br w:val="nil"/>
              <w:tr2bl w:val="nil"/>
            </w:tcBorders>
            <w:vAlign w:val="center"/>
          </w:tcPr>
          <w:p>
            <w:pPr>
              <w:widowControl/>
              <w:spacing w:line="360" w:lineRule="auto"/>
              <w:jc w:val="left"/>
              <w:rPr>
                <w:rFonts w:ascii="宋体" w:hAnsi="宋体" w:cs="宋体"/>
                <w:bCs/>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99" w:hRule="atLeast"/>
          <w:jc w:val="center"/>
        </w:trPr>
        <w:tc>
          <w:tcPr>
            <w:tcW w:w="820" w:type="dxa"/>
            <w:tcBorders>
              <w:tl2br w:val="nil"/>
              <w:tr2bl w:val="nil"/>
            </w:tcBorders>
            <w:vAlign w:val="center"/>
          </w:tcPr>
          <w:p>
            <w:pPr>
              <w:widowControl/>
              <w:spacing w:line="360" w:lineRule="auto"/>
              <w:jc w:val="center"/>
              <w:rPr>
                <w:rFonts w:ascii="宋体" w:hAnsi="宋体" w:cs="宋体"/>
                <w:bCs/>
                <w:kern w:val="0"/>
                <w:sz w:val="24"/>
              </w:rPr>
            </w:pPr>
            <w:r>
              <w:rPr>
                <w:rFonts w:hint="eastAsia" w:ascii="宋体" w:hAnsi="宋体" w:cs="宋体"/>
                <w:bCs/>
                <w:kern w:val="0"/>
                <w:sz w:val="24"/>
              </w:rPr>
              <w:t>工程质量承诺</w:t>
            </w: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完全承诺招标文件和合同条款，并针对本项目实际需求提供实质性承诺或合理化建议</w:t>
            </w:r>
          </w:p>
        </w:tc>
        <w:tc>
          <w:tcPr>
            <w:tcW w:w="913" w:type="dxa"/>
            <w:tcBorders>
              <w:tl2br w:val="nil"/>
              <w:tr2bl w:val="nil"/>
            </w:tcBorders>
            <w:vAlign w:val="center"/>
          </w:tcPr>
          <w:p>
            <w:pPr>
              <w:widowControl/>
              <w:spacing w:line="360" w:lineRule="auto"/>
              <w:jc w:val="center"/>
              <w:rPr>
                <w:rFonts w:ascii="宋体" w:hAnsi="宋体" w:cs="宋体"/>
                <w:bCs/>
                <w:kern w:val="0"/>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099" w:hRule="atLeast"/>
          <w:jc w:val="center"/>
        </w:trPr>
        <w:tc>
          <w:tcPr>
            <w:tcW w:w="820" w:type="dxa"/>
            <w:tcBorders>
              <w:tl2br w:val="nil"/>
              <w:tr2bl w:val="nil"/>
            </w:tcBorders>
            <w:vAlign w:val="center"/>
          </w:tcPr>
          <w:p>
            <w:pPr>
              <w:widowControl/>
              <w:spacing w:line="360" w:lineRule="auto"/>
              <w:jc w:val="center"/>
              <w:rPr>
                <w:rFonts w:ascii="宋体" w:hAnsi="宋体" w:cs="宋体"/>
                <w:bCs/>
                <w:kern w:val="0"/>
                <w:sz w:val="24"/>
              </w:rPr>
            </w:pPr>
            <w:r>
              <w:rPr>
                <w:rFonts w:hint="eastAsia" w:ascii="宋体" w:hAnsi="宋体" w:cs="宋体"/>
                <w:bCs/>
                <w:kern w:val="0"/>
                <w:sz w:val="24"/>
              </w:rPr>
              <w:t>后续服务</w:t>
            </w:r>
          </w:p>
        </w:tc>
        <w:tc>
          <w:tcPr>
            <w:tcW w:w="816" w:type="dxa"/>
            <w:tcBorders>
              <w:tl2br w:val="nil"/>
              <w:tr2bl w:val="nil"/>
            </w:tcBorders>
            <w:vAlign w:val="center"/>
          </w:tcPr>
          <w:p>
            <w:pPr>
              <w:widowControl/>
              <w:spacing w:line="360" w:lineRule="auto"/>
              <w:jc w:val="center"/>
              <w:rPr>
                <w:rFonts w:ascii="宋体" w:hAnsi="宋体" w:cs="宋体"/>
                <w:sz w:val="24"/>
              </w:rPr>
            </w:pPr>
            <w:r>
              <w:rPr>
                <w:rFonts w:hint="eastAsia" w:ascii="宋体" w:hAnsi="宋体" w:cs="宋体"/>
                <w:sz w:val="24"/>
              </w:rPr>
              <w:t>0-5</w:t>
            </w:r>
          </w:p>
        </w:tc>
        <w:tc>
          <w:tcPr>
            <w:tcW w:w="6525" w:type="dxa"/>
            <w:tcBorders>
              <w:tl2br w:val="nil"/>
              <w:tr2bl w:val="nil"/>
            </w:tcBorders>
            <w:vAlign w:val="center"/>
          </w:tcPr>
          <w:p>
            <w:pPr>
              <w:widowControl/>
              <w:spacing w:line="360" w:lineRule="auto"/>
              <w:jc w:val="left"/>
              <w:rPr>
                <w:rFonts w:ascii="宋体" w:hAnsi="宋体" w:cs="宋体"/>
                <w:sz w:val="24"/>
              </w:rPr>
            </w:pPr>
            <w:r>
              <w:rPr>
                <w:rFonts w:hint="eastAsia" w:ascii="宋体" w:hAnsi="宋体" w:cs="宋体"/>
                <w:sz w:val="24"/>
              </w:rPr>
              <w:t>后续服务条款具体、可行；并有详细的后续服务措施承诺且具体、可行</w:t>
            </w:r>
          </w:p>
        </w:tc>
        <w:tc>
          <w:tcPr>
            <w:tcW w:w="913" w:type="dxa"/>
            <w:tcBorders>
              <w:tl2br w:val="nil"/>
              <w:tr2bl w:val="nil"/>
            </w:tcBorders>
            <w:vAlign w:val="center"/>
          </w:tcPr>
          <w:p>
            <w:pPr>
              <w:widowControl/>
              <w:spacing w:line="360" w:lineRule="auto"/>
              <w:jc w:val="center"/>
              <w:rPr>
                <w:rFonts w:ascii="宋体" w:hAnsi="宋体" w:cs="宋体"/>
                <w:bCs/>
                <w:kern w:val="0"/>
                <w:sz w:val="24"/>
              </w:rPr>
            </w:pPr>
          </w:p>
        </w:tc>
      </w:tr>
    </w:tbl>
    <w:p>
      <w:pPr>
        <w:widowControl/>
        <w:adjustRightInd w:val="0"/>
        <w:snapToGrid w:val="0"/>
        <w:spacing w:beforeLines="50" w:line="360" w:lineRule="auto"/>
        <w:rPr>
          <w:rFonts w:ascii="宋体" w:hAnsi="宋体" w:cs="宋体"/>
          <w:sz w:val="24"/>
        </w:rPr>
      </w:pPr>
      <w:r>
        <w:rPr>
          <w:rFonts w:hint="eastAsia" w:ascii="宋体" w:hAnsi="宋体" w:cs="宋体"/>
          <w:sz w:val="24"/>
        </w:rPr>
        <w:t>注：各种计算数字“四舍五入”保留两位小数。</w:t>
      </w:r>
    </w:p>
    <w:p>
      <w:pPr>
        <w:widowControl/>
        <w:adjustRightInd w:val="0"/>
        <w:snapToGrid w:val="0"/>
        <w:spacing w:beforeLines="50" w:line="360" w:lineRule="auto"/>
        <w:rPr>
          <w:rFonts w:ascii="宋体" w:hAnsi="宋体" w:cs="宋体"/>
          <w:sz w:val="24"/>
        </w:rPr>
      </w:pPr>
      <w:r>
        <w:rPr>
          <w:rFonts w:hint="eastAsia"/>
        </w:rPr>
        <w:t xml:space="preserve">   </w:t>
      </w:r>
      <w:r>
        <w:rPr>
          <w:rFonts w:hint="eastAsia" w:ascii="宋体" w:hAnsi="宋体" w:cs="宋体"/>
          <w:sz w:val="24"/>
        </w:rPr>
        <w:t xml:space="preserve"> 7、在竞争性磋商中，出现下列情形之一的，应予废标：</w:t>
      </w:r>
    </w:p>
    <w:p>
      <w:pPr>
        <w:widowControl/>
        <w:adjustRightInd w:val="0"/>
        <w:snapToGrid w:val="0"/>
        <w:spacing w:beforeLines="50" w:line="360" w:lineRule="auto"/>
        <w:rPr>
          <w:rFonts w:ascii="宋体" w:hAnsi="宋体" w:cs="宋体"/>
          <w:sz w:val="24"/>
        </w:rPr>
      </w:pPr>
      <w:r>
        <w:rPr>
          <w:rFonts w:hint="eastAsia" w:ascii="宋体" w:hAnsi="宋体" w:cs="宋体"/>
          <w:sz w:val="24"/>
        </w:rPr>
        <w:t xml:space="preserve">    7.1最终磋商响应单位或对响应文件实质性响应不足3家的；</w:t>
      </w:r>
    </w:p>
    <w:p>
      <w:pPr>
        <w:widowControl/>
        <w:adjustRightInd w:val="0"/>
        <w:snapToGrid w:val="0"/>
        <w:spacing w:beforeLines="50" w:line="360" w:lineRule="auto"/>
        <w:rPr>
          <w:rFonts w:ascii="宋体" w:hAnsi="宋体" w:cs="宋体"/>
          <w:sz w:val="24"/>
        </w:rPr>
      </w:pPr>
      <w:r>
        <w:rPr>
          <w:rFonts w:hint="eastAsia" w:ascii="宋体" w:hAnsi="宋体" w:cs="宋体"/>
          <w:sz w:val="24"/>
        </w:rPr>
        <w:t xml:space="preserve">    7.2出现影响采购公正的违法、违规行为的；</w:t>
      </w:r>
    </w:p>
    <w:p>
      <w:pPr>
        <w:widowControl/>
        <w:adjustRightInd w:val="0"/>
        <w:snapToGrid w:val="0"/>
        <w:spacing w:beforeLines="50" w:line="360" w:lineRule="auto"/>
        <w:rPr>
          <w:rFonts w:ascii="宋体" w:hAnsi="宋体" w:cs="宋体"/>
          <w:sz w:val="24"/>
        </w:rPr>
      </w:pPr>
      <w:r>
        <w:rPr>
          <w:rFonts w:hint="eastAsia" w:ascii="宋体" w:hAnsi="宋体" w:cs="宋体"/>
          <w:sz w:val="24"/>
        </w:rPr>
        <w:t xml:space="preserve">    7.3磋商响应单位的最终磋商报价均超过采购预算，采购人不能支付的；</w:t>
      </w:r>
    </w:p>
    <w:p>
      <w:pPr>
        <w:widowControl/>
        <w:adjustRightInd w:val="0"/>
        <w:snapToGrid w:val="0"/>
        <w:spacing w:beforeLines="50" w:line="360" w:lineRule="auto"/>
        <w:rPr>
          <w:rFonts w:ascii="宋体" w:hAnsi="宋体" w:cs="宋体"/>
          <w:sz w:val="24"/>
        </w:rPr>
      </w:pPr>
      <w:r>
        <w:rPr>
          <w:sz w:val="24"/>
        </w:rPr>
        <w:t xml:space="preserve">   </w:t>
      </w:r>
      <w:r>
        <w:rPr>
          <w:rFonts w:hint="eastAsia" w:ascii="宋体" w:hAnsi="宋体" w:cs="宋体"/>
          <w:sz w:val="24"/>
        </w:rPr>
        <w:t xml:space="preserve"> 7.4因重大变故，采购任务取消的；</w:t>
      </w:r>
    </w:p>
    <w:p>
      <w:pPr>
        <w:widowControl/>
        <w:adjustRightInd w:val="0"/>
        <w:snapToGrid w:val="0"/>
        <w:spacing w:beforeLines="50" w:line="360" w:lineRule="auto"/>
        <w:rPr>
          <w:rFonts w:ascii="宋体" w:hAnsi="宋体" w:cs="宋体"/>
          <w:sz w:val="24"/>
        </w:rPr>
      </w:pPr>
      <w:r>
        <w:rPr>
          <w:rFonts w:hint="eastAsia" w:ascii="宋体" w:hAnsi="宋体" w:cs="宋体"/>
          <w:sz w:val="24"/>
        </w:rPr>
        <w:t xml:space="preserve">    7.5法律、法规规定其他满足废标情况的。</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8、推荐成交候选人</w:t>
      </w:r>
    </w:p>
    <w:p>
      <w:pPr>
        <w:adjustRightInd w:val="0"/>
        <w:snapToGrid w:val="0"/>
        <w:spacing w:line="360" w:lineRule="auto"/>
        <w:rPr>
          <w:rFonts w:ascii="宋体" w:hAnsi="宋体" w:cs="宋体"/>
          <w:sz w:val="24"/>
        </w:rPr>
      </w:pPr>
      <w:r>
        <w:rPr>
          <w:rFonts w:hint="eastAsia" w:ascii="宋体" w:hAnsi="宋体" w:cs="宋体"/>
          <w:sz w:val="24"/>
        </w:rPr>
        <w:t xml:space="preserve">    按评审后得分由高到低顺序排列。得分相同的，按磋商报价由低到高顺序排列。得分且磋商报价相同的，按技术指标优劣顺序排列。</w:t>
      </w:r>
    </w:p>
    <w:p>
      <w:pPr>
        <w:adjustRightInd w:val="0"/>
        <w:snapToGrid w:val="0"/>
        <w:spacing w:line="360" w:lineRule="auto"/>
        <w:rPr>
          <w:rFonts w:ascii="宋体" w:hAnsi="宋体" w:cs="宋体"/>
          <w:sz w:val="24"/>
        </w:rPr>
      </w:pPr>
      <w:r>
        <w:rPr>
          <w:rFonts w:hint="eastAsia" w:ascii="宋体" w:hAnsi="宋体" w:cs="宋体"/>
          <w:b/>
          <w:bCs/>
          <w:sz w:val="24"/>
        </w:rPr>
        <w:t xml:space="preserve">    </w:t>
      </w:r>
      <w:r>
        <w:rPr>
          <w:rFonts w:hint="eastAsia" w:ascii="宋体" w:hAnsi="宋体" w:cs="宋体"/>
          <w:sz w:val="24"/>
        </w:rPr>
        <w:t>9、评标报告</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磋商小组完成评标后，应当向招标人提交书面评标报告。评标报告应由全体磋商小组成员签字。</w:t>
      </w:r>
    </w:p>
    <w:p>
      <w:pPr>
        <w:pStyle w:val="4"/>
        <w:numPr>
          <w:ilvl w:val="0"/>
          <w:numId w:val="0"/>
        </w:numPr>
        <w:spacing w:line="360" w:lineRule="auto"/>
        <w:rPr>
          <w:rFonts w:ascii="Times New Roman" w:eastAsia="宋体"/>
          <w:b/>
          <w:bCs/>
          <w:kern w:val="2"/>
          <w:sz w:val="30"/>
          <w:szCs w:val="30"/>
        </w:rPr>
      </w:pPr>
      <w:bookmarkStart w:id="11" w:name="_Toc444269702"/>
      <w:r>
        <w:rPr>
          <w:rFonts w:ascii="Times New Roman" w:eastAsia="宋体"/>
          <w:sz w:val="24"/>
          <w:szCs w:val="24"/>
          <w:lang w:val="zh-CN"/>
        </w:rPr>
        <w:br w:type="page"/>
      </w:r>
      <w:bookmarkStart w:id="12" w:name="_Toc18298"/>
      <w:r>
        <w:rPr>
          <w:rFonts w:hint="eastAsia" w:asciiTheme="majorEastAsia" w:hAnsiTheme="majorEastAsia" w:eastAsiaTheme="majorEastAsia" w:cstheme="majorEastAsia"/>
          <w:b/>
          <w:bCs/>
          <w:kern w:val="2"/>
          <w:sz w:val="32"/>
          <w:szCs w:val="32"/>
          <w:lang w:val="zh-CN"/>
        </w:rPr>
        <w:t>第五章</w:t>
      </w:r>
      <w:r>
        <w:rPr>
          <w:rFonts w:hint="eastAsia" w:asciiTheme="majorEastAsia" w:hAnsiTheme="majorEastAsia" w:eastAsiaTheme="majorEastAsia" w:cstheme="majorEastAsia"/>
          <w:sz w:val="32"/>
          <w:szCs w:val="32"/>
          <w:lang w:val="zh-CN"/>
        </w:rPr>
        <w:t>　</w:t>
      </w:r>
      <w:r>
        <w:rPr>
          <w:rFonts w:hint="eastAsia" w:asciiTheme="majorEastAsia" w:hAnsiTheme="majorEastAsia" w:eastAsiaTheme="majorEastAsia" w:cstheme="majorEastAsia"/>
          <w:b/>
          <w:bCs/>
          <w:kern w:val="2"/>
          <w:sz w:val="32"/>
          <w:szCs w:val="32"/>
        </w:rPr>
        <w:t>采购内容及要求</w:t>
      </w:r>
      <w:bookmarkEnd w:id="12"/>
    </w:p>
    <w:p>
      <w:pPr>
        <w:pStyle w:val="9"/>
        <w:ind w:firstLine="480"/>
        <w:rPr>
          <w:sz w:val="24"/>
        </w:rPr>
      </w:pPr>
    </w:p>
    <w:p>
      <w:pPr>
        <w:pStyle w:val="9"/>
        <w:ind w:firstLine="480"/>
        <w:rPr>
          <w:sz w:val="24"/>
        </w:rPr>
      </w:pPr>
    </w:p>
    <w:p>
      <w:pPr>
        <w:pStyle w:val="9"/>
        <w:ind w:firstLine="0" w:firstLineChars="0"/>
        <w:jc w:val="center"/>
        <w:rPr>
          <w:sz w:val="24"/>
        </w:rPr>
      </w:pPr>
      <w:r>
        <w:rPr>
          <w:rFonts w:hint="eastAsia"/>
          <w:sz w:val="24"/>
        </w:rPr>
        <w:t>详见工程量清单（附后）</w:t>
      </w: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spacing w:line="360" w:lineRule="auto"/>
        <w:rPr>
          <w:sz w:val="24"/>
        </w:rPr>
      </w:pPr>
    </w:p>
    <w:p>
      <w:pPr>
        <w:spacing w:line="360" w:lineRule="auto"/>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spacing w:line="360" w:lineRule="auto"/>
        <w:rPr>
          <w:sz w:val="24"/>
        </w:rPr>
      </w:pPr>
    </w:p>
    <w:p>
      <w:pPr>
        <w:spacing w:line="440" w:lineRule="exact"/>
        <w:jc w:val="center"/>
        <w:outlineLvl w:val="0"/>
        <w:rPr>
          <w:b/>
          <w:bCs/>
          <w:sz w:val="32"/>
          <w:szCs w:val="32"/>
        </w:rPr>
      </w:pPr>
      <w:bookmarkStart w:id="13" w:name="_Toc26337"/>
      <w:r>
        <w:rPr>
          <w:rFonts w:hint="eastAsia" w:asciiTheme="majorEastAsia" w:hAnsiTheme="majorEastAsia" w:eastAsiaTheme="majorEastAsia" w:cstheme="majorEastAsia"/>
          <w:b/>
          <w:bCs/>
          <w:sz w:val="32"/>
          <w:szCs w:val="32"/>
        </w:rPr>
        <w:t>第六章　合同草案条款</w:t>
      </w:r>
      <w:bookmarkEnd w:id="13"/>
    </w:p>
    <w:p>
      <w:pPr>
        <w:tabs>
          <w:tab w:val="left" w:pos="0"/>
          <w:tab w:val="left" w:pos="993"/>
          <w:tab w:val="left" w:pos="1134"/>
        </w:tabs>
        <w:wordWrap w:val="0"/>
        <w:adjustRightInd w:val="0"/>
        <w:snapToGrid w:val="0"/>
        <w:spacing w:line="400" w:lineRule="exact"/>
        <w:ind w:firstLine="7440" w:firstLineChars="3100"/>
        <w:rPr>
          <w:snapToGrid w:val="0"/>
          <w:sz w:val="24"/>
        </w:rPr>
      </w:pPr>
      <w:r>
        <w:rPr>
          <w:rFonts w:hint="eastAsia"/>
          <w:snapToGrid w:val="0"/>
          <w:sz w:val="24"/>
        </w:rPr>
        <w:t>编号：</w:t>
      </w:r>
    </w:p>
    <w:p>
      <w:pPr>
        <w:tabs>
          <w:tab w:val="left" w:pos="0"/>
          <w:tab w:val="left" w:pos="993"/>
          <w:tab w:val="left" w:pos="1134"/>
        </w:tabs>
        <w:adjustRightInd w:val="0"/>
        <w:snapToGrid w:val="0"/>
        <w:spacing w:line="400" w:lineRule="exact"/>
        <w:ind w:firstLine="480" w:firstLineChars="200"/>
        <w:rPr>
          <w:snapToGrid w:val="0"/>
          <w:sz w:val="24"/>
        </w:rPr>
      </w:pPr>
    </w:p>
    <w:p>
      <w:pPr>
        <w:tabs>
          <w:tab w:val="left" w:pos="0"/>
          <w:tab w:val="left" w:pos="993"/>
          <w:tab w:val="left" w:pos="1134"/>
        </w:tabs>
        <w:adjustRightInd w:val="0"/>
        <w:snapToGrid w:val="0"/>
        <w:spacing w:line="400" w:lineRule="exact"/>
        <w:ind w:firstLine="480" w:firstLineChars="200"/>
        <w:rPr>
          <w:snapToGrid w:val="0"/>
          <w:sz w:val="24"/>
        </w:rPr>
      </w:pPr>
    </w:p>
    <w:p>
      <w:pPr>
        <w:widowControl/>
        <w:jc w:val="center"/>
        <w:rPr>
          <w:rFonts w:ascii="宋体" w:hAnsi="宋体"/>
          <w:b/>
          <w:bCs/>
          <w:kern w:val="0"/>
          <w:sz w:val="36"/>
          <w:szCs w:val="36"/>
        </w:rPr>
      </w:pPr>
      <w:r>
        <w:rPr>
          <w:rFonts w:hint="eastAsia" w:ascii="宋体" w:hAnsi="宋体"/>
          <w:b/>
          <w:bCs/>
          <w:kern w:val="0"/>
          <w:sz w:val="36"/>
          <w:szCs w:val="36"/>
        </w:rPr>
        <w:t>西安市高陵区银王中心小学户外提升改造项目</w:t>
      </w:r>
    </w:p>
    <w:p>
      <w:pPr>
        <w:widowControl/>
        <w:jc w:val="center"/>
        <w:rPr>
          <w:rFonts w:ascii="宋体" w:hAnsi="宋体"/>
          <w:b/>
          <w:bCs/>
          <w:kern w:val="0"/>
          <w:sz w:val="36"/>
          <w:szCs w:val="36"/>
        </w:rPr>
      </w:pPr>
      <w:r>
        <w:rPr>
          <w:rFonts w:hint="eastAsia" w:ascii="宋体" w:hAnsi="宋体"/>
          <w:b/>
          <w:bCs/>
          <w:kern w:val="0"/>
          <w:sz w:val="36"/>
          <w:szCs w:val="36"/>
        </w:rPr>
        <w:t>施工合同（参考格式）</w:t>
      </w:r>
    </w:p>
    <w:p>
      <w:pPr>
        <w:widowControl/>
        <w:ind w:firstLine="200"/>
        <w:jc w:val="center"/>
        <w:rPr>
          <w:b/>
          <w:bCs/>
          <w:kern w:val="0"/>
          <w:sz w:val="44"/>
          <w:szCs w:val="44"/>
        </w:rPr>
      </w:pPr>
    </w:p>
    <w:p>
      <w:pPr>
        <w:widowControl/>
        <w:ind w:firstLine="200"/>
        <w:jc w:val="center"/>
        <w:rPr>
          <w:b/>
          <w:bCs/>
          <w:color w:val="2F5496" w:themeColor="accent5" w:themeShade="BF"/>
          <w:kern w:val="0"/>
          <w:sz w:val="44"/>
          <w:szCs w:val="44"/>
        </w:rPr>
      </w:pPr>
    </w:p>
    <w:p>
      <w:pPr>
        <w:widowControl/>
        <w:ind w:firstLine="200"/>
        <w:jc w:val="center"/>
        <w:rPr>
          <w:b/>
          <w:bCs/>
          <w:color w:val="2F5496" w:themeColor="accent5" w:themeShade="BF"/>
          <w:kern w:val="0"/>
          <w:sz w:val="44"/>
          <w:szCs w:val="44"/>
        </w:rPr>
      </w:pPr>
    </w:p>
    <w:p>
      <w:pPr>
        <w:widowControl/>
        <w:ind w:firstLine="200"/>
        <w:jc w:val="center"/>
        <w:rPr>
          <w:b/>
          <w:bCs/>
          <w:color w:val="2F5496" w:themeColor="accent5" w:themeShade="BF"/>
          <w:kern w:val="0"/>
          <w:sz w:val="44"/>
          <w:szCs w:val="44"/>
        </w:rPr>
      </w:pPr>
    </w:p>
    <w:p>
      <w:pPr>
        <w:widowControl/>
        <w:ind w:firstLine="200"/>
        <w:jc w:val="center"/>
        <w:rPr>
          <w:b/>
          <w:bCs/>
          <w:color w:val="2F5496" w:themeColor="accent5" w:themeShade="BF"/>
          <w:kern w:val="0"/>
          <w:sz w:val="44"/>
          <w:szCs w:val="44"/>
        </w:rPr>
      </w:pPr>
    </w:p>
    <w:p>
      <w:pPr>
        <w:widowControl/>
        <w:ind w:firstLine="200"/>
        <w:jc w:val="center"/>
        <w:rPr>
          <w:b/>
          <w:bCs/>
          <w:color w:val="2F5496" w:themeColor="accent5" w:themeShade="BF"/>
          <w:kern w:val="0"/>
          <w:sz w:val="44"/>
          <w:szCs w:val="44"/>
        </w:rPr>
      </w:pPr>
    </w:p>
    <w:p>
      <w:pPr>
        <w:widowControl/>
        <w:rPr>
          <w:b/>
          <w:bCs/>
          <w:color w:val="2F5496" w:themeColor="accent5" w:themeShade="BF"/>
          <w:kern w:val="0"/>
          <w:sz w:val="44"/>
          <w:szCs w:val="44"/>
        </w:rPr>
      </w:pPr>
    </w:p>
    <w:p>
      <w:pPr>
        <w:widowControl/>
        <w:ind w:firstLine="200"/>
        <w:jc w:val="center"/>
        <w:rPr>
          <w:b/>
          <w:bCs/>
          <w:color w:val="2F5496" w:themeColor="accent5" w:themeShade="BF"/>
          <w:kern w:val="0"/>
          <w:sz w:val="44"/>
          <w:szCs w:val="44"/>
        </w:rPr>
      </w:pPr>
    </w:p>
    <w:p>
      <w:pPr>
        <w:widowControl/>
        <w:ind w:firstLine="200"/>
        <w:jc w:val="center"/>
        <w:rPr>
          <w:b/>
          <w:bCs/>
          <w:color w:val="2F5496" w:themeColor="accent5" w:themeShade="BF"/>
          <w:kern w:val="0"/>
          <w:sz w:val="44"/>
          <w:szCs w:val="44"/>
        </w:rPr>
      </w:pPr>
      <w:r>
        <w:rPr>
          <w:rFonts w:hint="eastAsia"/>
          <w:b/>
          <w:bCs/>
          <w:color w:val="2F5496" w:themeColor="accent5" w:themeShade="BF"/>
          <w:kern w:val="0"/>
          <w:sz w:val="44"/>
          <w:szCs w:val="44"/>
        </w:rPr>
        <w:t xml:space="preserve">                                                                                                                                                                           </w:t>
      </w:r>
    </w:p>
    <w:p>
      <w:pPr>
        <w:pStyle w:val="9"/>
      </w:pPr>
    </w:p>
    <w:p>
      <w:pPr>
        <w:widowControl/>
        <w:ind w:firstLine="200"/>
        <w:jc w:val="center"/>
        <w:rPr>
          <w:b/>
          <w:bCs/>
          <w:color w:val="2F5496" w:themeColor="accent5" w:themeShade="BF"/>
          <w:kern w:val="0"/>
          <w:sz w:val="44"/>
          <w:szCs w:val="44"/>
        </w:rPr>
      </w:pPr>
    </w:p>
    <w:p>
      <w:pPr>
        <w:widowControl/>
        <w:ind w:firstLine="200"/>
        <w:jc w:val="center"/>
        <w:rPr>
          <w:b/>
          <w:bCs/>
          <w:color w:val="2F5496" w:themeColor="accent5" w:themeShade="BF"/>
          <w:kern w:val="0"/>
          <w:sz w:val="44"/>
          <w:szCs w:val="44"/>
        </w:rPr>
      </w:pPr>
    </w:p>
    <w:p>
      <w:pPr>
        <w:widowControl/>
        <w:ind w:firstLine="200"/>
        <w:jc w:val="center"/>
        <w:rPr>
          <w:b/>
          <w:bCs/>
          <w:color w:val="2F5496" w:themeColor="accent5" w:themeShade="BF"/>
          <w:kern w:val="0"/>
          <w:sz w:val="44"/>
          <w:szCs w:val="44"/>
        </w:rPr>
      </w:pPr>
      <w:r>
        <w:rPr>
          <w:rFonts w:hint="eastAsia"/>
          <w:b/>
          <w:bCs/>
          <w:color w:val="2F5496" w:themeColor="accent5" w:themeShade="BF"/>
          <w:kern w:val="0"/>
          <w:sz w:val="44"/>
          <w:szCs w:val="44"/>
        </w:rPr>
        <w:t xml:space="preserve"> </w:t>
      </w:r>
    </w:p>
    <w:p>
      <w:pPr>
        <w:widowControl/>
        <w:ind w:firstLine="200"/>
        <w:jc w:val="center"/>
        <w:rPr>
          <w:b/>
          <w:bCs/>
          <w:color w:val="2F5496" w:themeColor="accent5" w:themeShade="BF"/>
          <w:kern w:val="0"/>
          <w:sz w:val="44"/>
          <w:szCs w:val="44"/>
        </w:rPr>
      </w:pPr>
      <w:r>
        <w:rPr>
          <w:rFonts w:hint="eastAsia"/>
          <w:b/>
          <w:bCs/>
          <w:color w:val="2F5496" w:themeColor="accent5" w:themeShade="BF"/>
          <w:kern w:val="0"/>
          <w:sz w:val="44"/>
          <w:szCs w:val="44"/>
        </w:rPr>
        <w:t xml:space="preserve">  </w:t>
      </w:r>
    </w:p>
    <w:p>
      <w:pPr>
        <w:widowControl/>
        <w:jc w:val="center"/>
        <w:rPr>
          <w:b/>
          <w:bCs/>
          <w:kern w:val="0"/>
          <w:sz w:val="32"/>
          <w:szCs w:val="32"/>
        </w:rPr>
      </w:pPr>
      <w:r>
        <w:rPr>
          <w:b/>
          <w:bCs/>
          <w:kern w:val="0"/>
          <w:sz w:val="32"/>
          <w:szCs w:val="32"/>
        </w:rPr>
        <mc:AlternateContent>
          <mc:Choice Requires="wps">
            <w:drawing>
              <wp:anchor distT="0" distB="0" distL="114300" distR="114300" simplePos="0" relativeHeight="251659264" behindDoc="0" locked="0" layoutInCell="1" allowOverlap="1">
                <wp:simplePos x="0" y="0"/>
                <wp:positionH relativeFrom="column">
                  <wp:posOffset>4000500</wp:posOffset>
                </wp:positionH>
                <wp:positionV relativeFrom="paragraph">
                  <wp:posOffset>100330</wp:posOffset>
                </wp:positionV>
                <wp:extent cx="685800" cy="594360"/>
                <wp:effectExtent l="4445" t="4445" r="14605" b="10795"/>
                <wp:wrapNone/>
                <wp:docPr id="1" name="矩形 22"/>
                <wp:cNvGraphicFramePr/>
                <a:graphic xmlns:a="http://schemas.openxmlformats.org/drawingml/2006/main">
                  <a:graphicData uri="http://schemas.microsoft.com/office/word/2010/wordprocessingShape">
                    <wps:wsp>
                      <wps:cNvSpPr/>
                      <wps:spPr>
                        <a:xfrm>
                          <a:off x="0" y="0"/>
                          <a:ext cx="685800" cy="594360"/>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rPr>
                                <w:rFonts w:ascii="宋体" w:hAnsi="宋体"/>
                                <w:b/>
                                <w:sz w:val="32"/>
                                <w:szCs w:val="32"/>
                              </w:rPr>
                            </w:pPr>
                            <w:r>
                              <w:rPr>
                                <w:rFonts w:hint="eastAsia" w:ascii="宋体" w:hAnsi="宋体"/>
                                <w:b/>
                                <w:sz w:val="32"/>
                                <w:szCs w:val="32"/>
                              </w:rPr>
                              <w:t>制</w:t>
                            </w:r>
                          </w:p>
                        </w:txbxContent>
                      </wps:txbx>
                      <wps:bodyPr upright="1"/>
                    </wps:wsp>
                  </a:graphicData>
                </a:graphic>
              </wp:anchor>
            </w:drawing>
          </mc:Choice>
          <mc:Fallback>
            <w:pict>
              <v:rect id="矩形 22" o:spid="_x0000_s1026" o:spt="1" style="position:absolute;left:0pt;margin-left:315pt;margin-top:7.9pt;height:46.8pt;width:54pt;z-index:251659264;mso-width-relative:page;mso-height-relative:page;" fillcolor="#FFFFFF" filled="t" stroked="t" coordsize="21600,21600" o:gfxdata="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fNv7XAAAACgEAAA8AAAAAAAAAAQAgAAAAIgAAAGRycy9k&#10;b3ducmV2LnhtbFBLAQIUABQAAAAIAIdO4kADZY3QAwIAADcEAAAOAAAAAAAAAAEAIAAAACYBAABk&#10;cnMvZTJvRG9jLnhtbFBLBQYAAAAABgAGAFkBAACbBQAAAAA=&#10;">
                <v:fill on="t" focussize="0,0"/>
                <v:stroke color="#FFFFFF" joinstyle="miter"/>
                <v:imagedata o:title=""/>
                <o:lock v:ext="edit" aspectratio="f"/>
                <v:textbox>
                  <w:txbxContent>
                    <w:p>
                      <w:pPr>
                        <w:rPr>
                          <w:rFonts w:ascii="宋体" w:hAnsi="宋体"/>
                          <w:b/>
                          <w:sz w:val="32"/>
                          <w:szCs w:val="32"/>
                        </w:rPr>
                      </w:pPr>
                      <w:r>
                        <w:rPr>
                          <w:rFonts w:hint="eastAsia" w:ascii="宋体" w:hAnsi="宋体"/>
                          <w:b/>
                          <w:sz w:val="32"/>
                          <w:szCs w:val="32"/>
                        </w:rPr>
                        <w:t>制</w:t>
                      </w:r>
                    </w:p>
                  </w:txbxContent>
                </v:textbox>
              </v:rect>
            </w:pict>
          </mc:Fallback>
        </mc:AlternateContent>
      </w:r>
      <w:r>
        <w:rPr>
          <w:b/>
          <w:bCs/>
          <w:spacing w:val="95"/>
          <w:kern w:val="0"/>
          <w:sz w:val="32"/>
          <w:szCs w:val="32"/>
        </w:rPr>
        <w:t>陕西省建设</w:t>
      </w:r>
      <w:r>
        <w:rPr>
          <w:b/>
          <w:bCs/>
          <w:kern w:val="0"/>
          <w:sz w:val="32"/>
          <w:szCs w:val="32"/>
        </w:rPr>
        <w:t>厅</w:t>
      </w:r>
    </w:p>
    <w:p>
      <w:pPr>
        <w:widowControl/>
        <w:jc w:val="center"/>
        <w:rPr>
          <w:b/>
          <w:bCs/>
          <w:kern w:val="0"/>
          <w:sz w:val="32"/>
          <w:szCs w:val="32"/>
        </w:rPr>
      </w:pPr>
      <w:r>
        <w:rPr>
          <w:b/>
          <w:bCs/>
          <w:w w:val="81"/>
          <w:kern w:val="0"/>
          <w:sz w:val="32"/>
          <w:szCs w:val="32"/>
        </w:rPr>
        <w:t>陕西省工商行政管理局</w:t>
      </w:r>
    </w:p>
    <w:p>
      <w:pPr>
        <w:widowControl/>
        <w:jc w:val="center"/>
        <w:rPr>
          <w:sz w:val="28"/>
          <w:szCs w:val="28"/>
        </w:rPr>
      </w:pPr>
      <w:r>
        <w:rPr>
          <w:b/>
          <w:bCs/>
          <w:w w:val="81"/>
          <w:kern w:val="0"/>
          <w:sz w:val="32"/>
          <w:szCs w:val="32"/>
        </w:rPr>
        <w:t>二零</w:t>
      </w:r>
      <w:r>
        <w:rPr>
          <w:rFonts w:hint="eastAsia"/>
          <w:b/>
          <w:bCs/>
          <w:w w:val="81"/>
          <w:kern w:val="0"/>
          <w:sz w:val="32"/>
          <w:szCs w:val="32"/>
        </w:rPr>
        <w:t>二一</w:t>
      </w:r>
      <w:r>
        <w:rPr>
          <w:b/>
          <w:bCs/>
          <w:w w:val="81"/>
          <w:kern w:val="0"/>
          <w:sz w:val="32"/>
          <w:szCs w:val="32"/>
        </w:rPr>
        <w:t>年</w:t>
      </w:r>
      <w:bookmarkStart w:id="14" w:name="_Toc231459932"/>
      <w:r>
        <w:rPr>
          <w:rFonts w:hint="eastAsia"/>
          <w:b/>
          <w:bCs/>
          <w:w w:val="81"/>
          <w:kern w:val="0"/>
          <w:sz w:val="32"/>
          <w:szCs w:val="32"/>
        </w:rPr>
        <w:t xml:space="preserve">   月 </w:t>
      </w:r>
      <w:r>
        <w:rPr>
          <w:sz w:val="24"/>
        </w:rPr>
        <w:br w:type="page"/>
      </w:r>
      <w:r>
        <w:rPr>
          <w:sz w:val="28"/>
          <w:szCs w:val="28"/>
        </w:rPr>
        <w:t>第一部分  协议书</w:t>
      </w:r>
      <w:bookmarkEnd w:id="14"/>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发包人（全称）：</w:t>
      </w:r>
      <w:r>
        <w:rPr>
          <w:rFonts w:hint="eastAsia" w:asciiTheme="minorEastAsia" w:hAnsiTheme="minorEastAsia" w:eastAsiaTheme="minorEastAsia"/>
          <w:kern w:val="0"/>
          <w:sz w:val="24"/>
        </w:rPr>
        <w:t xml:space="preserve"> </w:t>
      </w:r>
      <w:r>
        <w:rPr>
          <w:rFonts w:hint="eastAsia" w:asciiTheme="minorEastAsia" w:hAnsiTheme="minorEastAsia" w:eastAsiaTheme="minorEastAsia"/>
          <w:bCs/>
          <w:kern w:val="0"/>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b/>
          <w:kern w:val="0"/>
          <w:sz w:val="24"/>
          <w:u w:val="single"/>
        </w:rPr>
      </w:pPr>
      <w:r>
        <w:rPr>
          <w:rFonts w:asciiTheme="minorEastAsia" w:hAnsiTheme="minorEastAsia" w:eastAsiaTheme="minorEastAsia"/>
          <w:kern w:val="0"/>
          <w:sz w:val="24"/>
        </w:rPr>
        <w:t>承包人（全称）：</w:t>
      </w:r>
      <w:r>
        <w:rPr>
          <w:rFonts w:hint="eastAsia" w:asciiTheme="minorEastAsia" w:hAnsiTheme="minorEastAsia" w:eastAsiaTheme="minorEastAsia"/>
          <w:bCs/>
          <w:kern w:val="0"/>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依照《中华人民共和国合同法》、《中华人民共和国建筑法》及其他有关法律、行政法规，遵循平等、自愿、公平和诚实信用的原则，双方就本建设工程施工协商一致，订立本合同。</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一、工程概况</w:t>
      </w:r>
    </w:p>
    <w:p>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工程名称：</w:t>
      </w:r>
      <w:r>
        <w:rPr>
          <w:rFonts w:hint="eastAsia" w:asciiTheme="minorEastAsia" w:hAnsiTheme="minorEastAsia" w:eastAsiaTheme="minorEastAsia"/>
          <w:kern w:val="0"/>
          <w:sz w:val="24"/>
          <w:u w:val="single"/>
        </w:rPr>
        <w:t>西安市高陵区银王中心小学户外提升改造项目</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工程地点：</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结构形式：</w:t>
      </w:r>
      <w:r>
        <w:rPr>
          <w:rFonts w:asciiTheme="minorEastAsia" w:hAnsiTheme="minorEastAsia" w:eastAsiaTheme="minorEastAsia"/>
          <w:kern w:val="0"/>
          <w:sz w:val="24"/>
          <w:u w:val="single"/>
        </w:rPr>
        <w:t xml:space="preserve">  </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u w:val="single"/>
        </w:rPr>
        <w:t xml:space="preserve">    </w:t>
      </w:r>
      <w:r>
        <w:rPr>
          <w:rFonts w:asciiTheme="minorEastAsia" w:hAnsiTheme="minorEastAsia" w:eastAsiaTheme="minorEastAsia"/>
          <w:kern w:val="0"/>
          <w:sz w:val="24"/>
        </w:rPr>
        <w:t>　　建筑面积：</w:t>
      </w:r>
      <w:r>
        <w:rPr>
          <w:rFonts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群体工程应附承包人承揽工程项目一览表（附件1）</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工程立项文号：</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color w:val="000000" w:themeColor="text1"/>
          <w:kern w:val="0"/>
          <w:sz w:val="24"/>
          <w:u w:val="single"/>
        </w:rPr>
      </w:pPr>
      <w:r>
        <w:rPr>
          <w:rFonts w:asciiTheme="minorEastAsia" w:hAnsiTheme="minorEastAsia" w:eastAsiaTheme="minorEastAsia"/>
          <w:color w:val="000000" w:themeColor="text1"/>
          <w:kern w:val="0"/>
          <w:sz w:val="24"/>
        </w:rPr>
        <w:t>资金来源：</w:t>
      </w:r>
      <w:r>
        <w:rPr>
          <w:rFonts w:hint="eastAsia" w:asciiTheme="minorEastAsia" w:hAnsiTheme="minorEastAsia" w:eastAsiaTheme="minorEastAsia" w:cstheme="minorEastAsia"/>
          <w:color w:val="000000" w:themeColor="text1"/>
          <w:sz w:val="24"/>
        </w:rPr>
        <w:t>财政资金</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二、工程承包范围</w:t>
      </w:r>
    </w:p>
    <w:p>
      <w:pPr>
        <w:pStyle w:val="41"/>
        <w:keepNext w:val="0"/>
        <w:keepLines w:val="0"/>
        <w:pageBreakBefore w:val="0"/>
        <w:kinsoku/>
        <w:wordWrap/>
        <w:overflowPunct/>
        <w:topLinePunct w:val="0"/>
        <w:autoSpaceDE/>
        <w:autoSpaceDN/>
        <w:bidi w:val="0"/>
        <w:spacing w:line="360" w:lineRule="auto"/>
        <w:ind w:left="433" w:leftChars="206" w:firstLine="480" w:firstLineChars="200"/>
        <w:textAlignment w:val="auto"/>
        <w:rPr>
          <w:rFonts w:asciiTheme="minorEastAsia" w:hAnsiTheme="minorEastAsia" w:eastAsiaTheme="minorEastAsia"/>
          <w:snapToGrid w:val="0"/>
          <w:sz w:val="24"/>
          <w:u w:val="single"/>
        </w:rPr>
      </w:pPr>
      <w:r>
        <w:rPr>
          <w:rFonts w:asciiTheme="minorEastAsia" w:hAnsiTheme="minorEastAsia" w:eastAsiaTheme="minorEastAsia"/>
          <w:sz w:val="24"/>
        </w:rPr>
        <w:t>承包范围：</w:t>
      </w:r>
      <w:r>
        <w:rPr>
          <w:rFonts w:hint="eastAsia" w:asciiTheme="minorEastAsia" w:hAnsiTheme="minorEastAsia" w:eastAsiaTheme="minorEastAsia"/>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三、合同工期：</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总日历天数</w:t>
      </w:r>
      <w:r>
        <w:rPr>
          <w:rFonts w:asciiTheme="minorEastAsia" w:hAnsiTheme="minorEastAsia" w:eastAsiaTheme="minorEastAsia"/>
          <w:kern w:val="0"/>
          <w:sz w:val="24"/>
          <w:u w:val="single"/>
        </w:rPr>
        <w:t xml:space="preserve"> </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日历天</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开工日期：</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年</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月</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日</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竣工日期：</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年</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月</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日</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四、质量标准</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工程质量标准：</w:t>
      </w:r>
      <w:r>
        <w:rPr>
          <w:rFonts w:asciiTheme="minorEastAsia" w:hAnsiTheme="minorEastAsia" w:eastAsiaTheme="minorEastAsia"/>
          <w:kern w:val="0"/>
          <w:sz w:val="24"/>
          <w:u w:val="single"/>
        </w:rPr>
        <w:t xml:space="preserve"> 合</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u w:val="single"/>
        </w:rPr>
        <w:t>格</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u w:val="single"/>
        </w:rPr>
        <w:t xml:space="preserve"> </w:t>
      </w:r>
      <w:r>
        <w:rPr>
          <w:rFonts w:hint="eastAsia" w:asciiTheme="minorEastAsia" w:hAnsiTheme="minorEastAsia" w:eastAsiaTheme="minorEastAsia"/>
          <w:kern w:val="0"/>
          <w:sz w:val="24"/>
          <w:u w:val="single"/>
        </w:rPr>
        <w:t>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五、合同价款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1、合同总价（大写）：</w:t>
      </w:r>
      <w:r>
        <w:rPr>
          <w:rFonts w:asciiTheme="minorEastAsia" w:hAnsiTheme="minorEastAsia" w:eastAsiaTheme="minorEastAsia"/>
          <w:sz w:val="24"/>
        </w:rPr>
        <w:t>人民币</w:t>
      </w:r>
      <w:r>
        <w:rPr>
          <w:rFonts w:hint="eastAsia" w:asciiTheme="minorEastAsia" w:hAnsiTheme="minorEastAsia" w:eastAsiaTheme="minorEastAsia"/>
          <w:sz w:val="24"/>
          <w:u w:val="single"/>
        </w:rPr>
        <w:t xml:space="preserve">      </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u w:val="single"/>
        </w:rPr>
        <w:t>（小写）￥：</w:t>
      </w:r>
      <w:r>
        <w:rPr>
          <w:rFonts w:hint="eastAsia" w:asciiTheme="minorEastAsia" w:hAnsiTheme="minorEastAsia" w:eastAsiaTheme="minorEastAsia"/>
          <w:sz w:val="24"/>
          <w:u w:val="single"/>
        </w:rPr>
        <w:t xml:space="preserve">      </w:t>
      </w:r>
      <w:r>
        <w:rPr>
          <w:rFonts w:asciiTheme="minorEastAsia" w:hAnsiTheme="minorEastAsia" w:eastAsiaTheme="minorEastAsia"/>
          <w:kern w:val="0"/>
          <w:sz w:val="24"/>
          <w:u w:val="single"/>
        </w:rPr>
        <w:t>元</w:t>
      </w:r>
      <w:r>
        <w:rPr>
          <w:rFonts w:asciiTheme="minorEastAsia" w:hAnsiTheme="minorEastAsia" w:eastAsiaTheme="minorEastAsia"/>
          <w:kern w:val="0"/>
          <w:sz w:val="24"/>
        </w:rPr>
        <w:t>（其中：工程预留金</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元，零星工作费</w:t>
      </w:r>
      <w:r>
        <w:rPr>
          <w:rFonts w:hint="eastAsia" w:asciiTheme="minorEastAsia" w:hAnsiTheme="minorEastAsia" w:eastAsiaTheme="minorEastAsia"/>
          <w:kern w:val="0"/>
          <w:sz w:val="24"/>
          <w:u w:val="single"/>
        </w:rPr>
        <w:t xml:space="preserve">     /      </w:t>
      </w:r>
      <w:r>
        <w:rPr>
          <w:rFonts w:asciiTheme="minorEastAsia" w:hAnsiTheme="minorEastAsia" w:eastAsiaTheme="minorEastAsia"/>
          <w:kern w:val="0"/>
          <w:sz w:val="24"/>
        </w:rPr>
        <w:t>元，安全防护、文明施工措施费</w:t>
      </w:r>
      <w:r>
        <w:rPr>
          <w:rFonts w:hint="eastAsia" w:asciiTheme="minorEastAsia" w:hAnsiTheme="minorEastAsia" w:eastAsiaTheme="minorEastAsia"/>
          <w:kern w:val="0"/>
          <w:sz w:val="24"/>
        </w:rPr>
        <w:t xml:space="preserve"> </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元，工程分包和材料购置费</w:t>
      </w:r>
      <w:r>
        <w:rPr>
          <w:rFonts w:hint="eastAsia" w:asciiTheme="minorEastAsia" w:hAnsiTheme="minorEastAsia" w:eastAsiaTheme="minorEastAsia"/>
          <w:kern w:val="0"/>
          <w:sz w:val="24"/>
          <w:u w:val="single"/>
        </w:rPr>
        <w:t xml:space="preserve">     /      </w:t>
      </w:r>
      <w:r>
        <w:rPr>
          <w:rFonts w:asciiTheme="minorEastAsia" w:hAnsiTheme="minorEastAsia" w:eastAsiaTheme="minorEastAsia"/>
          <w:kern w:val="0"/>
          <w:sz w:val="24"/>
        </w:rPr>
        <w:t>元，</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总承包服务费</w:t>
      </w:r>
      <w:r>
        <w:rPr>
          <w:rFonts w:hint="eastAsia" w:asciiTheme="minorEastAsia" w:hAnsiTheme="minorEastAsia" w:eastAsiaTheme="minorEastAsia"/>
          <w:kern w:val="0"/>
          <w:sz w:val="24"/>
          <w:u w:val="single"/>
        </w:rPr>
        <w:t xml:space="preserve">   /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元。)</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2、综合单价：详见承包人的报价书。</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六、组成合同的文件</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组成本合同的文件包括：</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1、本合同协议书</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2、本合同专用条款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b/>
          <w:bCs/>
          <w:kern w:val="0"/>
          <w:sz w:val="24"/>
        </w:rPr>
      </w:pPr>
      <w:r>
        <w:rPr>
          <w:rFonts w:asciiTheme="minorEastAsia" w:hAnsiTheme="minorEastAsia" w:eastAsiaTheme="minorEastAsia"/>
          <w:kern w:val="0"/>
          <w:sz w:val="24"/>
        </w:rPr>
        <w:t>3、本合同通用条款</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4、中标通知书</w:t>
      </w:r>
    </w:p>
    <w:p>
      <w:pPr>
        <w:keepNext w:val="0"/>
        <w:keepLines w:val="0"/>
        <w:pageBreakBefore w:val="0"/>
        <w:widowControl/>
        <w:kinsoku/>
        <w:wordWrap/>
        <w:overflowPunct/>
        <w:topLinePunct w:val="0"/>
        <w:autoSpaceDE/>
        <w:autoSpaceDN/>
        <w:bidi w:val="0"/>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5、投标书、工程报价单或预算书及其附件</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6、招标文件、答疑纪要及工程量清单</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7、图纸</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8、标准、规范及有关技术文件</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9、本工程招标期间招标人的书面澄清文件</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双方为履行本合同的有关洽商、变更等书面协议、文件，视为本合同的组成部分。</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七、本协议书中有关词语含义与本合同第二部分《通用条款》中赋予的定义相同。</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八、承包人按照合同约定进行施工、竣工并在质量保修期内承担工程质量保修责任。</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九、发包人按照合同约定的期限和方式支付合同价款及其他应当支付的款项。</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十、合同生效</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合同订立时间：</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年</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月</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日</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合同订立地点：</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 xml:space="preserve">             </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本合同双方约定_</w:t>
      </w:r>
      <w:r>
        <w:rPr>
          <w:rFonts w:hint="eastAsia" w:asciiTheme="minorEastAsia" w:hAnsiTheme="minorEastAsia" w:eastAsiaTheme="minorEastAsia"/>
          <w:kern w:val="0"/>
          <w:sz w:val="24"/>
          <w:u w:val="single"/>
        </w:rPr>
        <w:t>双方法定代表人或委托代理人</w:t>
      </w:r>
      <w:r>
        <w:rPr>
          <w:rFonts w:hint="eastAsia" w:asciiTheme="minorEastAsia" w:hAnsiTheme="minorEastAsia" w:eastAsiaTheme="minorEastAsia"/>
          <w:kern w:val="0"/>
          <w:sz w:val="24"/>
        </w:rPr>
        <w:t>签字</w:t>
      </w:r>
      <w:r>
        <w:rPr>
          <w:rFonts w:asciiTheme="minorEastAsia" w:hAnsiTheme="minorEastAsia" w:eastAsiaTheme="minorEastAsia"/>
          <w:kern w:val="0"/>
          <w:sz w:val="24"/>
        </w:rPr>
        <w:t>后生效。</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hint="eastAsia" w:asciiTheme="minorEastAsia" w:hAnsiTheme="minorEastAsia" w:eastAsiaTheme="minorEastAsia"/>
          <w:kern w:val="0"/>
          <w:sz w:val="24"/>
        </w:rPr>
        <w:t>甲方</w:t>
      </w:r>
      <w:r>
        <w:rPr>
          <w:rFonts w:asciiTheme="minorEastAsia" w:hAnsiTheme="minorEastAsia" w:eastAsiaTheme="minorEastAsia"/>
          <w:kern w:val="0"/>
          <w:sz w:val="24"/>
        </w:rPr>
        <w:t>：（公章）</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xml:space="preserve">  　　　乙方</w:t>
      </w:r>
      <w:r>
        <w:rPr>
          <w:rFonts w:asciiTheme="minorEastAsia" w:hAnsiTheme="minorEastAsia" w:eastAsiaTheme="minorEastAsia"/>
          <w:kern w:val="0"/>
          <w:sz w:val="24"/>
        </w:rPr>
        <w:t>：（公章）</w:t>
      </w:r>
      <w:r>
        <w:rPr>
          <w:rFonts w:hint="eastAsia" w:asciiTheme="minorEastAsia" w:hAnsiTheme="minorEastAsia" w:eastAsiaTheme="minorEastAsia"/>
          <w:kern w:val="0"/>
          <w:sz w:val="24"/>
          <w:u w:val="single"/>
        </w:rPr>
        <w:t xml:space="preserve">     　    </w:t>
      </w:r>
    </w:p>
    <w:p>
      <w:pPr>
        <w:keepNext w:val="0"/>
        <w:keepLines w:val="0"/>
        <w:pageBreakBefore w:val="0"/>
        <w:kinsoku/>
        <w:wordWrap/>
        <w:overflowPunct/>
        <w:topLinePunct w:val="0"/>
        <w:autoSpaceDE w:val="0"/>
        <w:autoSpaceDN w:val="0"/>
        <w:bidi w:val="0"/>
        <w:adjustRightInd w:val="0"/>
        <w:snapToGrid/>
        <w:spacing w:line="360" w:lineRule="auto"/>
        <w:ind w:left="4559" w:leftChars="228" w:hanging="4080" w:hangingChars="1700"/>
        <w:textAlignment w:val="auto"/>
        <w:rPr>
          <w:rFonts w:asciiTheme="minorEastAsia" w:hAnsiTheme="minorEastAsia" w:eastAsiaTheme="minorEastAsia"/>
          <w:kern w:val="0"/>
          <w:sz w:val="24"/>
          <w:u w:val="single"/>
        </w:rPr>
      </w:pPr>
      <w:r>
        <w:rPr>
          <w:rFonts w:asciiTheme="minorEastAsia" w:hAnsiTheme="minorEastAsia" w:eastAsiaTheme="minorEastAsia"/>
          <w:kern w:val="0"/>
          <w:sz w:val="24"/>
        </w:rPr>
        <w:t>地址：</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地址：</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邮政编码：</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邮政编码：</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法定代表人：</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法定代表人：</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委托代理人：</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委托代理人：</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电话：</w:t>
      </w:r>
      <w:r>
        <w:rPr>
          <w:rFonts w:hint="eastAsia" w:asciiTheme="minorEastAsia" w:hAnsiTheme="minorEastAsia" w:eastAsiaTheme="minorEastAsia"/>
          <w:kern w:val="0"/>
          <w:sz w:val="24"/>
        </w:rPr>
        <w:t xml:space="preserve"> </w:t>
      </w:r>
      <w:r>
        <w:rPr>
          <w:rFonts w:hint="eastAsia" w:asciiTheme="minorEastAsia" w:hAnsiTheme="minorEastAsia" w:eastAsiaTheme="minorEastAsia"/>
          <w:kern w:val="0"/>
          <w:sz w:val="24"/>
          <w:u w:val="single"/>
        </w:rPr>
        <w:t xml:space="preserve">　　　　     　  </w:t>
      </w:r>
      <w:r>
        <w:rPr>
          <w:rFonts w:hint="eastAsia" w:asciiTheme="minorEastAsia" w:hAnsiTheme="minorEastAsia" w:eastAsiaTheme="minorEastAsia"/>
          <w:kern w:val="0"/>
          <w:sz w:val="24"/>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电话：</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传真：</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传真：</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left="5519" w:leftChars="228" w:hanging="5040" w:hangingChars="21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 xml:space="preserve">开户银行：______________         </w:t>
      </w:r>
      <w:r>
        <w:rPr>
          <w:rFonts w:hint="eastAsia" w:asciiTheme="minorEastAsia" w:hAnsiTheme="minorEastAsia" w:eastAsiaTheme="minorEastAsia"/>
          <w:kern w:val="0"/>
          <w:sz w:val="24"/>
        </w:rPr>
        <w:t>　　　</w:t>
      </w:r>
      <w:r>
        <w:rPr>
          <w:rFonts w:asciiTheme="minorEastAsia" w:hAnsiTheme="minorEastAsia" w:eastAsiaTheme="minorEastAsia"/>
          <w:kern w:val="0"/>
          <w:sz w:val="24"/>
        </w:rPr>
        <w:t>开户银行：</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0" w:firstLineChars="200"/>
        <w:jc w:val="left"/>
        <w:textAlignment w:val="auto"/>
        <w:rPr>
          <w:rFonts w:asciiTheme="minorEastAsia" w:hAnsiTheme="minorEastAsia" w:eastAsiaTheme="minorEastAsia"/>
          <w:kern w:val="0"/>
          <w:sz w:val="24"/>
        </w:rPr>
      </w:pPr>
      <w:r>
        <w:rPr>
          <w:rFonts w:asciiTheme="minorEastAsia" w:hAnsiTheme="minorEastAsia" w:eastAsiaTheme="minorEastAsia"/>
          <w:kern w:val="0"/>
          <w:sz w:val="24"/>
        </w:rPr>
        <w:t>帐号：</w:t>
      </w:r>
      <w:r>
        <w:rPr>
          <w:rFonts w:hint="eastAsia" w:asciiTheme="minorEastAsia" w:hAnsiTheme="minorEastAsia" w:eastAsiaTheme="minorEastAsia"/>
          <w:kern w:val="0"/>
          <w:sz w:val="24"/>
          <w:u w:val="single"/>
        </w:rPr>
        <w:t xml:space="preserve">            　　　</w:t>
      </w:r>
      <w:r>
        <w:rPr>
          <w:rFonts w:asciiTheme="minorEastAsia" w:hAnsiTheme="minorEastAsia" w:eastAsiaTheme="minorEastAsia"/>
          <w:kern w:val="0"/>
          <w:sz w:val="24"/>
        </w:rPr>
        <w:t xml:space="preserve">         </w:t>
      </w:r>
      <w:r>
        <w:rPr>
          <w:rFonts w:hint="eastAsia" w:asciiTheme="minorEastAsia" w:hAnsiTheme="minorEastAsia" w:eastAsiaTheme="minorEastAsia"/>
          <w:kern w:val="0"/>
          <w:sz w:val="24"/>
        </w:rPr>
        <w:t>　　　</w:t>
      </w:r>
      <w:r>
        <w:rPr>
          <w:rFonts w:asciiTheme="minorEastAsia" w:hAnsiTheme="minorEastAsia" w:eastAsiaTheme="minorEastAsia"/>
          <w:kern w:val="0"/>
          <w:sz w:val="24"/>
        </w:rPr>
        <w:t>帐号：</w:t>
      </w:r>
      <w:r>
        <w:rPr>
          <w:rFonts w:hint="eastAsia" w:asciiTheme="minorEastAsia" w:hAnsiTheme="minorEastAsia" w:eastAsiaTheme="minorEastAsia"/>
          <w:kern w:val="0"/>
          <w:sz w:val="24"/>
          <w:u w:val="single"/>
        </w:rPr>
        <w:t xml:space="preserve">                   </w:t>
      </w:r>
    </w:p>
    <w:p>
      <w:pPr>
        <w:keepNext w:val="0"/>
        <w:keepLines w:val="0"/>
        <w:pageBreakBefore w:val="0"/>
        <w:widowControl/>
        <w:kinsoku/>
        <w:wordWrap/>
        <w:overflowPunct/>
        <w:topLinePunct w:val="0"/>
        <w:bidi w:val="0"/>
        <w:snapToGrid/>
        <w:spacing w:line="360" w:lineRule="auto"/>
        <w:ind w:firstLine="482" w:firstLineChars="200"/>
        <w:jc w:val="center"/>
        <w:textAlignment w:val="auto"/>
        <w:rPr>
          <w:b/>
          <w:bCs/>
          <w:kern w:val="0"/>
          <w:sz w:val="24"/>
        </w:rPr>
      </w:pPr>
    </w:p>
    <w:p>
      <w:pPr>
        <w:spacing w:line="400" w:lineRule="exact"/>
        <w:rPr>
          <w:bCs/>
          <w:kern w:val="0"/>
          <w:sz w:val="24"/>
        </w:rPr>
        <w:sectPr>
          <w:pgSz w:w="11906" w:h="16838"/>
          <w:pgMar w:top="1440" w:right="1457" w:bottom="1440" w:left="1463" w:header="851" w:footer="992" w:gutter="0"/>
          <w:cols w:space="0" w:num="1"/>
          <w:docGrid w:type="lines" w:linePitch="312" w:charSpace="0"/>
        </w:sectPr>
      </w:pPr>
    </w:p>
    <w:p>
      <w:pPr>
        <w:pStyle w:val="5"/>
        <w:spacing w:line="400" w:lineRule="exact"/>
        <w:jc w:val="center"/>
        <w:rPr>
          <w:rFonts w:ascii="Times New Roman" w:hAnsi="Times New Roman" w:eastAsia="宋体"/>
          <w:sz w:val="24"/>
          <w:szCs w:val="24"/>
        </w:rPr>
      </w:pPr>
      <w:bookmarkStart w:id="15" w:name="_Toc231459933"/>
      <w:r>
        <w:rPr>
          <w:rFonts w:ascii="Times New Roman" w:hAnsi="Times New Roman" w:eastAsia="宋体"/>
        </w:rPr>
        <w:t>第二部分  通用条款</w:t>
      </w:r>
      <w:bookmarkEnd w:id="15"/>
    </w:p>
    <w:p>
      <w:pPr>
        <w:widowControl/>
        <w:spacing w:line="360" w:lineRule="auto"/>
        <w:ind w:firstLine="482" w:firstLineChars="200"/>
        <w:jc w:val="left"/>
        <w:outlineLvl w:val="0"/>
        <w:rPr>
          <w:rFonts w:asciiTheme="minorEastAsia" w:hAnsiTheme="minorEastAsia" w:eastAsiaTheme="minorEastAsia" w:cstheme="minorEastAsia"/>
          <w:b/>
          <w:kern w:val="0"/>
          <w:sz w:val="24"/>
        </w:rPr>
      </w:pPr>
      <w:bookmarkStart w:id="16" w:name="_Toc15144"/>
      <w:r>
        <w:rPr>
          <w:rFonts w:hint="eastAsia" w:asciiTheme="minorEastAsia" w:hAnsiTheme="minorEastAsia" w:eastAsiaTheme="minorEastAsia" w:cstheme="minorEastAsia"/>
          <w:b/>
          <w:kern w:val="0"/>
          <w:sz w:val="24"/>
        </w:rPr>
        <w:t>一、词语定义及合同文件</w:t>
      </w:r>
      <w:bookmarkEnd w:id="16"/>
    </w:p>
    <w:p>
      <w:pPr>
        <w:widowControl/>
        <w:spacing w:line="360" w:lineRule="auto"/>
        <w:ind w:firstLine="480" w:firstLineChars="200"/>
        <w:jc w:val="left"/>
        <w:outlineLvl w:val="0"/>
        <w:rPr>
          <w:rFonts w:asciiTheme="minorEastAsia" w:hAnsiTheme="minorEastAsia" w:eastAsiaTheme="minorEastAsia" w:cstheme="minorEastAsia"/>
          <w:kern w:val="0"/>
          <w:sz w:val="24"/>
        </w:rPr>
      </w:pPr>
      <w:bookmarkStart w:id="17" w:name="_Toc11858"/>
      <w:r>
        <w:rPr>
          <w:rFonts w:hint="eastAsia" w:asciiTheme="minorEastAsia" w:hAnsiTheme="minorEastAsia" w:eastAsiaTheme="minorEastAsia" w:cstheme="minorEastAsia"/>
          <w:kern w:val="0"/>
          <w:sz w:val="24"/>
        </w:rPr>
        <w:t>1、词语定义</w:t>
      </w:r>
      <w:bookmarkEnd w:id="17"/>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下列词语除专用条款另有约定外，应具有本条所赋予的定义：</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1.1通用条款：是根据法律、行政法规规定及建设工程施工的需要订立，通用于建设工程施工的条款。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1.2专用条款：是发包人与承包人根据法律、行政法规规定，结合具体工程实际，经协商达成一致意见的条款，是对通用条款的具体化、补充或修改。</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1.3发包人：指在协议书中约定，具有工程发包主体资格和支付工程价款能力的当事人以及取得该当事人资格的合法继承人。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1.4承包人：指在协议书中约定，被发包人接受的具有工程施工承包主体资格的当事人以及取得该当事人资格的合法继承人。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1.5项目经理：指承包人在专用条款中指定的具有执业资格的负责施工管理和合同履行的代表。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1.6设计单位：指发包人委托的负责本工程设计并取得相应工程设计资质等级证书的单位。</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1.7监理单位：指发包人委托的负责本工程监理并取得相应工程监理资质等级证书的单位。</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1.8工程师：指本工程监理单位委派的总监理工程师或发包人指定的履行本合同的代表，其具体身份和职权由发包人承包人在专用条款中约定。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1.9工程造价管理部门：指国务院有关部门、县级以上人民政府建设行政主管部门或其委托的工程造价管理机构。</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1.10工程：指发包人承包人在协议书中约定的承包范围内的工程。</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1.11工程量清单：表现拟建工程的分部分项工程项目、措施项目、其他项目名称和相应数量的明细清单。</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1.12综合单价：完成工程量清单中一个规定计量单位项目所需的人工费、材料费、机械使用费、管理费和利润，并考虑风险因素。</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1.13合同价款：指发包人承包人在协议书中约定，发包人用以支付承包人按照合同约定完成承包范围内全部工程并承担质量保修责任的款项。</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1.14预留金：指发包人为可能发生的工程量变更而预留的款额。</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1.15工程分包和材料购置费：指发包人将按有关规定准予分包的工作、指定分包人或指定材料磋商响应单位供应材料而预留的款额。</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1.16总承包服务费：为配合协调发包人进行的工程分包和材料采购所需的费用。</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1.17零星工作项目费：完成发包人提出的工程量暂估的零星工作所需的费用。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1.18追加合同价款：指在合同履行中发生需要增加合同价款的情况，经发包人确认后按计算合同价款的方法增加的合同价款。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1.19费用：指不包含在合同价款之内的应当由发包人或承包人承担的经济支出。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1.20工期：指发包人承包人在协议书中约定，按总日历天数（包括法定节假日）计算的承包天数。</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1.21开工日期：指发包人承包人在协议书中约定，承包人开始施工的绝对或相对的日期。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1.22竣工日期：指发包人承包人在协议书中约定，承包人完成承包范围内工程的绝对或相对的日期。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1.23图纸：指由发包人提供或由承包人提供并经发包人批准，满足承包人施工需要的所有图纸（包括配套说明和有关资料）。</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1.24施工场地：指由发包人提供的用于工程施工的场所以及发包人在图纸中具体指定的供施工使用的任何其他场所。</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1.25书面形式：指合同书、信件和数据电文（包括电报、电传、传真、电子数据交换和电子邮件）等可以有形地表现所载内容的形式。</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1.26违约责任：指合同一方不履行合同义务或履行合同义务不符合约定所应承担的责任。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1.27索赔：指在合同履行过程中，对于并非自己的过错，而是应由对方承担责任的情况造成的实际损失，向对方提出经济补偿和（或）工期顺延的要求。</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1.28不可抗力：指不能预见、不能避免并不能克服的客观情况。</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1.29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24时。</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２、合同文件及解释顺序</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2.1合同文件应能相互解释，互为说明。除专用条款另有约定外，组成本合同的文件及优先解释顺序如下：</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2.1.1本合同协议书</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2.1.2本合同专用条款</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2.1.3本合同通用条款</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2.1.4中标通知书</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2.1.5投标书、工程报价单或预算书及其附件</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2.1.6招标文件、答疑纪要及工程量清单　</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2.1.7图纸</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2.1.8标准、规范及有关技术文件</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双方为履行本合同的有关洽商、变更等书面协议、文件，视为本合同的组成部分。</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2.2当合同文件内容含糊不清或不相一致时，在不影响工程正常进行的情况下，由发包人承包人协商解决。双方也可以提请负责监理的工程师做出解释。双方协商不成或不同意负责监理的工程师的解释时，按本通用条款第41条关于争议的约定处理。</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3、语言文字和适用法律、标准及规范</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3.1语言文字</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本合同文件使用汉语语言文字书写、解释和说明。如专用条款约定使用两种以上（含两种）语言文字时，汉语应为解释和说明本合同的标准语言文字。</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3.2适用法律和法规</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本合同文件适用国家的法律和行政法规。需要明示的法律、行政法规，由双方在专用条款中约定。</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3.3适用标准、规范</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本条所发生的购买、翻译标准、规范或制定施工工艺的费用，由发包人承担。</w:t>
      </w:r>
    </w:p>
    <w:p>
      <w:pPr>
        <w:widowControl/>
        <w:spacing w:line="360" w:lineRule="auto"/>
        <w:ind w:firstLine="480" w:firstLineChars="200"/>
        <w:jc w:val="left"/>
        <w:rPr>
          <w:rFonts w:asciiTheme="minorEastAsia" w:hAnsiTheme="minorEastAsia" w:eastAsiaTheme="minorEastAsia" w:cstheme="minorEastAsia"/>
          <w:bCs/>
          <w:kern w:val="0"/>
          <w:sz w:val="24"/>
        </w:rPr>
      </w:pPr>
      <w:r>
        <w:rPr>
          <w:rFonts w:hint="eastAsia" w:asciiTheme="minorEastAsia" w:hAnsiTheme="minorEastAsia" w:eastAsiaTheme="minorEastAsia" w:cstheme="minorEastAsia"/>
          <w:bCs/>
          <w:kern w:val="0"/>
          <w:sz w:val="24"/>
        </w:rPr>
        <w:t>４、图纸</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4.1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4.2承包人未经发包人同意，不得将本工程图纸转给第三人。工程质量保修期满后，除承包人存档需要的图纸外，应将全部图纸退还给发包人。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4.3承包人应在施工现场保留一套完整图纸，供工程师及有关人员进行工程检查时使用。</w:t>
      </w:r>
    </w:p>
    <w:p>
      <w:pPr>
        <w:widowControl/>
        <w:spacing w:line="360" w:lineRule="auto"/>
        <w:ind w:firstLine="482" w:firstLineChars="200"/>
        <w:jc w:val="left"/>
        <w:outlineLvl w:val="0"/>
        <w:rPr>
          <w:rFonts w:asciiTheme="minorEastAsia" w:hAnsiTheme="minorEastAsia" w:eastAsiaTheme="minorEastAsia" w:cstheme="minorEastAsia"/>
          <w:b/>
          <w:kern w:val="0"/>
          <w:sz w:val="24"/>
        </w:rPr>
      </w:pPr>
      <w:bookmarkStart w:id="18" w:name="_Toc11911"/>
      <w:r>
        <w:rPr>
          <w:rFonts w:hint="eastAsia" w:asciiTheme="minorEastAsia" w:hAnsiTheme="minorEastAsia" w:eastAsiaTheme="minorEastAsia" w:cstheme="minorEastAsia"/>
          <w:b/>
          <w:kern w:val="0"/>
          <w:sz w:val="24"/>
        </w:rPr>
        <w:t>二、双方一般权利和义务</w:t>
      </w:r>
      <w:bookmarkEnd w:id="18"/>
    </w:p>
    <w:p>
      <w:pPr>
        <w:widowControl/>
        <w:spacing w:line="360" w:lineRule="auto"/>
        <w:ind w:firstLine="480" w:firstLineChars="200"/>
        <w:jc w:val="left"/>
        <w:outlineLvl w:val="0"/>
        <w:rPr>
          <w:rFonts w:asciiTheme="minorEastAsia" w:hAnsiTheme="minorEastAsia" w:eastAsiaTheme="minorEastAsia" w:cstheme="minorEastAsia"/>
          <w:kern w:val="0"/>
          <w:sz w:val="24"/>
        </w:rPr>
      </w:pPr>
      <w:bookmarkStart w:id="19" w:name="_Toc25533"/>
      <w:r>
        <w:rPr>
          <w:rFonts w:hint="eastAsia" w:asciiTheme="minorEastAsia" w:hAnsiTheme="minorEastAsia" w:eastAsiaTheme="minorEastAsia" w:cstheme="minorEastAsia"/>
          <w:kern w:val="0"/>
          <w:sz w:val="24"/>
        </w:rPr>
        <w:t>５、工程师</w:t>
      </w:r>
      <w:bookmarkEnd w:id="19"/>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5.1实行工程监理的，发包人应在实施监理前将委托的监理单位名称、监理内容及监理权限以书面形式通知承包人。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5.2监理单位委派的总监理工程师在本合同中称工程师，其姓名、职务、职权由发包人承包人在专用条款内写明。工程师按合同约定行使职权，发包人在专用条款内要求工程师在行使某些职权前需要征得发包人批准的，工程师应征得发包人批准。</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5.3发包人派驻施工场地履行合同的代表在本合同中也称工程师，其姓名、职务、职权由发包人在专用条款内写明，但职权不得与监理单位委派的总监理工程师职权相互交叉。双方职权发生交叉或不明确时，由发包人予以明确，并以书面形式通知承包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5.4合同履行中，发生影响发包人承包人双方权利或义务的事件时，负责监理的工程师应依据合同在其职权范围内客观公正地进行处理。一方对工程师的处理有异议时，按本通用条款第41条关于争议的约定处理。</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5.5除合同内有明确约定或经发包人同意外，负责监理的工程师无权解除本合同约定的承包人的任何权利与义务。</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5.6不实行工程监理的，本合同中工程师专指发包人派驻施工场地履行合同的代表，其具体职权由发包人在专用条款内写明。</w:t>
      </w:r>
    </w:p>
    <w:p>
      <w:pPr>
        <w:widowControl/>
        <w:spacing w:line="360" w:lineRule="auto"/>
        <w:ind w:firstLine="480" w:firstLineChars="200"/>
        <w:jc w:val="left"/>
        <w:outlineLvl w:val="0"/>
        <w:rPr>
          <w:rFonts w:asciiTheme="minorEastAsia" w:hAnsiTheme="minorEastAsia" w:eastAsiaTheme="minorEastAsia" w:cstheme="minorEastAsia"/>
          <w:kern w:val="0"/>
          <w:sz w:val="24"/>
        </w:rPr>
      </w:pPr>
      <w:bookmarkStart w:id="20" w:name="_Toc6605"/>
      <w:r>
        <w:rPr>
          <w:rFonts w:hint="eastAsia" w:asciiTheme="minorEastAsia" w:hAnsiTheme="minorEastAsia" w:eastAsiaTheme="minorEastAsia" w:cstheme="minorEastAsia"/>
          <w:kern w:val="0"/>
          <w:sz w:val="24"/>
        </w:rPr>
        <w:t>６、工程师的委派和指令</w:t>
      </w:r>
      <w:bookmarkEnd w:id="20"/>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6.1工程师可委派工程师代表，行使合同约定的自己的职权，并可在认为必要时撤回委派。委派和撤回均应提前7天以书面形式通知承包人，负责监理的工程师还应将委派和撤回通知发包人。委派书和撤回通知作为本合同附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除工程师或工程师代表外，发包人派驻工地的其他人员均无权向承包人发出任何指令。</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6.2工程师的指令、通知由其本人签字后，以书面形式交给项目经理，项目经理在回执上签署姓名和收到时间后生效。确有必要时，工程师可发出口头指令，并在48小时内给予书面确认，承包人对工程师的指令应予执行。工程师不能及时给予书面确认的，承包人应于工程师发出口头指令后7天内提出书面确认要求。工程师在承包人提出确认要求后48小时内不予答复的，视为口头指令已被确认。</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承包人认为工程师指令不合理，应在收到指令后24小时内向工程师提出修改指令的书面报告，工程师在收到承包人报告后24小时内作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本款规定同样适用于由工程师代表发出的指令、通知。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6.3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6.4如需更换工程师，发包人应至少提前7天以书面形式通知承包人，后任继续行使合同文件约定的前任的职权，履行前任的义务。</w:t>
      </w:r>
    </w:p>
    <w:p>
      <w:pPr>
        <w:widowControl/>
        <w:spacing w:line="360" w:lineRule="auto"/>
        <w:ind w:firstLine="480" w:firstLineChars="200"/>
        <w:jc w:val="left"/>
        <w:outlineLvl w:val="0"/>
        <w:rPr>
          <w:rFonts w:asciiTheme="minorEastAsia" w:hAnsiTheme="minorEastAsia" w:eastAsiaTheme="minorEastAsia" w:cstheme="minorEastAsia"/>
          <w:kern w:val="0"/>
          <w:sz w:val="24"/>
        </w:rPr>
      </w:pPr>
      <w:bookmarkStart w:id="21" w:name="_Toc20723"/>
      <w:r>
        <w:rPr>
          <w:rFonts w:hint="eastAsia" w:asciiTheme="minorEastAsia" w:hAnsiTheme="minorEastAsia" w:eastAsiaTheme="minorEastAsia" w:cstheme="minorEastAsia"/>
          <w:kern w:val="0"/>
          <w:sz w:val="24"/>
        </w:rPr>
        <w:t>７、项目经理</w:t>
      </w:r>
      <w:bookmarkEnd w:id="21"/>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7.1项目经理的姓名、职务在专用条款内写明。</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7.2承包人依据合同发出的通知，以书面形式由项目经理签字后送交工程师，工程师在回执上签署姓名和收到时间后生效。</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7.3项目经理按发包人认可的施工组织设计（施工方案）和工程师依据合同发出的指令组织施工。在情况紧急且无法与工程师联系时，项目经理应当采取保证人员生命和工程、财产安全的紧急措施，并在采取措施后48小时内向工程师送交报告。责任在发包人或第三人，由发包人承担由此发生的追加合同价款，相应顺延工期；责任在承包人，由承包人承担费用，不顺延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7.4承包人如需要更换项目经理，应至少提前7天以书面形式通知发包人，</w:t>
      </w:r>
      <w:r>
        <w:rPr>
          <w:rFonts w:hint="eastAsia" w:asciiTheme="minorEastAsia" w:hAnsiTheme="minorEastAsia" w:eastAsiaTheme="minorEastAsia" w:cstheme="minorEastAsia"/>
          <w:bCs/>
          <w:kern w:val="0"/>
          <w:sz w:val="24"/>
        </w:rPr>
        <w:t>并</w:t>
      </w:r>
      <w:r>
        <w:rPr>
          <w:rFonts w:hint="eastAsia" w:asciiTheme="minorEastAsia" w:hAnsiTheme="minorEastAsia" w:eastAsiaTheme="minorEastAsia" w:cstheme="minorEastAsia"/>
          <w:kern w:val="0"/>
          <w:sz w:val="24"/>
        </w:rPr>
        <w:t>征得发包人同意。后任继续行使合同文件约定的前任的职权，履行前任的义务。</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7.5发包人可以与承包人协商，建议更换其认为不称职的项目经理。</w:t>
      </w:r>
    </w:p>
    <w:p>
      <w:pPr>
        <w:widowControl/>
        <w:spacing w:line="360" w:lineRule="auto"/>
        <w:ind w:firstLine="480" w:firstLineChars="200"/>
        <w:jc w:val="left"/>
        <w:outlineLvl w:val="0"/>
        <w:rPr>
          <w:rFonts w:asciiTheme="minorEastAsia" w:hAnsiTheme="minorEastAsia" w:eastAsiaTheme="minorEastAsia" w:cstheme="minorEastAsia"/>
          <w:kern w:val="0"/>
          <w:sz w:val="24"/>
        </w:rPr>
      </w:pPr>
      <w:bookmarkStart w:id="22" w:name="_Toc20532"/>
      <w:r>
        <w:rPr>
          <w:rFonts w:hint="eastAsia" w:asciiTheme="minorEastAsia" w:hAnsiTheme="minorEastAsia" w:eastAsiaTheme="minorEastAsia" w:cstheme="minorEastAsia"/>
          <w:kern w:val="0"/>
          <w:sz w:val="24"/>
        </w:rPr>
        <w:t>８、发包人工作</w:t>
      </w:r>
      <w:bookmarkEnd w:id="22"/>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8.1发包人按专用条款约定的内容和时间完成以下工作：</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（1）办理土地征用、拆迁补偿、平整施工场地等工作，使施工场地具备施工条件，在开工后继续负责解决以上事项遗留问题；</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（2）将施工所需水、电、电讯线路从施工场地外部接至专用条款约定地点，保证施工期间的需要；</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（3）开通施工场地与城乡公共道路的通道，以及专用条款约定的施工场地内的主要道路，满足施工运输的需要，保证施工期间的畅通；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（4）向承包人提供施工场地的工程地质和地下管线资料，对资料的真实准确性负责；</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（5）办理施工许可证及其它施工所需批件和临时用地、停水、停电、中断道路交通、爆破作业等的证件申请批准手续（证明承包人自身资质的证件除外）；</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（6）确定水准点与坐标控制点，以书面形式交给承包人，进行现场交验；</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（7）组织承包人和设计单位进行图纸会审和设计交底；</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（8）协调处理施工场地周围地下管线和邻近建筑物、构筑物（包括文物保护建筑）、古树名木的保护工作、承担有关费用；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（9）发包人应做的其他工作，双方在专用条款内约定。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8.2发包人可以将8.1款部分工作委托承包人办理，双方在专用条款内约定，其费用由发包人承担。</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8.3发包人未能履行8.1款各项义务，导致工期延误或给承包人造成损失的，发包人赔偿承包人有关损失，顺延延误的工期。</w:t>
      </w:r>
    </w:p>
    <w:p>
      <w:pPr>
        <w:widowControl/>
        <w:spacing w:line="360" w:lineRule="auto"/>
        <w:ind w:firstLine="480" w:firstLineChars="200"/>
        <w:jc w:val="left"/>
        <w:outlineLvl w:val="0"/>
        <w:rPr>
          <w:rFonts w:asciiTheme="minorEastAsia" w:hAnsiTheme="minorEastAsia" w:eastAsiaTheme="minorEastAsia" w:cstheme="minorEastAsia"/>
          <w:kern w:val="0"/>
          <w:sz w:val="24"/>
        </w:rPr>
      </w:pPr>
      <w:bookmarkStart w:id="23" w:name="_Toc4679"/>
      <w:r>
        <w:rPr>
          <w:rFonts w:hint="eastAsia" w:asciiTheme="minorEastAsia" w:hAnsiTheme="minorEastAsia" w:eastAsiaTheme="minorEastAsia" w:cstheme="minorEastAsia"/>
          <w:kern w:val="0"/>
          <w:sz w:val="24"/>
        </w:rPr>
        <w:t>９、承包人工作</w:t>
      </w:r>
      <w:bookmarkEnd w:id="23"/>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9.1承包人按专用条款约定的内容和时间完成以下工作：</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（1）根据发包人委托，在其设计资质等级和业务允许的范围内，完成施工图设计或与工程配套的设计，经工程师确认后使用，发包人承担由此发生的费用；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（2）向工程师提供年、季、月度工程进度计划及相应进度统计报表；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（3）根据工程需要，提供和维修非夜间施工使用的照明、围栏设施；负责施工现场安全保卫；</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（4）按专用条款约定的数量和要求，向发包人提供施工场地办公和生活的房屋及设施，发包人承担由此发生的费用；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（5）遵守政府有关主管部门对施工场地安全防护、文明施工、环境保护以及场地交通等的管理规定，按规定办理有关手续，并以书面形式通知发包人。</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已竣工工程未交付发包人之前，承包人按专用条款约定负责已完工程的保护工作，保护期间发生损坏，承包人自费予以修复；发包人要求承包人采取特殊措施保护的工程部位和相应的追加合同价款，双方在专用条款内约定；</w:t>
      </w:r>
    </w:p>
    <w:p>
      <w:pPr>
        <w:widowControl/>
        <w:spacing w:line="360" w:lineRule="auto"/>
        <w:ind w:firstLine="480" w:firstLineChars="200"/>
        <w:jc w:val="left"/>
        <w:rPr>
          <w:rFonts w:asciiTheme="minorEastAsia" w:hAnsiTheme="minorEastAsia" w:eastAsiaTheme="minorEastAsia" w:cstheme="minorEastAsia"/>
          <w:b/>
          <w:bCs/>
          <w:kern w:val="0"/>
          <w:sz w:val="24"/>
        </w:rPr>
      </w:pPr>
      <w:r>
        <w:rPr>
          <w:rFonts w:hint="eastAsia" w:asciiTheme="minorEastAsia" w:hAnsiTheme="minorEastAsia" w:eastAsiaTheme="minorEastAsia" w:cstheme="minorEastAsia"/>
          <w:kern w:val="0"/>
          <w:sz w:val="24"/>
        </w:rPr>
        <w:t>（7）按专用条款约定做好施工场地地下管线和邻近建筑物、构筑物（包括文物保护建筑）、古树名木的保护工作</w:t>
      </w:r>
      <w:r>
        <w:rPr>
          <w:rFonts w:hint="eastAsia" w:asciiTheme="minorEastAsia" w:hAnsiTheme="minorEastAsia" w:eastAsiaTheme="minorEastAsia" w:cstheme="minorEastAsia"/>
          <w:b/>
          <w:bCs/>
          <w:kern w:val="0"/>
          <w:sz w:val="24"/>
        </w:rPr>
        <w:t>；</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（8）保证施工场地清洁符合环境卫生管理的有关规定，交工前清理现场达到专用条款约定的要求，承担因自身原因违反有关规定造成的损失和罚款；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（9）承包人应做的其他工作，双方在专用条款内约定。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9.2承包人未能履行9.1款各项义务，造成发包人损失的，承包人赔偿发包人有关损失。</w:t>
      </w:r>
    </w:p>
    <w:p>
      <w:pPr>
        <w:widowControl/>
        <w:spacing w:line="360" w:lineRule="auto"/>
        <w:ind w:firstLine="482" w:firstLineChars="200"/>
        <w:jc w:val="left"/>
        <w:outlineLvl w:val="0"/>
        <w:rPr>
          <w:rFonts w:asciiTheme="minorEastAsia" w:hAnsiTheme="minorEastAsia" w:eastAsiaTheme="minorEastAsia" w:cstheme="minorEastAsia"/>
          <w:b/>
          <w:kern w:val="0"/>
          <w:sz w:val="24"/>
        </w:rPr>
      </w:pPr>
      <w:bookmarkStart w:id="24" w:name="_Toc17079"/>
      <w:r>
        <w:rPr>
          <w:rFonts w:hint="eastAsia" w:asciiTheme="minorEastAsia" w:hAnsiTheme="minorEastAsia" w:eastAsiaTheme="minorEastAsia" w:cstheme="minorEastAsia"/>
          <w:b/>
          <w:kern w:val="0"/>
          <w:sz w:val="24"/>
        </w:rPr>
        <w:t>三、施工组织设计和工期</w:t>
      </w:r>
      <w:bookmarkEnd w:id="24"/>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10、进度计划</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10.1承包人应按专用条款约定的日期，将施工组织设计和工程进度计划提交工程师，工程师按专用条款约定的时间予以确认或提出修改意见，逾期不确认也不提出书面意见的，视为同意。</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10.2群体工程中单位工程分期进行施工的，承包人应按照发包人提供图纸及有关资料的时间，按单位工程编制进度计划，其具体内容双方在专用条款中约定。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10.3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11、开工及延期开工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11.1承包人应当按照协议书约定的开工日期开工。承包人不能按时开工，应当不迟于协议书约定的开工日期前7天，以书面形式向工程师提出延期开工的理由和要求。工程师应当在接到延期开工申请后的48小时内以书面形式答复承包人。工程师在接到延期开工申请后48小时内不答复，视为同意承包人要求，工期相应顺延。工程师不同意延期要求或承包人未在规定时间内提出延期开工要求，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11.2因发包人原因不能按照协议书约定的开工日期开工，工程师应以书面形式通知承包人，推迟开工日期。发包人赔偿承包人因延期开工造成的损失，并相应顺延工期。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12、暂停施工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工程师认为确有必要暂停施工时，应当以书面形式要求承包人暂停施工，并在提出要求后48小时内提出书面处理意见。承包人应当按工程师要求停止施工，并妥善保护已完工程。承包人实施工程师作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13、工期延误</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13.1因以下原因造成工期延误，经工程师确认，工期相应顺延：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（1）发包人未能按专用条款的约定提供图纸及开工条件；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（2）发包人未能按约定日期支付工程预付款、进度款，致使施工不能正常进行；</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（3）工程师未按合同约定提供所需指令、批准等，致使施工不能正常进行；</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（4）设计变更和工程量增加；</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（5）一周内非承包人原因停水、停电、停气造成停工累计超过8小时；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（6）不可抗力；</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（7）专用条款中约定或工程师同意工期顺延的其他情况。</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13.2承包人在13.1款情况发生后14天内，就延误的工期以书面形式向工程师提出报告。工程师在收到报告后14天内予以确认，逾期不予确认也不提出修改意见，视为同意顺延工期。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14、工程竣工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14.1承包人必须按照协议书约定的竣工日期或工程师同意顺延的工期竣工。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14.2因承包人原因不能按照协议书约定的竣工日期或工程师同意顺延的工期竣工的，承包人承担违约责任。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14.3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pPr>
        <w:widowControl/>
        <w:spacing w:line="360" w:lineRule="auto"/>
        <w:ind w:firstLine="482" w:firstLineChars="200"/>
        <w:jc w:val="left"/>
        <w:outlineLvl w:val="0"/>
        <w:rPr>
          <w:rFonts w:asciiTheme="minorEastAsia" w:hAnsiTheme="minorEastAsia" w:eastAsiaTheme="minorEastAsia" w:cstheme="minorEastAsia"/>
          <w:b/>
          <w:kern w:val="0"/>
          <w:sz w:val="24"/>
        </w:rPr>
      </w:pPr>
      <w:bookmarkStart w:id="25" w:name="_Toc27358"/>
      <w:r>
        <w:rPr>
          <w:rFonts w:hint="eastAsia" w:asciiTheme="minorEastAsia" w:hAnsiTheme="minorEastAsia" w:eastAsiaTheme="minorEastAsia" w:cstheme="minorEastAsia"/>
          <w:b/>
          <w:kern w:val="0"/>
          <w:sz w:val="24"/>
        </w:rPr>
        <w:t>四、质量与检验</w:t>
      </w:r>
      <w:bookmarkEnd w:id="25"/>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15、工程质量</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15.1工程质量应当达到协议书约定的质量标准，质量标准的评定以国家或行业的质量检验评定标准为依据。因承包人原因工程质量达不到约定的质量标准，承包人承担违约责任。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15.2双方对工程质量有争议，由双方同意的工程质量检测机构鉴定，所需费用及因此造成的损失，由责任方承担。双方均有责任，由双方根据其责任分别承担。</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16、检查和返工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16.1承包人应认真按照标准、规范和设计图纸要求以及工程师依据合同发出的指令施工，随时接受工程师的检查检验，为检查检验提供便利条件。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16.2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16.3工程师的检查检验不应影响施工正常进行。如影响施工正常进行，检查检验不合格时，影响正常施工的费用由承包人承担。除此之外影响正常施工的追加合同价款由发包人承担，相应顺延工期。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16.4因工程师指令失误或其他非承包人原因发生的追加合同价款，由发包人承担。</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17、隐蔽工程和中间验收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17.1工程具备隐蔽条件或达到专用条款约定的中间验收部位，承包人进行自检，并在隐蔽或中间验收前48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17.2工程师不能按时进行验收，应在验收前24小时以书面形式向承包人提出延期要求，延期不能超过48小时。工程师未能按以上时间提出延期要求，不进行验收，承包人可自行组织验收，工程师应承认验收记录。</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17.3经工程师验收，工程质量符合标准、规范和设计图纸等要求，验收24小时后，工程师不在验收记录上签字，视为工程师已经认可验收记录，承包人可进行隐蔽或继续施工。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18、重新检验</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19、工程试车</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19.1双方约定需要试车的，试车内容应与承包人承包的安装范围相一致。</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19.2设备安装工程具备单机无负荷试车条件，承包人组织试车，并在试车前48小时以书面形式通知工程师。通知包括试车内容、时间、地点。承包人准备试车记录，发包人根据承包人要求为试车提供必要条件。试车合格，工程师在试车记录上签字。</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19.3工程师不能按时参加试车，须在开始试车前24小时以书面形式向承包人提出延期要求，延期不能超过48小时。工程师未能按以上时间提出延期要求，不参加试车，应承认试车记录。</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19.4设备安装工程具备无负荷联动试车条件，发包人组织试车，并在试车前48小时以书面形式通知承包人。通知包括试车内容、时间、地点和对承包人的要求，承包人按要求做好准备工作。试车合格，双方在试车记录上签字。</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19.5双方责任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（1）由于设计原因试车达不到验收要求，发包人应要求设计单位修改设计，承包人按修改后的设计重新安装。发包人承担修改设计、拆除及重新安装的全部费用和追加合同价款，工期相应顺延。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由于设备制造原因试车达不到验收要求，由该设备采购一方负责重新购置或修理，承包人负责拆除和重新安装。设备由承包人采购的，由承包人承担修理或重新购置、拆除及重新安装的费用，工期不予顺延；设备由发包人采购的或由发包人认质认价，承包人采购的，发包人承担上述各项追加合同价款，工期相应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（3）由于承包人施工原因试车达不到验收要求，承包人按工程师要求重新安装和试车，并承担重新安装和试车的费用，工期不予顺延。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（4）试车费用除已包括在合同价款之内或专用条款另有约定外，均由发包人承担。</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（5）工程师在试车合格后不在试车记录上签字，试车结束24小时后，视为工程师已经认可试车记录，承包人可继续施工或办理竣工手续。</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19.6投料试车应在工程竣工验收后由发包人负责，如发包人要求在工程竣工验收前进行或需要承包人配合时，应征得承包人同意，另行签订补充协议。</w:t>
      </w:r>
    </w:p>
    <w:p>
      <w:pPr>
        <w:widowControl/>
        <w:spacing w:line="360" w:lineRule="auto"/>
        <w:ind w:firstLine="482" w:firstLineChars="200"/>
        <w:jc w:val="left"/>
        <w:outlineLvl w:val="0"/>
        <w:rPr>
          <w:rFonts w:asciiTheme="minorEastAsia" w:hAnsiTheme="minorEastAsia" w:eastAsiaTheme="minorEastAsia" w:cstheme="minorEastAsia"/>
          <w:b/>
          <w:kern w:val="0"/>
          <w:sz w:val="24"/>
        </w:rPr>
      </w:pPr>
      <w:bookmarkStart w:id="26" w:name="_Toc11702"/>
      <w:r>
        <w:rPr>
          <w:rFonts w:hint="eastAsia" w:asciiTheme="minorEastAsia" w:hAnsiTheme="minorEastAsia" w:eastAsiaTheme="minorEastAsia" w:cstheme="minorEastAsia"/>
          <w:b/>
          <w:kern w:val="0"/>
          <w:sz w:val="24"/>
        </w:rPr>
        <w:t>五、安全防护、文明施工</w:t>
      </w:r>
      <w:bookmarkEnd w:id="26"/>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20、发包人责任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20．1发包人应遵守安全防护和文明施工的规定，督促承包人落实安全防护、文明施工措施，并按规定支付安全防护、文明施工措施费。</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20．2发包人应对其在施工现场人员进行安全防护、文明施工教育，并对他们的安全负责。</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3在合同工程实施、完成及保修期间，发包人不得要求承包人违反安全生产、文明施工规定和强制性标准规范进行施工；不得明示或暗示承包人购买、租赁、使用不符合安全施工要求的安全防护用具、机械设备、施工机具及配件、消防设施和器材。</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20．4发包人违反上述规定或由于发包人原因导致安全事故的，由发包人承担相应责任和费用，顺延延误的工期。</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21、承包人责任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21.1承包人应遵守安全防护和文明施工的规定，建立健全安全防护和文明施工的制度，对其在施工现场人员进行安全防护、文明施工教育，并对他们的安全负责。</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21.2完善安全防护和文明施工条件，严格按照安全防护和文明施工的规定组织施工，采取必要的安全防护措施，消除事故隐患，自觉接受和配合依法实施的监督检查。</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21.3在合同工程实施、完成及保修期间，承包人应做好施工现场的安全警示标志、道路及场地的硬化与必要的绿化、安全通道的合理布置、材料与设备的存放与保管、消防设施的齐全有效、现场垃圾的存放与清运、施工现场的照明与防护以及政府有关部门关于安全防护、文明施工规定的其它工作等。</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21.4应按规定的范围使用安全文明措施费，保证专款专用，不得挪作它用。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21.5承包人对合同工程的安全施工负责，并应及时、如实报告生产安全事故。承包人违反上述规定或由于承包人原因造成的安全事故，由承包人承担相应责任和费用，工期不予顺延。</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22、合同工程临近动力设备、输电线路、地下管道、密封防震车间、易燃易爆地段、建（构）筑物以及临街交通要道施工时，按有关规定应当采取防护措施的，施工开始前承包人应向工程师提出安全防护措施，经工程师认可后实施。防护措施费由发包人承担。</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23、实施爆破作业，在放射、毒害性环境中施工（含储存、运输、使用）及使用毒害性、腐蚀性物品施工时，承包人应在施工前14天以书面通知工程师，并提出相应的安全防护措施，经工程师认可后实施，由发包人承担安全防护措施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24、事故处理</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24.1发生伤亡及其他安全事故，承包人应按有关规定立即上报有关部门并通知工程师，同时按政府有关部门要求处理，由事故责任方承担发生的费用。</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24.2发包人承包人对事故责任有争议时，应按政府有关部门的认定处理。</w:t>
      </w:r>
    </w:p>
    <w:p>
      <w:pPr>
        <w:widowControl/>
        <w:spacing w:line="360" w:lineRule="auto"/>
        <w:ind w:firstLine="482" w:firstLineChars="200"/>
        <w:jc w:val="left"/>
        <w:outlineLvl w:val="0"/>
        <w:rPr>
          <w:rFonts w:asciiTheme="minorEastAsia" w:hAnsiTheme="minorEastAsia" w:eastAsiaTheme="minorEastAsia" w:cstheme="minorEastAsia"/>
          <w:b/>
          <w:kern w:val="0"/>
          <w:sz w:val="24"/>
        </w:rPr>
      </w:pPr>
      <w:bookmarkStart w:id="27" w:name="_Toc15413"/>
      <w:r>
        <w:rPr>
          <w:rFonts w:hint="eastAsia" w:asciiTheme="minorEastAsia" w:hAnsiTheme="minorEastAsia" w:eastAsiaTheme="minorEastAsia" w:cstheme="minorEastAsia"/>
          <w:b/>
          <w:kern w:val="0"/>
          <w:sz w:val="24"/>
        </w:rPr>
        <w:t>六、合同价款</w:t>
      </w:r>
      <w:bookmarkEnd w:id="27"/>
    </w:p>
    <w:p>
      <w:pPr>
        <w:widowControl/>
        <w:spacing w:line="360" w:lineRule="auto"/>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kern w:val="0"/>
          <w:sz w:val="24"/>
        </w:rPr>
        <w:t>25、工程的计量规则和计价办法以《陕西省建设工程工程量清单计价规则》及相关规定为准，工程师应按照合同约定，依据上述规定进行工程计量和计价。</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26、合同价款约定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26.1招标工程的合同价款由发包人承包人依据中标通知书中的中标价格在协议书内约定。非招标工程的合同价款由发包人承包人依据双方确认的工程预算书在协议书内约定。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26.2合同价款在协议书内约定后，任何一方不得擅自改变。下列三种确定合同价款的方式，双方可在专用条款内约定采用其中一种：</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（1）固定总价合同。合同工期较短且工程合同总价较低的工程，可以采用固定总价合同方式。</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（2）固定综合单价合同。一般适用于工程量清单计价项目。双方在专用条款内约定综合单价包含的风险范围，在约定的风险范围内综合单价不再调整。风险范围以外的综合单价调整方法应当在专用条款内约定。</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（3）可调价格合同。可调价格包括可调综合单价和措施项目费用等，双方应在专用条款内约定综合单价和措施项目费的调整方法。</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27、合同价款调整</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27.1价格中工程量、综合单价、措施项目费用的调整因素包括：</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（1）法律、行政法规和国家有关政策变化影响合同价款；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（2）工程造价管理机构的价格调整；</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（3）经批准的设计变更；</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（4）发包人更改经审定批准的施工组织设计（修正错误除外）造成费用变化；</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（5）工程量清单的工程数量与实际工程量不符，按实际工程量进行调整计算；</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（6）费用索赔事件或发包人负责的其他情况；</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（7）双方在专用条款中约定的其他因素。</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27.2承包人应当在27.1款情况发生后14天内，将调整原因、金额以书面形式通知工程师，工程师确认调整金额后作为追加合同价款，与工程款同期支付。工程师收到承包人通知后14天内不予确认也不提出修改意见，视为已经同意该项调整。承包人未在规定时间内通知发包人、或者未在规定时间内提出调整报告，发包人可以根据有关资料，决定是否调整和调整的金额并书面通知承包人，承包人如有异议，且协商达不成一致时，按第41条关于争议的约定处理。</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28、工程预付款</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28.1双方应当在专用条款内约定发包人向承包人预付工程款的比例、时间和抵扣方式，开工后按约定的时间和比例逐次扣回。预付款的预付比例不得低于合同总价的10%，也不得高于合同总价的30%。预付时间应在双方签订合同后的一个月内或不迟于约定的开工日期前7天。发包人不按约定预付，承包人在约定预付时间7天后10天内向发包人发出要求预付的通知，发包人收到通知后仍不能按要求预付，承包人可在发出通知后14天后停止施工，发包人应从约定应付之日起向承包人支付应付款的贷款利息（利率按同期银行贷款利率计），并承担违约责任。</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28.2安全防护和文明施工措施费应在专用条款中约定预付方式。合同工期在一年以内的，预付比例不得低于总额的70%；合同工期在一年以上的（含一年），预付比例不得低于总额的50%。</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29、已完工程量确认</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29.1承包人应按专用条款约定的方法和时间，向工程师提交已完工程量的报告。工程师接到报告后14天内按设计图纸核实已完工程量（以下称计量），并在计量前24小时通知承包人，承包人为计量提供便利条件并派人参加。承包人收到通知后不参加计量，计量结果有效，作为工程价款支付的依据。</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29.2工程师收到承包人报告后14天内未进行计量，从第15天起，承包人报告中开列的工程量即视为被确认，作为工程价款支付的依据。工程师不按约定时间通知承包人，致使承包人未能参加计量，计量结果无效。</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29.3对承包人超出设计图纸（含设计变更）范围和因承包人原因造成返工的工程量，工程师不予计量。</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30、工程进度款结算与支付</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30.1双方应在专用条款内约定工程进度款结算支付方式。结算支付方式分为按月结算支付与分阶段结算支付。</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30.2在确认计量结果后14天内，发包人应向承包人支付不低于应付款额75%、不高于应付款额90%的工程进度款。按约定时间发包人应扣回的预付款，与工程进度款同期结算抵扣。</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30.3本通用条款第27条确定调整的合同价款，第35条工程变更调整的合同价款及其他条款中约定的追加合同价款，应与工程进度款同期调整支付。</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30.4发包人超过约定的支付时间不支付工程进度款，承包人应及时向发包人发出要求付款的通知，发包人收到承包人通知后仍不能按要求付款，可与承包人协商签订延期付款协议，经承包人同意后可延期支付。协议应明确延期支付的时间和从计量结果确认后第15天起计算应付款的贷款利息（利率按同期银行贷款利率计）。</w:t>
      </w:r>
    </w:p>
    <w:p>
      <w:pPr>
        <w:widowControl/>
        <w:spacing w:line="360" w:lineRule="auto"/>
        <w:ind w:firstLine="480" w:firstLineChars="200"/>
        <w:jc w:val="left"/>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30.5发包人不按合同约定支付工程进度款，双方又未达成延期付款协议，导致施工无法进行，承包人可停止施工，由发包人承担违约责任。</w:t>
      </w:r>
    </w:p>
    <w:p>
      <w:pPr>
        <w:widowControl/>
        <w:spacing w:line="360" w:lineRule="auto"/>
        <w:ind w:firstLine="482" w:firstLineChars="200"/>
        <w:outlineLvl w:val="0"/>
        <w:rPr>
          <w:rFonts w:asciiTheme="minorEastAsia" w:hAnsiTheme="minorEastAsia" w:eastAsiaTheme="minorEastAsia" w:cstheme="minorEastAsia"/>
          <w:b/>
          <w:kern w:val="0"/>
          <w:sz w:val="24"/>
        </w:rPr>
      </w:pPr>
      <w:bookmarkStart w:id="28" w:name="_Toc12497"/>
      <w:r>
        <w:rPr>
          <w:rFonts w:hint="eastAsia" w:asciiTheme="minorEastAsia" w:hAnsiTheme="minorEastAsia" w:eastAsiaTheme="minorEastAsia" w:cstheme="minorEastAsia"/>
          <w:b/>
          <w:kern w:val="0"/>
          <w:sz w:val="24"/>
        </w:rPr>
        <w:t>七、材料设备供应</w:t>
      </w:r>
      <w:bookmarkEnd w:id="28"/>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31、发包人供应材料设备</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31.1实行发包人供应材料设备的，双方应当约定发包人供应材料设备的一览表，作为本合同附件（附件2）。一览表包括发包人供应材料设备的品种、规格、型号、数量、单价、质量等级、提供时间和地点。</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31.2发包人按一览表约定的内容提供材料设备，并向承包人提供产品合格证明，对其质量负责。发包人在所供材料设备到货前24小时，以书面形式通知承包人，由承包人派人与发包人共同清点。</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31.3发包人供应的材料设备，承包人派人参加清点后由承包人妥善保管，发包人支付相应保管费用。因承包人原因发生丢失损坏，由承包人负责赔偿。发包人未通知承包人清点，承包人不负责材料设备的保管，丢失损坏由发包人负责。</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31.4发包人供应的材料设备与一览表不符时，发包人承担有关责任。发包人应承担责任的具体内容，双方根据下列情况在专用条款内约定：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（1）材料设备单价与一览表不符，由发包人承担所有价差；</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（2）材料设备的品种、规格、型号、质量等级与一览表不符，承包人可拒绝接收保管，由发包人运出施工场地并重新采购；</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（3）发包人供应的材料规格、型号与一览表不符，经发包人同意，承包人可代为调剂串换，由发包人承担相应费用；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（4）到货地点与一览表不符，由发包人负责运至一览表指定地点；</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（5）供应数量少于一览表约定的数量时，由发包人补齐，多于一览表约定数量时，发包人负责将多出部分运出施工场地；</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（6）到货时间早于一览表约定时间，由发包人承担因此发生的保管费用；到货时间迟于一览表约定的供应时间，发包人赔偿由此造成的承包人损失，造成工期延误的，相应顺延工期；</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31.5发包人供应的材料设备使用前，由承包人负责检验或试验，不合格的不得使用，检验或试验费用由发包人承担。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31.6发包人供应材料设备的结算方法，双方在专用条款内约定。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32、承包人采购材料设备</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32.1承包人负责采购材料设备的，应按照专用条款约定及设计和有关标准要求采购，并提供产品合格证明，对材料设备质量负责。承包人在材料设备到货前24小时通知工程师清点。</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32.2承包人采购的材料设备与设计标准要求不符时，承包人应按工程师要求的时间运出施工场地，重新采购符合要求的产品，承担由此发生的费用，由此延误的工期不予顺延。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32.3承包人采购的材料设备在使用前，承包人应按工程师的要求进行检验或试验，不合格的不得使用，检验或试验费用由承包人承担。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32.4工程师发现承包人采购并使用不符合设计和标准要求的材料设备时，应要求承包人负责修复、拆除或重新采购，由承包人承担发生的费用，由此延误的工期不予顺延。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32.5承包人需要使用代用材料时，应经工程师认可后才能使用，由此增减的合同价款双方以书面形式议定。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32.6由承包人采购的材料设备，发包人不得指定生产厂或磋商响应单位。</w:t>
      </w:r>
    </w:p>
    <w:p>
      <w:pPr>
        <w:widowControl/>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八、工程变更</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33、工程设计变更</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33.1施工中发包人需对原工程设计变更，应提前14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（1）更改工程有关部分的标高、基线、位置和尺寸；</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（2）增减合同中约定的工程量；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（3）改变有关工程的施工时间和顺序；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（4）其他有关工程变更需要的附加工作。</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因变更导致合同价款的增减及造成的承包人损失，由发包人承担，延误的工期相应顺延。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33.2施工中承包人不得对原工程设计进行变更。因承包人擅自变更设计发生的费用和由此导致发包人的直接损失，由承包人承担，延误的工期不予顺延。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33.3承包人在施工中提出的合理化建议涉及到对设计图纸或施工组织设计的更改及对材料、设备的换用，须经工程师同意。未经同意擅自更改或换用时，承包人承担由此发生的费用，并赔偿发包人的有关损失，延误的工期不予顺延。工程师同意采用承包人合理化建议，所发生的费用和获得的收益，发包人承包人另行约定分担或分享。</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34、其他变更</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合同履行中发包人要求变更工程质量标准及发生其他实质性变更，由双方协商解决。</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35、确定变更价款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35.1承包人在工程变更确定后14天内，提出变更工程价款的报告，经工程师确认后调整合同价款。变更合同价款按下列方法进行：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（1）合同中已有适用于变更工程的综合单价或价格，按合同已有的综合单价或价格变更合同价款；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（2）合同中只有类似于变更工程的综合单价或价格，可以参照类似综合单价或价格变更合同价款；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（3）合同中没有适用或类似于变更工程的综合单价或价格，由承包人或发包人提出综合单价或价格，经双方确认后执行。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35.2承包人在双方确定变更后14天内应向工程师提出变更工程价款报告，否则发包人可根据所掌握的资料决定是否调整合同价款和调整的具体金额，并书面通知承包人。</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35.3工程师应在收到变更工程价款报告之日起14天内予以确认，工程师无正当理由不确认也未提出协商意见时，自变更工程价款报告送达之日起14天后视为变更工程价款报告已被确认。</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35.4发承包双方对变更价款不能达成一致时，按本通用条款第41条关于争议的约定处理。</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35.5因承包人自身原因导致的工程变更，承包人无权要求追加合同价款。</w:t>
      </w:r>
    </w:p>
    <w:p>
      <w:pPr>
        <w:widowControl/>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九、竣工验收与结算</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36、竣工验收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36.1工程具备竣工验收条件，承包人按国家工程竣工验收有关规定，向发包人提供完整竣工资料及竣工验收报告。双方约定由承包人提供竣工图的，应当在专用条款内约定提供的日期和份数。</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36.2发包人收到竣工验收报告后28天内组织有关单位验收，并在验收后14天内给予认可或提出修改意见。承包人按要求修改，并承担由自身原因造成修改的费用。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36.3发包人收到承包人送交的竣工验收报告后28天内不组织验收，或验收后14天内不提出修改意见，视为竣工验收报告已被认可。</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36.4工程竣工验收通过，承包人送交竣工验收报告的日期为实际竣工日期。工程按发包人要求修改后通过竣工验收的，实际竣工日期为承包人修改后提请发包人验收的日期。</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36.5发包人收到承包人竣工验收报告后28天内不组织验收，从第29天起承担工程保管及一切意外责任。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36.6中间交工工程的范围和竣工时间，双方在专用条款内约定，其验收程序按本通用条款36.1款至36.4款办理。</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36.7因特殊原因，发包人要求部分单位工程或工程部位甩项竣工的，双方另行签订甩项竣工协议，明确双方责任和工程价款的支付方法。</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36.8工程未经竣工验收或竣工验收未通过的，发包人不得使用。发包人强行使用时，由此发生的质量及其他问题，由发包人承担责任。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37、竣工结算</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37.1工程竣工结算分为单位工程竣工结算、单项工程竣工结算和建设项目竣工总结算。</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37.2承包人应在工程通过竣工验收后，工程竣工结算报告金额在500万元以下的工程一般在20天以内、工程竣工结算报告金额在500万元以上的工程一般在</w:t>
      </w:r>
      <w:r>
        <w:rPr>
          <w:rFonts w:hint="eastAsia" w:asciiTheme="minorEastAsia" w:hAnsiTheme="minorEastAsia" w:eastAsiaTheme="minorEastAsia" w:cstheme="minorEastAsia"/>
          <w:color w:val="000000" w:themeColor="text1"/>
          <w:kern w:val="0"/>
          <w:sz w:val="24"/>
        </w:rPr>
        <w:t>60</w:t>
      </w:r>
      <w:r>
        <w:rPr>
          <w:rFonts w:hint="eastAsia" w:asciiTheme="minorEastAsia" w:hAnsiTheme="minorEastAsia" w:eastAsiaTheme="minorEastAsia" w:cstheme="minorEastAsia"/>
          <w:kern w:val="0"/>
          <w:sz w:val="24"/>
        </w:rPr>
        <w:t>天以内向发包人递交竣工结算报告及完整的结算资料，双方按照协议书约定的合同价款及专用条款约定的合同价款调整内容，进行工程竣工结算。</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建设项目总结算在最后一个单项工程竣工结算审查确认后，一般在15天以内向发包人提交竣工结算汇总资料。</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37.3发包人收到承包人递交的单位单项工程竣工结算报告及结算资料后，工程竣工结算报告金额在500万元以下的工程一般在20天以内、工程竣工结算报告金额在500万元以上的工程一般在60天以内（合同约定有期限的，从其约定）进行审查，给予确认或者提出修改意见。发包人确认竣工结算报告后向承包人支付工程竣工结算价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37.4承包人收到竣工结算价款后14天内将竣工工程交付发包人。</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37.5发包人收到承包人建设项目竣工总结算汇总资料后30天内，审查完成。</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37.6发包人收到竣工结算报告及结算资料后，在本条规定期限内对结算报告及资料没有提出意见则视同认可。</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37.7承包人如未在规定时间内提供完整的工程竣工结算资料，经发包人催促后14天内仍未提供或没有明确答复，发包人有权根据已有资料进行审查，责任由承包人自负。发包人要求交付工程的，承包人应当交付；发包人不要求交付工程的，承包人承担保管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37.8根据确认的竣工结算报告，承包人向发包人申请支付工程竣工结算款。发包人应在收到申请后15天内支付结算款，到期没有支付的应承担违约责任。承包人可以催告发包人支付结算价款，如达成延期支付协议的，发包人应按同期银行贷款利率支付拖欠工程价款的利息。如未达成延期支付协议，承包人可以与发包人协商将该工程折价或申请人民法院将该工程依法拍卖，承包人就该工程折价或者拍卖的价款优先受偿。</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37.9发包人承包人对工程竣工结算价款发生争议时，按本通用条款第41条关于争议的约定处理。</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38、质量保证</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38.1承包人应按法律、行政法规或国家关于工程质量保修的有关规定，对交付发包人使用的工程在质量保修期内承担质量保修责任。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38.2质量保修工作的实施。承包人与发包人签订质量保修书，作为本合同附件（附件３）。发包人应明确保证金预留、返还等内容，并与承包人在合同条款中对涉及保证金的下列事项进行约定：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（1）保证金预留、返还方式；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（2）保证金预留比例、期限；</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（3）保证金是否计付利息，如计利息，利息的计算方式；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（4）缺陷责任期的期限及计算方式；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（5）保证金预留、返还及工程维修质量、费用等争议的处理程序；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（6）缺陷责任期内出现缺陷的索赔方式。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38.3质量保修书的主要内容包括：</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（1）质量保修项目内容及范围；</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（2）质量保修期；</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（3）质量保修责任；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（4）质量保修金的支付方法。</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38.4质量保证金按工程价款结算总额5%以内的比例预留。</w:t>
      </w:r>
    </w:p>
    <w:p>
      <w:pPr>
        <w:widowControl/>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十、违约、索赔和争议</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39、违约</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39.1发包人违约。当发生下列情况时：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（1）本通用条款第28.1款提到的发包人不按时支付工程预付款；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（2）本通用条款第30.5款提到的发包人不按合同约定支付工程款，导致施工无法进行；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（3）本通用条款第37.6款提到的发包人无正当理由不支付工程竣工结算价款；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（4）发包人不履行合同义务或不按合同约定履行义务的其他情况。</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发包人承担违约责任，赔偿因其违约给承包人造成的经济损失，顺延延误的工期。双方在专用条款内约定发包人赔偿承包人损失的计算方法或者发包人应当支付违约金的数额和计算方法。</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39.2承包人违约。当发生下列情况时：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（1）本通用条款第14.2款提到的因承包人原因不能按照协议书约定的竣工日期或工程师同意顺延的工期竣工；</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（2）本通用条款第15.1款提到的因承包人原因工程质量达不到协议书约定的质量标准；</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（3）承包人不履行合同义务或不按合同约定履行义务的其他情况。</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承包人承担违约责任，赔偿因其违约给发包人造成的损失。双方在专用条款内约定承包人赔偿发包人损失的计算方法或者承包人应当支付违约金的数额和计算方法。</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39.3一方违约后，另一方要求违约方继续履行合同时，违约方承担上述违约责任后仍应继续履行合同。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40、索赔</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40.1当一方向另一方提出索赔时，要有正当索赔理由，且有索赔事件发生时的有效证据。</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40.2发包人未能按合同约定履行自己的各项义务或发生错误以及应由发包人承担责任的其他情况，造成工期延误和（或）承包人不能及时得到合同价款及承包人的其他经济损失，承包人可按下列程序以书面形式向发包人索赔：</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（1）索赔事件发生后28天内，向工程师发出索赔意向通知；</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（2）发出索赔意向通知后28天内，向工程师提出延长工期和（或）补偿经济损失的索赔报告及有关资料；</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（3）工程师在收到承包人送交的索赔报告和有关资料后，于28天内给予答复，或要求承包人进一步补充索赔理由和证据；</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（4）工程师在收到承包人送交的索赔报告和有关资料后28天内未予答复或未对承包人作进一步要求，视为该项索赔已经认可；</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（5）当该索赔事件持续进行时，承包人应当阶段性向工程师发出索赔意向，在索赔事件终了后28天内，向工程师送交索赔的有关资料和最终索赔报告。索赔答复程序与（3）、（4）规定相同。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40.3承包人未能按合同约定履行自己的各项义务或发生错误，给发包人造成经济损失，发包人可按40.2款确定的时限向承包人提出索赔。</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41、争议</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41.1发包人承包人在履行合同时发生争议，可以协商和解或者要求有关主管部门调解。当事人不愿和解、调解或者和解、调解不成的，双方可以在专用条款内约定以下一种方式解决争议：第一种解决方式：双方达成仲裁协议，向约定的仲裁委员会申请仲裁；第二种解决方式：向有管辖权的人民法院起诉。</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41.2发生争议后，除非出现下列情况的，双方都应继续履行合同，保持施工连续，保护好已完工程：</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（1）单方违约导致合同确已无法履行，双方协议停止施工；</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（2）调解要求停止施工，且为双方接受；</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（3）仲裁机构要求停止施工；</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（4）法院要求停止施工。</w:t>
      </w:r>
    </w:p>
    <w:p>
      <w:pPr>
        <w:widowControl/>
        <w:spacing w:line="360" w:lineRule="auto"/>
        <w:ind w:firstLine="482" w:firstLineChars="200"/>
        <w:rPr>
          <w:rFonts w:asciiTheme="minorEastAsia" w:hAnsiTheme="minorEastAsia" w:eastAsiaTheme="minorEastAsia" w:cstheme="minorEastAsia"/>
          <w:b/>
          <w:kern w:val="0"/>
          <w:sz w:val="24"/>
        </w:rPr>
      </w:pPr>
      <w:r>
        <w:rPr>
          <w:rFonts w:hint="eastAsia" w:asciiTheme="minorEastAsia" w:hAnsiTheme="minorEastAsia" w:eastAsiaTheme="minorEastAsia" w:cstheme="minorEastAsia"/>
          <w:b/>
          <w:kern w:val="0"/>
          <w:sz w:val="24"/>
        </w:rPr>
        <w:t>十一、其他</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42、工程分包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42.1承包人需要将专业工程或劳务进行分包的，应分包给具有相应资质的专业或劳务企业，并与分包企业签订分包合同。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42.2承包人不得将其承包的工程转包给他人，也不得将其承包的工程以分包的名义转包给他人。</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42.3工程分包不能解除承包人任何责任与义务。承包人应在分包场地派驻相应管理人员，保证本合同的履行。分包单位的任何违约行为或疏忽导致工程损害或给发包人造成其他损失，承包人承担连带责任。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42.4分包工程价款由承包人与分包单位结算。发包人未经承包人同意不得以任何形式向分包单位支付各种工程款项。</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42.5承包人应按时支付分包工程款及劳务费。若承包人不能按时支付时，发包人可将此部分款项从向承包人支付的工程款中扣出并直接支付给分包人和劳务人员。</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43、不可抗力</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43.1不可抗力包括因战争、动乱、空中飞行物体坠落或其他非发包人承包人责任造成的爆炸、火灾，以及专用条款约定的风、雨、雪、洪、震等自然灾害。</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43.2不可抗力事件发生后，承包人应立即通知工程师，双方应在力所能及的条件下迅速采取措施，尽力减少损失，发包人应协助承包人采取措施。工程师认为应当暂停施工的，承包人应暂停施工。不可抗力事件结束后48小时内承包人向工程师通报受害情况和损失情况，及预计清理和修复的费用。不可抗事件持续发生，承包人应每隔7天向工程师报告一次受害情况。不可抗力事件结束后14天内，承包人向工程师提交清理和修复费用的正式报告及有关资料。</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43.3因不可抗力事件导致的费用及延误的工期由双方按以下方法分别承担：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（1）工程本身的损害、因工程损害导致第三人人员伤亡和财产损失以及运至施工场地用于施工的材料和待安装的设备的损害，由发包人承担；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（2）发包人承包人人员伤亡由其所在单位负责，并承担相应费用；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（3）承包人机械设备损坏及停工损失，由承包人承担；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（4）停工期间，承包人应工程师要求留在施工场地的必要的管理人员及保卫人员的费用由发包人承担；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（5）工程所需清理、修复费用，由发包人承担；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（6）延误的工期相应顺延。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43.4因合同一方迟延履行合同后发生不可抗力的，不能免除迟延履行方的相应责任。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44、保险</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44.1工程开工前，发包人为建设工程和施工现场内的自有人员及第三人人员生命财产办理保险，支付保险费用。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44.2发包人供应的运至施工场地内用于工程的材料设备，由发包人办理保险，并支付保险费用。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44.3发包人可以将有关保险事项委托承包人办理，费用由发包人承担。</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44.4承包人必须为施工场地内施工人员办理意外伤害保险和工伤保险，并为施工场地内的施工机械设备办理财产保险，支付保险费用。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44.5保险事故发生时，发包人承包人有责任尽力采取必要的措施，防止或者减少损失。</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44.6具体投保内容和相关责任，发包人承包人在专用条款中约定。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45、担保</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45.1发包人承包人为了全面履行合同，应互相提供以下担保：</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（1）发包人向承包人提供支付担保，按合同约定支付工程价款及履行合同约定的其他义务。</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（2）承包人向发包人提供履约担保，按合同约定履行自己的各项义务。</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45.2一方违约后，另一方可要求提供担保的第三人承担相应责任。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45.3提供担保的内容、方式和相关责任，发包人承包人除在专用条款中约定外，被担保方与担保方还应签订担保合同，作为本合同附件。</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46、专利技术及特殊工艺</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46.1发包人要求使用专利技术或特殊工艺，应负责办理相应的申报手续，承担申报、试验、使用等费用；承包人提出使用专利技术或特殊工艺，应取得工程师认可，承包人负责办理申报手续并承担有关费用。</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46.2擅自使用专利技术侵犯他人专利权的，责任者依法承担相应责任。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47、文物和地下障碍物</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47.1在施工中发现古墓、古建筑遗址等文物及化石或其他有考古、地质研究等价值的物品时，承包人应立即保护好现场并于4小时内以书面形式通知工程师，工程师应于收到书面通知后24小时内报告当地文物管理部门，发包人承包人按文物管理部门的要求采取妥善保护措施。发包人承担由此发生的费用，顺延延误的工期。</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如发现后隐瞒不报，致使文物遭受破坏，责任者依法承担相应责任。</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47.2施工中发现影响施工的地下障碍物时，承包人应于8小时内以书面形式通知工程师，同时提出处置方案，工程师收到处置方案后24小时内予以认可或提出修正方案。发包人承担由此发生的费用，顺延延误的工期。</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所发现的地下障碍物有归属单位时，发包人应报请有关部门协同处置。</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48、合同解除</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48.1发包人承包人协商一致，可以解除合同。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48.2发生本通用条款第30.5款情况，停止施工超过56天，发包人仍不支付工程款（进度款），承包人有权解除合同。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48.3发生本通用条款第42.2款禁止的情况，发包人有权解除合同。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48.4有下列情形之一的，发包人承包人可以解除合同：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（1）因不可抗力致使合同无法履行；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（2）因一方违约（包括因发包人原因造成工程停建或缓建）致使合同无法履行。</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48.5一方依据48.2、48.3、48.4款约定要求解除合同的，应以书面形式向对方发出解除合同的通知，并在发出通知前7天告知对方，通知到达对方时合同解除。对解除合同有争议的，按本通用条款第41条关于争议的约定处理。</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48.6合同解除后，承包人应妥善做好已完工程和已购材料、设备的保护和移交工作，按发包人要求将自有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48.7合同解除后，不影响双方在合同中约定的结算和清理条款的效力。</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49、合同生效与终止</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49.1双方在协议书中约定合同生效方式。</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49.2除本通用条款第38条外，发包人承包人履行合同全部义务，竣工结算价款支付完毕，承包人向发包人交付竣工工程后，本合同即告终止。</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49.3合同的权利义务终止后，发包人承包人应当遵循诚实信用原则，履行通知、协助、保密等义务。</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50、合同份数</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50.1本合同正本两份，具有同等效力，由发包人承包人分别保存一份。</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50.2本合同副本份数，由双方根据需要在专用条款内约定。</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51、补充条款</w:t>
      </w:r>
    </w:p>
    <w:p>
      <w:pPr>
        <w:widowControl/>
        <w:spacing w:line="360" w:lineRule="auto"/>
        <w:ind w:firstLine="480" w:firstLineChars="200"/>
        <w:rPr>
          <w:rFonts w:asciiTheme="minorEastAsia" w:hAnsiTheme="minorEastAsia" w:eastAsiaTheme="minorEastAsia" w:cstheme="minorEastAsia"/>
          <w:kern w:val="0"/>
          <w:sz w:val="24"/>
        </w:rPr>
      </w:pPr>
      <w:r>
        <w:rPr>
          <w:rFonts w:hint="eastAsia" w:asciiTheme="minorEastAsia" w:hAnsiTheme="minorEastAsia" w:eastAsiaTheme="minorEastAsia" w:cstheme="minorEastAsia"/>
          <w:kern w:val="0"/>
          <w:sz w:val="24"/>
        </w:rPr>
        <w:t>双方根据有关法律、行政法规规定，结合工程实际经协商一致后，可对本通用条款内容具体化、补充或修改，在专用条款内约定。</w:t>
      </w:r>
    </w:p>
    <w:p>
      <w:pPr>
        <w:widowControl/>
        <w:spacing w:line="360" w:lineRule="auto"/>
        <w:ind w:firstLine="480" w:firstLineChars="200"/>
        <w:rPr>
          <w:kern w:val="0"/>
          <w:sz w:val="24"/>
        </w:rPr>
      </w:pPr>
    </w:p>
    <w:p>
      <w:pPr>
        <w:widowControl/>
        <w:spacing w:line="360" w:lineRule="auto"/>
        <w:ind w:firstLine="480" w:firstLineChars="200"/>
        <w:rPr>
          <w:kern w:val="0"/>
          <w:sz w:val="24"/>
        </w:rPr>
      </w:pPr>
    </w:p>
    <w:p>
      <w:pPr>
        <w:widowControl/>
        <w:spacing w:line="360" w:lineRule="auto"/>
        <w:ind w:firstLine="480" w:firstLineChars="200"/>
        <w:rPr>
          <w:kern w:val="0"/>
          <w:sz w:val="24"/>
        </w:rPr>
      </w:pPr>
    </w:p>
    <w:p>
      <w:pPr>
        <w:widowControl/>
        <w:spacing w:line="360" w:lineRule="auto"/>
        <w:ind w:firstLine="480" w:firstLineChars="200"/>
        <w:rPr>
          <w:kern w:val="0"/>
          <w:sz w:val="24"/>
        </w:rPr>
      </w:pPr>
    </w:p>
    <w:p>
      <w:pPr>
        <w:widowControl/>
        <w:spacing w:line="360" w:lineRule="auto"/>
        <w:rPr>
          <w:kern w:val="0"/>
          <w:sz w:val="24"/>
        </w:rPr>
      </w:pPr>
    </w:p>
    <w:p>
      <w:pPr>
        <w:pStyle w:val="9"/>
        <w:ind w:firstLine="480"/>
        <w:rPr>
          <w:kern w:val="0"/>
          <w:sz w:val="24"/>
        </w:rPr>
      </w:pPr>
    </w:p>
    <w:p>
      <w:pPr>
        <w:pStyle w:val="9"/>
        <w:ind w:firstLine="480"/>
        <w:rPr>
          <w:kern w:val="0"/>
          <w:sz w:val="24"/>
        </w:rPr>
      </w:pPr>
    </w:p>
    <w:p>
      <w:pPr>
        <w:pStyle w:val="9"/>
        <w:ind w:firstLine="480"/>
        <w:rPr>
          <w:kern w:val="0"/>
          <w:sz w:val="24"/>
        </w:rPr>
      </w:pPr>
    </w:p>
    <w:p>
      <w:pPr>
        <w:pStyle w:val="9"/>
        <w:ind w:firstLine="480"/>
        <w:rPr>
          <w:kern w:val="0"/>
          <w:sz w:val="24"/>
        </w:rPr>
      </w:pPr>
    </w:p>
    <w:p>
      <w:pPr>
        <w:widowControl/>
        <w:spacing w:line="360" w:lineRule="auto"/>
        <w:rPr>
          <w:kern w:val="0"/>
          <w:sz w:val="24"/>
        </w:rPr>
      </w:pPr>
    </w:p>
    <w:p>
      <w:pPr>
        <w:pStyle w:val="5"/>
        <w:spacing w:line="400" w:lineRule="exact"/>
        <w:jc w:val="center"/>
        <w:rPr>
          <w:rFonts w:ascii="Times New Roman" w:hAnsi="Times New Roman" w:eastAsia="宋体"/>
          <w:sz w:val="24"/>
          <w:szCs w:val="24"/>
        </w:rPr>
      </w:pPr>
      <w:r>
        <w:rPr>
          <w:rFonts w:ascii="Times New Roman" w:hAnsi="Times New Roman" w:eastAsia="宋体"/>
        </w:rPr>
        <w:t xml:space="preserve"> </w:t>
      </w:r>
      <w:bookmarkStart w:id="29" w:name="_Toc231459934"/>
      <w:r>
        <w:rPr>
          <w:rFonts w:ascii="Times New Roman" w:hAnsi="Times New Roman" w:eastAsia="宋体"/>
        </w:rPr>
        <w:t>第三部分 专用条款</w:t>
      </w:r>
      <w:bookmarkEnd w:id="29"/>
    </w:p>
    <w:p>
      <w:pPr>
        <w:widowControl/>
        <w:spacing w:line="360" w:lineRule="auto"/>
        <w:ind w:firstLine="482" w:firstLineChars="200"/>
        <w:rPr>
          <w:b/>
          <w:kern w:val="0"/>
          <w:sz w:val="24"/>
        </w:rPr>
      </w:pPr>
      <w:bookmarkStart w:id="30" w:name="_Toc231459935"/>
      <w:r>
        <w:rPr>
          <w:b/>
          <w:kern w:val="0"/>
          <w:sz w:val="24"/>
        </w:rPr>
        <w:t>一、词语定义及合同文件</w:t>
      </w:r>
    </w:p>
    <w:p>
      <w:pPr>
        <w:widowControl/>
        <w:spacing w:line="360" w:lineRule="auto"/>
        <w:ind w:firstLine="480" w:firstLineChars="200"/>
        <w:rPr>
          <w:kern w:val="0"/>
          <w:sz w:val="24"/>
        </w:rPr>
      </w:pPr>
      <w:r>
        <w:rPr>
          <w:kern w:val="0"/>
          <w:sz w:val="24"/>
        </w:rPr>
        <w:t>2、合同文件及解释顺序</w:t>
      </w:r>
    </w:p>
    <w:p>
      <w:pPr>
        <w:widowControl/>
        <w:spacing w:line="360" w:lineRule="auto"/>
        <w:ind w:firstLine="480" w:firstLineChars="200"/>
        <w:rPr>
          <w:kern w:val="0"/>
          <w:sz w:val="24"/>
        </w:rPr>
      </w:pPr>
      <w:r>
        <w:rPr>
          <w:kern w:val="0"/>
          <w:sz w:val="24"/>
        </w:rPr>
        <w:t>合同文件组成及解释顺序：_</w:t>
      </w:r>
      <w:r>
        <w:rPr>
          <w:kern w:val="0"/>
          <w:sz w:val="24"/>
          <w:u w:val="single"/>
        </w:rPr>
        <w:t>本合同合同协议书、专用条款、通用条款、变更通知、中标通知书、答疑纪要、招标文件、图纸、投标书、有关技术标准、规范。</w:t>
      </w:r>
    </w:p>
    <w:p>
      <w:pPr>
        <w:widowControl/>
        <w:spacing w:line="360" w:lineRule="auto"/>
        <w:ind w:firstLine="480" w:firstLineChars="200"/>
        <w:rPr>
          <w:kern w:val="0"/>
          <w:sz w:val="24"/>
        </w:rPr>
      </w:pPr>
      <w:r>
        <w:rPr>
          <w:kern w:val="0"/>
          <w:sz w:val="24"/>
        </w:rPr>
        <w:t>3、语言文字和适用法律、标准及规范</w:t>
      </w:r>
    </w:p>
    <w:p>
      <w:pPr>
        <w:widowControl/>
        <w:spacing w:line="360" w:lineRule="auto"/>
        <w:ind w:firstLine="400" w:firstLineChars="200"/>
        <w:rPr>
          <w:kern w:val="0"/>
          <w:sz w:val="24"/>
        </w:rPr>
      </w:pPr>
      <w:r>
        <w:rPr>
          <w:kern w:val="0"/>
          <w:sz w:val="20"/>
        </w:rPr>
        <mc:AlternateContent>
          <mc:Choice Requires="wps">
            <w:drawing>
              <wp:anchor distT="0" distB="0" distL="114300" distR="114300" simplePos="0" relativeHeight="251660288" behindDoc="0" locked="0" layoutInCell="1" allowOverlap="1">
                <wp:simplePos x="0" y="0"/>
                <wp:positionH relativeFrom="column">
                  <wp:posOffset>2741930</wp:posOffset>
                </wp:positionH>
                <wp:positionV relativeFrom="paragraph">
                  <wp:posOffset>-19050</wp:posOffset>
                </wp:positionV>
                <wp:extent cx="1485900" cy="198120"/>
                <wp:effectExtent l="635" t="4445" r="18415" b="6985"/>
                <wp:wrapNone/>
                <wp:docPr id="2" name="直线 23"/>
                <wp:cNvGraphicFramePr/>
                <a:graphic xmlns:a="http://schemas.openxmlformats.org/drawingml/2006/main">
                  <a:graphicData uri="http://schemas.microsoft.com/office/word/2010/wordprocessingShape">
                    <wps:wsp>
                      <wps:cNvCnPr/>
                      <wps:spPr>
                        <a:xfrm flipV="1">
                          <a:off x="0" y="0"/>
                          <a:ext cx="1485900" cy="19812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23" o:spid="_x0000_s1026" o:spt="20" style="position:absolute;left:0pt;flip:y;margin-left:215.9pt;margin-top:-1.5pt;height:15.6pt;width:117pt;z-index:251660288;mso-width-relative:page;mso-height-relative:page;" filled="f" stroked="t" coordsize="21600,21600" o:gfxdata="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LqYh/XAAAACQEAAA8AAAAAAAAAAQAgAAAAIgAAAGRycy9kb3ducmV2Lnht&#10;bFBLAQIUABQAAAAIAIdO4kCrHPRO+gEAAPkDAAAOAAAAAAAAAAEAIAAAACYBAABkcnMvZTJvRG9j&#10;LnhtbFBLBQYAAAAABgAGAFkBAACSBQAAAAA=&#10;">
                <v:fill on="f" focussize="0,0"/>
                <v:stroke color="#000000" joinstyle="round"/>
                <v:imagedata o:title=""/>
                <o:lock v:ext="edit" aspectratio="f"/>
              </v:line>
            </w:pict>
          </mc:Fallback>
        </mc:AlternateContent>
      </w:r>
      <w:r>
        <w:rPr>
          <w:kern w:val="0"/>
          <w:sz w:val="24"/>
        </w:rPr>
        <w:t>3.1本合同除使用汉语外，还使用______________________________语言文字。</w:t>
      </w:r>
    </w:p>
    <w:p>
      <w:pPr>
        <w:widowControl/>
        <w:spacing w:line="360" w:lineRule="auto"/>
        <w:ind w:firstLine="480" w:firstLineChars="200"/>
        <w:rPr>
          <w:kern w:val="0"/>
          <w:sz w:val="24"/>
        </w:rPr>
      </w:pPr>
      <w:r>
        <w:rPr>
          <w:kern w:val="0"/>
          <w:sz w:val="24"/>
        </w:rPr>
        <w:t>3.2适用法律和法规</w:t>
      </w:r>
    </w:p>
    <w:p>
      <w:pPr>
        <w:widowControl/>
        <w:spacing w:line="360" w:lineRule="auto"/>
        <w:ind w:firstLine="480" w:firstLineChars="200"/>
        <w:rPr>
          <w:kern w:val="0"/>
          <w:sz w:val="24"/>
        </w:rPr>
      </w:pPr>
      <w:r>
        <w:rPr>
          <w:kern w:val="0"/>
          <w:sz w:val="24"/>
        </w:rPr>
        <w:t>需要明示的法律、行政法规：</w:t>
      </w:r>
      <w:r>
        <w:rPr>
          <w:kern w:val="0"/>
          <w:sz w:val="24"/>
          <w:u w:val="single"/>
        </w:rPr>
        <w:t>《中华人民共和国建筑法》、《中华人民共和国合同法》及陕西省、西安市有关建设工程质量、安全、文明施工等管理规定。</w:t>
      </w:r>
    </w:p>
    <w:p>
      <w:pPr>
        <w:widowControl/>
        <w:spacing w:line="360" w:lineRule="auto"/>
        <w:ind w:firstLine="480" w:firstLineChars="200"/>
        <w:rPr>
          <w:kern w:val="0"/>
          <w:sz w:val="24"/>
        </w:rPr>
      </w:pPr>
      <w:r>
        <w:rPr>
          <w:kern w:val="0"/>
          <w:sz w:val="24"/>
        </w:rPr>
        <w:t>3.3适用标准、规范</w:t>
      </w:r>
    </w:p>
    <w:p>
      <w:pPr>
        <w:spacing w:line="480" w:lineRule="exact"/>
        <w:ind w:firstLine="480" w:firstLineChars="200"/>
        <w:rPr>
          <w:sz w:val="24"/>
          <w:u w:val="single"/>
        </w:rPr>
      </w:pPr>
      <w:r>
        <w:rPr>
          <w:kern w:val="0"/>
          <w:sz w:val="24"/>
        </w:rPr>
        <w:t>适用标准、规范的名称：</w:t>
      </w:r>
      <w:r>
        <w:rPr>
          <w:kern w:val="0"/>
          <w:sz w:val="24"/>
          <w:u w:val="single"/>
        </w:rPr>
        <w:t xml:space="preserve"> </w:t>
      </w:r>
      <w:r>
        <w:rPr>
          <w:sz w:val="24"/>
          <w:u w:val="single"/>
        </w:rPr>
        <w:t>执行国家建筑工程施工及验收规范标准以及材料、设备所涉及的现行国家、省</w:t>
      </w:r>
      <w:r>
        <w:rPr>
          <w:rFonts w:hint="eastAsia" w:ascii="宋体" w:hAnsi="宋体" w:eastAsia="宋体" w:cs="宋体"/>
          <w:sz w:val="24"/>
          <w:u w:val="single"/>
        </w:rPr>
        <w:t>、市或行业的工程建设标准、规范的要求。主要标准、规范包括但不限于：《建筑工程质量统一验收标准》(GBJ05300-2001)、《建筑工程施工现场供用电安全规范》(GBJ50194-93)、《</w:t>
      </w:r>
      <w:r>
        <w:rPr>
          <w:rFonts w:hint="eastAsia" w:ascii="宋体" w:hAnsi="宋体" w:eastAsia="宋体" w:cs="宋体"/>
          <w:snapToGrid w:val="0"/>
          <w:sz w:val="24"/>
          <w:u w:val="single"/>
        </w:rPr>
        <w:t>建筑施工安全检查标准</w:t>
      </w:r>
      <w:r>
        <w:rPr>
          <w:rFonts w:hint="eastAsia" w:ascii="宋体" w:hAnsi="宋体" w:eastAsia="宋体" w:cs="宋体"/>
          <w:sz w:val="24"/>
          <w:u w:val="single"/>
        </w:rPr>
        <w:t>》</w:t>
      </w:r>
      <w:r>
        <w:rPr>
          <w:rFonts w:hint="eastAsia" w:ascii="宋体" w:hAnsi="宋体" w:eastAsia="宋体" w:cs="宋体"/>
          <w:snapToGrid w:val="0"/>
          <w:sz w:val="24"/>
          <w:u w:val="single"/>
        </w:rPr>
        <w:t>（JGJ59-99）、《施工现场临时用电安全技术规范》（JFJ46-88）、《建设工程文件归档整理规范》（GB/T50328-2001）。</w:t>
      </w:r>
    </w:p>
    <w:p>
      <w:pPr>
        <w:widowControl/>
        <w:spacing w:line="360" w:lineRule="auto"/>
        <w:ind w:firstLine="480" w:firstLineChars="200"/>
        <w:rPr>
          <w:kern w:val="0"/>
          <w:sz w:val="24"/>
        </w:rPr>
      </w:pPr>
      <w:r>
        <w:rPr>
          <w:kern w:val="0"/>
          <w:sz w:val="24"/>
        </w:rPr>
        <w:t>发包人提供标准、规范的时间：</w:t>
      </w:r>
      <w:r>
        <w:rPr>
          <w:sz w:val="24"/>
          <w:u w:val="single"/>
        </w:rPr>
        <w:t>发包人在招标时，已将上述标准、规范名称提供给承包人。这些标准和规范由承包人自行购买，并承担相关费用。</w:t>
      </w:r>
    </w:p>
    <w:p>
      <w:pPr>
        <w:widowControl/>
        <w:spacing w:line="360" w:lineRule="auto"/>
        <w:rPr>
          <w:kern w:val="0"/>
          <w:sz w:val="24"/>
        </w:rPr>
      </w:pPr>
      <w:r>
        <w:rPr>
          <w:rFonts w:hint="eastAsia"/>
          <w:kern w:val="0"/>
          <w:sz w:val="24"/>
        </w:rPr>
        <w:t>　　</w:t>
      </w:r>
      <w:r>
        <w:rPr>
          <w:kern w:val="0"/>
          <w:sz w:val="24"/>
        </w:rPr>
        <w:t>国内没有相应标准、规范时的约定：_</w:t>
      </w:r>
      <w:r>
        <w:rPr>
          <w:sz w:val="24"/>
          <w:u w:val="single"/>
        </w:rPr>
        <w:t>按行业通常做法或生产企业在技术监督局的备案标准、并经监理工程师和业主同意。</w:t>
      </w:r>
    </w:p>
    <w:p>
      <w:pPr>
        <w:widowControl/>
        <w:spacing w:line="360" w:lineRule="auto"/>
        <w:ind w:firstLine="480" w:firstLineChars="200"/>
        <w:rPr>
          <w:kern w:val="0"/>
          <w:sz w:val="24"/>
        </w:rPr>
      </w:pPr>
      <w:r>
        <w:rPr>
          <w:kern w:val="0"/>
          <w:sz w:val="24"/>
        </w:rPr>
        <w:t>4、图纸</w:t>
      </w:r>
    </w:p>
    <w:p>
      <w:pPr>
        <w:widowControl/>
        <w:spacing w:line="360" w:lineRule="auto"/>
        <w:ind w:firstLine="480" w:firstLineChars="200"/>
        <w:rPr>
          <w:kern w:val="0"/>
          <w:sz w:val="24"/>
        </w:rPr>
      </w:pPr>
      <w:r>
        <w:rPr>
          <w:kern w:val="0"/>
          <w:sz w:val="24"/>
        </w:rPr>
        <w:t>4.1发包人向承包人提供图纸日期和套数：_</w:t>
      </w:r>
      <w:r>
        <w:rPr>
          <w:sz w:val="24"/>
          <w:u w:val="single"/>
        </w:rPr>
        <w:t>在合同签订3天内提供</w:t>
      </w:r>
      <w:r>
        <w:rPr>
          <w:rFonts w:hint="eastAsia"/>
          <w:sz w:val="24"/>
          <w:u w:val="single"/>
        </w:rPr>
        <w:t>一</w:t>
      </w:r>
      <w:r>
        <w:rPr>
          <w:sz w:val="24"/>
          <w:u w:val="single"/>
        </w:rPr>
        <w:t>套图纸。</w:t>
      </w:r>
    </w:p>
    <w:p>
      <w:pPr>
        <w:widowControl/>
        <w:spacing w:line="360" w:lineRule="auto"/>
        <w:ind w:firstLine="480" w:firstLineChars="200"/>
        <w:rPr>
          <w:b/>
          <w:kern w:val="0"/>
          <w:sz w:val="24"/>
        </w:rPr>
      </w:pPr>
      <w:r>
        <w:rPr>
          <w:kern w:val="0"/>
          <w:sz w:val="24"/>
        </w:rPr>
        <w:t>发包人对图纸的保密要求：_</w:t>
      </w:r>
      <w:r>
        <w:rPr>
          <w:b/>
          <w:sz w:val="24"/>
          <w:u w:val="single"/>
        </w:rPr>
        <w:t>除监理和发包方外，承包方不得将本工程的设计图纸向其它方提供。</w:t>
      </w:r>
    </w:p>
    <w:p>
      <w:pPr>
        <w:widowControl/>
        <w:spacing w:line="360" w:lineRule="auto"/>
        <w:ind w:firstLine="480" w:firstLineChars="200"/>
        <w:rPr>
          <w:kern w:val="0"/>
          <w:sz w:val="24"/>
        </w:rPr>
      </w:pPr>
      <w:r>
        <w:rPr>
          <w:kern w:val="0"/>
          <w:sz w:val="24"/>
        </w:rPr>
        <w:t>使用国外图纸的要求及费用承担：_</w:t>
      </w:r>
      <w:r>
        <w:rPr>
          <w:sz w:val="24"/>
          <w:u w:val="single"/>
        </w:rPr>
        <w:t>本工程不使用国外图纸。</w:t>
      </w:r>
      <w:r>
        <w:rPr>
          <w:kern w:val="0"/>
          <w:sz w:val="24"/>
        </w:rPr>
        <w:t>_</w:t>
      </w:r>
    </w:p>
    <w:p>
      <w:pPr>
        <w:widowControl/>
        <w:spacing w:line="360" w:lineRule="auto"/>
        <w:ind w:firstLine="482" w:firstLineChars="200"/>
        <w:rPr>
          <w:b/>
          <w:kern w:val="0"/>
          <w:sz w:val="24"/>
        </w:rPr>
      </w:pPr>
      <w:r>
        <w:rPr>
          <w:b/>
          <w:kern w:val="0"/>
          <w:sz w:val="24"/>
        </w:rPr>
        <w:t>二、双方一般权利和义务</w:t>
      </w:r>
    </w:p>
    <w:p>
      <w:pPr>
        <w:widowControl/>
        <w:spacing w:line="360" w:lineRule="auto"/>
        <w:ind w:firstLine="480" w:firstLineChars="200"/>
        <w:rPr>
          <w:kern w:val="0"/>
          <w:sz w:val="24"/>
        </w:rPr>
      </w:pPr>
      <w:r>
        <w:rPr>
          <w:kern w:val="0"/>
          <w:sz w:val="24"/>
        </w:rPr>
        <w:t>5、工程师</w:t>
      </w:r>
    </w:p>
    <w:p>
      <w:pPr>
        <w:widowControl/>
        <w:spacing w:line="360" w:lineRule="auto"/>
        <w:ind w:firstLine="480" w:firstLineChars="200"/>
        <w:rPr>
          <w:kern w:val="0"/>
          <w:sz w:val="24"/>
        </w:rPr>
      </w:pPr>
      <w:r>
        <w:rPr>
          <w:kern w:val="0"/>
          <w:sz w:val="24"/>
        </w:rPr>
        <w:t>5.2监理单位委派的工程师</w:t>
      </w:r>
    </w:p>
    <w:p>
      <w:pPr>
        <w:widowControl/>
        <w:spacing w:line="360" w:lineRule="auto"/>
        <w:ind w:firstLine="480" w:firstLineChars="200"/>
        <w:rPr>
          <w:kern w:val="0"/>
          <w:sz w:val="24"/>
        </w:rPr>
      </w:pPr>
      <w:r>
        <w:rPr>
          <w:kern w:val="0"/>
          <w:sz w:val="24"/>
        </w:rPr>
        <w:t>姓名：___</w:t>
      </w:r>
      <w:r>
        <w:rPr>
          <w:rFonts w:hint="eastAsia"/>
          <w:kern w:val="0"/>
          <w:sz w:val="24"/>
          <w:u w:val="single"/>
        </w:rPr>
        <w:t xml:space="preserve">    </w:t>
      </w:r>
      <w:r>
        <w:rPr>
          <w:kern w:val="0"/>
          <w:sz w:val="24"/>
        </w:rPr>
        <w:t>_____职务：____</w:t>
      </w:r>
      <w:r>
        <w:rPr>
          <w:rFonts w:hint="eastAsia"/>
          <w:kern w:val="0"/>
          <w:sz w:val="24"/>
          <w:u w:val="single"/>
        </w:rPr>
        <w:t>监理工程师</w:t>
      </w:r>
      <w:r>
        <w:rPr>
          <w:kern w:val="0"/>
          <w:sz w:val="24"/>
        </w:rPr>
        <w:t>_____</w:t>
      </w:r>
    </w:p>
    <w:p>
      <w:pPr>
        <w:widowControl/>
        <w:spacing w:line="360" w:lineRule="auto"/>
        <w:ind w:firstLine="480" w:firstLineChars="200"/>
        <w:rPr>
          <w:kern w:val="0"/>
          <w:sz w:val="24"/>
        </w:rPr>
      </w:pPr>
      <w:r>
        <w:rPr>
          <w:kern w:val="0"/>
          <w:sz w:val="24"/>
        </w:rPr>
        <w:t>发包人委托的职权：_</w:t>
      </w:r>
      <w:r>
        <w:rPr>
          <w:sz w:val="24"/>
          <w:u w:val="single"/>
        </w:rPr>
        <w:t>按照发包方与监理单位签订的“监理合同”中约定的发包方授权和委托，对本工程施工过程的质量、安全、进度控制、合同管理和信息管理，施工中各种矛盾组织协调工作及全程监理。</w:t>
      </w:r>
    </w:p>
    <w:p>
      <w:pPr>
        <w:spacing w:line="360" w:lineRule="auto"/>
        <w:ind w:firstLine="480" w:firstLineChars="200"/>
        <w:rPr>
          <w:kern w:val="0"/>
          <w:sz w:val="24"/>
        </w:rPr>
      </w:pPr>
      <w:r>
        <w:rPr>
          <w:kern w:val="0"/>
          <w:sz w:val="24"/>
        </w:rPr>
        <w:t>需要取得发包人批准才能行使的职权：</w:t>
      </w:r>
      <w:r>
        <w:rPr>
          <w:sz w:val="24"/>
          <w:u w:val="single"/>
        </w:rPr>
        <w:t>重大工程洽商、设计变更、现场签证、发包人指定价的认质认价等在决策之前需经发包人同意。</w:t>
      </w:r>
    </w:p>
    <w:p>
      <w:pPr>
        <w:widowControl/>
        <w:spacing w:line="360" w:lineRule="auto"/>
        <w:ind w:firstLine="480" w:firstLineChars="200"/>
        <w:rPr>
          <w:kern w:val="0"/>
          <w:sz w:val="24"/>
        </w:rPr>
      </w:pPr>
      <w:r>
        <w:rPr>
          <w:kern w:val="0"/>
          <w:sz w:val="24"/>
        </w:rPr>
        <w:t>5.4发包人派驻的工程师</w:t>
      </w:r>
    </w:p>
    <w:p>
      <w:pPr>
        <w:widowControl/>
        <w:spacing w:line="360" w:lineRule="auto"/>
        <w:ind w:firstLine="480" w:firstLineChars="200"/>
        <w:rPr>
          <w:kern w:val="0"/>
          <w:sz w:val="24"/>
        </w:rPr>
      </w:pPr>
      <w:r>
        <w:rPr>
          <w:kern w:val="0"/>
          <w:sz w:val="24"/>
        </w:rPr>
        <w:t>姓名：</w:t>
      </w:r>
      <w:r>
        <w:rPr>
          <w:rFonts w:hint="eastAsia"/>
          <w:kern w:val="0"/>
          <w:sz w:val="24"/>
          <w:u w:val="single"/>
        </w:rPr>
        <w:t>　　　　</w:t>
      </w:r>
      <w:r>
        <w:rPr>
          <w:kern w:val="0"/>
          <w:sz w:val="24"/>
        </w:rPr>
        <w:t>职务：</w:t>
      </w:r>
      <w:r>
        <w:rPr>
          <w:sz w:val="24"/>
          <w:u w:val="single"/>
        </w:rPr>
        <w:t>发包人驻工地代表</w:t>
      </w:r>
    </w:p>
    <w:p>
      <w:pPr>
        <w:widowControl/>
        <w:spacing w:line="360" w:lineRule="auto"/>
        <w:ind w:firstLine="480" w:firstLineChars="200"/>
        <w:rPr>
          <w:kern w:val="0"/>
          <w:sz w:val="24"/>
        </w:rPr>
      </w:pPr>
      <w:r>
        <w:rPr>
          <w:kern w:val="0"/>
          <w:sz w:val="24"/>
        </w:rPr>
        <w:t>职权：_</w:t>
      </w:r>
      <w:r>
        <w:rPr>
          <w:sz w:val="24"/>
          <w:u w:val="single"/>
        </w:rPr>
        <w:t>负责施工全过程内、外部关系协调、处理往来文件，对工程进度、质量、造价进行监督管理。</w:t>
      </w:r>
    </w:p>
    <w:p>
      <w:pPr>
        <w:widowControl/>
        <w:spacing w:line="360" w:lineRule="auto"/>
        <w:ind w:firstLine="480" w:firstLineChars="200"/>
        <w:rPr>
          <w:kern w:val="0"/>
          <w:sz w:val="24"/>
        </w:rPr>
      </w:pPr>
      <w:r>
        <w:rPr>
          <w:kern w:val="0"/>
          <w:sz w:val="24"/>
        </w:rPr>
        <w:t>5.6不实行监理的，工程师的职权：</w:t>
      </w:r>
      <w:r>
        <w:rPr>
          <w:sz w:val="24"/>
          <w:u w:val="single"/>
        </w:rPr>
        <w:t>工程师有权反对和要求承包人从该项目上立即解除在工程师看来行为不端、不能胜任工作或玩忽职守，或工程师出于其它考虑不希望该人出现在现场，并且未经工程师同意不允许再次雇用这些人员。凡有任何人员离开，都应尽快补充。</w:t>
      </w:r>
    </w:p>
    <w:p>
      <w:pPr>
        <w:widowControl/>
        <w:spacing w:line="360" w:lineRule="auto"/>
        <w:ind w:firstLine="480" w:firstLineChars="200"/>
        <w:rPr>
          <w:kern w:val="0"/>
          <w:sz w:val="24"/>
        </w:rPr>
      </w:pPr>
      <w:r>
        <w:rPr>
          <w:kern w:val="0"/>
          <w:sz w:val="24"/>
        </w:rPr>
        <w:t>7、项目经理</w:t>
      </w:r>
    </w:p>
    <w:p>
      <w:pPr>
        <w:widowControl/>
        <w:spacing w:line="360" w:lineRule="auto"/>
        <w:ind w:firstLine="480" w:firstLineChars="200"/>
        <w:rPr>
          <w:kern w:val="0"/>
          <w:sz w:val="24"/>
          <w:u w:val="single"/>
        </w:rPr>
      </w:pPr>
      <w:r>
        <w:rPr>
          <w:kern w:val="0"/>
          <w:sz w:val="24"/>
        </w:rPr>
        <w:t>姓名：</w:t>
      </w:r>
      <w:r>
        <w:rPr>
          <w:rFonts w:hint="eastAsia"/>
          <w:kern w:val="0"/>
          <w:sz w:val="24"/>
          <w:u w:val="single"/>
        </w:rPr>
        <w:t xml:space="preserve">         </w:t>
      </w:r>
      <w:r>
        <w:rPr>
          <w:kern w:val="0"/>
          <w:sz w:val="24"/>
        </w:rPr>
        <w:t>职务：</w:t>
      </w:r>
      <w:r>
        <w:rPr>
          <w:rFonts w:hint="eastAsia"/>
          <w:kern w:val="0"/>
          <w:sz w:val="24"/>
          <w:u w:val="single"/>
        </w:rPr>
        <w:t xml:space="preserve">项目经理    </w:t>
      </w:r>
    </w:p>
    <w:p>
      <w:pPr>
        <w:widowControl/>
        <w:spacing w:line="360" w:lineRule="auto"/>
        <w:ind w:firstLine="480" w:firstLineChars="200"/>
        <w:rPr>
          <w:kern w:val="0"/>
          <w:sz w:val="24"/>
        </w:rPr>
      </w:pPr>
      <w:r>
        <w:rPr>
          <w:kern w:val="0"/>
          <w:sz w:val="24"/>
        </w:rPr>
        <w:t>8、发包人工作</w:t>
      </w:r>
    </w:p>
    <w:p>
      <w:pPr>
        <w:widowControl/>
        <w:spacing w:line="360" w:lineRule="auto"/>
        <w:ind w:firstLine="480" w:firstLineChars="200"/>
        <w:rPr>
          <w:kern w:val="0"/>
          <w:sz w:val="24"/>
        </w:rPr>
      </w:pPr>
      <w:r>
        <w:rPr>
          <w:kern w:val="0"/>
          <w:sz w:val="24"/>
        </w:rPr>
        <w:t>8.1发包人应按约定的时间和要求完成以下工作：</w:t>
      </w:r>
    </w:p>
    <w:p>
      <w:pPr>
        <w:widowControl/>
        <w:spacing w:line="360" w:lineRule="auto"/>
        <w:ind w:firstLine="480" w:firstLineChars="200"/>
        <w:rPr>
          <w:kern w:val="0"/>
          <w:sz w:val="24"/>
        </w:rPr>
      </w:pPr>
      <w:r>
        <w:rPr>
          <w:kern w:val="0"/>
          <w:sz w:val="24"/>
        </w:rPr>
        <w:t>（1）施工场地具备施工条件的要求及完成的时间：_</w:t>
      </w:r>
      <w:r>
        <w:rPr>
          <w:kern w:val="0"/>
          <w:sz w:val="24"/>
          <w:u w:val="single"/>
        </w:rPr>
        <w:t>_开工前5日内。</w:t>
      </w:r>
      <w:r>
        <w:rPr>
          <w:kern w:val="0"/>
          <w:sz w:val="24"/>
        </w:rPr>
        <w:t>____</w:t>
      </w:r>
    </w:p>
    <w:p>
      <w:pPr>
        <w:widowControl/>
        <w:spacing w:line="360" w:lineRule="auto"/>
        <w:ind w:firstLine="480" w:firstLineChars="200"/>
        <w:rPr>
          <w:kern w:val="0"/>
          <w:sz w:val="24"/>
        </w:rPr>
      </w:pPr>
      <w:r>
        <w:rPr>
          <w:kern w:val="0"/>
          <w:sz w:val="24"/>
        </w:rPr>
        <w:t>（2）将施工所需的水、电、电讯线路接至施工场地的时间、地点和供应要求：</w:t>
      </w:r>
    </w:p>
    <w:p>
      <w:pPr>
        <w:widowControl/>
        <w:spacing w:line="360" w:lineRule="auto"/>
        <w:rPr>
          <w:kern w:val="0"/>
          <w:sz w:val="24"/>
        </w:rPr>
      </w:pPr>
      <w:r>
        <w:rPr>
          <w:rFonts w:hint="eastAsia"/>
          <w:color w:val="FF0000"/>
          <w:kern w:val="0"/>
          <w:sz w:val="24"/>
        </w:rPr>
        <w:t>　　</w:t>
      </w:r>
      <w:r>
        <w:rPr>
          <w:kern w:val="0"/>
          <w:sz w:val="24"/>
        </w:rPr>
        <w:t>提供满足乙方施工的用水、用电条件。</w:t>
      </w:r>
    </w:p>
    <w:p>
      <w:pPr>
        <w:widowControl/>
        <w:spacing w:line="360" w:lineRule="auto"/>
        <w:ind w:firstLine="480" w:firstLineChars="200"/>
        <w:rPr>
          <w:kern w:val="0"/>
          <w:sz w:val="24"/>
        </w:rPr>
      </w:pPr>
      <w:r>
        <w:rPr>
          <w:kern w:val="0"/>
          <w:sz w:val="24"/>
        </w:rPr>
        <w:t>其计量和计价方法为：</w:t>
      </w:r>
      <w:r>
        <w:rPr>
          <w:kern w:val="0"/>
          <w:sz w:val="24"/>
          <w:u w:val="single"/>
        </w:rPr>
        <w:t>按相关部门的规定和计量计价方法计算</w:t>
      </w:r>
      <w:r>
        <w:rPr>
          <w:kern w:val="0"/>
          <w:sz w:val="24"/>
        </w:rPr>
        <w:t>。</w:t>
      </w:r>
    </w:p>
    <w:p>
      <w:pPr>
        <w:widowControl/>
        <w:spacing w:line="360" w:lineRule="auto"/>
        <w:ind w:firstLine="480" w:firstLineChars="200"/>
        <w:rPr>
          <w:kern w:val="0"/>
          <w:sz w:val="24"/>
        </w:rPr>
      </w:pPr>
      <w:r>
        <w:rPr>
          <w:kern w:val="0"/>
          <w:sz w:val="24"/>
        </w:rPr>
        <w:t>（3）施工场地与公共道路的通道开通时间和要求：</w:t>
      </w:r>
      <w:r>
        <w:rPr>
          <w:rFonts w:hint="eastAsia"/>
          <w:kern w:val="0"/>
          <w:sz w:val="24"/>
        </w:rPr>
        <w:t xml:space="preserve"> </w:t>
      </w:r>
      <w:r>
        <w:rPr>
          <w:sz w:val="24"/>
          <w:u w:val="single"/>
        </w:rPr>
        <w:t>工程开工前5日内。</w:t>
      </w:r>
      <w:r>
        <w:rPr>
          <w:rFonts w:hint="eastAsia"/>
          <w:kern w:val="0"/>
          <w:sz w:val="24"/>
        </w:rPr>
        <w:t xml:space="preserve"> </w:t>
      </w:r>
    </w:p>
    <w:p>
      <w:pPr>
        <w:widowControl/>
        <w:spacing w:line="360" w:lineRule="auto"/>
        <w:ind w:firstLine="480" w:firstLineChars="200"/>
        <w:rPr>
          <w:kern w:val="0"/>
          <w:sz w:val="24"/>
        </w:rPr>
      </w:pPr>
      <w:r>
        <w:rPr>
          <w:kern w:val="0"/>
          <w:sz w:val="24"/>
        </w:rPr>
        <w:t>（4）工程地质和地下管线资料的提供时间：</w:t>
      </w:r>
      <w:r>
        <w:rPr>
          <w:rFonts w:hint="eastAsia"/>
          <w:kern w:val="0"/>
          <w:sz w:val="24"/>
        </w:rPr>
        <w:t xml:space="preserve"> </w:t>
      </w:r>
      <w:r>
        <w:rPr>
          <w:sz w:val="24"/>
          <w:u w:val="single"/>
        </w:rPr>
        <w:t>工程开工前5日内。</w:t>
      </w:r>
      <w:r>
        <w:rPr>
          <w:rFonts w:hint="eastAsia"/>
          <w:kern w:val="0"/>
          <w:sz w:val="24"/>
        </w:rPr>
        <w:t xml:space="preserve"> </w:t>
      </w:r>
    </w:p>
    <w:p>
      <w:pPr>
        <w:widowControl/>
        <w:spacing w:line="360" w:lineRule="auto"/>
        <w:ind w:firstLine="480" w:firstLineChars="200"/>
        <w:rPr>
          <w:kern w:val="0"/>
          <w:sz w:val="24"/>
        </w:rPr>
      </w:pPr>
      <w:r>
        <w:rPr>
          <w:kern w:val="0"/>
          <w:sz w:val="24"/>
        </w:rPr>
        <w:t>（5）由发包人办理的施工所需证件、批件的名称和完成时间：</w:t>
      </w:r>
      <w:r>
        <w:rPr>
          <w:rFonts w:hint="eastAsia"/>
          <w:kern w:val="0"/>
          <w:sz w:val="24"/>
        </w:rPr>
        <w:t xml:space="preserve"> </w:t>
      </w:r>
      <w:r>
        <w:rPr>
          <w:sz w:val="24"/>
          <w:u w:val="single"/>
        </w:rPr>
        <w:t>工程开工前5日内。</w:t>
      </w:r>
    </w:p>
    <w:p>
      <w:pPr>
        <w:widowControl/>
        <w:spacing w:line="360" w:lineRule="auto"/>
        <w:ind w:firstLine="480" w:firstLineChars="200"/>
        <w:rPr>
          <w:kern w:val="0"/>
          <w:sz w:val="24"/>
        </w:rPr>
      </w:pPr>
      <w:r>
        <w:rPr>
          <w:kern w:val="0"/>
          <w:sz w:val="24"/>
        </w:rPr>
        <w:t>（6）水准点与坐标控制点交验要求：</w:t>
      </w:r>
      <w:r>
        <w:rPr>
          <w:rFonts w:hint="eastAsia"/>
          <w:sz w:val="24"/>
          <w:u w:val="single"/>
        </w:rPr>
        <w:t>　　　/　　　</w:t>
      </w:r>
      <w:r>
        <w:rPr>
          <w:rFonts w:hint="eastAsia"/>
          <w:kern w:val="0"/>
          <w:sz w:val="24"/>
        </w:rPr>
        <w:t xml:space="preserve"> </w:t>
      </w:r>
    </w:p>
    <w:p>
      <w:pPr>
        <w:widowControl/>
        <w:spacing w:line="360" w:lineRule="auto"/>
        <w:ind w:firstLine="480" w:firstLineChars="200"/>
        <w:rPr>
          <w:kern w:val="0"/>
          <w:sz w:val="24"/>
        </w:rPr>
      </w:pPr>
      <w:r>
        <w:rPr>
          <w:kern w:val="0"/>
          <w:sz w:val="24"/>
        </w:rPr>
        <w:t>（7）图纸会审和设计交底时间：</w:t>
      </w:r>
      <w:r>
        <w:rPr>
          <w:rFonts w:hint="eastAsia"/>
          <w:kern w:val="0"/>
          <w:sz w:val="24"/>
        </w:rPr>
        <w:t xml:space="preserve"> </w:t>
      </w:r>
      <w:r>
        <w:rPr>
          <w:sz w:val="24"/>
          <w:u w:val="single"/>
        </w:rPr>
        <w:t>工程开工前5日内。</w:t>
      </w:r>
      <w:r>
        <w:rPr>
          <w:rFonts w:hint="eastAsia"/>
          <w:kern w:val="0"/>
          <w:sz w:val="24"/>
        </w:rPr>
        <w:t xml:space="preserve"> </w:t>
      </w:r>
    </w:p>
    <w:p>
      <w:pPr>
        <w:widowControl/>
        <w:spacing w:line="360" w:lineRule="auto"/>
        <w:ind w:firstLine="480" w:firstLineChars="200"/>
        <w:rPr>
          <w:kern w:val="0"/>
          <w:sz w:val="24"/>
        </w:rPr>
      </w:pPr>
      <w:r>
        <w:rPr>
          <w:kern w:val="0"/>
          <w:sz w:val="24"/>
        </w:rPr>
        <w:t>（8）协调处理施工场地周围地下管线和邻近建筑物、构筑物（含文物保护建筑）、古树名木的保护工作：__</w:t>
      </w:r>
      <w:r>
        <w:rPr>
          <w:kern w:val="0"/>
          <w:sz w:val="24"/>
          <w:u w:val="single"/>
        </w:rPr>
        <w:t>执行《通用条款》8.1.</w:t>
      </w:r>
      <w:r>
        <w:rPr>
          <w:rFonts w:hint="eastAsia"/>
          <w:kern w:val="0"/>
          <w:sz w:val="24"/>
          <w:u w:val="single"/>
        </w:rPr>
        <w:t>（</w:t>
      </w:r>
      <w:r>
        <w:rPr>
          <w:kern w:val="0"/>
          <w:sz w:val="24"/>
          <w:u w:val="single"/>
        </w:rPr>
        <w:t>8</w:t>
      </w:r>
      <w:r>
        <w:rPr>
          <w:rFonts w:hint="eastAsia"/>
          <w:kern w:val="0"/>
          <w:sz w:val="24"/>
          <w:u w:val="single"/>
        </w:rPr>
        <w:t>）</w:t>
      </w:r>
      <w:r>
        <w:rPr>
          <w:kern w:val="0"/>
          <w:sz w:val="24"/>
          <w:u w:val="single"/>
        </w:rPr>
        <w:t>款</w:t>
      </w:r>
      <w:r>
        <w:rPr>
          <w:rFonts w:hint="eastAsia"/>
          <w:kern w:val="0"/>
          <w:sz w:val="24"/>
          <w:u w:val="single"/>
        </w:rPr>
        <w:t xml:space="preserve"> </w:t>
      </w:r>
      <w:r>
        <w:rPr>
          <w:rFonts w:hint="eastAsia"/>
          <w:kern w:val="0"/>
          <w:sz w:val="24"/>
        </w:rPr>
        <w:t xml:space="preserve"> </w:t>
      </w:r>
    </w:p>
    <w:p>
      <w:pPr>
        <w:widowControl/>
        <w:spacing w:line="360" w:lineRule="auto"/>
        <w:ind w:firstLine="480" w:firstLineChars="200"/>
        <w:rPr>
          <w:kern w:val="0"/>
          <w:sz w:val="24"/>
          <w:u w:val="single"/>
        </w:rPr>
      </w:pPr>
      <w:r>
        <w:rPr>
          <w:kern w:val="0"/>
          <w:sz w:val="24"/>
        </w:rPr>
        <w:t>（9）双方约定发包人应做的其他工作：</w:t>
      </w:r>
      <w:r>
        <w:rPr>
          <w:rFonts w:hint="eastAsia"/>
          <w:kern w:val="0"/>
          <w:sz w:val="24"/>
          <w:u w:val="single"/>
        </w:rPr>
        <w:t>　　　</w:t>
      </w:r>
      <w:r>
        <w:rPr>
          <w:rFonts w:hint="eastAsia"/>
          <w:kern w:val="0"/>
          <w:sz w:val="24"/>
          <w:u w:val="single"/>
        </w:rPr>
        <w:tab/>
      </w:r>
      <w:r>
        <w:rPr>
          <w:rFonts w:hint="eastAsia"/>
          <w:kern w:val="0"/>
          <w:sz w:val="24"/>
          <w:u w:val="single"/>
        </w:rPr>
        <w:t>无　　　　</w:t>
      </w:r>
    </w:p>
    <w:p>
      <w:pPr>
        <w:widowControl/>
        <w:spacing w:line="360" w:lineRule="auto"/>
        <w:ind w:firstLine="480"/>
        <w:rPr>
          <w:kern w:val="0"/>
          <w:sz w:val="24"/>
        </w:rPr>
      </w:pPr>
      <w:r>
        <w:rPr>
          <w:kern w:val="0"/>
          <w:sz w:val="24"/>
        </w:rPr>
        <w:t>8.2发包人委托承包人办理的工作：</w:t>
      </w:r>
      <w:r>
        <w:rPr>
          <w:rFonts w:hint="eastAsia"/>
          <w:kern w:val="0"/>
          <w:sz w:val="24"/>
          <w:u w:val="single"/>
        </w:rPr>
        <w:t xml:space="preserve"> 　　　      　　</w:t>
      </w:r>
    </w:p>
    <w:p>
      <w:pPr>
        <w:widowControl/>
        <w:spacing w:line="360" w:lineRule="auto"/>
        <w:ind w:firstLine="480" w:firstLineChars="200"/>
        <w:rPr>
          <w:kern w:val="0"/>
          <w:sz w:val="24"/>
        </w:rPr>
      </w:pPr>
      <w:r>
        <w:rPr>
          <w:kern w:val="0"/>
          <w:sz w:val="24"/>
        </w:rPr>
        <w:t>9、承包人工作</w:t>
      </w:r>
    </w:p>
    <w:p>
      <w:pPr>
        <w:widowControl/>
        <w:spacing w:line="360" w:lineRule="auto"/>
        <w:ind w:firstLine="480" w:firstLineChars="200"/>
        <w:rPr>
          <w:kern w:val="0"/>
          <w:sz w:val="24"/>
        </w:rPr>
      </w:pPr>
      <w:r>
        <w:rPr>
          <w:kern w:val="0"/>
          <w:sz w:val="24"/>
        </w:rPr>
        <w:t>9.1承包人应按约定时间和要求，完成以下工作：</w:t>
      </w:r>
    </w:p>
    <w:p>
      <w:pPr>
        <w:widowControl/>
        <w:spacing w:line="360" w:lineRule="auto"/>
        <w:ind w:firstLine="480" w:firstLineChars="200"/>
        <w:rPr>
          <w:kern w:val="0"/>
          <w:sz w:val="24"/>
        </w:rPr>
      </w:pPr>
      <w:r>
        <w:rPr>
          <w:kern w:val="0"/>
          <w:sz w:val="24"/>
        </w:rPr>
        <w:t>（1）需由设计资质等级和业务范围允许的承包人完成的设计文件提交时间：__</w:t>
      </w:r>
      <w:r>
        <w:rPr>
          <w:kern w:val="0"/>
          <w:sz w:val="24"/>
          <w:u w:val="single"/>
        </w:rPr>
        <w:t>本工程没有须由承包人完成的设计工作</w:t>
      </w:r>
      <w:r>
        <w:rPr>
          <w:kern w:val="0"/>
          <w:sz w:val="24"/>
        </w:rPr>
        <w:t>__</w:t>
      </w:r>
    </w:p>
    <w:p>
      <w:pPr>
        <w:widowControl/>
        <w:spacing w:line="360" w:lineRule="auto"/>
        <w:ind w:firstLine="480" w:firstLineChars="200"/>
        <w:rPr>
          <w:kern w:val="0"/>
          <w:sz w:val="24"/>
        </w:rPr>
      </w:pPr>
      <w:r>
        <w:rPr>
          <w:kern w:val="0"/>
          <w:sz w:val="24"/>
        </w:rPr>
        <w:t>（2）应提供计划、报表的名称及完成时间：</w:t>
      </w:r>
      <w:r>
        <w:rPr>
          <w:rFonts w:hint="eastAsia"/>
          <w:kern w:val="0"/>
          <w:sz w:val="24"/>
          <w:u w:val="single"/>
        </w:rPr>
        <w:t>　</w:t>
      </w:r>
      <w:r>
        <w:rPr>
          <w:kern w:val="0"/>
          <w:sz w:val="24"/>
          <w:u w:val="single"/>
        </w:rPr>
        <w:t>每月25日向业主、监理单位报送叁份《通用条款》9.1.（2）款规定的报表</w:t>
      </w:r>
      <w:r>
        <w:rPr>
          <w:kern w:val="0"/>
          <w:sz w:val="24"/>
        </w:rPr>
        <w:t>___</w:t>
      </w:r>
    </w:p>
    <w:p>
      <w:pPr>
        <w:widowControl/>
        <w:spacing w:line="360" w:lineRule="auto"/>
        <w:ind w:firstLine="480" w:firstLineChars="200"/>
        <w:rPr>
          <w:kern w:val="0"/>
          <w:sz w:val="24"/>
        </w:rPr>
      </w:pPr>
      <w:r>
        <w:rPr>
          <w:kern w:val="0"/>
          <w:sz w:val="24"/>
        </w:rPr>
        <w:t>（3）承担施工安全保卫工作及非夜间施工照明的的有关内容责任和要求：_</w:t>
      </w:r>
      <w:r>
        <w:rPr>
          <w:kern w:val="0"/>
          <w:sz w:val="24"/>
          <w:u w:val="single"/>
        </w:rPr>
        <w:t>执行《通用条款》9.1</w:t>
      </w:r>
      <w:r>
        <w:rPr>
          <w:rFonts w:hint="eastAsia"/>
          <w:kern w:val="0"/>
          <w:sz w:val="24"/>
          <w:u w:val="single"/>
        </w:rPr>
        <w:t>.</w:t>
      </w:r>
      <w:r>
        <w:rPr>
          <w:kern w:val="0"/>
          <w:sz w:val="24"/>
          <w:u w:val="single"/>
        </w:rPr>
        <w:t>（3）款和附件中的“安全生产责任协议书”的有关内容。</w:t>
      </w:r>
    </w:p>
    <w:p>
      <w:pPr>
        <w:widowControl/>
        <w:spacing w:line="360" w:lineRule="auto"/>
        <w:ind w:firstLine="480" w:firstLineChars="200"/>
        <w:rPr>
          <w:kern w:val="0"/>
          <w:sz w:val="24"/>
          <w:u w:val="single"/>
        </w:rPr>
      </w:pPr>
      <w:r>
        <w:rPr>
          <w:kern w:val="0"/>
          <w:sz w:val="24"/>
        </w:rPr>
        <w:t>（4）向发包人提供的办公和生活房屋及设施的要求：</w:t>
      </w:r>
      <w:r>
        <w:rPr>
          <w:rFonts w:hint="eastAsia"/>
          <w:kern w:val="0"/>
          <w:sz w:val="24"/>
          <w:u w:val="single"/>
        </w:rPr>
        <w:t>　　/　　</w:t>
      </w:r>
    </w:p>
    <w:p>
      <w:pPr>
        <w:widowControl/>
        <w:spacing w:line="360" w:lineRule="auto"/>
        <w:ind w:firstLine="480" w:firstLineChars="200"/>
        <w:rPr>
          <w:kern w:val="0"/>
          <w:sz w:val="24"/>
          <w:u w:val="single"/>
        </w:rPr>
      </w:pPr>
      <w:r>
        <w:rPr>
          <w:kern w:val="0"/>
          <w:sz w:val="24"/>
        </w:rPr>
        <w:t>（5）需承包人办理的有关施工场地交通、环卫和施工噪音管理等手续：_</w:t>
      </w:r>
      <w:r>
        <w:rPr>
          <w:kern w:val="0"/>
          <w:sz w:val="24"/>
          <w:u w:val="single"/>
        </w:rPr>
        <w:t>执行《通用条款》9.1.（5）款</w:t>
      </w:r>
    </w:p>
    <w:p>
      <w:pPr>
        <w:widowControl/>
        <w:spacing w:line="360" w:lineRule="auto"/>
        <w:ind w:firstLine="480" w:firstLineChars="200"/>
        <w:rPr>
          <w:kern w:val="0"/>
          <w:sz w:val="24"/>
        </w:rPr>
      </w:pPr>
      <w:r>
        <w:rPr>
          <w:kern w:val="0"/>
          <w:sz w:val="24"/>
        </w:rPr>
        <w:t>（6）已完工程成品保护的特殊要求及费用承担：</w:t>
      </w:r>
      <w:r>
        <w:rPr>
          <w:kern w:val="0"/>
          <w:sz w:val="24"/>
          <w:u w:val="single"/>
        </w:rPr>
        <w:t>执行《通用条款》9.1.（6）款</w:t>
      </w:r>
      <w:r>
        <w:rPr>
          <w:kern w:val="0"/>
          <w:sz w:val="24"/>
        </w:rPr>
        <w:t>__</w:t>
      </w:r>
    </w:p>
    <w:p>
      <w:pPr>
        <w:widowControl/>
        <w:spacing w:line="360" w:lineRule="auto"/>
        <w:ind w:firstLine="480" w:firstLineChars="200"/>
        <w:rPr>
          <w:kern w:val="0"/>
          <w:sz w:val="24"/>
        </w:rPr>
      </w:pPr>
      <w:r>
        <w:rPr>
          <w:kern w:val="0"/>
          <w:sz w:val="24"/>
        </w:rPr>
        <w:t>（7）施工场地周围地下管线和邻近建筑物、构筑物（含文物保护建筑）、古树名木的保护要求及费用承担：_</w:t>
      </w:r>
      <w:r>
        <w:rPr>
          <w:kern w:val="0"/>
          <w:sz w:val="24"/>
          <w:u w:val="single"/>
        </w:rPr>
        <w:t>执行《通用条款》9.1.（7）款</w:t>
      </w:r>
      <w:r>
        <w:rPr>
          <w:kern w:val="0"/>
          <w:sz w:val="24"/>
        </w:rPr>
        <w:t>___</w:t>
      </w:r>
    </w:p>
    <w:p>
      <w:pPr>
        <w:widowControl/>
        <w:spacing w:line="360" w:lineRule="auto"/>
        <w:ind w:firstLine="480" w:firstLineChars="200"/>
        <w:rPr>
          <w:kern w:val="0"/>
          <w:sz w:val="24"/>
        </w:rPr>
      </w:pPr>
      <w:r>
        <w:rPr>
          <w:kern w:val="0"/>
          <w:sz w:val="24"/>
        </w:rPr>
        <w:t>（8）施工场地清洁卫生的要求：_</w:t>
      </w:r>
      <w:r>
        <w:rPr>
          <w:kern w:val="0"/>
          <w:sz w:val="24"/>
          <w:u w:val="single"/>
        </w:rPr>
        <w:t>执行《通用条款》9.1.（8）款</w:t>
      </w:r>
      <w:r>
        <w:rPr>
          <w:kern w:val="0"/>
          <w:sz w:val="24"/>
        </w:rPr>
        <w:t>_</w:t>
      </w:r>
    </w:p>
    <w:p>
      <w:pPr>
        <w:spacing w:line="360" w:lineRule="auto"/>
        <w:ind w:firstLine="480" w:firstLineChars="200"/>
        <w:rPr>
          <w:sz w:val="24"/>
          <w:u w:val="single"/>
        </w:rPr>
      </w:pPr>
      <w:r>
        <w:rPr>
          <w:kern w:val="0"/>
          <w:sz w:val="24"/>
        </w:rPr>
        <w:t>（9）双方约定承包人应做的其他工作：__</w:t>
      </w:r>
      <w:r>
        <w:rPr>
          <w:sz w:val="24"/>
          <w:u w:val="single"/>
        </w:rPr>
        <w:t>承包人应将其在审阅合同文件及施工过程中发现的工程设计或技术规范的任何错误、遗漏、误差或其他缺陷及时通知工程师，并给发包方一份复印件。</w:t>
      </w:r>
    </w:p>
    <w:p>
      <w:pPr>
        <w:spacing w:line="360" w:lineRule="auto"/>
        <w:ind w:firstLine="480" w:firstLineChars="200"/>
        <w:rPr>
          <w:sz w:val="24"/>
          <w:u w:val="single"/>
        </w:rPr>
      </w:pPr>
      <w:r>
        <w:rPr>
          <w:sz w:val="24"/>
          <w:u w:val="single"/>
        </w:rPr>
        <w:t>承包人应对整个现场操作和施工方法的完备性、稳定性和安全性负全责。</w:t>
      </w:r>
    </w:p>
    <w:p>
      <w:pPr>
        <w:spacing w:line="360" w:lineRule="auto"/>
        <w:ind w:firstLine="480" w:firstLineChars="200"/>
        <w:rPr>
          <w:kern w:val="0"/>
          <w:sz w:val="24"/>
        </w:rPr>
      </w:pPr>
      <w:r>
        <w:rPr>
          <w:sz w:val="24"/>
          <w:u w:val="single"/>
        </w:rPr>
        <w:t>承包人应对其采用的施工工艺、施工方法等涉及到知识产权的行为的合法性负全责。</w:t>
      </w:r>
    </w:p>
    <w:p>
      <w:pPr>
        <w:widowControl/>
        <w:spacing w:line="360" w:lineRule="auto"/>
        <w:ind w:firstLine="482" w:firstLineChars="200"/>
        <w:rPr>
          <w:b/>
          <w:kern w:val="0"/>
          <w:sz w:val="24"/>
        </w:rPr>
      </w:pPr>
      <w:r>
        <w:rPr>
          <w:b/>
          <w:kern w:val="0"/>
          <w:sz w:val="24"/>
        </w:rPr>
        <w:t>三、施工组织设计和工期</w:t>
      </w:r>
    </w:p>
    <w:p>
      <w:pPr>
        <w:widowControl/>
        <w:spacing w:line="360" w:lineRule="auto"/>
        <w:ind w:firstLine="480" w:firstLineChars="200"/>
        <w:rPr>
          <w:kern w:val="0"/>
          <w:sz w:val="24"/>
        </w:rPr>
      </w:pPr>
      <w:r>
        <w:rPr>
          <w:kern w:val="0"/>
          <w:sz w:val="24"/>
        </w:rPr>
        <w:t>10、进度计划</w:t>
      </w:r>
    </w:p>
    <w:p>
      <w:pPr>
        <w:widowControl/>
        <w:spacing w:line="360" w:lineRule="auto"/>
        <w:ind w:firstLine="480" w:firstLineChars="200"/>
        <w:rPr>
          <w:kern w:val="0"/>
          <w:sz w:val="24"/>
        </w:rPr>
      </w:pPr>
      <w:r>
        <w:rPr>
          <w:kern w:val="0"/>
          <w:sz w:val="24"/>
        </w:rPr>
        <w:t>10.1承包人提供施工组织设计（施工方案）和进度计划的时间：</w:t>
      </w:r>
      <w:r>
        <w:rPr>
          <w:kern w:val="0"/>
          <w:sz w:val="24"/>
          <w:u w:val="single"/>
        </w:rPr>
        <w:t>开工前十日内</w:t>
      </w:r>
    </w:p>
    <w:p>
      <w:pPr>
        <w:widowControl/>
        <w:spacing w:line="360" w:lineRule="auto"/>
        <w:ind w:firstLine="480" w:firstLineChars="200"/>
        <w:rPr>
          <w:kern w:val="0"/>
          <w:sz w:val="24"/>
        </w:rPr>
      </w:pPr>
      <w:r>
        <w:rPr>
          <w:kern w:val="0"/>
          <w:sz w:val="24"/>
        </w:rPr>
        <w:t>工程师确认的时间：_</w:t>
      </w:r>
      <w:r>
        <w:rPr>
          <w:kern w:val="0"/>
          <w:sz w:val="24"/>
          <w:u w:val="single"/>
        </w:rPr>
        <w:t>_7日内___</w:t>
      </w:r>
    </w:p>
    <w:p>
      <w:pPr>
        <w:widowControl/>
        <w:spacing w:line="360" w:lineRule="auto"/>
        <w:ind w:firstLine="480" w:firstLineChars="200"/>
        <w:rPr>
          <w:kern w:val="0"/>
          <w:sz w:val="24"/>
        </w:rPr>
      </w:pPr>
      <w:r>
        <w:rPr>
          <w:kern w:val="0"/>
          <w:sz w:val="24"/>
        </w:rPr>
        <w:t>10.2群体工程中有关进度计划的要求： ________________________</w:t>
      </w:r>
    </w:p>
    <w:p>
      <w:pPr>
        <w:widowControl/>
        <w:spacing w:line="360" w:lineRule="auto"/>
        <w:ind w:firstLine="480" w:firstLineChars="200"/>
        <w:rPr>
          <w:kern w:val="0"/>
          <w:sz w:val="24"/>
        </w:rPr>
      </w:pPr>
      <w:r>
        <w:rPr>
          <w:kern w:val="0"/>
          <w:sz w:val="24"/>
        </w:rPr>
        <w:t>13、工期延误</w:t>
      </w:r>
    </w:p>
    <w:p>
      <w:pPr>
        <w:widowControl/>
        <w:spacing w:line="360" w:lineRule="auto"/>
        <w:ind w:firstLine="480" w:firstLineChars="200"/>
        <w:rPr>
          <w:kern w:val="0"/>
          <w:sz w:val="24"/>
        </w:rPr>
      </w:pPr>
      <w:r>
        <w:rPr>
          <w:kern w:val="0"/>
          <w:sz w:val="24"/>
        </w:rPr>
        <w:t>13.1双方约定工期顺延的其他情况：_</w:t>
      </w:r>
      <w:r>
        <w:rPr>
          <w:sz w:val="24"/>
          <w:u w:val="single"/>
        </w:rPr>
        <w:t>执行《通用条款》11条</w:t>
      </w:r>
      <w:r>
        <w:rPr>
          <w:rFonts w:hint="eastAsia"/>
          <w:sz w:val="24"/>
          <w:u w:val="single"/>
        </w:rPr>
        <w:t>：</w:t>
      </w:r>
      <w:r>
        <w:rPr>
          <w:sz w:val="24"/>
          <w:u w:val="single"/>
        </w:rPr>
        <w:t>工期提前无奖励。工期每推迟一天除按1000元处罚外,若影响到发包人使用时应赔偿由此给甲方造成的损失。</w:t>
      </w:r>
    </w:p>
    <w:p>
      <w:pPr>
        <w:widowControl/>
        <w:spacing w:line="360" w:lineRule="auto"/>
        <w:ind w:firstLine="482" w:firstLineChars="200"/>
        <w:rPr>
          <w:b/>
          <w:kern w:val="0"/>
          <w:sz w:val="24"/>
        </w:rPr>
      </w:pPr>
      <w:r>
        <w:rPr>
          <w:b/>
          <w:kern w:val="0"/>
          <w:sz w:val="24"/>
        </w:rPr>
        <w:t>四、质量与检验</w:t>
      </w:r>
    </w:p>
    <w:p>
      <w:pPr>
        <w:widowControl/>
        <w:spacing w:line="360" w:lineRule="auto"/>
        <w:ind w:firstLine="480" w:firstLineChars="200"/>
        <w:rPr>
          <w:kern w:val="0"/>
          <w:sz w:val="24"/>
        </w:rPr>
      </w:pPr>
      <w:r>
        <w:rPr>
          <w:kern w:val="0"/>
          <w:sz w:val="24"/>
        </w:rPr>
        <w:t>17、隐蔽工程和中间验收</w:t>
      </w:r>
    </w:p>
    <w:p>
      <w:pPr>
        <w:widowControl/>
        <w:spacing w:line="360" w:lineRule="auto"/>
        <w:ind w:firstLine="480" w:firstLineChars="200"/>
        <w:rPr>
          <w:kern w:val="0"/>
          <w:sz w:val="24"/>
        </w:rPr>
      </w:pPr>
      <w:r>
        <w:rPr>
          <w:kern w:val="0"/>
          <w:sz w:val="24"/>
        </w:rPr>
        <w:t>17.1双方约定中间验收部位：</w:t>
      </w:r>
      <w:r>
        <w:rPr>
          <w:kern w:val="0"/>
          <w:sz w:val="24"/>
          <w:u w:val="single"/>
        </w:rPr>
        <w:t xml:space="preserve">                </w:t>
      </w:r>
    </w:p>
    <w:p>
      <w:pPr>
        <w:widowControl/>
        <w:spacing w:line="360" w:lineRule="auto"/>
        <w:ind w:firstLine="480" w:firstLineChars="200"/>
        <w:rPr>
          <w:kern w:val="0"/>
          <w:sz w:val="24"/>
        </w:rPr>
      </w:pPr>
      <w:r>
        <w:rPr>
          <w:kern w:val="0"/>
          <w:sz w:val="24"/>
        </w:rPr>
        <w:t>19、工程试车</w:t>
      </w:r>
    </w:p>
    <w:p>
      <w:pPr>
        <w:widowControl/>
        <w:spacing w:line="360" w:lineRule="auto"/>
        <w:ind w:firstLine="480" w:firstLineChars="200"/>
        <w:rPr>
          <w:kern w:val="0"/>
          <w:sz w:val="24"/>
        </w:rPr>
      </w:pPr>
      <w:r>
        <w:rPr>
          <w:kern w:val="0"/>
          <w:sz w:val="24"/>
        </w:rPr>
        <w:t>19.1试车费用的承担：</w:t>
      </w:r>
      <w:r>
        <w:rPr>
          <w:rFonts w:hint="eastAsia"/>
          <w:sz w:val="24"/>
          <w:u w:val="single"/>
        </w:rPr>
        <w:t>　　　　　　　　　</w:t>
      </w:r>
      <w:r>
        <w:rPr>
          <w:kern w:val="0"/>
          <w:sz w:val="24"/>
        </w:rPr>
        <w:t>__</w:t>
      </w:r>
    </w:p>
    <w:p>
      <w:pPr>
        <w:widowControl/>
        <w:spacing w:line="360" w:lineRule="auto"/>
        <w:ind w:firstLine="482" w:firstLineChars="200"/>
        <w:rPr>
          <w:b/>
          <w:kern w:val="0"/>
          <w:sz w:val="24"/>
        </w:rPr>
      </w:pPr>
      <w:r>
        <w:rPr>
          <w:b/>
          <w:kern w:val="0"/>
          <w:sz w:val="24"/>
        </w:rPr>
        <w:t>五、安全防护、文明施工</w:t>
      </w:r>
    </w:p>
    <w:p>
      <w:pPr>
        <w:spacing w:line="360" w:lineRule="auto"/>
        <w:ind w:firstLine="480" w:firstLineChars="200"/>
        <w:rPr>
          <w:sz w:val="24"/>
          <w:szCs w:val="21"/>
          <w:u w:val="single"/>
        </w:rPr>
      </w:pPr>
      <w:r>
        <w:rPr>
          <w:sz w:val="24"/>
          <w:szCs w:val="21"/>
          <w:u w:val="single"/>
        </w:rPr>
        <w:t>执行《通用条款》第五条全部条款和国家、省、市关于安全文明施工的各项要求和规定。必须按照省级文明工地要求标准进行安全文明施工。制定切实可行的安全施工措施和安全管理制度，承包人承担工程施工期间的安全责任，确保本工程施工安全。因施工安全所引起发生的经济和法律责任由承包人全部负责并承担责任，其费用包含在合同价内。</w:t>
      </w:r>
    </w:p>
    <w:p>
      <w:pPr>
        <w:widowControl/>
        <w:spacing w:line="360" w:lineRule="auto"/>
        <w:ind w:firstLine="482" w:firstLineChars="200"/>
        <w:rPr>
          <w:b/>
          <w:kern w:val="0"/>
          <w:sz w:val="24"/>
        </w:rPr>
      </w:pPr>
      <w:r>
        <w:rPr>
          <w:b/>
          <w:kern w:val="0"/>
          <w:sz w:val="24"/>
        </w:rPr>
        <w:t>六、合同价款</w:t>
      </w:r>
    </w:p>
    <w:p>
      <w:pPr>
        <w:widowControl/>
        <w:spacing w:line="360" w:lineRule="auto"/>
        <w:ind w:firstLine="480" w:firstLineChars="200"/>
        <w:rPr>
          <w:kern w:val="0"/>
          <w:sz w:val="24"/>
        </w:rPr>
      </w:pPr>
      <w:r>
        <w:rPr>
          <w:kern w:val="0"/>
          <w:sz w:val="24"/>
        </w:rPr>
        <w:t>26、合同价款约定</w:t>
      </w:r>
    </w:p>
    <w:p>
      <w:pPr>
        <w:widowControl/>
        <w:spacing w:line="360" w:lineRule="auto"/>
        <w:ind w:firstLine="480" w:firstLineChars="200"/>
        <w:rPr>
          <w:kern w:val="0"/>
          <w:sz w:val="24"/>
        </w:rPr>
      </w:pPr>
      <w:r>
        <w:rPr>
          <w:kern w:val="0"/>
          <w:sz w:val="24"/>
        </w:rPr>
        <w:t>26.2本合同价款采用_</w:t>
      </w:r>
      <w:r>
        <w:rPr>
          <w:sz w:val="24"/>
          <w:u w:val="single"/>
        </w:rPr>
        <w:t>固定综合单价合同</w:t>
      </w:r>
      <w:r>
        <w:rPr>
          <w:kern w:val="0"/>
          <w:sz w:val="24"/>
        </w:rPr>
        <w:t>_方式确定。</w:t>
      </w:r>
    </w:p>
    <w:p>
      <w:pPr>
        <w:spacing w:line="360" w:lineRule="auto"/>
        <w:ind w:firstLine="480" w:firstLineChars="200"/>
        <w:rPr>
          <w:sz w:val="24"/>
        </w:rPr>
      </w:pPr>
      <w:r>
        <w:rPr>
          <w:kern w:val="0"/>
          <w:sz w:val="24"/>
        </w:rPr>
        <w:t>（1）采用固定综合单价合同，综合单价中包括的风险范围：</w:t>
      </w:r>
      <w:r>
        <w:rPr>
          <w:sz w:val="24"/>
          <w:u w:val="single"/>
        </w:rPr>
        <w:t>合同价款中包括的风险范围：人工费、材料费、机械费社会价格浮动，本合同第43条规定以外发生的自然灾害、停水、停电</w:t>
      </w:r>
      <w:r>
        <w:rPr>
          <w:sz w:val="24"/>
          <w:szCs w:val="21"/>
          <w:u w:val="single"/>
        </w:rPr>
        <w:t>等引起的停窝工机械和人工费用</w:t>
      </w:r>
      <w:r>
        <w:rPr>
          <w:sz w:val="24"/>
          <w:u w:val="single"/>
        </w:rPr>
        <w:t>。</w:t>
      </w:r>
    </w:p>
    <w:p>
      <w:pPr>
        <w:spacing w:line="360" w:lineRule="auto"/>
        <w:ind w:firstLine="410" w:firstLineChars="171"/>
        <w:rPr>
          <w:sz w:val="24"/>
          <w:szCs w:val="21"/>
          <w:u w:val="single"/>
        </w:rPr>
      </w:pPr>
      <w:r>
        <w:rPr>
          <w:sz w:val="24"/>
        </w:rPr>
        <w:t xml:space="preserve"> </w:t>
      </w:r>
      <w:r>
        <w:rPr>
          <w:sz w:val="24"/>
          <w:szCs w:val="21"/>
          <w:u w:val="single"/>
        </w:rPr>
        <w:t>法律、行政法规和国家有关政策变化影响合同价款时，双方协商解决。</w:t>
      </w:r>
    </w:p>
    <w:p>
      <w:pPr>
        <w:spacing w:line="360" w:lineRule="auto"/>
        <w:ind w:firstLine="360" w:firstLineChars="150"/>
        <w:rPr>
          <w:sz w:val="24"/>
          <w:szCs w:val="21"/>
        </w:rPr>
      </w:pPr>
      <w:r>
        <w:rPr>
          <w:sz w:val="24"/>
          <w:szCs w:val="21"/>
        </w:rPr>
        <w:t>（2）主要材料发包人已认质认价。</w:t>
      </w:r>
    </w:p>
    <w:p>
      <w:pPr>
        <w:spacing w:line="360" w:lineRule="auto"/>
        <w:ind w:firstLine="361" w:firstLineChars="150"/>
        <w:rPr>
          <w:b/>
          <w:bCs/>
          <w:sz w:val="24"/>
          <w:szCs w:val="21"/>
        </w:rPr>
      </w:pPr>
      <w:r>
        <w:rPr>
          <w:b/>
          <w:bCs/>
          <w:sz w:val="24"/>
          <w:szCs w:val="21"/>
        </w:rPr>
        <w:t>（3）不平衡报价：投标完成后，发包人将对承包人投标单价与拦标价对应项目进行核对，对投标单价与拦标价相差超过±15%的，将对投标单价进行修正。</w:t>
      </w:r>
    </w:p>
    <w:p>
      <w:pPr>
        <w:spacing w:line="360" w:lineRule="auto"/>
        <w:ind w:firstLine="482" w:firstLineChars="200"/>
        <w:rPr>
          <w:b/>
          <w:bCs/>
          <w:sz w:val="24"/>
          <w:szCs w:val="21"/>
        </w:rPr>
      </w:pPr>
      <w:r>
        <w:rPr>
          <w:b/>
          <w:bCs/>
          <w:sz w:val="24"/>
          <w:szCs w:val="21"/>
        </w:rPr>
        <w:t>修正办法：将拦标价中综合单价按照中标价同比例下浮后做为对应项目综合单价，差价部分费用在措施费中调整，合同总价不变。</w:t>
      </w:r>
    </w:p>
    <w:p>
      <w:pPr>
        <w:widowControl/>
        <w:spacing w:line="360" w:lineRule="auto"/>
        <w:ind w:firstLine="480" w:firstLineChars="200"/>
        <w:rPr>
          <w:kern w:val="0"/>
          <w:sz w:val="24"/>
        </w:rPr>
      </w:pPr>
      <w:r>
        <w:rPr>
          <w:kern w:val="0"/>
          <w:sz w:val="24"/>
        </w:rPr>
        <w:t>27、合同价款调整</w:t>
      </w:r>
    </w:p>
    <w:p>
      <w:pPr>
        <w:widowControl/>
        <w:spacing w:line="360" w:lineRule="auto"/>
        <w:ind w:firstLine="480" w:firstLineChars="200"/>
        <w:rPr>
          <w:kern w:val="0"/>
          <w:sz w:val="24"/>
        </w:rPr>
      </w:pPr>
      <w:r>
        <w:rPr>
          <w:kern w:val="0"/>
          <w:sz w:val="24"/>
        </w:rPr>
        <w:t>27.1双方约定合同价款的其他调整因素：</w:t>
      </w:r>
    </w:p>
    <w:p>
      <w:pPr>
        <w:autoSpaceDE w:val="0"/>
        <w:autoSpaceDN w:val="0"/>
        <w:spacing w:line="440" w:lineRule="exact"/>
        <w:ind w:firstLine="480" w:firstLineChars="200"/>
        <w:rPr>
          <w:kern w:val="0"/>
          <w:sz w:val="24"/>
          <w:u w:val="single"/>
        </w:rPr>
      </w:pPr>
      <w:r>
        <w:rPr>
          <w:kern w:val="0"/>
          <w:sz w:val="24"/>
          <w:u w:val="single"/>
        </w:rPr>
        <w:t>（1）除设计变更、现场签证情况外，分部分项工程量清单按国家有关规定调整。依据设计变更、现场签证、洽商文件、发包人认质认价单及承包人投标承诺执行本合同第35条。</w:t>
      </w:r>
    </w:p>
    <w:p>
      <w:pPr>
        <w:autoSpaceDE w:val="0"/>
        <w:autoSpaceDN w:val="0"/>
        <w:spacing w:line="440" w:lineRule="exact"/>
        <w:ind w:firstLine="480" w:firstLineChars="200"/>
        <w:rPr>
          <w:sz w:val="24"/>
          <w:szCs w:val="21"/>
          <w:u w:val="single"/>
        </w:rPr>
      </w:pPr>
      <w:r>
        <w:rPr>
          <w:kern w:val="0"/>
          <w:sz w:val="24"/>
          <w:u w:val="single"/>
        </w:rPr>
        <w:t>（2）</w:t>
      </w:r>
      <w:r>
        <w:rPr>
          <w:sz w:val="24"/>
          <w:szCs w:val="21"/>
          <w:u w:val="single"/>
        </w:rPr>
        <w:t xml:space="preserve">工程发生变更，若清单中已有适用于新工程量清单项目的价格，按已有价格结算；若清单中没有适用于新工程量清单项目的价格，按照承包人、监理和发包人共同确认的施工方案，依照招标文件、答疑纪要、设计变更、现场签证、洽商文件等执行陕西省建设工程现行计价文件，以招标上限控制价模式进行组价，然后按照承包人中标价同招标上限控制价下浮比例进行调整后作为新工程量清单项目确定的结算单价。 </w:t>
      </w:r>
    </w:p>
    <w:p>
      <w:pPr>
        <w:autoSpaceDE w:val="0"/>
        <w:autoSpaceDN w:val="0"/>
        <w:spacing w:line="440" w:lineRule="exact"/>
        <w:ind w:firstLine="480" w:firstLineChars="200"/>
        <w:rPr>
          <w:kern w:val="0"/>
          <w:sz w:val="24"/>
          <w:u w:val="single"/>
        </w:rPr>
      </w:pPr>
      <w:r>
        <w:rPr>
          <w:sz w:val="24"/>
          <w:szCs w:val="21"/>
          <w:u w:val="single"/>
        </w:rPr>
        <w:t>（3）</w:t>
      </w:r>
      <w:r>
        <w:rPr>
          <w:kern w:val="0"/>
          <w:sz w:val="24"/>
          <w:u w:val="single"/>
        </w:rPr>
        <w:t>清单工程量中零工量实际发生时，按签证量为准，但零工投标单价不变。清单量若与实际量不符时，经工程师会同双方核实签认后，以签认量进行增减并按本条款第27.1条原则办理结算。</w:t>
      </w:r>
    </w:p>
    <w:p>
      <w:pPr>
        <w:widowControl/>
        <w:spacing w:line="360" w:lineRule="auto"/>
        <w:ind w:firstLine="480" w:firstLineChars="200"/>
        <w:rPr>
          <w:kern w:val="0"/>
          <w:sz w:val="24"/>
          <w:u w:val="single"/>
        </w:rPr>
      </w:pPr>
      <w:r>
        <w:rPr>
          <w:kern w:val="0"/>
          <w:sz w:val="24"/>
          <w:u w:val="single"/>
        </w:rPr>
        <w:t>（4）</w:t>
      </w:r>
      <w:r>
        <w:rPr>
          <w:sz w:val="24"/>
          <w:u w:val="single"/>
        </w:rPr>
        <w:t>承包人中标的措施项目费为合同价款的组成部分，一般不作调整。由于</w:t>
      </w:r>
      <w:r>
        <w:rPr>
          <w:kern w:val="0"/>
          <w:sz w:val="24"/>
          <w:u w:val="single"/>
        </w:rPr>
        <w:t>工程量清单中的工程量误差及设计变更（或现场签证）引起工程量的增减部分，其分部分项工程费在合同价款0~20%之间原合同措施项目费不予调整，在此范围以外按照2009《陕西省建设工程工程量计价规则》调整此部分措施。</w:t>
      </w:r>
    </w:p>
    <w:p>
      <w:pPr>
        <w:widowControl/>
        <w:spacing w:line="360" w:lineRule="auto"/>
        <w:ind w:firstLine="480" w:firstLineChars="200"/>
        <w:rPr>
          <w:kern w:val="0"/>
          <w:sz w:val="24"/>
          <w:u w:val="single"/>
        </w:rPr>
      </w:pPr>
      <w:r>
        <w:rPr>
          <w:kern w:val="0"/>
          <w:sz w:val="24"/>
          <w:u w:val="single"/>
        </w:rPr>
        <w:t>（5）</w:t>
      </w:r>
      <w:r>
        <w:rPr>
          <w:sz w:val="24"/>
          <w:u w:val="single"/>
        </w:rPr>
        <w:t>因甲方设计变更应依照招标文件、答疑纪要、设计变更、现场签证、洽商文件、发包人认质认价单、及承包人中标下浮比例进行调整。合同价款（中标价）及因承包人漏报的项目不予调整。</w:t>
      </w:r>
    </w:p>
    <w:p>
      <w:pPr>
        <w:widowControl/>
        <w:spacing w:line="360" w:lineRule="auto"/>
        <w:ind w:firstLine="480" w:firstLineChars="200"/>
        <w:rPr>
          <w:kern w:val="0"/>
          <w:sz w:val="24"/>
        </w:rPr>
      </w:pPr>
      <w:r>
        <w:rPr>
          <w:kern w:val="0"/>
          <w:sz w:val="24"/>
        </w:rPr>
        <w:t>28、工程预付款</w:t>
      </w:r>
    </w:p>
    <w:p>
      <w:pPr>
        <w:widowControl/>
        <w:spacing w:line="360" w:lineRule="auto"/>
        <w:ind w:firstLine="480" w:firstLineChars="200"/>
        <w:rPr>
          <w:kern w:val="0"/>
          <w:sz w:val="24"/>
          <w:u w:val="single"/>
        </w:rPr>
      </w:pPr>
      <w:r>
        <w:rPr>
          <w:kern w:val="0"/>
          <w:sz w:val="24"/>
        </w:rPr>
        <w:t>发包人向承包人预付工程款的时间和金额或占合同价款总额的比例：</w:t>
      </w:r>
      <w:r>
        <w:rPr>
          <w:sz w:val="24"/>
          <w:u w:val="single"/>
        </w:rPr>
        <w:t>本工程无预付款。</w:t>
      </w:r>
    </w:p>
    <w:p>
      <w:pPr>
        <w:widowControl/>
        <w:spacing w:line="360" w:lineRule="auto"/>
        <w:ind w:firstLine="480" w:firstLineChars="200"/>
        <w:rPr>
          <w:kern w:val="0"/>
          <w:sz w:val="24"/>
        </w:rPr>
      </w:pPr>
      <w:r>
        <w:rPr>
          <w:kern w:val="0"/>
          <w:sz w:val="24"/>
        </w:rPr>
        <w:t>29.1承包人向工程师提交已完工程量报告的时间：</w:t>
      </w:r>
      <w:r>
        <w:rPr>
          <w:kern w:val="0"/>
          <w:sz w:val="24"/>
          <w:u w:val="single"/>
        </w:rPr>
        <w:t>每月25日</w:t>
      </w:r>
    </w:p>
    <w:p>
      <w:pPr>
        <w:widowControl/>
        <w:spacing w:line="360" w:lineRule="auto"/>
        <w:ind w:firstLine="480" w:firstLineChars="200"/>
        <w:rPr>
          <w:kern w:val="0"/>
          <w:sz w:val="24"/>
        </w:rPr>
      </w:pPr>
      <w:r>
        <w:rPr>
          <w:kern w:val="0"/>
          <w:sz w:val="24"/>
        </w:rPr>
        <w:t>30、工程进度款结算与支付</w:t>
      </w:r>
    </w:p>
    <w:p>
      <w:pPr>
        <w:widowControl/>
        <w:spacing w:line="360" w:lineRule="auto"/>
        <w:ind w:firstLine="480" w:firstLineChars="200"/>
        <w:rPr>
          <w:color w:val="FF0000"/>
          <w:kern w:val="0"/>
          <w:sz w:val="24"/>
          <w:u w:val="single"/>
        </w:rPr>
      </w:pPr>
      <w:r>
        <w:rPr>
          <w:rFonts w:hint="eastAsia"/>
          <w:sz w:val="24"/>
          <w:u w:val="single"/>
        </w:rPr>
        <w:t>工程付款采取进度付款的形式，项目施工完毕并经竣工验收合格后30天内，乙方持《竣工验收报告》原件在甲方处办理至百分之七十（70%）工程款的支付手续，待审计结束后支付剩余款项（扣除3%质保金，待合同签订质保期过后30日内无任何工程质量及纠纷办理支付手续）。</w:t>
      </w:r>
    </w:p>
    <w:p>
      <w:pPr>
        <w:widowControl/>
        <w:spacing w:line="360" w:lineRule="auto"/>
        <w:ind w:firstLine="482" w:firstLineChars="200"/>
        <w:rPr>
          <w:b/>
          <w:kern w:val="0"/>
          <w:sz w:val="24"/>
        </w:rPr>
      </w:pPr>
      <w:r>
        <w:rPr>
          <w:b/>
          <w:kern w:val="0"/>
          <w:sz w:val="24"/>
        </w:rPr>
        <w:t>七、材料设备供应</w:t>
      </w:r>
    </w:p>
    <w:p>
      <w:pPr>
        <w:widowControl/>
        <w:spacing w:line="360" w:lineRule="auto"/>
        <w:ind w:firstLine="480" w:firstLineChars="200"/>
        <w:rPr>
          <w:kern w:val="0"/>
          <w:sz w:val="24"/>
        </w:rPr>
      </w:pPr>
      <w:r>
        <w:rPr>
          <w:kern w:val="0"/>
          <w:sz w:val="24"/>
        </w:rPr>
        <w:t>31、发包人供应材料设备</w:t>
      </w:r>
    </w:p>
    <w:p>
      <w:pPr>
        <w:widowControl/>
        <w:spacing w:line="360" w:lineRule="auto"/>
        <w:ind w:firstLine="480" w:firstLineChars="200"/>
        <w:rPr>
          <w:kern w:val="0"/>
          <w:sz w:val="24"/>
        </w:rPr>
      </w:pPr>
      <w:r>
        <w:rPr>
          <w:kern w:val="0"/>
          <w:sz w:val="24"/>
        </w:rPr>
        <w:t>31.4发包人供应的材料设备与一览表不符时，双方约定发包人承担责任如下：</w:t>
      </w:r>
    </w:p>
    <w:p>
      <w:pPr>
        <w:widowControl/>
        <w:spacing w:line="360" w:lineRule="auto"/>
        <w:ind w:firstLine="480" w:firstLineChars="200"/>
        <w:rPr>
          <w:kern w:val="0"/>
          <w:sz w:val="24"/>
        </w:rPr>
      </w:pPr>
      <w:r>
        <w:rPr>
          <w:kern w:val="0"/>
          <w:sz w:val="24"/>
        </w:rPr>
        <w:t>（1）材料设备单价与一览表不符：</w:t>
      </w:r>
    </w:p>
    <w:p>
      <w:pPr>
        <w:widowControl/>
        <w:spacing w:line="360" w:lineRule="auto"/>
        <w:ind w:firstLine="240" w:firstLineChars="100"/>
        <w:rPr>
          <w:kern w:val="0"/>
          <w:sz w:val="24"/>
        </w:rPr>
      </w:pPr>
      <w:r>
        <w:rPr>
          <w:sz w:val="24"/>
          <w:u w:val="single"/>
        </w:rPr>
        <w:t>执行《通用条款》31.4.（1）款。</w:t>
      </w:r>
    </w:p>
    <w:p>
      <w:pPr>
        <w:widowControl/>
        <w:spacing w:line="360" w:lineRule="auto"/>
        <w:ind w:firstLine="480" w:firstLineChars="200"/>
        <w:rPr>
          <w:kern w:val="0"/>
          <w:sz w:val="24"/>
        </w:rPr>
      </w:pPr>
      <w:r>
        <w:rPr>
          <w:kern w:val="0"/>
          <w:sz w:val="24"/>
        </w:rPr>
        <w:t>（2）材料设备的品种、规格、型号、质量等级与一览表不符：</w:t>
      </w:r>
    </w:p>
    <w:p>
      <w:pPr>
        <w:widowControl/>
        <w:spacing w:line="360" w:lineRule="auto"/>
        <w:ind w:firstLine="240" w:firstLineChars="100"/>
        <w:rPr>
          <w:kern w:val="0"/>
          <w:sz w:val="24"/>
        </w:rPr>
      </w:pPr>
      <w:r>
        <w:rPr>
          <w:sz w:val="24"/>
          <w:u w:val="single"/>
        </w:rPr>
        <w:t>执行《通用条款》31.4（2）款。</w:t>
      </w:r>
    </w:p>
    <w:p>
      <w:pPr>
        <w:widowControl/>
        <w:spacing w:line="360" w:lineRule="auto"/>
        <w:ind w:firstLine="480" w:firstLineChars="200"/>
        <w:rPr>
          <w:kern w:val="0"/>
          <w:sz w:val="24"/>
        </w:rPr>
      </w:pPr>
      <w:r>
        <w:rPr>
          <w:kern w:val="0"/>
          <w:sz w:val="24"/>
        </w:rPr>
        <w:t>（3）承包人可代为调剂串换的材料：</w:t>
      </w:r>
    </w:p>
    <w:p>
      <w:pPr>
        <w:widowControl/>
        <w:spacing w:line="360" w:lineRule="auto"/>
        <w:ind w:firstLine="240" w:firstLineChars="100"/>
        <w:rPr>
          <w:kern w:val="0"/>
          <w:sz w:val="24"/>
        </w:rPr>
      </w:pPr>
      <w:r>
        <w:rPr>
          <w:sz w:val="24"/>
          <w:u w:val="single"/>
        </w:rPr>
        <w:t>执行《通用条款》31.4（3）款。</w:t>
      </w:r>
    </w:p>
    <w:p>
      <w:pPr>
        <w:widowControl/>
        <w:spacing w:line="360" w:lineRule="auto"/>
        <w:ind w:firstLine="480" w:firstLineChars="200"/>
        <w:rPr>
          <w:kern w:val="0"/>
          <w:sz w:val="24"/>
        </w:rPr>
      </w:pPr>
      <w:r>
        <w:rPr>
          <w:kern w:val="0"/>
          <w:sz w:val="24"/>
        </w:rPr>
        <w:t>（4）到货地点与一览表不符：</w:t>
      </w:r>
    </w:p>
    <w:p>
      <w:pPr>
        <w:widowControl/>
        <w:spacing w:line="360" w:lineRule="auto"/>
        <w:ind w:firstLine="240" w:firstLineChars="100"/>
        <w:rPr>
          <w:kern w:val="0"/>
          <w:sz w:val="24"/>
        </w:rPr>
      </w:pPr>
      <w:r>
        <w:rPr>
          <w:sz w:val="24"/>
          <w:u w:val="single"/>
        </w:rPr>
        <w:t>执行《通用条款》31.4（4）款。</w:t>
      </w:r>
    </w:p>
    <w:p>
      <w:pPr>
        <w:widowControl/>
        <w:spacing w:line="360" w:lineRule="auto"/>
        <w:ind w:firstLine="480" w:firstLineChars="200"/>
        <w:rPr>
          <w:kern w:val="0"/>
          <w:sz w:val="24"/>
        </w:rPr>
      </w:pPr>
      <w:r>
        <w:rPr>
          <w:kern w:val="0"/>
          <w:sz w:val="24"/>
        </w:rPr>
        <w:t>（5）供应数量与一览表不符：</w:t>
      </w:r>
    </w:p>
    <w:p>
      <w:pPr>
        <w:widowControl/>
        <w:spacing w:line="360" w:lineRule="auto"/>
        <w:ind w:firstLine="240" w:firstLineChars="100"/>
        <w:rPr>
          <w:kern w:val="0"/>
          <w:sz w:val="24"/>
        </w:rPr>
      </w:pPr>
      <w:r>
        <w:rPr>
          <w:sz w:val="24"/>
          <w:u w:val="single"/>
        </w:rPr>
        <w:t>执行《通用条款》31.4（5）款。</w:t>
      </w:r>
    </w:p>
    <w:p>
      <w:pPr>
        <w:widowControl/>
        <w:spacing w:line="360" w:lineRule="auto"/>
        <w:ind w:firstLine="480" w:firstLineChars="200"/>
        <w:rPr>
          <w:kern w:val="0"/>
          <w:sz w:val="24"/>
        </w:rPr>
      </w:pPr>
      <w:r>
        <w:rPr>
          <w:kern w:val="0"/>
          <w:sz w:val="24"/>
        </w:rPr>
        <w:t>（6）到货时间与一览表不符：</w:t>
      </w:r>
    </w:p>
    <w:p>
      <w:pPr>
        <w:widowControl/>
        <w:spacing w:line="360" w:lineRule="auto"/>
        <w:ind w:firstLine="360" w:firstLineChars="150"/>
        <w:rPr>
          <w:kern w:val="0"/>
          <w:sz w:val="24"/>
        </w:rPr>
      </w:pPr>
      <w:r>
        <w:rPr>
          <w:sz w:val="24"/>
          <w:u w:val="single"/>
        </w:rPr>
        <w:t>执行《通用条款》31.4（6）款。</w:t>
      </w:r>
    </w:p>
    <w:p>
      <w:pPr>
        <w:widowControl/>
        <w:spacing w:line="360" w:lineRule="auto"/>
        <w:ind w:firstLine="480" w:firstLineChars="200"/>
        <w:rPr>
          <w:kern w:val="0"/>
          <w:sz w:val="24"/>
        </w:rPr>
      </w:pPr>
      <w:r>
        <w:rPr>
          <w:kern w:val="0"/>
          <w:sz w:val="24"/>
        </w:rPr>
        <w:t>31.6发包人供应材料设备的结算方法：</w:t>
      </w:r>
    </w:p>
    <w:p>
      <w:pPr>
        <w:widowControl/>
        <w:spacing w:line="360" w:lineRule="auto"/>
        <w:rPr>
          <w:kern w:val="0"/>
          <w:sz w:val="24"/>
        </w:rPr>
      </w:pPr>
      <w:r>
        <w:rPr>
          <w:kern w:val="0"/>
          <w:sz w:val="24"/>
        </w:rPr>
        <w:t>___</w:t>
      </w:r>
      <w:r>
        <w:rPr>
          <w:sz w:val="24"/>
          <w:u w:val="single"/>
        </w:rPr>
        <w:t>发包人按甲供材料表供应材料设备，并对所供材料设备的质量负责，按指定价从发包人的合同价中扣除。</w:t>
      </w:r>
    </w:p>
    <w:p>
      <w:pPr>
        <w:widowControl/>
        <w:spacing w:line="360" w:lineRule="auto"/>
        <w:ind w:firstLine="480" w:firstLineChars="200"/>
        <w:rPr>
          <w:kern w:val="0"/>
          <w:sz w:val="24"/>
        </w:rPr>
      </w:pPr>
      <w:r>
        <w:rPr>
          <w:kern w:val="0"/>
          <w:sz w:val="24"/>
        </w:rPr>
        <w:t>32、承包人采购材料设备</w:t>
      </w:r>
    </w:p>
    <w:p>
      <w:pPr>
        <w:spacing w:line="360" w:lineRule="auto"/>
        <w:ind w:firstLine="480" w:firstLineChars="200"/>
        <w:rPr>
          <w:spacing w:val="-6"/>
          <w:sz w:val="24"/>
          <w:szCs w:val="21"/>
          <w:u w:val="single"/>
        </w:rPr>
      </w:pPr>
      <w:r>
        <w:rPr>
          <w:kern w:val="0"/>
          <w:sz w:val="24"/>
        </w:rPr>
        <w:t>32.1承包人采购材料设备的约定：</w:t>
      </w:r>
      <w:r>
        <w:rPr>
          <w:spacing w:val="-6"/>
          <w:sz w:val="24"/>
          <w:szCs w:val="21"/>
          <w:u w:val="single"/>
        </w:rPr>
        <w:t>⑴发包人暂定价材料由承包人根据施工进度并充分考虑材料设备采购时间，提前60天向发包人提交材料设备供应计划，并写清材料、设备进场时间。若因此造成承包人停工待料等问题，概由承包人负责。（承包方提前60天申报所需要确定的材料设备计划，发包人提前一周认质认价或督促设备到位）。</w:t>
      </w:r>
    </w:p>
    <w:p>
      <w:pPr>
        <w:spacing w:line="360" w:lineRule="auto"/>
        <w:ind w:firstLine="474" w:firstLineChars="208"/>
        <w:rPr>
          <w:spacing w:val="-6"/>
          <w:sz w:val="24"/>
          <w:szCs w:val="21"/>
          <w:u w:val="single"/>
        </w:rPr>
      </w:pPr>
      <w:r>
        <w:rPr>
          <w:spacing w:val="-6"/>
          <w:sz w:val="24"/>
          <w:szCs w:val="21"/>
          <w:u w:val="single"/>
        </w:rPr>
        <w:t>⑵认质认价材料、设备结算方法：</w:t>
      </w:r>
      <w:r>
        <w:rPr>
          <w:b/>
          <w:spacing w:val="-6"/>
          <w:sz w:val="24"/>
          <w:szCs w:val="21"/>
          <w:u w:val="single"/>
        </w:rPr>
        <w:t>发包人招标时暂定价的主要材料设备仅为材料设备本身价格，承包人在投标报价组价时自行考虑其损耗、加工、制作、运输、安装、二次搬迁、收口收边、成活、税金、利润等其它因素所产生的费用，暂定价材料设备须经发包人认质认价确定后进货和使用。</w:t>
      </w:r>
      <w:r>
        <w:rPr>
          <w:spacing w:val="-6"/>
          <w:sz w:val="24"/>
          <w:szCs w:val="21"/>
          <w:u w:val="single"/>
        </w:rPr>
        <w:t xml:space="preserve">材料设备的认质认价若与暂定价不一致时按材料差价计入结算总价，不再计取或调整投标报价中的其他费用，（差价只计税金，其余费用不计）。 </w:t>
      </w:r>
    </w:p>
    <w:p>
      <w:pPr>
        <w:spacing w:line="360" w:lineRule="auto"/>
        <w:ind w:firstLine="474" w:firstLineChars="208"/>
        <w:rPr>
          <w:spacing w:val="-6"/>
          <w:sz w:val="24"/>
          <w:szCs w:val="21"/>
          <w:u w:val="single"/>
        </w:rPr>
      </w:pPr>
      <w:r>
        <w:rPr>
          <w:spacing w:val="-6"/>
          <w:sz w:val="24"/>
          <w:szCs w:val="21"/>
          <w:u w:val="single"/>
        </w:rPr>
        <w:t>⑶承包人采购的材料、设备均应满足设计和规范及发包人要求品牌和质量等级，并须向发包人和监理提供产品合格证和检验资料，待发包人、监理同意后采购进场，否则按不合格品处理，并拒绝支付该项费用。材料设备进场后立即向监理和发包人报验，否则发包人有权要求承包人无条件退货。因材料质量引起工程质量问题由承包人承担所造成的一切损失。如发包人或监理对该部分材料的质量有异议，有权提出停止使用或再次取样复试的要求，若若异议属实，由此发生的一切费用由承包人承担。国家规定的常规材料检验、随机抽检、见证取样检验、监理抽检和强制检验材料的检验费由承包人负责。</w:t>
      </w:r>
    </w:p>
    <w:p>
      <w:pPr>
        <w:spacing w:line="360" w:lineRule="auto"/>
        <w:ind w:firstLine="474" w:firstLineChars="208"/>
        <w:rPr>
          <w:kern w:val="0"/>
          <w:sz w:val="24"/>
        </w:rPr>
      </w:pPr>
      <w:r>
        <w:rPr>
          <w:spacing w:val="-6"/>
          <w:sz w:val="24"/>
          <w:szCs w:val="21"/>
          <w:u w:val="single"/>
        </w:rPr>
        <w:t>⑷</w:t>
      </w:r>
      <w:r>
        <w:rPr>
          <w:b/>
          <w:spacing w:val="-6"/>
          <w:sz w:val="24"/>
          <w:szCs w:val="21"/>
          <w:u w:val="single"/>
        </w:rPr>
        <w:t>本工程所用材料品牌均为中档次以上产品。</w:t>
      </w:r>
      <w:r>
        <w:rPr>
          <w:spacing w:val="-6"/>
          <w:sz w:val="24"/>
          <w:szCs w:val="21"/>
          <w:u w:val="single"/>
        </w:rPr>
        <w:t xml:space="preserve">除暂定价材料设备外，所有用于本工程的材料、设备或发包人有特别要求的材料、设备，承包人须事先向发包人及监理提供不少于三家的同档次产品资料及样品，同样发包人也可以提供资料及样品。经发包人考察筛选确定后再采购，使用或安装之前仍需履行必要的检验、检测程序。 </w:t>
      </w:r>
    </w:p>
    <w:p>
      <w:pPr>
        <w:widowControl/>
        <w:spacing w:line="360" w:lineRule="auto"/>
        <w:ind w:firstLine="480"/>
        <w:rPr>
          <w:b/>
          <w:kern w:val="0"/>
          <w:sz w:val="24"/>
        </w:rPr>
      </w:pPr>
      <w:r>
        <w:rPr>
          <w:b/>
          <w:kern w:val="0"/>
          <w:sz w:val="24"/>
        </w:rPr>
        <w:t>八、工程变更</w:t>
      </w:r>
    </w:p>
    <w:p>
      <w:pPr>
        <w:spacing w:line="360" w:lineRule="auto"/>
        <w:ind w:firstLine="499" w:firstLineChars="208"/>
        <w:rPr>
          <w:sz w:val="24"/>
          <w:szCs w:val="21"/>
          <w:u w:val="single"/>
        </w:rPr>
      </w:pPr>
      <w:r>
        <w:rPr>
          <w:sz w:val="24"/>
          <w:szCs w:val="21"/>
          <w:u w:val="single"/>
        </w:rPr>
        <w:t>33.1图纸变更项目发生时，工程量以实际签证量为准。变更合同价款按下列方法进行：合同中已有适用于变更工程的价格，按相应项目合同已确认的综合单价办理结算；合同中只有类似于变更工程的价格，只调整相应的主材费，主材单价按投标文件主材价格计算，若投标文件中无主材单价时，由发承包双方共同认质认价，主材差价只计取税金，其余费用不计；合同中没有适用或类似于工程变更的价格，按照承包人、监理和发包人共同确认的施工方案，依照招标文件、答疑纪要、设计变更、现场签证、洽商文件等执行陕西省建设工程现行计价文件，以招标上限控制价模式进行组价，然后按照承包人中标价同招标上限控制价下浮比例进行调整后作为新工程量清单项目确定的结算单价。</w:t>
      </w:r>
      <w:r>
        <w:rPr>
          <w:sz w:val="24"/>
          <w:u w:val="single"/>
        </w:rPr>
        <w:t>承包人中标的措施项目费为合同价款的组成部分，一般不作调整。由于</w:t>
      </w:r>
      <w:r>
        <w:rPr>
          <w:kern w:val="0"/>
          <w:sz w:val="24"/>
          <w:u w:val="single"/>
        </w:rPr>
        <w:t>工程量清单中的工程量误差及设计变更（或现场签证）引起工程量的增减部分，其分部分项工程费在合同价款0~20%之间原合同措施项目费不予调整，在此范围以外按照2009《陕西省建设工程工程量计价规则》调整此部分措施。</w:t>
      </w:r>
    </w:p>
    <w:p>
      <w:pPr>
        <w:spacing w:line="360" w:lineRule="auto"/>
        <w:ind w:firstLine="499" w:firstLineChars="208"/>
        <w:rPr>
          <w:sz w:val="24"/>
          <w:szCs w:val="21"/>
          <w:u w:val="single"/>
        </w:rPr>
      </w:pPr>
      <w:r>
        <w:rPr>
          <w:sz w:val="24"/>
          <w:szCs w:val="21"/>
          <w:u w:val="single"/>
        </w:rPr>
        <w:t>设计变更和现场签证的工程量在进度款中暂不予计算和支付，统一在竣工结算时计算并进入总造价。其余情况执行《通用条款》第八条有关条款。</w:t>
      </w:r>
    </w:p>
    <w:p>
      <w:pPr>
        <w:spacing w:line="360" w:lineRule="auto"/>
        <w:rPr>
          <w:sz w:val="24"/>
          <w:szCs w:val="21"/>
          <w:u w:val="single"/>
        </w:rPr>
      </w:pPr>
      <w:r>
        <w:rPr>
          <w:rFonts w:hint="eastAsia"/>
          <w:sz w:val="24"/>
          <w:szCs w:val="21"/>
        </w:rPr>
        <w:t>　　</w:t>
      </w:r>
      <w:r>
        <w:rPr>
          <w:sz w:val="24"/>
          <w:szCs w:val="21"/>
          <w:u w:val="single"/>
        </w:rPr>
        <w:t>33.2承包人在施工中对设计原因造成的变更，应在未施工该分项工程前10天报告发包人代表人和监理工程师，办理设计变更，否则因此造成的一切损失均由承包人承担，延误工期不予顺延。</w:t>
      </w:r>
    </w:p>
    <w:p>
      <w:pPr>
        <w:spacing w:line="360" w:lineRule="auto"/>
        <w:ind w:firstLine="499" w:firstLineChars="208"/>
        <w:rPr>
          <w:sz w:val="24"/>
          <w:szCs w:val="21"/>
          <w:u w:val="single"/>
        </w:rPr>
      </w:pPr>
      <w:r>
        <w:rPr>
          <w:sz w:val="24"/>
          <w:szCs w:val="21"/>
          <w:u w:val="single"/>
        </w:rPr>
        <w:t>33.3施工图以外未列项目的零星工程发生时，工程量以实际签证为准，</w:t>
      </w:r>
      <w:r>
        <w:rPr>
          <w:rFonts w:hint="eastAsia"/>
          <w:sz w:val="24"/>
          <w:szCs w:val="21"/>
          <w:u w:val="single"/>
        </w:rPr>
        <w:t>若所用材料为少量，且未认质认价，材料价及零工费用以签证中各方明确的单价为准。</w:t>
      </w:r>
      <w:r>
        <w:rPr>
          <w:sz w:val="24"/>
          <w:szCs w:val="21"/>
          <w:u w:val="single"/>
        </w:rPr>
        <w:t>签证应于零星工程发生14日内完成，否则视为无效签证。</w:t>
      </w:r>
    </w:p>
    <w:p>
      <w:pPr>
        <w:spacing w:line="360" w:lineRule="auto"/>
        <w:ind w:firstLine="499" w:firstLineChars="208"/>
        <w:rPr>
          <w:sz w:val="24"/>
          <w:szCs w:val="21"/>
          <w:u w:val="single"/>
        </w:rPr>
      </w:pPr>
      <w:r>
        <w:rPr>
          <w:sz w:val="24"/>
          <w:szCs w:val="21"/>
          <w:u w:val="single"/>
        </w:rPr>
        <w:t>33.</w:t>
      </w:r>
      <w:r>
        <w:rPr>
          <w:rFonts w:hint="eastAsia"/>
          <w:sz w:val="24"/>
          <w:szCs w:val="21"/>
          <w:u w:val="single"/>
        </w:rPr>
        <w:t>4</w:t>
      </w:r>
      <w:r>
        <w:rPr>
          <w:sz w:val="24"/>
          <w:szCs w:val="21"/>
          <w:u w:val="single"/>
        </w:rPr>
        <w:t>承包人不得对原工程设计进行变更。因承包人擅自变更设计发生的费用和由此导致发包人蒙受的损失由承包人承担，延误的工期不予顺延。因承包人自身原因导致的工程变更，承包人无权要求追加合同价款。</w:t>
      </w:r>
    </w:p>
    <w:p>
      <w:pPr>
        <w:spacing w:line="360" w:lineRule="auto"/>
        <w:ind w:firstLine="499" w:firstLineChars="208"/>
        <w:rPr>
          <w:bCs/>
          <w:sz w:val="24"/>
          <w:szCs w:val="21"/>
          <w:u w:val="single"/>
        </w:rPr>
      </w:pPr>
      <w:r>
        <w:rPr>
          <w:sz w:val="24"/>
          <w:szCs w:val="21"/>
          <w:u w:val="single"/>
        </w:rPr>
        <w:t>33.</w:t>
      </w:r>
      <w:r>
        <w:rPr>
          <w:rFonts w:hint="eastAsia"/>
          <w:sz w:val="24"/>
          <w:szCs w:val="21"/>
          <w:u w:val="single"/>
        </w:rPr>
        <w:t>5变</w:t>
      </w:r>
      <w:r>
        <w:rPr>
          <w:sz w:val="24"/>
          <w:szCs w:val="21"/>
          <w:u w:val="single"/>
        </w:rPr>
        <w:t>更签证的确认程序：根据监理单位及发包人确认的变更签证，由三方现场实际核</w:t>
      </w:r>
      <w:r>
        <w:rPr>
          <w:bCs/>
          <w:sz w:val="24"/>
          <w:szCs w:val="21"/>
          <w:u w:val="single"/>
        </w:rPr>
        <w:t>对实际完成的工作内容并进行签认。变更签证必须有发包人现场负责人、总监和承包人项目经理的签字并加盖公章后方可生效。</w:t>
      </w:r>
    </w:p>
    <w:p>
      <w:pPr>
        <w:widowControl/>
        <w:spacing w:line="360" w:lineRule="auto"/>
        <w:ind w:firstLine="482" w:firstLineChars="200"/>
        <w:rPr>
          <w:b/>
          <w:kern w:val="0"/>
          <w:sz w:val="24"/>
        </w:rPr>
      </w:pPr>
      <w:r>
        <w:rPr>
          <w:b/>
          <w:kern w:val="0"/>
          <w:sz w:val="24"/>
        </w:rPr>
        <w:t>九、竣工验收与结算</w:t>
      </w:r>
    </w:p>
    <w:p>
      <w:pPr>
        <w:widowControl/>
        <w:spacing w:line="360" w:lineRule="auto"/>
        <w:ind w:firstLine="480" w:firstLineChars="200"/>
        <w:rPr>
          <w:kern w:val="0"/>
          <w:sz w:val="24"/>
        </w:rPr>
      </w:pPr>
      <w:r>
        <w:rPr>
          <w:kern w:val="0"/>
          <w:sz w:val="24"/>
        </w:rPr>
        <w:t>36、竣工验收</w:t>
      </w:r>
    </w:p>
    <w:p>
      <w:pPr>
        <w:widowControl/>
        <w:spacing w:line="360" w:lineRule="auto"/>
        <w:ind w:firstLine="480" w:firstLineChars="200"/>
        <w:rPr>
          <w:kern w:val="0"/>
          <w:sz w:val="24"/>
        </w:rPr>
      </w:pPr>
      <w:r>
        <w:rPr>
          <w:kern w:val="0"/>
          <w:sz w:val="24"/>
        </w:rPr>
        <w:t>36.1承包人提供竣工图的约定：</w:t>
      </w:r>
    </w:p>
    <w:p>
      <w:pPr>
        <w:widowControl/>
        <w:spacing w:line="360" w:lineRule="auto"/>
        <w:rPr>
          <w:kern w:val="0"/>
          <w:sz w:val="24"/>
        </w:rPr>
      </w:pPr>
      <w:r>
        <w:rPr>
          <w:kern w:val="0"/>
          <w:sz w:val="24"/>
          <w:u w:val="single"/>
        </w:rPr>
        <w:t>竣工验收后一个月内，交竣工图及资料文件肆套。</w:t>
      </w:r>
      <w:r>
        <w:rPr>
          <w:rFonts w:hint="eastAsia"/>
          <w:kern w:val="0"/>
          <w:sz w:val="24"/>
          <w:u w:val="single"/>
        </w:rPr>
        <w:t xml:space="preserve"> </w:t>
      </w:r>
    </w:p>
    <w:p>
      <w:pPr>
        <w:widowControl/>
        <w:spacing w:line="360" w:lineRule="auto"/>
        <w:ind w:firstLine="400" w:firstLineChars="200"/>
        <w:rPr>
          <w:kern w:val="0"/>
          <w:sz w:val="24"/>
        </w:rPr>
      </w:pPr>
      <w:r>
        <w:rPr>
          <w:kern w:val="0"/>
          <w:sz w:val="20"/>
        </w:rPr>
        <mc:AlternateContent>
          <mc:Choice Requires="wps">
            <w:drawing>
              <wp:anchor distT="0" distB="0" distL="114300" distR="114300" simplePos="0" relativeHeight="251661312" behindDoc="0" locked="0" layoutInCell="1" allowOverlap="1">
                <wp:simplePos x="0" y="0"/>
                <wp:positionH relativeFrom="column">
                  <wp:posOffset>2971800</wp:posOffset>
                </wp:positionH>
                <wp:positionV relativeFrom="paragraph">
                  <wp:posOffset>5080</wp:posOffset>
                </wp:positionV>
                <wp:extent cx="685800" cy="99060"/>
                <wp:effectExtent l="635" t="4445" r="18415" b="10795"/>
                <wp:wrapNone/>
                <wp:docPr id="3" name="直线 24"/>
                <wp:cNvGraphicFramePr/>
                <a:graphic xmlns:a="http://schemas.openxmlformats.org/drawingml/2006/main">
                  <a:graphicData uri="http://schemas.microsoft.com/office/word/2010/wordprocessingShape">
                    <wps:wsp>
                      <wps:cNvCnPr/>
                      <wps:spPr>
                        <a:xfrm flipV="1">
                          <a:off x="0" y="0"/>
                          <a:ext cx="685800" cy="9906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24" o:spid="_x0000_s1026" o:spt="20" style="position:absolute;left:0pt;flip:y;margin-left:234pt;margin-top:0.4pt;height:7.8pt;width:54pt;z-index:251661312;mso-width-relative:page;mso-height-relative:page;" filled="f" stroked="t" coordsize="21600,21600" o:gfxdata="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PTwiFfVAAAABwEAAA8AAAAAAAAAAQAgAAAAIgAAAGRycy9kb3ducmV2LnhtbFBL&#10;AQIUABQAAAAIAIdO4kAP7w66+QEAAPcDAAAOAAAAAAAAAAEAIAAAACQBAABkcnMvZTJvRG9jLnht&#10;bFBLBQYAAAAABgAGAFkBAACPBQAAAAA=&#10;">
                <v:fill on="f" focussize="0,0"/>
                <v:stroke color="#000000" joinstyle="round"/>
                <v:imagedata o:title=""/>
                <o:lock v:ext="edit" aspectratio="f"/>
              </v:line>
            </w:pict>
          </mc:Fallback>
        </mc:AlternateContent>
      </w:r>
      <w:r>
        <w:rPr>
          <w:kern w:val="0"/>
          <w:sz w:val="24"/>
        </w:rPr>
        <w:t>36.2中间交工工程的范围和竣工时间：____________</w:t>
      </w:r>
    </w:p>
    <w:p>
      <w:pPr>
        <w:widowControl/>
        <w:spacing w:line="360" w:lineRule="auto"/>
        <w:ind w:firstLine="480" w:firstLineChars="200"/>
        <w:rPr>
          <w:kern w:val="0"/>
          <w:sz w:val="24"/>
        </w:rPr>
      </w:pPr>
      <w:r>
        <w:rPr>
          <w:kern w:val="0"/>
          <w:sz w:val="24"/>
        </w:rPr>
        <w:t>37、竣工结算</w:t>
      </w:r>
    </w:p>
    <w:p>
      <w:pPr>
        <w:widowControl/>
        <w:spacing w:line="360" w:lineRule="auto"/>
        <w:ind w:firstLine="480" w:firstLineChars="200"/>
        <w:rPr>
          <w:kern w:val="0"/>
          <w:sz w:val="24"/>
        </w:rPr>
      </w:pPr>
      <w:r>
        <w:rPr>
          <w:kern w:val="0"/>
          <w:sz w:val="24"/>
        </w:rPr>
        <w:t>结算审查期限：</w:t>
      </w:r>
      <w:r>
        <w:rPr>
          <w:kern w:val="0"/>
          <w:sz w:val="24"/>
          <w:u w:val="single"/>
        </w:rPr>
        <w:t xml:space="preserve"> </w:t>
      </w:r>
      <w:r>
        <w:rPr>
          <w:sz w:val="24"/>
          <w:u w:val="single"/>
        </w:rPr>
        <w:t>竣工结算经发包方委托审价机构审定后，待甲方资金到位后60日内一次付清除预留审定造价3%保修金外的全部工程尾款。</w:t>
      </w:r>
      <w:r>
        <w:rPr>
          <w:kern w:val="0"/>
          <w:sz w:val="24"/>
          <w:u w:val="single"/>
        </w:rPr>
        <w:t xml:space="preserve"> </w:t>
      </w:r>
    </w:p>
    <w:p>
      <w:pPr>
        <w:widowControl/>
        <w:spacing w:line="360" w:lineRule="auto"/>
        <w:ind w:firstLine="482" w:firstLineChars="200"/>
        <w:rPr>
          <w:b/>
          <w:kern w:val="0"/>
          <w:sz w:val="24"/>
        </w:rPr>
      </w:pPr>
      <w:r>
        <w:rPr>
          <w:b/>
          <w:kern w:val="0"/>
          <w:sz w:val="24"/>
        </w:rPr>
        <w:t>十、违约、索赔和争议</w:t>
      </w:r>
    </w:p>
    <w:p>
      <w:pPr>
        <w:widowControl/>
        <w:spacing w:line="360" w:lineRule="auto"/>
        <w:ind w:firstLine="480" w:firstLineChars="200"/>
        <w:rPr>
          <w:kern w:val="0"/>
          <w:sz w:val="24"/>
        </w:rPr>
      </w:pPr>
      <w:r>
        <w:rPr>
          <w:kern w:val="0"/>
          <w:sz w:val="24"/>
        </w:rPr>
        <w:t>39、违约</w:t>
      </w:r>
    </w:p>
    <w:p>
      <w:pPr>
        <w:widowControl/>
        <w:spacing w:line="360" w:lineRule="auto"/>
        <w:ind w:firstLine="480" w:firstLineChars="200"/>
        <w:rPr>
          <w:kern w:val="0"/>
          <w:sz w:val="24"/>
        </w:rPr>
      </w:pPr>
      <w:r>
        <w:rPr>
          <w:kern w:val="0"/>
          <w:sz w:val="24"/>
        </w:rPr>
        <w:t>39.1本合同中关于发包人违约的具体责任如下：</w:t>
      </w:r>
    </w:p>
    <w:p>
      <w:pPr>
        <w:widowControl/>
        <w:spacing w:line="360" w:lineRule="auto"/>
        <w:ind w:firstLine="480" w:firstLineChars="200"/>
        <w:rPr>
          <w:kern w:val="0"/>
          <w:sz w:val="24"/>
        </w:rPr>
      </w:pPr>
      <w:r>
        <w:rPr>
          <w:kern w:val="0"/>
          <w:sz w:val="24"/>
        </w:rPr>
        <w:t>本合同通用条款第28.1条约定发包人违约应承担的违约责任：_</w:t>
      </w:r>
      <w:r>
        <w:rPr>
          <w:sz w:val="24"/>
          <w:u w:val="single"/>
        </w:rPr>
        <w:t>参照《通用条款》第39条款。</w:t>
      </w:r>
    </w:p>
    <w:p>
      <w:pPr>
        <w:widowControl/>
        <w:spacing w:line="360" w:lineRule="auto"/>
        <w:ind w:firstLine="480" w:firstLineChars="200"/>
        <w:rPr>
          <w:kern w:val="0"/>
          <w:sz w:val="24"/>
          <w:u w:val="single"/>
        </w:rPr>
      </w:pPr>
      <w:r>
        <w:rPr>
          <w:kern w:val="0"/>
          <w:sz w:val="24"/>
        </w:rPr>
        <w:t>本合同通用条款第30.5款约定发包人违约应承担的违约责任：</w:t>
      </w:r>
      <w:r>
        <w:rPr>
          <w:sz w:val="24"/>
          <w:u w:val="single"/>
        </w:rPr>
        <w:t>《通用条款》</w:t>
      </w:r>
      <w:r>
        <w:rPr>
          <w:kern w:val="0"/>
          <w:sz w:val="24"/>
          <w:u w:val="single"/>
        </w:rPr>
        <w:t>30.5</w:t>
      </w:r>
      <w:r>
        <w:rPr>
          <w:sz w:val="24"/>
          <w:u w:val="single"/>
        </w:rPr>
        <w:t>条改为：由于</w:t>
      </w:r>
      <w:r>
        <w:rPr>
          <w:kern w:val="0"/>
          <w:sz w:val="24"/>
          <w:u w:val="single"/>
        </w:rPr>
        <w:t>发包人资金原因未按合同约定支付工程进度款，</w:t>
      </w:r>
      <w:r>
        <w:rPr>
          <w:sz w:val="24"/>
          <w:u w:val="single"/>
        </w:rPr>
        <w:t>承包人不追究发包人违约责任。</w:t>
      </w:r>
    </w:p>
    <w:p>
      <w:pPr>
        <w:widowControl/>
        <w:spacing w:line="360" w:lineRule="auto"/>
        <w:ind w:firstLine="480" w:firstLineChars="200"/>
        <w:rPr>
          <w:kern w:val="0"/>
          <w:sz w:val="24"/>
        </w:rPr>
      </w:pPr>
      <w:r>
        <w:rPr>
          <w:kern w:val="0"/>
          <w:sz w:val="24"/>
        </w:rPr>
        <w:t>本合同通用条款第37.6款约定发包人违约应承担的违约责任：__</w:t>
      </w:r>
      <w:r>
        <w:rPr>
          <w:sz w:val="24"/>
          <w:u w:val="single"/>
        </w:rPr>
        <w:t>《通用条款》37.6条改为：竣工结算经有资质的审价机构核定后，支付除</w:t>
      </w:r>
      <w:r>
        <w:rPr>
          <w:rFonts w:hint="eastAsia"/>
          <w:sz w:val="24"/>
          <w:u w:val="single"/>
        </w:rPr>
        <w:t>3</w:t>
      </w:r>
      <w:r>
        <w:rPr>
          <w:sz w:val="24"/>
          <w:u w:val="single"/>
        </w:rPr>
        <w:t>%的保修金外的余款。</w:t>
      </w:r>
      <w:r>
        <w:rPr>
          <w:kern w:val="0"/>
          <w:sz w:val="24"/>
        </w:rPr>
        <w:t>_</w:t>
      </w:r>
    </w:p>
    <w:p>
      <w:pPr>
        <w:widowControl/>
        <w:spacing w:line="360" w:lineRule="auto"/>
        <w:ind w:firstLine="480" w:firstLineChars="240"/>
        <w:rPr>
          <w:kern w:val="0"/>
          <w:sz w:val="24"/>
        </w:rPr>
      </w:pPr>
      <w:r>
        <w:rPr>
          <w:kern w:val="0"/>
          <w:sz w:val="20"/>
        </w:rPr>
        <mc:AlternateContent>
          <mc:Choice Requires="wps">
            <w:drawing>
              <wp:anchor distT="0" distB="0" distL="114300" distR="114300" simplePos="0" relativeHeight="251662336" behindDoc="0" locked="0" layoutInCell="1" allowOverlap="1">
                <wp:simplePos x="0" y="0"/>
                <wp:positionH relativeFrom="column">
                  <wp:posOffset>2857500</wp:posOffset>
                </wp:positionH>
                <wp:positionV relativeFrom="paragraph">
                  <wp:posOffset>55245</wp:posOffset>
                </wp:positionV>
                <wp:extent cx="800100" cy="99060"/>
                <wp:effectExtent l="635" t="4445" r="18415" b="10795"/>
                <wp:wrapNone/>
                <wp:docPr id="4" name="直线 25"/>
                <wp:cNvGraphicFramePr/>
                <a:graphic xmlns:a="http://schemas.openxmlformats.org/drawingml/2006/main">
                  <a:graphicData uri="http://schemas.microsoft.com/office/word/2010/wordprocessingShape">
                    <wps:wsp>
                      <wps:cNvCnPr/>
                      <wps:spPr>
                        <a:xfrm flipV="1">
                          <a:off x="0" y="0"/>
                          <a:ext cx="800100" cy="9906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25" o:spid="_x0000_s1026" o:spt="20" style="position:absolute;left:0pt;flip:y;margin-left:225pt;margin-top:4.35pt;height:7.8pt;width:63pt;z-index:251662336;mso-width-relative:page;mso-height-relative:page;" filled="f" stroked="t" coordsize="21600,21600" o:gfxdata="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yg9lF9YAAAAIAQAADwAAAAAAAAABACAAAAAiAAAAZHJzL2Rvd25yZXYueG1sUEsB&#10;AhQAFAAAAAgAh07iQPeBCsj3AQAA9wMAAA4AAAAAAAAAAQAgAAAAJQEAAGRycy9lMm9Eb2MueG1s&#10;UEsFBgAAAAAGAAYAWQEAAI4FAAAAAA==&#10;">
                <v:fill on="f" focussize="0,0"/>
                <v:stroke color="#000000" joinstyle="round"/>
                <v:imagedata o:title=""/>
                <o:lock v:ext="edit" aspectratio="f"/>
              </v:line>
            </w:pict>
          </mc:Fallback>
        </mc:AlternateContent>
      </w:r>
      <w:r>
        <w:rPr>
          <w:kern w:val="0"/>
          <w:sz w:val="24"/>
        </w:rPr>
        <w:t>双方约定的发包人其他违约责任：________________</w:t>
      </w:r>
    </w:p>
    <w:p>
      <w:pPr>
        <w:widowControl/>
        <w:spacing w:line="360" w:lineRule="auto"/>
        <w:ind w:firstLine="480" w:firstLineChars="200"/>
        <w:rPr>
          <w:kern w:val="0"/>
          <w:sz w:val="24"/>
        </w:rPr>
      </w:pPr>
      <w:r>
        <w:rPr>
          <w:kern w:val="0"/>
          <w:sz w:val="24"/>
        </w:rPr>
        <w:t>39.2本合同中关于承包人违约的具体责任如下：</w:t>
      </w:r>
      <w:r>
        <w:rPr>
          <w:kern w:val="0"/>
          <w:sz w:val="24"/>
          <w:u w:val="single"/>
        </w:rPr>
        <w:t>因乙方原因造成的工期、质量、安全、其它承诺条件达不到合同约定的标准时造成的违约，除扣履约保证金外，并保留追究由此给甲方带来的直接和间接损失的权利。</w:t>
      </w:r>
    </w:p>
    <w:p>
      <w:pPr>
        <w:widowControl/>
        <w:spacing w:line="360" w:lineRule="auto"/>
        <w:ind w:firstLine="480" w:firstLineChars="200"/>
        <w:rPr>
          <w:kern w:val="0"/>
          <w:sz w:val="24"/>
        </w:rPr>
      </w:pPr>
      <w:r>
        <w:rPr>
          <w:kern w:val="0"/>
          <w:sz w:val="24"/>
        </w:rPr>
        <w:t>双方约定的承包人其他违约责任：</w:t>
      </w:r>
      <w:r>
        <w:rPr>
          <w:sz w:val="24"/>
          <w:u w:val="single"/>
        </w:rPr>
        <w:t>如果通过竣工验收一个月后，承包人不能提供完成的竣工结算资料，每推迟一天罚2000元，累计推迟超过14天时，取消承包方下次投标资格。</w:t>
      </w:r>
    </w:p>
    <w:p>
      <w:pPr>
        <w:widowControl/>
        <w:spacing w:line="360" w:lineRule="auto"/>
        <w:ind w:firstLine="480" w:firstLineChars="200"/>
        <w:rPr>
          <w:kern w:val="0"/>
          <w:sz w:val="24"/>
        </w:rPr>
      </w:pPr>
      <w:r>
        <w:rPr>
          <w:kern w:val="0"/>
          <w:sz w:val="24"/>
        </w:rPr>
        <w:t>41、争议</w:t>
      </w:r>
    </w:p>
    <w:p>
      <w:pPr>
        <w:widowControl/>
        <w:spacing w:line="360" w:lineRule="auto"/>
        <w:ind w:firstLine="480" w:firstLineChars="200"/>
        <w:rPr>
          <w:kern w:val="0"/>
          <w:sz w:val="24"/>
        </w:rPr>
      </w:pPr>
      <w:r>
        <w:rPr>
          <w:kern w:val="0"/>
          <w:sz w:val="24"/>
        </w:rPr>
        <w:t>41.1双方当事人约定，在履行合同过程中产生争议时：</w:t>
      </w:r>
    </w:p>
    <w:p>
      <w:pPr>
        <w:widowControl/>
        <w:spacing w:line="360" w:lineRule="auto"/>
        <w:ind w:firstLine="480" w:firstLineChars="200"/>
        <w:rPr>
          <w:kern w:val="0"/>
          <w:sz w:val="24"/>
        </w:rPr>
      </w:pPr>
      <w:r>
        <w:rPr>
          <w:kern w:val="0"/>
          <w:sz w:val="24"/>
        </w:rPr>
        <w:t>（1）请</w:t>
      </w:r>
      <w:r>
        <w:rPr>
          <w:sz w:val="24"/>
          <w:u w:val="single"/>
        </w:rPr>
        <w:t>合同主管部门和造价主管部门</w:t>
      </w:r>
      <w:r>
        <w:rPr>
          <w:kern w:val="0"/>
          <w:sz w:val="24"/>
        </w:rPr>
        <w:t>_调解；</w:t>
      </w:r>
    </w:p>
    <w:p>
      <w:pPr>
        <w:widowControl/>
        <w:spacing w:line="360" w:lineRule="auto"/>
        <w:ind w:firstLine="480" w:firstLineChars="200"/>
        <w:rPr>
          <w:kern w:val="0"/>
          <w:sz w:val="24"/>
        </w:rPr>
      </w:pPr>
      <w:r>
        <w:rPr>
          <w:kern w:val="0"/>
          <w:sz w:val="24"/>
        </w:rPr>
        <w:t>（2）合同争议调解不成的，按下列第</w:t>
      </w:r>
      <w:r>
        <w:rPr>
          <w:rFonts w:hint="eastAsia"/>
          <w:kern w:val="0"/>
          <w:sz w:val="24"/>
          <w:u w:val="single"/>
        </w:rPr>
        <w:t>　一　</w:t>
      </w:r>
      <w:r>
        <w:rPr>
          <w:kern w:val="0"/>
          <w:sz w:val="24"/>
        </w:rPr>
        <w:t>种方式解决：</w:t>
      </w:r>
    </w:p>
    <w:p>
      <w:pPr>
        <w:widowControl/>
        <w:spacing w:line="360" w:lineRule="auto"/>
        <w:ind w:firstLine="720" w:firstLineChars="300"/>
        <w:rPr>
          <w:kern w:val="0"/>
          <w:sz w:val="24"/>
        </w:rPr>
      </w:pPr>
      <w:r>
        <w:rPr>
          <w:kern w:val="0"/>
          <w:sz w:val="24"/>
        </w:rPr>
        <w:t>1）提交</w:t>
      </w:r>
      <w:r>
        <w:rPr>
          <w:kern w:val="0"/>
          <w:sz w:val="24"/>
          <w:u w:val="single"/>
        </w:rPr>
        <w:t>西安市仲裁</w:t>
      </w:r>
      <w:r>
        <w:rPr>
          <w:kern w:val="0"/>
          <w:sz w:val="24"/>
        </w:rPr>
        <w:t>委员会申请仲裁；</w:t>
      </w:r>
    </w:p>
    <w:p>
      <w:pPr>
        <w:widowControl/>
        <w:spacing w:line="360" w:lineRule="auto"/>
        <w:ind w:firstLine="720" w:firstLineChars="300"/>
        <w:rPr>
          <w:kern w:val="0"/>
          <w:sz w:val="24"/>
        </w:rPr>
      </w:pPr>
      <w:r>
        <w:rPr>
          <w:kern w:val="0"/>
          <w:sz w:val="24"/>
        </w:rPr>
        <w:t>2）依法向</w:t>
      </w:r>
      <w:r>
        <w:rPr>
          <w:kern w:val="0"/>
          <w:sz w:val="24"/>
          <w:u w:val="single"/>
        </w:rPr>
        <w:t>具有管辖权的</w:t>
      </w:r>
      <w:r>
        <w:rPr>
          <w:kern w:val="0"/>
          <w:sz w:val="24"/>
        </w:rPr>
        <w:t>人民法院提起诉讼。</w:t>
      </w:r>
    </w:p>
    <w:p>
      <w:pPr>
        <w:widowControl/>
        <w:spacing w:line="360" w:lineRule="auto"/>
        <w:ind w:firstLine="482" w:firstLineChars="200"/>
        <w:rPr>
          <w:b/>
          <w:kern w:val="0"/>
          <w:sz w:val="24"/>
        </w:rPr>
      </w:pPr>
      <w:r>
        <w:rPr>
          <w:b/>
          <w:kern w:val="0"/>
          <w:sz w:val="24"/>
        </w:rPr>
        <w:t>十一、其他</w:t>
      </w:r>
    </w:p>
    <w:p>
      <w:pPr>
        <w:widowControl/>
        <w:spacing w:line="360" w:lineRule="auto"/>
        <w:ind w:firstLine="480" w:firstLineChars="200"/>
        <w:rPr>
          <w:kern w:val="0"/>
          <w:sz w:val="24"/>
        </w:rPr>
      </w:pPr>
      <w:r>
        <w:rPr>
          <w:kern w:val="0"/>
          <w:sz w:val="24"/>
        </w:rPr>
        <w:t>42、工程分包</w:t>
      </w:r>
    </w:p>
    <w:p>
      <w:pPr>
        <w:widowControl/>
        <w:spacing w:line="360" w:lineRule="auto"/>
        <w:ind w:firstLine="480" w:firstLineChars="200"/>
        <w:rPr>
          <w:kern w:val="0"/>
          <w:sz w:val="24"/>
        </w:rPr>
      </w:pPr>
      <w:r>
        <w:rPr>
          <w:kern w:val="0"/>
          <w:sz w:val="24"/>
        </w:rPr>
        <w:t>42.1本工程发包人同意承包人分包的专业工程：</w:t>
      </w:r>
      <w:r>
        <w:rPr>
          <w:kern w:val="0"/>
          <w:sz w:val="24"/>
          <w:u w:val="single"/>
        </w:rPr>
        <w:t xml:space="preserve">           </w:t>
      </w:r>
    </w:p>
    <w:p>
      <w:pPr>
        <w:widowControl/>
        <w:spacing w:line="360" w:lineRule="auto"/>
        <w:rPr>
          <w:kern w:val="0"/>
          <w:sz w:val="24"/>
        </w:rPr>
      </w:pPr>
      <w:r>
        <w:rPr>
          <w:kern w:val="0"/>
          <w:sz w:val="24"/>
        </w:rPr>
        <w:t>分包施工单位为：_________________</w:t>
      </w:r>
    </w:p>
    <w:p>
      <w:pPr>
        <w:widowControl/>
        <w:spacing w:line="360" w:lineRule="auto"/>
        <w:ind w:firstLine="480" w:firstLineChars="200"/>
        <w:rPr>
          <w:kern w:val="0"/>
          <w:sz w:val="24"/>
        </w:rPr>
      </w:pPr>
      <w:r>
        <w:rPr>
          <w:kern w:val="0"/>
          <w:sz w:val="24"/>
        </w:rPr>
        <w:t>43、不可抗力</w:t>
      </w:r>
    </w:p>
    <w:p>
      <w:pPr>
        <w:widowControl/>
        <w:spacing w:line="360" w:lineRule="auto"/>
        <w:ind w:firstLine="480" w:firstLineChars="200"/>
        <w:rPr>
          <w:kern w:val="0"/>
          <w:sz w:val="24"/>
        </w:rPr>
      </w:pPr>
      <w:r>
        <w:rPr>
          <w:kern w:val="0"/>
          <w:sz w:val="24"/>
        </w:rPr>
        <w:t>43.1双方关于不可抗力的约定：</w:t>
      </w:r>
    </w:p>
    <w:p>
      <w:pPr>
        <w:widowControl/>
        <w:spacing w:line="360" w:lineRule="auto"/>
        <w:rPr>
          <w:kern w:val="0"/>
          <w:sz w:val="24"/>
        </w:rPr>
      </w:pPr>
      <w:r>
        <w:rPr>
          <w:kern w:val="0"/>
          <w:sz w:val="24"/>
        </w:rPr>
        <w:t>__</w:t>
      </w:r>
      <w:r>
        <w:rPr>
          <w:kern w:val="0"/>
          <w:sz w:val="24"/>
          <w:u w:val="single"/>
        </w:rPr>
        <w:t>执行《通用条款》第43条。</w:t>
      </w:r>
    </w:p>
    <w:p>
      <w:pPr>
        <w:widowControl/>
        <w:spacing w:line="360" w:lineRule="auto"/>
        <w:ind w:firstLine="480" w:firstLineChars="200"/>
        <w:rPr>
          <w:kern w:val="0"/>
          <w:sz w:val="24"/>
        </w:rPr>
      </w:pPr>
      <w:r>
        <w:rPr>
          <w:kern w:val="0"/>
          <w:sz w:val="24"/>
        </w:rPr>
        <w:t>44、保险</w:t>
      </w:r>
    </w:p>
    <w:p>
      <w:pPr>
        <w:widowControl/>
        <w:spacing w:line="360" w:lineRule="auto"/>
        <w:ind w:firstLine="480" w:firstLineChars="200"/>
        <w:rPr>
          <w:kern w:val="0"/>
          <w:sz w:val="24"/>
        </w:rPr>
      </w:pPr>
      <w:r>
        <w:rPr>
          <w:kern w:val="0"/>
          <w:sz w:val="24"/>
        </w:rPr>
        <w:t>44.6本工程双方约定投保内容如下：</w:t>
      </w:r>
    </w:p>
    <w:p>
      <w:pPr>
        <w:widowControl/>
        <w:spacing w:line="360" w:lineRule="auto"/>
        <w:ind w:firstLine="480" w:firstLineChars="200"/>
        <w:rPr>
          <w:kern w:val="0"/>
          <w:sz w:val="24"/>
        </w:rPr>
      </w:pPr>
      <w:r>
        <w:rPr>
          <w:kern w:val="0"/>
          <w:sz w:val="24"/>
        </w:rPr>
        <w:t>（1）发包人投保内容：</w:t>
      </w:r>
      <w:r>
        <w:rPr>
          <w:kern w:val="0"/>
          <w:sz w:val="24"/>
          <w:u w:val="single"/>
        </w:rPr>
        <w:t>本合同通用条款44.1 44.2保险，发包人暂不办理。</w:t>
      </w:r>
    </w:p>
    <w:p>
      <w:pPr>
        <w:spacing w:line="360" w:lineRule="auto"/>
        <w:rPr>
          <w:sz w:val="24"/>
          <w:u w:val="single"/>
        </w:rPr>
      </w:pPr>
      <w:r>
        <w:rPr>
          <w:kern w:val="0"/>
          <w:sz w:val="24"/>
        </w:rPr>
        <w:t>发包人委托承包人办理的保险事项：__</w:t>
      </w:r>
      <w:r>
        <w:rPr>
          <w:sz w:val="24"/>
          <w:u w:val="single"/>
        </w:rPr>
        <w:t>本工程无发包人委托承包人办理的保险事宜。</w:t>
      </w:r>
    </w:p>
    <w:p>
      <w:pPr>
        <w:widowControl/>
        <w:spacing w:line="360" w:lineRule="auto"/>
        <w:rPr>
          <w:kern w:val="0"/>
          <w:sz w:val="24"/>
        </w:rPr>
      </w:pPr>
      <w:r>
        <w:rPr>
          <w:sz w:val="24"/>
        </w:rPr>
        <w:t xml:space="preserve">    </w:t>
      </w:r>
      <w:r>
        <w:rPr>
          <w:sz w:val="24"/>
          <w:u w:val="single"/>
        </w:rPr>
        <w:t>失业、医疗、工伤、残疾人就业保险，已包含在合同价款中，结算时，承包方凭参加保险票据，在标准范围内办理结算。本合同44.1、44.2保险费已由发包人委托承包人投保。保险费已包含在中标价中。</w:t>
      </w:r>
      <w:r>
        <w:rPr>
          <w:kern w:val="0"/>
          <w:sz w:val="24"/>
        </w:rPr>
        <w:t>_</w:t>
      </w:r>
    </w:p>
    <w:p>
      <w:pPr>
        <w:widowControl/>
        <w:spacing w:line="360" w:lineRule="auto"/>
        <w:ind w:firstLine="480" w:firstLineChars="200"/>
        <w:rPr>
          <w:kern w:val="0"/>
          <w:sz w:val="24"/>
        </w:rPr>
      </w:pPr>
      <w:r>
        <w:rPr>
          <w:kern w:val="0"/>
          <w:sz w:val="24"/>
        </w:rPr>
        <w:t>（2）承包人投保内容：_</w:t>
      </w:r>
      <w:r>
        <w:rPr>
          <w:sz w:val="24"/>
          <w:u w:val="single"/>
        </w:rPr>
        <w:t>具体投保内容由承包人自行决定，并承担相关责任。</w:t>
      </w:r>
    </w:p>
    <w:p>
      <w:pPr>
        <w:widowControl/>
        <w:spacing w:line="360" w:lineRule="auto"/>
        <w:ind w:firstLine="480" w:firstLineChars="200"/>
        <w:rPr>
          <w:kern w:val="0"/>
          <w:sz w:val="24"/>
        </w:rPr>
      </w:pPr>
      <w:r>
        <w:rPr>
          <w:kern w:val="0"/>
          <w:sz w:val="24"/>
        </w:rPr>
        <w:t>45、担保</w:t>
      </w:r>
    </w:p>
    <w:p>
      <w:pPr>
        <w:widowControl/>
        <w:spacing w:line="360" w:lineRule="auto"/>
        <w:ind w:firstLine="480" w:firstLineChars="200"/>
        <w:rPr>
          <w:kern w:val="0"/>
          <w:sz w:val="24"/>
        </w:rPr>
      </w:pPr>
      <w:r>
        <w:rPr>
          <w:kern w:val="0"/>
          <w:sz w:val="24"/>
        </w:rPr>
        <w:t>45.3本工程双方约定担保事项如下：</w:t>
      </w:r>
    </w:p>
    <w:p>
      <w:pPr>
        <w:widowControl/>
        <w:spacing w:line="360" w:lineRule="auto"/>
        <w:ind w:firstLine="480" w:firstLineChars="200"/>
        <w:rPr>
          <w:kern w:val="0"/>
          <w:sz w:val="24"/>
        </w:rPr>
      </w:pPr>
      <w:r>
        <w:rPr>
          <w:kern w:val="0"/>
          <w:sz w:val="24"/>
        </w:rPr>
        <w:t>（1）发包人向承包人提供支付担保，担保方式为：</w:t>
      </w:r>
      <w:r>
        <w:rPr>
          <w:sz w:val="24"/>
          <w:u w:val="single"/>
        </w:rPr>
        <w:t xml:space="preserve">   无  </w:t>
      </w:r>
      <w:r>
        <w:rPr>
          <w:kern w:val="0"/>
          <w:sz w:val="24"/>
        </w:rPr>
        <w:t>。</w:t>
      </w:r>
    </w:p>
    <w:p>
      <w:pPr>
        <w:widowControl/>
        <w:spacing w:line="360" w:lineRule="auto"/>
        <w:ind w:firstLine="480" w:firstLineChars="200"/>
        <w:rPr>
          <w:kern w:val="0"/>
          <w:sz w:val="24"/>
          <w:u w:val="single"/>
        </w:rPr>
      </w:pPr>
      <w:r>
        <w:rPr>
          <w:kern w:val="0"/>
          <w:sz w:val="24"/>
        </w:rPr>
        <mc:AlternateContent>
          <mc:Choice Requires="wps">
            <w:drawing>
              <wp:anchor distT="0" distB="0" distL="114300" distR="114300" simplePos="0" relativeHeight="251663360" behindDoc="0" locked="0" layoutInCell="1" allowOverlap="1">
                <wp:simplePos x="0" y="0"/>
                <wp:positionH relativeFrom="column">
                  <wp:posOffset>3328670</wp:posOffset>
                </wp:positionH>
                <wp:positionV relativeFrom="paragraph">
                  <wp:posOffset>58420</wp:posOffset>
                </wp:positionV>
                <wp:extent cx="800100" cy="99060"/>
                <wp:effectExtent l="635" t="4445" r="18415" b="10795"/>
                <wp:wrapNone/>
                <wp:docPr id="5" name="直线 26"/>
                <wp:cNvGraphicFramePr/>
                <a:graphic xmlns:a="http://schemas.openxmlformats.org/drawingml/2006/main">
                  <a:graphicData uri="http://schemas.microsoft.com/office/word/2010/wordprocessingShape">
                    <wps:wsp>
                      <wps:cNvCnPr/>
                      <wps:spPr>
                        <a:xfrm flipV="1">
                          <a:off x="0" y="0"/>
                          <a:ext cx="800100" cy="9906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直线 26" o:spid="_x0000_s1026" o:spt="20" style="position:absolute;left:0pt;flip:y;margin-left:262.1pt;margin-top:4.6pt;height:7.8pt;width:63pt;z-index:251663360;mso-width-relative:page;mso-height-relative:page;" filled="f" stroked="t" coordsize="21600,21600" o:gfxdata="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ziBk/XAAAACAEAAA8AAAAAAAAAAQAgAAAAIgAAAGRycy9kb3ducmV2LnhtbFBL&#10;AQIUABQAAAAIAIdO4kAdT3Zi9wEAAPcDAAAOAAAAAAAAAAEAIAAAACYBAABkcnMvZTJvRG9jLnht&#10;bFBLBQYAAAAABgAGAFkBAACPBQAAAAA=&#10;">
                <v:fill on="f" focussize="0,0"/>
                <v:stroke color="#000000" joinstyle="round"/>
                <v:imagedata o:title=""/>
                <o:lock v:ext="edit" aspectratio="f"/>
              </v:line>
            </w:pict>
          </mc:Fallback>
        </mc:AlternateContent>
      </w:r>
      <w:r>
        <w:rPr>
          <w:kern w:val="0"/>
          <w:sz w:val="24"/>
        </w:rPr>
        <w:t>（2）双方约定的其他担保事项：__________________________________</w:t>
      </w:r>
    </w:p>
    <w:p>
      <w:pPr>
        <w:widowControl/>
        <w:spacing w:line="360" w:lineRule="auto"/>
        <w:ind w:firstLine="480" w:firstLineChars="200"/>
        <w:rPr>
          <w:kern w:val="0"/>
          <w:sz w:val="24"/>
        </w:rPr>
      </w:pPr>
      <w:r>
        <w:rPr>
          <w:kern w:val="0"/>
          <w:sz w:val="24"/>
        </w:rPr>
        <w:t>50、合同份数</w:t>
      </w:r>
    </w:p>
    <w:p>
      <w:pPr>
        <w:widowControl/>
        <w:spacing w:line="360" w:lineRule="auto"/>
        <w:ind w:firstLine="480" w:firstLineChars="200"/>
        <w:rPr>
          <w:kern w:val="0"/>
          <w:sz w:val="24"/>
        </w:rPr>
      </w:pPr>
      <w:r>
        <w:rPr>
          <w:kern w:val="0"/>
          <w:sz w:val="24"/>
        </w:rPr>
        <w:t>50.2双方约定合同副本份数：_</w:t>
      </w:r>
      <w:r>
        <w:rPr>
          <w:sz w:val="24"/>
          <w:u w:val="single"/>
        </w:rPr>
        <w:t>正本</w:t>
      </w:r>
      <w:r>
        <w:rPr>
          <w:rFonts w:hint="eastAsia"/>
          <w:sz w:val="24"/>
          <w:u w:val="single"/>
        </w:rPr>
        <w:t>贰</w:t>
      </w:r>
      <w:r>
        <w:rPr>
          <w:sz w:val="24"/>
          <w:u w:val="single"/>
        </w:rPr>
        <w:t>份，副本捌份；发、承包双方各持正本壹份、副本肆份。</w:t>
      </w:r>
      <w:r>
        <w:rPr>
          <w:kern w:val="0"/>
          <w:sz w:val="24"/>
        </w:rPr>
        <w:t>_</w:t>
      </w:r>
    </w:p>
    <w:p>
      <w:pPr>
        <w:widowControl/>
        <w:spacing w:line="360" w:lineRule="auto"/>
        <w:ind w:firstLine="480" w:firstLineChars="200"/>
        <w:rPr>
          <w:kern w:val="0"/>
          <w:sz w:val="24"/>
        </w:rPr>
      </w:pPr>
      <w:r>
        <w:rPr>
          <w:kern w:val="0"/>
          <w:sz w:val="24"/>
        </w:rPr>
        <w:t>51、补充条款（注：本条款作为合同的一部分，不得更改，否则视为违约。）</w:t>
      </w:r>
    </w:p>
    <w:p>
      <w:pPr>
        <w:spacing w:line="420" w:lineRule="exact"/>
        <w:ind w:firstLine="480" w:firstLineChars="200"/>
        <w:rPr>
          <w:sz w:val="24"/>
          <w:szCs w:val="21"/>
          <w:u w:val="single"/>
        </w:rPr>
      </w:pPr>
      <w:r>
        <w:rPr>
          <w:sz w:val="24"/>
          <w:szCs w:val="21"/>
          <w:u w:val="single"/>
        </w:rPr>
        <w:t>51.1本工程竣工后，应免费将施工现场清除干净；无建筑材料、无建筑设备、无临时垃圾、无坑池渠沟、无掩埋的硬化道路和垃圾，场地整洁。否则发包人不予支付工程款。并按每延期一天罚款2000元进行处罚。</w:t>
      </w:r>
    </w:p>
    <w:p>
      <w:pPr>
        <w:spacing w:line="420" w:lineRule="exact"/>
        <w:ind w:firstLine="480" w:firstLineChars="200"/>
        <w:rPr>
          <w:sz w:val="24"/>
          <w:szCs w:val="21"/>
          <w:u w:val="single"/>
        </w:rPr>
      </w:pPr>
      <w:r>
        <w:rPr>
          <w:sz w:val="24"/>
          <w:szCs w:val="21"/>
          <w:u w:val="single"/>
        </w:rPr>
        <w:t>51.2 必须按照</w:t>
      </w:r>
      <w:r>
        <w:rPr>
          <w:kern w:val="0"/>
          <w:sz w:val="24"/>
          <w:szCs w:val="21"/>
          <w:u w:val="single"/>
        </w:rPr>
        <w:t>文明工地标准进行安全文明施工管理。</w:t>
      </w:r>
      <w:r>
        <w:rPr>
          <w:sz w:val="24"/>
          <w:szCs w:val="21"/>
          <w:u w:val="single"/>
        </w:rPr>
        <w:t xml:space="preserve">设立专用垃圾场，不得在施工区内任意堆放或乱倒垃圾，定期将建筑垃圾清理外运。施工人员必须挂牌上岗（标明姓名、年龄、职务并贴照片）。 </w:t>
      </w:r>
    </w:p>
    <w:p>
      <w:pPr>
        <w:spacing w:line="420" w:lineRule="exact"/>
        <w:ind w:firstLine="480" w:firstLineChars="200"/>
        <w:rPr>
          <w:sz w:val="24"/>
          <w:szCs w:val="21"/>
          <w:u w:val="single"/>
        </w:rPr>
      </w:pPr>
      <w:r>
        <w:rPr>
          <w:sz w:val="24"/>
          <w:szCs w:val="21"/>
          <w:u w:val="single"/>
        </w:rPr>
        <w:t>51.3施工过程中，资料和工程进度必须同步。每月发包人管理人员对施工进度和资料进行检查，出现问题限期整改，否则每次罚款1000元人民币。在工程竣工验收前，承包人要按规定将竣工资料交监理验收，由监理出据相应证明后，发包人方可组织验收。</w:t>
      </w:r>
    </w:p>
    <w:p>
      <w:pPr>
        <w:spacing w:line="420" w:lineRule="exact"/>
        <w:ind w:firstLine="480" w:firstLineChars="200"/>
        <w:rPr>
          <w:sz w:val="24"/>
          <w:szCs w:val="21"/>
          <w:u w:val="single"/>
        </w:rPr>
      </w:pPr>
      <w:r>
        <w:rPr>
          <w:sz w:val="24"/>
          <w:szCs w:val="21"/>
          <w:u w:val="single"/>
        </w:rPr>
        <w:t>51.4安全管理人员必须持证上岗，并负责检查现场和施工人员安全情况，如监理和发包人管理人员发现有不安全因素存在，经指出仍未纠正的每次罚款500元人民币；出现安全事故，施工单位自负。</w:t>
      </w:r>
    </w:p>
    <w:p>
      <w:pPr>
        <w:spacing w:line="420" w:lineRule="exact"/>
        <w:ind w:firstLine="480" w:firstLineChars="200"/>
        <w:rPr>
          <w:sz w:val="24"/>
          <w:szCs w:val="21"/>
          <w:u w:val="single"/>
        </w:rPr>
      </w:pPr>
      <w:r>
        <w:rPr>
          <w:sz w:val="24"/>
          <w:szCs w:val="21"/>
          <w:u w:val="single"/>
        </w:rPr>
        <w:t xml:space="preserve">51.5现场用电必须按照发包人要求，三相五线制，一机一闸必须带漏电保护，不许用电炉。如施工现场出现用电漏电或短路跳闸，造成停电、影响发包人用电，每次罚款2000元人民币。 </w:t>
      </w:r>
    </w:p>
    <w:p>
      <w:pPr>
        <w:spacing w:line="420" w:lineRule="exact"/>
        <w:ind w:firstLine="456" w:firstLineChars="200"/>
        <w:rPr>
          <w:spacing w:val="-6"/>
          <w:sz w:val="24"/>
          <w:szCs w:val="21"/>
          <w:u w:val="single"/>
        </w:rPr>
      </w:pPr>
      <w:r>
        <w:rPr>
          <w:spacing w:val="-6"/>
          <w:sz w:val="24"/>
          <w:szCs w:val="21"/>
          <w:u w:val="single"/>
        </w:rPr>
        <w:t>51.6承包人必须严格执行规章制度和工程施工管理办法。承包人必须执行发包人现场管理人员和监理的指令，服从管理，否则发包人有权更换相关人员。</w:t>
      </w:r>
    </w:p>
    <w:p>
      <w:pPr>
        <w:spacing w:line="420" w:lineRule="exact"/>
        <w:ind w:firstLine="456" w:firstLineChars="200"/>
        <w:rPr>
          <w:spacing w:val="-6"/>
          <w:sz w:val="24"/>
          <w:szCs w:val="21"/>
          <w:u w:val="single"/>
        </w:rPr>
      </w:pPr>
      <w:r>
        <w:rPr>
          <w:spacing w:val="-6"/>
          <w:sz w:val="24"/>
          <w:szCs w:val="21"/>
          <w:u w:val="single"/>
        </w:rPr>
        <w:t>51.7竣工验收时，承包人须向发包人提供《工程质量保修书》、使用说明书。</w:t>
      </w:r>
    </w:p>
    <w:p>
      <w:pPr>
        <w:spacing w:line="420" w:lineRule="exact"/>
        <w:ind w:firstLine="456" w:firstLineChars="200"/>
        <w:rPr>
          <w:spacing w:val="-6"/>
          <w:sz w:val="24"/>
          <w:szCs w:val="21"/>
          <w:u w:val="single"/>
        </w:rPr>
      </w:pPr>
      <w:r>
        <w:rPr>
          <w:spacing w:val="-6"/>
          <w:sz w:val="24"/>
          <w:szCs w:val="21"/>
          <w:u w:val="single"/>
        </w:rPr>
        <w:t>51.8对图纸中存在的问题及需要联系的事宜，由发包方联系解决，承包人、监理不得同设计院联系或取得资料。</w:t>
      </w:r>
    </w:p>
    <w:p>
      <w:pPr>
        <w:spacing w:line="420" w:lineRule="exact"/>
        <w:ind w:firstLine="480" w:firstLineChars="200"/>
        <w:rPr>
          <w:sz w:val="24"/>
          <w:szCs w:val="21"/>
          <w:u w:val="single"/>
        </w:rPr>
      </w:pPr>
      <w:r>
        <w:rPr>
          <w:sz w:val="24"/>
          <w:szCs w:val="21"/>
          <w:u w:val="single"/>
        </w:rPr>
        <w:t>51.9承包人须与聘用的农民工签订劳务合同，并到相应单位办理手续。按时发放农民工工资，当承包人申报当期进度款计划时应一并报已发农民工工资表给发包人，发包人有权监督承包人在支付的当期进度款中发放农民工工资或在支付当月工程款中代扣。</w:t>
      </w:r>
    </w:p>
    <w:p>
      <w:pPr>
        <w:spacing w:line="420" w:lineRule="exact"/>
        <w:ind w:firstLine="480" w:firstLineChars="200"/>
        <w:rPr>
          <w:sz w:val="24"/>
          <w:szCs w:val="21"/>
          <w:u w:val="single"/>
        </w:rPr>
      </w:pPr>
      <w:r>
        <w:rPr>
          <w:sz w:val="24"/>
          <w:szCs w:val="21"/>
          <w:u w:val="single"/>
        </w:rPr>
        <w:t>51.10本工程拆除费用按照建筑面积报价，学校</w:t>
      </w:r>
      <w:r>
        <w:rPr>
          <w:rFonts w:hint="eastAsia"/>
          <w:sz w:val="24"/>
          <w:szCs w:val="21"/>
          <w:u w:val="single"/>
        </w:rPr>
        <w:t>已在开标前</w:t>
      </w:r>
      <w:r>
        <w:rPr>
          <w:sz w:val="24"/>
          <w:szCs w:val="21"/>
          <w:u w:val="single"/>
        </w:rPr>
        <w:t>组织</w:t>
      </w:r>
      <w:r>
        <w:rPr>
          <w:rFonts w:hint="eastAsia"/>
          <w:sz w:val="24"/>
          <w:szCs w:val="21"/>
          <w:u w:val="single"/>
        </w:rPr>
        <w:t>承包方</w:t>
      </w:r>
      <w:r>
        <w:rPr>
          <w:sz w:val="24"/>
          <w:szCs w:val="21"/>
          <w:u w:val="single"/>
        </w:rPr>
        <w:t>勘察现场，</w:t>
      </w:r>
      <w:r>
        <w:rPr>
          <w:rFonts w:hint="eastAsia"/>
          <w:sz w:val="24"/>
          <w:szCs w:val="21"/>
          <w:u w:val="single"/>
        </w:rPr>
        <w:t>承包方</w:t>
      </w:r>
      <w:r>
        <w:rPr>
          <w:sz w:val="24"/>
          <w:szCs w:val="21"/>
          <w:u w:val="single"/>
        </w:rPr>
        <w:t>自行现场核对拆除工程量，自主报价，</w:t>
      </w:r>
      <w:r>
        <w:rPr>
          <w:rFonts w:hint="eastAsia"/>
          <w:sz w:val="24"/>
          <w:szCs w:val="21"/>
          <w:u w:val="single"/>
        </w:rPr>
        <w:t>随后，承包方</w:t>
      </w:r>
      <w:r>
        <w:rPr>
          <w:sz w:val="24"/>
          <w:szCs w:val="21"/>
          <w:u w:val="single"/>
        </w:rPr>
        <w:t>不得以拆除工程量变化和垃圾外运等问题提出经济补偿和工期拖延</w:t>
      </w:r>
      <w:r>
        <w:rPr>
          <w:rFonts w:hint="eastAsia"/>
          <w:sz w:val="24"/>
          <w:szCs w:val="21"/>
          <w:u w:val="single"/>
        </w:rPr>
        <w:t>要求</w:t>
      </w:r>
      <w:r>
        <w:rPr>
          <w:sz w:val="24"/>
          <w:szCs w:val="21"/>
          <w:u w:val="single"/>
        </w:rPr>
        <w:t>。</w:t>
      </w:r>
    </w:p>
    <w:p>
      <w:pPr>
        <w:spacing w:line="420" w:lineRule="exact"/>
        <w:ind w:firstLine="480" w:firstLineChars="200"/>
        <w:rPr>
          <w:sz w:val="24"/>
          <w:szCs w:val="21"/>
          <w:u w:val="single"/>
        </w:rPr>
        <w:sectPr>
          <w:pgSz w:w="11906" w:h="16838"/>
          <w:pgMar w:top="1440" w:right="1457" w:bottom="1440" w:left="1463" w:header="851" w:footer="992" w:gutter="0"/>
          <w:cols w:space="0" w:num="1"/>
          <w:titlePg/>
          <w:docGrid w:type="lines" w:linePitch="312" w:charSpace="0"/>
        </w:sectPr>
      </w:pPr>
    </w:p>
    <w:p>
      <w:pPr>
        <w:spacing w:line="520" w:lineRule="exact"/>
        <w:jc w:val="center"/>
        <w:rPr>
          <w:rFonts w:ascii="宋体" w:hAnsi="宋体" w:cs="宋体"/>
          <w:sz w:val="36"/>
          <w:szCs w:val="36"/>
        </w:rPr>
      </w:pPr>
      <w:r>
        <w:rPr>
          <w:rFonts w:hint="eastAsia" w:ascii="宋体" w:hAnsi="宋体" w:cs="宋体"/>
          <w:bCs/>
          <w:sz w:val="36"/>
          <w:szCs w:val="36"/>
        </w:rPr>
        <w:t>安全生产责任书</w:t>
      </w:r>
    </w:p>
    <w:p>
      <w:pPr>
        <w:spacing w:line="520" w:lineRule="exact"/>
        <w:rPr>
          <w:sz w:val="28"/>
        </w:rPr>
      </w:pPr>
    </w:p>
    <w:p>
      <w:pPr>
        <w:spacing w:line="520" w:lineRule="exact"/>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甲方：</w:t>
      </w:r>
      <w:r>
        <w:rPr>
          <w:rFonts w:hint="eastAsia" w:asciiTheme="minorEastAsia" w:hAnsiTheme="minorEastAsia" w:eastAsiaTheme="minorEastAsia" w:cstheme="minorEastAsia"/>
          <w:b/>
          <w:sz w:val="24"/>
          <w:u w:val="single"/>
        </w:rPr>
        <w:t xml:space="preserve">                     </w:t>
      </w:r>
      <w:r>
        <w:rPr>
          <w:rFonts w:hint="eastAsia" w:asciiTheme="minorEastAsia" w:hAnsiTheme="minorEastAsia" w:eastAsiaTheme="minorEastAsia" w:cstheme="minorEastAsia"/>
          <w:b/>
          <w:sz w:val="24"/>
        </w:rPr>
        <w:t xml:space="preserve">         </w:t>
      </w:r>
    </w:p>
    <w:p>
      <w:pPr>
        <w:spacing w:line="520" w:lineRule="exact"/>
        <w:rPr>
          <w:rFonts w:asciiTheme="minorEastAsia" w:hAnsiTheme="minorEastAsia" w:eastAsiaTheme="minorEastAsia" w:cstheme="minorEastAsia"/>
          <w:b/>
          <w:sz w:val="24"/>
          <w:u w:val="single"/>
        </w:rPr>
      </w:pPr>
      <w:r>
        <w:rPr>
          <w:rFonts w:hint="eastAsia" w:asciiTheme="minorEastAsia" w:hAnsiTheme="minorEastAsia" w:eastAsiaTheme="minorEastAsia" w:cstheme="minorEastAsia"/>
          <w:b/>
          <w:sz w:val="24"/>
        </w:rPr>
        <w:t>乙方：</w:t>
      </w:r>
      <w:r>
        <w:rPr>
          <w:rFonts w:hint="eastAsia" w:asciiTheme="minorEastAsia" w:hAnsiTheme="minorEastAsia" w:eastAsiaTheme="minorEastAsia" w:cstheme="minorEastAsia"/>
          <w:b/>
          <w:sz w:val="24"/>
          <w:u w:val="single"/>
        </w:rPr>
        <w:t xml:space="preserve">                     </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为了认真贯彻落实《中华人民共和国安全生产法》、《国务院302号令》、《陕西省安全生产条例》和省厅关于安全生产的各项规定，确保</w:t>
      </w:r>
      <w:r>
        <w:rPr>
          <w:rFonts w:hint="eastAsia" w:asciiTheme="minorEastAsia" w:hAnsiTheme="minorEastAsia" w:eastAsiaTheme="minorEastAsia" w:cstheme="minorEastAsia"/>
          <w:sz w:val="24"/>
          <w:u w:val="single"/>
        </w:rPr>
        <w:t xml:space="preserve"> 西安市高陵区银王中心小学户外提升改造项目 </w:t>
      </w:r>
      <w:r>
        <w:rPr>
          <w:rFonts w:hint="eastAsia" w:asciiTheme="minorEastAsia" w:hAnsiTheme="minorEastAsia" w:eastAsiaTheme="minorEastAsia" w:cstheme="minorEastAsia"/>
          <w:sz w:val="24"/>
        </w:rPr>
        <w:t>安全生产的顺利进行，特制定本责任书。</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一、落实由项目经理主要负责的逐级安全生产责任制，要求做到逐级签订责任书，并进行安全生产目标责任制的落实。</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二、建立健全安全生产组织机构、建立安全生产规章制度，建立安全生产操作规程，并确保安全生产的资金投入。</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三、经常开展安全生产大检查，对存在的问题和薄弱环节，采取有力措施及时督促整改，逐项落实。</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四、搞好工地安全生产的宣传和教育，张贴安全生产宣传栏，设立警示标志。要对进场工人进行安全教育，每周召开一次安全专题会议，对每天发生的安全质量及时整改。</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五、制定安全事故应急救援预案，建立重、特大事故报告制度，上报时间不得超过事故发生后30分钟。</w:t>
      </w:r>
    </w:p>
    <w:p>
      <w:pPr>
        <w:spacing w:line="520" w:lineRule="exact"/>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六、租用的机械设备和施工机具及配件，应当具有厂家资质、生产(制造)许可证、产品合格证等材料。特种设备须经国家有关部门检测，并出具准运证明。</w:t>
      </w:r>
    </w:p>
    <w:p>
      <w:pPr>
        <w:spacing w:line="520" w:lineRule="exact"/>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七、现场所有人员必须佩带安全帽，高空作业必须佩带安全带。</w:t>
      </w:r>
    </w:p>
    <w:p>
      <w:pPr>
        <w:spacing w:line="520" w:lineRule="exact"/>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八、施工现场的安全防护用具、机械设备、施工机具及配件应当设专人管理，定期进行检查、维修和保养。</w:t>
      </w:r>
    </w:p>
    <w:p>
      <w:pPr>
        <w:spacing w:line="520" w:lineRule="exact"/>
        <w:ind w:firstLine="480" w:firstLineChars="20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九、施工单位接用水、电时必须安装总表。现场用电三相五线制，一机一闸，带漏电保护。不准私拉乱扯电缆线，严格按规范用电要求使用。</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十、特殊工种必须持证上岗，专职人员操作，无证人员不得上岗。</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十一、定期对从业人员进行健康检查，老弱病残和未成年人不得上岗。</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十二、严格门禁制度，非施工人员严禁进入施工现场。夜间和假期派专人值班，做好防火、防盗和防事故工作。</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十三、建立食品安全制度，确保饮食安全。</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十四、施工单位必须设立专职安全员，全面负责施工期间的安全工作，并接受监理和甲方安全监督员的管理。</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十五、所有工作人员必须遵守施工规范或规程，不得野蛮施工，不顾安全施工，造成安全事故由施工单位负责。</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十六、施工单位负责职工的安全教育，负责施工人员和机械的安全，并全部承担由此引起的经济和法律责任。</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十七、施工单位加强对工人的监管，严禁与学校师生发生口角与肢体冲突，否则重罚。</w:t>
      </w:r>
    </w:p>
    <w:p>
      <w:pPr>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十八、施工单位负责外部环境的协调工作，加强职工法律意识，工地发生的任何冲突和纠纷，与学院无关，施工单位承担由此引起的全部经济和法律责任。</w:t>
      </w:r>
    </w:p>
    <w:p>
      <w:pPr>
        <w:spacing w:line="520" w:lineRule="exact"/>
        <w:ind w:firstLine="480" w:firstLineChars="200"/>
        <w:rPr>
          <w:rFonts w:asciiTheme="minorEastAsia" w:hAnsiTheme="minorEastAsia" w:eastAsiaTheme="minorEastAsia" w:cstheme="minorEastAsia"/>
          <w:sz w:val="24"/>
        </w:rPr>
      </w:pPr>
    </w:p>
    <w:p>
      <w:pPr>
        <w:spacing w:line="520" w:lineRule="exact"/>
        <w:ind w:left="5458" w:leftChars="142" w:hanging="5160" w:hangingChars="215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甲方：                                 乙方： </w:t>
      </w:r>
    </w:p>
    <w:p>
      <w:pPr>
        <w:spacing w:line="52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（盖章）                    </w:t>
      </w: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（盖章）</w:t>
      </w:r>
    </w:p>
    <w:p>
      <w:pPr>
        <w:spacing w:line="520" w:lineRule="exact"/>
        <w:ind w:firstLine="480" w:firstLineChars="200"/>
        <w:rPr>
          <w:rFonts w:asciiTheme="minorEastAsia" w:hAnsiTheme="minorEastAsia" w:eastAsiaTheme="minorEastAsia" w:cstheme="minorEastAsia"/>
          <w:sz w:val="24"/>
        </w:rPr>
      </w:pPr>
    </w:p>
    <w:p>
      <w:pPr>
        <w:tabs>
          <w:tab w:val="left" w:pos="5145"/>
        </w:tabs>
        <w:spacing w:line="520" w:lineRule="exact"/>
        <w:ind w:firstLine="240" w:firstLineChars="1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负责人：                           </w:t>
      </w:r>
      <w:r>
        <w:rPr>
          <w:rFonts w:hint="eastAsia" w:asciiTheme="minorEastAsia" w:hAnsiTheme="minorEastAsia" w:eastAsiaTheme="minorEastAsia" w:cstheme="minorEastAsia"/>
          <w:sz w:val="24"/>
          <w:lang w:val="en-US" w:eastAsia="zh-CN"/>
        </w:rPr>
        <w:t xml:space="preserve">   </w:t>
      </w:r>
      <w:r>
        <w:rPr>
          <w:rFonts w:hint="eastAsia" w:asciiTheme="minorEastAsia" w:hAnsiTheme="minorEastAsia" w:eastAsiaTheme="minorEastAsia" w:cstheme="minorEastAsia"/>
          <w:sz w:val="24"/>
        </w:rPr>
        <w:t xml:space="preserve"> 负责人：</w:t>
      </w:r>
    </w:p>
    <w:p>
      <w:pPr>
        <w:tabs>
          <w:tab w:val="left" w:pos="5145"/>
        </w:tabs>
        <w:spacing w:line="520" w:lineRule="exact"/>
        <w:ind w:firstLine="480" w:firstLineChars="20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年   月   日                         年   月   日</w:t>
      </w:r>
    </w:p>
    <w:bookmarkEnd w:id="30"/>
    <w:p>
      <w:pPr>
        <w:spacing w:line="420" w:lineRule="exact"/>
        <w:ind w:firstLine="480" w:firstLineChars="200"/>
        <w:rPr>
          <w:rFonts w:asciiTheme="minorEastAsia" w:hAnsiTheme="minorEastAsia" w:eastAsiaTheme="minorEastAsia" w:cstheme="minorEastAsia"/>
          <w:sz w:val="24"/>
          <w:u w:val="single"/>
        </w:rPr>
      </w:pPr>
    </w:p>
    <w:p>
      <w:pPr>
        <w:pStyle w:val="9"/>
        <w:ind w:firstLine="602"/>
        <w:rPr>
          <w:b/>
          <w:bCs/>
          <w:sz w:val="30"/>
          <w:szCs w:val="30"/>
        </w:rPr>
      </w:pPr>
    </w:p>
    <w:p>
      <w:pPr>
        <w:spacing w:line="440" w:lineRule="exact"/>
        <w:rPr>
          <w:b/>
          <w:bCs/>
          <w:sz w:val="30"/>
          <w:szCs w:val="30"/>
        </w:rPr>
      </w:pPr>
    </w:p>
    <w:p>
      <w:pPr>
        <w:pStyle w:val="9"/>
        <w:ind w:firstLine="602"/>
        <w:rPr>
          <w:b/>
          <w:bCs/>
          <w:sz w:val="30"/>
          <w:szCs w:val="30"/>
        </w:rPr>
      </w:pPr>
    </w:p>
    <w:p>
      <w:pPr>
        <w:pStyle w:val="9"/>
        <w:ind w:firstLine="602"/>
        <w:rPr>
          <w:b/>
          <w:bCs/>
          <w:sz w:val="30"/>
          <w:szCs w:val="30"/>
        </w:rPr>
      </w:pPr>
    </w:p>
    <w:p>
      <w:pPr>
        <w:pStyle w:val="9"/>
        <w:ind w:firstLine="602"/>
        <w:rPr>
          <w:b/>
          <w:bCs/>
          <w:sz w:val="30"/>
          <w:szCs w:val="30"/>
        </w:rPr>
      </w:pPr>
    </w:p>
    <w:p>
      <w:pPr>
        <w:spacing w:line="520" w:lineRule="exact"/>
        <w:jc w:val="center"/>
        <w:rPr>
          <w:rFonts w:asciiTheme="minorEastAsia" w:hAnsiTheme="minorEastAsia" w:eastAsiaTheme="minorEastAsia" w:cstheme="minorEastAsia"/>
          <w:sz w:val="36"/>
          <w:szCs w:val="36"/>
        </w:rPr>
      </w:pPr>
      <w:r>
        <w:rPr>
          <w:rFonts w:hint="eastAsia" w:asciiTheme="minorEastAsia" w:hAnsiTheme="minorEastAsia" w:eastAsiaTheme="minorEastAsia" w:cstheme="minorEastAsia"/>
          <w:sz w:val="36"/>
          <w:szCs w:val="36"/>
        </w:rPr>
        <w:t>建设工程廉政合同</w:t>
      </w:r>
    </w:p>
    <w:p>
      <w:pPr>
        <w:spacing w:line="520" w:lineRule="exact"/>
        <w:rPr>
          <w:sz w:val="30"/>
          <w:szCs w:val="30"/>
        </w:rPr>
      </w:pPr>
    </w:p>
    <w:p>
      <w:pPr>
        <w:spacing w:line="520" w:lineRule="exact"/>
        <w:rPr>
          <w:sz w:val="24"/>
          <w:u w:val="single"/>
        </w:rPr>
      </w:pPr>
      <w:r>
        <w:rPr>
          <w:rFonts w:hint="eastAsia"/>
          <w:sz w:val="24"/>
        </w:rPr>
        <w:t>建设单位（以下简称甲方）：西安市高陵区药惠银王中心小学</w:t>
      </w:r>
    </w:p>
    <w:p>
      <w:pPr>
        <w:spacing w:line="520" w:lineRule="exact"/>
        <w:rPr>
          <w:sz w:val="24"/>
          <w:u w:val="single"/>
        </w:rPr>
      </w:pPr>
      <w:r>
        <w:rPr>
          <w:rFonts w:hint="eastAsia"/>
          <w:sz w:val="24"/>
        </w:rPr>
        <w:t>施工单位（以下简称乙方）：</w:t>
      </w:r>
      <w:r>
        <w:rPr>
          <w:rFonts w:hint="eastAsia"/>
          <w:sz w:val="24"/>
          <w:u w:val="single"/>
        </w:rPr>
        <w:t xml:space="preserve">                        </w:t>
      </w:r>
    </w:p>
    <w:p>
      <w:pPr>
        <w:spacing w:line="520" w:lineRule="exact"/>
        <w:ind w:firstLine="484" w:firstLineChars="202"/>
        <w:rPr>
          <w:sz w:val="24"/>
          <w:u w:val="single"/>
        </w:rPr>
      </w:pPr>
      <w:r>
        <w:rPr>
          <w:rFonts w:hint="eastAsia"/>
          <w:sz w:val="24"/>
        </w:rPr>
        <w:t>根据国家建设工程廉政建设相关规定、交通部《关于在交通基础设施建设中加强廉政建设的若干意见》以及有关工程建设、廉政建设的规定，为做好工程建设中的党风廉政建设，保证工程建设高效优质、保证建设资金的安全和有效使用以及投资效益，特订立如下合同。</w:t>
      </w:r>
    </w:p>
    <w:p>
      <w:pPr>
        <w:spacing w:line="520" w:lineRule="exact"/>
        <w:ind w:firstLine="477" w:firstLineChars="198"/>
        <w:rPr>
          <w:b/>
          <w:sz w:val="24"/>
        </w:rPr>
      </w:pPr>
      <w:r>
        <w:rPr>
          <w:rFonts w:hint="eastAsia"/>
          <w:b/>
          <w:sz w:val="24"/>
        </w:rPr>
        <w:t>第一条  甲乙双方的权利和义务</w:t>
      </w:r>
    </w:p>
    <w:p>
      <w:pPr>
        <w:spacing w:line="520" w:lineRule="exact"/>
        <w:ind w:firstLine="600" w:firstLineChars="250"/>
        <w:rPr>
          <w:sz w:val="24"/>
        </w:rPr>
      </w:pPr>
      <w:r>
        <w:rPr>
          <w:rFonts w:hint="eastAsia"/>
          <w:sz w:val="24"/>
        </w:rPr>
        <w:t>（一）严格遵守党和国家有关法律法规及建设部的有关规定。</w:t>
      </w:r>
    </w:p>
    <w:p>
      <w:pPr>
        <w:spacing w:line="520" w:lineRule="exact"/>
        <w:ind w:firstLine="600" w:firstLineChars="250"/>
        <w:rPr>
          <w:sz w:val="24"/>
        </w:rPr>
      </w:pPr>
      <w:r>
        <w:rPr>
          <w:rFonts w:hint="eastAsia"/>
          <w:sz w:val="24"/>
        </w:rPr>
        <w:t>（二）严格执行西安市高陵区银王中心小学户外提升改造项目的合同文件，自觉按合同办事。</w:t>
      </w:r>
    </w:p>
    <w:p>
      <w:pPr>
        <w:spacing w:line="520" w:lineRule="exact"/>
        <w:ind w:firstLine="600" w:firstLineChars="250"/>
        <w:rPr>
          <w:sz w:val="24"/>
        </w:rPr>
      </w:pPr>
      <w:r>
        <w:rPr>
          <w:rFonts w:hint="eastAsia"/>
          <w:sz w:val="24"/>
        </w:rPr>
        <w:t>（三）双方的业务活动坚持公开、公平、公正、诚信和透明的原则（除法律认定的商业秘密和合同文件另有规定之外），不得损害国家和集体利益，违反工程建设管理规章制度。</w:t>
      </w:r>
    </w:p>
    <w:p>
      <w:pPr>
        <w:spacing w:line="520" w:lineRule="exact"/>
        <w:ind w:firstLine="600" w:firstLineChars="250"/>
        <w:rPr>
          <w:sz w:val="24"/>
        </w:rPr>
      </w:pPr>
      <w:r>
        <w:rPr>
          <w:rFonts w:hint="eastAsia"/>
          <w:sz w:val="24"/>
        </w:rPr>
        <w:t>（四）建立健全廉政制度，开展廉政教育，设立廉政告示牌，公布举报电话，监督并认真查处违法违纪行为。</w:t>
      </w:r>
    </w:p>
    <w:p>
      <w:pPr>
        <w:spacing w:line="520" w:lineRule="exact"/>
        <w:ind w:firstLine="600" w:firstLineChars="250"/>
        <w:rPr>
          <w:sz w:val="24"/>
        </w:rPr>
      </w:pPr>
      <w:r>
        <w:rPr>
          <w:rFonts w:hint="eastAsia"/>
          <w:sz w:val="24"/>
        </w:rPr>
        <w:t>（五）发现对方在业务活动中有违反廉政规定的行为，有及时提醒对方纠正的权利和义务。</w:t>
      </w:r>
    </w:p>
    <w:p>
      <w:pPr>
        <w:spacing w:line="520" w:lineRule="exact"/>
        <w:ind w:firstLine="600" w:firstLineChars="250"/>
        <w:rPr>
          <w:sz w:val="24"/>
        </w:rPr>
      </w:pPr>
      <w:r>
        <w:rPr>
          <w:rFonts w:hint="eastAsia"/>
          <w:sz w:val="24"/>
        </w:rPr>
        <w:t>（六）发现对方严重违反本合同义务条款的行为，有向其上级有关部门举报、建议给予处理并要求告知处理结果的权利。</w:t>
      </w:r>
    </w:p>
    <w:p>
      <w:pPr>
        <w:spacing w:line="520" w:lineRule="exact"/>
        <w:ind w:firstLine="595" w:firstLineChars="247"/>
        <w:rPr>
          <w:b/>
          <w:sz w:val="24"/>
        </w:rPr>
      </w:pPr>
      <w:r>
        <w:rPr>
          <w:rFonts w:hint="eastAsia"/>
          <w:b/>
          <w:sz w:val="24"/>
        </w:rPr>
        <w:t>第二条  甲方的义务</w:t>
      </w:r>
    </w:p>
    <w:p>
      <w:pPr>
        <w:spacing w:line="520" w:lineRule="exact"/>
        <w:ind w:firstLine="480" w:firstLineChars="200"/>
        <w:rPr>
          <w:sz w:val="24"/>
        </w:rPr>
      </w:pPr>
      <w:r>
        <w:rPr>
          <w:rFonts w:hint="eastAsia"/>
          <w:sz w:val="24"/>
        </w:rPr>
        <w:t>（一）甲方及其工作人员不得索要或接受乙方的礼金、有价证券和贵重物品，不得在乙方报销任何应甲方或个人支付的费用等。</w:t>
      </w:r>
    </w:p>
    <w:p>
      <w:pPr>
        <w:spacing w:line="520" w:lineRule="exact"/>
        <w:ind w:firstLine="480" w:firstLineChars="200"/>
        <w:rPr>
          <w:sz w:val="24"/>
        </w:rPr>
      </w:pPr>
      <w:r>
        <w:rPr>
          <w:rFonts w:hint="eastAsia"/>
          <w:sz w:val="24"/>
        </w:rPr>
        <w:t>（二）甲方工作人员不得参加乙方安排的超标准宴请和娱乐活动；不得接受乙方提供的通讯工具、交通工具和高档办公用品等。</w:t>
      </w:r>
    </w:p>
    <w:p>
      <w:pPr>
        <w:spacing w:line="520" w:lineRule="exact"/>
        <w:ind w:firstLine="480" w:firstLineChars="200"/>
        <w:rPr>
          <w:sz w:val="24"/>
        </w:rPr>
      </w:pPr>
      <w:r>
        <w:rPr>
          <w:rFonts w:hint="eastAsia"/>
          <w:sz w:val="24"/>
        </w:rPr>
        <w:t>（三）甲方及其工作人员不得要求或者接受乙方为其住房装修、婚丧嫁娶活动、配偶子女的工作安排以及出国出境、旅游等提供方便等。</w:t>
      </w:r>
    </w:p>
    <w:p>
      <w:pPr>
        <w:spacing w:line="520" w:lineRule="exact"/>
        <w:ind w:firstLine="480" w:firstLineChars="200"/>
        <w:rPr>
          <w:sz w:val="24"/>
        </w:rPr>
      </w:pPr>
      <w:r>
        <w:rPr>
          <w:rFonts w:hint="eastAsia"/>
          <w:sz w:val="24"/>
        </w:rPr>
        <w:t>（四）甲方工作人员的配偶、子女不得从事与甲方工程有关的材料设备供应、工程分包、劳务等经济活动等。</w:t>
      </w:r>
    </w:p>
    <w:p>
      <w:pPr>
        <w:spacing w:line="520" w:lineRule="exact"/>
        <w:ind w:firstLine="480" w:firstLineChars="200"/>
        <w:rPr>
          <w:sz w:val="24"/>
        </w:rPr>
      </w:pPr>
      <w:r>
        <w:rPr>
          <w:rFonts w:hint="eastAsia"/>
          <w:sz w:val="24"/>
        </w:rPr>
        <w:t>（五）甲方及其工作人员不得以任何理由向乙方推荐分包单位，不得要求乙方购买合同规定外材料和设备。</w:t>
      </w:r>
    </w:p>
    <w:p>
      <w:pPr>
        <w:spacing w:line="520" w:lineRule="exact"/>
        <w:ind w:firstLine="475" w:firstLineChars="197"/>
        <w:rPr>
          <w:b/>
          <w:sz w:val="24"/>
        </w:rPr>
      </w:pPr>
      <w:r>
        <w:rPr>
          <w:rFonts w:hint="eastAsia"/>
          <w:b/>
          <w:sz w:val="24"/>
        </w:rPr>
        <w:t>第三条  乙方义务</w:t>
      </w:r>
    </w:p>
    <w:p>
      <w:pPr>
        <w:spacing w:line="520" w:lineRule="exact"/>
        <w:ind w:firstLine="480" w:firstLineChars="200"/>
        <w:rPr>
          <w:sz w:val="24"/>
        </w:rPr>
      </w:pPr>
      <w:r>
        <w:rPr>
          <w:rFonts w:hint="eastAsia"/>
          <w:sz w:val="24"/>
        </w:rPr>
        <w:t>（一）乙方不得以任何理由向甲方及其工作人员行贿或馈赠礼金、有价证券、贵重礼品。</w:t>
      </w:r>
    </w:p>
    <w:p>
      <w:pPr>
        <w:spacing w:line="520" w:lineRule="exact"/>
        <w:ind w:firstLine="480" w:firstLineChars="200"/>
        <w:rPr>
          <w:sz w:val="24"/>
        </w:rPr>
      </w:pPr>
      <w:r>
        <w:rPr>
          <w:rFonts w:hint="eastAsia"/>
          <w:sz w:val="24"/>
        </w:rPr>
        <w:t>（二）乙方不得以任何名义为甲方及其工作人员报销应由甲方单位或个人支付的任何费用。</w:t>
      </w:r>
    </w:p>
    <w:p>
      <w:pPr>
        <w:spacing w:line="520" w:lineRule="exact"/>
        <w:ind w:firstLine="480" w:firstLineChars="200"/>
        <w:rPr>
          <w:sz w:val="24"/>
        </w:rPr>
      </w:pPr>
      <w:r>
        <w:rPr>
          <w:rFonts w:hint="eastAsia"/>
          <w:sz w:val="24"/>
        </w:rPr>
        <w:t>（三）乙方不得以任何理由安排甲方工作人员参加超标准宴请及娱乐活动。</w:t>
      </w:r>
    </w:p>
    <w:p>
      <w:pPr>
        <w:spacing w:line="520" w:lineRule="exact"/>
        <w:ind w:firstLine="480" w:firstLineChars="200"/>
        <w:rPr>
          <w:sz w:val="24"/>
        </w:rPr>
      </w:pPr>
      <w:r>
        <w:rPr>
          <w:rFonts w:hint="eastAsia"/>
          <w:sz w:val="24"/>
        </w:rPr>
        <w:t>（四）乙方不得为甲方单位和个人购置或提供通讯工具、交通工具和高档办公用品等。</w:t>
      </w:r>
    </w:p>
    <w:p>
      <w:pPr>
        <w:spacing w:line="520" w:lineRule="exact"/>
        <w:ind w:firstLine="477" w:firstLineChars="198"/>
        <w:rPr>
          <w:b/>
          <w:sz w:val="24"/>
        </w:rPr>
      </w:pPr>
      <w:r>
        <w:rPr>
          <w:rFonts w:hint="eastAsia"/>
          <w:b/>
          <w:sz w:val="24"/>
        </w:rPr>
        <w:t>第四条  违约责任</w:t>
      </w:r>
    </w:p>
    <w:p>
      <w:pPr>
        <w:spacing w:line="520" w:lineRule="exact"/>
        <w:ind w:firstLine="480" w:firstLineChars="200"/>
        <w:rPr>
          <w:sz w:val="24"/>
        </w:rPr>
      </w:pPr>
      <w:r>
        <w:rPr>
          <w:rFonts w:hint="eastAsia"/>
          <w:sz w:val="24"/>
        </w:rPr>
        <w:t>（一）甲方及其工作人员违反本合同第一、二条，按管理权限，依据有关规定给予党纪、政纪或组织处理；涉嫌犯罪的，移交司法机关追究刑事责任；给乙方单位造成经济损失的，应予以赔偿。</w:t>
      </w:r>
    </w:p>
    <w:p>
      <w:pPr>
        <w:spacing w:line="520" w:lineRule="exact"/>
        <w:ind w:firstLine="480" w:firstLineChars="200"/>
        <w:rPr>
          <w:sz w:val="24"/>
        </w:rPr>
      </w:pPr>
      <w:r>
        <w:rPr>
          <w:rFonts w:hint="eastAsia"/>
          <w:sz w:val="24"/>
        </w:rPr>
        <w:t>（二）乙方及其工作人员违反本合同第一、三条，按管理权限，依据有关规定，给予党纪、政纪或组织处理；给甲方单位造成经济损失的，应予以赔偿；情节严重的，甲方建议建筑工程建设主管部门给予乙方一至三年内不得进入其主管的建筑工程建设市场的处罚。</w:t>
      </w:r>
    </w:p>
    <w:p>
      <w:pPr>
        <w:spacing w:line="520" w:lineRule="exact"/>
        <w:ind w:firstLine="482" w:firstLineChars="200"/>
        <w:rPr>
          <w:b/>
          <w:sz w:val="24"/>
        </w:rPr>
      </w:pPr>
      <w:r>
        <w:rPr>
          <w:rFonts w:hint="eastAsia"/>
          <w:b/>
          <w:sz w:val="24"/>
        </w:rPr>
        <w:t>第五条  双方约定：</w:t>
      </w:r>
    </w:p>
    <w:p>
      <w:pPr>
        <w:spacing w:line="520" w:lineRule="exact"/>
        <w:ind w:firstLine="480" w:firstLineChars="200"/>
        <w:rPr>
          <w:sz w:val="24"/>
        </w:rPr>
      </w:pPr>
      <w:r>
        <w:rPr>
          <w:rFonts w:hint="eastAsia"/>
          <w:sz w:val="24"/>
        </w:rPr>
        <w:t>本合同由双方或双方上级单位的纪检监察机关负责监督。由甲方或甲方上级单位的纪检监察机关的约请乙方或乙方上级单位纪检监察机关对本合同履行情况进行检查，提出在本合同规定范围内的裁定意见。</w:t>
      </w:r>
    </w:p>
    <w:p>
      <w:pPr>
        <w:spacing w:line="520" w:lineRule="exact"/>
        <w:ind w:firstLine="482" w:firstLineChars="200"/>
        <w:rPr>
          <w:sz w:val="24"/>
        </w:rPr>
      </w:pPr>
      <w:r>
        <w:rPr>
          <w:rFonts w:hint="eastAsia"/>
          <w:b/>
          <w:sz w:val="24"/>
        </w:rPr>
        <w:t xml:space="preserve">第六条 </w:t>
      </w:r>
      <w:r>
        <w:rPr>
          <w:rFonts w:hint="eastAsia"/>
          <w:sz w:val="24"/>
        </w:rPr>
        <w:t xml:space="preserve"> 本合同有效期为甲、乙双方签署之日起至该工程项目竣工验收后止。</w:t>
      </w:r>
    </w:p>
    <w:p>
      <w:pPr>
        <w:spacing w:line="520" w:lineRule="exact"/>
        <w:ind w:firstLine="482" w:firstLineChars="200"/>
        <w:rPr>
          <w:sz w:val="24"/>
          <w:u w:val="single"/>
        </w:rPr>
      </w:pPr>
      <w:r>
        <w:rPr>
          <w:rFonts w:hint="eastAsia"/>
          <w:b/>
          <w:sz w:val="24"/>
        </w:rPr>
        <w:t xml:space="preserve">第七条 </w:t>
      </w:r>
      <w:r>
        <w:rPr>
          <w:rFonts w:hint="eastAsia"/>
          <w:sz w:val="24"/>
        </w:rPr>
        <w:t xml:space="preserve"> 本合同作为</w:t>
      </w:r>
      <w:r>
        <w:rPr>
          <w:rFonts w:hint="eastAsia"/>
          <w:sz w:val="24"/>
          <w:u w:val="single"/>
        </w:rPr>
        <w:t>西安市高陵区银王中心小学户外提升改造项目</w:t>
      </w:r>
    </w:p>
    <w:p>
      <w:pPr>
        <w:spacing w:line="520" w:lineRule="exact"/>
        <w:ind w:firstLine="480" w:firstLineChars="200"/>
        <w:rPr>
          <w:sz w:val="24"/>
        </w:rPr>
      </w:pPr>
      <w:r>
        <w:rPr>
          <w:rFonts w:hint="eastAsia"/>
          <w:sz w:val="24"/>
        </w:rPr>
        <w:t>施工合同的附件，与工程施工合同具有同等的法律效力，经合同双方签署立即生效。</w:t>
      </w:r>
    </w:p>
    <w:p>
      <w:pPr>
        <w:spacing w:line="520" w:lineRule="exact"/>
        <w:ind w:firstLine="482" w:firstLineChars="200"/>
        <w:rPr>
          <w:b/>
          <w:sz w:val="24"/>
        </w:rPr>
      </w:pPr>
      <w:r>
        <w:rPr>
          <w:rFonts w:hint="eastAsia"/>
          <w:b/>
          <w:sz w:val="24"/>
        </w:rPr>
        <w:t xml:space="preserve">第八条   </w:t>
      </w:r>
      <w:r>
        <w:rPr>
          <w:rFonts w:hint="eastAsia"/>
          <w:sz w:val="24"/>
        </w:rPr>
        <w:t>本合同甲乙双方各执一份。</w:t>
      </w:r>
    </w:p>
    <w:p>
      <w:pPr>
        <w:spacing w:line="520" w:lineRule="exact"/>
        <w:rPr>
          <w:sz w:val="28"/>
          <w:szCs w:val="28"/>
        </w:rPr>
      </w:pPr>
    </w:p>
    <w:p>
      <w:pPr>
        <w:spacing w:line="520" w:lineRule="exact"/>
        <w:rPr>
          <w:sz w:val="28"/>
          <w:szCs w:val="28"/>
        </w:rPr>
      </w:pPr>
    </w:p>
    <w:p>
      <w:pPr>
        <w:spacing w:line="520" w:lineRule="exact"/>
        <w:rPr>
          <w:sz w:val="24"/>
        </w:rPr>
      </w:pPr>
      <w:r>
        <w:rPr>
          <w:rFonts w:hint="eastAsia"/>
          <w:sz w:val="24"/>
        </w:rPr>
        <w:t>建设单位：（盖章）                 施工单位：（盖章）</w:t>
      </w:r>
    </w:p>
    <w:p>
      <w:pPr>
        <w:spacing w:line="520" w:lineRule="exact"/>
        <w:rPr>
          <w:sz w:val="24"/>
        </w:rPr>
      </w:pPr>
    </w:p>
    <w:p>
      <w:pPr>
        <w:spacing w:line="520" w:lineRule="exact"/>
        <w:rPr>
          <w:sz w:val="24"/>
        </w:rPr>
      </w:pPr>
    </w:p>
    <w:p>
      <w:pPr>
        <w:tabs>
          <w:tab w:val="left" w:pos="4800"/>
        </w:tabs>
        <w:spacing w:line="520" w:lineRule="exact"/>
        <w:rPr>
          <w:sz w:val="24"/>
        </w:rPr>
      </w:pPr>
      <w:r>
        <w:rPr>
          <w:rFonts w:hint="eastAsia"/>
          <w:sz w:val="24"/>
        </w:rPr>
        <w:t>法定代表人：</w:t>
      </w:r>
      <w:r>
        <w:rPr>
          <w:sz w:val="24"/>
        </w:rPr>
        <w:tab/>
      </w:r>
      <w:r>
        <w:rPr>
          <w:rFonts w:hint="eastAsia"/>
          <w:sz w:val="24"/>
        </w:rPr>
        <w:t>法定代表人：</w:t>
      </w:r>
    </w:p>
    <w:p>
      <w:pPr>
        <w:tabs>
          <w:tab w:val="left" w:pos="4800"/>
        </w:tabs>
        <w:spacing w:line="520" w:lineRule="exact"/>
        <w:rPr>
          <w:sz w:val="24"/>
        </w:rPr>
      </w:pPr>
      <w:r>
        <w:rPr>
          <w:rFonts w:hint="eastAsia"/>
          <w:sz w:val="24"/>
        </w:rPr>
        <w:t>委托代理人：</w:t>
      </w:r>
      <w:r>
        <w:rPr>
          <w:sz w:val="24"/>
        </w:rPr>
        <w:tab/>
      </w:r>
      <w:r>
        <w:rPr>
          <w:rFonts w:hint="eastAsia"/>
          <w:sz w:val="24"/>
        </w:rPr>
        <w:t>委托代理人：</w:t>
      </w:r>
    </w:p>
    <w:p>
      <w:pPr>
        <w:tabs>
          <w:tab w:val="left" w:pos="4800"/>
        </w:tabs>
        <w:spacing w:line="520" w:lineRule="exact"/>
        <w:rPr>
          <w:sz w:val="24"/>
        </w:rPr>
      </w:pPr>
      <w:r>
        <w:rPr>
          <w:rFonts w:hint="eastAsia"/>
          <w:sz w:val="24"/>
        </w:rPr>
        <w:t>经手人：</w:t>
      </w:r>
      <w:r>
        <w:rPr>
          <w:sz w:val="24"/>
        </w:rPr>
        <w:tab/>
      </w:r>
      <w:r>
        <w:rPr>
          <w:rFonts w:hint="eastAsia"/>
          <w:sz w:val="24"/>
        </w:rPr>
        <w:t>经手人：</w:t>
      </w:r>
    </w:p>
    <w:p>
      <w:pPr>
        <w:tabs>
          <w:tab w:val="left" w:pos="4800"/>
        </w:tabs>
        <w:spacing w:line="520" w:lineRule="exact"/>
        <w:rPr>
          <w:sz w:val="24"/>
        </w:rPr>
      </w:pPr>
      <w:r>
        <w:rPr>
          <w:rFonts w:hint="eastAsia"/>
          <w:sz w:val="24"/>
        </w:rPr>
        <w:t>地址：　</w:t>
      </w:r>
      <w:r>
        <w:rPr>
          <w:sz w:val="24"/>
        </w:rPr>
        <w:tab/>
      </w:r>
      <w:r>
        <w:rPr>
          <w:rFonts w:hint="eastAsia"/>
          <w:sz w:val="24"/>
        </w:rPr>
        <w:t>地址：</w:t>
      </w:r>
    </w:p>
    <w:p>
      <w:pPr>
        <w:tabs>
          <w:tab w:val="left" w:pos="4800"/>
        </w:tabs>
        <w:spacing w:line="520" w:lineRule="exact"/>
        <w:rPr>
          <w:sz w:val="24"/>
        </w:rPr>
      </w:pPr>
      <w:r>
        <w:rPr>
          <w:rFonts w:hint="eastAsia"/>
          <w:sz w:val="24"/>
        </w:rPr>
        <w:t>联系电话：　</w:t>
      </w:r>
      <w:r>
        <w:rPr>
          <w:sz w:val="24"/>
        </w:rPr>
        <w:tab/>
      </w:r>
      <w:r>
        <w:rPr>
          <w:rFonts w:hint="eastAsia"/>
          <w:sz w:val="24"/>
        </w:rPr>
        <w:t>电话：</w:t>
      </w:r>
    </w:p>
    <w:p>
      <w:pPr>
        <w:spacing w:line="520" w:lineRule="exact"/>
        <w:rPr>
          <w:sz w:val="24"/>
        </w:rPr>
      </w:pPr>
      <w:r>
        <w:rPr>
          <w:rFonts w:hint="eastAsia"/>
          <w:sz w:val="24"/>
        </w:rPr>
        <w:t>签定日期：                              签订日期：</w:t>
      </w:r>
    </w:p>
    <w:p>
      <w:pPr>
        <w:spacing w:line="520" w:lineRule="exact"/>
        <w:rPr>
          <w:sz w:val="24"/>
        </w:rPr>
      </w:pPr>
    </w:p>
    <w:p>
      <w:pPr>
        <w:spacing w:line="700" w:lineRule="exact"/>
        <w:rPr>
          <w:sz w:val="24"/>
        </w:rPr>
      </w:pPr>
    </w:p>
    <w:p>
      <w:pPr>
        <w:pStyle w:val="9"/>
        <w:ind w:firstLine="602"/>
        <w:rPr>
          <w:b/>
          <w:bCs/>
          <w:sz w:val="30"/>
          <w:szCs w:val="30"/>
        </w:rPr>
      </w:pPr>
    </w:p>
    <w:p>
      <w:pPr>
        <w:pStyle w:val="9"/>
        <w:ind w:firstLine="602"/>
        <w:rPr>
          <w:b/>
          <w:bCs/>
          <w:sz w:val="30"/>
          <w:szCs w:val="30"/>
        </w:rPr>
      </w:pPr>
    </w:p>
    <w:p>
      <w:pPr>
        <w:pStyle w:val="9"/>
        <w:ind w:firstLine="602"/>
        <w:rPr>
          <w:b/>
          <w:bCs/>
          <w:sz w:val="30"/>
          <w:szCs w:val="30"/>
        </w:rPr>
      </w:pPr>
    </w:p>
    <w:p>
      <w:pPr>
        <w:pStyle w:val="9"/>
        <w:ind w:firstLine="602"/>
        <w:rPr>
          <w:b/>
          <w:bCs/>
          <w:sz w:val="30"/>
          <w:szCs w:val="30"/>
        </w:rPr>
      </w:pPr>
    </w:p>
    <w:p>
      <w:pPr>
        <w:pStyle w:val="9"/>
        <w:ind w:firstLine="602"/>
        <w:rPr>
          <w:b/>
          <w:bCs/>
          <w:sz w:val="30"/>
          <w:szCs w:val="30"/>
        </w:rPr>
      </w:pPr>
    </w:p>
    <w:p>
      <w:pPr>
        <w:pStyle w:val="9"/>
        <w:ind w:firstLine="0" w:firstLineChars="0"/>
      </w:pPr>
    </w:p>
    <w:bookmarkEnd w:id="11"/>
    <w:p>
      <w:pPr>
        <w:pStyle w:val="4"/>
        <w:numPr>
          <w:ilvl w:val="0"/>
          <w:numId w:val="0"/>
        </w:numPr>
        <w:adjustRightInd w:val="0"/>
        <w:snapToGrid w:val="0"/>
        <w:spacing w:afterLines="50" w:line="360" w:lineRule="auto"/>
        <w:rPr>
          <w:rFonts w:asciiTheme="majorEastAsia" w:hAnsiTheme="majorEastAsia" w:eastAsiaTheme="majorEastAsia" w:cstheme="majorEastAsia"/>
          <w:b/>
          <w:bCs/>
          <w:sz w:val="32"/>
          <w:szCs w:val="32"/>
          <w:lang w:val="zh-CN"/>
        </w:rPr>
        <w:sectPr>
          <w:footerReference r:id="rId12" w:type="default"/>
          <w:pgSz w:w="11906" w:h="16838"/>
          <w:pgMar w:top="1440" w:right="1457" w:bottom="1440" w:left="1463" w:header="851" w:footer="992" w:gutter="0"/>
          <w:cols w:space="0" w:num="1"/>
          <w:titlePg/>
          <w:docGrid w:type="lines" w:linePitch="312" w:charSpace="0"/>
        </w:sectPr>
      </w:pPr>
    </w:p>
    <w:p>
      <w:pPr>
        <w:pStyle w:val="4"/>
        <w:numPr>
          <w:ilvl w:val="0"/>
          <w:numId w:val="0"/>
        </w:numPr>
        <w:adjustRightInd w:val="0"/>
        <w:snapToGrid w:val="0"/>
        <w:spacing w:afterLines="50" w:line="360" w:lineRule="auto"/>
        <w:rPr>
          <w:rFonts w:asciiTheme="majorEastAsia" w:hAnsiTheme="majorEastAsia" w:eastAsiaTheme="majorEastAsia" w:cstheme="majorEastAsia"/>
          <w:b/>
          <w:bCs/>
          <w:sz w:val="32"/>
          <w:szCs w:val="32"/>
          <w:lang w:val="zh-CN"/>
        </w:rPr>
      </w:pPr>
      <w:bookmarkStart w:id="31" w:name="_Toc17185"/>
      <w:r>
        <w:rPr>
          <w:rFonts w:hint="eastAsia" w:asciiTheme="majorEastAsia" w:hAnsiTheme="majorEastAsia" w:eastAsiaTheme="majorEastAsia" w:cstheme="majorEastAsia"/>
          <w:b/>
          <w:bCs/>
          <w:sz w:val="32"/>
          <w:szCs w:val="32"/>
          <w:lang w:val="zh-CN"/>
        </w:rPr>
        <w:t>第七章　响应文件格式</w:t>
      </w:r>
      <w:bookmarkEnd w:id="31"/>
    </w:p>
    <w:p>
      <w:pPr>
        <w:outlineLvl w:val="0"/>
        <w:rPr>
          <w:kern w:val="0"/>
          <w:sz w:val="24"/>
        </w:rPr>
      </w:pPr>
      <w:bookmarkStart w:id="32" w:name="_Toc2678"/>
      <w:r>
        <w:rPr>
          <w:sz w:val="28"/>
        </w:rPr>
        <w:t>采购编号：</w:t>
      </w:r>
      <w:r>
        <w:rPr>
          <w:rFonts w:hint="eastAsia" w:asciiTheme="minorEastAsia" w:hAnsiTheme="minorEastAsia" w:eastAsiaTheme="minorEastAsia" w:cstheme="minorEastAsia"/>
          <w:b/>
          <w:bCs/>
          <w:sz w:val="32"/>
          <w:szCs w:val="32"/>
        </w:rPr>
        <w:t>TZZB-2021026G</w:t>
      </w:r>
      <w:r>
        <w:rPr>
          <w:kern w:val="0"/>
          <w:sz w:val="24"/>
        </w:rPr>
        <w:t xml:space="preserve">                           </w:t>
      </w:r>
      <w:r>
        <w:rPr>
          <w:kern w:val="0"/>
          <w:sz w:val="28"/>
        </w:rPr>
        <w:t>（正本或副本）</w:t>
      </w:r>
      <w:bookmarkEnd w:id="32"/>
    </w:p>
    <w:p/>
    <w:p/>
    <w:p>
      <w:pPr>
        <w:jc w:val="center"/>
        <w:rPr>
          <w:b/>
          <w:bCs/>
          <w:sz w:val="44"/>
          <w:szCs w:val="52"/>
        </w:rPr>
      </w:pPr>
      <w:r>
        <w:rPr>
          <w:rFonts w:hint="eastAsia"/>
          <w:b/>
          <w:bCs/>
          <w:sz w:val="44"/>
          <w:szCs w:val="52"/>
        </w:rPr>
        <w:t>西安市高陵区银王中心小学户外提升改造项目</w:t>
      </w:r>
    </w:p>
    <w:p/>
    <w:p>
      <w:pPr>
        <w:rPr>
          <w:b/>
          <w:sz w:val="24"/>
        </w:rPr>
      </w:pPr>
    </w:p>
    <w:p>
      <w:pPr>
        <w:pStyle w:val="9"/>
      </w:pPr>
    </w:p>
    <w:p/>
    <w:p/>
    <w:p/>
    <w:p>
      <w:pPr>
        <w:pStyle w:val="4"/>
        <w:numPr>
          <w:ilvl w:val="0"/>
          <w:numId w:val="0"/>
        </w:numPr>
        <w:adjustRightInd w:val="0"/>
        <w:snapToGrid w:val="0"/>
        <w:spacing w:line="312" w:lineRule="auto"/>
        <w:ind w:left="431" w:hanging="431"/>
        <w:rPr>
          <w:rFonts w:asciiTheme="minorEastAsia" w:hAnsiTheme="minorEastAsia" w:eastAsiaTheme="minorEastAsia" w:cstheme="minorEastAsia"/>
          <w:b/>
          <w:sz w:val="44"/>
          <w:szCs w:val="44"/>
        </w:rPr>
      </w:pPr>
      <w:bookmarkStart w:id="33" w:name="_Toc3483"/>
      <w:r>
        <w:rPr>
          <w:rFonts w:hint="eastAsia" w:asciiTheme="minorEastAsia" w:hAnsiTheme="minorEastAsia" w:eastAsiaTheme="minorEastAsia" w:cstheme="minorEastAsia"/>
          <w:b/>
          <w:sz w:val="44"/>
          <w:szCs w:val="44"/>
        </w:rPr>
        <w:t>响应文件</w:t>
      </w:r>
      <w:bookmarkEnd w:id="33"/>
    </w:p>
    <w:p>
      <w:pPr>
        <w:spacing w:line="360" w:lineRule="auto"/>
        <w:rPr>
          <w:b/>
          <w:sz w:val="24"/>
        </w:rPr>
      </w:pPr>
    </w:p>
    <w:p>
      <w:pPr>
        <w:spacing w:line="360" w:lineRule="auto"/>
        <w:rPr>
          <w:b/>
          <w:sz w:val="24"/>
          <w:u w:val="single"/>
        </w:rPr>
      </w:pPr>
    </w:p>
    <w:p>
      <w:pPr>
        <w:spacing w:line="360" w:lineRule="auto"/>
        <w:ind w:firstLine="2626" w:firstLineChars="1090"/>
        <w:rPr>
          <w:b/>
          <w:sz w:val="24"/>
          <w:u w:val="single"/>
        </w:rPr>
      </w:pPr>
      <w:r>
        <w:rPr>
          <w:b/>
          <w:sz w:val="24"/>
        </w:rPr>
        <w:t xml:space="preserve"> </w:t>
      </w:r>
    </w:p>
    <w:p>
      <w:pPr>
        <w:spacing w:line="360" w:lineRule="auto"/>
        <w:rPr>
          <w:sz w:val="24"/>
        </w:rPr>
      </w:pPr>
    </w:p>
    <w:p>
      <w:pPr>
        <w:spacing w:line="360" w:lineRule="auto"/>
        <w:rPr>
          <w:b/>
          <w:sz w:val="24"/>
        </w:rPr>
      </w:pPr>
    </w:p>
    <w:p>
      <w:pPr>
        <w:spacing w:line="360" w:lineRule="auto"/>
        <w:rPr>
          <w:b/>
          <w:sz w:val="24"/>
        </w:rPr>
      </w:pPr>
    </w:p>
    <w:p>
      <w:pPr>
        <w:spacing w:line="360" w:lineRule="auto"/>
        <w:rPr>
          <w:b/>
          <w:sz w:val="24"/>
        </w:rPr>
      </w:pPr>
    </w:p>
    <w:p>
      <w:pPr>
        <w:spacing w:line="360" w:lineRule="auto"/>
        <w:rPr>
          <w:b/>
          <w:sz w:val="24"/>
        </w:rPr>
      </w:pPr>
    </w:p>
    <w:p/>
    <w:p/>
    <w:p>
      <w:pPr>
        <w:spacing w:line="360" w:lineRule="auto"/>
        <w:rPr>
          <w:b/>
          <w:sz w:val="24"/>
        </w:rPr>
      </w:pPr>
      <w:r>
        <w:rPr>
          <w:b/>
          <w:sz w:val="24"/>
        </w:rPr>
        <w:t xml:space="preserve">  </w:t>
      </w:r>
    </w:p>
    <w:p>
      <w:pPr>
        <w:spacing w:line="600" w:lineRule="auto"/>
        <w:jc w:val="center"/>
        <w:rPr>
          <w:b/>
          <w:sz w:val="28"/>
          <w:u w:val="single"/>
        </w:rPr>
      </w:pPr>
      <w:r>
        <w:rPr>
          <w:rFonts w:hint="eastAsia"/>
          <w:b/>
          <w:sz w:val="28"/>
        </w:rPr>
        <w:t>磋商响应单位</w:t>
      </w:r>
      <w:r>
        <w:rPr>
          <w:b/>
          <w:sz w:val="28"/>
        </w:rPr>
        <w:t>：</w:t>
      </w:r>
      <w:r>
        <w:rPr>
          <w:bCs/>
          <w:sz w:val="28"/>
          <w:u w:val="single"/>
        </w:rPr>
        <w:t xml:space="preserve">                          </w:t>
      </w:r>
      <w:r>
        <w:rPr>
          <w:b/>
          <w:sz w:val="28"/>
        </w:rPr>
        <w:t>（盖章）</w:t>
      </w:r>
    </w:p>
    <w:p>
      <w:pPr>
        <w:spacing w:line="600" w:lineRule="auto"/>
        <w:ind w:firstLine="562" w:firstLineChars="200"/>
        <w:outlineLvl w:val="0"/>
        <w:rPr>
          <w:b/>
          <w:sz w:val="28"/>
        </w:rPr>
      </w:pPr>
      <w:r>
        <w:rPr>
          <w:b/>
          <w:sz w:val="28"/>
        </w:rPr>
        <w:t xml:space="preserve">  </w:t>
      </w:r>
      <w:bookmarkStart w:id="34" w:name="_Toc15600"/>
      <w:r>
        <w:rPr>
          <w:b/>
          <w:sz w:val="28"/>
        </w:rPr>
        <w:t>法定代表人或其授权代理人：</w:t>
      </w:r>
      <w:r>
        <w:rPr>
          <w:bCs/>
          <w:sz w:val="28"/>
          <w:u w:val="single"/>
        </w:rPr>
        <w:t xml:space="preserve">            </w:t>
      </w:r>
      <w:r>
        <w:rPr>
          <w:b/>
          <w:sz w:val="28"/>
        </w:rPr>
        <w:t>（签字或盖章）</w:t>
      </w:r>
      <w:bookmarkEnd w:id="34"/>
    </w:p>
    <w:p>
      <w:pPr>
        <w:spacing w:line="600" w:lineRule="auto"/>
        <w:ind w:firstLine="562" w:firstLineChars="200"/>
        <w:outlineLvl w:val="0"/>
        <w:rPr>
          <w:bCs/>
          <w:sz w:val="28"/>
          <w:u w:val="single"/>
        </w:rPr>
      </w:pPr>
      <w:r>
        <w:rPr>
          <w:b/>
          <w:sz w:val="28"/>
        </w:rPr>
        <w:t xml:space="preserve">  </w:t>
      </w:r>
      <w:bookmarkStart w:id="35" w:name="_Toc30736"/>
      <w:r>
        <w:rPr>
          <w:rFonts w:hint="eastAsia"/>
          <w:b/>
          <w:sz w:val="28"/>
        </w:rPr>
        <w:t>日    期</w:t>
      </w:r>
      <w:r>
        <w:rPr>
          <w:b/>
          <w:sz w:val="28"/>
        </w:rPr>
        <w:t>：</w:t>
      </w:r>
      <w:bookmarkEnd w:id="35"/>
      <w:r>
        <w:rPr>
          <w:bCs/>
          <w:sz w:val="28"/>
          <w:u w:val="single"/>
        </w:rPr>
        <w:t xml:space="preserve">                 </w:t>
      </w:r>
      <w:r>
        <w:rPr>
          <w:rFonts w:hint="eastAsia"/>
          <w:bCs/>
          <w:sz w:val="28"/>
          <w:u w:val="single"/>
        </w:rPr>
        <w:t>　　　　　　　</w:t>
      </w:r>
      <w:r>
        <w:rPr>
          <w:bCs/>
          <w:sz w:val="28"/>
          <w:u w:val="single"/>
        </w:rPr>
        <w:t xml:space="preserve">         </w:t>
      </w:r>
    </w:p>
    <w:p>
      <w:pPr>
        <w:spacing w:line="360" w:lineRule="auto"/>
        <w:ind w:firstLine="482" w:firstLineChars="200"/>
        <w:jc w:val="center"/>
        <w:rPr>
          <w:b/>
          <w:sz w:val="24"/>
        </w:rPr>
        <w:sectPr>
          <w:pgSz w:w="11906" w:h="16838"/>
          <w:pgMar w:top="1440" w:right="1457" w:bottom="1440" w:left="1463" w:header="851" w:footer="992" w:gutter="0"/>
          <w:cols w:space="0" w:num="1"/>
          <w:titlePg/>
          <w:docGrid w:type="lines" w:linePitch="312" w:charSpace="0"/>
        </w:sectPr>
      </w:pPr>
    </w:p>
    <w:p>
      <w:pPr>
        <w:spacing w:line="360" w:lineRule="auto"/>
        <w:ind w:firstLine="482" w:firstLineChars="200"/>
        <w:jc w:val="center"/>
        <w:outlineLvl w:val="1"/>
        <w:rPr>
          <w:b/>
          <w:bCs/>
          <w:sz w:val="30"/>
          <w:szCs w:val="30"/>
        </w:rPr>
      </w:pPr>
      <w:r>
        <w:rPr>
          <w:b/>
          <w:sz w:val="24"/>
        </w:rPr>
        <w:t xml:space="preserve"> </w:t>
      </w:r>
      <w:r>
        <w:rPr>
          <w:b/>
          <w:bCs/>
          <w:sz w:val="30"/>
          <w:szCs w:val="30"/>
        </w:rPr>
        <w:t>目   录</w:t>
      </w:r>
    </w:p>
    <w:p>
      <w:pPr>
        <w:spacing w:line="360" w:lineRule="auto"/>
        <w:ind w:firstLine="562" w:firstLineChars="200"/>
        <w:outlineLvl w:val="0"/>
        <w:rPr>
          <w:sz w:val="24"/>
        </w:rPr>
      </w:pPr>
      <w:bookmarkStart w:id="36" w:name="_Toc20742"/>
      <w:r>
        <w:rPr>
          <w:rFonts w:hint="eastAsia"/>
          <w:b/>
          <w:bCs/>
          <w:sz w:val="28"/>
          <w:szCs w:val="28"/>
        </w:rPr>
        <w:t>资格证明文件</w:t>
      </w:r>
      <w:bookmarkEnd w:id="36"/>
    </w:p>
    <w:p>
      <w:pPr>
        <w:spacing w:line="360" w:lineRule="auto"/>
        <w:ind w:firstLine="480" w:firstLineChars="200"/>
        <w:outlineLvl w:val="0"/>
        <w:rPr>
          <w:sz w:val="24"/>
        </w:rPr>
      </w:pPr>
      <w:bookmarkStart w:id="37" w:name="_Toc13839"/>
      <w:r>
        <w:rPr>
          <w:sz w:val="24"/>
        </w:rPr>
        <w:t>一、</w:t>
      </w:r>
      <w:bookmarkEnd w:id="37"/>
      <w:r>
        <w:rPr>
          <w:rFonts w:hint="eastAsia"/>
          <w:sz w:val="24"/>
        </w:rPr>
        <w:t>营业执照复印件</w:t>
      </w:r>
    </w:p>
    <w:p>
      <w:pPr>
        <w:adjustRightInd w:val="0"/>
        <w:snapToGrid w:val="0"/>
        <w:spacing w:line="360" w:lineRule="auto"/>
        <w:outlineLvl w:val="0"/>
        <w:rPr>
          <w:sz w:val="24"/>
        </w:rPr>
      </w:pPr>
      <w:r>
        <w:rPr>
          <w:sz w:val="24"/>
        </w:rPr>
        <w:t xml:space="preserve">    </w:t>
      </w:r>
      <w:bookmarkStart w:id="38" w:name="_Toc19043"/>
      <w:r>
        <w:rPr>
          <w:rFonts w:hint="eastAsia"/>
          <w:sz w:val="24"/>
        </w:rPr>
        <w:t>二、</w:t>
      </w:r>
      <w:bookmarkEnd w:id="38"/>
      <w:r>
        <w:rPr>
          <w:rFonts w:hint="eastAsia"/>
          <w:sz w:val="24"/>
        </w:rPr>
        <w:t>磋商响应单位</w:t>
      </w:r>
      <w:r>
        <w:rPr>
          <w:sz w:val="24"/>
        </w:rPr>
        <w:t>法定代表人证明书</w:t>
      </w:r>
    </w:p>
    <w:p>
      <w:pPr>
        <w:adjustRightInd w:val="0"/>
        <w:snapToGrid w:val="0"/>
        <w:spacing w:line="360" w:lineRule="auto"/>
        <w:outlineLvl w:val="0"/>
        <w:rPr>
          <w:sz w:val="24"/>
        </w:rPr>
      </w:pPr>
      <w:r>
        <w:rPr>
          <w:sz w:val="24"/>
        </w:rPr>
        <w:t xml:space="preserve">    </w:t>
      </w:r>
      <w:bookmarkStart w:id="39" w:name="_Toc18827"/>
      <w:r>
        <w:rPr>
          <w:sz w:val="24"/>
        </w:rPr>
        <w:t>三、</w:t>
      </w:r>
      <w:bookmarkEnd w:id="39"/>
      <w:r>
        <w:rPr>
          <w:sz w:val="24"/>
        </w:rPr>
        <w:t xml:space="preserve">法定代表人授权委托书  </w:t>
      </w:r>
    </w:p>
    <w:p>
      <w:pPr>
        <w:adjustRightInd w:val="0"/>
        <w:snapToGrid w:val="0"/>
        <w:spacing w:line="360" w:lineRule="auto"/>
        <w:ind w:firstLine="480" w:firstLineChars="200"/>
        <w:outlineLvl w:val="0"/>
        <w:rPr>
          <w:sz w:val="24"/>
        </w:rPr>
      </w:pPr>
      <w:bookmarkStart w:id="40" w:name="_Toc17498"/>
      <w:r>
        <w:rPr>
          <w:sz w:val="24"/>
        </w:rPr>
        <w:t>四、</w:t>
      </w:r>
      <w:bookmarkEnd w:id="40"/>
      <w:r>
        <w:rPr>
          <w:rFonts w:hint="eastAsia"/>
          <w:sz w:val="24"/>
        </w:rPr>
        <w:t>参加政府采购活动前3年内经营活动中没有重大违法记录声明</w:t>
      </w:r>
    </w:p>
    <w:p>
      <w:pPr>
        <w:adjustRightInd w:val="0"/>
        <w:snapToGrid w:val="0"/>
        <w:spacing w:line="360" w:lineRule="auto"/>
        <w:ind w:firstLine="480" w:firstLineChars="200"/>
        <w:outlineLvl w:val="0"/>
        <w:rPr>
          <w:sz w:val="24"/>
        </w:rPr>
      </w:pPr>
      <w:bookmarkStart w:id="41" w:name="_Toc9483"/>
      <w:r>
        <w:rPr>
          <w:rFonts w:hint="eastAsia"/>
          <w:sz w:val="24"/>
        </w:rPr>
        <w:t>五、</w:t>
      </w:r>
      <w:bookmarkEnd w:id="41"/>
      <w:r>
        <w:rPr>
          <w:rFonts w:hint="eastAsia"/>
          <w:sz w:val="24"/>
        </w:rPr>
        <w:t>企业资质证书复印件</w:t>
      </w:r>
    </w:p>
    <w:p>
      <w:pPr>
        <w:adjustRightInd w:val="0"/>
        <w:snapToGrid w:val="0"/>
        <w:spacing w:line="360" w:lineRule="auto"/>
        <w:ind w:firstLine="480" w:firstLineChars="200"/>
        <w:outlineLvl w:val="0"/>
        <w:rPr>
          <w:sz w:val="24"/>
        </w:rPr>
      </w:pPr>
      <w:bookmarkStart w:id="42" w:name="_Toc8652"/>
      <w:r>
        <w:rPr>
          <w:rFonts w:hint="eastAsia"/>
          <w:sz w:val="24"/>
        </w:rPr>
        <w:t>六、</w:t>
      </w:r>
      <w:bookmarkEnd w:id="42"/>
      <w:r>
        <w:rPr>
          <w:rFonts w:hint="eastAsia"/>
          <w:sz w:val="24"/>
        </w:rPr>
        <w:t>安全生产许可证复印件</w:t>
      </w:r>
    </w:p>
    <w:p>
      <w:pPr>
        <w:adjustRightInd w:val="0"/>
        <w:snapToGrid w:val="0"/>
        <w:spacing w:line="360" w:lineRule="auto"/>
        <w:ind w:firstLine="480" w:firstLineChars="200"/>
        <w:outlineLvl w:val="0"/>
        <w:rPr>
          <w:sz w:val="24"/>
        </w:rPr>
      </w:pPr>
      <w:bookmarkStart w:id="43" w:name="_Toc22655"/>
      <w:r>
        <w:rPr>
          <w:rFonts w:hint="eastAsia"/>
          <w:sz w:val="24"/>
        </w:rPr>
        <w:t>七、</w:t>
      </w:r>
      <w:bookmarkEnd w:id="43"/>
      <w:r>
        <w:rPr>
          <w:rFonts w:hint="eastAsia"/>
          <w:sz w:val="24"/>
        </w:rPr>
        <w:t>注册建造师证及安全生产考核合格证复印件，提供在本单位注册且无在建工程的证明</w:t>
      </w:r>
    </w:p>
    <w:p>
      <w:pPr>
        <w:adjustRightInd w:val="0"/>
        <w:snapToGrid w:val="0"/>
        <w:spacing w:line="360" w:lineRule="auto"/>
        <w:ind w:firstLine="480" w:firstLineChars="200"/>
        <w:outlineLvl w:val="0"/>
        <w:rPr>
          <w:sz w:val="24"/>
        </w:rPr>
      </w:pPr>
      <w:bookmarkStart w:id="44" w:name="_Toc20789"/>
      <w:r>
        <w:rPr>
          <w:rFonts w:hint="eastAsia"/>
          <w:sz w:val="24"/>
        </w:rPr>
        <w:t>八、</w:t>
      </w:r>
      <w:bookmarkEnd w:id="44"/>
      <w:bookmarkStart w:id="45" w:name="_Toc26003"/>
      <w:r>
        <w:rPr>
          <w:rFonts w:hint="eastAsia" w:ascii="宋体" w:hAnsi="宋体"/>
          <w:kern w:val="0"/>
          <w:sz w:val="24"/>
        </w:rPr>
        <w:t>税收缴纳证明</w:t>
      </w:r>
      <w:r>
        <w:rPr>
          <w:rFonts w:hint="eastAsia"/>
          <w:sz w:val="24"/>
        </w:rPr>
        <w:t>复印件</w:t>
      </w:r>
      <w:bookmarkEnd w:id="45"/>
    </w:p>
    <w:p>
      <w:pPr>
        <w:pStyle w:val="9"/>
        <w:numPr>
          <w:ilvl w:val="0"/>
          <w:numId w:val="5"/>
        </w:numPr>
        <w:spacing w:line="360" w:lineRule="auto"/>
        <w:ind w:firstLine="480"/>
        <w:outlineLvl w:val="0"/>
        <w:rPr>
          <w:rFonts w:ascii="宋体" w:hAnsi="宋体"/>
          <w:kern w:val="0"/>
          <w:sz w:val="24"/>
        </w:rPr>
      </w:pPr>
      <w:bookmarkStart w:id="46" w:name="_Toc28206"/>
      <w:r>
        <w:rPr>
          <w:rFonts w:hint="eastAsia" w:ascii="宋体" w:hAnsi="宋体"/>
          <w:kern w:val="0"/>
          <w:sz w:val="24"/>
        </w:rPr>
        <w:t>社会保障资金缴纳证明</w:t>
      </w:r>
      <w:r>
        <w:rPr>
          <w:rFonts w:hint="eastAsia"/>
          <w:sz w:val="24"/>
        </w:rPr>
        <w:t>复印件</w:t>
      </w:r>
      <w:bookmarkEnd w:id="46"/>
    </w:p>
    <w:p>
      <w:pPr>
        <w:pStyle w:val="9"/>
        <w:numPr>
          <w:ilvl w:val="0"/>
          <w:numId w:val="5"/>
        </w:numPr>
        <w:spacing w:line="360" w:lineRule="auto"/>
        <w:ind w:firstLine="480"/>
        <w:outlineLvl w:val="0"/>
        <w:rPr>
          <w:rFonts w:ascii="宋体" w:hAnsi="宋体"/>
          <w:kern w:val="0"/>
          <w:sz w:val="24"/>
        </w:rPr>
      </w:pPr>
      <w:r>
        <w:rPr>
          <w:rFonts w:hint="eastAsia"/>
          <w:sz w:val="24"/>
        </w:rPr>
        <w:t>财务状况</w:t>
      </w:r>
    </w:p>
    <w:p>
      <w:pPr>
        <w:pStyle w:val="9"/>
        <w:spacing w:line="360" w:lineRule="auto"/>
        <w:ind w:firstLine="480"/>
        <w:outlineLvl w:val="0"/>
        <w:rPr>
          <w:rFonts w:ascii="宋体" w:hAnsi="宋体"/>
          <w:kern w:val="0"/>
          <w:sz w:val="24"/>
        </w:rPr>
      </w:pPr>
      <w:bookmarkStart w:id="47" w:name="_Toc32687"/>
      <w:r>
        <w:rPr>
          <w:rFonts w:hint="eastAsia" w:ascii="宋体" w:hAnsi="宋体"/>
          <w:kern w:val="0"/>
          <w:sz w:val="24"/>
        </w:rPr>
        <w:t>十一、磋商响应单位负责人不得为为同一人或者存在控股、管理关系</w:t>
      </w:r>
      <w:bookmarkEnd w:id="47"/>
    </w:p>
    <w:p>
      <w:pPr>
        <w:pStyle w:val="9"/>
        <w:spacing w:line="360" w:lineRule="auto"/>
        <w:ind w:firstLine="480"/>
        <w:outlineLvl w:val="0"/>
        <w:rPr>
          <w:rFonts w:ascii="宋体" w:hAnsi="宋体"/>
          <w:kern w:val="0"/>
          <w:sz w:val="24"/>
        </w:rPr>
      </w:pPr>
      <w:r>
        <w:rPr>
          <w:rFonts w:hint="eastAsia" w:ascii="宋体" w:hAnsi="宋体"/>
          <w:kern w:val="0"/>
          <w:sz w:val="24"/>
        </w:rPr>
        <w:t>十二、信用中国网站(www.creditchina.gov.cn)“失信被执行人、重大税收违法案件当事人名单”；中国政府采购网(www.ccgp.gov.cn)“政府采购严重违法失信行为信息记录”截图</w:t>
      </w:r>
    </w:p>
    <w:p>
      <w:pPr>
        <w:pStyle w:val="9"/>
        <w:spacing w:line="360" w:lineRule="auto"/>
        <w:ind w:firstLine="480"/>
        <w:outlineLvl w:val="0"/>
        <w:rPr>
          <w:rFonts w:ascii="宋体" w:hAnsi="宋体"/>
          <w:kern w:val="0"/>
          <w:sz w:val="24"/>
        </w:rPr>
      </w:pPr>
      <w:r>
        <w:rPr>
          <w:rFonts w:hint="eastAsia" w:ascii="宋体" w:hAnsi="宋体"/>
          <w:kern w:val="0"/>
          <w:sz w:val="24"/>
        </w:rPr>
        <w:t>十三、陕西省政府采购供应商拒绝政府采购领域商业贿赂承诺书</w:t>
      </w:r>
    </w:p>
    <w:p>
      <w:pPr>
        <w:spacing w:line="360" w:lineRule="auto"/>
        <w:ind w:firstLine="562" w:firstLineChars="200"/>
        <w:outlineLvl w:val="0"/>
        <w:rPr>
          <w:b/>
          <w:bCs/>
          <w:sz w:val="28"/>
          <w:szCs w:val="28"/>
        </w:rPr>
      </w:pPr>
      <w:bookmarkStart w:id="48" w:name="_Toc12835_WPSOffice_Level1"/>
      <w:bookmarkStart w:id="49" w:name="_Toc5089"/>
      <w:r>
        <w:rPr>
          <w:rFonts w:hint="eastAsia"/>
          <w:b/>
          <w:bCs/>
          <w:sz w:val="28"/>
          <w:szCs w:val="28"/>
        </w:rPr>
        <w:t>商务文件</w:t>
      </w:r>
      <w:bookmarkEnd w:id="48"/>
      <w:bookmarkEnd w:id="49"/>
    </w:p>
    <w:p>
      <w:pPr>
        <w:adjustRightInd w:val="0"/>
        <w:snapToGrid w:val="0"/>
        <w:spacing w:line="360" w:lineRule="auto"/>
        <w:ind w:firstLine="480" w:firstLineChars="200"/>
        <w:outlineLvl w:val="0"/>
        <w:rPr>
          <w:sz w:val="24"/>
        </w:rPr>
      </w:pPr>
      <w:bookmarkStart w:id="50" w:name="_Toc23831"/>
      <w:bookmarkStart w:id="51" w:name="_Toc27179_WPSOffice_Level1"/>
      <w:r>
        <w:rPr>
          <w:sz w:val="24"/>
        </w:rPr>
        <w:t>一、磋商响应函</w:t>
      </w:r>
      <w:bookmarkEnd w:id="50"/>
      <w:bookmarkEnd w:id="51"/>
    </w:p>
    <w:p>
      <w:pPr>
        <w:adjustRightInd w:val="0"/>
        <w:snapToGrid w:val="0"/>
        <w:spacing w:line="360" w:lineRule="auto"/>
        <w:ind w:firstLine="480" w:firstLineChars="200"/>
        <w:outlineLvl w:val="0"/>
        <w:rPr>
          <w:sz w:val="24"/>
        </w:rPr>
      </w:pPr>
      <w:bookmarkStart w:id="52" w:name="_Toc4166"/>
      <w:bookmarkStart w:id="53" w:name="_Toc11184_WPSOffice_Level1"/>
      <w:r>
        <w:rPr>
          <w:sz w:val="24"/>
        </w:rPr>
        <w:t>二、首次报价一览表</w:t>
      </w:r>
      <w:bookmarkEnd w:id="52"/>
      <w:bookmarkEnd w:id="53"/>
    </w:p>
    <w:p>
      <w:pPr>
        <w:adjustRightInd w:val="0"/>
        <w:snapToGrid w:val="0"/>
        <w:spacing w:line="360" w:lineRule="auto"/>
        <w:ind w:firstLine="480" w:firstLineChars="200"/>
        <w:outlineLvl w:val="0"/>
        <w:rPr>
          <w:sz w:val="24"/>
        </w:rPr>
      </w:pPr>
      <w:bookmarkStart w:id="54" w:name="_Toc24822_WPSOffice_Level1"/>
      <w:bookmarkStart w:id="55" w:name="_Toc10677"/>
      <w:r>
        <w:rPr>
          <w:rFonts w:hint="eastAsia"/>
          <w:sz w:val="24"/>
        </w:rPr>
        <w:t>三、工程量清单报价表</w:t>
      </w:r>
      <w:bookmarkEnd w:id="54"/>
      <w:bookmarkEnd w:id="55"/>
    </w:p>
    <w:p>
      <w:pPr>
        <w:adjustRightInd w:val="0"/>
        <w:snapToGrid w:val="0"/>
        <w:spacing w:line="360" w:lineRule="auto"/>
        <w:ind w:firstLine="480" w:firstLineChars="200"/>
        <w:outlineLvl w:val="0"/>
        <w:rPr>
          <w:sz w:val="24"/>
        </w:rPr>
      </w:pPr>
      <w:bookmarkStart w:id="56" w:name="_Toc28563_WPSOffice_Level1"/>
      <w:bookmarkStart w:id="57" w:name="_Toc26147"/>
      <w:r>
        <w:rPr>
          <w:sz w:val="24"/>
        </w:rPr>
        <w:t>四、</w:t>
      </w:r>
      <w:r>
        <w:rPr>
          <w:rFonts w:hint="eastAsia"/>
          <w:sz w:val="24"/>
        </w:rPr>
        <w:t>磋商响应单位</w:t>
      </w:r>
      <w:r>
        <w:rPr>
          <w:sz w:val="24"/>
        </w:rPr>
        <w:t>一般情况表</w:t>
      </w:r>
      <w:bookmarkEnd w:id="56"/>
      <w:bookmarkEnd w:id="57"/>
    </w:p>
    <w:p>
      <w:pPr>
        <w:adjustRightInd w:val="0"/>
        <w:snapToGrid w:val="0"/>
        <w:spacing w:line="360" w:lineRule="auto"/>
        <w:ind w:firstLine="480" w:firstLineChars="200"/>
        <w:outlineLvl w:val="0"/>
        <w:rPr>
          <w:sz w:val="24"/>
        </w:rPr>
      </w:pPr>
      <w:bookmarkStart w:id="58" w:name="_Toc9379_WPSOffice_Level1"/>
      <w:bookmarkStart w:id="59" w:name="_Toc29082"/>
      <w:r>
        <w:rPr>
          <w:sz w:val="24"/>
        </w:rPr>
        <w:t>五、商务条款偏离表</w:t>
      </w:r>
      <w:bookmarkEnd w:id="58"/>
      <w:bookmarkEnd w:id="59"/>
    </w:p>
    <w:p>
      <w:pPr>
        <w:adjustRightInd w:val="0"/>
        <w:snapToGrid w:val="0"/>
        <w:spacing w:line="360" w:lineRule="auto"/>
        <w:ind w:firstLine="480" w:firstLineChars="200"/>
        <w:outlineLvl w:val="0"/>
        <w:rPr>
          <w:sz w:val="24"/>
        </w:rPr>
      </w:pPr>
      <w:bookmarkStart w:id="60" w:name="_Toc15391"/>
      <w:bookmarkStart w:id="61" w:name="_Toc24108_WPSOffice_Level1"/>
      <w:r>
        <w:rPr>
          <w:sz w:val="24"/>
        </w:rPr>
        <w:t>六、业绩</w:t>
      </w:r>
      <w:bookmarkEnd w:id="60"/>
      <w:bookmarkEnd w:id="61"/>
    </w:p>
    <w:p>
      <w:pPr>
        <w:adjustRightInd w:val="0"/>
        <w:snapToGrid w:val="0"/>
        <w:spacing w:line="360" w:lineRule="auto"/>
        <w:ind w:firstLine="480" w:firstLineChars="200"/>
        <w:outlineLvl w:val="0"/>
        <w:rPr>
          <w:sz w:val="24"/>
        </w:rPr>
      </w:pPr>
      <w:bookmarkStart w:id="62" w:name="_Toc18499"/>
      <w:bookmarkStart w:id="63" w:name="_Toc29978_WPSOffice_Level1"/>
      <w:r>
        <w:rPr>
          <w:sz w:val="24"/>
        </w:rPr>
        <w:t>七、保修期服务承诺</w:t>
      </w:r>
      <w:bookmarkEnd w:id="62"/>
      <w:bookmarkEnd w:id="63"/>
    </w:p>
    <w:p>
      <w:pPr>
        <w:spacing w:line="360" w:lineRule="auto"/>
        <w:ind w:firstLine="562" w:firstLineChars="200"/>
        <w:outlineLvl w:val="0"/>
        <w:rPr>
          <w:b/>
          <w:bCs/>
          <w:sz w:val="28"/>
          <w:szCs w:val="28"/>
        </w:rPr>
      </w:pPr>
      <w:bookmarkStart w:id="64" w:name="_Toc15524_WPSOffice_Level1"/>
      <w:bookmarkStart w:id="65" w:name="_Toc2414"/>
      <w:r>
        <w:rPr>
          <w:rFonts w:hint="eastAsia"/>
          <w:b/>
          <w:bCs/>
          <w:sz w:val="28"/>
          <w:szCs w:val="28"/>
        </w:rPr>
        <w:t>技术文件</w:t>
      </w:r>
      <w:bookmarkEnd w:id="64"/>
      <w:bookmarkEnd w:id="65"/>
    </w:p>
    <w:p>
      <w:pPr>
        <w:autoSpaceDE w:val="0"/>
        <w:autoSpaceDN w:val="0"/>
        <w:adjustRightInd w:val="0"/>
        <w:snapToGrid w:val="0"/>
        <w:spacing w:line="360" w:lineRule="auto"/>
        <w:ind w:firstLine="480" w:firstLineChars="200"/>
        <w:jc w:val="left"/>
        <w:rPr>
          <w:sz w:val="24"/>
        </w:rPr>
      </w:pPr>
      <w:r>
        <w:rPr>
          <w:rFonts w:hint="eastAsia"/>
          <w:sz w:val="24"/>
        </w:rPr>
        <w:t>一、磋商响应单位根据磋商文件采购内容和评分因素，结合自身实际情况编制响应磋商文件的施工组织设计。（格式自拟）</w:t>
      </w:r>
    </w:p>
    <w:p>
      <w:pPr>
        <w:tabs>
          <w:tab w:val="left" w:pos="2115"/>
        </w:tabs>
        <w:autoSpaceDE w:val="0"/>
        <w:autoSpaceDN w:val="0"/>
        <w:adjustRightInd w:val="0"/>
        <w:snapToGrid w:val="0"/>
        <w:spacing w:after="120" w:line="360" w:lineRule="auto"/>
        <w:rPr>
          <w:sz w:val="24"/>
        </w:rPr>
      </w:pPr>
      <w:r>
        <w:rPr>
          <w:rFonts w:hint="eastAsia"/>
          <w:sz w:val="24"/>
        </w:rPr>
        <w:t>　　二、服务承诺。（格式自拟）</w:t>
      </w: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rPr>
          <w:sz w:val="24"/>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30"/>
          <w:szCs w:val="30"/>
        </w:rPr>
      </w:pPr>
    </w:p>
    <w:p>
      <w:pPr>
        <w:tabs>
          <w:tab w:val="left" w:pos="2115"/>
        </w:tabs>
        <w:autoSpaceDE w:val="0"/>
        <w:autoSpaceDN w:val="0"/>
        <w:adjustRightInd w:val="0"/>
        <w:snapToGrid w:val="0"/>
        <w:spacing w:afterLines="50" w:line="360" w:lineRule="auto"/>
        <w:jc w:val="center"/>
        <w:rPr>
          <w:b/>
          <w:bCs/>
          <w:sz w:val="52"/>
          <w:szCs w:val="52"/>
        </w:rPr>
      </w:pPr>
      <w:r>
        <w:rPr>
          <w:b/>
          <w:bCs/>
          <w:sz w:val="52"/>
          <w:szCs w:val="52"/>
        </w:rPr>
        <w:t>资格证明文件</w:t>
      </w:r>
    </w:p>
    <w:p>
      <w:pPr>
        <w:spacing w:line="360" w:lineRule="auto"/>
        <w:rPr>
          <w:sz w:val="24"/>
        </w:rPr>
      </w:pPr>
      <w:r>
        <w:rPr>
          <w:sz w:val="24"/>
        </w:rPr>
        <w:br w:type="page"/>
      </w:r>
    </w:p>
    <w:p>
      <w:pPr>
        <w:spacing w:after="50" w:line="360" w:lineRule="auto"/>
        <w:jc w:val="center"/>
        <w:outlineLvl w:val="1"/>
        <w:rPr>
          <w:b/>
          <w:bCs/>
          <w:sz w:val="30"/>
          <w:szCs w:val="30"/>
        </w:rPr>
      </w:pPr>
      <w:r>
        <w:rPr>
          <w:rFonts w:hint="eastAsia"/>
          <w:b/>
          <w:bCs/>
          <w:sz w:val="30"/>
          <w:szCs w:val="30"/>
        </w:rPr>
        <w:t>一</w:t>
      </w:r>
      <w:r>
        <w:rPr>
          <w:b/>
          <w:bCs/>
          <w:sz w:val="30"/>
          <w:szCs w:val="30"/>
        </w:rPr>
        <w:t>、营业执照复印件</w:t>
      </w:r>
    </w:p>
    <w:p>
      <w:pPr>
        <w:spacing w:after="50" w:line="360" w:lineRule="auto"/>
        <w:jc w:val="center"/>
        <w:outlineLvl w:val="1"/>
        <w:rPr>
          <w:sz w:val="30"/>
          <w:szCs w:val="30"/>
        </w:rPr>
      </w:pPr>
      <w:r>
        <w:rPr>
          <w:b/>
          <w:bCs/>
          <w:sz w:val="30"/>
          <w:szCs w:val="30"/>
        </w:rPr>
        <w:br w:type="page"/>
      </w:r>
      <w:r>
        <w:rPr>
          <w:rFonts w:hint="eastAsia"/>
          <w:b/>
          <w:bCs/>
          <w:sz w:val="30"/>
          <w:szCs w:val="30"/>
        </w:rPr>
        <w:t>二</w:t>
      </w:r>
      <w:r>
        <w:rPr>
          <w:b/>
          <w:bCs/>
          <w:sz w:val="30"/>
          <w:szCs w:val="30"/>
        </w:rPr>
        <w:t>、</w:t>
      </w:r>
      <w:r>
        <w:rPr>
          <w:rFonts w:hint="eastAsia"/>
          <w:b/>
          <w:bCs/>
          <w:sz w:val="30"/>
          <w:szCs w:val="30"/>
        </w:rPr>
        <w:t>磋商响应单位</w:t>
      </w:r>
      <w:r>
        <w:rPr>
          <w:b/>
          <w:bCs/>
          <w:sz w:val="30"/>
          <w:szCs w:val="30"/>
        </w:rPr>
        <w:t>法定代表人证明书</w:t>
      </w:r>
    </w:p>
    <w:p>
      <w:pPr>
        <w:tabs>
          <w:tab w:val="left" w:pos="210"/>
        </w:tabs>
        <w:spacing w:line="320" w:lineRule="exact"/>
        <w:jc w:val="center"/>
        <w:rPr>
          <w:b/>
          <w:kern w:val="0"/>
          <w:sz w:val="32"/>
          <w:szCs w:val="32"/>
        </w:rPr>
      </w:pPr>
    </w:p>
    <w:tbl>
      <w:tblPr>
        <w:tblStyle w:val="48"/>
        <w:tblW w:w="928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61"/>
        <w:gridCol w:w="2065"/>
        <w:gridCol w:w="2514"/>
        <w:gridCol w:w="1783"/>
        <w:gridCol w:w="206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6" w:hRule="atLeast"/>
          <w:jc w:val="center"/>
        </w:trPr>
        <w:tc>
          <w:tcPr>
            <w:tcW w:w="9286" w:type="dxa"/>
            <w:gridSpan w:val="5"/>
            <w:vAlign w:val="center"/>
          </w:tcPr>
          <w:p>
            <w:pPr>
              <w:tabs>
                <w:tab w:val="left" w:pos="210"/>
              </w:tabs>
              <w:spacing w:line="320" w:lineRule="exact"/>
              <w:rPr>
                <w:kern w:val="0"/>
                <w:sz w:val="24"/>
              </w:rPr>
            </w:pPr>
            <w:r>
              <w:rPr>
                <w:sz w:val="24"/>
              </w:rPr>
              <w:t>致：</w:t>
            </w:r>
            <w:r>
              <w:rPr>
                <w:rFonts w:hint="eastAsia"/>
                <w:sz w:val="24"/>
              </w:rPr>
              <w:t>同正项目管理有限公司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restart"/>
            <w:vAlign w:val="center"/>
          </w:tcPr>
          <w:p>
            <w:pPr>
              <w:tabs>
                <w:tab w:val="left" w:pos="210"/>
              </w:tabs>
              <w:spacing w:line="320" w:lineRule="exact"/>
              <w:jc w:val="center"/>
              <w:rPr>
                <w:kern w:val="0"/>
                <w:sz w:val="24"/>
              </w:rPr>
            </w:pPr>
            <w:r>
              <w:rPr>
                <w:kern w:val="0"/>
                <w:sz w:val="24"/>
              </w:rPr>
              <w:t>企</w:t>
            </w:r>
          </w:p>
          <w:p>
            <w:pPr>
              <w:tabs>
                <w:tab w:val="left" w:pos="210"/>
              </w:tabs>
              <w:spacing w:line="320" w:lineRule="exact"/>
              <w:jc w:val="center"/>
              <w:rPr>
                <w:kern w:val="0"/>
                <w:sz w:val="24"/>
              </w:rPr>
            </w:pPr>
          </w:p>
          <w:p>
            <w:pPr>
              <w:tabs>
                <w:tab w:val="left" w:pos="210"/>
              </w:tabs>
              <w:spacing w:line="320" w:lineRule="exact"/>
              <w:jc w:val="center"/>
              <w:rPr>
                <w:kern w:val="0"/>
                <w:sz w:val="24"/>
              </w:rPr>
            </w:pPr>
            <w:r>
              <w:rPr>
                <w:kern w:val="0"/>
                <w:sz w:val="24"/>
              </w:rPr>
              <w:t>业</w:t>
            </w:r>
          </w:p>
          <w:p>
            <w:pPr>
              <w:tabs>
                <w:tab w:val="left" w:pos="210"/>
              </w:tabs>
              <w:spacing w:line="320" w:lineRule="exact"/>
              <w:jc w:val="center"/>
              <w:rPr>
                <w:kern w:val="0"/>
                <w:sz w:val="24"/>
              </w:rPr>
            </w:pPr>
          </w:p>
          <w:p>
            <w:pPr>
              <w:tabs>
                <w:tab w:val="left" w:pos="210"/>
              </w:tabs>
              <w:spacing w:line="320" w:lineRule="exact"/>
              <w:jc w:val="center"/>
              <w:rPr>
                <w:kern w:val="0"/>
                <w:sz w:val="24"/>
              </w:rPr>
            </w:pPr>
            <w:r>
              <w:rPr>
                <w:kern w:val="0"/>
                <w:sz w:val="24"/>
              </w:rPr>
              <w:t>法</w:t>
            </w:r>
          </w:p>
          <w:p>
            <w:pPr>
              <w:tabs>
                <w:tab w:val="left" w:pos="210"/>
              </w:tabs>
              <w:spacing w:line="320" w:lineRule="exact"/>
              <w:jc w:val="center"/>
              <w:rPr>
                <w:kern w:val="0"/>
                <w:sz w:val="24"/>
              </w:rPr>
            </w:pPr>
          </w:p>
          <w:p>
            <w:pPr>
              <w:tabs>
                <w:tab w:val="left" w:pos="210"/>
              </w:tabs>
              <w:spacing w:line="320" w:lineRule="exact"/>
              <w:jc w:val="center"/>
              <w:rPr>
                <w:kern w:val="0"/>
                <w:sz w:val="24"/>
              </w:rPr>
            </w:pPr>
            <w:r>
              <w:rPr>
                <w:kern w:val="0"/>
                <w:sz w:val="24"/>
              </w:rPr>
              <w:t>人</w:t>
            </w:r>
          </w:p>
        </w:tc>
        <w:tc>
          <w:tcPr>
            <w:tcW w:w="2065" w:type="dxa"/>
            <w:vAlign w:val="center"/>
          </w:tcPr>
          <w:p>
            <w:pPr>
              <w:tabs>
                <w:tab w:val="left" w:pos="210"/>
              </w:tabs>
              <w:spacing w:line="320" w:lineRule="exact"/>
              <w:jc w:val="center"/>
              <w:rPr>
                <w:kern w:val="0"/>
                <w:sz w:val="24"/>
              </w:rPr>
            </w:pPr>
            <w:r>
              <w:rPr>
                <w:kern w:val="0"/>
                <w:sz w:val="24"/>
              </w:rPr>
              <w:t>企业名称</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法定地址</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邮政编码</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工商登记机关</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税务登记机关</w:t>
            </w:r>
          </w:p>
        </w:tc>
        <w:tc>
          <w:tcPr>
            <w:tcW w:w="6360" w:type="dxa"/>
            <w:gridSpan w:val="3"/>
            <w:vAlign w:val="center"/>
          </w:tcPr>
          <w:p>
            <w:pPr>
              <w:tabs>
                <w:tab w:val="left" w:pos="210"/>
              </w:tabs>
              <w:spacing w:line="320" w:lineRule="exact"/>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机构代码证号</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restart"/>
            <w:vAlign w:val="center"/>
          </w:tcPr>
          <w:p>
            <w:pPr>
              <w:tabs>
                <w:tab w:val="left" w:pos="210"/>
              </w:tabs>
              <w:spacing w:line="320" w:lineRule="exact"/>
              <w:jc w:val="center"/>
              <w:rPr>
                <w:kern w:val="0"/>
                <w:sz w:val="24"/>
              </w:rPr>
            </w:pPr>
            <w:r>
              <w:rPr>
                <w:kern w:val="0"/>
                <w:sz w:val="24"/>
              </w:rPr>
              <w:t>法定代表人</w:t>
            </w:r>
          </w:p>
        </w:tc>
        <w:tc>
          <w:tcPr>
            <w:tcW w:w="2065" w:type="dxa"/>
            <w:vAlign w:val="center"/>
          </w:tcPr>
          <w:p>
            <w:pPr>
              <w:tabs>
                <w:tab w:val="left" w:pos="210"/>
              </w:tabs>
              <w:spacing w:line="320" w:lineRule="exact"/>
              <w:jc w:val="center"/>
              <w:rPr>
                <w:kern w:val="0"/>
                <w:sz w:val="24"/>
              </w:rPr>
            </w:pPr>
            <w:r>
              <w:rPr>
                <w:kern w:val="0"/>
                <w:sz w:val="24"/>
              </w:rPr>
              <w:t>姓 名</w:t>
            </w:r>
          </w:p>
        </w:tc>
        <w:tc>
          <w:tcPr>
            <w:tcW w:w="2514" w:type="dxa"/>
            <w:vAlign w:val="center"/>
          </w:tcPr>
          <w:p>
            <w:pPr>
              <w:tabs>
                <w:tab w:val="left" w:pos="210"/>
              </w:tabs>
              <w:spacing w:line="320" w:lineRule="exact"/>
              <w:jc w:val="center"/>
              <w:rPr>
                <w:kern w:val="0"/>
                <w:sz w:val="24"/>
              </w:rPr>
            </w:pPr>
          </w:p>
        </w:tc>
        <w:tc>
          <w:tcPr>
            <w:tcW w:w="1783" w:type="dxa"/>
            <w:vAlign w:val="center"/>
          </w:tcPr>
          <w:p>
            <w:pPr>
              <w:tabs>
                <w:tab w:val="left" w:pos="210"/>
              </w:tabs>
              <w:spacing w:line="320" w:lineRule="exact"/>
              <w:jc w:val="center"/>
              <w:rPr>
                <w:kern w:val="0"/>
                <w:sz w:val="24"/>
              </w:rPr>
            </w:pPr>
            <w:r>
              <w:rPr>
                <w:kern w:val="0"/>
                <w:sz w:val="24"/>
              </w:rPr>
              <w:t>性  别</w:t>
            </w:r>
          </w:p>
        </w:tc>
        <w:tc>
          <w:tcPr>
            <w:tcW w:w="2063" w:type="dxa"/>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职 务</w:t>
            </w:r>
          </w:p>
        </w:tc>
        <w:tc>
          <w:tcPr>
            <w:tcW w:w="2514" w:type="dxa"/>
            <w:vAlign w:val="center"/>
          </w:tcPr>
          <w:p>
            <w:pPr>
              <w:tabs>
                <w:tab w:val="left" w:pos="210"/>
              </w:tabs>
              <w:spacing w:line="320" w:lineRule="exact"/>
              <w:jc w:val="center"/>
              <w:rPr>
                <w:kern w:val="0"/>
                <w:sz w:val="24"/>
              </w:rPr>
            </w:pPr>
          </w:p>
        </w:tc>
        <w:tc>
          <w:tcPr>
            <w:tcW w:w="1783" w:type="dxa"/>
            <w:vAlign w:val="center"/>
          </w:tcPr>
          <w:p>
            <w:pPr>
              <w:tabs>
                <w:tab w:val="left" w:pos="210"/>
              </w:tabs>
              <w:spacing w:line="320" w:lineRule="exact"/>
              <w:jc w:val="center"/>
              <w:rPr>
                <w:kern w:val="0"/>
                <w:sz w:val="24"/>
              </w:rPr>
            </w:pPr>
            <w:r>
              <w:rPr>
                <w:kern w:val="0"/>
                <w:sz w:val="24"/>
              </w:rPr>
              <w:t>联系电话</w:t>
            </w:r>
          </w:p>
        </w:tc>
        <w:tc>
          <w:tcPr>
            <w:tcW w:w="2063" w:type="dxa"/>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0" w:hRule="atLeast"/>
          <w:jc w:val="center"/>
        </w:trPr>
        <w:tc>
          <w:tcPr>
            <w:tcW w:w="861" w:type="dxa"/>
            <w:vMerge w:val="continue"/>
            <w:vAlign w:val="center"/>
          </w:tcPr>
          <w:p>
            <w:pPr>
              <w:tabs>
                <w:tab w:val="left" w:pos="210"/>
              </w:tabs>
              <w:spacing w:line="320" w:lineRule="exact"/>
              <w:jc w:val="center"/>
              <w:rPr>
                <w:kern w:val="0"/>
                <w:sz w:val="24"/>
              </w:rPr>
            </w:pPr>
          </w:p>
        </w:tc>
        <w:tc>
          <w:tcPr>
            <w:tcW w:w="2065" w:type="dxa"/>
            <w:vAlign w:val="center"/>
          </w:tcPr>
          <w:p>
            <w:pPr>
              <w:tabs>
                <w:tab w:val="left" w:pos="210"/>
              </w:tabs>
              <w:spacing w:line="320" w:lineRule="exact"/>
              <w:jc w:val="center"/>
              <w:rPr>
                <w:kern w:val="0"/>
                <w:sz w:val="24"/>
              </w:rPr>
            </w:pPr>
            <w:r>
              <w:rPr>
                <w:kern w:val="0"/>
                <w:sz w:val="24"/>
              </w:rPr>
              <w:t>传 真</w:t>
            </w:r>
          </w:p>
        </w:tc>
        <w:tc>
          <w:tcPr>
            <w:tcW w:w="6360" w:type="dxa"/>
            <w:gridSpan w:val="3"/>
            <w:vAlign w:val="center"/>
          </w:tcPr>
          <w:p>
            <w:pPr>
              <w:tabs>
                <w:tab w:val="left" w:pos="210"/>
              </w:tabs>
              <w:spacing w:line="320" w:lineRule="exact"/>
              <w:jc w:val="center"/>
              <w:rPr>
                <w:kern w:val="0"/>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34" w:hRule="atLeast"/>
          <w:jc w:val="center"/>
        </w:trPr>
        <w:tc>
          <w:tcPr>
            <w:tcW w:w="861" w:type="dxa"/>
            <w:vAlign w:val="center"/>
          </w:tcPr>
          <w:p>
            <w:pPr>
              <w:tabs>
                <w:tab w:val="left" w:pos="210"/>
              </w:tabs>
              <w:spacing w:line="320" w:lineRule="exact"/>
              <w:jc w:val="center"/>
              <w:rPr>
                <w:kern w:val="0"/>
                <w:sz w:val="24"/>
              </w:rPr>
            </w:pPr>
            <w:r>
              <w:rPr>
                <w:kern w:val="0"/>
                <w:sz w:val="24"/>
              </w:rPr>
              <w:t>法定代表人身份证复印件</w:t>
            </w:r>
          </w:p>
        </w:tc>
        <w:tc>
          <w:tcPr>
            <w:tcW w:w="8425" w:type="dxa"/>
            <w:gridSpan w:val="4"/>
            <w:vAlign w:val="center"/>
          </w:tcPr>
          <w:p>
            <w:pPr>
              <w:tabs>
                <w:tab w:val="left" w:pos="210"/>
              </w:tabs>
              <w:spacing w:line="320" w:lineRule="exact"/>
              <w:jc w:val="center"/>
              <w:rPr>
                <w:kern w:val="0"/>
                <w:sz w:val="24"/>
              </w:rPr>
            </w:pPr>
            <w:r>
              <w:rPr>
                <w:rFonts w:hint="eastAsia"/>
                <w:kern w:val="0"/>
                <w:sz w:val="24"/>
              </w:rPr>
              <w:t>（</w:t>
            </w:r>
            <w:r>
              <w:rPr>
                <w:kern w:val="0"/>
                <w:sz w:val="24"/>
              </w:rPr>
              <w:t>法定代表人身份证复印件</w:t>
            </w:r>
            <w:r>
              <w:rPr>
                <w:rFonts w:hint="eastAsia"/>
                <w:kern w:val="0"/>
                <w:sz w:val="24"/>
              </w:rPr>
              <w:t>）</w:t>
            </w: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pStyle w:val="9"/>
            </w:pPr>
          </w:p>
          <w:p>
            <w:pPr>
              <w:tabs>
                <w:tab w:val="left" w:pos="210"/>
              </w:tabs>
              <w:spacing w:line="320" w:lineRule="exact"/>
              <w:jc w:val="center"/>
              <w:rPr>
                <w:kern w:val="0"/>
                <w:sz w:val="24"/>
              </w:rPr>
            </w:pPr>
          </w:p>
          <w:p>
            <w:pPr>
              <w:tabs>
                <w:tab w:val="left" w:pos="210"/>
              </w:tabs>
              <w:spacing w:line="320" w:lineRule="exact"/>
              <w:jc w:val="center"/>
              <w:rPr>
                <w:kern w:val="0"/>
                <w:sz w:val="24"/>
              </w:rPr>
            </w:pPr>
          </w:p>
          <w:p>
            <w:pPr>
              <w:tabs>
                <w:tab w:val="left" w:pos="210"/>
              </w:tabs>
              <w:spacing w:line="320" w:lineRule="exact"/>
              <w:rPr>
                <w:kern w:val="0"/>
                <w:sz w:val="24"/>
              </w:rPr>
            </w:pPr>
            <w:r>
              <w:rPr>
                <w:kern w:val="0"/>
                <w:sz w:val="24"/>
              </w:rPr>
              <w:t xml:space="preserve"> </w:t>
            </w:r>
          </w:p>
        </w:tc>
      </w:tr>
    </w:tbl>
    <w:p>
      <w:pPr>
        <w:autoSpaceDE w:val="0"/>
        <w:autoSpaceDN w:val="0"/>
        <w:adjustRightInd w:val="0"/>
        <w:spacing w:line="360" w:lineRule="auto"/>
        <w:rPr>
          <w:sz w:val="24"/>
        </w:rPr>
      </w:pPr>
    </w:p>
    <w:p>
      <w:pPr>
        <w:autoSpaceDE w:val="0"/>
        <w:autoSpaceDN w:val="0"/>
        <w:adjustRightInd w:val="0"/>
        <w:spacing w:line="360" w:lineRule="auto"/>
        <w:rPr>
          <w:b/>
          <w:sz w:val="24"/>
        </w:rPr>
      </w:pPr>
      <w:r>
        <w:rPr>
          <w:b/>
          <w:sz w:val="22"/>
        </w:rPr>
        <w:t>注：</w:t>
      </w:r>
      <w:r>
        <w:rPr>
          <w:rFonts w:hint="eastAsia"/>
          <w:b/>
          <w:sz w:val="22"/>
        </w:rPr>
        <w:t>磋商响应单位</w:t>
      </w:r>
      <w:r>
        <w:rPr>
          <w:b/>
          <w:sz w:val="22"/>
        </w:rPr>
        <w:t>法定代表人直接参加磋商，仅填写本表不需填写授权书</w:t>
      </w:r>
      <w:r>
        <w:rPr>
          <w:b/>
          <w:sz w:val="28"/>
        </w:rPr>
        <w:t>。</w:t>
      </w:r>
    </w:p>
    <w:p>
      <w:pPr>
        <w:adjustRightInd w:val="0"/>
        <w:snapToGrid w:val="0"/>
        <w:spacing w:after="300" w:line="360" w:lineRule="auto"/>
        <w:jc w:val="center"/>
        <w:outlineLvl w:val="1"/>
        <w:rPr>
          <w:b/>
          <w:bCs/>
          <w:sz w:val="28"/>
          <w:szCs w:val="28"/>
        </w:rPr>
      </w:pPr>
      <w:r>
        <w:rPr>
          <w:sz w:val="28"/>
          <w:szCs w:val="28"/>
        </w:rPr>
        <w:br w:type="page"/>
      </w:r>
      <w:r>
        <w:rPr>
          <w:rFonts w:hint="eastAsia"/>
          <w:b/>
          <w:bCs/>
          <w:sz w:val="30"/>
          <w:szCs w:val="30"/>
        </w:rPr>
        <w:t>三</w:t>
      </w:r>
      <w:r>
        <w:rPr>
          <w:b/>
          <w:bCs/>
          <w:sz w:val="30"/>
          <w:szCs w:val="30"/>
        </w:rPr>
        <w:t>、法定代表人授权委托书（格式）</w:t>
      </w:r>
    </w:p>
    <w:p>
      <w:pPr>
        <w:adjustRightInd w:val="0"/>
        <w:snapToGrid w:val="0"/>
        <w:spacing w:line="360" w:lineRule="auto"/>
        <w:ind w:firstLine="480" w:firstLineChars="200"/>
        <w:jc w:val="left"/>
        <w:rPr>
          <w:sz w:val="24"/>
          <w:szCs w:val="28"/>
        </w:rPr>
      </w:pPr>
      <w:r>
        <w:rPr>
          <w:sz w:val="24"/>
          <w:szCs w:val="28"/>
        </w:rPr>
        <w:t>本人</w:t>
      </w:r>
      <w:r>
        <w:rPr>
          <w:sz w:val="24"/>
          <w:szCs w:val="28"/>
          <w:u w:val="single"/>
        </w:rPr>
        <w:t xml:space="preserve">       </w:t>
      </w:r>
      <w:r>
        <w:rPr>
          <w:sz w:val="24"/>
          <w:szCs w:val="28"/>
        </w:rPr>
        <w:t>（姓名）系</w:t>
      </w:r>
      <w:r>
        <w:rPr>
          <w:sz w:val="24"/>
          <w:szCs w:val="28"/>
          <w:u w:val="single"/>
        </w:rPr>
        <w:t xml:space="preserve">          </w:t>
      </w:r>
      <w:r>
        <w:rPr>
          <w:sz w:val="24"/>
          <w:szCs w:val="28"/>
        </w:rPr>
        <w:t>（</w:t>
      </w:r>
      <w:r>
        <w:rPr>
          <w:rFonts w:hint="eastAsia"/>
          <w:sz w:val="24"/>
          <w:szCs w:val="28"/>
        </w:rPr>
        <w:t>磋商响应单位</w:t>
      </w:r>
      <w:r>
        <w:rPr>
          <w:sz w:val="24"/>
          <w:szCs w:val="28"/>
        </w:rPr>
        <w:t>名称）的法定代表人，现委托</w:t>
      </w:r>
      <w:r>
        <w:rPr>
          <w:sz w:val="24"/>
          <w:szCs w:val="28"/>
          <w:u w:val="single"/>
        </w:rPr>
        <w:t xml:space="preserve">      </w:t>
      </w:r>
      <w:r>
        <w:rPr>
          <w:sz w:val="24"/>
          <w:szCs w:val="28"/>
        </w:rPr>
        <w:t>（姓名）为我方代理人。代理人根据授权，以我方名义参加、签署、澄清、说明、补正、递交、撤回、修改</w:t>
      </w:r>
      <w:r>
        <w:rPr>
          <w:sz w:val="24"/>
          <w:szCs w:val="28"/>
          <w:u w:val="single"/>
        </w:rPr>
        <w:t xml:space="preserve"> （项目名称）</w:t>
      </w:r>
      <w:r>
        <w:rPr>
          <w:sz w:val="24"/>
          <w:szCs w:val="28"/>
        </w:rPr>
        <w:t>项目响应文件、参加磋商、签订合同和处理有关事宜，其法律后果由我方承担。</w:t>
      </w:r>
    </w:p>
    <w:p>
      <w:pPr>
        <w:adjustRightInd w:val="0"/>
        <w:snapToGrid w:val="0"/>
        <w:spacing w:line="360" w:lineRule="auto"/>
        <w:ind w:firstLine="480" w:firstLineChars="200"/>
        <w:rPr>
          <w:sz w:val="24"/>
          <w:szCs w:val="28"/>
        </w:rPr>
      </w:pPr>
      <w:r>
        <w:rPr>
          <w:sz w:val="24"/>
          <w:szCs w:val="28"/>
        </w:rPr>
        <w:t>委托期限：自开标时间起不得少于90日历天</w:t>
      </w:r>
    </w:p>
    <w:p>
      <w:pPr>
        <w:adjustRightInd w:val="0"/>
        <w:snapToGrid w:val="0"/>
        <w:spacing w:line="360" w:lineRule="auto"/>
        <w:ind w:firstLine="480" w:firstLineChars="200"/>
        <w:rPr>
          <w:sz w:val="24"/>
          <w:szCs w:val="28"/>
        </w:rPr>
      </w:pPr>
      <w:r>
        <w:rPr>
          <w:sz w:val="24"/>
          <w:szCs w:val="28"/>
        </w:rPr>
        <w:t>代理人无转委托权。</w:t>
      </w:r>
    </w:p>
    <w:p>
      <w:pPr>
        <w:adjustRightInd w:val="0"/>
        <w:snapToGrid w:val="0"/>
        <w:spacing w:line="360" w:lineRule="auto"/>
        <w:ind w:firstLine="480" w:firstLineChars="200"/>
        <w:rPr>
          <w:sz w:val="24"/>
          <w:szCs w:val="28"/>
        </w:rPr>
      </w:pPr>
      <w:r>
        <w:rPr>
          <w:sz w:val="24"/>
          <w:szCs w:val="28"/>
        </w:rPr>
        <w:t>附：法定代表人身份证明</w:t>
      </w:r>
    </w:p>
    <w:p>
      <w:pPr>
        <w:spacing w:line="360" w:lineRule="auto"/>
        <w:ind w:firstLine="480" w:firstLineChars="200"/>
        <w:rPr>
          <w:sz w:val="24"/>
        </w:rPr>
      </w:pPr>
      <w:r>
        <w:rPr>
          <w:sz w:val="24"/>
          <w:szCs w:val="28"/>
        </w:rPr>
        <w:t>附：</w:t>
      </w:r>
      <w:r>
        <w:rPr>
          <w:sz w:val="24"/>
        </w:rPr>
        <w:t>委托代理人身份证</w:t>
      </w: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pStyle w:val="9"/>
        <w:ind w:firstLine="480"/>
        <w:rPr>
          <w:sz w:val="24"/>
        </w:rPr>
      </w:pPr>
    </w:p>
    <w:p>
      <w:pPr>
        <w:adjustRightInd w:val="0"/>
        <w:snapToGrid w:val="0"/>
        <w:spacing w:line="360" w:lineRule="auto"/>
        <w:rPr>
          <w:sz w:val="24"/>
          <w:szCs w:val="28"/>
        </w:rPr>
      </w:pPr>
      <w:r>
        <w:rPr>
          <w:rFonts w:hint="eastAsia"/>
          <w:sz w:val="24"/>
          <w:szCs w:val="28"/>
        </w:rPr>
        <w:t>磋商响应单位</w:t>
      </w:r>
      <w:r>
        <w:rPr>
          <w:sz w:val="24"/>
          <w:szCs w:val="28"/>
        </w:rPr>
        <w:t>名称：</w:t>
      </w:r>
      <w:r>
        <w:rPr>
          <w:sz w:val="24"/>
          <w:szCs w:val="28"/>
          <w:u w:val="single"/>
        </w:rPr>
        <w:t xml:space="preserve">                      </w:t>
      </w:r>
      <w:r>
        <w:rPr>
          <w:sz w:val="24"/>
          <w:szCs w:val="28"/>
        </w:rPr>
        <w:t>（公章）</w:t>
      </w:r>
    </w:p>
    <w:p>
      <w:pPr>
        <w:adjustRightInd w:val="0"/>
        <w:snapToGrid w:val="0"/>
        <w:spacing w:line="360" w:lineRule="auto"/>
        <w:rPr>
          <w:sz w:val="24"/>
          <w:szCs w:val="28"/>
        </w:rPr>
      </w:pPr>
      <w:r>
        <w:rPr>
          <w:sz w:val="24"/>
          <w:szCs w:val="28"/>
        </w:rPr>
        <w:t>法定代表人：</w:t>
      </w:r>
      <w:r>
        <w:rPr>
          <w:sz w:val="24"/>
          <w:szCs w:val="28"/>
          <w:u w:val="single"/>
        </w:rPr>
        <w:t xml:space="preserve">                      </w:t>
      </w:r>
      <w:r>
        <w:rPr>
          <w:sz w:val="24"/>
          <w:szCs w:val="28"/>
        </w:rPr>
        <w:t>（签字或盖章）</w:t>
      </w:r>
    </w:p>
    <w:p>
      <w:pPr>
        <w:adjustRightInd w:val="0"/>
        <w:snapToGrid w:val="0"/>
        <w:spacing w:line="360" w:lineRule="auto"/>
        <w:rPr>
          <w:sz w:val="24"/>
          <w:szCs w:val="28"/>
        </w:rPr>
      </w:pPr>
      <w:r>
        <w:rPr>
          <w:sz w:val="24"/>
          <w:szCs w:val="28"/>
        </w:rPr>
        <w:t>委托代理人：</w:t>
      </w:r>
      <w:r>
        <w:rPr>
          <w:sz w:val="24"/>
          <w:szCs w:val="28"/>
          <w:u w:val="single"/>
        </w:rPr>
        <w:t xml:space="preserve">                      </w:t>
      </w:r>
      <w:r>
        <w:rPr>
          <w:sz w:val="24"/>
          <w:szCs w:val="28"/>
        </w:rPr>
        <w:t>（签字或盖章）</w:t>
      </w:r>
    </w:p>
    <w:p>
      <w:pPr>
        <w:adjustRightInd w:val="0"/>
        <w:snapToGrid w:val="0"/>
        <w:spacing w:line="360" w:lineRule="auto"/>
        <w:ind w:left="240" w:hanging="240" w:hangingChars="100"/>
        <w:rPr>
          <w:sz w:val="24"/>
          <w:szCs w:val="28"/>
        </w:rPr>
      </w:pPr>
      <w:r>
        <w:rPr>
          <w:sz w:val="24"/>
          <w:szCs w:val="28"/>
        </w:rPr>
        <w:t>日  期</w:t>
      </w:r>
      <w:r>
        <w:rPr>
          <w:rFonts w:hint="eastAsia"/>
          <w:sz w:val="24"/>
          <w:szCs w:val="28"/>
        </w:rPr>
        <w:t xml:space="preserve"> ：</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 xml:space="preserve">日    </w:t>
      </w:r>
    </w:p>
    <w:p>
      <w:pPr>
        <w:adjustRightInd w:val="0"/>
        <w:snapToGrid w:val="0"/>
        <w:spacing w:line="360" w:lineRule="auto"/>
        <w:ind w:left="301" w:hanging="301" w:hangingChars="100"/>
        <w:jc w:val="center"/>
        <w:rPr>
          <w:rFonts w:asciiTheme="minorEastAsia" w:hAnsiTheme="minorEastAsia" w:eastAsiaTheme="minorEastAsia" w:cstheme="minorEastAsia"/>
          <w:sz w:val="30"/>
          <w:szCs w:val="30"/>
        </w:rPr>
      </w:pPr>
      <w:r>
        <w:rPr>
          <w:b/>
          <w:bCs/>
          <w:sz w:val="30"/>
          <w:szCs w:val="30"/>
        </w:rPr>
        <w:br w:type="page"/>
      </w:r>
      <w:r>
        <w:rPr>
          <w:rFonts w:hint="eastAsia" w:asciiTheme="minorEastAsia" w:hAnsiTheme="minorEastAsia" w:eastAsiaTheme="minorEastAsia" w:cstheme="minorEastAsia"/>
          <w:b/>
          <w:bCs/>
          <w:sz w:val="30"/>
          <w:szCs w:val="30"/>
        </w:rPr>
        <w:t>四、参加政府采购活动前3年内经营活动中</w:t>
      </w:r>
    </w:p>
    <w:p>
      <w:pPr>
        <w:adjustRightInd w:val="0"/>
        <w:snapToGrid w:val="0"/>
        <w:spacing w:line="360" w:lineRule="auto"/>
        <w:jc w:val="center"/>
        <w:rPr>
          <w:rFonts w:asciiTheme="minorEastAsia" w:hAnsiTheme="minorEastAsia" w:eastAsiaTheme="minorEastAsia" w:cstheme="minorEastAsia"/>
          <w:b/>
          <w:sz w:val="30"/>
          <w:szCs w:val="30"/>
        </w:rPr>
      </w:pPr>
      <w:r>
        <w:rPr>
          <w:rFonts w:hint="eastAsia" w:asciiTheme="minorEastAsia" w:hAnsiTheme="minorEastAsia" w:eastAsiaTheme="minorEastAsia" w:cstheme="minorEastAsia"/>
          <w:b/>
          <w:bCs/>
          <w:sz w:val="30"/>
          <w:szCs w:val="30"/>
        </w:rPr>
        <w:t>没有重大违法记录声明（格式）</w:t>
      </w:r>
    </w:p>
    <w:p>
      <w:pPr>
        <w:autoSpaceDE w:val="0"/>
        <w:autoSpaceDN w:val="0"/>
        <w:adjustRightInd w:val="0"/>
        <w:snapToGrid w:val="0"/>
        <w:spacing w:beforeLines="150" w:afterLines="100" w:line="360" w:lineRule="auto"/>
        <w:jc w:val="center"/>
        <w:rPr>
          <w:b/>
          <w:sz w:val="28"/>
          <w:szCs w:val="28"/>
        </w:rPr>
      </w:pPr>
      <w:r>
        <w:rPr>
          <w:b/>
          <w:sz w:val="36"/>
          <w:szCs w:val="28"/>
        </w:rPr>
        <w:t>声  明</w:t>
      </w:r>
    </w:p>
    <w:p>
      <w:pPr>
        <w:autoSpaceDE w:val="0"/>
        <w:autoSpaceDN w:val="0"/>
        <w:adjustRightInd w:val="0"/>
        <w:snapToGrid w:val="0"/>
        <w:spacing w:line="360" w:lineRule="auto"/>
        <w:ind w:firstLine="480" w:firstLineChars="200"/>
        <w:jc w:val="left"/>
        <w:rPr>
          <w:sz w:val="24"/>
          <w:szCs w:val="28"/>
        </w:rPr>
      </w:pPr>
      <w:r>
        <w:rPr>
          <w:sz w:val="24"/>
          <w:szCs w:val="28"/>
        </w:rPr>
        <w:t>我公司</w:t>
      </w:r>
      <w:r>
        <w:rPr>
          <w:sz w:val="24"/>
          <w:szCs w:val="28"/>
          <w:u w:val="single"/>
        </w:rPr>
        <w:t>（单位）</w:t>
      </w:r>
      <w:r>
        <w:rPr>
          <w:sz w:val="24"/>
          <w:szCs w:val="28"/>
        </w:rPr>
        <w:t>近三年（成立不足三年的将“近三年”改为“自成立之日起至今”）在参加政府采购活动和经营活动中无重大违法记录。执业期间无违规、违纪等不良执业记录。</w:t>
      </w:r>
    </w:p>
    <w:p>
      <w:pPr>
        <w:autoSpaceDE w:val="0"/>
        <w:autoSpaceDN w:val="0"/>
        <w:adjustRightInd w:val="0"/>
        <w:snapToGrid w:val="0"/>
        <w:spacing w:line="360" w:lineRule="auto"/>
        <w:ind w:firstLine="480" w:firstLineChars="200"/>
        <w:jc w:val="left"/>
        <w:rPr>
          <w:sz w:val="24"/>
          <w:szCs w:val="28"/>
        </w:rPr>
      </w:pPr>
    </w:p>
    <w:p>
      <w:pPr>
        <w:autoSpaceDE w:val="0"/>
        <w:autoSpaceDN w:val="0"/>
        <w:adjustRightInd w:val="0"/>
        <w:snapToGrid w:val="0"/>
        <w:spacing w:line="360" w:lineRule="auto"/>
        <w:ind w:firstLine="480" w:firstLineChars="200"/>
        <w:jc w:val="left"/>
        <w:rPr>
          <w:sz w:val="24"/>
          <w:szCs w:val="28"/>
        </w:rPr>
      </w:pPr>
      <w:r>
        <w:rPr>
          <w:sz w:val="24"/>
          <w:szCs w:val="28"/>
        </w:rPr>
        <w:t>注：重大违法记录是指</w:t>
      </w:r>
      <w:r>
        <w:rPr>
          <w:rFonts w:hint="eastAsia"/>
          <w:sz w:val="24"/>
          <w:szCs w:val="28"/>
        </w:rPr>
        <w:t>磋商响应单位</w:t>
      </w:r>
      <w:r>
        <w:rPr>
          <w:sz w:val="24"/>
          <w:szCs w:val="28"/>
        </w:rPr>
        <w:t>因违法经营受到刑事处罚或者责令停产停业,吊销许可证或者执照、较大数额罚款等行政处罚。</w:t>
      </w:r>
    </w:p>
    <w:p>
      <w:pPr>
        <w:autoSpaceDE w:val="0"/>
        <w:autoSpaceDN w:val="0"/>
        <w:adjustRightInd w:val="0"/>
        <w:snapToGrid w:val="0"/>
        <w:spacing w:line="300" w:lineRule="auto"/>
        <w:jc w:val="left"/>
        <w:rPr>
          <w:sz w:val="28"/>
          <w:szCs w:val="28"/>
        </w:rPr>
      </w:pPr>
    </w:p>
    <w:p>
      <w:pPr>
        <w:autoSpaceDE w:val="0"/>
        <w:autoSpaceDN w:val="0"/>
        <w:adjustRightInd w:val="0"/>
        <w:spacing w:line="360" w:lineRule="auto"/>
        <w:jc w:val="left"/>
        <w:rPr>
          <w:sz w:val="28"/>
          <w:szCs w:val="28"/>
        </w:rPr>
      </w:pPr>
    </w:p>
    <w:p>
      <w:pPr>
        <w:autoSpaceDE w:val="0"/>
        <w:autoSpaceDN w:val="0"/>
        <w:adjustRightInd w:val="0"/>
        <w:spacing w:line="360" w:lineRule="auto"/>
        <w:ind w:firstLine="480" w:firstLineChars="200"/>
        <w:jc w:val="left"/>
        <w:rPr>
          <w:sz w:val="24"/>
          <w:szCs w:val="28"/>
        </w:rPr>
      </w:pPr>
      <w:r>
        <w:rPr>
          <w:sz w:val="24"/>
          <w:szCs w:val="28"/>
        </w:rPr>
        <w:t>特此声明。</w:t>
      </w:r>
    </w:p>
    <w:p>
      <w:pPr>
        <w:autoSpaceDE w:val="0"/>
        <w:autoSpaceDN w:val="0"/>
        <w:adjustRightInd w:val="0"/>
        <w:spacing w:line="360" w:lineRule="auto"/>
        <w:jc w:val="left"/>
        <w:rPr>
          <w:sz w:val="28"/>
          <w:szCs w:val="28"/>
        </w:rPr>
      </w:pPr>
    </w:p>
    <w:p>
      <w:pPr>
        <w:autoSpaceDE w:val="0"/>
        <w:autoSpaceDN w:val="0"/>
        <w:adjustRightInd w:val="0"/>
        <w:spacing w:line="480" w:lineRule="auto"/>
        <w:jc w:val="left"/>
        <w:rPr>
          <w:sz w:val="28"/>
          <w:szCs w:val="28"/>
        </w:rPr>
      </w:pPr>
    </w:p>
    <w:p>
      <w:pPr>
        <w:autoSpaceDE w:val="0"/>
        <w:autoSpaceDN w:val="0"/>
        <w:adjustRightInd w:val="0"/>
        <w:spacing w:line="480" w:lineRule="auto"/>
        <w:jc w:val="left"/>
        <w:rPr>
          <w:sz w:val="28"/>
          <w:szCs w:val="28"/>
        </w:rPr>
      </w:pPr>
    </w:p>
    <w:p>
      <w:pPr>
        <w:autoSpaceDE w:val="0"/>
        <w:autoSpaceDN w:val="0"/>
        <w:adjustRightInd w:val="0"/>
        <w:spacing w:line="480" w:lineRule="auto"/>
        <w:jc w:val="left"/>
        <w:rPr>
          <w:sz w:val="28"/>
          <w:szCs w:val="28"/>
        </w:rPr>
      </w:pPr>
    </w:p>
    <w:p>
      <w:pPr>
        <w:autoSpaceDE w:val="0"/>
        <w:autoSpaceDN w:val="0"/>
        <w:adjustRightInd w:val="0"/>
        <w:spacing w:line="480" w:lineRule="auto"/>
        <w:jc w:val="left"/>
        <w:rPr>
          <w:sz w:val="28"/>
          <w:szCs w:val="28"/>
        </w:rPr>
      </w:pPr>
    </w:p>
    <w:p>
      <w:pPr>
        <w:autoSpaceDE w:val="0"/>
        <w:autoSpaceDN w:val="0"/>
        <w:adjustRightInd w:val="0"/>
        <w:snapToGrid w:val="0"/>
        <w:spacing w:line="360" w:lineRule="auto"/>
        <w:ind w:firstLine="480" w:firstLineChars="200"/>
        <w:jc w:val="left"/>
        <w:rPr>
          <w:sz w:val="24"/>
          <w:szCs w:val="28"/>
        </w:rPr>
      </w:pPr>
      <w:r>
        <w:rPr>
          <w:rFonts w:hint="eastAsia"/>
          <w:sz w:val="24"/>
          <w:szCs w:val="28"/>
        </w:rPr>
        <w:t>磋商响应单位</w:t>
      </w:r>
      <w:r>
        <w:rPr>
          <w:sz w:val="24"/>
          <w:szCs w:val="28"/>
        </w:rPr>
        <w:t>名称：</w:t>
      </w:r>
      <w:r>
        <w:rPr>
          <w:sz w:val="24"/>
          <w:szCs w:val="28"/>
          <w:u w:val="single"/>
        </w:rPr>
        <w:t xml:space="preserve">                    </w:t>
      </w:r>
      <w:r>
        <w:rPr>
          <w:sz w:val="24"/>
          <w:szCs w:val="28"/>
        </w:rPr>
        <w:t>（单位公章）</w:t>
      </w:r>
    </w:p>
    <w:p>
      <w:pPr>
        <w:autoSpaceDE w:val="0"/>
        <w:autoSpaceDN w:val="0"/>
        <w:adjustRightInd w:val="0"/>
        <w:snapToGrid w:val="0"/>
        <w:spacing w:line="360" w:lineRule="auto"/>
        <w:ind w:firstLine="480" w:firstLineChars="200"/>
        <w:jc w:val="left"/>
        <w:rPr>
          <w:sz w:val="24"/>
          <w:szCs w:val="28"/>
          <w:u w:val="single"/>
        </w:rPr>
      </w:pPr>
      <w:r>
        <w:rPr>
          <w:sz w:val="24"/>
          <w:szCs w:val="28"/>
        </w:rPr>
        <w:t>法定代表人或授权代表人：</w:t>
      </w:r>
      <w:r>
        <w:rPr>
          <w:sz w:val="24"/>
          <w:szCs w:val="28"/>
          <w:u w:val="single"/>
        </w:rPr>
        <w:t xml:space="preserve">             </w:t>
      </w:r>
      <w:r>
        <w:rPr>
          <w:sz w:val="24"/>
          <w:szCs w:val="28"/>
        </w:rPr>
        <w:t>（签字或盖章）</w:t>
      </w:r>
    </w:p>
    <w:p>
      <w:pPr>
        <w:autoSpaceDE w:val="0"/>
        <w:autoSpaceDN w:val="0"/>
        <w:adjustRightInd w:val="0"/>
        <w:snapToGrid w:val="0"/>
        <w:spacing w:line="360" w:lineRule="auto"/>
        <w:ind w:firstLine="480" w:firstLineChars="200"/>
        <w:jc w:val="left"/>
        <w:rPr>
          <w:sz w:val="24"/>
          <w:szCs w:val="28"/>
        </w:rPr>
      </w:pPr>
      <w:r>
        <w:rPr>
          <w:sz w:val="24"/>
          <w:szCs w:val="28"/>
        </w:rPr>
        <w:t>日期：</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adjustRightInd w:val="0"/>
        <w:snapToGrid w:val="0"/>
        <w:spacing w:after="300" w:line="360" w:lineRule="auto"/>
        <w:jc w:val="center"/>
        <w:outlineLvl w:val="0"/>
        <w:rPr>
          <w:b/>
          <w:bCs/>
          <w:sz w:val="30"/>
          <w:szCs w:val="30"/>
        </w:rPr>
      </w:pPr>
      <w:r>
        <w:rPr>
          <w:sz w:val="28"/>
          <w:szCs w:val="28"/>
        </w:rPr>
        <w:br w:type="page"/>
      </w:r>
      <w:bookmarkStart w:id="66" w:name="_Toc23316"/>
      <w:bookmarkStart w:id="67" w:name="_Toc31797_WPSOffice_Level1"/>
      <w:r>
        <w:rPr>
          <w:rFonts w:hint="eastAsia"/>
          <w:b/>
          <w:bCs/>
          <w:sz w:val="30"/>
          <w:szCs w:val="30"/>
        </w:rPr>
        <w:t>五</w:t>
      </w:r>
      <w:r>
        <w:rPr>
          <w:b/>
          <w:bCs/>
          <w:sz w:val="30"/>
          <w:szCs w:val="30"/>
        </w:rPr>
        <w:t>、企业资质证书复印件</w:t>
      </w:r>
      <w:bookmarkEnd w:id="66"/>
      <w:bookmarkEnd w:id="67"/>
    </w:p>
    <w:p>
      <w:pPr>
        <w:autoSpaceDE w:val="0"/>
        <w:autoSpaceDN w:val="0"/>
        <w:adjustRightInd w:val="0"/>
        <w:snapToGrid w:val="0"/>
        <w:spacing w:line="360" w:lineRule="auto"/>
        <w:jc w:val="center"/>
        <w:rPr>
          <w:b/>
          <w:bCs/>
          <w:sz w:val="30"/>
          <w:szCs w:val="30"/>
        </w:rPr>
      </w:pPr>
      <w:r>
        <w:rPr>
          <w:sz w:val="28"/>
          <w:szCs w:val="28"/>
        </w:rPr>
        <w:br w:type="page"/>
      </w:r>
    </w:p>
    <w:p>
      <w:pPr>
        <w:adjustRightInd w:val="0"/>
        <w:snapToGrid w:val="0"/>
        <w:spacing w:after="300" w:line="360" w:lineRule="auto"/>
        <w:jc w:val="center"/>
        <w:outlineLvl w:val="0"/>
        <w:rPr>
          <w:b/>
          <w:bCs/>
          <w:sz w:val="30"/>
          <w:szCs w:val="30"/>
        </w:rPr>
      </w:pPr>
      <w:bookmarkStart w:id="68" w:name="_Toc5345"/>
      <w:bookmarkStart w:id="69" w:name="_Toc2401_WPSOffice_Level1"/>
      <w:r>
        <w:rPr>
          <w:rFonts w:hint="eastAsia"/>
          <w:b/>
          <w:bCs/>
          <w:sz w:val="30"/>
          <w:szCs w:val="30"/>
        </w:rPr>
        <w:t>六</w:t>
      </w:r>
      <w:r>
        <w:rPr>
          <w:b/>
          <w:bCs/>
          <w:sz w:val="30"/>
          <w:szCs w:val="30"/>
        </w:rPr>
        <w:t>、安全生产许可证复印件</w:t>
      </w:r>
      <w:bookmarkEnd w:id="68"/>
      <w:bookmarkEnd w:id="69"/>
    </w:p>
    <w:p/>
    <w:p/>
    <w:p/>
    <w:p/>
    <w:p/>
    <w:p/>
    <w:p/>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
    <w:p/>
    <w:p/>
    <w:p/>
    <w:p>
      <w:pPr>
        <w:pStyle w:val="9"/>
      </w:pPr>
    </w:p>
    <w:p>
      <w:pPr>
        <w:pStyle w:val="9"/>
      </w:pPr>
    </w:p>
    <w:p>
      <w:pPr>
        <w:pStyle w:val="9"/>
      </w:pPr>
    </w:p>
    <w:p/>
    <w:p/>
    <w:p/>
    <w:p/>
    <w:p/>
    <w:p/>
    <w:p/>
    <w:p/>
    <w:p>
      <w:pPr>
        <w:adjustRightInd w:val="0"/>
        <w:snapToGrid w:val="0"/>
        <w:spacing w:line="360" w:lineRule="auto"/>
        <w:jc w:val="center"/>
        <w:outlineLvl w:val="0"/>
        <w:rPr>
          <w:b/>
          <w:bCs/>
          <w:sz w:val="30"/>
          <w:szCs w:val="30"/>
        </w:rPr>
      </w:pPr>
      <w:bookmarkStart w:id="70" w:name="_Toc20655"/>
      <w:bookmarkStart w:id="71" w:name="_Toc4854_WPSOffice_Level1"/>
      <w:r>
        <w:rPr>
          <w:rFonts w:hint="eastAsia"/>
          <w:b/>
          <w:bCs/>
          <w:sz w:val="30"/>
          <w:szCs w:val="30"/>
        </w:rPr>
        <w:t>七</w:t>
      </w:r>
      <w:r>
        <w:rPr>
          <w:b/>
          <w:bCs/>
          <w:sz w:val="30"/>
          <w:szCs w:val="30"/>
        </w:rPr>
        <w:t>、</w:t>
      </w:r>
      <w:r>
        <w:rPr>
          <w:rFonts w:hint="eastAsia"/>
          <w:b/>
          <w:bCs/>
          <w:sz w:val="30"/>
          <w:szCs w:val="30"/>
        </w:rPr>
        <w:t>注册建造师证及安全生产考核合格证复印件</w:t>
      </w:r>
      <w:bookmarkEnd w:id="70"/>
      <w:bookmarkEnd w:id="71"/>
    </w:p>
    <w:p>
      <w:pPr>
        <w:adjustRightInd w:val="0"/>
        <w:snapToGrid w:val="0"/>
        <w:spacing w:after="300" w:line="360" w:lineRule="auto"/>
        <w:jc w:val="center"/>
        <w:outlineLvl w:val="1"/>
        <w:rPr>
          <w:b/>
          <w:bCs/>
          <w:sz w:val="28"/>
          <w:szCs w:val="28"/>
        </w:rPr>
      </w:pPr>
      <w:r>
        <w:rPr>
          <w:rFonts w:hint="eastAsia"/>
          <w:b/>
          <w:bCs/>
          <w:sz w:val="28"/>
          <w:szCs w:val="28"/>
        </w:rPr>
        <w:t>（提供在本单位注册且无在建工程的证明）</w:t>
      </w:r>
    </w:p>
    <w:p>
      <w:pPr>
        <w:pStyle w:val="9"/>
        <w:ind w:firstLine="562"/>
        <w:jc w:val="center"/>
      </w:pPr>
      <w:r>
        <w:rPr>
          <w:rFonts w:hint="eastAsia"/>
          <w:b/>
          <w:bCs/>
          <w:sz w:val="28"/>
          <w:szCs w:val="28"/>
        </w:rPr>
        <w:t>（格式自拟）</w:t>
      </w:r>
    </w:p>
    <w:p/>
    <w:p/>
    <w:p/>
    <w:p/>
    <w:p/>
    <w:p/>
    <w:p/>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
    <w:p/>
    <w:p>
      <w:pPr>
        <w:autoSpaceDE w:val="0"/>
        <w:autoSpaceDN w:val="0"/>
        <w:adjustRightInd w:val="0"/>
        <w:snapToGrid w:val="0"/>
        <w:spacing w:line="360" w:lineRule="auto"/>
        <w:ind w:firstLine="480" w:firstLineChars="200"/>
        <w:jc w:val="left"/>
        <w:rPr>
          <w:sz w:val="24"/>
          <w:szCs w:val="28"/>
        </w:rPr>
      </w:pPr>
      <w:r>
        <w:rPr>
          <w:rFonts w:hint="eastAsia"/>
          <w:sz w:val="24"/>
          <w:szCs w:val="28"/>
        </w:rPr>
        <w:t>磋商响应单位</w:t>
      </w:r>
      <w:r>
        <w:rPr>
          <w:sz w:val="24"/>
          <w:szCs w:val="28"/>
        </w:rPr>
        <w:t>名称：</w:t>
      </w:r>
      <w:r>
        <w:rPr>
          <w:sz w:val="24"/>
          <w:szCs w:val="28"/>
          <w:u w:val="single"/>
        </w:rPr>
        <w:t xml:space="preserve">                     </w:t>
      </w:r>
      <w:r>
        <w:rPr>
          <w:sz w:val="24"/>
          <w:szCs w:val="28"/>
        </w:rPr>
        <w:t>（单位公章）</w:t>
      </w:r>
    </w:p>
    <w:p>
      <w:pPr>
        <w:autoSpaceDE w:val="0"/>
        <w:autoSpaceDN w:val="0"/>
        <w:adjustRightInd w:val="0"/>
        <w:snapToGrid w:val="0"/>
        <w:spacing w:line="360" w:lineRule="auto"/>
        <w:ind w:firstLine="480" w:firstLineChars="200"/>
        <w:jc w:val="left"/>
        <w:rPr>
          <w:sz w:val="24"/>
          <w:szCs w:val="28"/>
          <w:u w:val="single"/>
        </w:rPr>
      </w:pPr>
      <w:r>
        <w:rPr>
          <w:sz w:val="24"/>
          <w:szCs w:val="28"/>
        </w:rPr>
        <w:t>法定代表人或授权代表人：</w:t>
      </w:r>
      <w:r>
        <w:rPr>
          <w:sz w:val="24"/>
          <w:szCs w:val="28"/>
          <w:u w:val="single"/>
        </w:rPr>
        <w:t xml:space="preserve">             </w:t>
      </w:r>
      <w:r>
        <w:rPr>
          <w:sz w:val="24"/>
          <w:szCs w:val="28"/>
        </w:rPr>
        <w:t>（签字或盖章）</w:t>
      </w:r>
    </w:p>
    <w:p>
      <w:pPr>
        <w:autoSpaceDE w:val="0"/>
        <w:autoSpaceDN w:val="0"/>
        <w:adjustRightInd w:val="0"/>
        <w:snapToGrid w:val="0"/>
        <w:spacing w:line="360" w:lineRule="auto"/>
        <w:ind w:firstLine="480" w:firstLineChars="200"/>
        <w:jc w:val="left"/>
        <w:rPr>
          <w:sz w:val="24"/>
          <w:szCs w:val="28"/>
        </w:rPr>
      </w:pPr>
      <w:r>
        <w:rPr>
          <w:sz w:val="24"/>
          <w:szCs w:val="28"/>
        </w:rPr>
        <w:t>日期：</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
    <w:p>
      <w:pPr>
        <w:pStyle w:val="9"/>
      </w:pPr>
    </w:p>
    <w:p>
      <w:pPr>
        <w:pStyle w:val="9"/>
      </w:pPr>
    </w:p>
    <w:p>
      <w:pPr>
        <w:pStyle w:val="9"/>
      </w:pPr>
    </w:p>
    <w:p>
      <w:pPr>
        <w:pStyle w:val="9"/>
      </w:pPr>
    </w:p>
    <w:p>
      <w:pPr>
        <w:pStyle w:val="9"/>
      </w:pPr>
    </w:p>
    <w:p>
      <w:pPr>
        <w:pStyle w:val="9"/>
      </w:pPr>
    </w:p>
    <w:p>
      <w:pPr>
        <w:pStyle w:val="9"/>
      </w:pPr>
    </w:p>
    <w:p/>
    <w:p/>
    <w:p>
      <w:pPr>
        <w:adjustRightInd w:val="0"/>
        <w:snapToGrid w:val="0"/>
        <w:spacing w:after="300" w:line="360" w:lineRule="auto"/>
        <w:jc w:val="center"/>
        <w:outlineLvl w:val="0"/>
        <w:rPr>
          <w:b/>
          <w:bCs/>
          <w:sz w:val="30"/>
          <w:szCs w:val="30"/>
        </w:rPr>
      </w:pPr>
      <w:bookmarkStart w:id="72" w:name="_Toc25823_WPSOffice_Level1"/>
      <w:bookmarkStart w:id="73" w:name="_Toc16727"/>
      <w:r>
        <w:rPr>
          <w:rFonts w:hint="eastAsia"/>
          <w:b/>
          <w:bCs/>
          <w:sz w:val="30"/>
          <w:szCs w:val="30"/>
        </w:rPr>
        <w:t>八、</w:t>
      </w:r>
      <w:bookmarkEnd w:id="72"/>
      <w:r>
        <w:rPr>
          <w:rFonts w:hint="eastAsia" w:ascii="宋体" w:hAnsi="宋体"/>
          <w:b/>
          <w:bCs/>
          <w:kern w:val="0"/>
          <w:sz w:val="32"/>
          <w:szCs w:val="32"/>
        </w:rPr>
        <w:t>税收缴纳证明</w:t>
      </w:r>
      <w:bookmarkEnd w:id="73"/>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rPr>
          <w:rFonts w:ascii="宋体" w:hAnsi="宋体"/>
          <w:b/>
          <w:bCs/>
          <w:kern w:val="0"/>
          <w:sz w:val="32"/>
          <w:szCs w:val="32"/>
        </w:rPr>
      </w:pPr>
    </w:p>
    <w:p>
      <w:pPr>
        <w:pStyle w:val="9"/>
        <w:ind w:firstLine="0" w:firstLineChars="0"/>
        <w:jc w:val="center"/>
        <w:outlineLvl w:val="0"/>
        <w:rPr>
          <w:rFonts w:ascii="宋体" w:hAnsi="宋体"/>
          <w:b/>
          <w:bCs/>
          <w:kern w:val="0"/>
          <w:sz w:val="32"/>
          <w:szCs w:val="32"/>
        </w:rPr>
        <w:sectPr>
          <w:pgSz w:w="11906" w:h="16838"/>
          <w:pgMar w:top="1440" w:right="1457" w:bottom="1440" w:left="1463" w:header="851" w:footer="992" w:gutter="0"/>
          <w:cols w:space="0" w:num="1"/>
          <w:titlePg/>
          <w:docGrid w:type="lines" w:linePitch="312" w:charSpace="0"/>
        </w:sectPr>
      </w:pPr>
      <w:bookmarkStart w:id="74" w:name="_Toc9237"/>
      <w:r>
        <w:rPr>
          <w:rFonts w:hint="eastAsia" w:ascii="宋体" w:hAnsi="宋体"/>
          <w:b/>
          <w:bCs/>
          <w:kern w:val="0"/>
          <w:sz w:val="32"/>
          <w:szCs w:val="32"/>
        </w:rPr>
        <w:t>九、社会保障资金缴纳证明</w:t>
      </w:r>
      <w:bookmarkEnd w:id="74"/>
    </w:p>
    <w:p>
      <w:pPr>
        <w:pStyle w:val="9"/>
        <w:numPr>
          <w:ilvl w:val="0"/>
          <w:numId w:val="6"/>
        </w:numPr>
        <w:ind w:firstLine="643"/>
        <w:jc w:val="center"/>
        <w:outlineLvl w:val="0"/>
        <w:rPr>
          <w:rFonts w:ascii="宋体" w:hAnsi="宋体"/>
          <w:b/>
          <w:bCs/>
          <w:kern w:val="0"/>
          <w:sz w:val="32"/>
          <w:szCs w:val="32"/>
        </w:rPr>
      </w:pPr>
      <w:r>
        <w:rPr>
          <w:rFonts w:hint="eastAsia" w:ascii="宋体" w:hAnsi="宋体"/>
          <w:b/>
          <w:bCs/>
          <w:kern w:val="0"/>
          <w:sz w:val="32"/>
          <w:szCs w:val="32"/>
        </w:rPr>
        <w:t>财务状况</w:t>
      </w:r>
    </w:p>
    <w:p/>
    <w:p/>
    <w:p/>
    <w:p/>
    <w:p>
      <w:pPr>
        <w:tabs>
          <w:tab w:val="center" w:pos="4493"/>
        </w:tabs>
        <w:jc w:val="left"/>
      </w:pPr>
      <w:r>
        <w:rPr>
          <w:rFonts w:hint="eastAsia"/>
        </w:rPr>
        <w:tab/>
      </w: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9"/>
      </w:pPr>
    </w:p>
    <w:p>
      <w:pPr>
        <w:pStyle w:val="4"/>
        <w:numPr>
          <w:ilvl w:val="0"/>
          <w:numId w:val="0"/>
        </w:numPr>
        <w:ind w:left="432"/>
        <w:rPr>
          <w:rFonts w:ascii="Times New Roman" w:eastAsia="宋体"/>
          <w:kern w:val="2"/>
          <w:sz w:val="21"/>
          <w:szCs w:val="24"/>
        </w:rPr>
      </w:pPr>
      <w:bookmarkStart w:id="75" w:name="_Toc15081"/>
      <w:r>
        <w:rPr>
          <w:rFonts w:hint="eastAsia" w:ascii="宋体" w:hAnsi="宋体" w:eastAsia="宋体"/>
          <w:b/>
          <w:bCs/>
          <w:sz w:val="32"/>
          <w:szCs w:val="32"/>
        </w:rPr>
        <w:t>十一、控股关系说明</w:t>
      </w:r>
      <w:bookmarkEnd w:id="75"/>
    </w:p>
    <w:p/>
    <w:p>
      <w:pPr>
        <w:tabs>
          <w:tab w:val="left" w:pos="1184"/>
        </w:tabs>
        <w:jc w:val="left"/>
        <w:rPr>
          <w:rFonts w:ascii="宋体" w:hAnsi="宋体"/>
          <w:b/>
          <w:bCs/>
          <w:kern w:val="0"/>
          <w:sz w:val="24"/>
        </w:rPr>
        <w:sectPr>
          <w:pgSz w:w="11906" w:h="16838"/>
          <w:pgMar w:top="1440" w:right="1457" w:bottom="1440" w:left="1463" w:header="851" w:footer="992" w:gutter="0"/>
          <w:cols w:space="0" w:num="1"/>
          <w:titlePg/>
          <w:docGrid w:type="lines" w:linePitch="312" w:charSpace="0"/>
        </w:sectPr>
      </w:pPr>
      <w:r>
        <w:rPr>
          <w:rFonts w:hint="eastAsia" w:ascii="宋体" w:hAnsi="宋体"/>
          <w:b/>
          <w:bCs/>
          <w:kern w:val="0"/>
          <w:sz w:val="24"/>
        </w:rPr>
        <w:t>磋商响应单位负责人不得为为同一人或者存在控股、管理关系，格式自拟；</w:t>
      </w:r>
    </w:p>
    <w:p>
      <w:pPr>
        <w:pStyle w:val="4"/>
        <w:numPr>
          <w:ilvl w:val="0"/>
          <w:numId w:val="0"/>
        </w:numPr>
        <w:ind w:left="432"/>
        <w:jc w:val="both"/>
        <w:rPr>
          <w:rFonts w:ascii="宋体" w:hAnsi="宋体" w:eastAsia="宋体"/>
          <w:b/>
          <w:bCs/>
          <w:sz w:val="32"/>
          <w:szCs w:val="32"/>
        </w:rPr>
      </w:pPr>
      <w:r>
        <w:rPr>
          <w:rFonts w:hint="eastAsia" w:ascii="宋体" w:hAnsi="宋体" w:eastAsia="宋体"/>
          <w:b/>
          <w:bCs/>
          <w:sz w:val="32"/>
          <w:szCs w:val="32"/>
        </w:rPr>
        <w:t>十二、信用中国网站(www.creditchina.gov.cn)“失信被执行人、重大税收违法案件当事人名单”；中国政府采购网(www.ccgp.gov.cn)“政府采购严重违法失信行为信息记录”截图</w:t>
      </w:r>
    </w:p>
    <w:p>
      <w:pPr>
        <w:pStyle w:val="19"/>
        <w:sectPr>
          <w:pgSz w:w="11906" w:h="16838"/>
          <w:pgMar w:top="1440" w:right="1457" w:bottom="1440" w:left="1463" w:header="851" w:footer="992" w:gutter="0"/>
          <w:cols w:space="0" w:num="1"/>
          <w:titlePg/>
          <w:docGrid w:type="lines" w:linePitch="312" w:charSpace="0"/>
        </w:sectPr>
      </w:pPr>
    </w:p>
    <w:p/>
    <w:p/>
    <w:p>
      <w:pPr>
        <w:numPr>
          <w:ilvl w:val="0"/>
          <w:numId w:val="7"/>
        </w:numPr>
        <w:jc w:val="center"/>
        <w:rPr>
          <w:b/>
          <w:bCs/>
          <w:sz w:val="32"/>
          <w:szCs w:val="32"/>
        </w:rPr>
      </w:pPr>
      <w:r>
        <w:rPr>
          <w:rFonts w:hint="eastAsia"/>
          <w:b/>
          <w:bCs/>
          <w:sz w:val="32"/>
          <w:szCs w:val="32"/>
        </w:rPr>
        <w:t>陕西省政府采购供应商拒绝政府采购领域商业贿赂承诺书</w:t>
      </w:r>
    </w:p>
    <w:p/>
    <w:p>
      <w:pPr>
        <w:pStyle w:val="19"/>
      </w:pPr>
    </w:p>
    <w:p/>
    <w:p>
      <w:pPr>
        <w:spacing w:line="360" w:lineRule="auto"/>
        <w:ind w:firstLine="480" w:firstLineChars="200"/>
        <w:rPr>
          <w:rFonts w:ascii="宋体" w:hAnsi="宋体" w:cs="宋体"/>
          <w:sz w:val="24"/>
        </w:rPr>
      </w:pPr>
      <w:r>
        <w:rPr>
          <w:rFonts w:hint="eastAsia" w:ascii="宋体" w:hAnsi="宋体" w:cs="宋体"/>
          <w:sz w:val="24"/>
        </w:rPr>
        <w:t>为响应党中央、国务院关于治理政府采购领域商业贿赂行为的号召，我公司在此庄严承诺：</w:t>
      </w:r>
    </w:p>
    <w:p>
      <w:pPr>
        <w:spacing w:line="360" w:lineRule="auto"/>
        <w:rPr>
          <w:rFonts w:ascii="宋体" w:hAnsi="宋体" w:cs="宋体"/>
          <w:sz w:val="24"/>
        </w:rPr>
      </w:pPr>
      <w:r>
        <w:rPr>
          <w:rFonts w:hint="eastAsia" w:ascii="宋体" w:hAnsi="宋体" w:cs="宋体"/>
          <w:sz w:val="24"/>
        </w:rPr>
        <w:t>1、在参与政府采购活动中遵纪守法、诚信经营、公平竞标。</w:t>
      </w:r>
    </w:p>
    <w:p>
      <w:pPr>
        <w:spacing w:line="360" w:lineRule="auto"/>
        <w:rPr>
          <w:rFonts w:ascii="宋体" w:hAnsi="宋体" w:cs="宋体"/>
          <w:sz w:val="24"/>
        </w:rPr>
      </w:pPr>
      <w:r>
        <w:rPr>
          <w:rFonts w:hint="eastAsia" w:ascii="宋体" w:hAnsi="宋体" w:cs="宋体"/>
          <w:sz w:val="24"/>
        </w:rPr>
        <w:t>2、不向政府采购人、采购代理机构和政府采购评审专家进行任何形式的商业贿赂以谋取交易机会。</w:t>
      </w:r>
    </w:p>
    <w:p>
      <w:pPr>
        <w:spacing w:line="360" w:lineRule="auto"/>
        <w:rPr>
          <w:rFonts w:ascii="宋体" w:hAnsi="宋体" w:cs="宋体"/>
          <w:sz w:val="24"/>
        </w:rPr>
      </w:pPr>
      <w:r>
        <w:rPr>
          <w:rFonts w:hint="eastAsia" w:ascii="宋体" w:hAnsi="宋体" w:cs="宋体"/>
          <w:sz w:val="24"/>
        </w:rPr>
        <w:t>3、不向政府采购代理机构和采购人提供虚假资质文件或采用虚假应标方式参与政府采购市场竞争并谋取中标、成交。</w:t>
      </w:r>
    </w:p>
    <w:p>
      <w:pPr>
        <w:spacing w:line="360" w:lineRule="auto"/>
        <w:rPr>
          <w:rFonts w:ascii="宋体" w:hAnsi="宋体" w:cs="宋体"/>
          <w:sz w:val="24"/>
        </w:rPr>
      </w:pPr>
      <w:r>
        <w:rPr>
          <w:rFonts w:hint="eastAsia" w:ascii="宋体" w:hAnsi="宋体" w:cs="宋体"/>
          <w:sz w:val="24"/>
        </w:rPr>
        <w:t>4、不采取“围标、陪标”等商业欺诈手段获得政府采购定单。</w:t>
      </w:r>
    </w:p>
    <w:p>
      <w:pPr>
        <w:spacing w:line="360" w:lineRule="auto"/>
        <w:rPr>
          <w:rFonts w:ascii="宋体" w:hAnsi="宋体" w:cs="宋体"/>
          <w:sz w:val="24"/>
        </w:rPr>
      </w:pPr>
      <w:r>
        <w:rPr>
          <w:rFonts w:hint="eastAsia" w:ascii="宋体" w:hAnsi="宋体" w:cs="宋体"/>
          <w:sz w:val="24"/>
        </w:rPr>
        <w:t>5、不采取不正当手段诋毁、排挤其他供应商。</w:t>
      </w:r>
    </w:p>
    <w:p>
      <w:pPr>
        <w:spacing w:line="360" w:lineRule="auto"/>
        <w:rPr>
          <w:rFonts w:ascii="宋体" w:hAnsi="宋体" w:cs="宋体"/>
          <w:sz w:val="24"/>
        </w:rPr>
      </w:pPr>
      <w:r>
        <w:rPr>
          <w:rFonts w:hint="eastAsia" w:ascii="宋体" w:hAnsi="宋体" w:cs="宋体"/>
          <w:sz w:val="24"/>
        </w:rPr>
        <w:t>6、不在提供商品和服务时“偷梁换柱、以次充好”损害采购人的合法权益。</w:t>
      </w:r>
    </w:p>
    <w:p>
      <w:pPr>
        <w:spacing w:line="360" w:lineRule="auto"/>
        <w:rPr>
          <w:rFonts w:ascii="宋体" w:hAnsi="宋体" w:cs="宋体"/>
          <w:sz w:val="24"/>
        </w:rPr>
      </w:pPr>
      <w:r>
        <w:rPr>
          <w:rFonts w:hint="eastAsia" w:ascii="宋体" w:hAnsi="宋体" w:cs="宋体"/>
          <w:sz w:val="24"/>
        </w:rPr>
        <w:t>7、不与采购人、采购代理机构政府采购评审专家或其它供应商恶意串通，进行质疑和投诉，维护政府采购市场秩序。</w:t>
      </w:r>
    </w:p>
    <w:p>
      <w:pPr>
        <w:spacing w:line="360" w:lineRule="auto"/>
        <w:rPr>
          <w:rFonts w:ascii="宋体" w:hAnsi="宋体" w:cs="宋体"/>
          <w:sz w:val="24"/>
        </w:rPr>
      </w:pPr>
      <w:r>
        <w:rPr>
          <w:rFonts w:hint="eastAsia" w:ascii="宋体" w:hAnsi="宋体" w:cs="宋体"/>
          <w:sz w:val="24"/>
        </w:rPr>
        <w:t>8、尊重和接受政府采购监督管理部门的监督和政府采购代理机构招标采购要求，承担因违约行为给采购人造成的损失。</w:t>
      </w:r>
    </w:p>
    <w:p>
      <w:pPr>
        <w:spacing w:line="360" w:lineRule="auto"/>
        <w:rPr>
          <w:rFonts w:ascii="宋体" w:hAnsi="宋体" w:cs="宋体"/>
          <w:sz w:val="24"/>
        </w:rPr>
      </w:pPr>
      <w:r>
        <w:rPr>
          <w:rFonts w:hint="eastAsia" w:ascii="宋体" w:hAnsi="宋体" w:cs="宋体"/>
          <w:sz w:val="24"/>
        </w:rPr>
        <w:t>9、不发生其他有悖于政府采购公开、公平、公正和诚信原则的行为。</w:t>
      </w:r>
    </w:p>
    <w:p>
      <w:pPr>
        <w:spacing w:line="360" w:lineRule="auto"/>
        <w:rPr>
          <w:rFonts w:ascii="宋体" w:hAnsi="宋体" w:cs="宋体"/>
          <w:sz w:val="24"/>
        </w:rPr>
      </w:pPr>
    </w:p>
    <w:p>
      <w:pPr>
        <w:spacing w:line="360" w:lineRule="auto"/>
        <w:rPr>
          <w:rFonts w:ascii="宋体" w:hAnsi="宋体" w:cs="宋体"/>
          <w:sz w:val="24"/>
        </w:rPr>
      </w:pPr>
      <w:r>
        <w:rPr>
          <w:rFonts w:hint="eastAsia" w:ascii="宋体" w:hAnsi="宋体" w:cs="宋体"/>
          <w:sz w:val="24"/>
        </w:rPr>
        <w:t>磋商响应单位名称：           （盖章）</w:t>
      </w:r>
    </w:p>
    <w:p>
      <w:pPr>
        <w:spacing w:line="360" w:lineRule="auto"/>
        <w:rPr>
          <w:rFonts w:ascii="宋体" w:hAnsi="宋体" w:cs="宋体"/>
          <w:sz w:val="24"/>
        </w:rPr>
      </w:pPr>
      <w:r>
        <w:rPr>
          <w:rFonts w:hint="eastAsia" w:ascii="宋体" w:hAnsi="宋体" w:cs="宋体"/>
          <w:sz w:val="24"/>
        </w:rPr>
        <w:t>法定代表人或授权代表人：（签字并盖章）</w:t>
      </w:r>
    </w:p>
    <w:p>
      <w:pPr>
        <w:spacing w:line="360" w:lineRule="auto"/>
        <w:rPr>
          <w:rFonts w:ascii="宋体" w:hAnsi="宋体" w:cs="宋体"/>
          <w:sz w:val="24"/>
        </w:rPr>
      </w:pPr>
      <w:r>
        <w:rPr>
          <w:rFonts w:hint="eastAsia" w:ascii="宋体" w:hAnsi="宋体" w:cs="宋体"/>
          <w:sz w:val="24"/>
        </w:rPr>
        <w:t>地  址：                        </w:t>
      </w:r>
    </w:p>
    <w:p>
      <w:pPr>
        <w:spacing w:line="360" w:lineRule="auto"/>
        <w:rPr>
          <w:rFonts w:ascii="宋体" w:hAnsi="宋体" w:cs="宋体"/>
          <w:sz w:val="24"/>
        </w:rPr>
      </w:pPr>
      <w:r>
        <w:rPr>
          <w:rFonts w:hint="eastAsia" w:ascii="宋体" w:hAnsi="宋体" w:cs="宋体"/>
          <w:sz w:val="24"/>
        </w:rPr>
        <w:t>邮  编：</w:t>
      </w:r>
    </w:p>
    <w:p>
      <w:pPr>
        <w:spacing w:line="360" w:lineRule="auto"/>
        <w:ind w:left="960" w:hanging="960" w:hangingChars="400"/>
        <w:rPr>
          <w:rFonts w:ascii="宋体" w:hAnsi="宋体" w:cs="宋体"/>
          <w:sz w:val="24"/>
        </w:rPr>
      </w:pPr>
      <w:r>
        <w:rPr>
          <w:rFonts w:hint="eastAsia" w:ascii="宋体" w:hAnsi="宋体" w:cs="宋体"/>
          <w:sz w:val="24"/>
        </w:rPr>
        <w:t>电  话：                                年  月  日</w:t>
      </w:r>
    </w:p>
    <w:p/>
    <w:p/>
    <w:p>
      <w:pPr>
        <w:pStyle w:val="9"/>
        <w:ind w:firstLine="0" w:firstLineChars="0"/>
        <w:rPr>
          <w:b/>
          <w:bCs/>
          <w:sz w:val="30"/>
          <w:szCs w:val="30"/>
        </w:rPr>
      </w:pPr>
    </w:p>
    <w:p>
      <w:pPr>
        <w:pStyle w:val="9"/>
        <w:ind w:firstLine="0" w:firstLineChars="0"/>
        <w:rPr>
          <w:b/>
          <w:bCs/>
          <w:sz w:val="30"/>
          <w:szCs w:val="30"/>
        </w:rPr>
      </w:pPr>
    </w:p>
    <w:p>
      <w:pPr>
        <w:pStyle w:val="9"/>
        <w:ind w:firstLine="0" w:firstLineChars="0"/>
        <w:rPr>
          <w:b/>
          <w:bCs/>
          <w:sz w:val="30"/>
          <w:szCs w:val="30"/>
        </w:rPr>
      </w:pPr>
    </w:p>
    <w:p>
      <w:pPr>
        <w:adjustRightInd w:val="0"/>
        <w:snapToGrid w:val="0"/>
        <w:spacing w:after="300" w:line="360" w:lineRule="auto"/>
        <w:jc w:val="center"/>
        <w:rPr>
          <w:b/>
          <w:bCs/>
          <w:sz w:val="30"/>
          <w:szCs w:val="30"/>
        </w:rPr>
      </w:pPr>
    </w:p>
    <w:p>
      <w:pPr>
        <w:adjustRightInd w:val="0"/>
        <w:snapToGrid w:val="0"/>
        <w:spacing w:after="300" w:line="360" w:lineRule="auto"/>
        <w:jc w:val="center"/>
        <w:rPr>
          <w:b/>
          <w:bCs/>
          <w:sz w:val="30"/>
          <w:szCs w:val="30"/>
        </w:rPr>
      </w:pPr>
    </w:p>
    <w:p>
      <w:pPr>
        <w:adjustRightInd w:val="0"/>
        <w:snapToGrid w:val="0"/>
        <w:spacing w:after="300" w:line="360" w:lineRule="auto"/>
        <w:jc w:val="center"/>
        <w:outlineLvl w:val="1"/>
        <w:rPr>
          <w:b/>
          <w:bCs/>
          <w:sz w:val="52"/>
          <w:szCs w:val="52"/>
        </w:rPr>
      </w:pPr>
      <w:r>
        <w:rPr>
          <w:b/>
          <w:bCs/>
          <w:sz w:val="52"/>
          <w:szCs w:val="52"/>
        </w:rPr>
        <w:t>商务文件</w:t>
      </w:r>
    </w:p>
    <w:p>
      <w:pPr>
        <w:tabs>
          <w:tab w:val="left" w:pos="4035"/>
        </w:tabs>
        <w:autoSpaceDE w:val="0"/>
        <w:autoSpaceDN w:val="0"/>
        <w:adjustRightInd w:val="0"/>
        <w:snapToGrid w:val="0"/>
        <w:spacing w:afterLines="50" w:line="360" w:lineRule="auto"/>
        <w:rPr>
          <w:sz w:val="24"/>
        </w:rPr>
      </w:pPr>
    </w:p>
    <w:p>
      <w:pPr>
        <w:autoSpaceDE w:val="0"/>
        <w:autoSpaceDN w:val="0"/>
        <w:adjustRightInd w:val="0"/>
        <w:snapToGrid w:val="0"/>
        <w:spacing w:afterLines="50" w:line="360" w:lineRule="auto"/>
        <w:jc w:val="center"/>
        <w:rPr>
          <w:rFonts w:asciiTheme="minorEastAsia" w:hAnsiTheme="minorEastAsia" w:eastAsiaTheme="minorEastAsia" w:cstheme="minorEastAsia"/>
          <w:bCs/>
          <w:sz w:val="30"/>
          <w:szCs w:val="30"/>
        </w:rPr>
      </w:pPr>
      <w:r>
        <w:rPr>
          <w:sz w:val="24"/>
        </w:rPr>
        <w:br w:type="page"/>
      </w:r>
      <w:r>
        <w:rPr>
          <w:rFonts w:hint="eastAsia"/>
          <w:b/>
          <w:bCs/>
          <w:sz w:val="30"/>
          <w:szCs w:val="30"/>
        </w:rPr>
        <w:t>一、磋商响应函</w:t>
      </w:r>
    </w:p>
    <w:p>
      <w:pPr>
        <w:pStyle w:val="9"/>
        <w:spacing w:line="360" w:lineRule="auto"/>
        <w:ind w:firstLine="0" w:firstLineChars="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致：同正项目管理有限公司</w:t>
      </w:r>
    </w:p>
    <w:p>
      <w:pPr>
        <w:pStyle w:val="9"/>
        <w:spacing w:line="360" w:lineRule="auto"/>
        <w:ind w:firstLine="0" w:firstLineChars="0"/>
        <w:rPr>
          <w:rFonts w:ascii="宋体" w:hAnsi="宋体" w:cs="宋体"/>
          <w:sz w:val="24"/>
        </w:rPr>
      </w:pPr>
      <w:r>
        <w:rPr>
          <w:rFonts w:hint="eastAsia" w:asciiTheme="minorEastAsia" w:hAnsiTheme="minorEastAsia" w:eastAsiaTheme="minorEastAsia" w:cstheme="minorEastAsia"/>
          <w:sz w:val="24"/>
        </w:rPr>
        <w:t xml:space="preserve">   </w:t>
      </w:r>
      <w:r>
        <w:rPr>
          <w:rFonts w:hint="eastAsia" w:ascii="宋体" w:hAnsi="宋体" w:cs="宋体"/>
          <w:sz w:val="24"/>
        </w:rPr>
        <w:t xml:space="preserve"> 根据贵方</w:t>
      </w:r>
      <w:r>
        <w:rPr>
          <w:rFonts w:hint="eastAsia" w:ascii="宋体" w:hAnsi="宋体" w:cs="宋体"/>
          <w:sz w:val="24"/>
          <w:u w:val="single"/>
        </w:rPr>
        <w:t>             </w:t>
      </w:r>
      <w:r>
        <w:rPr>
          <w:rFonts w:hint="eastAsia" w:ascii="宋体" w:hAnsi="宋体" w:cs="宋体"/>
          <w:sz w:val="24"/>
        </w:rPr>
        <w:t>项目的邀请，正式授权（姓名）代表（磋商响应单位的名称），提交本项目磋商响应文件正本壹份，副本贰份、电子文件（U盘）壹份。在此我方承诺如下：</w:t>
      </w:r>
    </w:p>
    <w:p>
      <w:pPr>
        <w:pStyle w:val="9"/>
        <w:spacing w:line="360" w:lineRule="auto"/>
        <w:ind w:firstLine="0" w:firstLineChars="0"/>
        <w:rPr>
          <w:rFonts w:ascii="宋体" w:hAnsi="宋体" w:cs="宋体"/>
          <w:sz w:val="24"/>
        </w:rPr>
      </w:pPr>
      <w:r>
        <w:rPr>
          <w:rFonts w:hint="eastAsia" w:ascii="宋体" w:hAnsi="宋体" w:cs="宋体"/>
          <w:sz w:val="24"/>
        </w:rPr>
        <w:t xml:space="preserve">    1、我方已详细审查全部磋商文件，包括修改文件（如有）以及全部参考资料和有关附件。我们已完全理解磋商文件并对磋商文件不存在任何异议。</w:t>
      </w:r>
    </w:p>
    <w:p>
      <w:pPr>
        <w:pStyle w:val="9"/>
        <w:spacing w:line="360" w:lineRule="auto"/>
        <w:ind w:firstLine="0" w:firstLineChars="0"/>
        <w:rPr>
          <w:rFonts w:ascii="宋体" w:hAnsi="宋体" w:cs="宋体"/>
          <w:sz w:val="24"/>
        </w:rPr>
      </w:pPr>
      <w:r>
        <w:rPr>
          <w:rFonts w:hint="eastAsia" w:ascii="宋体" w:hAnsi="宋体" w:cs="宋体"/>
          <w:sz w:val="24"/>
        </w:rPr>
        <w:t xml:space="preserve">    2、本响应（投标）自磋商之日起有效期为 90 个日历天。</w:t>
      </w:r>
    </w:p>
    <w:p>
      <w:pPr>
        <w:pStyle w:val="9"/>
        <w:spacing w:line="360" w:lineRule="auto"/>
        <w:ind w:firstLine="480"/>
        <w:rPr>
          <w:rFonts w:ascii="宋体" w:hAnsi="宋体" w:cs="宋体"/>
          <w:sz w:val="24"/>
        </w:rPr>
      </w:pPr>
      <w:r>
        <w:rPr>
          <w:rFonts w:hint="eastAsia" w:ascii="宋体" w:hAnsi="宋体" w:cs="宋体"/>
          <w:sz w:val="24"/>
        </w:rPr>
        <w:t>3、我方承诺所递交的响应文件及有关资料真实有效。</w:t>
      </w:r>
    </w:p>
    <w:p>
      <w:pPr>
        <w:pStyle w:val="9"/>
        <w:spacing w:line="360" w:lineRule="auto"/>
        <w:ind w:firstLine="480"/>
        <w:rPr>
          <w:rFonts w:ascii="宋体" w:hAnsi="宋体" w:cs="宋体"/>
          <w:sz w:val="24"/>
        </w:rPr>
      </w:pPr>
      <w:r>
        <w:rPr>
          <w:rFonts w:hint="eastAsia" w:ascii="宋体" w:hAnsi="宋体" w:cs="宋体"/>
          <w:sz w:val="24"/>
        </w:rPr>
        <w:t>4、如我方成交（中标），依成交通知规定的时间与采购人签订合同，并按合同规定履行合同责任和义务。</w:t>
      </w:r>
    </w:p>
    <w:p>
      <w:pPr>
        <w:pStyle w:val="9"/>
        <w:spacing w:line="360" w:lineRule="auto"/>
        <w:ind w:firstLine="0" w:firstLineChars="0"/>
        <w:rPr>
          <w:rFonts w:ascii="宋体" w:hAnsi="宋体" w:cs="宋体"/>
          <w:sz w:val="24"/>
        </w:rPr>
      </w:pPr>
      <w:r>
        <w:rPr>
          <w:rFonts w:hint="eastAsia" w:ascii="宋体" w:hAnsi="宋体" w:cs="宋体"/>
          <w:sz w:val="24"/>
        </w:rPr>
        <w:t xml:space="preserve">    5、我方同意提供按照采购人可能要求与其采购有关的一切数据或资料，完全理解贵方不一定接受最低价的投标或其他任何投标。</w:t>
      </w:r>
    </w:p>
    <w:p>
      <w:pPr>
        <w:pStyle w:val="9"/>
        <w:spacing w:line="360" w:lineRule="auto"/>
        <w:ind w:firstLine="0" w:firstLineChars="0"/>
        <w:rPr>
          <w:rFonts w:ascii="宋体" w:hAnsi="宋体" w:cs="宋体"/>
          <w:sz w:val="24"/>
        </w:rPr>
      </w:pPr>
      <w:r>
        <w:rPr>
          <w:rFonts w:hint="eastAsia" w:ascii="宋体" w:hAnsi="宋体" w:cs="宋体"/>
          <w:sz w:val="24"/>
        </w:rPr>
        <w:t xml:space="preserve">     与本磋商有关的一切正式往来通讯请寄：</w:t>
      </w:r>
    </w:p>
    <w:p>
      <w:pPr>
        <w:pStyle w:val="9"/>
        <w:spacing w:line="360" w:lineRule="auto"/>
        <w:ind w:firstLine="0" w:firstLineChars="0"/>
        <w:rPr>
          <w:rFonts w:asciiTheme="minorEastAsia" w:hAnsiTheme="minorEastAsia" w:eastAsiaTheme="minorEastAsia" w:cstheme="minorEastAsia"/>
          <w:sz w:val="24"/>
        </w:rPr>
      </w:pPr>
    </w:p>
    <w:p>
      <w:pPr>
        <w:pStyle w:val="9"/>
        <w:spacing w:line="360" w:lineRule="auto"/>
        <w:ind w:firstLine="0" w:firstLineChars="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地址：</w:t>
      </w:r>
      <w:r>
        <w:rPr>
          <w:rFonts w:hint="eastAsia" w:asciiTheme="minorEastAsia" w:hAnsiTheme="minorEastAsia" w:eastAsiaTheme="minorEastAsia" w:cstheme="minorEastAsia"/>
          <w:sz w:val="24"/>
          <w:u w:val="single"/>
        </w:rPr>
        <w:t>　　　　　　　　　　　　　　　　　　　　　　　　　</w:t>
      </w:r>
    </w:p>
    <w:p>
      <w:pPr>
        <w:pStyle w:val="9"/>
        <w:spacing w:line="360" w:lineRule="auto"/>
        <w:ind w:firstLine="0" w:firstLineChars="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传 真：</w:t>
      </w:r>
      <w:r>
        <w:rPr>
          <w:rFonts w:hint="eastAsia" w:asciiTheme="minorEastAsia" w:hAnsiTheme="minorEastAsia" w:eastAsiaTheme="minorEastAsia" w:cstheme="minorEastAsia"/>
          <w:sz w:val="24"/>
          <w:u w:val="single"/>
        </w:rPr>
        <w:t>　　　　　　　　　　　　　　　　　　　　　　　　　</w:t>
      </w:r>
    </w:p>
    <w:p>
      <w:pPr>
        <w:pStyle w:val="9"/>
        <w:spacing w:line="360" w:lineRule="auto"/>
        <w:ind w:firstLine="0" w:firstLineChars="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电 话：</w:t>
      </w:r>
      <w:r>
        <w:rPr>
          <w:rFonts w:hint="eastAsia" w:asciiTheme="minorEastAsia" w:hAnsiTheme="minorEastAsia" w:eastAsiaTheme="minorEastAsia" w:cstheme="minorEastAsia"/>
          <w:sz w:val="24"/>
          <w:u w:val="single"/>
        </w:rPr>
        <w:t>　　　　　　　　　　　　　　　　　　　　　　　　　</w:t>
      </w:r>
    </w:p>
    <w:p>
      <w:pPr>
        <w:pStyle w:val="9"/>
        <w:spacing w:line="360" w:lineRule="auto"/>
        <w:ind w:firstLine="0" w:firstLineChars="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联系人：</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w:t>
      </w:r>
    </w:p>
    <w:p>
      <w:pPr>
        <w:pStyle w:val="9"/>
        <w:spacing w:line="360" w:lineRule="auto"/>
        <w:ind w:firstLine="0" w:firstLineChars="0"/>
        <w:rPr>
          <w:rFonts w:asciiTheme="minorEastAsia" w:hAnsiTheme="minorEastAsia" w:eastAsiaTheme="minorEastAsia" w:cstheme="minorEastAsia"/>
          <w:sz w:val="24"/>
          <w:u w:val="single"/>
        </w:rPr>
      </w:pPr>
      <w:r>
        <w:rPr>
          <w:rFonts w:hint="eastAsia" w:asciiTheme="minorEastAsia" w:hAnsiTheme="minorEastAsia" w:eastAsiaTheme="minorEastAsia" w:cstheme="minorEastAsia"/>
          <w:sz w:val="24"/>
        </w:rPr>
        <w:t>邮政编码：</w:t>
      </w:r>
      <w:r>
        <w:rPr>
          <w:rFonts w:hint="eastAsia" w:asciiTheme="minorEastAsia" w:hAnsiTheme="minorEastAsia" w:eastAsiaTheme="minorEastAsia" w:cstheme="minorEastAsia"/>
          <w:sz w:val="24"/>
          <w:u w:val="single"/>
        </w:rPr>
        <w:t>　　　　　　　　　　　　　　　　　　　　　　　　</w:t>
      </w:r>
    </w:p>
    <w:p>
      <w:pPr>
        <w:pStyle w:val="9"/>
        <w:spacing w:line="360" w:lineRule="auto"/>
        <w:ind w:firstLine="0" w:firstLineChars="0"/>
        <w:rPr>
          <w:rFonts w:asciiTheme="minorEastAsia" w:hAnsiTheme="minorEastAsia" w:eastAsiaTheme="minorEastAsia" w:cstheme="minorEastAsia"/>
          <w:sz w:val="24"/>
        </w:rPr>
      </w:pPr>
    </w:p>
    <w:p>
      <w:pPr>
        <w:pStyle w:val="9"/>
        <w:spacing w:line="360" w:lineRule="auto"/>
        <w:ind w:firstLine="0" w:firstLineChars="0"/>
        <w:rPr>
          <w:rFonts w:asciiTheme="minorEastAsia" w:hAnsiTheme="minorEastAsia" w:eastAsiaTheme="minorEastAsia" w:cstheme="minorEastAsia"/>
          <w:sz w:val="24"/>
        </w:rPr>
      </w:pPr>
    </w:p>
    <w:p>
      <w:pPr>
        <w:overflowPunct w:val="0"/>
        <w:topLinePunct/>
        <w:adjustRightInd w:val="0"/>
        <w:snapToGrid w:val="0"/>
        <w:spacing w:line="360" w:lineRule="auto"/>
        <w:rPr>
          <w:rFonts w:asciiTheme="minorEastAsia" w:hAnsiTheme="minorEastAsia" w:eastAsiaTheme="minorEastAsia" w:cstheme="minorEastAsia"/>
          <w:sz w:val="24"/>
        </w:rPr>
      </w:pPr>
    </w:p>
    <w:p>
      <w:pPr>
        <w:overflowPunct w:val="0"/>
        <w:topLinePunct/>
        <w:adjustRightInd w:val="0"/>
        <w:snapToGrid w:val="0"/>
        <w:spacing w:line="48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磋商响应单位名称：</w:t>
      </w:r>
      <w:r>
        <w:rPr>
          <w:rFonts w:hint="eastAsia" w:asciiTheme="minorEastAsia" w:hAnsiTheme="minorEastAsia" w:eastAsiaTheme="minorEastAsia" w:cstheme="minorEastAsia"/>
          <w:sz w:val="24"/>
          <w:u w:val="single"/>
        </w:rPr>
        <w:t>　　　　　　　　　　　　　</w:t>
      </w:r>
      <w:r>
        <w:rPr>
          <w:rFonts w:hint="eastAsia" w:asciiTheme="minorEastAsia" w:hAnsiTheme="minorEastAsia" w:eastAsiaTheme="minorEastAsia" w:cstheme="minorEastAsia"/>
          <w:sz w:val="24"/>
        </w:rPr>
        <w:t xml:space="preserve">（公章） </w:t>
      </w:r>
    </w:p>
    <w:p>
      <w:pPr>
        <w:overflowPunct w:val="0"/>
        <w:topLinePunct/>
        <w:adjustRightInd w:val="0"/>
        <w:snapToGrid w:val="0"/>
        <w:spacing w:line="480" w:lineRule="auto"/>
        <w:rPr>
          <w:rFonts w:asciiTheme="minorEastAsia" w:hAnsiTheme="minorEastAsia" w:eastAsiaTheme="minorEastAsia" w:cstheme="minorEastAsia"/>
          <w:sz w:val="24"/>
        </w:rPr>
      </w:pPr>
      <w:r>
        <w:rPr>
          <w:rFonts w:hint="eastAsia" w:asciiTheme="minorEastAsia" w:hAnsiTheme="minorEastAsia" w:eastAsiaTheme="minorEastAsia" w:cstheme="minorEastAsia"/>
          <w:bCs/>
          <w:sz w:val="24"/>
        </w:rPr>
        <w:t xml:space="preserve">                        </w:t>
      </w:r>
      <w:r>
        <w:rPr>
          <w:rFonts w:hint="eastAsia" w:asciiTheme="minorEastAsia" w:hAnsiTheme="minorEastAsia" w:eastAsiaTheme="minorEastAsia" w:cstheme="minorEastAsia"/>
          <w:sz w:val="24"/>
        </w:rPr>
        <w:t>法定代表人或授权代表人：</w:t>
      </w:r>
      <w:r>
        <w:rPr>
          <w:rFonts w:hint="eastAsia" w:asciiTheme="minorEastAsia" w:hAnsiTheme="minorEastAsia" w:eastAsiaTheme="minorEastAsia" w:cstheme="minorEastAsia"/>
          <w:sz w:val="24"/>
          <w:u w:val="single"/>
        </w:rPr>
        <w:t>　　　　　</w:t>
      </w:r>
      <w:r>
        <w:rPr>
          <w:rFonts w:hint="eastAsia" w:asciiTheme="minorEastAsia" w:hAnsiTheme="minorEastAsia" w:eastAsiaTheme="minorEastAsia" w:cstheme="minorEastAsia"/>
          <w:sz w:val="24"/>
        </w:rPr>
        <w:t>（签字或签章）</w:t>
      </w:r>
    </w:p>
    <w:p>
      <w:pPr>
        <w:overflowPunct w:val="0"/>
        <w:topLinePunct/>
        <w:adjustRightInd w:val="0"/>
        <w:snapToGrid w:val="0"/>
        <w:spacing w:line="480" w:lineRule="auto"/>
        <w:ind w:firstLine="5040" w:firstLineChars="2100"/>
        <w:rPr>
          <w:rFonts w:asciiTheme="minorEastAsia" w:hAnsiTheme="minorEastAsia" w:eastAsiaTheme="minorEastAsia" w:cstheme="minorEastAsia"/>
          <w:kern w:val="0"/>
          <w:sz w:val="24"/>
        </w:rPr>
      </w:pP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r>
        <w:rPr>
          <w:rFonts w:hint="eastAsia" w:asciiTheme="minorEastAsia" w:hAnsiTheme="minorEastAsia" w:eastAsiaTheme="minorEastAsia" w:cstheme="minorEastAsia"/>
          <w:kern w:val="0"/>
          <w:sz w:val="24"/>
          <w:shd w:val="clear" w:color="auto" w:fill="FFFFFF"/>
        </w:rPr>
        <w:t>  </w:t>
      </w:r>
    </w:p>
    <w:p>
      <w:pPr>
        <w:autoSpaceDE w:val="0"/>
        <w:autoSpaceDN w:val="0"/>
        <w:adjustRightInd w:val="0"/>
        <w:snapToGrid w:val="0"/>
        <w:spacing w:afterLines="50" w:line="360" w:lineRule="auto"/>
        <w:jc w:val="center"/>
        <w:rPr>
          <w:kern w:val="0"/>
          <w:sz w:val="30"/>
          <w:szCs w:val="30"/>
          <w:shd w:val="clear" w:color="auto" w:fill="FFFFFF"/>
        </w:rPr>
      </w:pPr>
      <w:r>
        <w:rPr>
          <w:sz w:val="24"/>
        </w:rPr>
        <w:br w:type="page"/>
      </w:r>
      <w:bookmarkStart w:id="76" w:name="_Toc293934824"/>
      <w:bookmarkEnd w:id="76"/>
      <w:r>
        <w:rPr>
          <w:rFonts w:hint="eastAsia"/>
          <w:b/>
          <w:bCs/>
          <w:sz w:val="30"/>
          <w:szCs w:val="30"/>
        </w:rPr>
        <w:t>二、首次报价一览表</w:t>
      </w:r>
    </w:p>
    <w:p>
      <w:pPr>
        <w:adjustRightInd w:val="0"/>
        <w:snapToGrid w:val="0"/>
        <w:spacing w:line="360" w:lineRule="auto"/>
        <w:rPr>
          <w:sz w:val="24"/>
          <w:u w:val="single"/>
        </w:rPr>
      </w:pPr>
      <w:r>
        <w:rPr>
          <w:sz w:val="24"/>
        </w:rPr>
        <w:t>项目名称：</w:t>
      </w:r>
      <w:r>
        <w:rPr>
          <w:sz w:val="24"/>
          <w:u w:val="single"/>
        </w:rPr>
        <w:t xml:space="preserve">                    </w:t>
      </w:r>
      <w:r>
        <w:rPr>
          <w:rFonts w:hint="eastAsia"/>
          <w:sz w:val="24"/>
          <w:u w:val="single"/>
        </w:rPr>
        <w:t>　　　　　　　　　　　　　　　　　</w:t>
      </w:r>
      <w:r>
        <w:rPr>
          <w:sz w:val="24"/>
          <w:u w:val="single"/>
        </w:rPr>
        <w:t xml:space="preserve">        </w:t>
      </w:r>
    </w:p>
    <w:tbl>
      <w:tblPr>
        <w:tblStyle w:val="48"/>
        <w:tblpPr w:leftFromText="180" w:rightFromText="180" w:vertAnchor="page" w:horzAnchor="page" w:tblpX="1607" w:tblpY="2977"/>
        <w:tblW w:w="9137"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821"/>
        <w:gridCol w:w="2066"/>
        <w:gridCol w:w="1796"/>
        <w:gridCol w:w="1731"/>
        <w:gridCol w:w="172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292" w:hRule="atLeast"/>
        </w:trPr>
        <w:tc>
          <w:tcPr>
            <w:tcW w:w="1821" w:type="dxa"/>
            <w:tcBorders>
              <w:top w:val="single" w:color="auto" w:sz="12" w:space="0"/>
              <w:bottom w:val="single" w:color="auto" w:sz="6" w:space="0"/>
              <w:tl2br w:val="single" w:color="auto" w:sz="6" w:space="0"/>
            </w:tcBorders>
          </w:tcPr>
          <w:p>
            <w:pPr>
              <w:tabs>
                <w:tab w:val="center" w:pos="1062"/>
              </w:tabs>
              <w:spacing w:line="360" w:lineRule="auto"/>
              <w:jc w:val="right"/>
              <w:rPr>
                <w:sz w:val="24"/>
              </w:rPr>
            </w:pPr>
            <w:r>
              <w:rPr>
                <w:sz w:val="24"/>
              </w:rPr>
              <w:t>报价</w:t>
            </w:r>
          </w:p>
          <w:p>
            <w:pPr>
              <w:tabs>
                <w:tab w:val="center" w:pos="1062"/>
              </w:tabs>
              <w:spacing w:line="360" w:lineRule="auto"/>
              <w:jc w:val="right"/>
              <w:rPr>
                <w:sz w:val="24"/>
              </w:rPr>
            </w:pPr>
            <w:r>
              <w:rPr>
                <w:sz w:val="24"/>
              </w:rPr>
              <w:t>内容</w:t>
            </w:r>
          </w:p>
          <w:p>
            <w:pPr>
              <w:spacing w:line="360" w:lineRule="auto"/>
              <w:jc w:val="left"/>
              <w:rPr>
                <w:sz w:val="24"/>
              </w:rPr>
            </w:pPr>
            <w:r>
              <w:rPr>
                <w:sz w:val="24"/>
              </w:rPr>
              <w:t>投标</w:t>
            </w:r>
          </w:p>
          <w:p>
            <w:pPr>
              <w:spacing w:line="360" w:lineRule="auto"/>
              <w:jc w:val="left"/>
              <w:rPr>
                <w:sz w:val="24"/>
              </w:rPr>
            </w:pPr>
            <w:r>
              <w:rPr>
                <w:sz w:val="24"/>
              </w:rPr>
              <w:t>内容</w:t>
            </w:r>
          </w:p>
        </w:tc>
        <w:tc>
          <w:tcPr>
            <w:tcW w:w="2066" w:type="dxa"/>
          </w:tcPr>
          <w:p>
            <w:pPr>
              <w:spacing w:line="360" w:lineRule="exact"/>
              <w:jc w:val="center"/>
              <w:rPr>
                <w:sz w:val="24"/>
              </w:rPr>
            </w:pPr>
          </w:p>
          <w:p>
            <w:pPr>
              <w:spacing w:line="360" w:lineRule="exact"/>
              <w:jc w:val="center"/>
              <w:rPr>
                <w:sz w:val="24"/>
              </w:rPr>
            </w:pPr>
          </w:p>
          <w:p>
            <w:pPr>
              <w:spacing w:line="360" w:lineRule="exact"/>
              <w:jc w:val="center"/>
              <w:rPr>
                <w:sz w:val="24"/>
              </w:rPr>
            </w:pPr>
            <w:r>
              <w:rPr>
                <w:sz w:val="24"/>
              </w:rPr>
              <w:t>投标总价</w:t>
            </w:r>
          </w:p>
          <w:p>
            <w:pPr>
              <w:spacing w:line="360" w:lineRule="exact"/>
              <w:jc w:val="center"/>
              <w:rPr>
                <w:sz w:val="24"/>
              </w:rPr>
            </w:pPr>
            <w:r>
              <w:rPr>
                <w:sz w:val="24"/>
              </w:rPr>
              <w:t>（元）</w:t>
            </w:r>
          </w:p>
        </w:tc>
        <w:tc>
          <w:tcPr>
            <w:tcW w:w="1796" w:type="dxa"/>
          </w:tcPr>
          <w:p>
            <w:pPr>
              <w:spacing w:line="360" w:lineRule="exact"/>
              <w:jc w:val="center"/>
              <w:rPr>
                <w:sz w:val="24"/>
              </w:rPr>
            </w:pPr>
          </w:p>
          <w:p>
            <w:pPr>
              <w:spacing w:line="360" w:lineRule="exact"/>
              <w:jc w:val="center"/>
              <w:rPr>
                <w:sz w:val="24"/>
              </w:rPr>
            </w:pPr>
          </w:p>
          <w:p>
            <w:pPr>
              <w:spacing w:line="360" w:lineRule="exact"/>
              <w:jc w:val="center"/>
              <w:rPr>
                <w:sz w:val="24"/>
              </w:rPr>
            </w:pPr>
            <w:r>
              <w:rPr>
                <w:sz w:val="24"/>
              </w:rPr>
              <w:t>工期</w:t>
            </w:r>
          </w:p>
          <w:p>
            <w:pPr>
              <w:spacing w:line="360" w:lineRule="exact"/>
              <w:jc w:val="center"/>
              <w:rPr>
                <w:sz w:val="24"/>
              </w:rPr>
            </w:pPr>
            <w:r>
              <w:rPr>
                <w:sz w:val="24"/>
              </w:rPr>
              <w:t>（</w:t>
            </w:r>
            <w:r>
              <w:rPr>
                <w:rFonts w:hint="eastAsia"/>
                <w:sz w:val="24"/>
              </w:rPr>
              <w:t>日历</w:t>
            </w:r>
            <w:r>
              <w:rPr>
                <w:sz w:val="24"/>
              </w:rPr>
              <w:t>天）</w:t>
            </w:r>
          </w:p>
        </w:tc>
        <w:tc>
          <w:tcPr>
            <w:tcW w:w="1731" w:type="dxa"/>
          </w:tcPr>
          <w:p>
            <w:pPr>
              <w:spacing w:line="360" w:lineRule="exact"/>
              <w:jc w:val="center"/>
              <w:rPr>
                <w:sz w:val="24"/>
              </w:rPr>
            </w:pPr>
          </w:p>
          <w:p>
            <w:pPr>
              <w:spacing w:line="360" w:lineRule="exact"/>
              <w:jc w:val="center"/>
              <w:rPr>
                <w:sz w:val="24"/>
              </w:rPr>
            </w:pPr>
          </w:p>
          <w:p>
            <w:pPr>
              <w:spacing w:line="360" w:lineRule="exact"/>
              <w:jc w:val="center"/>
              <w:rPr>
                <w:sz w:val="24"/>
              </w:rPr>
            </w:pPr>
            <w:r>
              <w:rPr>
                <w:sz w:val="24"/>
              </w:rPr>
              <w:t>质量</w:t>
            </w:r>
            <w:r>
              <w:rPr>
                <w:rFonts w:hint="eastAsia"/>
                <w:sz w:val="24"/>
              </w:rPr>
              <w:t>标准</w:t>
            </w:r>
          </w:p>
          <w:p>
            <w:pPr>
              <w:spacing w:line="360" w:lineRule="exact"/>
              <w:jc w:val="center"/>
              <w:rPr>
                <w:sz w:val="24"/>
              </w:rPr>
            </w:pPr>
          </w:p>
        </w:tc>
        <w:tc>
          <w:tcPr>
            <w:tcW w:w="1723" w:type="dxa"/>
          </w:tcPr>
          <w:p>
            <w:pPr>
              <w:spacing w:line="360" w:lineRule="exact"/>
              <w:jc w:val="center"/>
              <w:rPr>
                <w:sz w:val="24"/>
              </w:rPr>
            </w:pPr>
          </w:p>
          <w:p>
            <w:pPr>
              <w:spacing w:line="360" w:lineRule="exact"/>
              <w:jc w:val="center"/>
              <w:rPr>
                <w:sz w:val="24"/>
              </w:rPr>
            </w:pPr>
          </w:p>
          <w:p>
            <w:pPr>
              <w:spacing w:line="360" w:lineRule="exact"/>
              <w:jc w:val="center"/>
              <w:rPr>
                <w:sz w:val="24"/>
              </w:rPr>
            </w:pPr>
            <w:r>
              <w:rPr>
                <w:sz w:val="24"/>
              </w:rPr>
              <w:t>项目经理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000" w:hRule="atLeast"/>
        </w:trPr>
        <w:tc>
          <w:tcPr>
            <w:tcW w:w="1821" w:type="dxa"/>
            <w:tcBorders>
              <w:top w:val="single" w:color="auto" w:sz="6" w:space="0"/>
            </w:tcBorders>
            <w:vAlign w:val="center"/>
          </w:tcPr>
          <w:p>
            <w:pPr>
              <w:spacing w:line="276" w:lineRule="auto"/>
              <w:jc w:val="center"/>
              <w:rPr>
                <w:szCs w:val="21"/>
              </w:rPr>
            </w:pPr>
          </w:p>
        </w:tc>
        <w:tc>
          <w:tcPr>
            <w:tcW w:w="2066" w:type="dxa"/>
            <w:vAlign w:val="center"/>
          </w:tcPr>
          <w:p>
            <w:pPr>
              <w:spacing w:line="360" w:lineRule="auto"/>
              <w:jc w:val="center"/>
              <w:rPr>
                <w:sz w:val="24"/>
              </w:rPr>
            </w:pPr>
          </w:p>
        </w:tc>
        <w:tc>
          <w:tcPr>
            <w:tcW w:w="1796" w:type="dxa"/>
            <w:vAlign w:val="center"/>
          </w:tcPr>
          <w:p>
            <w:pPr>
              <w:spacing w:line="360" w:lineRule="auto"/>
              <w:jc w:val="center"/>
              <w:rPr>
                <w:sz w:val="24"/>
              </w:rPr>
            </w:pPr>
          </w:p>
        </w:tc>
        <w:tc>
          <w:tcPr>
            <w:tcW w:w="1731" w:type="dxa"/>
            <w:vAlign w:val="center"/>
          </w:tcPr>
          <w:p>
            <w:pPr>
              <w:spacing w:line="360" w:lineRule="auto"/>
              <w:rPr>
                <w:sz w:val="24"/>
              </w:rPr>
            </w:pPr>
          </w:p>
        </w:tc>
        <w:tc>
          <w:tcPr>
            <w:tcW w:w="1723" w:type="dxa"/>
            <w:vAlign w:val="center"/>
          </w:tcPr>
          <w:p>
            <w:pPr>
              <w:spacing w:line="360" w:lineRule="auto"/>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86" w:hRule="atLeast"/>
        </w:trPr>
        <w:tc>
          <w:tcPr>
            <w:tcW w:w="1821" w:type="dxa"/>
            <w:vAlign w:val="center"/>
          </w:tcPr>
          <w:p>
            <w:pPr>
              <w:spacing w:line="360" w:lineRule="auto"/>
              <w:jc w:val="center"/>
              <w:rPr>
                <w:sz w:val="24"/>
              </w:rPr>
            </w:pPr>
            <w:r>
              <w:rPr>
                <w:sz w:val="24"/>
              </w:rPr>
              <w:t>投标总报价</w:t>
            </w:r>
          </w:p>
        </w:tc>
        <w:tc>
          <w:tcPr>
            <w:tcW w:w="7316" w:type="dxa"/>
            <w:gridSpan w:val="4"/>
            <w:vAlign w:val="center"/>
          </w:tcPr>
          <w:p>
            <w:pPr>
              <w:spacing w:line="360" w:lineRule="auto"/>
              <w:ind w:left="270"/>
              <w:jc w:val="left"/>
              <w:rPr>
                <w:sz w:val="24"/>
                <w:u w:val="single"/>
              </w:rPr>
            </w:pPr>
            <w:r>
              <w:rPr>
                <w:sz w:val="24"/>
              </w:rPr>
              <w:t>大写：</w:t>
            </w:r>
            <w:r>
              <w:rPr>
                <w:sz w:val="24"/>
                <w:u w:val="single"/>
              </w:rPr>
              <w:t xml:space="preserve">           </w:t>
            </w:r>
            <w:r>
              <w:rPr>
                <w:rFonts w:hint="eastAsia"/>
                <w:sz w:val="24"/>
                <w:u w:val="single"/>
              </w:rPr>
              <w:t>　　　　　　　　　</w:t>
            </w:r>
            <w:r>
              <w:rPr>
                <w:sz w:val="24"/>
                <w:u w:val="single"/>
              </w:rPr>
              <w:t xml:space="preserve">      </w:t>
            </w:r>
            <w:r>
              <w:rPr>
                <w:sz w:val="24"/>
              </w:rPr>
              <w:t xml:space="preserve"> </w:t>
            </w:r>
          </w:p>
        </w:tc>
      </w:tr>
    </w:tbl>
    <w:p>
      <w:pPr>
        <w:adjustRightInd w:val="0"/>
        <w:snapToGrid w:val="0"/>
        <w:spacing w:line="360" w:lineRule="auto"/>
        <w:rPr>
          <w:b/>
          <w:bCs/>
          <w:sz w:val="24"/>
        </w:rPr>
      </w:pPr>
      <w:r>
        <w:rPr>
          <w:rFonts w:hint="eastAsia"/>
          <w:b/>
          <w:bCs/>
          <w:sz w:val="24"/>
        </w:rPr>
        <w:t>注：报价以元为单位保留到小数点后两位。</w:t>
      </w:r>
    </w:p>
    <w:p>
      <w:pPr>
        <w:adjustRightInd w:val="0"/>
        <w:snapToGrid w:val="0"/>
        <w:spacing w:line="480" w:lineRule="auto"/>
        <w:rPr>
          <w:bCs/>
          <w:sz w:val="24"/>
        </w:rPr>
      </w:pPr>
    </w:p>
    <w:p>
      <w:pPr>
        <w:adjustRightInd w:val="0"/>
        <w:snapToGrid w:val="0"/>
        <w:spacing w:line="480" w:lineRule="auto"/>
        <w:rPr>
          <w:bCs/>
          <w:sz w:val="24"/>
        </w:rPr>
      </w:pPr>
      <w:r>
        <w:rPr>
          <w:rFonts w:hint="eastAsia"/>
          <w:bCs/>
          <w:sz w:val="24"/>
        </w:rPr>
        <w:t>磋商响应单位</w:t>
      </w:r>
      <w:r>
        <w:rPr>
          <w:bCs/>
          <w:sz w:val="24"/>
        </w:rPr>
        <w:t>名称：</w:t>
      </w:r>
      <w:r>
        <w:rPr>
          <w:bCs/>
          <w:sz w:val="24"/>
          <w:u w:val="single"/>
        </w:rPr>
        <w:t xml:space="preserve">                              </w:t>
      </w:r>
      <w:r>
        <w:rPr>
          <w:bCs/>
          <w:sz w:val="24"/>
        </w:rPr>
        <w:t>（公章）</w:t>
      </w:r>
    </w:p>
    <w:p>
      <w:pPr>
        <w:adjustRightInd w:val="0"/>
        <w:snapToGrid w:val="0"/>
        <w:spacing w:line="480" w:lineRule="auto"/>
        <w:rPr>
          <w:sz w:val="24"/>
        </w:rPr>
      </w:pPr>
      <w:r>
        <w:rPr>
          <w:bCs/>
          <w:sz w:val="24"/>
        </w:rPr>
        <w:t>法定代表人或授权代表人：</w:t>
      </w:r>
      <w:r>
        <w:rPr>
          <w:bCs/>
          <w:sz w:val="24"/>
          <w:u w:val="single"/>
        </w:rPr>
        <w:t xml:space="preserve">  </w:t>
      </w:r>
      <w:r>
        <w:rPr>
          <w:sz w:val="24"/>
          <w:u w:val="single"/>
        </w:rPr>
        <w:t xml:space="preserve">                </w:t>
      </w:r>
      <w:r>
        <w:rPr>
          <w:sz w:val="24"/>
        </w:rPr>
        <w:t>（签字或盖章）</w:t>
      </w:r>
    </w:p>
    <w:p>
      <w:pPr>
        <w:adjustRightInd w:val="0"/>
        <w:snapToGrid w:val="0"/>
        <w:spacing w:line="480" w:lineRule="auto"/>
        <w:rPr>
          <w:sz w:val="24"/>
        </w:rPr>
      </w:pPr>
      <w:r>
        <w:rPr>
          <w:bCs/>
          <w:sz w:val="24"/>
        </w:rPr>
        <w:t>日期：</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autoSpaceDE w:val="0"/>
        <w:autoSpaceDN w:val="0"/>
        <w:adjustRightInd w:val="0"/>
        <w:snapToGrid w:val="0"/>
        <w:spacing w:afterLines="50" w:line="360" w:lineRule="auto"/>
        <w:ind w:left="420" w:leftChars="200"/>
        <w:jc w:val="center"/>
        <w:rPr>
          <w:b/>
          <w:bCs/>
          <w:sz w:val="30"/>
          <w:szCs w:val="30"/>
        </w:rPr>
      </w:pPr>
      <w:r>
        <w:rPr>
          <w:sz w:val="24"/>
        </w:rPr>
        <w:br w:type="page"/>
      </w:r>
      <w:r>
        <w:rPr>
          <w:rFonts w:hint="eastAsia"/>
          <w:b/>
          <w:bCs/>
          <w:sz w:val="30"/>
          <w:szCs w:val="30"/>
        </w:rPr>
        <w:t>三、</w:t>
      </w:r>
      <w:r>
        <w:rPr>
          <w:b/>
          <w:bCs/>
          <w:sz w:val="30"/>
          <w:szCs w:val="30"/>
        </w:rPr>
        <w:t>工程量清单报价表</w:t>
      </w:r>
    </w:p>
    <w:p>
      <w:pPr>
        <w:spacing w:line="360" w:lineRule="auto"/>
        <w:rPr>
          <w:sz w:val="24"/>
        </w:rPr>
      </w:pPr>
      <w:r>
        <w:rPr>
          <w:sz w:val="24"/>
        </w:rPr>
        <w:t>包括以下内容：（以广联达计价软件打印格式为准）</w:t>
      </w:r>
    </w:p>
    <w:p>
      <w:pPr>
        <w:spacing w:line="360" w:lineRule="auto"/>
        <w:rPr>
          <w:rFonts w:ascii="宋体" w:hAnsi="宋体" w:cs="宋体"/>
          <w:sz w:val="24"/>
        </w:rPr>
      </w:pPr>
      <w:r>
        <w:rPr>
          <w:sz w:val="24"/>
        </w:rPr>
        <w:t xml:space="preserve"> </w:t>
      </w:r>
      <w:r>
        <w:rPr>
          <w:rFonts w:hint="eastAsia" w:ascii="宋体" w:hAnsi="宋体" w:cs="宋体"/>
          <w:sz w:val="24"/>
        </w:rPr>
        <w:t xml:space="preserve"> （1）投标总价</w:t>
      </w:r>
    </w:p>
    <w:p>
      <w:pPr>
        <w:widowControl/>
        <w:spacing w:line="360" w:lineRule="auto"/>
        <w:jc w:val="left"/>
        <w:rPr>
          <w:rFonts w:ascii="宋体" w:hAnsi="宋体" w:cs="宋体"/>
          <w:sz w:val="24"/>
        </w:rPr>
      </w:pPr>
      <w:r>
        <w:rPr>
          <w:rFonts w:hint="eastAsia" w:ascii="宋体" w:hAnsi="宋体" w:cs="宋体"/>
          <w:sz w:val="24"/>
        </w:rPr>
        <w:t xml:space="preserve">  （2）工程项目总造价表</w:t>
      </w:r>
    </w:p>
    <w:p>
      <w:pPr>
        <w:widowControl/>
        <w:spacing w:line="360" w:lineRule="auto"/>
        <w:jc w:val="left"/>
        <w:rPr>
          <w:rFonts w:ascii="宋体" w:hAnsi="宋体" w:cs="宋体"/>
          <w:sz w:val="24"/>
        </w:rPr>
      </w:pPr>
      <w:r>
        <w:rPr>
          <w:rFonts w:hint="eastAsia" w:ascii="宋体" w:hAnsi="宋体" w:cs="宋体"/>
          <w:sz w:val="24"/>
        </w:rPr>
        <w:t xml:space="preserve">  （3）单项工程造价汇总表</w:t>
      </w:r>
    </w:p>
    <w:p>
      <w:pPr>
        <w:widowControl/>
        <w:spacing w:line="360" w:lineRule="auto"/>
        <w:jc w:val="left"/>
        <w:rPr>
          <w:rFonts w:ascii="宋体" w:hAnsi="宋体" w:cs="宋体"/>
          <w:sz w:val="24"/>
        </w:rPr>
      </w:pPr>
      <w:r>
        <w:rPr>
          <w:rFonts w:hint="eastAsia" w:ascii="宋体" w:hAnsi="宋体" w:cs="宋体"/>
          <w:sz w:val="24"/>
        </w:rPr>
        <w:t xml:space="preserve">  （4）单位工程造价汇总表</w:t>
      </w:r>
    </w:p>
    <w:p>
      <w:pPr>
        <w:widowControl/>
        <w:spacing w:line="360" w:lineRule="auto"/>
        <w:jc w:val="left"/>
        <w:rPr>
          <w:rFonts w:ascii="宋体" w:hAnsi="宋体" w:cs="宋体"/>
          <w:sz w:val="24"/>
        </w:rPr>
      </w:pPr>
      <w:r>
        <w:rPr>
          <w:rFonts w:hint="eastAsia" w:ascii="宋体" w:hAnsi="宋体" w:cs="宋体"/>
          <w:sz w:val="24"/>
        </w:rPr>
        <w:t xml:space="preserve">  （5）分部分项工程量清单计价表</w:t>
      </w:r>
    </w:p>
    <w:p>
      <w:pPr>
        <w:widowControl/>
        <w:spacing w:line="360" w:lineRule="auto"/>
        <w:jc w:val="left"/>
        <w:rPr>
          <w:rFonts w:ascii="宋体" w:hAnsi="宋体" w:cs="宋体"/>
          <w:sz w:val="24"/>
        </w:rPr>
      </w:pPr>
      <w:r>
        <w:rPr>
          <w:rFonts w:hint="eastAsia" w:ascii="宋体" w:hAnsi="宋体" w:cs="宋体"/>
          <w:sz w:val="24"/>
        </w:rPr>
        <w:t xml:space="preserve">  （6）措施项目清单计价表</w:t>
      </w:r>
    </w:p>
    <w:p>
      <w:pPr>
        <w:widowControl/>
        <w:spacing w:line="360" w:lineRule="auto"/>
        <w:jc w:val="left"/>
        <w:rPr>
          <w:rFonts w:ascii="宋体" w:hAnsi="宋体" w:cs="宋体"/>
          <w:sz w:val="24"/>
        </w:rPr>
      </w:pPr>
      <w:r>
        <w:rPr>
          <w:rFonts w:hint="eastAsia" w:ascii="宋体" w:hAnsi="宋体" w:cs="宋体"/>
          <w:sz w:val="24"/>
        </w:rPr>
        <w:t xml:space="preserve">  （7）其他项目清单计价表</w:t>
      </w:r>
    </w:p>
    <w:p>
      <w:pPr>
        <w:widowControl/>
        <w:spacing w:line="360" w:lineRule="auto"/>
        <w:jc w:val="left"/>
        <w:rPr>
          <w:rFonts w:ascii="宋体" w:hAnsi="宋体" w:cs="宋体"/>
          <w:sz w:val="24"/>
        </w:rPr>
      </w:pPr>
      <w:r>
        <w:rPr>
          <w:rFonts w:hint="eastAsia" w:ascii="宋体" w:hAnsi="宋体" w:cs="宋体"/>
          <w:sz w:val="24"/>
        </w:rPr>
        <w:t xml:space="preserve">  （8）规费、税金项目清单计价表</w:t>
      </w:r>
    </w:p>
    <w:p>
      <w:pPr>
        <w:widowControl/>
        <w:spacing w:line="360" w:lineRule="auto"/>
        <w:jc w:val="left"/>
        <w:rPr>
          <w:rFonts w:ascii="宋体" w:hAnsi="宋体" w:cs="宋体"/>
          <w:sz w:val="24"/>
        </w:rPr>
      </w:pPr>
      <w:r>
        <w:rPr>
          <w:rFonts w:hint="eastAsia" w:ascii="宋体" w:hAnsi="宋体" w:cs="宋体"/>
          <w:sz w:val="24"/>
        </w:rPr>
        <w:t xml:space="preserve">  （9）主要材料价格表</w:t>
      </w:r>
    </w:p>
    <w:p>
      <w:pPr>
        <w:autoSpaceDE w:val="0"/>
        <w:autoSpaceDN w:val="0"/>
        <w:adjustRightInd w:val="0"/>
        <w:snapToGrid w:val="0"/>
        <w:spacing w:afterLines="50" w:line="360" w:lineRule="auto"/>
        <w:jc w:val="center"/>
        <w:rPr>
          <w:b/>
          <w:bCs/>
          <w:sz w:val="30"/>
          <w:szCs w:val="30"/>
        </w:rPr>
      </w:pPr>
      <w:r>
        <w:rPr>
          <w:b/>
          <w:bCs/>
          <w:sz w:val="24"/>
        </w:rPr>
        <w:br w:type="page"/>
      </w:r>
      <w:r>
        <w:rPr>
          <w:b/>
          <w:bCs/>
          <w:sz w:val="30"/>
          <w:szCs w:val="30"/>
        </w:rPr>
        <w:t>四、</w:t>
      </w:r>
      <w:r>
        <w:rPr>
          <w:rFonts w:hint="eastAsia"/>
          <w:b/>
          <w:bCs/>
          <w:sz w:val="30"/>
          <w:szCs w:val="30"/>
        </w:rPr>
        <w:t>磋商响应单位</w:t>
      </w:r>
      <w:r>
        <w:rPr>
          <w:b/>
          <w:bCs/>
          <w:sz w:val="30"/>
          <w:szCs w:val="30"/>
        </w:rPr>
        <w:t>一般情况表</w:t>
      </w:r>
    </w:p>
    <w:tbl>
      <w:tblPr>
        <w:tblStyle w:val="48"/>
        <w:tblW w:w="8962"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7"/>
        <w:gridCol w:w="1663"/>
        <w:gridCol w:w="1390"/>
        <w:gridCol w:w="1771"/>
        <w:gridCol w:w="2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top w:val="single" w:color="auto" w:sz="12" w:space="0"/>
              <w:left w:val="single" w:color="auto" w:sz="12" w:space="0"/>
            </w:tcBorders>
            <w:vAlign w:val="center"/>
          </w:tcPr>
          <w:p>
            <w:pPr>
              <w:autoSpaceDE w:val="0"/>
              <w:autoSpaceDN w:val="0"/>
              <w:adjustRightInd w:val="0"/>
              <w:jc w:val="center"/>
              <w:rPr>
                <w:sz w:val="24"/>
              </w:rPr>
            </w:pPr>
            <w:r>
              <w:rPr>
                <w:rFonts w:hint="eastAsia"/>
                <w:sz w:val="24"/>
              </w:rPr>
              <w:t>磋商响应单位</w:t>
            </w:r>
            <w:r>
              <w:rPr>
                <w:sz w:val="24"/>
              </w:rPr>
              <w:t>全称</w:t>
            </w:r>
          </w:p>
        </w:tc>
        <w:tc>
          <w:tcPr>
            <w:tcW w:w="3053" w:type="dxa"/>
            <w:gridSpan w:val="2"/>
            <w:tcBorders>
              <w:top w:val="single" w:color="auto" w:sz="12" w:space="0"/>
            </w:tcBorders>
            <w:vAlign w:val="center"/>
          </w:tcPr>
          <w:p>
            <w:pPr>
              <w:autoSpaceDE w:val="0"/>
              <w:autoSpaceDN w:val="0"/>
              <w:adjustRightInd w:val="0"/>
              <w:rPr>
                <w:sz w:val="24"/>
              </w:rPr>
            </w:pPr>
          </w:p>
        </w:tc>
        <w:tc>
          <w:tcPr>
            <w:tcW w:w="1771" w:type="dxa"/>
            <w:tcBorders>
              <w:top w:val="single" w:color="auto" w:sz="12" w:space="0"/>
            </w:tcBorders>
            <w:vAlign w:val="center"/>
          </w:tcPr>
          <w:p>
            <w:pPr>
              <w:autoSpaceDE w:val="0"/>
              <w:autoSpaceDN w:val="0"/>
              <w:adjustRightInd w:val="0"/>
              <w:jc w:val="center"/>
              <w:rPr>
                <w:sz w:val="24"/>
              </w:rPr>
            </w:pPr>
            <w:r>
              <w:rPr>
                <w:sz w:val="24"/>
              </w:rPr>
              <w:t>法定代表人</w:t>
            </w:r>
          </w:p>
        </w:tc>
        <w:tc>
          <w:tcPr>
            <w:tcW w:w="2641" w:type="dxa"/>
            <w:tcBorders>
              <w:top w:val="single" w:color="auto" w:sz="12" w:space="0"/>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地 址</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工商登记机关</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注册资金</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单位性质</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主营范围</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财务状况</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电 话</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传  真</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电 话</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联系人</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公司资质</w:t>
            </w:r>
          </w:p>
          <w:p>
            <w:pPr>
              <w:autoSpaceDE w:val="0"/>
              <w:autoSpaceDN w:val="0"/>
              <w:adjustRightInd w:val="0"/>
              <w:jc w:val="center"/>
              <w:rPr>
                <w:sz w:val="24"/>
              </w:rPr>
            </w:pPr>
            <w:r>
              <w:rPr>
                <w:sz w:val="24"/>
              </w:rPr>
              <w:t>等级证书</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传  真</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tcBorders>
              <w:left w:val="single" w:color="auto" w:sz="12" w:space="0"/>
            </w:tcBorders>
            <w:vAlign w:val="center"/>
          </w:tcPr>
          <w:p>
            <w:pPr>
              <w:autoSpaceDE w:val="0"/>
              <w:autoSpaceDN w:val="0"/>
              <w:adjustRightInd w:val="0"/>
              <w:jc w:val="center"/>
              <w:rPr>
                <w:sz w:val="24"/>
              </w:rPr>
            </w:pPr>
            <w:r>
              <w:rPr>
                <w:sz w:val="24"/>
              </w:rPr>
              <w:t>磋商人是否小微企业</w:t>
            </w:r>
          </w:p>
        </w:tc>
        <w:tc>
          <w:tcPr>
            <w:tcW w:w="3053" w:type="dxa"/>
            <w:gridSpan w:val="2"/>
            <w:vAlign w:val="center"/>
          </w:tcPr>
          <w:p>
            <w:pPr>
              <w:autoSpaceDE w:val="0"/>
              <w:autoSpaceDN w:val="0"/>
              <w:adjustRightInd w:val="0"/>
              <w:rPr>
                <w:sz w:val="24"/>
              </w:rPr>
            </w:pPr>
          </w:p>
        </w:tc>
        <w:tc>
          <w:tcPr>
            <w:tcW w:w="1771" w:type="dxa"/>
            <w:vAlign w:val="center"/>
          </w:tcPr>
          <w:p>
            <w:pPr>
              <w:autoSpaceDE w:val="0"/>
              <w:autoSpaceDN w:val="0"/>
              <w:adjustRightInd w:val="0"/>
              <w:jc w:val="center"/>
              <w:rPr>
                <w:sz w:val="24"/>
              </w:rPr>
            </w:pPr>
            <w:r>
              <w:rPr>
                <w:sz w:val="24"/>
              </w:rPr>
              <w:t>体系认证</w:t>
            </w:r>
          </w:p>
        </w:tc>
        <w:tc>
          <w:tcPr>
            <w:tcW w:w="2641" w:type="dxa"/>
            <w:tcBorders>
              <w:right w:val="single" w:color="auto" w:sz="12" w:space="0"/>
            </w:tcBorders>
            <w:vAlign w:val="center"/>
          </w:tcPr>
          <w:p>
            <w:pPr>
              <w:autoSpaceDE w:val="0"/>
              <w:autoSpaceDN w:val="0"/>
              <w:adjustRightInd w:val="0"/>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vMerge w:val="restart"/>
            <w:tcBorders>
              <w:left w:val="single" w:color="auto" w:sz="12" w:space="0"/>
            </w:tcBorders>
            <w:vAlign w:val="center"/>
          </w:tcPr>
          <w:p>
            <w:pPr>
              <w:autoSpaceDE w:val="0"/>
              <w:autoSpaceDN w:val="0"/>
              <w:adjustRightInd w:val="0"/>
              <w:spacing w:line="624" w:lineRule="exact"/>
              <w:jc w:val="center"/>
              <w:rPr>
                <w:sz w:val="24"/>
              </w:rPr>
            </w:pPr>
            <w:r>
              <w:rPr>
                <w:sz w:val="24"/>
              </w:rPr>
              <w:t>人员情况</w:t>
            </w:r>
          </w:p>
        </w:tc>
        <w:tc>
          <w:tcPr>
            <w:tcW w:w="3053" w:type="dxa"/>
            <w:gridSpan w:val="2"/>
            <w:vAlign w:val="center"/>
          </w:tcPr>
          <w:p>
            <w:pPr>
              <w:autoSpaceDE w:val="0"/>
              <w:autoSpaceDN w:val="0"/>
              <w:adjustRightInd w:val="0"/>
              <w:spacing w:line="360" w:lineRule="auto"/>
              <w:rPr>
                <w:sz w:val="24"/>
              </w:rPr>
            </w:pPr>
            <w:r>
              <w:rPr>
                <w:sz w:val="24"/>
              </w:rPr>
              <w:t>总人数</w:t>
            </w:r>
            <w:r>
              <w:rPr>
                <w:rFonts w:hint="eastAsia"/>
                <w:sz w:val="24"/>
              </w:rPr>
              <w:t>：</w:t>
            </w:r>
          </w:p>
        </w:tc>
        <w:tc>
          <w:tcPr>
            <w:tcW w:w="1771" w:type="dxa"/>
            <w:vAlign w:val="center"/>
          </w:tcPr>
          <w:p>
            <w:pPr>
              <w:autoSpaceDE w:val="0"/>
              <w:autoSpaceDN w:val="0"/>
              <w:adjustRightInd w:val="0"/>
              <w:spacing w:line="360" w:lineRule="auto"/>
              <w:jc w:val="center"/>
              <w:rPr>
                <w:sz w:val="24"/>
              </w:rPr>
            </w:pPr>
            <w:r>
              <w:rPr>
                <w:sz w:val="24"/>
              </w:rPr>
              <w:t>管理人员</w:t>
            </w:r>
          </w:p>
        </w:tc>
        <w:tc>
          <w:tcPr>
            <w:tcW w:w="2641" w:type="dxa"/>
            <w:tcBorders>
              <w:right w:val="single" w:color="auto" w:sz="12" w:space="0"/>
            </w:tcBorders>
            <w:vAlign w:val="center"/>
          </w:tcPr>
          <w:p>
            <w:pPr>
              <w:autoSpaceDE w:val="0"/>
              <w:autoSpaceDN w:val="0"/>
              <w:adjustRightInd w:val="0"/>
              <w:spacing w:line="624"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vMerge w:val="continue"/>
            <w:tcBorders>
              <w:left w:val="single" w:color="auto" w:sz="12" w:space="0"/>
            </w:tcBorders>
            <w:vAlign w:val="center"/>
          </w:tcPr>
          <w:p>
            <w:pPr>
              <w:autoSpaceDE w:val="0"/>
              <w:autoSpaceDN w:val="0"/>
              <w:adjustRightInd w:val="0"/>
              <w:spacing w:line="624" w:lineRule="exact"/>
              <w:rPr>
                <w:sz w:val="24"/>
              </w:rPr>
            </w:pPr>
          </w:p>
        </w:tc>
        <w:tc>
          <w:tcPr>
            <w:tcW w:w="1663" w:type="dxa"/>
            <w:vMerge w:val="restart"/>
            <w:vAlign w:val="center"/>
          </w:tcPr>
          <w:p>
            <w:pPr>
              <w:autoSpaceDE w:val="0"/>
              <w:autoSpaceDN w:val="0"/>
              <w:adjustRightInd w:val="0"/>
              <w:spacing w:line="624" w:lineRule="exact"/>
              <w:jc w:val="center"/>
              <w:rPr>
                <w:sz w:val="24"/>
              </w:rPr>
            </w:pPr>
            <w:r>
              <w:rPr>
                <w:sz w:val="24"/>
              </w:rPr>
              <w:t>技术人员</w:t>
            </w:r>
          </w:p>
        </w:tc>
        <w:tc>
          <w:tcPr>
            <w:tcW w:w="3161" w:type="dxa"/>
            <w:gridSpan w:val="2"/>
            <w:vAlign w:val="center"/>
          </w:tcPr>
          <w:p>
            <w:pPr>
              <w:autoSpaceDE w:val="0"/>
              <w:autoSpaceDN w:val="0"/>
              <w:adjustRightInd w:val="0"/>
              <w:spacing w:line="360" w:lineRule="auto"/>
              <w:rPr>
                <w:sz w:val="24"/>
              </w:rPr>
            </w:pPr>
            <w:r>
              <w:rPr>
                <w:sz w:val="24"/>
              </w:rPr>
              <w:t>总人数</w:t>
            </w:r>
          </w:p>
        </w:tc>
        <w:tc>
          <w:tcPr>
            <w:tcW w:w="2641" w:type="dxa"/>
            <w:tcBorders>
              <w:right w:val="single" w:color="auto" w:sz="12" w:space="0"/>
            </w:tcBorders>
            <w:vAlign w:val="center"/>
          </w:tcPr>
          <w:p>
            <w:pPr>
              <w:autoSpaceDE w:val="0"/>
              <w:autoSpaceDN w:val="0"/>
              <w:adjustRightInd w:val="0"/>
              <w:spacing w:line="624"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vMerge w:val="continue"/>
            <w:tcBorders>
              <w:left w:val="single" w:color="auto" w:sz="12" w:space="0"/>
            </w:tcBorders>
            <w:vAlign w:val="center"/>
          </w:tcPr>
          <w:p>
            <w:pPr>
              <w:autoSpaceDE w:val="0"/>
              <w:autoSpaceDN w:val="0"/>
              <w:adjustRightInd w:val="0"/>
              <w:spacing w:line="624" w:lineRule="exact"/>
              <w:rPr>
                <w:sz w:val="24"/>
              </w:rPr>
            </w:pPr>
          </w:p>
        </w:tc>
        <w:tc>
          <w:tcPr>
            <w:tcW w:w="1663" w:type="dxa"/>
            <w:vMerge w:val="continue"/>
            <w:vAlign w:val="center"/>
          </w:tcPr>
          <w:p>
            <w:pPr>
              <w:autoSpaceDE w:val="0"/>
              <w:autoSpaceDN w:val="0"/>
              <w:adjustRightInd w:val="0"/>
              <w:spacing w:line="624" w:lineRule="exact"/>
              <w:rPr>
                <w:sz w:val="24"/>
              </w:rPr>
            </w:pPr>
          </w:p>
        </w:tc>
        <w:tc>
          <w:tcPr>
            <w:tcW w:w="3161" w:type="dxa"/>
            <w:gridSpan w:val="2"/>
            <w:vAlign w:val="center"/>
          </w:tcPr>
          <w:p>
            <w:pPr>
              <w:autoSpaceDE w:val="0"/>
              <w:autoSpaceDN w:val="0"/>
              <w:adjustRightInd w:val="0"/>
              <w:spacing w:line="360" w:lineRule="auto"/>
              <w:rPr>
                <w:sz w:val="24"/>
              </w:rPr>
            </w:pPr>
            <w:r>
              <w:rPr>
                <w:sz w:val="24"/>
              </w:rPr>
              <w:t>具有高级技术职称人数</w:t>
            </w:r>
          </w:p>
        </w:tc>
        <w:tc>
          <w:tcPr>
            <w:tcW w:w="2641" w:type="dxa"/>
            <w:tcBorders>
              <w:right w:val="single" w:color="auto" w:sz="12" w:space="0"/>
            </w:tcBorders>
            <w:vAlign w:val="center"/>
          </w:tcPr>
          <w:p>
            <w:pPr>
              <w:autoSpaceDE w:val="0"/>
              <w:autoSpaceDN w:val="0"/>
              <w:adjustRightInd w:val="0"/>
              <w:spacing w:line="624"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97" w:type="dxa"/>
            <w:vMerge w:val="continue"/>
            <w:tcBorders>
              <w:left w:val="single" w:color="auto" w:sz="12" w:space="0"/>
            </w:tcBorders>
            <w:vAlign w:val="center"/>
          </w:tcPr>
          <w:p>
            <w:pPr>
              <w:autoSpaceDE w:val="0"/>
              <w:autoSpaceDN w:val="0"/>
              <w:adjustRightInd w:val="0"/>
              <w:spacing w:line="624" w:lineRule="exact"/>
              <w:rPr>
                <w:sz w:val="24"/>
              </w:rPr>
            </w:pPr>
          </w:p>
        </w:tc>
        <w:tc>
          <w:tcPr>
            <w:tcW w:w="4824" w:type="dxa"/>
            <w:gridSpan w:val="3"/>
            <w:vAlign w:val="center"/>
          </w:tcPr>
          <w:p>
            <w:pPr>
              <w:autoSpaceDE w:val="0"/>
              <w:autoSpaceDN w:val="0"/>
              <w:adjustRightInd w:val="0"/>
              <w:spacing w:line="360" w:lineRule="auto"/>
              <w:jc w:val="center"/>
              <w:rPr>
                <w:sz w:val="24"/>
              </w:rPr>
            </w:pPr>
            <w:r>
              <w:rPr>
                <w:sz w:val="24"/>
              </w:rPr>
              <w:t>其他人员</w:t>
            </w:r>
          </w:p>
        </w:tc>
        <w:tc>
          <w:tcPr>
            <w:tcW w:w="2641" w:type="dxa"/>
            <w:tcBorders>
              <w:right w:val="single" w:color="auto" w:sz="12" w:space="0"/>
            </w:tcBorders>
            <w:vAlign w:val="center"/>
          </w:tcPr>
          <w:p>
            <w:pPr>
              <w:autoSpaceDE w:val="0"/>
              <w:autoSpaceDN w:val="0"/>
              <w:adjustRightInd w:val="0"/>
              <w:spacing w:line="624"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4" w:hRule="atLeast"/>
        </w:trPr>
        <w:tc>
          <w:tcPr>
            <w:tcW w:w="8962" w:type="dxa"/>
            <w:gridSpan w:val="5"/>
            <w:tcBorders>
              <w:left w:val="single" w:color="auto" w:sz="12" w:space="0"/>
              <w:bottom w:val="single" w:color="auto" w:sz="12" w:space="0"/>
              <w:right w:val="single" w:color="auto" w:sz="12" w:space="0"/>
            </w:tcBorders>
          </w:tcPr>
          <w:p>
            <w:pPr>
              <w:autoSpaceDE w:val="0"/>
              <w:autoSpaceDN w:val="0"/>
              <w:adjustRightInd w:val="0"/>
              <w:spacing w:line="624" w:lineRule="exact"/>
              <w:rPr>
                <w:sz w:val="24"/>
              </w:rPr>
            </w:pPr>
            <w:r>
              <w:rPr>
                <w:sz w:val="24"/>
              </w:rPr>
              <w:t>其他需要说明的情况：</w:t>
            </w:r>
          </w:p>
        </w:tc>
      </w:tr>
    </w:tbl>
    <w:p>
      <w:pPr>
        <w:autoSpaceDE w:val="0"/>
        <w:autoSpaceDN w:val="0"/>
        <w:adjustRightInd w:val="0"/>
        <w:spacing w:line="400" w:lineRule="exact"/>
        <w:rPr>
          <w:sz w:val="24"/>
        </w:rPr>
      </w:pPr>
    </w:p>
    <w:p>
      <w:pPr>
        <w:adjustRightInd w:val="0"/>
        <w:snapToGrid w:val="0"/>
        <w:spacing w:line="480" w:lineRule="auto"/>
        <w:rPr>
          <w:bCs/>
          <w:sz w:val="24"/>
        </w:rPr>
      </w:pPr>
      <w:r>
        <w:rPr>
          <w:rFonts w:hint="eastAsia"/>
          <w:bCs/>
          <w:sz w:val="24"/>
        </w:rPr>
        <w:t>磋商响应单位</w:t>
      </w:r>
      <w:r>
        <w:rPr>
          <w:bCs/>
          <w:sz w:val="24"/>
        </w:rPr>
        <w:t>名称：</w:t>
      </w:r>
      <w:r>
        <w:rPr>
          <w:bCs/>
          <w:sz w:val="24"/>
          <w:u w:val="single"/>
        </w:rPr>
        <w:t xml:space="preserve">                              </w:t>
      </w:r>
      <w:r>
        <w:rPr>
          <w:bCs/>
          <w:sz w:val="24"/>
        </w:rPr>
        <w:t>（公章）</w:t>
      </w:r>
    </w:p>
    <w:p>
      <w:pPr>
        <w:adjustRightInd w:val="0"/>
        <w:snapToGrid w:val="0"/>
        <w:spacing w:line="480" w:lineRule="auto"/>
        <w:rPr>
          <w:sz w:val="24"/>
        </w:rPr>
      </w:pPr>
      <w:r>
        <w:rPr>
          <w:bCs/>
          <w:sz w:val="24"/>
        </w:rPr>
        <w:t>法定代表人或授权代表人：</w:t>
      </w:r>
      <w:r>
        <w:rPr>
          <w:bCs/>
          <w:sz w:val="24"/>
          <w:u w:val="single"/>
        </w:rPr>
        <w:t xml:space="preserve">  </w:t>
      </w:r>
      <w:r>
        <w:rPr>
          <w:sz w:val="24"/>
          <w:u w:val="single"/>
        </w:rPr>
        <w:t xml:space="preserve">                </w:t>
      </w:r>
      <w:r>
        <w:rPr>
          <w:sz w:val="24"/>
        </w:rPr>
        <w:t xml:space="preserve">（签字或盖章）           </w:t>
      </w:r>
      <w:bookmarkStart w:id="77" w:name="OLE_LINK8"/>
    </w:p>
    <w:p>
      <w:pPr>
        <w:adjustRightInd w:val="0"/>
        <w:snapToGrid w:val="0"/>
        <w:spacing w:line="480" w:lineRule="auto"/>
        <w:rPr>
          <w:sz w:val="24"/>
        </w:rPr>
      </w:pPr>
      <w:r>
        <w:rPr>
          <w:bCs/>
          <w:sz w:val="24"/>
        </w:rPr>
        <w:t>日</w:t>
      </w:r>
      <w:r>
        <w:rPr>
          <w:rFonts w:hint="eastAsia"/>
          <w:bCs/>
          <w:sz w:val="24"/>
        </w:rPr>
        <w:t xml:space="preserve">  </w:t>
      </w:r>
      <w:r>
        <w:rPr>
          <w:bCs/>
          <w:sz w:val="24"/>
        </w:rPr>
        <w:t>期：</w:t>
      </w:r>
      <w:bookmarkEnd w:id="77"/>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autoSpaceDE w:val="0"/>
        <w:autoSpaceDN w:val="0"/>
        <w:adjustRightInd w:val="0"/>
        <w:spacing w:line="360" w:lineRule="auto"/>
        <w:rPr>
          <w:b/>
          <w:sz w:val="24"/>
        </w:rPr>
      </w:pPr>
      <w:r>
        <w:rPr>
          <w:sz w:val="24"/>
        </w:rPr>
        <w:br w:type="page"/>
      </w:r>
    </w:p>
    <w:p>
      <w:pPr>
        <w:adjustRightInd w:val="0"/>
        <w:snapToGrid w:val="0"/>
        <w:spacing w:line="324" w:lineRule="auto"/>
        <w:rPr>
          <w:rFonts w:hAnsi="宋体"/>
          <w:b/>
          <w:sz w:val="24"/>
        </w:rPr>
      </w:pPr>
      <w:r>
        <w:rPr>
          <w:rFonts w:hint="eastAsia" w:ascii="宋体" w:hAnsi="宋体" w:cs="宋体"/>
          <w:sz w:val="24"/>
        </w:rPr>
        <w:t xml:space="preserve">附件4-1 </w:t>
      </w:r>
      <w:r>
        <w:rPr>
          <w:rFonts w:hint="eastAsia" w:hAnsi="宋体"/>
          <w:b/>
          <w:sz w:val="24"/>
        </w:rPr>
        <w:t>：</w:t>
      </w:r>
    </w:p>
    <w:p>
      <w:pPr>
        <w:spacing w:before="100" w:beforeAutospacing="1" w:afterLines="50" w:line="360" w:lineRule="auto"/>
        <w:jc w:val="center"/>
        <w:rPr>
          <w:rFonts w:asciiTheme="minorEastAsia" w:hAnsiTheme="minorEastAsia" w:eastAsiaTheme="minorEastAsia" w:cstheme="minorEastAsia"/>
          <w:b/>
          <w:sz w:val="32"/>
          <w:szCs w:val="32"/>
        </w:rPr>
      </w:pPr>
      <w:r>
        <w:rPr>
          <w:rFonts w:hint="eastAsia" w:asciiTheme="minorEastAsia" w:hAnsiTheme="minorEastAsia" w:eastAsiaTheme="minorEastAsia" w:cstheme="minorEastAsia"/>
          <w:b/>
          <w:sz w:val="32"/>
          <w:szCs w:val="32"/>
        </w:rPr>
        <w:t>中小企业声明函</w:t>
      </w:r>
    </w:p>
    <w:p>
      <w:pPr>
        <w:spacing w:line="360" w:lineRule="auto"/>
        <w:ind w:firstLine="480" w:firstLineChars="200"/>
        <w:rPr>
          <w:rFonts w:ascii="宋体" w:hAnsi="宋体" w:cs="宋体"/>
          <w:sz w:val="24"/>
        </w:rPr>
      </w:pPr>
      <w:r>
        <w:rPr>
          <w:rFonts w:hint="eastAsia" w:ascii="宋体" w:hAnsi="宋体" w:cs="宋体"/>
          <w:sz w:val="24"/>
        </w:rPr>
        <w:t>本公司郑重声明，根据《政府采购促进中小企业发展管理办法》（财库﹝2020﹞46 号）的规定，本公司参加</w:t>
      </w:r>
      <w:r>
        <w:rPr>
          <w:rFonts w:hint="eastAsia" w:ascii="宋体" w:hAnsi="宋体" w:cs="宋体"/>
          <w:i/>
          <w:sz w:val="24"/>
          <w:u w:val="single"/>
        </w:rPr>
        <w:t>（单位名称</w:t>
      </w:r>
      <w:r>
        <w:rPr>
          <w:rFonts w:hint="eastAsia" w:ascii="宋体" w:hAnsi="宋体" w:cs="宋体"/>
          <w:sz w:val="24"/>
          <w:u w:val="single"/>
        </w:rPr>
        <w:t>）</w:t>
      </w:r>
      <w:r>
        <w:rPr>
          <w:rFonts w:hint="eastAsia" w:ascii="宋体" w:hAnsi="宋体" w:cs="宋体"/>
          <w:sz w:val="24"/>
        </w:rPr>
        <w:t>的</w:t>
      </w:r>
      <w:r>
        <w:rPr>
          <w:rFonts w:hint="eastAsia" w:ascii="宋体" w:hAnsi="宋体" w:cs="宋体"/>
          <w:i/>
          <w:sz w:val="24"/>
          <w:u w:val="single"/>
        </w:rPr>
        <w:t>（项目名称）</w:t>
      </w:r>
      <w:r>
        <w:rPr>
          <w:rFonts w:hint="eastAsia" w:ascii="宋体" w:hAnsi="宋体" w:cs="宋体"/>
          <w:sz w:val="24"/>
        </w:rPr>
        <w:t xml:space="preserve">采购活动，工程的施工单位全部为符合政策要求的中小企业（或者：服务全部由符合政策要求的中小企业承接）。相关企业（含联合体中的中小企业、签订分包意向协议的中小企业）的具体情况如下： </w:t>
      </w:r>
    </w:p>
    <w:p>
      <w:pPr>
        <w:numPr>
          <w:ilvl w:val="0"/>
          <w:numId w:val="8"/>
        </w:numPr>
        <w:spacing w:line="360" w:lineRule="auto"/>
        <w:ind w:firstLine="480" w:firstLineChars="200"/>
        <w:rPr>
          <w:rFonts w:ascii="宋体" w:hAnsi="宋体" w:cs="宋体"/>
          <w:sz w:val="24"/>
        </w:rPr>
      </w:pPr>
      <w:r>
        <w:rPr>
          <w:rFonts w:hint="eastAsia" w:ascii="宋体" w:hAnsi="宋体" w:cs="宋体"/>
          <w:i/>
          <w:sz w:val="24"/>
          <w:u w:val="single"/>
        </w:rPr>
        <w:t>（标的名称）</w:t>
      </w:r>
      <w:r>
        <w:rPr>
          <w:rFonts w:hint="eastAsia" w:ascii="宋体" w:hAnsi="宋体" w:cs="宋体"/>
          <w:sz w:val="24"/>
          <w:u w:val="single"/>
        </w:rPr>
        <w:t xml:space="preserve"> </w:t>
      </w:r>
      <w:r>
        <w:rPr>
          <w:rFonts w:hint="eastAsia" w:ascii="宋体" w:hAnsi="宋体" w:cs="宋体"/>
          <w:sz w:val="24"/>
        </w:rPr>
        <w:t>，属于</w:t>
      </w:r>
      <w:r>
        <w:rPr>
          <w:rFonts w:hint="eastAsia" w:ascii="宋体" w:hAnsi="宋体" w:cs="宋体"/>
          <w:i/>
          <w:sz w:val="24"/>
          <w:u w:val="single"/>
        </w:rPr>
        <w:t>（采购文件中明确的所属行业）</w:t>
      </w:r>
      <w:r>
        <w:rPr>
          <w:rFonts w:hint="eastAsia" w:ascii="宋体" w:hAnsi="宋体" w:cs="宋体"/>
          <w:sz w:val="24"/>
        </w:rPr>
        <w:t>； 承建（承接）企业为</w:t>
      </w:r>
      <w:r>
        <w:rPr>
          <w:rFonts w:hint="eastAsia" w:ascii="宋体" w:hAnsi="宋体" w:cs="宋体"/>
          <w:i/>
          <w:sz w:val="24"/>
          <w:u w:val="single"/>
        </w:rPr>
        <w:t>（企业名称）</w:t>
      </w:r>
      <w:r>
        <w:rPr>
          <w:rFonts w:hint="eastAsia" w:ascii="宋体" w:hAnsi="宋体" w:cs="宋体"/>
          <w:sz w:val="24"/>
        </w:rPr>
        <w:t>，从业人员______人，营业收入为____万元，资产总额为____万元，属于</w:t>
      </w:r>
      <w:r>
        <w:rPr>
          <w:rFonts w:hint="eastAsia" w:ascii="宋体" w:hAnsi="宋体" w:cs="宋体"/>
          <w:i/>
          <w:sz w:val="24"/>
          <w:u w:val="single"/>
        </w:rPr>
        <w:t>（中型企业、 小型企业、微型企业）</w:t>
      </w:r>
      <w:r>
        <w:rPr>
          <w:rFonts w:hint="eastAsia" w:ascii="宋体" w:hAnsi="宋体" w:cs="宋体"/>
          <w:sz w:val="24"/>
        </w:rPr>
        <w:t xml:space="preserve">； </w:t>
      </w:r>
    </w:p>
    <w:p>
      <w:pPr>
        <w:numPr>
          <w:ilvl w:val="0"/>
          <w:numId w:val="8"/>
        </w:numPr>
        <w:spacing w:line="360" w:lineRule="auto"/>
        <w:ind w:firstLine="480" w:firstLineChars="200"/>
        <w:rPr>
          <w:rFonts w:ascii="宋体" w:hAnsi="宋体" w:cs="宋体"/>
          <w:sz w:val="24"/>
        </w:rPr>
      </w:pPr>
      <w:r>
        <w:rPr>
          <w:rFonts w:hint="eastAsia" w:ascii="宋体" w:hAnsi="宋体" w:cs="宋体"/>
          <w:i/>
          <w:sz w:val="24"/>
          <w:u w:val="single"/>
        </w:rPr>
        <w:t xml:space="preserve">（标的名称） </w:t>
      </w:r>
      <w:r>
        <w:rPr>
          <w:rFonts w:hint="eastAsia" w:ascii="宋体" w:hAnsi="宋体" w:cs="宋体"/>
          <w:sz w:val="24"/>
        </w:rPr>
        <w:t>，属于</w:t>
      </w:r>
      <w:r>
        <w:rPr>
          <w:rFonts w:hint="eastAsia" w:ascii="宋体" w:hAnsi="宋体" w:cs="宋体"/>
          <w:i/>
          <w:sz w:val="24"/>
          <w:u w:val="single"/>
        </w:rPr>
        <w:t>（采购文件中明确的所属行业）</w:t>
      </w:r>
      <w:r>
        <w:rPr>
          <w:rFonts w:hint="eastAsia" w:ascii="宋体" w:hAnsi="宋体" w:cs="宋体"/>
          <w:sz w:val="24"/>
        </w:rPr>
        <w:t>； 承建（承接）企业为</w:t>
      </w:r>
      <w:r>
        <w:rPr>
          <w:rFonts w:hint="eastAsia" w:ascii="宋体" w:hAnsi="宋体" w:cs="宋体"/>
          <w:i/>
          <w:sz w:val="24"/>
          <w:u w:val="single"/>
        </w:rPr>
        <w:t>（企业名称）</w:t>
      </w:r>
      <w:r>
        <w:rPr>
          <w:rFonts w:hint="eastAsia" w:ascii="宋体" w:hAnsi="宋体" w:cs="宋体"/>
          <w:sz w:val="24"/>
        </w:rPr>
        <w:t>，从业人员_____人，营业 收入为_____万元，资产总额为____万元，属于</w:t>
      </w:r>
      <w:r>
        <w:rPr>
          <w:rFonts w:hint="eastAsia" w:ascii="宋体" w:hAnsi="宋体" w:cs="宋体"/>
          <w:i/>
          <w:sz w:val="24"/>
          <w:u w:val="single"/>
        </w:rPr>
        <w:t>（中型企业、 小型企业、微型企业）</w:t>
      </w:r>
      <w:r>
        <w:rPr>
          <w:rFonts w:hint="eastAsia" w:ascii="宋体" w:hAnsi="宋体" w:cs="宋体"/>
          <w:sz w:val="24"/>
        </w:rPr>
        <w:t>；</w:t>
      </w:r>
    </w:p>
    <w:p>
      <w:pPr>
        <w:spacing w:line="360" w:lineRule="auto"/>
        <w:ind w:firstLine="480" w:firstLineChars="200"/>
        <w:rPr>
          <w:rFonts w:ascii="宋体" w:hAnsi="宋体" w:cs="宋体"/>
          <w:sz w:val="24"/>
        </w:rPr>
      </w:pPr>
      <w:r>
        <w:rPr>
          <w:rFonts w:hint="eastAsia" w:ascii="宋体" w:hAnsi="宋体" w:cs="宋体"/>
          <w:sz w:val="24"/>
        </w:rPr>
        <w:t xml:space="preserve"> …… </w:t>
      </w:r>
    </w:p>
    <w:p>
      <w:pPr>
        <w:spacing w:line="360" w:lineRule="auto"/>
        <w:ind w:firstLine="480" w:firstLineChars="200"/>
        <w:rPr>
          <w:rFonts w:ascii="宋体" w:hAnsi="宋体" w:cs="宋体"/>
          <w:sz w:val="24"/>
        </w:rPr>
      </w:pPr>
      <w:r>
        <w:rPr>
          <w:rFonts w:hint="eastAsia" w:ascii="宋体" w:hAnsi="宋体" w:cs="宋体"/>
          <w:sz w:val="24"/>
        </w:rPr>
        <w:t xml:space="preserve">以上企业，不属于大企业的分支机构，不存在控股股东 为大企业的情形，也不存在与大企业的负责人为同一人的情形。 </w:t>
      </w:r>
    </w:p>
    <w:p>
      <w:pPr>
        <w:spacing w:line="360" w:lineRule="auto"/>
        <w:ind w:firstLine="480" w:firstLineChars="200"/>
        <w:rPr>
          <w:rFonts w:ascii="宋体" w:hAnsi="宋体" w:cs="宋体"/>
          <w:sz w:val="24"/>
        </w:rPr>
      </w:pPr>
      <w:r>
        <w:rPr>
          <w:rFonts w:hint="eastAsia" w:ascii="宋体" w:hAnsi="宋体" w:cs="宋体"/>
          <w:sz w:val="24"/>
        </w:rPr>
        <w:t>本企业对上述声明内容的真实性负责。如有虚假，将依 法承担相应责任。</w:t>
      </w:r>
    </w:p>
    <w:p>
      <w:pPr>
        <w:pStyle w:val="9"/>
      </w:pPr>
    </w:p>
    <w:p>
      <w:pPr>
        <w:spacing w:line="500" w:lineRule="exact"/>
        <w:ind w:firstLine="3840" w:firstLineChars="1600"/>
        <w:rPr>
          <w:rFonts w:ascii="宋体" w:hAnsi="宋体" w:cs="宋体"/>
          <w:color w:val="FFFFFF"/>
          <w:sz w:val="24"/>
          <w:u w:val="single" w:color="000000"/>
        </w:rPr>
      </w:pPr>
      <w:r>
        <w:rPr>
          <w:rFonts w:hint="eastAsia" w:ascii="宋体" w:hAnsi="宋体" w:cs="宋体"/>
          <w:sz w:val="24"/>
        </w:rPr>
        <w:t>企业名称（盖章）：</w:t>
      </w:r>
      <w:r>
        <w:rPr>
          <w:rFonts w:hint="eastAsia" w:ascii="宋体" w:hAnsi="宋体" w:cs="宋体"/>
          <w:color w:val="FFFFFF"/>
          <w:sz w:val="24"/>
          <w:u w:val="single" w:color="000000"/>
        </w:rPr>
        <w:t>________________</w:t>
      </w:r>
    </w:p>
    <w:p>
      <w:pPr>
        <w:pStyle w:val="9"/>
      </w:pPr>
    </w:p>
    <w:p>
      <w:pPr>
        <w:spacing w:line="500" w:lineRule="exact"/>
        <w:ind w:firstLine="3840" w:firstLineChars="1600"/>
        <w:rPr>
          <w:rFonts w:ascii="宋体" w:hAnsi="宋体" w:cs="宋体"/>
          <w:sz w:val="24"/>
        </w:rPr>
      </w:pPr>
      <w:r>
        <w:rPr>
          <w:rFonts w:hint="eastAsia" w:ascii="宋体" w:hAnsi="宋体" w:cs="宋体"/>
          <w:sz w:val="24"/>
        </w:rPr>
        <w:t>日  期：__________________________</w:t>
      </w:r>
    </w:p>
    <w:p>
      <w:pPr>
        <w:pStyle w:val="19"/>
      </w:pPr>
    </w:p>
    <w:p/>
    <w:p>
      <w:pPr>
        <w:pStyle w:val="19"/>
      </w:pPr>
    </w:p>
    <w:p>
      <w:pPr>
        <w:pStyle w:val="19"/>
      </w:pPr>
    </w:p>
    <w:p>
      <w:pPr>
        <w:pStyle w:val="9"/>
        <w:spacing w:line="360" w:lineRule="auto"/>
        <w:ind w:firstLine="360" w:firstLineChars="150"/>
        <w:rPr>
          <w:rFonts w:ascii="宋体" w:hAnsi="宋体" w:cs="宋体"/>
          <w:sz w:val="24"/>
        </w:rPr>
      </w:pPr>
      <w:r>
        <w:rPr>
          <w:rFonts w:hint="eastAsia" w:ascii="宋体" w:hAnsi="宋体" w:cs="宋体"/>
          <w:sz w:val="24"/>
        </w:rPr>
        <w:t>从业人员、营业收入、资产总额填报上一年度数据，无上一年度数据的新成立企业可不填报。</w:t>
      </w:r>
    </w:p>
    <w:p>
      <w:pPr>
        <w:widowControl/>
        <w:jc w:val="left"/>
        <w:rPr>
          <w:rFonts w:ascii="宋体" w:hAnsi="宋体" w:cs="宋体"/>
          <w:sz w:val="24"/>
        </w:rPr>
      </w:pPr>
      <w:r>
        <w:rPr>
          <w:rFonts w:ascii="宋体" w:hAnsi="宋体" w:cs="宋体"/>
          <w:sz w:val="24"/>
        </w:rPr>
        <w:br w:type="page"/>
      </w:r>
    </w:p>
    <w:p>
      <w:pPr>
        <w:pStyle w:val="9"/>
        <w:ind w:firstLine="0" w:firstLineChars="0"/>
        <w:rPr>
          <w:rFonts w:hAnsi="宋体"/>
          <w:b/>
          <w:sz w:val="24"/>
        </w:rPr>
      </w:pPr>
      <w:r>
        <w:rPr>
          <w:rFonts w:hint="eastAsia" w:ascii="宋体" w:hAnsi="宋体" w:cs="宋体"/>
          <w:sz w:val="24"/>
        </w:rPr>
        <w:t>附件4-2</w:t>
      </w:r>
      <w:r>
        <w:rPr>
          <w:sz w:val="24"/>
        </w:rPr>
        <w:t xml:space="preserve"> </w:t>
      </w:r>
      <w:r>
        <w:rPr>
          <w:rFonts w:hint="eastAsia" w:hAnsi="宋体"/>
          <w:b/>
          <w:sz w:val="24"/>
        </w:rPr>
        <w:t>（如有）：</w:t>
      </w:r>
    </w:p>
    <w:p>
      <w:pPr>
        <w:spacing w:line="600" w:lineRule="exact"/>
        <w:jc w:val="center"/>
        <w:rPr>
          <w:rFonts w:hAnsi="宋体"/>
          <w:b/>
          <w:sz w:val="28"/>
          <w:szCs w:val="28"/>
        </w:rPr>
      </w:pPr>
      <w:r>
        <w:rPr>
          <w:rFonts w:hint="eastAsia" w:hAnsi="宋体"/>
          <w:b/>
          <w:sz w:val="28"/>
          <w:szCs w:val="28"/>
        </w:rPr>
        <w:t>投标产品属</w:t>
      </w:r>
      <w:r>
        <w:rPr>
          <w:rFonts w:hAnsi="宋体"/>
          <w:b/>
          <w:sz w:val="28"/>
          <w:szCs w:val="28"/>
        </w:rPr>
        <w:t>节能</w:t>
      </w:r>
      <w:r>
        <w:rPr>
          <w:rFonts w:hint="eastAsia" w:hAnsi="宋体"/>
          <w:b/>
          <w:sz w:val="28"/>
          <w:szCs w:val="28"/>
        </w:rPr>
        <w:t>、环境标志</w:t>
      </w:r>
      <w:r>
        <w:rPr>
          <w:rFonts w:hAnsi="宋体"/>
          <w:b/>
          <w:sz w:val="28"/>
          <w:szCs w:val="28"/>
        </w:rPr>
        <w:t>产品</w:t>
      </w:r>
      <w:r>
        <w:rPr>
          <w:rFonts w:hint="eastAsia" w:hAnsi="宋体"/>
          <w:b/>
          <w:sz w:val="28"/>
          <w:szCs w:val="28"/>
        </w:rPr>
        <w:t>列表</w:t>
      </w:r>
    </w:p>
    <w:p>
      <w:pPr>
        <w:spacing w:line="600" w:lineRule="exac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项目名称：</w:t>
      </w:r>
    </w:p>
    <w:p>
      <w:pPr>
        <w:spacing w:line="600" w:lineRule="exact"/>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项目编号： </w:t>
      </w:r>
    </w:p>
    <w:tbl>
      <w:tblPr>
        <w:tblStyle w:val="48"/>
        <w:tblW w:w="8928" w:type="dxa"/>
        <w:tblInd w:w="0" w:type="dxa"/>
        <w:tblLayout w:type="fixed"/>
        <w:tblCellMar>
          <w:top w:w="0" w:type="dxa"/>
          <w:left w:w="28" w:type="dxa"/>
          <w:bottom w:w="0" w:type="dxa"/>
          <w:right w:w="28" w:type="dxa"/>
        </w:tblCellMar>
      </w:tblPr>
      <w:tblGrid>
        <w:gridCol w:w="886"/>
        <w:gridCol w:w="1862"/>
        <w:gridCol w:w="2250"/>
        <w:gridCol w:w="1311"/>
        <w:gridCol w:w="1307"/>
        <w:gridCol w:w="1312"/>
      </w:tblGrid>
      <w:tr>
        <w:tblPrEx>
          <w:tblCellMar>
            <w:top w:w="0" w:type="dxa"/>
            <w:left w:w="28" w:type="dxa"/>
            <w:bottom w:w="0" w:type="dxa"/>
            <w:right w:w="28" w:type="dxa"/>
          </w:tblCellMar>
        </w:tblPrEx>
        <w:trPr>
          <w:trHeight w:val="911" w:hRule="atLeast"/>
        </w:trPr>
        <w:tc>
          <w:tcPr>
            <w:tcW w:w="886" w:type="dxa"/>
            <w:tcBorders>
              <w:top w:val="single" w:color="auto" w:sz="6" w:space="0"/>
              <w:left w:val="single" w:color="auto" w:sz="4" w:space="0"/>
              <w:bottom w:val="single" w:color="auto" w:sz="6" w:space="0"/>
            </w:tcBorders>
            <w:vAlign w:val="center"/>
          </w:tcPr>
          <w:p>
            <w:pPr>
              <w:spacing w:after="12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序号</w:t>
            </w:r>
          </w:p>
        </w:tc>
        <w:tc>
          <w:tcPr>
            <w:tcW w:w="1862"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名称</w:t>
            </w:r>
          </w:p>
        </w:tc>
        <w:tc>
          <w:tcPr>
            <w:tcW w:w="2250" w:type="dxa"/>
            <w:tcBorders>
              <w:top w:val="single" w:color="auto" w:sz="6" w:space="0"/>
              <w:left w:val="single" w:color="auto" w:sz="6" w:space="0"/>
              <w:bottom w:val="single" w:color="auto" w:sz="6" w:space="0"/>
              <w:right w:val="single" w:color="auto" w:sz="6" w:space="0"/>
            </w:tcBorders>
            <w:vAlign w:val="center"/>
          </w:tcPr>
          <w:p>
            <w:pPr>
              <w:spacing w:beforeLines="50" w:after="12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型号和规格</w:t>
            </w:r>
          </w:p>
        </w:tc>
        <w:tc>
          <w:tcPr>
            <w:tcW w:w="1311"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数量</w:t>
            </w:r>
          </w:p>
        </w:tc>
        <w:tc>
          <w:tcPr>
            <w:tcW w:w="1307"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Theme="minorEastAsia" w:hAnsiTheme="minorEastAsia" w:eastAsiaTheme="minorEastAsia" w:cstheme="minorEastAsia"/>
                <w:bCs/>
                <w:sz w:val="24"/>
              </w:rPr>
            </w:pPr>
            <w:r>
              <w:rPr>
                <w:rFonts w:hint="eastAsia" w:asciiTheme="minorEastAsia" w:hAnsiTheme="minorEastAsia" w:eastAsiaTheme="minorEastAsia" w:cstheme="minorEastAsia"/>
                <w:sz w:val="24"/>
              </w:rPr>
              <w:t>单价（元）</w:t>
            </w:r>
          </w:p>
        </w:tc>
        <w:tc>
          <w:tcPr>
            <w:tcW w:w="1312"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总价（元）</w:t>
            </w:r>
          </w:p>
        </w:tc>
      </w:tr>
      <w:tr>
        <w:tblPrEx>
          <w:tblCellMar>
            <w:top w:w="0" w:type="dxa"/>
            <w:left w:w="28" w:type="dxa"/>
            <w:bottom w:w="0" w:type="dxa"/>
            <w:right w:w="28" w:type="dxa"/>
          </w:tblCellMar>
        </w:tblPrEx>
        <w:trPr>
          <w:trHeight w:val="808" w:hRule="atLeast"/>
        </w:trPr>
        <w:tc>
          <w:tcPr>
            <w:tcW w:w="886" w:type="dxa"/>
            <w:tcBorders>
              <w:top w:val="single" w:color="auto" w:sz="6" w:space="0"/>
              <w:left w:val="single" w:color="auto" w:sz="4" w:space="0"/>
              <w:bottom w:val="single" w:color="auto" w:sz="4" w:space="0"/>
            </w:tcBorders>
            <w:vAlign w:val="center"/>
          </w:tcPr>
          <w:p>
            <w:pPr>
              <w:spacing w:beforeLines="10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1</w:t>
            </w:r>
          </w:p>
        </w:tc>
        <w:tc>
          <w:tcPr>
            <w:tcW w:w="1862"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2250"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1"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07"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2" w:type="dxa"/>
            <w:tcBorders>
              <w:top w:val="single" w:color="auto" w:sz="6" w:space="0"/>
              <w:left w:val="single" w:color="auto" w:sz="6" w:space="0"/>
              <w:bottom w:val="single" w:color="auto" w:sz="4" w:space="0"/>
              <w:right w:val="single" w:color="auto" w:sz="6" w:space="0"/>
            </w:tcBorders>
            <w:vAlign w:val="center"/>
          </w:tcPr>
          <w:p>
            <w:pPr>
              <w:spacing w:beforeLines="50"/>
              <w:jc w:val="center"/>
              <w:rPr>
                <w:rFonts w:asciiTheme="minorEastAsia" w:hAnsiTheme="minorEastAsia" w:eastAsiaTheme="minorEastAsia" w:cstheme="minorEastAsia"/>
                <w:sz w:val="24"/>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vAlign w:val="center"/>
          </w:tcPr>
          <w:p>
            <w:pPr>
              <w:spacing w:beforeLines="10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2</w:t>
            </w:r>
          </w:p>
        </w:tc>
        <w:tc>
          <w:tcPr>
            <w:tcW w:w="1862"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asciiTheme="minorEastAsia" w:hAnsiTheme="minorEastAsia" w:eastAsiaTheme="minorEastAsia" w:cstheme="minorEastAsia"/>
                <w:sz w:val="24"/>
              </w:rPr>
            </w:pPr>
          </w:p>
        </w:tc>
        <w:tc>
          <w:tcPr>
            <w:tcW w:w="2250"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0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vAlign w:val="center"/>
          </w:tcPr>
          <w:p>
            <w:pPr>
              <w:spacing w:beforeLines="10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3</w:t>
            </w:r>
          </w:p>
        </w:tc>
        <w:tc>
          <w:tcPr>
            <w:tcW w:w="1862" w:type="dxa"/>
            <w:tcBorders>
              <w:top w:val="single" w:color="auto" w:sz="4" w:space="0"/>
              <w:left w:val="single" w:color="auto" w:sz="6" w:space="0"/>
              <w:bottom w:val="single" w:color="auto" w:sz="6" w:space="0"/>
              <w:right w:val="single" w:color="auto" w:sz="6" w:space="0"/>
            </w:tcBorders>
            <w:vAlign w:val="center"/>
          </w:tcPr>
          <w:p>
            <w:pPr>
              <w:spacing w:beforeLines="100"/>
              <w:jc w:val="center"/>
              <w:rPr>
                <w:rFonts w:asciiTheme="minorEastAsia" w:hAnsiTheme="minorEastAsia" w:eastAsiaTheme="minorEastAsia" w:cstheme="minorEastAsia"/>
                <w:sz w:val="24"/>
              </w:rPr>
            </w:pPr>
          </w:p>
        </w:tc>
        <w:tc>
          <w:tcPr>
            <w:tcW w:w="2250"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0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vAlign w:val="center"/>
          </w:tcPr>
          <w:p>
            <w:pPr>
              <w:spacing w:beforeLines="10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w:t>
            </w:r>
          </w:p>
        </w:tc>
        <w:tc>
          <w:tcPr>
            <w:tcW w:w="186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2250"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0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4" w:space="0"/>
              <w:bottom w:val="single" w:color="auto" w:sz="6" w:space="0"/>
            </w:tcBorders>
            <w:vAlign w:val="center"/>
          </w:tcPr>
          <w:p>
            <w:pPr>
              <w:spacing w:beforeLines="100"/>
              <w:jc w:val="center"/>
              <w:rPr>
                <w:rFonts w:asciiTheme="minorEastAsia" w:hAnsiTheme="minorEastAsia" w:eastAsiaTheme="minorEastAsia" w:cstheme="minorEastAsia"/>
                <w:b/>
                <w:sz w:val="24"/>
              </w:rPr>
            </w:pPr>
            <w:r>
              <w:rPr>
                <w:rFonts w:hint="eastAsia" w:asciiTheme="minorEastAsia" w:hAnsiTheme="minorEastAsia" w:eastAsiaTheme="minorEastAsia" w:cstheme="minorEastAsia"/>
                <w:sz w:val="24"/>
              </w:rPr>
              <w:t>……</w:t>
            </w:r>
          </w:p>
        </w:tc>
        <w:tc>
          <w:tcPr>
            <w:tcW w:w="186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2250"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1"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07"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c>
          <w:tcPr>
            <w:tcW w:w="1312" w:type="dxa"/>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6" w:space="0"/>
              <w:bottom w:val="single" w:color="auto" w:sz="6" w:space="0"/>
            </w:tcBorders>
            <w:vAlign w:val="center"/>
          </w:tcPr>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合计：</w:t>
            </w:r>
          </w:p>
        </w:tc>
        <w:tc>
          <w:tcPr>
            <w:tcW w:w="8042" w:type="dxa"/>
            <w:gridSpan w:val="5"/>
            <w:tcBorders>
              <w:top w:val="single" w:color="auto" w:sz="4" w:space="0"/>
              <w:left w:val="single" w:color="auto" w:sz="6" w:space="0"/>
              <w:bottom w:val="single" w:color="auto" w:sz="6" w:space="0"/>
              <w:right w:val="single" w:color="auto" w:sz="6" w:space="0"/>
            </w:tcBorders>
            <w:vAlign w:val="center"/>
          </w:tcPr>
          <w:p>
            <w:pPr>
              <w:spacing w:beforeLines="50"/>
              <w:jc w:val="left"/>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大写：                                小写：</w:t>
            </w:r>
          </w:p>
        </w:tc>
      </w:tr>
      <w:tr>
        <w:tblPrEx>
          <w:tblCellMar>
            <w:top w:w="0" w:type="dxa"/>
            <w:left w:w="28" w:type="dxa"/>
            <w:bottom w:w="0" w:type="dxa"/>
            <w:right w:w="28" w:type="dxa"/>
          </w:tblCellMar>
        </w:tblPrEx>
        <w:trPr>
          <w:trHeight w:val="808" w:hRule="atLeast"/>
        </w:trPr>
        <w:tc>
          <w:tcPr>
            <w:tcW w:w="886" w:type="dxa"/>
            <w:tcBorders>
              <w:top w:val="single" w:color="auto" w:sz="4" w:space="0"/>
              <w:left w:val="single" w:color="auto" w:sz="6" w:space="0"/>
              <w:bottom w:val="single" w:color="auto" w:sz="6" w:space="0"/>
            </w:tcBorders>
            <w:vAlign w:val="center"/>
          </w:tcPr>
          <w:p>
            <w:pPr>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备注</w:t>
            </w:r>
          </w:p>
        </w:tc>
        <w:tc>
          <w:tcPr>
            <w:tcW w:w="8042" w:type="dxa"/>
            <w:gridSpan w:val="5"/>
            <w:tcBorders>
              <w:top w:val="single" w:color="auto" w:sz="4" w:space="0"/>
              <w:left w:val="single" w:color="auto" w:sz="6" w:space="0"/>
              <w:bottom w:val="single" w:color="auto" w:sz="6" w:space="0"/>
              <w:right w:val="single" w:color="auto" w:sz="6" w:space="0"/>
            </w:tcBorders>
            <w:vAlign w:val="center"/>
          </w:tcPr>
          <w:p>
            <w:pPr>
              <w:spacing w:beforeLines="50"/>
              <w:jc w:val="center"/>
              <w:rPr>
                <w:rFonts w:asciiTheme="minorEastAsia" w:hAnsiTheme="minorEastAsia" w:eastAsiaTheme="minorEastAsia" w:cstheme="minorEastAsia"/>
                <w:sz w:val="24"/>
              </w:rPr>
            </w:pPr>
            <w:r>
              <w:rPr>
                <w:rFonts w:hint="eastAsia" w:asciiTheme="minorEastAsia" w:hAnsiTheme="minorEastAsia" w:eastAsiaTheme="minorEastAsia" w:cstheme="minorEastAsia"/>
                <w:spacing w:val="-6"/>
                <w:sz w:val="24"/>
              </w:rPr>
              <w:t>保留小数点后两位。</w:t>
            </w:r>
          </w:p>
        </w:tc>
      </w:tr>
    </w:tbl>
    <w:p>
      <w:pPr>
        <w:adjustRightInd w:val="0"/>
        <w:snapToGrid w:val="0"/>
        <w:spacing w:line="360" w:lineRule="auto"/>
        <w:rPr>
          <w:rFonts w:asciiTheme="minorEastAsia" w:hAnsiTheme="minorEastAsia" w:eastAsiaTheme="minorEastAsia" w:cstheme="minorEastAsia"/>
          <w:color w:val="000000"/>
          <w:sz w:val="24"/>
        </w:rPr>
      </w:pPr>
    </w:p>
    <w:p>
      <w:pPr>
        <w:adjustRightInd w:val="0"/>
        <w:snapToGrid w:val="0"/>
        <w:spacing w:line="360" w:lineRule="auto"/>
        <w:rPr>
          <w:rFonts w:asciiTheme="minorEastAsia" w:hAnsiTheme="minorEastAsia" w:eastAsiaTheme="minorEastAsia" w:cstheme="minorEastAsia"/>
          <w:bCs/>
          <w:color w:val="000000"/>
          <w:sz w:val="24"/>
        </w:rPr>
      </w:pPr>
      <w:r>
        <w:rPr>
          <w:rFonts w:hint="eastAsia" w:asciiTheme="minorEastAsia" w:hAnsiTheme="minorEastAsia" w:eastAsiaTheme="minorEastAsia" w:cstheme="minorEastAsia"/>
          <w:bCs/>
          <w:color w:val="000000"/>
          <w:sz w:val="24"/>
        </w:rPr>
        <w:t>说明：1、投标人提供的产品属于《节能产品政府采购清单》中节能产品，《环境标志产品政府采购清单》中环境标志产品，应按招标文件要求提供相关证明材料。</w:t>
      </w:r>
    </w:p>
    <w:p>
      <w:pPr>
        <w:pStyle w:val="199"/>
        <w:widowControl w:val="0"/>
        <w:tabs>
          <w:tab w:val="left" w:pos="360"/>
        </w:tabs>
        <w:spacing w:line="360" w:lineRule="auto"/>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bCs/>
          <w:color w:val="000000"/>
          <w:sz w:val="24"/>
          <w:szCs w:val="24"/>
        </w:rPr>
        <w:t>2、未按上述要求提供、</w:t>
      </w:r>
      <w:r>
        <w:rPr>
          <w:rFonts w:hint="eastAsia" w:asciiTheme="minorEastAsia" w:hAnsiTheme="minorEastAsia" w:eastAsiaTheme="minorEastAsia" w:cstheme="minorEastAsia"/>
          <w:color w:val="000000"/>
          <w:sz w:val="24"/>
          <w:szCs w:val="24"/>
        </w:rPr>
        <w:t>填写</w:t>
      </w:r>
      <w:r>
        <w:rPr>
          <w:rFonts w:hint="eastAsia" w:asciiTheme="minorEastAsia" w:hAnsiTheme="minorEastAsia" w:eastAsiaTheme="minorEastAsia" w:cstheme="minorEastAsia"/>
          <w:bCs/>
          <w:color w:val="000000"/>
          <w:sz w:val="24"/>
          <w:szCs w:val="24"/>
        </w:rPr>
        <w:t>的，评标时不予以考虑。</w:t>
      </w:r>
    </w:p>
    <w:p>
      <w:pPr>
        <w:pStyle w:val="9"/>
        <w:ind w:firstLine="0" w:firstLineChars="0"/>
        <w:rPr>
          <w:rFonts w:asciiTheme="minorEastAsia" w:hAnsiTheme="minorEastAsia" w:eastAsiaTheme="minorEastAsia" w:cstheme="minorEastAsia"/>
          <w:b/>
          <w:sz w:val="24"/>
        </w:rPr>
      </w:pPr>
    </w:p>
    <w:p>
      <w:pPr>
        <w:adjustRightInd w:val="0"/>
        <w:snapToGrid w:val="0"/>
        <w:spacing w:line="480" w:lineRule="auto"/>
        <w:ind w:firstLine="2400" w:firstLineChars="10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磋商响应单位名称：</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（公章）</w:t>
      </w:r>
    </w:p>
    <w:p>
      <w:pPr>
        <w:adjustRightInd w:val="0"/>
        <w:snapToGrid w:val="0"/>
        <w:spacing w:line="480" w:lineRule="auto"/>
        <w:ind w:firstLine="2400" w:firstLineChars="1000"/>
        <w:rPr>
          <w:rFonts w:asciiTheme="minorEastAsia" w:hAnsiTheme="minorEastAsia" w:eastAsiaTheme="minorEastAsia" w:cstheme="minorEastAsia"/>
          <w:sz w:val="24"/>
        </w:rPr>
      </w:pPr>
      <w:r>
        <w:rPr>
          <w:rFonts w:hint="eastAsia" w:asciiTheme="minorEastAsia" w:hAnsiTheme="minorEastAsia" w:eastAsiaTheme="minorEastAsia" w:cstheme="minorEastAsia"/>
          <w:bCs/>
          <w:sz w:val="24"/>
        </w:rPr>
        <w:t>法定代表人或授权代表人：</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（签字或盖章）</w:t>
      </w:r>
    </w:p>
    <w:p>
      <w:pPr>
        <w:adjustRightInd w:val="0"/>
        <w:snapToGrid w:val="0"/>
        <w:spacing w:line="480" w:lineRule="auto"/>
        <w:ind w:firstLine="2400" w:firstLineChars="1000"/>
      </w:pPr>
      <w:r>
        <w:rPr>
          <w:rFonts w:hint="eastAsia" w:asciiTheme="minorEastAsia" w:hAnsiTheme="minorEastAsia" w:eastAsiaTheme="minorEastAsia" w:cstheme="minorEastAsia"/>
          <w:bCs/>
          <w:sz w:val="24"/>
        </w:rPr>
        <w:t>日  期：</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pStyle w:val="9"/>
        <w:ind w:firstLine="0" w:firstLineChars="0"/>
        <w:rPr>
          <w:sz w:val="24"/>
        </w:rPr>
      </w:pPr>
    </w:p>
    <w:p>
      <w:pPr>
        <w:pStyle w:val="9"/>
        <w:ind w:firstLine="0" w:firstLineChars="0"/>
        <w:rPr>
          <w:sz w:val="24"/>
        </w:rPr>
      </w:pPr>
    </w:p>
    <w:p>
      <w:pPr>
        <w:pStyle w:val="9"/>
        <w:ind w:firstLine="0" w:firstLineChars="0"/>
        <w:rPr>
          <w:sz w:val="24"/>
        </w:rPr>
      </w:pPr>
    </w:p>
    <w:p>
      <w:pPr>
        <w:pStyle w:val="9"/>
        <w:ind w:firstLine="0" w:firstLineChars="0"/>
        <w:rPr>
          <w:rFonts w:hAnsi="宋体"/>
          <w:b/>
          <w:sz w:val="24"/>
        </w:rPr>
      </w:pPr>
      <w:r>
        <w:rPr>
          <w:sz w:val="24"/>
        </w:rPr>
        <w:t>附件4-</w:t>
      </w:r>
      <w:r>
        <w:rPr>
          <w:rFonts w:hint="eastAsia"/>
          <w:sz w:val="24"/>
        </w:rPr>
        <w:t>3</w:t>
      </w:r>
      <w:r>
        <w:rPr>
          <w:sz w:val="24"/>
        </w:rPr>
        <w:t xml:space="preserve"> </w:t>
      </w:r>
      <w:r>
        <w:rPr>
          <w:rFonts w:hint="eastAsia" w:hAnsi="宋体"/>
          <w:b/>
          <w:sz w:val="24"/>
        </w:rPr>
        <w:t>（如有）：</w:t>
      </w:r>
    </w:p>
    <w:p>
      <w:pPr>
        <w:spacing w:line="588" w:lineRule="exact"/>
        <w:jc w:val="center"/>
        <w:rPr>
          <w:rFonts w:ascii="宋体" w:hAnsi="宋体" w:cs="宋体"/>
          <w:b/>
          <w:spacing w:val="6"/>
          <w:sz w:val="32"/>
          <w:szCs w:val="32"/>
        </w:rPr>
      </w:pPr>
      <w:bookmarkStart w:id="78" w:name="OLE_LINK14"/>
      <w:bookmarkStart w:id="79" w:name="OLE_LINK13"/>
      <w:r>
        <w:rPr>
          <w:rFonts w:hint="eastAsia" w:ascii="宋体" w:hAnsi="宋体" w:cs="宋体"/>
          <w:b/>
          <w:spacing w:val="6"/>
          <w:sz w:val="32"/>
          <w:szCs w:val="32"/>
        </w:rPr>
        <w:t>残疾人福利性单位声明函</w:t>
      </w:r>
    </w:p>
    <w:bookmarkEnd w:id="78"/>
    <w:bookmarkEnd w:id="79"/>
    <w:p>
      <w:pPr>
        <w:spacing w:line="588" w:lineRule="exact"/>
        <w:rPr>
          <w:rFonts w:ascii="宋体" w:hAnsi="宋体" w:cs="宋体"/>
          <w:b/>
          <w:spacing w:val="6"/>
          <w:sz w:val="30"/>
          <w:szCs w:val="30"/>
        </w:rPr>
      </w:pPr>
    </w:p>
    <w:p>
      <w:pPr>
        <w:spacing w:line="360" w:lineRule="auto"/>
        <w:ind w:firstLine="504" w:firstLineChars="200"/>
        <w:rPr>
          <w:rFonts w:ascii="宋体" w:hAnsi="宋体" w:cs="宋体"/>
          <w:spacing w:val="6"/>
          <w:sz w:val="24"/>
        </w:rPr>
      </w:pPr>
      <w:r>
        <w:rPr>
          <w:rFonts w:hint="eastAsia" w:ascii="宋体" w:hAnsi="宋体" w:cs="宋体"/>
          <w:spacing w:val="6"/>
          <w:sz w:val="24"/>
        </w:rPr>
        <w:t>本单位郑重声明，根据《财政部 民政部 中国残疾人联合会关于促进残疾人就业政府采购政策的通知》（财库</w:t>
      </w:r>
      <w:r>
        <w:rPr>
          <w:rFonts w:hint="eastAsia" w:ascii="宋体" w:hAnsi="宋体" w:cs="宋体"/>
          <w:sz w:val="24"/>
        </w:rPr>
        <w:t>〔2017〕 141</w:t>
      </w:r>
      <w:r>
        <w:rPr>
          <w:rFonts w:hint="eastAsia" w:ascii="宋体" w:hAnsi="宋体" w:cs="宋体"/>
          <w:spacing w:val="6"/>
          <w:sz w:val="24"/>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504" w:firstLineChars="200"/>
        <w:rPr>
          <w:rFonts w:ascii="宋体" w:hAnsi="宋体" w:cs="宋体"/>
          <w:spacing w:val="6"/>
          <w:sz w:val="24"/>
        </w:rPr>
      </w:pPr>
      <w:r>
        <w:rPr>
          <w:rFonts w:hint="eastAsia" w:ascii="宋体" w:hAnsi="宋体" w:cs="宋体"/>
          <w:spacing w:val="6"/>
          <w:sz w:val="24"/>
        </w:rPr>
        <w:t>本单位对上述声明的真实性负责。如有虚假，将依法承担相应责任。</w:t>
      </w:r>
    </w:p>
    <w:p>
      <w:pPr>
        <w:spacing w:line="588" w:lineRule="exact"/>
        <w:ind w:firstLine="504" w:firstLineChars="200"/>
        <w:rPr>
          <w:rFonts w:ascii="宋体" w:hAnsi="宋体" w:cs="宋体"/>
          <w:spacing w:val="6"/>
          <w:sz w:val="24"/>
        </w:rPr>
      </w:pPr>
    </w:p>
    <w:p>
      <w:pPr>
        <w:spacing w:line="588" w:lineRule="exact"/>
        <w:ind w:firstLine="504" w:firstLineChars="200"/>
        <w:rPr>
          <w:rFonts w:ascii="宋体" w:hAnsi="宋体" w:cs="宋体"/>
          <w:spacing w:val="6"/>
          <w:sz w:val="24"/>
        </w:rPr>
      </w:pPr>
    </w:p>
    <w:p>
      <w:pPr>
        <w:spacing w:line="588" w:lineRule="exact"/>
        <w:ind w:firstLine="504" w:firstLineChars="200"/>
        <w:rPr>
          <w:rFonts w:ascii="宋体" w:hAnsi="宋体" w:cs="宋体"/>
          <w:spacing w:val="6"/>
          <w:sz w:val="24"/>
        </w:rPr>
      </w:pPr>
    </w:p>
    <w:p>
      <w:pPr>
        <w:pStyle w:val="19"/>
      </w:pPr>
    </w:p>
    <w:p/>
    <w:p>
      <w:pPr>
        <w:pStyle w:val="19"/>
      </w:pPr>
    </w:p>
    <w:p/>
    <w:p>
      <w:pPr>
        <w:pStyle w:val="19"/>
      </w:pPr>
    </w:p>
    <w:p/>
    <w:p>
      <w:pPr>
        <w:pStyle w:val="19"/>
      </w:pPr>
    </w:p>
    <w:p/>
    <w:p>
      <w:pPr>
        <w:pStyle w:val="19"/>
      </w:pPr>
    </w:p>
    <w:p/>
    <w:p>
      <w:pPr>
        <w:adjustRightInd w:val="0"/>
        <w:snapToGrid w:val="0"/>
        <w:spacing w:line="480" w:lineRule="auto"/>
        <w:ind w:firstLine="2400" w:firstLineChars="1000"/>
        <w:rPr>
          <w:rFonts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磋商响应单位名称：</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（公章）</w:t>
      </w:r>
    </w:p>
    <w:p>
      <w:pPr>
        <w:adjustRightInd w:val="0"/>
        <w:snapToGrid w:val="0"/>
        <w:spacing w:line="480" w:lineRule="auto"/>
        <w:ind w:firstLine="2400" w:firstLineChars="1000"/>
        <w:rPr>
          <w:rFonts w:asciiTheme="minorEastAsia" w:hAnsiTheme="minorEastAsia" w:eastAsiaTheme="minorEastAsia" w:cstheme="minorEastAsia"/>
          <w:sz w:val="24"/>
        </w:rPr>
      </w:pPr>
      <w:r>
        <w:rPr>
          <w:rFonts w:hint="eastAsia" w:asciiTheme="minorEastAsia" w:hAnsiTheme="minorEastAsia" w:eastAsiaTheme="minorEastAsia" w:cstheme="minorEastAsia"/>
          <w:bCs/>
          <w:sz w:val="24"/>
        </w:rPr>
        <w:t>法定代表人或授权代表人：</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sz w:val="24"/>
          <w:u w:val="single"/>
        </w:rPr>
        <w:t xml:space="preserve">                </w:t>
      </w:r>
      <w:r>
        <w:rPr>
          <w:rFonts w:hint="eastAsia" w:asciiTheme="minorEastAsia" w:hAnsiTheme="minorEastAsia" w:eastAsiaTheme="minorEastAsia" w:cstheme="minorEastAsia"/>
          <w:sz w:val="24"/>
        </w:rPr>
        <w:t xml:space="preserve">（签字或盖章）   </w:t>
      </w:r>
    </w:p>
    <w:p>
      <w:pPr>
        <w:adjustRightInd w:val="0"/>
        <w:snapToGrid w:val="0"/>
        <w:spacing w:line="480" w:lineRule="auto"/>
        <w:ind w:firstLine="2400" w:firstLineChars="1000"/>
      </w:pPr>
      <w:r>
        <w:rPr>
          <w:rFonts w:hint="eastAsia" w:asciiTheme="minorEastAsia" w:hAnsiTheme="minorEastAsia" w:eastAsiaTheme="minorEastAsia" w:cstheme="minorEastAsia"/>
          <w:bCs/>
          <w:sz w:val="24"/>
        </w:rPr>
        <w:t>日  期：</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autoSpaceDE w:val="0"/>
        <w:autoSpaceDN w:val="0"/>
        <w:adjustRightInd w:val="0"/>
        <w:spacing w:line="360" w:lineRule="auto"/>
        <w:rPr>
          <w:b/>
          <w:sz w:val="24"/>
        </w:rPr>
      </w:pPr>
    </w:p>
    <w:p>
      <w:pPr>
        <w:widowControl/>
        <w:rPr>
          <w:sz w:val="24"/>
        </w:rPr>
      </w:pPr>
    </w:p>
    <w:p>
      <w:pPr>
        <w:autoSpaceDE w:val="0"/>
        <w:autoSpaceDN w:val="0"/>
        <w:adjustRightInd w:val="0"/>
        <w:snapToGrid w:val="0"/>
        <w:spacing w:afterLines="50" w:line="360" w:lineRule="auto"/>
        <w:jc w:val="center"/>
        <w:rPr>
          <w:b/>
          <w:sz w:val="24"/>
        </w:rPr>
      </w:pPr>
      <w:r>
        <w:rPr>
          <w:sz w:val="24"/>
        </w:rPr>
        <w:br w:type="page"/>
      </w:r>
      <w:r>
        <w:rPr>
          <w:b/>
          <w:bCs/>
          <w:sz w:val="30"/>
          <w:szCs w:val="30"/>
        </w:rPr>
        <w:t>五、商务条款偏离表</w:t>
      </w:r>
    </w:p>
    <w:tbl>
      <w:tblPr>
        <w:tblStyle w:val="48"/>
        <w:tblpPr w:leftFromText="180" w:rightFromText="180" w:vertAnchor="text" w:horzAnchor="margin" w:tblpX="108" w:tblpY="2"/>
        <w:tblW w:w="90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7"/>
        <w:gridCol w:w="1368"/>
        <w:gridCol w:w="2426"/>
        <w:gridCol w:w="2412"/>
        <w:gridCol w:w="20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747" w:type="dxa"/>
            <w:tcBorders>
              <w:top w:val="single" w:color="auto" w:sz="12" w:space="0"/>
              <w:left w:val="single" w:color="auto" w:sz="12" w:space="0"/>
            </w:tcBorders>
            <w:vAlign w:val="center"/>
          </w:tcPr>
          <w:p>
            <w:pPr>
              <w:autoSpaceDE w:val="0"/>
              <w:autoSpaceDN w:val="0"/>
              <w:adjustRightInd w:val="0"/>
              <w:jc w:val="center"/>
              <w:rPr>
                <w:sz w:val="24"/>
              </w:rPr>
            </w:pPr>
            <w:r>
              <w:rPr>
                <w:sz w:val="24"/>
              </w:rPr>
              <w:t>序号</w:t>
            </w:r>
          </w:p>
        </w:tc>
        <w:tc>
          <w:tcPr>
            <w:tcW w:w="1368" w:type="dxa"/>
            <w:tcBorders>
              <w:top w:val="single" w:color="auto" w:sz="12" w:space="0"/>
            </w:tcBorders>
            <w:vAlign w:val="center"/>
          </w:tcPr>
          <w:p>
            <w:pPr>
              <w:autoSpaceDE w:val="0"/>
              <w:autoSpaceDN w:val="0"/>
              <w:adjustRightInd w:val="0"/>
              <w:jc w:val="center"/>
              <w:rPr>
                <w:sz w:val="24"/>
              </w:rPr>
            </w:pPr>
            <w:r>
              <w:rPr>
                <w:sz w:val="24"/>
              </w:rPr>
              <w:t>商务条款</w:t>
            </w:r>
          </w:p>
        </w:tc>
        <w:tc>
          <w:tcPr>
            <w:tcW w:w="2426" w:type="dxa"/>
            <w:tcBorders>
              <w:top w:val="single" w:color="auto" w:sz="12" w:space="0"/>
            </w:tcBorders>
            <w:vAlign w:val="center"/>
          </w:tcPr>
          <w:p>
            <w:pPr>
              <w:autoSpaceDE w:val="0"/>
              <w:autoSpaceDN w:val="0"/>
              <w:adjustRightInd w:val="0"/>
              <w:jc w:val="center"/>
              <w:rPr>
                <w:sz w:val="24"/>
              </w:rPr>
            </w:pPr>
            <w:r>
              <w:rPr>
                <w:sz w:val="24"/>
              </w:rPr>
              <w:t>磋商文件的商务要求</w:t>
            </w:r>
          </w:p>
        </w:tc>
        <w:tc>
          <w:tcPr>
            <w:tcW w:w="2412" w:type="dxa"/>
            <w:tcBorders>
              <w:top w:val="single" w:color="auto" w:sz="12" w:space="0"/>
            </w:tcBorders>
            <w:vAlign w:val="center"/>
          </w:tcPr>
          <w:p>
            <w:pPr>
              <w:autoSpaceDE w:val="0"/>
              <w:autoSpaceDN w:val="0"/>
              <w:adjustRightInd w:val="0"/>
              <w:jc w:val="center"/>
              <w:rPr>
                <w:sz w:val="24"/>
              </w:rPr>
            </w:pPr>
            <w:r>
              <w:rPr>
                <w:sz w:val="24"/>
              </w:rPr>
              <w:t>响应文件的商务响应</w:t>
            </w:r>
          </w:p>
        </w:tc>
        <w:tc>
          <w:tcPr>
            <w:tcW w:w="2074" w:type="dxa"/>
            <w:tcBorders>
              <w:top w:val="single" w:color="auto" w:sz="12" w:space="0"/>
              <w:right w:val="single" w:color="auto" w:sz="12" w:space="0"/>
            </w:tcBorders>
            <w:vAlign w:val="center"/>
          </w:tcPr>
          <w:p>
            <w:pPr>
              <w:autoSpaceDE w:val="0"/>
              <w:autoSpaceDN w:val="0"/>
              <w:adjustRightInd w:val="0"/>
              <w:jc w:val="center"/>
              <w:rPr>
                <w:sz w:val="24"/>
              </w:rPr>
            </w:pPr>
            <w:r>
              <w:rPr>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747" w:type="dxa"/>
            <w:tcBorders>
              <w:left w:val="single" w:color="auto" w:sz="12" w:space="0"/>
            </w:tcBorders>
          </w:tcPr>
          <w:p>
            <w:pPr>
              <w:rPr>
                <w:sz w:val="24"/>
              </w:rPr>
            </w:pPr>
          </w:p>
        </w:tc>
        <w:tc>
          <w:tcPr>
            <w:tcW w:w="1368" w:type="dxa"/>
          </w:tcPr>
          <w:p>
            <w:pPr>
              <w:rPr>
                <w:sz w:val="24"/>
              </w:rPr>
            </w:pPr>
          </w:p>
        </w:tc>
        <w:tc>
          <w:tcPr>
            <w:tcW w:w="2426" w:type="dxa"/>
          </w:tcPr>
          <w:p>
            <w:pPr>
              <w:rPr>
                <w:sz w:val="24"/>
              </w:rPr>
            </w:pPr>
          </w:p>
        </w:tc>
        <w:tc>
          <w:tcPr>
            <w:tcW w:w="2412" w:type="dxa"/>
          </w:tcPr>
          <w:p>
            <w:pPr>
              <w:rPr>
                <w:sz w:val="24"/>
              </w:rPr>
            </w:pPr>
          </w:p>
        </w:tc>
        <w:tc>
          <w:tcPr>
            <w:tcW w:w="2074" w:type="dxa"/>
            <w:tcBorders>
              <w:right w:val="single" w:color="auto" w:sz="12" w:space="0"/>
            </w:tcBorders>
          </w:tcPr>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747" w:type="dxa"/>
            <w:tcBorders>
              <w:left w:val="single" w:color="auto" w:sz="12" w:space="0"/>
              <w:bottom w:val="single" w:color="auto" w:sz="12" w:space="0"/>
            </w:tcBorders>
          </w:tcPr>
          <w:p>
            <w:pPr>
              <w:rPr>
                <w:sz w:val="24"/>
              </w:rPr>
            </w:pPr>
          </w:p>
        </w:tc>
        <w:tc>
          <w:tcPr>
            <w:tcW w:w="1368" w:type="dxa"/>
            <w:tcBorders>
              <w:bottom w:val="single" w:color="auto" w:sz="12" w:space="0"/>
            </w:tcBorders>
          </w:tcPr>
          <w:p>
            <w:pPr>
              <w:rPr>
                <w:sz w:val="24"/>
              </w:rPr>
            </w:pPr>
          </w:p>
        </w:tc>
        <w:tc>
          <w:tcPr>
            <w:tcW w:w="2426" w:type="dxa"/>
            <w:tcBorders>
              <w:bottom w:val="single" w:color="auto" w:sz="12" w:space="0"/>
            </w:tcBorders>
          </w:tcPr>
          <w:p>
            <w:pPr>
              <w:rPr>
                <w:sz w:val="24"/>
              </w:rPr>
            </w:pPr>
          </w:p>
        </w:tc>
        <w:tc>
          <w:tcPr>
            <w:tcW w:w="2412" w:type="dxa"/>
            <w:tcBorders>
              <w:bottom w:val="single" w:color="auto" w:sz="12" w:space="0"/>
            </w:tcBorders>
          </w:tcPr>
          <w:p>
            <w:pPr>
              <w:rPr>
                <w:sz w:val="24"/>
              </w:rPr>
            </w:pPr>
          </w:p>
        </w:tc>
        <w:tc>
          <w:tcPr>
            <w:tcW w:w="2074" w:type="dxa"/>
            <w:tcBorders>
              <w:bottom w:val="single" w:color="auto" w:sz="12" w:space="0"/>
              <w:right w:val="single" w:color="auto" w:sz="12" w:space="0"/>
            </w:tcBorders>
          </w:tcPr>
          <w:p>
            <w:pPr>
              <w:rPr>
                <w:sz w:val="24"/>
              </w:rPr>
            </w:pPr>
          </w:p>
        </w:tc>
      </w:tr>
    </w:tbl>
    <w:p>
      <w:pPr>
        <w:autoSpaceDE w:val="0"/>
        <w:autoSpaceDN w:val="0"/>
        <w:adjustRightInd w:val="0"/>
        <w:spacing w:line="400" w:lineRule="exact"/>
        <w:rPr>
          <w:sz w:val="24"/>
          <w:lang w:val="zh-TW"/>
        </w:rPr>
      </w:pPr>
      <w:r>
        <w:rPr>
          <w:sz w:val="24"/>
          <w:lang w:val="zh-TW" w:eastAsia="zh-TW"/>
        </w:rPr>
        <w:t>注：</w:t>
      </w:r>
      <w:r>
        <w:rPr>
          <w:sz w:val="24"/>
        </w:rPr>
        <w:t>1、</w:t>
      </w:r>
      <w:r>
        <w:rPr>
          <w:sz w:val="24"/>
          <w:lang w:val="zh-TW"/>
        </w:rPr>
        <w:t>偏离</w:t>
      </w:r>
      <w:r>
        <w:rPr>
          <w:sz w:val="24"/>
          <w:lang w:val="zh-TW" w:eastAsia="zh-TW"/>
        </w:rPr>
        <w:t>说明填写：优于、相同、低于</w:t>
      </w:r>
      <w:r>
        <w:rPr>
          <w:sz w:val="24"/>
          <w:lang w:val="zh-TW"/>
        </w:rPr>
        <w:t>。</w:t>
      </w:r>
    </w:p>
    <w:p>
      <w:pPr>
        <w:pStyle w:val="9"/>
        <w:ind w:firstLine="480"/>
        <w:rPr>
          <w:sz w:val="24"/>
          <w:lang w:val="zh-TW"/>
        </w:rPr>
      </w:pPr>
    </w:p>
    <w:p>
      <w:pPr>
        <w:pStyle w:val="9"/>
        <w:ind w:firstLine="480"/>
        <w:rPr>
          <w:sz w:val="24"/>
          <w:lang w:val="zh-TW"/>
        </w:rPr>
      </w:pPr>
    </w:p>
    <w:p>
      <w:pPr>
        <w:pStyle w:val="9"/>
        <w:ind w:firstLine="480"/>
        <w:rPr>
          <w:sz w:val="24"/>
          <w:lang w:val="zh-TW"/>
        </w:rPr>
      </w:pPr>
    </w:p>
    <w:p>
      <w:pPr>
        <w:pStyle w:val="9"/>
        <w:ind w:firstLine="480"/>
        <w:rPr>
          <w:sz w:val="24"/>
          <w:lang w:val="zh-TW"/>
        </w:rPr>
      </w:pPr>
    </w:p>
    <w:p>
      <w:pPr>
        <w:spacing w:line="720" w:lineRule="auto"/>
        <w:rPr>
          <w:bCs/>
          <w:sz w:val="24"/>
        </w:rPr>
      </w:pPr>
      <w:r>
        <w:rPr>
          <w:rFonts w:hint="eastAsia"/>
          <w:bCs/>
          <w:sz w:val="24"/>
        </w:rPr>
        <w:t>磋商响应单位</w:t>
      </w:r>
      <w:r>
        <w:rPr>
          <w:bCs/>
          <w:sz w:val="24"/>
        </w:rPr>
        <w:t>名称：</w:t>
      </w:r>
      <w:r>
        <w:rPr>
          <w:rFonts w:hint="eastAsia"/>
          <w:bCs/>
          <w:sz w:val="24"/>
          <w:u w:val="single"/>
        </w:rPr>
        <w:t>　　　　　　　　　　　　　　　　　　</w:t>
      </w:r>
      <w:r>
        <w:rPr>
          <w:bCs/>
          <w:sz w:val="24"/>
        </w:rPr>
        <w:t>（公章）</w:t>
      </w:r>
    </w:p>
    <w:p>
      <w:pPr>
        <w:spacing w:line="720" w:lineRule="auto"/>
        <w:rPr>
          <w:sz w:val="24"/>
        </w:rPr>
      </w:pPr>
      <w:r>
        <w:rPr>
          <w:bCs/>
          <w:sz w:val="24"/>
        </w:rPr>
        <w:t>法定代表人或授权代表人：</w:t>
      </w:r>
      <w:r>
        <w:rPr>
          <w:rFonts w:hint="eastAsia"/>
          <w:bCs/>
          <w:sz w:val="24"/>
          <w:u w:val="single"/>
        </w:rPr>
        <w:t>　　　　　　　　　　</w:t>
      </w:r>
      <w:r>
        <w:rPr>
          <w:sz w:val="24"/>
        </w:rPr>
        <w:t xml:space="preserve">（签字或盖章）           </w:t>
      </w:r>
    </w:p>
    <w:p>
      <w:pPr>
        <w:adjustRightInd w:val="0"/>
        <w:snapToGrid w:val="0"/>
        <w:spacing w:line="480" w:lineRule="auto"/>
      </w:pPr>
      <w:r>
        <w:rPr>
          <w:rFonts w:hint="eastAsia" w:asciiTheme="minorEastAsia" w:hAnsiTheme="minorEastAsia" w:eastAsiaTheme="minorEastAsia" w:cstheme="minorEastAsia"/>
          <w:bCs/>
          <w:sz w:val="24"/>
        </w:rPr>
        <w:t>日  期：</w:t>
      </w:r>
      <w:r>
        <w:rPr>
          <w:rFonts w:hint="eastAsia"/>
          <w:sz w:val="24"/>
          <w:szCs w:val="28"/>
          <w:u w:val="single"/>
        </w:rPr>
        <w:t xml:space="preserve">    </w:t>
      </w:r>
      <w:r>
        <w:rPr>
          <w:sz w:val="24"/>
          <w:szCs w:val="28"/>
        </w:rPr>
        <w:t>年</w:t>
      </w:r>
      <w:r>
        <w:rPr>
          <w:sz w:val="24"/>
          <w:szCs w:val="28"/>
          <w:u w:val="single"/>
        </w:rPr>
        <w:t xml:space="preserve">   </w:t>
      </w:r>
      <w:r>
        <w:rPr>
          <w:sz w:val="24"/>
          <w:szCs w:val="28"/>
        </w:rPr>
        <w:t>月</w:t>
      </w:r>
      <w:r>
        <w:rPr>
          <w:sz w:val="24"/>
          <w:szCs w:val="28"/>
          <w:u w:val="single"/>
        </w:rPr>
        <w:t xml:space="preserve">   </w:t>
      </w:r>
      <w:r>
        <w:rPr>
          <w:sz w:val="24"/>
          <w:szCs w:val="28"/>
        </w:rPr>
        <w:t>日</w:t>
      </w:r>
    </w:p>
    <w:p>
      <w:pPr>
        <w:widowControl/>
        <w:jc w:val="left"/>
        <w:rPr>
          <w:b/>
          <w:bCs/>
          <w:sz w:val="30"/>
          <w:szCs w:val="30"/>
        </w:rPr>
      </w:pPr>
      <w:r>
        <w:rPr>
          <w:b/>
          <w:bCs/>
          <w:sz w:val="30"/>
          <w:szCs w:val="30"/>
        </w:rPr>
        <w:br w:type="page"/>
      </w:r>
    </w:p>
    <w:p>
      <w:pPr>
        <w:autoSpaceDE w:val="0"/>
        <w:autoSpaceDN w:val="0"/>
        <w:adjustRightInd w:val="0"/>
        <w:spacing w:line="360" w:lineRule="auto"/>
        <w:jc w:val="center"/>
        <w:rPr>
          <w:b/>
          <w:bCs/>
          <w:sz w:val="30"/>
          <w:szCs w:val="30"/>
        </w:rPr>
      </w:pPr>
      <w:r>
        <w:rPr>
          <w:b/>
          <w:bCs/>
          <w:sz w:val="30"/>
          <w:szCs w:val="30"/>
        </w:rPr>
        <w:t>六、业绩</w:t>
      </w:r>
    </w:p>
    <w:tbl>
      <w:tblPr>
        <w:tblStyle w:val="48"/>
        <w:tblW w:w="87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4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sz w:val="24"/>
              </w:rPr>
            </w:pPr>
            <w:r>
              <w:rPr>
                <w:sz w:val="24"/>
              </w:rPr>
              <w:t>项目名称</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sz w:val="24"/>
              </w:rPr>
            </w:pPr>
            <w:r>
              <w:rPr>
                <w:sz w:val="24"/>
              </w:rPr>
              <w:t>项目所在地</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sz w:val="24"/>
              </w:rPr>
            </w:pPr>
            <w:r>
              <w:rPr>
                <w:sz w:val="24"/>
              </w:rPr>
              <w:t>发包人名称</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sz w:val="24"/>
              </w:rPr>
            </w:pPr>
            <w:r>
              <w:rPr>
                <w:sz w:val="24"/>
              </w:rPr>
              <w:t>发包人地址</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sz w:val="24"/>
              </w:rPr>
            </w:pPr>
            <w:r>
              <w:rPr>
                <w:sz w:val="24"/>
              </w:rPr>
              <w:t>发包人电话</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sz w:val="24"/>
              </w:rPr>
            </w:pPr>
            <w:r>
              <w:rPr>
                <w:sz w:val="24"/>
              </w:rPr>
              <w:t>合同价格</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 w:val="24"/>
              </w:rPr>
            </w:pPr>
            <w:r>
              <w:rPr>
                <w:sz w:val="24"/>
              </w:rPr>
              <w:t>开工日期</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vAlign w:val="center"/>
          </w:tcPr>
          <w:p>
            <w:pPr>
              <w:topLinePunct/>
              <w:spacing w:line="440" w:lineRule="exact"/>
              <w:jc w:val="center"/>
              <w:rPr>
                <w:sz w:val="24"/>
              </w:rPr>
            </w:pPr>
            <w:r>
              <w:rPr>
                <w:sz w:val="24"/>
              </w:rPr>
              <w:t>竣工日期</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vAlign w:val="center"/>
          </w:tcPr>
          <w:p>
            <w:pPr>
              <w:topLinePunct/>
              <w:spacing w:line="440" w:lineRule="exact"/>
              <w:jc w:val="center"/>
              <w:rPr>
                <w:sz w:val="24"/>
              </w:rPr>
            </w:pPr>
            <w:r>
              <w:rPr>
                <w:sz w:val="24"/>
              </w:rPr>
              <w:t>承担的工作</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vAlign w:val="center"/>
          </w:tcPr>
          <w:p>
            <w:pPr>
              <w:topLinePunct/>
              <w:spacing w:line="440" w:lineRule="exact"/>
              <w:jc w:val="center"/>
              <w:rPr>
                <w:sz w:val="24"/>
              </w:rPr>
            </w:pPr>
            <w:r>
              <w:rPr>
                <w:sz w:val="24"/>
              </w:rPr>
              <w:t>工程质量</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vAlign w:val="center"/>
          </w:tcPr>
          <w:p>
            <w:pPr>
              <w:topLinePunct/>
              <w:spacing w:line="440" w:lineRule="exact"/>
              <w:jc w:val="center"/>
              <w:rPr>
                <w:sz w:val="24"/>
              </w:rPr>
            </w:pPr>
            <w:r>
              <w:rPr>
                <w:sz w:val="24"/>
              </w:rPr>
              <w:t>项目经理</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vAlign w:val="center"/>
          </w:tcPr>
          <w:p>
            <w:pPr>
              <w:topLinePunct/>
              <w:spacing w:line="440" w:lineRule="exact"/>
              <w:jc w:val="center"/>
              <w:rPr>
                <w:sz w:val="24"/>
              </w:rPr>
            </w:pPr>
            <w:r>
              <w:rPr>
                <w:rFonts w:hint="eastAsia"/>
                <w:sz w:val="24"/>
              </w:rPr>
              <w:t>项目</w:t>
            </w:r>
            <w:r>
              <w:rPr>
                <w:sz w:val="24"/>
              </w:rPr>
              <w:t>技术负责人</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sz w:val="24"/>
              </w:rPr>
            </w:pPr>
            <w:r>
              <w:rPr>
                <w:sz w:val="24"/>
              </w:rPr>
              <w:t>项目总工程师及电话</w:t>
            </w:r>
          </w:p>
        </w:tc>
        <w:tc>
          <w:tcPr>
            <w:tcW w:w="6479" w:type="dxa"/>
          </w:tcPr>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sz w:val="24"/>
              </w:rPr>
            </w:pPr>
            <w:r>
              <w:rPr>
                <w:sz w:val="24"/>
              </w:rPr>
              <w:t>项目描述</w:t>
            </w:r>
          </w:p>
        </w:tc>
        <w:tc>
          <w:tcPr>
            <w:tcW w:w="6479" w:type="dxa"/>
          </w:tcPr>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trPr>
        <w:tc>
          <w:tcPr>
            <w:tcW w:w="2269" w:type="dxa"/>
            <w:vAlign w:val="center"/>
          </w:tcPr>
          <w:p>
            <w:pPr>
              <w:jc w:val="center"/>
              <w:rPr>
                <w:rFonts w:asciiTheme="minorEastAsia" w:hAnsiTheme="minorEastAsia" w:eastAsiaTheme="minorEastAsia"/>
                <w:sz w:val="24"/>
              </w:rPr>
            </w:pPr>
            <w:r>
              <w:rPr>
                <w:rFonts w:asciiTheme="minorEastAsia" w:hAnsiTheme="minorEastAsia" w:eastAsiaTheme="minorEastAsia"/>
                <w:sz w:val="24"/>
              </w:rPr>
              <w:t>备注</w:t>
            </w:r>
          </w:p>
        </w:tc>
        <w:tc>
          <w:tcPr>
            <w:tcW w:w="6479" w:type="dxa"/>
            <w:vAlign w:val="center"/>
          </w:tcPr>
          <w:p>
            <w:pPr>
              <w:rPr>
                <w:rFonts w:asciiTheme="minorEastAsia" w:hAnsiTheme="minorEastAsia" w:eastAsiaTheme="minorEastAsia"/>
                <w:b/>
                <w:bCs/>
                <w:sz w:val="24"/>
              </w:rPr>
            </w:pPr>
            <w:r>
              <w:rPr>
                <w:rFonts w:asciiTheme="minorEastAsia" w:hAnsiTheme="minorEastAsia" w:eastAsiaTheme="minorEastAsia"/>
                <w:b/>
                <w:bCs/>
                <w:sz w:val="24"/>
              </w:rPr>
              <w:t>1.每张表格只填写一个工程项目，并标明表序。</w:t>
            </w:r>
          </w:p>
          <w:p>
            <w:pPr>
              <w:spacing w:line="400" w:lineRule="exact"/>
              <w:ind w:left="241" w:hanging="241" w:hangingChars="100"/>
              <w:rPr>
                <w:rFonts w:asciiTheme="minorEastAsia" w:hAnsiTheme="minorEastAsia" w:eastAsiaTheme="minorEastAsia"/>
                <w:sz w:val="24"/>
              </w:rPr>
            </w:pPr>
            <w:r>
              <w:rPr>
                <w:rFonts w:asciiTheme="minorEastAsia" w:hAnsiTheme="minorEastAsia" w:eastAsiaTheme="minorEastAsia"/>
                <w:b/>
                <w:bCs/>
                <w:sz w:val="24"/>
              </w:rPr>
              <w:t>2.</w:t>
            </w:r>
            <w:r>
              <w:rPr>
                <w:rFonts w:hint="eastAsia" w:asciiTheme="minorEastAsia" w:hAnsiTheme="minorEastAsia" w:eastAsiaTheme="minorEastAsia"/>
                <w:b/>
                <w:bCs/>
                <w:sz w:val="24"/>
              </w:rPr>
              <w:t>近三年（2018年1月至今）</w:t>
            </w:r>
            <w:r>
              <w:rPr>
                <w:rFonts w:asciiTheme="minorEastAsia" w:hAnsiTheme="minorEastAsia" w:eastAsiaTheme="minorEastAsia"/>
                <w:b/>
                <w:bCs/>
                <w:sz w:val="24"/>
              </w:rPr>
              <w:t>类似项目业绩须附施工合同</w:t>
            </w:r>
            <w:r>
              <w:rPr>
                <w:rFonts w:hint="eastAsia" w:asciiTheme="minorEastAsia" w:hAnsiTheme="minorEastAsia" w:eastAsiaTheme="minorEastAsia"/>
                <w:b/>
                <w:bCs/>
                <w:sz w:val="24"/>
              </w:rPr>
              <w:t>协议书或</w:t>
            </w:r>
            <w:r>
              <w:rPr>
                <w:rFonts w:asciiTheme="minorEastAsia" w:hAnsiTheme="minorEastAsia" w:eastAsiaTheme="minorEastAsia"/>
                <w:b/>
                <w:bCs/>
                <w:sz w:val="24"/>
              </w:rPr>
              <w:t>中标通知书复印件</w:t>
            </w:r>
            <w:r>
              <w:rPr>
                <w:rFonts w:hint="eastAsia" w:asciiTheme="minorEastAsia" w:hAnsiTheme="minorEastAsia" w:eastAsiaTheme="minorEastAsia"/>
                <w:b/>
                <w:bCs/>
                <w:sz w:val="24"/>
              </w:rPr>
              <w:t>证明资料</w:t>
            </w:r>
            <w:r>
              <w:rPr>
                <w:rFonts w:asciiTheme="minorEastAsia" w:hAnsiTheme="minorEastAsia" w:eastAsiaTheme="minorEastAsia"/>
                <w:b/>
                <w:bCs/>
                <w:sz w:val="24"/>
              </w:rPr>
              <w:t>并加盖单位公章。</w:t>
            </w:r>
          </w:p>
        </w:tc>
      </w:tr>
    </w:tbl>
    <w:p>
      <w:pPr>
        <w:autoSpaceDE w:val="0"/>
        <w:autoSpaceDN w:val="0"/>
        <w:adjustRightInd w:val="0"/>
        <w:spacing w:line="360" w:lineRule="auto"/>
        <w:jc w:val="center"/>
        <w:rPr>
          <w:b/>
          <w:szCs w:val="21"/>
        </w:rPr>
      </w:pPr>
      <w:r>
        <w:rPr>
          <w:sz w:val="24"/>
        </w:rPr>
        <w:br w:type="page"/>
      </w:r>
    </w:p>
    <w:p>
      <w:pPr>
        <w:autoSpaceDE w:val="0"/>
        <w:autoSpaceDN w:val="0"/>
        <w:adjustRightInd w:val="0"/>
        <w:spacing w:line="360" w:lineRule="auto"/>
        <w:jc w:val="center"/>
        <w:rPr>
          <w:b/>
          <w:sz w:val="30"/>
          <w:szCs w:val="30"/>
        </w:rPr>
      </w:pPr>
      <w:r>
        <w:rPr>
          <w:rFonts w:hint="eastAsia"/>
          <w:b/>
          <w:sz w:val="30"/>
          <w:szCs w:val="30"/>
        </w:rPr>
        <w:t>七、</w:t>
      </w:r>
      <w:r>
        <w:rPr>
          <w:b/>
          <w:sz w:val="30"/>
          <w:szCs w:val="30"/>
        </w:rPr>
        <w:t>保修期服务承诺</w:t>
      </w:r>
    </w:p>
    <w:p>
      <w:pPr>
        <w:autoSpaceDE w:val="0"/>
        <w:autoSpaceDN w:val="0"/>
        <w:adjustRightInd w:val="0"/>
        <w:spacing w:line="360" w:lineRule="auto"/>
        <w:jc w:val="center"/>
        <w:rPr>
          <w:b/>
          <w:sz w:val="28"/>
          <w:szCs w:val="28"/>
        </w:rPr>
      </w:pPr>
      <w:bookmarkStart w:id="80" w:name="_Toc9040_WPSOffice_Level1"/>
      <w:r>
        <w:rPr>
          <w:b/>
          <w:sz w:val="28"/>
          <w:szCs w:val="28"/>
        </w:rPr>
        <w:t>（格式自拟）</w:t>
      </w:r>
      <w:bookmarkEnd w:id="80"/>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rPr>
          <w:b/>
          <w:szCs w:val="21"/>
        </w:rPr>
      </w:pPr>
    </w:p>
    <w:p>
      <w:pPr>
        <w:autoSpaceDE w:val="0"/>
        <w:autoSpaceDN w:val="0"/>
        <w:adjustRightInd w:val="0"/>
        <w:spacing w:line="360" w:lineRule="auto"/>
        <w:jc w:val="center"/>
        <w:rPr>
          <w:b/>
          <w:szCs w:val="21"/>
        </w:rPr>
      </w:pPr>
    </w:p>
    <w:p>
      <w:pPr>
        <w:autoSpaceDE w:val="0"/>
        <w:autoSpaceDN w:val="0"/>
        <w:adjustRightInd w:val="0"/>
        <w:spacing w:line="360" w:lineRule="auto"/>
        <w:jc w:val="center"/>
        <w:outlineLvl w:val="0"/>
        <w:rPr>
          <w:b/>
          <w:sz w:val="52"/>
          <w:szCs w:val="52"/>
        </w:rPr>
      </w:pPr>
      <w:bookmarkStart w:id="81" w:name="_Toc18034_WPSOffice_Level1"/>
      <w:bookmarkStart w:id="82" w:name="_Toc25007"/>
      <w:r>
        <w:rPr>
          <w:b/>
          <w:sz w:val="52"/>
          <w:szCs w:val="52"/>
        </w:rPr>
        <w:t>技术文件</w:t>
      </w:r>
      <w:bookmarkEnd w:id="81"/>
      <w:bookmarkEnd w:id="82"/>
    </w:p>
    <w:p>
      <w:pPr>
        <w:adjustRightInd w:val="0"/>
        <w:snapToGrid w:val="0"/>
        <w:spacing w:afterLines="100"/>
        <w:jc w:val="center"/>
        <w:rPr>
          <w:b/>
          <w:szCs w:val="21"/>
        </w:rPr>
      </w:pPr>
      <w:r>
        <w:rPr>
          <w:b/>
          <w:szCs w:val="21"/>
        </w:rPr>
        <w:br w:type="page"/>
      </w:r>
    </w:p>
    <w:p>
      <w:pPr>
        <w:autoSpaceDE w:val="0"/>
        <w:autoSpaceDN w:val="0"/>
        <w:adjustRightInd w:val="0"/>
        <w:snapToGrid w:val="0"/>
        <w:spacing w:line="336" w:lineRule="auto"/>
        <w:jc w:val="left"/>
        <w:rPr>
          <w:b/>
          <w:bCs/>
          <w:sz w:val="30"/>
          <w:szCs w:val="30"/>
        </w:rPr>
      </w:pPr>
      <w:r>
        <w:rPr>
          <w:rFonts w:hint="eastAsia"/>
          <w:b/>
          <w:bCs/>
          <w:sz w:val="30"/>
          <w:szCs w:val="30"/>
        </w:rPr>
        <w:t>一、磋商响应单位</w:t>
      </w:r>
      <w:r>
        <w:rPr>
          <w:b/>
          <w:bCs/>
          <w:sz w:val="30"/>
          <w:szCs w:val="30"/>
        </w:rPr>
        <w:t>根据磋商文件采购内容和评分因素，结合自身实际情况编制响应磋商文件的施工组织设计。</w:t>
      </w:r>
      <w:r>
        <w:rPr>
          <w:b/>
          <w:bCs/>
          <w:color w:val="000000"/>
          <w:sz w:val="30"/>
          <w:szCs w:val="30"/>
        </w:rPr>
        <w:t>（</w:t>
      </w:r>
      <w:r>
        <w:rPr>
          <w:b/>
          <w:bCs/>
          <w:sz w:val="30"/>
          <w:szCs w:val="30"/>
        </w:rPr>
        <w:t>格式自拟）</w:t>
      </w:r>
    </w:p>
    <w:p>
      <w:pPr>
        <w:adjustRightInd w:val="0"/>
        <w:snapToGrid w:val="0"/>
        <w:spacing w:afterLines="100" w:line="336" w:lineRule="auto"/>
        <w:jc w:val="center"/>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autoSpaceDE w:val="0"/>
        <w:autoSpaceDN w:val="0"/>
        <w:adjustRightInd w:val="0"/>
        <w:snapToGrid w:val="0"/>
        <w:spacing w:line="360" w:lineRule="auto"/>
        <w:ind w:firstLine="643" w:firstLineChars="200"/>
        <w:jc w:val="left"/>
        <w:rPr>
          <w:b/>
          <w:bCs/>
          <w:sz w:val="32"/>
          <w:szCs w:val="32"/>
        </w:rPr>
      </w:pPr>
    </w:p>
    <w:p>
      <w:pPr>
        <w:pStyle w:val="7"/>
      </w:pPr>
    </w:p>
    <w:p>
      <w:pPr>
        <w:autoSpaceDE w:val="0"/>
        <w:autoSpaceDN w:val="0"/>
        <w:adjustRightInd w:val="0"/>
        <w:snapToGrid w:val="0"/>
        <w:spacing w:line="360" w:lineRule="auto"/>
        <w:jc w:val="center"/>
        <w:rPr>
          <w:b/>
          <w:bCs/>
          <w:sz w:val="32"/>
          <w:szCs w:val="32"/>
        </w:rPr>
      </w:pPr>
    </w:p>
    <w:p>
      <w:pPr>
        <w:autoSpaceDE w:val="0"/>
        <w:autoSpaceDN w:val="0"/>
        <w:adjustRightInd w:val="0"/>
        <w:snapToGrid w:val="0"/>
        <w:spacing w:line="360" w:lineRule="auto"/>
        <w:jc w:val="center"/>
        <w:rPr>
          <w:b/>
          <w:bCs/>
          <w:sz w:val="30"/>
          <w:szCs w:val="30"/>
        </w:rPr>
      </w:pPr>
      <w:r>
        <w:rPr>
          <w:rFonts w:hint="eastAsia"/>
          <w:b/>
          <w:bCs/>
          <w:sz w:val="30"/>
          <w:szCs w:val="30"/>
        </w:rPr>
        <w:t>二、服务承诺</w:t>
      </w:r>
    </w:p>
    <w:p>
      <w:pPr>
        <w:autoSpaceDE w:val="0"/>
        <w:autoSpaceDN w:val="0"/>
        <w:adjustRightInd w:val="0"/>
        <w:snapToGrid w:val="0"/>
        <w:spacing w:line="360" w:lineRule="auto"/>
        <w:jc w:val="center"/>
        <w:rPr>
          <w:b/>
          <w:bCs/>
          <w:sz w:val="30"/>
          <w:szCs w:val="30"/>
        </w:rPr>
      </w:pPr>
      <w:r>
        <w:rPr>
          <w:rFonts w:hint="eastAsia"/>
          <w:b/>
          <w:bCs/>
          <w:sz w:val="30"/>
          <w:szCs w:val="30"/>
        </w:rPr>
        <w:t>（格式自拟）</w:t>
      </w:r>
    </w:p>
    <w:p>
      <w:pPr>
        <w:widowControl/>
        <w:snapToGrid w:val="0"/>
        <w:spacing w:afterLines="50" w:line="360" w:lineRule="auto"/>
        <w:rPr>
          <w:b/>
          <w:kern w:val="0"/>
          <w:sz w:val="24"/>
          <w:shd w:val="clear" w:color="auto" w:fill="FFFFFF"/>
        </w:rPr>
      </w:pPr>
      <w:r>
        <w:rPr>
          <w:b/>
          <w:bCs/>
          <w:sz w:val="32"/>
          <w:szCs w:val="32"/>
        </w:rPr>
        <w:br w:type="page"/>
      </w:r>
    </w:p>
    <w:p>
      <w:pPr>
        <w:pStyle w:val="9"/>
        <w:ind w:firstLine="0" w:firstLineChars="0"/>
        <w:jc w:val="center"/>
        <w:rPr>
          <w:sz w:val="24"/>
        </w:rPr>
      </w:pPr>
      <w:r>
        <w:rPr>
          <w:b/>
          <w:kern w:val="0"/>
          <w:sz w:val="24"/>
          <w:shd w:val="clear" w:color="auto" w:fill="FFFFFF"/>
        </w:rPr>
        <w:t xml:space="preserve">  </w:t>
      </w:r>
      <w:bookmarkStart w:id="83" w:name="_Toc5171_WPSOffice_Level1"/>
      <w:r>
        <w:rPr>
          <w:b/>
          <w:bCs/>
          <w:sz w:val="30"/>
          <w:szCs w:val="30"/>
        </w:rPr>
        <w:t>封袋（包）正面标识式样</w:t>
      </w:r>
      <w:bookmarkEnd w:id="83"/>
    </w:p>
    <w:p>
      <w:pPr>
        <w:spacing w:line="360" w:lineRule="auto"/>
        <w:rPr>
          <w:b/>
          <w:sz w:val="24"/>
        </w:rPr>
      </w:pPr>
    </w:p>
    <w:p>
      <w:pPr>
        <w:spacing w:line="360" w:lineRule="auto"/>
        <w:ind w:firstLine="360" w:firstLineChars="150"/>
        <w:rPr>
          <w:sz w:val="24"/>
        </w:rPr>
      </w:pPr>
      <w:r>
        <w:rPr>
          <w:sz w:val="24"/>
        </w:rPr>
        <w:t>响应文件封袋正面标识式样</w:t>
      </w:r>
    </w:p>
    <w:p>
      <w:pPr>
        <w:rPr>
          <w:sz w:val="28"/>
          <w:szCs w:val="28"/>
        </w:rPr>
      </w:pPr>
      <w:r>
        <w:rPr>
          <w:rFonts w:hint="eastAsia"/>
          <w:sz w:val="28"/>
          <w:szCs w:val="28"/>
        </w:rPr>
        <w:t>致：同正项目管理有限公司</w:t>
      </w:r>
    </w:p>
    <w:p>
      <w:pPr>
        <w:rPr>
          <w:color w:val="FF0000"/>
          <w:sz w:val="28"/>
          <w:szCs w:val="28"/>
        </w:rPr>
      </w:pPr>
      <w:r>
        <w:rPr>
          <w:rFonts w:hint="eastAsia"/>
          <w:sz w:val="28"/>
          <w:szCs w:val="28"/>
        </w:rPr>
        <w:t xml:space="preserve">采购编号：                                       </w:t>
      </w:r>
    </w:p>
    <w:p>
      <w:pPr>
        <w:pStyle w:val="9"/>
        <w:ind w:firstLine="0" w:firstLineChars="0"/>
        <w:rPr>
          <w:sz w:val="28"/>
          <w:szCs w:val="28"/>
        </w:rPr>
      </w:pPr>
      <w:r>
        <w:rPr>
          <w:rFonts w:hint="eastAsia"/>
          <w:sz w:val="28"/>
          <w:szCs w:val="28"/>
        </w:rPr>
        <w:t>项目名称：</w:t>
      </w:r>
    </w:p>
    <w:p>
      <w:pPr>
        <w:pStyle w:val="9"/>
        <w:ind w:firstLine="0" w:firstLineChars="0"/>
        <w:rPr>
          <w:sz w:val="28"/>
          <w:szCs w:val="28"/>
        </w:rPr>
      </w:pPr>
    </w:p>
    <w:p>
      <w:pPr>
        <w:jc w:val="center"/>
        <w:rPr>
          <w:b/>
          <w:sz w:val="44"/>
          <w:szCs w:val="44"/>
        </w:rPr>
      </w:pPr>
      <w:r>
        <w:rPr>
          <w:rFonts w:hint="eastAsia"/>
          <w:b/>
          <w:sz w:val="44"/>
          <w:szCs w:val="44"/>
        </w:rPr>
        <w:t>响应文件（正本、副本及电子版文件）</w:t>
      </w:r>
    </w:p>
    <w:p>
      <w:pPr>
        <w:jc w:val="center"/>
        <w:rPr>
          <w:szCs w:val="21"/>
        </w:rPr>
      </w:pPr>
    </w:p>
    <w:p>
      <w:pPr>
        <w:jc w:val="center"/>
        <w:rPr>
          <w:szCs w:val="21"/>
        </w:rPr>
      </w:pPr>
      <w:r>
        <w:rPr>
          <w:rFonts w:hint="eastAsia"/>
          <w:szCs w:val="21"/>
        </w:rPr>
        <w:t>（</w:t>
      </w:r>
      <w:r>
        <w:rPr>
          <w:rFonts w:hint="eastAsia" w:ascii="宋体" w:hAnsi="宋体"/>
          <w:szCs w:val="21"/>
        </w:rPr>
        <w:t>在</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w:t>
      </w:r>
      <w:r>
        <w:rPr>
          <w:rFonts w:hint="eastAsia" w:ascii="宋体" w:hAnsi="宋体"/>
          <w:szCs w:val="21"/>
        </w:rPr>
        <w:t>月</w:t>
      </w:r>
      <w:r>
        <w:rPr>
          <w:rFonts w:hint="eastAsia" w:ascii="宋体" w:hAnsi="宋体"/>
          <w:szCs w:val="21"/>
          <w:u w:val="single"/>
        </w:rPr>
        <w:t>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w:t>
      </w:r>
      <w:r>
        <w:rPr>
          <w:rFonts w:hint="eastAsia" w:ascii="宋体" w:hAnsi="宋体"/>
          <w:szCs w:val="21"/>
        </w:rPr>
        <w:t>分前不得开启</w:t>
      </w:r>
      <w:r>
        <w:rPr>
          <w:rFonts w:hint="eastAsia"/>
          <w:szCs w:val="21"/>
        </w:rPr>
        <w:t>）</w:t>
      </w:r>
    </w:p>
    <w:p>
      <w:pPr>
        <w:pStyle w:val="9"/>
      </w:pPr>
    </w:p>
    <w:p>
      <w:pPr>
        <w:rPr>
          <w:sz w:val="28"/>
          <w:szCs w:val="28"/>
        </w:rPr>
      </w:pPr>
      <w:r>
        <w:rPr>
          <w:rFonts w:hint="eastAsia"/>
          <w:sz w:val="28"/>
          <w:szCs w:val="28"/>
        </w:rPr>
        <w:t>磋商响应单位名称：（公章）</w:t>
      </w:r>
    </w:p>
    <w:p>
      <w:pPr>
        <w:pStyle w:val="9"/>
        <w:ind w:firstLine="0" w:firstLineChars="0"/>
        <w:rPr>
          <w:sz w:val="28"/>
          <w:szCs w:val="28"/>
        </w:rPr>
      </w:pPr>
      <w:r>
        <w:rPr>
          <w:rFonts w:hint="eastAsia"/>
          <w:sz w:val="28"/>
          <w:szCs w:val="28"/>
        </w:rPr>
        <w:t>磋商响应单位地址：</w:t>
      </w:r>
    </w:p>
    <w:sectPr>
      <w:pgSz w:w="11906" w:h="16838"/>
      <w:pgMar w:top="1440" w:right="1457" w:bottom="1440" w:left="1463" w:header="851" w:footer="992" w:gutter="0"/>
      <w:cols w:space="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S Sans Serif">
    <w:altName w:val="Arial"/>
    <w:panose1 w:val="00000000000000000000"/>
    <w:charset w:val="00"/>
    <w:family w:val="swiss"/>
    <w:pitch w:val="default"/>
    <w:sig w:usb0="00000000" w:usb1="00000000" w:usb2="00000000" w:usb3="00000000" w:csb0="00000001"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Ђˎ̥">
    <w:altName w:val="Times New Roman"/>
    <w:panose1 w:val="00000000000000000000"/>
    <w:charset w:val="00"/>
    <w:family w:val="auto"/>
    <w:pitch w:val="default"/>
    <w:sig w:usb0="00000000" w:usb1="00000000" w:usb2="00000000" w:usb3="00000000" w:csb0="00040001" w:csb1="00000000"/>
  </w:font>
  <w:font w:name="Bodoni MT">
    <w:panose1 w:val="02070603080606020203"/>
    <w:charset w:val="00"/>
    <w:family w:val="roman"/>
    <w:pitch w:val="default"/>
    <w:sig w:usb0="00000003" w:usb1="00000000" w:usb2="00000000" w:usb3="00000000" w:csb0="20000001" w:csb1="0000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Verdana">
    <w:panose1 w:val="020B0604030504040204"/>
    <w:charset w:val="00"/>
    <w:family w:val="swiss"/>
    <w:pitch w:val="default"/>
    <w:sig w:usb0="A10006FF" w:usb1="4000205B" w:usb2="00000010" w:usb3="00000000" w:csb0="2000019F" w:csb1="00000000"/>
  </w:font>
  <w:font w:name="Arial Narrow">
    <w:panose1 w:val="020B0606020202030204"/>
    <w:charset w:val="00"/>
    <w:family w:val="swiss"/>
    <w:pitch w:val="default"/>
    <w:sig w:usb0="00000287" w:usb1="00000800" w:usb2="00000000" w:usb3="00000000" w:csb0="2000009F" w:csb1="DFD7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listo MT">
    <w:panose1 w:val="02040603050505030304"/>
    <w:charset w:val="00"/>
    <w:family w:val="roman"/>
    <w:pitch w:val="default"/>
    <w:sig w:usb0="00000003" w:usb1="00000000" w:usb2="00000000" w:usb3="00000000" w:csb0="2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framePr w:wrap="around" w:vAnchor="text" w:hAnchor="margin" w:xAlign="center" w:y="1"/>
      <w:rPr>
        <w:rStyle w:val="52"/>
      </w:rPr>
    </w:pPr>
    <w:r>
      <w:fldChar w:fldCharType="begin"/>
    </w:r>
    <w:r>
      <w:rPr>
        <w:rStyle w:val="52"/>
      </w:rPr>
      <w:instrText xml:space="preserve">PAGE  </w:instrText>
    </w:r>
    <w:r>
      <w:fldChar w:fldCharType="end"/>
    </w:r>
  </w:p>
  <w:p>
    <w:pPr>
      <w:pStyle w:val="3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center" w:pos="4493"/>
        <w:tab w:val="clear" w:pos="4153"/>
      </w:tabs>
    </w:pP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0"/>
                          </w:pPr>
                          <w:r>
                            <w:fldChar w:fldCharType="begin"/>
                          </w:r>
                          <w:r>
                            <w:instrText xml:space="preserve"> PAGE  \* MERGEFORMAT </w:instrText>
                          </w:r>
                          <w:r>
                            <w:fldChar w:fldCharType="separate"/>
                          </w:r>
                          <w:r>
                            <w:t>25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ZerI4AgAAb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vbWNbu6&#10;f4AptCxs9IPlMU2UytvlPkDapHgUqFcFnYoHzGHq2Xln4qD/eU5Rj/8Ti9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tVl6sjgCAABvBAAADgAAAAAAAAABACAAAAAfAQAAZHJzL2Uyb0RvYy54&#10;bWxQSwUGAAAAAAYABgBZAQAAyQUAAAAA&#10;">
              <v:fill on="f" focussize="0,0"/>
              <v:stroke on="f" weight="0.5pt"/>
              <v:imagedata o:title=""/>
              <o:lock v:ext="edit" aspectratio="f"/>
              <v:textbox inset="0mm,0mm,0mm,0mm" style="mso-fit-shape-to-text:t;">
                <w:txbxContent>
                  <w:p>
                    <w:pPr>
                      <w:pStyle w:val="30"/>
                    </w:pPr>
                    <w:r>
                      <w:fldChar w:fldCharType="begin"/>
                    </w:r>
                    <w:r>
                      <w:instrText xml:space="preserve"> PAGE  \* MERGEFORMAT </w:instrText>
                    </w:r>
                    <w:r>
                      <w:fldChar w:fldCharType="separate"/>
                    </w:r>
                    <w:r>
                      <w:t>25</w:t>
                    </w:r>
                    <w:r>
                      <w:fldChar w:fldCharType="end"/>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sz w:val="18"/>
                            </w:rPr>
                          </w:pPr>
                        </w:p>
                      </w:txbxContent>
                    </wps:txbx>
                    <wps:bodyPr wrap="none" lIns="0" tIns="0" rIns="0" bIns="0" upright="1">
                      <a:spAutoFit/>
                    </wps:bodyPr>
                  </wps:wsp>
                </a:graphicData>
              </a:graphic>
            </wp:anchor>
          </w:drawing>
        </mc:Choice>
        <mc:Fallback>
          <w:pict>
            <v:shape id="文本框 12"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GCpBefOAQAAqAMAAA4AAAAAAAAAAQAgAAAAHgEAAGRycy9l&#10;Mm9Eb2MueG1sUEsFBgAAAAAGAAYAWQEAAF4FAAAAAA==&#10;">
              <v:fill on="f" focussize="0,0"/>
              <v:stroke on="f"/>
              <v:imagedata o:title=""/>
              <o:lock v:ext="edit" aspectratio="f"/>
              <v:textbox inset="0mm,0mm,0mm,0mm" style="mso-fit-shape-to-text:t;">
                <w:txbxContent>
                  <w:p>
                    <w:pPr>
                      <w:snapToGrid w:val="0"/>
                      <w:rPr>
                        <w:sz w:val="18"/>
                      </w:rPr>
                    </w:pP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0"/>
                          </w:pPr>
                          <w:r>
                            <w:fldChar w:fldCharType="begin"/>
                          </w:r>
                          <w:r>
                            <w:instrText xml:space="preserve"> PAGE  \* MERGEFORMAT </w:instrText>
                          </w:r>
                          <w:r>
                            <w:fldChar w:fldCharType="separate"/>
                          </w:r>
                          <w:r>
                            <w:t>87</w:t>
                          </w:r>
                          <w:r>
                            <w:fldChar w:fldCharType="end"/>
                          </w:r>
                        </w:p>
                      </w:txbxContent>
                    </wps:txbx>
                    <wps:bodyPr wrap="none" lIns="0" tIns="0" rIns="0" bIns="0" upright="0">
                      <a:spAutoFit/>
                    </wps:bodyPr>
                  </wps:wsp>
                </a:graphicData>
              </a:graphic>
            </wp:anchor>
          </w:drawing>
        </mc:Choice>
        <mc:Fallback>
          <w:pict>
            <v:shape id="文本框 13"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edrbKc0BAACoAwAADgAAAAAAAAABACAAAAAeAQAAZHJzL2Uy&#10;b0RvYy54bWxQSwUGAAAAAAYABgBZAQAAXQUAAAAA&#10;">
              <v:fill on="f" focussize="0,0"/>
              <v:stroke on="f"/>
              <v:imagedata o:title=""/>
              <o:lock v:ext="edit" aspectratio="f"/>
              <v:textbox inset="0mm,0mm,0mm,0mm" style="mso-fit-shape-to-text:t;">
                <w:txbxContent>
                  <w:p>
                    <w:pPr>
                      <w:pStyle w:val="30"/>
                    </w:pPr>
                    <w:r>
                      <w:fldChar w:fldCharType="begin"/>
                    </w:r>
                    <w:r>
                      <w:instrText xml:space="preserve"> PAGE  \* MERGEFORMAT </w:instrText>
                    </w:r>
                    <w:r>
                      <w:fldChar w:fldCharType="separate"/>
                    </w:r>
                    <w:r>
                      <w:t>87</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0"/>
                          </w:pPr>
                          <w:r>
                            <w:fldChar w:fldCharType="begin"/>
                          </w:r>
                          <w:r>
                            <w:instrText xml:space="preserve"> PAGE  \* MERGEFORMAT </w:instrText>
                          </w:r>
                          <w:r>
                            <w:fldChar w:fldCharType="separate"/>
                          </w:r>
                          <w:r>
                            <w:t>90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BCXA3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R+vqQ9U9&#10;wBxaFrZ6Z3lME6XydnUMkDYpHgXqVEGn4gGTmHrWb00c9T/PKerx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awQlwNwIAAHEEAAAOAAAAAAAAAAEAIAAAAB8BAABkcnMvZTJvRG9jLnht&#10;bFBLBQYAAAAABgAGAFkBAADIBQAAAAA=&#10;">
              <v:fill on="f" focussize="0,0"/>
              <v:stroke on="f" weight="0.5pt"/>
              <v:imagedata o:title=""/>
              <o:lock v:ext="edit" aspectratio="f"/>
              <v:textbox inset="0mm,0mm,0mm,0mm" style="mso-fit-shape-to-text:t;">
                <w:txbxContent>
                  <w:p>
                    <w:pPr>
                      <w:pStyle w:val="30"/>
                    </w:pPr>
                    <w:r>
                      <w:fldChar w:fldCharType="begin"/>
                    </w:r>
                    <w:r>
                      <w:instrText xml:space="preserve"> PAGE  \* MERGEFORMAT </w:instrText>
                    </w:r>
                    <w:r>
                      <w:fldChar w:fldCharType="separate"/>
                    </w:r>
                    <w:r>
                      <w:t>90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both"/>
      <w:rPr>
        <w:u w:val="double"/>
      </w:rPr>
    </w:pPr>
    <w:r>
      <w:rPr>
        <w:rFonts w:hint="eastAsia"/>
        <w:u w:val="double"/>
      </w:rPr>
      <w:t>文景校区五吨锅炉低氮改造工程                                                            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tabs>
        <w:tab w:val="center" w:pos="4153"/>
        <w:tab w:val="right" w:pos="8306"/>
      </w:tabs>
      <w:jc w:val="both"/>
      <w:rPr>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6F3BF58"/>
    <w:multiLevelType w:val="singleLevel"/>
    <w:tmpl w:val="D6F3BF58"/>
    <w:lvl w:ilvl="0" w:tentative="0">
      <w:start w:val="10"/>
      <w:numFmt w:val="chineseCounting"/>
      <w:suff w:val="nothing"/>
      <w:lvlText w:val="%1、"/>
      <w:lvlJc w:val="left"/>
      <w:rPr>
        <w:rFonts w:hint="eastAsia"/>
      </w:rPr>
    </w:lvl>
  </w:abstractNum>
  <w:abstractNum w:abstractNumId="1">
    <w:nsid w:val="0000000D"/>
    <w:multiLevelType w:val="multilevel"/>
    <w:tmpl w:val="0000000D"/>
    <w:lvl w:ilvl="0" w:tentative="0">
      <w:start w:val="1"/>
      <w:numFmt w:val="none"/>
      <w:pStyle w:val="4"/>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2">
    <w:nsid w:val="29B50080"/>
    <w:multiLevelType w:val="singleLevel"/>
    <w:tmpl w:val="29B50080"/>
    <w:lvl w:ilvl="0" w:tentative="0">
      <w:start w:val="1"/>
      <w:numFmt w:val="chineseCounting"/>
      <w:suff w:val="nothing"/>
      <w:lvlText w:val="%1、"/>
      <w:lvlJc w:val="left"/>
      <w:rPr>
        <w:rFonts w:hint="eastAsia"/>
      </w:rPr>
    </w:lvl>
  </w:abstractNum>
  <w:abstractNum w:abstractNumId="3">
    <w:nsid w:val="2AAB82E0"/>
    <w:multiLevelType w:val="singleLevel"/>
    <w:tmpl w:val="2AAB82E0"/>
    <w:lvl w:ilvl="0" w:tentative="0">
      <w:start w:val="6"/>
      <w:numFmt w:val="chineseCounting"/>
      <w:suff w:val="nothing"/>
      <w:lvlText w:val="%1、"/>
      <w:lvlJc w:val="left"/>
      <w:rPr>
        <w:rFonts w:hint="eastAsia"/>
      </w:rPr>
    </w:lvl>
  </w:abstractNum>
  <w:abstractNum w:abstractNumId="4">
    <w:nsid w:val="2CDCAE92"/>
    <w:multiLevelType w:val="singleLevel"/>
    <w:tmpl w:val="2CDCAE92"/>
    <w:lvl w:ilvl="0" w:tentative="0">
      <w:start w:val="9"/>
      <w:numFmt w:val="chineseCounting"/>
      <w:suff w:val="nothing"/>
      <w:lvlText w:val="%1、"/>
      <w:lvlJc w:val="left"/>
      <w:rPr>
        <w:rFonts w:hint="eastAsia"/>
      </w:rPr>
    </w:lvl>
  </w:abstractNum>
  <w:abstractNum w:abstractNumId="5">
    <w:nsid w:val="3D676E54"/>
    <w:multiLevelType w:val="singleLevel"/>
    <w:tmpl w:val="3D676E54"/>
    <w:lvl w:ilvl="0" w:tentative="0">
      <w:start w:val="13"/>
      <w:numFmt w:val="chineseCounting"/>
      <w:suff w:val="nothing"/>
      <w:lvlText w:val="%1、"/>
      <w:lvlJc w:val="left"/>
      <w:rPr>
        <w:rFonts w:hint="eastAsia"/>
      </w:rPr>
    </w:lvl>
  </w:abstractNum>
  <w:abstractNum w:abstractNumId="6">
    <w:nsid w:val="441B1801"/>
    <w:multiLevelType w:val="singleLevel"/>
    <w:tmpl w:val="441B1801"/>
    <w:lvl w:ilvl="0" w:tentative="0">
      <w:start w:val="1"/>
      <w:numFmt w:val="decimal"/>
      <w:suff w:val="space"/>
      <w:lvlText w:val="%1."/>
      <w:lvlJc w:val="left"/>
    </w:lvl>
  </w:abstractNum>
  <w:abstractNum w:abstractNumId="7">
    <w:nsid w:val="5937C3F8"/>
    <w:multiLevelType w:val="singleLevel"/>
    <w:tmpl w:val="5937C3F8"/>
    <w:lvl w:ilvl="0" w:tentative="0">
      <w:start w:val="2"/>
      <w:numFmt w:val="decimal"/>
      <w:suff w:val="nothing"/>
      <w:lvlText w:val="%1、"/>
      <w:lvlJc w:val="left"/>
    </w:lvl>
  </w:abstractNum>
  <w:num w:numId="1">
    <w:abstractNumId w:val="1"/>
  </w:num>
  <w:num w:numId="2">
    <w:abstractNumId w:val="2"/>
  </w:num>
  <w:num w:numId="3">
    <w:abstractNumId w:val="3"/>
  </w:num>
  <w:num w:numId="4">
    <w:abstractNumId w:val="7"/>
  </w:num>
  <w:num w:numId="5">
    <w:abstractNumId w:val="4"/>
  </w:num>
  <w:num w:numId="6">
    <w:abstractNumId w:val="0"/>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20033"/>
    <w:rsid w:val="000278FD"/>
    <w:rsid w:val="00035DDE"/>
    <w:rsid w:val="0004086F"/>
    <w:rsid w:val="000729B1"/>
    <w:rsid w:val="00077DC4"/>
    <w:rsid w:val="00083D34"/>
    <w:rsid w:val="000A2EE8"/>
    <w:rsid w:val="000A6D8D"/>
    <w:rsid w:val="000C50D1"/>
    <w:rsid w:val="001226A4"/>
    <w:rsid w:val="00137BF8"/>
    <w:rsid w:val="00171D1A"/>
    <w:rsid w:val="00172A27"/>
    <w:rsid w:val="001975B4"/>
    <w:rsid w:val="001F7DDA"/>
    <w:rsid w:val="00212A28"/>
    <w:rsid w:val="00294E0D"/>
    <w:rsid w:val="002B45FB"/>
    <w:rsid w:val="00322449"/>
    <w:rsid w:val="00342556"/>
    <w:rsid w:val="004023FA"/>
    <w:rsid w:val="00457D5C"/>
    <w:rsid w:val="00470EA3"/>
    <w:rsid w:val="00481960"/>
    <w:rsid w:val="00483A05"/>
    <w:rsid w:val="004960B2"/>
    <w:rsid w:val="004A4B7D"/>
    <w:rsid w:val="004B6504"/>
    <w:rsid w:val="004E2DDD"/>
    <w:rsid w:val="00554FED"/>
    <w:rsid w:val="00562C55"/>
    <w:rsid w:val="005664CE"/>
    <w:rsid w:val="005D3FB8"/>
    <w:rsid w:val="005F34F6"/>
    <w:rsid w:val="00606614"/>
    <w:rsid w:val="00651A05"/>
    <w:rsid w:val="0067022E"/>
    <w:rsid w:val="006D3DDA"/>
    <w:rsid w:val="006E6468"/>
    <w:rsid w:val="006F37BC"/>
    <w:rsid w:val="007B640D"/>
    <w:rsid w:val="007C0B26"/>
    <w:rsid w:val="00840D24"/>
    <w:rsid w:val="00873E44"/>
    <w:rsid w:val="008D3F32"/>
    <w:rsid w:val="008E5731"/>
    <w:rsid w:val="008F2DB3"/>
    <w:rsid w:val="0092263A"/>
    <w:rsid w:val="00974AD1"/>
    <w:rsid w:val="00984CBC"/>
    <w:rsid w:val="009B6EBD"/>
    <w:rsid w:val="009C39F1"/>
    <w:rsid w:val="009F15A6"/>
    <w:rsid w:val="00A071B1"/>
    <w:rsid w:val="00A31A56"/>
    <w:rsid w:val="00A40ABE"/>
    <w:rsid w:val="00A8528F"/>
    <w:rsid w:val="00A97829"/>
    <w:rsid w:val="00A97BD4"/>
    <w:rsid w:val="00AA2F0C"/>
    <w:rsid w:val="00AA6B5A"/>
    <w:rsid w:val="00AC680A"/>
    <w:rsid w:val="00B858CE"/>
    <w:rsid w:val="00CE61CA"/>
    <w:rsid w:val="00CF4E7C"/>
    <w:rsid w:val="00D63540"/>
    <w:rsid w:val="00DB004A"/>
    <w:rsid w:val="00DD2393"/>
    <w:rsid w:val="00E12E9D"/>
    <w:rsid w:val="00E36C27"/>
    <w:rsid w:val="00E6307D"/>
    <w:rsid w:val="00E74EB1"/>
    <w:rsid w:val="00EA6A42"/>
    <w:rsid w:val="00EB5EED"/>
    <w:rsid w:val="00F06647"/>
    <w:rsid w:val="00F525C4"/>
    <w:rsid w:val="00F54779"/>
    <w:rsid w:val="00F92F08"/>
    <w:rsid w:val="00FF72A8"/>
    <w:rsid w:val="010C58BC"/>
    <w:rsid w:val="01164BFE"/>
    <w:rsid w:val="011E7A41"/>
    <w:rsid w:val="01356835"/>
    <w:rsid w:val="013C3FDB"/>
    <w:rsid w:val="015B456C"/>
    <w:rsid w:val="015F07A8"/>
    <w:rsid w:val="01677C43"/>
    <w:rsid w:val="017E1F09"/>
    <w:rsid w:val="01870CD3"/>
    <w:rsid w:val="019C07AC"/>
    <w:rsid w:val="01A16B52"/>
    <w:rsid w:val="01A372B8"/>
    <w:rsid w:val="01BF025E"/>
    <w:rsid w:val="01EB13A6"/>
    <w:rsid w:val="02117DC5"/>
    <w:rsid w:val="021835A3"/>
    <w:rsid w:val="02232CDC"/>
    <w:rsid w:val="02702364"/>
    <w:rsid w:val="02732292"/>
    <w:rsid w:val="02740BC1"/>
    <w:rsid w:val="027E3833"/>
    <w:rsid w:val="028529F6"/>
    <w:rsid w:val="02B27F97"/>
    <w:rsid w:val="02C276F2"/>
    <w:rsid w:val="02C37900"/>
    <w:rsid w:val="02C71E7B"/>
    <w:rsid w:val="030D20D8"/>
    <w:rsid w:val="030D6559"/>
    <w:rsid w:val="03134779"/>
    <w:rsid w:val="03340C74"/>
    <w:rsid w:val="03342008"/>
    <w:rsid w:val="033670E2"/>
    <w:rsid w:val="0380772A"/>
    <w:rsid w:val="038A1CCF"/>
    <w:rsid w:val="03A9350C"/>
    <w:rsid w:val="03BA25A3"/>
    <w:rsid w:val="03EE2DB6"/>
    <w:rsid w:val="040F6767"/>
    <w:rsid w:val="041065E3"/>
    <w:rsid w:val="04260532"/>
    <w:rsid w:val="04356715"/>
    <w:rsid w:val="046C5452"/>
    <w:rsid w:val="04865A0D"/>
    <w:rsid w:val="049539F5"/>
    <w:rsid w:val="04996A90"/>
    <w:rsid w:val="04A25D40"/>
    <w:rsid w:val="04AD2120"/>
    <w:rsid w:val="04BB0E0D"/>
    <w:rsid w:val="04C87100"/>
    <w:rsid w:val="04CA4D78"/>
    <w:rsid w:val="04D56B94"/>
    <w:rsid w:val="050F2D5D"/>
    <w:rsid w:val="051B5AFD"/>
    <w:rsid w:val="052D2AB1"/>
    <w:rsid w:val="05355D38"/>
    <w:rsid w:val="053C6237"/>
    <w:rsid w:val="05405242"/>
    <w:rsid w:val="05432CC2"/>
    <w:rsid w:val="05512434"/>
    <w:rsid w:val="055819A6"/>
    <w:rsid w:val="05782372"/>
    <w:rsid w:val="057845E6"/>
    <w:rsid w:val="058536B2"/>
    <w:rsid w:val="058E06F6"/>
    <w:rsid w:val="05905BF1"/>
    <w:rsid w:val="05911A52"/>
    <w:rsid w:val="0599238B"/>
    <w:rsid w:val="05BF732D"/>
    <w:rsid w:val="05D425CE"/>
    <w:rsid w:val="05E675A2"/>
    <w:rsid w:val="05FC16A2"/>
    <w:rsid w:val="06062500"/>
    <w:rsid w:val="06194873"/>
    <w:rsid w:val="063110D8"/>
    <w:rsid w:val="06423D9D"/>
    <w:rsid w:val="06612714"/>
    <w:rsid w:val="068B2CB1"/>
    <w:rsid w:val="06937501"/>
    <w:rsid w:val="069B053B"/>
    <w:rsid w:val="06B5096F"/>
    <w:rsid w:val="06B6599E"/>
    <w:rsid w:val="06CE2DB9"/>
    <w:rsid w:val="06D2060F"/>
    <w:rsid w:val="06D42A05"/>
    <w:rsid w:val="06DC407B"/>
    <w:rsid w:val="07087DBA"/>
    <w:rsid w:val="0710121F"/>
    <w:rsid w:val="07116F7D"/>
    <w:rsid w:val="071C4551"/>
    <w:rsid w:val="071D36E8"/>
    <w:rsid w:val="07225724"/>
    <w:rsid w:val="072405F5"/>
    <w:rsid w:val="074814BA"/>
    <w:rsid w:val="074A5107"/>
    <w:rsid w:val="074D3351"/>
    <w:rsid w:val="075500DB"/>
    <w:rsid w:val="07923495"/>
    <w:rsid w:val="079D03CA"/>
    <w:rsid w:val="07B34014"/>
    <w:rsid w:val="07B94355"/>
    <w:rsid w:val="07C65BAD"/>
    <w:rsid w:val="07D03CED"/>
    <w:rsid w:val="07D61F6D"/>
    <w:rsid w:val="07D9338B"/>
    <w:rsid w:val="081D7743"/>
    <w:rsid w:val="082A70AF"/>
    <w:rsid w:val="082A747D"/>
    <w:rsid w:val="08445D98"/>
    <w:rsid w:val="084C768F"/>
    <w:rsid w:val="08774F58"/>
    <w:rsid w:val="08A70BD3"/>
    <w:rsid w:val="08A743E4"/>
    <w:rsid w:val="08AA1E06"/>
    <w:rsid w:val="08BE0969"/>
    <w:rsid w:val="08DB1659"/>
    <w:rsid w:val="08F91439"/>
    <w:rsid w:val="092803CD"/>
    <w:rsid w:val="094311D8"/>
    <w:rsid w:val="09677578"/>
    <w:rsid w:val="098174E9"/>
    <w:rsid w:val="099759F9"/>
    <w:rsid w:val="099811F9"/>
    <w:rsid w:val="099D2CA1"/>
    <w:rsid w:val="09A33B60"/>
    <w:rsid w:val="09A83253"/>
    <w:rsid w:val="09B52A27"/>
    <w:rsid w:val="09BA7B09"/>
    <w:rsid w:val="09CB607F"/>
    <w:rsid w:val="09D36D1D"/>
    <w:rsid w:val="09F41FAF"/>
    <w:rsid w:val="0A14116A"/>
    <w:rsid w:val="0A186776"/>
    <w:rsid w:val="0A1A30C8"/>
    <w:rsid w:val="0A2B760D"/>
    <w:rsid w:val="0A3F3FAA"/>
    <w:rsid w:val="0A41795F"/>
    <w:rsid w:val="0A426137"/>
    <w:rsid w:val="0A4E3A7E"/>
    <w:rsid w:val="0A525023"/>
    <w:rsid w:val="0A580DB3"/>
    <w:rsid w:val="0A5C5694"/>
    <w:rsid w:val="0A5E3497"/>
    <w:rsid w:val="0A8612C8"/>
    <w:rsid w:val="0A872679"/>
    <w:rsid w:val="0ABA4ED8"/>
    <w:rsid w:val="0AC13531"/>
    <w:rsid w:val="0AF25B09"/>
    <w:rsid w:val="0B076D01"/>
    <w:rsid w:val="0B161675"/>
    <w:rsid w:val="0B2F3ABC"/>
    <w:rsid w:val="0B3246FA"/>
    <w:rsid w:val="0B5718C7"/>
    <w:rsid w:val="0B574884"/>
    <w:rsid w:val="0B791BFE"/>
    <w:rsid w:val="0B9C0230"/>
    <w:rsid w:val="0BA957B5"/>
    <w:rsid w:val="0BAB15A1"/>
    <w:rsid w:val="0BCE479A"/>
    <w:rsid w:val="0C092799"/>
    <w:rsid w:val="0C254C56"/>
    <w:rsid w:val="0C282886"/>
    <w:rsid w:val="0C2911DD"/>
    <w:rsid w:val="0C2959CB"/>
    <w:rsid w:val="0C41686B"/>
    <w:rsid w:val="0C4B27B4"/>
    <w:rsid w:val="0C4F4CAB"/>
    <w:rsid w:val="0C502837"/>
    <w:rsid w:val="0C515227"/>
    <w:rsid w:val="0C705FEA"/>
    <w:rsid w:val="0C8E3016"/>
    <w:rsid w:val="0C8E42AB"/>
    <w:rsid w:val="0C934EA4"/>
    <w:rsid w:val="0C954E6C"/>
    <w:rsid w:val="0C9B09E6"/>
    <w:rsid w:val="0CA13339"/>
    <w:rsid w:val="0CB02D55"/>
    <w:rsid w:val="0CEC1358"/>
    <w:rsid w:val="0CF2426D"/>
    <w:rsid w:val="0CFB69DE"/>
    <w:rsid w:val="0CFC4542"/>
    <w:rsid w:val="0D191EC3"/>
    <w:rsid w:val="0D1E2739"/>
    <w:rsid w:val="0D232572"/>
    <w:rsid w:val="0D361360"/>
    <w:rsid w:val="0D4045DB"/>
    <w:rsid w:val="0D527499"/>
    <w:rsid w:val="0D575FB3"/>
    <w:rsid w:val="0D650996"/>
    <w:rsid w:val="0D685825"/>
    <w:rsid w:val="0D816B79"/>
    <w:rsid w:val="0D9E5730"/>
    <w:rsid w:val="0DAE7D1E"/>
    <w:rsid w:val="0DCE465C"/>
    <w:rsid w:val="0DE0768C"/>
    <w:rsid w:val="0DF32D7A"/>
    <w:rsid w:val="0E057C8A"/>
    <w:rsid w:val="0E114426"/>
    <w:rsid w:val="0E37726F"/>
    <w:rsid w:val="0E52195F"/>
    <w:rsid w:val="0E5608D6"/>
    <w:rsid w:val="0E615783"/>
    <w:rsid w:val="0E8C6261"/>
    <w:rsid w:val="0E9D177C"/>
    <w:rsid w:val="0EDB1F1D"/>
    <w:rsid w:val="0EE26341"/>
    <w:rsid w:val="0EED0C69"/>
    <w:rsid w:val="0EED22FD"/>
    <w:rsid w:val="0EF94C14"/>
    <w:rsid w:val="0EFD0021"/>
    <w:rsid w:val="0F0063BF"/>
    <w:rsid w:val="0F031835"/>
    <w:rsid w:val="0F0551D3"/>
    <w:rsid w:val="0F3649EA"/>
    <w:rsid w:val="0F3E112D"/>
    <w:rsid w:val="0F450A05"/>
    <w:rsid w:val="0F480FAB"/>
    <w:rsid w:val="0F4F0551"/>
    <w:rsid w:val="0F557BF8"/>
    <w:rsid w:val="0F6E0E90"/>
    <w:rsid w:val="0F934BD4"/>
    <w:rsid w:val="0F9B265D"/>
    <w:rsid w:val="0FB61135"/>
    <w:rsid w:val="10172273"/>
    <w:rsid w:val="101B2ECD"/>
    <w:rsid w:val="103248F4"/>
    <w:rsid w:val="10432CDE"/>
    <w:rsid w:val="10524583"/>
    <w:rsid w:val="10710C93"/>
    <w:rsid w:val="107478D6"/>
    <w:rsid w:val="109040B1"/>
    <w:rsid w:val="10B05AA5"/>
    <w:rsid w:val="10B54EF7"/>
    <w:rsid w:val="10DC0157"/>
    <w:rsid w:val="10E37236"/>
    <w:rsid w:val="10EA3456"/>
    <w:rsid w:val="10EC6962"/>
    <w:rsid w:val="10ED6F62"/>
    <w:rsid w:val="10FA5F74"/>
    <w:rsid w:val="10FC4DAE"/>
    <w:rsid w:val="11003CCF"/>
    <w:rsid w:val="11015E44"/>
    <w:rsid w:val="11123786"/>
    <w:rsid w:val="112A0463"/>
    <w:rsid w:val="11477EB7"/>
    <w:rsid w:val="114837BC"/>
    <w:rsid w:val="114C7BEA"/>
    <w:rsid w:val="114E2013"/>
    <w:rsid w:val="116E58C0"/>
    <w:rsid w:val="11887A11"/>
    <w:rsid w:val="118A4F0F"/>
    <w:rsid w:val="118D441F"/>
    <w:rsid w:val="11AB22F6"/>
    <w:rsid w:val="11C35D89"/>
    <w:rsid w:val="11D92ECB"/>
    <w:rsid w:val="11F2191E"/>
    <w:rsid w:val="1202296B"/>
    <w:rsid w:val="12381B3A"/>
    <w:rsid w:val="12577258"/>
    <w:rsid w:val="12596ADD"/>
    <w:rsid w:val="125C2907"/>
    <w:rsid w:val="125D2641"/>
    <w:rsid w:val="12B23E99"/>
    <w:rsid w:val="12C62AB4"/>
    <w:rsid w:val="12DA0004"/>
    <w:rsid w:val="12E212FA"/>
    <w:rsid w:val="12F241BA"/>
    <w:rsid w:val="12F450AC"/>
    <w:rsid w:val="12F92A50"/>
    <w:rsid w:val="13020A9F"/>
    <w:rsid w:val="13030B2B"/>
    <w:rsid w:val="130A5353"/>
    <w:rsid w:val="131524C5"/>
    <w:rsid w:val="1323743D"/>
    <w:rsid w:val="132B4B3A"/>
    <w:rsid w:val="13444F5F"/>
    <w:rsid w:val="13616775"/>
    <w:rsid w:val="13953E91"/>
    <w:rsid w:val="139B5E1E"/>
    <w:rsid w:val="13AB0854"/>
    <w:rsid w:val="13B70E32"/>
    <w:rsid w:val="13BB4711"/>
    <w:rsid w:val="13F44AB9"/>
    <w:rsid w:val="1409537B"/>
    <w:rsid w:val="142D3634"/>
    <w:rsid w:val="142E0B67"/>
    <w:rsid w:val="14863396"/>
    <w:rsid w:val="148E576F"/>
    <w:rsid w:val="149541F0"/>
    <w:rsid w:val="149A1EF2"/>
    <w:rsid w:val="14B876D1"/>
    <w:rsid w:val="14B93E66"/>
    <w:rsid w:val="14B972DD"/>
    <w:rsid w:val="14F7473F"/>
    <w:rsid w:val="15070502"/>
    <w:rsid w:val="152B2D95"/>
    <w:rsid w:val="15403421"/>
    <w:rsid w:val="15476049"/>
    <w:rsid w:val="15646910"/>
    <w:rsid w:val="1572793C"/>
    <w:rsid w:val="158C1918"/>
    <w:rsid w:val="15925EE4"/>
    <w:rsid w:val="159D61C0"/>
    <w:rsid w:val="159E4B80"/>
    <w:rsid w:val="15A637CB"/>
    <w:rsid w:val="15AC6DA3"/>
    <w:rsid w:val="15C24DE5"/>
    <w:rsid w:val="15DD52DC"/>
    <w:rsid w:val="15E05B5A"/>
    <w:rsid w:val="16414172"/>
    <w:rsid w:val="1642510D"/>
    <w:rsid w:val="16460595"/>
    <w:rsid w:val="16587785"/>
    <w:rsid w:val="165B320F"/>
    <w:rsid w:val="166747F5"/>
    <w:rsid w:val="166F7788"/>
    <w:rsid w:val="167A6401"/>
    <w:rsid w:val="16857CF4"/>
    <w:rsid w:val="16B16755"/>
    <w:rsid w:val="16B22AC0"/>
    <w:rsid w:val="16DA3FF8"/>
    <w:rsid w:val="16E93593"/>
    <w:rsid w:val="16F31AAA"/>
    <w:rsid w:val="16FC458E"/>
    <w:rsid w:val="16FD7881"/>
    <w:rsid w:val="170058B7"/>
    <w:rsid w:val="17134731"/>
    <w:rsid w:val="171F4C62"/>
    <w:rsid w:val="174D7E49"/>
    <w:rsid w:val="175665D9"/>
    <w:rsid w:val="17930310"/>
    <w:rsid w:val="179A522B"/>
    <w:rsid w:val="17C626AA"/>
    <w:rsid w:val="17CF6845"/>
    <w:rsid w:val="18195A8B"/>
    <w:rsid w:val="183B43AC"/>
    <w:rsid w:val="186A2C77"/>
    <w:rsid w:val="18752226"/>
    <w:rsid w:val="187C428F"/>
    <w:rsid w:val="18847056"/>
    <w:rsid w:val="189345FB"/>
    <w:rsid w:val="1898628C"/>
    <w:rsid w:val="189C65BA"/>
    <w:rsid w:val="18AF208B"/>
    <w:rsid w:val="18CD1E7D"/>
    <w:rsid w:val="18DE674D"/>
    <w:rsid w:val="18E2370A"/>
    <w:rsid w:val="190510A1"/>
    <w:rsid w:val="191D515C"/>
    <w:rsid w:val="1929181D"/>
    <w:rsid w:val="192E4D69"/>
    <w:rsid w:val="19543F09"/>
    <w:rsid w:val="195F7E78"/>
    <w:rsid w:val="196A32DC"/>
    <w:rsid w:val="196E33DC"/>
    <w:rsid w:val="19807D09"/>
    <w:rsid w:val="19A64024"/>
    <w:rsid w:val="19B748B4"/>
    <w:rsid w:val="19BF2633"/>
    <w:rsid w:val="19D24C26"/>
    <w:rsid w:val="19E36D5D"/>
    <w:rsid w:val="19FB5F55"/>
    <w:rsid w:val="19FF0FDF"/>
    <w:rsid w:val="1A1A75D1"/>
    <w:rsid w:val="1A2443B4"/>
    <w:rsid w:val="1A342417"/>
    <w:rsid w:val="1A3F7FA4"/>
    <w:rsid w:val="1A403BAF"/>
    <w:rsid w:val="1A481282"/>
    <w:rsid w:val="1A485B68"/>
    <w:rsid w:val="1A524D9B"/>
    <w:rsid w:val="1A5A1F07"/>
    <w:rsid w:val="1A6D4D8F"/>
    <w:rsid w:val="1A871532"/>
    <w:rsid w:val="1A9D4D54"/>
    <w:rsid w:val="1AA612E2"/>
    <w:rsid w:val="1ABB28BF"/>
    <w:rsid w:val="1ADB06C7"/>
    <w:rsid w:val="1AEA51C4"/>
    <w:rsid w:val="1AFF12A4"/>
    <w:rsid w:val="1B0E405B"/>
    <w:rsid w:val="1B1442BD"/>
    <w:rsid w:val="1B44362A"/>
    <w:rsid w:val="1B5A3929"/>
    <w:rsid w:val="1B702D4C"/>
    <w:rsid w:val="1B70730A"/>
    <w:rsid w:val="1BBB39CE"/>
    <w:rsid w:val="1BBF5FB4"/>
    <w:rsid w:val="1BC85727"/>
    <w:rsid w:val="1BCE535F"/>
    <w:rsid w:val="1BD35D71"/>
    <w:rsid w:val="1BD63B81"/>
    <w:rsid w:val="1BDF09CC"/>
    <w:rsid w:val="1BF72C59"/>
    <w:rsid w:val="1C3B35F5"/>
    <w:rsid w:val="1C776221"/>
    <w:rsid w:val="1C782BD3"/>
    <w:rsid w:val="1CC0271E"/>
    <w:rsid w:val="1CD44DE9"/>
    <w:rsid w:val="1CD53F3C"/>
    <w:rsid w:val="1CFD26F2"/>
    <w:rsid w:val="1D335296"/>
    <w:rsid w:val="1D38416D"/>
    <w:rsid w:val="1D46097F"/>
    <w:rsid w:val="1D532F28"/>
    <w:rsid w:val="1D552B18"/>
    <w:rsid w:val="1D8C5A8B"/>
    <w:rsid w:val="1DB44B12"/>
    <w:rsid w:val="1DB93A55"/>
    <w:rsid w:val="1DBB710C"/>
    <w:rsid w:val="1E183D56"/>
    <w:rsid w:val="1EB86012"/>
    <w:rsid w:val="1EC76150"/>
    <w:rsid w:val="1EF47B01"/>
    <w:rsid w:val="1F2626D1"/>
    <w:rsid w:val="1F3D6270"/>
    <w:rsid w:val="1F3E5B46"/>
    <w:rsid w:val="1F5C54B6"/>
    <w:rsid w:val="1F61342B"/>
    <w:rsid w:val="1F885EA4"/>
    <w:rsid w:val="1F8E05D9"/>
    <w:rsid w:val="1FA072EB"/>
    <w:rsid w:val="1FBF6D38"/>
    <w:rsid w:val="1FC52DBA"/>
    <w:rsid w:val="1FC56CDF"/>
    <w:rsid w:val="1FCD2AAA"/>
    <w:rsid w:val="1FD36554"/>
    <w:rsid w:val="1FFC6429"/>
    <w:rsid w:val="20174450"/>
    <w:rsid w:val="20196830"/>
    <w:rsid w:val="202B70A7"/>
    <w:rsid w:val="205D69DE"/>
    <w:rsid w:val="207B415A"/>
    <w:rsid w:val="208706BB"/>
    <w:rsid w:val="208E444E"/>
    <w:rsid w:val="208F6CC9"/>
    <w:rsid w:val="209253B3"/>
    <w:rsid w:val="20AD2B9C"/>
    <w:rsid w:val="20D263E6"/>
    <w:rsid w:val="20D45E90"/>
    <w:rsid w:val="20DF3022"/>
    <w:rsid w:val="20E61DB7"/>
    <w:rsid w:val="20F71053"/>
    <w:rsid w:val="20F71C18"/>
    <w:rsid w:val="210E3ED0"/>
    <w:rsid w:val="21202395"/>
    <w:rsid w:val="213672FD"/>
    <w:rsid w:val="21370155"/>
    <w:rsid w:val="213E5EE0"/>
    <w:rsid w:val="214B184A"/>
    <w:rsid w:val="216C75E1"/>
    <w:rsid w:val="219243E4"/>
    <w:rsid w:val="21C4324D"/>
    <w:rsid w:val="21CC0070"/>
    <w:rsid w:val="21DE0574"/>
    <w:rsid w:val="21DE532D"/>
    <w:rsid w:val="21EB5A8B"/>
    <w:rsid w:val="21FF6CDF"/>
    <w:rsid w:val="2214735E"/>
    <w:rsid w:val="221F4905"/>
    <w:rsid w:val="22427C13"/>
    <w:rsid w:val="225D3185"/>
    <w:rsid w:val="226B43F4"/>
    <w:rsid w:val="22755638"/>
    <w:rsid w:val="22895D9B"/>
    <w:rsid w:val="22914CB6"/>
    <w:rsid w:val="22AB09E3"/>
    <w:rsid w:val="22D42137"/>
    <w:rsid w:val="22DF6FEF"/>
    <w:rsid w:val="22E93CC7"/>
    <w:rsid w:val="22E94EB2"/>
    <w:rsid w:val="22EC4AD8"/>
    <w:rsid w:val="22F56B4C"/>
    <w:rsid w:val="22FE3C10"/>
    <w:rsid w:val="230962D3"/>
    <w:rsid w:val="230B087E"/>
    <w:rsid w:val="231C16D1"/>
    <w:rsid w:val="231D3D05"/>
    <w:rsid w:val="23217D52"/>
    <w:rsid w:val="2373475E"/>
    <w:rsid w:val="23761769"/>
    <w:rsid w:val="238464DA"/>
    <w:rsid w:val="23A24309"/>
    <w:rsid w:val="23C31665"/>
    <w:rsid w:val="23CA5BA6"/>
    <w:rsid w:val="23F80193"/>
    <w:rsid w:val="23FA71BC"/>
    <w:rsid w:val="24446686"/>
    <w:rsid w:val="244E2977"/>
    <w:rsid w:val="2453676C"/>
    <w:rsid w:val="245D610E"/>
    <w:rsid w:val="2471637A"/>
    <w:rsid w:val="247B5F08"/>
    <w:rsid w:val="24894EA0"/>
    <w:rsid w:val="248F4DDE"/>
    <w:rsid w:val="249B5E35"/>
    <w:rsid w:val="24A60395"/>
    <w:rsid w:val="24DE7331"/>
    <w:rsid w:val="24FE0CDF"/>
    <w:rsid w:val="24FE6A30"/>
    <w:rsid w:val="250F5D47"/>
    <w:rsid w:val="25137BAE"/>
    <w:rsid w:val="251938B0"/>
    <w:rsid w:val="25345F2F"/>
    <w:rsid w:val="253C586F"/>
    <w:rsid w:val="25441A81"/>
    <w:rsid w:val="254D333E"/>
    <w:rsid w:val="25601FDC"/>
    <w:rsid w:val="25646491"/>
    <w:rsid w:val="256A5FE2"/>
    <w:rsid w:val="258C6EF5"/>
    <w:rsid w:val="259778F7"/>
    <w:rsid w:val="25A667D6"/>
    <w:rsid w:val="25A742B3"/>
    <w:rsid w:val="25D80D37"/>
    <w:rsid w:val="25ED75AA"/>
    <w:rsid w:val="25FD1F39"/>
    <w:rsid w:val="264077C3"/>
    <w:rsid w:val="26632C23"/>
    <w:rsid w:val="266B1B0B"/>
    <w:rsid w:val="26714548"/>
    <w:rsid w:val="267B10C6"/>
    <w:rsid w:val="26A369A8"/>
    <w:rsid w:val="26C65B3C"/>
    <w:rsid w:val="26E33F24"/>
    <w:rsid w:val="26F27976"/>
    <w:rsid w:val="2702551C"/>
    <w:rsid w:val="27115DE2"/>
    <w:rsid w:val="27125F14"/>
    <w:rsid w:val="27221698"/>
    <w:rsid w:val="272A7E84"/>
    <w:rsid w:val="273C42E8"/>
    <w:rsid w:val="27474FC6"/>
    <w:rsid w:val="274E0A80"/>
    <w:rsid w:val="276B1428"/>
    <w:rsid w:val="27B85093"/>
    <w:rsid w:val="27C830C9"/>
    <w:rsid w:val="27CD39E8"/>
    <w:rsid w:val="27CE7DA4"/>
    <w:rsid w:val="27DF1BEA"/>
    <w:rsid w:val="27EC70D6"/>
    <w:rsid w:val="27F26F54"/>
    <w:rsid w:val="27FD4E90"/>
    <w:rsid w:val="280F1E94"/>
    <w:rsid w:val="281807FF"/>
    <w:rsid w:val="28190684"/>
    <w:rsid w:val="282C7B73"/>
    <w:rsid w:val="283143C2"/>
    <w:rsid w:val="28486088"/>
    <w:rsid w:val="284C3184"/>
    <w:rsid w:val="28543405"/>
    <w:rsid w:val="2896448B"/>
    <w:rsid w:val="289A00A4"/>
    <w:rsid w:val="289C1112"/>
    <w:rsid w:val="28AF00EF"/>
    <w:rsid w:val="28C74290"/>
    <w:rsid w:val="28C76526"/>
    <w:rsid w:val="28D62A6E"/>
    <w:rsid w:val="28F02624"/>
    <w:rsid w:val="28F54804"/>
    <w:rsid w:val="291862BB"/>
    <w:rsid w:val="2923388E"/>
    <w:rsid w:val="292F320A"/>
    <w:rsid w:val="293E54EF"/>
    <w:rsid w:val="295948CA"/>
    <w:rsid w:val="2977546C"/>
    <w:rsid w:val="297B09F3"/>
    <w:rsid w:val="297F11CF"/>
    <w:rsid w:val="299D1A7A"/>
    <w:rsid w:val="29AC1FD6"/>
    <w:rsid w:val="29BC4910"/>
    <w:rsid w:val="29EC6F6F"/>
    <w:rsid w:val="2A300CCD"/>
    <w:rsid w:val="2A433971"/>
    <w:rsid w:val="2A454FBC"/>
    <w:rsid w:val="2A843F27"/>
    <w:rsid w:val="2A9B61C3"/>
    <w:rsid w:val="2AA36B5F"/>
    <w:rsid w:val="2AA877A4"/>
    <w:rsid w:val="2AA87F80"/>
    <w:rsid w:val="2AC4436A"/>
    <w:rsid w:val="2AD91065"/>
    <w:rsid w:val="2AE52C28"/>
    <w:rsid w:val="2AE85D04"/>
    <w:rsid w:val="2AF60FBE"/>
    <w:rsid w:val="2B194836"/>
    <w:rsid w:val="2B34797A"/>
    <w:rsid w:val="2B441D16"/>
    <w:rsid w:val="2B4E269B"/>
    <w:rsid w:val="2B533AB4"/>
    <w:rsid w:val="2B547ED2"/>
    <w:rsid w:val="2B5B64CB"/>
    <w:rsid w:val="2B6C17DA"/>
    <w:rsid w:val="2B6C7973"/>
    <w:rsid w:val="2B872DC9"/>
    <w:rsid w:val="2B9125D6"/>
    <w:rsid w:val="2B9241B8"/>
    <w:rsid w:val="2B99209C"/>
    <w:rsid w:val="2B992B65"/>
    <w:rsid w:val="2BA50A37"/>
    <w:rsid w:val="2BBE424D"/>
    <w:rsid w:val="2C0061E0"/>
    <w:rsid w:val="2C043854"/>
    <w:rsid w:val="2C082DDE"/>
    <w:rsid w:val="2C2005B3"/>
    <w:rsid w:val="2C310BB9"/>
    <w:rsid w:val="2C395A82"/>
    <w:rsid w:val="2C4B69AC"/>
    <w:rsid w:val="2C630AE6"/>
    <w:rsid w:val="2C743646"/>
    <w:rsid w:val="2C796C69"/>
    <w:rsid w:val="2C8B735E"/>
    <w:rsid w:val="2CAE05D8"/>
    <w:rsid w:val="2CC448C8"/>
    <w:rsid w:val="2CD6130F"/>
    <w:rsid w:val="2CD97ED7"/>
    <w:rsid w:val="2CE57349"/>
    <w:rsid w:val="2D15439D"/>
    <w:rsid w:val="2D181123"/>
    <w:rsid w:val="2D2F584F"/>
    <w:rsid w:val="2D422A50"/>
    <w:rsid w:val="2D461652"/>
    <w:rsid w:val="2D5C752D"/>
    <w:rsid w:val="2D5D3C06"/>
    <w:rsid w:val="2D7D6ABF"/>
    <w:rsid w:val="2D8D54E4"/>
    <w:rsid w:val="2D975195"/>
    <w:rsid w:val="2DAA65E2"/>
    <w:rsid w:val="2DD826E7"/>
    <w:rsid w:val="2DE11E24"/>
    <w:rsid w:val="2E032286"/>
    <w:rsid w:val="2E143443"/>
    <w:rsid w:val="2E166456"/>
    <w:rsid w:val="2E2679D0"/>
    <w:rsid w:val="2E58270B"/>
    <w:rsid w:val="2E604AFF"/>
    <w:rsid w:val="2E6345A0"/>
    <w:rsid w:val="2E7379F9"/>
    <w:rsid w:val="2E757B91"/>
    <w:rsid w:val="2EA44CBF"/>
    <w:rsid w:val="2EE46DE1"/>
    <w:rsid w:val="2EF93C1F"/>
    <w:rsid w:val="2F373A50"/>
    <w:rsid w:val="2F564F68"/>
    <w:rsid w:val="2F576F95"/>
    <w:rsid w:val="2F5808EB"/>
    <w:rsid w:val="2F5B45B5"/>
    <w:rsid w:val="2F5E7D3A"/>
    <w:rsid w:val="2F9565B6"/>
    <w:rsid w:val="2FB86297"/>
    <w:rsid w:val="2FBA2587"/>
    <w:rsid w:val="2FCA505E"/>
    <w:rsid w:val="2FD55524"/>
    <w:rsid w:val="2FF70481"/>
    <w:rsid w:val="2FFE2258"/>
    <w:rsid w:val="300D18A0"/>
    <w:rsid w:val="30284A62"/>
    <w:rsid w:val="3043305C"/>
    <w:rsid w:val="305B104D"/>
    <w:rsid w:val="30605C52"/>
    <w:rsid w:val="306F76A8"/>
    <w:rsid w:val="307B4F65"/>
    <w:rsid w:val="309700AA"/>
    <w:rsid w:val="309D2809"/>
    <w:rsid w:val="30A53824"/>
    <w:rsid w:val="30C135E3"/>
    <w:rsid w:val="30C318F4"/>
    <w:rsid w:val="30CD0AD4"/>
    <w:rsid w:val="30DD5421"/>
    <w:rsid w:val="31133A2C"/>
    <w:rsid w:val="31236F94"/>
    <w:rsid w:val="312D64AC"/>
    <w:rsid w:val="314245BC"/>
    <w:rsid w:val="31544E5A"/>
    <w:rsid w:val="315701F2"/>
    <w:rsid w:val="318A771D"/>
    <w:rsid w:val="319A1B03"/>
    <w:rsid w:val="31AA34EA"/>
    <w:rsid w:val="31CE735D"/>
    <w:rsid w:val="31DC5D51"/>
    <w:rsid w:val="31EE2DCC"/>
    <w:rsid w:val="31F20088"/>
    <w:rsid w:val="32071AED"/>
    <w:rsid w:val="323315F4"/>
    <w:rsid w:val="324C4498"/>
    <w:rsid w:val="324E0FF3"/>
    <w:rsid w:val="324F2C51"/>
    <w:rsid w:val="3252429D"/>
    <w:rsid w:val="325763C8"/>
    <w:rsid w:val="328113E4"/>
    <w:rsid w:val="328603F8"/>
    <w:rsid w:val="328858A0"/>
    <w:rsid w:val="329B5EF7"/>
    <w:rsid w:val="32A46A5D"/>
    <w:rsid w:val="32B9196A"/>
    <w:rsid w:val="32BC76A7"/>
    <w:rsid w:val="32F240BC"/>
    <w:rsid w:val="32FA2A04"/>
    <w:rsid w:val="33136C4A"/>
    <w:rsid w:val="33263C88"/>
    <w:rsid w:val="333809DE"/>
    <w:rsid w:val="33557715"/>
    <w:rsid w:val="338711F2"/>
    <w:rsid w:val="338B1B97"/>
    <w:rsid w:val="338B532F"/>
    <w:rsid w:val="3397101D"/>
    <w:rsid w:val="33B12738"/>
    <w:rsid w:val="33B12FC3"/>
    <w:rsid w:val="33BA1474"/>
    <w:rsid w:val="33C86F9F"/>
    <w:rsid w:val="33D37E15"/>
    <w:rsid w:val="33EC1DEE"/>
    <w:rsid w:val="33F87F82"/>
    <w:rsid w:val="34036C9E"/>
    <w:rsid w:val="34127A92"/>
    <w:rsid w:val="341712D0"/>
    <w:rsid w:val="341D2E63"/>
    <w:rsid w:val="342F4EFB"/>
    <w:rsid w:val="348538D8"/>
    <w:rsid w:val="349B328E"/>
    <w:rsid w:val="34B122F8"/>
    <w:rsid w:val="34B13FF9"/>
    <w:rsid w:val="34BA5263"/>
    <w:rsid w:val="34C75A69"/>
    <w:rsid w:val="34C90AC0"/>
    <w:rsid w:val="34D266FE"/>
    <w:rsid w:val="34E73359"/>
    <w:rsid w:val="34F60E45"/>
    <w:rsid w:val="34FB1F4D"/>
    <w:rsid w:val="34FC3C69"/>
    <w:rsid w:val="35010DB4"/>
    <w:rsid w:val="35032503"/>
    <w:rsid w:val="350815EC"/>
    <w:rsid w:val="351C29DE"/>
    <w:rsid w:val="352D33BE"/>
    <w:rsid w:val="352F318A"/>
    <w:rsid w:val="353049B6"/>
    <w:rsid w:val="353804C5"/>
    <w:rsid w:val="35494624"/>
    <w:rsid w:val="35582CA6"/>
    <w:rsid w:val="357A6D00"/>
    <w:rsid w:val="3589345D"/>
    <w:rsid w:val="35A617CB"/>
    <w:rsid w:val="35B45A71"/>
    <w:rsid w:val="35CB6696"/>
    <w:rsid w:val="35E0667B"/>
    <w:rsid w:val="3627193C"/>
    <w:rsid w:val="36360DCF"/>
    <w:rsid w:val="36502E3D"/>
    <w:rsid w:val="36610931"/>
    <w:rsid w:val="367E39BA"/>
    <w:rsid w:val="36903323"/>
    <w:rsid w:val="369B52FF"/>
    <w:rsid w:val="36A74600"/>
    <w:rsid w:val="36A924E2"/>
    <w:rsid w:val="36B93898"/>
    <w:rsid w:val="36E50687"/>
    <w:rsid w:val="378B6948"/>
    <w:rsid w:val="37A913F9"/>
    <w:rsid w:val="37B64F7F"/>
    <w:rsid w:val="37BE6397"/>
    <w:rsid w:val="37C02F56"/>
    <w:rsid w:val="37E57E53"/>
    <w:rsid w:val="38064362"/>
    <w:rsid w:val="383F397D"/>
    <w:rsid w:val="38405CF0"/>
    <w:rsid w:val="384F487F"/>
    <w:rsid w:val="385612FA"/>
    <w:rsid w:val="385E37AB"/>
    <w:rsid w:val="389C59D6"/>
    <w:rsid w:val="38A87FBB"/>
    <w:rsid w:val="38AB6CE6"/>
    <w:rsid w:val="38C2158E"/>
    <w:rsid w:val="38D40AB5"/>
    <w:rsid w:val="38D71401"/>
    <w:rsid w:val="38DB665C"/>
    <w:rsid w:val="38DD251F"/>
    <w:rsid w:val="38DE13F0"/>
    <w:rsid w:val="39027565"/>
    <w:rsid w:val="391C2899"/>
    <w:rsid w:val="395A4A24"/>
    <w:rsid w:val="396F0069"/>
    <w:rsid w:val="39904E64"/>
    <w:rsid w:val="399A7363"/>
    <w:rsid w:val="39DC1478"/>
    <w:rsid w:val="39E22B73"/>
    <w:rsid w:val="39E6170B"/>
    <w:rsid w:val="39F10553"/>
    <w:rsid w:val="3A035CD4"/>
    <w:rsid w:val="3A1A3591"/>
    <w:rsid w:val="3A4F198A"/>
    <w:rsid w:val="3A514DE4"/>
    <w:rsid w:val="3A690DF9"/>
    <w:rsid w:val="3A8020EA"/>
    <w:rsid w:val="3A9813DE"/>
    <w:rsid w:val="3AC9547A"/>
    <w:rsid w:val="3AED3481"/>
    <w:rsid w:val="3AF96796"/>
    <w:rsid w:val="3B0964ED"/>
    <w:rsid w:val="3B326D1A"/>
    <w:rsid w:val="3B505310"/>
    <w:rsid w:val="3B822912"/>
    <w:rsid w:val="3B873815"/>
    <w:rsid w:val="3B990F98"/>
    <w:rsid w:val="3B9D772A"/>
    <w:rsid w:val="3BA02B4E"/>
    <w:rsid w:val="3BB23508"/>
    <w:rsid w:val="3BBF6E72"/>
    <w:rsid w:val="3BC15D12"/>
    <w:rsid w:val="3BF10322"/>
    <w:rsid w:val="3C0337AE"/>
    <w:rsid w:val="3C0D43F7"/>
    <w:rsid w:val="3C234B4F"/>
    <w:rsid w:val="3C4A052D"/>
    <w:rsid w:val="3C4F1204"/>
    <w:rsid w:val="3C67262F"/>
    <w:rsid w:val="3CD04FD4"/>
    <w:rsid w:val="3CF96A52"/>
    <w:rsid w:val="3D006A28"/>
    <w:rsid w:val="3D1D385A"/>
    <w:rsid w:val="3D204C27"/>
    <w:rsid w:val="3D566151"/>
    <w:rsid w:val="3D5A62B4"/>
    <w:rsid w:val="3D6A4820"/>
    <w:rsid w:val="3D867C33"/>
    <w:rsid w:val="3D982B9C"/>
    <w:rsid w:val="3DF02F72"/>
    <w:rsid w:val="3E043549"/>
    <w:rsid w:val="3E112566"/>
    <w:rsid w:val="3E362625"/>
    <w:rsid w:val="3E4357A6"/>
    <w:rsid w:val="3E690E76"/>
    <w:rsid w:val="3EC14435"/>
    <w:rsid w:val="3EC1467C"/>
    <w:rsid w:val="3EC23511"/>
    <w:rsid w:val="3EC4412D"/>
    <w:rsid w:val="3ED410EB"/>
    <w:rsid w:val="3EE258C2"/>
    <w:rsid w:val="3EE76533"/>
    <w:rsid w:val="3EF47AB4"/>
    <w:rsid w:val="3EFA1FBB"/>
    <w:rsid w:val="3F0F49D0"/>
    <w:rsid w:val="3F1D262A"/>
    <w:rsid w:val="3F201C44"/>
    <w:rsid w:val="3F3E5A9B"/>
    <w:rsid w:val="3F3F0A74"/>
    <w:rsid w:val="3F400F95"/>
    <w:rsid w:val="3F405659"/>
    <w:rsid w:val="3F530F91"/>
    <w:rsid w:val="3F5A2794"/>
    <w:rsid w:val="3F652E05"/>
    <w:rsid w:val="3F751A29"/>
    <w:rsid w:val="3F8F130E"/>
    <w:rsid w:val="3FA0399D"/>
    <w:rsid w:val="3FAF3AEE"/>
    <w:rsid w:val="3FB876C0"/>
    <w:rsid w:val="3FCF4E4C"/>
    <w:rsid w:val="3FFA1502"/>
    <w:rsid w:val="40433C6D"/>
    <w:rsid w:val="40524A96"/>
    <w:rsid w:val="405921A9"/>
    <w:rsid w:val="4074630C"/>
    <w:rsid w:val="40B03E89"/>
    <w:rsid w:val="40B352C8"/>
    <w:rsid w:val="40D46ACE"/>
    <w:rsid w:val="40DC7785"/>
    <w:rsid w:val="40E107F4"/>
    <w:rsid w:val="40FE736E"/>
    <w:rsid w:val="41057C9B"/>
    <w:rsid w:val="41090804"/>
    <w:rsid w:val="412755BD"/>
    <w:rsid w:val="413A2410"/>
    <w:rsid w:val="41474753"/>
    <w:rsid w:val="414E2E44"/>
    <w:rsid w:val="416D1EE1"/>
    <w:rsid w:val="41771649"/>
    <w:rsid w:val="41833C3E"/>
    <w:rsid w:val="419434B5"/>
    <w:rsid w:val="41B97186"/>
    <w:rsid w:val="41BF7E5D"/>
    <w:rsid w:val="41CB228A"/>
    <w:rsid w:val="41D17A19"/>
    <w:rsid w:val="41EF4D2A"/>
    <w:rsid w:val="41F354C9"/>
    <w:rsid w:val="41F76057"/>
    <w:rsid w:val="42436046"/>
    <w:rsid w:val="42506478"/>
    <w:rsid w:val="42672BAA"/>
    <w:rsid w:val="426F47C3"/>
    <w:rsid w:val="428B0AB4"/>
    <w:rsid w:val="428B6F92"/>
    <w:rsid w:val="42CA08AB"/>
    <w:rsid w:val="42D13739"/>
    <w:rsid w:val="42DD463F"/>
    <w:rsid w:val="42FC4CE2"/>
    <w:rsid w:val="43057DD8"/>
    <w:rsid w:val="431D1AB5"/>
    <w:rsid w:val="43254901"/>
    <w:rsid w:val="43282690"/>
    <w:rsid w:val="432C33F8"/>
    <w:rsid w:val="432C4D53"/>
    <w:rsid w:val="43302100"/>
    <w:rsid w:val="43441284"/>
    <w:rsid w:val="435F68D1"/>
    <w:rsid w:val="4362320A"/>
    <w:rsid w:val="43683A23"/>
    <w:rsid w:val="436D6BD2"/>
    <w:rsid w:val="436E7F7D"/>
    <w:rsid w:val="43706BA1"/>
    <w:rsid w:val="43752570"/>
    <w:rsid w:val="43790837"/>
    <w:rsid w:val="438224CC"/>
    <w:rsid w:val="43995F39"/>
    <w:rsid w:val="43A55CA9"/>
    <w:rsid w:val="43AC23C9"/>
    <w:rsid w:val="43C046C9"/>
    <w:rsid w:val="43F52ECB"/>
    <w:rsid w:val="44111710"/>
    <w:rsid w:val="44116DDF"/>
    <w:rsid w:val="442211C8"/>
    <w:rsid w:val="44347262"/>
    <w:rsid w:val="443E1AC8"/>
    <w:rsid w:val="444019DB"/>
    <w:rsid w:val="4444288F"/>
    <w:rsid w:val="444C6351"/>
    <w:rsid w:val="44546983"/>
    <w:rsid w:val="44930D8B"/>
    <w:rsid w:val="44965090"/>
    <w:rsid w:val="44A20EAD"/>
    <w:rsid w:val="44A3548D"/>
    <w:rsid w:val="44B72665"/>
    <w:rsid w:val="44D05958"/>
    <w:rsid w:val="44E16ED6"/>
    <w:rsid w:val="44E8569F"/>
    <w:rsid w:val="44EA36A2"/>
    <w:rsid w:val="44EF50EA"/>
    <w:rsid w:val="450008A6"/>
    <w:rsid w:val="450D4160"/>
    <w:rsid w:val="453645D1"/>
    <w:rsid w:val="455A12D9"/>
    <w:rsid w:val="458060F6"/>
    <w:rsid w:val="458E1911"/>
    <w:rsid w:val="45BE7196"/>
    <w:rsid w:val="45F05143"/>
    <w:rsid w:val="45F13AC8"/>
    <w:rsid w:val="45FA4104"/>
    <w:rsid w:val="46002FBA"/>
    <w:rsid w:val="461F1208"/>
    <w:rsid w:val="463C1EE1"/>
    <w:rsid w:val="463D26C6"/>
    <w:rsid w:val="465A5CE3"/>
    <w:rsid w:val="46661ACE"/>
    <w:rsid w:val="466E0AC9"/>
    <w:rsid w:val="46733D05"/>
    <w:rsid w:val="46C02AFD"/>
    <w:rsid w:val="46CB4C46"/>
    <w:rsid w:val="46E35351"/>
    <w:rsid w:val="46E959DB"/>
    <w:rsid w:val="46F619DB"/>
    <w:rsid w:val="46FD249B"/>
    <w:rsid w:val="470A27C3"/>
    <w:rsid w:val="471734AF"/>
    <w:rsid w:val="47174CA9"/>
    <w:rsid w:val="47380C4A"/>
    <w:rsid w:val="47447224"/>
    <w:rsid w:val="4751299A"/>
    <w:rsid w:val="476004BE"/>
    <w:rsid w:val="476A067C"/>
    <w:rsid w:val="478B7E7C"/>
    <w:rsid w:val="47C77C52"/>
    <w:rsid w:val="47CD3318"/>
    <w:rsid w:val="47D36112"/>
    <w:rsid w:val="47D92BE3"/>
    <w:rsid w:val="47F73F54"/>
    <w:rsid w:val="47FF3332"/>
    <w:rsid w:val="480212AB"/>
    <w:rsid w:val="48027359"/>
    <w:rsid w:val="4803299C"/>
    <w:rsid w:val="48033126"/>
    <w:rsid w:val="480962F8"/>
    <w:rsid w:val="482113C4"/>
    <w:rsid w:val="482C385B"/>
    <w:rsid w:val="4830067E"/>
    <w:rsid w:val="48677BFC"/>
    <w:rsid w:val="48767ADA"/>
    <w:rsid w:val="487936A5"/>
    <w:rsid w:val="488526D8"/>
    <w:rsid w:val="48891F70"/>
    <w:rsid w:val="489B7F2B"/>
    <w:rsid w:val="489D3738"/>
    <w:rsid w:val="48DA66E1"/>
    <w:rsid w:val="48DB03B3"/>
    <w:rsid w:val="490816C4"/>
    <w:rsid w:val="492F20CA"/>
    <w:rsid w:val="49A1730B"/>
    <w:rsid w:val="49CE11CF"/>
    <w:rsid w:val="49D229F3"/>
    <w:rsid w:val="49D92F00"/>
    <w:rsid w:val="49E76B4D"/>
    <w:rsid w:val="4A0708E8"/>
    <w:rsid w:val="4A340FA6"/>
    <w:rsid w:val="4A5165FB"/>
    <w:rsid w:val="4A7125A4"/>
    <w:rsid w:val="4AA932CB"/>
    <w:rsid w:val="4ACA1E9E"/>
    <w:rsid w:val="4ADC1E06"/>
    <w:rsid w:val="4AEA79B9"/>
    <w:rsid w:val="4AEE089A"/>
    <w:rsid w:val="4B1B7C67"/>
    <w:rsid w:val="4B27320B"/>
    <w:rsid w:val="4B47347F"/>
    <w:rsid w:val="4B732656"/>
    <w:rsid w:val="4B780A86"/>
    <w:rsid w:val="4B7D3700"/>
    <w:rsid w:val="4B91163D"/>
    <w:rsid w:val="4B9C7EE6"/>
    <w:rsid w:val="4BA3274E"/>
    <w:rsid w:val="4BB61220"/>
    <w:rsid w:val="4BBE7F36"/>
    <w:rsid w:val="4BD20B53"/>
    <w:rsid w:val="4BED6927"/>
    <w:rsid w:val="4BF57B74"/>
    <w:rsid w:val="4BFD09ED"/>
    <w:rsid w:val="4C15282F"/>
    <w:rsid w:val="4C161E81"/>
    <w:rsid w:val="4C345AD4"/>
    <w:rsid w:val="4C38034B"/>
    <w:rsid w:val="4C3924AC"/>
    <w:rsid w:val="4C3C5793"/>
    <w:rsid w:val="4C44171A"/>
    <w:rsid w:val="4C5249E4"/>
    <w:rsid w:val="4C545601"/>
    <w:rsid w:val="4C7650BF"/>
    <w:rsid w:val="4C853D9F"/>
    <w:rsid w:val="4C88262E"/>
    <w:rsid w:val="4C8C776B"/>
    <w:rsid w:val="4C9478CA"/>
    <w:rsid w:val="4CBE09A6"/>
    <w:rsid w:val="4CC239AB"/>
    <w:rsid w:val="4CE74DA6"/>
    <w:rsid w:val="4D376461"/>
    <w:rsid w:val="4D790C63"/>
    <w:rsid w:val="4D7E3E25"/>
    <w:rsid w:val="4D7F3051"/>
    <w:rsid w:val="4D807194"/>
    <w:rsid w:val="4D811F1C"/>
    <w:rsid w:val="4D814D4A"/>
    <w:rsid w:val="4D9C79E3"/>
    <w:rsid w:val="4D9F0EB1"/>
    <w:rsid w:val="4DAB2E13"/>
    <w:rsid w:val="4DBB576A"/>
    <w:rsid w:val="4DC4211A"/>
    <w:rsid w:val="4DD11580"/>
    <w:rsid w:val="4DD97DAF"/>
    <w:rsid w:val="4DEC5C79"/>
    <w:rsid w:val="4DFE5697"/>
    <w:rsid w:val="4E012B0D"/>
    <w:rsid w:val="4E093721"/>
    <w:rsid w:val="4E105340"/>
    <w:rsid w:val="4E114C86"/>
    <w:rsid w:val="4E127759"/>
    <w:rsid w:val="4E174F2E"/>
    <w:rsid w:val="4E1D336E"/>
    <w:rsid w:val="4E293346"/>
    <w:rsid w:val="4E610A22"/>
    <w:rsid w:val="4E6A6E54"/>
    <w:rsid w:val="4E8A6875"/>
    <w:rsid w:val="4E8B7D7F"/>
    <w:rsid w:val="4E8E036E"/>
    <w:rsid w:val="4E8F2FDE"/>
    <w:rsid w:val="4E9C0C8B"/>
    <w:rsid w:val="4E9C6765"/>
    <w:rsid w:val="4EA52579"/>
    <w:rsid w:val="4EAC68F3"/>
    <w:rsid w:val="4EB44AD2"/>
    <w:rsid w:val="4EF2591B"/>
    <w:rsid w:val="4EF4658C"/>
    <w:rsid w:val="4EF95A66"/>
    <w:rsid w:val="4EFC02F4"/>
    <w:rsid w:val="4F07798B"/>
    <w:rsid w:val="4F215689"/>
    <w:rsid w:val="4F232E67"/>
    <w:rsid w:val="4F243251"/>
    <w:rsid w:val="4F29451C"/>
    <w:rsid w:val="4F2B6CFC"/>
    <w:rsid w:val="4F4D6BA5"/>
    <w:rsid w:val="4F5F1376"/>
    <w:rsid w:val="4F70140E"/>
    <w:rsid w:val="4F7A3D36"/>
    <w:rsid w:val="4F933C70"/>
    <w:rsid w:val="4F9C192E"/>
    <w:rsid w:val="4FAD47AB"/>
    <w:rsid w:val="4FAE7CB2"/>
    <w:rsid w:val="4FB40010"/>
    <w:rsid w:val="4FC366E7"/>
    <w:rsid w:val="4FC650D9"/>
    <w:rsid w:val="4FD740E6"/>
    <w:rsid w:val="4FE2746B"/>
    <w:rsid w:val="4FE536C0"/>
    <w:rsid w:val="4FF9120D"/>
    <w:rsid w:val="4FFB1A4D"/>
    <w:rsid w:val="50174804"/>
    <w:rsid w:val="505668F7"/>
    <w:rsid w:val="50567393"/>
    <w:rsid w:val="507F63E9"/>
    <w:rsid w:val="50967F7E"/>
    <w:rsid w:val="50A02484"/>
    <w:rsid w:val="50A266C0"/>
    <w:rsid w:val="50CB7737"/>
    <w:rsid w:val="50DC31A8"/>
    <w:rsid w:val="50E25B01"/>
    <w:rsid w:val="50E42A3A"/>
    <w:rsid w:val="50E73A05"/>
    <w:rsid w:val="50ED34C5"/>
    <w:rsid w:val="50F64804"/>
    <w:rsid w:val="5106422C"/>
    <w:rsid w:val="51234A1F"/>
    <w:rsid w:val="51322A8D"/>
    <w:rsid w:val="5132585B"/>
    <w:rsid w:val="51351BE8"/>
    <w:rsid w:val="514767E8"/>
    <w:rsid w:val="514A1FB9"/>
    <w:rsid w:val="51591468"/>
    <w:rsid w:val="517F16CD"/>
    <w:rsid w:val="518152E4"/>
    <w:rsid w:val="51815569"/>
    <w:rsid w:val="519350A6"/>
    <w:rsid w:val="519C2D2D"/>
    <w:rsid w:val="51BB243C"/>
    <w:rsid w:val="51C87EE4"/>
    <w:rsid w:val="51CF557E"/>
    <w:rsid w:val="51D22EB2"/>
    <w:rsid w:val="51D72070"/>
    <w:rsid w:val="51E061A1"/>
    <w:rsid w:val="51E27FCD"/>
    <w:rsid w:val="51EA5D3C"/>
    <w:rsid w:val="51F62227"/>
    <w:rsid w:val="51FA04C1"/>
    <w:rsid w:val="51FA239D"/>
    <w:rsid w:val="51FD5237"/>
    <w:rsid w:val="520305F7"/>
    <w:rsid w:val="52081080"/>
    <w:rsid w:val="521E0065"/>
    <w:rsid w:val="521F7917"/>
    <w:rsid w:val="52227A2A"/>
    <w:rsid w:val="52605F62"/>
    <w:rsid w:val="52806965"/>
    <w:rsid w:val="52924CE6"/>
    <w:rsid w:val="52AE4E78"/>
    <w:rsid w:val="52E40D12"/>
    <w:rsid w:val="5302703C"/>
    <w:rsid w:val="53545E4C"/>
    <w:rsid w:val="5359297B"/>
    <w:rsid w:val="535D0523"/>
    <w:rsid w:val="537200FA"/>
    <w:rsid w:val="53844984"/>
    <w:rsid w:val="539230C8"/>
    <w:rsid w:val="53B6661D"/>
    <w:rsid w:val="53C16CB6"/>
    <w:rsid w:val="53CC20AE"/>
    <w:rsid w:val="53D17D36"/>
    <w:rsid w:val="53D25B8D"/>
    <w:rsid w:val="53D54458"/>
    <w:rsid w:val="53E13A43"/>
    <w:rsid w:val="53F63A5B"/>
    <w:rsid w:val="53F933F4"/>
    <w:rsid w:val="54330DB9"/>
    <w:rsid w:val="544B1287"/>
    <w:rsid w:val="54517855"/>
    <w:rsid w:val="54526826"/>
    <w:rsid w:val="5458533D"/>
    <w:rsid w:val="54723681"/>
    <w:rsid w:val="549A0B1E"/>
    <w:rsid w:val="549D355D"/>
    <w:rsid w:val="54AD3355"/>
    <w:rsid w:val="54D579C0"/>
    <w:rsid w:val="54E4580A"/>
    <w:rsid w:val="54E64223"/>
    <w:rsid w:val="54F07385"/>
    <w:rsid w:val="54F71E24"/>
    <w:rsid w:val="551759DE"/>
    <w:rsid w:val="55375E0C"/>
    <w:rsid w:val="5561474F"/>
    <w:rsid w:val="55696219"/>
    <w:rsid w:val="556E3A84"/>
    <w:rsid w:val="557012B1"/>
    <w:rsid w:val="557A29D4"/>
    <w:rsid w:val="55884A28"/>
    <w:rsid w:val="558C5AF6"/>
    <w:rsid w:val="558D578F"/>
    <w:rsid w:val="55A334DF"/>
    <w:rsid w:val="55B24A68"/>
    <w:rsid w:val="55F63F27"/>
    <w:rsid w:val="55FC4016"/>
    <w:rsid w:val="561B179B"/>
    <w:rsid w:val="563275EC"/>
    <w:rsid w:val="5672005D"/>
    <w:rsid w:val="56887689"/>
    <w:rsid w:val="568B1CA2"/>
    <w:rsid w:val="56905D0C"/>
    <w:rsid w:val="56B1479D"/>
    <w:rsid w:val="56B43073"/>
    <w:rsid w:val="56C51C5B"/>
    <w:rsid w:val="56C86857"/>
    <w:rsid w:val="56D94E70"/>
    <w:rsid w:val="56DA7BB6"/>
    <w:rsid w:val="56DC112E"/>
    <w:rsid w:val="56F9341E"/>
    <w:rsid w:val="56FA57F3"/>
    <w:rsid w:val="57175B19"/>
    <w:rsid w:val="573B52A1"/>
    <w:rsid w:val="57407237"/>
    <w:rsid w:val="575A3F59"/>
    <w:rsid w:val="575C71A1"/>
    <w:rsid w:val="5792500D"/>
    <w:rsid w:val="5799310E"/>
    <w:rsid w:val="579D048A"/>
    <w:rsid w:val="57C83E10"/>
    <w:rsid w:val="57D720C5"/>
    <w:rsid w:val="580A1411"/>
    <w:rsid w:val="581B18D5"/>
    <w:rsid w:val="581B7414"/>
    <w:rsid w:val="581E495D"/>
    <w:rsid w:val="5822619F"/>
    <w:rsid w:val="5825184F"/>
    <w:rsid w:val="58295909"/>
    <w:rsid w:val="58497CF1"/>
    <w:rsid w:val="584C76FB"/>
    <w:rsid w:val="585A5CE5"/>
    <w:rsid w:val="585C5687"/>
    <w:rsid w:val="58796FC0"/>
    <w:rsid w:val="58C10BDC"/>
    <w:rsid w:val="58EC1756"/>
    <w:rsid w:val="58F40A71"/>
    <w:rsid w:val="58F703D8"/>
    <w:rsid w:val="590C17D5"/>
    <w:rsid w:val="590E27D5"/>
    <w:rsid w:val="59195D7D"/>
    <w:rsid w:val="59246B2D"/>
    <w:rsid w:val="5930270E"/>
    <w:rsid w:val="593B2784"/>
    <w:rsid w:val="59630BDE"/>
    <w:rsid w:val="5964244A"/>
    <w:rsid w:val="59737D55"/>
    <w:rsid w:val="5994792B"/>
    <w:rsid w:val="599E791B"/>
    <w:rsid w:val="59AC68EC"/>
    <w:rsid w:val="59AE080A"/>
    <w:rsid w:val="59B46A59"/>
    <w:rsid w:val="59F10141"/>
    <w:rsid w:val="59FC3FBE"/>
    <w:rsid w:val="5A0F694A"/>
    <w:rsid w:val="5A1D25C0"/>
    <w:rsid w:val="5A1D410A"/>
    <w:rsid w:val="5A2A3977"/>
    <w:rsid w:val="5A2C52C7"/>
    <w:rsid w:val="5A4E2E49"/>
    <w:rsid w:val="5A635DDE"/>
    <w:rsid w:val="5A683D38"/>
    <w:rsid w:val="5A85504F"/>
    <w:rsid w:val="5A86458C"/>
    <w:rsid w:val="5A9B4F5A"/>
    <w:rsid w:val="5A9B58D0"/>
    <w:rsid w:val="5AAA00EE"/>
    <w:rsid w:val="5B0D7D27"/>
    <w:rsid w:val="5B1A3F9C"/>
    <w:rsid w:val="5B3111C9"/>
    <w:rsid w:val="5B3F6DFB"/>
    <w:rsid w:val="5B5D6A2D"/>
    <w:rsid w:val="5B620E26"/>
    <w:rsid w:val="5B6B45E8"/>
    <w:rsid w:val="5B6D521A"/>
    <w:rsid w:val="5BBC4F05"/>
    <w:rsid w:val="5BF83A33"/>
    <w:rsid w:val="5BFD47CC"/>
    <w:rsid w:val="5C0A20B9"/>
    <w:rsid w:val="5C1A317F"/>
    <w:rsid w:val="5C2F7682"/>
    <w:rsid w:val="5C335FA8"/>
    <w:rsid w:val="5C6157FF"/>
    <w:rsid w:val="5C8F3F34"/>
    <w:rsid w:val="5CA96AF6"/>
    <w:rsid w:val="5CAF3971"/>
    <w:rsid w:val="5CBF0186"/>
    <w:rsid w:val="5CBF1E09"/>
    <w:rsid w:val="5CC523BE"/>
    <w:rsid w:val="5CC77913"/>
    <w:rsid w:val="5CD97586"/>
    <w:rsid w:val="5CF30EF8"/>
    <w:rsid w:val="5CFB3EEF"/>
    <w:rsid w:val="5D1033A7"/>
    <w:rsid w:val="5D267E6E"/>
    <w:rsid w:val="5D2861BC"/>
    <w:rsid w:val="5D2C7FD7"/>
    <w:rsid w:val="5D5F216B"/>
    <w:rsid w:val="5D6937F0"/>
    <w:rsid w:val="5D7B35CB"/>
    <w:rsid w:val="5D7D6B28"/>
    <w:rsid w:val="5D900478"/>
    <w:rsid w:val="5D9238E4"/>
    <w:rsid w:val="5D967631"/>
    <w:rsid w:val="5DA23AFF"/>
    <w:rsid w:val="5DAB1072"/>
    <w:rsid w:val="5DB02DB0"/>
    <w:rsid w:val="5DC4409C"/>
    <w:rsid w:val="5DC8035B"/>
    <w:rsid w:val="5DE27C1C"/>
    <w:rsid w:val="5DEC120C"/>
    <w:rsid w:val="5DEC505E"/>
    <w:rsid w:val="5DF44B1A"/>
    <w:rsid w:val="5E49669F"/>
    <w:rsid w:val="5EA37F75"/>
    <w:rsid w:val="5EBA7A7A"/>
    <w:rsid w:val="5EBD2A8B"/>
    <w:rsid w:val="5EDE1978"/>
    <w:rsid w:val="5EE0749D"/>
    <w:rsid w:val="5EE338B7"/>
    <w:rsid w:val="5EEA3F79"/>
    <w:rsid w:val="5EFE1C81"/>
    <w:rsid w:val="5F050868"/>
    <w:rsid w:val="5F0F0525"/>
    <w:rsid w:val="5F4156C1"/>
    <w:rsid w:val="5F5C4AB8"/>
    <w:rsid w:val="5F683681"/>
    <w:rsid w:val="5F6B207F"/>
    <w:rsid w:val="5F6F5774"/>
    <w:rsid w:val="5F744BB8"/>
    <w:rsid w:val="5F7A15A1"/>
    <w:rsid w:val="5F8E08C2"/>
    <w:rsid w:val="5FB2054C"/>
    <w:rsid w:val="5FCA4716"/>
    <w:rsid w:val="5FD24FFC"/>
    <w:rsid w:val="5FE25A3A"/>
    <w:rsid w:val="5FE43C0B"/>
    <w:rsid w:val="5FE85247"/>
    <w:rsid w:val="60061BAF"/>
    <w:rsid w:val="600A073A"/>
    <w:rsid w:val="60172E67"/>
    <w:rsid w:val="602264F3"/>
    <w:rsid w:val="60243C2E"/>
    <w:rsid w:val="604B0611"/>
    <w:rsid w:val="605B4D9F"/>
    <w:rsid w:val="608C6AE7"/>
    <w:rsid w:val="609726EA"/>
    <w:rsid w:val="60B303A5"/>
    <w:rsid w:val="60BD2209"/>
    <w:rsid w:val="60CE28B2"/>
    <w:rsid w:val="60D43772"/>
    <w:rsid w:val="60DE6614"/>
    <w:rsid w:val="60E1095A"/>
    <w:rsid w:val="60F326D0"/>
    <w:rsid w:val="60F93E75"/>
    <w:rsid w:val="61083DD4"/>
    <w:rsid w:val="610936A9"/>
    <w:rsid w:val="610F41BD"/>
    <w:rsid w:val="612148C5"/>
    <w:rsid w:val="61394E36"/>
    <w:rsid w:val="61523785"/>
    <w:rsid w:val="61624BE2"/>
    <w:rsid w:val="616F0AD4"/>
    <w:rsid w:val="617B746E"/>
    <w:rsid w:val="6183676A"/>
    <w:rsid w:val="61C611C4"/>
    <w:rsid w:val="61DA45CD"/>
    <w:rsid w:val="61ED7683"/>
    <w:rsid w:val="61F752D7"/>
    <w:rsid w:val="61FD75D0"/>
    <w:rsid w:val="620C0E63"/>
    <w:rsid w:val="6222203F"/>
    <w:rsid w:val="622B4980"/>
    <w:rsid w:val="623B1FC4"/>
    <w:rsid w:val="6242684C"/>
    <w:rsid w:val="625A681D"/>
    <w:rsid w:val="627651C8"/>
    <w:rsid w:val="628F5D40"/>
    <w:rsid w:val="62970BD7"/>
    <w:rsid w:val="62A12B73"/>
    <w:rsid w:val="62BD058B"/>
    <w:rsid w:val="62C06F9B"/>
    <w:rsid w:val="62CA3D28"/>
    <w:rsid w:val="62D62483"/>
    <w:rsid w:val="62D6425F"/>
    <w:rsid w:val="62DB7C73"/>
    <w:rsid w:val="62E123C8"/>
    <w:rsid w:val="62E416C5"/>
    <w:rsid w:val="62F66A1B"/>
    <w:rsid w:val="63015B92"/>
    <w:rsid w:val="6329124F"/>
    <w:rsid w:val="632F4E6E"/>
    <w:rsid w:val="633A7E34"/>
    <w:rsid w:val="633C574F"/>
    <w:rsid w:val="634D1C88"/>
    <w:rsid w:val="6350614E"/>
    <w:rsid w:val="635942DD"/>
    <w:rsid w:val="63800FCD"/>
    <w:rsid w:val="639A6E96"/>
    <w:rsid w:val="63CB1AB3"/>
    <w:rsid w:val="63D32A54"/>
    <w:rsid w:val="63DD3C48"/>
    <w:rsid w:val="63E315FF"/>
    <w:rsid w:val="63E702EB"/>
    <w:rsid w:val="6414229C"/>
    <w:rsid w:val="643E1A14"/>
    <w:rsid w:val="64445DE5"/>
    <w:rsid w:val="64694C1A"/>
    <w:rsid w:val="6499728C"/>
    <w:rsid w:val="64A33835"/>
    <w:rsid w:val="64AA7839"/>
    <w:rsid w:val="64D052FB"/>
    <w:rsid w:val="64DB5D01"/>
    <w:rsid w:val="64DC784D"/>
    <w:rsid w:val="64F03ECD"/>
    <w:rsid w:val="64F4321F"/>
    <w:rsid w:val="65165F77"/>
    <w:rsid w:val="652F1C95"/>
    <w:rsid w:val="6531463B"/>
    <w:rsid w:val="653D206E"/>
    <w:rsid w:val="6558012C"/>
    <w:rsid w:val="656015CD"/>
    <w:rsid w:val="656405BB"/>
    <w:rsid w:val="65755E9D"/>
    <w:rsid w:val="658E743E"/>
    <w:rsid w:val="65AD349C"/>
    <w:rsid w:val="65E5102F"/>
    <w:rsid w:val="65F22FB3"/>
    <w:rsid w:val="660C26AE"/>
    <w:rsid w:val="664A03AA"/>
    <w:rsid w:val="665B659E"/>
    <w:rsid w:val="66646E5E"/>
    <w:rsid w:val="66970374"/>
    <w:rsid w:val="669B13C3"/>
    <w:rsid w:val="66F538DA"/>
    <w:rsid w:val="6703647E"/>
    <w:rsid w:val="671A1657"/>
    <w:rsid w:val="671F5969"/>
    <w:rsid w:val="67246D70"/>
    <w:rsid w:val="675F5A77"/>
    <w:rsid w:val="677264C5"/>
    <w:rsid w:val="67B076D1"/>
    <w:rsid w:val="67B32EF9"/>
    <w:rsid w:val="67CD377F"/>
    <w:rsid w:val="6812737D"/>
    <w:rsid w:val="68153E41"/>
    <w:rsid w:val="68246D76"/>
    <w:rsid w:val="682E4B84"/>
    <w:rsid w:val="686D76C0"/>
    <w:rsid w:val="687D2044"/>
    <w:rsid w:val="68804067"/>
    <w:rsid w:val="68834071"/>
    <w:rsid w:val="689D6D62"/>
    <w:rsid w:val="68A06FD5"/>
    <w:rsid w:val="68B95918"/>
    <w:rsid w:val="690A1718"/>
    <w:rsid w:val="691224E9"/>
    <w:rsid w:val="69206E80"/>
    <w:rsid w:val="69394D4B"/>
    <w:rsid w:val="694875D5"/>
    <w:rsid w:val="69921AC9"/>
    <w:rsid w:val="69934CEA"/>
    <w:rsid w:val="69B50662"/>
    <w:rsid w:val="69CA6194"/>
    <w:rsid w:val="69DB2C1B"/>
    <w:rsid w:val="69FF4D34"/>
    <w:rsid w:val="6A5B426A"/>
    <w:rsid w:val="6A657488"/>
    <w:rsid w:val="6A6668A8"/>
    <w:rsid w:val="6A6B2A80"/>
    <w:rsid w:val="6A7E6396"/>
    <w:rsid w:val="6A92007A"/>
    <w:rsid w:val="6A9653B5"/>
    <w:rsid w:val="6AA81A7B"/>
    <w:rsid w:val="6AB63AC9"/>
    <w:rsid w:val="6AD82E4B"/>
    <w:rsid w:val="6AE11093"/>
    <w:rsid w:val="6AE17590"/>
    <w:rsid w:val="6AEB3393"/>
    <w:rsid w:val="6AED6B6D"/>
    <w:rsid w:val="6B2346BC"/>
    <w:rsid w:val="6B3F4400"/>
    <w:rsid w:val="6B5D53F9"/>
    <w:rsid w:val="6B607C5C"/>
    <w:rsid w:val="6B682C27"/>
    <w:rsid w:val="6B6C7BC0"/>
    <w:rsid w:val="6B780FF2"/>
    <w:rsid w:val="6B9702A7"/>
    <w:rsid w:val="6B997650"/>
    <w:rsid w:val="6BAD45E0"/>
    <w:rsid w:val="6BBE45B2"/>
    <w:rsid w:val="6BE0499F"/>
    <w:rsid w:val="6BF56CCD"/>
    <w:rsid w:val="6BF62DDE"/>
    <w:rsid w:val="6BFF137F"/>
    <w:rsid w:val="6C053A4B"/>
    <w:rsid w:val="6C0C14AB"/>
    <w:rsid w:val="6C157315"/>
    <w:rsid w:val="6C2D626C"/>
    <w:rsid w:val="6C301D0A"/>
    <w:rsid w:val="6C4C159F"/>
    <w:rsid w:val="6C5829F1"/>
    <w:rsid w:val="6C6B0756"/>
    <w:rsid w:val="6C956968"/>
    <w:rsid w:val="6CAA1CFE"/>
    <w:rsid w:val="6CE16718"/>
    <w:rsid w:val="6CE34040"/>
    <w:rsid w:val="6CE80F96"/>
    <w:rsid w:val="6CED10B3"/>
    <w:rsid w:val="6CFF00DA"/>
    <w:rsid w:val="6D17755B"/>
    <w:rsid w:val="6D3073C6"/>
    <w:rsid w:val="6D535020"/>
    <w:rsid w:val="6D5B4CE7"/>
    <w:rsid w:val="6D985E7F"/>
    <w:rsid w:val="6DC17E0B"/>
    <w:rsid w:val="6DE023C8"/>
    <w:rsid w:val="6DFF05C3"/>
    <w:rsid w:val="6E317227"/>
    <w:rsid w:val="6E547627"/>
    <w:rsid w:val="6E673D8B"/>
    <w:rsid w:val="6E744CAB"/>
    <w:rsid w:val="6E776B69"/>
    <w:rsid w:val="6E800B0E"/>
    <w:rsid w:val="6E8D57A4"/>
    <w:rsid w:val="6EC62E05"/>
    <w:rsid w:val="6EDB1E6E"/>
    <w:rsid w:val="6EFC21A8"/>
    <w:rsid w:val="6EFD6530"/>
    <w:rsid w:val="6F132006"/>
    <w:rsid w:val="6F2638D9"/>
    <w:rsid w:val="6F44184B"/>
    <w:rsid w:val="6F4A611B"/>
    <w:rsid w:val="6F571A8F"/>
    <w:rsid w:val="6F5967AC"/>
    <w:rsid w:val="6F710DB7"/>
    <w:rsid w:val="6F8D7609"/>
    <w:rsid w:val="6F9A394F"/>
    <w:rsid w:val="6F9D30E1"/>
    <w:rsid w:val="6FA36BF6"/>
    <w:rsid w:val="6FD7195D"/>
    <w:rsid w:val="6FD85334"/>
    <w:rsid w:val="6FE70C11"/>
    <w:rsid w:val="6FF061A0"/>
    <w:rsid w:val="6FF330E2"/>
    <w:rsid w:val="70036644"/>
    <w:rsid w:val="700C4914"/>
    <w:rsid w:val="70190B38"/>
    <w:rsid w:val="701F36FB"/>
    <w:rsid w:val="702C2747"/>
    <w:rsid w:val="702F3415"/>
    <w:rsid w:val="70420D36"/>
    <w:rsid w:val="70454CB8"/>
    <w:rsid w:val="7055396B"/>
    <w:rsid w:val="706E676D"/>
    <w:rsid w:val="70703E97"/>
    <w:rsid w:val="707F33DD"/>
    <w:rsid w:val="70836227"/>
    <w:rsid w:val="708C39F4"/>
    <w:rsid w:val="708C74F9"/>
    <w:rsid w:val="70915B2A"/>
    <w:rsid w:val="70A051C1"/>
    <w:rsid w:val="70AC6178"/>
    <w:rsid w:val="70B85CFB"/>
    <w:rsid w:val="70C3215D"/>
    <w:rsid w:val="70E3515D"/>
    <w:rsid w:val="71232BCC"/>
    <w:rsid w:val="7125265A"/>
    <w:rsid w:val="713364DE"/>
    <w:rsid w:val="713B37A6"/>
    <w:rsid w:val="71403EC4"/>
    <w:rsid w:val="71423C0D"/>
    <w:rsid w:val="717D0FDB"/>
    <w:rsid w:val="718A77FB"/>
    <w:rsid w:val="71952D11"/>
    <w:rsid w:val="71B80151"/>
    <w:rsid w:val="71D6753D"/>
    <w:rsid w:val="71D97362"/>
    <w:rsid w:val="71E01FA5"/>
    <w:rsid w:val="71E13181"/>
    <w:rsid w:val="71EE2EF7"/>
    <w:rsid w:val="720F62DE"/>
    <w:rsid w:val="72134B02"/>
    <w:rsid w:val="72287652"/>
    <w:rsid w:val="72C57698"/>
    <w:rsid w:val="72E639E1"/>
    <w:rsid w:val="72EB4ABB"/>
    <w:rsid w:val="72F8039F"/>
    <w:rsid w:val="732A0AED"/>
    <w:rsid w:val="73316A3B"/>
    <w:rsid w:val="735650C1"/>
    <w:rsid w:val="735F52AE"/>
    <w:rsid w:val="73B21CDC"/>
    <w:rsid w:val="73B35EB4"/>
    <w:rsid w:val="73D9426D"/>
    <w:rsid w:val="740D5C23"/>
    <w:rsid w:val="74207328"/>
    <w:rsid w:val="74315FF7"/>
    <w:rsid w:val="7466605D"/>
    <w:rsid w:val="749374C8"/>
    <w:rsid w:val="749D1097"/>
    <w:rsid w:val="74C35E83"/>
    <w:rsid w:val="74E7205E"/>
    <w:rsid w:val="74F84652"/>
    <w:rsid w:val="74F91BF5"/>
    <w:rsid w:val="75004AF5"/>
    <w:rsid w:val="75042FD1"/>
    <w:rsid w:val="75055E28"/>
    <w:rsid w:val="751332B1"/>
    <w:rsid w:val="751748D0"/>
    <w:rsid w:val="75236CF6"/>
    <w:rsid w:val="753627AC"/>
    <w:rsid w:val="753843CD"/>
    <w:rsid w:val="754F7AEE"/>
    <w:rsid w:val="75671555"/>
    <w:rsid w:val="75735611"/>
    <w:rsid w:val="75825A34"/>
    <w:rsid w:val="75991528"/>
    <w:rsid w:val="75B3140A"/>
    <w:rsid w:val="75BD0880"/>
    <w:rsid w:val="75BD29C1"/>
    <w:rsid w:val="75C161BF"/>
    <w:rsid w:val="75CF5661"/>
    <w:rsid w:val="75E65634"/>
    <w:rsid w:val="760D75C6"/>
    <w:rsid w:val="761E4BDE"/>
    <w:rsid w:val="762A170A"/>
    <w:rsid w:val="765816DC"/>
    <w:rsid w:val="76595F13"/>
    <w:rsid w:val="7669764E"/>
    <w:rsid w:val="767B5044"/>
    <w:rsid w:val="767E6B59"/>
    <w:rsid w:val="76815174"/>
    <w:rsid w:val="769D604E"/>
    <w:rsid w:val="76A018B1"/>
    <w:rsid w:val="76B31BBD"/>
    <w:rsid w:val="76C46D6F"/>
    <w:rsid w:val="76CF379E"/>
    <w:rsid w:val="76E77245"/>
    <w:rsid w:val="76F61609"/>
    <w:rsid w:val="770F58A0"/>
    <w:rsid w:val="771F6DA9"/>
    <w:rsid w:val="77553225"/>
    <w:rsid w:val="777349AC"/>
    <w:rsid w:val="777F30DE"/>
    <w:rsid w:val="7798366F"/>
    <w:rsid w:val="77A54B9E"/>
    <w:rsid w:val="77CC5DE3"/>
    <w:rsid w:val="77F55376"/>
    <w:rsid w:val="77F84529"/>
    <w:rsid w:val="781007A0"/>
    <w:rsid w:val="7822182D"/>
    <w:rsid w:val="784F4855"/>
    <w:rsid w:val="78631CA6"/>
    <w:rsid w:val="78703466"/>
    <w:rsid w:val="7874552D"/>
    <w:rsid w:val="78921279"/>
    <w:rsid w:val="78986F25"/>
    <w:rsid w:val="78C71CF9"/>
    <w:rsid w:val="78CC26F3"/>
    <w:rsid w:val="78DA268D"/>
    <w:rsid w:val="78EC4417"/>
    <w:rsid w:val="78F3522E"/>
    <w:rsid w:val="78FB2FEE"/>
    <w:rsid w:val="78FC72C9"/>
    <w:rsid w:val="78FF006C"/>
    <w:rsid w:val="79291C6E"/>
    <w:rsid w:val="79482222"/>
    <w:rsid w:val="794842DB"/>
    <w:rsid w:val="798A6ABA"/>
    <w:rsid w:val="7997527B"/>
    <w:rsid w:val="799956BD"/>
    <w:rsid w:val="79A23AC1"/>
    <w:rsid w:val="79A500A9"/>
    <w:rsid w:val="79B85A12"/>
    <w:rsid w:val="79CA4FD2"/>
    <w:rsid w:val="79F14121"/>
    <w:rsid w:val="79F75862"/>
    <w:rsid w:val="7A223609"/>
    <w:rsid w:val="7A252828"/>
    <w:rsid w:val="7A326307"/>
    <w:rsid w:val="7A350662"/>
    <w:rsid w:val="7A372B43"/>
    <w:rsid w:val="7A44480C"/>
    <w:rsid w:val="7A505612"/>
    <w:rsid w:val="7A5717E7"/>
    <w:rsid w:val="7A677EA2"/>
    <w:rsid w:val="7A710C7F"/>
    <w:rsid w:val="7A9413AE"/>
    <w:rsid w:val="7AB96681"/>
    <w:rsid w:val="7ABA1851"/>
    <w:rsid w:val="7AC2196B"/>
    <w:rsid w:val="7ACA09C8"/>
    <w:rsid w:val="7AE07EBB"/>
    <w:rsid w:val="7AE82733"/>
    <w:rsid w:val="7AEB441B"/>
    <w:rsid w:val="7B022228"/>
    <w:rsid w:val="7B1B45F0"/>
    <w:rsid w:val="7B364F1D"/>
    <w:rsid w:val="7B4B13F7"/>
    <w:rsid w:val="7B5465F3"/>
    <w:rsid w:val="7B663BB8"/>
    <w:rsid w:val="7B6F6B0A"/>
    <w:rsid w:val="7B731B95"/>
    <w:rsid w:val="7B7965F5"/>
    <w:rsid w:val="7B7C4CCB"/>
    <w:rsid w:val="7BAB345A"/>
    <w:rsid w:val="7BB01100"/>
    <w:rsid w:val="7BC519DE"/>
    <w:rsid w:val="7BFE67CE"/>
    <w:rsid w:val="7C0A31F8"/>
    <w:rsid w:val="7C370588"/>
    <w:rsid w:val="7C3776F2"/>
    <w:rsid w:val="7C555E33"/>
    <w:rsid w:val="7C6243DD"/>
    <w:rsid w:val="7C656B56"/>
    <w:rsid w:val="7CC00796"/>
    <w:rsid w:val="7CCF2277"/>
    <w:rsid w:val="7CD01390"/>
    <w:rsid w:val="7CE54C97"/>
    <w:rsid w:val="7CED707B"/>
    <w:rsid w:val="7CF20143"/>
    <w:rsid w:val="7CFC48B9"/>
    <w:rsid w:val="7D0F0EC3"/>
    <w:rsid w:val="7D164CC3"/>
    <w:rsid w:val="7D18425A"/>
    <w:rsid w:val="7D345172"/>
    <w:rsid w:val="7D6108FC"/>
    <w:rsid w:val="7D676D8D"/>
    <w:rsid w:val="7D70069E"/>
    <w:rsid w:val="7D7B6428"/>
    <w:rsid w:val="7D982F4B"/>
    <w:rsid w:val="7DA13EA4"/>
    <w:rsid w:val="7DA1452B"/>
    <w:rsid w:val="7DA419BD"/>
    <w:rsid w:val="7DA74F27"/>
    <w:rsid w:val="7DDF653D"/>
    <w:rsid w:val="7E122BD0"/>
    <w:rsid w:val="7E2A3353"/>
    <w:rsid w:val="7EC329DD"/>
    <w:rsid w:val="7EE24646"/>
    <w:rsid w:val="7F096AA5"/>
    <w:rsid w:val="7F5B1F7D"/>
    <w:rsid w:val="7F6D0E6B"/>
    <w:rsid w:val="7F7E3ED1"/>
    <w:rsid w:val="7F950FBD"/>
    <w:rsid w:val="7F956660"/>
    <w:rsid w:val="7FB718CB"/>
    <w:rsid w:val="7FC166D5"/>
    <w:rsid w:val="7FC770DA"/>
    <w:rsid w:val="7FCE3564"/>
    <w:rsid w:val="7FD34919"/>
    <w:rsid w:val="7FDF3485"/>
    <w:rsid w:val="7FE5589A"/>
    <w:rsid w:val="7FF813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qFormat="1" w:unhideWhenUsed="0" w:uiPriority="0" w:semiHidden="0" w:name="HTML Preformatted"/>
    <w:lsdException w:qFormat="1" w:uiPriority="99" w:semiHidden="0" w:name="HTML Sample"/>
    <w:lsdException w:unhideWhenUsed="0" w:uiPriority="0" w:semiHidden="0" w:name="HTML Typewriter"/>
    <w:lsdException w:qFormat="1" w:uiPriority="99"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24"/>
    <w:qFormat/>
    <w:uiPriority w:val="0"/>
    <w:pPr>
      <w:keepNext/>
      <w:widowControl/>
      <w:numPr>
        <w:ilvl w:val="0"/>
        <w:numId w:val="1"/>
      </w:numPr>
      <w:jc w:val="center"/>
      <w:outlineLvl w:val="0"/>
    </w:pPr>
    <w:rPr>
      <w:rFonts w:ascii="黑体" w:eastAsia="黑体"/>
      <w:kern w:val="0"/>
      <w:sz w:val="52"/>
      <w:szCs w:val="20"/>
    </w:rPr>
  </w:style>
  <w:style w:type="paragraph" w:styleId="5">
    <w:name w:val="heading 2"/>
    <w:basedOn w:val="1"/>
    <w:next w:val="1"/>
    <w:link w:val="94"/>
    <w:qFormat/>
    <w:uiPriority w:val="0"/>
    <w:pPr>
      <w:keepNext/>
      <w:keepLines/>
      <w:spacing w:before="260" w:after="260" w:line="413" w:lineRule="auto"/>
      <w:outlineLvl w:val="1"/>
    </w:pPr>
    <w:rPr>
      <w:rFonts w:ascii="Arial" w:hAnsi="Arial" w:eastAsia="黑体"/>
      <w:b/>
      <w:bCs/>
      <w:kern w:val="0"/>
      <w:sz w:val="32"/>
      <w:szCs w:val="32"/>
    </w:rPr>
  </w:style>
  <w:style w:type="paragraph" w:styleId="6">
    <w:name w:val="heading 3"/>
    <w:basedOn w:val="1"/>
    <w:next w:val="1"/>
    <w:link w:val="78"/>
    <w:qFormat/>
    <w:uiPriority w:val="0"/>
    <w:pPr>
      <w:keepNext/>
      <w:keepLines/>
      <w:spacing w:line="416" w:lineRule="auto"/>
      <w:outlineLvl w:val="2"/>
    </w:pPr>
    <w:rPr>
      <w:b/>
      <w:bCs/>
      <w:sz w:val="32"/>
      <w:szCs w:val="32"/>
    </w:rPr>
  </w:style>
  <w:style w:type="paragraph" w:styleId="7">
    <w:name w:val="heading 4"/>
    <w:basedOn w:val="1"/>
    <w:next w:val="1"/>
    <w:link w:val="68"/>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9"/>
    <w:link w:val="69"/>
    <w:qFormat/>
    <w:uiPriority w:val="0"/>
    <w:pPr>
      <w:keepNext/>
      <w:widowControl/>
      <w:spacing w:before="280" w:after="290" w:line="374" w:lineRule="auto"/>
      <w:outlineLvl w:val="4"/>
    </w:pPr>
    <w:rPr>
      <w:rFonts w:ascii="Calibri" w:hAnsi="Calibri"/>
      <w:b/>
      <w:bCs/>
      <w:kern w:val="0"/>
      <w:sz w:val="28"/>
      <w:szCs w:val="28"/>
    </w:rPr>
  </w:style>
  <w:style w:type="paragraph" w:styleId="10">
    <w:name w:val="heading 6"/>
    <w:basedOn w:val="1"/>
    <w:next w:val="1"/>
    <w:link w:val="70"/>
    <w:qFormat/>
    <w:uiPriority w:val="0"/>
    <w:pPr>
      <w:keepNext/>
      <w:widowControl/>
      <w:spacing w:before="240" w:after="64" w:line="319" w:lineRule="auto"/>
      <w:ind w:left="1152" w:hanging="1152"/>
      <w:jc w:val="left"/>
      <w:outlineLvl w:val="5"/>
    </w:pPr>
    <w:rPr>
      <w:rFonts w:ascii="Arial" w:hAnsi="Arial" w:cs="Arial"/>
      <w:b/>
      <w:bCs/>
      <w:kern w:val="0"/>
      <w:sz w:val="24"/>
    </w:rPr>
  </w:style>
  <w:style w:type="paragraph" w:styleId="11">
    <w:name w:val="heading 7"/>
    <w:basedOn w:val="1"/>
    <w:next w:val="1"/>
    <w:link w:val="71"/>
    <w:qFormat/>
    <w:uiPriority w:val="0"/>
    <w:pPr>
      <w:keepNext/>
      <w:widowControl/>
      <w:spacing w:before="240" w:after="64" w:line="319" w:lineRule="auto"/>
      <w:ind w:left="1296" w:hanging="1296"/>
      <w:jc w:val="left"/>
      <w:outlineLvl w:val="6"/>
    </w:pPr>
    <w:rPr>
      <w:rFonts w:ascii="Calibri" w:hAnsi="Calibri"/>
      <w:b/>
      <w:bCs/>
      <w:kern w:val="0"/>
      <w:sz w:val="24"/>
    </w:rPr>
  </w:style>
  <w:style w:type="paragraph" w:styleId="12">
    <w:name w:val="heading 8"/>
    <w:basedOn w:val="1"/>
    <w:next w:val="1"/>
    <w:link w:val="72"/>
    <w:qFormat/>
    <w:uiPriority w:val="0"/>
    <w:pPr>
      <w:keepNext/>
      <w:widowControl/>
      <w:spacing w:before="240" w:after="64" w:line="319" w:lineRule="auto"/>
      <w:ind w:left="1440" w:hanging="1440"/>
      <w:jc w:val="left"/>
      <w:outlineLvl w:val="7"/>
    </w:pPr>
    <w:rPr>
      <w:rFonts w:ascii="Arial" w:hAnsi="Arial" w:cs="Arial"/>
      <w:kern w:val="0"/>
      <w:sz w:val="24"/>
    </w:rPr>
  </w:style>
  <w:style w:type="paragraph" w:styleId="13">
    <w:name w:val="heading 9"/>
    <w:basedOn w:val="1"/>
    <w:next w:val="1"/>
    <w:link w:val="73"/>
    <w:qFormat/>
    <w:uiPriority w:val="0"/>
    <w:pPr>
      <w:keepNext/>
      <w:widowControl/>
      <w:spacing w:before="240" w:after="64" w:line="319" w:lineRule="auto"/>
      <w:ind w:left="1584" w:hanging="1584"/>
      <w:jc w:val="left"/>
      <w:outlineLvl w:val="8"/>
    </w:pPr>
    <w:rPr>
      <w:rFonts w:ascii="Arial" w:hAnsi="Arial" w:cs="Arial"/>
      <w:kern w:val="0"/>
      <w:szCs w:val="21"/>
    </w:rPr>
  </w:style>
  <w:style w:type="character" w:default="1" w:styleId="50">
    <w:name w:val="Default Paragraph Font"/>
    <w:semiHidden/>
    <w:unhideWhenUsed/>
    <w:qFormat/>
    <w:uiPriority w:val="1"/>
  </w:style>
  <w:style w:type="table" w:default="1" w:styleId="4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rPr>
      <w:szCs w:val="24"/>
    </w:rPr>
  </w:style>
  <w:style w:type="paragraph" w:styleId="3">
    <w:name w:val="Body Text Indent"/>
    <w:basedOn w:val="1"/>
    <w:link w:val="144"/>
    <w:qFormat/>
    <w:uiPriority w:val="0"/>
    <w:pPr>
      <w:spacing w:after="120"/>
      <w:ind w:left="420" w:leftChars="200"/>
    </w:pPr>
  </w:style>
  <w:style w:type="paragraph" w:styleId="9">
    <w:name w:val="Normal Indent"/>
    <w:basedOn w:val="1"/>
    <w:qFormat/>
    <w:uiPriority w:val="0"/>
    <w:pPr>
      <w:ind w:firstLine="420" w:firstLineChars="200"/>
    </w:pPr>
  </w:style>
  <w:style w:type="paragraph" w:styleId="14">
    <w:name w:val="toc 7"/>
    <w:basedOn w:val="1"/>
    <w:next w:val="1"/>
    <w:qFormat/>
    <w:uiPriority w:val="0"/>
    <w:pPr>
      <w:ind w:left="2520" w:leftChars="1200"/>
    </w:pPr>
    <w:rPr>
      <w:rFonts w:ascii="Calibri" w:hAnsi="Calibri"/>
    </w:rPr>
  </w:style>
  <w:style w:type="paragraph" w:styleId="15">
    <w:name w:val="Document Map"/>
    <w:basedOn w:val="1"/>
    <w:link w:val="237"/>
    <w:qFormat/>
    <w:uiPriority w:val="0"/>
    <w:pPr>
      <w:widowControl/>
    </w:pPr>
    <w:rPr>
      <w:rFonts w:ascii="宋体" w:hAnsi="宋体"/>
      <w:kern w:val="0"/>
      <w:sz w:val="20"/>
      <w:szCs w:val="20"/>
    </w:rPr>
  </w:style>
  <w:style w:type="paragraph" w:styleId="16">
    <w:name w:val="toa heading"/>
    <w:basedOn w:val="1"/>
    <w:next w:val="1"/>
    <w:qFormat/>
    <w:uiPriority w:val="0"/>
    <w:pPr>
      <w:spacing w:before="120"/>
    </w:pPr>
    <w:rPr>
      <w:rFonts w:ascii="Arial" w:hAnsi="Arial"/>
      <w:b/>
      <w:bCs/>
    </w:rPr>
  </w:style>
  <w:style w:type="paragraph" w:styleId="17">
    <w:name w:val="annotation text"/>
    <w:basedOn w:val="1"/>
    <w:link w:val="231"/>
    <w:qFormat/>
    <w:uiPriority w:val="0"/>
    <w:pPr>
      <w:jc w:val="left"/>
    </w:pPr>
  </w:style>
  <w:style w:type="paragraph" w:styleId="18">
    <w:name w:val="Body Text 3"/>
    <w:basedOn w:val="1"/>
    <w:link w:val="77"/>
    <w:qFormat/>
    <w:uiPriority w:val="0"/>
    <w:rPr>
      <w:rFonts w:ascii="宋体"/>
      <w:sz w:val="24"/>
      <w:szCs w:val="20"/>
    </w:rPr>
  </w:style>
  <w:style w:type="paragraph" w:styleId="19">
    <w:name w:val="Body Text"/>
    <w:basedOn w:val="1"/>
    <w:next w:val="1"/>
    <w:link w:val="177"/>
    <w:qFormat/>
    <w:uiPriority w:val="0"/>
    <w:pPr>
      <w:widowControl/>
      <w:spacing w:after="120"/>
    </w:pPr>
    <w:rPr>
      <w:rFonts w:ascii="宋体" w:hAnsi="宋体"/>
      <w:kern w:val="0"/>
      <w:sz w:val="20"/>
      <w:szCs w:val="20"/>
    </w:rPr>
  </w:style>
  <w:style w:type="paragraph" w:styleId="20">
    <w:name w:val="List 2"/>
    <w:basedOn w:val="1"/>
    <w:qFormat/>
    <w:uiPriority w:val="0"/>
    <w:pPr>
      <w:ind w:left="100" w:hanging="200"/>
    </w:pPr>
    <w:rPr>
      <w:rFonts w:ascii="Calibri" w:hAnsi="Calibri"/>
    </w:rPr>
  </w:style>
  <w:style w:type="paragraph" w:styleId="21">
    <w:name w:val="Block Text"/>
    <w:basedOn w:val="1"/>
    <w:qFormat/>
    <w:uiPriority w:val="0"/>
    <w:pPr>
      <w:adjustRightInd w:val="0"/>
      <w:ind w:left="420" w:right="33"/>
      <w:jc w:val="left"/>
      <w:textAlignment w:val="baseline"/>
    </w:pPr>
    <w:rPr>
      <w:rFonts w:ascii="Calibri" w:hAnsi="Calibri"/>
      <w:kern w:val="0"/>
      <w:sz w:val="24"/>
      <w:szCs w:val="20"/>
    </w:rPr>
  </w:style>
  <w:style w:type="paragraph" w:styleId="22">
    <w:name w:val="toc 5"/>
    <w:basedOn w:val="1"/>
    <w:next w:val="1"/>
    <w:qFormat/>
    <w:uiPriority w:val="0"/>
    <w:pPr>
      <w:ind w:left="1680" w:leftChars="800"/>
    </w:pPr>
    <w:rPr>
      <w:rFonts w:ascii="Calibri" w:hAnsi="Calibri"/>
    </w:rPr>
  </w:style>
  <w:style w:type="paragraph" w:styleId="23">
    <w:name w:val="toc 3"/>
    <w:basedOn w:val="1"/>
    <w:next w:val="1"/>
    <w:qFormat/>
    <w:uiPriority w:val="0"/>
    <w:pPr>
      <w:ind w:left="840" w:leftChars="400"/>
    </w:pPr>
    <w:rPr>
      <w:rFonts w:ascii="Calibri" w:hAnsi="Calibri"/>
    </w:rPr>
  </w:style>
  <w:style w:type="paragraph" w:styleId="24">
    <w:name w:val="Plain Text"/>
    <w:basedOn w:val="1"/>
    <w:link w:val="121"/>
    <w:qFormat/>
    <w:uiPriority w:val="0"/>
    <w:rPr>
      <w:rFonts w:ascii="宋体"/>
      <w:szCs w:val="21"/>
    </w:rPr>
  </w:style>
  <w:style w:type="paragraph" w:styleId="25">
    <w:name w:val="toc 8"/>
    <w:basedOn w:val="1"/>
    <w:next w:val="1"/>
    <w:qFormat/>
    <w:uiPriority w:val="0"/>
    <w:pPr>
      <w:ind w:left="2940" w:leftChars="1400"/>
    </w:pPr>
    <w:rPr>
      <w:rFonts w:ascii="Calibri" w:hAnsi="Calibri"/>
    </w:rPr>
  </w:style>
  <w:style w:type="paragraph" w:styleId="26">
    <w:name w:val="Date"/>
    <w:basedOn w:val="1"/>
    <w:next w:val="1"/>
    <w:link w:val="210"/>
    <w:qFormat/>
    <w:uiPriority w:val="0"/>
    <w:pPr>
      <w:widowControl/>
    </w:pPr>
    <w:rPr>
      <w:rFonts w:ascii="宋体" w:hAnsi="宋体"/>
      <w:kern w:val="0"/>
      <w:sz w:val="20"/>
      <w:szCs w:val="20"/>
    </w:rPr>
  </w:style>
  <w:style w:type="paragraph" w:styleId="27">
    <w:name w:val="Body Text Indent 2"/>
    <w:basedOn w:val="1"/>
    <w:link w:val="219"/>
    <w:qFormat/>
    <w:uiPriority w:val="0"/>
    <w:pPr>
      <w:widowControl/>
      <w:overflowPunct w:val="0"/>
      <w:autoSpaceDE w:val="0"/>
      <w:autoSpaceDN w:val="0"/>
      <w:adjustRightInd w:val="0"/>
      <w:spacing w:line="360" w:lineRule="auto"/>
      <w:ind w:firstLine="555"/>
      <w:textAlignment w:val="baseline"/>
    </w:pPr>
    <w:rPr>
      <w:rFonts w:ascii="宋体" w:hAnsi="MS Sans Serif"/>
      <w:spacing w:val="12"/>
      <w:kern w:val="0"/>
      <w:sz w:val="24"/>
      <w:szCs w:val="20"/>
    </w:rPr>
  </w:style>
  <w:style w:type="paragraph" w:styleId="28">
    <w:name w:val="endnote text"/>
    <w:basedOn w:val="1"/>
    <w:link w:val="165"/>
    <w:qFormat/>
    <w:uiPriority w:val="0"/>
    <w:pPr>
      <w:widowControl/>
      <w:snapToGrid w:val="0"/>
      <w:jc w:val="left"/>
    </w:pPr>
    <w:rPr>
      <w:rFonts w:ascii="Calibri" w:hAnsi="Calibri"/>
    </w:rPr>
  </w:style>
  <w:style w:type="paragraph" w:styleId="29">
    <w:name w:val="Balloon Text"/>
    <w:basedOn w:val="1"/>
    <w:link w:val="67"/>
    <w:qFormat/>
    <w:uiPriority w:val="0"/>
    <w:rPr>
      <w:sz w:val="18"/>
      <w:szCs w:val="18"/>
    </w:rPr>
  </w:style>
  <w:style w:type="paragraph" w:styleId="30">
    <w:name w:val="footer"/>
    <w:basedOn w:val="1"/>
    <w:link w:val="91"/>
    <w:qFormat/>
    <w:uiPriority w:val="99"/>
    <w:pPr>
      <w:tabs>
        <w:tab w:val="center" w:pos="4153"/>
        <w:tab w:val="right" w:pos="8306"/>
      </w:tabs>
      <w:snapToGrid w:val="0"/>
      <w:jc w:val="left"/>
    </w:pPr>
    <w:rPr>
      <w:sz w:val="18"/>
      <w:szCs w:val="18"/>
    </w:rPr>
  </w:style>
  <w:style w:type="paragraph" w:styleId="31">
    <w:name w:val="header"/>
    <w:basedOn w:val="1"/>
    <w:link w:val="136"/>
    <w:qFormat/>
    <w:uiPriority w:val="0"/>
    <w:pPr>
      <w:widowControl/>
      <w:snapToGrid w:val="0"/>
      <w:jc w:val="center"/>
    </w:pPr>
    <w:rPr>
      <w:kern w:val="0"/>
      <w:sz w:val="18"/>
      <w:szCs w:val="18"/>
    </w:rPr>
  </w:style>
  <w:style w:type="paragraph" w:styleId="32">
    <w:name w:val="toc 1"/>
    <w:basedOn w:val="1"/>
    <w:next w:val="1"/>
    <w:qFormat/>
    <w:uiPriority w:val="0"/>
    <w:pPr>
      <w:widowControl/>
      <w:spacing w:after="100" w:line="276" w:lineRule="auto"/>
      <w:jc w:val="left"/>
    </w:pPr>
    <w:rPr>
      <w:rFonts w:ascii="Calibri" w:hAnsi="Calibri" w:cs="宋体"/>
      <w:kern w:val="0"/>
      <w:sz w:val="22"/>
      <w:szCs w:val="22"/>
    </w:rPr>
  </w:style>
  <w:style w:type="paragraph" w:styleId="33">
    <w:name w:val="toc 4"/>
    <w:basedOn w:val="1"/>
    <w:next w:val="1"/>
    <w:qFormat/>
    <w:uiPriority w:val="0"/>
    <w:pPr>
      <w:ind w:left="1260" w:leftChars="600"/>
    </w:pPr>
    <w:rPr>
      <w:rFonts w:ascii="Calibri" w:hAnsi="Calibri"/>
    </w:rPr>
  </w:style>
  <w:style w:type="paragraph" w:styleId="34">
    <w:name w:val="Subtitle"/>
    <w:basedOn w:val="1"/>
    <w:link w:val="179"/>
    <w:qFormat/>
    <w:uiPriority w:val="0"/>
    <w:pPr>
      <w:widowControl/>
      <w:spacing w:before="240" w:after="60" w:line="312" w:lineRule="auto"/>
      <w:jc w:val="center"/>
    </w:pPr>
    <w:rPr>
      <w:rFonts w:ascii="Cambria" w:hAnsi="Cambria"/>
      <w:b/>
      <w:bCs/>
      <w:kern w:val="0"/>
      <w:sz w:val="20"/>
      <w:szCs w:val="20"/>
    </w:rPr>
  </w:style>
  <w:style w:type="paragraph" w:styleId="35">
    <w:name w:val="footnote text"/>
    <w:basedOn w:val="1"/>
    <w:link w:val="222"/>
    <w:qFormat/>
    <w:uiPriority w:val="0"/>
    <w:rPr>
      <w:rFonts w:ascii="Calibri" w:hAnsi="Calibri"/>
      <w:sz w:val="20"/>
      <w:szCs w:val="20"/>
    </w:rPr>
  </w:style>
  <w:style w:type="paragraph" w:styleId="36">
    <w:name w:val="toc 6"/>
    <w:basedOn w:val="1"/>
    <w:next w:val="1"/>
    <w:qFormat/>
    <w:uiPriority w:val="0"/>
    <w:pPr>
      <w:ind w:left="2100" w:leftChars="1000"/>
    </w:pPr>
    <w:rPr>
      <w:rFonts w:ascii="Calibri" w:hAnsi="Calibri"/>
    </w:rPr>
  </w:style>
  <w:style w:type="paragraph" w:styleId="37">
    <w:name w:val="Body Text Indent 3"/>
    <w:basedOn w:val="1"/>
    <w:link w:val="205"/>
    <w:qFormat/>
    <w:uiPriority w:val="0"/>
    <w:pPr>
      <w:widowControl/>
      <w:spacing w:after="120"/>
      <w:ind w:left="420"/>
    </w:pPr>
    <w:rPr>
      <w:rFonts w:ascii="宋体" w:hAnsi="宋体"/>
      <w:kern w:val="0"/>
      <w:sz w:val="20"/>
      <w:szCs w:val="20"/>
    </w:rPr>
  </w:style>
  <w:style w:type="paragraph" w:styleId="38">
    <w:name w:val="table of figures"/>
    <w:basedOn w:val="1"/>
    <w:next w:val="1"/>
    <w:qFormat/>
    <w:uiPriority w:val="0"/>
    <w:pPr>
      <w:ind w:left="200" w:leftChars="200" w:hanging="200" w:hangingChars="200"/>
    </w:pPr>
    <w:rPr>
      <w:rFonts w:ascii="Calibri" w:hAnsi="Calibri"/>
    </w:rPr>
  </w:style>
  <w:style w:type="paragraph" w:styleId="39">
    <w:name w:val="toc 2"/>
    <w:basedOn w:val="1"/>
    <w:next w:val="1"/>
    <w:qFormat/>
    <w:uiPriority w:val="0"/>
    <w:pPr>
      <w:ind w:left="420" w:leftChars="200"/>
    </w:pPr>
    <w:rPr>
      <w:rFonts w:ascii="Calibri" w:hAnsi="Calibri"/>
    </w:rPr>
  </w:style>
  <w:style w:type="paragraph" w:styleId="40">
    <w:name w:val="toc 9"/>
    <w:basedOn w:val="1"/>
    <w:next w:val="1"/>
    <w:qFormat/>
    <w:uiPriority w:val="0"/>
    <w:pPr>
      <w:ind w:left="3360" w:leftChars="1600"/>
    </w:pPr>
    <w:rPr>
      <w:rFonts w:ascii="Calibri" w:hAnsi="Calibri"/>
    </w:rPr>
  </w:style>
  <w:style w:type="paragraph" w:styleId="41">
    <w:name w:val="Body Text 2"/>
    <w:basedOn w:val="1"/>
    <w:link w:val="176"/>
    <w:qFormat/>
    <w:uiPriority w:val="0"/>
    <w:pPr>
      <w:widowControl/>
    </w:pPr>
    <w:rPr>
      <w:rFonts w:ascii="宋体" w:hAnsi="宋体"/>
      <w:kern w:val="0"/>
      <w:sz w:val="20"/>
      <w:szCs w:val="20"/>
    </w:rPr>
  </w:style>
  <w:style w:type="paragraph" w:styleId="42">
    <w:name w:val="HTML Preformatted"/>
    <w:basedOn w:val="1"/>
    <w:link w:val="17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84" w:lineRule="auto"/>
      <w:jc w:val="left"/>
    </w:pPr>
    <w:rPr>
      <w:rFonts w:ascii="宋体" w:hAnsi="宋体" w:cs="宋体"/>
      <w:kern w:val="0"/>
      <w:sz w:val="20"/>
      <w:szCs w:val="20"/>
    </w:rPr>
  </w:style>
  <w:style w:type="paragraph" w:styleId="43">
    <w:name w:val="Normal (Web)"/>
    <w:basedOn w:val="1"/>
    <w:next w:val="30"/>
    <w:qFormat/>
    <w:uiPriority w:val="0"/>
    <w:pPr>
      <w:widowControl/>
      <w:spacing w:beforeAutospacing="1" w:afterAutospacing="1"/>
      <w:jc w:val="left"/>
    </w:pPr>
    <w:rPr>
      <w:rFonts w:ascii="宋体" w:hAnsi="宋体" w:cs="宋体"/>
      <w:kern w:val="0"/>
      <w:sz w:val="24"/>
    </w:rPr>
  </w:style>
  <w:style w:type="paragraph" w:styleId="44">
    <w:name w:val="index 1"/>
    <w:basedOn w:val="1"/>
    <w:next w:val="1"/>
    <w:qFormat/>
    <w:uiPriority w:val="0"/>
    <w:rPr>
      <w:rFonts w:ascii="Calibri" w:hAnsi="Calibri"/>
      <w:szCs w:val="20"/>
    </w:rPr>
  </w:style>
  <w:style w:type="paragraph" w:styleId="45">
    <w:name w:val="Title"/>
    <w:basedOn w:val="1"/>
    <w:link w:val="189"/>
    <w:qFormat/>
    <w:uiPriority w:val="0"/>
    <w:pPr>
      <w:widowControl/>
      <w:spacing w:before="240" w:after="60"/>
      <w:jc w:val="center"/>
    </w:pPr>
    <w:rPr>
      <w:rFonts w:ascii="Cambria" w:hAnsi="Cambria"/>
      <w:b/>
      <w:bCs/>
      <w:kern w:val="0"/>
      <w:sz w:val="20"/>
      <w:szCs w:val="20"/>
    </w:rPr>
  </w:style>
  <w:style w:type="paragraph" w:styleId="46">
    <w:name w:val="annotation subject"/>
    <w:basedOn w:val="17"/>
    <w:next w:val="17"/>
    <w:link w:val="232"/>
    <w:qFormat/>
    <w:uiPriority w:val="0"/>
    <w:pPr>
      <w:widowControl/>
    </w:pPr>
    <w:rPr>
      <w:b/>
      <w:bCs/>
      <w:kern w:val="0"/>
      <w:sz w:val="20"/>
      <w:szCs w:val="20"/>
    </w:rPr>
  </w:style>
  <w:style w:type="paragraph" w:styleId="47">
    <w:name w:val="Body Text First Indent"/>
    <w:basedOn w:val="19"/>
    <w:link w:val="251"/>
    <w:qFormat/>
    <w:uiPriority w:val="0"/>
    <w:pPr>
      <w:widowControl w:val="0"/>
      <w:ind w:firstLine="420" w:firstLineChars="100"/>
    </w:pPr>
    <w:rPr>
      <w:rFonts w:eastAsia="仿宋_GB2312"/>
      <w:spacing w:val="-20"/>
      <w:kern w:val="2"/>
      <w:sz w:val="21"/>
      <w:szCs w:val="24"/>
    </w:rPr>
  </w:style>
  <w:style w:type="table" w:styleId="49">
    <w:name w:val="Table Grid"/>
    <w:basedOn w:val="4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1">
    <w:name w:val="Strong"/>
    <w:basedOn w:val="50"/>
    <w:qFormat/>
    <w:uiPriority w:val="0"/>
    <w:rPr>
      <w:b/>
      <w:bCs/>
    </w:rPr>
  </w:style>
  <w:style w:type="character" w:styleId="52">
    <w:name w:val="page number"/>
    <w:basedOn w:val="50"/>
    <w:qFormat/>
    <w:uiPriority w:val="0"/>
  </w:style>
  <w:style w:type="character" w:styleId="53">
    <w:name w:val="FollowedHyperlink"/>
    <w:qFormat/>
    <w:uiPriority w:val="0"/>
    <w:rPr>
      <w:rFonts w:cs="Times New Roman"/>
      <w:color w:val="800080"/>
      <w:u w:val="single"/>
    </w:rPr>
  </w:style>
  <w:style w:type="character" w:styleId="54">
    <w:name w:val="Emphasis"/>
    <w:qFormat/>
    <w:uiPriority w:val="0"/>
  </w:style>
  <w:style w:type="character" w:styleId="55">
    <w:name w:val="HTML Definition"/>
    <w:unhideWhenUsed/>
    <w:qFormat/>
    <w:uiPriority w:val="99"/>
  </w:style>
  <w:style w:type="character" w:styleId="56">
    <w:name w:val="HTML Variable"/>
    <w:unhideWhenUsed/>
    <w:qFormat/>
    <w:uiPriority w:val="99"/>
  </w:style>
  <w:style w:type="character" w:styleId="57">
    <w:name w:val="Hyperlink"/>
    <w:qFormat/>
    <w:uiPriority w:val="0"/>
    <w:rPr>
      <w:color w:val="0000FF"/>
      <w:u w:val="none"/>
    </w:rPr>
  </w:style>
  <w:style w:type="character" w:styleId="58">
    <w:name w:val="HTML Code"/>
    <w:unhideWhenUsed/>
    <w:qFormat/>
    <w:uiPriority w:val="99"/>
    <w:rPr>
      <w:rFonts w:hint="default" w:ascii="Courier New" w:hAnsi="Courier New" w:eastAsia="Courier New" w:cs="Courier New"/>
      <w:sz w:val="20"/>
    </w:rPr>
  </w:style>
  <w:style w:type="character" w:styleId="59">
    <w:name w:val="annotation reference"/>
    <w:qFormat/>
    <w:uiPriority w:val="0"/>
    <w:rPr>
      <w:sz w:val="21"/>
      <w:szCs w:val="21"/>
    </w:rPr>
  </w:style>
  <w:style w:type="character" w:styleId="60">
    <w:name w:val="HTML Cite"/>
    <w:unhideWhenUsed/>
    <w:qFormat/>
    <w:uiPriority w:val="99"/>
  </w:style>
  <w:style w:type="character" w:styleId="61">
    <w:name w:val="footnote reference"/>
    <w:qFormat/>
    <w:uiPriority w:val="0"/>
    <w:rPr>
      <w:vertAlign w:val="superscript"/>
    </w:rPr>
  </w:style>
  <w:style w:type="character" w:styleId="62">
    <w:name w:val="HTML Keyboard"/>
    <w:unhideWhenUsed/>
    <w:qFormat/>
    <w:uiPriority w:val="99"/>
    <w:rPr>
      <w:rFonts w:ascii="Courier New" w:hAnsi="Courier New" w:eastAsia="Courier New" w:cs="Courier New"/>
      <w:sz w:val="20"/>
    </w:rPr>
  </w:style>
  <w:style w:type="character" w:styleId="63">
    <w:name w:val="HTML Sample"/>
    <w:unhideWhenUsed/>
    <w:qFormat/>
    <w:uiPriority w:val="99"/>
    <w:rPr>
      <w:rFonts w:hint="default" w:ascii="Courier New" w:hAnsi="Courier New" w:eastAsia="Courier New" w:cs="Courier New"/>
    </w:rPr>
  </w:style>
  <w:style w:type="paragraph" w:customStyle="1" w:styleId="64">
    <w:name w:val="列出段落2"/>
    <w:basedOn w:val="1"/>
    <w:qFormat/>
    <w:uiPriority w:val="34"/>
    <w:pPr>
      <w:ind w:firstLine="420" w:firstLineChars="200"/>
    </w:pPr>
    <w:rPr>
      <w:sz w:val="24"/>
    </w:rPr>
  </w:style>
  <w:style w:type="paragraph" w:customStyle="1" w:styleId="65">
    <w:name w:val="目录"/>
    <w:basedOn w:val="1"/>
    <w:qFormat/>
    <w:uiPriority w:val="0"/>
    <w:pPr>
      <w:widowControl/>
      <w:jc w:val="center"/>
    </w:pPr>
    <w:rPr>
      <w:rFonts w:ascii="宋体"/>
      <w:b/>
      <w:kern w:val="0"/>
      <w:sz w:val="36"/>
      <w:szCs w:val="20"/>
    </w:rPr>
  </w:style>
  <w:style w:type="paragraph" w:customStyle="1" w:styleId="66">
    <w:name w:val="WPSOffice手动目录 1"/>
    <w:qFormat/>
    <w:uiPriority w:val="0"/>
    <w:rPr>
      <w:rFonts w:ascii="Times New Roman" w:hAnsi="Times New Roman" w:eastAsia="宋体" w:cs="Times New Roman"/>
      <w:lang w:val="en-US" w:eastAsia="zh-CN" w:bidi="ar-SA"/>
    </w:rPr>
  </w:style>
  <w:style w:type="character" w:customStyle="1" w:styleId="67">
    <w:name w:val="批注框文本 Char"/>
    <w:basedOn w:val="50"/>
    <w:link w:val="29"/>
    <w:qFormat/>
    <w:uiPriority w:val="0"/>
    <w:rPr>
      <w:kern w:val="2"/>
      <w:sz w:val="18"/>
      <w:szCs w:val="18"/>
    </w:rPr>
  </w:style>
  <w:style w:type="character" w:customStyle="1" w:styleId="68">
    <w:name w:val="标题 4 Char"/>
    <w:basedOn w:val="50"/>
    <w:link w:val="7"/>
    <w:qFormat/>
    <w:uiPriority w:val="0"/>
    <w:rPr>
      <w:rFonts w:ascii="Arial" w:hAnsi="Arial" w:eastAsia="黑体"/>
      <w:b/>
      <w:bCs/>
      <w:kern w:val="2"/>
      <w:sz w:val="28"/>
      <w:szCs w:val="28"/>
    </w:rPr>
  </w:style>
  <w:style w:type="character" w:customStyle="1" w:styleId="69">
    <w:name w:val="标题 5 Char"/>
    <w:basedOn w:val="50"/>
    <w:link w:val="8"/>
    <w:qFormat/>
    <w:uiPriority w:val="0"/>
    <w:rPr>
      <w:rFonts w:ascii="Calibri" w:hAnsi="Calibri"/>
      <w:b/>
      <w:bCs/>
      <w:sz w:val="28"/>
      <w:szCs w:val="28"/>
    </w:rPr>
  </w:style>
  <w:style w:type="character" w:customStyle="1" w:styleId="70">
    <w:name w:val="标题 6 Char"/>
    <w:basedOn w:val="50"/>
    <w:link w:val="10"/>
    <w:qFormat/>
    <w:uiPriority w:val="0"/>
    <w:rPr>
      <w:rFonts w:ascii="Arial" w:hAnsi="Arial" w:cs="Arial"/>
      <w:b/>
      <w:bCs/>
      <w:sz w:val="24"/>
      <w:szCs w:val="24"/>
    </w:rPr>
  </w:style>
  <w:style w:type="character" w:customStyle="1" w:styleId="71">
    <w:name w:val="标题 7 Char"/>
    <w:basedOn w:val="50"/>
    <w:link w:val="11"/>
    <w:qFormat/>
    <w:uiPriority w:val="0"/>
    <w:rPr>
      <w:rFonts w:ascii="Calibri" w:hAnsi="Calibri"/>
      <w:b/>
      <w:bCs/>
      <w:sz w:val="24"/>
      <w:szCs w:val="24"/>
    </w:rPr>
  </w:style>
  <w:style w:type="character" w:customStyle="1" w:styleId="72">
    <w:name w:val="标题 8 Char"/>
    <w:basedOn w:val="50"/>
    <w:link w:val="12"/>
    <w:qFormat/>
    <w:uiPriority w:val="0"/>
    <w:rPr>
      <w:rFonts w:ascii="Arial" w:hAnsi="Arial" w:cs="Arial"/>
      <w:sz w:val="24"/>
      <w:szCs w:val="24"/>
    </w:rPr>
  </w:style>
  <w:style w:type="character" w:customStyle="1" w:styleId="73">
    <w:name w:val="标题 9 Char"/>
    <w:basedOn w:val="50"/>
    <w:link w:val="13"/>
    <w:qFormat/>
    <w:uiPriority w:val="0"/>
    <w:rPr>
      <w:rFonts w:ascii="Arial" w:hAnsi="Arial" w:cs="Arial"/>
      <w:sz w:val="21"/>
      <w:szCs w:val="21"/>
    </w:rPr>
  </w:style>
  <w:style w:type="character" w:customStyle="1" w:styleId="74">
    <w:name w:val="普通文字 Char1"/>
    <w:qFormat/>
    <w:uiPriority w:val="0"/>
    <w:rPr>
      <w:rFonts w:ascii="宋体" w:hAnsi="Courier New" w:cs="Courier New"/>
      <w:kern w:val="2"/>
      <w:sz w:val="21"/>
      <w:szCs w:val="21"/>
    </w:rPr>
  </w:style>
  <w:style w:type="character" w:customStyle="1" w:styleId="75">
    <w:name w:val="ꌢ 2 Char"/>
    <w:link w:val="76"/>
    <w:qFormat/>
    <w:uiPriority w:val="0"/>
    <w:rPr>
      <w:rFonts w:ascii="Arial" w:hAnsi="Arial"/>
      <w:b/>
      <w:bCs/>
    </w:rPr>
  </w:style>
  <w:style w:type="paragraph" w:customStyle="1" w:styleId="76">
    <w:name w:val="ꌢ 2"/>
    <w:basedOn w:val="1"/>
    <w:link w:val="75"/>
    <w:qFormat/>
    <w:uiPriority w:val="0"/>
    <w:pPr>
      <w:widowControl/>
    </w:pPr>
    <w:rPr>
      <w:rFonts w:ascii="Arial" w:hAnsi="Arial"/>
      <w:b/>
      <w:bCs/>
      <w:kern w:val="0"/>
      <w:sz w:val="20"/>
      <w:szCs w:val="20"/>
    </w:rPr>
  </w:style>
  <w:style w:type="character" w:customStyle="1" w:styleId="77">
    <w:name w:val="正文文本 3 Char"/>
    <w:link w:val="18"/>
    <w:qFormat/>
    <w:uiPriority w:val="0"/>
    <w:rPr>
      <w:rFonts w:ascii="宋体"/>
      <w:kern w:val="2"/>
      <w:sz w:val="24"/>
    </w:rPr>
  </w:style>
  <w:style w:type="character" w:customStyle="1" w:styleId="78">
    <w:name w:val="标题 3 Char"/>
    <w:link w:val="6"/>
    <w:qFormat/>
    <w:uiPriority w:val="0"/>
    <w:rPr>
      <w:b/>
      <w:bCs/>
      <w:kern w:val="2"/>
      <w:sz w:val="32"/>
      <w:szCs w:val="32"/>
    </w:rPr>
  </w:style>
  <w:style w:type="character" w:customStyle="1" w:styleId="79">
    <w:name w:val="引用 Char"/>
    <w:qFormat/>
    <w:uiPriority w:val="0"/>
    <w:rPr>
      <w:i/>
      <w:iCs/>
      <w:color w:val="000000"/>
      <w:kern w:val="2"/>
      <w:sz w:val="21"/>
      <w:szCs w:val="24"/>
    </w:rPr>
  </w:style>
  <w:style w:type="character" w:customStyle="1" w:styleId="80">
    <w:name w:val="Char Char5"/>
    <w:qFormat/>
    <w:uiPriority w:val="0"/>
    <w:rPr>
      <w:rFonts w:ascii="Times New Roman" w:hAnsi="Times New Roman" w:cs="Times New Roman"/>
      <w:sz w:val="24"/>
    </w:rPr>
  </w:style>
  <w:style w:type="character" w:customStyle="1" w:styleId="81">
    <w:name w:val="副标题 Char"/>
    <w:link w:val="34"/>
    <w:qFormat/>
    <w:uiPriority w:val="0"/>
    <w:rPr>
      <w:rFonts w:ascii="Cambria" w:hAnsi="Cambria"/>
      <w:b/>
      <w:bCs/>
    </w:rPr>
  </w:style>
  <w:style w:type="character" w:customStyle="1" w:styleId="82">
    <w:name w:val="Char Char2"/>
    <w:qFormat/>
    <w:uiPriority w:val="0"/>
    <w:rPr>
      <w:rFonts w:eastAsia="宋体"/>
      <w:kern w:val="2"/>
      <w:sz w:val="21"/>
      <w:szCs w:val="24"/>
      <w:lang w:val="en-US" w:eastAsia="zh-CN" w:bidi="ar-SA"/>
    </w:rPr>
  </w:style>
  <w:style w:type="character" w:customStyle="1" w:styleId="83">
    <w:name w:val="font161"/>
    <w:qFormat/>
    <w:uiPriority w:val="0"/>
    <w:rPr>
      <w:b/>
      <w:bCs/>
      <w:sz w:val="32"/>
      <w:szCs w:val="32"/>
    </w:rPr>
  </w:style>
  <w:style w:type="character" w:customStyle="1" w:styleId="84">
    <w:name w:val="Body Text Indent Char1"/>
    <w:qFormat/>
    <w:uiPriority w:val="0"/>
    <w:rPr>
      <w:rFonts w:ascii="Times New Roman" w:hAnsi="Times New Roman"/>
      <w:szCs w:val="21"/>
    </w:rPr>
  </w:style>
  <w:style w:type="character" w:customStyle="1" w:styleId="85">
    <w:name w:val="Char Char"/>
    <w:qFormat/>
    <w:uiPriority w:val="0"/>
    <w:rPr>
      <w:rFonts w:ascii="Arial" w:hAnsi="Arial" w:eastAsia="黑体"/>
      <w:b/>
      <w:bCs/>
      <w:kern w:val="2"/>
      <w:sz w:val="32"/>
      <w:szCs w:val="32"/>
      <w:lang w:val="en-US" w:eastAsia="zh-CN" w:bidi="ar-SA"/>
    </w:rPr>
  </w:style>
  <w:style w:type="character" w:customStyle="1" w:styleId="86">
    <w:name w:val="正文文字4 Char Char"/>
    <w:qFormat/>
    <w:uiPriority w:val="0"/>
    <w:rPr>
      <w:kern w:val="2"/>
      <w:sz w:val="21"/>
      <w:szCs w:val="24"/>
    </w:rPr>
  </w:style>
  <w:style w:type="character" w:customStyle="1" w:styleId="87">
    <w:name w:val="标题 3 Char Char"/>
    <w:qFormat/>
    <w:uiPriority w:val="0"/>
    <w:rPr>
      <w:rFonts w:eastAsia="黑体"/>
      <w:b/>
      <w:kern w:val="2"/>
      <w:sz w:val="28"/>
      <w:lang w:val="en-US" w:eastAsia="zh-CN" w:bidi="ar-SA"/>
    </w:rPr>
  </w:style>
  <w:style w:type="character" w:customStyle="1" w:styleId="88">
    <w:name w:val="Body Text Indent 3 Char1"/>
    <w:qFormat/>
    <w:uiPriority w:val="0"/>
    <w:rPr>
      <w:rFonts w:ascii="Times New Roman" w:hAnsi="Times New Roman"/>
      <w:sz w:val="16"/>
      <w:szCs w:val="16"/>
    </w:rPr>
  </w:style>
  <w:style w:type="character" w:customStyle="1" w:styleId="89">
    <w:name w:val="普通(网站) Char Char"/>
    <w:link w:val="90"/>
    <w:qFormat/>
    <w:uiPriority w:val="0"/>
    <w:rPr>
      <w:rFonts w:ascii="宋体" w:hAnsi="宋体"/>
      <w:sz w:val="24"/>
    </w:rPr>
  </w:style>
  <w:style w:type="paragraph" w:customStyle="1" w:styleId="90">
    <w:name w:val="普通(网站)1"/>
    <w:basedOn w:val="1"/>
    <w:link w:val="89"/>
    <w:qFormat/>
    <w:uiPriority w:val="0"/>
    <w:pPr>
      <w:widowControl/>
      <w:spacing w:before="100" w:beforeAutospacing="1" w:after="100" w:afterAutospacing="1" w:line="360" w:lineRule="auto"/>
      <w:ind w:firstLine="420" w:firstLineChars="200"/>
      <w:jc w:val="left"/>
    </w:pPr>
    <w:rPr>
      <w:rFonts w:ascii="宋体" w:hAnsi="宋体"/>
      <w:kern w:val="0"/>
      <w:sz w:val="24"/>
      <w:szCs w:val="20"/>
    </w:rPr>
  </w:style>
  <w:style w:type="character" w:customStyle="1" w:styleId="91">
    <w:name w:val="页脚 Char"/>
    <w:link w:val="30"/>
    <w:qFormat/>
    <w:uiPriority w:val="99"/>
    <w:rPr>
      <w:kern w:val="2"/>
      <w:sz w:val="18"/>
      <w:szCs w:val="18"/>
    </w:rPr>
  </w:style>
  <w:style w:type="character" w:customStyle="1" w:styleId="92">
    <w:name w:val="普通(网站) Char"/>
    <w:qFormat/>
    <w:uiPriority w:val="0"/>
    <w:rPr>
      <w:rFonts w:ascii="宋体" w:eastAsia="宋体"/>
      <w:sz w:val="24"/>
      <w:szCs w:val="24"/>
      <w:lang w:bidi="ar-SA"/>
    </w:rPr>
  </w:style>
  <w:style w:type="character" w:customStyle="1" w:styleId="93">
    <w:name w:val="style11"/>
    <w:qFormat/>
    <w:uiPriority w:val="0"/>
  </w:style>
  <w:style w:type="character" w:customStyle="1" w:styleId="94">
    <w:name w:val="标题 2 Char"/>
    <w:link w:val="5"/>
    <w:qFormat/>
    <w:uiPriority w:val="0"/>
    <w:rPr>
      <w:rFonts w:ascii="Arial" w:hAnsi="Arial" w:eastAsia="黑体"/>
      <w:b/>
      <w:bCs/>
      <w:sz w:val="32"/>
      <w:szCs w:val="32"/>
    </w:rPr>
  </w:style>
  <w:style w:type="character" w:customStyle="1" w:styleId="95">
    <w:name w:val="标题 1 Char1"/>
    <w:qFormat/>
    <w:uiPriority w:val="0"/>
    <w:rPr>
      <w:rFonts w:eastAsia="宋体"/>
      <w:b/>
      <w:bCs/>
      <w:kern w:val="44"/>
      <w:sz w:val="32"/>
      <w:szCs w:val="44"/>
      <w:lang w:val="en-US" w:eastAsia="zh-CN" w:bidi="ar-SA"/>
    </w:rPr>
  </w:style>
  <w:style w:type="character" w:customStyle="1" w:styleId="96">
    <w:name w:val="z-窗体底端 Char"/>
    <w:qFormat/>
    <w:uiPriority w:val="0"/>
    <w:rPr>
      <w:rFonts w:ascii="Arial" w:hAnsi="Arial"/>
      <w:vanish/>
      <w:sz w:val="16"/>
      <w:szCs w:val="16"/>
    </w:rPr>
  </w:style>
  <w:style w:type="paragraph" w:customStyle="1" w:styleId="97">
    <w:name w:val="z-窗体底端1"/>
    <w:basedOn w:val="1"/>
    <w:next w:val="1"/>
    <w:link w:val="206"/>
    <w:qFormat/>
    <w:uiPriority w:val="0"/>
    <w:pPr>
      <w:pBdr>
        <w:top w:val="single" w:color="auto" w:sz="6" w:space="1"/>
      </w:pBdr>
      <w:jc w:val="center"/>
    </w:pPr>
    <w:rPr>
      <w:rFonts w:ascii="Arial" w:hAnsi="Arial"/>
      <w:vanish/>
      <w:kern w:val="0"/>
      <w:sz w:val="16"/>
      <w:szCs w:val="16"/>
    </w:rPr>
  </w:style>
  <w:style w:type="character" w:customStyle="1" w:styleId="98">
    <w:name w:val="尾注文本 Char"/>
    <w:link w:val="28"/>
    <w:qFormat/>
    <w:uiPriority w:val="0"/>
    <w:rPr>
      <w:rFonts w:ascii="Calibri" w:hAnsi="Calibri"/>
      <w:kern w:val="2"/>
      <w:sz w:val="21"/>
      <w:szCs w:val="24"/>
    </w:rPr>
  </w:style>
  <w:style w:type="character" w:customStyle="1" w:styleId="99">
    <w:name w:val="on"/>
    <w:basedOn w:val="50"/>
    <w:qFormat/>
    <w:uiPriority w:val="0"/>
  </w:style>
  <w:style w:type="character" w:customStyle="1" w:styleId="100">
    <w:name w:val="Document Map Char1"/>
    <w:qFormat/>
    <w:uiPriority w:val="0"/>
    <w:rPr>
      <w:rFonts w:ascii="Times New Roman" w:hAnsi="Times New Roman"/>
      <w:sz w:val="16"/>
      <w:szCs w:val="0"/>
    </w:rPr>
  </w:style>
  <w:style w:type="character" w:customStyle="1" w:styleId="101">
    <w:name w:val="正文文本 Char"/>
    <w:link w:val="19"/>
    <w:qFormat/>
    <w:uiPriority w:val="0"/>
    <w:rPr>
      <w:rFonts w:ascii="宋体" w:hAnsi="宋体"/>
    </w:rPr>
  </w:style>
  <w:style w:type="character" w:customStyle="1" w:styleId="102">
    <w:name w:val="Char Char4"/>
    <w:qFormat/>
    <w:uiPriority w:val="0"/>
    <w:rPr>
      <w:rFonts w:ascii="仿宋_GB2312" w:hAnsi="Times New Roman" w:eastAsia="仿宋_GB2312"/>
      <w:spacing w:val="-20"/>
      <w:kern w:val="2"/>
      <w:sz w:val="28"/>
    </w:rPr>
  </w:style>
  <w:style w:type="character" w:customStyle="1" w:styleId="103">
    <w:name w:val="Char Char7"/>
    <w:qFormat/>
    <w:uiPriority w:val="0"/>
    <w:rPr>
      <w:rFonts w:ascii="Arial" w:hAnsi="Arial" w:eastAsia="黑体"/>
      <w:b/>
      <w:bCs/>
      <w:kern w:val="2"/>
      <w:sz w:val="32"/>
      <w:szCs w:val="32"/>
      <w:lang w:val="en-US" w:eastAsia="zh-CN" w:bidi="ar-SA"/>
    </w:rPr>
  </w:style>
  <w:style w:type="character" w:customStyle="1" w:styleId="104">
    <w:name w:val="Date Char1"/>
    <w:qFormat/>
    <w:uiPriority w:val="0"/>
    <w:rPr>
      <w:rFonts w:ascii="Times New Roman" w:hAnsi="Times New Roman"/>
      <w:szCs w:val="21"/>
    </w:rPr>
  </w:style>
  <w:style w:type="character" w:customStyle="1" w:styleId="105">
    <w:name w:val="Blockquote Char"/>
    <w:link w:val="106"/>
    <w:qFormat/>
    <w:uiPriority w:val="0"/>
    <w:rPr>
      <w:sz w:val="24"/>
    </w:rPr>
  </w:style>
  <w:style w:type="paragraph" w:customStyle="1" w:styleId="106">
    <w:name w:val="Blockquote"/>
    <w:basedOn w:val="1"/>
    <w:link w:val="105"/>
    <w:qFormat/>
    <w:uiPriority w:val="0"/>
    <w:pPr>
      <w:autoSpaceDE w:val="0"/>
      <w:autoSpaceDN w:val="0"/>
      <w:adjustRightInd w:val="0"/>
      <w:spacing w:before="100" w:after="100"/>
      <w:ind w:left="360" w:right="360"/>
      <w:jc w:val="left"/>
    </w:pPr>
    <w:rPr>
      <w:kern w:val="0"/>
      <w:sz w:val="24"/>
      <w:szCs w:val="20"/>
    </w:rPr>
  </w:style>
  <w:style w:type="character" w:customStyle="1" w:styleId="107">
    <w:name w:val="Body Text 3 Char1"/>
    <w:qFormat/>
    <w:uiPriority w:val="0"/>
    <w:rPr>
      <w:rFonts w:ascii="Times New Roman" w:hAnsi="Times New Roman"/>
      <w:sz w:val="16"/>
      <w:szCs w:val="16"/>
    </w:rPr>
  </w:style>
  <w:style w:type="character" w:customStyle="1" w:styleId="108">
    <w:name w:val="Body Text Indent 2 Char1"/>
    <w:qFormat/>
    <w:uiPriority w:val="0"/>
    <w:rPr>
      <w:rFonts w:ascii="Times New Roman" w:hAnsi="Times New Roman"/>
      <w:szCs w:val="21"/>
    </w:rPr>
  </w:style>
  <w:style w:type="character" w:customStyle="1" w:styleId="109">
    <w:name w:val="z-窗体顶端 Char"/>
    <w:qFormat/>
    <w:uiPriority w:val="0"/>
    <w:rPr>
      <w:rFonts w:ascii="Arial" w:hAnsi="Arial"/>
      <w:vanish/>
      <w:sz w:val="16"/>
      <w:szCs w:val="16"/>
    </w:rPr>
  </w:style>
  <w:style w:type="paragraph" w:customStyle="1" w:styleId="110">
    <w:name w:val="z-窗体顶端1"/>
    <w:basedOn w:val="1"/>
    <w:next w:val="1"/>
    <w:link w:val="216"/>
    <w:qFormat/>
    <w:uiPriority w:val="0"/>
    <w:pPr>
      <w:pBdr>
        <w:bottom w:val="single" w:color="auto" w:sz="6" w:space="1"/>
      </w:pBdr>
      <w:jc w:val="center"/>
    </w:pPr>
    <w:rPr>
      <w:rFonts w:ascii="Arial" w:hAnsi="Arial"/>
      <w:vanish/>
      <w:kern w:val="0"/>
      <w:sz w:val="16"/>
      <w:szCs w:val="16"/>
    </w:rPr>
  </w:style>
  <w:style w:type="character" w:customStyle="1" w:styleId="111">
    <w:name w:val="Char Char25"/>
    <w:qFormat/>
    <w:uiPriority w:val="0"/>
    <w:rPr>
      <w:b/>
      <w:bCs/>
      <w:kern w:val="44"/>
      <w:sz w:val="44"/>
      <w:szCs w:val="44"/>
    </w:rPr>
  </w:style>
  <w:style w:type="character" w:customStyle="1" w:styleId="112">
    <w:name w:val="z-Bottom of Form Char1"/>
    <w:qFormat/>
    <w:uiPriority w:val="0"/>
    <w:rPr>
      <w:rFonts w:ascii="Arial" w:hAnsi="Arial" w:cs="Arial"/>
      <w:vanish/>
      <w:sz w:val="16"/>
      <w:szCs w:val="16"/>
    </w:rPr>
  </w:style>
  <w:style w:type="character" w:customStyle="1" w:styleId="113">
    <w:name w:val="尾注文本 Char1"/>
    <w:semiHidden/>
    <w:qFormat/>
    <w:uiPriority w:val="99"/>
    <w:rPr>
      <w:kern w:val="2"/>
      <w:sz w:val="21"/>
      <w:szCs w:val="24"/>
    </w:rPr>
  </w:style>
  <w:style w:type="character" w:customStyle="1" w:styleId="114">
    <w:name w:val="z-Top of Form Char1"/>
    <w:qFormat/>
    <w:uiPriority w:val="0"/>
    <w:rPr>
      <w:rFonts w:ascii="Arial" w:hAnsi="Arial" w:cs="Arial"/>
      <w:vanish/>
      <w:sz w:val="16"/>
      <w:szCs w:val="16"/>
    </w:rPr>
  </w:style>
  <w:style w:type="character" w:customStyle="1" w:styleId="115">
    <w:name w:val="Char Char6"/>
    <w:qFormat/>
    <w:uiPriority w:val="0"/>
    <w:rPr>
      <w:rFonts w:ascii="Times New Roman" w:hAnsi="Times New Roman" w:cs="Times New Roman"/>
      <w:b/>
      <w:bCs/>
      <w:kern w:val="2"/>
      <w:sz w:val="21"/>
      <w:szCs w:val="24"/>
    </w:rPr>
  </w:style>
  <w:style w:type="character" w:customStyle="1" w:styleId="116">
    <w:name w:val="日期 Char"/>
    <w:link w:val="26"/>
    <w:qFormat/>
    <w:uiPriority w:val="0"/>
    <w:rPr>
      <w:rFonts w:ascii="宋体" w:hAnsi="宋体"/>
    </w:rPr>
  </w:style>
  <w:style w:type="character" w:customStyle="1" w:styleId="117">
    <w:name w:val="Char Char8"/>
    <w:qFormat/>
    <w:uiPriority w:val="0"/>
    <w:rPr>
      <w:rFonts w:ascii="Arial" w:hAnsi="Arial" w:eastAsia="黑体"/>
      <w:b/>
      <w:bCs/>
      <w:kern w:val="2"/>
      <w:sz w:val="32"/>
      <w:szCs w:val="32"/>
      <w:lang w:val="en-US" w:eastAsia="zh-CN" w:bidi="ar-SA"/>
    </w:rPr>
  </w:style>
  <w:style w:type="character" w:customStyle="1" w:styleId="118">
    <w:name w:val="批注文字 Char"/>
    <w:qFormat/>
    <w:uiPriority w:val="0"/>
    <w:rPr>
      <w:rFonts w:eastAsia="宋体"/>
      <w:sz w:val="21"/>
      <w:szCs w:val="21"/>
      <w:lang w:val="en-US" w:eastAsia="zh-CN" w:bidi="ar-SA"/>
    </w:rPr>
  </w:style>
  <w:style w:type="character" w:customStyle="1" w:styleId="119">
    <w:name w:val="ꌢ 3 Char"/>
    <w:link w:val="120"/>
    <w:qFormat/>
    <w:uiPriority w:val="0"/>
    <w:rPr>
      <w:rFonts w:ascii="Ђˎ̥" w:hAnsi="Ђˎ̥"/>
      <w:b/>
      <w:bCs/>
    </w:rPr>
  </w:style>
  <w:style w:type="paragraph" w:customStyle="1" w:styleId="120">
    <w:name w:val="ꌢ 3"/>
    <w:basedOn w:val="1"/>
    <w:link w:val="119"/>
    <w:qFormat/>
    <w:uiPriority w:val="0"/>
    <w:pPr>
      <w:widowControl/>
    </w:pPr>
    <w:rPr>
      <w:rFonts w:ascii="Ђˎ̥" w:hAnsi="Ђˎ̥"/>
      <w:b/>
      <w:bCs/>
      <w:kern w:val="0"/>
      <w:sz w:val="20"/>
      <w:szCs w:val="20"/>
    </w:rPr>
  </w:style>
  <w:style w:type="character" w:customStyle="1" w:styleId="121">
    <w:name w:val="纯文本 Char"/>
    <w:link w:val="24"/>
    <w:qFormat/>
    <w:uiPriority w:val="0"/>
    <w:rPr>
      <w:rFonts w:ascii="宋体"/>
      <w:kern w:val="2"/>
      <w:sz w:val="21"/>
      <w:szCs w:val="21"/>
    </w:rPr>
  </w:style>
  <w:style w:type="character" w:customStyle="1" w:styleId="122">
    <w:name w:val="批注主题 Char"/>
    <w:link w:val="46"/>
    <w:qFormat/>
    <w:uiPriority w:val="0"/>
    <w:rPr>
      <w:b/>
      <w:bCs/>
    </w:rPr>
  </w:style>
  <w:style w:type="character" w:customStyle="1" w:styleId="123">
    <w:name w:val="标题 3 Char1"/>
    <w:qFormat/>
    <w:uiPriority w:val="0"/>
    <w:rPr>
      <w:rFonts w:ascii="宋体" w:hAnsi="宋体" w:eastAsia="宋体"/>
      <w:bCs/>
      <w:color w:val="000000"/>
      <w:sz w:val="28"/>
      <w:szCs w:val="21"/>
      <w:lang w:val="en-US" w:eastAsia="zh-CN" w:bidi="ar-SA"/>
    </w:rPr>
  </w:style>
  <w:style w:type="character" w:customStyle="1" w:styleId="124">
    <w:name w:val="标题 1 Char"/>
    <w:link w:val="4"/>
    <w:qFormat/>
    <w:uiPriority w:val="0"/>
    <w:rPr>
      <w:rFonts w:ascii="黑体" w:eastAsia="黑体"/>
      <w:sz w:val="52"/>
    </w:rPr>
  </w:style>
  <w:style w:type="character" w:customStyle="1" w:styleId="125">
    <w:name w:val="Body Text Char1"/>
    <w:qFormat/>
    <w:uiPriority w:val="0"/>
    <w:rPr>
      <w:rFonts w:ascii="Times New Roman" w:hAnsi="Times New Roman"/>
      <w:szCs w:val="21"/>
    </w:rPr>
  </w:style>
  <w:style w:type="character" w:customStyle="1" w:styleId="126">
    <w:name w:val="文档结构图 Char"/>
    <w:link w:val="15"/>
    <w:qFormat/>
    <w:uiPriority w:val="0"/>
    <w:rPr>
      <w:rFonts w:ascii="宋体" w:hAnsi="宋体"/>
    </w:rPr>
  </w:style>
  <w:style w:type="character" w:customStyle="1" w:styleId="127">
    <w:name w:val="正文文本缩进 2 Char"/>
    <w:link w:val="27"/>
    <w:qFormat/>
    <w:uiPriority w:val="0"/>
    <w:rPr>
      <w:rFonts w:ascii="宋体" w:hAnsi="MS Sans Serif"/>
      <w:spacing w:val="12"/>
      <w:sz w:val="24"/>
    </w:rPr>
  </w:style>
  <w:style w:type="character" w:customStyle="1" w:styleId="128">
    <w:name w:val="Quote Char Char"/>
    <w:link w:val="129"/>
    <w:qFormat/>
    <w:uiPriority w:val="0"/>
    <w:rPr>
      <w:i/>
      <w:iCs/>
      <w:color w:val="000000"/>
      <w:sz w:val="24"/>
      <w:szCs w:val="24"/>
    </w:rPr>
  </w:style>
  <w:style w:type="paragraph" w:customStyle="1" w:styleId="129">
    <w:name w:val="Quote1"/>
    <w:basedOn w:val="1"/>
    <w:next w:val="1"/>
    <w:link w:val="128"/>
    <w:qFormat/>
    <w:uiPriority w:val="0"/>
    <w:rPr>
      <w:i/>
      <w:iCs/>
      <w:color w:val="000000"/>
      <w:kern w:val="0"/>
      <w:sz w:val="24"/>
    </w:rPr>
  </w:style>
  <w:style w:type="character" w:customStyle="1" w:styleId="130">
    <w:name w:val="标题 Char"/>
    <w:link w:val="45"/>
    <w:qFormat/>
    <w:uiPriority w:val="0"/>
    <w:rPr>
      <w:rFonts w:ascii="Cambria" w:hAnsi="Cambria"/>
      <w:b/>
      <w:bCs/>
    </w:rPr>
  </w:style>
  <w:style w:type="character" w:customStyle="1" w:styleId="131">
    <w:name w:val="Para head"/>
    <w:qFormat/>
    <w:uiPriority w:val="0"/>
    <w:rPr>
      <w:rFonts w:ascii="Arial" w:hAnsi="Arial" w:cs="Times New Roman"/>
      <w:sz w:val="20"/>
    </w:rPr>
  </w:style>
  <w:style w:type="character" w:customStyle="1" w:styleId="132">
    <w:name w:val="不明显强调1"/>
    <w:qFormat/>
    <w:uiPriority w:val="0"/>
    <w:rPr>
      <w:i/>
      <w:iCs/>
      <w:color w:val="808080"/>
    </w:rPr>
  </w:style>
  <w:style w:type="character" w:customStyle="1" w:styleId="133">
    <w:name w:val="Quote Char"/>
    <w:qFormat/>
    <w:uiPriority w:val="0"/>
    <w:rPr>
      <w:rFonts w:eastAsia="宋体"/>
      <w:i/>
      <w:iCs/>
      <w:color w:val="000000"/>
      <w:sz w:val="24"/>
      <w:szCs w:val="24"/>
      <w:lang w:bidi="ar-SA"/>
    </w:rPr>
  </w:style>
  <w:style w:type="character" w:customStyle="1" w:styleId="134">
    <w:name w:val="Char Char1"/>
    <w:qFormat/>
    <w:uiPriority w:val="0"/>
    <w:rPr>
      <w:rFonts w:ascii="Times New Roman" w:hAnsi="Times New Roman" w:eastAsia="仿宋_GB2312"/>
      <w:spacing w:val="-20"/>
      <w:kern w:val="2"/>
      <w:sz w:val="21"/>
      <w:szCs w:val="24"/>
    </w:rPr>
  </w:style>
  <w:style w:type="character" w:customStyle="1" w:styleId="135">
    <w:name w:val="Char Char3"/>
    <w:qFormat/>
    <w:uiPriority w:val="0"/>
    <w:rPr>
      <w:rFonts w:ascii="Cambria" w:hAnsi="Cambria" w:cs="Times New Roman"/>
      <w:b/>
      <w:bCs/>
      <w:kern w:val="2"/>
      <w:sz w:val="32"/>
      <w:szCs w:val="32"/>
    </w:rPr>
  </w:style>
  <w:style w:type="character" w:customStyle="1" w:styleId="136">
    <w:name w:val="页眉 Char"/>
    <w:link w:val="31"/>
    <w:qFormat/>
    <w:uiPriority w:val="0"/>
    <w:rPr>
      <w:sz w:val="18"/>
      <w:szCs w:val="18"/>
    </w:rPr>
  </w:style>
  <w:style w:type="character" w:customStyle="1" w:styleId="137">
    <w:name w:val="Title Char"/>
    <w:qFormat/>
    <w:locked/>
    <w:uiPriority w:val="0"/>
    <w:rPr>
      <w:rFonts w:ascii="Cambria" w:hAnsi="Cambria" w:cs="Times New Roman"/>
      <w:b/>
      <w:bCs/>
      <w:sz w:val="32"/>
      <w:szCs w:val="32"/>
    </w:rPr>
  </w:style>
  <w:style w:type="character" w:customStyle="1" w:styleId="138">
    <w:name w:val="Char Char71"/>
    <w:qFormat/>
    <w:uiPriority w:val="0"/>
    <w:rPr>
      <w:rFonts w:ascii="宋体"/>
      <w:kern w:val="2"/>
      <w:sz w:val="24"/>
    </w:rPr>
  </w:style>
  <w:style w:type="character" w:customStyle="1" w:styleId="139">
    <w:name w:val="正文文本缩进 3 Char"/>
    <w:link w:val="37"/>
    <w:qFormat/>
    <w:uiPriority w:val="0"/>
    <w:rPr>
      <w:rFonts w:ascii="宋体" w:hAnsi="宋体"/>
    </w:rPr>
  </w:style>
  <w:style w:type="character" w:customStyle="1" w:styleId="140">
    <w:name w:val="Char Char21"/>
    <w:qFormat/>
    <w:uiPriority w:val="0"/>
    <w:rPr>
      <w:kern w:val="2"/>
      <w:sz w:val="18"/>
      <w:szCs w:val="18"/>
    </w:rPr>
  </w:style>
  <w:style w:type="character" w:customStyle="1" w:styleId="141">
    <w:name w:val="手改 Char Char"/>
    <w:qFormat/>
    <w:uiPriority w:val="0"/>
    <w:rPr>
      <w:kern w:val="2"/>
      <w:sz w:val="21"/>
      <w:szCs w:val="24"/>
    </w:rPr>
  </w:style>
  <w:style w:type="character" w:customStyle="1" w:styleId="142">
    <w:name w:val="style61"/>
    <w:qFormat/>
    <w:uiPriority w:val="0"/>
    <w:rPr>
      <w:color w:val="FF0000"/>
    </w:rPr>
  </w:style>
  <w:style w:type="character" w:customStyle="1" w:styleId="143">
    <w:name w:val="h Char"/>
    <w:qFormat/>
    <w:uiPriority w:val="0"/>
    <w:rPr>
      <w:rFonts w:ascii="Bodoni MT" w:hAnsi="Bodoni MT" w:eastAsia="宋体"/>
      <w:kern w:val="2"/>
      <w:sz w:val="18"/>
      <w:szCs w:val="18"/>
      <w:lang w:val="en-US" w:eastAsia="zh-CN" w:bidi="ar-SA"/>
    </w:rPr>
  </w:style>
  <w:style w:type="character" w:customStyle="1" w:styleId="144">
    <w:name w:val="正文文本缩进 Char"/>
    <w:link w:val="3"/>
    <w:qFormat/>
    <w:uiPriority w:val="0"/>
    <w:rPr>
      <w:kern w:val="2"/>
      <w:sz w:val="21"/>
      <w:szCs w:val="24"/>
    </w:rPr>
  </w:style>
  <w:style w:type="character" w:customStyle="1" w:styleId="145">
    <w:name w:val="正文首行缩进 Char"/>
    <w:link w:val="47"/>
    <w:qFormat/>
    <w:uiPriority w:val="0"/>
    <w:rPr>
      <w:rFonts w:ascii="宋体" w:hAnsi="宋体" w:eastAsia="仿宋_GB2312"/>
      <w:spacing w:val="-20"/>
      <w:kern w:val="2"/>
      <w:sz w:val="21"/>
      <w:szCs w:val="24"/>
    </w:rPr>
  </w:style>
  <w:style w:type="character" w:customStyle="1" w:styleId="146">
    <w:name w:val="引用 Char1"/>
    <w:qFormat/>
    <w:uiPriority w:val="0"/>
    <w:rPr>
      <w:i/>
      <w:iCs/>
      <w:color w:val="000000"/>
      <w:kern w:val="2"/>
      <w:sz w:val="21"/>
      <w:szCs w:val="24"/>
    </w:rPr>
  </w:style>
  <w:style w:type="paragraph" w:styleId="147">
    <w:name w:val="Quote"/>
    <w:basedOn w:val="1"/>
    <w:next w:val="1"/>
    <w:link w:val="235"/>
    <w:qFormat/>
    <w:uiPriority w:val="0"/>
    <w:rPr>
      <w:i/>
      <w:iCs/>
      <w:color w:val="000000"/>
    </w:rPr>
  </w:style>
  <w:style w:type="character" w:customStyle="1" w:styleId="148">
    <w:name w:val="ҳŻ"/>
    <w:link w:val="149"/>
    <w:qFormat/>
    <w:uiPriority w:val="0"/>
    <w:rPr>
      <w:rFonts w:ascii="Arial" w:hAnsi="Arial" w:cs="Arial"/>
      <w:sz w:val="32"/>
      <w:szCs w:val="32"/>
    </w:rPr>
  </w:style>
  <w:style w:type="paragraph" w:customStyle="1" w:styleId="149">
    <w:name w:val="ҳŠChar1"/>
    <w:basedOn w:val="1"/>
    <w:link w:val="148"/>
    <w:qFormat/>
    <w:uiPriority w:val="0"/>
    <w:pPr>
      <w:keepNext/>
      <w:widowControl/>
      <w:spacing w:after="120" w:line="400" w:lineRule="atLeast"/>
      <w:jc w:val="center"/>
    </w:pPr>
    <w:rPr>
      <w:rFonts w:ascii="Arial" w:hAnsi="Arial" w:cs="Arial"/>
      <w:kern w:val="0"/>
      <w:sz w:val="32"/>
      <w:szCs w:val="32"/>
    </w:rPr>
  </w:style>
  <w:style w:type="character" w:customStyle="1" w:styleId="150">
    <w:name w:val="标题 1 Char Char"/>
    <w:qFormat/>
    <w:uiPriority w:val="0"/>
    <w:rPr>
      <w:rFonts w:eastAsia="黑体"/>
      <w:b/>
      <w:kern w:val="2"/>
      <w:sz w:val="28"/>
      <w:lang w:val="en-US" w:eastAsia="zh-CN" w:bidi="ar-SA"/>
    </w:rPr>
  </w:style>
  <w:style w:type="character" w:customStyle="1" w:styleId="151">
    <w:name w:val="hidden1"/>
    <w:qFormat/>
    <w:uiPriority w:val="0"/>
    <w:rPr>
      <w:vanish/>
    </w:rPr>
  </w:style>
  <w:style w:type="character" w:customStyle="1" w:styleId="152">
    <w:name w:val="Balloon Text Char1"/>
    <w:qFormat/>
    <w:uiPriority w:val="0"/>
    <w:rPr>
      <w:rFonts w:ascii="Times New Roman" w:hAnsi="Times New Roman"/>
      <w:sz w:val="16"/>
      <w:szCs w:val="0"/>
    </w:rPr>
  </w:style>
  <w:style w:type="character" w:customStyle="1" w:styleId="153">
    <w:name w:val="正文文本 2 Char"/>
    <w:link w:val="41"/>
    <w:qFormat/>
    <w:uiPriority w:val="0"/>
    <w:rPr>
      <w:rFonts w:ascii="宋体" w:hAnsi="宋体"/>
    </w:rPr>
  </w:style>
  <w:style w:type="character" w:customStyle="1" w:styleId="154">
    <w:name w:val="msonormal"/>
    <w:basedOn w:val="50"/>
    <w:qFormat/>
    <w:uiPriority w:val="0"/>
  </w:style>
  <w:style w:type="character" w:customStyle="1" w:styleId="155">
    <w:name w:val="明显强调1"/>
    <w:qFormat/>
    <w:uiPriority w:val="0"/>
    <w:rPr>
      <w:rFonts w:eastAsia="仿宋_GB2312"/>
      <w:bCs/>
      <w:iCs/>
      <w:color w:val="auto"/>
      <w:sz w:val="32"/>
    </w:rPr>
  </w:style>
  <w:style w:type="paragraph" w:customStyle="1" w:styleId="156">
    <w:name w:val="font11"/>
    <w:basedOn w:val="1"/>
    <w:qFormat/>
    <w:uiPriority w:val="0"/>
    <w:pPr>
      <w:widowControl/>
      <w:spacing w:before="100" w:beforeAutospacing="1" w:after="100" w:afterAutospacing="1"/>
      <w:jc w:val="left"/>
    </w:pPr>
    <w:rPr>
      <w:rFonts w:ascii="Calibri" w:hAnsi="Calibri" w:eastAsia="Arial Unicode MS"/>
      <w:color w:val="FF0000"/>
      <w:kern w:val="0"/>
      <w:sz w:val="24"/>
    </w:rPr>
  </w:style>
  <w:style w:type="paragraph" w:customStyle="1" w:styleId="157">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58">
    <w:name w:val="xl33"/>
    <w:basedOn w:val="1"/>
    <w:qFormat/>
    <w:uiPriority w:val="0"/>
    <w:pPr>
      <w:widowControl/>
      <w:spacing w:before="100" w:beforeAutospacing="1" w:after="100" w:afterAutospacing="1"/>
      <w:jc w:val="left"/>
    </w:pPr>
    <w:rPr>
      <w:rFonts w:ascii="Arial Unicode MS" w:hAnsi="Arial Unicode MS" w:eastAsia="Arial Unicode MS" w:cs="Arial Unicode MS"/>
      <w:b/>
      <w:bCs/>
      <w:kern w:val="0"/>
      <w:sz w:val="24"/>
    </w:rPr>
  </w:style>
  <w:style w:type="paragraph" w:customStyle="1" w:styleId="159">
    <w:name w:val="xl82"/>
    <w:basedOn w:val="1"/>
    <w:qFormat/>
    <w:uiPriority w:val="0"/>
    <w:pPr>
      <w:widowControl/>
      <w:pBdr>
        <w:top w:val="single" w:color="000000" w:sz="4" w:space="0"/>
        <w:left w:val="single" w:color="000000" w:sz="4" w:space="0"/>
      </w:pBdr>
      <w:shd w:val="clear" w:color="FFFFFF" w:fill="FFFFFF"/>
      <w:spacing w:before="100" w:beforeAutospacing="1" w:after="100" w:afterAutospacing="1"/>
      <w:jc w:val="left"/>
      <w:textAlignment w:val="center"/>
    </w:pPr>
    <w:rPr>
      <w:rFonts w:ascii="宋体" w:hAnsi="宋体" w:cs="宋体"/>
      <w:color w:val="000000"/>
      <w:kern w:val="0"/>
      <w:sz w:val="28"/>
      <w:szCs w:val="28"/>
    </w:rPr>
  </w:style>
  <w:style w:type="paragraph" w:customStyle="1" w:styleId="160">
    <w:name w:val="Char1 Char Char Char"/>
    <w:basedOn w:val="1"/>
    <w:qFormat/>
    <w:uiPriority w:val="0"/>
    <w:rPr>
      <w:rFonts w:ascii="Tahoma" w:hAnsi="Tahoma"/>
      <w:sz w:val="24"/>
      <w:szCs w:val="20"/>
    </w:rPr>
  </w:style>
  <w:style w:type="paragraph" w:customStyle="1" w:styleId="161">
    <w:name w:val="Char1 Char Char Char1"/>
    <w:basedOn w:val="1"/>
    <w:qFormat/>
    <w:uiPriority w:val="0"/>
    <w:pPr>
      <w:widowControl/>
      <w:spacing w:after="160" w:line="240" w:lineRule="exact"/>
      <w:jc w:val="left"/>
    </w:pPr>
    <w:rPr>
      <w:rFonts w:ascii="Bodoni MT" w:hAnsi="Bodoni MT"/>
    </w:rPr>
  </w:style>
  <w:style w:type="paragraph" w:customStyle="1" w:styleId="162">
    <w:name w:val="样式 标题 3 + (中文) 黑体 小四 非加粗 段前: 7.8 磅 段后: 0 磅 行距: 固定值 20 磅"/>
    <w:basedOn w:val="6"/>
    <w:qFormat/>
    <w:uiPriority w:val="0"/>
    <w:pPr>
      <w:spacing w:line="400" w:lineRule="exact"/>
      <w:jc w:val="center"/>
    </w:pPr>
    <w:rPr>
      <w:rFonts w:ascii="Calibri" w:hAnsi="Calibri" w:eastAsia="黑体" w:cs="宋体"/>
      <w:b w:val="0"/>
      <w:bCs w:val="0"/>
      <w:sz w:val="24"/>
      <w:szCs w:val="20"/>
    </w:rPr>
  </w:style>
  <w:style w:type="paragraph" w:customStyle="1" w:styleId="163">
    <w:name w:val="样式4"/>
    <w:basedOn w:val="164"/>
    <w:qFormat/>
    <w:uiPriority w:val="0"/>
    <w:pPr>
      <w:ind w:firstLine="562"/>
    </w:pPr>
    <w:rPr>
      <w:bCs/>
    </w:rPr>
  </w:style>
  <w:style w:type="paragraph" w:customStyle="1" w:styleId="164">
    <w:name w:val="样式3"/>
    <w:basedOn w:val="1"/>
    <w:qFormat/>
    <w:uiPriority w:val="0"/>
    <w:pPr>
      <w:ind w:firstLine="560" w:firstLineChars="200"/>
    </w:pPr>
    <w:rPr>
      <w:rFonts w:ascii="黑体" w:hAnsi="Calibri" w:eastAsia="黑体"/>
      <w:b/>
      <w:sz w:val="28"/>
    </w:rPr>
  </w:style>
  <w:style w:type="character" w:customStyle="1" w:styleId="165">
    <w:name w:val="尾注文本 Char2"/>
    <w:basedOn w:val="50"/>
    <w:link w:val="28"/>
    <w:qFormat/>
    <w:uiPriority w:val="0"/>
    <w:rPr>
      <w:kern w:val="2"/>
      <w:sz w:val="21"/>
      <w:szCs w:val="24"/>
    </w:rPr>
  </w:style>
  <w:style w:type="paragraph" w:customStyle="1" w:styleId="166">
    <w:name w:val="Char"/>
    <w:basedOn w:val="1"/>
    <w:qFormat/>
    <w:uiPriority w:val="0"/>
    <w:rPr>
      <w:rFonts w:ascii="仿宋_GB2312" w:hAnsi="Calibri" w:eastAsia="仿宋_GB2312"/>
      <w:b/>
      <w:sz w:val="32"/>
      <w:szCs w:val="32"/>
    </w:rPr>
  </w:style>
  <w:style w:type="paragraph" w:customStyle="1" w:styleId="167">
    <w:name w:val="xl86"/>
    <w:basedOn w:val="1"/>
    <w:qFormat/>
    <w:uiPriority w:val="0"/>
    <w:pPr>
      <w:widowControl/>
      <w:pBdr>
        <w:top w:val="single" w:color="auto" w:sz="4" w:space="0"/>
        <w:left w:val="single" w:color="auto" w:sz="4" w:space="0"/>
      </w:pBdr>
      <w:spacing w:before="100" w:beforeAutospacing="1" w:after="100" w:afterAutospacing="1"/>
      <w:jc w:val="center"/>
      <w:textAlignment w:val="center"/>
    </w:pPr>
    <w:rPr>
      <w:rFonts w:ascii="宋体" w:hAnsi="宋体" w:cs="宋体"/>
      <w:kern w:val="0"/>
      <w:sz w:val="28"/>
      <w:szCs w:val="28"/>
    </w:rPr>
  </w:style>
  <w:style w:type="paragraph" w:customStyle="1" w:styleId="168">
    <w:name w:val="框图文字"/>
    <w:basedOn w:val="1"/>
    <w:qFormat/>
    <w:uiPriority w:val="0"/>
    <w:pPr>
      <w:jc w:val="center"/>
    </w:pPr>
    <w:rPr>
      <w:rFonts w:ascii="Calibri" w:hAnsi="Calibri"/>
      <w:spacing w:val="-4"/>
      <w:szCs w:val="21"/>
    </w:rPr>
  </w:style>
  <w:style w:type="paragraph" w:customStyle="1" w:styleId="169">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8"/>
      <w:szCs w:val="28"/>
    </w:rPr>
  </w:style>
  <w:style w:type="paragraph" w:customStyle="1" w:styleId="170">
    <w:name w:val="xl29"/>
    <w:basedOn w:val="1"/>
    <w:qFormat/>
    <w:uiPriority w:val="0"/>
    <w:pPr>
      <w:widowControl/>
      <w:spacing w:before="100" w:beforeAutospacing="1" w:after="100" w:afterAutospacing="1"/>
      <w:jc w:val="center"/>
    </w:pPr>
    <w:rPr>
      <w:rFonts w:ascii="Arial Unicode MS" w:hAnsi="Arial Unicode MS" w:eastAsia="Arial Unicode MS" w:cs="Arial Unicode MS"/>
      <w:kern w:val="0"/>
      <w:szCs w:val="21"/>
    </w:rPr>
  </w:style>
  <w:style w:type="paragraph" w:customStyle="1" w:styleId="171">
    <w:name w:val="修订1"/>
    <w:qFormat/>
    <w:uiPriority w:val="0"/>
    <w:rPr>
      <w:rFonts w:ascii="Calibri" w:hAnsi="Calibri" w:eastAsia="宋体" w:cs="Times New Roman"/>
      <w:kern w:val="2"/>
      <w:sz w:val="21"/>
      <w:szCs w:val="21"/>
      <w:lang w:val="en-US" w:eastAsia="zh-CN" w:bidi="ar-SA"/>
    </w:rPr>
  </w:style>
  <w:style w:type="paragraph" w:customStyle="1" w:styleId="172">
    <w:name w:val="xl87"/>
    <w:basedOn w:val="1"/>
    <w:qFormat/>
    <w:uiPriority w:val="0"/>
    <w:pPr>
      <w:widowControl/>
      <w:pBdr>
        <w:top w:val="single" w:color="auto" w:sz="4" w:space="0"/>
      </w:pBdr>
      <w:spacing w:before="100" w:beforeAutospacing="1" w:after="100" w:afterAutospacing="1"/>
      <w:jc w:val="left"/>
      <w:textAlignment w:val="center"/>
    </w:pPr>
    <w:rPr>
      <w:rFonts w:ascii="宋体" w:hAnsi="宋体" w:cs="宋体"/>
      <w:kern w:val="0"/>
      <w:sz w:val="28"/>
      <w:szCs w:val="28"/>
    </w:rPr>
  </w:style>
  <w:style w:type="paragraph" w:customStyle="1" w:styleId="173">
    <w:name w:val="表格"/>
    <w:basedOn w:val="1"/>
    <w:qFormat/>
    <w:uiPriority w:val="0"/>
    <w:pPr>
      <w:jc w:val="center"/>
      <w:textAlignment w:val="center"/>
    </w:pPr>
    <w:rPr>
      <w:rFonts w:ascii="华文细黑" w:hAnsi="华文细黑"/>
      <w:kern w:val="0"/>
      <w:szCs w:val="20"/>
    </w:rPr>
  </w:style>
  <w:style w:type="character" w:customStyle="1" w:styleId="174">
    <w:name w:val="HTML 预设格式 Char"/>
    <w:basedOn w:val="50"/>
    <w:link w:val="42"/>
    <w:qFormat/>
    <w:uiPriority w:val="0"/>
    <w:rPr>
      <w:rFonts w:ascii="宋体" w:hAnsi="宋体" w:cs="宋体"/>
    </w:rPr>
  </w:style>
  <w:style w:type="paragraph" w:customStyle="1" w:styleId="175">
    <w:name w:val="标题3"/>
    <w:basedOn w:val="1"/>
    <w:qFormat/>
    <w:uiPriority w:val="0"/>
    <w:pPr>
      <w:widowControl/>
      <w:spacing w:line="360" w:lineRule="auto"/>
      <w:ind w:firstLine="482" w:firstLineChars="200"/>
    </w:pPr>
    <w:rPr>
      <w:rFonts w:ascii="宋体" w:hAnsi="宋体"/>
      <w:b/>
      <w:kern w:val="0"/>
      <w:sz w:val="24"/>
    </w:rPr>
  </w:style>
  <w:style w:type="character" w:customStyle="1" w:styleId="176">
    <w:name w:val="正文文本 2 Char1"/>
    <w:basedOn w:val="50"/>
    <w:link w:val="41"/>
    <w:qFormat/>
    <w:uiPriority w:val="0"/>
    <w:rPr>
      <w:kern w:val="2"/>
      <w:sz w:val="21"/>
      <w:szCs w:val="24"/>
    </w:rPr>
  </w:style>
  <w:style w:type="character" w:customStyle="1" w:styleId="177">
    <w:name w:val="正文文本 Char1"/>
    <w:basedOn w:val="50"/>
    <w:link w:val="19"/>
    <w:qFormat/>
    <w:uiPriority w:val="0"/>
    <w:rPr>
      <w:kern w:val="2"/>
      <w:sz w:val="21"/>
      <w:szCs w:val="24"/>
    </w:rPr>
  </w:style>
  <w:style w:type="paragraph" w:customStyle="1" w:styleId="178">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2"/>
      <w:szCs w:val="22"/>
    </w:rPr>
  </w:style>
  <w:style w:type="character" w:customStyle="1" w:styleId="179">
    <w:name w:val="副标题 Char1"/>
    <w:basedOn w:val="50"/>
    <w:link w:val="34"/>
    <w:qFormat/>
    <w:uiPriority w:val="0"/>
    <w:rPr>
      <w:rFonts w:asciiTheme="majorHAnsi" w:hAnsiTheme="majorHAnsi" w:cstheme="majorBidi"/>
      <w:b/>
      <w:bCs/>
      <w:kern w:val="28"/>
      <w:sz w:val="32"/>
      <w:szCs w:val="32"/>
    </w:rPr>
  </w:style>
  <w:style w:type="paragraph" w:customStyle="1" w:styleId="180">
    <w:name w:val="系统正文"/>
    <w:basedOn w:val="1"/>
    <w:qFormat/>
    <w:uiPriority w:val="0"/>
    <w:pPr>
      <w:spacing w:line="420" w:lineRule="exact"/>
      <w:ind w:firstLine="420" w:firstLineChars="200"/>
    </w:pPr>
    <w:rPr>
      <w:rFonts w:ascii="宋体" w:hAnsi="宋体"/>
    </w:rPr>
  </w:style>
  <w:style w:type="paragraph" w:customStyle="1" w:styleId="181">
    <w:name w:val="Char Char Char Char Char Char"/>
    <w:basedOn w:val="1"/>
    <w:qFormat/>
    <w:uiPriority w:val="0"/>
    <w:pPr>
      <w:widowControl/>
      <w:spacing w:after="160" w:line="240" w:lineRule="exact"/>
      <w:jc w:val="left"/>
    </w:pPr>
    <w:rPr>
      <w:rFonts w:ascii="Arial" w:hAnsi="Arial"/>
      <w:kern w:val="0"/>
      <w:sz w:val="22"/>
      <w:szCs w:val="22"/>
      <w:lang w:eastAsia="en-US"/>
    </w:rPr>
  </w:style>
  <w:style w:type="paragraph" w:customStyle="1" w:styleId="182">
    <w:name w:val="条款节部分"/>
    <w:basedOn w:val="1"/>
    <w:qFormat/>
    <w:uiPriority w:val="0"/>
    <w:pPr>
      <w:tabs>
        <w:tab w:val="left" w:pos="432"/>
        <w:tab w:val="left" w:pos="2850"/>
      </w:tabs>
      <w:ind w:left="432" w:hanging="432"/>
    </w:pPr>
    <w:rPr>
      <w:rFonts w:ascii="Calibri" w:hAnsi="Calibri" w:eastAsia="仿宋_GB2312"/>
      <w:sz w:val="32"/>
      <w:szCs w:val="32"/>
    </w:rPr>
  </w:style>
  <w:style w:type="paragraph" w:customStyle="1" w:styleId="183">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8"/>
      <w:szCs w:val="28"/>
    </w:rPr>
  </w:style>
  <w:style w:type="paragraph" w:customStyle="1" w:styleId="184">
    <w:name w:val="xl49"/>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 w:val="20"/>
      <w:szCs w:val="20"/>
    </w:rPr>
  </w:style>
  <w:style w:type="paragraph" w:customStyle="1" w:styleId="185">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8"/>
      <w:szCs w:val="28"/>
    </w:rPr>
  </w:style>
  <w:style w:type="paragraph" w:customStyle="1" w:styleId="186">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99CCFF"/>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187">
    <w:name w:val="xl84"/>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cs="宋体"/>
      <w:kern w:val="0"/>
      <w:sz w:val="28"/>
      <w:szCs w:val="28"/>
    </w:rPr>
  </w:style>
  <w:style w:type="paragraph" w:customStyle="1" w:styleId="18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8"/>
      <w:szCs w:val="28"/>
    </w:rPr>
  </w:style>
  <w:style w:type="character" w:customStyle="1" w:styleId="189">
    <w:name w:val="标题 Char1"/>
    <w:basedOn w:val="50"/>
    <w:link w:val="45"/>
    <w:qFormat/>
    <w:uiPriority w:val="0"/>
    <w:rPr>
      <w:rFonts w:asciiTheme="majorHAnsi" w:hAnsiTheme="majorHAnsi" w:cstheme="majorBidi"/>
      <w:b/>
      <w:bCs/>
      <w:kern w:val="2"/>
      <w:sz w:val="32"/>
      <w:szCs w:val="32"/>
    </w:rPr>
  </w:style>
  <w:style w:type="paragraph" w:customStyle="1" w:styleId="190">
    <w:name w:val="Char1 Char Char Char2"/>
    <w:basedOn w:val="1"/>
    <w:qFormat/>
    <w:uiPriority w:val="0"/>
    <w:rPr>
      <w:rFonts w:ascii="Tahoma" w:hAnsi="Tahoma"/>
      <w:sz w:val="24"/>
      <w:szCs w:val="20"/>
    </w:rPr>
  </w:style>
  <w:style w:type="paragraph" w:customStyle="1" w:styleId="191">
    <w:name w:val="Default Paragraph Font Para Char"/>
    <w:basedOn w:val="1"/>
    <w:qFormat/>
    <w:uiPriority w:val="0"/>
    <w:pPr>
      <w:widowControl/>
      <w:spacing w:after="160" w:line="240" w:lineRule="exact"/>
      <w:jc w:val="left"/>
    </w:pPr>
    <w:rPr>
      <w:rFonts w:ascii="Calibri" w:hAnsi="Calibri"/>
    </w:rPr>
  </w:style>
  <w:style w:type="paragraph" w:customStyle="1" w:styleId="192">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8"/>
      <w:szCs w:val="28"/>
    </w:rPr>
  </w:style>
  <w:style w:type="paragraph" w:customStyle="1" w:styleId="193">
    <w:name w:val="xl76"/>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kern w:val="0"/>
      <w:sz w:val="28"/>
      <w:szCs w:val="28"/>
    </w:rPr>
  </w:style>
  <w:style w:type="paragraph" w:customStyle="1" w:styleId="194">
    <w:name w:val="正文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195">
    <w:name w:val="font6"/>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196">
    <w:name w:val="font7"/>
    <w:basedOn w:val="1"/>
    <w:qFormat/>
    <w:uiPriority w:val="0"/>
    <w:pPr>
      <w:widowControl/>
      <w:spacing w:before="100" w:beforeAutospacing="1" w:after="100" w:afterAutospacing="1"/>
      <w:jc w:val="left"/>
    </w:pPr>
    <w:rPr>
      <w:rFonts w:ascii="Calibri" w:hAnsi="Calibri" w:eastAsia="Arial Unicode MS"/>
      <w:kern w:val="0"/>
      <w:sz w:val="22"/>
      <w:szCs w:val="22"/>
    </w:rPr>
  </w:style>
  <w:style w:type="paragraph" w:customStyle="1" w:styleId="197">
    <w:name w:val="style1"/>
    <w:basedOn w:val="1"/>
    <w:qFormat/>
    <w:uiPriority w:val="0"/>
    <w:pPr>
      <w:widowControl/>
      <w:spacing w:before="100" w:beforeAutospacing="1" w:after="100" w:afterAutospacing="1"/>
      <w:jc w:val="left"/>
    </w:pPr>
    <w:rPr>
      <w:rFonts w:ascii="Arial Unicode MS" w:hAnsi="Arial Unicode MS" w:eastAsia="Arial Unicode MS"/>
      <w:kern w:val="0"/>
      <w:sz w:val="24"/>
      <w:szCs w:val="20"/>
    </w:rPr>
  </w:style>
  <w:style w:type="paragraph" w:customStyle="1" w:styleId="198">
    <w:name w:val="p0"/>
    <w:basedOn w:val="1"/>
    <w:qFormat/>
    <w:uiPriority w:val="0"/>
    <w:pPr>
      <w:widowControl/>
    </w:pPr>
    <w:rPr>
      <w:rFonts w:ascii="Calibri" w:hAnsi="Calibri"/>
      <w:kern w:val="0"/>
      <w:szCs w:val="20"/>
    </w:rPr>
  </w:style>
  <w:style w:type="paragraph" w:customStyle="1" w:styleId="199">
    <w:name w:val="Char1"/>
    <w:basedOn w:val="1"/>
    <w:qFormat/>
    <w:uiPriority w:val="0"/>
    <w:pPr>
      <w:widowControl/>
      <w:spacing w:after="160" w:line="240" w:lineRule="exact"/>
      <w:jc w:val="left"/>
    </w:pPr>
    <w:rPr>
      <w:rFonts w:ascii="Verdana" w:hAnsi="Verdana" w:eastAsia="仿宋_GB2312"/>
      <w:kern w:val="0"/>
      <w:sz w:val="28"/>
      <w:szCs w:val="20"/>
      <w:lang w:eastAsia="en-US"/>
    </w:rPr>
  </w:style>
  <w:style w:type="paragraph" w:customStyle="1" w:styleId="200">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8"/>
      <w:szCs w:val="28"/>
    </w:rPr>
  </w:style>
  <w:style w:type="paragraph" w:customStyle="1" w:styleId="201">
    <w:name w:val="Char Char Char Char"/>
    <w:basedOn w:val="1"/>
    <w:qFormat/>
    <w:uiPriority w:val="0"/>
    <w:rPr>
      <w:rFonts w:ascii="Tahoma" w:hAnsi="Tahoma" w:cs="Tahoma"/>
      <w:sz w:val="24"/>
    </w:rPr>
  </w:style>
  <w:style w:type="paragraph" w:customStyle="1" w:styleId="202">
    <w:name w:val="xl36"/>
    <w:basedOn w:val="1"/>
    <w:qFormat/>
    <w:uiPriority w:val="0"/>
    <w:pPr>
      <w:widowControl/>
      <w:spacing w:before="100" w:beforeAutospacing="1" w:after="100" w:afterAutospacing="1"/>
      <w:jc w:val="left"/>
    </w:pPr>
    <w:rPr>
      <w:rFonts w:ascii="Arial Unicode MS" w:hAnsi="Arial Unicode MS" w:eastAsia="Arial Unicode MS" w:cs="Arial Unicode MS"/>
      <w:b/>
      <w:bCs/>
      <w:kern w:val="0"/>
      <w:sz w:val="24"/>
    </w:rPr>
  </w:style>
  <w:style w:type="paragraph" w:customStyle="1" w:styleId="203">
    <w:name w:val="样式 标题 2 + Times New Roman 四号 非加粗 段前: 5 磅 段后: 0 磅 行距: 固定值 20..."/>
    <w:basedOn w:val="5"/>
    <w:qFormat/>
    <w:uiPriority w:val="0"/>
    <w:pPr>
      <w:spacing w:before="100" w:after="0" w:line="400" w:lineRule="exact"/>
      <w:jc w:val="center"/>
    </w:pPr>
    <w:rPr>
      <w:rFonts w:ascii="Times New Roman" w:hAnsi="Times New Roman" w:eastAsia="宋体" w:cs="宋体"/>
      <w:b w:val="0"/>
      <w:bCs w:val="0"/>
      <w:kern w:val="2"/>
      <w:sz w:val="28"/>
      <w:szCs w:val="20"/>
    </w:rPr>
  </w:style>
  <w:style w:type="paragraph" w:customStyle="1" w:styleId="204">
    <w:name w:val="xl34"/>
    <w:basedOn w:val="1"/>
    <w:qFormat/>
    <w:uiPriority w:val="0"/>
    <w:pPr>
      <w:widowControl/>
      <w:spacing w:before="100" w:beforeAutospacing="1" w:after="100" w:afterAutospacing="1"/>
      <w:jc w:val="left"/>
    </w:pPr>
    <w:rPr>
      <w:rFonts w:ascii="Arial Unicode MS" w:hAnsi="Arial Unicode MS" w:eastAsia="Arial Unicode MS" w:cs="Arial Unicode MS"/>
      <w:b/>
      <w:bCs/>
      <w:kern w:val="0"/>
      <w:sz w:val="22"/>
      <w:szCs w:val="22"/>
    </w:rPr>
  </w:style>
  <w:style w:type="character" w:customStyle="1" w:styleId="205">
    <w:name w:val="正文文本缩进 3 Char1"/>
    <w:basedOn w:val="50"/>
    <w:link w:val="37"/>
    <w:qFormat/>
    <w:uiPriority w:val="0"/>
    <w:rPr>
      <w:kern w:val="2"/>
      <w:sz w:val="16"/>
      <w:szCs w:val="16"/>
    </w:rPr>
  </w:style>
  <w:style w:type="character" w:customStyle="1" w:styleId="206">
    <w:name w:val="z-窗体底端 Char1"/>
    <w:basedOn w:val="50"/>
    <w:link w:val="97"/>
    <w:semiHidden/>
    <w:qFormat/>
    <w:uiPriority w:val="99"/>
    <w:rPr>
      <w:rFonts w:ascii="Arial" w:hAnsi="Arial" w:cs="Arial"/>
      <w:vanish/>
      <w:kern w:val="2"/>
      <w:sz w:val="16"/>
      <w:szCs w:val="16"/>
    </w:rPr>
  </w:style>
  <w:style w:type="paragraph" w:customStyle="1" w:styleId="207">
    <w:name w:val="font10"/>
    <w:basedOn w:val="1"/>
    <w:qFormat/>
    <w:uiPriority w:val="0"/>
    <w:pPr>
      <w:widowControl/>
      <w:spacing w:before="100" w:beforeAutospacing="1" w:after="100" w:afterAutospacing="1"/>
      <w:jc w:val="left"/>
    </w:pPr>
    <w:rPr>
      <w:rFonts w:hint="eastAsia" w:ascii="宋体" w:hAnsi="宋体" w:cs="Arial Unicode MS"/>
      <w:color w:val="FF0000"/>
      <w:kern w:val="0"/>
      <w:sz w:val="24"/>
    </w:rPr>
  </w:style>
  <w:style w:type="paragraph" w:customStyle="1" w:styleId="208">
    <w:name w:val="表头"/>
    <w:basedOn w:val="1"/>
    <w:qFormat/>
    <w:uiPriority w:val="0"/>
    <w:pPr>
      <w:spacing w:line="360" w:lineRule="auto"/>
      <w:jc w:val="center"/>
    </w:pPr>
    <w:rPr>
      <w:rFonts w:ascii="黑体" w:hAnsi="Calibri" w:eastAsia="黑体"/>
      <w:kern w:val="0"/>
      <w:sz w:val="24"/>
      <w:szCs w:val="20"/>
    </w:rPr>
  </w:style>
  <w:style w:type="paragraph" w:customStyle="1" w:styleId="209">
    <w:name w:val="List Paragraph1"/>
    <w:basedOn w:val="1"/>
    <w:qFormat/>
    <w:uiPriority w:val="0"/>
    <w:pPr>
      <w:ind w:firstLine="200" w:firstLineChars="200"/>
    </w:pPr>
    <w:rPr>
      <w:rFonts w:ascii="Calibri" w:hAnsi="Calibri" w:cs="Calibri"/>
      <w:szCs w:val="21"/>
    </w:rPr>
  </w:style>
  <w:style w:type="character" w:customStyle="1" w:styleId="210">
    <w:name w:val="日期 Char1"/>
    <w:basedOn w:val="50"/>
    <w:link w:val="26"/>
    <w:qFormat/>
    <w:uiPriority w:val="0"/>
    <w:rPr>
      <w:kern w:val="2"/>
      <w:sz w:val="21"/>
      <w:szCs w:val="24"/>
    </w:rPr>
  </w:style>
  <w:style w:type="paragraph" w:customStyle="1" w:styleId="211">
    <w:name w:val="样式 (西文) 黑体 (中文) 黑体 四号 加粗 首行缩进:  2 字符"/>
    <w:basedOn w:val="1"/>
    <w:next w:val="41"/>
    <w:qFormat/>
    <w:uiPriority w:val="0"/>
    <w:pPr>
      <w:ind w:firstLine="562" w:firstLineChars="200"/>
    </w:pPr>
    <w:rPr>
      <w:rFonts w:ascii="黑体" w:hAnsi="Calibri" w:eastAsia="黑体"/>
      <w:b/>
      <w:bCs/>
      <w:sz w:val="28"/>
      <w:szCs w:val="20"/>
    </w:rPr>
  </w:style>
  <w:style w:type="paragraph" w:customStyle="1" w:styleId="212">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8"/>
      <w:szCs w:val="28"/>
    </w:rPr>
  </w:style>
  <w:style w:type="paragraph" w:customStyle="1" w:styleId="213">
    <w:name w:val="xl27"/>
    <w:basedOn w:val="1"/>
    <w:qFormat/>
    <w:uiPriority w:val="0"/>
    <w:pPr>
      <w:widowControl/>
      <w:spacing w:before="100" w:beforeAutospacing="1" w:after="100" w:afterAutospacing="1"/>
      <w:jc w:val="center"/>
    </w:pPr>
    <w:rPr>
      <w:rFonts w:ascii="Arial Unicode MS" w:hAnsi="Arial Unicode MS" w:eastAsia="Arial Unicode MS" w:cs="Arial Unicode MS"/>
      <w:kern w:val="0"/>
      <w:sz w:val="22"/>
      <w:szCs w:val="22"/>
    </w:rPr>
  </w:style>
  <w:style w:type="paragraph" w:customStyle="1" w:styleId="214">
    <w:name w:val="Char Char Char Char Char Char Char Char Char Char Char1 Char Char Char Char Char Char Char Char Char Char Char Char"/>
    <w:basedOn w:val="1"/>
    <w:qFormat/>
    <w:uiPriority w:val="0"/>
    <w:rPr>
      <w:rFonts w:ascii="Calibri" w:hAnsi="Calibri"/>
    </w:rPr>
  </w:style>
  <w:style w:type="paragraph" w:customStyle="1" w:styleId="215">
    <w:name w:val="xl25"/>
    <w:basedOn w:val="1"/>
    <w:qFormat/>
    <w:uiPriority w:val="0"/>
    <w:pPr>
      <w:widowControl/>
      <w:spacing w:before="100" w:beforeAutospacing="1" w:after="100" w:afterAutospacing="1"/>
      <w:jc w:val="left"/>
    </w:pPr>
    <w:rPr>
      <w:rFonts w:ascii="Arial Unicode MS" w:hAnsi="Arial Unicode MS" w:eastAsia="Arial Unicode MS" w:cs="Arial Unicode MS"/>
      <w:kern w:val="0"/>
      <w:sz w:val="22"/>
      <w:szCs w:val="22"/>
    </w:rPr>
  </w:style>
  <w:style w:type="character" w:customStyle="1" w:styleId="216">
    <w:name w:val="z-窗体顶端 Char1"/>
    <w:basedOn w:val="50"/>
    <w:link w:val="110"/>
    <w:semiHidden/>
    <w:qFormat/>
    <w:uiPriority w:val="99"/>
    <w:rPr>
      <w:rFonts w:ascii="Arial" w:hAnsi="Arial" w:cs="Arial"/>
      <w:vanish/>
      <w:kern w:val="2"/>
      <w:sz w:val="16"/>
      <w:szCs w:val="16"/>
    </w:rPr>
  </w:style>
  <w:style w:type="paragraph" w:customStyle="1" w:styleId="217">
    <w:name w:val="附件 2"/>
    <w:basedOn w:val="43"/>
    <w:qFormat/>
    <w:uiPriority w:val="0"/>
    <w:pPr>
      <w:spacing w:beforeAutospacing="0" w:afterAutospacing="0" w:line="300" w:lineRule="auto"/>
      <w:jc w:val="both"/>
    </w:pPr>
    <w:rPr>
      <w:rFonts w:cs="Times New Roman"/>
      <w:color w:val="000000"/>
      <w:sz w:val="21"/>
      <w:szCs w:val="18"/>
    </w:rPr>
  </w:style>
  <w:style w:type="paragraph" w:customStyle="1" w:styleId="218">
    <w:name w:val="样式2"/>
    <w:basedOn w:val="32"/>
    <w:qFormat/>
    <w:uiPriority w:val="0"/>
    <w:pPr>
      <w:tabs>
        <w:tab w:val="left" w:pos="1050"/>
        <w:tab w:val="left" w:pos="1260"/>
        <w:tab w:val="right" w:pos="9061"/>
      </w:tabs>
      <w:spacing w:before="120" w:after="120" w:line="240" w:lineRule="auto"/>
      <w:jc w:val="both"/>
    </w:pPr>
    <w:rPr>
      <w:rFonts w:ascii="黑体" w:hAnsi="宋体" w:cs="Times New Roman"/>
      <w:b/>
      <w:bCs/>
      <w:caps/>
      <w:sz w:val="24"/>
      <w:szCs w:val="28"/>
    </w:rPr>
  </w:style>
  <w:style w:type="character" w:customStyle="1" w:styleId="219">
    <w:name w:val="正文文本缩进 2 Char1"/>
    <w:basedOn w:val="50"/>
    <w:link w:val="27"/>
    <w:qFormat/>
    <w:uiPriority w:val="0"/>
    <w:rPr>
      <w:kern w:val="2"/>
      <w:sz w:val="21"/>
      <w:szCs w:val="24"/>
    </w:rPr>
  </w:style>
  <w:style w:type="paragraph" w:customStyle="1" w:styleId="220">
    <w:name w:val="表格标题"/>
    <w:basedOn w:val="1"/>
    <w:qFormat/>
    <w:uiPriority w:val="0"/>
    <w:pPr>
      <w:jc w:val="center"/>
    </w:pPr>
    <w:rPr>
      <w:rFonts w:ascii="Arial Narrow" w:hAnsi="Arial Narrow" w:eastAsia="楷体_GB2312"/>
      <w:snapToGrid w:val="0"/>
      <w:kern w:val="0"/>
      <w:szCs w:val="20"/>
    </w:rPr>
  </w:style>
  <w:style w:type="paragraph" w:customStyle="1" w:styleId="221">
    <w:name w:val="样式 标题 2 + 左侧:  2 字符"/>
    <w:basedOn w:val="5"/>
    <w:qFormat/>
    <w:uiPriority w:val="0"/>
    <w:pPr>
      <w:spacing w:before="380" w:after="380" w:line="415" w:lineRule="auto"/>
      <w:ind w:left="420" w:leftChars="200"/>
    </w:pPr>
    <w:rPr>
      <w:rFonts w:eastAsia="宋体"/>
      <w:kern w:val="2"/>
      <w:sz w:val="30"/>
      <w:szCs w:val="20"/>
    </w:rPr>
  </w:style>
  <w:style w:type="character" w:customStyle="1" w:styleId="222">
    <w:name w:val="脚注文本 Char"/>
    <w:basedOn w:val="50"/>
    <w:link w:val="35"/>
    <w:qFormat/>
    <w:uiPriority w:val="0"/>
    <w:rPr>
      <w:rFonts w:ascii="Calibri" w:hAnsi="Calibri"/>
      <w:kern w:val="2"/>
    </w:rPr>
  </w:style>
  <w:style w:type="paragraph" w:customStyle="1" w:styleId="223">
    <w:name w:val="样式1"/>
    <w:basedOn w:val="1"/>
    <w:next w:val="7"/>
    <w:qFormat/>
    <w:uiPriority w:val="0"/>
    <w:pPr>
      <w:spacing w:line="360" w:lineRule="auto"/>
      <w:ind w:firstLine="420" w:firstLineChars="200"/>
    </w:pPr>
    <w:rPr>
      <w:rFonts w:ascii="宋体" w:hAnsi="宋体"/>
      <w:szCs w:val="21"/>
    </w:rPr>
  </w:style>
  <w:style w:type="paragraph" w:customStyle="1" w:styleId="224">
    <w:name w:val="Revision1"/>
    <w:qFormat/>
    <w:uiPriority w:val="0"/>
    <w:rPr>
      <w:rFonts w:ascii="Bodoni MT" w:hAnsi="Bodoni MT" w:eastAsia="宋体" w:cs="Times New Roman"/>
      <w:kern w:val="2"/>
      <w:sz w:val="21"/>
      <w:szCs w:val="24"/>
      <w:lang w:val="en-US" w:eastAsia="zh-CN" w:bidi="ar-SA"/>
    </w:rPr>
  </w:style>
  <w:style w:type="paragraph" w:customStyle="1" w:styleId="225">
    <w:name w:val="样式 样式 标题 2 + Times New Roman 四号 非加粗 段前: 5 磅 段后: 0 磅 行距: 固定值 20....."/>
    <w:basedOn w:val="203"/>
    <w:qFormat/>
    <w:uiPriority w:val="0"/>
    <w:pPr>
      <w:spacing w:before="0" w:after="234"/>
      <w:jc w:val="both"/>
    </w:pPr>
    <w:rPr>
      <w:rFonts w:eastAsia="黑体"/>
      <w:b/>
      <w:bCs/>
    </w:rPr>
  </w:style>
  <w:style w:type="paragraph" w:customStyle="1" w:styleId="226">
    <w:name w:val="xl26"/>
    <w:basedOn w:val="1"/>
    <w:qFormat/>
    <w:uiPriority w:val="0"/>
    <w:pPr>
      <w:widowControl/>
      <w:spacing w:before="100" w:beforeAutospacing="1" w:after="100" w:afterAutospacing="1"/>
      <w:jc w:val="center"/>
    </w:pPr>
    <w:rPr>
      <w:rFonts w:ascii="Arial Unicode MS" w:hAnsi="Arial Unicode MS" w:eastAsia="Arial Unicode MS" w:cs="Arial Unicode MS"/>
      <w:kern w:val="0"/>
      <w:sz w:val="24"/>
    </w:rPr>
  </w:style>
  <w:style w:type="paragraph" w:customStyle="1" w:styleId="227">
    <w:name w:val="正文11"/>
    <w:qFormat/>
    <w:uiPriority w:val="0"/>
    <w:pPr>
      <w:widowControl w:val="0"/>
      <w:adjustRightInd w:val="0"/>
      <w:spacing w:line="312" w:lineRule="atLeast"/>
      <w:jc w:val="both"/>
      <w:textAlignment w:val="baseline"/>
    </w:pPr>
    <w:rPr>
      <w:rFonts w:ascii="宋体" w:hAnsi="Calibri" w:eastAsia="宋体" w:cs="Times New Roman"/>
      <w:sz w:val="34"/>
      <w:lang w:val="en-US" w:eastAsia="zh-CN" w:bidi="ar-SA"/>
    </w:rPr>
  </w:style>
  <w:style w:type="paragraph" w:customStyle="1" w:styleId="228">
    <w:name w:val="xl6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color w:val="000000"/>
      <w:kern w:val="0"/>
      <w:sz w:val="28"/>
      <w:szCs w:val="28"/>
    </w:rPr>
  </w:style>
  <w:style w:type="paragraph" w:customStyle="1" w:styleId="229">
    <w:name w:val="Char Char Char Char Char Char1 Char"/>
    <w:basedOn w:val="1"/>
    <w:qFormat/>
    <w:uiPriority w:val="0"/>
    <w:pPr>
      <w:widowControl/>
      <w:spacing w:after="160" w:line="240" w:lineRule="exact"/>
      <w:jc w:val="left"/>
    </w:pPr>
    <w:rPr>
      <w:rFonts w:ascii="Verdana" w:hAnsi="Verdana"/>
      <w:kern w:val="0"/>
      <w:szCs w:val="20"/>
      <w:lang w:eastAsia="en-US"/>
    </w:rPr>
  </w:style>
  <w:style w:type="paragraph" w:customStyle="1" w:styleId="230">
    <w:name w:val="Char Char Char Char Char Char Char"/>
    <w:basedOn w:val="1"/>
    <w:qFormat/>
    <w:uiPriority w:val="0"/>
    <w:rPr>
      <w:rFonts w:ascii="Tahoma" w:hAnsi="Tahoma"/>
      <w:sz w:val="24"/>
      <w:szCs w:val="20"/>
    </w:rPr>
  </w:style>
  <w:style w:type="character" w:customStyle="1" w:styleId="231">
    <w:name w:val="批注文字 Char1"/>
    <w:basedOn w:val="50"/>
    <w:link w:val="17"/>
    <w:qFormat/>
    <w:uiPriority w:val="0"/>
    <w:rPr>
      <w:kern w:val="2"/>
      <w:sz w:val="21"/>
      <w:szCs w:val="24"/>
    </w:rPr>
  </w:style>
  <w:style w:type="character" w:customStyle="1" w:styleId="232">
    <w:name w:val="批注主题 Char1"/>
    <w:basedOn w:val="231"/>
    <w:link w:val="46"/>
    <w:qFormat/>
    <w:uiPriority w:val="0"/>
  </w:style>
  <w:style w:type="paragraph" w:customStyle="1" w:styleId="233">
    <w:name w:val="TOC 标题1"/>
    <w:basedOn w:val="4"/>
    <w:next w:val="1"/>
    <w:qFormat/>
    <w:uiPriority w:val="0"/>
    <w:pPr>
      <w:keepLines/>
      <w:numPr>
        <w:numId w:val="0"/>
      </w:numPr>
      <w:tabs>
        <w:tab w:val="clear" w:pos="432"/>
      </w:tabs>
      <w:spacing w:before="480" w:line="276" w:lineRule="auto"/>
      <w:jc w:val="left"/>
      <w:outlineLvl w:val="9"/>
    </w:pPr>
    <w:rPr>
      <w:rFonts w:ascii="Cambria" w:hAnsi="Cambria" w:eastAsia="宋体" w:cs="Cambria"/>
      <w:b/>
      <w:bCs/>
      <w:color w:val="365F91"/>
      <w:sz w:val="28"/>
      <w:szCs w:val="28"/>
    </w:rPr>
  </w:style>
  <w:style w:type="paragraph" w:customStyle="1" w:styleId="234">
    <w:name w:val="xl8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color w:val="000000"/>
      <w:kern w:val="0"/>
      <w:sz w:val="28"/>
      <w:szCs w:val="28"/>
    </w:rPr>
  </w:style>
  <w:style w:type="character" w:customStyle="1" w:styleId="235">
    <w:name w:val="引用 Char2"/>
    <w:basedOn w:val="50"/>
    <w:link w:val="147"/>
    <w:semiHidden/>
    <w:qFormat/>
    <w:uiPriority w:val="99"/>
    <w:rPr>
      <w:i/>
      <w:iCs/>
      <w:color w:val="000000" w:themeColor="text1"/>
      <w:kern w:val="2"/>
      <w:sz w:val="21"/>
      <w:szCs w:val="24"/>
    </w:rPr>
  </w:style>
  <w:style w:type="paragraph" w:customStyle="1" w:styleId="236">
    <w:name w:val="菲页1"/>
    <w:basedOn w:val="5"/>
    <w:qFormat/>
    <w:uiPriority w:val="0"/>
    <w:pPr>
      <w:widowControl/>
      <w:spacing w:line="416" w:lineRule="auto"/>
      <w:jc w:val="center"/>
    </w:pPr>
    <w:rPr>
      <w:rFonts w:ascii="黑体" w:hAnsi="宋体"/>
      <w:b w:val="0"/>
      <w:bCs w:val="0"/>
      <w:sz w:val="52"/>
      <w:szCs w:val="20"/>
    </w:rPr>
  </w:style>
  <w:style w:type="character" w:customStyle="1" w:styleId="237">
    <w:name w:val="文档结构图 Char1"/>
    <w:basedOn w:val="50"/>
    <w:link w:val="15"/>
    <w:qFormat/>
    <w:uiPriority w:val="0"/>
    <w:rPr>
      <w:rFonts w:ascii="宋体"/>
      <w:kern w:val="2"/>
      <w:sz w:val="18"/>
      <w:szCs w:val="18"/>
    </w:rPr>
  </w:style>
  <w:style w:type="paragraph" w:customStyle="1" w:styleId="238">
    <w:name w:val="xl31"/>
    <w:basedOn w:val="1"/>
    <w:qFormat/>
    <w:uiPriority w:val="0"/>
    <w:pPr>
      <w:widowControl/>
      <w:shd w:val="clear" w:color="auto" w:fill="FFFF00"/>
      <w:spacing w:before="100" w:beforeAutospacing="1" w:after="100" w:afterAutospacing="1"/>
      <w:jc w:val="left"/>
    </w:pPr>
    <w:rPr>
      <w:rFonts w:ascii="Arial Unicode MS" w:hAnsi="Arial Unicode MS" w:eastAsia="Arial Unicode MS" w:cs="Arial Unicode MS"/>
      <w:kern w:val="0"/>
      <w:sz w:val="24"/>
    </w:rPr>
  </w:style>
  <w:style w:type="paragraph" w:customStyle="1" w:styleId="239">
    <w:name w:val="6'"/>
    <w:basedOn w:val="1"/>
    <w:qFormat/>
    <w:uiPriority w:val="0"/>
    <w:pPr>
      <w:autoSpaceDE w:val="0"/>
      <w:autoSpaceDN w:val="0"/>
      <w:adjustRightInd w:val="0"/>
      <w:snapToGrid w:val="0"/>
      <w:spacing w:line="320" w:lineRule="exact"/>
      <w:jc w:val="center"/>
      <w:textAlignment w:val="baseline"/>
    </w:pPr>
    <w:rPr>
      <w:rFonts w:ascii="Calibri" w:hAnsi="Calibri"/>
      <w:spacing w:val="20"/>
      <w:kern w:val="28"/>
      <w:szCs w:val="20"/>
    </w:rPr>
  </w:style>
  <w:style w:type="paragraph" w:customStyle="1" w:styleId="240">
    <w:name w:val="font1"/>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241">
    <w:name w:val="WPS Plain"/>
    <w:qFormat/>
    <w:uiPriority w:val="0"/>
    <w:rPr>
      <w:rFonts w:ascii="Calibri" w:hAnsi="Calibri" w:eastAsia="宋体" w:cs="Times New Roman"/>
      <w:lang w:val="en-US" w:eastAsia="zh-CN" w:bidi="ar-SA"/>
    </w:rPr>
  </w:style>
  <w:style w:type="paragraph" w:customStyle="1" w:styleId="242">
    <w:name w:val="普通(网站)11"/>
    <w:basedOn w:val="1"/>
    <w:qFormat/>
    <w:uiPriority w:val="0"/>
    <w:pPr>
      <w:widowControl/>
      <w:spacing w:before="100" w:beforeAutospacing="1" w:after="100" w:afterAutospacing="1" w:line="360" w:lineRule="auto"/>
      <w:ind w:firstLine="200" w:firstLineChars="200"/>
      <w:jc w:val="left"/>
    </w:pPr>
    <w:rPr>
      <w:rFonts w:ascii="宋体" w:hAnsi="Calibri"/>
      <w:kern w:val="0"/>
      <w:sz w:val="24"/>
    </w:rPr>
  </w:style>
  <w:style w:type="paragraph" w:customStyle="1" w:styleId="243">
    <w:name w:val="TOC Heading1"/>
    <w:basedOn w:val="4"/>
    <w:next w:val="1"/>
    <w:qFormat/>
    <w:uiPriority w:val="0"/>
    <w:pPr>
      <w:keepLines/>
      <w:numPr>
        <w:numId w:val="0"/>
      </w:numPr>
      <w:tabs>
        <w:tab w:val="clear" w:pos="432"/>
      </w:tabs>
      <w:spacing w:before="480" w:line="276" w:lineRule="auto"/>
      <w:jc w:val="left"/>
      <w:outlineLvl w:val="9"/>
    </w:pPr>
    <w:rPr>
      <w:rFonts w:ascii="Cambria" w:hAnsi="Cambria" w:eastAsia="宋体"/>
      <w:b/>
      <w:bCs/>
      <w:color w:val="365F91"/>
      <w:sz w:val="28"/>
      <w:szCs w:val="28"/>
    </w:rPr>
  </w:style>
  <w:style w:type="paragraph" w:customStyle="1" w:styleId="244">
    <w:name w:val="font0"/>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245">
    <w:name w:val="样式 标题 1 + 黑体 三号 非加粗 居中 段前: 6 磅 段后: 6 磅 行距: 固定值 20 磅"/>
    <w:basedOn w:val="4"/>
    <w:qFormat/>
    <w:uiPriority w:val="0"/>
    <w:pPr>
      <w:keepLines/>
      <w:widowControl w:val="0"/>
      <w:numPr>
        <w:numId w:val="0"/>
      </w:numPr>
      <w:tabs>
        <w:tab w:val="clear" w:pos="432"/>
      </w:tabs>
      <w:spacing w:before="120" w:after="120" w:line="400" w:lineRule="exact"/>
    </w:pPr>
    <w:rPr>
      <w:rFonts w:hAnsi="黑体" w:cs="宋体"/>
      <w:kern w:val="44"/>
      <w:sz w:val="32"/>
    </w:rPr>
  </w:style>
  <w:style w:type="paragraph" w:customStyle="1" w:styleId="246">
    <w:name w:val="xl30"/>
    <w:basedOn w:val="1"/>
    <w:qFormat/>
    <w:uiPriority w:val="0"/>
    <w:pPr>
      <w:widowControl/>
      <w:spacing w:before="100" w:beforeAutospacing="1" w:after="100" w:afterAutospacing="1"/>
      <w:jc w:val="left"/>
    </w:pPr>
    <w:rPr>
      <w:rFonts w:ascii="Calibri" w:hAnsi="Calibri" w:eastAsia="Arial Unicode MS"/>
      <w:kern w:val="0"/>
      <w:sz w:val="24"/>
    </w:rPr>
  </w:style>
  <w:style w:type="paragraph" w:styleId="247">
    <w:name w:val="List Paragraph"/>
    <w:basedOn w:val="1"/>
    <w:qFormat/>
    <w:uiPriority w:val="0"/>
    <w:pPr>
      <w:ind w:firstLine="420" w:firstLineChars="200"/>
    </w:pPr>
    <w:rPr>
      <w:rFonts w:ascii="Calibri" w:hAnsi="Calibri"/>
    </w:rPr>
  </w:style>
  <w:style w:type="paragraph" w:customStyle="1" w:styleId="248">
    <w:name w:val="Char Char Char Char1"/>
    <w:basedOn w:val="1"/>
    <w:qFormat/>
    <w:uiPriority w:val="0"/>
    <w:rPr>
      <w:rFonts w:ascii="Tahoma" w:hAnsi="Tahoma"/>
      <w:sz w:val="24"/>
      <w:szCs w:val="20"/>
    </w:rPr>
  </w:style>
  <w:style w:type="paragraph" w:customStyle="1" w:styleId="249">
    <w:name w:val="Char2"/>
    <w:basedOn w:val="1"/>
    <w:qFormat/>
    <w:uiPriority w:val="0"/>
    <w:rPr>
      <w:rFonts w:ascii="Tahoma" w:hAnsi="Tahoma"/>
      <w:sz w:val="24"/>
      <w:szCs w:val="20"/>
    </w:rPr>
  </w:style>
  <w:style w:type="paragraph" w:customStyle="1" w:styleId="250">
    <w:name w:val="菲页(卷)"/>
    <w:basedOn w:val="4"/>
    <w:next w:val="227"/>
    <w:qFormat/>
    <w:uiPriority w:val="0"/>
    <w:pPr>
      <w:numPr>
        <w:numId w:val="0"/>
      </w:numPr>
      <w:ind w:left="432" w:hanging="432"/>
      <w:outlineLvl w:val="1"/>
    </w:pPr>
    <w:rPr>
      <w:rFonts w:hAnsi="Calibri"/>
    </w:rPr>
  </w:style>
  <w:style w:type="character" w:customStyle="1" w:styleId="251">
    <w:name w:val="正文首行缩进 Char1"/>
    <w:basedOn w:val="177"/>
    <w:link w:val="47"/>
    <w:qFormat/>
    <w:uiPriority w:val="0"/>
  </w:style>
  <w:style w:type="paragraph" w:customStyle="1" w:styleId="252">
    <w:name w:val="xl85"/>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8"/>
      <w:szCs w:val="28"/>
    </w:rPr>
  </w:style>
  <w:style w:type="paragraph" w:customStyle="1" w:styleId="253">
    <w:name w:val="xl28"/>
    <w:basedOn w:val="1"/>
    <w:qFormat/>
    <w:uiPriority w:val="0"/>
    <w:pPr>
      <w:widowControl/>
      <w:spacing w:before="100" w:beforeAutospacing="1" w:after="100" w:afterAutospacing="1"/>
      <w:jc w:val="left"/>
    </w:pPr>
    <w:rPr>
      <w:rFonts w:ascii="Arial Unicode MS" w:hAnsi="Arial Unicode MS" w:eastAsia="Arial Unicode MS" w:cs="Arial Unicode MS"/>
      <w:kern w:val="0"/>
      <w:sz w:val="24"/>
    </w:rPr>
  </w:style>
  <w:style w:type="paragraph" w:customStyle="1" w:styleId="254">
    <w:name w:val="xl67"/>
    <w:basedOn w:val="1"/>
    <w:qFormat/>
    <w:uiPriority w:val="0"/>
    <w:pPr>
      <w:widowControl/>
      <w:pBdr>
        <w:top w:val="single" w:color="auto" w:sz="4" w:space="0"/>
        <w:left w:val="single" w:color="auto" w:sz="4" w:space="0"/>
        <w:bottom w:val="single" w:color="auto" w:sz="4" w:space="0"/>
      </w:pBdr>
      <w:shd w:val="clear" w:color="FFFFFF" w:fill="FFFFFF"/>
      <w:spacing w:before="100" w:beforeAutospacing="1" w:after="100" w:afterAutospacing="1"/>
      <w:jc w:val="center"/>
      <w:textAlignment w:val="center"/>
    </w:pPr>
    <w:rPr>
      <w:rFonts w:ascii="宋体" w:hAnsi="宋体" w:cs="宋体"/>
      <w:color w:val="000000"/>
      <w:kern w:val="0"/>
      <w:sz w:val="28"/>
      <w:szCs w:val="28"/>
    </w:rPr>
  </w:style>
  <w:style w:type="paragraph" w:customStyle="1" w:styleId="255">
    <w:name w:val="font12"/>
    <w:basedOn w:val="1"/>
    <w:qFormat/>
    <w:uiPriority w:val="0"/>
    <w:pPr>
      <w:widowControl/>
      <w:spacing w:before="100" w:beforeAutospacing="1" w:after="100" w:afterAutospacing="1"/>
      <w:jc w:val="left"/>
    </w:pPr>
    <w:rPr>
      <w:rFonts w:ascii="Calibri" w:hAnsi="Calibri" w:eastAsia="Arial Unicode MS"/>
      <w:color w:val="000000"/>
      <w:kern w:val="0"/>
      <w:sz w:val="24"/>
    </w:rPr>
  </w:style>
  <w:style w:type="paragraph" w:customStyle="1" w:styleId="256">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257">
    <w:name w:val="纯文本1"/>
    <w:basedOn w:val="1"/>
    <w:qFormat/>
    <w:uiPriority w:val="0"/>
    <w:pPr>
      <w:adjustRightInd w:val="0"/>
      <w:textAlignment w:val="baseline"/>
    </w:pPr>
    <w:rPr>
      <w:rFonts w:ascii="宋体" w:hAnsi="Courier New"/>
      <w:szCs w:val="20"/>
    </w:rPr>
  </w:style>
  <w:style w:type="paragraph" w:customStyle="1" w:styleId="258">
    <w:name w:val="简单回函地址"/>
    <w:basedOn w:val="1"/>
    <w:qFormat/>
    <w:uiPriority w:val="0"/>
    <w:rPr>
      <w:rFonts w:ascii="Calibri" w:hAnsi="Calibri"/>
    </w:rPr>
  </w:style>
  <w:style w:type="paragraph" w:customStyle="1" w:styleId="259">
    <w:name w:val="节标题"/>
    <w:basedOn w:val="1"/>
    <w:next w:val="1"/>
    <w:qFormat/>
    <w:uiPriority w:val="0"/>
    <w:pPr>
      <w:widowControl/>
      <w:spacing w:line="289" w:lineRule="atLeast"/>
      <w:jc w:val="center"/>
      <w:textAlignment w:val="baseline"/>
    </w:pPr>
    <w:rPr>
      <w:rFonts w:ascii="Calibri" w:hAnsi="Calibri"/>
      <w:color w:val="000000"/>
      <w:kern w:val="0"/>
      <w:sz w:val="28"/>
      <w:szCs w:val="20"/>
      <w:u w:color="000000"/>
    </w:rPr>
  </w:style>
  <w:style w:type="paragraph" w:customStyle="1" w:styleId="260">
    <w:name w:val="公文正文"/>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261">
    <w:name w:val="xl83"/>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28"/>
      <w:szCs w:val="28"/>
    </w:rPr>
  </w:style>
  <w:style w:type="paragraph" w:customStyle="1" w:styleId="262">
    <w:name w:val="目录文字"/>
    <w:basedOn w:val="1"/>
    <w:qFormat/>
    <w:uiPriority w:val="0"/>
    <w:pPr>
      <w:widowControl/>
      <w:spacing w:line="480" w:lineRule="auto"/>
      <w:jc w:val="left"/>
    </w:pPr>
    <w:rPr>
      <w:rFonts w:ascii="宋体" w:hAnsi="宋体"/>
      <w:kern w:val="0"/>
      <w:sz w:val="24"/>
      <w:szCs w:val="20"/>
    </w:rPr>
  </w:style>
  <w:style w:type="paragraph" w:customStyle="1" w:styleId="263">
    <w:name w:val="xl91"/>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264">
    <w:name w:val="xl37"/>
    <w:basedOn w:val="1"/>
    <w:qFormat/>
    <w:uiPriority w:val="0"/>
    <w:pPr>
      <w:widowControl/>
      <w:pBdr>
        <w:bottom w:val="single" w:color="auto" w:sz="4" w:space="0"/>
        <w:right w:val="single" w:color="auto" w:sz="4" w:space="0"/>
      </w:pBdr>
      <w:spacing w:before="100" w:beforeAutospacing="1" w:after="100" w:afterAutospacing="1"/>
      <w:textAlignment w:val="center"/>
    </w:pPr>
    <w:rPr>
      <w:rFonts w:ascii="宋体" w:hAnsi="宋体"/>
      <w:kern w:val="0"/>
      <w:szCs w:val="21"/>
    </w:rPr>
  </w:style>
  <w:style w:type="paragraph" w:customStyle="1" w:styleId="265">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8"/>
      <w:szCs w:val="28"/>
    </w:rPr>
  </w:style>
  <w:style w:type="paragraph" w:customStyle="1" w:styleId="266">
    <w:name w:val="Char Char1 Char"/>
    <w:basedOn w:val="1"/>
    <w:qFormat/>
    <w:uiPriority w:val="0"/>
    <w:rPr>
      <w:rFonts w:ascii="Calibri" w:hAnsi="Calibri"/>
    </w:rPr>
  </w:style>
  <w:style w:type="paragraph" w:customStyle="1" w:styleId="267">
    <w:name w:val="normalweb"/>
    <w:basedOn w:val="1"/>
    <w:qFormat/>
    <w:uiPriority w:val="0"/>
    <w:pPr>
      <w:widowControl/>
      <w:spacing w:before="100" w:beforeAutospacing="1" w:after="100" w:afterAutospacing="1" w:line="360" w:lineRule="auto"/>
      <w:ind w:firstLine="420"/>
      <w:jc w:val="left"/>
    </w:pPr>
    <w:rPr>
      <w:rFonts w:ascii="宋体" w:hAnsi="宋体" w:cs="宋体"/>
      <w:kern w:val="0"/>
      <w:sz w:val="24"/>
    </w:rPr>
  </w:style>
  <w:style w:type="paragraph" w:customStyle="1" w:styleId="268">
    <w:name w:val="font8"/>
    <w:basedOn w:val="1"/>
    <w:qFormat/>
    <w:uiPriority w:val="0"/>
    <w:pPr>
      <w:widowControl/>
      <w:spacing w:before="100" w:beforeAutospacing="1" w:after="100" w:afterAutospacing="1"/>
      <w:jc w:val="left"/>
    </w:pPr>
    <w:rPr>
      <w:rFonts w:hint="eastAsia" w:ascii="宋体" w:hAnsi="宋体" w:cs="Arial Unicode MS"/>
      <w:kern w:val="0"/>
      <w:sz w:val="22"/>
      <w:szCs w:val="22"/>
    </w:rPr>
  </w:style>
  <w:style w:type="paragraph" w:customStyle="1" w:styleId="269">
    <w:name w:val="Char Char Char Char Char Char Char1"/>
    <w:basedOn w:val="1"/>
    <w:qFormat/>
    <w:uiPriority w:val="0"/>
    <w:rPr>
      <w:rFonts w:ascii="仿宋_GB2312" w:hAnsi="Calibri" w:eastAsia="仿宋_GB2312"/>
      <w:b/>
      <w:sz w:val="32"/>
      <w:szCs w:val="32"/>
    </w:rPr>
  </w:style>
  <w:style w:type="paragraph" w:customStyle="1" w:styleId="270">
    <w:name w:val="表格文字"/>
    <w:basedOn w:val="1"/>
    <w:qFormat/>
    <w:uiPriority w:val="0"/>
    <w:pPr>
      <w:adjustRightInd w:val="0"/>
      <w:snapToGrid w:val="0"/>
      <w:spacing w:beforeLines="20" w:line="360" w:lineRule="auto"/>
      <w:ind w:left="-51" w:leftChars="-51" w:hanging="107" w:hangingChars="51"/>
      <w:jc w:val="center"/>
    </w:pPr>
    <w:rPr>
      <w:rFonts w:ascii="Calibri" w:hAnsi="Calibri"/>
      <w:color w:val="000000"/>
    </w:rPr>
  </w:style>
  <w:style w:type="paragraph" w:customStyle="1" w:styleId="271">
    <w:name w:val="图表文字"/>
    <w:basedOn w:val="1"/>
    <w:qFormat/>
    <w:uiPriority w:val="0"/>
    <w:pPr>
      <w:widowControl/>
      <w:adjustRightInd w:val="0"/>
      <w:spacing w:before="120" w:after="120"/>
      <w:jc w:val="center"/>
    </w:pPr>
    <w:rPr>
      <w:rFonts w:ascii="黑体" w:hAnsi="Calibri" w:eastAsia="黑体"/>
      <w:kern w:val="0"/>
      <w:sz w:val="28"/>
      <w:szCs w:val="20"/>
    </w:rPr>
  </w:style>
  <w:style w:type="paragraph" w:customStyle="1" w:styleId="272">
    <w:name w:val="xl32"/>
    <w:basedOn w:val="1"/>
    <w:qFormat/>
    <w:uiPriority w:val="0"/>
    <w:pPr>
      <w:widowControl/>
      <w:spacing w:before="100" w:beforeAutospacing="1" w:after="100" w:afterAutospacing="1"/>
      <w:jc w:val="left"/>
    </w:pPr>
    <w:rPr>
      <w:rFonts w:ascii="Calibri" w:hAnsi="Calibri" w:eastAsia="Arial Unicode MS"/>
      <w:b/>
      <w:bCs/>
      <w:kern w:val="0"/>
      <w:sz w:val="24"/>
    </w:rPr>
  </w:style>
  <w:style w:type="paragraph" w:customStyle="1" w:styleId="273">
    <w:name w:val="font5"/>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274">
    <w:name w:val="xl81"/>
    <w:basedOn w:val="1"/>
    <w:qFormat/>
    <w:uiPriority w:val="0"/>
    <w:pPr>
      <w:widowControl/>
      <w:pBdr>
        <w:top w:val="single" w:color="000000" w:sz="4" w:space="0"/>
        <w:left w:val="single" w:color="000000" w:sz="4" w:space="0"/>
        <w:bottom w:val="single" w:color="000000" w:sz="4" w:space="0"/>
      </w:pBdr>
      <w:spacing w:before="100" w:beforeAutospacing="1" w:after="100" w:afterAutospacing="1"/>
      <w:jc w:val="left"/>
      <w:textAlignment w:val="center"/>
    </w:pPr>
    <w:rPr>
      <w:rFonts w:ascii="宋体" w:hAnsi="宋体" w:cs="宋体"/>
      <w:color w:val="000000"/>
      <w:kern w:val="0"/>
      <w:sz w:val="28"/>
      <w:szCs w:val="28"/>
    </w:rPr>
  </w:style>
  <w:style w:type="paragraph" w:customStyle="1" w:styleId="275">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8"/>
      <w:szCs w:val="28"/>
    </w:rPr>
  </w:style>
  <w:style w:type="paragraph" w:styleId="276">
    <w:name w:val="No Spacing"/>
    <w:qFormat/>
    <w:uiPriority w:val="0"/>
    <w:pPr>
      <w:widowControl w:val="0"/>
      <w:jc w:val="both"/>
    </w:pPr>
    <w:rPr>
      <w:rFonts w:ascii="Calibri" w:hAnsi="Calibri" w:eastAsia="宋体" w:cs="Times New Roman"/>
      <w:kern w:val="2"/>
      <w:sz w:val="21"/>
      <w:lang w:val="en-US" w:eastAsia="zh-CN" w:bidi="ar-SA"/>
    </w:rPr>
  </w:style>
  <w:style w:type="paragraph" w:customStyle="1" w:styleId="277">
    <w:name w:val="标题1"/>
    <w:basedOn w:val="5"/>
    <w:qFormat/>
    <w:uiPriority w:val="0"/>
    <w:pPr>
      <w:spacing w:line="416" w:lineRule="auto"/>
      <w:ind w:firstLine="112" w:firstLineChars="40"/>
    </w:pPr>
    <w:rPr>
      <w:rFonts w:ascii="宋体" w:hAnsi="宋体" w:eastAsia="宋体"/>
      <w:color w:val="000000"/>
      <w:kern w:val="2"/>
      <w:sz w:val="28"/>
      <w:szCs w:val="28"/>
    </w:rPr>
  </w:style>
  <w:style w:type="paragraph" w:customStyle="1" w:styleId="278">
    <w:name w:val="xl88"/>
    <w:basedOn w:val="1"/>
    <w:qFormat/>
    <w:uiPriority w:val="0"/>
    <w:pPr>
      <w:widowControl/>
      <w:pBdr>
        <w:top w:val="single" w:color="auto" w:sz="4" w:space="0"/>
        <w:right w:val="single" w:color="auto" w:sz="4" w:space="0"/>
      </w:pBdr>
      <w:spacing w:before="100" w:beforeAutospacing="1" w:after="100" w:afterAutospacing="1"/>
      <w:jc w:val="left"/>
      <w:textAlignment w:val="center"/>
    </w:pPr>
    <w:rPr>
      <w:rFonts w:ascii="宋体" w:hAnsi="宋体" w:cs="宋体"/>
      <w:kern w:val="0"/>
      <w:sz w:val="28"/>
      <w:szCs w:val="28"/>
    </w:rPr>
  </w:style>
  <w:style w:type="paragraph" w:customStyle="1" w:styleId="279">
    <w:name w:val="xl2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Calibri" w:hAnsi="Calibri"/>
      <w:kern w:val="0"/>
      <w:szCs w:val="21"/>
    </w:rPr>
  </w:style>
  <w:style w:type="paragraph" w:customStyle="1" w:styleId="28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8"/>
      <w:szCs w:val="28"/>
    </w:rPr>
  </w:style>
  <w:style w:type="paragraph" w:customStyle="1" w:styleId="281">
    <w:name w:val="xl80"/>
    <w:basedOn w:val="1"/>
    <w:qFormat/>
    <w:uiPriority w:val="0"/>
    <w:pPr>
      <w:widowControl/>
      <w:pBdr>
        <w:top w:val="single" w:color="000000" w:sz="4" w:space="0"/>
        <w:left w:val="single" w:color="000000" w:sz="4" w:space="0"/>
        <w:bottom w:val="single" w:color="000000" w:sz="4" w:space="0"/>
      </w:pBdr>
      <w:shd w:val="clear" w:color="FFFFFF" w:fill="FFFFFF"/>
      <w:spacing w:before="100" w:beforeAutospacing="1" w:after="100" w:afterAutospacing="1"/>
      <w:jc w:val="left"/>
      <w:textAlignment w:val="center"/>
    </w:pPr>
    <w:rPr>
      <w:rFonts w:ascii="宋体" w:hAnsi="宋体" w:cs="宋体"/>
      <w:color w:val="000000"/>
      <w:kern w:val="0"/>
      <w:sz w:val="28"/>
      <w:szCs w:val="28"/>
    </w:rPr>
  </w:style>
  <w:style w:type="paragraph" w:customStyle="1" w:styleId="282">
    <w:name w:val="_Style 2"/>
    <w:basedOn w:val="1"/>
    <w:qFormat/>
    <w:uiPriority w:val="0"/>
    <w:rPr>
      <w:rFonts w:ascii="Calibri" w:hAnsi="Calibri"/>
    </w:rPr>
  </w:style>
  <w:style w:type="paragraph" w:customStyle="1" w:styleId="283">
    <w:name w:val="xl52"/>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b/>
      <w:bCs/>
      <w:kern w:val="0"/>
      <w:sz w:val="32"/>
      <w:szCs w:val="32"/>
    </w:rPr>
  </w:style>
  <w:style w:type="paragraph" w:customStyle="1" w:styleId="284">
    <w:name w:val="font9"/>
    <w:basedOn w:val="1"/>
    <w:qFormat/>
    <w:uiPriority w:val="0"/>
    <w:pPr>
      <w:widowControl/>
      <w:spacing w:before="100" w:beforeAutospacing="1" w:after="100" w:afterAutospacing="1"/>
      <w:jc w:val="left"/>
    </w:pPr>
    <w:rPr>
      <w:rFonts w:ascii="Calibri" w:hAnsi="Calibri" w:eastAsia="Arial Unicode MS"/>
      <w:kern w:val="0"/>
      <w:sz w:val="24"/>
    </w:rPr>
  </w:style>
  <w:style w:type="paragraph" w:customStyle="1" w:styleId="285">
    <w:name w:val="Char Char Char Char Char Char Char Char Char Char"/>
    <w:basedOn w:val="1"/>
    <w:qFormat/>
    <w:uiPriority w:val="0"/>
    <w:rPr>
      <w:rFonts w:ascii="仿宋_GB2312" w:hAnsi="Calibri" w:eastAsia="仿宋_GB2312"/>
      <w:b/>
      <w:sz w:val="32"/>
      <w:szCs w:val="32"/>
    </w:rPr>
  </w:style>
  <w:style w:type="paragraph" w:customStyle="1" w:styleId="286">
    <w:name w:val="正文文本1"/>
    <w:basedOn w:val="1"/>
    <w:qFormat/>
    <w:uiPriority w:val="0"/>
    <w:rPr>
      <w:rFonts w:ascii="宋体" w:hAnsi="宋体"/>
      <w:sz w:val="30"/>
      <w:szCs w:val="20"/>
    </w:rPr>
  </w:style>
  <w:style w:type="paragraph" w:customStyle="1" w:styleId="287">
    <w:name w:val="正文文本11"/>
    <w:basedOn w:val="1"/>
    <w:qFormat/>
    <w:uiPriority w:val="0"/>
    <w:rPr>
      <w:rFonts w:ascii="宋体" w:hAnsi="Calibri" w:cs="宋体"/>
      <w:sz w:val="30"/>
      <w:szCs w:val="30"/>
    </w:rPr>
  </w:style>
  <w:style w:type="paragraph" w:customStyle="1" w:styleId="288">
    <w:name w:val="_Style 13"/>
    <w:basedOn w:val="15"/>
    <w:qFormat/>
    <w:uiPriority w:val="0"/>
    <w:pPr>
      <w:widowControl w:val="0"/>
      <w:shd w:val="clear" w:color="auto" w:fill="000080"/>
    </w:pPr>
    <w:rPr>
      <w:rFonts w:ascii="Times New Roman" w:hAnsi="Times New Roman"/>
    </w:rPr>
  </w:style>
  <w:style w:type="paragraph" w:customStyle="1" w:styleId="289">
    <w:name w:val="1"/>
    <w:basedOn w:val="1"/>
    <w:next w:val="1"/>
    <w:qFormat/>
    <w:uiPriority w:val="0"/>
    <w:rPr>
      <w:rFonts w:ascii="Calibri" w:hAnsi="Calibri"/>
    </w:rPr>
  </w:style>
  <w:style w:type="paragraph" w:customStyle="1" w:styleId="290">
    <w:name w:val="xl90"/>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宋体" w:hAnsi="宋体" w:cs="宋体"/>
      <w:kern w:val="0"/>
      <w:sz w:val="24"/>
    </w:rPr>
  </w:style>
  <w:style w:type="paragraph" w:customStyle="1" w:styleId="291">
    <w:name w:val="xl35"/>
    <w:basedOn w:val="1"/>
    <w:qFormat/>
    <w:uiPriority w:val="0"/>
    <w:pPr>
      <w:widowControl/>
      <w:spacing w:before="100" w:beforeAutospacing="1" w:after="100" w:afterAutospacing="1"/>
      <w:jc w:val="center"/>
    </w:pPr>
    <w:rPr>
      <w:rFonts w:ascii="Arial Unicode MS" w:hAnsi="Arial Unicode MS" w:eastAsia="Arial Unicode MS" w:cs="Arial Unicode MS"/>
      <w:b/>
      <w:bCs/>
      <w:kern w:val="0"/>
      <w:sz w:val="22"/>
      <w:szCs w:val="22"/>
    </w:rPr>
  </w:style>
  <w:style w:type="paragraph" w:customStyle="1" w:styleId="292">
    <w:name w:val="菲页2"/>
    <w:basedOn w:val="6"/>
    <w:qFormat/>
    <w:uiPriority w:val="0"/>
    <w:pPr>
      <w:widowControl/>
      <w:tabs>
        <w:tab w:val="left" w:pos="720"/>
      </w:tabs>
      <w:spacing w:before="120" w:after="120" w:line="360" w:lineRule="auto"/>
      <w:ind w:left="720" w:hanging="720"/>
      <w:jc w:val="center"/>
    </w:pPr>
    <w:rPr>
      <w:rFonts w:ascii="黑体" w:hAnsi="宋体" w:eastAsia="黑体"/>
      <w:b w:val="0"/>
      <w:bCs w:val="0"/>
      <w:kern w:val="0"/>
      <w:sz w:val="44"/>
      <w:szCs w:val="20"/>
    </w:rPr>
  </w:style>
  <w:style w:type="character" w:customStyle="1" w:styleId="293">
    <w:name w:val="button"/>
    <w:basedOn w:val="50"/>
    <w:qFormat/>
    <w:uiPriority w:val="0"/>
  </w:style>
  <w:style w:type="character" w:customStyle="1" w:styleId="294">
    <w:name w:val="hover3"/>
    <w:basedOn w:val="50"/>
    <w:qFormat/>
    <w:uiPriority w:val="0"/>
    <w:rPr>
      <w:shd w:val="clear" w:color="auto" w:fill="EEEEEE"/>
    </w:rPr>
  </w:style>
  <w:style w:type="character" w:customStyle="1" w:styleId="295">
    <w:name w:val="old"/>
    <w:basedOn w:val="50"/>
    <w:qFormat/>
    <w:uiPriority w:val="0"/>
    <w:rPr>
      <w:color w:val="999999"/>
    </w:rPr>
  </w:style>
  <w:style w:type="character" w:customStyle="1" w:styleId="296">
    <w:name w:val="glyphicon4"/>
    <w:basedOn w:val="50"/>
    <w:qFormat/>
    <w:uiPriority w:val="0"/>
  </w:style>
  <w:style w:type="character" w:customStyle="1" w:styleId="297">
    <w:name w:val="hour_am"/>
    <w:basedOn w:val="50"/>
    <w:qFormat/>
    <w:uiPriority w:val="0"/>
  </w:style>
  <w:style w:type="character" w:customStyle="1" w:styleId="298">
    <w:name w:val="hour_pm"/>
    <w:basedOn w:val="50"/>
    <w:qFormat/>
    <w:uiPriority w:val="0"/>
  </w:style>
  <w:style w:type="character" w:customStyle="1" w:styleId="299">
    <w:name w:val="tmpztreemove_arrow"/>
    <w:basedOn w:val="50"/>
    <w:qFormat/>
    <w:uiPriority w:val="0"/>
    <w:rPr>
      <w:shd w:val="clear" w:color="auto" w:fill="FFFFFF"/>
    </w:rPr>
  </w:style>
  <w:style w:type="character" w:customStyle="1" w:styleId="300">
    <w:name w:val="indent"/>
    <w:basedOn w:val="50"/>
    <w:qFormat/>
    <w:uiPriority w:val="0"/>
  </w:style>
  <w:style w:type="paragraph" w:customStyle="1" w:styleId="301">
    <w:name w:val="title1"/>
    <w:basedOn w:val="1"/>
    <w:qFormat/>
    <w:uiPriority w:val="0"/>
    <w:pPr>
      <w:spacing w:before="150" w:line="450" w:lineRule="atLeast"/>
      <w:jc w:val="left"/>
    </w:pPr>
    <w:rPr>
      <w:b/>
      <w:kern w:val="0"/>
      <w:sz w:val="24"/>
    </w:rPr>
  </w:style>
  <w:style w:type="character" w:customStyle="1" w:styleId="302">
    <w:name w:val="hover2"/>
    <w:basedOn w:val="50"/>
    <w:qFormat/>
    <w:uiPriority w:val="0"/>
    <w:rPr>
      <w:shd w:val="clear" w:color="auto" w:fill="EEEEEE"/>
    </w:rPr>
  </w:style>
  <w:style w:type="paragraph" w:customStyle="1" w:styleId="30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104</Pages>
  <Words>8279</Words>
  <Characters>47195</Characters>
  <Lines>393</Lines>
  <Paragraphs>110</Paragraphs>
  <TotalTime>3</TotalTime>
  <ScaleCrop>false</ScaleCrop>
  <LinksUpToDate>false</LinksUpToDate>
  <CharactersWithSpaces>55364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2018-05-08T10:49:00Z</dcterms:created>
  <dc:creator>東山花燈路丶</dc:creator>
  <cp:lastModifiedBy>Administrator</cp:lastModifiedBy>
  <dcterms:modified xsi:type="dcterms:W3CDTF">2021-05-28T07:34:58Z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12F8A1CAD7FC49468133AB10ED579A97</vt:lpwstr>
  </property>
</Properties>
</file>