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620"/>
          <w:tab w:val="left" w:pos="5145"/>
        </w:tabs>
        <w:spacing w:line="460" w:lineRule="exact"/>
        <w:outlineLvl w:val="0"/>
        <w:rPr>
          <w:rFonts w:hint="eastAsia" w:ascii="宋体" w:hAnsi="宋体" w:eastAsia="宋体"/>
          <w:b/>
          <w:sz w:val="32"/>
          <w:highlight w:val="none"/>
          <w:lang w:eastAsia="zh-CN"/>
        </w:rPr>
      </w:pPr>
      <w:bookmarkStart w:id="0" w:name="_Toc331665284"/>
      <w:bookmarkStart w:id="1" w:name="_Toc339114105"/>
      <w:bookmarkStart w:id="2" w:name="_Toc339012116"/>
      <w:r>
        <w:rPr>
          <w:rFonts w:ascii="宋体" w:hAnsi="宋体"/>
          <w:b/>
          <w:sz w:val="32"/>
          <w:highlight w:val="none"/>
        </w:rPr>
        <w:t xml:space="preserve"> </w:t>
      </w:r>
      <w:bookmarkEnd w:id="0"/>
      <w:bookmarkEnd w:id="1"/>
      <w:bookmarkEnd w:id="2"/>
      <w:bookmarkStart w:id="3" w:name="_Toc19660"/>
      <w:r>
        <w:rPr>
          <w:rFonts w:hint="eastAsia" w:ascii="宋体" w:hAnsi="宋体"/>
          <w:b/>
          <w:sz w:val="32"/>
          <w:highlight w:val="none"/>
          <w:lang w:eastAsia="zh-CN"/>
        </w:rPr>
        <w:t>代理编号</w:t>
      </w:r>
      <w:r>
        <w:rPr>
          <w:rFonts w:hint="eastAsia" w:ascii="宋体" w:hAnsi="宋体"/>
          <w:b/>
          <w:sz w:val="32"/>
          <w:highlight w:val="none"/>
        </w:rPr>
        <w:t>：</w:t>
      </w:r>
      <w:bookmarkEnd w:id="3"/>
      <w:r>
        <w:rPr>
          <w:rFonts w:hint="eastAsia" w:ascii="宋体" w:hAnsi="宋体"/>
          <w:b/>
          <w:sz w:val="32"/>
          <w:highlight w:val="none"/>
        </w:rPr>
        <w:t>SXJTZB-ZC-GK20201129</w:t>
      </w:r>
    </w:p>
    <w:p>
      <w:pPr>
        <w:tabs>
          <w:tab w:val="left" w:pos="4620"/>
          <w:tab w:val="left" w:pos="5145"/>
        </w:tabs>
        <w:spacing w:line="460" w:lineRule="exact"/>
        <w:outlineLvl w:val="0"/>
        <w:rPr>
          <w:rFonts w:hint="default" w:ascii="宋体" w:hAnsi="宋体"/>
          <w:b/>
          <w:sz w:val="32"/>
          <w:highlight w:val="none"/>
          <w:lang w:val="en-US" w:eastAsia="zh-CN"/>
        </w:rPr>
      </w:pPr>
      <w:r>
        <w:rPr>
          <w:rFonts w:hint="eastAsia" w:ascii="宋体" w:hAnsi="宋体"/>
          <w:b/>
          <w:sz w:val="32"/>
          <w:highlight w:val="none"/>
          <w:lang w:val="en-US" w:eastAsia="zh-CN"/>
        </w:rPr>
        <w:t xml:space="preserve"> </w:t>
      </w:r>
      <w:bookmarkStart w:id="4" w:name="_Toc22860"/>
      <w:r>
        <w:rPr>
          <w:rFonts w:hint="eastAsia" w:ascii="宋体" w:hAnsi="宋体"/>
          <w:b/>
          <w:sz w:val="32"/>
          <w:highlight w:val="none"/>
          <w:lang w:val="en-US" w:eastAsia="zh-CN"/>
        </w:rPr>
        <w:t>项目编号：</w:t>
      </w:r>
      <w:bookmarkEnd w:id="4"/>
      <w:r>
        <w:rPr>
          <w:rFonts w:hint="eastAsia" w:ascii="宋体" w:hAnsi="宋体"/>
          <w:b/>
          <w:sz w:val="32"/>
          <w:highlight w:val="none"/>
        </w:rPr>
        <w:t>XXGC-2020-000034-4</w:t>
      </w:r>
    </w:p>
    <w:p>
      <w:pPr>
        <w:tabs>
          <w:tab w:val="left" w:pos="4620"/>
          <w:tab w:val="left" w:pos="5145"/>
        </w:tabs>
        <w:spacing w:line="460" w:lineRule="exact"/>
        <w:outlineLvl w:val="0"/>
        <w:rPr>
          <w:rFonts w:hint="eastAsia" w:ascii="宋体" w:hAnsi="宋体"/>
          <w:b/>
          <w:sz w:val="32"/>
          <w:highlight w:val="none"/>
          <w:lang w:eastAsia="zh-CN"/>
        </w:rPr>
      </w:pPr>
    </w:p>
    <w:p>
      <w:pPr>
        <w:tabs>
          <w:tab w:val="left" w:pos="4620"/>
          <w:tab w:val="left" w:pos="5145"/>
        </w:tabs>
        <w:spacing w:line="460" w:lineRule="exact"/>
        <w:outlineLvl w:val="0"/>
        <w:rPr>
          <w:rFonts w:hint="eastAsia" w:ascii="宋体" w:hAnsi="宋体"/>
          <w:b/>
          <w:sz w:val="32"/>
          <w:highlight w:val="none"/>
          <w:lang w:eastAsia="zh-CN"/>
        </w:rPr>
      </w:pPr>
    </w:p>
    <w:p>
      <w:pPr>
        <w:tabs>
          <w:tab w:val="left" w:pos="5145"/>
        </w:tabs>
        <w:spacing w:line="360" w:lineRule="auto"/>
        <w:ind w:right="277" w:rightChars="132"/>
        <w:jc w:val="center"/>
        <w:rPr>
          <w:rFonts w:ascii="宋体"/>
          <w:sz w:val="32"/>
          <w:szCs w:val="32"/>
          <w:highlight w:val="none"/>
        </w:rPr>
      </w:pPr>
      <w:r>
        <w:rPr>
          <w:rFonts w:hint="eastAsia" w:ascii="宋体"/>
          <w:b/>
          <w:bCs/>
          <w:sz w:val="32"/>
          <w:szCs w:val="32"/>
          <w:highlight w:val="none"/>
        </w:rPr>
        <w:t>斗门街办镐京遗址文物勘探和发掘项目（花园村、官庄村）集体土地建筑物拆除、地面破碎、垃圾清运、苗木清表</w:t>
      </w:r>
    </w:p>
    <w:p>
      <w:pPr>
        <w:tabs>
          <w:tab w:val="left" w:pos="7770"/>
        </w:tabs>
        <w:ind w:firstLine="100" w:firstLineChars="42"/>
        <w:jc w:val="left"/>
        <w:rPr>
          <w:rFonts w:ascii="宋体"/>
          <w:szCs w:val="21"/>
          <w:highlight w:val="none"/>
        </w:rPr>
      </w:pPr>
      <w:r>
        <w:rPr>
          <w:rFonts w:ascii="宋体"/>
          <w:sz w:val="24"/>
          <w:highlight w:val="none"/>
        </w:rPr>
        <w:tab/>
      </w:r>
    </w:p>
    <w:p>
      <w:pPr>
        <w:ind w:firstLine="88" w:firstLineChars="42"/>
        <w:jc w:val="center"/>
        <w:rPr>
          <w:rFonts w:ascii="宋体"/>
          <w:szCs w:val="21"/>
          <w:highlight w:val="none"/>
        </w:rPr>
      </w:pPr>
    </w:p>
    <w:p>
      <w:pPr>
        <w:ind w:firstLine="88" w:firstLineChars="42"/>
        <w:jc w:val="center"/>
        <w:rPr>
          <w:rFonts w:ascii="宋体"/>
          <w:szCs w:val="21"/>
          <w:highlight w:val="none"/>
        </w:rPr>
      </w:pPr>
    </w:p>
    <w:p>
      <w:pPr>
        <w:ind w:firstLine="2326" w:firstLineChars="277"/>
        <w:rPr>
          <w:rFonts w:hint="eastAsia" w:ascii="宋体" w:hAnsi="宋体"/>
          <w:b/>
          <w:sz w:val="84"/>
          <w:szCs w:val="84"/>
          <w:highlight w:val="none"/>
        </w:rPr>
      </w:pPr>
    </w:p>
    <w:p>
      <w:pPr>
        <w:ind w:firstLine="2326" w:firstLineChars="277"/>
        <w:rPr>
          <w:rFonts w:ascii="宋体"/>
          <w:b/>
          <w:sz w:val="84"/>
          <w:szCs w:val="84"/>
          <w:highlight w:val="none"/>
        </w:rPr>
      </w:pPr>
      <w:r>
        <w:rPr>
          <w:rFonts w:hint="eastAsia" w:ascii="宋体" w:hAnsi="宋体"/>
          <w:b/>
          <w:sz w:val="84"/>
          <w:szCs w:val="84"/>
          <w:highlight w:val="none"/>
        </w:rPr>
        <w:t>招</w:t>
      </w:r>
      <w:r>
        <w:rPr>
          <w:rFonts w:ascii="宋体" w:hAnsi="宋体"/>
          <w:b/>
          <w:sz w:val="84"/>
          <w:szCs w:val="84"/>
          <w:highlight w:val="none"/>
        </w:rPr>
        <w:t xml:space="preserve"> </w:t>
      </w:r>
      <w:r>
        <w:rPr>
          <w:rFonts w:hint="eastAsia" w:ascii="宋体" w:hAnsi="宋体"/>
          <w:b/>
          <w:sz w:val="84"/>
          <w:szCs w:val="84"/>
          <w:highlight w:val="none"/>
        </w:rPr>
        <w:t>标</w:t>
      </w:r>
      <w:r>
        <w:rPr>
          <w:rFonts w:ascii="宋体" w:hAnsi="宋体"/>
          <w:b/>
          <w:sz w:val="84"/>
          <w:szCs w:val="84"/>
          <w:highlight w:val="none"/>
        </w:rPr>
        <w:t xml:space="preserve"> </w:t>
      </w:r>
      <w:r>
        <w:rPr>
          <w:rFonts w:hint="eastAsia" w:ascii="宋体" w:hAnsi="宋体"/>
          <w:b/>
          <w:sz w:val="84"/>
          <w:szCs w:val="84"/>
          <w:highlight w:val="none"/>
        </w:rPr>
        <w:t>文</w:t>
      </w:r>
      <w:r>
        <w:rPr>
          <w:rFonts w:ascii="宋体" w:hAnsi="宋体"/>
          <w:b/>
          <w:sz w:val="84"/>
          <w:szCs w:val="84"/>
          <w:highlight w:val="none"/>
        </w:rPr>
        <w:t xml:space="preserve"> </w:t>
      </w:r>
      <w:r>
        <w:rPr>
          <w:rFonts w:hint="eastAsia" w:ascii="宋体" w:hAnsi="宋体"/>
          <w:b/>
          <w:sz w:val="84"/>
          <w:szCs w:val="84"/>
          <w:highlight w:val="none"/>
        </w:rPr>
        <w:t>件</w:t>
      </w:r>
    </w:p>
    <w:p>
      <w:pPr>
        <w:jc w:val="center"/>
        <w:rPr>
          <w:rFonts w:ascii="宋体"/>
          <w:sz w:val="84"/>
          <w:szCs w:val="84"/>
          <w:highlight w:val="none"/>
        </w:rPr>
      </w:pPr>
    </w:p>
    <w:p>
      <w:pPr>
        <w:tabs>
          <w:tab w:val="left" w:pos="5145"/>
        </w:tabs>
        <w:spacing w:line="920" w:lineRule="exact"/>
        <w:outlineLvl w:val="0"/>
        <w:rPr>
          <w:rFonts w:ascii="宋体"/>
          <w:sz w:val="32"/>
          <w:highlight w:val="none"/>
        </w:rPr>
      </w:pPr>
    </w:p>
    <w:p>
      <w:pPr>
        <w:spacing w:line="600" w:lineRule="auto"/>
        <w:rPr>
          <w:rFonts w:ascii="宋体"/>
          <w:sz w:val="32"/>
          <w:szCs w:val="32"/>
          <w:highlight w:val="none"/>
        </w:rPr>
      </w:pPr>
      <w:r>
        <w:rPr>
          <w:rFonts w:ascii="宋体" w:hAnsi="宋体"/>
          <w:sz w:val="32"/>
          <w:szCs w:val="32"/>
          <w:highlight w:val="none"/>
        </w:rPr>
        <w:t xml:space="preserve">      </w:t>
      </w:r>
    </w:p>
    <w:p>
      <w:pPr>
        <w:tabs>
          <w:tab w:val="left" w:pos="7350"/>
        </w:tabs>
        <w:spacing w:line="600" w:lineRule="auto"/>
        <w:rPr>
          <w:rFonts w:ascii="宋体"/>
          <w:sz w:val="32"/>
          <w:szCs w:val="32"/>
          <w:highlight w:val="none"/>
        </w:rPr>
      </w:pPr>
      <w:r>
        <w:rPr>
          <w:rFonts w:ascii="宋体"/>
          <w:sz w:val="32"/>
          <w:szCs w:val="32"/>
          <w:highlight w:val="none"/>
        </w:rPr>
        <w:tab/>
      </w:r>
    </w:p>
    <w:p>
      <w:pPr>
        <w:tabs>
          <w:tab w:val="left" w:pos="10080"/>
        </w:tabs>
        <w:spacing w:line="360" w:lineRule="auto"/>
        <w:ind w:right="-54" w:rightChars="-26" w:firstLine="1075" w:firstLineChars="336"/>
        <w:rPr>
          <w:rFonts w:ascii="宋体" w:hAnsi="宋体"/>
          <w:b/>
          <w:sz w:val="32"/>
          <w:szCs w:val="32"/>
          <w:highlight w:val="none"/>
        </w:rPr>
      </w:pPr>
    </w:p>
    <w:p>
      <w:pPr>
        <w:tabs>
          <w:tab w:val="left" w:pos="10080"/>
        </w:tabs>
        <w:spacing w:line="480" w:lineRule="auto"/>
        <w:ind w:right="-54" w:rightChars="-26" w:firstLine="1280" w:firstLineChars="400"/>
        <w:rPr>
          <w:rFonts w:ascii="宋体" w:hAnsi="宋体"/>
          <w:b/>
          <w:sz w:val="32"/>
          <w:szCs w:val="32"/>
          <w:highlight w:val="none"/>
        </w:rPr>
      </w:pPr>
      <w:r>
        <w:rPr>
          <w:rFonts w:hint="eastAsia" w:ascii="宋体" w:hAnsi="宋体"/>
          <w:b/>
          <w:sz w:val="32"/>
          <w:szCs w:val="32"/>
          <w:highlight w:val="none"/>
        </w:rPr>
        <w:t>采   购   人：西安市长安区斗门街道办事处</w:t>
      </w:r>
    </w:p>
    <w:p>
      <w:pPr>
        <w:tabs>
          <w:tab w:val="left" w:pos="10080"/>
        </w:tabs>
        <w:spacing w:line="480" w:lineRule="auto"/>
        <w:ind w:right="-54" w:rightChars="-26" w:firstLine="1280" w:firstLineChars="400"/>
        <w:rPr>
          <w:rFonts w:ascii="宋体"/>
          <w:b/>
          <w:sz w:val="32"/>
          <w:szCs w:val="32"/>
          <w:highlight w:val="none"/>
        </w:rPr>
      </w:pPr>
      <w:r>
        <w:rPr>
          <w:rFonts w:hint="eastAsia" w:ascii="宋体" w:hAnsi="宋体"/>
          <w:b/>
          <w:sz w:val="32"/>
          <w:szCs w:val="32"/>
          <w:highlight w:val="none"/>
        </w:rPr>
        <w:t>采购代理机构：陕西嘉唐建设项目管理有限公司</w:t>
      </w:r>
    </w:p>
    <w:p>
      <w:pPr>
        <w:spacing w:line="480" w:lineRule="auto"/>
        <w:ind w:right="457" w:rightChars="218"/>
        <w:jc w:val="center"/>
        <w:rPr>
          <w:rFonts w:ascii="黑体" w:hAnsi="黑体" w:eastAsia="黑体"/>
          <w:b/>
          <w:bCs/>
          <w:sz w:val="32"/>
          <w:highlight w:val="none"/>
        </w:rPr>
      </w:pPr>
      <w:r>
        <w:rPr>
          <w:rFonts w:hint="eastAsia" w:ascii="宋体" w:hAnsi="宋体"/>
          <w:b/>
          <w:sz w:val="32"/>
          <w:szCs w:val="32"/>
          <w:highlight w:val="none"/>
        </w:rPr>
        <w:t>二○二○年</w:t>
      </w:r>
      <w:r>
        <w:rPr>
          <w:rFonts w:hint="eastAsia" w:ascii="宋体" w:hAnsi="宋体"/>
          <w:b/>
          <w:sz w:val="32"/>
          <w:szCs w:val="32"/>
          <w:highlight w:val="none"/>
          <w:lang w:eastAsia="zh-CN"/>
        </w:rPr>
        <w:t>十二</w:t>
      </w:r>
      <w:r>
        <w:rPr>
          <w:rFonts w:hint="eastAsia" w:ascii="宋体" w:hAnsi="宋体"/>
          <w:b/>
          <w:sz w:val="32"/>
          <w:szCs w:val="32"/>
          <w:highlight w:val="none"/>
        </w:rPr>
        <w:t>月</w:t>
      </w:r>
      <w:bookmarkStart w:id="5" w:name="_Toc152042286"/>
      <w:bookmarkStart w:id="6" w:name="_Toc144974478"/>
    </w:p>
    <w:p>
      <w:pPr>
        <w:spacing w:line="720" w:lineRule="auto"/>
        <w:jc w:val="center"/>
        <w:rPr>
          <w:rFonts w:hint="eastAsia" w:ascii="黑体" w:hAnsi="黑体" w:eastAsia="黑体"/>
          <w:b/>
          <w:bCs/>
          <w:sz w:val="48"/>
          <w:szCs w:val="48"/>
          <w:highlight w:val="none"/>
        </w:rPr>
        <w:sectPr>
          <w:headerReference r:id="rId3" w:type="default"/>
          <w:footerReference r:id="rId4" w:type="default"/>
          <w:pgSz w:w="11906" w:h="16838"/>
          <w:pgMar w:top="1418" w:right="1134" w:bottom="1418" w:left="1418" w:header="851" w:footer="992" w:gutter="0"/>
          <w:pgNumType w:start="0"/>
          <w:cols w:space="720" w:num="1"/>
          <w:titlePg/>
          <w:docGrid w:type="linesAndChars" w:linePitch="312" w:charSpace="0"/>
        </w:sectPr>
      </w:pPr>
    </w:p>
    <w:p>
      <w:pPr>
        <w:spacing w:line="720" w:lineRule="auto"/>
        <w:jc w:val="center"/>
        <w:rPr>
          <w:rFonts w:ascii="黑体" w:hAnsi="黑体" w:eastAsia="黑体"/>
          <w:b/>
          <w:bCs/>
          <w:sz w:val="48"/>
          <w:szCs w:val="48"/>
          <w:highlight w:val="none"/>
        </w:rPr>
      </w:pPr>
      <w:r>
        <w:rPr>
          <w:rFonts w:hint="eastAsia" w:ascii="黑体" w:hAnsi="黑体" w:eastAsia="黑体"/>
          <w:b/>
          <w:bCs/>
          <w:sz w:val="48"/>
          <w:szCs w:val="48"/>
          <w:highlight w:val="none"/>
        </w:rPr>
        <w:t>目</w:t>
      </w:r>
      <w:r>
        <w:rPr>
          <w:rFonts w:ascii="黑体" w:hAnsi="黑体" w:eastAsia="黑体"/>
          <w:b/>
          <w:bCs/>
          <w:sz w:val="48"/>
          <w:szCs w:val="48"/>
          <w:highlight w:val="none"/>
        </w:rPr>
        <w:t xml:space="preserve">     </w:t>
      </w:r>
      <w:r>
        <w:rPr>
          <w:rFonts w:hint="eastAsia" w:ascii="黑体" w:hAnsi="黑体" w:eastAsia="黑体"/>
          <w:b/>
          <w:bCs/>
          <w:sz w:val="48"/>
          <w:szCs w:val="48"/>
          <w:highlight w:val="none"/>
        </w:rPr>
        <w:t>录</w:t>
      </w:r>
      <w:bookmarkEnd w:id="5"/>
      <w:bookmarkEnd w:id="6"/>
    </w:p>
    <w:p>
      <w:pPr>
        <w:spacing w:line="720" w:lineRule="auto"/>
        <w:ind w:firstLine="1050" w:firstLineChars="500"/>
        <w:rPr>
          <w:rFonts w:ascii="宋体"/>
          <w:highlight w:val="none"/>
        </w:rPr>
      </w:pP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TOC \o "1-3" \h \z \u </w:instrText>
      </w:r>
      <w:r>
        <w:rPr>
          <w:rFonts w:hint="eastAsia" w:ascii="宋体" w:hAnsi="宋体" w:eastAsia="宋体" w:cs="宋体"/>
          <w:b w:val="0"/>
          <w:bCs w:val="0"/>
          <w:sz w:val="32"/>
          <w:szCs w:val="32"/>
          <w:highlight w:val="none"/>
        </w:rPr>
        <w:fldChar w:fldCharType="separate"/>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_Toc3055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第一部分  招标公告</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_Toc3055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1</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_Toc30285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第二部分 供应商须知</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_Toc30285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5</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32"/>
        <w:keepNext w:val="0"/>
        <w:keepLines w:val="0"/>
        <w:pageBreakBefore w:val="0"/>
        <w:widowControl w:val="0"/>
        <w:tabs>
          <w:tab w:val="right" w:leader="dot" w:pos="9354"/>
          <w:tab w:val="clear" w:pos="8834"/>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_Toc20558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供应商须知前附表</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_Toc20558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5</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_Toc22318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第三部分 评标办法</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_Toc22318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27</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_Toc9049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第四部分 合同条款及格式</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_Toc9049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33</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_Toc32290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第五部分  招标内容及要求</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_Toc32290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45</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pStyle w:val="28"/>
        <w:keepNext w:val="0"/>
        <w:keepLines w:val="0"/>
        <w:pageBreakBefore w:val="0"/>
        <w:widowControl w:val="0"/>
        <w:tabs>
          <w:tab w:val="right" w:leader="dot" w:pos="9354"/>
          <w:tab w:val="clear" w:pos="8820"/>
        </w:tabs>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HYPERLINK \l _Toc19161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第六部分  投标文件格式</w:t>
      </w:r>
      <w:r>
        <w:rPr>
          <w:rFonts w:hint="eastAsia" w:ascii="宋体" w:hAnsi="宋体" w:eastAsia="宋体" w:cs="宋体"/>
          <w:b w:val="0"/>
          <w:bCs w:val="0"/>
          <w:sz w:val="32"/>
          <w:szCs w:val="32"/>
          <w:highlight w:val="none"/>
        </w:rPr>
        <w:tab/>
      </w:r>
      <w:r>
        <w:rPr>
          <w:rFonts w:hint="eastAsia" w:ascii="宋体" w:hAnsi="宋体" w:eastAsia="宋体" w:cs="宋体"/>
          <w:b w:val="0"/>
          <w:bCs w:val="0"/>
          <w:sz w:val="32"/>
          <w:szCs w:val="32"/>
          <w:highlight w:val="none"/>
        </w:rPr>
        <w:fldChar w:fldCharType="begin"/>
      </w:r>
      <w:r>
        <w:rPr>
          <w:rFonts w:hint="eastAsia" w:ascii="宋体" w:hAnsi="宋体" w:eastAsia="宋体" w:cs="宋体"/>
          <w:b w:val="0"/>
          <w:bCs w:val="0"/>
          <w:sz w:val="32"/>
          <w:szCs w:val="32"/>
          <w:highlight w:val="none"/>
        </w:rPr>
        <w:instrText xml:space="preserve"> PAGEREF _Toc19161 </w:instrText>
      </w:r>
      <w:r>
        <w:rPr>
          <w:rFonts w:hint="eastAsia" w:ascii="宋体" w:hAnsi="宋体" w:eastAsia="宋体" w:cs="宋体"/>
          <w:b w:val="0"/>
          <w:bCs w:val="0"/>
          <w:sz w:val="32"/>
          <w:szCs w:val="32"/>
          <w:highlight w:val="none"/>
        </w:rPr>
        <w:fldChar w:fldCharType="separate"/>
      </w:r>
      <w:r>
        <w:rPr>
          <w:rFonts w:hint="eastAsia" w:ascii="宋体" w:hAnsi="宋体" w:eastAsia="宋体" w:cs="宋体"/>
          <w:b w:val="0"/>
          <w:bCs w:val="0"/>
          <w:sz w:val="32"/>
          <w:szCs w:val="32"/>
          <w:highlight w:val="none"/>
        </w:rPr>
        <w:t>47</w:t>
      </w:r>
      <w:r>
        <w:rPr>
          <w:rFonts w:hint="eastAsia" w:ascii="宋体" w:hAnsi="宋体" w:eastAsia="宋体" w:cs="宋体"/>
          <w:b w:val="0"/>
          <w:bCs w:val="0"/>
          <w:sz w:val="32"/>
          <w:szCs w:val="32"/>
          <w:highlight w:val="none"/>
        </w:rPr>
        <w:fldChar w:fldCharType="end"/>
      </w:r>
      <w:r>
        <w:rPr>
          <w:rFonts w:hint="eastAsia" w:ascii="宋体" w:hAnsi="宋体" w:eastAsia="宋体" w:cs="宋体"/>
          <w:b w:val="0"/>
          <w:bCs w:val="0"/>
          <w:sz w:val="32"/>
          <w:szCs w:val="32"/>
          <w:highlight w:val="none"/>
        </w:rPr>
        <w:fldChar w:fldCharType="end"/>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ascii="宋体" w:hAnsi="宋体" w:eastAsia="宋体" w:cs="宋体"/>
          <w:b w:val="0"/>
          <w:bCs w:val="0"/>
          <w:sz w:val="32"/>
          <w:szCs w:val="32"/>
          <w:highlight w:val="none"/>
        </w:rPr>
      </w:pPr>
      <w:r>
        <w:rPr>
          <w:rFonts w:hint="eastAsia" w:ascii="宋体" w:hAnsi="宋体" w:eastAsia="宋体" w:cs="宋体"/>
          <w:b w:val="0"/>
          <w:bCs w:val="0"/>
          <w:sz w:val="32"/>
          <w:szCs w:val="32"/>
          <w:highlight w:val="none"/>
        </w:rPr>
        <w:br w:type="page"/>
      </w:r>
      <w:r>
        <w:rPr>
          <w:rFonts w:hint="eastAsia" w:ascii="宋体" w:hAnsi="宋体" w:eastAsia="宋体" w:cs="宋体"/>
          <w:b w:val="0"/>
          <w:bCs w:val="0"/>
          <w:sz w:val="32"/>
          <w:szCs w:val="32"/>
          <w:highlight w:val="none"/>
        </w:rPr>
        <w:fldChar w:fldCharType="end"/>
      </w:r>
      <w:bookmarkStart w:id="7" w:name="_Toc3055"/>
      <w:bookmarkStart w:id="8" w:name="_Toc152045527"/>
      <w:bookmarkStart w:id="9" w:name="_Toc144974495"/>
      <w:bookmarkStart w:id="10" w:name="_Toc152042303"/>
    </w:p>
    <w:p>
      <w:pPr>
        <w:pStyle w:val="32"/>
        <w:ind w:left="0" w:leftChars="0"/>
        <w:jc w:val="center"/>
        <w:outlineLvl w:val="0"/>
        <w:rPr>
          <w:rFonts w:ascii="宋体" w:hAnsi="宋体" w:cs="宋体"/>
          <w:b/>
          <w:sz w:val="32"/>
          <w:szCs w:val="32"/>
          <w:highlight w:val="none"/>
        </w:rPr>
      </w:pPr>
      <w:r>
        <w:rPr>
          <w:rFonts w:hint="eastAsia" w:ascii="宋体" w:hAnsi="宋体" w:cs="宋体"/>
          <w:b/>
          <w:sz w:val="32"/>
          <w:szCs w:val="32"/>
          <w:highlight w:val="none"/>
        </w:rPr>
        <w:t>第一部分  招标公告</w:t>
      </w:r>
      <w:bookmarkEnd w:id="7"/>
    </w:p>
    <w:p>
      <w:pPr>
        <w:pStyle w:val="35"/>
        <w:spacing w:before="150" w:beforeAutospacing="0" w:after="0" w:afterAutospacing="0" w:line="510" w:lineRule="atLeast"/>
        <w:ind w:firstLine="480" w:firstLineChars="200"/>
        <w:rPr>
          <w:rFonts w:cs="宋体"/>
          <w:b/>
          <w:color w:val="000000" w:themeColor="text1"/>
          <w:highlight w:val="none"/>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斗门街办镐京遗址文物勘探和发掘项目（花园村、官庄村）集体土地建筑物拆除、地面破碎、垃圾清运、苗木清表</w:t>
      </w:r>
      <w:r>
        <w:rPr>
          <w:rFonts w:hint="eastAsia" w:cs="宋体"/>
          <w:b/>
          <w:color w:val="000000" w:themeColor="text1"/>
          <w:highlight w:val="none"/>
          <w14:textFill>
            <w14:solidFill>
              <w14:schemeClr w14:val="tx1"/>
            </w14:solidFill>
          </w14:textFill>
        </w:rPr>
        <w:t>招标项目潜在的投标人可在全国公共资源交易平台（陕西省 西咸新区）自行下载获取招标文件，并于</w:t>
      </w:r>
      <w:r>
        <w:rPr>
          <w:rFonts w:hint="eastAsia" w:cs="宋体"/>
          <w:b/>
          <w:color w:val="000000" w:themeColor="text1"/>
          <w:highlight w:val="none"/>
          <w:lang w:eastAsia="zh-CN"/>
          <w14:textFill>
            <w14:solidFill>
              <w14:schemeClr w14:val="tx1"/>
            </w14:solidFill>
          </w14:textFill>
        </w:rPr>
        <w:t>202</w:t>
      </w:r>
      <w:r>
        <w:rPr>
          <w:rFonts w:hint="eastAsia" w:cs="宋体"/>
          <w:b/>
          <w:color w:val="000000" w:themeColor="text1"/>
          <w:highlight w:val="none"/>
          <w:lang w:val="en-US" w:eastAsia="zh-CN"/>
          <w14:textFill>
            <w14:solidFill>
              <w14:schemeClr w14:val="tx1"/>
            </w14:solidFill>
          </w14:textFill>
        </w:rPr>
        <w:t>1</w:t>
      </w:r>
      <w:r>
        <w:rPr>
          <w:rFonts w:hint="eastAsia" w:cs="宋体"/>
          <w:b/>
          <w:color w:val="000000" w:themeColor="text1"/>
          <w:highlight w:val="none"/>
          <w:lang w:eastAsia="zh-CN"/>
          <w14:textFill>
            <w14:solidFill>
              <w14:schemeClr w14:val="tx1"/>
            </w14:solidFill>
          </w14:textFill>
        </w:rPr>
        <w:t>-</w:t>
      </w:r>
      <w:r>
        <w:rPr>
          <w:rFonts w:hint="eastAsia" w:cs="宋体"/>
          <w:b/>
          <w:color w:val="000000" w:themeColor="text1"/>
          <w:highlight w:val="none"/>
          <w:lang w:val="en-US" w:eastAsia="zh-CN"/>
          <w14:textFill>
            <w14:solidFill>
              <w14:schemeClr w14:val="tx1"/>
            </w14:solidFill>
          </w14:textFill>
        </w:rPr>
        <w:t>0</w:t>
      </w:r>
      <w:r>
        <w:rPr>
          <w:rFonts w:hint="eastAsia" w:cs="宋体"/>
          <w:b/>
          <w:color w:val="000000" w:themeColor="text1"/>
          <w:highlight w:val="none"/>
          <w:lang w:eastAsia="zh-CN"/>
          <w14:textFill>
            <w14:solidFill>
              <w14:schemeClr w14:val="tx1"/>
            </w14:solidFill>
          </w14:textFill>
        </w:rPr>
        <w:t>1-</w:t>
      </w:r>
      <w:r>
        <w:rPr>
          <w:rFonts w:hint="eastAsia" w:cs="宋体"/>
          <w:b/>
          <w:color w:val="000000" w:themeColor="text1"/>
          <w:highlight w:val="none"/>
          <w:lang w:val="en-US" w:eastAsia="zh-CN"/>
          <w14:textFill>
            <w14:solidFill>
              <w14:schemeClr w14:val="tx1"/>
            </w14:solidFill>
          </w14:textFill>
        </w:rPr>
        <w:t>08</w:t>
      </w:r>
      <w:r>
        <w:rPr>
          <w:rFonts w:hint="eastAsia" w:cs="宋体"/>
          <w:b/>
          <w:color w:val="000000" w:themeColor="text1"/>
          <w:highlight w:val="none"/>
          <w14:textFill>
            <w14:solidFill>
              <w14:schemeClr w14:val="tx1"/>
            </w14:solidFill>
          </w14:textFill>
        </w:rPr>
        <w:t xml:space="preserve"> </w:t>
      </w:r>
      <w:r>
        <w:rPr>
          <w:rFonts w:hint="eastAsia" w:cs="宋体"/>
          <w:b/>
          <w:color w:val="000000" w:themeColor="text1"/>
          <w:highlight w:val="none"/>
          <w:lang w:val="en-US" w:eastAsia="zh-CN"/>
          <w14:textFill>
            <w14:solidFill>
              <w14:schemeClr w14:val="tx1"/>
            </w14:solidFill>
          </w14:textFill>
        </w:rPr>
        <w:t>14</w:t>
      </w:r>
      <w:r>
        <w:rPr>
          <w:rFonts w:hint="eastAsia" w:cs="宋体"/>
          <w:b/>
          <w:color w:val="000000" w:themeColor="text1"/>
          <w:highlight w:val="none"/>
          <w14:textFill>
            <w14:solidFill>
              <w14:schemeClr w14:val="tx1"/>
            </w14:solidFill>
          </w14:textFill>
        </w:rPr>
        <w:t>:</w:t>
      </w:r>
      <w:r>
        <w:rPr>
          <w:rFonts w:hint="eastAsia" w:cs="宋体"/>
          <w:b/>
          <w:color w:val="000000" w:themeColor="text1"/>
          <w:highlight w:val="none"/>
          <w:lang w:val="en-US" w:eastAsia="zh-CN"/>
          <w14:textFill>
            <w14:solidFill>
              <w14:schemeClr w14:val="tx1"/>
            </w14:solidFill>
          </w14:textFill>
        </w:rPr>
        <w:t>0</w:t>
      </w:r>
      <w:r>
        <w:rPr>
          <w:rFonts w:hint="eastAsia" w:cs="宋体"/>
          <w:b/>
          <w:color w:val="000000" w:themeColor="text1"/>
          <w:highlight w:val="none"/>
          <w14:textFill>
            <w14:solidFill>
              <w14:schemeClr w14:val="tx1"/>
            </w14:solidFill>
          </w14:textFill>
        </w:rPr>
        <w:t xml:space="preserve">0:00前递交投标文件。 </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一、项目基本情况：</w:t>
      </w:r>
    </w:p>
    <w:p>
      <w:pPr>
        <w:pStyle w:val="35"/>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1、项目编号：</w:t>
      </w:r>
      <w:r>
        <w:rPr>
          <w:rFonts w:hint="eastAsia" w:cs="宋体"/>
          <w:color w:val="000000" w:themeColor="text1"/>
          <w:highlight w:val="none"/>
          <w:lang w:eastAsia="zh-CN"/>
          <w14:textFill>
            <w14:solidFill>
              <w14:schemeClr w14:val="tx1"/>
            </w14:solidFill>
          </w14:textFill>
        </w:rPr>
        <w:t>XXGC-2020-000034-4</w:t>
      </w:r>
    </w:p>
    <w:p>
      <w:pPr>
        <w:pStyle w:val="35"/>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2、项目名称：</w:t>
      </w:r>
      <w:r>
        <w:rPr>
          <w:rFonts w:hint="eastAsia" w:cs="宋体"/>
          <w:color w:val="000000" w:themeColor="text1"/>
          <w:highlight w:val="none"/>
          <w:lang w:eastAsia="zh-CN"/>
          <w14:textFill>
            <w14:solidFill>
              <w14:schemeClr w14:val="tx1"/>
            </w14:solidFill>
          </w14:textFill>
        </w:rPr>
        <w:t>斗门街办镐京遗址文物勘探和发掘项目（花园村、官庄村）集体土地建筑物拆除、地面破碎、垃圾清运、苗木清表</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3、预算金额：</w:t>
      </w:r>
      <w:r>
        <w:rPr>
          <w:rFonts w:hint="eastAsia" w:cs="宋体"/>
          <w:color w:val="000000" w:themeColor="text1"/>
          <w:highlight w:val="none"/>
          <w:lang w:val="en-US" w:eastAsia="zh-CN"/>
          <w14:textFill>
            <w14:solidFill>
              <w14:schemeClr w14:val="tx1"/>
            </w14:solidFill>
          </w14:textFill>
        </w:rPr>
        <w:t>1399000.00</w:t>
      </w:r>
      <w:r>
        <w:rPr>
          <w:rFonts w:hint="eastAsia" w:cs="宋体"/>
          <w:color w:val="000000" w:themeColor="text1"/>
          <w:highlight w:val="none"/>
          <w14:textFill>
            <w14:solidFill>
              <w14:schemeClr w14:val="tx1"/>
            </w14:solidFill>
          </w14:textFill>
        </w:rPr>
        <w:t>元</w:t>
      </w:r>
    </w:p>
    <w:p>
      <w:pPr>
        <w:pStyle w:val="35"/>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 xml:space="preserve">4、最高限价： </w:t>
      </w:r>
      <w:r>
        <w:rPr>
          <w:rFonts w:hint="eastAsia" w:cs="宋体"/>
          <w:color w:val="000000" w:themeColor="text1"/>
          <w:highlight w:val="none"/>
          <w:lang w:eastAsia="zh-CN"/>
          <w14:textFill>
            <w14:solidFill>
              <w14:schemeClr w14:val="tx1"/>
            </w14:solidFill>
          </w14:textFill>
        </w:rPr>
        <w:t>无</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5、采购需求： 斗门街办镐京遗址文物勘探和发掘项目（花园村、官庄村）集体土地建筑物拆除、地面破碎、垃圾清运、苗木清表，1项，预算金额：</w:t>
      </w:r>
      <w:r>
        <w:rPr>
          <w:rFonts w:hint="eastAsia" w:cs="宋体"/>
          <w:color w:val="000000" w:themeColor="text1"/>
          <w:highlight w:val="none"/>
          <w:lang w:eastAsia="zh-CN"/>
          <w14:textFill>
            <w14:solidFill>
              <w14:schemeClr w14:val="tx1"/>
            </w14:solidFill>
          </w14:textFill>
        </w:rPr>
        <w:t>1399000.00</w:t>
      </w:r>
      <w:r>
        <w:rPr>
          <w:rFonts w:hint="eastAsia" w:cs="宋体"/>
          <w:color w:val="000000" w:themeColor="text1"/>
          <w:highlight w:val="none"/>
          <w14:textFill>
            <w14:solidFill>
              <w14:schemeClr w14:val="tx1"/>
            </w14:solidFill>
          </w14:textFill>
        </w:rPr>
        <w:t>元</w:t>
      </w: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14:textFill>
            <w14:solidFill>
              <w14:schemeClr w14:val="tx1"/>
            </w14:solidFill>
          </w14:textFill>
        </w:rPr>
        <w:t>项目概况：</w:t>
      </w:r>
      <w:r>
        <w:rPr>
          <w:rFonts w:hint="eastAsia" w:cs="宋体"/>
          <w:color w:val="000000" w:themeColor="text1"/>
          <w:highlight w:val="none"/>
          <w:lang w:eastAsia="zh-CN"/>
          <w14:textFill>
            <w14:solidFill>
              <w14:schemeClr w14:val="tx1"/>
            </w14:solidFill>
          </w14:textFill>
        </w:rPr>
        <w:t>本项目工作内容包含集体土地建筑物拆除、地面破碎、垃圾清运、苗木清表。</w:t>
      </w:r>
      <w:r>
        <w:rPr>
          <w:rFonts w:hint="eastAsia" w:cs="宋体"/>
          <w:color w:val="000000" w:themeColor="text1"/>
          <w:highlight w:val="none"/>
          <w14:textFill>
            <w14:solidFill>
              <w14:schemeClr w14:val="tx1"/>
            </w14:solidFill>
          </w14:textFill>
        </w:rPr>
        <w:t xml:space="preserve">简要技术要求、用途：集体土地建筑物拆除、地面破碎、垃圾清运、苗木清表。 </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6、合同履行期限：202</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12</w:t>
      </w:r>
      <w:r>
        <w:rPr>
          <w:rFonts w:hint="eastAsia" w:cs="宋体"/>
          <w:color w:val="000000" w:themeColor="text1"/>
          <w:highlight w:val="none"/>
          <w14:textFill>
            <w14:solidFill>
              <w14:schemeClr w14:val="tx1"/>
            </w14:solidFill>
          </w14:textFill>
        </w:rPr>
        <w:t xml:space="preserve"> 00:00:00 至 202</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07</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10</w:t>
      </w:r>
      <w:r>
        <w:rPr>
          <w:rFonts w:hint="eastAsia" w:cs="宋体"/>
          <w:color w:val="000000" w:themeColor="text1"/>
          <w:highlight w:val="none"/>
          <w14:textFill>
            <w14:solidFill>
              <w14:schemeClr w14:val="tx1"/>
            </w14:solidFill>
          </w14:textFill>
        </w:rPr>
        <w:t xml:space="preserve"> 00:00:00（具体服务起止日期可随合同签订时间相应顺延）</w:t>
      </w:r>
    </w:p>
    <w:p>
      <w:pPr>
        <w:pStyle w:val="35"/>
        <w:spacing w:before="0" w:beforeAutospacing="0" w:after="0" w:afterAutospacing="0" w:line="510" w:lineRule="atLeast"/>
        <w:ind w:firstLine="420"/>
        <w:rPr>
          <w:rFonts w:hint="eastAsia" w:eastAsia="宋体" w:cs="宋体"/>
          <w:color w:val="000000" w:themeColor="text1"/>
          <w:highlight w:val="none"/>
          <w:lang w:val="en-US" w:eastAsia="zh-CN"/>
          <w14:textFill>
            <w14:solidFill>
              <w14:schemeClr w14:val="tx1"/>
            </w14:solidFill>
          </w14:textFill>
        </w:rPr>
      </w:pPr>
      <w:r>
        <w:rPr>
          <w:rFonts w:hint="eastAsia" w:cs="宋体"/>
          <w:color w:val="000000" w:themeColor="text1"/>
          <w:highlight w:val="none"/>
          <w14:textFill>
            <w14:solidFill>
              <w14:schemeClr w14:val="tx1"/>
            </w14:solidFill>
          </w14:textFill>
        </w:rPr>
        <w:t>7、本项目是否接受联合体投标：</w:t>
      </w:r>
      <w:r>
        <w:rPr>
          <w:rFonts w:hint="eastAsia" w:cs="宋体"/>
          <w:color w:val="000000" w:themeColor="text1"/>
          <w:highlight w:val="none"/>
          <w:lang w:eastAsia="zh-CN"/>
          <w14:textFill>
            <w14:solidFill>
              <w14:schemeClr w14:val="tx1"/>
            </w14:solidFill>
          </w14:textFill>
        </w:rPr>
        <w:t>是</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二、 投标人的资格要求 </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1、满足《中华人民共和国政府采购法》第二十二条规定</w:t>
      </w:r>
    </w:p>
    <w:p>
      <w:pPr>
        <w:pStyle w:val="35"/>
        <w:spacing w:before="0" w:beforeAutospacing="0" w:after="0" w:afterAutospacing="0" w:line="480" w:lineRule="auto"/>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2、落实政府采购政策需满足的资格要求： 1、《政府采购促进中小企业发展暂行办法》（财库〔2011〕181号）； 2、《财政部司法部关于政府采购支持监狱企业发展有关问题的通知》（财库〔2014〕68号）； 3、《国务院办公厅关于建立政府强制采购节能产品制度的通知》（国办发〔2007〕51号）； 4、《节能产品政府采购实施意见》--（财库[2004]185号）； 5、《关于调整优化节能产品、环境标志产品政府采购执行机制的通知》--（财库[2019]9号）； 6、《关于促进残疾人就业政府采购政策的通知》--财库〔2017〕141号；7、《关于运用政府采购政策支持脱贫攻坚的通知》--财库【2019】27号。</w:t>
      </w:r>
    </w:p>
    <w:p>
      <w:pPr>
        <w:spacing w:line="480" w:lineRule="auto"/>
        <w:ind w:firstLine="480" w:firstLineChars="200"/>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SA"/>
          <w14:textFill>
            <w14:solidFill>
              <w14:schemeClr w14:val="tx1"/>
            </w14:solidFill>
          </w14:textFill>
        </w:rPr>
        <w:t>3、本项目的特定资格要求：①法定代表人授权书（附法定代表人身份证复印件）及被授权人身份证（法定代表人直接参加投标只需提供法定代表人身份证）。自然人只需提供身份证；备注：分支机构由分支机构负责人授权即可； ②具有建设行政主管部门颁发的建筑工程施工总承包三级及以上资质，同时具备有效的安全生产许可证；③拟派项目经理具有建筑工程专业二级及以上注册建造师执业资格，具有有效的安全生产考核合格证书（建安B证），在本单位注册，且未担任其他在建工程项目的项目经理；④企业基本信息及项目经理（注册建造师）执业基本信息应在“陕西建设网（http://js.shaanxi.gov.cn/ ）陕西省建筑市场监管与诚信信息发布平台”可查询；⑤供应商须具备有效的道路运输经营许可证；⑥供应商须具备行政主管部门颁发的建筑垃圾处置（运输）证 ；⑦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⑧申请人不得在各级建设诚信信息平台被列为投标受限制的行为人；⑨本项目接受联合体投标。</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三、 招标文件的获取方式 </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时间：即日起至2020-</w:t>
      </w:r>
      <w:r>
        <w:rPr>
          <w:rFonts w:hint="eastAsia" w:cs="宋体"/>
          <w:color w:val="000000" w:themeColor="text1"/>
          <w:highlight w:val="none"/>
          <w:lang w:val="en-US" w:eastAsia="zh-CN"/>
          <w14:textFill>
            <w14:solidFill>
              <w14:schemeClr w14:val="tx1"/>
            </w14:solidFill>
          </w14:textFill>
        </w:rPr>
        <w:t>12</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 xml:space="preserve">23   </w:t>
      </w:r>
      <w:r>
        <w:rPr>
          <w:rFonts w:hint="eastAsia" w:cs="宋体"/>
          <w:color w:val="000000" w:themeColor="text1"/>
          <w:highlight w:val="none"/>
          <w14:textFill>
            <w14:solidFill>
              <w14:schemeClr w14:val="tx1"/>
            </w14:solidFill>
          </w14:textFill>
        </w:rPr>
        <w:t>17:00:00 止</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地点：全国公共资源交易平台（陕西省 西咸新区）自行下载</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方式：现场购买/邮寄</w:t>
      </w:r>
    </w:p>
    <w:p>
      <w:pPr>
        <w:pStyle w:val="35"/>
        <w:spacing w:before="0" w:beforeAutospacing="0" w:after="0" w:afterAutospacing="0" w:line="510" w:lineRule="atLeast"/>
        <w:ind w:firstLine="420"/>
        <w:rPr>
          <w:rFonts w:hint="eastAsia" w:eastAsia="宋体" w:cs="宋体"/>
          <w:color w:val="000000" w:themeColor="text1"/>
          <w:highlight w:val="none"/>
          <w:lang w:val="en-US" w:eastAsia="zh-CN"/>
          <w14:textFill>
            <w14:solidFill>
              <w14:schemeClr w14:val="tx1"/>
            </w14:solidFill>
          </w14:textFill>
        </w:rPr>
      </w:pPr>
      <w:r>
        <w:rPr>
          <w:rFonts w:hint="eastAsia" w:cs="宋体"/>
          <w:color w:val="000000" w:themeColor="text1"/>
          <w:highlight w:val="none"/>
          <w14:textFill>
            <w14:solidFill>
              <w14:schemeClr w14:val="tx1"/>
            </w14:solidFill>
          </w14:textFill>
        </w:rPr>
        <w:t xml:space="preserve">售价：免费赠送 </w:t>
      </w:r>
      <w:r>
        <w:rPr>
          <w:rFonts w:hint="eastAsia" w:cs="宋体"/>
          <w:color w:val="000000" w:themeColor="text1"/>
          <w:highlight w:val="none"/>
          <w:lang w:val="en-US" w:eastAsia="zh-CN"/>
          <w14:textFill>
            <w14:solidFill>
              <w14:schemeClr w14:val="tx1"/>
            </w14:solidFill>
          </w14:textFill>
        </w:rPr>
        <w:tab/>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Style w:val="40"/>
          <w:rFonts w:hint="eastAsia" w:cs="宋体"/>
          <w:color w:val="000000" w:themeColor="text1"/>
          <w:highlight w:val="none"/>
          <w14:textFill>
            <w14:solidFill>
              <w14:schemeClr w14:val="tx1"/>
            </w14:solidFill>
          </w14:textFill>
        </w:rPr>
        <w:t>注：</w:t>
      </w:r>
      <w:r>
        <w:rPr>
          <w:rStyle w:val="40"/>
          <w:rFonts w:hint="eastAsia" w:cs="宋体"/>
          <w:highlight w:val="none"/>
        </w:rPr>
        <w:t xml:space="preserve">1.网上投标确认流程：登录全国公共资源交易平台（陕西省 西咸新区）（http://xxxq.sxggzyjy.cn/），选择“电子交易平台-陕西政府采购交易系统”进行登录，登录后选择“交易乙方”选择本项目选择“我要投标”填写相关信息后提交确认。 2.获取采购文件方式：选择本项目点击“项目流程”进入采购文件下载页面，点击“交易文件下载”即可下载该项目发布的电子采购文件。投标人须在获取采购文件时限内（即发售时间内）登录陕西省西咸新区公共资源交易中心平台系统，直接下载采购文件。逾期下载通道将关闭，未及时下载采购文件将会影响后续开评标活动。 </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四、 投标文件递交 </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截止时间：</w:t>
      </w:r>
      <w:r>
        <w:rPr>
          <w:rFonts w:hint="eastAsia" w:cs="宋体"/>
          <w:color w:val="000000" w:themeColor="text1"/>
          <w:highlight w:val="none"/>
          <w:lang w:eastAsia="zh-CN"/>
          <w14:textFill>
            <w14:solidFill>
              <w14:schemeClr w14:val="tx1"/>
            </w14:solidFill>
          </w14:textFill>
        </w:rPr>
        <w:t>202</w:t>
      </w:r>
      <w:r>
        <w:rPr>
          <w:rFonts w:hint="eastAsia" w:cs="宋体"/>
          <w:color w:val="000000" w:themeColor="text1"/>
          <w:highlight w:val="none"/>
          <w:lang w:val="en-US" w:eastAsia="zh-CN"/>
          <w14:textFill>
            <w14:solidFill>
              <w14:schemeClr w14:val="tx1"/>
            </w14:solidFill>
          </w14:textFill>
        </w:rPr>
        <w:t>1</w:t>
      </w: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01</w:t>
      </w:r>
      <w:r>
        <w:rPr>
          <w:rFonts w:hint="eastAsia" w:cs="宋体"/>
          <w:color w:val="000000" w:themeColor="text1"/>
          <w:highlight w:val="none"/>
          <w:lang w:eastAsia="zh-CN"/>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08</w:t>
      </w:r>
      <w:r>
        <w:rPr>
          <w:rFonts w:hint="eastAsia" w:cs="宋体"/>
          <w:color w:val="000000" w:themeColor="text1"/>
          <w:highlight w:val="none"/>
          <w14:textFill>
            <w14:solidFill>
              <w14:schemeClr w14:val="tx1"/>
            </w14:solidFill>
          </w14:textFill>
        </w:rPr>
        <w:t xml:space="preserve"> </w:t>
      </w:r>
      <w:r>
        <w:rPr>
          <w:rFonts w:hint="eastAsia" w:cs="宋体"/>
          <w:color w:val="000000" w:themeColor="text1"/>
          <w:highlight w:val="none"/>
          <w:lang w:val="en-US" w:eastAsia="zh-CN"/>
          <w14:textFill>
            <w14:solidFill>
              <w14:schemeClr w14:val="tx1"/>
            </w14:solidFill>
          </w14:textFill>
        </w:rPr>
        <w:t>14</w:t>
      </w:r>
      <w:r>
        <w:rPr>
          <w:rFonts w:hint="eastAsia" w:cs="宋体"/>
          <w:color w:val="000000" w:themeColor="text1"/>
          <w:highlight w:val="none"/>
          <w14:textFill>
            <w14:solidFill>
              <w14:schemeClr w14:val="tx1"/>
            </w14:solidFill>
          </w14:textFill>
        </w:rPr>
        <w:t>:</w:t>
      </w:r>
      <w:r>
        <w:rPr>
          <w:rFonts w:hint="eastAsia" w:cs="宋体"/>
          <w:color w:val="000000" w:themeColor="text1"/>
          <w:highlight w:val="none"/>
          <w:lang w:val="en-US" w:eastAsia="zh-CN"/>
          <w14:textFill>
            <w14:solidFill>
              <w14:schemeClr w14:val="tx1"/>
            </w14:solidFill>
          </w14:textFill>
        </w:rPr>
        <w:t>0</w:t>
      </w:r>
      <w:r>
        <w:rPr>
          <w:rFonts w:hint="eastAsia" w:cs="宋体"/>
          <w:color w:val="000000" w:themeColor="text1"/>
          <w:highlight w:val="none"/>
          <w14:textFill>
            <w14:solidFill>
              <w14:schemeClr w14:val="tx1"/>
            </w14:solidFill>
          </w14:textFill>
        </w:rPr>
        <w:t xml:space="preserve">0:00 </w:t>
      </w:r>
    </w:p>
    <w:p>
      <w:pPr>
        <w:pStyle w:val="35"/>
        <w:spacing w:before="0" w:beforeAutospacing="0" w:after="0" w:afterAutospacing="0" w:line="510" w:lineRule="atLeast"/>
        <w:ind w:firstLine="420"/>
        <w:rPr>
          <w:rFonts w:hint="default" w:cs="宋体"/>
          <w:color w:val="000000" w:themeColor="text1"/>
          <w:highlight w:val="none"/>
          <w:lang w:val="en-US"/>
          <w14:textFill>
            <w14:solidFill>
              <w14:schemeClr w14:val="tx1"/>
            </w14:solidFill>
          </w14:textFill>
        </w:rPr>
      </w:pPr>
      <w:r>
        <w:rPr>
          <w:rFonts w:hint="eastAsia" w:cs="宋体"/>
          <w:color w:val="000000" w:themeColor="text1"/>
          <w:highlight w:val="none"/>
          <w14:textFill>
            <w14:solidFill>
              <w14:schemeClr w14:val="tx1"/>
            </w14:solidFill>
          </w14:textFill>
        </w:rPr>
        <w:t>地点：陕西省西咸新区公共资源交易中心（陕西省西咸新区沣泾大道创新大厦裙楼）开标室</w:t>
      </w:r>
      <w:r>
        <w:rPr>
          <w:rFonts w:hint="eastAsia" w:cs="宋体"/>
          <w:color w:val="000000" w:themeColor="text1"/>
          <w:highlight w:val="none"/>
          <w:lang w:val="en-US" w:eastAsia="zh-CN"/>
          <w14:textFill>
            <w14:solidFill>
              <w14:schemeClr w14:val="tx1"/>
            </w14:solidFill>
          </w14:textFill>
        </w:rPr>
        <w:t>12</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五、公告期限</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自本公告发布之日起5个工作日。</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六、其他补充事宜</w:t>
      </w:r>
    </w:p>
    <w:p>
      <w:pPr>
        <w:pStyle w:val="35"/>
        <w:spacing w:before="150" w:beforeAutospacing="0" w:after="0" w:afterAutospacing="0" w:line="510" w:lineRule="atLeast"/>
        <w:rPr>
          <w:rFonts w:cs="宋体"/>
          <w:b/>
          <w:color w:val="000000" w:themeColor="text1"/>
          <w:highlight w:val="none"/>
          <w14:textFill>
            <w14:solidFill>
              <w14:schemeClr w14:val="tx1"/>
            </w14:solidFill>
          </w14:textFill>
        </w:rPr>
      </w:pPr>
      <w:r>
        <w:rPr>
          <w:rFonts w:hint="eastAsia" w:cs="宋体"/>
          <w:b/>
          <w:color w:val="000000" w:themeColor="text1"/>
          <w:highlight w:val="none"/>
          <w14:textFill>
            <w14:solidFill>
              <w14:schemeClr w14:val="tx1"/>
            </w14:solidFill>
          </w14:textFill>
        </w:rPr>
        <w:t xml:space="preserve">七、对本次招标提出询问，请按以下方式联系。 </w:t>
      </w:r>
    </w:p>
    <w:p>
      <w:pPr>
        <w:pStyle w:val="35"/>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1、采购人信息：西安市长安区斗门街道办事处</w:t>
      </w:r>
    </w:p>
    <w:p>
      <w:pPr>
        <w:pStyle w:val="35"/>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联系人：西安市长安区斗门街道办事处经办</w:t>
      </w:r>
    </w:p>
    <w:p>
      <w:pPr>
        <w:pStyle w:val="35"/>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联系地址：长安区斗门北街34号</w:t>
      </w:r>
    </w:p>
    <w:p>
      <w:pPr>
        <w:pStyle w:val="35"/>
        <w:spacing w:before="0" w:beforeAutospacing="0" w:after="0" w:afterAutospacing="0" w:line="510" w:lineRule="atLeast"/>
        <w:ind w:firstLine="420"/>
        <w:rPr>
          <w:rFonts w:hint="eastAsia"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联系电话：029-85908326</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2、项目联系方式</w:t>
      </w:r>
    </w:p>
    <w:p>
      <w:pPr>
        <w:pStyle w:val="35"/>
        <w:spacing w:before="0" w:beforeAutospacing="0" w:after="0" w:afterAutospacing="0" w:line="510" w:lineRule="atLeast"/>
        <w:ind w:firstLine="420"/>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t>项目联系人：</w:t>
      </w:r>
      <w:r>
        <w:rPr>
          <w:rFonts w:hint="eastAsia" w:cs="宋体"/>
          <w:color w:val="000000" w:themeColor="text1"/>
          <w:highlight w:val="none"/>
          <w:lang w:eastAsia="zh-CN"/>
          <w14:textFill>
            <w14:solidFill>
              <w14:schemeClr w14:val="tx1"/>
            </w14:solidFill>
          </w14:textFill>
        </w:rPr>
        <w:t>李莹、杨世明</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电 话：029-89351397</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传 真：/</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3、采购代理机构信息</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名称：陕西嘉唐建设项目管理有限公司</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联系地址：西安市未央区凤城五路与明光路十字天朗经开中心10楼11002室</w:t>
      </w:r>
    </w:p>
    <w:p>
      <w:pPr>
        <w:pStyle w:val="35"/>
        <w:spacing w:before="0" w:beforeAutospacing="0" w:after="0" w:afterAutospacing="0" w:line="510" w:lineRule="atLeast"/>
        <w:ind w:firstLine="42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联系方式：</w:t>
      </w:r>
      <w:r>
        <w:rPr>
          <w:rFonts w:hint="eastAsia" w:cs="宋体"/>
          <w:color w:val="000000" w:themeColor="text1"/>
          <w:highlight w:val="none"/>
          <w14:textFill>
            <w14:solidFill>
              <w14:schemeClr w14:val="tx1"/>
            </w14:solidFill>
          </w14:textFill>
        </w:rPr>
        <w:fldChar w:fldCharType="begin"/>
      </w:r>
      <w:r>
        <w:rPr>
          <w:rFonts w:hint="eastAsia" w:cs="宋体"/>
          <w:color w:val="000000" w:themeColor="text1"/>
          <w:highlight w:val="none"/>
          <w14:textFill>
            <w14:solidFill>
              <w14:schemeClr w14:val="tx1"/>
            </w14:solidFill>
          </w14:textFill>
        </w:rPr>
        <w:instrText xml:space="preserve"> HYPERLINK "http://www.ccgp.gov.cn/agency/a_agencylist.html" \t "http://www.ccgp-shaanxi.gov.cn/gpex/buyprojectnotice/_blank" </w:instrText>
      </w:r>
      <w:r>
        <w:rPr>
          <w:rFonts w:hint="eastAsia" w:cs="宋体"/>
          <w:color w:val="000000" w:themeColor="text1"/>
          <w:highlight w:val="none"/>
          <w14:textFill>
            <w14:solidFill>
              <w14:schemeClr w14:val="tx1"/>
            </w14:solidFill>
          </w14:textFill>
        </w:rPr>
        <w:fldChar w:fldCharType="separate"/>
      </w:r>
      <w:r>
        <w:rPr>
          <w:rFonts w:hint="eastAsia" w:cs="宋体"/>
          <w:color w:val="000000" w:themeColor="text1"/>
          <w:highlight w:val="none"/>
          <w14:textFill>
            <w14:solidFill>
              <w14:schemeClr w14:val="tx1"/>
            </w14:solidFill>
          </w14:textFill>
        </w:rPr>
        <w:t>http://www.ccgp.gov.cn/agency/a_agencylist.html</w:t>
      </w:r>
      <w:r>
        <w:rPr>
          <w:rFonts w:hint="eastAsia" w:cs="宋体"/>
          <w:color w:val="000000" w:themeColor="text1"/>
          <w:highlight w:val="none"/>
          <w14:textFill>
            <w14:solidFill>
              <w14:schemeClr w14:val="tx1"/>
            </w14:solidFill>
          </w14:textFill>
        </w:rPr>
        <w:fldChar w:fldCharType="end"/>
      </w:r>
    </w:p>
    <w:p>
      <w:pPr>
        <w:spacing w:line="360" w:lineRule="auto"/>
        <w:jc w:val="center"/>
        <w:outlineLvl w:val="0"/>
        <w:rPr>
          <w:rFonts w:ascii="宋体" w:hAnsi="宋体" w:cs="宋体"/>
          <w:sz w:val="32"/>
          <w:szCs w:val="32"/>
          <w:highlight w:val="none"/>
        </w:rPr>
      </w:pPr>
      <w:r>
        <w:rPr>
          <w:rFonts w:hint="eastAsia" w:ascii="宋体" w:hAnsi="宋体" w:cs="宋体"/>
          <w:color w:val="000000" w:themeColor="text1"/>
          <w:sz w:val="24"/>
          <w:highlight w:val="none"/>
          <w14:textFill>
            <w14:solidFill>
              <w14:schemeClr w14:val="tx1"/>
            </w14:solidFill>
          </w14:textFill>
        </w:rPr>
        <w:br w:type="page"/>
      </w:r>
      <w:bookmarkStart w:id="11" w:name="_Toc339114107"/>
      <w:bookmarkStart w:id="12" w:name="_Toc30285"/>
      <w:r>
        <w:rPr>
          <w:rFonts w:hint="eastAsia" w:ascii="宋体" w:hAnsi="宋体" w:cs="宋体"/>
          <w:b/>
          <w:bCs/>
          <w:sz w:val="32"/>
          <w:szCs w:val="32"/>
          <w:highlight w:val="none"/>
        </w:rPr>
        <w:t>第二部分 供应商须知</w:t>
      </w:r>
      <w:bookmarkEnd w:id="8"/>
      <w:bookmarkEnd w:id="9"/>
      <w:bookmarkEnd w:id="10"/>
      <w:bookmarkEnd w:id="11"/>
      <w:bookmarkEnd w:id="12"/>
    </w:p>
    <w:p>
      <w:pPr>
        <w:pStyle w:val="83"/>
        <w:spacing w:line="360" w:lineRule="auto"/>
        <w:jc w:val="center"/>
        <w:rPr>
          <w:rFonts w:ascii="宋体" w:hAnsi="宋体" w:eastAsia="宋体"/>
          <w:sz w:val="32"/>
          <w:szCs w:val="32"/>
          <w:highlight w:val="none"/>
        </w:rPr>
      </w:pPr>
      <w:bookmarkStart w:id="13" w:name="_Toc339114108"/>
      <w:bookmarkStart w:id="14" w:name="_Toc152045528"/>
      <w:bookmarkStart w:id="15" w:name="_Toc152042304"/>
      <w:bookmarkStart w:id="16" w:name="_Toc20558"/>
      <w:bookmarkStart w:id="17" w:name="_Toc144974496"/>
      <w:r>
        <w:rPr>
          <w:rFonts w:hint="eastAsia" w:ascii="宋体" w:hAnsi="宋体" w:eastAsia="宋体"/>
          <w:sz w:val="32"/>
          <w:szCs w:val="32"/>
          <w:highlight w:val="none"/>
        </w:rPr>
        <w:t>供应商须知前附表</w:t>
      </w:r>
      <w:bookmarkEnd w:id="13"/>
      <w:bookmarkEnd w:id="14"/>
      <w:bookmarkEnd w:id="15"/>
      <w:bookmarkEnd w:id="16"/>
      <w:bookmarkEnd w:id="17"/>
    </w:p>
    <w:tbl>
      <w:tblPr>
        <w:tblStyle w:val="38"/>
        <w:tblW w:w="5226" w:type="pct"/>
        <w:jc w:val="center"/>
        <w:tblLayout w:type="autofit"/>
        <w:tblCellMar>
          <w:top w:w="0" w:type="dxa"/>
          <w:left w:w="108" w:type="dxa"/>
          <w:bottom w:w="0" w:type="dxa"/>
          <w:right w:w="108" w:type="dxa"/>
        </w:tblCellMar>
      </w:tblPr>
      <w:tblGrid>
        <w:gridCol w:w="566"/>
        <w:gridCol w:w="2517"/>
        <w:gridCol w:w="6920"/>
      </w:tblGrid>
      <w:tr>
        <w:tblPrEx>
          <w:tblCellMar>
            <w:top w:w="0" w:type="dxa"/>
            <w:left w:w="108" w:type="dxa"/>
            <w:bottom w:w="0" w:type="dxa"/>
            <w:right w:w="108" w:type="dxa"/>
          </w:tblCellMar>
        </w:tblPrEx>
        <w:trPr>
          <w:trHeight w:val="7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sz w:val="24"/>
                <w:highlight w:val="none"/>
              </w:rPr>
            </w:pPr>
            <w:r>
              <w:rPr>
                <w:rFonts w:hint="eastAsia" w:ascii="宋体" w:hAnsi="宋体" w:cs="宋体"/>
                <w:b/>
                <w:sz w:val="24"/>
                <w:highlight w:val="none"/>
              </w:rPr>
              <w:t>编号</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sz w:val="24"/>
                <w:highlight w:val="none"/>
              </w:rPr>
            </w:pPr>
            <w:r>
              <w:rPr>
                <w:rFonts w:hint="eastAsia" w:ascii="宋体" w:hAnsi="宋体" w:cs="宋体"/>
                <w:b/>
                <w:sz w:val="24"/>
                <w:highlight w:val="none"/>
              </w:rPr>
              <w:t>条款名称</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sz w:val="24"/>
                <w:highlight w:val="none"/>
              </w:rPr>
            </w:pPr>
            <w:r>
              <w:rPr>
                <w:rFonts w:hint="eastAsia" w:ascii="宋体" w:hAnsi="宋体" w:cs="宋体"/>
                <w:b/>
                <w:sz w:val="24"/>
                <w:highlight w:val="none"/>
              </w:rPr>
              <w:t>编  列  内  容</w:t>
            </w:r>
          </w:p>
        </w:tc>
      </w:tr>
      <w:tr>
        <w:tblPrEx>
          <w:tblCellMar>
            <w:top w:w="0" w:type="dxa"/>
            <w:left w:w="108" w:type="dxa"/>
            <w:bottom w:w="0" w:type="dxa"/>
            <w:right w:w="108" w:type="dxa"/>
          </w:tblCellMar>
        </w:tblPrEx>
        <w:trPr>
          <w:trHeight w:val="43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1</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采购人</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采购人信息：西安市长安区斗门街道办事处</w:t>
            </w:r>
          </w:p>
          <w:p>
            <w:pPr>
              <w:snapToGrid w:val="0"/>
              <w:spacing w:line="360" w:lineRule="auto"/>
              <w:rPr>
                <w:rFonts w:ascii="宋体" w:hAnsi="宋体" w:cs="宋体"/>
                <w:sz w:val="24"/>
                <w:highlight w:val="none"/>
              </w:rPr>
            </w:pPr>
            <w:r>
              <w:rPr>
                <w:rFonts w:hint="eastAsia" w:ascii="宋体" w:hAnsi="宋体" w:cs="宋体"/>
                <w:sz w:val="24"/>
                <w:highlight w:val="none"/>
              </w:rPr>
              <w:t>地址：长安区斗门北街34号</w:t>
            </w:r>
          </w:p>
          <w:p>
            <w:pPr>
              <w:snapToGrid w:val="0"/>
              <w:spacing w:line="360" w:lineRule="auto"/>
              <w:rPr>
                <w:rFonts w:ascii="宋体" w:hAnsi="宋体" w:cs="宋体"/>
                <w:sz w:val="24"/>
                <w:highlight w:val="none"/>
              </w:rPr>
            </w:pPr>
            <w:r>
              <w:rPr>
                <w:rFonts w:hint="eastAsia" w:ascii="宋体" w:hAnsi="宋体" w:cs="宋体"/>
                <w:sz w:val="24"/>
                <w:highlight w:val="none"/>
              </w:rPr>
              <w:t>联系人：西安市长安区斗门街道办事处经办</w:t>
            </w:r>
          </w:p>
          <w:p>
            <w:pPr>
              <w:snapToGrid w:val="0"/>
              <w:spacing w:line="360" w:lineRule="auto"/>
              <w:rPr>
                <w:rFonts w:ascii="宋体" w:hAnsi="宋体" w:cs="宋体"/>
                <w:sz w:val="24"/>
                <w:highlight w:val="none"/>
              </w:rPr>
            </w:pPr>
            <w:r>
              <w:rPr>
                <w:rFonts w:hint="eastAsia" w:ascii="宋体" w:hAnsi="宋体" w:cs="宋体"/>
                <w:sz w:val="24"/>
                <w:highlight w:val="none"/>
              </w:rPr>
              <w:t>电话：029-85908326</w:t>
            </w:r>
          </w:p>
        </w:tc>
      </w:tr>
      <w:tr>
        <w:tblPrEx>
          <w:tblCellMar>
            <w:top w:w="0" w:type="dxa"/>
            <w:left w:w="108" w:type="dxa"/>
            <w:bottom w:w="0" w:type="dxa"/>
            <w:right w:w="108" w:type="dxa"/>
          </w:tblCellMar>
        </w:tblPrEx>
        <w:trPr>
          <w:trHeight w:val="99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2</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采购代理机构</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名称：陕西嘉唐建设项目管理有限公司</w:t>
            </w:r>
          </w:p>
          <w:p>
            <w:pPr>
              <w:snapToGrid w:val="0"/>
              <w:spacing w:line="360" w:lineRule="auto"/>
              <w:rPr>
                <w:rFonts w:hint="eastAsia" w:ascii="宋体" w:hAnsi="宋体" w:cs="宋体"/>
                <w:sz w:val="24"/>
                <w:highlight w:val="none"/>
              </w:rPr>
            </w:pPr>
            <w:r>
              <w:rPr>
                <w:rFonts w:hint="eastAsia" w:ascii="宋体" w:hAnsi="宋体" w:cs="宋体"/>
                <w:sz w:val="24"/>
                <w:highlight w:val="none"/>
              </w:rPr>
              <w:t>地址：西安市未央区凤城五路与明光路十字天朗经开中心10楼11002室</w:t>
            </w:r>
          </w:p>
          <w:p>
            <w:pPr>
              <w:snapToGrid w:val="0"/>
              <w:spacing w:line="360" w:lineRule="auto"/>
              <w:rPr>
                <w:rFonts w:hint="eastAsia" w:ascii="宋体" w:hAnsi="宋体" w:eastAsia="宋体" w:cs="宋体"/>
                <w:sz w:val="24"/>
                <w:highlight w:val="none"/>
                <w:lang w:eastAsia="zh-CN"/>
              </w:rPr>
            </w:pPr>
            <w:r>
              <w:rPr>
                <w:rFonts w:hint="eastAsia" w:ascii="宋体" w:hAnsi="宋体" w:cs="宋体"/>
                <w:sz w:val="24"/>
                <w:highlight w:val="none"/>
              </w:rPr>
              <w:t>联系人：</w:t>
            </w:r>
            <w:r>
              <w:rPr>
                <w:rFonts w:hint="eastAsia" w:ascii="宋体" w:hAnsi="宋体" w:cs="宋体"/>
                <w:sz w:val="24"/>
                <w:highlight w:val="none"/>
                <w:lang w:eastAsia="zh-CN"/>
              </w:rPr>
              <w:t>李莹、杨世明</w:t>
            </w:r>
          </w:p>
          <w:p>
            <w:pPr>
              <w:snapToGrid w:val="0"/>
              <w:spacing w:line="360" w:lineRule="auto"/>
              <w:rPr>
                <w:rFonts w:ascii="宋体" w:hAnsi="宋体" w:cs="宋体"/>
                <w:sz w:val="24"/>
                <w:highlight w:val="none"/>
              </w:rPr>
            </w:pPr>
            <w:r>
              <w:rPr>
                <w:rFonts w:hint="eastAsia" w:ascii="宋体" w:hAnsi="宋体" w:cs="宋体"/>
                <w:sz w:val="24"/>
                <w:highlight w:val="none"/>
              </w:rPr>
              <w:t>电话：029-89351397</w:t>
            </w:r>
          </w:p>
        </w:tc>
      </w:tr>
      <w:tr>
        <w:tblPrEx>
          <w:tblCellMar>
            <w:top w:w="0" w:type="dxa"/>
            <w:left w:w="108" w:type="dxa"/>
            <w:bottom w:w="0" w:type="dxa"/>
            <w:right w:w="108" w:type="dxa"/>
          </w:tblCellMar>
        </w:tblPrEx>
        <w:trPr>
          <w:trHeight w:val="144"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3</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项目名称</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lang w:eastAsia="zh-CN"/>
              </w:rPr>
              <w:t>斗门街办镐京遗址文物勘探和发掘项目（花园村、官庄村）集体土地建筑物拆除、地面破碎、垃圾清运、苗木清表</w:t>
            </w:r>
            <w:r>
              <w:rPr>
                <w:rFonts w:hint="eastAsia" w:ascii="宋体" w:hAnsi="宋体" w:cs="宋体"/>
                <w:sz w:val="24"/>
                <w:highlight w:val="none"/>
              </w:rPr>
              <w:t> </w:t>
            </w:r>
          </w:p>
        </w:tc>
      </w:tr>
      <w:tr>
        <w:tblPrEx>
          <w:tblCellMar>
            <w:top w:w="0" w:type="dxa"/>
            <w:left w:w="108" w:type="dxa"/>
            <w:bottom w:w="0" w:type="dxa"/>
            <w:right w:w="108" w:type="dxa"/>
          </w:tblCellMar>
        </w:tblPrEx>
        <w:trPr>
          <w:trHeight w:val="13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4</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项目地点</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采购人指定地点</w:t>
            </w:r>
          </w:p>
        </w:tc>
      </w:tr>
      <w:tr>
        <w:tblPrEx>
          <w:tblCellMar>
            <w:top w:w="0" w:type="dxa"/>
            <w:left w:w="108" w:type="dxa"/>
            <w:bottom w:w="0" w:type="dxa"/>
            <w:right w:w="108" w:type="dxa"/>
          </w:tblCellMar>
        </w:tblPrEx>
        <w:trPr>
          <w:trHeight w:val="12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5</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项目性质</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kern w:val="0"/>
                <w:sz w:val="24"/>
                <w:highlight w:val="none"/>
              </w:rPr>
            </w:pPr>
            <w:r>
              <w:rPr>
                <w:rFonts w:hint="eastAsia" w:ascii="宋体" w:hAnsi="宋体" w:cs="宋体"/>
                <w:kern w:val="0"/>
                <w:sz w:val="24"/>
                <w:highlight w:val="none"/>
              </w:rPr>
              <w:t>财政拨款，采购预算</w:t>
            </w:r>
            <w:r>
              <w:rPr>
                <w:rFonts w:hint="eastAsia" w:ascii="宋体" w:hAnsi="宋体" w:cs="宋体"/>
                <w:kern w:val="0"/>
                <w:sz w:val="24"/>
                <w:highlight w:val="none"/>
                <w:lang w:eastAsia="zh-CN"/>
              </w:rPr>
              <w:t>1399000.00</w:t>
            </w:r>
            <w:r>
              <w:rPr>
                <w:rFonts w:hint="eastAsia" w:ascii="宋体" w:hAnsi="宋体" w:cs="宋体"/>
                <w:kern w:val="0"/>
                <w:sz w:val="24"/>
                <w:highlight w:val="none"/>
              </w:rPr>
              <w:t>元。</w:t>
            </w:r>
          </w:p>
        </w:tc>
      </w:tr>
      <w:tr>
        <w:tblPrEx>
          <w:tblCellMar>
            <w:top w:w="0" w:type="dxa"/>
            <w:left w:w="108" w:type="dxa"/>
            <w:bottom w:w="0" w:type="dxa"/>
            <w:right w:w="108" w:type="dxa"/>
          </w:tblCellMar>
        </w:tblPrEx>
        <w:trPr>
          <w:trHeight w:val="459"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kern w:val="0"/>
                <w:sz w:val="24"/>
                <w:highlight w:val="none"/>
                <w:lang w:eastAsia="zh-CN"/>
              </w:rPr>
            </w:pPr>
            <w:r>
              <w:rPr>
                <w:rFonts w:hint="eastAsia" w:ascii="宋体" w:hAnsi="宋体" w:cs="宋体"/>
                <w:kern w:val="0"/>
                <w:sz w:val="24"/>
                <w:highlight w:val="none"/>
                <w:lang w:val="en-US" w:eastAsia="zh-CN"/>
              </w:rPr>
              <w:t>6</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kern w:val="0"/>
                <w:sz w:val="24"/>
                <w:highlight w:val="none"/>
              </w:rPr>
            </w:pPr>
            <w:r>
              <w:rPr>
                <w:rFonts w:hint="eastAsia" w:ascii="宋体" w:hAnsi="宋体" w:cs="宋体"/>
                <w:kern w:val="0"/>
                <w:sz w:val="24"/>
                <w:highlight w:val="none"/>
              </w:rPr>
              <w:t>工作内容</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eastAsia="宋体" w:cs="宋体"/>
                <w:kern w:val="0"/>
                <w:sz w:val="24"/>
                <w:highlight w:val="none"/>
                <w:lang w:eastAsia="zh-CN"/>
              </w:rPr>
            </w:pPr>
            <w:r>
              <w:rPr>
                <w:rFonts w:hint="eastAsia" w:ascii="宋体" w:hAnsi="宋体" w:cs="宋体"/>
                <w:kern w:val="0"/>
                <w:sz w:val="24"/>
                <w:highlight w:val="none"/>
                <w:lang w:eastAsia="zh-CN"/>
              </w:rPr>
              <w:t>工程概况：镐京遗址文物勘探和发掘项目（花园村、官庄村），该工程位于花园村，官庄村。东临咸阳路，西临官庄村，南临花园村通村路，北临官庄村四组，集体土地范围内地面苗木约</w:t>
            </w:r>
            <w:r>
              <w:rPr>
                <w:rFonts w:hint="eastAsia" w:ascii="宋体" w:hAnsi="宋体" w:cs="宋体"/>
                <w:kern w:val="0"/>
                <w:sz w:val="24"/>
                <w:highlight w:val="none"/>
                <w:lang w:val="en-US" w:eastAsia="zh-CN"/>
              </w:rPr>
              <w:t>110亩，企业房屋拆除建筑总面积约13000平方米（其中砖混结构拆除建筑面积约3000平方米，钢结构拆除建筑面积约10000平方米），水泥地面、道路路面破碎面积约15000平方米，该工程现需进行招标</w:t>
            </w:r>
            <w:r>
              <w:rPr>
                <w:rFonts w:hint="eastAsia" w:ascii="宋体" w:hAnsi="宋体" w:cs="宋体"/>
                <w:kern w:val="0"/>
                <w:sz w:val="24"/>
                <w:highlight w:val="none"/>
                <w:lang w:eastAsia="zh-CN"/>
              </w:rPr>
              <w:t>。</w:t>
            </w:r>
          </w:p>
        </w:tc>
      </w:tr>
      <w:tr>
        <w:tblPrEx>
          <w:tblCellMar>
            <w:top w:w="0" w:type="dxa"/>
            <w:left w:w="108" w:type="dxa"/>
            <w:bottom w:w="0" w:type="dxa"/>
            <w:right w:w="108" w:type="dxa"/>
          </w:tblCellMar>
        </w:tblPrEx>
        <w:trPr>
          <w:trHeight w:val="36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7</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合同期限</w:t>
            </w:r>
          </w:p>
        </w:tc>
        <w:tc>
          <w:tcPr>
            <w:tcW w:w="3457" w:type="pct"/>
            <w:tcBorders>
              <w:top w:val="single" w:color="auto" w:sz="4" w:space="0"/>
              <w:left w:val="single" w:color="auto" w:sz="4" w:space="0"/>
              <w:bottom w:val="single" w:color="auto" w:sz="4" w:space="0"/>
              <w:right w:val="single" w:color="auto" w:sz="4" w:space="0"/>
            </w:tcBorders>
            <w:vAlign w:val="center"/>
          </w:tcPr>
          <w:p>
            <w:pPr>
              <w:pStyle w:val="16"/>
              <w:snapToGrid w:val="0"/>
              <w:spacing w:line="360" w:lineRule="auto"/>
              <w:jc w:val="left"/>
              <w:textAlignment w:val="center"/>
              <w:rPr>
                <w:rFonts w:hAnsi="宋体" w:cs="宋体"/>
                <w:szCs w:val="24"/>
                <w:highlight w:val="none"/>
                <w:u w:val="single"/>
              </w:rPr>
            </w:pPr>
            <w:r>
              <w:rPr>
                <w:rFonts w:hint="eastAsia" w:hAnsi="宋体" w:cs="宋体"/>
                <w:szCs w:val="24"/>
                <w:highlight w:val="none"/>
              </w:rPr>
              <w:t>计划总工期</w:t>
            </w:r>
            <w:r>
              <w:rPr>
                <w:rFonts w:hint="eastAsia" w:hAnsi="宋体" w:cs="宋体"/>
                <w:szCs w:val="24"/>
                <w:highlight w:val="none"/>
                <w:lang w:val="en-US" w:eastAsia="zh-CN"/>
              </w:rPr>
              <w:t>180</w:t>
            </w:r>
            <w:r>
              <w:rPr>
                <w:rFonts w:hint="eastAsia" w:hAnsi="宋体" w:cs="宋体"/>
                <w:szCs w:val="24"/>
                <w:highlight w:val="none"/>
              </w:rPr>
              <w:t>日历天（具体以项目开展后采购人要求为准）。乙方应积极履行其合同义务，完成合同范围内的相关工作,如遇阴雨天及不可抗力因素和其他严重人为阻碍因素影响，工期相应顺延，顺延工期应由甲方签字确认。</w:t>
            </w:r>
          </w:p>
        </w:tc>
      </w:tr>
      <w:tr>
        <w:tblPrEx>
          <w:tblCellMar>
            <w:top w:w="0" w:type="dxa"/>
            <w:left w:w="108" w:type="dxa"/>
            <w:bottom w:w="0" w:type="dxa"/>
            <w:right w:w="108" w:type="dxa"/>
          </w:tblCellMar>
        </w:tblPrEx>
        <w:trPr>
          <w:trHeight w:val="84"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8</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Cs/>
                <w:sz w:val="24"/>
                <w:highlight w:val="none"/>
              </w:rPr>
            </w:pPr>
            <w:r>
              <w:rPr>
                <w:rFonts w:hint="eastAsia" w:ascii="宋体" w:hAnsi="宋体" w:cs="宋体"/>
                <w:bCs/>
                <w:sz w:val="24"/>
                <w:highlight w:val="none"/>
              </w:rPr>
              <w:t>供应商开标时</w:t>
            </w:r>
          </w:p>
          <w:p>
            <w:pPr>
              <w:snapToGrid w:val="0"/>
              <w:spacing w:line="360" w:lineRule="auto"/>
              <w:jc w:val="center"/>
              <w:textAlignment w:val="center"/>
              <w:rPr>
                <w:rFonts w:ascii="宋体" w:hAnsi="宋体" w:cs="宋体"/>
                <w:bCs/>
                <w:sz w:val="24"/>
                <w:highlight w:val="none"/>
              </w:rPr>
            </w:pPr>
            <w:r>
              <w:rPr>
                <w:rFonts w:hint="eastAsia" w:ascii="宋体" w:hAnsi="宋体" w:cs="宋体"/>
                <w:bCs/>
                <w:sz w:val="24"/>
                <w:highlight w:val="none"/>
              </w:rPr>
              <w:t>须带资料原件</w:t>
            </w:r>
          </w:p>
        </w:tc>
        <w:tc>
          <w:tcPr>
            <w:tcW w:w="3457" w:type="pct"/>
            <w:tcBorders>
              <w:top w:val="single" w:color="auto" w:sz="4" w:space="0"/>
              <w:left w:val="single" w:color="auto" w:sz="4" w:space="0"/>
              <w:bottom w:val="single" w:color="auto" w:sz="4" w:space="0"/>
              <w:right w:val="single" w:color="auto" w:sz="4" w:space="0"/>
            </w:tcBorders>
            <w:vAlign w:val="center"/>
          </w:tcPr>
          <w:p>
            <w:pPr>
              <w:pStyle w:val="16"/>
              <w:snapToGrid w:val="0"/>
              <w:spacing w:line="360" w:lineRule="auto"/>
              <w:jc w:val="left"/>
              <w:textAlignment w:val="center"/>
              <w:rPr>
                <w:rFonts w:hAnsi="宋体" w:cs="宋体"/>
                <w:bCs/>
                <w:szCs w:val="24"/>
                <w:highlight w:val="none"/>
              </w:rPr>
            </w:pPr>
            <w:r>
              <w:rPr>
                <w:rFonts w:hint="eastAsia" w:hAnsi="宋体" w:cs="宋体"/>
                <w:bCs/>
                <w:color w:val="000000"/>
                <w:szCs w:val="24"/>
                <w:highlight w:val="none"/>
              </w:rPr>
              <w:t>供应商参加开标会时须携带法人授权委托书和被授权人身份证原件（法定代表人直接参加时，只须出示法定代表人身份证件）交监标人进行身份检验，未按要求提交的按无效投标处理</w:t>
            </w:r>
            <w:r>
              <w:rPr>
                <w:rFonts w:hint="eastAsia" w:hAnsi="宋体" w:cs="宋体"/>
                <w:bCs/>
                <w:szCs w:val="24"/>
                <w:highlight w:val="none"/>
              </w:rPr>
              <w:t>。</w:t>
            </w:r>
          </w:p>
        </w:tc>
      </w:tr>
      <w:tr>
        <w:tblPrEx>
          <w:tblCellMar>
            <w:top w:w="0" w:type="dxa"/>
            <w:left w:w="108" w:type="dxa"/>
            <w:bottom w:w="0" w:type="dxa"/>
            <w:right w:w="108" w:type="dxa"/>
          </w:tblCellMar>
        </w:tblPrEx>
        <w:trPr>
          <w:trHeight w:val="45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9</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是否接受联合体投标</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接受。</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0</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分包</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本项目不允许。</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1</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偏离</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本项目不允许。</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2</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踏勘现场</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供应商自行踏勘。</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3</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投标预备会</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不召开。</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4</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构成招标文件的</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其他材料</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对招标文件所作的澄清、修改等。</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5</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供应商要求澄清</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招标文件的截止时间</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投标截止时间 10日前。</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6</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投标截止时间</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hint="eastAsia" w:ascii="宋体" w:hAnsi="宋体" w:eastAsia="宋体" w:cs="宋体"/>
                <w:sz w:val="24"/>
                <w:highlight w:val="none"/>
                <w:lang w:eastAsia="zh-CN"/>
              </w:rPr>
            </w:pPr>
            <w:r>
              <w:rPr>
                <w:rFonts w:hint="eastAsia" w:ascii="宋体" w:hAnsi="宋体" w:cs="宋体"/>
                <w:sz w:val="24"/>
                <w:highlight w:val="none"/>
              </w:rPr>
              <w:t>202</w:t>
            </w:r>
            <w:r>
              <w:rPr>
                <w:rFonts w:hint="eastAsia" w:ascii="宋体" w:hAnsi="宋体" w:cs="宋体"/>
                <w:sz w:val="24"/>
                <w:highlight w:val="none"/>
                <w:lang w:val="en-US" w:eastAsia="zh-CN"/>
              </w:rPr>
              <w:t>1</w:t>
            </w:r>
            <w:r>
              <w:rPr>
                <w:rFonts w:hint="eastAsia" w:ascii="宋体" w:hAnsi="宋体" w:cs="宋体"/>
                <w:sz w:val="24"/>
                <w:highlight w:val="none"/>
              </w:rPr>
              <w:t>年</w:t>
            </w:r>
            <w:r>
              <w:rPr>
                <w:rFonts w:hint="eastAsia" w:ascii="宋体" w:hAnsi="宋体" w:cs="宋体"/>
                <w:sz w:val="24"/>
                <w:highlight w:val="none"/>
                <w:lang w:val="en-US" w:eastAsia="zh-CN"/>
              </w:rPr>
              <w:t>01月08日14</w:t>
            </w:r>
            <w:r>
              <w:rPr>
                <w:rFonts w:hint="eastAsia" w:ascii="宋体" w:hAnsi="宋体" w:cs="宋体"/>
                <w:sz w:val="24"/>
                <w:highlight w:val="none"/>
              </w:rPr>
              <w:t>:</w:t>
            </w:r>
            <w:r>
              <w:rPr>
                <w:rFonts w:hint="eastAsia" w:ascii="宋体" w:hAnsi="宋体" w:cs="宋体"/>
                <w:sz w:val="24"/>
                <w:highlight w:val="none"/>
                <w:lang w:val="en-US" w:eastAsia="zh-CN"/>
              </w:rPr>
              <w:t>0</w:t>
            </w:r>
            <w:r>
              <w:rPr>
                <w:rFonts w:hint="eastAsia" w:ascii="宋体" w:hAnsi="宋体" w:cs="宋体"/>
                <w:sz w:val="24"/>
                <w:highlight w:val="none"/>
              </w:rPr>
              <w:t>0</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7</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供应商确认收到</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招标文件澄清的时间</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收到澄清后 24 小时内。</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1</w:t>
            </w:r>
            <w:r>
              <w:rPr>
                <w:rFonts w:hint="eastAsia" w:ascii="宋体" w:hAnsi="宋体" w:cs="宋体"/>
                <w:sz w:val="24"/>
                <w:highlight w:val="none"/>
                <w:lang w:val="en-US" w:eastAsia="zh-CN"/>
              </w:rPr>
              <w:t>8</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供应商确认收到</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招标文件修改的时间</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收到修改后 24 小时内。</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19</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构成投标文件的</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其他材料</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供应商按照招标文件的要求认为有利于自身投标的材料。</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0</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投标有效期</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textAlignment w:val="center"/>
              <w:rPr>
                <w:rFonts w:ascii="宋体" w:hAnsi="宋体" w:cs="宋体"/>
                <w:sz w:val="24"/>
                <w:highlight w:val="none"/>
              </w:rPr>
            </w:pPr>
            <w:r>
              <w:rPr>
                <w:rFonts w:hint="eastAsia" w:ascii="宋体" w:hAnsi="宋体" w:cs="宋体"/>
                <w:sz w:val="24"/>
                <w:highlight w:val="none"/>
              </w:rPr>
              <w:t>90日历日（自投标截止时间之日算起）。</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1</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是否允许递交</w:t>
            </w:r>
          </w:p>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备选投标方案</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不允许。</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2</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签字或盖章要求</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投标文件加盖供应商公章并经法定代表人或其委托代理人签字或盖章。由委托代理人签字或盖章的在投标文件中须同时提交有效投标文件签署授权委托书。</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3</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投标文件份数</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cs="宋体"/>
                <w:sz w:val="24"/>
                <w:highlight w:val="none"/>
              </w:rPr>
            </w:pPr>
            <w:r>
              <w:rPr>
                <w:rFonts w:hint="eastAsia" w:ascii="宋体" w:hAnsi="宋体" w:cs="宋体"/>
                <w:sz w:val="24"/>
                <w:highlight w:val="none"/>
              </w:rPr>
              <w:t>正本壹份，副本贰份，全套标书电子版U盘贰份。</w:t>
            </w:r>
            <w:bookmarkStart w:id="18" w:name="_Toc14592"/>
          </w:p>
          <w:p>
            <w:pPr>
              <w:snapToGrid w:val="0"/>
              <w:spacing w:line="360" w:lineRule="auto"/>
              <w:rPr>
                <w:rFonts w:ascii="宋体" w:hAnsi="宋体" w:cs="宋体"/>
                <w:sz w:val="24"/>
                <w:highlight w:val="none"/>
              </w:rPr>
            </w:pPr>
            <w:r>
              <w:rPr>
                <w:rFonts w:hint="eastAsia" w:ascii="宋体" w:hAnsi="宋体" w:cs="宋体"/>
                <w:b/>
                <w:bCs/>
                <w:sz w:val="24"/>
                <w:highlight w:val="none"/>
                <w:lang w:val="en-US" w:eastAsia="zh-CN"/>
              </w:rPr>
              <w:t>注：电子U盘内须附投标文件WORD版本（可编辑）、完整扫描件的PDF版本（包含签字盖章内容）及扩展名为“.NSXSTF”的非加密电子化投标文件。</w:t>
            </w:r>
            <w:bookmarkEnd w:id="18"/>
          </w:p>
        </w:tc>
      </w:tr>
      <w:tr>
        <w:tblPrEx>
          <w:tblCellMar>
            <w:top w:w="0" w:type="dxa"/>
            <w:left w:w="108" w:type="dxa"/>
            <w:bottom w:w="0" w:type="dxa"/>
            <w:right w:w="108" w:type="dxa"/>
          </w:tblCellMar>
        </w:tblPrEx>
        <w:trPr>
          <w:trHeight w:val="384"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4</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密封要求</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投标文件的正本、副本应分别装袋密封，电子版U盘密封于响应文件正本内。</w:t>
            </w:r>
          </w:p>
        </w:tc>
      </w:tr>
      <w:tr>
        <w:tblPrEx>
          <w:tblCellMar>
            <w:top w:w="0" w:type="dxa"/>
            <w:left w:w="108" w:type="dxa"/>
            <w:bottom w:w="0" w:type="dxa"/>
            <w:right w:w="108" w:type="dxa"/>
          </w:tblCellMar>
        </w:tblPrEx>
        <w:trPr>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5</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封套上写明</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1、采购人名称：</w:t>
            </w:r>
            <w:r>
              <w:rPr>
                <w:rFonts w:hint="eastAsia" w:ascii="宋体" w:hAnsi="宋体" w:cs="宋体"/>
                <w:color w:val="000000" w:themeColor="text1"/>
                <w:kern w:val="0"/>
                <w:sz w:val="24"/>
                <w:highlight w:val="none"/>
                <w14:textFill>
                  <w14:solidFill>
                    <w14:schemeClr w14:val="tx1"/>
                  </w14:solidFill>
                </w14:textFill>
              </w:rPr>
              <w:t>西安市长安区斗门街道办事处</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2、供应商名称以及标注 “正本”或“副本”字样，密封处应加盖单位公章。</w:t>
            </w:r>
          </w:p>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w:t>
            </w:r>
            <w:r>
              <w:rPr>
                <w:rFonts w:hint="eastAsia" w:ascii="宋体" w:hAnsi="宋体" w:cs="宋体"/>
                <w:color w:val="000000" w:themeColor="text1"/>
                <w:sz w:val="24"/>
                <w:highlight w:val="none"/>
                <w:u w:val="single"/>
                <w14:textFill>
                  <w14:solidFill>
                    <w14:schemeClr w14:val="tx1"/>
                  </w14:solidFill>
                </w14:textFill>
              </w:rPr>
              <w:t>202</w:t>
            </w:r>
            <w:r>
              <w:rPr>
                <w:rFonts w:hint="eastAsia" w:ascii="宋体" w:hAnsi="宋体" w:cs="宋体"/>
                <w:color w:val="000000" w:themeColor="text1"/>
                <w:sz w:val="24"/>
                <w:highlight w:val="none"/>
                <w:u w:val="single"/>
                <w:lang w:val="en-US" w:eastAsia="zh-CN"/>
                <w14:textFill>
                  <w14:solidFill>
                    <w14:schemeClr w14:val="tx1"/>
                  </w14:solidFill>
                </w14:textFill>
              </w:rPr>
              <w:t>1</w:t>
            </w:r>
            <w:r>
              <w:rPr>
                <w:rFonts w:hint="eastAsia" w:ascii="宋体" w:hAnsi="宋体" w:cs="宋体"/>
                <w:color w:val="000000" w:themeColor="text1"/>
                <w:sz w:val="24"/>
                <w:highlight w:val="none"/>
                <w14:textFill>
                  <w14:solidFill>
                    <w14:schemeClr w14:val="tx1"/>
                  </w14:solidFill>
                </w14:textFill>
              </w:rPr>
              <w:t>年</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月</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日</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时</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14:textFill>
                  <w14:solidFill>
                    <w14:schemeClr w14:val="tx1"/>
                  </w14:solidFill>
                </w14:textFill>
              </w:rPr>
              <w:t>分前不得开启。</w:t>
            </w:r>
          </w:p>
        </w:tc>
      </w:tr>
      <w:tr>
        <w:tblPrEx>
          <w:tblCellMar>
            <w:top w:w="0" w:type="dxa"/>
            <w:left w:w="108" w:type="dxa"/>
            <w:bottom w:w="0" w:type="dxa"/>
            <w:right w:w="108" w:type="dxa"/>
          </w:tblCellMar>
        </w:tblPrEx>
        <w:trPr>
          <w:trHeight w:val="67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6</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递交投标文件地点</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陕西省西咸新区公共资源交易中心（陕西省西咸新区沣泾大道创新大厦裙楼）开标室</w:t>
            </w:r>
            <w:r>
              <w:rPr>
                <w:rFonts w:hint="eastAsia" w:ascii="宋体" w:hAnsi="宋体" w:cs="宋体"/>
                <w:color w:val="000000" w:themeColor="text1"/>
                <w:sz w:val="24"/>
                <w:highlight w:val="none"/>
                <w:lang w:val="en-US" w:eastAsia="zh-CN"/>
                <w14:textFill>
                  <w14:solidFill>
                    <w14:schemeClr w14:val="tx1"/>
                  </w14:solidFill>
                </w14:textFill>
              </w:rPr>
              <w:t>12</w:t>
            </w:r>
          </w:p>
        </w:tc>
      </w:tr>
      <w:tr>
        <w:tblPrEx>
          <w:tblCellMar>
            <w:top w:w="0" w:type="dxa"/>
            <w:left w:w="108" w:type="dxa"/>
            <w:bottom w:w="0" w:type="dxa"/>
            <w:right w:w="108" w:type="dxa"/>
          </w:tblCellMar>
        </w:tblPrEx>
        <w:trPr>
          <w:trHeight w:val="216"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7</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是否退还投标文件</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否。</w:t>
            </w:r>
          </w:p>
        </w:tc>
      </w:tr>
      <w:tr>
        <w:tblPrEx>
          <w:tblCellMar>
            <w:top w:w="0" w:type="dxa"/>
            <w:left w:w="108" w:type="dxa"/>
            <w:bottom w:w="0" w:type="dxa"/>
            <w:right w:w="108" w:type="dxa"/>
          </w:tblCellMar>
        </w:tblPrEx>
        <w:trPr>
          <w:trHeight w:val="70"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2</w:t>
            </w:r>
            <w:r>
              <w:rPr>
                <w:rFonts w:hint="eastAsia" w:ascii="宋体" w:hAnsi="宋体" w:cs="宋体"/>
                <w:sz w:val="24"/>
                <w:highlight w:val="none"/>
                <w:lang w:val="en-US" w:eastAsia="zh-CN"/>
              </w:rPr>
              <w:t>8</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sz w:val="24"/>
                <w:highlight w:val="none"/>
              </w:rPr>
            </w:pPr>
            <w:r>
              <w:rPr>
                <w:rFonts w:hint="eastAsia" w:ascii="宋体" w:hAnsi="宋体" w:cs="宋体"/>
                <w:sz w:val="24"/>
                <w:highlight w:val="none"/>
              </w:rPr>
              <w:t>开标时间和地点</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开标时间：</w:t>
            </w:r>
            <w:r>
              <w:rPr>
                <w:rFonts w:hint="eastAsia" w:ascii="宋体" w:hAnsi="宋体" w:cs="宋体"/>
                <w:color w:val="000000" w:themeColor="text1"/>
                <w:sz w:val="24"/>
                <w:highlight w:val="none"/>
                <w:u w:val="single"/>
                <w14:textFill>
                  <w14:solidFill>
                    <w14:schemeClr w14:val="tx1"/>
                  </w14:solidFill>
                </w14:textFill>
              </w:rPr>
              <w:t>202</w:t>
            </w:r>
            <w:r>
              <w:rPr>
                <w:rFonts w:hint="eastAsia" w:ascii="宋体" w:hAnsi="宋体" w:cs="宋体"/>
                <w:color w:val="000000" w:themeColor="text1"/>
                <w:sz w:val="24"/>
                <w:highlight w:val="none"/>
                <w:u w:val="single"/>
                <w:lang w:val="en-US" w:eastAsia="zh-CN"/>
                <w14:textFill>
                  <w14:solidFill>
                    <w14:schemeClr w14:val="tx1"/>
                  </w14:solidFill>
                </w14:textFill>
              </w:rPr>
              <w:t>1</w:t>
            </w:r>
            <w:r>
              <w:rPr>
                <w:rFonts w:hint="eastAsia" w:ascii="宋体" w:hAnsi="宋体" w:cs="宋体"/>
                <w:color w:val="000000" w:themeColor="text1"/>
                <w:sz w:val="24"/>
                <w:highlight w:val="none"/>
                <w14:textFill>
                  <w14:solidFill>
                    <w14:schemeClr w14:val="tx1"/>
                  </w14:solidFill>
                </w14:textFill>
              </w:rPr>
              <w:t>年</w:t>
            </w:r>
            <w:r>
              <w:rPr>
                <w:rFonts w:hint="eastAsia" w:ascii="宋体" w:hAnsi="宋体" w:cs="宋体"/>
                <w:color w:val="000000" w:themeColor="text1"/>
                <w:sz w:val="24"/>
                <w:highlight w:val="none"/>
                <w:u w:val="single"/>
                <w:lang w:val="en-US" w:eastAsia="zh-CN"/>
                <w14:textFill>
                  <w14:solidFill>
                    <w14:schemeClr w14:val="tx1"/>
                  </w14:solidFill>
                </w14:textFill>
              </w:rPr>
              <w:t>01月08</w:t>
            </w:r>
            <w:r>
              <w:rPr>
                <w:rFonts w:hint="eastAsia" w:ascii="宋体" w:hAnsi="宋体" w:cs="宋体"/>
                <w:color w:val="000000" w:themeColor="text1"/>
                <w:sz w:val="24"/>
                <w:highlight w:val="none"/>
                <w:u w:val="none"/>
                <w:lang w:val="en-US" w:eastAsia="zh-CN"/>
                <w14:textFill>
                  <w14:solidFill>
                    <w14:schemeClr w14:val="tx1"/>
                  </w14:solidFill>
                </w14:textFill>
              </w:rPr>
              <w:t>日</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14</w:t>
            </w:r>
            <w:r>
              <w:rPr>
                <w:rFonts w:hint="eastAsia" w:ascii="宋体" w:hAnsi="宋体" w:cs="宋体"/>
                <w:color w:val="000000" w:themeColor="text1"/>
                <w:sz w:val="24"/>
                <w:highlight w:val="none"/>
                <w14:textFill>
                  <w14:solidFill>
                    <w14:schemeClr w14:val="tx1"/>
                  </w14:solidFill>
                </w14:textFill>
              </w:rPr>
              <w:t>时</w:t>
            </w:r>
            <w:r>
              <w:rPr>
                <w:rFonts w:hint="eastAsia" w:ascii="宋体" w:hAnsi="宋体" w:cs="宋体"/>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0</w:t>
            </w:r>
            <w:r>
              <w:rPr>
                <w:rFonts w:hint="eastAsia" w:ascii="宋体" w:hAnsi="宋体" w:cs="宋体"/>
                <w:color w:val="000000" w:themeColor="text1"/>
                <w:sz w:val="24"/>
                <w:highlight w:val="none"/>
                <w:u w:val="single"/>
                <w14:textFill>
                  <w14:solidFill>
                    <w14:schemeClr w14:val="tx1"/>
                  </w14:solidFill>
                </w14:textFill>
              </w:rPr>
              <w:t xml:space="preserve">0 </w:t>
            </w:r>
            <w:r>
              <w:rPr>
                <w:rFonts w:hint="eastAsia" w:ascii="宋体" w:hAnsi="宋体" w:cs="宋体"/>
                <w:color w:val="000000" w:themeColor="text1"/>
                <w:sz w:val="24"/>
                <w:highlight w:val="none"/>
                <w14:textFill>
                  <w14:solidFill>
                    <w14:schemeClr w14:val="tx1"/>
                  </w14:solidFill>
                </w14:textFill>
              </w:rPr>
              <w:t>分</w:t>
            </w:r>
          </w:p>
          <w:p>
            <w:pPr>
              <w:snapToGrid w:val="0"/>
              <w:spacing w:line="360" w:lineRule="auto"/>
              <w:textAlignment w:val="center"/>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开标地点：陕西省西咸新区公共资源交易中心（陕西省西咸新区沣泾大道创新大厦裙楼）</w:t>
            </w:r>
            <w:r>
              <w:rPr>
                <w:rFonts w:hint="eastAsia" w:ascii="宋体" w:hAnsi="宋体" w:cs="宋体"/>
                <w:color w:val="000000" w:themeColor="text1"/>
                <w:sz w:val="24"/>
                <w:highlight w:val="none"/>
                <w:shd w:val="clear"/>
                <w14:textFill>
                  <w14:solidFill>
                    <w14:schemeClr w14:val="tx1"/>
                  </w14:solidFill>
                </w14:textFill>
              </w:rPr>
              <w:t>开标室</w:t>
            </w:r>
            <w:r>
              <w:rPr>
                <w:rFonts w:hint="eastAsia" w:ascii="宋体" w:hAnsi="宋体" w:cs="宋体"/>
                <w:color w:val="000000" w:themeColor="text1"/>
                <w:sz w:val="24"/>
                <w:highlight w:val="none"/>
                <w:shd w:val="clear"/>
                <w:lang w:val="en-US" w:eastAsia="zh-CN"/>
                <w14:textFill>
                  <w14:solidFill>
                    <w14:schemeClr w14:val="tx1"/>
                  </w14:solidFill>
                </w14:textFill>
              </w:rPr>
              <w:t>12</w:t>
            </w:r>
          </w:p>
        </w:tc>
      </w:tr>
      <w:tr>
        <w:tblPrEx>
          <w:tblCellMar>
            <w:top w:w="0" w:type="dxa"/>
            <w:left w:w="108" w:type="dxa"/>
            <w:bottom w:w="0" w:type="dxa"/>
            <w:right w:w="108" w:type="dxa"/>
          </w:tblCellMar>
        </w:tblPrEx>
        <w:trPr>
          <w:trHeight w:val="302"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default" w:ascii="宋体" w:hAnsi="宋体" w:eastAsia="宋体" w:cs="宋体"/>
                <w:sz w:val="24"/>
                <w:highlight w:val="none"/>
                <w:lang w:val="en-US" w:eastAsia="zh-CN"/>
              </w:rPr>
            </w:pPr>
            <w:r>
              <w:rPr>
                <w:rFonts w:hint="eastAsia" w:ascii="宋体" w:hAnsi="宋体" w:cs="宋体"/>
                <w:sz w:val="24"/>
                <w:highlight w:val="none"/>
                <w:lang w:val="en-US" w:eastAsia="zh-CN"/>
              </w:rPr>
              <w:t>29</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sz w:val="24"/>
                <w:highlight w:val="none"/>
              </w:rPr>
            </w:pPr>
            <w:r>
              <w:rPr>
                <w:rFonts w:hint="eastAsia" w:ascii="宋体" w:hAnsi="宋体" w:cs="宋体"/>
                <w:b/>
                <w:sz w:val="24"/>
                <w:highlight w:val="none"/>
              </w:rPr>
              <w:t>采购代理服务费</w:t>
            </w:r>
          </w:p>
        </w:tc>
        <w:tc>
          <w:tcPr>
            <w:tcW w:w="3457"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highlight w:val="none"/>
              </w:rPr>
            </w:pPr>
            <w:r>
              <w:rPr>
                <w:rFonts w:hint="eastAsia" w:ascii="宋体" w:hAnsi="宋体" w:cs="宋体"/>
                <w:sz w:val="24"/>
                <w:highlight w:val="none"/>
              </w:rPr>
              <w:t>1.本次招标的采购代理服务费由中标供应商支付。</w:t>
            </w:r>
          </w:p>
          <w:p>
            <w:pPr>
              <w:snapToGrid w:val="0"/>
              <w:spacing w:line="360" w:lineRule="auto"/>
              <w:rPr>
                <w:rFonts w:ascii="宋体" w:hAnsi="宋体" w:cs="宋体"/>
                <w:sz w:val="24"/>
                <w:highlight w:val="none"/>
              </w:rPr>
            </w:pPr>
            <w:r>
              <w:rPr>
                <w:rFonts w:hint="eastAsia" w:ascii="宋体" w:hAnsi="宋体" w:cs="宋体"/>
                <w:sz w:val="24"/>
                <w:highlight w:val="none"/>
              </w:rPr>
              <w:t>2. 根据中标金额按差额定率累进法计算（计算方法详见后附表一）得出的金额向采购代理机构一次付清采购代理服务费计取。</w:t>
            </w:r>
          </w:p>
          <w:p>
            <w:pPr>
              <w:snapToGrid w:val="0"/>
              <w:spacing w:line="360" w:lineRule="auto"/>
              <w:rPr>
                <w:rFonts w:ascii="宋体" w:hAnsi="宋体" w:cs="宋体"/>
                <w:sz w:val="24"/>
                <w:highlight w:val="none"/>
              </w:rPr>
            </w:pPr>
            <w:r>
              <w:rPr>
                <w:rFonts w:hint="eastAsia" w:ascii="宋体" w:hAnsi="宋体" w:cs="宋体"/>
                <w:sz w:val="24"/>
                <w:highlight w:val="none"/>
              </w:rPr>
              <w:t>3.采购代理服务费被认为已包含在投标总报价当中，并不得在单独列项向采购人要求支付。</w:t>
            </w:r>
          </w:p>
          <w:p>
            <w:pPr>
              <w:snapToGrid w:val="0"/>
              <w:spacing w:line="360" w:lineRule="auto"/>
              <w:rPr>
                <w:rFonts w:ascii="宋体" w:hAnsi="宋体" w:cs="宋体"/>
                <w:sz w:val="24"/>
                <w:highlight w:val="none"/>
              </w:rPr>
            </w:pPr>
            <w:r>
              <w:rPr>
                <w:rFonts w:hint="eastAsia" w:ascii="宋体" w:hAnsi="宋体" w:cs="宋体"/>
                <w:sz w:val="24"/>
                <w:highlight w:val="none"/>
              </w:rPr>
              <w:t>4.在领取中标通知书前由中标单位向陕西嘉唐建设项目管理有限公司缴纳。</w:t>
            </w:r>
          </w:p>
        </w:tc>
      </w:tr>
      <w:tr>
        <w:tblPrEx>
          <w:tblCellMar>
            <w:top w:w="0" w:type="dxa"/>
            <w:left w:w="108" w:type="dxa"/>
            <w:bottom w:w="0" w:type="dxa"/>
            <w:right w:w="108" w:type="dxa"/>
          </w:tblCellMar>
        </w:tblPrEx>
        <w:trPr>
          <w:trHeight w:val="635" w:hRule="atLeast"/>
          <w:jc w:val="center"/>
        </w:trPr>
        <w:tc>
          <w:tcPr>
            <w:tcW w:w="283"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hint="eastAsia" w:ascii="宋体" w:hAnsi="宋体" w:eastAsia="宋体" w:cs="宋体"/>
                <w:sz w:val="24"/>
                <w:highlight w:val="none"/>
                <w:lang w:val="en-US" w:eastAsia="zh-CN"/>
              </w:rPr>
            </w:pPr>
            <w:r>
              <w:rPr>
                <w:rFonts w:hint="eastAsia" w:ascii="宋体" w:hAnsi="宋体" w:cs="宋体"/>
                <w:sz w:val="24"/>
                <w:highlight w:val="none"/>
              </w:rPr>
              <w:t>3</w:t>
            </w:r>
            <w:r>
              <w:rPr>
                <w:rFonts w:hint="eastAsia" w:ascii="宋体" w:hAnsi="宋体" w:cs="宋体"/>
                <w:sz w:val="24"/>
                <w:highlight w:val="none"/>
                <w:lang w:val="en-US" w:eastAsia="zh-CN"/>
              </w:rPr>
              <w:t>0</w:t>
            </w:r>
          </w:p>
        </w:tc>
        <w:tc>
          <w:tcPr>
            <w:tcW w:w="1258" w:type="pct"/>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textAlignment w:val="center"/>
              <w:rPr>
                <w:rFonts w:ascii="宋体" w:hAnsi="宋体" w:cs="宋体"/>
                <w:b/>
                <w:sz w:val="24"/>
                <w:highlight w:val="none"/>
              </w:rPr>
            </w:pPr>
            <w:r>
              <w:rPr>
                <w:rFonts w:hint="eastAsia" w:ascii="宋体" w:hAnsi="宋体" w:cs="宋体"/>
                <w:b/>
                <w:sz w:val="24"/>
                <w:highlight w:val="none"/>
              </w:rPr>
              <w:t>其他</w:t>
            </w:r>
          </w:p>
        </w:tc>
        <w:tc>
          <w:tcPr>
            <w:tcW w:w="3457" w:type="pct"/>
            <w:tcBorders>
              <w:top w:val="single" w:color="auto" w:sz="4" w:space="0"/>
              <w:left w:val="single" w:color="auto" w:sz="4" w:space="0"/>
              <w:bottom w:val="single" w:color="auto" w:sz="4" w:space="0"/>
              <w:right w:val="single" w:color="auto" w:sz="4" w:space="0"/>
            </w:tcBorders>
            <w:vAlign w:val="center"/>
          </w:tcPr>
          <w:p>
            <w:pPr>
              <w:rPr>
                <w:rFonts w:cs="仿宋_GB2312"/>
                <w:sz w:val="24"/>
                <w:highlight w:val="none"/>
              </w:rPr>
            </w:pPr>
            <w:r>
              <w:rPr>
                <w:rFonts w:hint="eastAsia" w:cs="仿宋_GB2312"/>
                <w:sz w:val="24"/>
                <w:highlight w:val="none"/>
              </w:rPr>
              <w:t>投标文件一律采用书籍（胶装）方式装订且单面或双面打印。</w:t>
            </w:r>
            <w:bookmarkStart w:id="19" w:name="_Hlk8379034"/>
            <w:r>
              <w:rPr>
                <w:rFonts w:hint="eastAsia" w:cs="仿宋_GB2312"/>
                <w:sz w:val="24"/>
                <w:highlight w:val="none"/>
              </w:rPr>
              <w:t>投标文件正本一份，副本贰份，电子U盘贰份</w:t>
            </w:r>
            <w:bookmarkEnd w:id="19"/>
            <w:r>
              <w:rPr>
                <w:rFonts w:hint="eastAsia" w:cs="仿宋_GB2312"/>
                <w:sz w:val="24"/>
                <w:highlight w:val="none"/>
              </w:rPr>
              <w:t>。</w:t>
            </w:r>
            <w:r>
              <w:rPr>
                <w:rFonts w:hint="eastAsia" w:cs="仿宋_GB2312"/>
                <w:b/>
                <w:bCs/>
                <w:sz w:val="24"/>
                <w:highlight w:val="none"/>
              </w:rPr>
              <w:t>正本与电子U盘用一个封袋密封，副本可以用一个封袋密封也可以用多个封袋单独密封</w:t>
            </w:r>
            <w:r>
              <w:rPr>
                <w:rFonts w:hint="eastAsia" w:cs="仿宋_GB2312"/>
                <w:sz w:val="24"/>
                <w:highlight w:val="none"/>
              </w:rPr>
              <w:t>。</w:t>
            </w:r>
          </w:p>
          <w:p>
            <w:pPr>
              <w:rPr>
                <w:rFonts w:cs="仿宋_GB2312"/>
                <w:b/>
                <w:sz w:val="24"/>
                <w:highlight w:val="none"/>
              </w:rPr>
            </w:pPr>
            <w:r>
              <w:rPr>
                <w:rFonts w:hint="eastAsia" w:cs="仿宋_GB2312"/>
                <w:b/>
                <w:sz w:val="24"/>
                <w:highlight w:val="none"/>
              </w:rPr>
              <w:t>注：1</w:t>
            </w:r>
            <w:r>
              <w:rPr>
                <w:rFonts w:cs="仿宋_GB2312"/>
                <w:b/>
                <w:sz w:val="24"/>
                <w:highlight w:val="none"/>
              </w:rPr>
              <w:t>.</w:t>
            </w:r>
            <w:r>
              <w:rPr>
                <w:rFonts w:hint="eastAsia" w:cs="仿宋_GB2312"/>
                <w:b/>
                <w:sz w:val="24"/>
                <w:highlight w:val="none"/>
              </w:rPr>
              <w:t>未按照招标文件要求密封的投标文件，采购人、采购代理机构应当拒收。</w:t>
            </w:r>
          </w:p>
          <w:p>
            <w:pPr>
              <w:snapToGrid w:val="0"/>
              <w:spacing w:line="360" w:lineRule="auto"/>
              <w:rPr>
                <w:rFonts w:ascii="宋体" w:hAnsi="宋体" w:cs="宋体"/>
                <w:sz w:val="24"/>
                <w:highlight w:val="none"/>
              </w:rPr>
            </w:pPr>
            <w:r>
              <w:rPr>
                <w:rFonts w:hint="eastAsia" w:cs="仿宋_GB2312"/>
                <w:b/>
                <w:sz w:val="24"/>
                <w:highlight w:val="none"/>
              </w:rPr>
              <w:t>2</w:t>
            </w:r>
            <w:r>
              <w:rPr>
                <w:rFonts w:cs="仿宋_GB2312"/>
                <w:b/>
                <w:sz w:val="24"/>
                <w:highlight w:val="none"/>
              </w:rPr>
              <w:t>.</w:t>
            </w:r>
            <w:r>
              <w:rPr>
                <w:rFonts w:hint="eastAsia" w:cs="仿宋_GB2312"/>
                <w:b/>
                <w:sz w:val="24"/>
                <w:highlight w:val="none"/>
              </w:rPr>
              <w:t>电子U盘内须附投标文件WORD版本（可编辑）、完整扫描件的PDF版本（包含签字盖章内容）及扩展名为“.NSXSTF”的非加密电子化投标文件。</w:t>
            </w:r>
          </w:p>
        </w:tc>
      </w:tr>
      <w:tr>
        <w:tblPrEx>
          <w:tblCellMar>
            <w:top w:w="0" w:type="dxa"/>
            <w:left w:w="108" w:type="dxa"/>
            <w:bottom w:w="0" w:type="dxa"/>
            <w:right w:w="108" w:type="dxa"/>
          </w:tblCellMar>
        </w:tblPrEx>
        <w:trPr>
          <w:trHeight w:val="635" w:hRule="atLeast"/>
          <w:jc w:val="center"/>
        </w:trPr>
        <w:tc>
          <w:tcPr>
            <w:tcW w:w="5000" w:type="pct"/>
            <w:gridSpan w:val="3"/>
            <w:tcBorders>
              <w:top w:val="single" w:color="auto" w:sz="4" w:space="0"/>
              <w:left w:val="single" w:color="auto" w:sz="4" w:space="0"/>
              <w:bottom w:val="single" w:color="auto" w:sz="4" w:space="0"/>
              <w:right w:val="single" w:color="auto" w:sz="4" w:space="0"/>
            </w:tcBorders>
            <w:vAlign w:val="center"/>
          </w:tcPr>
          <w:p>
            <w:pPr>
              <w:spacing w:line="288" w:lineRule="auto"/>
              <w:rPr>
                <w:rFonts w:hint="eastAsia" w:ascii="宋体" w:hAnsi="宋体"/>
                <w:b/>
                <w:bCs/>
                <w:sz w:val="24"/>
                <w:szCs w:val="22"/>
                <w:highlight w:val="none"/>
                <w:lang w:eastAsia="zh-CN"/>
              </w:rPr>
            </w:pPr>
            <w:r>
              <w:rPr>
                <w:rFonts w:hint="eastAsia" w:ascii="宋体" w:hAnsi="宋体"/>
                <w:b/>
                <w:bCs/>
                <w:sz w:val="24"/>
                <w:szCs w:val="22"/>
                <w:highlight w:val="none"/>
                <w:lang w:eastAsia="zh-CN"/>
              </w:rPr>
              <w:t>特别提醒：</w:t>
            </w:r>
          </w:p>
          <w:p>
            <w:pPr>
              <w:spacing w:line="360" w:lineRule="auto"/>
              <w:ind w:firstLine="482"/>
              <w:rPr>
                <w:rFonts w:eastAsia="宋体"/>
                <w:b/>
                <w:sz w:val="24"/>
                <w:szCs w:val="32"/>
                <w:highlight w:val="none"/>
              </w:rPr>
            </w:pPr>
            <w:r>
              <w:rPr>
                <w:rFonts w:hint="eastAsia" w:eastAsia="宋体"/>
                <w:b/>
                <w:sz w:val="24"/>
                <w:szCs w:val="32"/>
                <w:highlight w:val="none"/>
              </w:rPr>
              <w:t>1</w:t>
            </w:r>
            <w:r>
              <w:rPr>
                <w:rFonts w:eastAsia="宋体"/>
                <w:b/>
                <w:sz w:val="24"/>
                <w:szCs w:val="32"/>
                <w:highlight w:val="none"/>
              </w:rPr>
              <w:t>.</w:t>
            </w:r>
            <w:r>
              <w:rPr>
                <w:rFonts w:hint="eastAsia" w:eastAsia="宋体"/>
                <w:b/>
                <w:sz w:val="24"/>
                <w:szCs w:val="32"/>
                <w:highlight w:val="none"/>
              </w:rPr>
              <w:t>本项目采用电子化投标与纸质响应文件并行的方式。供应商须使用数字认证证书对电子化响应文件进行签章、加密、递交及开标时解密等相关招投标事宜。现场递交响应文件时务必携带数字认证证书（主锁及上传文件所用的副锁），如因供应商自身原因未携带数字认证证书造成无法解密响应文件，按无效投标对待。</w:t>
            </w:r>
          </w:p>
          <w:p>
            <w:pPr>
              <w:spacing w:line="360" w:lineRule="auto"/>
              <w:ind w:firstLine="482"/>
              <w:rPr>
                <w:rFonts w:eastAsia="宋体"/>
                <w:b/>
                <w:sz w:val="24"/>
                <w:szCs w:val="32"/>
                <w:highlight w:val="none"/>
              </w:rPr>
            </w:pPr>
            <w:r>
              <w:rPr>
                <w:rFonts w:hint="eastAsia" w:eastAsia="宋体"/>
                <w:b/>
                <w:sz w:val="24"/>
                <w:szCs w:val="32"/>
                <w:highlight w:val="none"/>
              </w:rPr>
              <w:t>2</w:t>
            </w:r>
            <w:r>
              <w:rPr>
                <w:rFonts w:eastAsia="宋体"/>
                <w:b/>
                <w:sz w:val="24"/>
                <w:szCs w:val="32"/>
                <w:highlight w:val="none"/>
              </w:rPr>
              <w:t>.制作电子响应文件。供应商须在“全国公共资源交易中心平台（陕西省）（http://www.sxggzyjy.cn/）”的“服务指南”栏目“下载专区”中，免费下载“陕西省公共资源交易平台政府采购电子标书制作工具”</w:t>
            </w:r>
            <w:r>
              <w:rPr>
                <w:rFonts w:hint="eastAsia" w:eastAsia="宋体"/>
                <w:b/>
                <w:sz w:val="24"/>
                <w:szCs w:val="32"/>
                <w:highlight w:val="none"/>
              </w:rPr>
              <w:t>及“政府采购投标单位操作手册”</w:t>
            </w:r>
            <w:r>
              <w:rPr>
                <w:rFonts w:eastAsia="宋体"/>
                <w:b/>
                <w:sz w:val="24"/>
                <w:szCs w:val="32"/>
                <w:highlight w:val="none"/>
              </w:rPr>
              <w:t>，并使用该客户端制作电子响应文件，制作扩展名为“.</w:t>
            </w:r>
            <w:r>
              <w:rPr>
                <w:rFonts w:hint="eastAsia" w:eastAsia="宋体"/>
                <w:b/>
                <w:sz w:val="24"/>
                <w:szCs w:val="32"/>
                <w:highlight w:val="none"/>
              </w:rPr>
              <w:t>NSXSTF</w:t>
            </w:r>
            <w:r>
              <w:rPr>
                <w:rFonts w:eastAsia="宋体"/>
                <w:b/>
                <w:sz w:val="24"/>
                <w:szCs w:val="32"/>
                <w:highlight w:val="none"/>
              </w:rPr>
              <w:t>”的电子响应文件。</w:t>
            </w:r>
          </w:p>
          <w:p>
            <w:pPr>
              <w:spacing w:line="360" w:lineRule="auto"/>
              <w:ind w:firstLine="482"/>
              <w:rPr>
                <w:rFonts w:eastAsia="宋体"/>
                <w:b/>
                <w:sz w:val="24"/>
                <w:szCs w:val="32"/>
                <w:highlight w:val="none"/>
              </w:rPr>
            </w:pPr>
            <w:r>
              <w:rPr>
                <w:rFonts w:eastAsia="宋体"/>
                <w:b/>
                <w:sz w:val="24"/>
                <w:szCs w:val="32"/>
                <w:highlight w:val="none"/>
              </w:rPr>
              <w:t>3.递交电子响应文件。登录陕西省西咸新区公共资源交易中心平台（http://xxxq.sxggzyjy.cn/），选择“电子交易平台-陕西政府采购交易系统-陕西省西咸新区公共资源交易平台-供应商”进行登录，登录后选择“交易乙方”身份进入，选择“上传响应文件”菜单页面，上传加密的电子化响应文件。上传成功后，电子化平台将予以记录。</w:t>
            </w:r>
          </w:p>
          <w:p>
            <w:pPr>
              <w:snapToGrid w:val="0"/>
              <w:spacing w:line="360" w:lineRule="auto"/>
              <w:rPr>
                <w:rFonts w:hint="eastAsia" w:cs="仿宋_GB2312"/>
                <w:b/>
                <w:sz w:val="24"/>
                <w:highlight w:val="none"/>
              </w:rPr>
            </w:pPr>
            <w:r>
              <w:rPr>
                <w:rFonts w:eastAsia="宋体"/>
                <w:b/>
                <w:sz w:val="24"/>
                <w:szCs w:val="32"/>
                <w:highlight w:val="none"/>
              </w:rPr>
              <w:t>4.制作纸质版响应文件。供应商须按照代理机构发售的</w:t>
            </w:r>
            <w:r>
              <w:rPr>
                <w:rFonts w:hint="eastAsia"/>
                <w:b/>
                <w:sz w:val="24"/>
                <w:szCs w:val="32"/>
                <w:highlight w:val="none"/>
                <w:lang w:eastAsia="zh-CN"/>
              </w:rPr>
              <w:t>招标</w:t>
            </w:r>
            <w:r>
              <w:rPr>
                <w:rFonts w:eastAsia="宋体"/>
                <w:b/>
                <w:sz w:val="24"/>
                <w:szCs w:val="32"/>
                <w:highlight w:val="none"/>
              </w:rPr>
              <w:t>文件制作响应文件，并按</w:t>
            </w:r>
            <w:r>
              <w:rPr>
                <w:rFonts w:hint="eastAsia"/>
                <w:b/>
                <w:sz w:val="24"/>
                <w:szCs w:val="32"/>
                <w:highlight w:val="none"/>
                <w:lang w:eastAsia="zh-CN"/>
              </w:rPr>
              <w:t>招标</w:t>
            </w:r>
            <w:r>
              <w:rPr>
                <w:rFonts w:eastAsia="宋体"/>
                <w:b/>
                <w:sz w:val="24"/>
                <w:szCs w:val="32"/>
                <w:highlight w:val="none"/>
              </w:rPr>
              <w:t>文件要求密封递交纸质版响应文件。</w:t>
            </w:r>
          </w:p>
        </w:tc>
      </w:tr>
    </w:tbl>
    <w:p>
      <w:pPr>
        <w:adjustRightInd w:val="0"/>
        <w:spacing w:line="360" w:lineRule="auto"/>
        <w:jc w:val="left"/>
        <w:textAlignment w:val="baseline"/>
        <w:rPr>
          <w:rFonts w:hint="eastAsia" w:ascii="宋体" w:hAnsi="宋体" w:cs="宋体"/>
          <w:sz w:val="24"/>
          <w:highlight w:val="none"/>
        </w:rPr>
      </w:pPr>
      <w:bookmarkStart w:id="20" w:name="_Toc144974498"/>
      <w:bookmarkStart w:id="21" w:name="_Toc152042306"/>
      <w:bookmarkStart w:id="22" w:name="_Toc152045530"/>
    </w:p>
    <w:p>
      <w:pPr>
        <w:adjustRightInd w:val="0"/>
        <w:spacing w:line="360" w:lineRule="auto"/>
        <w:jc w:val="left"/>
        <w:textAlignment w:val="baseline"/>
        <w:rPr>
          <w:rFonts w:hint="eastAsia" w:ascii="宋体" w:hAnsi="宋体" w:cs="宋体"/>
          <w:sz w:val="24"/>
          <w:highlight w:val="none"/>
        </w:rPr>
      </w:pPr>
    </w:p>
    <w:p>
      <w:pPr>
        <w:rPr>
          <w:rFonts w:hint="eastAsia" w:ascii="宋体" w:hAnsi="宋体" w:cs="宋体"/>
          <w:sz w:val="24"/>
          <w:highlight w:val="none"/>
        </w:rPr>
      </w:pPr>
      <w:r>
        <w:rPr>
          <w:rFonts w:hint="eastAsia" w:ascii="宋体" w:hAnsi="宋体" w:cs="宋体"/>
          <w:sz w:val="24"/>
          <w:highlight w:val="none"/>
        </w:rPr>
        <w:br w:type="page"/>
      </w:r>
    </w:p>
    <w:p>
      <w:pPr>
        <w:adjustRightInd w:val="0"/>
        <w:spacing w:line="360" w:lineRule="auto"/>
        <w:jc w:val="left"/>
        <w:textAlignment w:val="baseline"/>
        <w:rPr>
          <w:rFonts w:ascii="宋体" w:hAnsi="宋体" w:cs="宋体"/>
          <w:sz w:val="24"/>
          <w:highlight w:val="none"/>
        </w:rPr>
      </w:pPr>
      <w:r>
        <w:rPr>
          <w:rFonts w:hint="eastAsia" w:ascii="宋体" w:hAnsi="宋体" w:cs="宋体"/>
          <w:sz w:val="24"/>
          <w:highlight w:val="none"/>
        </w:rPr>
        <w:t>附表一</w:t>
      </w:r>
    </w:p>
    <w:p>
      <w:pPr>
        <w:spacing w:line="360" w:lineRule="auto"/>
        <w:ind w:firstLine="240" w:firstLineChars="100"/>
        <w:jc w:val="center"/>
        <w:rPr>
          <w:rFonts w:ascii="宋体" w:hAnsi="宋体" w:cs="宋体"/>
          <w:sz w:val="24"/>
          <w:highlight w:val="none"/>
        </w:rPr>
      </w:pPr>
      <w:r>
        <w:rPr>
          <w:rFonts w:hint="eastAsia" w:ascii="宋体" w:hAnsi="宋体" w:cs="宋体"/>
          <w:b/>
          <w:sz w:val="24"/>
          <w:highlight w:val="none"/>
        </w:rPr>
        <w:t>招标代理服务收费标准</w:t>
      </w:r>
    </w:p>
    <w:tbl>
      <w:tblPr>
        <w:tblStyle w:val="38"/>
        <w:tblpPr w:leftFromText="180" w:rightFromText="180" w:vertAnchor="text" w:horzAnchor="margin" w:tblpXSpec="center" w:tblpY="40"/>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1926"/>
        <w:gridCol w:w="2102"/>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2624" w:type="dxa"/>
          </w:tcPr>
          <w:p>
            <w:pPr>
              <w:spacing w:line="360" w:lineRule="auto"/>
              <w:rPr>
                <w:rFonts w:hint="eastAsia" w:ascii="宋体" w:hAnsi="宋体" w:cs="宋体"/>
                <w:b/>
                <w:sz w:val="24"/>
                <w:highlight w:val="none"/>
              </w:rPr>
            </w:pPr>
            <w:r>
              <w:rPr>
                <w:rFonts w:ascii="宋体" w:hAnsi="宋体" w:cs="宋体"/>
                <w:sz w:val="24"/>
                <w:highlight w:val="none"/>
              </w:rPr>
              <mc:AlternateContent>
                <mc:Choice Requires="wps">
                  <w:drawing>
                    <wp:anchor distT="0" distB="0" distL="114300" distR="114300" simplePos="0" relativeHeight="251661312" behindDoc="0" locked="0" layoutInCell="1" allowOverlap="1">
                      <wp:simplePos x="0" y="0"/>
                      <wp:positionH relativeFrom="column">
                        <wp:posOffset>-16510</wp:posOffset>
                      </wp:positionH>
                      <wp:positionV relativeFrom="paragraph">
                        <wp:posOffset>256540</wp:posOffset>
                      </wp:positionV>
                      <wp:extent cx="1536700" cy="988060"/>
                      <wp:effectExtent l="2540" t="3810" r="3810" b="17780"/>
                      <wp:wrapNone/>
                      <wp:docPr id="1" name="直接连接符 6"/>
                      <wp:cNvGraphicFramePr/>
                      <a:graphic xmlns:a="http://schemas.openxmlformats.org/drawingml/2006/main">
                        <a:graphicData uri="http://schemas.microsoft.com/office/word/2010/wordprocessingShape">
                          <wps:wsp>
                            <wps:cNvCnPr>
                              <a:cxnSpLocks noChangeShapeType="1"/>
                            </wps:cNvCnPr>
                            <wps:spPr bwMode="auto">
                              <a:xfrm flipH="1" flipV="1">
                                <a:off x="0" y="0"/>
                                <a:ext cx="1536700" cy="988060"/>
                              </a:xfrm>
                              <a:prstGeom prst="line">
                                <a:avLst/>
                              </a:prstGeom>
                              <a:noFill/>
                              <a:ln w="9525">
                                <a:solidFill>
                                  <a:srgbClr val="000000"/>
                                </a:solidFill>
                                <a:round/>
                              </a:ln>
                              <a:effectLst/>
                            </wps:spPr>
                            <wps:bodyPr/>
                          </wps:wsp>
                        </a:graphicData>
                      </a:graphic>
                    </wp:anchor>
                  </w:drawing>
                </mc:Choice>
                <mc:Fallback>
                  <w:pict>
                    <v:line id="直接连接符 6" o:spid="_x0000_s1026" o:spt="20" style="position:absolute;left:0pt;flip:x y;margin-left:-1.3pt;margin-top:20.2pt;height:77.8pt;width:121pt;z-index:251661312;mso-width-relative:page;mso-height-relative:page;" filled="f" stroked="t" coordsize="21600,21600" o:gfxdata="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s10wNQAAAAJAQAADwAAAAAAAAABACAAAAAiAAAAZHJzL2Rvd25yZXYueG1sUEsB&#10;AhQAFAAAAAgAh07iQEUGtqf5AQAA0QMAAA4AAAAAAAAAAQAgAAAAIwEAAGRycy9lMm9Eb2MueG1s&#10;UEsFBgAAAAAGAAYAWQEAAI4FAAAAAA==&#10;">
                      <v:fill on="f" focussize="0,0"/>
                      <v:stroke color="#000000" joinstyle="round"/>
                      <v:imagedata o:title=""/>
                      <o:lock v:ext="edit" aspectratio="f"/>
                    </v:line>
                  </w:pict>
                </mc:Fallback>
              </mc:AlternateContent>
            </w:r>
            <w:r>
              <w:rPr>
                <w:rFonts w:ascii="宋体" w:hAnsi="宋体" w:cs="宋体"/>
                <w:sz w:val="24"/>
                <w:highlight w:val="none"/>
              </w:rPr>
              <mc:AlternateContent>
                <mc:Choice Requires="wps">
                  <w:drawing>
                    <wp:anchor distT="0" distB="0" distL="114300" distR="114300" simplePos="0" relativeHeight="251660288" behindDoc="0" locked="0" layoutInCell="0" allowOverlap="1">
                      <wp:simplePos x="0" y="0"/>
                      <wp:positionH relativeFrom="column">
                        <wp:posOffset>-114300</wp:posOffset>
                      </wp:positionH>
                      <wp:positionV relativeFrom="paragraph">
                        <wp:posOffset>-6350</wp:posOffset>
                      </wp:positionV>
                      <wp:extent cx="635" cy="0"/>
                      <wp:effectExtent l="0" t="0" r="0" b="0"/>
                      <wp:wrapNone/>
                      <wp:docPr id="2"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a:solidFill>
                                  <a:srgbClr val="000000"/>
                                </a:solidFill>
                                <a:round/>
                              </a:ln>
                              <a:effectLst/>
                            </wps:spPr>
                            <wps:bodyPr/>
                          </wps:wsp>
                        </a:graphicData>
                      </a:graphic>
                    </wp:anchor>
                  </w:drawing>
                </mc:Choice>
                <mc:Fallback>
                  <w:pict>
                    <v:line id="直接连接符 3" o:spid="_x0000_s1026" o:spt="20" style="position:absolute;left:0pt;margin-left:-9pt;margin-top:-0.5pt;height:0pt;width:0.05pt;z-index:251660288;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rkdN+1QAAAAkB&#10;AAAPAAAAAAAAAAEAIAAAACIAAABkcnMvZG93bnJldi54bWxQSwECFAAUAAAACACHTuJA9L4QF+UB&#10;AAC0AwAADgAAAAAAAAABACAAAAAkAQAAZHJzL2Uyb0RvYy54bWxQSwUGAAAAAAYABgBZAQAAewUA&#10;AAAA&#10;">
                      <v:fill on="f" focussize="0,0"/>
                      <v:stroke color="#000000" joinstyle="round"/>
                      <v:imagedata o:title=""/>
                      <o:lock v:ext="edit" aspectratio="f"/>
                    </v:line>
                  </w:pict>
                </mc:Fallback>
              </mc:AlternateContent>
            </w:r>
            <w:r>
              <w:rPr>
                <w:rFonts w:hint="eastAsia" w:ascii="宋体" w:hAnsi="宋体" w:cs="宋体"/>
                <w:b/>
                <w:sz w:val="24"/>
                <w:highlight w:val="none"/>
              </w:rPr>
              <w:t>服</w:t>
            </w:r>
          </w:p>
          <w:p>
            <w:pPr>
              <w:spacing w:line="360" w:lineRule="auto"/>
              <w:rPr>
                <w:rFonts w:ascii="宋体" w:hAnsi="宋体" w:cs="宋体"/>
                <w:b/>
                <w:sz w:val="24"/>
                <w:highlight w:val="none"/>
              </w:rPr>
            </w:pPr>
            <w:r>
              <w:rPr>
                <w:rFonts w:hint="eastAsia" w:ascii="宋体" w:hAnsi="宋体" w:cs="宋体"/>
                <w:b/>
                <w:sz w:val="24"/>
                <w:highlight w:val="none"/>
              </w:rPr>
              <w:t>费　　务</w:t>
            </w:r>
          </w:p>
          <w:p>
            <w:pPr>
              <w:spacing w:line="360" w:lineRule="auto"/>
              <w:ind w:firstLine="1004"/>
              <w:rPr>
                <w:rFonts w:ascii="宋体" w:hAnsi="宋体" w:cs="宋体"/>
                <w:b/>
                <w:sz w:val="24"/>
                <w:highlight w:val="none"/>
              </w:rPr>
            </w:pPr>
            <w:r>
              <w:rPr>
                <w:rFonts w:ascii="宋体" w:hAnsi="宋体" w:cs="宋体"/>
                <w:sz w:val="24"/>
                <w:highlight w:val="none"/>
              </w:rPr>
              <mc:AlternateContent>
                <mc:Choice Requires="wps">
                  <w:drawing>
                    <wp:anchor distT="0" distB="0" distL="114300" distR="114300" simplePos="0" relativeHeight="251659264" behindDoc="0" locked="0" layoutInCell="1" allowOverlap="1">
                      <wp:simplePos x="0" y="0"/>
                      <wp:positionH relativeFrom="column">
                        <wp:posOffset>-51435</wp:posOffset>
                      </wp:positionH>
                      <wp:positionV relativeFrom="paragraph">
                        <wp:posOffset>242570</wp:posOffset>
                      </wp:positionV>
                      <wp:extent cx="1442085" cy="808990"/>
                      <wp:effectExtent l="2540" t="4445" r="3175" b="5715"/>
                      <wp:wrapNone/>
                      <wp:docPr id="3" name="直接连接符 1"/>
                      <wp:cNvGraphicFramePr/>
                      <a:graphic xmlns:a="http://schemas.openxmlformats.org/drawingml/2006/main">
                        <a:graphicData uri="http://schemas.microsoft.com/office/word/2010/wordprocessingShape">
                          <wps:wsp>
                            <wps:cNvCnPr>
                              <a:cxnSpLocks noChangeShapeType="1"/>
                            </wps:cNvCnPr>
                            <wps:spPr bwMode="auto">
                              <a:xfrm flipH="1" flipV="1">
                                <a:off x="0" y="0"/>
                                <a:ext cx="1442085" cy="808990"/>
                              </a:xfrm>
                              <a:prstGeom prst="line">
                                <a:avLst/>
                              </a:prstGeom>
                              <a:noFill/>
                              <a:ln w="9525">
                                <a:solidFill>
                                  <a:srgbClr val="000000"/>
                                </a:solidFill>
                                <a:round/>
                              </a:ln>
                              <a:effectLst/>
                            </wps:spPr>
                            <wps:bodyPr/>
                          </wps:wsp>
                        </a:graphicData>
                      </a:graphic>
                    </wp:anchor>
                  </w:drawing>
                </mc:Choice>
                <mc:Fallback>
                  <w:pict>
                    <v:line id="直接连接符 1" o:spid="_x0000_s1026" o:spt="20" style="position:absolute;left:0pt;flip:x y;margin-left:-4.05pt;margin-top:19.1pt;height:63.7pt;width:113.55pt;z-index:251659264;mso-width-relative:page;mso-height-relative:page;" filled="f" stroked="t" coordsize="21600,21600" o:gfxdata="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7RSmtUAAAAJAQAADwAAAAAAAAABACAAAAAiAAAAZHJzL2Rvd25yZXYueG1s&#10;UEsBAhQAFAAAAAgAh07iQOlB4Hf7AQAA0QMAAA4AAAAAAAAAAQAgAAAAJAEAAGRycy9lMm9Eb2Mu&#10;eG1sUEsFBgAAAAAGAAYAWQEAAJEFAAAAAA==&#10;">
                      <v:fill on="f" focussize="0,0"/>
                      <v:stroke color="#000000" joinstyle="round"/>
                      <v:imagedata o:title=""/>
                      <o:lock v:ext="edit" aspectratio="f"/>
                    </v:line>
                  </w:pict>
                </mc:Fallback>
              </mc:AlternateContent>
            </w:r>
            <w:r>
              <w:rPr>
                <w:rFonts w:hint="eastAsia" w:ascii="宋体" w:hAnsi="宋体" w:cs="宋体"/>
                <w:b/>
                <w:sz w:val="24"/>
                <w:highlight w:val="none"/>
              </w:rPr>
              <w:t>　　类</w:t>
            </w:r>
          </w:p>
          <w:p>
            <w:pPr>
              <w:spacing w:line="360" w:lineRule="auto"/>
              <w:ind w:firstLine="1054"/>
              <w:rPr>
                <w:rFonts w:ascii="宋体" w:hAnsi="宋体" w:cs="宋体"/>
                <w:b/>
                <w:sz w:val="24"/>
                <w:highlight w:val="none"/>
              </w:rPr>
            </w:pPr>
            <w:r>
              <w:rPr>
                <w:rFonts w:hint="eastAsia" w:ascii="宋体" w:hAnsi="宋体" w:cs="宋体"/>
                <w:b/>
                <w:sz w:val="24"/>
                <w:highlight w:val="none"/>
              </w:rPr>
              <w:t>率　　</w:t>
            </w:r>
            <w:r>
              <w:rPr>
                <w:rFonts w:hint="eastAsia" w:ascii="宋体" w:hAnsi="宋体" w:cs="宋体"/>
                <w:b/>
                <w:sz w:val="24"/>
                <w:highlight w:val="none"/>
                <w:lang w:val="en-US" w:eastAsia="zh-CN"/>
              </w:rPr>
              <w:t xml:space="preserve">   </w:t>
            </w:r>
            <w:r>
              <w:rPr>
                <w:rFonts w:hint="eastAsia" w:ascii="宋体" w:hAnsi="宋体" w:cs="宋体"/>
                <w:b/>
                <w:sz w:val="24"/>
                <w:highlight w:val="none"/>
              </w:rPr>
              <w:t>型</w:t>
            </w:r>
          </w:p>
          <w:p>
            <w:pPr>
              <w:spacing w:line="360" w:lineRule="auto"/>
              <w:ind w:firstLine="1054"/>
              <w:rPr>
                <w:rFonts w:ascii="宋体" w:hAnsi="宋体" w:cs="宋体"/>
                <w:b/>
                <w:sz w:val="24"/>
                <w:highlight w:val="none"/>
              </w:rPr>
            </w:pPr>
            <w:r>
              <w:rPr>
                <w:rFonts w:hint="eastAsia" w:ascii="宋体" w:hAnsi="宋体" w:cs="宋体"/>
                <w:b/>
                <w:sz w:val="24"/>
                <w:highlight w:val="none"/>
              </w:rPr>
              <w:t>　　　　</w:t>
            </w:r>
          </w:p>
          <w:p>
            <w:pPr>
              <w:spacing w:line="360" w:lineRule="auto"/>
              <w:rPr>
                <w:rFonts w:ascii="宋体" w:hAnsi="宋体" w:cs="宋体"/>
                <w:b/>
                <w:sz w:val="24"/>
                <w:highlight w:val="none"/>
              </w:rPr>
            </w:pPr>
            <w:r>
              <w:rPr>
                <w:rFonts w:hint="eastAsia" w:ascii="宋体" w:hAnsi="宋体" w:cs="宋体"/>
                <w:b/>
                <w:sz w:val="24"/>
                <w:highlight w:val="none"/>
              </w:rPr>
              <w:t>中标金额（万元）</w:t>
            </w:r>
          </w:p>
        </w:tc>
        <w:tc>
          <w:tcPr>
            <w:tcW w:w="1926" w:type="dxa"/>
            <w:vAlign w:val="center"/>
          </w:tcPr>
          <w:p>
            <w:pPr>
              <w:spacing w:line="360" w:lineRule="auto"/>
              <w:jc w:val="center"/>
              <w:rPr>
                <w:rFonts w:ascii="宋体" w:hAnsi="宋体" w:cs="宋体"/>
                <w:b/>
                <w:sz w:val="24"/>
                <w:highlight w:val="none"/>
              </w:rPr>
            </w:pPr>
            <w:r>
              <w:rPr>
                <w:rFonts w:hint="eastAsia" w:ascii="宋体" w:hAnsi="宋体" w:cs="宋体"/>
                <w:b/>
                <w:sz w:val="24"/>
                <w:highlight w:val="none"/>
              </w:rPr>
              <w:t>货物招标</w:t>
            </w:r>
          </w:p>
        </w:tc>
        <w:tc>
          <w:tcPr>
            <w:tcW w:w="2102" w:type="dxa"/>
            <w:vAlign w:val="center"/>
          </w:tcPr>
          <w:p>
            <w:pPr>
              <w:spacing w:line="360" w:lineRule="auto"/>
              <w:jc w:val="center"/>
              <w:rPr>
                <w:rFonts w:ascii="宋体" w:hAnsi="宋体" w:cs="宋体"/>
                <w:b/>
                <w:sz w:val="24"/>
                <w:highlight w:val="none"/>
              </w:rPr>
            </w:pPr>
            <w:r>
              <w:rPr>
                <w:rFonts w:hint="eastAsia" w:ascii="宋体" w:hAnsi="宋体" w:cs="宋体"/>
                <w:b/>
                <w:sz w:val="24"/>
                <w:highlight w:val="none"/>
              </w:rPr>
              <w:t>服务招标</w:t>
            </w:r>
          </w:p>
        </w:tc>
        <w:tc>
          <w:tcPr>
            <w:tcW w:w="2103" w:type="dxa"/>
            <w:vAlign w:val="center"/>
          </w:tcPr>
          <w:p>
            <w:pPr>
              <w:spacing w:line="360" w:lineRule="auto"/>
              <w:jc w:val="center"/>
              <w:rPr>
                <w:rFonts w:ascii="宋体" w:hAnsi="宋体" w:cs="宋体"/>
                <w:b/>
                <w:sz w:val="24"/>
                <w:highlight w:val="none"/>
              </w:rPr>
            </w:pPr>
            <w:r>
              <w:rPr>
                <w:rFonts w:hint="eastAsia" w:ascii="宋体" w:hAnsi="宋体" w:cs="宋体"/>
                <w:b/>
                <w:sz w:val="24"/>
                <w:highlight w:val="none"/>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100</w:t>
            </w:r>
            <w:r>
              <w:rPr>
                <w:rFonts w:hint="eastAsia"/>
                <w:sz w:val="24"/>
                <w:highlight w:val="none"/>
              </w:rPr>
              <w:t>以下</w:t>
            </w:r>
          </w:p>
        </w:tc>
        <w:tc>
          <w:tcPr>
            <w:tcW w:w="1926" w:type="dxa"/>
          </w:tcPr>
          <w:p>
            <w:pPr>
              <w:jc w:val="center"/>
              <w:rPr>
                <w:sz w:val="24"/>
                <w:highlight w:val="none"/>
              </w:rPr>
            </w:pPr>
            <w:r>
              <w:rPr>
                <w:sz w:val="24"/>
                <w:highlight w:val="none"/>
              </w:rPr>
              <w:t>1.5%</w:t>
            </w:r>
          </w:p>
        </w:tc>
        <w:tc>
          <w:tcPr>
            <w:tcW w:w="2102" w:type="dxa"/>
          </w:tcPr>
          <w:p>
            <w:pPr>
              <w:jc w:val="center"/>
              <w:rPr>
                <w:sz w:val="24"/>
                <w:highlight w:val="none"/>
              </w:rPr>
            </w:pPr>
            <w:r>
              <w:rPr>
                <w:sz w:val="24"/>
                <w:highlight w:val="none"/>
              </w:rPr>
              <w:t>1.5%</w:t>
            </w:r>
          </w:p>
        </w:tc>
        <w:tc>
          <w:tcPr>
            <w:tcW w:w="2103" w:type="dxa"/>
          </w:tcPr>
          <w:p>
            <w:pPr>
              <w:jc w:val="center"/>
              <w:rPr>
                <w:sz w:val="24"/>
                <w:highlight w:val="none"/>
              </w:rPr>
            </w:pPr>
            <w:r>
              <w:rPr>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100-500</w:t>
            </w:r>
          </w:p>
        </w:tc>
        <w:tc>
          <w:tcPr>
            <w:tcW w:w="1926" w:type="dxa"/>
          </w:tcPr>
          <w:p>
            <w:pPr>
              <w:jc w:val="center"/>
              <w:rPr>
                <w:sz w:val="24"/>
                <w:highlight w:val="none"/>
              </w:rPr>
            </w:pPr>
            <w:r>
              <w:rPr>
                <w:sz w:val="24"/>
                <w:highlight w:val="none"/>
              </w:rPr>
              <w:t>1.1%</w:t>
            </w:r>
          </w:p>
        </w:tc>
        <w:tc>
          <w:tcPr>
            <w:tcW w:w="2102" w:type="dxa"/>
          </w:tcPr>
          <w:p>
            <w:pPr>
              <w:jc w:val="center"/>
              <w:rPr>
                <w:sz w:val="24"/>
                <w:highlight w:val="none"/>
              </w:rPr>
            </w:pPr>
            <w:r>
              <w:rPr>
                <w:sz w:val="24"/>
                <w:highlight w:val="none"/>
              </w:rPr>
              <w:t>0.8%</w:t>
            </w:r>
          </w:p>
        </w:tc>
        <w:tc>
          <w:tcPr>
            <w:tcW w:w="2103" w:type="dxa"/>
          </w:tcPr>
          <w:p>
            <w:pPr>
              <w:jc w:val="center"/>
              <w:rPr>
                <w:sz w:val="24"/>
                <w:highlight w:val="none"/>
              </w:rPr>
            </w:pPr>
            <w:r>
              <w:rPr>
                <w:sz w:val="24"/>
                <w:highlight w:val="none"/>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500-1000</w:t>
            </w:r>
          </w:p>
        </w:tc>
        <w:tc>
          <w:tcPr>
            <w:tcW w:w="1926" w:type="dxa"/>
          </w:tcPr>
          <w:p>
            <w:pPr>
              <w:jc w:val="center"/>
              <w:rPr>
                <w:sz w:val="24"/>
                <w:highlight w:val="none"/>
              </w:rPr>
            </w:pPr>
            <w:r>
              <w:rPr>
                <w:sz w:val="24"/>
                <w:highlight w:val="none"/>
              </w:rPr>
              <w:t>0.8%</w:t>
            </w:r>
          </w:p>
        </w:tc>
        <w:tc>
          <w:tcPr>
            <w:tcW w:w="2102" w:type="dxa"/>
          </w:tcPr>
          <w:p>
            <w:pPr>
              <w:jc w:val="center"/>
              <w:rPr>
                <w:sz w:val="24"/>
                <w:highlight w:val="none"/>
              </w:rPr>
            </w:pPr>
            <w:r>
              <w:rPr>
                <w:sz w:val="24"/>
                <w:highlight w:val="none"/>
              </w:rPr>
              <w:t>0.45%</w:t>
            </w:r>
          </w:p>
        </w:tc>
        <w:tc>
          <w:tcPr>
            <w:tcW w:w="2103" w:type="dxa"/>
          </w:tcPr>
          <w:p>
            <w:pPr>
              <w:jc w:val="center"/>
              <w:rPr>
                <w:sz w:val="24"/>
                <w:highlight w:val="none"/>
              </w:rPr>
            </w:pPr>
            <w:r>
              <w:rPr>
                <w:sz w:val="24"/>
                <w:highlight w:val="none"/>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1000-5000</w:t>
            </w:r>
          </w:p>
        </w:tc>
        <w:tc>
          <w:tcPr>
            <w:tcW w:w="1926" w:type="dxa"/>
          </w:tcPr>
          <w:p>
            <w:pPr>
              <w:jc w:val="center"/>
              <w:rPr>
                <w:sz w:val="24"/>
                <w:highlight w:val="none"/>
              </w:rPr>
            </w:pPr>
            <w:r>
              <w:rPr>
                <w:sz w:val="24"/>
                <w:highlight w:val="none"/>
              </w:rPr>
              <w:t>0.5%</w:t>
            </w:r>
          </w:p>
        </w:tc>
        <w:tc>
          <w:tcPr>
            <w:tcW w:w="2102" w:type="dxa"/>
          </w:tcPr>
          <w:p>
            <w:pPr>
              <w:jc w:val="center"/>
              <w:rPr>
                <w:sz w:val="24"/>
                <w:highlight w:val="none"/>
              </w:rPr>
            </w:pPr>
            <w:r>
              <w:rPr>
                <w:sz w:val="24"/>
                <w:highlight w:val="none"/>
              </w:rPr>
              <w:t>0.25%</w:t>
            </w:r>
          </w:p>
        </w:tc>
        <w:tc>
          <w:tcPr>
            <w:tcW w:w="2103" w:type="dxa"/>
          </w:tcPr>
          <w:p>
            <w:pPr>
              <w:jc w:val="center"/>
              <w:rPr>
                <w:sz w:val="24"/>
                <w:highlight w:val="none"/>
              </w:rPr>
            </w:pPr>
            <w:r>
              <w:rPr>
                <w:sz w:val="24"/>
                <w:highlight w:val="none"/>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5000-10000</w:t>
            </w:r>
          </w:p>
        </w:tc>
        <w:tc>
          <w:tcPr>
            <w:tcW w:w="1926" w:type="dxa"/>
          </w:tcPr>
          <w:p>
            <w:pPr>
              <w:jc w:val="center"/>
              <w:rPr>
                <w:sz w:val="24"/>
                <w:highlight w:val="none"/>
              </w:rPr>
            </w:pPr>
            <w:r>
              <w:rPr>
                <w:sz w:val="24"/>
                <w:highlight w:val="none"/>
              </w:rPr>
              <w:t>0.25%</w:t>
            </w:r>
          </w:p>
        </w:tc>
        <w:tc>
          <w:tcPr>
            <w:tcW w:w="2102" w:type="dxa"/>
          </w:tcPr>
          <w:p>
            <w:pPr>
              <w:jc w:val="center"/>
              <w:rPr>
                <w:sz w:val="24"/>
                <w:highlight w:val="none"/>
              </w:rPr>
            </w:pPr>
            <w:r>
              <w:rPr>
                <w:sz w:val="24"/>
                <w:highlight w:val="none"/>
              </w:rPr>
              <w:t>0.1%</w:t>
            </w:r>
          </w:p>
        </w:tc>
        <w:tc>
          <w:tcPr>
            <w:tcW w:w="2103" w:type="dxa"/>
          </w:tcPr>
          <w:p>
            <w:pPr>
              <w:jc w:val="center"/>
              <w:rPr>
                <w:sz w:val="24"/>
                <w:highlight w:val="none"/>
              </w:rPr>
            </w:pPr>
            <w:r>
              <w:rPr>
                <w:sz w:val="24"/>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24" w:type="dxa"/>
          </w:tcPr>
          <w:p>
            <w:pPr>
              <w:jc w:val="center"/>
              <w:rPr>
                <w:sz w:val="24"/>
                <w:highlight w:val="none"/>
              </w:rPr>
            </w:pPr>
            <w:r>
              <w:rPr>
                <w:sz w:val="24"/>
                <w:highlight w:val="none"/>
              </w:rPr>
              <w:t>10000-50000</w:t>
            </w:r>
          </w:p>
        </w:tc>
        <w:tc>
          <w:tcPr>
            <w:tcW w:w="1926" w:type="dxa"/>
          </w:tcPr>
          <w:p>
            <w:pPr>
              <w:jc w:val="center"/>
              <w:rPr>
                <w:sz w:val="24"/>
                <w:highlight w:val="none"/>
              </w:rPr>
            </w:pPr>
            <w:r>
              <w:rPr>
                <w:sz w:val="24"/>
                <w:highlight w:val="none"/>
              </w:rPr>
              <w:t>0.05%</w:t>
            </w:r>
          </w:p>
        </w:tc>
        <w:tc>
          <w:tcPr>
            <w:tcW w:w="2102" w:type="dxa"/>
          </w:tcPr>
          <w:p>
            <w:pPr>
              <w:jc w:val="center"/>
              <w:rPr>
                <w:sz w:val="24"/>
                <w:highlight w:val="none"/>
              </w:rPr>
            </w:pPr>
            <w:r>
              <w:rPr>
                <w:sz w:val="24"/>
                <w:highlight w:val="none"/>
              </w:rPr>
              <w:t>0.05%</w:t>
            </w:r>
          </w:p>
        </w:tc>
        <w:tc>
          <w:tcPr>
            <w:tcW w:w="2103" w:type="dxa"/>
          </w:tcPr>
          <w:p>
            <w:pPr>
              <w:jc w:val="center"/>
              <w:rPr>
                <w:sz w:val="24"/>
                <w:highlight w:val="none"/>
              </w:rPr>
            </w:pPr>
            <w:r>
              <w:rPr>
                <w:sz w:val="24"/>
                <w:highlight w:val="none"/>
              </w:rPr>
              <w:t>0.05%</w:t>
            </w:r>
          </w:p>
        </w:tc>
      </w:tr>
    </w:tbl>
    <w:p>
      <w:pPr>
        <w:spacing w:line="360" w:lineRule="auto"/>
        <w:ind w:left="630" w:hanging="210"/>
        <w:rPr>
          <w:rFonts w:ascii="宋体" w:cs="宋体"/>
          <w:szCs w:val="21"/>
          <w:highlight w:val="none"/>
        </w:rPr>
      </w:pPr>
      <w:r>
        <w:rPr>
          <w:rFonts w:hint="eastAsia" w:ascii="宋体" w:hAnsi="宋体" w:cs="宋体"/>
          <w:szCs w:val="21"/>
          <w:highlight w:val="none"/>
        </w:rPr>
        <w:t>注：招标代理服务收费按差额定率累进法计算。例如：某工程招标代理业务中标金额为</w:t>
      </w:r>
      <w:r>
        <w:rPr>
          <w:rFonts w:ascii="宋体" w:hAnsi="宋体" w:cs="宋体"/>
          <w:szCs w:val="21"/>
          <w:highlight w:val="none"/>
        </w:rPr>
        <w:t>6000</w:t>
      </w:r>
      <w:r>
        <w:rPr>
          <w:rFonts w:hint="eastAsia" w:ascii="宋体" w:hAnsi="宋体" w:cs="宋体"/>
          <w:szCs w:val="21"/>
          <w:highlight w:val="none"/>
        </w:rPr>
        <w:t>万元，计算招标代理服务收费额如下：</w:t>
      </w:r>
    </w:p>
    <w:p>
      <w:pPr>
        <w:spacing w:line="360" w:lineRule="auto"/>
        <w:ind w:firstLine="2940"/>
        <w:rPr>
          <w:rFonts w:ascii="宋体" w:cs="宋体"/>
          <w:szCs w:val="21"/>
          <w:highlight w:val="none"/>
        </w:rPr>
      </w:pPr>
      <w:r>
        <w:rPr>
          <w:rFonts w:ascii="宋体" w:hAnsi="宋体" w:cs="宋体"/>
          <w:szCs w:val="21"/>
          <w:highlight w:val="none"/>
        </w:rPr>
        <w:t>100</w:t>
      </w:r>
      <w:r>
        <w:rPr>
          <w:rFonts w:hint="eastAsia" w:ascii="宋体" w:hAnsi="宋体" w:cs="宋体"/>
          <w:szCs w:val="21"/>
          <w:highlight w:val="none"/>
        </w:rPr>
        <w:t>万元×</w:t>
      </w:r>
      <w:r>
        <w:rPr>
          <w:rFonts w:ascii="宋体" w:hAnsi="宋体" w:cs="宋体"/>
          <w:szCs w:val="21"/>
          <w:highlight w:val="none"/>
        </w:rPr>
        <w:t>1.0%=1</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500-100</w:t>
      </w:r>
      <w:r>
        <w:rPr>
          <w:rFonts w:hint="eastAsia" w:ascii="宋体" w:hAnsi="宋体" w:cs="宋体"/>
          <w:szCs w:val="21"/>
          <w:highlight w:val="none"/>
        </w:rPr>
        <w:t>）万元×</w:t>
      </w:r>
      <w:r>
        <w:rPr>
          <w:rFonts w:ascii="宋体" w:hAnsi="宋体" w:cs="宋体"/>
          <w:szCs w:val="21"/>
          <w:highlight w:val="none"/>
        </w:rPr>
        <w:t>0.7%=2.8</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1000-500</w:t>
      </w:r>
      <w:r>
        <w:rPr>
          <w:rFonts w:hint="eastAsia" w:ascii="宋体" w:hAnsi="宋体" w:cs="宋体"/>
          <w:szCs w:val="21"/>
          <w:highlight w:val="none"/>
        </w:rPr>
        <w:t>）×</w:t>
      </w:r>
      <w:r>
        <w:rPr>
          <w:rFonts w:ascii="宋体" w:hAnsi="宋体" w:cs="宋体"/>
          <w:szCs w:val="21"/>
          <w:highlight w:val="none"/>
        </w:rPr>
        <w:t>0.55%=2.75</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5000-1000</w:t>
      </w:r>
      <w:r>
        <w:rPr>
          <w:rFonts w:hint="eastAsia" w:ascii="宋体" w:hAnsi="宋体" w:cs="宋体"/>
          <w:szCs w:val="21"/>
          <w:highlight w:val="none"/>
        </w:rPr>
        <w:t>）×</w:t>
      </w:r>
      <w:r>
        <w:rPr>
          <w:rFonts w:ascii="宋体" w:hAnsi="宋体" w:cs="宋体"/>
          <w:szCs w:val="21"/>
          <w:highlight w:val="none"/>
        </w:rPr>
        <w:t>0.35%=14</w:t>
      </w:r>
      <w:r>
        <w:rPr>
          <w:rFonts w:hint="eastAsia" w:ascii="宋体" w:hAnsi="宋体" w:cs="宋体"/>
          <w:szCs w:val="21"/>
          <w:highlight w:val="none"/>
        </w:rPr>
        <w:t>万元</w:t>
      </w:r>
    </w:p>
    <w:p>
      <w:pPr>
        <w:spacing w:line="360" w:lineRule="auto"/>
        <w:ind w:firstLine="2730" w:firstLineChars="1300"/>
        <w:rPr>
          <w:rFonts w:ascii="宋体" w:cs="宋体"/>
          <w:szCs w:val="21"/>
          <w:highlight w:val="none"/>
        </w:rPr>
      </w:pPr>
      <w:r>
        <w:rPr>
          <w:rFonts w:hint="eastAsia" w:ascii="宋体" w:hAnsi="宋体" w:cs="宋体"/>
          <w:szCs w:val="21"/>
          <w:highlight w:val="none"/>
        </w:rPr>
        <w:t>（</w:t>
      </w:r>
      <w:r>
        <w:rPr>
          <w:rFonts w:ascii="宋体" w:hAnsi="宋体" w:cs="宋体"/>
          <w:szCs w:val="21"/>
          <w:highlight w:val="none"/>
        </w:rPr>
        <w:t>6000-5000</w:t>
      </w:r>
      <w:r>
        <w:rPr>
          <w:rFonts w:hint="eastAsia" w:ascii="宋体" w:hAnsi="宋体" w:cs="宋体"/>
          <w:szCs w:val="21"/>
          <w:highlight w:val="none"/>
        </w:rPr>
        <w:t>）×</w:t>
      </w:r>
      <w:r>
        <w:rPr>
          <w:rFonts w:ascii="宋体" w:hAnsi="宋体" w:cs="宋体"/>
          <w:szCs w:val="21"/>
          <w:highlight w:val="none"/>
        </w:rPr>
        <w:t>0.2%=2</w:t>
      </w:r>
      <w:r>
        <w:rPr>
          <w:rFonts w:hint="eastAsia" w:ascii="宋体" w:hAnsi="宋体" w:cs="宋体"/>
          <w:szCs w:val="21"/>
          <w:highlight w:val="none"/>
        </w:rPr>
        <w:t>万元</w:t>
      </w:r>
    </w:p>
    <w:p>
      <w:pPr>
        <w:spacing w:line="360" w:lineRule="auto"/>
        <w:ind w:firstLine="315" w:firstLineChars="150"/>
        <w:rPr>
          <w:szCs w:val="21"/>
          <w:highlight w:val="none"/>
        </w:rPr>
      </w:pPr>
      <w:r>
        <w:rPr>
          <w:rFonts w:ascii="宋体" w:hAnsi="宋体" w:cs="宋体"/>
          <w:szCs w:val="21"/>
          <w:highlight w:val="none"/>
        </w:rPr>
        <w:t xml:space="preserve">  </w:t>
      </w:r>
      <w:r>
        <w:rPr>
          <w:rFonts w:hint="eastAsia" w:ascii="宋体" w:hAnsi="宋体" w:cs="宋体"/>
          <w:szCs w:val="21"/>
          <w:highlight w:val="none"/>
        </w:rPr>
        <w:t>合计收费</w:t>
      </w:r>
      <w:r>
        <w:rPr>
          <w:rFonts w:ascii="宋体" w:hAnsi="宋体" w:cs="宋体"/>
          <w:szCs w:val="21"/>
          <w:highlight w:val="none"/>
        </w:rPr>
        <w:t>=1+2.8+2.75+14+2=22.55</w:t>
      </w:r>
      <w:r>
        <w:rPr>
          <w:rFonts w:hint="eastAsia" w:ascii="宋体" w:hAnsi="宋体" w:cs="宋体"/>
          <w:szCs w:val="21"/>
          <w:highlight w:val="none"/>
        </w:rPr>
        <w:t>（万元）</w:t>
      </w:r>
    </w:p>
    <w:p>
      <w:pPr>
        <w:spacing w:line="360" w:lineRule="auto"/>
        <w:rPr>
          <w:rFonts w:ascii="宋体" w:cs="宋体"/>
          <w:b/>
          <w:sz w:val="24"/>
          <w:highlight w:val="none"/>
        </w:rPr>
      </w:pPr>
      <w:r>
        <w:rPr>
          <w:highlight w:val="none"/>
        </w:rPr>
        <w:br w:type="page"/>
      </w:r>
      <w:bookmarkStart w:id="23" w:name="_Toc339114109"/>
      <w:r>
        <w:rPr>
          <w:rFonts w:ascii="宋体" w:hAnsi="宋体" w:cs="宋体"/>
          <w:b/>
          <w:sz w:val="24"/>
          <w:highlight w:val="none"/>
        </w:rPr>
        <w:t xml:space="preserve">1. </w:t>
      </w:r>
      <w:bookmarkStart w:id="24" w:name="_Toc152042305"/>
      <w:bookmarkStart w:id="25" w:name="_Toc144974497"/>
      <w:bookmarkStart w:id="26" w:name="_Toc152045529"/>
      <w:r>
        <w:rPr>
          <w:rFonts w:hint="eastAsia" w:ascii="宋体" w:hAnsi="宋体" w:cs="宋体"/>
          <w:b/>
          <w:sz w:val="24"/>
          <w:highlight w:val="none"/>
        </w:rPr>
        <w:t>总则</w:t>
      </w:r>
      <w:bookmarkEnd w:id="23"/>
    </w:p>
    <w:p>
      <w:pPr>
        <w:spacing w:line="360" w:lineRule="auto"/>
        <w:ind w:firstLine="470" w:firstLineChars="196"/>
        <w:rPr>
          <w:rFonts w:ascii="宋体" w:cs="宋体"/>
          <w:sz w:val="24"/>
          <w:highlight w:val="none"/>
        </w:rPr>
      </w:pPr>
      <w:bookmarkStart w:id="27" w:name="_Toc331665289"/>
      <w:bookmarkStart w:id="28" w:name="_Toc339012127"/>
      <w:bookmarkStart w:id="29" w:name="_Toc339114110"/>
      <w:r>
        <w:rPr>
          <w:rFonts w:ascii="宋体" w:hAnsi="宋体" w:cs="宋体"/>
          <w:sz w:val="24"/>
          <w:highlight w:val="none"/>
        </w:rPr>
        <w:t>1.1</w:t>
      </w:r>
      <w:bookmarkEnd w:id="24"/>
      <w:bookmarkEnd w:id="25"/>
      <w:bookmarkEnd w:id="26"/>
      <w:r>
        <w:rPr>
          <w:rFonts w:ascii="宋体" w:hAnsi="宋体" w:cs="宋体"/>
          <w:sz w:val="24"/>
          <w:highlight w:val="none"/>
        </w:rPr>
        <w:t xml:space="preserve"> </w:t>
      </w:r>
      <w:r>
        <w:rPr>
          <w:rFonts w:hint="eastAsia" w:ascii="宋体" w:hAnsi="宋体" w:cs="宋体"/>
          <w:sz w:val="24"/>
          <w:highlight w:val="none"/>
        </w:rPr>
        <w:t>项目概况</w:t>
      </w:r>
      <w:bookmarkEnd w:id="27"/>
      <w:bookmarkEnd w:id="28"/>
      <w:bookmarkEnd w:id="29"/>
    </w:p>
    <w:p>
      <w:pPr>
        <w:spacing w:line="360" w:lineRule="auto"/>
        <w:ind w:firstLine="480" w:firstLineChars="200"/>
        <w:rPr>
          <w:rFonts w:ascii="宋体"/>
          <w:sz w:val="24"/>
          <w:highlight w:val="none"/>
        </w:rPr>
      </w:pPr>
      <w:r>
        <w:rPr>
          <w:rFonts w:ascii="宋体" w:hAnsi="宋体"/>
          <w:sz w:val="24"/>
          <w:highlight w:val="none"/>
        </w:rPr>
        <w:t>1.1</w:t>
      </w:r>
      <w:bookmarkEnd w:id="20"/>
      <w:bookmarkEnd w:id="21"/>
      <w:bookmarkEnd w:id="22"/>
      <w:r>
        <w:rPr>
          <w:rFonts w:ascii="宋体" w:hAnsi="宋体"/>
          <w:sz w:val="24"/>
          <w:highlight w:val="none"/>
        </w:rPr>
        <w:t>.1</w:t>
      </w:r>
      <w:r>
        <w:rPr>
          <w:rFonts w:hint="eastAsia" w:ascii="宋体" w:hAnsi="宋体"/>
          <w:sz w:val="24"/>
          <w:highlight w:val="none"/>
        </w:rPr>
        <w:t>根据《中华人民共和国政府采购法》等有关法律、法规和规章的规定，本招标项目已具备招标条件，现对本项目进行招标。</w:t>
      </w:r>
    </w:p>
    <w:p>
      <w:pPr>
        <w:spacing w:line="360" w:lineRule="auto"/>
        <w:ind w:firstLine="480" w:firstLineChars="200"/>
        <w:rPr>
          <w:rFonts w:ascii="宋体" w:hAnsi="宋体"/>
          <w:sz w:val="24"/>
          <w:highlight w:val="none"/>
        </w:rPr>
      </w:pPr>
      <w:r>
        <w:rPr>
          <w:rFonts w:ascii="宋体" w:hAnsi="宋体"/>
          <w:sz w:val="24"/>
          <w:highlight w:val="none"/>
        </w:rPr>
        <w:t>1.1.2</w:t>
      </w:r>
      <w:r>
        <w:rPr>
          <w:rFonts w:hint="eastAsia" w:ascii="宋体" w:hAnsi="宋体"/>
          <w:sz w:val="24"/>
          <w:highlight w:val="none"/>
        </w:rPr>
        <w:t>采购人：西安市长安区斗门街道办事处</w:t>
      </w:r>
    </w:p>
    <w:p>
      <w:pPr>
        <w:spacing w:line="360" w:lineRule="auto"/>
        <w:ind w:firstLine="480" w:firstLineChars="200"/>
        <w:rPr>
          <w:rFonts w:ascii="宋体"/>
          <w:sz w:val="24"/>
          <w:highlight w:val="none"/>
        </w:rPr>
      </w:pPr>
      <w:r>
        <w:rPr>
          <w:rFonts w:ascii="宋体" w:hAnsi="宋体"/>
          <w:sz w:val="24"/>
          <w:highlight w:val="none"/>
        </w:rPr>
        <w:t>1.1.3</w:t>
      </w:r>
      <w:r>
        <w:rPr>
          <w:rFonts w:hint="eastAsia" w:ascii="宋体" w:hAnsi="宋体"/>
          <w:sz w:val="24"/>
          <w:highlight w:val="none"/>
        </w:rPr>
        <w:t>监督机构：陕西省西咸新区沣东新城财政局</w:t>
      </w:r>
    </w:p>
    <w:p>
      <w:pPr>
        <w:spacing w:line="360" w:lineRule="auto"/>
        <w:ind w:firstLine="480" w:firstLineChars="200"/>
        <w:rPr>
          <w:rFonts w:ascii="宋体"/>
          <w:sz w:val="24"/>
          <w:highlight w:val="none"/>
        </w:rPr>
      </w:pPr>
      <w:r>
        <w:rPr>
          <w:rFonts w:ascii="宋体" w:hAnsi="宋体"/>
          <w:sz w:val="24"/>
          <w:highlight w:val="none"/>
        </w:rPr>
        <w:t>1.1.4</w:t>
      </w:r>
      <w:r>
        <w:rPr>
          <w:rFonts w:hint="eastAsia" w:ascii="宋体" w:hAnsi="宋体"/>
          <w:sz w:val="24"/>
          <w:highlight w:val="none"/>
        </w:rPr>
        <w:t>采购代理机构：陕西嘉唐建设项目管理有限公司</w:t>
      </w:r>
    </w:p>
    <w:p>
      <w:pPr>
        <w:spacing w:line="360" w:lineRule="auto"/>
        <w:ind w:firstLine="480" w:firstLineChars="200"/>
        <w:rPr>
          <w:rFonts w:ascii="宋体"/>
          <w:sz w:val="24"/>
          <w:highlight w:val="none"/>
        </w:rPr>
      </w:pPr>
      <w:r>
        <w:rPr>
          <w:rFonts w:ascii="宋体" w:hAnsi="宋体"/>
          <w:sz w:val="24"/>
          <w:highlight w:val="none"/>
        </w:rPr>
        <w:t>1.1.5</w:t>
      </w:r>
      <w:r>
        <w:rPr>
          <w:rFonts w:hint="eastAsia" w:ascii="宋体" w:hAnsi="宋体"/>
          <w:sz w:val="24"/>
          <w:highlight w:val="none"/>
        </w:rPr>
        <w:t>供应商：指无条件接受招标文件的各项要求，具备相应履约能力、具有《中华人民共和国政府采购法》第</w:t>
      </w:r>
      <w:r>
        <w:rPr>
          <w:rFonts w:ascii="宋体" w:hAnsi="宋体"/>
          <w:sz w:val="24"/>
          <w:highlight w:val="none"/>
        </w:rPr>
        <w:t>22</w:t>
      </w:r>
      <w:r>
        <w:rPr>
          <w:rFonts w:hint="eastAsia" w:ascii="宋体" w:hAnsi="宋体"/>
          <w:sz w:val="24"/>
          <w:highlight w:val="none"/>
        </w:rPr>
        <w:t>规定的相关条件并向评标委员会提交投标文件的供应商。</w:t>
      </w:r>
    </w:p>
    <w:p>
      <w:pPr>
        <w:spacing w:line="360" w:lineRule="auto"/>
        <w:ind w:firstLine="480" w:firstLineChars="200"/>
        <w:rPr>
          <w:rFonts w:ascii="宋体"/>
          <w:sz w:val="24"/>
          <w:highlight w:val="none"/>
        </w:rPr>
      </w:pPr>
      <w:r>
        <w:rPr>
          <w:rFonts w:ascii="宋体" w:hAnsi="宋体"/>
          <w:sz w:val="24"/>
          <w:highlight w:val="none"/>
        </w:rPr>
        <w:t>1.1.6</w:t>
      </w:r>
      <w:r>
        <w:rPr>
          <w:rFonts w:hint="eastAsia" w:ascii="宋体" w:hAnsi="宋体"/>
          <w:sz w:val="24"/>
          <w:highlight w:val="none"/>
        </w:rPr>
        <w:t>合格供应商的基本要求：</w:t>
      </w:r>
    </w:p>
    <w:p>
      <w:pPr>
        <w:spacing w:line="360" w:lineRule="auto"/>
        <w:ind w:firstLine="480" w:firstLineChars="200"/>
        <w:rPr>
          <w:rFonts w:ascii="宋体"/>
          <w:bCs/>
          <w:sz w:val="24"/>
          <w:highlight w:val="none"/>
        </w:rPr>
      </w:pPr>
      <w:r>
        <w:rPr>
          <w:rFonts w:ascii="宋体" w:hAnsi="宋体"/>
          <w:bCs/>
          <w:sz w:val="24"/>
          <w:highlight w:val="none"/>
        </w:rPr>
        <w:t>1.1.6.1</w:t>
      </w:r>
      <w:r>
        <w:rPr>
          <w:rFonts w:hint="eastAsia" w:ascii="宋体" w:hAnsi="宋体"/>
          <w:bCs/>
          <w:sz w:val="24"/>
          <w:highlight w:val="none"/>
        </w:rPr>
        <w:t>具有独立承担民事责任的能力；</w:t>
      </w:r>
    </w:p>
    <w:p>
      <w:pPr>
        <w:spacing w:line="360" w:lineRule="auto"/>
        <w:ind w:firstLine="480" w:firstLineChars="200"/>
        <w:rPr>
          <w:rFonts w:ascii="宋体"/>
          <w:bCs/>
          <w:sz w:val="24"/>
          <w:highlight w:val="none"/>
        </w:rPr>
      </w:pPr>
      <w:r>
        <w:rPr>
          <w:rFonts w:ascii="宋体" w:hAnsi="宋体"/>
          <w:bCs/>
          <w:sz w:val="24"/>
          <w:highlight w:val="none"/>
        </w:rPr>
        <w:t>1.1.6.2</w:t>
      </w:r>
      <w:r>
        <w:rPr>
          <w:rFonts w:hint="eastAsia" w:ascii="宋体" w:hAnsi="宋体"/>
          <w:bCs/>
          <w:sz w:val="24"/>
          <w:highlight w:val="none"/>
        </w:rPr>
        <w:t>具有良好的商业信誉和健全的财务会计制度；</w:t>
      </w:r>
    </w:p>
    <w:p>
      <w:pPr>
        <w:spacing w:line="360" w:lineRule="auto"/>
        <w:ind w:firstLine="480" w:firstLineChars="200"/>
        <w:rPr>
          <w:rFonts w:ascii="宋体"/>
          <w:bCs/>
          <w:sz w:val="24"/>
          <w:highlight w:val="none"/>
        </w:rPr>
      </w:pPr>
      <w:r>
        <w:rPr>
          <w:rFonts w:ascii="宋体" w:hAnsi="宋体"/>
          <w:bCs/>
          <w:sz w:val="24"/>
          <w:highlight w:val="none"/>
        </w:rPr>
        <w:t>1.1.6.3</w:t>
      </w:r>
      <w:r>
        <w:rPr>
          <w:rFonts w:hint="eastAsia" w:ascii="宋体" w:hAnsi="宋体"/>
          <w:bCs/>
          <w:sz w:val="24"/>
          <w:highlight w:val="none"/>
        </w:rPr>
        <w:t>具有履行合同所必需的设备和专业技术能力；</w:t>
      </w:r>
    </w:p>
    <w:p>
      <w:pPr>
        <w:spacing w:line="360" w:lineRule="auto"/>
        <w:ind w:firstLine="480" w:firstLineChars="200"/>
        <w:rPr>
          <w:rFonts w:ascii="宋体"/>
          <w:bCs/>
          <w:sz w:val="24"/>
          <w:highlight w:val="none"/>
        </w:rPr>
      </w:pPr>
      <w:r>
        <w:rPr>
          <w:rFonts w:ascii="宋体" w:hAnsi="宋体"/>
          <w:bCs/>
          <w:sz w:val="24"/>
          <w:highlight w:val="none"/>
        </w:rPr>
        <w:t>1.1.6.4</w:t>
      </w:r>
      <w:r>
        <w:rPr>
          <w:rFonts w:hint="eastAsia" w:ascii="宋体" w:hAnsi="宋体"/>
          <w:bCs/>
          <w:sz w:val="24"/>
          <w:highlight w:val="none"/>
        </w:rPr>
        <w:t>有依法缴纳税收和社会保障资金的良好记录；</w:t>
      </w:r>
    </w:p>
    <w:p>
      <w:pPr>
        <w:spacing w:line="360" w:lineRule="auto"/>
        <w:ind w:firstLine="480" w:firstLineChars="200"/>
        <w:rPr>
          <w:rFonts w:ascii="宋体"/>
          <w:bCs/>
          <w:sz w:val="24"/>
          <w:highlight w:val="none"/>
        </w:rPr>
      </w:pPr>
      <w:r>
        <w:rPr>
          <w:rFonts w:ascii="宋体" w:hAnsi="宋体"/>
          <w:bCs/>
          <w:sz w:val="24"/>
          <w:highlight w:val="none"/>
        </w:rPr>
        <w:t>1.1.6.5</w:t>
      </w:r>
      <w:r>
        <w:rPr>
          <w:rFonts w:hint="eastAsia" w:ascii="宋体" w:hAnsi="宋体"/>
          <w:bCs/>
          <w:sz w:val="24"/>
          <w:highlight w:val="none"/>
        </w:rPr>
        <w:t>参加政府采购活动前三年内，在经营活动中没有重大违法记录；</w:t>
      </w:r>
    </w:p>
    <w:p>
      <w:pPr>
        <w:spacing w:line="360" w:lineRule="auto"/>
        <w:ind w:firstLine="480" w:firstLineChars="200"/>
        <w:rPr>
          <w:rFonts w:ascii="宋体"/>
          <w:sz w:val="24"/>
          <w:highlight w:val="none"/>
        </w:rPr>
      </w:pPr>
      <w:r>
        <w:rPr>
          <w:rFonts w:ascii="宋体" w:hAnsi="宋体"/>
          <w:bCs/>
          <w:sz w:val="24"/>
          <w:highlight w:val="none"/>
        </w:rPr>
        <w:t>1.1.6.6</w:t>
      </w:r>
      <w:r>
        <w:rPr>
          <w:rFonts w:hint="eastAsia" w:ascii="宋体" w:hAnsi="宋体"/>
          <w:bCs/>
          <w:sz w:val="24"/>
          <w:highlight w:val="none"/>
        </w:rPr>
        <w:t>具备法律行政法规规定的其他条件。</w:t>
      </w:r>
    </w:p>
    <w:p>
      <w:pPr>
        <w:spacing w:line="360" w:lineRule="auto"/>
        <w:ind w:firstLine="470" w:firstLineChars="196"/>
        <w:rPr>
          <w:rFonts w:ascii="宋体" w:cs="宋体"/>
          <w:sz w:val="24"/>
          <w:highlight w:val="none"/>
        </w:rPr>
      </w:pPr>
      <w:bookmarkStart w:id="30" w:name="_Toc339114111"/>
      <w:bookmarkStart w:id="31" w:name="_Toc331665290"/>
      <w:bookmarkStart w:id="32" w:name="_Toc339012128"/>
      <w:r>
        <w:rPr>
          <w:rFonts w:ascii="宋体" w:hAnsi="宋体" w:cs="宋体"/>
          <w:sz w:val="24"/>
          <w:highlight w:val="none"/>
        </w:rPr>
        <w:t xml:space="preserve">1.2 </w:t>
      </w:r>
      <w:bookmarkStart w:id="33" w:name="_Toc152042307"/>
      <w:bookmarkStart w:id="34" w:name="_Toc144974499"/>
      <w:bookmarkStart w:id="35" w:name="_Toc152045531"/>
      <w:r>
        <w:rPr>
          <w:rFonts w:hint="eastAsia" w:ascii="宋体" w:hAnsi="宋体" w:cs="宋体"/>
          <w:sz w:val="24"/>
          <w:highlight w:val="none"/>
        </w:rPr>
        <w:t>资金来源和落实情况</w:t>
      </w:r>
      <w:bookmarkEnd w:id="30"/>
      <w:bookmarkEnd w:id="31"/>
      <w:bookmarkEnd w:id="32"/>
    </w:p>
    <w:p>
      <w:pPr>
        <w:spacing w:line="360" w:lineRule="auto"/>
        <w:ind w:firstLine="480" w:firstLineChars="200"/>
        <w:rPr>
          <w:rFonts w:ascii="宋体"/>
          <w:sz w:val="24"/>
          <w:highlight w:val="none"/>
        </w:rPr>
      </w:pPr>
      <w:r>
        <w:rPr>
          <w:rFonts w:ascii="宋体" w:hAnsi="宋体"/>
          <w:sz w:val="24"/>
          <w:highlight w:val="none"/>
        </w:rPr>
        <w:t>1.2</w:t>
      </w:r>
      <w:bookmarkEnd w:id="33"/>
      <w:bookmarkEnd w:id="34"/>
      <w:bookmarkEnd w:id="35"/>
      <w:r>
        <w:rPr>
          <w:rFonts w:ascii="宋体" w:hAnsi="宋体"/>
          <w:sz w:val="24"/>
          <w:highlight w:val="none"/>
        </w:rPr>
        <w:t xml:space="preserve">.1 </w:t>
      </w:r>
      <w:r>
        <w:rPr>
          <w:rFonts w:hint="eastAsia" w:ascii="宋体" w:hAnsi="宋体"/>
          <w:sz w:val="24"/>
          <w:highlight w:val="none"/>
        </w:rPr>
        <w:t>本招标项目的资金来源：见供应商须知前附表。</w:t>
      </w:r>
    </w:p>
    <w:p>
      <w:pPr>
        <w:spacing w:line="360" w:lineRule="auto"/>
        <w:ind w:firstLine="480" w:firstLineChars="200"/>
        <w:rPr>
          <w:rFonts w:ascii="宋体"/>
          <w:sz w:val="24"/>
          <w:highlight w:val="none"/>
        </w:rPr>
      </w:pPr>
      <w:r>
        <w:rPr>
          <w:rFonts w:ascii="宋体" w:hAnsi="宋体"/>
          <w:sz w:val="24"/>
          <w:highlight w:val="none"/>
        </w:rPr>
        <w:t xml:space="preserve">1.2.2 </w:t>
      </w:r>
      <w:r>
        <w:rPr>
          <w:rFonts w:hint="eastAsia" w:ascii="宋体" w:hAnsi="宋体"/>
          <w:sz w:val="24"/>
          <w:highlight w:val="none"/>
        </w:rPr>
        <w:t>本招标项目的资金落实情况：见供应商须知前附表。</w:t>
      </w:r>
    </w:p>
    <w:p>
      <w:pPr>
        <w:spacing w:line="360" w:lineRule="auto"/>
        <w:ind w:firstLine="470" w:firstLineChars="196"/>
        <w:rPr>
          <w:rFonts w:ascii="宋体" w:cs="宋体"/>
          <w:sz w:val="24"/>
          <w:highlight w:val="none"/>
        </w:rPr>
      </w:pPr>
      <w:bookmarkStart w:id="36" w:name="_Toc331665291"/>
      <w:bookmarkStart w:id="37" w:name="_Toc339114112"/>
      <w:bookmarkStart w:id="38" w:name="_Toc339012129"/>
      <w:r>
        <w:rPr>
          <w:rFonts w:ascii="宋体" w:hAnsi="宋体" w:cs="宋体"/>
          <w:sz w:val="24"/>
          <w:highlight w:val="none"/>
        </w:rPr>
        <w:t xml:space="preserve">1.3 </w:t>
      </w:r>
      <w:bookmarkStart w:id="39" w:name="_Toc152042308"/>
      <w:bookmarkStart w:id="40" w:name="_Toc144974500"/>
      <w:bookmarkStart w:id="41" w:name="_Toc152045532"/>
      <w:r>
        <w:rPr>
          <w:rFonts w:hint="eastAsia" w:ascii="宋体" w:hAnsi="宋体" w:cs="宋体"/>
          <w:sz w:val="24"/>
          <w:highlight w:val="none"/>
        </w:rPr>
        <w:t>工作内容、合同期限</w:t>
      </w:r>
      <w:bookmarkEnd w:id="36"/>
      <w:bookmarkEnd w:id="37"/>
      <w:bookmarkEnd w:id="38"/>
    </w:p>
    <w:p>
      <w:pPr>
        <w:spacing w:line="360" w:lineRule="auto"/>
        <w:ind w:firstLine="480" w:firstLineChars="200"/>
        <w:rPr>
          <w:rFonts w:ascii="宋体"/>
          <w:sz w:val="24"/>
          <w:highlight w:val="none"/>
        </w:rPr>
      </w:pPr>
      <w:r>
        <w:rPr>
          <w:rFonts w:ascii="宋体" w:hAnsi="宋体"/>
          <w:sz w:val="24"/>
          <w:highlight w:val="none"/>
        </w:rPr>
        <w:t>1.3</w:t>
      </w:r>
      <w:bookmarkEnd w:id="39"/>
      <w:bookmarkEnd w:id="40"/>
      <w:bookmarkEnd w:id="41"/>
      <w:r>
        <w:rPr>
          <w:rFonts w:ascii="宋体" w:hAnsi="宋体"/>
          <w:sz w:val="24"/>
          <w:highlight w:val="none"/>
        </w:rPr>
        <w:t xml:space="preserve">.1 </w:t>
      </w:r>
      <w:r>
        <w:rPr>
          <w:rFonts w:hint="eastAsia" w:ascii="宋体" w:hAnsi="宋体"/>
          <w:sz w:val="24"/>
          <w:highlight w:val="none"/>
        </w:rPr>
        <w:t>本次招标工作内容：见供应商须知前附表。</w:t>
      </w:r>
    </w:p>
    <w:p>
      <w:pPr>
        <w:spacing w:line="360" w:lineRule="auto"/>
        <w:ind w:firstLine="480" w:firstLineChars="200"/>
        <w:rPr>
          <w:rFonts w:ascii="宋体"/>
          <w:sz w:val="24"/>
          <w:highlight w:val="none"/>
        </w:rPr>
      </w:pPr>
      <w:r>
        <w:rPr>
          <w:rFonts w:ascii="宋体" w:hAnsi="宋体"/>
          <w:sz w:val="24"/>
          <w:highlight w:val="none"/>
        </w:rPr>
        <w:t xml:space="preserve">1.3.2 </w:t>
      </w:r>
      <w:r>
        <w:rPr>
          <w:rFonts w:hint="eastAsia" w:ascii="宋体" w:hAnsi="宋体"/>
          <w:sz w:val="24"/>
          <w:highlight w:val="none"/>
        </w:rPr>
        <w:t>本项目的合同期限：见供应商须知前附表。</w:t>
      </w:r>
    </w:p>
    <w:p>
      <w:pPr>
        <w:spacing w:line="360" w:lineRule="auto"/>
        <w:ind w:firstLine="470" w:firstLineChars="196"/>
        <w:rPr>
          <w:rFonts w:ascii="宋体" w:cs="宋体"/>
          <w:sz w:val="24"/>
          <w:highlight w:val="none"/>
        </w:rPr>
      </w:pPr>
      <w:bookmarkStart w:id="42" w:name="_Toc339012130"/>
      <w:bookmarkStart w:id="43" w:name="_Toc331665292"/>
      <w:bookmarkStart w:id="44" w:name="_Toc339114113"/>
      <w:r>
        <w:rPr>
          <w:rFonts w:ascii="宋体" w:hAnsi="宋体" w:cs="宋体"/>
          <w:sz w:val="24"/>
          <w:highlight w:val="none"/>
        </w:rPr>
        <w:t xml:space="preserve">1.4 </w:t>
      </w:r>
      <w:bookmarkStart w:id="45" w:name="_Toc152042309"/>
      <w:bookmarkStart w:id="46" w:name="_Toc144974501"/>
      <w:bookmarkStart w:id="47" w:name="_Toc152045533"/>
      <w:r>
        <w:rPr>
          <w:rFonts w:hint="eastAsia" w:ascii="宋体" w:hAnsi="宋体" w:cs="宋体"/>
          <w:sz w:val="24"/>
          <w:highlight w:val="none"/>
        </w:rPr>
        <w:t>供应商资格要求</w:t>
      </w:r>
      <w:bookmarkEnd w:id="42"/>
      <w:bookmarkEnd w:id="43"/>
      <w:bookmarkEnd w:id="44"/>
    </w:p>
    <w:bookmarkEnd w:id="45"/>
    <w:bookmarkEnd w:id="46"/>
    <w:bookmarkEnd w:id="47"/>
    <w:p>
      <w:pPr>
        <w:spacing w:line="360" w:lineRule="auto"/>
        <w:ind w:firstLine="470" w:firstLineChars="196"/>
        <w:rPr>
          <w:rFonts w:ascii="宋体"/>
          <w:kern w:val="0"/>
          <w:sz w:val="24"/>
          <w:highlight w:val="none"/>
        </w:rPr>
      </w:pPr>
      <w:bookmarkStart w:id="48" w:name="_Toc339114114"/>
      <w:bookmarkStart w:id="49" w:name="_Toc339012131"/>
      <w:bookmarkStart w:id="50" w:name="_Toc331665293"/>
      <w:r>
        <w:rPr>
          <w:rFonts w:ascii="宋体" w:hAnsi="宋体"/>
          <w:kern w:val="0"/>
          <w:sz w:val="24"/>
          <w:highlight w:val="none"/>
        </w:rPr>
        <w:t>1.4.1</w:t>
      </w:r>
      <w:r>
        <w:rPr>
          <w:rFonts w:hint="eastAsia" w:ascii="宋体" w:hAnsi="宋体"/>
          <w:kern w:val="0"/>
          <w:sz w:val="24"/>
          <w:highlight w:val="none"/>
        </w:rPr>
        <w:t>基本资格条件：符合《中华人民共和国政府采购法》第二十二条的规定；</w:t>
      </w:r>
    </w:p>
    <w:p>
      <w:pPr>
        <w:spacing w:line="360" w:lineRule="auto"/>
        <w:ind w:firstLine="470" w:firstLineChars="196"/>
        <w:rPr>
          <w:rFonts w:ascii="宋体"/>
          <w:kern w:val="0"/>
          <w:sz w:val="24"/>
          <w:highlight w:val="none"/>
        </w:rPr>
      </w:pPr>
      <w:r>
        <w:rPr>
          <w:rFonts w:ascii="宋体" w:hAnsi="宋体"/>
          <w:kern w:val="0"/>
          <w:sz w:val="24"/>
          <w:highlight w:val="none"/>
        </w:rPr>
        <w:t>1.4.2</w:t>
      </w:r>
      <w:r>
        <w:rPr>
          <w:rFonts w:hint="eastAsia" w:ascii="宋体" w:hAnsi="宋体"/>
          <w:kern w:val="0"/>
          <w:sz w:val="24"/>
          <w:highlight w:val="none"/>
        </w:rPr>
        <w:t>特定资格条件：</w:t>
      </w:r>
    </w:p>
    <w:p>
      <w:pPr>
        <w:spacing w:line="348" w:lineRule="auto"/>
        <w:ind w:firstLine="470" w:firstLineChars="196"/>
        <w:rPr>
          <w:rFonts w:ascii="宋体" w:hAnsi="宋体"/>
          <w:kern w:val="0"/>
          <w:sz w:val="24"/>
          <w:highlight w:val="none"/>
        </w:rPr>
      </w:pPr>
      <w:r>
        <w:rPr>
          <w:rFonts w:hint="eastAsia" w:ascii="宋体" w:hAnsi="宋体"/>
          <w:kern w:val="0"/>
          <w:sz w:val="24"/>
          <w:highlight w:val="none"/>
        </w:rPr>
        <w:t>①法定代表人授权书（附法定代表人身份证复印件）及被授权人身份证（法定代表人直接参加投标只需提供法定代表人身份证）。自然人只需提供身份证；备注：分支机构由分支机构负责人授权即可；</w:t>
      </w:r>
    </w:p>
    <w:p>
      <w:pPr>
        <w:spacing w:line="348" w:lineRule="auto"/>
        <w:ind w:firstLine="470" w:firstLineChars="196"/>
        <w:rPr>
          <w:rFonts w:ascii="宋体" w:hAnsi="宋体"/>
          <w:kern w:val="0"/>
          <w:sz w:val="24"/>
          <w:highlight w:val="none"/>
        </w:rPr>
      </w:pPr>
      <w:r>
        <w:rPr>
          <w:rFonts w:hint="eastAsia" w:ascii="宋体" w:hAnsi="宋体"/>
          <w:kern w:val="0"/>
          <w:sz w:val="24"/>
          <w:highlight w:val="none"/>
        </w:rPr>
        <w:t>②具有建设行政主管部门颁发的建筑工程施工总承包三级及以上资质，同时具备有效的安全生产许可证；</w:t>
      </w:r>
    </w:p>
    <w:p>
      <w:pPr>
        <w:spacing w:line="348" w:lineRule="auto"/>
        <w:ind w:firstLine="470" w:firstLineChars="196"/>
        <w:rPr>
          <w:rFonts w:ascii="宋体" w:hAnsi="宋体"/>
          <w:kern w:val="0"/>
          <w:sz w:val="24"/>
          <w:highlight w:val="none"/>
        </w:rPr>
      </w:pPr>
      <w:r>
        <w:rPr>
          <w:rFonts w:hint="eastAsia" w:ascii="宋体" w:hAnsi="宋体"/>
          <w:kern w:val="0"/>
          <w:sz w:val="24"/>
          <w:highlight w:val="none"/>
        </w:rPr>
        <w:t xml:space="preserve">③拟派项目经理具有建筑工程专业二级及以上注册建造师执业资格，具有有效的安全生产考核合格证书（建安B证），在本单位注册，且未担任其他在建工程项目的项目经理； </w:t>
      </w:r>
    </w:p>
    <w:p>
      <w:pPr>
        <w:spacing w:line="348" w:lineRule="auto"/>
        <w:ind w:firstLine="470" w:firstLineChars="196"/>
        <w:rPr>
          <w:rFonts w:ascii="宋体" w:hAnsi="宋体"/>
          <w:kern w:val="0"/>
          <w:sz w:val="24"/>
          <w:highlight w:val="none"/>
        </w:rPr>
      </w:pPr>
      <w:r>
        <w:rPr>
          <w:rFonts w:hint="eastAsia" w:ascii="宋体" w:hAnsi="宋体"/>
          <w:kern w:val="0"/>
          <w:sz w:val="24"/>
          <w:highlight w:val="none"/>
        </w:rPr>
        <w:t>④企业基本信息及项目经理（注册建造师）执业基本信息应在“陕西建设网（http://js.shaanxi.gov.cn/ ）陕西省建筑市场监管与诚信信息发布平台”可查询；</w:t>
      </w:r>
    </w:p>
    <w:p>
      <w:pPr>
        <w:spacing w:line="348" w:lineRule="auto"/>
        <w:ind w:firstLine="470" w:firstLineChars="196"/>
        <w:rPr>
          <w:rFonts w:hint="eastAsia" w:ascii="宋体" w:hAnsi="宋体"/>
          <w:kern w:val="0"/>
          <w:sz w:val="24"/>
          <w:highlight w:val="none"/>
        </w:rPr>
      </w:pPr>
      <w:r>
        <w:rPr>
          <w:rFonts w:hint="eastAsia" w:ascii="宋体" w:hAnsi="宋体"/>
          <w:kern w:val="0"/>
          <w:sz w:val="24"/>
          <w:highlight w:val="none"/>
        </w:rPr>
        <w:t>⑤供应商须具备有效的道路运输经营许可证；</w:t>
      </w:r>
    </w:p>
    <w:p>
      <w:pPr>
        <w:spacing w:line="348" w:lineRule="auto"/>
        <w:ind w:firstLine="470" w:firstLineChars="196"/>
        <w:rPr>
          <w:rFonts w:hint="eastAsia" w:ascii="宋体" w:hAnsi="宋体"/>
          <w:kern w:val="0"/>
          <w:sz w:val="24"/>
          <w:highlight w:val="none"/>
        </w:rPr>
      </w:pPr>
      <w:r>
        <w:rPr>
          <w:rFonts w:hint="eastAsia" w:ascii="宋体" w:hAnsi="宋体"/>
          <w:kern w:val="0"/>
          <w:sz w:val="24"/>
          <w:highlight w:val="none"/>
        </w:rPr>
        <w:t>⑥供应商须具备行政主管部门颁发的建筑垃圾处置（运输）证 ；</w:t>
      </w:r>
    </w:p>
    <w:p>
      <w:pPr>
        <w:spacing w:line="348" w:lineRule="auto"/>
        <w:ind w:firstLine="470" w:firstLineChars="196"/>
        <w:rPr>
          <w:rFonts w:ascii="宋体" w:hAnsi="宋体"/>
          <w:kern w:val="0"/>
          <w:sz w:val="24"/>
          <w:highlight w:val="none"/>
        </w:rPr>
      </w:pPr>
      <w:r>
        <w:rPr>
          <w:rFonts w:hint="eastAsia" w:ascii="宋体" w:hAnsi="宋体"/>
          <w:kern w:val="0"/>
          <w:sz w:val="24"/>
          <w:highlight w:val="none"/>
          <w:lang w:eastAsia="zh-CN"/>
        </w:rPr>
        <w:t>⑦</w:t>
      </w:r>
      <w:r>
        <w:rPr>
          <w:rFonts w:hint="eastAsia" w:ascii="宋体" w:hAnsi="宋体"/>
          <w:kern w:val="0"/>
          <w:sz w:val="24"/>
          <w:highlight w:val="none"/>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348" w:lineRule="auto"/>
        <w:ind w:firstLine="470" w:firstLineChars="196"/>
        <w:rPr>
          <w:rFonts w:ascii="宋体"/>
          <w:kern w:val="0"/>
          <w:sz w:val="24"/>
          <w:highlight w:val="none"/>
        </w:rPr>
      </w:pPr>
      <w:r>
        <w:rPr>
          <w:rFonts w:hint="eastAsia" w:ascii="宋体" w:hAnsi="宋体"/>
          <w:kern w:val="0"/>
          <w:sz w:val="24"/>
          <w:highlight w:val="none"/>
          <w:lang w:eastAsia="zh-CN"/>
        </w:rPr>
        <w:t>⑧</w:t>
      </w:r>
      <w:r>
        <w:rPr>
          <w:rFonts w:hint="eastAsia" w:ascii="宋体" w:hAnsi="宋体"/>
          <w:kern w:val="0"/>
          <w:sz w:val="24"/>
          <w:highlight w:val="none"/>
        </w:rPr>
        <w:t>申请人不得在各级建设诚信信息平台被列为投标受限制的行为人；</w:t>
      </w:r>
    </w:p>
    <w:p>
      <w:pPr>
        <w:spacing w:line="348" w:lineRule="auto"/>
        <w:ind w:firstLine="470" w:firstLineChars="196"/>
        <w:rPr>
          <w:rFonts w:ascii="宋体" w:hAnsi="宋体"/>
          <w:kern w:val="0"/>
          <w:sz w:val="24"/>
          <w:highlight w:val="none"/>
        </w:rPr>
      </w:pPr>
      <w:r>
        <w:rPr>
          <w:rFonts w:hint="eastAsia" w:ascii="宋体" w:hAnsi="宋体"/>
          <w:kern w:val="0"/>
          <w:sz w:val="24"/>
          <w:highlight w:val="none"/>
          <w:lang w:eastAsia="zh-CN"/>
        </w:rPr>
        <w:t>⑨</w:t>
      </w:r>
      <w:r>
        <w:rPr>
          <w:rFonts w:hint="eastAsia" w:ascii="宋体" w:hAnsi="宋体"/>
          <w:kern w:val="0"/>
          <w:sz w:val="24"/>
          <w:highlight w:val="none"/>
        </w:rPr>
        <w:t>本项目接受联合体投标。</w:t>
      </w:r>
    </w:p>
    <w:p>
      <w:pPr>
        <w:spacing w:line="348" w:lineRule="auto"/>
        <w:ind w:firstLine="470" w:firstLineChars="196"/>
        <w:rPr>
          <w:rFonts w:ascii="宋体" w:cs="宋体"/>
          <w:sz w:val="24"/>
          <w:highlight w:val="none"/>
        </w:rPr>
      </w:pPr>
      <w:r>
        <w:rPr>
          <w:rFonts w:ascii="宋体" w:hAnsi="宋体" w:cs="宋体"/>
          <w:sz w:val="24"/>
          <w:highlight w:val="none"/>
        </w:rPr>
        <w:t xml:space="preserve">1.5 </w:t>
      </w:r>
      <w:bookmarkStart w:id="51" w:name="_Toc144974503"/>
      <w:bookmarkStart w:id="52" w:name="_Toc152045535"/>
      <w:bookmarkStart w:id="53" w:name="_Toc152042311"/>
      <w:r>
        <w:rPr>
          <w:rFonts w:hint="eastAsia" w:ascii="宋体" w:hAnsi="宋体" w:cs="宋体"/>
          <w:sz w:val="24"/>
          <w:highlight w:val="none"/>
        </w:rPr>
        <w:t>费用承担</w:t>
      </w:r>
      <w:bookmarkEnd w:id="48"/>
      <w:bookmarkEnd w:id="49"/>
      <w:bookmarkEnd w:id="50"/>
    </w:p>
    <w:p>
      <w:pPr>
        <w:spacing w:line="348" w:lineRule="auto"/>
        <w:ind w:firstLine="480" w:firstLineChars="200"/>
        <w:rPr>
          <w:rFonts w:ascii="宋体"/>
          <w:sz w:val="24"/>
          <w:highlight w:val="none"/>
        </w:rPr>
      </w:pPr>
      <w:r>
        <w:rPr>
          <w:rFonts w:hint="eastAsia" w:ascii="宋体" w:hAnsi="宋体"/>
          <w:sz w:val="24"/>
          <w:highlight w:val="none"/>
        </w:rPr>
        <w:t>供应商</w:t>
      </w:r>
      <w:bookmarkEnd w:id="51"/>
      <w:bookmarkEnd w:id="52"/>
      <w:bookmarkEnd w:id="53"/>
      <w:r>
        <w:rPr>
          <w:rFonts w:hint="eastAsia" w:ascii="宋体" w:hAnsi="宋体"/>
          <w:sz w:val="24"/>
          <w:highlight w:val="none"/>
        </w:rPr>
        <w:t>准备和参加投标活动发生的费用自理。</w:t>
      </w:r>
    </w:p>
    <w:p>
      <w:pPr>
        <w:spacing w:line="348" w:lineRule="auto"/>
        <w:ind w:firstLine="470" w:firstLineChars="196"/>
        <w:rPr>
          <w:rFonts w:ascii="宋体" w:cs="宋体"/>
          <w:sz w:val="24"/>
          <w:highlight w:val="none"/>
        </w:rPr>
      </w:pPr>
      <w:bookmarkStart w:id="54" w:name="_Toc331665294"/>
      <w:bookmarkStart w:id="55" w:name="_Toc339114115"/>
      <w:bookmarkStart w:id="56" w:name="_Toc339012132"/>
      <w:r>
        <w:rPr>
          <w:rFonts w:ascii="宋体" w:hAnsi="宋体" w:cs="宋体"/>
          <w:sz w:val="24"/>
          <w:highlight w:val="none"/>
        </w:rPr>
        <w:t xml:space="preserve">1.6 </w:t>
      </w:r>
      <w:bookmarkStart w:id="57" w:name="_Toc152042312"/>
      <w:bookmarkStart w:id="58" w:name="_Toc144974504"/>
      <w:bookmarkStart w:id="59" w:name="_Toc152045536"/>
      <w:r>
        <w:rPr>
          <w:rFonts w:hint="eastAsia" w:ascii="宋体" w:hAnsi="宋体" w:cs="宋体"/>
          <w:sz w:val="24"/>
          <w:highlight w:val="none"/>
        </w:rPr>
        <w:t>保密</w:t>
      </w:r>
      <w:bookmarkEnd w:id="54"/>
      <w:bookmarkEnd w:id="55"/>
      <w:bookmarkEnd w:id="56"/>
    </w:p>
    <w:p>
      <w:pPr>
        <w:spacing w:line="348" w:lineRule="auto"/>
        <w:ind w:firstLine="480" w:firstLineChars="200"/>
        <w:rPr>
          <w:rFonts w:ascii="宋体"/>
          <w:sz w:val="24"/>
          <w:highlight w:val="none"/>
        </w:rPr>
      </w:pPr>
      <w:r>
        <w:rPr>
          <w:rFonts w:hint="eastAsia" w:ascii="宋体" w:hAnsi="宋体"/>
          <w:sz w:val="24"/>
          <w:highlight w:val="none"/>
        </w:rPr>
        <w:t>参与招</w:t>
      </w:r>
      <w:bookmarkEnd w:id="57"/>
      <w:bookmarkEnd w:id="58"/>
      <w:bookmarkEnd w:id="59"/>
      <w:r>
        <w:rPr>
          <w:rFonts w:hint="eastAsia" w:ascii="宋体" w:hAnsi="宋体"/>
          <w:sz w:val="24"/>
          <w:highlight w:val="none"/>
        </w:rPr>
        <w:t>标投标活动的各方应对招标文件和投标文件中的商业和技术等秘密保密，违者应对由此造成的后果承担法律责任。</w:t>
      </w:r>
      <w:r>
        <w:rPr>
          <w:rFonts w:ascii="宋体" w:hAnsi="宋体"/>
          <w:sz w:val="24"/>
          <w:highlight w:val="none"/>
        </w:rPr>
        <w:t xml:space="preserve"> </w:t>
      </w:r>
    </w:p>
    <w:p>
      <w:pPr>
        <w:spacing w:line="348" w:lineRule="auto"/>
        <w:ind w:firstLine="470" w:firstLineChars="196"/>
        <w:rPr>
          <w:rFonts w:ascii="宋体" w:cs="宋体"/>
          <w:sz w:val="24"/>
          <w:highlight w:val="none"/>
        </w:rPr>
      </w:pPr>
      <w:bookmarkStart w:id="60" w:name="_Toc339012133"/>
      <w:bookmarkStart w:id="61" w:name="_Toc339114116"/>
      <w:bookmarkStart w:id="62" w:name="_Toc331665295"/>
      <w:r>
        <w:rPr>
          <w:rFonts w:ascii="宋体" w:hAnsi="宋体" w:cs="宋体"/>
          <w:sz w:val="24"/>
          <w:highlight w:val="none"/>
        </w:rPr>
        <w:t xml:space="preserve">1.7 </w:t>
      </w:r>
      <w:bookmarkStart w:id="63" w:name="_Toc144974505"/>
      <w:bookmarkStart w:id="64" w:name="_Toc152042313"/>
      <w:bookmarkStart w:id="65" w:name="_Toc152045537"/>
      <w:r>
        <w:rPr>
          <w:rFonts w:hint="eastAsia" w:ascii="宋体" w:hAnsi="宋体" w:cs="宋体"/>
          <w:sz w:val="24"/>
          <w:highlight w:val="none"/>
        </w:rPr>
        <w:t>语言文字</w:t>
      </w:r>
      <w:bookmarkEnd w:id="60"/>
      <w:bookmarkEnd w:id="61"/>
      <w:bookmarkEnd w:id="62"/>
    </w:p>
    <w:p>
      <w:pPr>
        <w:spacing w:line="348" w:lineRule="auto"/>
        <w:ind w:firstLine="480" w:firstLineChars="200"/>
        <w:rPr>
          <w:rFonts w:ascii="宋体"/>
          <w:sz w:val="24"/>
          <w:highlight w:val="none"/>
        </w:rPr>
      </w:pPr>
      <w:r>
        <w:rPr>
          <w:rFonts w:hint="eastAsia" w:ascii="宋体" w:hAnsi="宋体"/>
          <w:sz w:val="24"/>
          <w:highlight w:val="none"/>
        </w:rPr>
        <w:t>除</w:t>
      </w:r>
      <w:bookmarkEnd w:id="63"/>
      <w:r>
        <w:rPr>
          <w:rFonts w:hint="eastAsia" w:ascii="宋体" w:hAnsi="宋体"/>
          <w:sz w:val="24"/>
          <w:highlight w:val="none"/>
        </w:rPr>
        <w:t>专用</w:t>
      </w:r>
      <w:bookmarkEnd w:id="64"/>
      <w:bookmarkEnd w:id="65"/>
      <w:r>
        <w:rPr>
          <w:rFonts w:hint="eastAsia" w:ascii="宋体" w:hAnsi="宋体"/>
          <w:sz w:val="24"/>
          <w:highlight w:val="none"/>
        </w:rPr>
        <w:t>术语外，与招标投标有关的语言均使用中文。必要时专用术语应附有中文注释。</w:t>
      </w:r>
    </w:p>
    <w:p>
      <w:pPr>
        <w:spacing w:line="348" w:lineRule="auto"/>
        <w:ind w:firstLine="470" w:firstLineChars="196"/>
        <w:rPr>
          <w:rFonts w:ascii="宋体" w:cs="宋体"/>
          <w:sz w:val="24"/>
          <w:highlight w:val="none"/>
        </w:rPr>
      </w:pPr>
      <w:bookmarkStart w:id="66" w:name="_Toc339012134"/>
      <w:bookmarkStart w:id="67" w:name="_Toc331665296"/>
      <w:bookmarkStart w:id="68" w:name="_Toc339114117"/>
      <w:r>
        <w:rPr>
          <w:rFonts w:ascii="宋体" w:hAnsi="宋体" w:cs="宋体"/>
          <w:sz w:val="24"/>
          <w:highlight w:val="none"/>
        </w:rPr>
        <w:t xml:space="preserve">1.8 </w:t>
      </w:r>
      <w:bookmarkStart w:id="69" w:name="_Toc152045538"/>
      <w:bookmarkStart w:id="70" w:name="_Toc152042314"/>
      <w:bookmarkStart w:id="71" w:name="_Toc144974506"/>
      <w:r>
        <w:rPr>
          <w:rFonts w:hint="eastAsia" w:ascii="宋体" w:hAnsi="宋体" w:cs="宋体"/>
          <w:sz w:val="24"/>
          <w:highlight w:val="none"/>
        </w:rPr>
        <w:t>计量单位</w:t>
      </w:r>
      <w:bookmarkEnd w:id="66"/>
      <w:bookmarkEnd w:id="67"/>
      <w:bookmarkEnd w:id="68"/>
    </w:p>
    <w:p>
      <w:pPr>
        <w:spacing w:line="348" w:lineRule="auto"/>
        <w:ind w:firstLine="480" w:firstLineChars="200"/>
        <w:rPr>
          <w:rFonts w:ascii="宋体"/>
          <w:sz w:val="24"/>
          <w:highlight w:val="none"/>
        </w:rPr>
      </w:pPr>
      <w:r>
        <w:rPr>
          <w:rFonts w:hint="eastAsia" w:ascii="宋体" w:hAnsi="宋体"/>
          <w:sz w:val="24"/>
          <w:highlight w:val="none"/>
        </w:rPr>
        <w:t>所有计</w:t>
      </w:r>
      <w:bookmarkEnd w:id="69"/>
      <w:bookmarkEnd w:id="70"/>
      <w:bookmarkEnd w:id="71"/>
      <w:r>
        <w:rPr>
          <w:rFonts w:hint="eastAsia" w:ascii="宋体" w:hAnsi="宋体"/>
          <w:sz w:val="24"/>
          <w:highlight w:val="none"/>
        </w:rPr>
        <w:t>量均采用中华人民共和国法定计量单位。</w:t>
      </w:r>
    </w:p>
    <w:p>
      <w:pPr>
        <w:spacing w:line="348" w:lineRule="auto"/>
        <w:ind w:firstLine="470" w:firstLineChars="196"/>
        <w:rPr>
          <w:rFonts w:ascii="宋体" w:cs="宋体"/>
          <w:sz w:val="24"/>
          <w:highlight w:val="none"/>
        </w:rPr>
      </w:pPr>
      <w:bookmarkStart w:id="72" w:name="_Toc339114118"/>
      <w:bookmarkStart w:id="73" w:name="_Toc331665297"/>
      <w:bookmarkStart w:id="74" w:name="_Toc339012135"/>
      <w:r>
        <w:rPr>
          <w:rFonts w:ascii="宋体" w:hAnsi="宋体" w:cs="宋体"/>
          <w:sz w:val="24"/>
          <w:highlight w:val="none"/>
        </w:rPr>
        <w:t xml:space="preserve">1.9 </w:t>
      </w:r>
      <w:bookmarkStart w:id="75" w:name="_Toc152042315"/>
      <w:bookmarkStart w:id="76" w:name="_Toc144974507"/>
      <w:bookmarkStart w:id="77" w:name="_Toc152045539"/>
      <w:r>
        <w:rPr>
          <w:rFonts w:hint="eastAsia" w:ascii="宋体" w:hAnsi="宋体" w:cs="宋体"/>
          <w:sz w:val="24"/>
          <w:highlight w:val="none"/>
        </w:rPr>
        <w:t>踏勘现场</w:t>
      </w:r>
      <w:bookmarkEnd w:id="72"/>
      <w:bookmarkEnd w:id="73"/>
      <w:bookmarkEnd w:id="74"/>
    </w:p>
    <w:p>
      <w:pPr>
        <w:spacing w:line="348" w:lineRule="auto"/>
        <w:ind w:firstLine="480" w:firstLineChars="200"/>
        <w:rPr>
          <w:rFonts w:ascii="宋体"/>
          <w:sz w:val="24"/>
          <w:highlight w:val="none"/>
        </w:rPr>
      </w:pPr>
      <w:r>
        <w:rPr>
          <w:rFonts w:ascii="宋体" w:hAnsi="宋体"/>
          <w:sz w:val="24"/>
          <w:highlight w:val="none"/>
        </w:rPr>
        <w:t>1.9</w:t>
      </w:r>
      <w:bookmarkEnd w:id="75"/>
      <w:bookmarkEnd w:id="76"/>
      <w:bookmarkEnd w:id="77"/>
      <w:r>
        <w:rPr>
          <w:rFonts w:ascii="宋体" w:hAnsi="宋体"/>
          <w:sz w:val="24"/>
          <w:highlight w:val="none"/>
        </w:rPr>
        <w:t xml:space="preserve">.1 </w:t>
      </w:r>
      <w:r>
        <w:rPr>
          <w:rFonts w:hint="eastAsia" w:ascii="宋体" w:hAnsi="宋体"/>
          <w:sz w:val="24"/>
          <w:highlight w:val="none"/>
        </w:rPr>
        <w:t>供应商自行踏勘项目现场。</w:t>
      </w:r>
      <w:r>
        <w:rPr>
          <w:rFonts w:ascii="宋体" w:hAnsi="宋体"/>
          <w:sz w:val="24"/>
          <w:highlight w:val="none"/>
        </w:rPr>
        <w:t xml:space="preserve"> </w:t>
      </w:r>
    </w:p>
    <w:p>
      <w:pPr>
        <w:spacing w:line="348" w:lineRule="auto"/>
        <w:ind w:firstLine="480" w:firstLineChars="200"/>
        <w:rPr>
          <w:rFonts w:ascii="宋体"/>
          <w:sz w:val="24"/>
          <w:highlight w:val="none"/>
        </w:rPr>
      </w:pPr>
      <w:r>
        <w:rPr>
          <w:rFonts w:ascii="宋体" w:hAnsi="宋体"/>
          <w:sz w:val="24"/>
          <w:highlight w:val="none"/>
        </w:rPr>
        <w:t xml:space="preserve">1.9.2 </w:t>
      </w:r>
      <w:r>
        <w:rPr>
          <w:rFonts w:hint="eastAsia" w:ascii="宋体" w:hAnsi="宋体"/>
          <w:sz w:val="24"/>
          <w:highlight w:val="none"/>
        </w:rPr>
        <w:t>供应商踏勘现场发生的费用自理。</w:t>
      </w:r>
    </w:p>
    <w:p>
      <w:pPr>
        <w:spacing w:line="348" w:lineRule="auto"/>
        <w:ind w:firstLine="480" w:firstLineChars="200"/>
        <w:rPr>
          <w:rFonts w:ascii="宋体"/>
          <w:sz w:val="24"/>
          <w:highlight w:val="none"/>
        </w:rPr>
      </w:pPr>
      <w:r>
        <w:rPr>
          <w:rFonts w:ascii="宋体" w:hAnsi="宋体"/>
          <w:sz w:val="24"/>
          <w:highlight w:val="none"/>
        </w:rPr>
        <w:t xml:space="preserve">1.9.3 </w:t>
      </w:r>
      <w:r>
        <w:rPr>
          <w:rFonts w:hint="eastAsia" w:ascii="宋体" w:hAnsi="宋体"/>
          <w:sz w:val="24"/>
          <w:highlight w:val="none"/>
        </w:rPr>
        <w:t>除采购人的原因外，供应商自行负责在踏勘现场中所发生的人员伤亡和财产损失。</w:t>
      </w:r>
    </w:p>
    <w:p>
      <w:pPr>
        <w:spacing w:line="348" w:lineRule="auto"/>
        <w:ind w:firstLine="470" w:firstLineChars="196"/>
        <w:rPr>
          <w:rFonts w:ascii="宋体" w:cs="宋体"/>
          <w:sz w:val="24"/>
          <w:highlight w:val="none"/>
        </w:rPr>
      </w:pPr>
      <w:bookmarkStart w:id="78" w:name="_Toc331665298"/>
      <w:bookmarkStart w:id="79" w:name="_Toc339012136"/>
      <w:bookmarkStart w:id="80" w:name="_Toc339114119"/>
      <w:r>
        <w:rPr>
          <w:rFonts w:ascii="宋体" w:hAnsi="宋体" w:cs="宋体"/>
          <w:sz w:val="24"/>
          <w:highlight w:val="none"/>
        </w:rPr>
        <w:t>1.10</w:t>
      </w:r>
      <w:bookmarkStart w:id="81" w:name="_Toc144974508"/>
      <w:bookmarkStart w:id="82" w:name="_Toc152042316"/>
      <w:bookmarkStart w:id="83" w:name="_Toc152045540"/>
      <w:r>
        <w:rPr>
          <w:rFonts w:ascii="宋体" w:hAnsi="宋体" w:cs="宋体"/>
          <w:sz w:val="24"/>
          <w:highlight w:val="none"/>
        </w:rPr>
        <w:t xml:space="preserve"> </w:t>
      </w:r>
      <w:r>
        <w:rPr>
          <w:rFonts w:hint="eastAsia" w:ascii="宋体" w:hAnsi="宋体" w:cs="宋体"/>
          <w:sz w:val="24"/>
          <w:highlight w:val="none"/>
        </w:rPr>
        <w:t>投标预备会</w:t>
      </w:r>
      <w:bookmarkEnd w:id="78"/>
      <w:bookmarkEnd w:id="79"/>
      <w:bookmarkEnd w:id="80"/>
    </w:p>
    <w:p>
      <w:pPr>
        <w:spacing w:line="348" w:lineRule="auto"/>
        <w:ind w:firstLine="480" w:firstLineChars="200"/>
        <w:rPr>
          <w:rFonts w:ascii="宋体"/>
          <w:sz w:val="24"/>
          <w:highlight w:val="none"/>
        </w:rPr>
      </w:pPr>
      <w:r>
        <w:rPr>
          <w:rFonts w:hint="eastAsia" w:ascii="宋体" w:hAnsi="宋体"/>
          <w:sz w:val="24"/>
          <w:highlight w:val="none"/>
        </w:rPr>
        <w:t>本项目不召开</w:t>
      </w:r>
      <w:bookmarkEnd w:id="81"/>
      <w:bookmarkEnd w:id="82"/>
      <w:bookmarkEnd w:id="83"/>
      <w:r>
        <w:rPr>
          <w:rFonts w:hint="eastAsia" w:ascii="宋体" w:hAnsi="宋体"/>
          <w:sz w:val="24"/>
          <w:highlight w:val="none"/>
        </w:rPr>
        <w:t>投标预备会。供应商如有疑问，请以书面形式在投标须知前附表规定的时间内提交给采购代理机构。</w:t>
      </w:r>
      <w:r>
        <w:rPr>
          <w:rFonts w:ascii="宋体" w:hAnsi="宋体"/>
          <w:sz w:val="24"/>
          <w:highlight w:val="none"/>
        </w:rPr>
        <w:t xml:space="preserve"> </w:t>
      </w:r>
    </w:p>
    <w:p>
      <w:pPr>
        <w:spacing w:line="348" w:lineRule="auto"/>
        <w:ind w:firstLine="470" w:firstLineChars="196"/>
        <w:rPr>
          <w:rFonts w:ascii="宋体" w:cs="宋体"/>
          <w:sz w:val="24"/>
          <w:highlight w:val="none"/>
        </w:rPr>
      </w:pPr>
      <w:bookmarkStart w:id="84" w:name="_Toc339012137"/>
      <w:bookmarkStart w:id="85" w:name="_Toc331665299"/>
      <w:bookmarkStart w:id="86" w:name="_Toc339114120"/>
      <w:r>
        <w:rPr>
          <w:rFonts w:ascii="宋体" w:hAnsi="宋体" w:cs="宋体"/>
          <w:sz w:val="24"/>
          <w:highlight w:val="none"/>
        </w:rPr>
        <w:t>1.1</w:t>
      </w:r>
      <w:bookmarkStart w:id="87" w:name="_Toc152042317"/>
      <w:bookmarkStart w:id="88" w:name="_Toc152045541"/>
      <w:bookmarkStart w:id="89" w:name="_Toc144974509"/>
      <w:r>
        <w:rPr>
          <w:rFonts w:hint="eastAsia" w:ascii="宋体" w:hAnsi="宋体" w:cs="宋体"/>
          <w:sz w:val="24"/>
          <w:highlight w:val="none"/>
          <w:lang w:val="en-US" w:eastAsia="zh-CN"/>
        </w:rPr>
        <w:t>1</w:t>
      </w:r>
      <w:r>
        <w:rPr>
          <w:rFonts w:ascii="宋体" w:hAnsi="宋体" w:cs="宋体"/>
          <w:sz w:val="24"/>
          <w:highlight w:val="none"/>
        </w:rPr>
        <w:t xml:space="preserve"> </w:t>
      </w:r>
      <w:r>
        <w:rPr>
          <w:rFonts w:hint="eastAsia" w:ascii="宋体" w:hAnsi="宋体" w:cs="宋体"/>
          <w:sz w:val="24"/>
          <w:highlight w:val="none"/>
        </w:rPr>
        <w:t>分包</w:t>
      </w:r>
      <w:bookmarkEnd w:id="84"/>
      <w:bookmarkEnd w:id="85"/>
      <w:bookmarkEnd w:id="86"/>
    </w:p>
    <w:bookmarkEnd w:id="87"/>
    <w:bookmarkEnd w:id="88"/>
    <w:bookmarkEnd w:id="89"/>
    <w:p>
      <w:pPr>
        <w:spacing w:line="360" w:lineRule="auto"/>
        <w:ind w:firstLine="480" w:firstLineChars="200"/>
        <w:rPr>
          <w:rFonts w:ascii="宋体"/>
          <w:sz w:val="24"/>
          <w:highlight w:val="none"/>
        </w:rPr>
      </w:pPr>
      <w:r>
        <w:rPr>
          <w:rFonts w:hint="eastAsia" w:ascii="宋体" w:hAnsi="宋体"/>
          <w:sz w:val="24"/>
          <w:highlight w:val="none"/>
        </w:rPr>
        <w:t>本项目不允许分包。</w:t>
      </w:r>
    </w:p>
    <w:p>
      <w:pPr>
        <w:spacing w:line="360" w:lineRule="auto"/>
        <w:ind w:firstLine="470" w:firstLineChars="196"/>
        <w:rPr>
          <w:rFonts w:ascii="宋体" w:cs="宋体"/>
          <w:sz w:val="24"/>
          <w:highlight w:val="none"/>
        </w:rPr>
      </w:pPr>
      <w:bookmarkStart w:id="90" w:name="_Toc339012138"/>
      <w:bookmarkStart w:id="91" w:name="_Toc331665300"/>
      <w:bookmarkStart w:id="92" w:name="_Toc339114121"/>
      <w:r>
        <w:rPr>
          <w:rFonts w:ascii="宋体" w:hAnsi="宋体" w:cs="宋体"/>
          <w:sz w:val="24"/>
          <w:highlight w:val="none"/>
        </w:rPr>
        <w:t>1.1</w:t>
      </w:r>
      <w:r>
        <w:rPr>
          <w:rFonts w:hint="eastAsia" w:ascii="宋体" w:hAnsi="宋体" w:cs="宋体"/>
          <w:sz w:val="24"/>
          <w:highlight w:val="none"/>
          <w:lang w:val="en-US" w:eastAsia="zh-CN"/>
        </w:rPr>
        <w:t>2</w:t>
      </w:r>
      <w:r>
        <w:rPr>
          <w:rFonts w:ascii="宋体" w:hAnsi="宋体" w:cs="宋体"/>
          <w:sz w:val="24"/>
          <w:highlight w:val="none"/>
        </w:rPr>
        <w:t xml:space="preserve"> </w:t>
      </w:r>
      <w:r>
        <w:rPr>
          <w:rFonts w:hint="eastAsia" w:ascii="宋体" w:hAnsi="宋体" w:cs="宋体"/>
          <w:sz w:val="24"/>
          <w:highlight w:val="none"/>
        </w:rPr>
        <w:t>偏离</w:t>
      </w:r>
      <w:bookmarkEnd w:id="90"/>
      <w:bookmarkEnd w:id="91"/>
      <w:bookmarkEnd w:id="92"/>
    </w:p>
    <w:p>
      <w:pPr>
        <w:spacing w:line="360" w:lineRule="auto"/>
        <w:ind w:firstLine="480" w:firstLineChars="200"/>
        <w:rPr>
          <w:rFonts w:ascii="宋体"/>
          <w:sz w:val="24"/>
          <w:highlight w:val="none"/>
        </w:rPr>
      </w:pPr>
      <w:r>
        <w:rPr>
          <w:rFonts w:hint="eastAsia" w:ascii="宋体" w:hAnsi="宋体"/>
          <w:sz w:val="24"/>
          <w:highlight w:val="none"/>
        </w:rPr>
        <w:t>本项目不允许负偏离。</w:t>
      </w:r>
    </w:p>
    <w:p>
      <w:pPr>
        <w:spacing w:line="360" w:lineRule="auto"/>
        <w:rPr>
          <w:rFonts w:ascii="宋体" w:cs="宋体"/>
          <w:b/>
          <w:sz w:val="24"/>
          <w:highlight w:val="none"/>
        </w:rPr>
      </w:pPr>
      <w:bookmarkStart w:id="93" w:name="_Toc339114122"/>
      <w:r>
        <w:rPr>
          <w:rFonts w:ascii="宋体" w:hAnsi="宋体" w:cs="宋体"/>
          <w:b/>
          <w:sz w:val="24"/>
          <w:highlight w:val="none"/>
        </w:rPr>
        <w:t xml:space="preserve">2. </w:t>
      </w:r>
      <w:r>
        <w:rPr>
          <w:rFonts w:hint="eastAsia" w:ascii="宋体" w:hAnsi="宋体" w:cs="宋体"/>
          <w:b/>
          <w:sz w:val="24"/>
          <w:highlight w:val="none"/>
        </w:rPr>
        <w:t>招</w:t>
      </w:r>
      <w:bookmarkStart w:id="94" w:name="_Toc144974510"/>
      <w:bookmarkStart w:id="95" w:name="_Toc152042318"/>
      <w:bookmarkStart w:id="96" w:name="_Toc152045542"/>
      <w:r>
        <w:rPr>
          <w:rFonts w:hint="eastAsia" w:ascii="宋体" w:hAnsi="宋体" w:cs="宋体"/>
          <w:b/>
          <w:sz w:val="24"/>
          <w:highlight w:val="none"/>
        </w:rPr>
        <w:t>标文件</w:t>
      </w:r>
      <w:bookmarkEnd w:id="93"/>
    </w:p>
    <w:p>
      <w:pPr>
        <w:spacing w:line="360" w:lineRule="auto"/>
        <w:ind w:firstLine="470" w:firstLineChars="196"/>
        <w:rPr>
          <w:rFonts w:ascii="宋体" w:cs="宋体"/>
          <w:sz w:val="24"/>
          <w:highlight w:val="none"/>
        </w:rPr>
      </w:pPr>
      <w:bookmarkStart w:id="97" w:name="_Toc331665302"/>
      <w:bookmarkStart w:id="98" w:name="_Toc339114123"/>
      <w:bookmarkStart w:id="99" w:name="_Toc339012140"/>
      <w:r>
        <w:rPr>
          <w:rFonts w:ascii="宋体" w:hAnsi="宋体" w:cs="宋体"/>
          <w:sz w:val="24"/>
          <w:highlight w:val="none"/>
        </w:rPr>
        <w:t>2.1</w:t>
      </w:r>
      <w:bookmarkEnd w:id="94"/>
      <w:bookmarkEnd w:id="95"/>
      <w:bookmarkEnd w:id="96"/>
      <w:r>
        <w:rPr>
          <w:rFonts w:ascii="宋体" w:hAnsi="宋体" w:cs="宋体"/>
          <w:sz w:val="24"/>
          <w:highlight w:val="none"/>
        </w:rPr>
        <w:t xml:space="preserve"> </w:t>
      </w:r>
      <w:bookmarkStart w:id="100" w:name="_Toc152045543"/>
      <w:bookmarkStart w:id="101" w:name="_Toc152042319"/>
      <w:bookmarkStart w:id="102" w:name="_Toc144974511"/>
      <w:r>
        <w:rPr>
          <w:rFonts w:hint="eastAsia" w:ascii="宋体" w:hAnsi="宋体" w:cs="宋体"/>
          <w:sz w:val="24"/>
          <w:highlight w:val="none"/>
        </w:rPr>
        <w:t>招标文件的组成</w:t>
      </w:r>
      <w:bookmarkEnd w:id="97"/>
      <w:bookmarkEnd w:id="98"/>
      <w:bookmarkEnd w:id="99"/>
      <w:bookmarkEnd w:id="100"/>
      <w:bookmarkEnd w:id="101"/>
      <w:bookmarkEnd w:id="102"/>
    </w:p>
    <w:p>
      <w:pPr>
        <w:spacing w:line="360" w:lineRule="auto"/>
        <w:ind w:firstLine="470" w:firstLineChars="196"/>
        <w:rPr>
          <w:rFonts w:ascii="宋体" w:cs="宋体"/>
          <w:sz w:val="24"/>
          <w:highlight w:val="none"/>
        </w:rPr>
      </w:pPr>
      <w:r>
        <w:rPr>
          <w:rFonts w:ascii="宋体" w:hAnsi="宋体"/>
          <w:sz w:val="24"/>
          <w:highlight w:val="none"/>
        </w:rPr>
        <w:t>2.1.1</w:t>
      </w:r>
      <w:r>
        <w:rPr>
          <w:rFonts w:hint="eastAsia" w:ascii="宋体" w:hAnsi="宋体"/>
          <w:sz w:val="24"/>
          <w:highlight w:val="none"/>
        </w:rPr>
        <w:t>招标公告；</w:t>
      </w:r>
    </w:p>
    <w:p>
      <w:pPr>
        <w:spacing w:line="360" w:lineRule="auto"/>
        <w:ind w:firstLine="470" w:firstLineChars="196"/>
        <w:rPr>
          <w:rFonts w:ascii="宋体" w:cs="宋体"/>
          <w:sz w:val="24"/>
          <w:highlight w:val="none"/>
        </w:rPr>
      </w:pPr>
      <w:r>
        <w:rPr>
          <w:rFonts w:ascii="宋体" w:hAnsi="宋体"/>
          <w:sz w:val="24"/>
          <w:highlight w:val="none"/>
        </w:rPr>
        <w:t>2.1.2</w:t>
      </w:r>
      <w:r>
        <w:rPr>
          <w:rFonts w:hint="eastAsia" w:ascii="宋体" w:hAnsi="宋体"/>
          <w:sz w:val="24"/>
          <w:highlight w:val="none"/>
        </w:rPr>
        <w:t>供应商须知；</w:t>
      </w:r>
    </w:p>
    <w:p>
      <w:pPr>
        <w:spacing w:line="360" w:lineRule="auto"/>
        <w:ind w:firstLine="470" w:firstLineChars="196"/>
        <w:rPr>
          <w:rFonts w:ascii="宋体" w:cs="宋体"/>
          <w:sz w:val="24"/>
          <w:highlight w:val="none"/>
        </w:rPr>
      </w:pPr>
      <w:r>
        <w:rPr>
          <w:rFonts w:ascii="宋体" w:hAnsi="宋体"/>
          <w:sz w:val="24"/>
          <w:highlight w:val="none"/>
        </w:rPr>
        <w:t>2.1.3</w:t>
      </w:r>
      <w:r>
        <w:rPr>
          <w:rFonts w:hint="eastAsia" w:ascii="宋体" w:hAnsi="宋体"/>
          <w:sz w:val="24"/>
          <w:highlight w:val="none"/>
        </w:rPr>
        <w:t>评标办法；</w:t>
      </w:r>
    </w:p>
    <w:p>
      <w:pPr>
        <w:spacing w:line="360" w:lineRule="auto"/>
        <w:ind w:firstLine="470" w:firstLineChars="196"/>
        <w:rPr>
          <w:rFonts w:ascii="宋体" w:cs="宋体"/>
          <w:sz w:val="24"/>
          <w:highlight w:val="none"/>
        </w:rPr>
      </w:pPr>
      <w:r>
        <w:rPr>
          <w:rFonts w:ascii="宋体" w:hAnsi="宋体" w:cs="宋体"/>
          <w:sz w:val="24"/>
          <w:highlight w:val="none"/>
        </w:rPr>
        <w:t>2.1.4</w:t>
      </w:r>
      <w:r>
        <w:rPr>
          <w:rFonts w:hint="eastAsia" w:ascii="宋体" w:hAnsi="宋体"/>
          <w:sz w:val="24"/>
          <w:highlight w:val="none"/>
        </w:rPr>
        <w:t>合同条款及格式；</w:t>
      </w:r>
    </w:p>
    <w:p>
      <w:pPr>
        <w:spacing w:line="360" w:lineRule="auto"/>
        <w:ind w:firstLine="470" w:firstLineChars="196"/>
        <w:rPr>
          <w:rFonts w:ascii="宋体" w:cs="宋体"/>
          <w:sz w:val="24"/>
          <w:highlight w:val="none"/>
        </w:rPr>
      </w:pPr>
      <w:r>
        <w:rPr>
          <w:rFonts w:ascii="宋体" w:hAnsi="宋体" w:cs="宋体"/>
          <w:sz w:val="24"/>
          <w:highlight w:val="none"/>
        </w:rPr>
        <w:t>2.1.5</w:t>
      </w:r>
      <w:r>
        <w:rPr>
          <w:rFonts w:hint="eastAsia" w:ascii="宋体" w:hAnsi="宋体"/>
          <w:sz w:val="24"/>
          <w:highlight w:val="none"/>
        </w:rPr>
        <w:t>技术标准和要求；</w:t>
      </w:r>
    </w:p>
    <w:p>
      <w:pPr>
        <w:spacing w:line="360" w:lineRule="auto"/>
        <w:ind w:firstLine="470" w:firstLineChars="196"/>
        <w:rPr>
          <w:rFonts w:ascii="宋体" w:cs="宋体"/>
          <w:sz w:val="24"/>
          <w:highlight w:val="none"/>
        </w:rPr>
      </w:pPr>
      <w:r>
        <w:rPr>
          <w:rFonts w:ascii="宋体" w:hAnsi="宋体" w:cs="宋体"/>
          <w:sz w:val="24"/>
          <w:highlight w:val="none"/>
        </w:rPr>
        <w:t>2.1.6</w:t>
      </w:r>
      <w:r>
        <w:rPr>
          <w:rFonts w:hint="eastAsia" w:ascii="宋体" w:hAnsi="宋体" w:cs="宋体"/>
          <w:sz w:val="24"/>
          <w:highlight w:val="none"/>
        </w:rPr>
        <w:t>商务要求；</w:t>
      </w:r>
    </w:p>
    <w:p>
      <w:pPr>
        <w:spacing w:line="360" w:lineRule="auto"/>
        <w:ind w:firstLine="470" w:firstLineChars="196"/>
        <w:rPr>
          <w:rFonts w:ascii="宋体" w:cs="宋体"/>
          <w:sz w:val="24"/>
          <w:highlight w:val="none"/>
        </w:rPr>
      </w:pPr>
      <w:r>
        <w:rPr>
          <w:rFonts w:ascii="宋体" w:hAnsi="宋体" w:cs="宋体"/>
          <w:sz w:val="24"/>
          <w:highlight w:val="none"/>
        </w:rPr>
        <w:t>2.1.7</w:t>
      </w:r>
      <w:r>
        <w:rPr>
          <w:rFonts w:hint="eastAsia" w:ascii="宋体" w:hAnsi="宋体"/>
          <w:sz w:val="24"/>
          <w:highlight w:val="none"/>
        </w:rPr>
        <w:t>投标文件格式。</w:t>
      </w:r>
    </w:p>
    <w:p>
      <w:pPr>
        <w:spacing w:line="360" w:lineRule="auto"/>
        <w:ind w:firstLine="480" w:firstLineChars="200"/>
        <w:rPr>
          <w:rFonts w:ascii="宋体"/>
          <w:sz w:val="24"/>
          <w:highlight w:val="none"/>
        </w:rPr>
      </w:pPr>
      <w:r>
        <w:rPr>
          <w:rFonts w:hint="eastAsia" w:ascii="宋体" w:hAnsi="宋体"/>
          <w:sz w:val="24"/>
          <w:highlight w:val="none"/>
        </w:rPr>
        <w:t>根据本章第</w:t>
      </w:r>
      <w:r>
        <w:rPr>
          <w:rFonts w:ascii="宋体" w:hAnsi="宋体"/>
          <w:sz w:val="24"/>
          <w:highlight w:val="none"/>
        </w:rPr>
        <w:t>2.2</w:t>
      </w:r>
      <w:r>
        <w:rPr>
          <w:rFonts w:hint="eastAsia" w:ascii="宋体" w:hAnsi="宋体"/>
          <w:sz w:val="24"/>
          <w:highlight w:val="none"/>
        </w:rPr>
        <w:t>款和第</w:t>
      </w:r>
      <w:r>
        <w:rPr>
          <w:rFonts w:ascii="宋体" w:hAnsi="宋体"/>
          <w:sz w:val="24"/>
          <w:highlight w:val="none"/>
        </w:rPr>
        <w:t>2.3</w:t>
      </w:r>
      <w:r>
        <w:rPr>
          <w:rFonts w:hint="eastAsia" w:ascii="宋体" w:hAnsi="宋体"/>
          <w:sz w:val="24"/>
          <w:highlight w:val="none"/>
        </w:rPr>
        <w:t>款对招标文件所作的澄清、修改，构成招标文件的组成部分。</w:t>
      </w:r>
    </w:p>
    <w:p>
      <w:pPr>
        <w:spacing w:line="360" w:lineRule="auto"/>
        <w:ind w:firstLine="470" w:firstLineChars="196"/>
        <w:rPr>
          <w:rFonts w:ascii="宋体" w:cs="宋体"/>
          <w:sz w:val="24"/>
          <w:highlight w:val="none"/>
        </w:rPr>
      </w:pPr>
      <w:bookmarkStart w:id="103" w:name="_Toc339012141"/>
      <w:bookmarkStart w:id="104" w:name="_Toc339114124"/>
      <w:bookmarkStart w:id="105" w:name="_Toc331665303"/>
      <w:r>
        <w:rPr>
          <w:rFonts w:ascii="宋体" w:hAnsi="宋体" w:cs="宋体"/>
          <w:sz w:val="24"/>
          <w:highlight w:val="none"/>
        </w:rPr>
        <w:t xml:space="preserve">2.2 </w:t>
      </w:r>
      <w:bookmarkStart w:id="106" w:name="_Toc144974512"/>
      <w:bookmarkStart w:id="107" w:name="_Toc152045544"/>
      <w:bookmarkStart w:id="108" w:name="_Toc152042320"/>
      <w:r>
        <w:rPr>
          <w:rFonts w:hint="eastAsia" w:ascii="宋体" w:hAnsi="宋体" w:cs="宋体"/>
          <w:sz w:val="24"/>
          <w:highlight w:val="none"/>
        </w:rPr>
        <w:t>招标文件的澄清</w:t>
      </w:r>
      <w:bookmarkEnd w:id="103"/>
      <w:bookmarkEnd w:id="104"/>
      <w:bookmarkEnd w:id="105"/>
    </w:p>
    <w:p>
      <w:pPr>
        <w:spacing w:line="360" w:lineRule="auto"/>
        <w:ind w:firstLine="480" w:firstLineChars="200"/>
        <w:rPr>
          <w:rFonts w:ascii="宋体"/>
          <w:sz w:val="24"/>
          <w:highlight w:val="none"/>
        </w:rPr>
      </w:pPr>
      <w:r>
        <w:rPr>
          <w:rFonts w:ascii="宋体" w:hAnsi="宋体"/>
          <w:sz w:val="24"/>
          <w:highlight w:val="none"/>
        </w:rPr>
        <w:t>2.2</w:t>
      </w:r>
      <w:bookmarkEnd w:id="106"/>
      <w:bookmarkEnd w:id="107"/>
      <w:bookmarkEnd w:id="108"/>
      <w:r>
        <w:rPr>
          <w:rFonts w:ascii="宋体" w:hAnsi="宋体"/>
          <w:sz w:val="24"/>
          <w:highlight w:val="none"/>
        </w:rPr>
        <w:t>.1</w:t>
      </w:r>
      <w:r>
        <w:rPr>
          <w:rFonts w:hint="eastAsia" w:ascii="宋体" w:hAnsi="宋体"/>
          <w:sz w:val="24"/>
          <w:highlight w:val="none"/>
        </w:rPr>
        <w:t>供应商应仔细阅读和检查招标文件的全部内容。如发现缺页或附件不全，应及时向采购人提出，以便补齐。如有疑问，应在供应商须知前附表规定的时间前以书面形式要求采购人对招标文件予以澄清。</w:t>
      </w:r>
    </w:p>
    <w:p>
      <w:pPr>
        <w:spacing w:line="360" w:lineRule="auto"/>
        <w:ind w:firstLine="480" w:firstLineChars="200"/>
        <w:rPr>
          <w:rFonts w:ascii="宋体"/>
          <w:sz w:val="24"/>
          <w:highlight w:val="none"/>
        </w:rPr>
      </w:pPr>
      <w:r>
        <w:rPr>
          <w:rFonts w:ascii="宋体" w:hAnsi="宋体"/>
          <w:sz w:val="24"/>
          <w:highlight w:val="none"/>
        </w:rPr>
        <w:t xml:space="preserve">2.2.2 </w:t>
      </w:r>
      <w:r>
        <w:rPr>
          <w:rFonts w:hint="eastAsia" w:ascii="宋体" w:hAnsi="宋体"/>
          <w:sz w:val="24"/>
          <w:highlight w:val="none"/>
        </w:rPr>
        <w:t>对供应商提出问题的澄清将在供应商须知前附表规定的投标截止时间</w:t>
      </w:r>
      <w:r>
        <w:rPr>
          <w:rFonts w:ascii="宋体" w:hAnsi="宋体"/>
          <w:sz w:val="24"/>
          <w:highlight w:val="none"/>
        </w:rPr>
        <w:t>7</w:t>
      </w:r>
      <w:r>
        <w:rPr>
          <w:rFonts w:hint="eastAsia" w:ascii="宋体" w:hAnsi="宋体"/>
          <w:sz w:val="24"/>
          <w:highlight w:val="none"/>
        </w:rPr>
        <w:t>天前以书面形式发给所有领取招标文件的供应商，但不指明澄清问题的来源。</w:t>
      </w:r>
    </w:p>
    <w:p>
      <w:pPr>
        <w:spacing w:line="360" w:lineRule="auto"/>
        <w:ind w:firstLine="480" w:firstLineChars="200"/>
        <w:rPr>
          <w:rFonts w:ascii="宋体"/>
          <w:sz w:val="24"/>
          <w:highlight w:val="none"/>
        </w:rPr>
      </w:pPr>
      <w:r>
        <w:rPr>
          <w:rFonts w:ascii="宋体" w:hAnsi="宋体"/>
          <w:sz w:val="24"/>
          <w:highlight w:val="none"/>
        </w:rPr>
        <w:t xml:space="preserve">2.2.3 </w:t>
      </w:r>
      <w:r>
        <w:rPr>
          <w:rFonts w:hint="eastAsia" w:ascii="宋体" w:hAnsi="宋体"/>
          <w:sz w:val="24"/>
          <w:highlight w:val="none"/>
        </w:rPr>
        <w:t>供应商在收到澄清后，应在供应商须知前附表规定的时间内以书面形式通知采购人，确认已收到该澄清。</w:t>
      </w:r>
    </w:p>
    <w:p>
      <w:pPr>
        <w:spacing w:line="360" w:lineRule="auto"/>
        <w:ind w:firstLine="470" w:firstLineChars="196"/>
        <w:rPr>
          <w:rFonts w:ascii="宋体" w:cs="宋体"/>
          <w:sz w:val="24"/>
          <w:highlight w:val="none"/>
        </w:rPr>
      </w:pPr>
      <w:bookmarkStart w:id="109" w:name="_Toc339012142"/>
      <w:bookmarkStart w:id="110" w:name="_Toc331665304"/>
      <w:bookmarkStart w:id="111" w:name="_Toc339114125"/>
      <w:r>
        <w:rPr>
          <w:rFonts w:ascii="宋体" w:hAnsi="宋体" w:cs="宋体"/>
          <w:sz w:val="24"/>
          <w:highlight w:val="none"/>
        </w:rPr>
        <w:t xml:space="preserve">2.3 </w:t>
      </w:r>
      <w:bookmarkStart w:id="112" w:name="_Toc152042321"/>
      <w:bookmarkStart w:id="113" w:name="_Toc152045545"/>
      <w:bookmarkStart w:id="114" w:name="_Toc144974513"/>
      <w:r>
        <w:rPr>
          <w:rFonts w:hint="eastAsia" w:ascii="宋体" w:hAnsi="宋体" w:cs="宋体"/>
          <w:sz w:val="24"/>
          <w:highlight w:val="none"/>
        </w:rPr>
        <w:t>招标文件的修改</w:t>
      </w:r>
      <w:bookmarkEnd w:id="109"/>
      <w:bookmarkEnd w:id="110"/>
      <w:bookmarkEnd w:id="111"/>
    </w:p>
    <w:p>
      <w:pPr>
        <w:spacing w:line="360" w:lineRule="auto"/>
        <w:ind w:firstLine="480" w:firstLineChars="200"/>
        <w:rPr>
          <w:rFonts w:ascii="宋体"/>
          <w:sz w:val="24"/>
          <w:highlight w:val="none"/>
        </w:rPr>
      </w:pPr>
      <w:r>
        <w:rPr>
          <w:rFonts w:ascii="宋体" w:hAnsi="宋体"/>
          <w:sz w:val="24"/>
          <w:highlight w:val="none"/>
        </w:rPr>
        <w:t>2.3</w:t>
      </w:r>
      <w:bookmarkEnd w:id="112"/>
      <w:bookmarkEnd w:id="113"/>
      <w:bookmarkEnd w:id="114"/>
      <w:r>
        <w:rPr>
          <w:rFonts w:ascii="宋体" w:hAnsi="宋体"/>
          <w:sz w:val="24"/>
          <w:highlight w:val="none"/>
        </w:rPr>
        <w:t xml:space="preserve">.1 </w:t>
      </w:r>
      <w:r>
        <w:rPr>
          <w:rFonts w:hint="eastAsia" w:ascii="宋体" w:hAnsi="宋体"/>
          <w:sz w:val="24"/>
          <w:highlight w:val="none"/>
        </w:rPr>
        <w:t>在投标截止时间</w:t>
      </w:r>
      <w:r>
        <w:rPr>
          <w:rFonts w:ascii="宋体" w:hAnsi="宋体"/>
          <w:sz w:val="24"/>
          <w:highlight w:val="none"/>
        </w:rPr>
        <w:t>15</w:t>
      </w:r>
      <w:r>
        <w:rPr>
          <w:rFonts w:hint="eastAsia" w:ascii="宋体" w:hAnsi="宋体"/>
          <w:sz w:val="24"/>
          <w:highlight w:val="none"/>
        </w:rPr>
        <w:t>天前，采购人可以书面形式修改招标文件，并通知所有已领取招标文件的供应商。如果修改招标文件的时间距投标截止时间不足</w:t>
      </w:r>
      <w:r>
        <w:rPr>
          <w:rFonts w:ascii="宋体" w:hAnsi="宋体"/>
          <w:sz w:val="24"/>
          <w:highlight w:val="none"/>
        </w:rPr>
        <w:t>15</w:t>
      </w:r>
      <w:r>
        <w:rPr>
          <w:rFonts w:hint="eastAsia" w:ascii="宋体" w:hAnsi="宋体"/>
          <w:sz w:val="24"/>
          <w:highlight w:val="none"/>
        </w:rPr>
        <w:t>天，相应延长投标截止时间。</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 xml:space="preserve">2.3.2 </w:t>
      </w:r>
      <w:r>
        <w:rPr>
          <w:rFonts w:hint="eastAsia" w:ascii="宋体" w:hAnsi="宋体"/>
          <w:sz w:val="24"/>
          <w:highlight w:val="none"/>
        </w:rPr>
        <w:t>供应商收到修改内容后，应在供应商须知前附表规定的时间内以书面形式通知采购人，确认已收到该修改。</w:t>
      </w:r>
    </w:p>
    <w:p>
      <w:pPr>
        <w:spacing w:line="360" w:lineRule="auto"/>
        <w:rPr>
          <w:rFonts w:ascii="宋体" w:cs="宋体"/>
          <w:b/>
          <w:sz w:val="24"/>
          <w:highlight w:val="none"/>
        </w:rPr>
      </w:pPr>
      <w:bookmarkStart w:id="115" w:name="_Toc339114126"/>
      <w:r>
        <w:rPr>
          <w:rFonts w:ascii="宋体" w:hAnsi="宋体" w:cs="宋体"/>
          <w:b/>
          <w:sz w:val="24"/>
          <w:highlight w:val="none"/>
        </w:rPr>
        <w:t xml:space="preserve">3. </w:t>
      </w:r>
      <w:r>
        <w:rPr>
          <w:rFonts w:hint="eastAsia" w:ascii="宋体" w:hAnsi="宋体" w:cs="宋体"/>
          <w:b/>
          <w:sz w:val="24"/>
          <w:highlight w:val="none"/>
        </w:rPr>
        <w:t>投</w:t>
      </w:r>
      <w:bookmarkStart w:id="116" w:name="_Toc152042322"/>
      <w:bookmarkStart w:id="117" w:name="_Toc144974514"/>
      <w:bookmarkStart w:id="118" w:name="_Toc152045546"/>
      <w:r>
        <w:rPr>
          <w:rFonts w:hint="eastAsia" w:ascii="宋体" w:hAnsi="宋体" w:cs="宋体"/>
          <w:b/>
          <w:sz w:val="24"/>
          <w:highlight w:val="none"/>
        </w:rPr>
        <w:t>标文件</w:t>
      </w:r>
      <w:bookmarkEnd w:id="115"/>
    </w:p>
    <w:p>
      <w:pPr>
        <w:spacing w:line="360" w:lineRule="auto"/>
        <w:ind w:firstLine="470" w:firstLineChars="196"/>
        <w:rPr>
          <w:rFonts w:ascii="宋体" w:cs="宋体"/>
          <w:sz w:val="24"/>
          <w:highlight w:val="none"/>
        </w:rPr>
      </w:pPr>
      <w:bookmarkStart w:id="119" w:name="_Toc339114127"/>
      <w:bookmarkStart w:id="120" w:name="_Toc331665306"/>
      <w:bookmarkStart w:id="121" w:name="_Toc339012144"/>
      <w:r>
        <w:rPr>
          <w:rFonts w:ascii="宋体" w:hAnsi="宋体" w:cs="宋体"/>
          <w:sz w:val="24"/>
          <w:highlight w:val="none"/>
        </w:rPr>
        <w:t>3.1</w:t>
      </w:r>
      <w:bookmarkEnd w:id="116"/>
      <w:bookmarkEnd w:id="117"/>
      <w:bookmarkEnd w:id="118"/>
      <w:r>
        <w:rPr>
          <w:rFonts w:ascii="宋体" w:hAnsi="宋体" w:cs="宋体"/>
          <w:sz w:val="24"/>
          <w:highlight w:val="none"/>
        </w:rPr>
        <w:t xml:space="preserve"> </w:t>
      </w:r>
      <w:bookmarkStart w:id="122" w:name="_Toc144974515"/>
      <w:bookmarkStart w:id="123" w:name="_Toc152045547"/>
      <w:bookmarkStart w:id="124" w:name="_Toc152042323"/>
      <w:r>
        <w:rPr>
          <w:rFonts w:hint="eastAsia" w:ascii="宋体" w:hAnsi="宋体" w:cs="宋体"/>
          <w:sz w:val="24"/>
          <w:highlight w:val="none"/>
        </w:rPr>
        <w:t>投标文件的组成</w:t>
      </w:r>
      <w:bookmarkEnd w:id="119"/>
      <w:bookmarkEnd w:id="120"/>
      <w:bookmarkEnd w:id="121"/>
    </w:p>
    <w:p>
      <w:pPr>
        <w:spacing w:line="360" w:lineRule="auto"/>
        <w:ind w:firstLine="470" w:firstLineChars="196"/>
        <w:rPr>
          <w:rFonts w:ascii="宋体"/>
          <w:sz w:val="24"/>
          <w:highlight w:val="none"/>
        </w:rPr>
      </w:pPr>
      <w:r>
        <w:rPr>
          <w:rFonts w:ascii="宋体" w:hAnsi="宋体"/>
          <w:sz w:val="24"/>
          <w:highlight w:val="none"/>
        </w:rPr>
        <w:t>3</w:t>
      </w:r>
      <w:bookmarkEnd w:id="122"/>
      <w:bookmarkEnd w:id="123"/>
      <w:bookmarkEnd w:id="124"/>
      <w:r>
        <w:rPr>
          <w:rFonts w:ascii="宋体" w:hAnsi="宋体"/>
          <w:sz w:val="24"/>
          <w:highlight w:val="none"/>
        </w:rPr>
        <w:t>.1.1</w:t>
      </w:r>
      <w:r>
        <w:rPr>
          <w:rFonts w:hint="eastAsia" w:ascii="宋体" w:hAnsi="宋体"/>
          <w:sz w:val="24"/>
          <w:highlight w:val="none"/>
        </w:rPr>
        <w:t>投标文件应包括但不限于下列内容：</w:t>
      </w:r>
    </w:p>
    <w:p>
      <w:pPr>
        <w:spacing w:line="360" w:lineRule="auto"/>
        <w:ind w:firstLine="470" w:firstLineChars="196"/>
        <w:rPr>
          <w:rFonts w:ascii="宋体" w:cs="宋体"/>
          <w:b/>
          <w:sz w:val="24"/>
          <w:highlight w:val="none"/>
        </w:rPr>
      </w:pPr>
      <w:r>
        <w:rPr>
          <w:rFonts w:ascii="宋体" w:hAnsi="宋体"/>
          <w:sz w:val="24"/>
          <w:highlight w:val="none"/>
        </w:rPr>
        <w:t>3.1.1.1</w:t>
      </w:r>
      <w:r>
        <w:rPr>
          <w:rFonts w:hint="eastAsia" w:ascii="宋体" w:hAnsi="宋体"/>
          <w:sz w:val="24"/>
          <w:highlight w:val="none"/>
        </w:rPr>
        <w:t>投标函；</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3.1.1.2</w:t>
      </w:r>
      <w:r>
        <w:rPr>
          <w:rFonts w:hint="eastAsia" w:ascii="宋体" w:hAnsi="宋体"/>
          <w:sz w:val="24"/>
          <w:highlight w:val="none"/>
        </w:rPr>
        <w:t>投标一览表（唱标报告）；</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3.1.1.3</w:t>
      </w:r>
      <w:r>
        <w:rPr>
          <w:rFonts w:hint="eastAsia" w:ascii="宋体" w:hAnsi="宋体"/>
          <w:sz w:val="24"/>
          <w:highlight w:val="none"/>
        </w:rPr>
        <w:t>法定代表人授权书；</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3.1.1.4</w:t>
      </w:r>
      <w:r>
        <w:rPr>
          <w:rFonts w:hint="eastAsia" w:ascii="宋体" w:hAnsi="宋体"/>
          <w:sz w:val="24"/>
          <w:highlight w:val="none"/>
        </w:rPr>
        <w:t>商务响应及相关证明；</w:t>
      </w:r>
    </w:p>
    <w:p>
      <w:pPr>
        <w:spacing w:line="360" w:lineRule="auto"/>
        <w:ind w:firstLine="470" w:firstLineChars="196"/>
        <w:rPr>
          <w:rFonts w:ascii="宋体" w:cs="宋体"/>
          <w:b/>
          <w:sz w:val="24"/>
          <w:highlight w:val="none"/>
        </w:rPr>
      </w:pPr>
      <w:r>
        <w:rPr>
          <w:rFonts w:ascii="宋体" w:hAnsi="宋体"/>
          <w:sz w:val="24"/>
          <w:highlight w:val="none"/>
        </w:rPr>
        <w:t>3.1.1.5</w:t>
      </w:r>
      <w:r>
        <w:rPr>
          <w:rFonts w:hint="eastAsia" w:ascii="宋体" w:hAnsi="宋体"/>
          <w:sz w:val="24"/>
          <w:highlight w:val="none"/>
        </w:rPr>
        <w:t>技术响应；</w:t>
      </w:r>
      <w:r>
        <w:rPr>
          <w:rFonts w:ascii="宋体" w:hAnsi="宋体"/>
          <w:sz w:val="24"/>
          <w:highlight w:val="none"/>
        </w:rPr>
        <w:t xml:space="preserve">           </w:t>
      </w:r>
    </w:p>
    <w:p>
      <w:pPr>
        <w:spacing w:line="360" w:lineRule="auto"/>
        <w:ind w:firstLine="470" w:firstLineChars="196"/>
        <w:rPr>
          <w:rFonts w:ascii="宋体" w:cs="宋体"/>
          <w:b/>
          <w:sz w:val="24"/>
          <w:highlight w:val="none"/>
        </w:rPr>
      </w:pPr>
      <w:r>
        <w:rPr>
          <w:rFonts w:ascii="宋体" w:hAnsi="宋体"/>
          <w:sz w:val="24"/>
          <w:highlight w:val="none"/>
        </w:rPr>
        <w:t>3.1.1.6</w:t>
      </w:r>
      <w:r>
        <w:rPr>
          <w:rFonts w:hint="eastAsia" w:ascii="宋体" w:hAnsi="宋体"/>
          <w:sz w:val="24"/>
          <w:highlight w:val="none"/>
        </w:rPr>
        <w:t>采购供应商拒绝政府采购领域商业贿赂承诺书。</w:t>
      </w:r>
    </w:p>
    <w:p>
      <w:pPr>
        <w:spacing w:line="360" w:lineRule="auto"/>
        <w:ind w:firstLine="470" w:firstLineChars="196"/>
        <w:rPr>
          <w:rFonts w:ascii="宋体" w:cs="宋体"/>
          <w:sz w:val="24"/>
          <w:highlight w:val="none"/>
        </w:rPr>
      </w:pPr>
      <w:bookmarkStart w:id="125" w:name="_Toc339114128"/>
      <w:bookmarkStart w:id="126" w:name="_Toc331665307"/>
      <w:bookmarkStart w:id="127" w:name="_Toc339012145"/>
      <w:r>
        <w:rPr>
          <w:rFonts w:ascii="宋体" w:hAnsi="宋体" w:cs="宋体"/>
          <w:sz w:val="24"/>
          <w:highlight w:val="none"/>
        </w:rPr>
        <w:t xml:space="preserve">3.2 </w:t>
      </w:r>
      <w:bookmarkStart w:id="128" w:name="_Toc152042324"/>
      <w:bookmarkStart w:id="129" w:name="_Toc152045548"/>
      <w:bookmarkStart w:id="130" w:name="_Toc144974516"/>
      <w:r>
        <w:rPr>
          <w:rFonts w:hint="eastAsia" w:ascii="宋体" w:hAnsi="宋体" w:cs="宋体"/>
          <w:sz w:val="24"/>
          <w:highlight w:val="none"/>
        </w:rPr>
        <w:t>投标报价</w:t>
      </w:r>
      <w:bookmarkEnd w:id="125"/>
      <w:bookmarkEnd w:id="126"/>
      <w:bookmarkEnd w:id="127"/>
    </w:p>
    <w:bookmarkEnd w:id="128"/>
    <w:bookmarkEnd w:id="129"/>
    <w:bookmarkEnd w:id="130"/>
    <w:p>
      <w:pPr>
        <w:spacing w:line="360" w:lineRule="auto"/>
        <w:ind w:firstLine="480" w:firstLineChars="200"/>
        <w:rPr>
          <w:rFonts w:ascii="宋体" w:cs="宋体"/>
          <w:color w:val="333333"/>
          <w:kern w:val="0"/>
          <w:sz w:val="24"/>
          <w:highlight w:val="none"/>
        </w:rPr>
      </w:pPr>
      <w:r>
        <w:rPr>
          <w:rFonts w:hint="eastAsia" w:ascii="宋体" w:hAnsi="宋体"/>
          <w:b/>
          <w:bCs/>
          <w:color w:val="000000" w:themeColor="text1"/>
          <w:sz w:val="24"/>
          <w:highlight w:val="none"/>
          <w:u w:val="single"/>
          <w14:textFill>
            <w14:solidFill>
              <w14:schemeClr w14:val="tx1"/>
            </w14:solidFill>
          </w14:textFill>
        </w:rPr>
        <w:t>报价内容包括负责集体土地建筑物拆除、地面破碎、垃圾清运、苗木清表工作相关的一切费用</w:t>
      </w:r>
      <w:r>
        <w:rPr>
          <w:rFonts w:hint="eastAsia" w:ascii="宋体" w:hAnsi="宋体" w:cs="宋体"/>
          <w:b/>
          <w:bCs/>
          <w:color w:val="000000" w:themeColor="text1"/>
          <w:kern w:val="0"/>
          <w:sz w:val="24"/>
          <w:highlight w:val="none"/>
          <w:u w:val="single"/>
          <w14:textFill>
            <w14:solidFill>
              <w14:schemeClr w14:val="tx1"/>
            </w14:solidFill>
          </w14:textFill>
        </w:rPr>
        <w:t>。</w:t>
      </w:r>
      <w:r>
        <w:rPr>
          <w:rFonts w:hint="eastAsia" w:ascii="宋体" w:hAnsi="宋体"/>
          <w:b/>
          <w:bCs/>
          <w:color w:val="000000" w:themeColor="text1"/>
          <w:sz w:val="24"/>
          <w:highlight w:val="none"/>
          <w:u w:val="single"/>
          <w14:textFill>
            <w14:solidFill>
              <w14:schemeClr w14:val="tx1"/>
            </w14:solidFill>
          </w14:textFill>
        </w:rPr>
        <w:t>供应商报价应根据企业自身实际情况，并结合项目所在地市场行情按工程量和招标文件限价要求自主报单价和总价，结算时以中标单价为依据，乘以实际评估报告工程量据实结算。本项目投标报价采用的币种为人民币。</w:t>
      </w:r>
      <w:r>
        <w:rPr>
          <w:rFonts w:hint="eastAsia" w:ascii="宋体" w:hAnsi="宋体"/>
          <w:b/>
          <w:sz w:val="24"/>
          <w:highlight w:val="none"/>
        </w:rPr>
        <w:t>凡因供应商对招标文件阅读不深、理解不透、误解、疏漏、或因市场行情了解不清造成的后果和风险均由供应商自负。</w:t>
      </w:r>
      <w:r>
        <w:rPr>
          <w:rFonts w:hint="eastAsia" w:ascii="宋体" w:hAnsi="宋体"/>
          <w:sz w:val="24"/>
          <w:highlight w:val="none"/>
        </w:rPr>
        <w:t>　　</w:t>
      </w:r>
    </w:p>
    <w:p>
      <w:pPr>
        <w:spacing w:line="360" w:lineRule="auto"/>
        <w:ind w:firstLine="470" w:firstLineChars="196"/>
        <w:rPr>
          <w:rFonts w:ascii="宋体" w:cs="宋体"/>
          <w:sz w:val="24"/>
          <w:highlight w:val="none"/>
        </w:rPr>
      </w:pPr>
      <w:bookmarkStart w:id="131" w:name="_Toc339114129"/>
      <w:bookmarkStart w:id="132" w:name="_Toc331665308"/>
      <w:bookmarkStart w:id="133" w:name="_Toc339012146"/>
      <w:r>
        <w:rPr>
          <w:rFonts w:ascii="宋体" w:hAnsi="宋体" w:cs="宋体"/>
          <w:sz w:val="24"/>
          <w:highlight w:val="none"/>
        </w:rPr>
        <w:t xml:space="preserve">3.3 </w:t>
      </w:r>
      <w:bookmarkStart w:id="134" w:name="_Toc144974517"/>
      <w:bookmarkStart w:id="135" w:name="_Toc152045549"/>
      <w:bookmarkStart w:id="136" w:name="_Toc152042325"/>
      <w:r>
        <w:rPr>
          <w:rFonts w:hint="eastAsia" w:ascii="宋体" w:hAnsi="宋体" w:cs="宋体"/>
          <w:sz w:val="24"/>
          <w:highlight w:val="none"/>
        </w:rPr>
        <w:t>投标有效期</w:t>
      </w:r>
      <w:bookmarkEnd w:id="131"/>
      <w:bookmarkEnd w:id="132"/>
      <w:bookmarkEnd w:id="133"/>
    </w:p>
    <w:p>
      <w:pPr>
        <w:spacing w:line="360" w:lineRule="auto"/>
        <w:ind w:firstLine="480" w:firstLineChars="200"/>
        <w:rPr>
          <w:rFonts w:ascii="宋体"/>
          <w:sz w:val="24"/>
          <w:highlight w:val="none"/>
        </w:rPr>
      </w:pPr>
      <w:r>
        <w:rPr>
          <w:rFonts w:ascii="宋体" w:hAnsi="宋体"/>
          <w:sz w:val="24"/>
          <w:highlight w:val="none"/>
        </w:rPr>
        <w:t>3.3</w:t>
      </w:r>
      <w:bookmarkEnd w:id="134"/>
      <w:bookmarkEnd w:id="135"/>
      <w:bookmarkEnd w:id="136"/>
      <w:r>
        <w:rPr>
          <w:rFonts w:ascii="宋体" w:hAnsi="宋体"/>
          <w:sz w:val="24"/>
          <w:highlight w:val="none"/>
        </w:rPr>
        <w:t xml:space="preserve">.1 </w:t>
      </w:r>
      <w:r>
        <w:rPr>
          <w:rFonts w:hint="eastAsia" w:ascii="宋体" w:hAnsi="宋体"/>
          <w:sz w:val="24"/>
          <w:highlight w:val="none"/>
        </w:rPr>
        <w:t>本项目投标有效期</w:t>
      </w:r>
      <w:r>
        <w:rPr>
          <w:rFonts w:ascii="宋体" w:hAnsi="宋体"/>
          <w:sz w:val="24"/>
          <w:highlight w:val="none"/>
        </w:rPr>
        <w:t>90</w:t>
      </w:r>
      <w:r>
        <w:rPr>
          <w:rFonts w:hint="eastAsia" w:ascii="宋体" w:hAnsi="宋体"/>
          <w:sz w:val="24"/>
          <w:highlight w:val="none"/>
        </w:rPr>
        <w:t>日历天，在供应商须知前附表规定的投标有效期内，供应商不得要求撤销或修改其投标文件。</w:t>
      </w:r>
    </w:p>
    <w:p>
      <w:pPr>
        <w:spacing w:line="360" w:lineRule="auto"/>
        <w:ind w:firstLine="480" w:firstLineChars="200"/>
        <w:rPr>
          <w:rFonts w:ascii="宋体"/>
          <w:sz w:val="24"/>
          <w:highlight w:val="none"/>
        </w:rPr>
      </w:pPr>
      <w:r>
        <w:rPr>
          <w:rFonts w:ascii="宋体" w:hAnsi="宋体"/>
          <w:sz w:val="24"/>
          <w:highlight w:val="none"/>
        </w:rPr>
        <w:t>3.3.2</w:t>
      </w:r>
      <w:r>
        <w:rPr>
          <w:rFonts w:hint="eastAsia" w:ascii="宋体" w:hAnsi="宋体"/>
          <w:sz w:val="24"/>
          <w:highlight w:val="none"/>
        </w:rPr>
        <w:t>出现特殊情况需要延长投标有效期的，采购人以书面形式通知所有供应商延长投标有效期。供应商同意延长的，应相应延长其投标有效期，但不得要求或被允许修改或撤销其投标文件；供应商拒绝延长的，其投标失效。</w:t>
      </w:r>
      <w:r>
        <w:rPr>
          <w:rFonts w:ascii="宋体" w:hAnsi="宋体"/>
          <w:sz w:val="24"/>
          <w:highlight w:val="none"/>
        </w:rPr>
        <w:t xml:space="preserve"> </w:t>
      </w:r>
    </w:p>
    <w:p>
      <w:pPr>
        <w:spacing w:line="360" w:lineRule="auto"/>
        <w:ind w:firstLine="470" w:firstLineChars="196"/>
        <w:rPr>
          <w:rFonts w:ascii="宋体" w:cs="宋体"/>
          <w:sz w:val="24"/>
          <w:highlight w:val="none"/>
        </w:rPr>
      </w:pPr>
      <w:bookmarkStart w:id="137" w:name="_Toc339012148"/>
      <w:bookmarkStart w:id="138" w:name="_Toc339114131"/>
      <w:bookmarkStart w:id="139" w:name="_Toc331665310"/>
      <w:r>
        <w:rPr>
          <w:rFonts w:ascii="宋体" w:hAnsi="宋体" w:cs="宋体"/>
          <w:sz w:val="24"/>
          <w:highlight w:val="none"/>
        </w:rPr>
        <w:t>3.</w:t>
      </w:r>
      <w:bookmarkStart w:id="140" w:name="_Toc152045551"/>
      <w:bookmarkStart w:id="141" w:name="_Toc152042327"/>
      <w:bookmarkStart w:id="142" w:name="_Toc144974519"/>
      <w:r>
        <w:rPr>
          <w:rFonts w:hint="eastAsia" w:ascii="宋体" w:hAnsi="宋体" w:cs="宋体"/>
          <w:sz w:val="24"/>
          <w:highlight w:val="none"/>
        </w:rPr>
        <w:t>4资格审查资料</w:t>
      </w:r>
      <w:bookmarkEnd w:id="137"/>
      <w:bookmarkEnd w:id="138"/>
      <w:bookmarkEnd w:id="139"/>
    </w:p>
    <w:p>
      <w:pPr>
        <w:spacing w:line="360" w:lineRule="auto"/>
        <w:ind w:firstLine="480" w:firstLineChars="200"/>
        <w:rPr>
          <w:rFonts w:ascii="宋体"/>
          <w:sz w:val="24"/>
          <w:highlight w:val="none"/>
        </w:rPr>
      </w:pPr>
      <w:r>
        <w:rPr>
          <w:rFonts w:hint="eastAsia" w:ascii="宋体" w:hAnsi="宋体"/>
          <w:sz w:val="24"/>
          <w:highlight w:val="none"/>
        </w:rPr>
        <w:t>供应商</w:t>
      </w:r>
      <w:bookmarkEnd w:id="140"/>
      <w:bookmarkEnd w:id="141"/>
      <w:bookmarkEnd w:id="142"/>
      <w:r>
        <w:rPr>
          <w:rFonts w:hint="eastAsia" w:ascii="宋体" w:hAnsi="宋体"/>
          <w:sz w:val="24"/>
          <w:highlight w:val="none"/>
        </w:rPr>
        <w:t>在编制投标文件时，应按新情况更新企业的资料，以证实其各项资格条件能满足招标文件的要求，具备承担本项目管理的资质条件和能力。</w:t>
      </w:r>
    </w:p>
    <w:p>
      <w:pPr>
        <w:spacing w:line="360" w:lineRule="auto"/>
        <w:ind w:firstLine="470" w:firstLineChars="196"/>
        <w:rPr>
          <w:rFonts w:ascii="宋体" w:cs="宋体"/>
          <w:sz w:val="24"/>
          <w:highlight w:val="none"/>
        </w:rPr>
      </w:pPr>
      <w:bookmarkStart w:id="143" w:name="_Toc331665311"/>
      <w:bookmarkStart w:id="144" w:name="_Toc339114132"/>
      <w:bookmarkStart w:id="145" w:name="_Toc339012149"/>
      <w:r>
        <w:rPr>
          <w:rFonts w:ascii="宋体" w:hAnsi="宋体" w:cs="宋体"/>
          <w:sz w:val="24"/>
          <w:highlight w:val="none"/>
        </w:rPr>
        <w:t>3.</w:t>
      </w:r>
      <w:r>
        <w:rPr>
          <w:rFonts w:hint="eastAsia" w:ascii="宋体" w:hAnsi="宋体" w:cs="宋体"/>
          <w:sz w:val="24"/>
          <w:highlight w:val="none"/>
        </w:rPr>
        <w:t>5</w:t>
      </w:r>
      <w:r>
        <w:rPr>
          <w:rFonts w:ascii="宋体" w:hAnsi="宋体" w:cs="宋体"/>
          <w:sz w:val="24"/>
          <w:highlight w:val="none"/>
        </w:rPr>
        <w:t xml:space="preserve"> </w:t>
      </w:r>
      <w:bookmarkStart w:id="146" w:name="_Toc152042329"/>
      <w:bookmarkStart w:id="147" w:name="_Toc152045553"/>
      <w:bookmarkStart w:id="148" w:name="_Toc144974521"/>
      <w:r>
        <w:rPr>
          <w:rFonts w:hint="eastAsia" w:ascii="宋体" w:hAnsi="宋体" w:cs="宋体"/>
          <w:sz w:val="24"/>
          <w:highlight w:val="none"/>
        </w:rPr>
        <w:t>备选投标方案</w:t>
      </w:r>
      <w:bookmarkEnd w:id="143"/>
      <w:bookmarkEnd w:id="144"/>
      <w:bookmarkEnd w:id="145"/>
    </w:p>
    <w:p>
      <w:pPr>
        <w:spacing w:line="360" w:lineRule="auto"/>
        <w:ind w:firstLine="480" w:firstLineChars="200"/>
        <w:rPr>
          <w:rFonts w:ascii="宋体"/>
          <w:sz w:val="24"/>
          <w:highlight w:val="none"/>
        </w:rPr>
      </w:pPr>
      <w:r>
        <w:rPr>
          <w:rFonts w:hint="eastAsia" w:ascii="宋体" w:hAnsi="宋体"/>
          <w:sz w:val="24"/>
          <w:highlight w:val="none"/>
        </w:rPr>
        <w:t>除</w:t>
      </w:r>
      <w:bookmarkEnd w:id="146"/>
      <w:bookmarkEnd w:id="147"/>
      <w:bookmarkEnd w:id="148"/>
      <w:r>
        <w:rPr>
          <w:rFonts w:hint="eastAsia" w:ascii="宋体" w:hAnsi="宋体"/>
          <w:sz w:val="24"/>
          <w:highlight w:val="none"/>
        </w:rPr>
        <w:t>供应商须知前附表另有规定外，供应商不得递交备选投标方案。</w:t>
      </w:r>
    </w:p>
    <w:p>
      <w:pPr>
        <w:spacing w:line="360" w:lineRule="auto"/>
        <w:ind w:firstLine="470" w:firstLineChars="196"/>
        <w:rPr>
          <w:rFonts w:ascii="宋体" w:cs="宋体"/>
          <w:sz w:val="24"/>
          <w:highlight w:val="none"/>
        </w:rPr>
      </w:pPr>
      <w:bookmarkStart w:id="149" w:name="_Toc339012150"/>
      <w:bookmarkStart w:id="150" w:name="_Toc331665312"/>
      <w:bookmarkStart w:id="151" w:name="_Toc339114133"/>
      <w:r>
        <w:rPr>
          <w:rFonts w:ascii="宋体" w:hAnsi="宋体" w:cs="宋体"/>
          <w:sz w:val="24"/>
          <w:highlight w:val="none"/>
        </w:rPr>
        <w:t>3.</w:t>
      </w:r>
      <w:r>
        <w:rPr>
          <w:rFonts w:hint="eastAsia" w:ascii="宋体" w:hAnsi="宋体" w:cs="宋体"/>
          <w:sz w:val="24"/>
          <w:highlight w:val="none"/>
        </w:rPr>
        <w:t>6</w:t>
      </w:r>
      <w:r>
        <w:rPr>
          <w:rFonts w:ascii="宋体" w:hAnsi="宋体" w:cs="宋体"/>
          <w:sz w:val="24"/>
          <w:highlight w:val="none"/>
        </w:rPr>
        <w:t xml:space="preserve"> </w:t>
      </w:r>
      <w:bookmarkStart w:id="152" w:name="_Toc152042330"/>
      <w:bookmarkStart w:id="153" w:name="_Toc152045554"/>
      <w:bookmarkStart w:id="154" w:name="_Toc144974522"/>
      <w:r>
        <w:rPr>
          <w:rFonts w:hint="eastAsia" w:ascii="宋体" w:hAnsi="宋体" w:cs="宋体"/>
          <w:sz w:val="24"/>
          <w:highlight w:val="none"/>
        </w:rPr>
        <w:t>投标文件的编制</w:t>
      </w:r>
      <w:bookmarkEnd w:id="149"/>
      <w:bookmarkEnd w:id="150"/>
      <w:bookmarkEnd w:id="151"/>
    </w:p>
    <w:p>
      <w:pPr>
        <w:spacing w:line="360" w:lineRule="auto"/>
        <w:ind w:firstLine="480" w:firstLineChars="200"/>
        <w:rPr>
          <w:rFonts w:ascii="宋体"/>
          <w:sz w:val="24"/>
          <w:highlight w:val="none"/>
        </w:rPr>
      </w:pPr>
      <w:r>
        <w:rPr>
          <w:rFonts w:ascii="宋体" w:hAnsi="宋体"/>
          <w:sz w:val="24"/>
          <w:highlight w:val="none"/>
        </w:rPr>
        <w:t>3.</w:t>
      </w:r>
      <w:bookmarkEnd w:id="152"/>
      <w:bookmarkEnd w:id="153"/>
      <w:bookmarkEnd w:id="154"/>
      <w:r>
        <w:rPr>
          <w:rFonts w:hint="eastAsia" w:ascii="宋体" w:hAnsi="宋体"/>
          <w:sz w:val="24"/>
          <w:highlight w:val="none"/>
        </w:rPr>
        <w:t>6</w:t>
      </w:r>
      <w:r>
        <w:rPr>
          <w:rFonts w:ascii="宋体" w:hAnsi="宋体"/>
          <w:sz w:val="24"/>
          <w:highlight w:val="none"/>
        </w:rPr>
        <w:t>.1</w:t>
      </w:r>
      <w:r>
        <w:rPr>
          <w:rFonts w:hint="eastAsia" w:ascii="宋体" w:hAnsi="宋体"/>
          <w:sz w:val="24"/>
          <w:highlight w:val="none"/>
        </w:rPr>
        <w:t>投标文件应按第八章“投标文件格式”进行编写，如有必要，可以增加附页，作为投标文件的组成部分。其中，投标函附录在满足招标文件实质性要求的基础上，可以提出比招标文件要求更有利于采购人的承诺。</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6</w:t>
      </w:r>
      <w:r>
        <w:rPr>
          <w:rFonts w:ascii="宋体" w:hAnsi="宋体"/>
          <w:sz w:val="24"/>
          <w:highlight w:val="none"/>
        </w:rPr>
        <w:t xml:space="preserve">.2 </w:t>
      </w:r>
      <w:r>
        <w:rPr>
          <w:rFonts w:hint="eastAsia" w:ascii="宋体" w:hAnsi="宋体"/>
          <w:sz w:val="24"/>
          <w:highlight w:val="none"/>
        </w:rPr>
        <w:t>投标文件应当对招标文件有关合同期限、投标有效期、工作内容和要求等实质性内容作出响应。</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6</w:t>
      </w:r>
      <w:r>
        <w:rPr>
          <w:rFonts w:ascii="宋体" w:hAnsi="宋体"/>
          <w:sz w:val="24"/>
          <w:highlight w:val="none"/>
        </w:rPr>
        <w:t>.3</w:t>
      </w:r>
      <w:r>
        <w:rPr>
          <w:rFonts w:hint="eastAsia" w:ascii="宋体" w:hAnsi="宋体"/>
          <w:sz w:val="24"/>
          <w:highlight w:val="none"/>
        </w:rPr>
        <w:t>投标文件应用不褪色的材料书写或打印，并由供应商的法定代表人或其委托代理人签字或盖单位章。委托代理人签字的，投标文件应附法定代表人签署的授权委托书。投标文件应尽量避免涂改、行间插字或删除。如果出现上述情况，改动之处应加盖单位章或由供应商的法定代表人或其授权的代理人签字确认。签字或盖章的具体要求见供应商须知前附表。</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6</w:t>
      </w:r>
      <w:r>
        <w:rPr>
          <w:rFonts w:ascii="宋体" w:hAnsi="宋体"/>
          <w:sz w:val="24"/>
          <w:highlight w:val="none"/>
        </w:rPr>
        <w:t>.4</w:t>
      </w:r>
      <w:r>
        <w:rPr>
          <w:rFonts w:hint="eastAsia" w:ascii="宋体" w:hAnsi="宋体"/>
          <w:sz w:val="24"/>
          <w:highlight w:val="none"/>
        </w:rPr>
        <w:t>投标文件的正本与副本应分别装订成册，并编制目录。</w:t>
      </w:r>
    </w:p>
    <w:p>
      <w:pPr>
        <w:spacing w:line="360" w:lineRule="auto"/>
        <w:rPr>
          <w:rFonts w:ascii="宋体" w:cs="宋体"/>
          <w:b/>
          <w:sz w:val="24"/>
          <w:highlight w:val="none"/>
        </w:rPr>
      </w:pPr>
      <w:bookmarkStart w:id="155" w:name="_Toc339114134"/>
      <w:r>
        <w:rPr>
          <w:rFonts w:ascii="宋体" w:hAnsi="宋体" w:cs="宋体"/>
          <w:b/>
          <w:sz w:val="24"/>
          <w:highlight w:val="none"/>
        </w:rPr>
        <w:t xml:space="preserve">4. </w:t>
      </w:r>
      <w:r>
        <w:rPr>
          <w:rFonts w:hint="eastAsia" w:ascii="宋体" w:hAnsi="宋体" w:cs="宋体"/>
          <w:b/>
          <w:sz w:val="24"/>
          <w:highlight w:val="none"/>
        </w:rPr>
        <w:t>投</w:t>
      </w:r>
      <w:bookmarkStart w:id="156" w:name="_Toc152045555"/>
      <w:bookmarkStart w:id="157" w:name="_Toc152042331"/>
      <w:bookmarkStart w:id="158" w:name="_Toc144974523"/>
      <w:r>
        <w:rPr>
          <w:rFonts w:hint="eastAsia" w:ascii="宋体" w:hAnsi="宋体" w:cs="宋体"/>
          <w:b/>
          <w:sz w:val="24"/>
          <w:highlight w:val="none"/>
        </w:rPr>
        <w:t>标</w:t>
      </w:r>
      <w:bookmarkEnd w:id="155"/>
    </w:p>
    <w:p>
      <w:pPr>
        <w:spacing w:line="360" w:lineRule="auto"/>
        <w:ind w:firstLine="470" w:firstLineChars="196"/>
        <w:rPr>
          <w:rFonts w:ascii="宋体" w:cs="宋体"/>
          <w:sz w:val="24"/>
          <w:highlight w:val="none"/>
        </w:rPr>
      </w:pPr>
      <w:bookmarkStart w:id="159" w:name="_Toc339114135"/>
      <w:bookmarkStart w:id="160" w:name="_Toc331665314"/>
      <w:bookmarkStart w:id="161" w:name="_Toc339012152"/>
      <w:r>
        <w:rPr>
          <w:rFonts w:ascii="宋体" w:hAnsi="宋体" w:cs="宋体"/>
          <w:sz w:val="24"/>
          <w:highlight w:val="none"/>
        </w:rPr>
        <w:t>4.1</w:t>
      </w:r>
      <w:bookmarkEnd w:id="156"/>
      <w:bookmarkEnd w:id="157"/>
      <w:bookmarkEnd w:id="158"/>
      <w:r>
        <w:rPr>
          <w:rFonts w:ascii="宋体" w:hAnsi="宋体" w:cs="宋体"/>
          <w:sz w:val="24"/>
          <w:highlight w:val="none"/>
        </w:rPr>
        <w:t xml:space="preserve"> </w:t>
      </w:r>
      <w:bookmarkStart w:id="162" w:name="_Toc144974524"/>
      <w:bookmarkStart w:id="163" w:name="_Toc152042332"/>
      <w:bookmarkStart w:id="164" w:name="_Toc152045556"/>
      <w:r>
        <w:rPr>
          <w:rFonts w:hint="eastAsia" w:ascii="宋体" w:hAnsi="宋体" w:cs="宋体"/>
          <w:sz w:val="24"/>
          <w:highlight w:val="none"/>
        </w:rPr>
        <w:t>投标文件的密封和标记</w:t>
      </w:r>
      <w:bookmarkEnd w:id="159"/>
      <w:bookmarkEnd w:id="160"/>
      <w:bookmarkEnd w:id="161"/>
    </w:p>
    <w:p>
      <w:pPr>
        <w:spacing w:line="360" w:lineRule="auto"/>
        <w:ind w:firstLine="480" w:firstLineChars="200"/>
        <w:rPr>
          <w:rFonts w:ascii="宋体"/>
          <w:sz w:val="24"/>
          <w:highlight w:val="none"/>
        </w:rPr>
      </w:pPr>
      <w:r>
        <w:rPr>
          <w:rFonts w:ascii="宋体" w:hAnsi="宋体"/>
          <w:sz w:val="24"/>
          <w:highlight w:val="none"/>
        </w:rPr>
        <w:t>4.1</w:t>
      </w:r>
      <w:bookmarkEnd w:id="162"/>
      <w:bookmarkEnd w:id="163"/>
      <w:bookmarkEnd w:id="164"/>
      <w:r>
        <w:rPr>
          <w:rFonts w:ascii="宋体" w:hAnsi="宋体"/>
          <w:sz w:val="24"/>
          <w:highlight w:val="none"/>
        </w:rPr>
        <w:t>.1</w:t>
      </w:r>
      <w:r>
        <w:rPr>
          <w:rFonts w:hint="eastAsia" w:ascii="宋体" w:hAnsi="宋体"/>
          <w:sz w:val="24"/>
          <w:highlight w:val="none"/>
        </w:rPr>
        <w:t>投标文件的正本与副本应分开包装，加贴封条，并在封套的封口处加盖供应商单位章</w:t>
      </w:r>
      <w:r>
        <w:rPr>
          <w:rFonts w:hint="eastAsia"/>
          <w:sz w:val="24"/>
          <w:highlight w:val="none"/>
        </w:rPr>
        <w:t>，电子版</w:t>
      </w:r>
      <w:r>
        <w:rPr>
          <w:sz w:val="24"/>
          <w:highlight w:val="none"/>
        </w:rPr>
        <w:t>U</w:t>
      </w:r>
      <w:r>
        <w:rPr>
          <w:rFonts w:hint="eastAsia"/>
          <w:sz w:val="24"/>
          <w:highlight w:val="none"/>
        </w:rPr>
        <w:t>盘密封于响应文件正本内</w:t>
      </w:r>
      <w:r>
        <w:rPr>
          <w:rFonts w:hint="eastAsia" w:ascii="宋体" w:hAnsi="宋体"/>
          <w:sz w:val="24"/>
          <w:highlight w:val="none"/>
        </w:rPr>
        <w:t>。</w:t>
      </w:r>
    </w:p>
    <w:p>
      <w:pPr>
        <w:spacing w:line="360" w:lineRule="auto"/>
        <w:ind w:firstLine="480" w:firstLineChars="200"/>
        <w:rPr>
          <w:rFonts w:ascii="宋体"/>
          <w:sz w:val="24"/>
          <w:highlight w:val="none"/>
        </w:rPr>
      </w:pPr>
      <w:r>
        <w:rPr>
          <w:rFonts w:ascii="宋体" w:hAnsi="宋体"/>
          <w:sz w:val="24"/>
          <w:highlight w:val="none"/>
        </w:rPr>
        <w:t xml:space="preserve">4.1.2 </w:t>
      </w:r>
      <w:r>
        <w:rPr>
          <w:rFonts w:hint="eastAsia" w:ascii="宋体" w:hAnsi="宋体"/>
          <w:sz w:val="24"/>
          <w:highlight w:val="none"/>
        </w:rPr>
        <w:t>投标文件的封套上应清楚地标记商务标“正本”或“副本”、技术标“正本”或“副本”字样，封套上应写明的其他内容见供应商须知前附表。当副本和正本不一致时，以正本为准。</w:t>
      </w:r>
    </w:p>
    <w:p>
      <w:pPr>
        <w:spacing w:line="360" w:lineRule="auto"/>
        <w:ind w:firstLine="480" w:firstLineChars="200"/>
        <w:rPr>
          <w:rFonts w:ascii="宋体"/>
          <w:sz w:val="24"/>
          <w:highlight w:val="none"/>
        </w:rPr>
      </w:pPr>
      <w:r>
        <w:rPr>
          <w:rFonts w:ascii="宋体" w:hAnsi="宋体"/>
          <w:sz w:val="24"/>
          <w:highlight w:val="none"/>
        </w:rPr>
        <w:t xml:space="preserve">4.1.3 </w:t>
      </w:r>
      <w:r>
        <w:rPr>
          <w:rFonts w:hint="eastAsia" w:ascii="宋体" w:hAnsi="宋体"/>
          <w:sz w:val="24"/>
          <w:highlight w:val="none"/>
        </w:rPr>
        <w:t>未按本章第</w:t>
      </w:r>
      <w:r>
        <w:rPr>
          <w:rFonts w:ascii="宋体" w:hAnsi="宋体"/>
          <w:sz w:val="24"/>
          <w:highlight w:val="none"/>
        </w:rPr>
        <w:t>4.1.1</w:t>
      </w:r>
      <w:r>
        <w:rPr>
          <w:rFonts w:hint="eastAsia" w:ascii="宋体" w:hAnsi="宋体"/>
          <w:sz w:val="24"/>
          <w:highlight w:val="none"/>
        </w:rPr>
        <w:t>项或第</w:t>
      </w:r>
      <w:r>
        <w:rPr>
          <w:rFonts w:ascii="宋体" w:hAnsi="宋体"/>
          <w:sz w:val="24"/>
          <w:highlight w:val="none"/>
        </w:rPr>
        <w:t>4.1.2</w:t>
      </w:r>
      <w:r>
        <w:rPr>
          <w:rFonts w:hint="eastAsia" w:ascii="宋体" w:hAnsi="宋体"/>
          <w:sz w:val="24"/>
          <w:highlight w:val="none"/>
        </w:rPr>
        <w:t>项要求密封和加写标记的投标文件，采购人不予受理。</w:t>
      </w:r>
    </w:p>
    <w:p>
      <w:pPr>
        <w:spacing w:line="360" w:lineRule="auto"/>
        <w:ind w:firstLine="470" w:firstLineChars="196"/>
        <w:rPr>
          <w:rFonts w:ascii="宋体" w:cs="宋体"/>
          <w:sz w:val="24"/>
          <w:highlight w:val="none"/>
        </w:rPr>
      </w:pPr>
      <w:bookmarkStart w:id="165" w:name="_Toc339012153"/>
      <w:bookmarkStart w:id="166" w:name="_Toc339114136"/>
      <w:bookmarkStart w:id="167" w:name="_Toc331665315"/>
      <w:r>
        <w:rPr>
          <w:rFonts w:ascii="宋体" w:hAnsi="宋体" w:cs="宋体"/>
          <w:sz w:val="24"/>
          <w:highlight w:val="none"/>
        </w:rPr>
        <w:t xml:space="preserve">4.2 </w:t>
      </w:r>
      <w:bookmarkStart w:id="168" w:name="_Toc152045557"/>
      <w:bookmarkStart w:id="169" w:name="_Toc144974525"/>
      <w:bookmarkStart w:id="170" w:name="_Toc152042333"/>
      <w:r>
        <w:rPr>
          <w:rFonts w:hint="eastAsia" w:ascii="宋体" w:hAnsi="宋体" w:cs="宋体"/>
          <w:sz w:val="24"/>
          <w:highlight w:val="none"/>
        </w:rPr>
        <w:t>投标文件的递交</w:t>
      </w:r>
      <w:bookmarkEnd w:id="165"/>
      <w:bookmarkEnd w:id="166"/>
      <w:bookmarkEnd w:id="167"/>
    </w:p>
    <w:p>
      <w:pPr>
        <w:spacing w:line="360" w:lineRule="auto"/>
        <w:ind w:firstLine="480" w:firstLineChars="200"/>
        <w:rPr>
          <w:rFonts w:ascii="宋体"/>
          <w:sz w:val="24"/>
          <w:highlight w:val="none"/>
        </w:rPr>
      </w:pPr>
      <w:r>
        <w:rPr>
          <w:rFonts w:ascii="宋体" w:hAnsi="宋体"/>
          <w:sz w:val="24"/>
          <w:highlight w:val="none"/>
        </w:rPr>
        <w:t>4.2</w:t>
      </w:r>
      <w:bookmarkEnd w:id="168"/>
      <w:bookmarkEnd w:id="169"/>
      <w:bookmarkEnd w:id="170"/>
      <w:r>
        <w:rPr>
          <w:rFonts w:ascii="宋体" w:hAnsi="宋体"/>
          <w:sz w:val="24"/>
          <w:highlight w:val="none"/>
        </w:rPr>
        <w:t xml:space="preserve">.1 </w:t>
      </w:r>
      <w:r>
        <w:rPr>
          <w:rFonts w:hint="eastAsia" w:ascii="宋体" w:hAnsi="宋体"/>
          <w:sz w:val="24"/>
          <w:highlight w:val="none"/>
        </w:rPr>
        <w:t>供应商应在供应商须知前附表规定的投标截止时间前递交投标文件。</w:t>
      </w:r>
    </w:p>
    <w:p>
      <w:pPr>
        <w:spacing w:line="360" w:lineRule="auto"/>
        <w:ind w:firstLine="480" w:firstLineChars="200"/>
        <w:rPr>
          <w:rFonts w:ascii="宋体"/>
          <w:sz w:val="24"/>
          <w:highlight w:val="none"/>
        </w:rPr>
      </w:pPr>
      <w:r>
        <w:rPr>
          <w:rFonts w:ascii="宋体" w:hAnsi="宋体"/>
          <w:sz w:val="24"/>
          <w:highlight w:val="none"/>
        </w:rPr>
        <w:t xml:space="preserve">4.2.2 </w:t>
      </w:r>
      <w:r>
        <w:rPr>
          <w:rFonts w:hint="eastAsia" w:ascii="宋体" w:hAnsi="宋体"/>
          <w:sz w:val="24"/>
          <w:highlight w:val="none"/>
        </w:rPr>
        <w:t>供应商递交投标文件的地点：见供应商须知前附表。</w:t>
      </w:r>
    </w:p>
    <w:p>
      <w:pPr>
        <w:spacing w:line="360" w:lineRule="auto"/>
        <w:ind w:firstLine="480" w:firstLineChars="200"/>
        <w:rPr>
          <w:rFonts w:ascii="宋体"/>
          <w:sz w:val="24"/>
          <w:highlight w:val="none"/>
        </w:rPr>
      </w:pPr>
      <w:r>
        <w:rPr>
          <w:rFonts w:ascii="宋体" w:hAnsi="宋体"/>
          <w:sz w:val="24"/>
          <w:highlight w:val="none"/>
        </w:rPr>
        <w:t>4.2.3</w:t>
      </w:r>
      <w:r>
        <w:rPr>
          <w:rFonts w:hint="eastAsia" w:ascii="宋体" w:hAnsi="宋体"/>
          <w:sz w:val="24"/>
          <w:highlight w:val="none"/>
        </w:rPr>
        <w:t>供应商所递交的投标文件不予退还。</w:t>
      </w:r>
    </w:p>
    <w:p>
      <w:pPr>
        <w:spacing w:line="360" w:lineRule="auto"/>
        <w:ind w:firstLine="480" w:firstLineChars="200"/>
        <w:rPr>
          <w:rFonts w:ascii="宋体"/>
          <w:sz w:val="24"/>
          <w:highlight w:val="none"/>
        </w:rPr>
      </w:pPr>
      <w:r>
        <w:rPr>
          <w:rFonts w:ascii="宋体" w:hAnsi="宋体"/>
          <w:sz w:val="24"/>
          <w:highlight w:val="none"/>
        </w:rPr>
        <w:t xml:space="preserve">4.2.4 </w:t>
      </w:r>
      <w:r>
        <w:rPr>
          <w:rFonts w:hint="eastAsia" w:ascii="宋体" w:hAnsi="宋体"/>
          <w:sz w:val="24"/>
          <w:highlight w:val="none"/>
        </w:rPr>
        <w:t>逾期送达的或者未送达指定地点的投标文件，采购人不予受理。</w:t>
      </w:r>
    </w:p>
    <w:p>
      <w:pPr>
        <w:spacing w:line="360" w:lineRule="auto"/>
        <w:ind w:firstLine="470" w:firstLineChars="196"/>
        <w:rPr>
          <w:rFonts w:ascii="宋体" w:cs="宋体"/>
          <w:sz w:val="24"/>
          <w:highlight w:val="none"/>
        </w:rPr>
      </w:pPr>
      <w:bookmarkStart w:id="171" w:name="_Toc331665316"/>
      <w:bookmarkStart w:id="172" w:name="_Toc339012154"/>
      <w:bookmarkStart w:id="173" w:name="_Toc339114137"/>
      <w:r>
        <w:rPr>
          <w:rFonts w:ascii="宋体" w:hAnsi="宋体" w:cs="宋体"/>
          <w:sz w:val="24"/>
          <w:highlight w:val="none"/>
        </w:rPr>
        <w:t xml:space="preserve">4.3 </w:t>
      </w:r>
      <w:bookmarkStart w:id="174" w:name="_Toc152042334"/>
      <w:bookmarkStart w:id="175" w:name="_Toc152045558"/>
      <w:bookmarkStart w:id="176" w:name="_Toc144974526"/>
      <w:r>
        <w:rPr>
          <w:rFonts w:hint="eastAsia" w:ascii="宋体" w:hAnsi="宋体" w:cs="宋体"/>
          <w:sz w:val="24"/>
          <w:highlight w:val="none"/>
        </w:rPr>
        <w:t>投标文件的修改与撤回</w:t>
      </w:r>
      <w:bookmarkEnd w:id="171"/>
      <w:bookmarkEnd w:id="172"/>
      <w:bookmarkEnd w:id="173"/>
    </w:p>
    <w:p>
      <w:pPr>
        <w:spacing w:line="360" w:lineRule="auto"/>
        <w:ind w:firstLine="480" w:firstLineChars="200"/>
        <w:rPr>
          <w:rFonts w:ascii="宋体"/>
          <w:sz w:val="24"/>
          <w:highlight w:val="none"/>
        </w:rPr>
      </w:pPr>
      <w:r>
        <w:rPr>
          <w:rFonts w:ascii="宋体" w:hAnsi="宋体"/>
          <w:sz w:val="24"/>
          <w:highlight w:val="none"/>
        </w:rPr>
        <w:t>4.3</w:t>
      </w:r>
      <w:bookmarkEnd w:id="174"/>
      <w:bookmarkEnd w:id="175"/>
      <w:bookmarkEnd w:id="176"/>
      <w:r>
        <w:rPr>
          <w:rFonts w:ascii="宋体" w:hAnsi="宋体"/>
          <w:sz w:val="24"/>
          <w:highlight w:val="none"/>
        </w:rPr>
        <w:t xml:space="preserve">.1 </w:t>
      </w:r>
      <w:r>
        <w:rPr>
          <w:rFonts w:hint="eastAsia" w:ascii="宋体" w:hAnsi="宋体"/>
          <w:sz w:val="24"/>
          <w:highlight w:val="none"/>
        </w:rPr>
        <w:t>在招标文件规定的投标截止时间前，供应商可以修改或撤回已递交的投标文件，但应以书面形式通知采购人。</w:t>
      </w:r>
    </w:p>
    <w:p>
      <w:pPr>
        <w:spacing w:line="360" w:lineRule="auto"/>
        <w:ind w:firstLine="480" w:firstLineChars="200"/>
        <w:rPr>
          <w:rFonts w:ascii="宋体"/>
          <w:sz w:val="24"/>
          <w:highlight w:val="none"/>
        </w:rPr>
      </w:pPr>
      <w:r>
        <w:rPr>
          <w:rFonts w:ascii="宋体" w:hAnsi="宋体"/>
          <w:sz w:val="24"/>
          <w:highlight w:val="none"/>
        </w:rPr>
        <w:t xml:space="preserve">4.3.2 </w:t>
      </w:r>
      <w:r>
        <w:rPr>
          <w:rFonts w:hint="eastAsia" w:ascii="宋体" w:hAnsi="宋体"/>
          <w:sz w:val="24"/>
          <w:highlight w:val="none"/>
        </w:rPr>
        <w:t>供应商修改或撤回已递交投标文件的书面通知应按照本章第</w:t>
      </w:r>
      <w:r>
        <w:rPr>
          <w:rFonts w:ascii="宋体" w:hAnsi="宋体"/>
          <w:sz w:val="24"/>
          <w:highlight w:val="none"/>
        </w:rPr>
        <w:t>3.7.3</w:t>
      </w:r>
      <w:r>
        <w:rPr>
          <w:rFonts w:hint="eastAsia" w:ascii="宋体" w:hAnsi="宋体"/>
          <w:sz w:val="24"/>
          <w:highlight w:val="none"/>
        </w:rPr>
        <w:t>项的要求签字或盖章。采购人收到书面通知后，向供应商出具签收凭证。</w:t>
      </w:r>
    </w:p>
    <w:p>
      <w:pPr>
        <w:spacing w:line="360" w:lineRule="auto"/>
        <w:ind w:firstLine="480" w:firstLineChars="200"/>
        <w:rPr>
          <w:rFonts w:ascii="宋体"/>
          <w:sz w:val="24"/>
          <w:highlight w:val="none"/>
        </w:rPr>
      </w:pPr>
      <w:r>
        <w:rPr>
          <w:rFonts w:ascii="宋体" w:hAnsi="宋体"/>
          <w:sz w:val="24"/>
          <w:highlight w:val="none"/>
        </w:rPr>
        <w:t xml:space="preserve">4.3.3 </w:t>
      </w:r>
      <w:r>
        <w:rPr>
          <w:rFonts w:hint="eastAsia" w:ascii="宋体" w:hAnsi="宋体"/>
          <w:sz w:val="24"/>
          <w:highlight w:val="none"/>
        </w:rPr>
        <w:t>修改的内容为投标文件的组成部分。修改的投标文件应按照本章规定进行编制、密封、标记和递交，并标明“修改”字样。</w:t>
      </w:r>
    </w:p>
    <w:p>
      <w:pPr>
        <w:spacing w:line="360" w:lineRule="auto"/>
        <w:rPr>
          <w:rFonts w:ascii="宋体" w:cs="宋体"/>
          <w:b/>
          <w:sz w:val="24"/>
          <w:highlight w:val="none"/>
        </w:rPr>
      </w:pPr>
      <w:bookmarkStart w:id="177" w:name="_Toc339114138"/>
      <w:r>
        <w:rPr>
          <w:rFonts w:ascii="宋体" w:hAnsi="宋体" w:cs="宋体"/>
          <w:b/>
          <w:sz w:val="24"/>
          <w:highlight w:val="none"/>
        </w:rPr>
        <w:t xml:space="preserve">5. </w:t>
      </w:r>
      <w:r>
        <w:rPr>
          <w:rFonts w:hint="eastAsia" w:ascii="宋体" w:hAnsi="宋体" w:cs="宋体"/>
          <w:b/>
          <w:sz w:val="24"/>
          <w:highlight w:val="none"/>
        </w:rPr>
        <w:t>开</w:t>
      </w:r>
      <w:bookmarkStart w:id="178" w:name="_Toc152045559"/>
      <w:bookmarkStart w:id="179" w:name="_Toc144974527"/>
      <w:bookmarkStart w:id="180" w:name="_Toc152042335"/>
      <w:r>
        <w:rPr>
          <w:rFonts w:hint="eastAsia" w:ascii="宋体" w:hAnsi="宋体" w:cs="宋体"/>
          <w:b/>
          <w:sz w:val="24"/>
          <w:highlight w:val="none"/>
        </w:rPr>
        <w:t>标</w:t>
      </w:r>
      <w:bookmarkEnd w:id="177"/>
    </w:p>
    <w:p>
      <w:pPr>
        <w:spacing w:line="360" w:lineRule="auto"/>
        <w:ind w:firstLine="470" w:firstLineChars="196"/>
        <w:rPr>
          <w:rFonts w:ascii="宋体" w:cs="宋体"/>
          <w:sz w:val="24"/>
          <w:highlight w:val="none"/>
        </w:rPr>
      </w:pPr>
      <w:bookmarkStart w:id="181" w:name="_Toc339114139"/>
      <w:bookmarkStart w:id="182" w:name="_Toc331665318"/>
      <w:bookmarkStart w:id="183" w:name="_Toc339012156"/>
      <w:r>
        <w:rPr>
          <w:rFonts w:ascii="宋体" w:hAnsi="宋体" w:cs="宋体"/>
          <w:sz w:val="24"/>
          <w:highlight w:val="none"/>
        </w:rPr>
        <w:t>5.1</w:t>
      </w:r>
      <w:bookmarkEnd w:id="178"/>
      <w:bookmarkEnd w:id="179"/>
      <w:bookmarkEnd w:id="180"/>
      <w:r>
        <w:rPr>
          <w:rFonts w:ascii="宋体" w:hAnsi="宋体" w:cs="宋体"/>
          <w:sz w:val="24"/>
          <w:highlight w:val="none"/>
        </w:rPr>
        <w:t xml:space="preserve"> </w:t>
      </w:r>
      <w:bookmarkStart w:id="184" w:name="_Toc152042336"/>
      <w:bookmarkStart w:id="185" w:name="_Toc152045560"/>
      <w:bookmarkStart w:id="186" w:name="_Toc144974528"/>
      <w:r>
        <w:rPr>
          <w:rFonts w:hint="eastAsia" w:ascii="宋体" w:hAnsi="宋体" w:cs="宋体"/>
          <w:sz w:val="24"/>
          <w:highlight w:val="none"/>
        </w:rPr>
        <w:t>开标时间和地点</w:t>
      </w:r>
      <w:bookmarkEnd w:id="181"/>
      <w:bookmarkEnd w:id="182"/>
      <w:bookmarkEnd w:id="183"/>
    </w:p>
    <w:p>
      <w:pPr>
        <w:spacing w:line="360" w:lineRule="auto"/>
        <w:ind w:firstLine="480" w:firstLineChars="200"/>
        <w:rPr>
          <w:rFonts w:ascii="宋体"/>
          <w:sz w:val="24"/>
          <w:highlight w:val="none"/>
        </w:rPr>
      </w:pPr>
      <w:r>
        <w:rPr>
          <w:rFonts w:hint="eastAsia" w:ascii="宋体" w:hAnsi="宋体"/>
          <w:sz w:val="24"/>
          <w:highlight w:val="none"/>
        </w:rPr>
        <w:t>采购人</w:t>
      </w:r>
      <w:bookmarkEnd w:id="184"/>
      <w:bookmarkEnd w:id="185"/>
      <w:bookmarkEnd w:id="186"/>
      <w:r>
        <w:rPr>
          <w:rFonts w:hint="eastAsia" w:ascii="宋体" w:hAnsi="宋体"/>
          <w:sz w:val="24"/>
          <w:highlight w:val="none"/>
        </w:rPr>
        <w:t>在“供应商须知前附表“规定的投标截止时间（开标时间）和”供应商须知前附表“规定的地点公开开标，并邀请所有供应商的法定代表人或其委托代理人准时参加。</w:t>
      </w:r>
    </w:p>
    <w:p>
      <w:pPr>
        <w:spacing w:line="360" w:lineRule="auto"/>
        <w:ind w:firstLine="470" w:firstLineChars="196"/>
        <w:rPr>
          <w:rFonts w:ascii="宋体" w:cs="宋体"/>
          <w:sz w:val="24"/>
          <w:highlight w:val="none"/>
        </w:rPr>
      </w:pPr>
      <w:bookmarkStart w:id="187" w:name="_Toc339012157"/>
      <w:bookmarkStart w:id="188" w:name="_Toc331665319"/>
      <w:bookmarkStart w:id="189" w:name="_Toc339114140"/>
      <w:r>
        <w:rPr>
          <w:rFonts w:ascii="宋体" w:hAnsi="宋体" w:cs="宋体"/>
          <w:sz w:val="24"/>
          <w:highlight w:val="none"/>
        </w:rPr>
        <w:t xml:space="preserve">5.2 </w:t>
      </w:r>
      <w:bookmarkStart w:id="190" w:name="_Toc152042337"/>
      <w:bookmarkStart w:id="191" w:name="_Toc144974529"/>
      <w:bookmarkStart w:id="192" w:name="_Toc152045561"/>
      <w:r>
        <w:rPr>
          <w:rFonts w:hint="eastAsia" w:ascii="宋体" w:hAnsi="宋体" w:cs="宋体"/>
          <w:sz w:val="24"/>
          <w:highlight w:val="none"/>
        </w:rPr>
        <w:t>开标程序</w:t>
      </w:r>
      <w:bookmarkEnd w:id="187"/>
      <w:bookmarkEnd w:id="188"/>
      <w:bookmarkEnd w:id="189"/>
    </w:p>
    <w:bookmarkEnd w:id="190"/>
    <w:bookmarkEnd w:id="191"/>
    <w:bookmarkEnd w:id="192"/>
    <w:p>
      <w:pPr>
        <w:spacing w:line="360" w:lineRule="auto"/>
        <w:ind w:firstLine="480" w:firstLineChars="200"/>
        <w:rPr>
          <w:rFonts w:ascii="宋体"/>
          <w:sz w:val="24"/>
          <w:highlight w:val="none"/>
        </w:rPr>
      </w:pPr>
      <w:bookmarkStart w:id="193" w:name="_Toc339114141"/>
      <w:r>
        <w:rPr>
          <w:rFonts w:hint="eastAsia" w:ascii="宋体" w:hAnsi="宋体"/>
          <w:sz w:val="24"/>
          <w:highlight w:val="none"/>
        </w:rPr>
        <w:t>主持人按下列程序进行开标：</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）宣布开标纪律；</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2</w:t>
      </w:r>
      <w:r>
        <w:rPr>
          <w:rFonts w:hint="eastAsia" w:ascii="宋体" w:hAnsi="宋体"/>
          <w:sz w:val="24"/>
          <w:highlight w:val="none"/>
        </w:rPr>
        <w:t>）公布在投标截止时间前递交投标文件的供应商名称，并点名确认供应商是否派人到场；</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3</w:t>
      </w:r>
      <w:r>
        <w:rPr>
          <w:rFonts w:hint="eastAsia" w:ascii="宋体" w:hAnsi="宋体"/>
          <w:sz w:val="24"/>
          <w:highlight w:val="none"/>
        </w:rPr>
        <w:t>）宣布开标人、唱标人、记录人、监标人等有关人员姓名；</w:t>
      </w:r>
    </w:p>
    <w:p>
      <w:pPr>
        <w:spacing w:line="360" w:lineRule="auto"/>
        <w:ind w:firstLine="480" w:firstLineChars="200"/>
        <w:rPr>
          <w:rFonts w:ascii="宋体" w:cs="宋体"/>
          <w:sz w:val="24"/>
          <w:highlight w:val="none"/>
        </w:rPr>
      </w:pPr>
      <w:r>
        <w:rPr>
          <w:rFonts w:hint="eastAsia" w:ascii="宋体" w:hAnsi="宋体"/>
          <w:sz w:val="24"/>
          <w:highlight w:val="none"/>
        </w:rPr>
        <w:t>（</w:t>
      </w:r>
      <w:r>
        <w:rPr>
          <w:rFonts w:ascii="宋体" w:hAnsi="宋体"/>
          <w:sz w:val="24"/>
          <w:highlight w:val="none"/>
        </w:rPr>
        <w:t>4</w:t>
      </w:r>
      <w:r>
        <w:rPr>
          <w:rFonts w:hint="eastAsia" w:ascii="宋体" w:hAnsi="宋体"/>
          <w:sz w:val="24"/>
          <w:highlight w:val="none"/>
        </w:rPr>
        <w:t>）</w:t>
      </w:r>
      <w:r>
        <w:rPr>
          <w:rFonts w:hint="eastAsia" w:ascii="宋体" w:hAnsi="宋体" w:cs="宋体"/>
          <w:sz w:val="24"/>
          <w:highlight w:val="none"/>
        </w:rPr>
        <w:t>供应商授权代表的身份查验：开标时供应商应携带法定代表人授权委托书及被委托人身份证（法定代表人亲自参与投标的需携带法人身份证）原件；若供应商身份查验不符合要求，经评标委员会同意后将按无效投标处理；</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5</w:t>
      </w:r>
      <w:r>
        <w:rPr>
          <w:rFonts w:hint="eastAsia" w:ascii="宋体" w:hAnsi="宋体"/>
          <w:sz w:val="24"/>
          <w:highlight w:val="none"/>
        </w:rPr>
        <w:t>）供应商代表检查投标文件密封情况，并签字确认；</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6</w:t>
      </w:r>
      <w:r>
        <w:rPr>
          <w:rFonts w:hint="eastAsia" w:ascii="宋体" w:hAnsi="宋体"/>
          <w:sz w:val="24"/>
          <w:highlight w:val="none"/>
        </w:rPr>
        <w:t>）开启供应商的投标文件，工作人员对投标文件的单价、投标总报价、合同期限、项目经理等内容进行唱标；</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7</w:t>
      </w:r>
      <w:r>
        <w:rPr>
          <w:rFonts w:hint="eastAsia" w:ascii="宋体" w:hAnsi="宋体"/>
          <w:sz w:val="24"/>
          <w:highlight w:val="none"/>
        </w:rPr>
        <w:t>）工作人员将投标文件报送至评标委员会进行评审；</w:t>
      </w:r>
    </w:p>
    <w:p>
      <w:pPr>
        <w:spacing w:line="360" w:lineRule="auto"/>
        <w:ind w:firstLine="480" w:firstLineChars="200"/>
        <w:rPr>
          <w:rFonts w:ascii="宋体"/>
          <w:sz w:val="24"/>
          <w:highlight w:val="none"/>
        </w:rPr>
      </w:pPr>
      <w:r>
        <w:rPr>
          <w:rFonts w:hint="eastAsia" w:ascii="宋体" w:hAnsi="宋体"/>
          <w:sz w:val="24"/>
          <w:highlight w:val="none"/>
        </w:rPr>
        <w:t>（</w:t>
      </w:r>
      <w:r>
        <w:rPr>
          <w:rFonts w:ascii="宋体" w:hAnsi="宋体"/>
          <w:sz w:val="24"/>
          <w:highlight w:val="none"/>
        </w:rPr>
        <w:t>8</w:t>
      </w:r>
      <w:r>
        <w:rPr>
          <w:rFonts w:hint="eastAsia" w:ascii="宋体" w:hAnsi="宋体"/>
          <w:sz w:val="24"/>
          <w:highlight w:val="none"/>
        </w:rPr>
        <w:t>）开标结束。</w:t>
      </w:r>
    </w:p>
    <w:p>
      <w:pPr>
        <w:spacing w:line="360" w:lineRule="auto"/>
        <w:rPr>
          <w:rFonts w:ascii="宋体" w:cs="宋体"/>
          <w:b/>
          <w:sz w:val="24"/>
          <w:highlight w:val="none"/>
        </w:rPr>
      </w:pPr>
      <w:r>
        <w:rPr>
          <w:rFonts w:ascii="宋体" w:hAnsi="宋体" w:cs="宋体"/>
          <w:b/>
          <w:sz w:val="24"/>
          <w:highlight w:val="none"/>
        </w:rPr>
        <w:t xml:space="preserve">6. </w:t>
      </w:r>
      <w:r>
        <w:rPr>
          <w:rFonts w:hint="eastAsia" w:ascii="宋体" w:hAnsi="宋体" w:cs="宋体"/>
          <w:b/>
          <w:sz w:val="24"/>
          <w:highlight w:val="none"/>
        </w:rPr>
        <w:t>评</w:t>
      </w:r>
      <w:bookmarkStart w:id="194" w:name="_Toc152042338"/>
      <w:bookmarkStart w:id="195" w:name="_Toc152045562"/>
      <w:bookmarkStart w:id="196" w:name="_Toc144974530"/>
      <w:r>
        <w:rPr>
          <w:rFonts w:hint="eastAsia" w:ascii="宋体" w:hAnsi="宋体" w:cs="宋体"/>
          <w:b/>
          <w:sz w:val="24"/>
          <w:highlight w:val="none"/>
        </w:rPr>
        <w:t>标</w:t>
      </w:r>
      <w:bookmarkEnd w:id="193"/>
    </w:p>
    <w:p>
      <w:pPr>
        <w:spacing w:line="360" w:lineRule="auto"/>
        <w:ind w:firstLine="470" w:firstLineChars="196"/>
        <w:rPr>
          <w:rFonts w:ascii="宋体" w:cs="宋体"/>
          <w:sz w:val="24"/>
          <w:highlight w:val="none"/>
        </w:rPr>
      </w:pPr>
      <w:bookmarkStart w:id="197" w:name="_Toc339012159"/>
      <w:bookmarkStart w:id="198" w:name="_Toc339114142"/>
      <w:bookmarkStart w:id="199" w:name="_Toc331665321"/>
      <w:r>
        <w:rPr>
          <w:rFonts w:ascii="宋体" w:hAnsi="宋体" w:cs="宋体"/>
          <w:sz w:val="24"/>
          <w:highlight w:val="none"/>
        </w:rPr>
        <w:t>6.1</w:t>
      </w:r>
      <w:bookmarkEnd w:id="194"/>
      <w:bookmarkEnd w:id="195"/>
      <w:bookmarkEnd w:id="196"/>
      <w:r>
        <w:rPr>
          <w:rFonts w:ascii="宋体" w:hAnsi="宋体" w:cs="宋体"/>
          <w:sz w:val="24"/>
          <w:highlight w:val="none"/>
        </w:rPr>
        <w:t xml:space="preserve"> </w:t>
      </w:r>
      <w:bookmarkStart w:id="200" w:name="_Toc152042339"/>
      <w:bookmarkStart w:id="201" w:name="_Toc152045563"/>
      <w:bookmarkStart w:id="202" w:name="_Toc144974531"/>
      <w:r>
        <w:rPr>
          <w:rFonts w:hint="eastAsia" w:ascii="宋体" w:hAnsi="宋体" w:cs="宋体"/>
          <w:sz w:val="24"/>
          <w:highlight w:val="none"/>
        </w:rPr>
        <w:t>评标委员会</w:t>
      </w:r>
      <w:bookmarkEnd w:id="197"/>
      <w:bookmarkEnd w:id="198"/>
      <w:bookmarkEnd w:id="199"/>
    </w:p>
    <w:p>
      <w:pPr>
        <w:spacing w:line="360" w:lineRule="auto"/>
        <w:ind w:firstLine="480" w:firstLineChars="200"/>
        <w:rPr>
          <w:rFonts w:ascii="宋体"/>
          <w:sz w:val="24"/>
          <w:highlight w:val="none"/>
        </w:rPr>
      </w:pPr>
      <w:r>
        <w:rPr>
          <w:rFonts w:ascii="宋体" w:hAnsi="宋体"/>
          <w:sz w:val="24"/>
          <w:highlight w:val="none"/>
        </w:rPr>
        <w:t>6.1</w:t>
      </w:r>
      <w:bookmarkEnd w:id="200"/>
      <w:bookmarkEnd w:id="201"/>
      <w:bookmarkEnd w:id="202"/>
      <w:r>
        <w:rPr>
          <w:rFonts w:ascii="宋体" w:hAnsi="宋体"/>
          <w:sz w:val="24"/>
          <w:highlight w:val="none"/>
        </w:rPr>
        <w:t xml:space="preserve">.1 </w:t>
      </w:r>
      <w:r>
        <w:rPr>
          <w:rFonts w:hint="eastAsia" w:ascii="宋体" w:hAnsi="宋体"/>
          <w:sz w:val="24"/>
          <w:highlight w:val="none"/>
        </w:rPr>
        <w:t>评标由采购人依法组建的评标委员会负责。评标委员会</w:t>
      </w:r>
      <w:r>
        <w:rPr>
          <w:rFonts w:hint="eastAsia" w:cs="宋体"/>
          <w:sz w:val="24"/>
          <w:highlight w:val="none"/>
          <w:lang w:val="zh-CN"/>
        </w:rPr>
        <w:t>由采购人代表和评审专家共同组成。评审专家应当从政府采购评审专家库内</w:t>
      </w:r>
      <w:r>
        <w:rPr>
          <w:rFonts w:hint="eastAsia" w:ascii="宋体" w:hAnsi="宋体"/>
          <w:sz w:val="24"/>
          <w:highlight w:val="none"/>
        </w:rPr>
        <w:t>有关技术、经济等</w:t>
      </w:r>
      <w:r>
        <w:rPr>
          <w:rFonts w:hint="eastAsia" w:cs="宋体"/>
          <w:sz w:val="24"/>
          <w:highlight w:val="none"/>
          <w:lang w:val="zh-CN"/>
        </w:rPr>
        <w:t>相关专业的专家名单中随机抽取。</w:t>
      </w:r>
    </w:p>
    <w:p>
      <w:pPr>
        <w:spacing w:line="360" w:lineRule="auto"/>
        <w:ind w:firstLine="480" w:firstLineChars="200"/>
        <w:rPr>
          <w:rFonts w:ascii="宋体"/>
          <w:sz w:val="24"/>
          <w:highlight w:val="none"/>
        </w:rPr>
      </w:pPr>
      <w:r>
        <w:rPr>
          <w:rFonts w:ascii="宋体" w:hAnsi="宋体"/>
          <w:sz w:val="24"/>
          <w:highlight w:val="none"/>
        </w:rPr>
        <w:t xml:space="preserve">6.1.2 </w:t>
      </w:r>
      <w:r>
        <w:rPr>
          <w:rFonts w:hint="eastAsia" w:ascii="宋体" w:hAnsi="宋体"/>
          <w:sz w:val="24"/>
          <w:highlight w:val="none"/>
        </w:rPr>
        <w:t>评标委员会成员有下列情形之一的，应当回避：</w:t>
      </w:r>
    </w:p>
    <w:p>
      <w:pPr>
        <w:spacing w:line="360" w:lineRule="auto"/>
        <w:ind w:firstLine="480" w:firstLineChars="200"/>
        <w:rPr>
          <w:rFonts w:ascii="宋体"/>
          <w:sz w:val="24"/>
          <w:highlight w:val="none"/>
        </w:rPr>
      </w:pPr>
      <w:r>
        <w:rPr>
          <w:rFonts w:ascii="宋体" w:hAnsi="宋体"/>
          <w:sz w:val="24"/>
          <w:highlight w:val="none"/>
        </w:rPr>
        <w:t>6.1.2.1</w:t>
      </w:r>
      <w:r>
        <w:rPr>
          <w:rFonts w:hint="eastAsia" w:ascii="宋体" w:hAnsi="宋体"/>
          <w:sz w:val="24"/>
          <w:highlight w:val="none"/>
        </w:rPr>
        <w:t>采购人或供应商的主要负责人的近亲属；</w:t>
      </w:r>
    </w:p>
    <w:p>
      <w:pPr>
        <w:spacing w:line="360" w:lineRule="auto"/>
        <w:ind w:firstLine="480" w:firstLineChars="200"/>
        <w:rPr>
          <w:rFonts w:ascii="宋体"/>
          <w:sz w:val="24"/>
          <w:highlight w:val="none"/>
        </w:rPr>
      </w:pPr>
      <w:r>
        <w:rPr>
          <w:rFonts w:ascii="宋体" w:hAnsi="宋体"/>
          <w:sz w:val="24"/>
          <w:highlight w:val="none"/>
        </w:rPr>
        <w:t>6.1.2.2</w:t>
      </w:r>
      <w:r>
        <w:rPr>
          <w:rFonts w:hint="eastAsia" w:ascii="宋体" w:hAnsi="宋体"/>
          <w:sz w:val="24"/>
          <w:highlight w:val="none"/>
        </w:rPr>
        <w:t>项目主管部门或者行政监督部门的人员；</w:t>
      </w:r>
    </w:p>
    <w:p>
      <w:pPr>
        <w:spacing w:line="360" w:lineRule="auto"/>
        <w:ind w:firstLine="480" w:firstLineChars="200"/>
        <w:rPr>
          <w:rFonts w:ascii="宋体"/>
          <w:sz w:val="24"/>
          <w:highlight w:val="none"/>
        </w:rPr>
      </w:pPr>
      <w:r>
        <w:rPr>
          <w:rFonts w:ascii="宋体" w:hAnsi="宋体"/>
          <w:sz w:val="24"/>
          <w:highlight w:val="none"/>
        </w:rPr>
        <w:t>6.1.2.3</w:t>
      </w:r>
      <w:r>
        <w:rPr>
          <w:rFonts w:hint="eastAsia" w:ascii="宋体" w:hAnsi="宋体"/>
          <w:sz w:val="24"/>
          <w:highlight w:val="none"/>
        </w:rPr>
        <w:t>与供应商有经济利益关系，可能影响对投标公正评审的；</w:t>
      </w:r>
    </w:p>
    <w:p>
      <w:pPr>
        <w:spacing w:line="360" w:lineRule="auto"/>
        <w:ind w:firstLine="480" w:firstLineChars="200"/>
        <w:rPr>
          <w:rFonts w:ascii="宋体"/>
          <w:sz w:val="24"/>
          <w:highlight w:val="none"/>
        </w:rPr>
      </w:pPr>
      <w:r>
        <w:rPr>
          <w:rFonts w:ascii="宋体" w:hAnsi="宋体"/>
          <w:sz w:val="24"/>
          <w:highlight w:val="none"/>
        </w:rPr>
        <w:t>6.1.2.4</w:t>
      </w:r>
      <w:r>
        <w:rPr>
          <w:rFonts w:hint="eastAsia" w:ascii="宋体" w:hAnsi="宋体"/>
          <w:sz w:val="24"/>
          <w:highlight w:val="none"/>
        </w:rPr>
        <w:t>曾因在招标、评标以及其他与招标投标有关活动中从事违法行为而受过行政处罚或刑事处罚的。</w:t>
      </w:r>
    </w:p>
    <w:p>
      <w:pPr>
        <w:spacing w:line="360" w:lineRule="auto"/>
        <w:ind w:firstLine="470" w:firstLineChars="196"/>
        <w:rPr>
          <w:rFonts w:ascii="宋体" w:cs="宋体"/>
          <w:sz w:val="24"/>
          <w:highlight w:val="none"/>
        </w:rPr>
      </w:pPr>
      <w:bookmarkStart w:id="203" w:name="_Toc339012160"/>
      <w:bookmarkStart w:id="204" w:name="_Toc339114143"/>
      <w:bookmarkStart w:id="205" w:name="_Toc331665322"/>
      <w:r>
        <w:rPr>
          <w:rFonts w:ascii="宋体" w:hAnsi="宋体" w:cs="宋体"/>
          <w:sz w:val="24"/>
          <w:highlight w:val="none"/>
        </w:rPr>
        <w:t xml:space="preserve">6.2 </w:t>
      </w:r>
      <w:bookmarkStart w:id="206" w:name="_Toc152045564"/>
      <w:bookmarkStart w:id="207" w:name="_Toc144974532"/>
      <w:bookmarkStart w:id="208" w:name="_Toc152042340"/>
      <w:r>
        <w:rPr>
          <w:rFonts w:hint="eastAsia" w:ascii="宋体" w:hAnsi="宋体" w:cs="宋体"/>
          <w:sz w:val="24"/>
          <w:highlight w:val="none"/>
        </w:rPr>
        <w:t>评标原则</w:t>
      </w:r>
      <w:bookmarkEnd w:id="203"/>
      <w:bookmarkEnd w:id="204"/>
      <w:bookmarkEnd w:id="205"/>
      <w:r>
        <w:rPr>
          <w:rFonts w:ascii="宋体" w:cs="宋体"/>
          <w:sz w:val="24"/>
          <w:highlight w:val="none"/>
        </w:rPr>
        <w:tab/>
      </w:r>
    </w:p>
    <w:bookmarkEnd w:id="206"/>
    <w:bookmarkEnd w:id="207"/>
    <w:bookmarkEnd w:id="208"/>
    <w:p>
      <w:pPr>
        <w:tabs>
          <w:tab w:val="left" w:pos="360"/>
        </w:tabs>
        <w:snapToGrid w:val="0"/>
        <w:spacing w:line="360" w:lineRule="auto"/>
        <w:ind w:firstLine="480" w:firstLineChars="200"/>
        <w:rPr>
          <w:rFonts w:ascii="宋体"/>
          <w:sz w:val="24"/>
          <w:highlight w:val="none"/>
        </w:rPr>
      </w:pPr>
      <w:bookmarkStart w:id="209" w:name="_Toc339012161"/>
      <w:bookmarkStart w:id="210" w:name="_Toc331665323"/>
      <w:bookmarkStart w:id="211" w:name="_Toc339114144"/>
      <w:r>
        <w:rPr>
          <w:rFonts w:hint="eastAsia" w:ascii="宋体" w:hAnsi="宋体"/>
          <w:sz w:val="24"/>
          <w:highlight w:val="none"/>
        </w:rPr>
        <w:t>评标活动遵循公平、公正、科学和择优的原则。严格按照招标文件的要求和内容进行评标，同时考虑以下因素：</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6.2.1</w:t>
      </w:r>
      <w:r>
        <w:rPr>
          <w:rFonts w:hint="eastAsia" w:ascii="宋体" w:hAnsi="宋体"/>
          <w:sz w:val="24"/>
          <w:highlight w:val="none"/>
        </w:rPr>
        <w:t>价格；</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6.2.2</w:t>
      </w:r>
      <w:r>
        <w:rPr>
          <w:rFonts w:hint="eastAsia" w:ascii="宋体" w:hAnsi="宋体"/>
          <w:color w:val="000000"/>
          <w:sz w:val="24"/>
          <w:highlight w:val="none"/>
        </w:rPr>
        <w:t>工作计划、实施方案及服务承诺</w:t>
      </w:r>
      <w:r>
        <w:rPr>
          <w:rFonts w:hint="eastAsia" w:ascii="宋体" w:hAnsi="宋体"/>
          <w:sz w:val="24"/>
          <w:highlight w:val="none"/>
        </w:rPr>
        <w:t>等；</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6.2.3</w:t>
      </w:r>
      <w:r>
        <w:rPr>
          <w:rFonts w:hint="eastAsia" w:ascii="宋体" w:hAnsi="宋体"/>
          <w:sz w:val="24"/>
          <w:highlight w:val="none"/>
        </w:rPr>
        <w:t>企业的资信及资质情况；</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6.2.4</w:t>
      </w:r>
      <w:r>
        <w:rPr>
          <w:rFonts w:hint="eastAsia" w:ascii="宋体" w:hAnsi="宋体"/>
          <w:color w:val="000000"/>
          <w:sz w:val="24"/>
          <w:highlight w:val="none"/>
        </w:rPr>
        <w:t>拟在本项目使用的仪器、设备；</w:t>
      </w:r>
    </w:p>
    <w:p>
      <w:pPr>
        <w:tabs>
          <w:tab w:val="left" w:pos="360"/>
        </w:tabs>
        <w:snapToGrid w:val="0"/>
        <w:spacing w:line="360" w:lineRule="auto"/>
        <w:ind w:firstLine="480" w:firstLineChars="200"/>
        <w:rPr>
          <w:rFonts w:ascii="宋体"/>
          <w:color w:val="000000"/>
          <w:sz w:val="24"/>
          <w:highlight w:val="none"/>
        </w:rPr>
      </w:pPr>
      <w:r>
        <w:rPr>
          <w:rFonts w:ascii="宋体" w:hAnsi="宋体"/>
          <w:sz w:val="24"/>
          <w:highlight w:val="none"/>
        </w:rPr>
        <w:t>6.2.5</w:t>
      </w:r>
      <w:r>
        <w:rPr>
          <w:rFonts w:hint="eastAsia" w:ascii="宋体" w:hAnsi="宋体"/>
          <w:color w:val="000000"/>
          <w:sz w:val="24"/>
          <w:highlight w:val="none"/>
        </w:rPr>
        <w:t>拟投入本项目主要人员；</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6.2.6</w:t>
      </w:r>
      <w:r>
        <w:rPr>
          <w:rFonts w:hint="eastAsia" w:ascii="宋体" w:hAnsi="宋体"/>
          <w:sz w:val="24"/>
          <w:highlight w:val="none"/>
        </w:rPr>
        <w:t>合同期限；</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6.2.7</w:t>
      </w:r>
      <w:r>
        <w:rPr>
          <w:rFonts w:hint="eastAsia" w:ascii="宋体" w:hAnsi="宋体"/>
          <w:sz w:val="24"/>
          <w:highlight w:val="none"/>
        </w:rPr>
        <w:t>业绩；</w:t>
      </w:r>
    </w:p>
    <w:p>
      <w:pPr>
        <w:tabs>
          <w:tab w:val="left" w:pos="360"/>
        </w:tabs>
        <w:snapToGrid w:val="0"/>
        <w:spacing w:line="360" w:lineRule="auto"/>
        <w:ind w:firstLine="480" w:firstLineChars="200"/>
        <w:rPr>
          <w:rFonts w:ascii="宋体"/>
          <w:sz w:val="24"/>
          <w:highlight w:val="none"/>
        </w:rPr>
      </w:pPr>
      <w:r>
        <w:rPr>
          <w:rFonts w:ascii="宋体" w:hAnsi="宋体"/>
          <w:sz w:val="24"/>
          <w:highlight w:val="none"/>
        </w:rPr>
        <w:t>6.2.8</w:t>
      </w:r>
      <w:r>
        <w:rPr>
          <w:rFonts w:hint="eastAsia" w:ascii="宋体" w:hAnsi="宋体"/>
          <w:sz w:val="24"/>
          <w:highlight w:val="none"/>
        </w:rPr>
        <w:t>在满足招标文件要求前提下，优先考虑使用节能环保产品的方案；</w:t>
      </w:r>
    </w:p>
    <w:p>
      <w:pPr>
        <w:spacing w:line="360" w:lineRule="auto"/>
        <w:ind w:firstLine="499"/>
        <w:rPr>
          <w:rFonts w:ascii="宋体"/>
          <w:sz w:val="24"/>
          <w:highlight w:val="none"/>
        </w:rPr>
      </w:pPr>
      <w:r>
        <w:rPr>
          <w:rFonts w:ascii="宋体" w:hAnsi="宋体"/>
          <w:sz w:val="24"/>
          <w:highlight w:val="none"/>
        </w:rPr>
        <w:t>6.2.9</w:t>
      </w:r>
      <w:r>
        <w:rPr>
          <w:rFonts w:hint="eastAsia" w:ascii="宋体" w:hAnsi="宋体"/>
          <w:sz w:val="24"/>
          <w:highlight w:val="none"/>
        </w:rPr>
        <w:t>为促进中小型企业发展，在满足招标文件要求前提下，优先考虑中小型企业的投标方案。</w:t>
      </w:r>
    </w:p>
    <w:p>
      <w:pPr>
        <w:spacing w:line="360" w:lineRule="auto"/>
        <w:ind w:firstLine="470" w:firstLineChars="196"/>
        <w:rPr>
          <w:rFonts w:ascii="宋体" w:cs="宋体"/>
          <w:sz w:val="24"/>
          <w:highlight w:val="none"/>
        </w:rPr>
      </w:pPr>
      <w:r>
        <w:rPr>
          <w:rFonts w:ascii="宋体" w:hAnsi="宋体" w:cs="宋体"/>
          <w:sz w:val="24"/>
          <w:highlight w:val="none"/>
        </w:rPr>
        <w:t xml:space="preserve">6.3 </w:t>
      </w:r>
      <w:bookmarkStart w:id="212" w:name="_Toc144974533"/>
      <w:bookmarkStart w:id="213" w:name="_Toc152042341"/>
      <w:bookmarkStart w:id="214" w:name="_Toc152045565"/>
      <w:r>
        <w:rPr>
          <w:rFonts w:hint="eastAsia" w:ascii="宋体" w:hAnsi="宋体" w:cs="宋体"/>
          <w:sz w:val="24"/>
          <w:highlight w:val="none"/>
        </w:rPr>
        <w:t>评标</w:t>
      </w:r>
      <w:bookmarkEnd w:id="209"/>
      <w:bookmarkEnd w:id="210"/>
      <w:bookmarkEnd w:id="211"/>
    </w:p>
    <w:p>
      <w:pPr>
        <w:spacing w:line="360" w:lineRule="auto"/>
        <w:ind w:firstLine="480" w:firstLineChars="200"/>
        <w:rPr>
          <w:rFonts w:ascii="宋体"/>
          <w:sz w:val="24"/>
          <w:highlight w:val="none"/>
        </w:rPr>
      </w:pPr>
      <w:r>
        <w:rPr>
          <w:rFonts w:hint="eastAsia" w:ascii="宋体" w:hAnsi="宋体"/>
          <w:sz w:val="24"/>
          <w:highlight w:val="none"/>
        </w:rPr>
        <w:t>评标委</w:t>
      </w:r>
      <w:bookmarkEnd w:id="212"/>
      <w:bookmarkEnd w:id="213"/>
      <w:bookmarkEnd w:id="214"/>
      <w:r>
        <w:rPr>
          <w:rFonts w:hint="eastAsia" w:ascii="宋体" w:hAnsi="宋体"/>
          <w:sz w:val="24"/>
          <w:highlight w:val="none"/>
        </w:rPr>
        <w:t>员会按照第三部分“评标办法”规定的方法、评审因素、标准和程序对投标文件进行评审。第三部分“评标办法”没有规定的方法、评审因素和标准，不作为评标依据。</w:t>
      </w:r>
    </w:p>
    <w:p>
      <w:pPr>
        <w:spacing w:line="360" w:lineRule="auto"/>
        <w:rPr>
          <w:rFonts w:ascii="宋体" w:cs="宋体"/>
          <w:b/>
          <w:sz w:val="24"/>
          <w:highlight w:val="none"/>
        </w:rPr>
      </w:pPr>
      <w:bookmarkStart w:id="215" w:name="_Toc339114145"/>
      <w:r>
        <w:rPr>
          <w:rFonts w:ascii="宋体" w:hAnsi="宋体" w:cs="宋体"/>
          <w:b/>
          <w:sz w:val="24"/>
          <w:highlight w:val="none"/>
        </w:rPr>
        <w:t xml:space="preserve">7. </w:t>
      </w:r>
      <w:r>
        <w:rPr>
          <w:rFonts w:hint="eastAsia" w:ascii="宋体" w:hAnsi="宋体" w:cs="宋体"/>
          <w:b/>
          <w:sz w:val="24"/>
          <w:highlight w:val="none"/>
        </w:rPr>
        <w:t>合</w:t>
      </w:r>
      <w:bookmarkStart w:id="216" w:name="_Toc152045566"/>
      <w:bookmarkStart w:id="217" w:name="_Toc152042342"/>
      <w:bookmarkStart w:id="218" w:name="_Toc144974534"/>
      <w:r>
        <w:rPr>
          <w:rFonts w:hint="eastAsia" w:ascii="宋体" w:hAnsi="宋体" w:cs="宋体"/>
          <w:b/>
          <w:sz w:val="24"/>
          <w:highlight w:val="none"/>
        </w:rPr>
        <w:t>同授予</w:t>
      </w:r>
      <w:bookmarkEnd w:id="215"/>
    </w:p>
    <w:p>
      <w:pPr>
        <w:spacing w:line="360" w:lineRule="auto"/>
        <w:ind w:firstLine="470" w:firstLineChars="196"/>
        <w:rPr>
          <w:rFonts w:ascii="宋体" w:cs="宋体"/>
          <w:sz w:val="24"/>
          <w:highlight w:val="none"/>
        </w:rPr>
      </w:pPr>
      <w:bookmarkStart w:id="219" w:name="_Toc331665325"/>
      <w:bookmarkStart w:id="220" w:name="_Toc339012163"/>
      <w:bookmarkStart w:id="221" w:name="_Toc339114146"/>
      <w:r>
        <w:rPr>
          <w:rFonts w:ascii="宋体" w:hAnsi="宋体" w:cs="宋体"/>
          <w:sz w:val="24"/>
          <w:highlight w:val="none"/>
        </w:rPr>
        <w:t>7.1</w:t>
      </w:r>
      <w:bookmarkEnd w:id="216"/>
      <w:bookmarkEnd w:id="217"/>
      <w:bookmarkEnd w:id="218"/>
      <w:r>
        <w:rPr>
          <w:rFonts w:ascii="宋体" w:hAnsi="宋体" w:cs="宋体"/>
          <w:sz w:val="24"/>
          <w:highlight w:val="none"/>
        </w:rPr>
        <w:t xml:space="preserve"> </w:t>
      </w:r>
      <w:bookmarkStart w:id="222" w:name="_Toc152042343"/>
      <w:bookmarkStart w:id="223" w:name="_Toc144974535"/>
      <w:bookmarkStart w:id="224" w:name="_Toc152045567"/>
      <w:r>
        <w:rPr>
          <w:rFonts w:hint="eastAsia" w:ascii="宋体" w:hAnsi="宋体" w:cs="宋体"/>
          <w:sz w:val="24"/>
          <w:highlight w:val="none"/>
        </w:rPr>
        <w:t>定标方式</w:t>
      </w:r>
      <w:bookmarkEnd w:id="219"/>
      <w:bookmarkEnd w:id="220"/>
      <w:bookmarkEnd w:id="221"/>
    </w:p>
    <w:bookmarkEnd w:id="222"/>
    <w:bookmarkEnd w:id="223"/>
    <w:bookmarkEnd w:id="224"/>
    <w:p>
      <w:pPr>
        <w:spacing w:line="360" w:lineRule="auto"/>
        <w:ind w:firstLine="480" w:firstLineChars="200"/>
        <w:rPr>
          <w:rFonts w:ascii="宋体"/>
          <w:sz w:val="24"/>
          <w:highlight w:val="none"/>
        </w:rPr>
      </w:pPr>
      <w:r>
        <w:rPr>
          <w:rFonts w:ascii="宋体" w:hAnsi="宋体"/>
          <w:sz w:val="24"/>
          <w:highlight w:val="none"/>
        </w:rPr>
        <w:t>7.1.1</w:t>
      </w:r>
      <w:r>
        <w:rPr>
          <w:rFonts w:hint="eastAsia" w:ascii="宋体" w:hAnsi="宋体"/>
          <w:sz w:val="24"/>
          <w:highlight w:val="none"/>
        </w:rPr>
        <w:t>在采购代理机构将评标报告提交采购人</w:t>
      </w:r>
      <w:r>
        <w:rPr>
          <w:rFonts w:ascii="宋体" w:hAnsi="宋体"/>
          <w:sz w:val="24"/>
          <w:highlight w:val="none"/>
        </w:rPr>
        <w:t>5</w:t>
      </w:r>
      <w:r>
        <w:rPr>
          <w:rFonts w:hint="eastAsia" w:ascii="宋体" w:hAnsi="宋体"/>
          <w:sz w:val="24"/>
          <w:highlight w:val="none"/>
        </w:rPr>
        <w:t>个工作日内，采购人在评标报告确定的中标候选人名单中按顺序确定中标人，复函采购代理机构。</w:t>
      </w:r>
    </w:p>
    <w:p>
      <w:pPr>
        <w:spacing w:line="360" w:lineRule="auto"/>
        <w:ind w:firstLine="480" w:firstLineChars="200"/>
        <w:rPr>
          <w:rFonts w:ascii="宋体"/>
          <w:sz w:val="24"/>
          <w:highlight w:val="none"/>
        </w:rPr>
      </w:pPr>
      <w:r>
        <w:rPr>
          <w:rFonts w:ascii="宋体" w:hAnsi="宋体"/>
          <w:sz w:val="24"/>
          <w:highlight w:val="none"/>
        </w:rPr>
        <w:t>7.1.2</w:t>
      </w:r>
      <w:r>
        <w:rPr>
          <w:rFonts w:hint="eastAsia" w:ascii="宋体" w:hAnsi="宋体"/>
          <w:sz w:val="24"/>
          <w:highlight w:val="none"/>
        </w:rPr>
        <w:t>采购代理机构在接到采购人的</w:t>
      </w:r>
      <w:r>
        <w:rPr>
          <w:rFonts w:hint="eastAsia" w:ascii="宋体"/>
          <w:sz w:val="24"/>
          <w:highlight w:val="none"/>
        </w:rPr>
        <w:t>“</w:t>
      </w:r>
      <w:r>
        <w:rPr>
          <w:rFonts w:hint="eastAsia" w:ascii="宋体" w:hAnsi="宋体"/>
          <w:sz w:val="24"/>
          <w:highlight w:val="none"/>
        </w:rPr>
        <w:t>中标</w:t>
      </w:r>
      <w:r>
        <w:rPr>
          <w:rFonts w:hint="eastAsia" w:ascii="宋体"/>
          <w:sz w:val="24"/>
          <w:highlight w:val="none"/>
        </w:rPr>
        <w:t>”</w:t>
      </w:r>
      <w:r>
        <w:rPr>
          <w:rFonts w:hint="eastAsia" w:ascii="宋体" w:hAnsi="宋体"/>
          <w:sz w:val="24"/>
          <w:highlight w:val="none"/>
        </w:rPr>
        <w:t>复函后，在财政部门指定的政府采购信息发布媒体上公告，公示一个工作日并同时向中标供应商发放</w:t>
      </w:r>
      <w:r>
        <w:rPr>
          <w:rFonts w:hint="eastAsia" w:ascii="宋体"/>
          <w:sz w:val="24"/>
          <w:highlight w:val="none"/>
        </w:rPr>
        <w:t>“</w:t>
      </w:r>
      <w:r>
        <w:rPr>
          <w:rFonts w:hint="eastAsia" w:ascii="宋体" w:hAnsi="宋体"/>
          <w:sz w:val="24"/>
          <w:highlight w:val="none"/>
        </w:rPr>
        <w:t>中标通知书</w:t>
      </w:r>
      <w:r>
        <w:rPr>
          <w:rFonts w:hint="eastAsia" w:ascii="宋体"/>
          <w:sz w:val="24"/>
          <w:highlight w:val="none"/>
        </w:rPr>
        <w:t>”</w:t>
      </w:r>
      <w:r>
        <w:rPr>
          <w:rFonts w:hint="eastAsia" w:ascii="宋体" w:hAnsi="宋体"/>
          <w:sz w:val="24"/>
          <w:highlight w:val="none"/>
        </w:rPr>
        <w:t>。</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7.1.3</w:t>
      </w:r>
      <w:r>
        <w:rPr>
          <w:rFonts w:hint="eastAsia" w:ascii="宋体" w:hAnsi="宋体"/>
          <w:sz w:val="24"/>
          <w:highlight w:val="none"/>
        </w:rPr>
        <w:t>采购代理机构将评审过程及中标入围单位情况书面报监督机构备案。</w:t>
      </w:r>
    </w:p>
    <w:p>
      <w:pPr>
        <w:spacing w:line="360" w:lineRule="auto"/>
        <w:ind w:firstLine="470" w:firstLineChars="196"/>
        <w:rPr>
          <w:rFonts w:ascii="宋体" w:cs="宋体"/>
          <w:sz w:val="24"/>
          <w:highlight w:val="none"/>
        </w:rPr>
      </w:pPr>
      <w:bookmarkStart w:id="225" w:name="_Toc331665326"/>
      <w:bookmarkStart w:id="226" w:name="_Toc339012164"/>
      <w:bookmarkStart w:id="227" w:name="_Toc339114147"/>
      <w:r>
        <w:rPr>
          <w:rFonts w:ascii="宋体" w:hAnsi="宋体" w:cs="宋体"/>
          <w:sz w:val="24"/>
          <w:highlight w:val="none"/>
        </w:rPr>
        <w:t xml:space="preserve">7.2 </w:t>
      </w:r>
      <w:bookmarkStart w:id="228" w:name="_Toc152045568"/>
      <w:bookmarkStart w:id="229" w:name="_Toc152042344"/>
      <w:bookmarkStart w:id="230" w:name="_Toc144974536"/>
      <w:r>
        <w:rPr>
          <w:rFonts w:hint="eastAsia" w:ascii="宋体" w:hAnsi="宋体" w:cs="宋体"/>
          <w:sz w:val="24"/>
          <w:highlight w:val="none"/>
        </w:rPr>
        <w:t>中标通知</w:t>
      </w:r>
      <w:bookmarkEnd w:id="225"/>
      <w:bookmarkEnd w:id="226"/>
      <w:bookmarkEnd w:id="227"/>
    </w:p>
    <w:bookmarkEnd w:id="228"/>
    <w:bookmarkEnd w:id="229"/>
    <w:bookmarkEnd w:id="230"/>
    <w:p>
      <w:pPr>
        <w:spacing w:line="360" w:lineRule="auto"/>
        <w:ind w:firstLine="480" w:firstLineChars="200"/>
        <w:rPr>
          <w:rFonts w:ascii="宋体"/>
          <w:sz w:val="24"/>
          <w:highlight w:val="none"/>
        </w:rPr>
      </w:pPr>
      <w:r>
        <w:rPr>
          <w:rFonts w:hint="eastAsia" w:ascii="宋体" w:hAnsi="宋体"/>
          <w:sz w:val="24"/>
          <w:highlight w:val="none"/>
        </w:rPr>
        <w:t>采购人应在以投标有效期内书面形式向中标供应商发出中标通知书。</w:t>
      </w:r>
    </w:p>
    <w:p>
      <w:pPr>
        <w:spacing w:line="360" w:lineRule="auto"/>
        <w:ind w:firstLine="470" w:firstLineChars="196"/>
        <w:rPr>
          <w:rFonts w:ascii="宋体" w:cs="宋体"/>
          <w:sz w:val="24"/>
          <w:highlight w:val="none"/>
        </w:rPr>
      </w:pPr>
      <w:bookmarkStart w:id="231" w:name="_Toc339114149"/>
      <w:bookmarkStart w:id="232" w:name="_Toc339012166"/>
      <w:bookmarkStart w:id="233" w:name="_Toc331665328"/>
      <w:r>
        <w:rPr>
          <w:rFonts w:ascii="宋体" w:hAnsi="宋体" w:cs="宋体"/>
          <w:sz w:val="24"/>
          <w:highlight w:val="none"/>
        </w:rPr>
        <w:t xml:space="preserve">7.3 </w:t>
      </w:r>
      <w:bookmarkStart w:id="234" w:name="_Toc152042346"/>
      <w:bookmarkStart w:id="235" w:name="_Toc144974538"/>
      <w:bookmarkStart w:id="236" w:name="_Toc152045570"/>
      <w:r>
        <w:rPr>
          <w:rFonts w:hint="eastAsia" w:ascii="宋体" w:hAnsi="宋体" w:cs="宋体"/>
          <w:sz w:val="24"/>
          <w:highlight w:val="none"/>
        </w:rPr>
        <w:t>签订合同</w:t>
      </w:r>
      <w:bookmarkEnd w:id="231"/>
      <w:bookmarkEnd w:id="232"/>
      <w:bookmarkEnd w:id="233"/>
    </w:p>
    <w:p>
      <w:pPr>
        <w:spacing w:line="360" w:lineRule="auto"/>
        <w:ind w:firstLine="480" w:firstLineChars="200"/>
        <w:rPr>
          <w:rFonts w:ascii="宋体"/>
          <w:sz w:val="24"/>
          <w:highlight w:val="none"/>
        </w:rPr>
      </w:pPr>
      <w:r>
        <w:rPr>
          <w:rFonts w:ascii="宋体" w:hAnsi="宋体"/>
          <w:sz w:val="24"/>
          <w:highlight w:val="none"/>
        </w:rPr>
        <w:t>7.</w:t>
      </w:r>
      <w:bookmarkEnd w:id="234"/>
      <w:bookmarkEnd w:id="235"/>
      <w:bookmarkEnd w:id="236"/>
      <w:r>
        <w:rPr>
          <w:rFonts w:ascii="宋体" w:hAnsi="宋体"/>
          <w:sz w:val="24"/>
          <w:highlight w:val="none"/>
        </w:rPr>
        <w:t>3.1</w:t>
      </w:r>
      <w:r>
        <w:rPr>
          <w:rFonts w:hint="eastAsia" w:ascii="宋体" w:hAnsi="宋体"/>
          <w:sz w:val="24"/>
          <w:highlight w:val="none"/>
        </w:rPr>
        <w:t>采购人和中标供应商应当自中标通知书发出之日起</w:t>
      </w:r>
      <w:r>
        <w:rPr>
          <w:rFonts w:ascii="宋体" w:hAnsi="宋体"/>
          <w:sz w:val="24"/>
          <w:highlight w:val="none"/>
        </w:rPr>
        <w:t>30</w:t>
      </w:r>
      <w:r>
        <w:rPr>
          <w:rFonts w:hint="eastAsia" w:ascii="宋体" w:hAnsi="宋体"/>
          <w:sz w:val="24"/>
          <w:highlight w:val="none"/>
        </w:rPr>
        <w:t>天内，根据招标文件和中标供应商的投标文件订立书面合同。中标供应商无正当理由拒签合同的，采购人取消其中标资格 ；给采购人造成的损失的，中标供应商还应当对超过部分予以赔偿。</w:t>
      </w:r>
      <w:r>
        <w:rPr>
          <w:rFonts w:ascii="宋体" w:hAnsi="宋体"/>
          <w:sz w:val="24"/>
          <w:highlight w:val="none"/>
        </w:rPr>
        <w:t xml:space="preserve"> </w:t>
      </w:r>
    </w:p>
    <w:p>
      <w:pPr>
        <w:spacing w:line="360" w:lineRule="auto"/>
        <w:ind w:firstLine="480" w:firstLineChars="200"/>
        <w:rPr>
          <w:rFonts w:ascii="宋体"/>
          <w:sz w:val="24"/>
          <w:highlight w:val="none"/>
        </w:rPr>
      </w:pPr>
      <w:r>
        <w:rPr>
          <w:rFonts w:ascii="宋体" w:hAnsi="宋体"/>
          <w:sz w:val="24"/>
          <w:highlight w:val="none"/>
        </w:rPr>
        <w:t>7.3.2</w:t>
      </w:r>
      <w:r>
        <w:rPr>
          <w:rFonts w:hint="eastAsia" w:ascii="宋体" w:hAnsi="宋体"/>
          <w:sz w:val="24"/>
          <w:highlight w:val="none"/>
        </w:rPr>
        <w:t>发出中标通知书后，采购人无正当理由拒签合同的；给中标供应商造成损失的，还应当赔偿损失。</w:t>
      </w:r>
    </w:p>
    <w:p>
      <w:pPr>
        <w:spacing w:line="360" w:lineRule="auto"/>
        <w:rPr>
          <w:rFonts w:ascii="宋体" w:cs="宋体"/>
          <w:b/>
          <w:sz w:val="24"/>
          <w:highlight w:val="none"/>
        </w:rPr>
      </w:pPr>
      <w:bookmarkStart w:id="237" w:name="_Toc339114150"/>
      <w:r>
        <w:rPr>
          <w:rFonts w:ascii="宋体" w:hAnsi="宋体" w:cs="宋体"/>
          <w:b/>
          <w:sz w:val="24"/>
          <w:highlight w:val="none"/>
        </w:rPr>
        <w:t xml:space="preserve">8. </w:t>
      </w:r>
      <w:r>
        <w:rPr>
          <w:rFonts w:hint="eastAsia" w:ascii="宋体" w:hAnsi="宋体" w:cs="宋体"/>
          <w:b/>
          <w:sz w:val="24"/>
          <w:highlight w:val="none"/>
        </w:rPr>
        <w:t>重</w:t>
      </w:r>
      <w:bookmarkStart w:id="238" w:name="_Toc152042347"/>
      <w:bookmarkStart w:id="239" w:name="_Toc152045571"/>
      <w:bookmarkStart w:id="240" w:name="_Toc144974539"/>
      <w:r>
        <w:rPr>
          <w:rFonts w:hint="eastAsia" w:ascii="宋体" w:hAnsi="宋体" w:cs="宋体"/>
          <w:b/>
          <w:sz w:val="24"/>
          <w:highlight w:val="none"/>
        </w:rPr>
        <w:t>新招标、变更采购方式和不再招标</w:t>
      </w:r>
      <w:bookmarkEnd w:id="237"/>
      <w:r>
        <w:rPr>
          <w:rFonts w:hint="eastAsia" w:ascii="宋体" w:hAnsi="宋体" w:cs="宋体"/>
          <w:b/>
          <w:sz w:val="24"/>
          <w:highlight w:val="none"/>
        </w:rPr>
        <w:t>重新招标</w:t>
      </w:r>
    </w:p>
    <w:p>
      <w:pPr>
        <w:spacing w:line="360" w:lineRule="auto"/>
        <w:ind w:firstLine="410" w:firstLineChars="171"/>
        <w:rPr>
          <w:rFonts w:ascii="宋体"/>
          <w:sz w:val="24"/>
          <w:highlight w:val="none"/>
        </w:rPr>
      </w:pPr>
      <w:r>
        <w:rPr>
          <w:rFonts w:ascii="宋体" w:hAnsi="宋体"/>
          <w:sz w:val="24"/>
          <w:highlight w:val="none"/>
        </w:rPr>
        <w:t xml:space="preserve">8.1 </w:t>
      </w:r>
      <w:r>
        <w:rPr>
          <w:rFonts w:hint="eastAsia" w:ascii="宋体" w:hAnsi="宋体"/>
          <w:sz w:val="24"/>
          <w:highlight w:val="none"/>
        </w:rPr>
        <w:t>在采购中，出现下列情形之一的，应予废标：</w:t>
      </w:r>
    </w:p>
    <w:p>
      <w:pPr>
        <w:spacing w:line="360" w:lineRule="auto"/>
        <w:ind w:firstLine="410" w:firstLineChars="171"/>
        <w:rPr>
          <w:rFonts w:ascii="宋体"/>
          <w:sz w:val="24"/>
          <w:highlight w:val="none"/>
        </w:rPr>
      </w:pPr>
      <w:r>
        <w:rPr>
          <w:rFonts w:ascii="宋体" w:hAnsi="宋体"/>
          <w:sz w:val="24"/>
          <w:highlight w:val="none"/>
        </w:rPr>
        <w:t xml:space="preserve">8.1.1 </w:t>
      </w:r>
      <w:r>
        <w:rPr>
          <w:rFonts w:hint="eastAsia" w:ascii="宋体" w:hAnsi="宋体"/>
          <w:sz w:val="24"/>
          <w:highlight w:val="none"/>
        </w:rPr>
        <w:t>投标截止时间后有效投标人不足</w:t>
      </w:r>
      <w:r>
        <w:rPr>
          <w:rFonts w:ascii="宋体" w:hAnsi="宋体"/>
          <w:sz w:val="24"/>
          <w:highlight w:val="none"/>
        </w:rPr>
        <w:t>3</w:t>
      </w:r>
      <w:r>
        <w:rPr>
          <w:rFonts w:hint="eastAsia" w:ascii="宋体" w:hAnsi="宋体"/>
          <w:sz w:val="24"/>
          <w:highlight w:val="none"/>
        </w:rPr>
        <w:t>个；</w:t>
      </w:r>
    </w:p>
    <w:p>
      <w:pPr>
        <w:spacing w:line="360" w:lineRule="auto"/>
        <w:ind w:firstLine="410" w:firstLineChars="171"/>
        <w:rPr>
          <w:rFonts w:ascii="宋体"/>
          <w:sz w:val="24"/>
          <w:highlight w:val="none"/>
        </w:rPr>
      </w:pPr>
      <w:r>
        <w:rPr>
          <w:rFonts w:ascii="宋体" w:hAnsi="宋体"/>
          <w:sz w:val="24"/>
          <w:highlight w:val="none"/>
        </w:rPr>
        <w:t xml:space="preserve">8.1.2 </w:t>
      </w:r>
      <w:r>
        <w:rPr>
          <w:rFonts w:hint="eastAsia" w:ascii="宋体" w:hAnsi="宋体"/>
          <w:sz w:val="24"/>
          <w:highlight w:val="none"/>
        </w:rPr>
        <w:t>资格审查或初步审查后有效投标人不足</w:t>
      </w:r>
      <w:r>
        <w:rPr>
          <w:rFonts w:ascii="宋体" w:hAnsi="宋体"/>
          <w:sz w:val="24"/>
          <w:highlight w:val="none"/>
        </w:rPr>
        <w:t>3</w:t>
      </w:r>
      <w:r>
        <w:rPr>
          <w:rFonts w:hint="eastAsia" w:ascii="宋体" w:hAnsi="宋体"/>
          <w:sz w:val="24"/>
          <w:highlight w:val="none"/>
        </w:rPr>
        <w:t>个；</w:t>
      </w:r>
    </w:p>
    <w:p>
      <w:pPr>
        <w:spacing w:line="360" w:lineRule="auto"/>
        <w:ind w:firstLine="410" w:firstLineChars="171"/>
        <w:rPr>
          <w:rFonts w:ascii="宋体"/>
          <w:sz w:val="24"/>
          <w:highlight w:val="none"/>
        </w:rPr>
      </w:pPr>
      <w:r>
        <w:rPr>
          <w:rFonts w:ascii="宋体" w:hAnsi="宋体"/>
          <w:sz w:val="24"/>
          <w:highlight w:val="none"/>
        </w:rPr>
        <w:t xml:space="preserve">8.1.3 </w:t>
      </w:r>
      <w:r>
        <w:rPr>
          <w:rFonts w:hint="eastAsia" w:ascii="宋体" w:hAnsi="宋体"/>
          <w:sz w:val="24"/>
          <w:highlight w:val="none"/>
        </w:rPr>
        <w:t>出现影响采购公正的违法、违规行为的；</w:t>
      </w:r>
    </w:p>
    <w:p>
      <w:pPr>
        <w:spacing w:line="360" w:lineRule="auto"/>
        <w:ind w:firstLine="410" w:firstLineChars="171"/>
        <w:rPr>
          <w:rFonts w:ascii="宋体"/>
          <w:sz w:val="24"/>
          <w:highlight w:val="none"/>
        </w:rPr>
      </w:pPr>
      <w:r>
        <w:rPr>
          <w:rFonts w:ascii="宋体" w:hAnsi="宋体"/>
          <w:sz w:val="24"/>
          <w:highlight w:val="none"/>
        </w:rPr>
        <w:t xml:space="preserve">8.1.4 </w:t>
      </w:r>
      <w:r>
        <w:rPr>
          <w:rFonts w:hint="eastAsia" w:ascii="宋体" w:hAnsi="宋体"/>
          <w:sz w:val="24"/>
          <w:highlight w:val="none"/>
        </w:rPr>
        <w:t>因重大变故，采购任务取消的。</w:t>
      </w:r>
    </w:p>
    <w:p>
      <w:pPr>
        <w:spacing w:line="360" w:lineRule="auto"/>
        <w:ind w:firstLine="410" w:firstLineChars="171"/>
        <w:rPr>
          <w:rFonts w:ascii="宋体"/>
          <w:sz w:val="24"/>
          <w:highlight w:val="none"/>
        </w:rPr>
      </w:pPr>
      <w:r>
        <w:rPr>
          <w:rFonts w:ascii="宋体" w:hAnsi="宋体"/>
          <w:sz w:val="24"/>
          <w:highlight w:val="none"/>
        </w:rPr>
        <w:t xml:space="preserve">8.2 </w:t>
      </w:r>
      <w:r>
        <w:rPr>
          <w:rFonts w:hint="eastAsia" w:ascii="宋体" w:hAnsi="宋体"/>
          <w:sz w:val="24"/>
          <w:highlight w:val="none"/>
        </w:rPr>
        <w:t>废标后，除采购任务取消情形外，报告政府采购监督管理部门批准，重新组织招标或采用其他方式进行采购</w:t>
      </w:r>
      <w:r>
        <w:rPr>
          <w:rFonts w:ascii="宋体" w:hAnsi="宋体"/>
          <w:sz w:val="24"/>
          <w:highlight w:val="none"/>
        </w:rPr>
        <w:t>:</w:t>
      </w:r>
    </w:p>
    <w:p>
      <w:pPr>
        <w:spacing w:line="360" w:lineRule="auto"/>
        <w:ind w:firstLine="410" w:firstLineChars="171"/>
        <w:rPr>
          <w:rFonts w:ascii="宋体"/>
          <w:sz w:val="24"/>
          <w:highlight w:val="none"/>
        </w:rPr>
      </w:pPr>
      <w:r>
        <w:rPr>
          <w:rFonts w:ascii="宋体" w:hAnsi="宋体"/>
          <w:sz w:val="24"/>
          <w:highlight w:val="none"/>
        </w:rPr>
        <w:t xml:space="preserve">8.2.1 </w:t>
      </w:r>
      <w:r>
        <w:rPr>
          <w:rFonts w:hint="eastAsia" w:ascii="宋体" w:hAnsi="宋体"/>
          <w:sz w:val="24"/>
          <w:highlight w:val="none"/>
        </w:rPr>
        <w:t>在招标过程中，提交投标文件或者通过资格审查或初步审查的投标人只有</w:t>
      </w:r>
      <w:r>
        <w:rPr>
          <w:rFonts w:ascii="宋体" w:hAnsi="宋体"/>
          <w:sz w:val="24"/>
          <w:highlight w:val="none"/>
        </w:rPr>
        <w:t>2</w:t>
      </w:r>
      <w:r>
        <w:rPr>
          <w:rFonts w:hint="eastAsia" w:ascii="宋体" w:hAnsi="宋体"/>
          <w:sz w:val="24"/>
          <w:highlight w:val="none"/>
        </w:rPr>
        <w:t>家时，根据中华人民共和国财政部</w:t>
      </w:r>
      <w:r>
        <w:rPr>
          <w:rFonts w:ascii="宋体" w:hAnsi="宋体"/>
          <w:sz w:val="24"/>
          <w:highlight w:val="none"/>
        </w:rPr>
        <w:t>2017</w:t>
      </w:r>
      <w:r>
        <w:rPr>
          <w:rFonts w:hint="eastAsia" w:ascii="宋体" w:hAnsi="宋体"/>
          <w:sz w:val="24"/>
          <w:highlight w:val="none"/>
        </w:rPr>
        <w:t>年第</w:t>
      </w:r>
      <w:r>
        <w:rPr>
          <w:rFonts w:ascii="宋体" w:hAnsi="宋体"/>
          <w:sz w:val="24"/>
          <w:highlight w:val="none"/>
        </w:rPr>
        <w:t>87</w:t>
      </w:r>
      <w:r>
        <w:rPr>
          <w:rFonts w:hint="eastAsia" w:ascii="宋体" w:hAnsi="宋体"/>
          <w:sz w:val="24"/>
          <w:highlight w:val="none"/>
        </w:rPr>
        <w:t>号部长令</w:t>
      </w:r>
      <w:r>
        <w:rPr>
          <w:rFonts w:ascii="宋体"/>
          <w:sz w:val="24"/>
          <w:highlight w:val="none"/>
        </w:rPr>
        <w:t>--</w:t>
      </w:r>
      <w:r>
        <w:rPr>
          <w:rFonts w:hint="eastAsia" w:ascii="宋体" w:hAnsi="宋体"/>
          <w:sz w:val="24"/>
          <w:highlight w:val="none"/>
        </w:rPr>
        <w:t>《政府采购货物和服务招标投标管理办法》第四十三条、</w:t>
      </w:r>
      <w:r>
        <w:rPr>
          <w:rFonts w:ascii="宋体" w:hAnsi="宋体"/>
          <w:sz w:val="24"/>
          <w:highlight w:val="none"/>
        </w:rPr>
        <w:t>2013</w:t>
      </w:r>
      <w:r>
        <w:rPr>
          <w:rFonts w:hint="eastAsia" w:ascii="宋体" w:hAnsi="宋体"/>
          <w:sz w:val="24"/>
          <w:highlight w:val="none"/>
        </w:rPr>
        <w:t>年第</w:t>
      </w:r>
      <w:r>
        <w:rPr>
          <w:rFonts w:ascii="宋体" w:hAnsi="宋体"/>
          <w:sz w:val="24"/>
          <w:highlight w:val="none"/>
        </w:rPr>
        <w:t>74</w:t>
      </w:r>
      <w:r>
        <w:rPr>
          <w:rFonts w:hint="eastAsia" w:ascii="宋体" w:hAnsi="宋体"/>
          <w:sz w:val="24"/>
          <w:highlight w:val="none"/>
        </w:rPr>
        <w:t>号部长令</w:t>
      </w:r>
      <w:r>
        <w:rPr>
          <w:rFonts w:ascii="宋体"/>
          <w:sz w:val="24"/>
          <w:highlight w:val="none"/>
        </w:rPr>
        <w:t>--</w:t>
      </w:r>
      <w:r>
        <w:rPr>
          <w:rFonts w:hint="eastAsia" w:ascii="宋体" w:hAnsi="宋体"/>
          <w:sz w:val="24"/>
          <w:highlight w:val="none"/>
        </w:rPr>
        <w:t>《政府采购非招标采购方式管理办法》第二十七条和陕西省财政厅陕财办采资（</w:t>
      </w:r>
      <w:r>
        <w:rPr>
          <w:rFonts w:ascii="宋体" w:hAnsi="宋体"/>
          <w:sz w:val="24"/>
          <w:highlight w:val="none"/>
        </w:rPr>
        <w:t>2016</w:t>
      </w:r>
      <w:r>
        <w:rPr>
          <w:rFonts w:hint="eastAsia" w:ascii="宋体" w:hAnsi="宋体"/>
          <w:sz w:val="24"/>
          <w:highlight w:val="none"/>
        </w:rPr>
        <w:t>）</w:t>
      </w:r>
      <w:r>
        <w:rPr>
          <w:rFonts w:ascii="宋体" w:hAnsi="宋体"/>
          <w:sz w:val="24"/>
          <w:highlight w:val="none"/>
        </w:rPr>
        <w:t>53</w:t>
      </w:r>
      <w:r>
        <w:rPr>
          <w:rFonts w:hint="eastAsia" w:ascii="宋体" w:hAnsi="宋体"/>
          <w:sz w:val="24"/>
          <w:highlight w:val="none"/>
        </w:rPr>
        <w:t>号文件第七条的规定，经采购人书面请示政府采购管理机构同意后，可以现场转为竞争性谈判或者竞争性磋商的方式继续采购。</w:t>
      </w:r>
    </w:p>
    <w:p>
      <w:pPr>
        <w:spacing w:line="360" w:lineRule="auto"/>
        <w:ind w:firstLine="410" w:firstLineChars="171"/>
        <w:rPr>
          <w:rFonts w:ascii="宋体"/>
          <w:sz w:val="24"/>
          <w:highlight w:val="none"/>
        </w:rPr>
      </w:pPr>
      <w:r>
        <w:rPr>
          <w:rFonts w:hint="eastAsia" w:ascii="宋体" w:hAnsi="宋体"/>
          <w:sz w:val="24"/>
          <w:highlight w:val="none"/>
        </w:rPr>
        <w:t>①如果转为竞争性谈判方式，则原招标文件转为竞争性谈判文件，原投标人即为供应商，原投标文件报价作为竞争性谈判的第一次报价，评审方法按照竞争性谈判的评审原则，在质量和服务均能满足采购文件实质性要求的基础上，按照最后报价由低到高的顺序，确定成交候选供应商。</w:t>
      </w:r>
    </w:p>
    <w:p>
      <w:pPr>
        <w:spacing w:line="360" w:lineRule="auto"/>
        <w:ind w:firstLine="410" w:firstLineChars="171"/>
        <w:rPr>
          <w:rFonts w:ascii="宋体"/>
          <w:sz w:val="24"/>
          <w:highlight w:val="none"/>
        </w:rPr>
      </w:pPr>
      <w:r>
        <w:rPr>
          <w:rFonts w:hint="eastAsia" w:ascii="宋体" w:hAnsi="宋体"/>
          <w:sz w:val="24"/>
          <w:highlight w:val="none"/>
        </w:rPr>
        <w:t>②如果转为竞争性磋商方式，则原招标文件转为竞争性磋商文件，原投标文件报价作为竞争性磋商的第一次报价，评审方法采用原评标方法。</w:t>
      </w:r>
    </w:p>
    <w:p>
      <w:pPr>
        <w:spacing w:line="360" w:lineRule="auto"/>
        <w:ind w:firstLine="410" w:firstLineChars="171"/>
        <w:rPr>
          <w:rFonts w:ascii="宋体"/>
          <w:sz w:val="24"/>
          <w:highlight w:val="none"/>
        </w:rPr>
      </w:pPr>
      <w:r>
        <w:rPr>
          <w:rFonts w:ascii="宋体" w:hAnsi="宋体"/>
          <w:sz w:val="24"/>
          <w:highlight w:val="none"/>
        </w:rPr>
        <w:t xml:space="preserve">8.2.2 </w:t>
      </w:r>
      <w:r>
        <w:rPr>
          <w:rFonts w:hint="eastAsia" w:ascii="宋体" w:hAnsi="宋体"/>
          <w:sz w:val="24"/>
          <w:highlight w:val="none"/>
        </w:rPr>
        <w:t>在招标过程中，提交投标文件或者通过资格审查或符合性审查的投标人只有</w:t>
      </w:r>
      <w:r>
        <w:rPr>
          <w:rFonts w:ascii="宋体" w:hAnsi="宋体"/>
          <w:sz w:val="24"/>
          <w:highlight w:val="none"/>
        </w:rPr>
        <w:t>1</w:t>
      </w:r>
      <w:r>
        <w:rPr>
          <w:rFonts w:hint="eastAsia" w:ascii="宋体" w:hAnsi="宋体"/>
          <w:sz w:val="24"/>
          <w:highlight w:val="none"/>
        </w:rPr>
        <w:t>家时，按废标处理，重新开展采购活动。</w:t>
      </w:r>
    </w:p>
    <w:bookmarkEnd w:id="238"/>
    <w:bookmarkEnd w:id="239"/>
    <w:bookmarkEnd w:id="240"/>
    <w:p>
      <w:pPr>
        <w:spacing w:line="360" w:lineRule="auto"/>
        <w:rPr>
          <w:rFonts w:ascii="宋体" w:cs="宋体"/>
          <w:b/>
          <w:sz w:val="24"/>
          <w:highlight w:val="none"/>
        </w:rPr>
      </w:pPr>
      <w:bookmarkStart w:id="241" w:name="_Toc339114153"/>
      <w:r>
        <w:rPr>
          <w:rFonts w:ascii="宋体" w:hAnsi="宋体" w:cs="宋体"/>
          <w:b/>
          <w:sz w:val="24"/>
          <w:highlight w:val="none"/>
        </w:rPr>
        <w:t xml:space="preserve">9. </w:t>
      </w:r>
      <w:r>
        <w:rPr>
          <w:rFonts w:hint="eastAsia" w:ascii="宋体" w:hAnsi="宋体" w:cs="宋体"/>
          <w:b/>
          <w:sz w:val="24"/>
          <w:highlight w:val="none"/>
        </w:rPr>
        <w:t>纪</w:t>
      </w:r>
      <w:bookmarkStart w:id="242" w:name="_Toc152045574"/>
      <w:bookmarkStart w:id="243" w:name="_Toc144974542"/>
      <w:bookmarkStart w:id="244" w:name="_Toc152042350"/>
      <w:r>
        <w:rPr>
          <w:rFonts w:hint="eastAsia" w:ascii="宋体" w:hAnsi="宋体" w:cs="宋体"/>
          <w:b/>
          <w:sz w:val="24"/>
          <w:highlight w:val="none"/>
        </w:rPr>
        <w:t>律和监督</w:t>
      </w:r>
      <w:bookmarkEnd w:id="241"/>
    </w:p>
    <w:p>
      <w:pPr>
        <w:spacing w:line="360" w:lineRule="auto"/>
        <w:ind w:firstLine="470" w:firstLineChars="196"/>
        <w:rPr>
          <w:rFonts w:ascii="宋体" w:cs="宋体"/>
          <w:sz w:val="24"/>
          <w:highlight w:val="none"/>
        </w:rPr>
      </w:pPr>
      <w:bookmarkStart w:id="245" w:name="_Toc331665333"/>
      <w:bookmarkStart w:id="246" w:name="_Toc339114154"/>
      <w:bookmarkStart w:id="247" w:name="_Toc339012171"/>
      <w:r>
        <w:rPr>
          <w:rFonts w:ascii="宋体" w:hAnsi="宋体" w:cs="宋体"/>
          <w:sz w:val="24"/>
          <w:highlight w:val="none"/>
        </w:rPr>
        <w:t>9.1</w:t>
      </w:r>
      <w:bookmarkEnd w:id="242"/>
      <w:bookmarkEnd w:id="243"/>
      <w:bookmarkEnd w:id="244"/>
      <w:r>
        <w:rPr>
          <w:rFonts w:ascii="宋体" w:hAnsi="宋体" w:cs="宋体"/>
          <w:sz w:val="24"/>
          <w:highlight w:val="none"/>
        </w:rPr>
        <w:t xml:space="preserve"> </w:t>
      </w:r>
      <w:bookmarkStart w:id="248" w:name="_Toc144974543"/>
      <w:bookmarkStart w:id="249" w:name="_Toc152045575"/>
      <w:bookmarkStart w:id="250" w:name="_Toc152042351"/>
      <w:r>
        <w:rPr>
          <w:rFonts w:hint="eastAsia" w:ascii="宋体" w:hAnsi="宋体" w:cs="宋体"/>
          <w:sz w:val="24"/>
          <w:highlight w:val="none"/>
        </w:rPr>
        <w:t>对采购人的纪律要求</w:t>
      </w:r>
      <w:bookmarkEnd w:id="245"/>
      <w:bookmarkEnd w:id="246"/>
      <w:bookmarkEnd w:id="247"/>
    </w:p>
    <w:p>
      <w:pPr>
        <w:spacing w:line="360" w:lineRule="auto"/>
        <w:ind w:firstLine="480" w:firstLineChars="200"/>
        <w:rPr>
          <w:rFonts w:ascii="宋体"/>
          <w:sz w:val="24"/>
          <w:highlight w:val="none"/>
        </w:rPr>
      </w:pPr>
      <w:r>
        <w:rPr>
          <w:rFonts w:hint="eastAsia" w:ascii="宋体" w:hAnsi="宋体"/>
          <w:sz w:val="24"/>
          <w:highlight w:val="none"/>
        </w:rPr>
        <w:t>采购人</w:t>
      </w:r>
      <w:bookmarkEnd w:id="248"/>
      <w:bookmarkEnd w:id="249"/>
      <w:bookmarkEnd w:id="250"/>
      <w:r>
        <w:rPr>
          <w:rFonts w:hint="eastAsia" w:ascii="宋体" w:hAnsi="宋体"/>
          <w:sz w:val="24"/>
          <w:highlight w:val="none"/>
        </w:rPr>
        <w:t>不得泄漏招标投标活动中应当保密的情况和资料，不得与供应商串通损害国家利益、社会公共利益或者他人合法权益。</w:t>
      </w:r>
    </w:p>
    <w:p>
      <w:pPr>
        <w:spacing w:line="360" w:lineRule="auto"/>
        <w:ind w:firstLine="470" w:firstLineChars="196"/>
        <w:rPr>
          <w:rFonts w:ascii="宋体" w:cs="宋体"/>
          <w:sz w:val="24"/>
          <w:highlight w:val="none"/>
        </w:rPr>
      </w:pPr>
      <w:bookmarkStart w:id="251" w:name="_Toc331665334"/>
      <w:bookmarkStart w:id="252" w:name="_Toc339114155"/>
      <w:bookmarkStart w:id="253" w:name="_Toc339012172"/>
      <w:r>
        <w:rPr>
          <w:rFonts w:ascii="宋体" w:hAnsi="宋体" w:cs="宋体"/>
          <w:sz w:val="24"/>
          <w:highlight w:val="none"/>
        </w:rPr>
        <w:t xml:space="preserve">9.2 </w:t>
      </w:r>
      <w:bookmarkStart w:id="254" w:name="_Toc152045576"/>
      <w:bookmarkStart w:id="255" w:name="_Toc144974544"/>
      <w:bookmarkStart w:id="256" w:name="_Toc152042352"/>
      <w:r>
        <w:rPr>
          <w:rFonts w:hint="eastAsia" w:ascii="宋体" w:hAnsi="宋体" w:cs="宋体"/>
          <w:sz w:val="24"/>
          <w:highlight w:val="none"/>
        </w:rPr>
        <w:t>对供应商的纪律要求</w:t>
      </w:r>
      <w:bookmarkEnd w:id="251"/>
      <w:bookmarkEnd w:id="252"/>
      <w:bookmarkEnd w:id="253"/>
    </w:p>
    <w:p>
      <w:pPr>
        <w:spacing w:line="360" w:lineRule="auto"/>
        <w:ind w:firstLine="480" w:firstLineChars="200"/>
        <w:rPr>
          <w:rFonts w:ascii="宋体"/>
          <w:sz w:val="24"/>
          <w:highlight w:val="none"/>
        </w:rPr>
      </w:pPr>
      <w:r>
        <w:rPr>
          <w:rFonts w:hint="eastAsia" w:ascii="宋体" w:hAnsi="宋体"/>
          <w:sz w:val="24"/>
          <w:highlight w:val="none"/>
        </w:rPr>
        <w:t>供应商</w:t>
      </w:r>
      <w:bookmarkEnd w:id="254"/>
      <w:bookmarkEnd w:id="255"/>
      <w:bookmarkEnd w:id="256"/>
      <w:r>
        <w:rPr>
          <w:rFonts w:hint="eastAsia" w:ascii="宋体" w:hAnsi="宋体"/>
          <w:sz w:val="24"/>
          <w:highlight w:val="none"/>
        </w:rPr>
        <w:t>不得相互串通投标或者与采购人串通投标，不得向采购人或者评标委员会成员行贿谋取中标，不得以他人名义投标或者以其他方式弄虚作假骗取中标；供应商不得以任何方式干扰、影响评标工作。</w:t>
      </w:r>
    </w:p>
    <w:p>
      <w:pPr>
        <w:spacing w:line="360" w:lineRule="auto"/>
        <w:ind w:firstLine="470" w:firstLineChars="196"/>
        <w:rPr>
          <w:rFonts w:ascii="宋体" w:cs="宋体"/>
          <w:sz w:val="24"/>
          <w:highlight w:val="none"/>
        </w:rPr>
      </w:pPr>
      <w:bookmarkStart w:id="257" w:name="_Toc339114156"/>
      <w:bookmarkStart w:id="258" w:name="_Toc339012173"/>
      <w:bookmarkStart w:id="259" w:name="_Toc331665335"/>
      <w:r>
        <w:rPr>
          <w:rFonts w:ascii="宋体" w:hAnsi="宋体" w:cs="宋体"/>
          <w:sz w:val="24"/>
          <w:highlight w:val="none"/>
        </w:rPr>
        <w:t xml:space="preserve">9.3 </w:t>
      </w:r>
      <w:bookmarkStart w:id="260" w:name="_Toc152042353"/>
      <w:bookmarkStart w:id="261" w:name="_Toc144974545"/>
      <w:bookmarkStart w:id="262" w:name="_Toc152045577"/>
      <w:r>
        <w:rPr>
          <w:rFonts w:hint="eastAsia" w:ascii="宋体" w:hAnsi="宋体" w:cs="宋体"/>
          <w:sz w:val="24"/>
          <w:highlight w:val="none"/>
        </w:rPr>
        <w:t>对评标委员会成员的纪律要求</w:t>
      </w:r>
      <w:bookmarkEnd w:id="257"/>
      <w:bookmarkEnd w:id="258"/>
      <w:bookmarkEnd w:id="259"/>
    </w:p>
    <w:p>
      <w:pPr>
        <w:spacing w:line="360" w:lineRule="auto"/>
        <w:ind w:firstLine="480" w:firstLineChars="200"/>
        <w:rPr>
          <w:rFonts w:ascii="宋体"/>
          <w:sz w:val="24"/>
          <w:highlight w:val="none"/>
        </w:rPr>
      </w:pPr>
      <w:r>
        <w:rPr>
          <w:rFonts w:hint="eastAsia" w:ascii="宋体" w:hAnsi="宋体"/>
          <w:sz w:val="24"/>
          <w:highlight w:val="none"/>
        </w:rPr>
        <w:t>评标委</w:t>
      </w:r>
      <w:bookmarkEnd w:id="260"/>
      <w:bookmarkEnd w:id="261"/>
      <w:bookmarkEnd w:id="262"/>
      <w:r>
        <w:rPr>
          <w:rFonts w:hint="eastAsia" w:ascii="宋体" w:hAnsi="宋体"/>
          <w:sz w:val="24"/>
          <w:highlight w:val="none"/>
        </w:rPr>
        <w:t>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360" w:lineRule="auto"/>
        <w:ind w:firstLine="470" w:firstLineChars="196"/>
        <w:rPr>
          <w:rFonts w:ascii="宋体" w:cs="宋体"/>
          <w:sz w:val="24"/>
          <w:highlight w:val="none"/>
        </w:rPr>
      </w:pPr>
      <w:bookmarkStart w:id="263" w:name="_Toc339114157"/>
      <w:bookmarkStart w:id="264" w:name="_Toc339012174"/>
      <w:bookmarkStart w:id="265" w:name="_Toc331665336"/>
      <w:r>
        <w:rPr>
          <w:rFonts w:ascii="宋体" w:hAnsi="宋体" w:cs="宋体"/>
          <w:sz w:val="24"/>
          <w:highlight w:val="none"/>
        </w:rPr>
        <w:t xml:space="preserve">9.4 </w:t>
      </w:r>
      <w:bookmarkStart w:id="266" w:name="_Toc152042354"/>
      <w:bookmarkStart w:id="267" w:name="_Toc152045578"/>
      <w:bookmarkStart w:id="268" w:name="_Toc144974546"/>
      <w:r>
        <w:rPr>
          <w:rFonts w:hint="eastAsia" w:ascii="宋体" w:hAnsi="宋体" w:cs="宋体"/>
          <w:sz w:val="24"/>
          <w:highlight w:val="none"/>
        </w:rPr>
        <w:t>对与评标活动有关的工作人员的纪律要求</w:t>
      </w:r>
      <w:bookmarkEnd w:id="263"/>
      <w:bookmarkEnd w:id="264"/>
      <w:bookmarkEnd w:id="265"/>
    </w:p>
    <w:p>
      <w:pPr>
        <w:spacing w:line="360" w:lineRule="auto"/>
        <w:ind w:firstLine="480" w:firstLineChars="200"/>
        <w:rPr>
          <w:rFonts w:ascii="宋体"/>
          <w:sz w:val="24"/>
          <w:highlight w:val="none"/>
        </w:rPr>
      </w:pPr>
      <w:r>
        <w:rPr>
          <w:rFonts w:hint="eastAsia" w:ascii="宋体" w:hAnsi="宋体"/>
          <w:sz w:val="24"/>
          <w:highlight w:val="none"/>
        </w:rPr>
        <w:t>与评标</w:t>
      </w:r>
      <w:bookmarkEnd w:id="266"/>
      <w:bookmarkEnd w:id="267"/>
      <w:r>
        <w:rPr>
          <w:rFonts w:hint="eastAsia" w:ascii="宋体" w:hAnsi="宋体"/>
          <w:sz w:val="24"/>
          <w:highlight w:val="none"/>
        </w:rPr>
        <w:t>活</w:t>
      </w:r>
      <w:bookmarkStart w:id="269" w:name="_Toc152042355"/>
      <w:r>
        <w:rPr>
          <w:rFonts w:hint="eastAsia" w:ascii="宋体" w:hAnsi="宋体"/>
          <w:sz w:val="24"/>
          <w:highlight w:val="none"/>
        </w:rPr>
        <w:t>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70" w:firstLineChars="196"/>
        <w:rPr>
          <w:rFonts w:ascii="宋体" w:cs="宋体"/>
          <w:sz w:val="24"/>
          <w:highlight w:val="none"/>
        </w:rPr>
      </w:pPr>
      <w:bookmarkStart w:id="270" w:name="_Toc331665337"/>
      <w:bookmarkStart w:id="271" w:name="_Toc339114158"/>
      <w:bookmarkStart w:id="272" w:name="_Toc339012175"/>
      <w:r>
        <w:rPr>
          <w:rFonts w:ascii="宋体" w:hAnsi="宋体" w:cs="宋体"/>
          <w:sz w:val="24"/>
          <w:highlight w:val="none"/>
        </w:rPr>
        <w:t>9.5</w:t>
      </w:r>
      <w:bookmarkEnd w:id="269"/>
      <w:r>
        <w:rPr>
          <w:rFonts w:ascii="宋体" w:hAnsi="宋体" w:cs="宋体"/>
          <w:sz w:val="24"/>
          <w:highlight w:val="none"/>
        </w:rPr>
        <w:t xml:space="preserve"> </w:t>
      </w:r>
      <w:bookmarkStart w:id="273" w:name="_Toc152042356"/>
      <w:bookmarkStart w:id="274" w:name="_Toc152045579"/>
      <w:r>
        <w:rPr>
          <w:rFonts w:hint="eastAsia" w:ascii="宋体" w:hAnsi="宋体" w:cs="宋体"/>
          <w:sz w:val="24"/>
          <w:highlight w:val="none"/>
        </w:rPr>
        <w:t>投诉</w:t>
      </w:r>
      <w:bookmarkEnd w:id="270"/>
      <w:bookmarkEnd w:id="271"/>
      <w:bookmarkEnd w:id="272"/>
    </w:p>
    <w:p>
      <w:pPr>
        <w:spacing w:line="360" w:lineRule="auto"/>
        <w:ind w:firstLine="480" w:firstLineChars="200"/>
        <w:rPr>
          <w:rFonts w:ascii="宋体"/>
          <w:sz w:val="24"/>
          <w:highlight w:val="none"/>
        </w:rPr>
      </w:pPr>
      <w:r>
        <w:rPr>
          <w:rFonts w:hint="eastAsia" w:ascii="宋体" w:hAnsi="宋体"/>
          <w:sz w:val="24"/>
          <w:highlight w:val="none"/>
        </w:rPr>
        <w:t>供应商</w:t>
      </w:r>
      <w:bookmarkEnd w:id="268"/>
      <w:bookmarkEnd w:id="273"/>
      <w:bookmarkEnd w:id="274"/>
      <w:r>
        <w:rPr>
          <w:rFonts w:hint="eastAsia" w:ascii="宋体" w:hAnsi="宋体"/>
          <w:sz w:val="24"/>
          <w:highlight w:val="none"/>
        </w:rPr>
        <w:t>和其他利害关系人认为本次招标活动违反法律、法规和规章规定的，有权向有关行政监督部门投诉。</w:t>
      </w:r>
    </w:p>
    <w:p>
      <w:pPr>
        <w:spacing w:line="360" w:lineRule="auto"/>
        <w:ind w:firstLine="470" w:firstLineChars="196"/>
        <w:rPr>
          <w:rFonts w:ascii="宋体" w:cs="宋体"/>
          <w:sz w:val="24"/>
          <w:highlight w:val="none"/>
        </w:rPr>
      </w:pPr>
      <w:r>
        <w:rPr>
          <w:rFonts w:ascii="宋体" w:hAnsi="宋体" w:cs="宋体"/>
          <w:sz w:val="24"/>
          <w:highlight w:val="none"/>
        </w:rPr>
        <w:t>9.6</w:t>
      </w:r>
      <w:r>
        <w:rPr>
          <w:rFonts w:hint="eastAsia" w:ascii="宋体" w:hAnsi="宋体" w:cs="宋体"/>
          <w:sz w:val="24"/>
          <w:highlight w:val="none"/>
        </w:rPr>
        <w:t>特别说明：</w:t>
      </w:r>
    </w:p>
    <w:p>
      <w:pPr>
        <w:spacing w:line="360" w:lineRule="auto"/>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供应商投标所使用的资格、信誉、荣誉、业绩与企业认证必须为本法人所拥有。供应商投标所使用的采购项目实施人员必须为本法人员工（或必须为本法人或控股公司正式员工）。</w:t>
      </w:r>
    </w:p>
    <w:p>
      <w:pPr>
        <w:spacing w:line="360" w:lineRule="auto"/>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供应商应仔细阅读招标文件的所有内容，按照招标文件的要求提交投标文件，并对所提供的全部资料的真实性承担法律责任。</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供应商在投标活动中提供任何虚假材料</w:t>
      </w:r>
      <w:r>
        <w:rPr>
          <w:rFonts w:ascii="宋体"/>
          <w:sz w:val="24"/>
          <w:highlight w:val="none"/>
        </w:rPr>
        <w:t>,</w:t>
      </w:r>
      <w:r>
        <w:rPr>
          <w:rFonts w:hint="eastAsia" w:ascii="宋体" w:hAnsi="宋体"/>
          <w:sz w:val="24"/>
          <w:highlight w:val="none"/>
        </w:rPr>
        <w:t>其投标无效，并报监管部门查处；中标后发现的</w:t>
      </w:r>
      <w:r>
        <w:rPr>
          <w:rFonts w:ascii="宋体"/>
          <w:sz w:val="24"/>
          <w:highlight w:val="none"/>
        </w:rPr>
        <w:t>,</w:t>
      </w:r>
      <w:r>
        <w:rPr>
          <w:rFonts w:hint="eastAsia" w:ascii="宋体" w:hAnsi="宋体"/>
          <w:sz w:val="24"/>
          <w:highlight w:val="none"/>
        </w:rPr>
        <w:t>中标人须依照《中华人民共和国消费者权益保护法》第</w:t>
      </w:r>
      <w:r>
        <w:rPr>
          <w:rFonts w:ascii="宋体" w:hAnsi="宋体"/>
          <w:sz w:val="24"/>
          <w:highlight w:val="none"/>
        </w:rPr>
        <w:t>49</w:t>
      </w:r>
      <w:r>
        <w:rPr>
          <w:rFonts w:hint="eastAsia" w:ascii="宋体" w:hAnsi="宋体"/>
          <w:sz w:val="24"/>
          <w:highlight w:val="none"/>
        </w:rPr>
        <w:t>条之规定双倍赔偿采购人，且民事赔偿并不免除违法供应商的行政与刑事责任。</w:t>
      </w:r>
    </w:p>
    <w:p>
      <w:pPr>
        <w:tabs>
          <w:tab w:val="left" w:pos="360"/>
        </w:tabs>
        <w:snapToGrid w:val="0"/>
        <w:spacing w:line="360" w:lineRule="auto"/>
        <w:ind w:firstLine="499" w:firstLineChars="208"/>
        <w:rPr>
          <w:rFonts w:ascii="宋体"/>
          <w:color w:val="000000"/>
          <w:sz w:val="24"/>
          <w:highlight w:val="none"/>
        </w:rPr>
      </w:pPr>
      <w:r>
        <w:rPr>
          <w:rFonts w:ascii="宋体" w:hAnsi="宋体"/>
          <w:color w:val="000000"/>
          <w:sz w:val="24"/>
          <w:highlight w:val="none"/>
        </w:rPr>
        <w:t>4.</w:t>
      </w:r>
      <w:r>
        <w:rPr>
          <w:rFonts w:hint="eastAsia" w:ascii="宋体" w:hAnsi="宋体"/>
          <w:color w:val="000000"/>
          <w:sz w:val="24"/>
          <w:highlight w:val="none"/>
        </w:rPr>
        <w:t>本招标文件所称中小企业必须符合《政府采购促进中小企业发展暂行办法》第二条规定。</w:t>
      </w:r>
    </w:p>
    <w:p>
      <w:pPr>
        <w:tabs>
          <w:tab w:val="left" w:pos="360"/>
        </w:tabs>
        <w:snapToGrid w:val="0"/>
        <w:spacing w:line="360" w:lineRule="auto"/>
        <w:ind w:firstLine="499" w:firstLineChars="208"/>
        <w:rPr>
          <w:rFonts w:ascii="宋体"/>
          <w:color w:val="000000"/>
          <w:sz w:val="24"/>
          <w:highlight w:val="none"/>
        </w:rPr>
      </w:pPr>
      <w:r>
        <w:rPr>
          <w:rFonts w:ascii="宋体" w:hAnsi="宋体"/>
          <w:color w:val="000000"/>
          <w:sz w:val="24"/>
          <w:highlight w:val="none"/>
        </w:rPr>
        <w:t>5.</w:t>
      </w:r>
      <w:r>
        <w:rPr>
          <w:rFonts w:hint="eastAsia" w:ascii="宋体" w:hAnsi="宋体"/>
          <w:color w:val="000000"/>
          <w:sz w:val="24"/>
          <w:highlight w:val="none"/>
        </w:rPr>
        <w:t>小型和微型企业产品的价格给予</w:t>
      </w:r>
      <w:r>
        <w:rPr>
          <w:rFonts w:ascii="宋体" w:hAnsi="宋体"/>
          <w:color w:val="000000"/>
          <w:sz w:val="24"/>
          <w:highlight w:val="none"/>
        </w:rPr>
        <w:t>6%</w:t>
      </w:r>
      <w:r>
        <w:rPr>
          <w:rFonts w:hint="eastAsia" w:ascii="宋体" w:hAnsi="宋体"/>
          <w:color w:val="000000"/>
          <w:sz w:val="24"/>
          <w:highlight w:val="none"/>
        </w:rPr>
        <w:t>的扣除，用扣除后的价格参与评审。</w:t>
      </w:r>
    </w:p>
    <w:p>
      <w:pPr>
        <w:tabs>
          <w:tab w:val="left" w:pos="360"/>
        </w:tabs>
        <w:snapToGrid w:val="0"/>
        <w:spacing w:line="360" w:lineRule="auto"/>
        <w:ind w:firstLine="499" w:firstLineChars="208"/>
        <w:rPr>
          <w:rFonts w:ascii="宋体"/>
          <w:color w:val="000000"/>
          <w:sz w:val="24"/>
          <w:highlight w:val="none"/>
        </w:rPr>
      </w:pPr>
      <w:r>
        <w:rPr>
          <w:rFonts w:ascii="宋体" w:hAnsi="宋体"/>
          <w:color w:val="000000"/>
          <w:sz w:val="24"/>
          <w:highlight w:val="none"/>
        </w:rPr>
        <w:t>6.</w:t>
      </w:r>
      <w:r>
        <w:rPr>
          <w:rFonts w:hint="eastAsia" w:ascii="宋体" w:hAnsi="宋体"/>
          <w:color w:val="000000"/>
          <w:sz w:val="24"/>
          <w:highlight w:val="none"/>
        </w:rPr>
        <w:t>小型、微型企业提供中型企业制造的货物的，视同为中型企业。</w:t>
      </w:r>
    </w:p>
    <w:p>
      <w:pPr>
        <w:tabs>
          <w:tab w:val="left" w:pos="360"/>
        </w:tabs>
        <w:snapToGrid w:val="0"/>
        <w:spacing w:line="360" w:lineRule="auto"/>
        <w:ind w:firstLine="499" w:firstLineChars="208"/>
        <w:rPr>
          <w:rFonts w:ascii="宋体"/>
          <w:color w:val="000000"/>
          <w:sz w:val="24"/>
          <w:highlight w:val="none"/>
        </w:rPr>
      </w:pPr>
      <w:r>
        <w:rPr>
          <w:rFonts w:ascii="宋体" w:hAnsi="宋体"/>
          <w:color w:val="000000"/>
          <w:sz w:val="24"/>
          <w:highlight w:val="none"/>
        </w:rPr>
        <w:t>7.</w:t>
      </w:r>
      <w:r>
        <w:rPr>
          <w:rFonts w:hint="eastAsia" w:ascii="宋体" w:hAnsi="宋体"/>
          <w:color w:val="000000"/>
          <w:sz w:val="24"/>
          <w:highlight w:val="none"/>
        </w:rPr>
        <w:t>小型、微型企业提供大型企业制造的货物的，视同为大型企业。</w:t>
      </w:r>
    </w:p>
    <w:p>
      <w:pPr>
        <w:spacing w:line="360" w:lineRule="auto"/>
        <w:rPr>
          <w:rFonts w:ascii="宋体" w:cs="宋体"/>
          <w:b/>
          <w:sz w:val="24"/>
          <w:highlight w:val="none"/>
        </w:rPr>
      </w:pPr>
      <w:r>
        <w:rPr>
          <w:rFonts w:hint="eastAsia" w:ascii="宋体" w:hAnsi="宋体" w:cs="宋体"/>
          <w:b/>
          <w:sz w:val="24"/>
          <w:highlight w:val="none"/>
        </w:rPr>
        <w:t>10</w:t>
      </w:r>
      <w:r>
        <w:rPr>
          <w:rFonts w:ascii="宋体" w:hAnsi="宋体" w:cs="宋体"/>
          <w:b/>
          <w:sz w:val="24"/>
          <w:highlight w:val="none"/>
        </w:rPr>
        <w:t xml:space="preserve">. </w:t>
      </w:r>
      <w:r>
        <w:rPr>
          <w:rFonts w:hint="eastAsia" w:ascii="宋体" w:hAnsi="宋体" w:cs="宋体"/>
          <w:b/>
          <w:sz w:val="24"/>
          <w:highlight w:val="none"/>
        </w:rPr>
        <w:t>采购项目需要落实的政府采购政策：</w:t>
      </w:r>
    </w:p>
    <w:p>
      <w:pPr>
        <w:spacing w:line="360" w:lineRule="auto"/>
        <w:ind w:firstLine="470" w:firstLineChars="196"/>
        <w:rPr>
          <w:rFonts w:ascii="宋体"/>
          <w:b/>
          <w:sz w:val="24"/>
          <w:highlight w:val="none"/>
        </w:rPr>
      </w:pPr>
      <w:r>
        <w:rPr>
          <w:rFonts w:hint="eastAsia" w:ascii="宋体"/>
          <w:b/>
          <w:sz w:val="24"/>
          <w:highlight w:val="none"/>
        </w:rPr>
        <w:t>10</w:t>
      </w:r>
      <w:r>
        <w:rPr>
          <w:rFonts w:ascii="宋体"/>
          <w:b/>
          <w:sz w:val="24"/>
          <w:highlight w:val="none"/>
        </w:rPr>
        <w:t>.1</w:t>
      </w:r>
      <w:r>
        <w:rPr>
          <w:rFonts w:hint="eastAsia" w:ascii="宋体"/>
          <w:b/>
          <w:sz w:val="24"/>
          <w:highlight w:val="none"/>
        </w:rPr>
        <w:t>《政府采购促进中小企业发展暂行办法》的通知</w:t>
      </w:r>
      <w:r>
        <w:rPr>
          <w:rFonts w:ascii="宋体"/>
          <w:b/>
          <w:sz w:val="24"/>
          <w:highlight w:val="none"/>
        </w:rPr>
        <w:t>--</w:t>
      </w:r>
      <w:r>
        <w:rPr>
          <w:rFonts w:hint="eastAsia" w:ascii="宋体"/>
          <w:b/>
          <w:sz w:val="24"/>
          <w:highlight w:val="none"/>
        </w:rPr>
        <w:t>财库</w:t>
      </w:r>
      <w:r>
        <w:rPr>
          <w:rFonts w:ascii="宋体"/>
          <w:b/>
          <w:sz w:val="24"/>
          <w:highlight w:val="none"/>
        </w:rPr>
        <w:t>[2011]181</w:t>
      </w:r>
      <w:r>
        <w:rPr>
          <w:rFonts w:hint="eastAsia" w:ascii="宋体"/>
          <w:b/>
          <w:sz w:val="24"/>
          <w:highlight w:val="none"/>
        </w:rPr>
        <w:t>号</w:t>
      </w:r>
    </w:p>
    <w:p>
      <w:pPr>
        <w:spacing w:line="360" w:lineRule="auto"/>
        <w:ind w:firstLine="480" w:firstLineChars="200"/>
        <w:rPr>
          <w:rFonts w:ascii="宋体"/>
          <w:sz w:val="24"/>
          <w:highlight w:val="none"/>
        </w:rPr>
      </w:pPr>
      <w:r>
        <w:rPr>
          <w:rFonts w:hint="eastAsia" w:ascii="宋体"/>
          <w:sz w:val="24"/>
          <w:highlight w:val="none"/>
        </w:rPr>
        <w:t>根据《政府采购促进中小企业发展暂行办法》（财库（</w:t>
      </w:r>
      <w:r>
        <w:rPr>
          <w:rFonts w:ascii="宋体"/>
          <w:sz w:val="24"/>
          <w:highlight w:val="none"/>
        </w:rPr>
        <w:t>2011</w:t>
      </w:r>
      <w:r>
        <w:rPr>
          <w:rFonts w:hint="eastAsia" w:ascii="宋体"/>
          <w:sz w:val="24"/>
          <w:highlight w:val="none"/>
        </w:rPr>
        <w:t>）</w:t>
      </w:r>
      <w:r>
        <w:rPr>
          <w:rFonts w:ascii="宋体"/>
          <w:sz w:val="24"/>
          <w:highlight w:val="none"/>
        </w:rPr>
        <w:t>181</w:t>
      </w:r>
      <w:r>
        <w:rPr>
          <w:rFonts w:hint="eastAsia" w:ascii="宋体"/>
          <w:sz w:val="24"/>
          <w:highlight w:val="none"/>
        </w:rPr>
        <w:t>号）规定，参加政府采购活动的中小企业应当提供《中小企业声明函》。供应商提供的《中小企业声明函》资料必须真实，否则，按照有关规定予以处理。</w:t>
      </w:r>
    </w:p>
    <w:p>
      <w:pPr>
        <w:spacing w:line="360" w:lineRule="auto"/>
        <w:ind w:firstLine="480" w:firstLineChars="200"/>
        <w:rPr>
          <w:rFonts w:ascii="宋体"/>
          <w:sz w:val="24"/>
          <w:highlight w:val="none"/>
        </w:rPr>
      </w:pPr>
      <w:r>
        <w:rPr>
          <w:rFonts w:hint="eastAsia" w:ascii="宋体"/>
          <w:sz w:val="24"/>
          <w:highlight w:val="none"/>
        </w:rPr>
        <w:t>评标委员会对其提供的证明资料进行核实后，根据《政府采购促进中小企业发展暂行办法》的相关规定，对小型和微型企业制造（生产）的产品价格给予</w:t>
      </w:r>
      <w:r>
        <w:rPr>
          <w:rFonts w:ascii="宋体"/>
          <w:sz w:val="24"/>
          <w:highlight w:val="none"/>
        </w:rPr>
        <w:t>6%</w:t>
      </w:r>
      <w:r>
        <w:rPr>
          <w:rFonts w:hint="eastAsia" w:ascii="宋体"/>
          <w:sz w:val="24"/>
          <w:highlight w:val="none"/>
        </w:rPr>
        <w:t>的扣除，用扣除后的价格参与评审。</w:t>
      </w:r>
    </w:p>
    <w:p>
      <w:pPr>
        <w:spacing w:line="360" w:lineRule="auto"/>
        <w:ind w:firstLine="470" w:firstLineChars="196"/>
        <w:rPr>
          <w:rFonts w:ascii="宋体" w:cs="宋体"/>
          <w:b/>
          <w:kern w:val="0"/>
          <w:sz w:val="24"/>
          <w:highlight w:val="none"/>
        </w:rPr>
      </w:pPr>
      <w:r>
        <w:rPr>
          <w:rFonts w:hint="eastAsia" w:ascii="宋体" w:cs="宋体"/>
          <w:b/>
          <w:kern w:val="0"/>
          <w:sz w:val="24"/>
          <w:highlight w:val="none"/>
        </w:rPr>
        <w:t>10</w:t>
      </w:r>
      <w:r>
        <w:rPr>
          <w:rFonts w:ascii="宋体" w:cs="宋体"/>
          <w:b/>
          <w:kern w:val="0"/>
          <w:sz w:val="24"/>
          <w:highlight w:val="none"/>
        </w:rPr>
        <w:t>.2</w:t>
      </w:r>
      <w:r>
        <w:rPr>
          <w:rFonts w:hint="eastAsia" w:ascii="宋体" w:cs="宋体"/>
          <w:b/>
          <w:kern w:val="0"/>
          <w:sz w:val="24"/>
          <w:highlight w:val="none"/>
        </w:rPr>
        <w:t>财政部司法部关于政府采购支持监狱企业发展有关问题的通知</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2014</w:t>
      </w:r>
      <w:r>
        <w:rPr>
          <w:rFonts w:hint="eastAsia" w:ascii="宋体" w:cs="宋体"/>
          <w:b/>
          <w:kern w:val="0"/>
          <w:sz w:val="24"/>
          <w:highlight w:val="none"/>
        </w:rPr>
        <w:t>〕</w:t>
      </w:r>
      <w:r>
        <w:rPr>
          <w:rFonts w:ascii="宋体" w:cs="宋体"/>
          <w:b/>
          <w:kern w:val="0"/>
          <w:sz w:val="24"/>
          <w:highlight w:val="none"/>
        </w:rPr>
        <w:t>68</w:t>
      </w:r>
      <w:r>
        <w:rPr>
          <w:rFonts w:hint="eastAsia" w:ascii="宋体" w:cs="宋体"/>
          <w:b/>
          <w:kern w:val="0"/>
          <w:sz w:val="24"/>
          <w:highlight w:val="none"/>
        </w:rPr>
        <w:t>号</w:t>
      </w:r>
      <w:r>
        <w:rPr>
          <w:rFonts w:ascii="宋体" w:cs="宋体"/>
          <w:b/>
          <w:kern w:val="0"/>
          <w:sz w:val="24"/>
          <w:highlight w:val="none"/>
        </w:rPr>
        <w:t xml:space="preserve"> </w:t>
      </w:r>
    </w:p>
    <w:p>
      <w:pPr>
        <w:spacing w:line="360" w:lineRule="auto"/>
        <w:ind w:firstLine="480" w:firstLineChars="200"/>
        <w:rPr>
          <w:rFonts w:ascii="宋体"/>
          <w:sz w:val="24"/>
          <w:highlight w:val="none"/>
        </w:rPr>
      </w:pPr>
      <w:r>
        <w:rPr>
          <w:rFonts w:hint="eastAsia" w:ascii="宋体"/>
          <w:sz w:val="24"/>
          <w:highlight w:val="none"/>
        </w:rPr>
        <w:t>根据《关于政府采购支持监狱企业发展有关问题的通知》（财库（</w:t>
      </w:r>
      <w:r>
        <w:rPr>
          <w:rFonts w:ascii="宋体"/>
          <w:sz w:val="24"/>
          <w:highlight w:val="none"/>
        </w:rPr>
        <w:t>2014</w:t>
      </w:r>
      <w:r>
        <w:rPr>
          <w:rFonts w:hint="eastAsia" w:ascii="宋体"/>
          <w:sz w:val="24"/>
          <w:highlight w:val="none"/>
        </w:rPr>
        <w:t>）</w:t>
      </w:r>
      <w:r>
        <w:rPr>
          <w:rFonts w:ascii="宋体"/>
          <w:sz w:val="24"/>
          <w:highlight w:val="none"/>
        </w:rPr>
        <w:t>68</w:t>
      </w:r>
      <w:r>
        <w:rPr>
          <w:rFonts w:hint="eastAsia" w:ascii="宋体"/>
          <w:sz w:val="24"/>
          <w:highlight w:val="none"/>
        </w:rPr>
        <w:t>号）规定，在政府采购活动中，监狱企业视同小型、微型企业，享受政府采购促进中小企业发展的政府采购政策。</w:t>
      </w:r>
    </w:p>
    <w:p>
      <w:pPr>
        <w:spacing w:line="360" w:lineRule="auto"/>
        <w:ind w:firstLine="480" w:firstLineChars="200"/>
        <w:rPr>
          <w:rFonts w:ascii="宋体"/>
          <w:sz w:val="24"/>
          <w:highlight w:val="none"/>
        </w:rPr>
      </w:pPr>
      <w:r>
        <w:rPr>
          <w:rFonts w:hint="eastAsia" w:ascii="宋体"/>
          <w:sz w:val="24"/>
          <w:highlight w:val="none"/>
        </w:rPr>
        <w:t>评标委员会对监狱企业的价格给予</w:t>
      </w:r>
      <w:r>
        <w:rPr>
          <w:rFonts w:ascii="宋体"/>
          <w:sz w:val="24"/>
          <w:highlight w:val="none"/>
        </w:rPr>
        <w:t>6%</w:t>
      </w:r>
      <w:r>
        <w:rPr>
          <w:rFonts w:hint="eastAsia" w:ascii="宋体"/>
          <w:sz w:val="24"/>
          <w:highlight w:val="none"/>
        </w:rPr>
        <w:t>的扣除，用扣除后的价格参与评审。</w:t>
      </w:r>
    </w:p>
    <w:p>
      <w:pPr>
        <w:spacing w:line="360" w:lineRule="auto"/>
        <w:ind w:firstLine="470" w:firstLineChars="196"/>
        <w:rPr>
          <w:rFonts w:ascii="宋体" w:cs="宋体"/>
          <w:b/>
          <w:kern w:val="0"/>
          <w:sz w:val="24"/>
          <w:highlight w:val="none"/>
        </w:rPr>
      </w:pPr>
      <w:r>
        <w:rPr>
          <w:rFonts w:hint="eastAsia" w:ascii="宋体" w:cs="宋体"/>
          <w:b/>
          <w:kern w:val="0"/>
          <w:sz w:val="24"/>
          <w:highlight w:val="none"/>
        </w:rPr>
        <w:t>10</w:t>
      </w:r>
      <w:r>
        <w:rPr>
          <w:rFonts w:ascii="宋体" w:cs="宋体"/>
          <w:b/>
          <w:kern w:val="0"/>
          <w:sz w:val="24"/>
          <w:highlight w:val="none"/>
        </w:rPr>
        <w:t>.3</w:t>
      </w:r>
      <w:r>
        <w:rPr>
          <w:rFonts w:hint="eastAsia" w:ascii="宋体" w:cs="宋体"/>
          <w:b/>
          <w:kern w:val="0"/>
          <w:sz w:val="24"/>
          <w:highlight w:val="none"/>
        </w:rPr>
        <w:t>《关于政府采购优先购买福利性企业产品和服务的意见》（陕民发（</w:t>
      </w:r>
      <w:r>
        <w:rPr>
          <w:rFonts w:ascii="宋体" w:cs="宋体"/>
          <w:b/>
          <w:kern w:val="0"/>
          <w:sz w:val="24"/>
          <w:highlight w:val="none"/>
        </w:rPr>
        <w:t>2015</w:t>
      </w:r>
      <w:r>
        <w:rPr>
          <w:rFonts w:hint="eastAsia" w:ascii="宋体" w:cs="宋体"/>
          <w:b/>
          <w:kern w:val="0"/>
          <w:sz w:val="24"/>
          <w:highlight w:val="none"/>
        </w:rPr>
        <w:t>）</w:t>
      </w:r>
      <w:r>
        <w:rPr>
          <w:rFonts w:ascii="宋体" w:cs="宋体"/>
          <w:b/>
          <w:kern w:val="0"/>
          <w:sz w:val="24"/>
          <w:highlight w:val="none"/>
        </w:rPr>
        <w:t>1</w:t>
      </w:r>
      <w:r>
        <w:rPr>
          <w:rFonts w:hint="eastAsia" w:ascii="宋体" w:cs="宋体"/>
          <w:b/>
          <w:kern w:val="0"/>
          <w:sz w:val="24"/>
          <w:highlight w:val="none"/>
        </w:rPr>
        <w:t>号）</w:t>
      </w:r>
    </w:p>
    <w:p>
      <w:pPr>
        <w:spacing w:line="360" w:lineRule="auto"/>
        <w:ind w:firstLine="480" w:firstLineChars="200"/>
        <w:rPr>
          <w:rFonts w:ascii="宋体"/>
          <w:sz w:val="24"/>
          <w:highlight w:val="none"/>
        </w:rPr>
      </w:pPr>
      <w:r>
        <w:rPr>
          <w:rFonts w:hint="eastAsia" w:ascii="宋体"/>
          <w:sz w:val="24"/>
          <w:highlight w:val="none"/>
        </w:rPr>
        <w:t>根据《关于政府采购优先购买福利性企业产品和服务的意见》（陕民发（</w:t>
      </w:r>
      <w:r>
        <w:rPr>
          <w:rFonts w:ascii="宋体"/>
          <w:sz w:val="24"/>
          <w:highlight w:val="none"/>
        </w:rPr>
        <w:t>2015</w:t>
      </w:r>
      <w:r>
        <w:rPr>
          <w:rFonts w:hint="eastAsia" w:ascii="宋体"/>
          <w:sz w:val="24"/>
          <w:highlight w:val="none"/>
        </w:rPr>
        <w:t>）</w:t>
      </w:r>
      <w:r>
        <w:rPr>
          <w:rFonts w:ascii="宋体"/>
          <w:sz w:val="24"/>
          <w:highlight w:val="none"/>
        </w:rPr>
        <w:t>1</w:t>
      </w:r>
      <w:r>
        <w:rPr>
          <w:rFonts w:hint="eastAsia" w:ascii="宋体"/>
          <w:sz w:val="24"/>
          <w:highlight w:val="none"/>
        </w:rPr>
        <w:t>号）规定，在政府采购活动中，本省福利性企业享受我省规定的采购扶持政策。</w:t>
      </w:r>
    </w:p>
    <w:p>
      <w:pPr>
        <w:spacing w:line="360" w:lineRule="auto"/>
        <w:ind w:firstLine="480" w:firstLineChars="200"/>
        <w:rPr>
          <w:rFonts w:ascii="宋体"/>
          <w:sz w:val="24"/>
          <w:highlight w:val="none"/>
        </w:rPr>
      </w:pPr>
      <w:r>
        <w:rPr>
          <w:rFonts w:hint="eastAsia" w:ascii="宋体"/>
          <w:sz w:val="24"/>
          <w:highlight w:val="none"/>
        </w:rPr>
        <w:t>评标委员会对供应商提供的福利企业的证明文件进行核实后，根据相关规定，对福利企业的价格给予</w:t>
      </w:r>
      <w:r>
        <w:rPr>
          <w:rFonts w:ascii="宋体"/>
          <w:sz w:val="24"/>
          <w:highlight w:val="none"/>
        </w:rPr>
        <w:t>6%</w:t>
      </w:r>
      <w:r>
        <w:rPr>
          <w:rFonts w:hint="eastAsia" w:ascii="宋体"/>
          <w:sz w:val="24"/>
          <w:highlight w:val="none"/>
        </w:rPr>
        <w:t>的扣除，用扣除后的价格参与评审。</w:t>
      </w:r>
    </w:p>
    <w:p>
      <w:pPr>
        <w:spacing w:line="360" w:lineRule="auto"/>
        <w:ind w:firstLine="470" w:firstLineChars="196"/>
        <w:rPr>
          <w:rFonts w:ascii="宋体" w:cs="宋体"/>
          <w:b/>
          <w:kern w:val="0"/>
          <w:sz w:val="24"/>
          <w:highlight w:val="none"/>
        </w:rPr>
      </w:pPr>
      <w:r>
        <w:rPr>
          <w:rFonts w:hint="eastAsia" w:ascii="宋体" w:cs="宋体"/>
          <w:b/>
          <w:kern w:val="0"/>
          <w:sz w:val="24"/>
          <w:highlight w:val="none"/>
        </w:rPr>
        <w:t>10</w:t>
      </w:r>
      <w:r>
        <w:rPr>
          <w:rFonts w:ascii="宋体" w:cs="宋体"/>
          <w:b/>
          <w:kern w:val="0"/>
          <w:sz w:val="24"/>
          <w:highlight w:val="none"/>
        </w:rPr>
        <w:t>.4</w:t>
      </w:r>
      <w:r>
        <w:rPr>
          <w:rFonts w:hint="eastAsia" w:ascii="宋体" w:cs="宋体"/>
          <w:b/>
          <w:kern w:val="0"/>
          <w:sz w:val="24"/>
          <w:highlight w:val="none"/>
        </w:rPr>
        <w:t>《国务院办公厅关于建立政府强制采购节能产品制度的通知》</w:t>
      </w:r>
      <w:r>
        <w:rPr>
          <w:rFonts w:ascii="宋体" w:cs="宋体"/>
          <w:b/>
          <w:kern w:val="0"/>
          <w:sz w:val="24"/>
          <w:highlight w:val="none"/>
        </w:rPr>
        <w:t>--</w:t>
      </w:r>
      <w:r>
        <w:rPr>
          <w:rFonts w:hint="eastAsia" w:ascii="宋体" w:cs="宋体"/>
          <w:b/>
          <w:kern w:val="0"/>
          <w:sz w:val="24"/>
          <w:highlight w:val="none"/>
        </w:rPr>
        <w:t>国办发〔</w:t>
      </w:r>
      <w:r>
        <w:rPr>
          <w:rFonts w:ascii="宋体" w:cs="宋体"/>
          <w:b/>
          <w:kern w:val="0"/>
          <w:sz w:val="24"/>
          <w:highlight w:val="none"/>
        </w:rPr>
        <w:t>2007</w:t>
      </w:r>
      <w:r>
        <w:rPr>
          <w:rFonts w:hint="eastAsia" w:ascii="宋体" w:cs="宋体"/>
          <w:b/>
          <w:kern w:val="0"/>
          <w:sz w:val="24"/>
          <w:highlight w:val="none"/>
        </w:rPr>
        <w:t>〕</w:t>
      </w:r>
      <w:r>
        <w:rPr>
          <w:rFonts w:ascii="宋体" w:cs="宋体"/>
          <w:b/>
          <w:kern w:val="0"/>
          <w:sz w:val="24"/>
          <w:highlight w:val="none"/>
        </w:rPr>
        <w:t>51</w:t>
      </w:r>
      <w:r>
        <w:rPr>
          <w:rFonts w:hint="eastAsia" w:ascii="宋体" w:cs="宋体"/>
          <w:b/>
          <w:kern w:val="0"/>
          <w:sz w:val="24"/>
          <w:highlight w:val="none"/>
        </w:rPr>
        <w:t>号</w:t>
      </w:r>
    </w:p>
    <w:p>
      <w:pPr>
        <w:spacing w:line="360" w:lineRule="auto"/>
        <w:ind w:firstLine="480" w:firstLineChars="200"/>
        <w:rPr>
          <w:rFonts w:ascii="宋体"/>
          <w:sz w:val="24"/>
          <w:highlight w:val="none"/>
        </w:rPr>
      </w:pPr>
      <w:r>
        <w:rPr>
          <w:rFonts w:hint="eastAsia" w:ascii="宋体"/>
          <w:sz w:val="24"/>
          <w:highlight w:val="none"/>
        </w:rPr>
        <w:t>各级政府机构使用财政性资金进行政府采购活动时，在技术、服务等指标满足采购需求的前提下，要优先采购节能产品，对部分节能效果、性能等达到要求的产品，实行强制采购。</w:t>
      </w:r>
    </w:p>
    <w:p>
      <w:pPr>
        <w:spacing w:line="360" w:lineRule="auto"/>
        <w:ind w:firstLine="470" w:firstLineChars="196"/>
        <w:rPr>
          <w:rFonts w:ascii="宋体" w:cs="宋体"/>
          <w:b/>
          <w:kern w:val="0"/>
          <w:sz w:val="24"/>
          <w:highlight w:val="none"/>
        </w:rPr>
      </w:pPr>
      <w:r>
        <w:rPr>
          <w:rFonts w:hint="eastAsia" w:ascii="宋体" w:cs="宋体"/>
          <w:b/>
          <w:kern w:val="0"/>
          <w:sz w:val="24"/>
          <w:highlight w:val="none"/>
        </w:rPr>
        <w:t>10</w:t>
      </w:r>
      <w:r>
        <w:rPr>
          <w:rFonts w:ascii="宋体" w:cs="宋体"/>
          <w:b/>
          <w:kern w:val="0"/>
          <w:sz w:val="24"/>
          <w:highlight w:val="none"/>
        </w:rPr>
        <w:t>.5</w:t>
      </w:r>
      <w:r>
        <w:rPr>
          <w:rFonts w:hint="eastAsia" w:ascii="宋体" w:cs="宋体"/>
          <w:b/>
          <w:kern w:val="0"/>
          <w:sz w:val="24"/>
          <w:highlight w:val="none"/>
        </w:rPr>
        <w:t>《环境标志产品政府采购实施的意见》</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[2006]90</w:t>
      </w:r>
      <w:r>
        <w:rPr>
          <w:rFonts w:hint="eastAsia" w:ascii="宋体" w:cs="宋体"/>
          <w:b/>
          <w:kern w:val="0"/>
          <w:sz w:val="24"/>
          <w:highlight w:val="none"/>
        </w:rPr>
        <w:t>号</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政府采购属于环境标志品目清单中产品时，在技术、服务等指标同等条件下，应当优先采购环境标志清单品目所列的节能产品。</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在投标时供应商应提供有效证明材料。（注：属于环境标志品目清单范围中实施政府优先采购的，依据提供的品目清单和国家确认的认证机构出具的认证证书实施政府优先采购）。</w:t>
      </w:r>
    </w:p>
    <w:p>
      <w:pPr>
        <w:tabs>
          <w:tab w:val="left" w:pos="360"/>
        </w:tabs>
        <w:snapToGrid w:val="0"/>
        <w:spacing w:line="360" w:lineRule="auto"/>
        <w:ind w:firstLine="470" w:firstLineChars="196"/>
        <w:rPr>
          <w:rFonts w:ascii="宋体"/>
          <w:b/>
          <w:sz w:val="24"/>
          <w:highlight w:val="none"/>
        </w:rPr>
      </w:pPr>
      <w:r>
        <w:rPr>
          <w:rFonts w:hint="eastAsia" w:ascii="宋体"/>
          <w:b/>
          <w:sz w:val="24"/>
          <w:highlight w:val="none"/>
        </w:rPr>
        <w:t>10</w:t>
      </w:r>
      <w:r>
        <w:rPr>
          <w:rFonts w:ascii="宋体"/>
          <w:b/>
          <w:sz w:val="24"/>
          <w:highlight w:val="none"/>
        </w:rPr>
        <w:t>.6</w:t>
      </w:r>
      <w:r>
        <w:rPr>
          <w:rFonts w:hint="eastAsia" w:ascii="宋体"/>
          <w:b/>
          <w:sz w:val="24"/>
          <w:highlight w:val="none"/>
        </w:rPr>
        <w:t>《关于促进残疾人就业政府采购政策的通知》</w:t>
      </w:r>
      <w:r>
        <w:rPr>
          <w:rFonts w:ascii="宋体"/>
          <w:b/>
          <w:sz w:val="24"/>
          <w:highlight w:val="none"/>
        </w:rPr>
        <w:t>--</w:t>
      </w:r>
      <w:r>
        <w:rPr>
          <w:rFonts w:hint="eastAsia" w:ascii="宋体"/>
          <w:b/>
          <w:sz w:val="24"/>
          <w:highlight w:val="none"/>
        </w:rPr>
        <w:t>财库〔</w:t>
      </w:r>
      <w:r>
        <w:rPr>
          <w:rFonts w:ascii="宋体"/>
          <w:b/>
          <w:sz w:val="24"/>
          <w:highlight w:val="none"/>
        </w:rPr>
        <w:t>2017</w:t>
      </w:r>
      <w:r>
        <w:rPr>
          <w:rFonts w:hint="eastAsia" w:ascii="宋体"/>
          <w:b/>
          <w:sz w:val="24"/>
          <w:highlight w:val="none"/>
        </w:rPr>
        <w:t>〕</w:t>
      </w:r>
      <w:r>
        <w:rPr>
          <w:rFonts w:ascii="宋体"/>
          <w:b/>
          <w:sz w:val="24"/>
          <w:highlight w:val="none"/>
        </w:rPr>
        <w:t>141</w:t>
      </w:r>
      <w:r>
        <w:rPr>
          <w:rFonts w:hint="eastAsia" w:ascii="宋体"/>
          <w:b/>
          <w:sz w:val="24"/>
          <w:highlight w:val="none"/>
        </w:rPr>
        <w:t>号</w:t>
      </w:r>
    </w:p>
    <w:p>
      <w:pPr>
        <w:tabs>
          <w:tab w:val="left" w:pos="360"/>
        </w:tabs>
        <w:snapToGrid w:val="0"/>
        <w:spacing w:line="360" w:lineRule="auto"/>
        <w:rPr>
          <w:rFonts w:ascii="宋体"/>
          <w:sz w:val="24"/>
          <w:highlight w:val="none"/>
        </w:rPr>
      </w:pPr>
      <w:r>
        <w:rPr>
          <w:rFonts w:ascii="宋体"/>
          <w:b/>
          <w:sz w:val="24"/>
          <w:highlight w:val="none"/>
        </w:rPr>
        <w:t xml:space="preserve">   </w:t>
      </w:r>
      <w:r>
        <w:rPr>
          <w:rFonts w:hint="eastAsia" w:ascii="宋体"/>
          <w:sz w:val="24"/>
          <w:highlight w:val="none"/>
        </w:rPr>
        <w:t>符合条件的残疾人福利性单位在参加政府采购活动时，应当提供本通知规定的《残疾人福利性单位声明函》，并对声明的真实性负责。</w:t>
      </w:r>
      <w:r>
        <w:rPr>
          <w:rFonts w:ascii="宋体"/>
          <w:sz w:val="24"/>
          <w:highlight w:val="none"/>
        </w:rPr>
        <w:t xml:space="preserve"> </w:t>
      </w:r>
      <w:r>
        <w:rPr>
          <w:rFonts w:hint="eastAsia" w:ascii="宋体"/>
          <w:sz w:val="24"/>
          <w:highlight w:val="none"/>
        </w:rPr>
        <w:t>供应商提供的《残疾人福利性单位声明函》与事实不符的，依照《政府采购法》第七十七条第一款的规定追究法律责任。</w:t>
      </w:r>
    </w:p>
    <w:p>
      <w:pPr>
        <w:tabs>
          <w:tab w:val="left" w:pos="360"/>
        </w:tabs>
        <w:snapToGrid w:val="0"/>
        <w:spacing w:line="360" w:lineRule="auto"/>
        <w:rPr>
          <w:rFonts w:ascii="宋体"/>
          <w:sz w:val="24"/>
          <w:highlight w:val="none"/>
        </w:rPr>
      </w:pPr>
      <w:r>
        <w:rPr>
          <w:rFonts w:hint="eastAsia" w:ascii="宋体"/>
          <w:sz w:val="24"/>
          <w:highlight w:val="none"/>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adjustRightInd w:val="0"/>
        <w:snapToGrid w:val="0"/>
        <w:spacing w:line="360" w:lineRule="auto"/>
        <w:ind w:firstLine="470" w:firstLineChars="196"/>
        <w:rPr>
          <w:rFonts w:ascii="宋体" w:cs="宋体"/>
          <w:b/>
          <w:kern w:val="0"/>
          <w:sz w:val="24"/>
          <w:highlight w:val="none"/>
        </w:rPr>
      </w:pPr>
      <w:r>
        <w:rPr>
          <w:rFonts w:hint="eastAsia" w:ascii="宋体" w:cs="宋体"/>
          <w:b/>
          <w:kern w:val="0"/>
          <w:sz w:val="24"/>
          <w:highlight w:val="none"/>
        </w:rPr>
        <w:t>10</w:t>
      </w:r>
      <w:r>
        <w:rPr>
          <w:rFonts w:ascii="宋体" w:cs="宋体"/>
          <w:b/>
          <w:kern w:val="0"/>
          <w:sz w:val="24"/>
          <w:highlight w:val="none"/>
        </w:rPr>
        <w:t>.7</w:t>
      </w:r>
      <w:r>
        <w:rPr>
          <w:rFonts w:hint="eastAsia" w:ascii="宋体" w:cs="宋体"/>
          <w:b/>
          <w:kern w:val="0"/>
          <w:sz w:val="24"/>
          <w:highlight w:val="none"/>
        </w:rPr>
        <w:t>财政部国家发展改革委关于印发《节能产品政府采购实施意见》的通知</w:t>
      </w:r>
      <w:r>
        <w:rPr>
          <w:rFonts w:ascii="宋体" w:cs="宋体"/>
          <w:b/>
          <w:kern w:val="0"/>
          <w:sz w:val="24"/>
          <w:highlight w:val="none"/>
        </w:rPr>
        <w:t>--</w:t>
      </w:r>
      <w:r>
        <w:rPr>
          <w:rFonts w:hint="eastAsia" w:ascii="宋体" w:cs="宋体"/>
          <w:b/>
          <w:kern w:val="0"/>
          <w:sz w:val="24"/>
          <w:highlight w:val="none"/>
        </w:rPr>
        <w:t>（财库</w:t>
      </w:r>
      <w:r>
        <w:rPr>
          <w:rFonts w:ascii="宋体" w:cs="宋体"/>
          <w:b/>
          <w:kern w:val="0"/>
          <w:sz w:val="24"/>
          <w:highlight w:val="none"/>
        </w:rPr>
        <w:t>[2004]185</w:t>
      </w:r>
      <w:r>
        <w:rPr>
          <w:rFonts w:hint="eastAsia" w:ascii="宋体" w:cs="宋体"/>
          <w:b/>
          <w:kern w:val="0"/>
          <w:sz w:val="24"/>
          <w:highlight w:val="none"/>
        </w:rPr>
        <w:t>号）</w:t>
      </w:r>
    </w:p>
    <w:p>
      <w:pPr>
        <w:tabs>
          <w:tab w:val="left" w:pos="360"/>
        </w:tabs>
        <w:adjustRightInd w:val="0"/>
        <w:snapToGrid w:val="0"/>
        <w:spacing w:line="360" w:lineRule="auto"/>
        <w:ind w:firstLine="470" w:firstLineChars="196"/>
        <w:rPr>
          <w:rFonts w:ascii="宋体"/>
          <w:sz w:val="24"/>
          <w:highlight w:val="none"/>
        </w:rPr>
      </w:pPr>
      <w:r>
        <w:rPr>
          <w:rFonts w:hint="eastAsia" w:ascii="宋体"/>
          <w:sz w:val="24"/>
          <w:highlight w:val="none"/>
        </w:rPr>
        <w:t>政府采购属于节能品目清单中产品时，在技术、服务等指标同等条件下，应当优先采购节能清单品目所列的节能产品。</w:t>
      </w:r>
    </w:p>
    <w:p>
      <w:pPr>
        <w:tabs>
          <w:tab w:val="left" w:pos="360"/>
        </w:tabs>
        <w:snapToGrid w:val="0"/>
        <w:spacing w:line="360" w:lineRule="auto"/>
        <w:ind w:firstLine="480" w:firstLineChars="200"/>
        <w:rPr>
          <w:rFonts w:ascii="宋体"/>
          <w:sz w:val="24"/>
          <w:highlight w:val="none"/>
        </w:rPr>
      </w:pPr>
      <w:r>
        <w:rPr>
          <w:rFonts w:hint="eastAsia" w:ascii="宋体"/>
          <w:sz w:val="24"/>
          <w:highlight w:val="none"/>
        </w:rPr>
        <w:t>在投标时供应商应提供有效证明材料。（注：属于节能品目清单范围中实施政府优先采购的，依据提供的品目清单和国家确认的认证机构出具的认证证书实施政府优先采购）。</w:t>
      </w:r>
    </w:p>
    <w:p>
      <w:pPr>
        <w:tabs>
          <w:tab w:val="left" w:pos="360"/>
        </w:tabs>
        <w:adjustRightInd w:val="0"/>
        <w:snapToGrid w:val="0"/>
        <w:spacing w:line="360" w:lineRule="auto"/>
        <w:ind w:firstLine="480"/>
        <w:rPr>
          <w:rFonts w:ascii="宋体"/>
          <w:b/>
          <w:sz w:val="24"/>
          <w:highlight w:val="none"/>
        </w:rPr>
      </w:pPr>
      <w:r>
        <w:rPr>
          <w:rFonts w:hint="eastAsia" w:ascii="宋体" w:hAnsi="宋体"/>
          <w:b/>
          <w:sz w:val="24"/>
          <w:highlight w:val="none"/>
        </w:rPr>
        <w:t>10</w:t>
      </w:r>
      <w:r>
        <w:rPr>
          <w:rFonts w:ascii="宋体" w:hAnsi="宋体"/>
          <w:b/>
          <w:sz w:val="24"/>
          <w:highlight w:val="none"/>
        </w:rPr>
        <w:t xml:space="preserve">.8 </w:t>
      </w:r>
      <w:r>
        <w:rPr>
          <w:rFonts w:hint="eastAsia" w:ascii="宋体"/>
          <w:b/>
          <w:sz w:val="24"/>
          <w:highlight w:val="none"/>
        </w:rPr>
        <w:t>《财政部</w:t>
      </w:r>
      <w:r>
        <w:rPr>
          <w:rFonts w:ascii="宋体"/>
          <w:b/>
          <w:sz w:val="24"/>
          <w:highlight w:val="none"/>
        </w:rPr>
        <w:t xml:space="preserve"> </w:t>
      </w:r>
      <w:r>
        <w:rPr>
          <w:rFonts w:hint="eastAsia" w:ascii="宋体"/>
          <w:b/>
          <w:sz w:val="24"/>
          <w:highlight w:val="none"/>
        </w:rPr>
        <w:t>国务院扶贫办关于运用政府采购政策支持脱贫攻坚的通知》</w:t>
      </w:r>
      <w:r>
        <w:rPr>
          <w:rFonts w:ascii="宋体"/>
          <w:b/>
          <w:sz w:val="24"/>
          <w:highlight w:val="none"/>
        </w:rPr>
        <w:t>--</w:t>
      </w:r>
      <w:r>
        <w:rPr>
          <w:rFonts w:hint="eastAsia" w:ascii="宋体"/>
          <w:b/>
          <w:sz w:val="24"/>
          <w:highlight w:val="none"/>
        </w:rPr>
        <w:t>财库〔</w:t>
      </w:r>
      <w:r>
        <w:rPr>
          <w:rFonts w:ascii="宋体"/>
          <w:b/>
          <w:sz w:val="24"/>
          <w:highlight w:val="none"/>
        </w:rPr>
        <w:t>2019</w:t>
      </w:r>
      <w:r>
        <w:rPr>
          <w:rFonts w:hint="eastAsia" w:ascii="宋体"/>
          <w:b/>
          <w:sz w:val="24"/>
          <w:highlight w:val="none"/>
        </w:rPr>
        <w:t>〕</w:t>
      </w:r>
      <w:r>
        <w:rPr>
          <w:rFonts w:ascii="宋体"/>
          <w:b/>
          <w:sz w:val="24"/>
          <w:highlight w:val="none"/>
        </w:rPr>
        <w:t>27</w:t>
      </w:r>
      <w:r>
        <w:rPr>
          <w:rFonts w:hint="eastAsia" w:ascii="宋体"/>
          <w:b/>
          <w:sz w:val="24"/>
          <w:highlight w:val="none"/>
        </w:rPr>
        <w:t>号</w:t>
      </w:r>
    </w:p>
    <w:p>
      <w:pPr>
        <w:autoSpaceDE w:val="0"/>
        <w:autoSpaceDN w:val="0"/>
        <w:adjustRightInd w:val="0"/>
        <w:snapToGrid w:val="0"/>
        <w:spacing w:line="360" w:lineRule="auto"/>
        <w:ind w:firstLine="480" w:firstLineChars="200"/>
        <w:rPr>
          <w:rFonts w:ascii="宋体"/>
          <w:sz w:val="24"/>
          <w:highlight w:val="none"/>
        </w:rPr>
      </w:pPr>
      <w:r>
        <w:rPr>
          <w:rFonts w:hint="eastAsia" w:ascii="宋体"/>
          <w:sz w:val="24"/>
          <w:highlight w:val="none"/>
        </w:rPr>
        <w:t>采购农副产品的，同等条件下应优先采购贫困地区农副产品。各主管预算单位要做好统筹协调，确定并预留本部门各预算单位食堂采购农副产品总额的一定比例定向采购贫困地区农副产品。各级预算单位要按照积极稳妥的原则确定预留比例，购买贫困地区农副产品时要遵循就近、经济的原则，在确保完成既定预留比例的基础上，鼓励更多采购贫困地区农副产品，注重扶贫实际效果。</w:t>
      </w:r>
    </w:p>
    <w:p>
      <w:pPr>
        <w:autoSpaceDE w:val="0"/>
        <w:autoSpaceDN w:val="0"/>
        <w:adjustRightInd w:val="0"/>
        <w:snapToGrid w:val="0"/>
        <w:spacing w:line="360" w:lineRule="auto"/>
        <w:ind w:firstLine="480" w:firstLineChars="200"/>
        <w:rPr>
          <w:rFonts w:ascii="宋体"/>
          <w:sz w:val="24"/>
          <w:highlight w:val="none"/>
        </w:rPr>
      </w:pPr>
      <w:r>
        <w:rPr>
          <w:rFonts w:hint="eastAsia" w:ascii="宋体"/>
          <w:sz w:val="24"/>
          <w:highlight w:val="none"/>
        </w:rPr>
        <w:t>贫困地区农副产品是指</w:t>
      </w:r>
      <w:r>
        <w:rPr>
          <w:rFonts w:ascii="宋体"/>
          <w:sz w:val="24"/>
          <w:highlight w:val="none"/>
        </w:rPr>
        <w:t>832</w:t>
      </w:r>
      <w:r>
        <w:rPr>
          <w:rFonts w:hint="eastAsia" w:ascii="宋体"/>
          <w:sz w:val="24"/>
          <w:highlight w:val="none"/>
        </w:rPr>
        <w:t>个国家级贫困县域内注册的企业、农民专业合作社、家庭农场等出产的农副产品。</w:t>
      </w:r>
    </w:p>
    <w:p>
      <w:pPr>
        <w:tabs>
          <w:tab w:val="left" w:pos="360"/>
        </w:tabs>
        <w:snapToGrid w:val="0"/>
        <w:spacing w:line="360" w:lineRule="auto"/>
        <w:rPr>
          <w:rFonts w:ascii="宋体"/>
          <w:sz w:val="24"/>
          <w:highlight w:val="none"/>
        </w:rPr>
      </w:pPr>
      <w:r>
        <w:rPr>
          <w:rFonts w:hint="eastAsia" w:ascii="宋体"/>
          <w:sz w:val="24"/>
          <w:highlight w:val="none"/>
        </w:rPr>
        <w:t>使用财政性资金采购物业服务的，有条件的应当优先采购注册地在</w:t>
      </w:r>
      <w:r>
        <w:rPr>
          <w:rFonts w:ascii="宋体"/>
          <w:sz w:val="24"/>
          <w:highlight w:val="none"/>
        </w:rPr>
        <w:t>832</w:t>
      </w:r>
      <w:r>
        <w:rPr>
          <w:rFonts w:hint="eastAsia" w:ascii="宋体"/>
          <w:sz w:val="24"/>
          <w:highlight w:val="none"/>
        </w:rPr>
        <w:t>个国家级贫困县域内，且聘用建档立卡贫困人员物业公司提供的物业服务。对注册地在</w:t>
      </w:r>
      <w:r>
        <w:rPr>
          <w:rFonts w:ascii="宋体"/>
          <w:sz w:val="24"/>
          <w:highlight w:val="none"/>
        </w:rPr>
        <w:t>832</w:t>
      </w:r>
      <w:r>
        <w:rPr>
          <w:rFonts w:hint="eastAsia" w:ascii="宋体"/>
          <w:sz w:val="24"/>
          <w:highlight w:val="none"/>
        </w:rPr>
        <w:t>个国家级贫困县域内，且聘用建档立卡贫困人员达到公司员工（含服务外包用工）</w:t>
      </w:r>
      <w:r>
        <w:rPr>
          <w:rFonts w:ascii="宋体"/>
          <w:sz w:val="24"/>
          <w:highlight w:val="none"/>
        </w:rPr>
        <w:t>30%</w:t>
      </w:r>
      <w:r>
        <w:rPr>
          <w:rFonts w:hint="eastAsia" w:ascii="宋体"/>
          <w:sz w:val="24"/>
          <w:highlight w:val="none"/>
        </w:rPr>
        <w:t>以上的物业公司，各级预算单位可根据符合条件的物业公司数量等具体情况，按规定履行有关变更采购方式报批程序后，采用竞争性谈判、竞争性磋商、单一来源等非公开招标采购方式，采购有关物业公司提供的物业服务。</w:t>
      </w:r>
    </w:p>
    <w:p>
      <w:pPr>
        <w:adjustRightInd w:val="0"/>
        <w:snapToGrid w:val="0"/>
        <w:spacing w:line="360" w:lineRule="auto"/>
        <w:rPr>
          <w:rFonts w:ascii="宋体" w:cs="宋体"/>
          <w:b/>
          <w:sz w:val="24"/>
          <w:highlight w:val="none"/>
        </w:rPr>
      </w:pPr>
      <w:r>
        <w:rPr>
          <w:rFonts w:hint="eastAsia" w:ascii="宋体" w:hAnsi="宋体" w:cs="宋体"/>
          <w:b/>
          <w:sz w:val="24"/>
          <w:highlight w:val="none"/>
        </w:rPr>
        <w:t>11</w:t>
      </w:r>
      <w:r>
        <w:rPr>
          <w:rFonts w:ascii="宋体" w:hAnsi="宋体" w:cs="宋体"/>
          <w:b/>
          <w:sz w:val="24"/>
          <w:highlight w:val="none"/>
        </w:rPr>
        <w:t>.</w:t>
      </w:r>
      <w:r>
        <w:rPr>
          <w:rFonts w:hint="eastAsia" w:ascii="宋体" w:hAnsi="宋体" w:cs="宋体"/>
          <w:b/>
          <w:sz w:val="24"/>
          <w:highlight w:val="none"/>
        </w:rPr>
        <w:t>评标过程的监控</w:t>
      </w:r>
    </w:p>
    <w:p>
      <w:pPr>
        <w:adjustRightInd w:val="0"/>
        <w:snapToGrid w:val="0"/>
        <w:spacing w:line="360" w:lineRule="auto"/>
        <w:ind w:firstLine="540" w:firstLineChars="225"/>
        <w:rPr>
          <w:sz w:val="24"/>
          <w:highlight w:val="none"/>
        </w:rPr>
      </w:pPr>
      <w:r>
        <w:rPr>
          <w:rFonts w:hint="eastAsia"/>
          <w:sz w:val="24"/>
          <w:highlight w:val="none"/>
        </w:rPr>
        <w:t>本项目评标过程实行全程录音、录像监控，供应商在评标过程中所进行的试图影响评标结果的不公正活动，可能导致其投标被拒绝。</w:t>
      </w:r>
    </w:p>
    <w:p>
      <w:pPr>
        <w:adjustRightInd w:val="0"/>
        <w:snapToGrid w:val="0"/>
        <w:spacing w:line="360" w:lineRule="auto"/>
        <w:rPr>
          <w:rFonts w:ascii="宋体" w:cs="宋体"/>
          <w:b/>
          <w:sz w:val="24"/>
          <w:highlight w:val="none"/>
        </w:rPr>
      </w:pPr>
      <w:r>
        <w:rPr>
          <w:rFonts w:hint="eastAsia" w:ascii="宋体" w:hAnsi="宋体" w:cs="宋体"/>
          <w:b/>
          <w:sz w:val="24"/>
          <w:highlight w:val="none"/>
        </w:rPr>
        <w:t>12</w:t>
      </w:r>
      <w:r>
        <w:rPr>
          <w:rFonts w:ascii="宋体" w:hAnsi="宋体" w:cs="宋体"/>
          <w:b/>
          <w:sz w:val="24"/>
          <w:highlight w:val="none"/>
        </w:rPr>
        <w:t>.</w:t>
      </w:r>
      <w:r>
        <w:rPr>
          <w:rFonts w:hint="eastAsia" w:ascii="宋体" w:hAnsi="宋体" w:cs="宋体"/>
          <w:b/>
          <w:sz w:val="24"/>
          <w:highlight w:val="none"/>
        </w:rPr>
        <w:t>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w:t>
      </w:r>
      <w:r>
        <w:rPr>
          <w:rFonts w:hint="eastAsia" w:ascii="宋体" w:hAnsi="宋体"/>
          <w:sz w:val="24"/>
          <w:highlight w:val="none"/>
        </w:rPr>
        <w:t>供应商对采购事项有疑问的，应当按照《政府采购质疑和投诉办法》规定，以书面形式向采购人或代理机构提出，经法定代表人签字并加盖公章。</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.2</w:t>
      </w:r>
      <w:r>
        <w:rPr>
          <w:rFonts w:hint="eastAsia" w:ascii="宋体" w:hAnsi="宋体"/>
          <w:sz w:val="24"/>
          <w:highlight w:val="none"/>
        </w:rPr>
        <w:t>供应商认为采购文件、采购过程、中标或者成交结果使自己的权益受到损害的，可以在知道或者应知其权益受到损害之日起</w:t>
      </w:r>
      <w:r>
        <w:rPr>
          <w:rFonts w:ascii="宋体" w:hAnsi="宋体"/>
          <w:sz w:val="24"/>
          <w:highlight w:val="none"/>
        </w:rPr>
        <w:t>7</w:t>
      </w:r>
      <w:r>
        <w:rPr>
          <w:rFonts w:hint="eastAsia" w:ascii="宋体" w:hAnsi="宋体"/>
          <w:sz w:val="24"/>
          <w:highlight w:val="none"/>
        </w:rPr>
        <w:t>个工作日内，以书面形式向采购人、采购代理机构提出质疑。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.3</w:t>
      </w:r>
      <w:r>
        <w:rPr>
          <w:rFonts w:hint="eastAsia" w:ascii="宋体" w:hAnsi="宋体"/>
          <w:sz w:val="24"/>
          <w:highlight w:val="none"/>
        </w:rPr>
        <w:t>供应商对招标文件条款或技术参数有异议的，应当在开标前通过澄清或修改程序提出。供应商已经参与开标，并于开标后对招标文件提出质疑的，其质疑应当被视为无效质疑。在法定质疑期内对采购文件只能是一次性提出针对同一采购程序环节的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.4</w:t>
      </w:r>
      <w:r>
        <w:rPr>
          <w:rFonts w:hint="eastAsia" w:ascii="宋体" w:hAnsi="宋体"/>
          <w:sz w:val="24"/>
          <w:highlight w:val="none"/>
        </w:rPr>
        <w:t>提出质疑的供应商（以下简称质疑供应商）应当是参与所质疑项目采购活动的供应商。潜在供应商已依法获取其可质疑的采购文件的，可以对该文件提出质疑。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.5</w:t>
      </w:r>
      <w:r>
        <w:rPr>
          <w:rFonts w:hint="eastAsia" w:ascii="宋体" w:hAnsi="宋体"/>
          <w:sz w:val="24"/>
          <w:highlight w:val="none"/>
        </w:rPr>
        <w:t>对采购文件提出质疑的，应当在获取采购文件或者采购文件公告期限届满之日起</w:t>
      </w:r>
      <w:r>
        <w:rPr>
          <w:rFonts w:ascii="宋体" w:hAnsi="宋体"/>
          <w:sz w:val="24"/>
          <w:highlight w:val="none"/>
        </w:rPr>
        <w:t>7</w:t>
      </w:r>
      <w:r>
        <w:rPr>
          <w:rFonts w:hint="eastAsia" w:ascii="宋体" w:hAnsi="宋体"/>
          <w:sz w:val="24"/>
          <w:highlight w:val="none"/>
        </w:rPr>
        <w:t>个工作日内提出。</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.6</w:t>
      </w:r>
      <w:r>
        <w:rPr>
          <w:rFonts w:hint="eastAsia" w:ascii="宋体" w:hAnsi="宋体"/>
          <w:sz w:val="24"/>
          <w:highlight w:val="none"/>
        </w:rPr>
        <w:t>供应商提出质疑应当提交质疑函（质疑函范本见附件</w:t>
      </w:r>
      <w:r>
        <w:rPr>
          <w:rFonts w:ascii="宋体" w:hAnsi="宋体"/>
          <w:sz w:val="24"/>
          <w:highlight w:val="none"/>
        </w:rPr>
        <w:t>1</w:t>
      </w:r>
      <w:r>
        <w:rPr>
          <w:rFonts w:hint="eastAsia" w:ascii="宋体" w:hAnsi="宋体"/>
          <w:sz w:val="24"/>
          <w:highlight w:val="none"/>
        </w:rPr>
        <w:t>）和必要的证明材料。质疑函应当包括下列内容：（一）供应商的姓名或者名称、地址、邮编、联系人及联系电话；（二）质疑项目的名称、编号；（三）具体、明确的质疑事项和与质疑事项相关的请求；（四）事实依据；（五）必要的法律依据；（六）提出质疑的日期。供应商为自然人的，应当由本人签字；供应商为法人或者其他组织的，应当由法定代表人、主要负责人，或者其授权代表签字或者盖章，并加盖公章。按照“谁主张、谁举证”的原则，质疑书应当附上相关证明材料，否则质疑将视为无有效证据支持，将被予以驳回。</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.7</w:t>
      </w:r>
      <w:r>
        <w:rPr>
          <w:rFonts w:hint="eastAsia" w:ascii="宋体" w:hAnsi="宋体"/>
          <w:sz w:val="24"/>
          <w:highlight w:val="none"/>
        </w:rPr>
        <w:t>有下列情形之一的，属于无效质疑，代理机构可不予受理：</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①质疑人不是参与本次政府采购项目的服务商或潜在服务商；</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②质疑人与质疑事项不存在利害关系的；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③未在法定期限内提出质疑的；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④质疑未以书面形式提出，或质疑函主要内容构成不完整的；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⑤质疑函没有合法有效的签字、盖章或授权的；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⑥以非法手段取得证据、材料的；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⑦质疑答复后，同一质疑人就同一事项再次提出质疑的；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⑧不符合法律、法规、规章和政府采购监管机构规定的其他条件的。</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符合要求的质疑，采购代理机构将予以受理并答复，具体联系方式如下：</w:t>
      </w:r>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联系人：李莹、</w:t>
      </w:r>
      <w:bookmarkStart w:id="307" w:name="_GoBack"/>
      <w:r>
        <w:rPr>
          <w:rFonts w:hint="eastAsia" w:ascii="宋体" w:hAnsi="宋体"/>
          <w:sz w:val="24"/>
          <w:highlight w:val="none"/>
        </w:rPr>
        <w:t>杨世明</w:t>
      </w:r>
      <w:bookmarkEnd w:id="307"/>
    </w:p>
    <w:p>
      <w:pPr>
        <w:adjustRightInd w:val="0"/>
        <w:snapToGrid w:val="0"/>
        <w:spacing w:line="360" w:lineRule="auto"/>
        <w:ind w:firstLine="480" w:firstLineChars="200"/>
        <w:jc w:val="left"/>
        <w:rPr>
          <w:rFonts w:ascii="宋体" w:hAnsi="宋体"/>
          <w:sz w:val="24"/>
          <w:highlight w:val="none"/>
        </w:rPr>
      </w:pPr>
      <w:r>
        <w:rPr>
          <w:rFonts w:hint="eastAsia" w:ascii="宋体" w:hAnsi="宋体"/>
          <w:sz w:val="24"/>
          <w:highlight w:val="none"/>
        </w:rPr>
        <w:t xml:space="preserve">联系电话：029-89351397     </w:t>
      </w:r>
    </w:p>
    <w:p>
      <w:pPr>
        <w:adjustRightInd w:val="0"/>
        <w:snapToGrid w:val="0"/>
        <w:spacing w:line="360" w:lineRule="auto"/>
        <w:ind w:firstLine="480" w:firstLineChars="200"/>
        <w:jc w:val="left"/>
        <w:rPr>
          <w:rFonts w:hint="eastAsia" w:ascii="宋体" w:hAnsi="宋体"/>
          <w:sz w:val="24"/>
          <w:highlight w:val="none"/>
        </w:rPr>
      </w:pPr>
      <w:r>
        <w:rPr>
          <w:rFonts w:hint="eastAsia" w:ascii="宋体" w:hAnsi="宋体"/>
          <w:sz w:val="24"/>
          <w:highlight w:val="none"/>
        </w:rPr>
        <w:t>地址：西安市未央区凤城五路与明光路十字天朗经开中心10楼11002室</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.8</w:t>
      </w:r>
      <w:r>
        <w:rPr>
          <w:rFonts w:hint="eastAsia" w:ascii="宋体" w:hAnsi="宋体"/>
          <w:sz w:val="24"/>
          <w:highlight w:val="none"/>
        </w:rPr>
        <w:t>采购人或代理机构将在收到书面质疑后</w:t>
      </w:r>
      <w:r>
        <w:rPr>
          <w:rFonts w:ascii="宋体" w:hAnsi="宋体"/>
          <w:sz w:val="24"/>
          <w:highlight w:val="none"/>
        </w:rPr>
        <w:t>7</w:t>
      </w:r>
      <w:r>
        <w:rPr>
          <w:rFonts w:hint="eastAsia" w:ascii="宋体" w:hAnsi="宋体"/>
          <w:sz w:val="24"/>
          <w:highlight w:val="none"/>
        </w:rPr>
        <w:t>个工作日内审查质疑事项，作出答复或相关处理决定，并以书面形式通知质疑供应商和其他有关供应商，但答复的内容不涉及商业秘密。若质疑涉及政府采购制度或程序，将被转交政府采购的管理部门审查。</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.9</w:t>
      </w:r>
      <w:r>
        <w:rPr>
          <w:rFonts w:hint="eastAsia" w:ascii="宋体" w:hAnsi="宋体"/>
          <w:sz w:val="24"/>
          <w:highlight w:val="none"/>
        </w:rPr>
        <w:t>供应商对评审过程、中标或者成交结果提出质疑的，采购人、采购代理机构可以组织原评标委员会、竞争性谈判小组、询价小组或者竞争性磋商小组协助答复质疑。</w:t>
      </w:r>
    </w:p>
    <w:p>
      <w:pPr>
        <w:adjustRightInd w:val="0"/>
        <w:snapToGrid w:val="0"/>
        <w:spacing w:line="360" w:lineRule="auto"/>
        <w:ind w:firstLine="480" w:firstLineChars="200"/>
        <w:rPr>
          <w:rFonts w:ascii="宋体"/>
          <w:sz w:val="24"/>
          <w:highlight w:val="none"/>
        </w:rPr>
      </w:pPr>
      <w:r>
        <w:rPr>
          <w:rFonts w:hint="eastAsia" w:ascii="宋体" w:hAnsi="宋体"/>
          <w:sz w:val="24"/>
          <w:highlight w:val="none"/>
        </w:rPr>
        <w:t>12</w:t>
      </w:r>
      <w:r>
        <w:rPr>
          <w:rFonts w:ascii="宋体" w:hAnsi="宋体"/>
          <w:sz w:val="24"/>
          <w:highlight w:val="none"/>
        </w:rPr>
        <w:t>.10</w:t>
      </w:r>
      <w:r>
        <w:rPr>
          <w:rFonts w:hint="eastAsia" w:ascii="宋体" w:hAnsi="宋体"/>
          <w:sz w:val="24"/>
          <w:highlight w:val="none"/>
        </w:rPr>
        <w:t>质疑人有下列情形之一的，代理机构应驳回质疑：</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.10.1</w:t>
      </w:r>
      <w:r>
        <w:rPr>
          <w:rFonts w:hint="eastAsia" w:ascii="宋体" w:hAnsi="宋体"/>
          <w:sz w:val="24"/>
          <w:highlight w:val="none"/>
        </w:rPr>
        <w:t>质疑缺乏事实和法律依据的；</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.10.2</w:t>
      </w:r>
      <w:r>
        <w:rPr>
          <w:rFonts w:hint="eastAsia" w:ascii="宋体" w:hAnsi="宋体"/>
          <w:sz w:val="24"/>
          <w:highlight w:val="none"/>
        </w:rPr>
        <w:t>质疑人捏造事实、提供虚假材料，或在一定期限内多次质疑而无实据的；</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.10.3</w:t>
      </w:r>
      <w:r>
        <w:rPr>
          <w:rFonts w:hint="eastAsia" w:ascii="宋体" w:hAnsi="宋体"/>
          <w:sz w:val="24"/>
          <w:highlight w:val="none"/>
        </w:rPr>
        <w:t>质疑已经处理并答复后，质疑人就同一事项又提起质疑且未提供新的有效证据的；</w:t>
      </w:r>
    </w:p>
    <w:p>
      <w:pPr>
        <w:adjustRightInd w:val="0"/>
        <w:snapToGrid w:val="0"/>
        <w:spacing w:line="360" w:lineRule="auto"/>
        <w:ind w:firstLine="480" w:firstLineChars="200"/>
        <w:rPr>
          <w:rFonts w:ascii="宋体"/>
          <w:sz w:val="24"/>
          <w:highlight w:val="none"/>
        </w:rPr>
      </w:pPr>
      <w:r>
        <w:rPr>
          <w:rFonts w:hint="eastAsia" w:ascii="宋体" w:hAnsi="宋体"/>
          <w:sz w:val="24"/>
          <w:highlight w:val="none"/>
        </w:rPr>
        <w:t>12</w:t>
      </w:r>
      <w:r>
        <w:rPr>
          <w:rFonts w:ascii="宋体" w:hAnsi="宋体"/>
          <w:sz w:val="24"/>
          <w:highlight w:val="none"/>
        </w:rPr>
        <w:t>.10.4</w:t>
      </w:r>
      <w:r>
        <w:rPr>
          <w:rFonts w:hint="eastAsia" w:ascii="宋体" w:hAnsi="宋体"/>
          <w:sz w:val="24"/>
          <w:highlight w:val="none"/>
        </w:rPr>
        <w:t>其他根据相关法律、法规应当予以驳回的情形。</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.11</w:t>
      </w:r>
      <w:r>
        <w:rPr>
          <w:rFonts w:hint="eastAsia" w:ascii="宋体" w:hAnsi="宋体"/>
          <w:sz w:val="24"/>
          <w:highlight w:val="none"/>
        </w:rPr>
        <w:t>供应商进行虚假和恶意质疑的，代理机构可以提请有关部门将其列入不良记录名单，在一至三年内禁止参加政府采购活动，并将处理决定在相关政府采购媒体上公布。</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12</w:t>
      </w:r>
      <w:r>
        <w:rPr>
          <w:rFonts w:ascii="宋体" w:hAnsi="宋体"/>
          <w:sz w:val="24"/>
          <w:highlight w:val="none"/>
        </w:rPr>
        <w:t>.12</w:t>
      </w:r>
      <w:r>
        <w:rPr>
          <w:rFonts w:hint="eastAsia" w:ascii="宋体" w:hAnsi="宋体"/>
          <w:sz w:val="24"/>
          <w:highlight w:val="none"/>
        </w:rPr>
        <w:t>采购人、采购代理机构认为供应商质疑不成立，或者成立但未对中标、成交结果构成影响的，继续开展采购活动；认为供应商质疑成立且影响或者可能影响中标、成交结果的，按照下列情况处理：</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（一）对采购文件提出的质疑，依法通过澄清或者修改可以继续开展采购活动的，澄清或者修改采购文件后继续开展采购活动；否则应当修改采购文件后重新开展采购活动。</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二）对采购过程、中标或者成交结果提出的质疑，合格供应商符合法定数量时，可以从合格的中标或者成交候选人中另行确定中标、成交供应商的，应当依法另行确定中标、成交供应商；否则应当重新开展采购活动。</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质疑答复导致中标、成交结果改变的，采购人或者采购代理机构应当将有关情况书面报告本级财政部门。</w:t>
      </w:r>
    </w:p>
    <w:p>
      <w:pPr>
        <w:adjustRightInd w:val="0"/>
        <w:snapToGrid w:val="0"/>
        <w:spacing w:line="360" w:lineRule="auto"/>
        <w:ind w:firstLine="480" w:firstLineChars="200"/>
        <w:rPr>
          <w:rFonts w:ascii="宋体"/>
          <w:b/>
          <w:sz w:val="24"/>
          <w:highlight w:val="none"/>
        </w:rPr>
      </w:pPr>
      <w:r>
        <w:rPr>
          <w:rFonts w:hint="eastAsia" w:ascii="宋体" w:hAnsi="宋体"/>
          <w:b/>
          <w:sz w:val="24"/>
          <w:highlight w:val="none"/>
        </w:rPr>
        <w:t>12</w:t>
      </w:r>
      <w:r>
        <w:rPr>
          <w:rFonts w:ascii="宋体" w:hAnsi="宋体"/>
          <w:b/>
          <w:sz w:val="24"/>
          <w:highlight w:val="none"/>
        </w:rPr>
        <w:t>.13</w:t>
      </w:r>
      <w:r>
        <w:rPr>
          <w:rFonts w:hint="eastAsia" w:ascii="宋体" w:hAnsi="宋体"/>
          <w:b/>
          <w:sz w:val="24"/>
          <w:highlight w:val="none"/>
        </w:rPr>
        <w:t>质疑供应商对采购人、采购代理机构的答复不满意，或者采购人、采购代理机构未在规定时间内作出答复的，可以在答复期满后</w:t>
      </w:r>
      <w:r>
        <w:rPr>
          <w:rFonts w:ascii="宋体" w:hAnsi="宋体"/>
          <w:b/>
          <w:sz w:val="24"/>
          <w:highlight w:val="none"/>
        </w:rPr>
        <w:t>15</w:t>
      </w:r>
      <w:r>
        <w:rPr>
          <w:rFonts w:hint="eastAsia" w:ascii="宋体" w:hAnsi="宋体"/>
          <w:b/>
          <w:sz w:val="24"/>
          <w:highlight w:val="none"/>
        </w:rPr>
        <w:t>个工作日内向本办法第六条规定的财政部门提起投诉（投诉书范本见附件</w:t>
      </w:r>
      <w:r>
        <w:rPr>
          <w:rFonts w:ascii="宋体" w:hAnsi="宋体"/>
          <w:b/>
          <w:sz w:val="24"/>
          <w:highlight w:val="none"/>
        </w:rPr>
        <w:t>2</w:t>
      </w:r>
      <w:r>
        <w:rPr>
          <w:rFonts w:hint="eastAsia" w:ascii="宋体" w:hAnsi="宋体"/>
          <w:b/>
          <w:sz w:val="24"/>
          <w:highlight w:val="none"/>
        </w:rPr>
        <w:t>）。</w:t>
      </w:r>
    </w:p>
    <w:p>
      <w:pPr>
        <w:tabs>
          <w:tab w:val="left" w:pos="360"/>
        </w:tabs>
        <w:adjustRightInd w:val="0"/>
        <w:snapToGrid w:val="0"/>
        <w:spacing w:line="360" w:lineRule="auto"/>
        <w:ind w:firstLine="480"/>
        <w:rPr>
          <w:rFonts w:ascii="宋体"/>
          <w:b/>
          <w:sz w:val="24"/>
          <w:highlight w:val="none"/>
        </w:rPr>
      </w:pPr>
      <w:r>
        <w:rPr>
          <w:rFonts w:hint="eastAsia" w:ascii="宋体" w:hAnsi="宋体"/>
          <w:b/>
          <w:sz w:val="24"/>
          <w:highlight w:val="none"/>
        </w:rPr>
        <w:t>13</w:t>
      </w:r>
      <w:r>
        <w:rPr>
          <w:rFonts w:ascii="宋体" w:hAnsi="宋体"/>
          <w:b/>
          <w:sz w:val="24"/>
          <w:highlight w:val="none"/>
        </w:rPr>
        <w:t>.</w:t>
      </w:r>
      <w:r>
        <w:rPr>
          <w:rFonts w:hint="eastAsia" w:ascii="宋体" w:hAnsi="宋体"/>
          <w:b/>
          <w:sz w:val="24"/>
          <w:highlight w:val="none"/>
        </w:rPr>
        <w:t>投诉</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13</w:t>
      </w:r>
      <w:r>
        <w:rPr>
          <w:rFonts w:ascii="宋体" w:hAnsi="宋体"/>
          <w:sz w:val="24"/>
          <w:highlight w:val="none"/>
        </w:rPr>
        <w:t xml:space="preserve">.1 </w:t>
      </w:r>
      <w:r>
        <w:rPr>
          <w:rFonts w:hint="eastAsia" w:ascii="宋体" w:hAnsi="宋体"/>
          <w:sz w:val="24"/>
          <w:highlight w:val="none"/>
        </w:rPr>
        <w:t>质疑人对采购代理机构或采购人的答复不满意，以及采购代理机构或采购人未在规定时间内做出答复的，可以在答复期满后</w:t>
      </w:r>
      <w:r>
        <w:rPr>
          <w:rFonts w:ascii="宋体" w:hAnsi="宋体"/>
          <w:sz w:val="24"/>
          <w:highlight w:val="none"/>
        </w:rPr>
        <w:t>15</w:t>
      </w:r>
      <w:r>
        <w:rPr>
          <w:rFonts w:hint="eastAsia" w:ascii="宋体" w:hAnsi="宋体"/>
          <w:sz w:val="24"/>
          <w:highlight w:val="none"/>
        </w:rPr>
        <w:t>个工作日内向政府采购监管机构提出投诉。</w:t>
      </w:r>
    </w:p>
    <w:p>
      <w:pPr>
        <w:adjustRightInd w:val="0"/>
        <w:snapToGrid w:val="0"/>
        <w:spacing w:line="360" w:lineRule="auto"/>
        <w:ind w:firstLine="480" w:firstLineChars="200"/>
        <w:jc w:val="left"/>
        <w:rPr>
          <w:rFonts w:ascii="宋体"/>
          <w:sz w:val="24"/>
          <w:highlight w:val="none"/>
        </w:rPr>
      </w:pPr>
      <w:r>
        <w:rPr>
          <w:rFonts w:hint="eastAsia" w:ascii="宋体" w:hAnsi="宋体"/>
          <w:sz w:val="24"/>
          <w:highlight w:val="none"/>
        </w:rPr>
        <w:t>13</w:t>
      </w:r>
      <w:r>
        <w:rPr>
          <w:rFonts w:ascii="宋体" w:hAnsi="宋体"/>
          <w:sz w:val="24"/>
          <w:highlight w:val="none"/>
        </w:rPr>
        <w:t xml:space="preserve">.2 </w:t>
      </w:r>
      <w:r>
        <w:rPr>
          <w:rFonts w:hint="eastAsia" w:ascii="宋体" w:hAnsi="宋体"/>
          <w:sz w:val="24"/>
          <w:highlight w:val="none"/>
        </w:rPr>
        <w:t>投诉的事项不得超出已质疑事项的范围。</w:t>
      </w:r>
    </w:p>
    <w:p>
      <w:pPr>
        <w:adjustRightInd w:val="0"/>
        <w:snapToGrid w:val="0"/>
        <w:spacing w:line="360" w:lineRule="auto"/>
        <w:ind w:firstLine="470" w:firstLineChars="196"/>
        <w:rPr>
          <w:rFonts w:ascii="宋体"/>
          <w:b/>
          <w:sz w:val="24"/>
          <w:highlight w:val="none"/>
        </w:rPr>
      </w:pPr>
      <w:r>
        <w:rPr>
          <w:rFonts w:hint="eastAsia" w:ascii="宋体" w:hAnsi="宋体"/>
          <w:b/>
          <w:sz w:val="24"/>
          <w:highlight w:val="none"/>
        </w:rPr>
        <w:t>13</w:t>
      </w:r>
      <w:r>
        <w:rPr>
          <w:rFonts w:ascii="宋体" w:hAnsi="宋体"/>
          <w:b/>
          <w:sz w:val="24"/>
          <w:highlight w:val="none"/>
        </w:rPr>
        <w:t xml:space="preserve">.3 </w:t>
      </w:r>
      <w:r>
        <w:rPr>
          <w:rFonts w:hint="eastAsia" w:ascii="宋体" w:hAnsi="宋体"/>
          <w:b/>
          <w:sz w:val="24"/>
          <w:highlight w:val="none"/>
        </w:rPr>
        <w:t>投标人在全国范围</w:t>
      </w:r>
      <w:r>
        <w:rPr>
          <w:rFonts w:ascii="宋体" w:hAnsi="宋体"/>
          <w:b/>
          <w:sz w:val="24"/>
          <w:highlight w:val="none"/>
        </w:rPr>
        <w:t>12</w:t>
      </w:r>
      <w:r>
        <w:rPr>
          <w:rFonts w:hint="eastAsia" w:ascii="宋体" w:hAnsi="宋体"/>
          <w:b/>
          <w:sz w:val="24"/>
          <w:highlight w:val="none"/>
        </w:rPr>
        <w:t>个月内三次以上投诉查无实据的，由财政部门列入不良行为记录名单。投标人捏造事实、提供虚假材料或者以非法手段取得证明材料进行投诉的，由财政部门列入不良行为记录名单，禁止其</w:t>
      </w:r>
      <w:r>
        <w:rPr>
          <w:rFonts w:ascii="宋体" w:hAnsi="宋体"/>
          <w:b/>
          <w:sz w:val="24"/>
          <w:highlight w:val="none"/>
        </w:rPr>
        <w:t>1</w:t>
      </w:r>
      <w:r>
        <w:rPr>
          <w:rFonts w:hint="eastAsia" w:ascii="宋体" w:hAnsi="宋体"/>
          <w:b/>
          <w:sz w:val="24"/>
          <w:highlight w:val="none"/>
        </w:rPr>
        <w:t>至</w:t>
      </w:r>
      <w:r>
        <w:rPr>
          <w:rFonts w:ascii="宋体" w:hAnsi="宋体"/>
          <w:b/>
          <w:sz w:val="24"/>
          <w:highlight w:val="none"/>
        </w:rPr>
        <w:t>3</w:t>
      </w:r>
      <w:r>
        <w:rPr>
          <w:rFonts w:hint="eastAsia" w:ascii="宋体" w:hAnsi="宋体"/>
          <w:b/>
          <w:sz w:val="24"/>
          <w:highlight w:val="none"/>
        </w:rPr>
        <w:t>年内参加政府采购活动。</w:t>
      </w:r>
    </w:p>
    <w:p>
      <w:pPr>
        <w:spacing w:line="360" w:lineRule="auto"/>
        <w:rPr>
          <w:rFonts w:ascii="宋体"/>
          <w:b/>
          <w:sz w:val="24"/>
          <w:highlight w:val="none"/>
        </w:rPr>
      </w:pPr>
    </w:p>
    <w:p>
      <w:pPr>
        <w:spacing w:line="360" w:lineRule="auto"/>
        <w:rPr>
          <w:rFonts w:ascii="宋体"/>
          <w:b/>
          <w:sz w:val="24"/>
          <w:highlight w:val="none"/>
        </w:rPr>
      </w:pPr>
    </w:p>
    <w:p>
      <w:pPr>
        <w:spacing w:line="360" w:lineRule="auto"/>
        <w:rPr>
          <w:rFonts w:ascii="宋体"/>
          <w:b/>
          <w:sz w:val="24"/>
          <w:highlight w:val="none"/>
        </w:rPr>
      </w:pPr>
    </w:p>
    <w:p>
      <w:pPr>
        <w:spacing w:line="360" w:lineRule="auto"/>
        <w:rPr>
          <w:rFonts w:hint="eastAsia" w:ascii="宋体" w:hAnsi="宋体"/>
          <w:b/>
          <w:sz w:val="24"/>
          <w:highlight w:val="none"/>
        </w:rPr>
      </w:pPr>
    </w:p>
    <w:p>
      <w:pPr>
        <w:pStyle w:val="2"/>
        <w:rPr>
          <w:rFonts w:hint="eastAsia" w:ascii="宋体" w:hAnsi="宋体"/>
          <w:b/>
          <w:sz w:val="24"/>
          <w:highlight w:val="none"/>
        </w:rPr>
      </w:pPr>
    </w:p>
    <w:p>
      <w:pPr>
        <w:rPr>
          <w:rFonts w:hint="eastAsia" w:ascii="宋体" w:hAnsi="宋体"/>
          <w:b/>
          <w:sz w:val="24"/>
          <w:highlight w:val="none"/>
        </w:rPr>
      </w:pPr>
    </w:p>
    <w:p>
      <w:pPr>
        <w:pStyle w:val="2"/>
        <w:rPr>
          <w:rFonts w:hint="eastAsia" w:ascii="宋体" w:hAnsi="宋体"/>
          <w:b/>
          <w:sz w:val="24"/>
          <w:highlight w:val="none"/>
        </w:rPr>
      </w:pPr>
    </w:p>
    <w:p>
      <w:pPr>
        <w:rPr>
          <w:rFonts w:hint="eastAsia" w:ascii="宋体" w:hAnsi="宋体"/>
          <w:b/>
          <w:sz w:val="24"/>
          <w:highlight w:val="none"/>
        </w:rPr>
      </w:pPr>
    </w:p>
    <w:p>
      <w:pPr>
        <w:pStyle w:val="2"/>
        <w:rPr>
          <w:rFonts w:hint="eastAsia" w:ascii="宋体" w:hAnsi="宋体"/>
          <w:b/>
          <w:sz w:val="24"/>
          <w:highlight w:val="none"/>
        </w:rPr>
      </w:pPr>
    </w:p>
    <w:p>
      <w:pPr>
        <w:rPr>
          <w:rFonts w:hint="eastAsia" w:ascii="宋体" w:hAnsi="宋体"/>
          <w:b/>
          <w:sz w:val="24"/>
          <w:highlight w:val="none"/>
        </w:rPr>
      </w:pPr>
    </w:p>
    <w:p>
      <w:pPr>
        <w:pStyle w:val="2"/>
        <w:rPr>
          <w:rFonts w:hint="eastAsia"/>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hint="eastAsia" w:ascii="宋体" w:hAnsi="宋体"/>
          <w:b/>
          <w:sz w:val="24"/>
          <w:highlight w:val="none"/>
        </w:rPr>
      </w:pPr>
    </w:p>
    <w:p>
      <w:pPr>
        <w:spacing w:line="360" w:lineRule="auto"/>
        <w:rPr>
          <w:rFonts w:ascii="宋体"/>
          <w:b/>
          <w:sz w:val="24"/>
          <w:highlight w:val="none"/>
        </w:rPr>
      </w:pPr>
      <w:r>
        <w:rPr>
          <w:rFonts w:hint="eastAsia" w:ascii="宋体" w:hAnsi="宋体"/>
          <w:b/>
          <w:sz w:val="24"/>
          <w:highlight w:val="none"/>
        </w:rPr>
        <w:t>附件</w:t>
      </w:r>
      <w:r>
        <w:rPr>
          <w:rFonts w:ascii="宋体" w:hAnsi="宋体"/>
          <w:b/>
          <w:sz w:val="24"/>
          <w:highlight w:val="none"/>
        </w:rPr>
        <w:t>1</w:t>
      </w:r>
    </w:p>
    <w:p>
      <w:pPr>
        <w:spacing w:line="360" w:lineRule="auto"/>
        <w:jc w:val="center"/>
        <w:rPr>
          <w:rFonts w:ascii="宋体" w:cs="仿宋"/>
          <w:b/>
          <w:bCs/>
          <w:sz w:val="28"/>
          <w:szCs w:val="28"/>
          <w:highlight w:val="none"/>
        </w:rPr>
      </w:pPr>
      <w:r>
        <w:rPr>
          <w:rFonts w:hint="eastAsia" w:ascii="宋体" w:hAnsi="宋体" w:cs="仿宋"/>
          <w:b/>
          <w:bCs/>
          <w:sz w:val="28"/>
          <w:szCs w:val="28"/>
          <w:highlight w:val="none"/>
        </w:rPr>
        <w:t>质疑函范本</w:t>
      </w:r>
    </w:p>
    <w:p>
      <w:pPr>
        <w:adjustRightInd w:val="0"/>
        <w:snapToGrid w:val="0"/>
        <w:spacing w:line="360" w:lineRule="auto"/>
        <w:rPr>
          <w:rFonts w:ascii="宋体" w:cs="仿宋"/>
          <w:sz w:val="24"/>
          <w:highlight w:val="none"/>
        </w:rPr>
      </w:pPr>
      <w:r>
        <w:rPr>
          <w:rFonts w:hint="eastAsia" w:ascii="宋体" w:hAnsi="宋体" w:cs="仿宋"/>
          <w:sz w:val="24"/>
          <w:highlight w:val="none"/>
        </w:rPr>
        <w:t>一、质疑供应商基本信息</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质疑供应商：</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地址：</w:t>
      </w:r>
      <w:r>
        <w:rPr>
          <w:rFonts w:ascii="宋体" w:hAnsi="宋体" w:cs="仿宋"/>
          <w:sz w:val="24"/>
          <w:highlight w:val="none"/>
          <w:u w:val="single"/>
        </w:rPr>
        <w:t xml:space="preserve">                          </w:t>
      </w:r>
      <w:r>
        <w:rPr>
          <w:rFonts w:hint="eastAsia" w:ascii="宋体" w:hAnsi="宋体" w:cs="仿宋"/>
          <w:sz w:val="24"/>
          <w:highlight w:val="none"/>
        </w:rPr>
        <w:t>邮编：</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联系人：</w:t>
      </w:r>
      <w:r>
        <w:rPr>
          <w:rFonts w:ascii="宋体" w:hAnsi="宋体" w:cs="仿宋"/>
          <w:sz w:val="24"/>
          <w:highlight w:val="none"/>
          <w:u w:val="single"/>
        </w:rPr>
        <w:t xml:space="preserve">                      </w:t>
      </w:r>
      <w:r>
        <w:rPr>
          <w:rFonts w:hint="eastAsia" w:ascii="宋体" w:hAnsi="宋体" w:cs="仿宋"/>
          <w:sz w:val="24"/>
          <w:highlight w:val="none"/>
        </w:rPr>
        <w:t>联系电话：</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授权代表：</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联系电话：</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地址：</w:t>
      </w:r>
      <w:r>
        <w:rPr>
          <w:rFonts w:ascii="宋体" w:hAnsi="宋体" w:cs="仿宋"/>
          <w:sz w:val="24"/>
          <w:highlight w:val="none"/>
          <w:u w:val="single"/>
        </w:rPr>
        <w:t xml:space="preserve">                         </w:t>
      </w:r>
      <w:r>
        <w:rPr>
          <w:rFonts w:hint="eastAsia" w:ascii="宋体" w:hAnsi="宋体" w:cs="仿宋"/>
          <w:sz w:val="24"/>
          <w:highlight w:val="none"/>
        </w:rPr>
        <w:t>邮编：</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二、质疑项目基本情况</w:t>
      </w:r>
    </w:p>
    <w:p>
      <w:pPr>
        <w:adjustRightInd w:val="0"/>
        <w:snapToGrid w:val="0"/>
        <w:spacing w:line="360" w:lineRule="auto"/>
        <w:rPr>
          <w:rFonts w:ascii="宋体" w:cs="仿宋"/>
          <w:sz w:val="24"/>
          <w:highlight w:val="none"/>
        </w:rPr>
      </w:pPr>
      <w:r>
        <w:rPr>
          <w:rFonts w:hint="eastAsia" w:ascii="宋体" w:hAnsi="宋体" w:cs="仿宋"/>
          <w:sz w:val="24"/>
          <w:highlight w:val="none"/>
        </w:rPr>
        <w:t>质疑项目的名称：</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single"/>
        </w:rPr>
      </w:pPr>
      <w:r>
        <w:rPr>
          <w:rFonts w:hint="eastAsia" w:ascii="宋体" w:hAnsi="宋体" w:cs="仿宋"/>
          <w:sz w:val="24"/>
          <w:highlight w:val="none"/>
        </w:rPr>
        <w:t>质疑项目的编号：</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采购人名称：</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采购文件获取日期：</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rPr>
      </w:pPr>
      <w:r>
        <w:rPr>
          <w:rFonts w:hint="eastAsia" w:ascii="宋体" w:hAnsi="宋体" w:cs="仿宋"/>
          <w:sz w:val="24"/>
          <w:highlight w:val="none"/>
        </w:rPr>
        <w:t>三、质疑事项具体内容</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质疑事项</w:t>
      </w:r>
      <w:r>
        <w:rPr>
          <w:rFonts w:ascii="宋体" w:hAnsi="宋体" w:cs="仿宋"/>
          <w:sz w:val="24"/>
          <w:highlight w:val="none"/>
        </w:rPr>
        <w:t>1</w:t>
      </w:r>
      <w:r>
        <w:rPr>
          <w:rFonts w:hint="eastAsia" w:ascii="宋体" w:hAnsi="宋体" w:cs="仿宋"/>
          <w:sz w:val="24"/>
          <w:highlight w:val="none"/>
        </w:rPr>
        <w:t>：</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事实依据：</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法律依据：</w:t>
      </w:r>
      <w:r>
        <w:rPr>
          <w:rFonts w:ascii="宋体" w:hAnsi="宋体" w:cs="仿宋"/>
          <w:sz w:val="24"/>
          <w:highlight w:val="none"/>
          <w:u w:val="single"/>
        </w:rPr>
        <w:t xml:space="preserve">                                           </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质疑事项</w:t>
      </w:r>
      <w:r>
        <w:rPr>
          <w:rFonts w:ascii="宋体" w:hAnsi="宋体" w:cs="仿宋"/>
          <w:sz w:val="24"/>
          <w:highlight w:val="none"/>
        </w:rPr>
        <w:t>2</w:t>
      </w:r>
    </w:p>
    <w:p>
      <w:pPr>
        <w:adjustRightInd w:val="0"/>
        <w:snapToGrid w:val="0"/>
        <w:spacing w:line="360" w:lineRule="auto"/>
        <w:rPr>
          <w:rFonts w:ascii="宋体" w:cs="仿宋"/>
          <w:sz w:val="24"/>
          <w:highlight w:val="none"/>
        </w:rPr>
      </w:pPr>
      <w:r>
        <w:rPr>
          <w:rFonts w:hint="eastAsia" w:ascii="宋体" w:hAnsi="宋体" w:cs="仿宋"/>
          <w:sz w:val="24"/>
          <w:highlight w:val="none"/>
        </w:rPr>
        <w:t>……</w:t>
      </w:r>
    </w:p>
    <w:p>
      <w:pPr>
        <w:adjustRightInd w:val="0"/>
        <w:snapToGrid w:val="0"/>
        <w:spacing w:line="360" w:lineRule="auto"/>
        <w:rPr>
          <w:rFonts w:ascii="宋体" w:cs="仿宋"/>
          <w:sz w:val="24"/>
          <w:highlight w:val="none"/>
        </w:rPr>
      </w:pPr>
      <w:r>
        <w:rPr>
          <w:rFonts w:hint="eastAsia" w:ascii="宋体" w:hAnsi="宋体" w:cs="仿宋"/>
          <w:sz w:val="24"/>
          <w:highlight w:val="none"/>
        </w:rPr>
        <w:t>四、与质疑事项相关的质疑请求</w:t>
      </w:r>
    </w:p>
    <w:p>
      <w:pPr>
        <w:adjustRightInd w:val="0"/>
        <w:snapToGrid w:val="0"/>
        <w:spacing w:line="360" w:lineRule="auto"/>
        <w:rPr>
          <w:rFonts w:ascii="宋体" w:cs="仿宋"/>
          <w:sz w:val="24"/>
          <w:highlight w:val="none"/>
          <w:u w:val="dotted"/>
        </w:rPr>
      </w:pPr>
      <w:r>
        <w:rPr>
          <w:rFonts w:hint="eastAsia" w:ascii="宋体" w:hAnsi="宋体" w:cs="仿宋"/>
          <w:sz w:val="24"/>
          <w:highlight w:val="none"/>
        </w:rPr>
        <w:t>请求：</w:t>
      </w:r>
      <w:r>
        <w:rPr>
          <w:rFonts w:ascii="宋体" w:hAnsi="宋体" w:cs="仿宋"/>
          <w:sz w:val="24"/>
          <w:highlight w:val="none"/>
          <w:u w:val="single"/>
        </w:rPr>
        <w:t xml:space="preserve">                                               </w:t>
      </w:r>
    </w:p>
    <w:p>
      <w:pPr>
        <w:spacing w:line="360" w:lineRule="auto"/>
        <w:rPr>
          <w:rFonts w:ascii="宋体"/>
          <w:sz w:val="24"/>
          <w:highlight w:val="none"/>
        </w:rPr>
      </w:pPr>
    </w:p>
    <w:p>
      <w:pPr>
        <w:spacing w:line="360" w:lineRule="auto"/>
        <w:rPr>
          <w:rFonts w:ascii="宋体"/>
          <w:sz w:val="24"/>
          <w:highlight w:val="none"/>
        </w:rPr>
      </w:pPr>
      <w:r>
        <w:rPr>
          <w:rFonts w:hint="eastAsia" w:ascii="宋体" w:hAnsi="宋体"/>
          <w:sz w:val="24"/>
          <w:highlight w:val="none"/>
        </w:rPr>
        <w:t>签字</w:t>
      </w:r>
      <w:r>
        <w:rPr>
          <w:rFonts w:ascii="宋体" w:hAnsi="宋体"/>
          <w:sz w:val="24"/>
          <w:highlight w:val="none"/>
        </w:rPr>
        <w:t>(</w:t>
      </w:r>
      <w:r>
        <w:rPr>
          <w:rFonts w:hint="eastAsia" w:ascii="宋体" w:hAnsi="宋体"/>
          <w:sz w:val="24"/>
          <w:highlight w:val="none"/>
        </w:rPr>
        <w:t>签章</w:t>
      </w:r>
      <w:r>
        <w:rPr>
          <w:rFonts w:ascii="宋体" w:hAnsi="宋体"/>
          <w:sz w:val="24"/>
          <w:highlight w:val="none"/>
        </w:rPr>
        <w:t>)</w:t>
      </w:r>
      <w:r>
        <w:rPr>
          <w:rFonts w:hint="eastAsia" w:ascii="宋体" w:hAnsi="宋体"/>
          <w:sz w:val="24"/>
          <w:highlight w:val="none"/>
        </w:rPr>
        <w:t>：</w:t>
      </w:r>
      <w:r>
        <w:rPr>
          <w:rFonts w:ascii="宋体" w:hAnsi="宋体"/>
          <w:sz w:val="24"/>
          <w:highlight w:val="none"/>
        </w:rPr>
        <w:t xml:space="preserve">                   </w:t>
      </w:r>
      <w:r>
        <w:rPr>
          <w:rFonts w:hint="eastAsia" w:ascii="宋体" w:hAnsi="宋体"/>
          <w:sz w:val="24"/>
          <w:highlight w:val="none"/>
        </w:rPr>
        <w:t>公章：</w:t>
      </w:r>
      <w:r>
        <w:rPr>
          <w:rFonts w:ascii="宋体" w:hAnsi="宋体"/>
          <w:sz w:val="24"/>
          <w:highlight w:val="none"/>
        </w:rPr>
        <w:t xml:space="preserve">                      </w:t>
      </w:r>
    </w:p>
    <w:p>
      <w:pPr>
        <w:spacing w:line="360" w:lineRule="auto"/>
        <w:rPr>
          <w:rFonts w:ascii="宋体"/>
          <w:sz w:val="24"/>
          <w:highlight w:val="none"/>
        </w:rPr>
      </w:pPr>
      <w:r>
        <w:rPr>
          <w:rFonts w:hint="eastAsia" w:ascii="宋体" w:hAnsi="宋体"/>
          <w:sz w:val="24"/>
          <w:highlight w:val="none"/>
        </w:rPr>
        <w:t>日期：</w:t>
      </w:r>
      <w:r>
        <w:rPr>
          <w:rFonts w:ascii="宋体" w:hAnsi="宋体"/>
          <w:sz w:val="24"/>
          <w:highlight w:val="none"/>
        </w:rPr>
        <w:t xml:space="preserve">    </w:t>
      </w:r>
    </w:p>
    <w:p>
      <w:pPr>
        <w:spacing w:line="360" w:lineRule="auto"/>
        <w:rPr>
          <w:rFonts w:ascii="宋体"/>
          <w:b/>
          <w:sz w:val="24"/>
          <w:highlight w:val="none"/>
        </w:rPr>
      </w:pPr>
    </w:p>
    <w:p>
      <w:pPr>
        <w:spacing w:line="360" w:lineRule="auto"/>
        <w:rPr>
          <w:rFonts w:ascii="宋体" w:hAnsi="宋体"/>
          <w:b/>
          <w:sz w:val="24"/>
          <w:highlight w:val="none"/>
        </w:rPr>
      </w:pPr>
    </w:p>
    <w:p>
      <w:pPr>
        <w:spacing w:line="360" w:lineRule="auto"/>
        <w:rPr>
          <w:rFonts w:ascii="宋体" w:hAnsi="宋体"/>
          <w:b/>
          <w:sz w:val="24"/>
          <w:highlight w:val="none"/>
        </w:rPr>
      </w:pPr>
    </w:p>
    <w:p>
      <w:pPr>
        <w:spacing w:line="360" w:lineRule="auto"/>
        <w:rPr>
          <w:rFonts w:ascii="宋体"/>
          <w:b/>
          <w:sz w:val="24"/>
          <w:highlight w:val="none"/>
        </w:rPr>
      </w:pPr>
      <w:r>
        <w:rPr>
          <w:rFonts w:hint="eastAsia" w:ascii="宋体" w:hAnsi="宋体"/>
          <w:b/>
          <w:sz w:val="24"/>
          <w:highlight w:val="none"/>
        </w:rPr>
        <w:t>质疑函制作说明：</w:t>
      </w:r>
    </w:p>
    <w:p>
      <w:pPr>
        <w:widowControl/>
        <w:spacing w:line="360" w:lineRule="auto"/>
        <w:ind w:firstLine="480" w:firstLineChars="200"/>
        <w:jc w:val="left"/>
        <w:rPr>
          <w:rFonts w:ascii="宋体"/>
          <w:sz w:val="24"/>
          <w:highlight w:val="none"/>
        </w:rPr>
      </w:pPr>
      <w:r>
        <w:rPr>
          <w:rFonts w:ascii="宋体" w:hAnsi="宋体"/>
          <w:sz w:val="24"/>
          <w:highlight w:val="none"/>
        </w:rPr>
        <w:t>1.</w:t>
      </w:r>
      <w:r>
        <w:rPr>
          <w:rFonts w:hint="eastAsia" w:ascii="宋体" w:hAnsi="宋体"/>
          <w:sz w:val="24"/>
          <w:highlight w:val="none"/>
        </w:rPr>
        <w:t>供应商提出质疑时，应提交质疑函和必要的证明材料。</w:t>
      </w:r>
    </w:p>
    <w:p>
      <w:pPr>
        <w:widowControl/>
        <w:spacing w:line="360" w:lineRule="auto"/>
        <w:ind w:firstLine="480" w:firstLineChars="200"/>
        <w:jc w:val="left"/>
        <w:rPr>
          <w:rFonts w:ascii="宋体"/>
          <w:sz w:val="24"/>
          <w:highlight w:val="none"/>
        </w:rPr>
      </w:pPr>
      <w:r>
        <w:rPr>
          <w:rFonts w:ascii="宋体" w:hAnsi="宋体"/>
          <w:sz w:val="24"/>
          <w:highlight w:val="none"/>
        </w:rPr>
        <w:t>2.</w:t>
      </w:r>
      <w:r>
        <w:rPr>
          <w:rFonts w:hint="eastAsia" w:ascii="宋体" w:hAnsi="宋体"/>
          <w:sz w:val="24"/>
          <w:highlight w:val="none"/>
        </w:rPr>
        <w:t>质疑供应商若委托代理人进行质疑的，质疑函应按要求列明“授权代表”的有关内容，并在附件中提交由质疑</w:t>
      </w:r>
      <w:r>
        <w:rPr>
          <w:rFonts w:hint="eastAsia" w:ascii="宋体" w:hAnsi="宋体" w:cs="宋体"/>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sz w:val="24"/>
          <w:highlight w:val="none"/>
        </w:rPr>
      </w:pPr>
      <w:r>
        <w:rPr>
          <w:rFonts w:ascii="宋体" w:hAnsi="宋体"/>
          <w:sz w:val="24"/>
          <w:highlight w:val="none"/>
        </w:rPr>
        <w:t>3.</w:t>
      </w:r>
      <w:r>
        <w:rPr>
          <w:rFonts w:hint="eastAsia" w:ascii="宋体" w:hAnsi="宋体"/>
          <w:sz w:val="24"/>
          <w:highlight w:val="none"/>
        </w:rPr>
        <w:t>质疑供应商若对项目的某一分包进行质疑，质疑函中应列明具体分包号。</w:t>
      </w:r>
    </w:p>
    <w:p>
      <w:pPr>
        <w:widowControl/>
        <w:spacing w:line="360" w:lineRule="auto"/>
        <w:ind w:firstLine="480" w:firstLineChars="200"/>
        <w:jc w:val="left"/>
        <w:rPr>
          <w:rFonts w:ascii="宋体"/>
          <w:sz w:val="24"/>
          <w:highlight w:val="none"/>
        </w:rPr>
      </w:pPr>
      <w:r>
        <w:rPr>
          <w:rFonts w:ascii="宋体" w:hAnsi="宋体"/>
          <w:sz w:val="24"/>
          <w:highlight w:val="none"/>
        </w:rPr>
        <w:t>4.</w:t>
      </w:r>
      <w:r>
        <w:rPr>
          <w:rFonts w:hint="eastAsia" w:ascii="宋体" w:hAnsi="宋体"/>
          <w:sz w:val="24"/>
          <w:highlight w:val="none"/>
        </w:rPr>
        <w:t>质疑函的质疑事项应具体、明确，并有必要的事实依据和法律依据。</w:t>
      </w:r>
    </w:p>
    <w:p>
      <w:pPr>
        <w:widowControl/>
        <w:spacing w:line="360" w:lineRule="auto"/>
        <w:ind w:firstLine="480" w:firstLineChars="200"/>
        <w:jc w:val="left"/>
        <w:rPr>
          <w:rFonts w:ascii="宋体"/>
          <w:sz w:val="24"/>
          <w:highlight w:val="none"/>
        </w:rPr>
      </w:pPr>
      <w:r>
        <w:rPr>
          <w:rFonts w:ascii="宋体" w:hAnsi="宋体"/>
          <w:sz w:val="24"/>
          <w:highlight w:val="none"/>
        </w:rPr>
        <w:t>5.</w:t>
      </w:r>
      <w:r>
        <w:rPr>
          <w:rFonts w:hint="eastAsia" w:ascii="宋体" w:hAnsi="宋体"/>
          <w:sz w:val="24"/>
          <w:highlight w:val="none"/>
        </w:rPr>
        <w:t>质疑函的质疑请求应与质疑事项相关。</w:t>
      </w:r>
    </w:p>
    <w:p>
      <w:pPr>
        <w:widowControl/>
        <w:spacing w:line="360" w:lineRule="auto"/>
        <w:ind w:firstLine="480" w:firstLineChars="200"/>
        <w:jc w:val="left"/>
        <w:rPr>
          <w:rFonts w:ascii="宋体"/>
          <w:sz w:val="24"/>
          <w:highlight w:val="none"/>
        </w:rPr>
      </w:pPr>
      <w:r>
        <w:rPr>
          <w:rFonts w:ascii="宋体" w:hAnsi="宋体"/>
          <w:sz w:val="24"/>
          <w:highlight w:val="none"/>
        </w:rPr>
        <w:t>6.</w:t>
      </w:r>
      <w:r>
        <w:rPr>
          <w:rFonts w:hint="eastAsia" w:ascii="宋体" w:hAnsi="宋体"/>
          <w:sz w:val="24"/>
          <w:highlight w:val="none"/>
        </w:rPr>
        <w:t>质疑供应商为自然人的，质疑函应由本人签字；质疑供应商为法人或者其他组织的，质疑函应由法定代表人、主要负责人，或者其授权代表签字或者盖章，并加盖公章。</w:t>
      </w:r>
    </w:p>
    <w:p>
      <w:pPr>
        <w:spacing w:line="360" w:lineRule="auto"/>
        <w:rPr>
          <w:rFonts w:ascii="宋体"/>
          <w:sz w:val="24"/>
          <w:highlight w:val="none"/>
        </w:rPr>
      </w:pPr>
      <w:r>
        <w:rPr>
          <w:rFonts w:ascii="宋体"/>
          <w:sz w:val="24"/>
          <w:highlight w:val="none"/>
        </w:rPr>
        <w:br w:type="page"/>
      </w:r>
      <w:r>
        <w:rPr>
          <w:rFonts w:hint="eastAsia" w:ascii="宋体" w:hAnsi="宋体"/>
          <w:b/>
          <w:sz w:val="24"/>
          <w:highlight w:val="none"/>
        </w:rPr>
        <w:t>附件</w:t>
      </w:r>
      <w:r>
        <w:rPr>
          <w:rFonts w:ascii="宋体" w:hAnsi="宋体"/>
          <w:b/>
          <w:sz w:val="24"/>
          <w:highlight w:val="none"/>
        </w:rPr>
        <w:t>2</w:t>
      </w:r>
    </w:p>
    <w:p>
      <w:pPr>
        <w:spacing w:line="360" w:lineRule="auto"/>
        <w:jc w:val="center"/>
        <w:rPr>
          <w:rFonts w:ascii="宋体"/>
          <w:b/>
          <w:sz w:val="28"/>
          <w:szCs w:val="28"/>
          <w:highlight w:val="none"/>
        </w:rPr>
      </w:pPr>
      <w:r>
        <w:rPr>
          <w:rFonts w:hint="eastAsia" w:ascii="宋体" w:hAnsi="宋体"/>
          <w:b/>
          <w:sz w:val="28"/>
          <w:szCs w:val="28"/>
          <w:highlight w:val="none"/>
        </w:rPr>
        <w:t>投诉书范本</w:t>
      </w:r>
    </w:p>
    <w:p>
      <w:pPr>
        <w:snapToGrid w:val="0"/>
        <w:spacing w:line="336" w:lineRule="auto"/>
        <w:rPr>
          <w:rFonts w:ascii="宋体"/>
          <w:sz w:val="24"/>
          <w:highlight w:val="none"/>
        </w:rPr>
      </w:pPr>
      <w:r>
        <w:rPr>
          <w:rFonts w:hint="eastAsia" w:ascii="宋体" w:hAnsi="宋体"/>
          <w:sz w:val="24"/>
          <w:highlight w:val="none"/>
        </w:rPr>
        <w:t>一、投诉相关主体基本情况</w:t>
      </w:r>
    </w:p>
    <w:p>
      <w:pPr>
        <w:snapToGrid w:val="0"/>
        <w:spacing w:line="336" w:lineRule="auto"/>
        <w:rPr>
          <w:rFonts w:ascii="宋体"/>
          <w:sz w:val="24"/>
          <w:highlight w:val="none"/>
          <w:u w:val="dotted"/>
        </w:rPr>
      </w:pPr>
      <w:r>
        <w:rPr>
          <w:rFonts w:hint="eastAsia" w:ascii="宋体" w:hAnsi="宋体"/>
          <w:sz w:val="24"/>
          <w:highlight w:val="none"/>
        </w:rPr>
        <w:t>投诉人：</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tabs>
          <w:tab w:val="left" w:pos="6510"/>
        </w:tabs>
        <w:snapToGrid w:val="0"/>
        <w:spacing w:line="336" w:lineRule="auto"/>
        <w:jc w:val="left"/>
        <w:rPr>
          <w:rFonts w:ascii="宋体"/>
          <w:sz w:val="24"/>
          <w:highlight w:val="none"/>
        </w:rPr>
      </w:pPr>
      <w:r>
        <w:rPr>
          <w:rFonts w:hint="eastAsia" w:ascii="宋体" w:hAnsi="宋体"/>
          <w:sz w:val="24"/>
          <w:highlight w:val="none"/>
        </w:rPr>
        <w:t>法定代表人</w:t>
      </w:r>
      <w:r>
        <w:rPr>
          <w:rFonts w:ascii="宋体" w:hAnsi="宋体"/>
          <w:sz w:val="24"/>
          <w:highlight w:val="none"/>
        </w:rPr>
        <w:t>/</w:t>
      </w:r>
      <w:r>
        <w:rPr>
          <w:rFonts w:hint="eastAsia" w:ascii="宋体" w:hAnsi="宋体"/>
          <w:sz w:val="24"/>
          <w:highlight w:val="none"/>
        </w:rPr>
        <w:t>主要负责人：</w:t>
      </w:r>
      <w:r>
        <w:rPr>
          <w:rFonts w:ascii="宋体" w:hAnsi="宋体"/>
          <w:sz w:val="24"/>
          <w:highlight w:val="none"/>
          <w:u w:val="single"/>
        </w:rPr>
        <w:t xml:space="preserve">                                </w:t>
      </w:r>
    </w:p>
    <w:p>
      <w:pPr>
        <w:tabs>
          <w:tab w:val="left" w:pos="6510"/>
        </w:tabs>
        <w:snapToGrid w:val="0"/>
        <w:spacing w:line="336" w:lineRule="auto"/>
        <w:rPr>
          <w:rFonts w:ascii="宋体"/>
          <w:sz w:val="24"/>
          <w:highlight w:val="none"/>
          <w:u w:val="dotted"/>
        </w:rPr>
      </w:pP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u w:val="dotted"/>
        </w:rPr>
      </w:pPr>
      <w:r>
        <w:rPr>
          <w:rFonts w:hint="eastAsia" w:ascii="宋体" w:hAnsi="宋体"/>
          <w:sz w:val="24"/>
          <w:highlight w:val="none"/>
        </w:rPr>
        <w:t>授权代表：</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u w:val="dotted"/>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被投诉人</w:t>
      </w:r>
      <w:r>
        <w:rPr>
          <w:rFonts w:ascii="宋体" w:hAnsi="宋体"/>
          <w:sz w:val="24"/>
          <w:highlight w:val="none"/>
        </w:rPr>
        <w:t>1</w:t>
      </w:r>
      <w:r>
        <w:rPr>
          <w:rFonts w:hint="eastAsia" w:ascii="宋体" w:hAnsi="宋体"/>
          <w:sz w:val="24"/>
          <w:highlight w:val="none"/>
        </w:rPr>
        <w:t>：</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联系人：</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被投诉人</w:t>
      </w:r>
      <w:r>
        <w:rPr>
          <w:rFonts w:ascii="宋体" w:hAnsi="宋体"/>
          <w:sz w:val="24"/>
          <w:highlight w:val="none"/>
        </w:rPr>
        <w:t>2</w:t>
      </w:r>
    </w:p>
    <w:p>
      <w:pPr>
        <w:snapToGrid w:val="0"/>
        <w:spacing w:line="336" w:lineRule="auto"/>
        <w:rPr>
          <w:rFonts w:ascii="宋体"/>
          <w:sz w:val="24"/>
          <w:highlight w:val="none"/>
          <w:u w:val="dotted"/>
        </w:rPr>
      </w:pPr>
      <w:r>
        <w:rPr>
          <w:rFonts w:hint="eastAsia" w:ascii="宋体" w:hAnsi="宋体"/>
          <w:sz w:val="24"/>
          <w:highlight w:val="none"/>
        </w:rPr>
        <w:t>……</w:t>
      </w:r>
    </w:p>
    <w:p>
      <w:pPr>
        <w:snapToGrid w:val="0"/>
        <w:spacing w:line="336" w:lineRule="auto"/>
        <w:rPr>
          <w:rFonts w:ascii="宋体"/>
          <w:sz w:val="24"/>
          <w:highlight w:val="none"/>
          <w:u w:val="single"/>
        </w:rPr>
      </w:pPr>
      <w:r>
        <w:rPr>
          <w:rFonts w:hint="eastAsia" w:ascii="宋体" w:hAnsi="宋体"/>
          <w:sz w:val="24"/>
          <w:highlight w:val="none"/>
        </w:rPr>
        <w:t>相关供应商：</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地</w:t>
      </w:r>
      <w:r>
        <w:rPr>
          <w:rFonts w:ascii="宋体" w:hAnsi="宋体"/>
          <w:sz w:val="24"/>
          <w:highlight w:val="none"/>
        </w:rPr>
        <w:t xml:space="preserve">     </w:t>
      </w:r>
      <w:r>
        <w:rPr>
          <w:rFonts w:hint="eastAsia" w:ascii="宋体" w:hAnsi="宋体"/>
          <w:sz w:val="24"/>
          <w:highlight w:val="none"/>
        </w:rPr>
        <w:t>址：</w:t>
      </w:r>
      <w:r>
        <w:rPr>
          <w:rFonts w:ascii="宋体" w:hAnsi="宋体"/>
          <w:sz w:val="24"/>
          <w:highlight w:val="none"/>
          <w:u w:val="single"/>
        </w:rPr>
        <w:t xml:space="preserve">                             </w:t>
      </w:r>
      <w:r>
        <w:rPr>
          <w:rFonts w:hint="eastAsia" w:ascii="宋体" w:hAnsi="宋体"/>
          <w:sz w:val="24"/>
          <w:highlight w:val="none"/>
        </w:rPr>
        <w:t>邮编：</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联系人：</w:t>
      </w:r>
      <w:r>
        <w:rPr>
          <w:rFonts w:ascii="宋体" w:hAnsi="宋体"/>
          <w:sz w:val="24"/>
          <w:highlight w:val="none"/>
          <w:u w:val="single"/>
        </w:rPr>
        <w:t xml:space="preserve">               </w:t>
      </w:r>
      <w:r>
        <w:rPr>
          <w:rFonts w:hint="eastAsia" w:ascii="宋体" w:hAnsi="宋体"/>
          <w:sz w:val="24"/>
          <w:highlight w:val="none"/>
        </w:rPr>
        <w:t>联系电话：</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二、投诉项目基本情况</w:t>
      </w:r>
    </w:p>
    <w:p>
      <w:pPr>
        <w:snapToGrid w:val="0"/>
        <w:spacing w:line="336" w:lineRule="auto"/>
        <w:rPr>
          <w:rFonts w:ascii="宋体"/>
          <w:sz w:val="24"/>
          <w:highlight w:val="none"/>
          <w:u w:val="dotted"/>
        </w:rPr>
      </w:pPr>
      <w:r>
        <w:rPr>
          <w:rFonts w:hint="eastAsia" w:ascii="宋体" w:hAnsi="宋体"/>
          <w:sz w:val="24"/>
          <w:highlight w:val="none"/>
        </w:rPr>
        <w:t>采购项目名称：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采购项目编号：</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采购人名称：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代理机构名称：</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采购文件公告</w:t>
      </w:r>
      <w:r>
        <w:rPr>
          <w:rFonts w:ascii="宋体" w:hAnsi="宋体"/>
          <w:sz w:val="24"/>
          <w:highlight w:val="none"/>
        </w:rPr>
        <w:t>:</w:t>
      </w:r>
      <w:r>
        <w:rPr>
          <w:rFonts w:hint="eastAsia" w:ascii="宋体" w:hAnsi="宋体"/>
          <w:sz w:val="24"/>
          <w:highlight w:val="none"/>
          <w:u w:val="single"/>
        </w:rPr>
        <w:t>是</w:t>
      </w:r>
      <w:r>
        <w:rPr>
          <w:rFonts w:ascii="宋体" w:hAnsi="宋体"/>
          <w:sz w:val="24"/>
          <w:highlight w:val="none"/>
          <w:u w:val="single"/>
        </w:rPr>
        <w:t>/</w:t>
      </w:r>
      <w:r>
        <w:rPr>
          <w:rFonts w:hint="eastAsia" w:ascii="宋体" w:hAnsi="宋体"/>
          <w:sz w:val="24"/>
          <w:highlight w:val="none"/>
          <w:u w:val="single"/>
        </w:rPr>
        <w:t>否</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rPr>
        <w:t>公告期限：</w:t>
      </w:r>
      <w:r>
        <w:rPr>
          <w:rFonts w:ascii="宋体" w:hAnsi="宋体"/>
          <w:sz w:val="24"/>
          <w:highlight w:val="none"/>
          <w:u w:val="single"/>
        </w:rPr>
        <w:t xml:space="preserve">                      </w:t>
      </w:r>
    </w:p>
    <w:p>
      <w:pPr>
        <w:snapToGrid w:val="0"/>
        <w:spacing w:line="336" w:lineRule="auto"/>
        <w:rPr>
          <w:rFonts w:ascii="宋体"/>
          <w:sz w:val="24"/>
          <w:highlight w:val="none"/>
          <w:u w:val="single"/>
        </w:rPr>
      </w:pPr>
      <w:r>
        <w:rPr>
          <w:rFonts w:hint="eastAsia" w:ascii="宋体" w:hAnsi="宋体"/>
          <w:sz w:val="24"/>
          <w:highlight w:val="none"/>
        </w:rPr>
        <w:t>采购结果公告</w:t>
      </w:r>
      <w:r>
        <w:rPr>
          <w:rFonts w:ascii="宋体" w:hAnsi="宋体"/>
          <w:sz w:val="24"/>
          <w:highlight w:val="none"/>
        </w:rPr>
        <w:t>:</w:t>
      </w:r>
      <w:r>
        <w:rPr>
          <w:rFonts w:hint="eastAsia" w:ascii="宋体" w:hAnsi="宋体"/>
          <w:sz w:val="24"/>
          <w:highlight w:val="none"/>
          <w:u w:val="single"/>
        </w:rPr>
        <w:t>是</w:t>
      </w:r>
      <w:r>
        <w:rPr>
          <w:rFonts w:ascii="宋体" w:hAnsi="宋体"/>
          <w:sz w:val="24"/>
          <w:highlight w:val="none"/>
          <w:u w:val="single"/>
        </w:rPr>
        <w:t>/</w:t>
      </w:r>
      <w:r>
        <w:rPr>
          <w:rFonts w:hint="eastAsia" w:ascii="宋体" w:hAnsi="宋体"/>
          <w:sz w:val="24"/>
          <w:highlight w:val="none"/>
          <w:u w:val="single"/>
        </w:rPr>
        <w:t>否</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rPr>
        <w:t>公告期限：</w:t>
      </w:r>
      <w:r>
        <w:rPr>
          <w:rFonts w:ascii="宋体" w:hAnsi="宋体"/>
          <w:sz w:val="24"/>
          <w:highlight w:val="none"/>
          <w:u w:val="single"/>
        </w:rPr>
        <w:t xml:space="preserve">                      </w:t>
      </w:r>
    </w:p>
    <w:p>
      <w:pPr>
        <w:snapToGrid w:val="0"/>
        <w:spacing w:line="336" w:lineRule="auto"/>
        <w:rPr>
          <w:rFonts w:ascii="宋体"/>
          <w:sz w:val="24"/>
          <w:highlight w:val="none"/>
        </w:rPr>
      </w:pPr>
      <w:r>
        <w:rPr>
          <w:rFonts w:hint="eastAsia" w:ascii="宋体" w:hAnsi="宋体"/>
          <w:sz w:val="24"/>
          <w:highlight w:val="none"/>
        </w:rPr>
        <w:t>三、质疑基本情况</w:t>
      </w:r>
    </w:p>
    <w:p>
      <w:pPr>
        <w:snapToGrid w:val="0"/>
        <w:spacing w:line="336" w:lineRule="auto"/>
        <w:ind w:firstLine="480" w:firstLineChars="200"/>
        <w:rPr>
          <w:rFonts w:ascii="宋体"/>
          <w:sz w:val="24"/>
          <w:highlight w:val="none"/>
          <w:u w:val="dotted"/>
        </w:rPr>
      </w:pPr>
      <w:r>
        <w:rPr>
          <w:rFonts w:hint="eastAsia" w:ascii="宋体" w:hAnsi="宋体"/>
          <w:sz w:val="24"/>
          <w:highlight w:val="none"/>
        </w:rPr>
        <w:t>投诉人于</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rPr>
        <w:t>日</w:t>
      </w:r>
      <w:r>
        <w:rPr>
          <w:rFonts w:ascii="宋体"/>
          <w:sz w:val="24"/>
          <w:highlight w:val="none"/>
        </w:rPr>
        <w:t>,</w:t>
      </w:r>
      <w:r>
        <w:rPr>
          <w:rFonts w:hint="eastAsia" w:ascii="宋体" w:hAnsi="宋体"/>
          <w:sz w:val="24"/>
          <w:highlight w:val="none"/>
        </w:rPr>
        <w:t>向</w:t>
      </w:r>
      <w:r>
        <w:rPr>
          <w:rFonts w:ascii="宋体" w:hAnsi="宋体"/>
          <w:sz w:val="24"/>
          <w:highlight w:val="none"/>
          <w:u w:val="single"/>
        </w:rPr>
        <w:t xml:space="preserve">                        </w:t>
      </w:r>
      <w:r>
        <w:rPr>
          <w:rFonts w:hint="eastAsia" w:ascii="宋体" w:hAnsi="宋体"/>
          <w:sz w:val="24"/>
          <w:highlight w:val="none"/>
        </w:rPr>
        <w:t>提出质疑，质疑事项为：</w:t>
      </w:r>
      <w:r>
        <w:rPr>
          <w:rFonts w:ascii="宋体" w:hAnsi="宋体"/>
          <w:sz w:val="24"/>
          <w:highlight w:val="none"/>
          <w:u w:val="single"/>
        </w:rPr>
        <w:t xml:space="preserve">                                </w:t>
      </w:r>
    </w:p>
    <w:p>
      <w:pPr>
        <w:snapToGrid w:val="0"/>
        <w:spacing w:line="336" w:lineRule="auto"/>
        <w:ind w:firstLine="360" w:firstLineChars="150"/>
        <w:rPr>
          <w:rFonts w:ascii="宋体"/>
          <w:sz w:val="24"/>
          <w:highlight w:val="none"/>
        </w:rPr>
      </w:pPr>
      <w:r>
        <w:rPr>
          <w:rFonts w:hint="eastAsia" w:ascii="宋体" w:hAnsi="宋体"/>
          <w:sz w:val="24"/>
          <w:highlight w:val="none"/>
          <w:u w:val="single"/>
        </w:rPr>
        <w:t>采购人</w:t>
      </w:r>
      <w:r>
        <w:rPr>
          <w:rFonts w:ascii="宋体" w:hAnsi="宋体"/>
          <w:sz w:val="24"/>
          <w:highlight w:val="none"/>
          <w:u w:val="single"/>
        </w:rPr>
        <w:t>/</w:t>
      </w:r>
      <w:r>
        <w:rPr>
          <w:rFonts w:hint="eastAsia" w:ascii="宋体" w:hAnsi="宋体"/>
          <w:sz w:val="24"/>
          <w:highlight w:val="none"/>
          <w:u w:val="single"/>
        </w:rPr>
        <w:t>代理机构</w:t>
      </w:r>
      <w:r>
        <w:rPr>
          <w:rFonts w:hint="eastAsia" w:ascii="宋体" w:hAnsi="宋体"/>
          <w:sz w:val="24"/>
          <w:highlight w:val="none"/>
        </w:rPr>
        <w:t>于</w:t>
      </w:r>
      <w:r>
        <w:rPr>
          <w:rFonts w:ascii="宋体" w:hAnsi="宋体"/>
          <w:sz w:val="24"/>
          <w:highlight w:val="none"/>
          <w:u w:val="single"/>
        </w:rPr>
        <w:t xml:space="preserve">      </w:t>
      </w:r>
      <w:r>
        <w:rPr>
          <w:rFonts w:hint="eastAsia" w:ascii="宋体" w:hAnsi="宋体"/>
          <w:sz w:val="24"/>
          <w:highlight w:val="none"/>
        </w:rPr>
        <w:t>年</w:t>
      </w:r>
      <w:r>
        <w:rPr>
          <w:rFonts w:ascii="宋体" w:hAnsi="宋体"/>
          <w:sz w:val="24"/>
          <w:highlight w:val="none"/>
          <w:u w:val="single"/>
        </w:rPr>
        <w:t xml:space="preserve">   </w:t>
      </w:r>
      <w:r>
        <w:rPr>
          <w:rFonts w:hint="eastAsia" w:ascii="宋体" w:hAnsi="宋体"/>
          <w:sz w:val="24"/>
          <w:highlight w:val="none"/>
        </w:rPr>
        <w:t>月</w:t>
      </w:r>
      <w:r>
        <w:rPr>
          <w:rFonts w:ascii="宋体" w:hAnsi="宋体"/>
          <w:sz w:val="24"/>
          <w:highlight w:val="none"/>
          <w:u w:val="single"/>
        </w:rPr>
        <w:t xml:space="preserve">   </w:t>
      </w:r>
      <w:r>
        <w:rPr>
          <w:rFonts w:hint="eastAsia" w:ascii="宋体" w:hAnsi="宋体"/>
          <w:sz w:val="24"/>
          <w:highlight w:val="none"/>
        </w:rPr>
        <w:t>日</w:t>
      </w:r>
      <w:r>
        <w:rPr>
          <w:rFonts w:ascii="宋体"/>
          <w:sz w:val="24"/>
          <w:highlight w:val="none"/>
        </w:rPr>
        <w:t>,</w:t>
      </w:r>
      <w:r>
        <w:rPr>
          <w:rFonts w:hint="eastAsia" w:ascii="宋体" w:hAnsi="宋体"/>
          <w:sz w:val="24"/>
          <w:highlight w:val="none"/>
        </w:rPr>
        <w:t>就质疑事项作出了答复</w:t>
      </w:r>
      <w:r>
        <w:rPr>
          <w:rFonts w:ascii="宋体" w:hAnsi="宋体"/>
          <w:sz w:val="24"/>
          <w:highlight w:val="none"/>
        </w:rPr>
        <w:t>/</w:t>
      </w:r>
      <w:r>
        <w:rPr>
          <w:rFonts w:hint="eastAsia" w:ascii="宋体" w:hAnsi="宋体"/>
          <w:sz w:val="24"/>
          <w:highlight w:val="none"/>
        </w:rPr>
        <w:t>没有在法定期限内作出答复。</w:t>
      </w:r>
    </w:p>
    <w:p>
      <w:pPr>
        <w:snapToGrid w:val="0"/>
        <w:spacing w:line="336" w:lineRule="auto"/>
        <w:rPr>
          <w:rFonts w:ascii="宋体"/>
          <w:sz w:val="24"/>
          <w:highlight w:val="none"/>
        </w:rPr>
      </w:pPr>
      <w:r>
        <w:rPr>
          <w:rFonts w:hint="eastAsia" w:ascii="宋体" w:hAnsi="宋体"/>
          <w:sz w:val="24"/>
          <w:highlight w:val="none"/>
        </w:rPr>
        <w:t>四、投诉事项具体内容</w:t>
      </w:r>
    </w:p>
    <w:p>
      <w:pPr>
        <w:spacing w:line="360" w:lineRule="auto"/>
        <w:ind w:firstLine="480" w:firstLineChars="200"/>
        <w:rPr>
          <w:rFonts w:ascii="宋体"/>
          <w:sz w:val="24"/>
          <w:highlight w:val="none"/>
        </w:rPr>
      </w:pPr>
    </w:p>
    <w:p>
      <w:pPr>
        <w:spacing w:line="360" w:lineRule="auto"/>
        <w:jc w:val="center"/>
        <w:outlineLvl w:val="0"/>
        <w:rPr>
          <w:rFonts w:ascii="宋体" w:hAnsi="宋体" w:cs="宋体"/>
          <w:b/>
          <w:bCs/>
          <w:sz w:val="32"/>
          <w:highlight w:val="none"/>
        </w:rPr>
      </w:pPr>
      <w:bookmarkStart w:id="275" w:name="_Toc339114164"/>
      <w:bookmarkStart w:id="276" w:name="_Toc22318"/>
      <w:r>
        <w:rPr>
          <w:rFonts w:hint="eastAsia" w:ascii="宋体" w:hAnsi="宋体" w:cs="宋体"/>
          <w:b/>
          <w:bCs/>
          <w:sz w:val="32"/>
          <w:highlight w:val="none"/>
        </w:rPr>
        <w:t xml:space="preserve">第三部分 </w:t>
      </w:r>
      <w:bookmarkStart w:id="277" w:name="_Toc144974565"/>
      <w:bookmarkStart w:id="278" w:name="_Toc152042375"/>
      <w:bookmarkStart w:id="279" w:name="_Toc152045598"/>
      <w:r>
        <w:rPr>
          <w:rFonts w:hint="eastAsia" w:ascii="宋体" w:hAnsi="宋体" w:cs="宋体"/>
          <w:b/>
          <w:bCs/>
          <w:sz w:val="32"/>
          <w:highlight w:val="none"/>
        </w:rPr>
        <w:t>评标办法</w:t>
      </w:r>
      <w:bookmarkEnd w:id="275"/>
      <w:bookmarkEnd w:id="276"/>
    </w:p>
    <w:p>
      <w:pPr>
        <w:pStyle w:val="7"/>
        <w:keepNext w:val="0"/>
        <w:keepLines w:val="0"/>
        <w:spacing w:before="0" w:after="0"/>
        <w:rPr>
          <w:rFonts w:eastAsia="Times New Roman"/>
          <w:sz w:val="24"/>
          <w:szCs w:val="24"/>
          <w:highlight w:val="none"/>
        </w:rPr>
      </w:pPr>
      <w:r>
        <w:rPr>
          <w:sz w:val="24"/>
          <w:szCs w:val="24"/>
          <w:highlight w:val="none"/>
        </w:rPr>
        <w:t>1</w:t>
      </w:r>
      <w:r>
        <w:rPr>
          <w:rFonts w:hint="eastAsia"/>
          <w:sz w:val="24"/>
          <w:szCs w:val="24"/>
          <w:highlight w:val="none"/>
        </w:rPr>
        <w:t>．评标委员会与评标</w:t>
      </w:r>
    </w:p>
    <w:p>
      <w:pPr>
        <w:spacing w:line="360" w:lineRule="auto"/>
        <w:ind w:firstLine="500"/>
        <w:rPr>
          <w:sz w:val="24"/>
          <w:highlight w:val="none"/>
        </w:rPr>
      </w:pPr>
      <w:r>
        <w:rPr>
          <w:rFonts w:ascii="宋体" w:hAnsi="宋体"/>
          <w:sz w:val="24"/>
          <w:highlight w:val="none"/>
        </w:rPr>
        <w:t>1.1</w:t>
      </w:r>
      <w:r>
        <w:rPr>
          <w:rFonts w:hint="eastAsia" w:ascii="宋体" w:hAnsi="宋体"/>
          <w:sz w:val="24"/>
          <w:highlight w:val="none"/>
        </w:rPr>
        <w:t>评标委员会依法组建，负责本项目的评标活动。</w:t>
      </w:r>
    </w:p>
    <w:p>
      <w:pPr>
        <w:spacing w:line="360" w:lineRule="auto"/>
        <w:ind w:firstLine="500"/>
        <w:rPr>
          <w:sz w:val="24"/>
          <w:highlight w:val="none"/>
        </w:rPr>
      </w:pPr>
      <w:r>
        <w:rPr>
          <w:rFonts w:ascii="宋体" w:hAnsi="宋体"/>
          <w:sz w:val="24"/>
          <w:highlight w:val="none"/>
        </w:rPr>
        <w:t xml:space="preserve">1.2 </w:t>
      </w:r>
      <w:r>
        <w:rPr>
          <w:rFonts w:hint="eastAsia" w:ascii="宋体" w:hAnsi="宋体"/>
          <w:sz w:val="24"/>
          <w:highlight w:val="none"/>
        </w:rPr>
        <w:t>开标结束后，开始评标，评标采用保密方式进行。</w:t>
      </w:r>
    </w:p>
    <w:p>
      <w:pPr>
        <w:pStyle w:val="7"/>
        <w:keepNext w:val="0"/>
        <w:keepLines w:val="0"/>
        <w:spacing w:before="0" w:after="0"/>
        <w:rPr>
          <w:rFonts w:eastAsia="Times New Roman"/>
          <w:sz w:val="24"/>
          <w:szCs w:val="24"/>
          <w:highlight w:val="none"/>
        </w:rPr>
      </w:pPr>
      <w:r>
        <w:rPr>
          <w:sz w:val="24"/>
          <w:szCs w:val="24"/>
          <w:highlight w:val="none"/>
        </w:rPr>
        <w:t>2</w:t>
      </w:r>
      <w:r>
        <w:rPr>
          <w:rFonts w:hint="eastAsia"/>
          <w:sz w:val="24"/>
          <w:szCs w:val="24"/>
          <w:highlight w:val="none"/>
        </w:rPr>
        <w:t>．评标过程的保密</w:t>
      </w:r>
    </w:p>
    <w:p>
      <w:pPr>
        <w:spacing w:line="360" w:lineRule="auto"/>
        <w:ind w:firstLine="500"/>
        <w:rPr>
          <w:sz w:val="24"/>
          <w:highlight w:val="none"/>
        </w:rPr>
      </w:pPr>
      <w:r>
        <w:rPr>
          <w:rFonts w:ascii="宋体" w:hAnsi="宋体"/>
          <w:sz w:val="24"/>
          <w:highlight w:val="none"/>
        </w:rPr>
        <w:t>2.1</w:t>
      </w:r>
      <w:r>
        <w:rPr>
          <w:rFonts w:hint="eastAsia" w:ascii="宋体" w:hAnsi="宋体"/>
          <w:sz w:val="24"/>
          <w:highlight w:val="none"/>
        </w:rPr>
        <w:t>开标后，直至授予中标人合同为止，凡属于对投标文件的审查、澄清、评价和比较有关的资料以及中标候选人的推荐情况，与评标有关的其他任何情况均属严格保密范围。</w:t>
      </w:r>
    </w:p>
    <w:p>
      <w:pPr>
        <w:spacing w:line="360" w:lineRule="auto"/>
        <w:ind w:firstLine="500"/>
        <w:rPr>
          <w:sz w:val="24"/>
          <w:highlight w:val="none"/>
        </w:rPr>
      </w:pPr>
      <w:r>
        <w:rPr>
          <w:rFonts w:ascii="宋体" w:hAnsi="宋体"/>
          <w:sz w:val="24"/>
          <w:highlight w:val="none"/>
        </w:rPr>
        <w:t>2.2</w:t>
      </w:r>
      <w:r>
        <w:rPr>
          <w:rFonts w:hint="eastAsia" w:ascii="宋体" w:hAnsi="宋体"/>
          <w:sz w:val="24"/>
          <w:highlight w:val="none"/>
        </w:rPr>
        <w:t>在投标文件的评审和比较、中标候选人推荐以及授予合同的过程中，供应商向采购人和评标委员会施加影响的任何行为，都将会导致其投标被拒绝。</w:t>
      </w:r>
    </w:p>
    <w:p>
      <w:pPr>
        <w:spacing w:line="360" w:lineRule="auto"/>
        <w:ind w:firstLine="500"/>
        <w:rPr>
          <w:sz w:val="24"/>
          <w:highlight w:val="none"/>
        </w:rPr>
      </w:pPr>
      <w:r>
        <w:rPr>
          <w:rFonts w:ascii="宋体" w:hAnsi="宋体"/>
          <w:sz w:val="24"/>
          <w:highlight w:val="none"/>
        </w:rPr>
        <w:t>2.3</w:t>
      </w:r>
      <w:r>
        <w:rPr>
          <w:rFonts w:hint="eastAsia" w:ascii="宋体" w:hAnsi="宋体"/>
          <w:sz w:val="24"/>
          <w:highlight w:val="none"/>
        </w:rPr>
        <w:t>中标人确定后，采购人不对未中标人就评标过程以及未能中标原因做出任何解释，亦不退回投标文件。未中标人不得向评标委员会组成人员或其他有关人员索问评标过程的情况和材料。</w:t>
      </w:r>
    </w:p>
    <w:p>
      <w:pPr>
        <w:pStyle w:val="7"/>
        <w:keepNext w:val="0"/>
        <w:keepLines w:val="0"/>
        <w:spacing w:before="0" w:after="0"/>
        <w:rPr>
          <w:rFonts w:eastAsia="Times New Roman"/>
          <w:sz w:val="24"/>
          <w:szCs w:val="24"/>
          <w:highlight w:val="none"/>
        </w:rPr>
      </w:pPr>
      <w:r>
        <w:rPr>
          <w:sz w:val="24"/>
          <w:szCs w:val="24"/>
          <w:highlight w:val="none"/>
        </w:rPr>
        <w:t>3</w:t>
      </w:r>
      <w:r>
        <w:rPr>
          <w:rFonts w:hint="eastAsia"/>
          <w:sz w:val="24"/>
          <w:szCs w:val="24"/>
          <w:highlight w:val="none"/>
        </w:rPr>
        <w:t>．投标文件的澄清</w:t>
      </w:r>
    </w:p>
    <w:p>
      <w:pPr>
        <w:spacing w:line="360" w:lineRule="auto"/>
        <w:ind w:firstLine="500"/>
        <w:rPr>
          <w:rFonts w:ascii="宋体"/>
          <w:sz w:val="24"/>
          <w:highlight w:val="none"/>
        </w:rPr>
      </w:pPr>
      <w:r>
        <w:rPr>
          <w:rFonts w:hint="eastAsia" w:ascii="宋体" w:hAnsi="宋体"/>
          <w:sz w:val="24"/>
          <w:highlight w:val="none"/>
        </w:rPr>
        <w:t>为有助于投标文件的审查、评价和比较，评标委员会可以书面形式要求供应商对投标文件含义不明确的内容作必要的澄清或说明，供应商应采用书面形式进行澄清或说明，并经法定代表人或委托代理人签字盖章，但不得超出投标文件的范围或改变投标文件的实质性内容。根据本章第</w:t>
      </w:r>
      <w:r>
        <w:rPr>
          <w:rFonts w:ascii="宋体" w:hAnsi="宋体"/>
          <w:sz w:val="24"/>
          <w:highlight w:val="none"/>
        </w:rPr>
        <w:t>5</w:t>
      </w:r>
      <w:r>
        <w:rPr>
          <w:rFonts w:hint="eastAsia" w:ascii="宋体" w:hAnsi="宋体"/>
          <w:sz w:val="24"/>
          <w:highlight w:val="none"/>
        </w:rPr>
        <w:t>条规定，凡属于评标委员会在评标中发现的计算错误并进行核实的修改不在此列。</w:t>
      </w:r>
    </w:p>
    <w:p>
      <w:pPr>
        <w:pStyle w:val="7"/>
        <w:keepNext w:val="0"/>
        <w:keepLines w:val="0"/>
        <w:numPr>
          <w:ilvl w:val="0"/>
          <w:numId w:val="1"/>
        </w:numPr>
        <w:spacing w:before="0" w:after="0"/>
        <w:rPr>
          <w:sz w:val="24"/>
          <w:szCs w:val="24"/>
          <w:highlight w:val="none"/>
        </w:rPr>
      </w:pPr>
      <w:r>
        <w:rPr>
          <w:rFonts w:hint="eastAsia"/>
          <w:sz w:val="24"/>
          <w:szCs w:val="24"/>
          <w:highlight w:val="none"/>
        </w:rPr>
        <w:t>投标文件的资格评审、初步评审</w:t>
      </w:r>
    </w:p>
    <w:p>
      <w:pPr>
        <w:spacing w:line="360" w:lineRule="auto"/>
        <w:ind w:firstLine="480" w:firstLineChars="200"/>
        <w:rPr>
          <w:rFonts w:ascii="宋体" w:hAnsi="宋体"/>
          <w:sz w:val="24"/>
          <w:highlight w:val="none"/>
        </w:rPr>
      </w:pPr>
      <w:r>
        <w:rPr>
          <w:rFonts w:hint="eastAsia"/>
          <w:b/>
          <w:sz w:val="24"/>
          <w:szCs w:val="24"/>
          <w:highlight w:val="none"/>
          <w:lang w:eastAsia="zh-CN"/>
        </w:rPr>
        <w:t>资格</w:t>
      </w:r>
      <w:r>
        <w:rPr>
          <w:rFonts w:hint="eastAsia"/>
          <w:b/>
          <w:sz w:val="24"/>
          <w:szCs w:val="24"/>
          <w:highlight w:val="none"/>
        </w:rPr>
        <w:t>评审：</w:t>
      </w:r>
      <w:r>
        <w:rPr>
          <w:rFonts w:hint="eastAsia" w:ascii="宋体" w:hAnsi="宋体"/>
          <w:sz w:val="24"/>
          <w:highlight w:val="none"/>
        </w:rPr>
        <w:t>开标后，</w:t>
      </w:r>
      <w:r>
        <w:rPr>
          <w:rFonts w:hint="eastAsia" w:ascii="宋体" w:hAnsi="宋体"/>
          <w:sz w:val="24"/>
          <w:highlight w:val="none"/>
          <w:lang w:eastAsia="zh-CN"/>
        </w:rPr>
        <w:t>评标委员会对投标文件进行资格审查，</w:t>
      </w:r>
      <w:r>
        <w:rPr>
          <w:rFonts w:hint="eastAsia" w:ascii="宋体" w:hAnsi="宋体"/>
          <w:sz w:val="24"/>
          <w:highlight w:val="none"/>
        </w:rPr>
        <w:t>投标文件的资格评审详见资格要求部分。</w:t>
      </w:r>
    </w:p>
    <w:p>
      <w:pPr>
        <w:tabs>
          <w:tab w:val="left" w:pos="510"/>
        </w:tabs>
        <w:adjustRightInd w:val="0"/>
        <w:spacing w:line="360" w:lineRule="auto"/>
        <w:ind w:firstLine="480" w:firstLineChars="200"/>
        <w:textAlignment w:val="baseline"/>
        <w:rPr>
          <w:szCs w:val="21"/>
          <w:highlight w:val="none"/>
        </w:rPr>
      </w:pPr>
      <w:r>
        <w:rPr>
          <w:rFonts w:hint="eastAsia"/>
          <w:b/>
          <w:sz w:val="24"/>
          <w:szCs w:val="24"/>
          <w:highlight w:val="none"/>
        </w:rPr>
        <w:t>符合性评审：</w:t>
      </w:r>
      <w:r>
        <w:rPr>
          <w:rFonts w:hint="eastAsia"/>
          <w:sz w:val="24"/>
          <w:szCs w:val="24"/>
          <w:highlight w:val="none"/>
        </w:rPr>
        <w:t>评标委员会从投标文件的对招标文件的响应程度进行审查，以确定其是否对招标文件实质性内容作出响应：</w:t>
      </w:r>
    </w:p>
    <w:tbl>
      <w:tblPr>
        <w:tblStyle w:val="38"/>
        <w:tblpPr w:leftFromText="180" w:rightFromText="180" w:vertAnchor="text" w:horzAnchor="margin" w:tblpXSpec="center" w:tblpY="166"/>
        <w:tblOverlap w:val="never"/>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854"/>
        <w:gridCol w:w="5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822" w:type="dxa"/>
            <w:vAlign w:val="center"/>
          </w:tcPr>
          <w:p>
            <w:pPr>
              <w:tabs>
                <w:tab w:val="left" w:pos="0"/>
              </w:tabs>
              <w:adjustRightInd w:val="0"/>
              <w:snapToGrid w:val="0"/>
              <w:jc w:val="center"/>
              <w:rPr>
                <w:rFonts w:ascii="宋体" w:hAnsi="宋体" w:cs="宋体"/>
                <w:b/>
                <w:sz w:val="24"/>
                <w:highlight w:val="none"/>
              </w:rPr>
            </w:pPr>
            <w:r>
              <w:rPr>
                <w:rFonts w:hint="eastAsia" w:ascii="宋体" w:hAnsi="宋体" w:cs="宋体"/>
                <w:b/>
                <w:sz w:val="24"/>
                <w:highlight w:val="none"/>
              </w:rPr>
              <w:t>序号</w:t>
            </w:r>
          </w:p>
        </w:tc>
        <w:tc>
          <w:tcPr>
            <w:tcW w:w="2854" w:type="dxa"/>
            <w:vAlign w:val="center"/>
          </w:tcPr>
          <w:p>
            <w:pPr>
              <w:tabs>
                <w:tab w:val="left" w:pos="0"/>
              </w:tabs>
              <w:adjustRightInd w:val="0"/>
              <w:snapToGrid w:val="0"/>
              <w:jc w:val="center"/>
              <w:rPr>
                <w:rFonts w:ascii="宋体" w:hAnsi="宋体" w:cs="宋体"/>
                <w:b/>
                <w:sz w:val="24"/>
                <w:highlight w:val="none"/>
              </w:rPr>
            </w:pPr>
            <w:r>
              <w:rPr>
                <w:rFonts w:hint="eastAsia" w:ascii="宋体" w:hAnsi="宋体" w:cs="宋体"/>
                <w:b/>
                <w:sz w:val="24"/>
                <w:highlight w:val="none"/>
              </w:rPr>
              <w:t>评审项目</w:t>
            </w:r>
          </w:p>
        </w:tc>
        <w:tc>
          <w:tcPr>
            <w:tcW w:w="5566" w:type="dxa"/>
            <w:vAlign w:val="center"/>
          </w:tcPr>
          <w:p>
            <w:pPr>
              <w:tabs>
                <w:tab w:val="left" w:pos="0"/>
              </w:tabs>
              <w:adjustRightInd w:val="0"/>
              <w:snapToGrid w:val="0"/>
              <w:ind w:left="420"/>
              <w:jc w:val="center"/>
              <w:rPr>
                <w:rFonts w:ascii="宋体" w:hAnsi="宋体" w:cs="宋体"/>
                <w:b/>
                <w:sz w:val="24"/>
                <w:highlight w:val="none"/>
              </w:rPr>
            </w:pPr>
            <w:r>
              <w:rPr>
                <w:rFonts w:hint="eastAsia" w:ascii="宋体" w:hAnsi="宋体" w:cs="宋体"/>
                <w:b/>
                <w:sz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822"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1</w:t>
            </w:r>
          </w:p>
        </w:tc>
        <w:tc>
          <w:tcPr>
            <w:tcW w:w="2854"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投标文件的签署盖章</w:t>
            </w:r>
          </w:p>
        </w:tc>
        <w:tc>
          <w:tcPr>
            <w:tcW w:w="5566" w:type="dxa"/>
            <w:vAlign w:val="center"/>
          </w:tcPr>
          <w:p>
            <w:pPr>
              <w:tabs>
                <w:tab w:val="left" w:pos="0"/>
              </w:tabs>
              <w:adjustRightInd w:val="0"/>
              <w:snapToGrid w:val="0"/>
              <w:rPr>
                <w:rFonts w:ascii="宋体" w:hAnsi="宋体" w:cs="宋体"/>
                <w:sz w:val="24"/>
                <w:highlight w:val="none"/>
              </w:rPr>
            </w:pPr>
            <w:r>
              <w:rPr>
                <w:rFonts w:hint="eastAsia" w:ascii="宋体" w:hAnsi="宋体" w:cs="宋体"/>
                <w:sz w:val="24"/>
                <w:highlight w:val="none"/>
              </w:rPr>
              <w:t>投标文件上法定代表人或其授权代表人的签字齐全并加盖公章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822"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2</w:t>
            </w:r>
          </w:p>
        </w:tc>
        <w:tc>
          <w:tcPr>
            <w:tcW w:w="2854"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投标文件格式</w:t>
            </w:r>
          </w:p>
        </w:tc>
        <w:tc>
          <w:tcPr>
            <w:tcW w:w="5566" w:type="dxa"/>
            <w:vAlign w:val="center"/>
          </w:tcPr>
          <w:p>
            <w:pPr>
              <w:tabs>
                <w:tab w:val="left" w:pos="0"/>
              </w:tabs>
              <w:adjustRightInd w:val="0"/>
              <w:snapToGrid w:val="0"/>
              <w:rPr>
                <w:rFonts w:ascii="宋体" w:hAnsi="宋体" w:cs="宋体"/>
                <w:sz w:val="24"/>
                <w:highlight w:val="none"/>
              </w:rPr>
            </w:pPr>
            <w:r>
              <w:rPr>
                <w:rFonts w:hint="eastAsia" w:ascii="宋体" w:hAnsi="宋体" w:cs="宋体"/>
                <w:sz w:val="24"/>
                <w:highlight w:val="none"/>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22"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3</w:t>
            </w:r>
          </w:p>
        </w:tc>
        <w:tc>
          <w:tcPr>
            <w:tcW w:w="2854"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报价唯一</w:t>
            </w:r>
          </w:p>
        </w:tc>
        <w:tc>
          <w:tcPr>
            <w:tcW w:w="5566" w:type="dxa"/>
            <w:vAlign w:val="center"/>
          </w:tcPr>
          <w:p>
            <w:pPr>
              <w:tabs>
                <w:tab w:val="left" w:pos="0"/>
              </w:tabs>
              <w:adjustRightInd w:val="0"/>
              <w:snapToGrid w:val="0"/>
              <w:rPr>
                <w:rFonts w:ascii="宋体" w:hAnsi="宋体" w:cs="宋体"/>
                <w:sz w:val="24"/>
                <w:highlight w:val="none"/>
              </w:rPr>
            </w:pPr>
            <w:r>
              <w:rPr>
                <w:rFonts w:hint="eastAsia" w:ascii="宋体" w:hAnsi="宋体" w:cs="宋体"/>
                <w:sz w:val="24"/>
                <w:highlight w:val="none"/>
              </w:rPr>
              <w:t>只能有一个有效报价，不得提交选择性报价，且报价不超过采购限价。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22"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4</w:t>
            </w:r>
          </w:p>
        </w:tc>
        <w:tc>
          <w:tcPr>
            <w:tcW w:w="2854"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投标文件份数</w:t>
            </w:r>
          </w:p>
        </w:tc>
        <w:tc>
          <w:tcPr>
            <w:tcW w:w="5566" w:type="dxa"/>
            <w:vAlign w:val="center"/>
          </w:tcPr>
          <w:p>
            <w:pPr>
              <w:tabs>
                <w:tab w:val="left" w:pos="0"/>
              </w:tabs>
              <w:adjustRightInd w:val="0"/>
              <w:snapToGrid w:val="0"/>
              <w:rPr>
                <w:rFonts w:ascii="宋体" w:hAnsi="宋体" w:cs="宋体"/>
                <w:sz w:val="24"/>
                <w:highlight w:val="none"/>
              </w:rPr>
            </w:pPr>
            <w:r>
              <w:rPr>
                <w:rFonts w:hint="eastAsia" w:ascii="宋体" w:hAnsi="宋体" w:cs="宋体"/>
                <w:sz w:val="24"/>
                <w:highlight w:val="none"/>
              </w:rPr>
              <w:t>应符合“投标人须知前附表”规定的正本、副本、电子文件数量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822"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5</w:t>
            </w:r>
          </w:p>
        </w:tc>
        <w:tc>
          <w:tcPr>
            <w:tcW w:w="2854" w:type="dxa"/>
            <w:vAlign w:val="center"/>
          </w:tcPr>
          <w:p>
            <w:pPr>
              <w:tabs>
                <w:tab w:val="left" w:pos="0"/>
              </w:tabs>
              <w:adjustRightInd w:val="0"/>
              <w:snapToGrid w:val="0"/>
              <w:ind w:firstLine="120" w:firstLineChars="50"/>
              <w:rPr>
                <w:rFonts w:ascii="宋体" w:hAnsi="宋体" w:cs="宋体"/>
                <w:sz w:val="24"/>
                <w:highlight w:val="none"/>
              </w:rPr>
            </w:pPr>
            <w:r>
              <w:rPr>
                <w:rFonts w:hint="eastAsia" w:ascii="宋体" w:hAnsi="宋体" w:cs="宋体"/>
                <w:sz w:val="24"/>
                <w:highlight w:val="none"/>
              </w:rPr>
              <w:t>对招标文件响应程度</w:t>
            </w:r>
          </w:p>
        </w:tc>
        <w:tc>
          <w:tcPr>
            <w:tcW w:w="5566" w:type="dxa"/>
            <w:vAlign w:val="center"/>
          </w:tcPr>
          <w:p>
            <w:pPr>
              <w:tabs>
                <w:tab w:val="left" w:pos="0"/>
              </w:tabs>
              <w:adjustRightInd w:val="0"/>
              <w:snapToGrid w:val="0"/>
              <w:rPr>
                <w:rFonts w:ascii="宋体" w:hAnsi="宋体" w:cs="宋体"/>
                <w:sz w:val="24"/>
                <w:highlight w:val="none"/>
              </w:rPr>
            </w:pPr>
            <w:r>
              <w:rPr>
                <w:rFonts w:hint="eastAsia" w:ascii="宋体" w:hAnsi="宋体" w:cs="宋体"/>
                <w:sz w:val="24"/>
                <w:highlight w:val="none"/>
              </w:rPr>
              <w:t>要求全面响应，不能有任何采购人不能接受的附加条件</w:t>
            </w:r>
          </w:p>
        </w:tc>
      </w:tr>
    </w:tbl>
    <w:p>
      <w:pPr>
        <w:spacing w:line="600" w:lineRule="exact"/>
        <w:rPr>
          <w:rFonts w:ascii="宋体" w:hAnsi="宋体" w:cs="宋体"/>
          <w:sz w:val="24"/>
          <w:highlight w:val="none"/>
        </w:rPr>
      </w:pPr>
      <w:r>
        <w:rPr>
          <w:rFonts w:hint="eastAsia" w:ascii="宋体" w:hAnsi="宋体" w:cs="宋体"/>
          <w:sz w:val="24"/>
          <w:highlight w:val="none"/>
        </w:rPr>
        <w:t>说明：以上各项有1项不合格，评审不予通过，作为未实质性响应招标文件。</w:t>
      </w:r>
    </w:p>
    <w:p>
      <w:pPr>
        <w:spacing w:line="360" w:lineRule="auto"/>
        <w:ind w:firstLine="480" w:firstLineChars="200"/>
        <w:rPr>
          <w:rFonts w:ascii="宋体"/>
          <w:sz w:val="24"/>
          <w:highlight w:val="none"/>
        </w:rPr>
      </w:pPr>
      <w:r>
        <w:rPr>
          <w:rFonts w:ascii="宋体" w:hAnsi="宋体"/>
          <w:sz w:val="24"/>
          <w:highlight w:val="none"/>
        </w:rPr>
        <w:t>4.1</w:t>
      </w:r>
      <w:r>
        <w:rPr>
          <w:rFonts w:hint="eastAsia" w:ascii="宋体" w:hAnsi="宋体"/>
          <w:sz w:val="24"/>
          <w:highlight w:val="none"/>
        </w:rPr>
        <w:t>经审查符合以下条款有关规定的投标文件，</w:t>
      </w:r>
      <w:r>
        <w:rPr>
          <w:rFonts w:hint="eastAsia" w:ascii="宋体" w:hAnsi="宋体"/>
          <w:sz w:val="24"/>
          <w:highlight w:val="none"/>
          <w:lang w:eastAsia="zh-CN"/>
        </w:rPr>
        <w:t>才能</w:t>
      </w:r>
      <w:r>
        <w:rPr>
          <w:rFonts w:hint="eastAsia" w:ascii="宋体" w:hAnsi="宋体"/>
          <w:sz w:val="24"/>
          <w:highlight w:val="none"/>
        </w:rPr>
        <w:t>进行</w:t>
      </w:r>
      <w:r>
        <w:rPr>
          <w:rFonts w:hint="eastAsia" w:ascii="宋体" w:hAnsi="宋体"/>
          <w:sz w:val="24"/>
          <w:highlight w:val="none"/>
          <w:lang w:eastAsia="zh-CN"/>
        </w:rPr>
        <w:t>下一步</w:t>
      </w:r>
      <w:r>
        <w:rPr>
          <w:rFonts w:hint="eastAsia" w:ascii="宋体" w:hAnsi="宋体"/>
          <w:sz w:val="24"/>
          <w:highlight w:val="none"/>
        </w:rPr>
        <w:t>评审。</w:t>
      </w:r>
    </w:p>
    <w:p>
      <w:pPr>
        <w:spacing w:line="360" w:lineRule="auto"/>
        <w:ind w:firstLine="500"/>
        <w:rPr>
          <w:rFonts w:ascii="宋体"/>
          <w:sz w:val="24"/>
          <w:highlight w:val="none"/>
        </w:rPr>
      </w:pPr>
      <w:r>
        <w:rPr>
          <w:rFonts w:ascii="宋体" w:hAnsi="宋体"/>
          <w:sz w:val="24"/>
          <w:highlight w:val="none"/>
        </w:rPr>
        <w:t>4.1.1</w:t>
      </w:r>
      <w:r>
        <w:rPr>
          <w:rFonts w:hint="eastAsia" w:ascii="宋体" w:hAnsi="宋体"/>
          <w:sz w:val="24"/>
          <w:highlight w:val="none"/>
        </w:rPr>
        <w:t>开标时，投标文件出现下列情形之一的，应当作为</w:t>
      </w:r>
      <w:r>
        <w:rPr>
          <w:rFonts w:hint="eastAsia" w:ascii="宋体" w:hAnsi="宋体"/>
          <w:b/>
          <w:sz w:val="24"/>
          <w:highlight w:val="none"/>
        </w:rPr>
        <w:t>无效投标</w:t>
      </w:r>
      <w:r>
        <w:rPr>
          <w:rFonts w:hint="eastAsia" w:ascii="宋体" w:hAnsi="宋体"/>
          <w:sz w:val="24"/>
          <w:highlight w:val="none"/>
        </w:rPr>
        <w:t>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14:textFill>
            <w14:solidFill>
              <w14:schemeClr w14:val="tx1"/>
            </w14:solidFill>
          </w14:textFill>
        </w:rPr>
        <w:t>）投标截止时间以后送达的投标文件；</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）供应商没有经过正常渠道领取招标文件或供应商的名称与登记领取招标文件单位的名称不符的（有工商行政管理部门提供相关变更手续的除外）；</w:t>
      </w:r>
    </w:p>
    <w:p>
      <w:pPr>
        <w:spacing w:line="360" w:lineRule="auto"/>
        <w:ind w:firstLine="480" w:firstLineChars="2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）投标文件未按照本招标文件的要求密封的；</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）未随投标文件一起提交有效的“授权委托书”原件的，或授权书和身份证原件的合法性或有效性不符合招标文件规定</w:t>
      </w:r>
      <w:r>
        <w:rPr>
          <w:rFonts w:hint="eastAsia" w:asci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4.1.2</w:t>
      </w:r>
      <w:r>
        <w:rPr>
          <w:rFonts w:hint="eastAsia" w:ascii="宋体" w:hAnsi="宋体"/>
          <w:color w:val="000000" w:themeColor="text1"/>
          <w:sz w:val="24"/>
          <w:highlight w:val="none"/>
          <w14:textFill>
            <w14:solidFill>
              <w14:schemeClr w14:val="tx1"/>
            </w14:solidFill>
          </w14:textFill>
        </w:rPr>
        <w:t>送评标委员会</w:t>
      </w:r>
      <w:r>
        <w:rPr>
          <w:rFonts w:hint="eastAsia" w:ascii="宋体" w:hAnsi="宋体"/>
          <w:color w:val="000000" w:themeColor="text1"/>
          <w:sz w:val="24"/>
          <w:highlight w:val="none"/>
          <w:lang w:eastAsia="zh-CN"/>
          <w14:textFill>
            <w14:solidFill>
              <w14:schemeClr w14:val="tx1"/>
            </w14:solidFill>
          </w14:textFill>
        </w:rPr>
        <w:t>对</w:t>
      </w:r>
      <w:r>
        <w:rPr>
          <w:rFonts w:hint="eastAsia" w:ascii="宋体" w:hAnsi="宋体"/>
          <w:color w:val="000000" w:themeColor="text1"/>
          <w:sz w:val="24"/>
          <w:highlight w:val="none"/>
          <w14:textFill>
            <w14:solidFill>
              <w14:schemeClr w14:val="tx1"/>
            </w14:solidFill>
          </w14:textFill>
        </w:rPr>
        <w:t>有效投标文件进行评审。</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4.2</w:t>
      </w:r>
      <w:r>
        <w:rPr>
          <w:rFonts w:hint="eastAsia" w:ascii="宋体" w:hAnsi="宋体"/>
          <w:color w:val="000000" w:themeColor="text1"/>
          <w:sz w:val="24"/>
          <w:highlight w:val="none"/>
          <w14:textFill>
            <w14:solidFill>
              <w14:schemeClr w14:val="tx1"/>
            </w14:solidFill>
          </w14:textFill>
        </w:rPr>
        <w:t>评标时，评标委员会将首先评定每份投标文件是否在实质上响应了招标文件的要求。所谓实质上响应，是指投标文件应与招标文件的所有实质性条款、条件和要求相符，无显著差异或保留，或者对合同中约定的采购人的权利和供应商的义务方面造成重大的限制，纠正这些显著差异或保留其重大的限制将会对其他实质上响应招标文件要求的投标文件的供应商的竞争地位产生不公正的影响。</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w:t>
      </w:r>
      <w:r>
        <w:rPr>
          <w:rFonts w:hint="eastAsia" w:ascii="宋体" w:hAnsi="宋体"/>
          <w:color w:val="000000" w:themeColor="text1"/>
          <w:sz w:val="24"/>
          <w:highlight w:val="none"/>
          <w14:textFill>
            <w14:solidFill>
              <w14:schemeClr w14:val="tx1"/>
            </w14:solidFill>
          </w14:textFill>
        </w:rPr>
        <w:t>如果投标文件实质上不响应招标文件的各项要求，或投标文件的编制、内容及责任与招标文件的要求有重大偏差，经评标委员会</w:t>
      </w:r>
      <w:r>
        <w:rPr>
          <w:rFonts w:ascii="宋体" w:hAnsi="宋体"/>
          <w:color w:val="000000" w:themeColor="text1"/>
          <w:sz w:val="24"/>
          <w:highlight w:val="none"/>
          <w14:textFill>
            <w14:solidFill>
              <w14:schemeClr w14:val="tx1"/>
            </w14:solidFill>
          </w14:textFill>
        </w:rPr>
        <w:t>2/3</w:t>
      </w:r>
      <w:r>
        <w:rPr>
          <w:rFonts w:hint="eastAsia" w:ascii="宋体" w:hAnsi="宋体"/>
          <w:color w:val="000000" w:themeColor="text1"/>
          <w:sz w:val="24"/>
          <w:highlight w:val="none"/>
          <w14:textFill>
            <w14:solidFill>
              <w14:schemeClr w14:val="tx1"/>
            </w14:solidFill>
          </w14:textFill>
        </w:rPr>
        <w:t>以上成员确认后，评标委员会将予以拒绝投标，并且不允许供应商通过修改或撤销其不符合要求的差异或保留，使之成为具有响应性的投标。</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投标文件有下列情形之一的，评标委员会应当认定投标文件初步评审（符合性评审）不合格，否决其投标：</w:t>
      </w:r>
    </w:p>
    <w:p>
      <w:pPr>
        <w:spacing w:line="360" w:lineRule="auto"/>
        <w:ind w:firstLine="5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4.3.1.1</w:t>
      </w:r>
      <w:r>
        <w:rPr>
          <w:rFonts w:hint="eastAsia" w:ascii="宋体" w:hAnsi="宋体"/>
          <w:color w:val="000000" w:themeColor="text1"/>
          <w:kern w:val="0"/>
          <w:sz w:val="24"/>
          <w:highlight w:val="none"/>
          <w14:textFill>
            <w14:solidFill>
              <w14:schemeClr w14:val="tx1"/>
            </w14:solidFill>
          </w14:textFill>
        </w:rPr>
        <w:t>投标文件未按招标文件要求签署、盖章的；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4.3.1.2</w:t>
      </w:r>
      <w:r>
        <w:rPr>
          <w:rFonts w:hint="eastAsia" w:ascii="宋体" w:hAnsi="宋体"/>
          <w:color w:val="000000" w:themeColor="text1"/>
          <w:kern w:val="0"/>
          <w:sz w:val="24"/>
          <w:highlight w:val="none"/>
          <w14:textFill>
            <w14:solidFill>
              <w14:schemeClr w14:val="tx1"/>
            </w14:solidFill>
          </w14:textFill>
        </w:rPr>
        <w:t>不具备招标文件中规定的资格要求的；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4.3.1.3</w:t>
      </w:r>
      <w:r>
        <w:rPr>
          <w:rFonts w:hint="eastAsia" w:ascii="宋体" w:hAnsi="宋体"/>
          <w:color w:val="000000" w:themeColor="text1"/>
          <w:kern w:val="0"/>
          <w:sz w:val="24"/>
          <w:highlight w:val="none"/>
          <w14:textFill>
            <w14:solidFill>
              <w14:schemeClr w14:val="tx1"/>
            </w14:solidFill>
          </w14:textFill>
        </w:rPr>
        <w:t>报价超过招标文件中规定的预算金额或者最高限价的；</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4.3.1.4</w:t>
      </w:r>
      <w:r>
        <w:rPr>
          <w:rFonts w:hint="eastAsia" w:ascii="宋体" w:hAnsi="宋体"/>
          <w:color w:val="000000" w:themeColor="text1"/>
          <w:kern w:val="0"/>
          <w:sz w:val="24"/>
          <w:highlight w:val="none"/>
          <w14:textFill>
            <w14:solidFill>
              <w14:schemeClr w14:val="tx1"/>
            </w14:solidFill>
          </w14:textFill>
        </w:rPr>
        <w:t>投标文件的技术、商务要求</w:t>
      </w:r>
      <w:r>
        <w:rPr>
          <w:rFonts w:hint="eastAsia" w:ascii="宋体" w:hAnsi="宋体"/>
          <w:color w:val="000000" w:themeColor="text1"/>
          <w:sz w:val="24"/>
          <w:highlight w:val="none"/>
          <w14:textFill>
            <w14:solidFill>
              <w14:schemeClr w14:val="tx1"/>
            </w14:solidFill>
          </w14:textFill>
        </w:rPr>
        <w:t>明显不满足招标文件要求的，或在投标文件中提出与招标文件相抵触要求或对招标文件有重大保留，包括重新划定风险范围，改变各方的权利和义务，不能满足采购人合同期限要求，提出不同的质量标准、验收方法、计量方法和纠纷处理办法，</w:t>
      </w:r>
      <w:r>
        <w:rPr>
          <w:rFonts w:hint="eastAsia" w:ascii="宋体"/>
          <w:color w:val="000000" w:themeColor="text1"/>
          <w:sz w:val="24"/>
          <w:highlight w:val="none"/>
          <w14:textFill>
            <w14:solidFill>
              <w14:schemeClr w14:val="tx1"/>
            </w14:solidFill>
          </w14:textFill>
        </w:rPr>
        <w:t>含有采购人不能接受的附加条件的</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4.3.1.5</w:t>
      </w:r>
      <w:r>
        <w:rPr>
          <w:rFonts w:hint="eastAsia" w:ascii="宋体" w:hAnsi="宋体"/>
          <w:color w:val="000000" w:themeColor="text1"/>
          <w:sz w:val="24"/>
          <w:highlight w:val="none"/>
          <w14:textFill>
            <w14:solidFill>
              <w14:schemeClr w14:val="tx1"/>
            </w14:solidFill>
          </w14:textFill>
        </w:rPr>
        <w:t>无投标有效期或有效期达不到招标文件的要求；</w:t>
      </w:r>
    </w:p>
    <w:p>
      <w:pPr>
        <w:spacing w:line="360" w:lineRule="auto"/>
        <w:ind w:firstLine="5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4.3.1.6</w:t>
      </w:r>
      <w:r>
        <w:rPr>
          <w:rFonts w:hint="eastAsia" w:ascii="宋体" w:hAnsi="宋体"/>
          <w:color w:val="000000" w:themeColor="text1"/>
          <w:kern w:val="0"/>
          <w:sz w:val="24"/>
          <w:highlight w:val="none"/>
          <w14:textFill>
            <w14:solidFill>
              <w14:schemeClr w14:val="tx1"/>
            </w14:solidFill>
          </w14:textFill>
        </w:rPr>
        <w:t>法律、法规及行业有关规定的其他情形。</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w:t>
      </w:r>
      <w:r>
        <w:rPr>
          <w:rFonts w:hint="eastAsia" w:ascii="宋体" w:hAnsi="宋体"/>
          <w:color w:val="000000" w:themeColor="text1"/>
          <w:kern w:val="0"/>
          <w:sz w:val="24"/>
          <w:highlight w:val="none"/>
          <w14:textFill>
            <w14:solidFill>
              <w14:schemeClr w14:val="tx1"/>
            </w14:solidFill>
          </w14:textFill>
        </w:rPr>
        <w:t>投标文件有下列情形之一的，评标委员会应当认定投标文件按废标处理：</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4.3.2.1</w:t>
      </w:r>
      <w:r>
        <w:rPr>
          <w:rFonts w:hint="eastAsia" w:ascii="宋体" w:hAnsi="宋体"/>
          <w:color w:val="000000" w:themeColor="text1"/>
          <w:kern w:val="0"/>
          <w:sz w:val="24"/>
          <w:highlight w:val="none"/>
          <w14:textFill>
            <w14:solidFill>
              <w14:schemeClr w14:val="tx1"/>
            </w14:solidFill>
          </w14:textFill>
        </w:rPr>
        <w:t>同一投标人提交两个以上不同的投标文件或者投标报价，但招标文件要求提交备选投标的除外；</w:t>
      </w:r>
    </w:p>
    <w:p>
      <w:pPr>
        <w:spacing w:line="360" w:lineRule="auto"/>
        <w:ind w:firstLine="500"/>
        <w:rPr>
          <w:rFonts w:asci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4.3.2.2</w:t>
      </w:r>
      <w:r>
        <w:rPr>
          <w:rFonts w:hint="eastAsia" w:ascii="宋体" w:hAnsi="宋体"/>
          <w:color w:val="000000" w:themeColor="text1"/>
          <w:kern w:val="0"/>
          <w:sz w:val="24"/>
          <w:highlight w:val="none"/>
          <w14:textFill>
            <w14:solidFill>
              <w14:schemeClr w14:val="tx1"/>
            </w14:solidFill>
          </w14:textFill>
        </w:rPr>
        <w:t>投标人有串通投标、弄虚作假、行贿等违法行为。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4.3.2.3</w:t>
      </w:r>
      <w:r>
        <w:rPr>
          <w:rFonts w:hint="eastAsia" w:ascii="宋体" w:hAnsi="宋体"/>
          <w:color w:val="000000" w:themeColor="text1"/>
          <w:sz w:val="24"/>
          <w:highlight w:val="none"/>
          <w14:textFill>
            <w14:solidFill>
              <w14:schemeClr w14:val="tx1"/>
            </w14:solidFill>
          </w14:textFill>
        </w:rPr>
        <w:t>供应商</w:t>
      </w:r>
      <w:r>
        <w:rPr>
          <w:rFonts w:hint="eastAsia" w:ascii="宋体" w:hAnsi="宋体"/>
          <w:color w:val="000000" w:themeColor="text1"/>
          <w:kern w:val="0"/>
          <w:sz w:val="24"/>
          <w:highlight w:val="none"/>
          <w14:textFill>
            <w14:solidFill>
              <w14:schemeClr w14:val="tx1"/>
            </w14:solidFill>
          </w14:textFill>
        </w:rPr>
        <w:t>恶意竞标，供应商代表恶意扰乱开标会场秩序且不听劝阻的；</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4.3.2.4</w:t>
      </w:r>
      <w:r>
        <w:rPr>
          <w:rFonts w:hint="eastAsia" w:ascii="宋体" w:hAnsi="宋体"/>
          <w:color w:val="000000" w:themeColor="text1"/>
          <w:sz w:val="24"/>
          <w:highlight w:val="none"/>
          <w14:textFill>
            <w14:solidFill>
              <w14:schemeClr w14:val="tx1"/>
            </w14:solidFill>
          </w14:textFill>
        </w:rPr>
        <w:t>拒绝或不按评标委员会要求澄清、说明或补正的</w:t>
      </w:r>
      <w:r>
        <w:rPr>
          <w:rFonts w:hint="eastAsia" w:ascii="宋体" w:hAnsi="宋体"/>
          <w:color w:val="000000" w:themeColor="text1"/>
          <w:kern w:val="0"/>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4.3.2.5</w:t>
      </w:r>
      <w:r>
        <w:rPr>
          <w:rFonts w:hint="eastAsia" w:ascii="宋体" w:hAnsi="宋体"/>
          <w:color w:val="000000" w:themeColor="text1"/>
          <w:sz w:val="24"/>
          <w:highlight w:val="none"/>
          <w14:textFill>
            <w14:solidFill>
              <w14:schemeClr w14:val="tx1"/>
            </w14:solidFill>
          </w14:textFill>
        </w:rPr>
        <w:t>未按招标文件指定格式填写“开标一览表”或“分项报价表”，或出现漏项或投标产品品目、数量、服务内容与招标文件要求不符</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数量不足</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w:t>
      </w:r>
    </w:p>
    <w:p>
      <w:pPr>
        <w:spacing w:line="360" w:lineRule="auto"/>
        <w:ind w:firstLine="500"/>
        <w:rPr>
          <w:rFonts w:asci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提供虚假证明，开具虚假资质，除按无效投标文件处理外，还应由国家管理机关依据相关法律法规进行相应的处罚；</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w:t>
      </w:r>
      <w:r>
        <w:rPr>
          <w:rFonts w:hint="eastAsia" w:ascii="宋体" w:hAnsi="宋体"/>
          <w:color w:val="000000" w:themeColor="text1"/>
          <w:sz w:val="24"/>
          <w:highlight w:val="none"/>
          <w14:textFill>
            <w14:solidFill>
              <w14:schemeClr w14:val="tx1"/>
            </w14:solidFill>
          </w14:textFill>
        </w:rPr>
        <w:t>供应商有下列情形之一的，应认定为串通投标行为：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4.4.1</w:t>
      </w:r>
      <w:r>
        <w:rPr>
          <w:rFonts w:hint="eastAsia" w:ascii="宋体" w:hAnsi="宋体"/>
          <w:color w:val="000000" w:themeColor="text1"/>
          <w:sz w:val="24"/>
          <w:highlight w:val="none"/>
          <w14:textFill>
            <w14:solidFill>
              <w14:schemeClr w14:val="tx1"/>
            </w14:solidFill>
          </w14:textFill>
        </w:rPr>
        <w:t>不同投标人的投标文件由同一单位或者个人编制；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4.4.2</w:t>
      </w:r>
      <w:r>
        <w:rPr>
          <w:rFonts w:hint="eastAsia" w:ascii="宋体" w:hAnsi="宋体"/>
          <w:color w:val="000000" w:themeColor="text1"/>
          <w:sz w:val="24"/>
          <w:highlight w:val="none"/>
          <w14:textFill>
            <w14:solidFill>
              <w14:schemeClr w14:val="tx1"/>
            </w14:solidFill>
          </w14:textFill>
        </w:rPr>
        <w:t>不同投标人委托同一单位或者个人办理投标事宜；</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4.4.3</w:t>
      </w:r>
      <w:r>
        <w:rPr>
          <w:rFonts w:hint="eastAsia" w:ascii="宋体" w:hAnsi="宋体"/>
          <w:color w:val="000000" w:themeColor="text1"/>
          <w:sz w:val="24"/>
          <w:highlight w:val="none"/>
          <w14:textFill>
            <w14:solidFill>
              <w14:schemeClr w14:val="tx1"/>
            </w14:solidFill>
          </w14:textFill>
        </w:rPr>
        <w:t>不同投标人的投标文件载明的项目管理成员为同一人；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4.4.4</w:t>
      </w:r>
      <w:r>
        <w:rPr>
          <w:rFonts w:hint="eastAsia" w:ascii="宋体" w:hAnsi="宋体"/>
          <w:color w:val="000000" w:themeColor="text1"/>
          <w:sz w:val="24"/>
          <w:highlight w:val="none"/>
          <w14:textFill>
            <w14:solidFill>
              <w14:schemeClr w14:val="tx1"/>
            </w14:solidFill>
          </w14:textFill>
        </w:rPr>
        <w:t>不同投标人的投标文件异常一致或者投标报价呈规律性差异；</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4.4.5</w:t>
      </w:r>
      <w:r>
        <w:rPr>
          <w:rFonts w:hint="eastAsia" w:ascii="宋体" w:hAnsi="宋体"/>
          <w:color w:val="000000" w:themeColor="text1"/>
          <w:sz w:val="24"/>
          <w:highlight w:val="none"/>
          <w14:textFill>
            <w14:solidFill>
              <w14:schemeClr w14:val="tx1"/>
            </w14:solidFill>
          </w14:textFill>
        </w:rPr>
        <w:t>不同投标人的投标文件相互混装；</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w:t>
      </w:r>
      <w:r>
        <w:rPr>
          <w:rFonts w:hint="eastAsia" w:ascii="宋体" w:hAnsi="宋体"/>
          <w:color w:val="000000" w:themeColor="text1"/>
          <w:sz w:val="24"/>
          <w:highlight w:val="none"/>
          <w14:textFill>
            <w14:solidFill>
              <w14:schemeClr w14:val="tx1"/>
            </w14:solidFill>
          </w14:textFill>
        </w:rPr>
        <w:t>使用通过受让或者租借等方式获取的资格、资质证书投标的，属于以他人名义投标。投标人有下列情形之一的，属于以其他方式弄虚作假的行为：</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4.5.1</w:t>
      </w:r>
      <w:r>
        <w:rPr>
          <w:rFonts w:hint="eastAsia" w:ascii="宋体" w:hAnsi="宋体"/>
          <w:color w:val="000000" w:themeColor="text1"/>
          <w:sz w:val="24"/>
          <w:highlight w:val="none"/>
          <w14:textFill>
            <w14:solidFill>
              <w14:schemeClr w14:val="tx1"/>
            </w14:solidFill>
          </w14:textFill>
        </w:rPr>
        <w:t>使用伪造、变造的许可证件；</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4.5.2</w:t>
      </w:r>
      <w:r>
        <w:rPr>
          <w:rFonts w:hint="eastAsia" w:ascii="宋体" w:hAnsi="宋体"/>
          <w:color w:val="000000" w:themeColor="text1"/>
          <w:sz w:val="24"/>
          <w:highlight w:val="none"/>
          <w14:textFill>
            <w14:solidFill>
              <w14:schemeClr w14:val="tx1"/>
            </w14:solidFill>
          </w14:textFill>
        </w:rPr>
        <w:t>提供虚假的财务状况或者业绩；</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4.5.3</w:t>
      </w:r>
      <w:r>
        <w:rPr>
          <w:rFonts w:hint="eastAsia" w:ascii="宋体" w:hAnsi="宋体"/>
          <w:color w:val="000000" w:themeColor="text1"/>
          <w:sz w:val="24"/>
          <w:highlight w:val="none"/>
          <w14:textFill>
            <w14:solidFill>
              <w14:schemeClr w14:val="tx1"/>
            </w14:solidFill>
          </w14:textFill>
        </w:rPr>
        <w:t>提供虚假的项目负责人或者主要技术人员简历、劳动关系证明；</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4.5.4</w:t>
      </w:r>
      <w:r>
        <w:rPr>
          <w:rFonts w:hint="eastAsia" w:ascii="宋体" w:hAnsi="宋体"/>
          <w:color w:val="000000" w:themeColor="text1"/>
          <w:sz w:val="24"/>
          <w:highlight w:val="none"/>
          <w14:textFill>
            <w14:solidFill>
              <w14:schemeClr w14:val="tx1"/>
            </w14:solidFill>
          </w14:textFill>
        </w:rPr>
        <w:t>提供虚假的信用状况；</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4.5.5</w:t>
      </w:r>
      <w:r>
        <w:rPr>
          <w:rFonts w:hint="eastAsia" w:ascii="宋体" w:hAnsi="宋体"/>
          <w:color w:val="000000" w:themeColor="text1"/>
          <w:sz w:val="24"/>
          <w:highlight w:val="none"/>
          <w14:textFill>
            <w14:solidFill>
              <w14:schemeClr w14:val="tx1"/>
            </w14:solidFill>
          </w14:textFill>
        </w:rPr>
        <w:t>其他弄虚作假的行为。</w:t>
      </w:r>
    </w:p>
    <w:p>
      <w:pPr>
        <w:pStyle w:val="7"/>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5</w:t>
      </w:r>
      <w:r>
        <w:rPr>
          <w:rFonts w:hint="eastAsia"/>
          <w:color w:val="000000" w:themeColor="text1"/>
          <w:sz w:val="24"/>
          <w:szCs w:val="24"/>
          <w:highlight w:val="none"/>
          <w14:textFill>
            <w14:solidFill>
              <w14:schemeClr w14:val="tx1"/>
            </w14:solidFill>
          </w14:textFill>
        </w:rPr>
        <w:t>．投标文件计算错误的修正</w:t>
      </w:r>
    </w:p>
    <w:p>
      <w:pPr>
        <w:spacing w:line="360" w:lineRule="auto"/>
        <w:ind w:firstLine="500"/>
        <w:rPr>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w:t>
      </w:r>
      <w:r>
        <w:rPr>
          <w:rFonts w:hint="eastAsia" w:ascii="宋体" w:hAnsi="宋体"/>
          <w:color w:val="000000" w:themeColor="text1"/>
          <w:sz w:val="24"/>
          <w:highlight w:val="none"/>
          <w14:textFill>
            <w14:solidFill>
              <w14:schemeClr w14:val="tx1"/>
            </w14:solidFill>
          </w14:textFill>
        </w:rPr>
        <w:t>评标委员会将对确定为实质上响应招标文件要求的投标文件进行校核，看其是否有计算或表达上的错误，修正错误的原则如下：</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5.1.1</w:t>
      </w:r>
      <w:r>
        <w:rPr>
          <w:rFonts w:hint="eastAsia" w:ascii="宋体" w:hAnsi="宋体"/>
          <w:color w:val="000000" w:themeColor="text1"/>
          <w:sz w:val="24"/>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5.1.2</w:t>
      </w:r>
      <w:r>
        <w:rPr>
          <w:rFonts w:hint="eastAsia" w:ascii="宋体" w:hAnsi="宋体"/>
          <w:color w:val="000000" w:themeColor="text1"/>
          <w:sz w:val="24"/>
          <w:highlight w:val="none"/>
          <w14:textFill>
            <w14:solidFill>
              <w14:schemeClr w14:val="tx1"/>
            </w14:solidFill>
          </w14:textFill>
        </w:rPr>
        <w:t>大写金额和小写金额不一致的，以大写金额为准；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5.1.3</w:t>
      </w:r>
      <w:r>
        <w:rPr>
          <w:rFonts w:hint="eastAsia" w:ascii="宋体" w:hAnsi="宋体"/>
          <w:color w:val="000000" w:themeColor="text1"/>
          <w:sz w:val="24"/>
          <w:highlight w:val="none"/>
          <w14:textFill>
            <w14:solidFill>
              <w14:schemeClr w14:val="tx1"/>
            </w14:solidFill>
          </w14:textFill>
        </w:rPr>
        <w:t>单价金额小数点或者百分比有明显错位的，以开标一览表的总价为准，并修改单价；</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5.1.4</w:t>
      </w:r>
      <w:r>
        <w:rPr>
          <w:rFonts w:hint="eastAsia" w:ascii="宋体" w:hAnsi="宋体"/>
          <w:color w:val="000000" w:themeColor="text1"/>
          <w:sz w:val="24"/>
          <w:highlight w:val="none"/>
          <w14:textFill>
            <w14:solidFill>
              <w14:schemeClr w14:val="tx1"/>
            </w14:solidFill>
          </w14:textFill>
        </w:rPr>
        <w:t>总价金额与按单价汇总金额不一致的，以单价金额计算结果为准。</w:t>
      </w:r>
    </w:p>
    <w:p>
      <w:pPr>
        <w:spacing w:line="360" w:lineRule="auto"/>
        <w:ind w:firstLine="480" w:firstLineChars="2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5.1.5</w:t>
      </w:r>
      <w:r>
        <w:rPr>
          <w:rFonts w:hint="eastAsia" w:ascii="宋体" w:hAnsi="宋体"/>
          <w:color w:val="000000" w:themeColor="text1"/>
          <w:sz w:val="24"/>
          <w:highlight w:val="none"/>
          <w14:textFill>
            <w14:solidFill>
              <w14:schemeClr w14:val="tx1"/>
            </w14:solidFill>
          </w14:textFill>
        </w:rPr>
        <w:t>正本与副本不符以正本为准。</w:t>
      </w:r>
    </w:p>
    <w:p>
      <w:pPr>
        <w:spacing w:line="360" w:lineRule="auto"/>
        <w:ind w:firstLine="500"/>
        <w:rPr>
          <w:rFonts w:asci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5.2</w:t>
      </w:r>
      <w:r>
        <w:rPr>
          <w:rFonts w:hint="eastAsia" w:ascii="宋体" w:hAnsi="宋体"/>
          <w:color w:val="000000" w:themeColor="text1"/>
          <w:sz w:val="24"/>
          <w:highlight w:val="none"/>
          <w14:textFill>
            <w14:solidFill>
              <w14:schemeClr w14:val="tx1"/>
            </w14:solidFill>
          </w14:textFill>
        </w:rPr>
        <w:t>同时出现两种以上不一致的，按照前款规定的顺序修正。修正后的报价经投标人确认后产生约束力，投标人不确认的，其投标无效。</w:t>
      </w:r>
    </w:p>
    <w:p>
      <w:pPr>
        <w:pStyle w:val="7"/>
        <w:keepNext w:val="0"/>
        <w:keepLines w:val="0"/>
        <w:spacing w:before="0" w:after="0"/>
        <w:rPr>
          <w:rFonts w:eastAsia="Times New Roman"/>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6</w:t>
      </w:r>
      <w:r>
        <w:rPr>
          <w:rFonts w:hint="eastAsia"/>
          <w:color w:val="000000" w:themeColor="text1"/>
          <w:sz w:val="24"/>
          <w:szCs w:val="24"/>
          <w:highlight w:val="none"/>
          <w14:textFill>
            <w14:solidFill>
              <w14:schemeClr w14:val="tx1"/>
            </w14:solidFill>
          </w14:textFill>
        </w:rPr>
        <w:t>．投标文件的评审、比较和否决</w:t>
      </w:r>
    </w:p>
    <w:p>
      <w:pPr>
        <w:spacing w:line="360" w:lineRule="auto"/>
        <w:ind w:firstLine="500"/>
        <w:rPr>
          <w:sz w:val="24"/>
          <w:highlight w:val="none"/>
        </w:rPr>
      </w:pPr>
      <w:r>
        <w:rPr>
          <w:rFonts w:ascii="宋体" w:hAnsi="宋体"/>
          <w:sz w:val="24"/>
          <w:highlight w:val="none"/>
        </w:rPr>
        <w:t>6.1</w:t>
      </w:r>
      <w:r>
        <w:rPr>
          <w:rFonts w:hint="eastAsia" w:ascii="宋体" w:hAnsi="宋体"/>
          <w:sz w:val="24"/>
          <w:highlight w:val="none"/>
        </w:rPr>
        <w:t>评标委员会将按照本章“评标办法”第</w:t>
      </w:r>
      <w:r>
        <w:rPr>
          <w:rFonts w:ascii="宋体" w:hAnsi="宋体"/>
          <w:sz w:val="24"/>
          <w:highlight w:val="none"/>
        </w:rPr>
        <w:t>4</w:t>
      </w:r>
      <w:r>
        <w:rPr>
          <w:rFonts w:hint="eastAsia" w:ascii="宋体" w:hAnsi="宋体"/>
          <w:sz w:val="24"/>
          <w:highlight w:val="none"/>
        </w:rPr>
        <w:t>条规定，仅对在实质上响应招标文件要求的投标文件进行评估和比较。</w:t>
      </w:r>
    </w:p>
    <w:p>
      <w:pPr>
        <w:spacing w:line="360" w:lineRule="auto"/>
        <w:ind w:firstLine="480"/>
        <w:rPr>
          <w:i/>
          <w:sz w:val="24"/>
          <w:highlight w:val="none"/>
        </w:rPr>
      </w:pPr>
      <w:r>
        <w:rPr>
          <w:rFonts w:ascii="宋体" w:hAnsi="宋体"/>
          <w:sz w:val="24"/>
          <w:highlight w:val="none"/>
        </w:rPr>
        <w:t>6.2</w:t>
      </w:r>
      <w:r>
        <w:rPr>
          <w:rFonts w:hint="eastAsia" w:ascii="宋体" w:hAnsi="宋体"/>
          <w:sz w:val="24"/>
          <w:highlight w:val="none"/>
        </w:rPr>
        <w:t>在评审过程中</w:t>
      </w:r>
      <w:r>
        <w:rPr>
          <w:rFonts w:ascii="宋体"/>
          <w:sz w:val="24"/>
          <w:highlight w:val="none"/>
        </w:rPr>
        <w:t>,</w:t>
      </w:r>
      <w:r>
        <w:rPr>
          <w:rFonts w:hint="eastAsia" w:ascii="宋体" w:hAnsi="宋体"/>
          <w:sz w:val="24"/>
          <w:highlight w:val="none"/>
        </w:rPr>
        <w:t>评标委员会可以以书面形式要求供应商就投标文件中含义不明确的内容进行书面说明并提供相关材料。</w:t>
      </w:r>
    </w:p>
    <w:p>
      <w:pPr>
        <w:spacing w:line="360" w:lineRule="auto"/>
        <w:ind w:firstLine="500"/>
        <w:rPr>
          <w:sz w:val="24"/>
          <w:highlight w:val="none"/>
        </w:rPr>
      </w:pPr>
      <w:r>
        <w:rPr>
          <w:rFonts w:ascii="宋体" w:hAnsi="宋体"/>
          <w:sz w:val="24"/>
          <w:highlight w:val="none"/>
        </w:rPr>
        <w:t>6.3</w:t>
      </w:r>
      <w:r>
        <w:rPr>
          <w:rFonts w:hint="eastAsia" w:ascii="宋体" w:hAnsi="宋体"/>
          <w:sz w:val="24"/>
          <w:highlight w:val="none"/>
        </w:rPr>
        <w:t>评标委员会依据规定的评标标准和方法，对投标文件进行评审和比较，向采购人提出书面评标报告，并推荐合格的中标候选人。采购人根据评标委员会提出的书面评标报告和推荐的中标候选人确定中标人。</w:t>
      </w:r>
    </w:p>
    <w:p>
      <w:pPr>
        <w:spacing w:line="360" w:lineRule="auto"/>
        <w:ind w:firstLine="480"/>
        <w:rPr>
          <w:rFonts w:eastAsia="Times New Roman"/>
          <w:sz w:val="24"/>
          <w:highlight w:val="none"/>
        </w:rPr>
      </w:pPr>
      <w:r>
        <w:rPr>
          <w:rFonts w:ascii="宋体" w:hAnsi="宋体"/>
          <w:sz w:val="24"/>
          <w:highlight w:val="none"/>
        </w:rPr>
        <w:t>6.4</w:t>
      </w:r>
      <w:r>
        <w:rPr>
          <w:rFonts w:hint="eastAsia"/>
          <w:sz w:val="24"/>
          <w:highlight w:val="none"/>
        </w:rPr>
        <w:t>评标方法和标准</w:t>
      </w:r>
    </w:p>
    <w:p>
      <w:pPr>
        <w:spacing w:line="360" w:lineRule="auto"/>
        <w:ind w:firstLine="500"/>
        <w:rPr>
          <w:sz w:val="24"/>
          <w:highlight w:val="none"/>
          <w:shd w:val="pct10" w:color="auto" w:fill="FFFFFF"/>
        </w:rPr>
      </w:pPr>
      <w:r>
        <w:rPr>
          <w:rFonts w:ascii="宋体" w:hAnsi="宋体"/>
          <w:sz w:val="24"/>
          <w:highlight w:val="none"/>
        </w:rPr>
        <w:t>6.4.1</w:t>
      </w:r>
      <w:r>
        <w:rPr>
          <w:rFonts w:hint="eastAsia" w:ascii="宋体" w:hAnsi="宋体"/>
          <w:sz w:val="24"/>
          <w:highlight w:val="none"/>
        </w:rPr>
        <w:t>本次招标采用</w:t>
      </w:r>
      <w:r>
        <w:rPr>
          <w:rFonts w:hint="eastAsia"/>
          <w:sz w:val="24"/>
          <w:highlight w:val="none"/>
        </w:rPr>
        <w:t>百分制评标方法</w:t>
      </w:r>
      <w:r>
        <w:rPr>
          <w:rFonts w:hint="eastAsia" w:ascii="宋体" w:hAnsi="宋体"/>
          <w:sz w:val="24"/>
          <w:highlight w:val="none"/>
        </w:rPr>
        <w:t>。在满足招标文件的实质性要求（合同期限、投标有效期、工作内容和要求、安全和合理低价）条件下，评标委员会选择综合得分由最高到低排序前三名的供应商作为中标候选人并向采购人推荐。</w:t>
      </w:r>
    </w:p>
    <w:p>
      <w:pPr>
        <w:spacing w:line="360" w:lineRule="auto"/>
        <w:ind w:firstLine="499"/>
        <w:rPr>
          <w:sz w:val="24"/>
          <w:highlight w:val="none"/>
        </w:rPr>
      </w:pPr>
      <w:r>
        <w:rPr>
          <w:rFonts w:ascii="宋体" w:hAnsi="宋体"/>
          <w:sz w:val="24"/>
          <w:highlight w:val="none"/>
        </w:rPr>
        <w:t>6.4.2</w:t>
      </w:r>
      <w:r>
        <w:rPr>
          <w:rFonts w:hint="eastAsia" w:ascii="宋体" w:hAnsi="宋体"/>
          <w:sz w:val="24"/>
          <w:highlight w:val="none"/>
        </w:rPr>
        <w:t>评分内容及步骤</w:t>
      </w:r>
    </w:p>
    <w:p>
      <w:pPr>
        <w:spacing w:line="360" w:lineRule="auto"/>
        <w:ind w:firstLine="499"/>
        <w:rPr>
          <w:sz w:val="24"/>
          <w:highlight w:val="none"/>
        </w:rPr>
      </w:pPr>
      <w:r>
        <w:rPr>
          <w:rFonts w:ascii="宋体" w:hAnsi="宋体"/>
          <w:sz w:val="24"/>
          <w:highlight w:val="none"/>
        </w:rPr>
        <w:t>6.4.2.1</w:t>
      </w:r>
      <w:r>
        <w:rPr>
          <w:rFonts w:hint="eastAsia" w:ascii="宋体" w:hAnsi="宋体"/>
          <w:sz w:val="24"/>
          <w:highlight w:val="none"/>
        </w:rPr>
        <w:t>评审内容：</w:t>
      </w:r>
    </w:p>
    <w:p>
      <w:pPr>
        <w:autoSpaceDE w:val="0"/>
        <w:autoSpaceDN w:val="0"/>
        <w:adjustRightInd w:val="0"/>
        <w:spacing w:after="60" w:line="360" w:lineRule="auto"/>
        <w:ind w:firstLine="480" w:firstLineChars="200"/>
        <w:rPr>
          <w:rFonts w:ascii="宋体"/>
          <w:sz w:val="24"/>
          <w:highlight w:val="none"/>
        </w:rPr>
      </w:pPr>
      <w:r>
        <w:rPr>
          <w:rFonts w:hint="eastAsia" w:ascii="宋体" w:hAnsi="宋体"/>
          <w:sz w:val="24"/>
          <w:highlight w:val="none"/>
        </w:rPr>
        <w:t>（1）投标文件评审内容和分值：评审总分</w:t>
      </w:r>
      <w:r>
        <w:rPr>
          <w:rFonts w:ascii="宋体" w:hAnsi="宋体"/>
          <w:sz w:val="24"/>
          <w:highlight w:val="none"/>
        </w:rPr>
        <w:t>100</w:t>
      </w:r>
      <w:r>
        <w:rPr>
          <w:rFonts w:hint="eastAsia" w:ascii="宋体" w:hAnsi="宋体"/>
          <w:sz w:val="24"/>
          <w:highlight w:val="none"/>
        </w:rPr>
        <w:t>分，各分值分配如下：</w:t>
      </w:r>
    </w:p>
    <w:tbl>
      <w:tblPr>
        <w:tblStyle w:val="38"/>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2"/>
        <w:gridCol w:w="776"/>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blHeader/>
        </w:trPr>
        <w:tc>
          <w:tcPr>
            <w:tcW w:w="1852" w:type="dxa"/>
            <w:vAlign w:val="center"/>
          </w:tcPr>
          <w:p>
            <w:pPr>
              <w:tabs>
                <w:tab w:val="left" w:pos="320"/>
              </w:tabs>
              <w:snapToGrid w:val="0"/>
              <w:spacing w:line="360" w:lineRule="auto"/>
              <w:jc w:val="center"/>
              <w:rPr>
                <w:rFonts w:ascii="宋体"/>
                <w:b/>
                <w:szCs w:val="21"/>
                <w:highlight w:val="none"/>
              </w:rPr>
            </w:pPr>
            <w:r>
              <w:rPr>
                <w:rFonts w:hint="eastAsia" w:ascii="宋体" w:hAnsi="宋体"/>
                <w:b/>
                <w:szCs w:val="21"/>
                <w:highlight w:val="none"/>
              </w:rPr>
              <w:t>评标内容</w:t>
            </w:r>
          </w:p>
        </w:tc>
        <w:tc>
          <w:tcPr>
            <w:tcW w:w="776" w:type="dxa"/>
            <w:vAlign w:val="center"/>
          </w:tcPr>
          <w:p>
            <w:pPr>
              <w:tabs>
                <w:tab w:val="left" w:pos="320"/>
              </w:tabs>
              <w:snapToGrid w:val="0"/>
              <w:spacing w:line="360" w:lineRule="auto"/>
              <w:jc w:val="center"/>
              <w:rPr>
                <w:rFonts w:ascii="宋体"/>
                <w:b/>
                <w:szCs w:val="21"/>
                <w:highlight w:val="none"/>
              </w:rPr>
            </w:pPr>
            <w:r>
              <w:rPr>
                <w:rFonts w:hint="eastAsia" w:ascii="宋体" w:hAnsi="宋体"/>
                <w:b/>
                <w:szCs w:val="21"/>
                <w:highlight w:val="none"/>
              </w:rPr>
              <w:t>分值</w:t>
            </w:r>
          </w:p>
        </w:tc>
        <w:tc>
          <w:tcPr>
            <w:tcW w:w="6660" w:type="dxa"/>
            <w:vAlign w:val="center"/>
          </w:tcPr>
          <w:p>
            <w:pPr>
              <w:tabs>
                <w:tab w:val="left" w:pos="320"/>
              </w:tabs>
              <w:snapToGrid w:val="0"/>
              <w:spacing w:line="360" w:lineRule="auto"/>
              <w:jc w:val="center"/>
              <w:rPr>
                <w:rFonts w:ascii="宋体"/>
                <w:b/>
                <w:szCs w:val="21"/>
                <w:highlight w:val="none"/>
              </w:rPr>
            </w:pPr>
            <w:r>
              <w:rPr>
                <w:rFonts w:hint="eastAsia" w:ascii="宋体" w:hAnsi="宋体"/>
                <w:b/>
                <w:szCs w:val="21"/>
                <w:highlight w:val="none"/>
              </w:rPr>
              <w:t>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blHeader/>
        </w:trPr>
        <w:tc>
          <w:tcPr>
            <w:tcW w:w="1852" w:type="dxa"/>
            <w:vAlign w:val="center"/>
          </w:tcPr>
          <w:p>
            <w:pPr>
              <w:tabs>
                <w:tab w:val="left" w:pos="6439"/>
              </w:tabs>
              <w:snapToGrid w:val="0"/>
              <w:spacing w:line="360" w:lineRule="auto"/>
              <w:jc w:val="center"/>
              <w:rPr>
                <w:rFonts w:ascii="宋体"/>
                <w:color w:val="000000"/>
                <w:szCs w:val="21"/>
                <w:highlight w:val="none"/>
              </w:rPr>
            </w:pPr>
            <w:r>
              <w:rPr>
                <w:rFonts w:hint="eastAsia" w:ascii="宋体" w:hAnsi="宋体"/>
                <w:color w:val="000000"/>
                <w:szCs w:val="21"/>
                <w:highlight w:val="none"/>
              </w:rPr>
              <w:t>投标总报价</w:t>
            </w:r>
          </w:p>
        </w:tc>
        <w:tc>
          <w:tcPr>
            <w:tcW w:w="776" w:type="dxa"/>
            <w:vAlign w:val="center"/>
          </w:tcPr>
          <w:p>
            <w:pPr>
              <w:tabs>
                <w:tab w:val="left" w:pos="6439"/>
              </w:tabs>
              <w:snapToGrid w:val="0"/>
              <w:spacing w:line="360" w:lineRule="auto"/>
              <w:jc w:val="center"/>
              <w:rPr>
                <w:rFonts w:ascii="宋体" w:cs="宋体"/>
                <w:color w:val="000000"/>
                <w:szCs w:val="21"/>
                <w:highlight w:val="none"/>
              </w:rPr>
            </w:pPr>
            <w:r>
              <w:rPr>
                <w:rFonts w:hint="eastAsia" w:ascii="宋体" w:hAnsi="宋体" w:cs="宋体"/>
                <w:color w:val="000000"/>
                <w:szCs w:val="21"/>
                <w:highlight w:val="none"/>
              </w:rPr>
              <w:t>20分</w:t>
            </w:r>
          </w:p>
        </w:tc>
        <w:tc>
          <w:tcPr>
            <w:tcW w:w="6660" w:type="dxa"/>
            <w:vAlign w:val="center"/>
          </w:tcPr>
          <w:p>
            <w:pPr>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eastAsia="zh-CN"/>
                <w14:textFill>
                  <w14:solidFill>
                    <w14:schemeClr w14:val="tx1"/>
                  </w14:solidFill>
                </w14:textFill>
              </w:rPr>
              <w:t>进入评审</w:t>
            </w:r>
            <w:r>
              <w:rPr>
                <w:rFonts w:hint="eastAsia" w:ascii="宋体" w:hAnsi="宋体"/>
                <w:bCs/>
                <w:color w:val="000000" w:themeColor="text1"/>
                <w:szCs w:val="21"/>
                <w:highlight w:val="none"/>
                <w14:textFill>
                  <w14:solidFill>
                    <w14:schemeClr w14:val="tx1"/>
                  </w14:solidFill>
                </w14:textFill>
              </w:rPr>
              <w:t>投标人的投标总报价的算术平均值作为评审基准价（当有效投标报价≥5个时，去掉一个最高报价、去掉一个最低报价后计算算术平均值作为评审基准价）。若投标报价等于评审基准价时得满分20分；与该基准价比较，每增加1％扣0.2分,每减少1％扣0.1分，扣完为止。增减不足1%时，按插值法计算。</w:t>
            </w:r>
          </w:p>
          <w:p>
            <w:pPr>
              <w:snapToGrid w:val="0"/>
              <w:spacing w:line="360" w:lineRule="auto"/>
              <w:rPr>
                <w:rFonts w:ascii="宋体"/>
                <w:b/>
                <w:szCs w:val="21"/>
                <w:highlight w:val="none"/>
              </w:rPr>
            </w:pPr>
            <w:r>
              <w:rPr>
                <w:rFonts w:hint="eastAsia" w:ascii="宋体" w:hAnsi="宋体"/>
                <w:b/>
                <w:szCs w:val="21"/>
                <w:highlight w:val="none"/>
              </w:rPr>
              <w:t>注：</w:t>
            </w:r>
            <w:r>
              <w:rPr>
                <w:rFonts w:hint="eastAsia" w:ascii="宋体" w:hAnsi="宋体"/>
                <w:b/>
                <w:snapToGrid w:val="0"/>
                <w:color w:val="000000"/>
                <w:kern w:val="0"/>
                <w:szCs w:val="21"/>
                <w:highlight w:val="none"/>
              </w:rPr>
              <w:t>评标委员会认为投标人的报价明显低于其他通过符合性审查投标人的报价，有可能不能诚信履约的，应当要求其在评标现场合理的时间内提供书面说明，必要时提交相关证明材料</w:t>
            </w:r>
            <w:r>
              <w:rPr>
                <w:rFonts w:ascii="宋体" w:hAnsi="宋体"/>
                <w:b/>
                <w:snapToGrid w:val="0"/>
                <w:color w:val="000000"/>
                <w:kern w:val="0"/>
                <w:szCs w:val="21"/>
                <w:highlight w:val="none"/>
              </w:rPr>
              <w:t>;</w:t>
            </w:r>
            <w:r>
              <w:rPr>
                <w:rFonts w:hint="eastAsia" w:ascii="宋体" w:hAnsi="宋体"/>
                <w:b/>
                <w:snapToGrid w:val="0"/>
                <w:color w:val="000000"/>
                <w:kern w:val="0"/>
                <w:szCs w:val="21"/>
                <w:highlight w:val="none"/>
              </w:rPr>
              <w:t>投标人不能证明其报价合理性的，评标委员会应当将其作为无效投标处理。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3" w:hRule="atLeast"/>
          <w:tblHeader/>
        </w:trPr>
        <w:tc>
          <w:tcPr>
            <w:tcW w:w="1852" w:type="dxa"/>
            <w:vAlign w:val="center"/>
          </w:tcPr>
          <w:p>
            <w:pPr>
              <w:tabs>
                <w:tab w:val="left" w:pos="6439"/>
              </w:tabs>
              <w:snapToGrid w:val="0"/>
              <w:spacing w:line="360" w:lineRule="auto"/>
              <w:jc w:val="center"/>
              <w:rPr>
                <w:rFonts w:ascii="宋体" w:hAnsi="宋体"/>
                <w:color w:val="000000"/>
                <w:szCs w:val="21"/>
                <w:highlight w:val="none"/>
              </w:rPr>
            </w:pPr>
            <w:r>
              <w:rPr>
                <w:rFonts w:hint="eastAsia" w:ascii="宋体" w:hAnsi="宋体"/>
                <w:color w:val="000000"/>
                <w:szCs w:val="21"/>
                <w:highlight w:val="none"/>
              </w:rPr>
              <w:t>施工组织设计</w:t>
            </w:r>
          </w:p>
        </w:tc>
        <w:tc>
          <w:tcPr>
            <w:tcW w:w="776" w:type="dxa"/>
            <w:vAlign w:val="center"/>
          </w:tcPr>
          <w:p>
            <w:pPr>
              <w:tabs>
                <w:tab w:val="left" w:pos="6439"/>
              </w:tabs>
              <w:snapToGrid w:val="0"/>
              <w:spacing w:line="360" w:lineRule="auto"/>
              <w:jc w:val="center"/>
              <w:rPr>
                <w:rFonts w:ascii="宋体" w:hAnsi="宋体"/>
                <w:color w:val="000000"/>
                <w:szCs w:val="21"/>
                <w:highlight w:val="none"/>
              </w:rPr>
            </w:pPr>
            <w:r>
              <w:rPr>
                <w:rFonts w:hint="eastAsia" w:ascii="宋体" w:hAnsi="宋体"/>
                <w:color w:val="000000"/>
                <w:szCs w:val="21"/>
                <w:highlight w:val="none"/>
              </w:rPr>
              <w:t>55分</w:t>
            </w:r>
          </w:p>
        </w:tc>
        <w:tc>
          <w:tcPr>
            <w:tcW w:w="6660" w:type="dxa"/>
            <w:vAlign w:val="center"/>
          </w:tcPr>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①项目经理部组成人员0-5分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②政策落实到位及突发事件处理0-5分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③房屋拆除方案、与征收人及周边环境的配合协调及合理化建议0-5分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④场面破碎方案0-5分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⑤进度安排与工程质量保证措施0-5分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⑥施工机械配备和材料投入计划0-5分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⑦现场文明施工及安全保障措施0-5分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⑧环境保护及减霾措施0-5分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⑨垃圾清运方案0-5分</w:t>
            </w:r>
          </w:p>
          <w:p>
            <w:pPr>
              <w:numPr>
                <w:ilvl w:val="0"/>
                <w:numId w:val="0"/>
              </w:numPr>
              <w:snapToGrid w:val="0"/>
              <w:spacing w:line="360" w:lineRule="auto"/>
              <w:rPr>
                <w:rFonts w:hint="eastAsia" w:ascii="宋体" w:hAnsi="宋体"/>
                <w:color w:val="000000"/>
                <w:szCs w:val="21"/>
                <w:highlight w:val="none"/>
              </w:rPr>
            </w:pPr>
            <w:r>
              <w:rPr>
                <w:rFonts w:hint="eastAsia" w:ascii="宋体" w:hAnsi="宋体"/>
                <w:color w:val="000000"/>
                <w:szCs w:val="21"/>
                <w:highlight w:val="none"/>
              </w:rPr>
              <w:t>⑩苗木清理运输方案0-5分</w:t>
            </w:r>
          </w:p>
          <w:p>
            <w:pPr>
              <w:numPr>
                <w:ilvl w:val="0"/>
                <w:numId w:val="0"/>
              </w:numPr>
              <w:snapToGrid w:val="0"/>
              <w:spacing w:line="360" w:lineRule="auto"/>
              <w:rPr>
                <w:rFonts w:ascii="宋体" w:hAnsi="宋体"/>
                <w:color w:val="000000"/>
                <w:szCs w:val="21"/>
                <w:highlight w:val="none"/>
              </w:rPr>
            </w:pPr>
            <w:r>
              <w:rPr>
                <w:rFonts w:hint="eastAsia" w:ascii="宋体" w:hAnsi="宋体"/>
                <w:color w:val="000000"/>
                <w:szCs w:val="21"/>
                <w:highlight w:val="none"/>
              </w:rPr>
              <w:t>⑪雨季施工管理及防范措施0-5分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blHeader/>
        </w:trPr>
        <w:tc>
          <w:tcPr>
            <w:tcW w:w="1852" w:type="dxa"/>
            <w:vAlign w:val="center"/>
          </w:tcPr>
          <w:p>
            <w:pPr>
              <w:tabs>
                <w:tab w:val="left" w:pos="6439"/>
              </w:tabs>
              <w:snapToGrid w:val="0"/>
              <w:spacing w:line="360" w:lineRule="auto"/>
              <w:jc w:val="center"/>
              <w:rPr>
                <w:rFonts w:ascii="宋体" w:hAnsi="宋体"/>
                <w:color w:val="000000"/>
                <w:szCs w:val="21"/>
                <w:highlight w:val="none"/>
              </w:rPr>
            </w:pPr>
            <w:r>
              <w:rPr>
                <w:rFonts w:hint="eastAsia" w:ascii="宋体" w:hAnsi="宋体"/>
                <w:color w:val="000000"/>
                <w:szCs w:val="21"/>
                <w:highlight w:val="none"/>
              </w:rPr>
              <w:t>业绩</w:t>
            </w:r>
          </w:p>
        </w:tc>
        <w:tc>
          <w:tcPr>
            <w:tcW w:w="776" w:type="dxa"/>
            <w:vAlign w:val="center"/>
          </w:tcPr>
          <w:p>
            <w:pPr>
              <w:tabs>
                <w:tab w:val="left" w:pos="6439"/>
              </w:tabs>
              <w:snapToGrid w:val="0"/>
              <w:spacing w:line="360" w:lineRule="auto"/>
              <w:jc w:val="center"/>
              <w:rPr>
                <w:rFonts w:ascii="宋体" w:hAnsi="宋体"/>
                <w:color w:val="000000"/>
                <w:szCs w:val="21"/>
                <w:highlight w:val="none"/>
              </w:rPr>
            </w:pPr>
            <w:r>
              <w:rPr>
                <w:rFonts w:hint="eastAsia" w:ascii="宋体" w:hAnsi="宋体"/>
                <w:color w:val="000000"/>
                <w:szCs w:val="21"/>
                <w:highlight w:val="none"/>
              </w:rPr>
              <w:t>5分</w:t>
            </w:r>
          </w:p>
        </w:tc>
        <w:tc>
          <w:tcPr>
            <w:tcW w:w="6660" w:type="dxa"/>
            <w:vAlign w:val="center"/>
          </w:tcPr>
          <w:p>
            <w:pPr>
              <w:tabs>
                <w:tab w:val="left" w:pos="6439"/>
              </w:tabs>
              <w:snapToGrid w:val="0"/>
              <w:spacing w:line="360" w:lineRule="auto"/>
              <w:jc w:val="left"/>
              <w:rPr>
                <w:rFonts w:ascii="宋体" w:hAnsi="宋体"/>
                <w:color w:val="000000"/>
                <w:szCs w:val="21"/>
                <w:highlight w:val="none"/>
              </w:rPr>
            </w:pPr>
            <w:r>
              <w:rPr>
                <w:rFonts w:hint="eastAsia" w:ascii="宋体" w:hAnsi="宋体"/>
                <w:color w:val="000000"/>
                <w:szCs w:val="21"/>
                <w:highlight w:val="none"/>
              </w:rPr>
              <w:t>提供近2016年7月至今同类工程业绩，每个业绩得1分，满分5分，以合同为准或中标通知书为准。（原件备查）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blHeader/>
        </w:trPr>
        <w:tc>
          <w:tcPr>
            <w:tcW w:w="1852" w:type="dxa"/>
            <w:vAlign w:val="center"/>
          </w:tcPr>
          <w:p>
            <w:pPr>
              <w:tabs>
                <w:tab w:val="left" w:pos="6439"/>
              </w:tabs>
              <w:snapToGrid w:val="0"/>
              <w:spacing w:line="360" w:lineRule="auto"/>
              <w:jc w:val="center"/>
              <w:rPr>
                <w:rFonts w:ascii="宋体"/>
                <w:color w:val="000000"/>
                <w:szCs w:val="21"/>
                <w:highlight w:val="none"/>
              </w:rPr>
            </w:pPr>
            <w:r>
              <w:rPr>
                <w:rFonts w:ascii="宋体" w:hAnsi="宋体"/>
                <w:color w:val="000000"/>
                <w:szCs w:val="21"/>
                <w:highlight w:val="none"/>
              </w:rPr>
              <w:t xml:space="preserve"> </w:t>
            </w:r>
            <w:r>
              <w:rPr>
                <w:rFonts w:hint="eastAsia" w:ascii="宋体" w:hAnsi="宋体"/>
                <w:color w:val="000000"/>
                <w:szCs w:val="21"/>
                <w:highlight w:val="none"/>
              </w:rPr>
              <w:t>服务承诺</w:t>
            </w:r>
          </w:p>
        </w:tc>
        <w:tc>
          <w:tcPr>
            <w:tcW w:w="776" w:type="dxa"/>
            <w:vAlign w:val="center"/>
          </w:tcPr>
          <w:p>
            <w:pPr>
              <w:tabs>
                <w:tab w:val="left" w:pos="6439"/>
              </w:tabs>
              <w:snapToGrid w:val="0"/>
              <w:spacing w:line="360" w:lineRule="auto"/>
              <w:jc w:val="center"/>
              <w:rPr>
                <w:rFonts w:ascii="宋体" w:cs="宋体"/>
                <w:color w:val="000000"/>
                <w:szCs w:val="21"/>
                <w:highlight w:val="none"/>
              </w:rPr>
            </w:pPr>
            <w:r>
              <w:rPr>
                <w:rFonts w:hint="eastAsia" w:ascii="宋体" w:hAnsi="宋体" w:cs="宋体"/>
                <w:color w:val="000000"/>
                <w:szCs w:val="21"/>
                <w:highlight w:val="none"/>
              </w:rPr>
              <w:t>20分</w:t>
            </w:r>
          </w:p>
        </w:tc>
        <w:tc>
          <w:tcPr>
            <w:tcW w:w="6660" w:type="dxa"/>
            <w:vAlign w:val="center"/>
          </w:tcPr>
          <w:p>
            <w:pPr>
              <w:snapToGrid w:val="0"/>
              <w:spacing w:line="360" w:lineRule="auto"/>
              <w:rPr>
                <w:rFonts w:ascii="宋体" w:cs="仿宋_GB2312"/>
                <w:bCs/>
                <w:color w:val="000000"/>
                <w:szCs w:val="21"/>
                <w:highlight w:val="none"/>
                <w:lang w:val="zh-CN"/>
              </w:rPr>
            </w:pPr>
            <w:r>
              <w:rPr>
                <w:rFonts w:ascii="宋体" w:hAnsi="宋体" w:cs="仿宋_GB2312"/>
                <w:bCs/>
                <w:color w:val="000000"/>
                <w:szCs w:val="21"/>
                <w:highlight w:val="none"/>
                <w:lang w:val="zh-CN"/>
              </w:rPr>
              <w:t>1.</w:t>
            </w:r>
            <w:r>
              <w:rPr>
                <w:rFonts w:hint="eastAsia" w:ascii="宋体" w:hAnsi="宋体" w:cs="仿宋_GB2312"/>
                <w:bCs/>
                <w:color w:val="000000"/>
                <w:szCs w:val="21"/>
                <w:highlight w:val="none"/>
                <w:lang w:val="zh-CN"/>
              </w:rPr>
              <w:t>整体技术支持体系完善，具备相应的办公、服务条件，能满足项目要求</w:t>
            </w:r>
            <w:r>
              <w:rPr>
                <w:rFonts w:hint="eastAsia" w:ascii="宋体" w:hAnsi="宋体"/>
                <w:color w:val="000000"/>
                <w:szCs w:val="21"/>
                <w:highlight w:val="none"/>
              </w:rPr>
              <w:t>（0-5分）</w:t>
            </w:r>
            <w:r>
              <w:rPr>
                <w:rFonts w:hint="eastAsia" w:ascii="宋体" w:hAnsi="宋体" w:cs="仿宋_GB2312"/>
                <w:bCs/>
                <w:color w:val="000000"/>
                <w:szCs w:val="21"/>
                <w:highlight w:val="none"/>
                <w:lang w:val="zh-CN"/>
              </w:rPr>
              <w:t>；</w:t>
            </w:r>
          </w:p>
          <w:p>
            <w:pPr>
              <w:snapToGrid w:val="0"/>
              <w:spacing w:line="360" w:lineRule="auto"/>
              <w:rPr>
                <w:rFonts w:ascii="宋体"/>
                <w:color w:val="000000"/>
                <w:szCs w:val="21"/>
                <w:highlight w:val="none"/>
              </w:rPr>
            </w:pPr>
            <w:r>
              <w:rPr>
                <w:rFonts w:hint="eastAsia" w:ascii="宋体" w:hAnsi="宋体"/>
                <w:color w:val="000000"/>
                <w:szCs w:val="21"/>
                <w:highlight w:val="none"/>
              </w:rPr>
              <w:t>2</w:t>
            </w:r>
            <w:r>
              <w:rPr>
                <w:rFonts w:ascii="宋体" w:hAnsi="宋体"/>
                <w:color w:val="000000"/>
                <w:szCs w:val="21"/>
                <w:highlight w:val="none"/>
              </w:rPr>
              <w:t>.</w:t>
            </w:r>
            <w:r>
              <w:rPr>
                <w:rFonts w:hint="eastAsia" w:ascii="宋体" w:hAnsi="宋体"/>
                <w:color w:val="000000"/>
                <w:szCs w:val="21"/>
                <w:highlight w:val="none"/>
              </w:rPr>
              <w:t>拆迁及垃圾清运工作计划及实施方案</w:t>
            </w:r>
            <w:r>
              <w:rPr>
                <w:rFonts w:hint="eastAsia" w:ascii="宋体" w:hAnsi="宋体"/>
                <w:szCs w:val="21"/>
                <w:highlight w:val="none"/>
              </w:rPr>
              <w:t>与项目实际相结合，符合国家现行法律法规、政策方针</w:t>
            </w:r>
            <w:r>
              <w:rPr>
                <w:rFonts w:hint="eastAsia" w:ascii="宋体" w:hAnsi="宋体"/>
                <w:color w:val="000000"/>
                <w:szCs w:val="21"/>
                <w:highlight w:val="none"/>
              </w:rPr>
              <w:t>（0</w:t>
            </w:r>
            <w:r>
              <w:rPr>
                <w:rFonts w:ascii="宋体" w:hAnsi="宋体"/>
                <w:color w:val="000000"/>
                <w:szCs w:val="21"/>
                <w:highlight w:val="none"/>
              </w:rPr>
              <w:t>-</w:t>
            </w:r>
            <w:r>
              <w:rPr>
                <w:rFonts w:hint="eastAsia" w:ascii="宋体" w:hAnsi="宋体"/>
                <w:color w:val="000000"/>
                <w:szCs w:val="21"/>
                <w:highlight w:val="none"/>
              </w:rPr>
              <w:t>5分）；</w:t>
            </w:r>
          </w:p>
          <w:p>
            <w:pPr>
              <w:snapToGrid w:val="0"/>
              <w:spacing w:line="360" w:lineRule="auto"/>
              <w:rPr>
                <w:rFonts w:ascii="宋体" w:cs="宋体"/>
                <w:color w:val="000000"/>
                <w:szCs w:val="21"/>
                <w:highlight w:val="none"/>
              </w:rPr>
            </w:pPr>
            <w:r>
              <w:rPr>
                <w:rFonts w:hint="eastAsia" w:ascii="宋体" w:hAnsi="宋体"/>
                <w:color w:val="000000"/>
                <w:szCs w:val="21"/>
                <w:highlight w:val="none"/>
              </w:rPr>
              <w:t>3</w:t>
            </w:r>
            <w:r>
              <w:rPr>
                <w:rFonts w:ascii="宋体" w:hAnsi="宋体"/>
                <w:color w:val="000000"/>
                <w:szCs w:val="21"/>
                <w:highlight w:val="none"/>
              </w:rPr>
              <w:t>.</w:t>
            </w:r>
            <w:r>
              <w:rPr>
                <w:rFonts w:hint="eastAsia" w:ascii="宋体" w:hAnsi="宋体"/>
                <w:color w:val="000000"/>
                <w:szCs w:val="21"/>
                <w:highlight w:val="none"/>
              </w:rPr>
              <w:t>拆迁及垃圾清运工作计划及实施方案</w:t>
            </w:r>
            <w:r>
              <w:rPr>
                <w:rFonts w:hint="eastAsia" w:ascii="宋体" w:hAnsi="宋体" w:cs="宋体"/>
                <w:color w:val="000000"/>
                <w:szCs w:val="21"/>
                <w:highlight w:val="none"/>
              </w:rPr>
              <w:t>编制</w:t>
            </w:r>
            <w:r>
              <w:rPr>
                <w:rFonts w:hint="eastAsia" w:ascii="宋体" w:hAnsi="宋体"/>
                <w:szCs w:val="21"/>
                <w:highlight w:val="none"/>
              </w:rPr>
              <w:t>内容详实、完善、科学、可行，论述完整</w:t>
            </w:r>
            <w:r>
              <w:rPr>
                <w:rFonts w:hint="eastAsia" w:ascii="宋体" w:hAnsi="宋体"/>
                <w:color w:val="000000"/>
                <w:szCs w:val="21"/>
                <w:highlight w:val="none"/>
              </w:rPr>
              <w:t>（0</w:t>
            </w:r>
            <w:r>
              <w:rPr>
                <w:rFonts w:ascii="宋体" w:hAnsi="宋体"/>
                <w:color w:val="000000"/>
                <w:szCs w:val="21"/>
                <w:highlight w:val="none"/>
              </w:rPr>
              <w:t>-</w:t>
            </w:r>
            <w:r>
              <w:rPr>
                <w:rFonts w:hint="eastAsia" w:ascii="宋体" w:hAnsi="宋体"/>
                <w:color w:val="000000"/>
                <w:szCs w:val="21"/>
                <w:highlight w:val="none"/>
              </w:rPr>
              <w:t>5分）</w:t>
            </w:r>
            <w:r>
              <w:rPr>
                <w:rFonts w:hint="eastAsia" w:ascii="宋体" w:hAnsi="宋体" w:cs="宋体"/>
                <w:color w:val="000000"/>
                <w:szCs w:val="21"/>
                <w:highlight w:val="none"/>
              </w:rPr>
              <w:t>；</w:t>
            </w:r>
          </w:p>
          <w:p>
            <w:pPr>
              <w:snapToGrid w:val="0"/>
              <w:spacing w:line="360" w:lineRule="auto"/>
              <w:rPr>
                <w:rFonts w:ascii="宋体" w:cs="宋体"/>
                <w:color w:val="000000"/>
                <w:szCs w:val="21"/>
                <w:highlight w:val="none"/>
              </w:rPr>
            </w:pPr>
            <w:r>
              <w:rPr>
                <w:rFonts w:hint="eastAsia" w:ascii="宋体" w:hAnsi="宋体" w:cs="宋体"/>
                <w:color w:val="000000"/>
                <w:szCs w:val="21"/>
                <w:highlight w:val="none"/>
              </w:rPr>
              <w:t>4</w:t>
            </w:r>
            <w:r>
              <w:rPr>
                <w:rFonts w:ascii="宋体" w:hAnsi="宋体" w:cs="宋体"/>
                <w:color w:val="000000"/>
                <w:szCs w:val="21"/>
                <w:highlight w:val="none"/>
              </w:rPr>
              <w:t>.</w:t>
            </w:r>
            <w:r>
              <w:rPr>
                <w:rFonts w:hint="eastAsia" w:ascii="宋体" w:hAnsi="宋体"/>
                <w:szCs w:val="21"/>
                <w:highlight w:val="none"/>
              </w:rPr>
              <w:t>质量承诺保证措施</w:t>
            </w:r>
            <w:r>
              <w:rPr>
                <w:rFonts w:hint="eastAsia" w:ascii="宋体" w:hAnsi="宋体"/>
                <w:color w:val="000000"/>
                <w:szCs w:val="21"/>
                <w:highlight w:val="none"/>
              </w:rPr>
              <w:t>与成果提交措施</w:t>
            </w:r>
            <w:r>
              <w:rPr>
                <w:rFonts w:hint="eastAsia" w:ascii="宋体" w:hAnsi="宋体"/>
                <w:szCs w:val="21"/>
                <w:highlight w:val="none"/>
              </w:rPr>
              <w:t>分工明确、流程完整合理、可行，风险控制得当，并有质量目标无法实现时的认罚承诺</w:t>
            </w:r>
            <w:r>
              <w:rPr>
                <w:rFonts w:hint="eastAsia" w:ascii="宋体" w:hAnsi="宋体"/>
                <w:color w:val="000000"/>
                <w:szCs w:val="21"/>
                <w:highlight w:val="none"/>
              </w:rPr>
              <w:t>（0</w:t>
            </w:r>
            <w:r>
              <w:rPr>
                <w:rFonts w:ascii="宋体" w:hAnsi="宋体"/>
                <w:color w:val="000000"/>
                <w:szCs w:val="21"/>
                <w:highlight w:val="none"/>
              </w:rPr>
              <w:t>-</w:t>
            </w:r>
            <w:r>
              <w:rPr>
                <w:rFonts w:hint="eastAsia" w:ascii="宋体" w:hAnsi="宋体"/>
                <w:color w:val="000000"/>
                <w:szCs w:val="21"/>
                <w:highlight w:val="none"/>
              </w:rPr>
              <w:t>5分）</w:t>
            </w:r>
            <w:r>
              <w:rPr>
                <w:rFonts w:hint="eastAsia" w:ascii="宋体" w:hAnsi="宋体"/>
                <w:szCs w:val="21"/>
                <w:highlight w:val="none"/>
              </w:rPr>
              <w:t>。</w:t>
            </w:r>
          </w:p>
        </w:tc>
      </w:tr>
    </w:tbl>
    <w:p>
      <w:pPr>
        <w:autoSpaceDE w:val="0"/>
        <w:autoSpaceDN w:val="0"/>
        <w:adjustRightInd w:val="0"/>
        <w:spacing w:after="60" w:line="360" w:lineRule="auto"/>
        <w:ind w:firstLine="480" w:firstLineChars="200"/>
        <w:rPr>
          <w:rFonts w:ascii="宋体"/>
          <w:sz w:val="24"/>
          <w:highlight w:val="none"/>
        </w:rPr>
      </w:pPr>
      <w:r>
        <w:rPr>
          <w:rFonts w:hint="eastAsia" w:ascii="宋体" w:hAnsi="宋体"/>
          <w:sz w:val="24"/>
          <w:highlight w:val="none"/>
        </w:rPr>
        <w:t>注：漏项缺项、或只有标题而无内容的，该项按</w:t>
      </w:r>
      <w:r>
        <w:rPr>
          <w:rFonts w:ascii="宋体"/>
          <w:sz w:val="24"/>
          <w:highlight w:val="none"/>
        </w:rPr>
        <w:t>0</w:t>
      </w:r>
      <w:r>
        <w:rPr>
          <w:rFonts w:hint="eastAsia" w:ascii="宋体" w:hAnsi="宋体"/>
          <w:sz w:val="24"/>
          <w:highlight w:val="none"/>
        </w:rPr>
        <w:t>分计算。</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6.5</w:t>
      </w:r>
      <w:r>
        <w:rPr>
          <w:rFonts w:hint="eastAsia" w:ascii="宋体" w:hAnsi="宋体"/>
          <w:color w:val="000000"/>
          <w:sz w:val="24"/>
          <w:highlight w:val="none"/>
        </w:rPr>
        <w:t>评标委员会完成评标后，向采购人提出书面评标报告，并推荐综合得分由高到低排名前三名为中标候选人。</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6.6</w:t>
      </w:r>
      <w:r>
        <w:rPr>
          <w:rFonts w:hint="eastAsia" w:ascii="宋体" w:hAnsi="宋体"/>
          <w:sz w:val="24"/>
          <w:highlight w:val="none"/>
        </w:rPr>
        <w:t>若出现综合得分相同时，则依次比较</w:t>
      </w:r>
      <w:r>
        <w:rPr>
          <w:rFonts w:hint="eastAsia" w:ascii="宋体" w:hAnsi="宋体"/>
          <w:color w:val="000000"/>
          <w:sz w:val="24"/>
          <w:highlight w:val="none"/>
        </w:rPr>
        <w:t>投标总报价得分</w:t>
      </w:r>
      <w:r>
        <w:rPr>
          <w:rFonts w:hint="eastAsia" w:ascii="宋体" w:hAnsi="宋体"/>
          <w:sz w:val="24"/>
          <w:highlight w:val="none"/>
        </w:rPr>
        <w:t>，</w:t>
      </w:r>
      <w:r>
        <w:rPr>
          <w:rFonts w:hint="eastAsia" w:ascii="宋体" w:hAnsi="宋体"/>
          <w:color w:val="000000"/>
          <w:sz w:val="24"/>
          <w:highlight w:val="none"/>
        </w:rPr>
        <w:t>工作计划、实施方案及服务承诺</w:t>
      </w:r>
      <w:r>
        <w:rPr>
          <w:rFonts w:hint="eastAsia" w:ascii="宋体" w:hAnsi="宋体"/>
          <w:sz w:val="24"/>
          <w:highlight w:val="none"/>
        </w:rPr>
        <w:t>得分，</w:t>
      </w:r>
      <w:r>
        <w:rPr>
          <w:rFonts w:hint="eastAsia" w:ascii="宋体" w:hAnsi="宋体"/>
          <w:color w:val="000000"/>
          <w:sz w:val="24"/>
          <w:highlight w:val="none"/>
        </w:rPr>
        <w:t>拟在本项目使用的仪器、设备</w:t>
      </w:r>
      <w:r>
        <w:rPr>
          <w:rFonts w:hint="eastAsia" w:ascii="宋体" w:hAnsi="宋体"/>
          <w:sz w:val="24"/>
          <w:highlight w:val="none"/>
        </w:rPr>
        <w:t>得分，</w:t>
      </w:r>
      <w:r>
        <w:rPr>
          <w:rFonts w:hint="eastAsia" w:ascii="宋体" w:hAnsi="宋体"/>
          <w:color w:val="000000"/>
          <w:sz w:val="24"/>
          <w:highlight w:val="none"/>
        </w:rPr>
        <w:t>拟投入本项目主要人员得分，基本情况及组织架构得分</w:t>
      </w:r>
      <w:r>
        <w:rPr>
          <w:rFonts w:hint="eastAsia" w:ascii="宋体" w:hAnsi="宋体"/>
          <w:sz w:val="24"/>
          <w:highlight w:val="none"/>
        </w:rPr>
        <w:t>。</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6.7</w:t>
      </w:r>
      <w:r>
        <w:rPr>
          <w:rFonts w:hint="eastAsia" w:ascii="宋体" w:hAnsi="宋体"/>
          <w:sz w:val="24"/>
          <w:highlight w:val="none"/>
        </w:rPr>
        <w:t>评标过程中，若出现本评标办法以外的特殊情况时，将暂停评标，有关情况待评标委员会确定后，再进行评定。</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6.8</w:t>
      </w:r>
      <w:r>
        <w:rPr>
          <w:rFonts w:hint="eastAsia" w:ascii="宋体" w:hAnsi="宋体"/>
          <w:sz w:val="24"/>
          <w:highlight w:val="none"/>
        </w:rPr>
        <w:t>未尽事宜以现行招标有关规定为准。</w:t>
      </w:r>
    </w:p>
    <w:p>
      <w:pPr>
        <w:autoSpaceDE w:val="0"/>
        <w:autoSpaceDN w:val="0"/>
        <w:adjustRightInd w:val="0"/>
        <w:spacing w:after="60" w:line="360" w:lineRule="auto"/>
        <w:ind w:firstLine="480" w:firstLineChars="200"/>
        <w:rPr>
          <w:rFonts w:ascii="宋体"/>
          <w:sz w:val="24"/>
          <w:highlight w:val="none"/>
        </w:rPr>
      </w:pPr>
      <w:r>
        <w:rPr>
          <w:rFonts w:ascii="宋体" w:hAnsi="宋体"/>
          <w:sz w:val="24"/>
          <w:highlight w:val="none"/>
        </w:rPr>
        <w:t>6.9</w:t>
      </w:r>
      <w:r>
        <w:rPr>
          <w:rFonts w:hint="eastAsia" w:ascii="宋体" w:hAnsi="宋体"/>
          <w:sz w:val="24"/>
          <w:highlight w:val="none"/>
        </w:rPr>
        <w:t>本招标文件的解释权归采购代理公司所有。</w:t>
      </w:r>
    </w:p>
    <w:bookmarkEnd w:id="277"/>
    <w:bookmarkEnd w:id="278"/>
    <w:bookmarkEnd w:id="279"/>
    <w:p>
      <w:pPr>
        <w:spacing w:line="348" w:lineRule="auto"/>
        <w:rPr>
          <w:highlight w:val="none"/>
        </w:rPr>
      </w:pPr>
      <w:bookmarkStart w:id="280" w:name="_Toc339114165"/>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48" w:lineRule="auto"/>
        <w:rPr>
          <w:highlight w:val="none"/>
        </w:rPr>
      </w:pPr>
    </w:p>
    <w:p>
      <w:pPr>
        <w:spacing w:line="360" w:lineRule="auto"/>
        <w:jc w:val="center"/>
        <w:outlineLvl w:val="0"/>
        <w:rPr>
          <w:rFonts w:ascii="宋体" w:hAnsi="宋体" w:cs="宋体"/>
          <w:b/>
          <w:bCs/>
          <w:sz w:val="32"/>
          <w:highlight w:val="none"/>
        </w:rPr>
        <w:sectPr>
          <w:footerReference r:id="rId6" w:type="first"/>
          <w:footerReference r:id="rId5" w:type="default"/>
          <w:pgSz w:w="11906" w:h="16838"/>
          <w:pgMar w:top="1418" w:right="1134" w:bottom="1418" w:left="1418" w:header="851" w:footer="992" w:gutter="0"/>
          <w:pgNumType w:start="1"/>
          <w:cols w:space="720" w:num="1"/>
          <w:docGrid w:type="linesAndChars" w:linePitch="312" w:charSpace="0"/>
        </w:sectPr>
      </w:pPr>
      <w:bookmarkStart w:id="281" w:name="_Toc9049"/>
      <w:r>
        <w:rPr>
          <w:rFonts w:hint="eastAsia" w:ascii="宋体" w:hAnsi="宋体" w:cs="宋体"/>
          <w:b/>
          <w:bCs/>
          <w:sz w:val="32"/>
          <w:highlight w:val="none"/>
        </w:rPr>
        <w:t>第四部分 合同条款及格式</w:t>
      </w:r>
      <w:bookmarkEnd w:id="280"/>
      <w:bookmarkEnd w:id="281"/>
    </w:p>
    <w:p>
      <w:pPr>
        <w:rPr>
          <w:highlight w:val="none"/>
        </w:rPr>
      </w:pPr>
    </w:p>
    <w:p>
      <w:pPr>
        <w:autoSpaceDE w:val="0"/>
        <w:autoSpaceDN w:val="0"/>
        <w:adjustRightInd w:val="0"/>
        <w:snapToGrid w:val="0"/>
        <w:spacing w:line="560" w:lineRule="exact"/>
        <w:jc w:val="center"/>
        <w:rPr>
          <w:rFonts w:ascii="仿宋_GB2312" w:eastAsia="仿宋_GB2312"/>
          <w:b/>
          <w:bCs/>
          <w:sz w:val="44"/>
          <w:szCs w:val="32"/>
          <w:highlight w:val="none"/>
        </w:rPr>
      </w:pPr>
      <w:r>
        <w:rPr>
          <w:rFonts w:ascii="宋体" w:hAnsi="宋体"/>
          <w:b/>
          <w:bCs/>
          <w:sz w:val="32"/>
          <w:szCs w:val="32"/>
          <w:highlight w:val="none"/>
          <w:u w:val="single"/>
        </w:rPr>
        <w:t>xx</w:t>
      </w:r>
      <w:r>
        <w:rPr>
          <w:rFonts w:hint="eastAsia" w:ascii="宋体" w:hAnsi="宋体"/>
          <w:b/>
          <w:bCs/>
          <w:sz w:val="32"/>
          <w:szCs w:val="32"/>
          <w:highlight w:val="none"/>
          <w:u w:val="single"/>
        </w:rPr>
        <w:t>拆迁及垃圾清运服务合同</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甲方：</w:t>
      </w:r>
      <w:r>
        <w:rPr>
          <w:rFonts w:hint="eastAsia" w:ascii="宋体" w:hAnsi="宋体" w:cs="宋体"/>
          <w:b/>
          <w:bCs/>
          <w:sz w:val="24"/>
          <w:highlight w:val="none"/>
          <w:u w:val="single"/>
        </w:rPr>
        <w:t xml:space="preserve">                            </w:t>
      </w:r>
    </w:p>
    <w:p>
      <w:pPr>
        <w:spacing w:line="360" w:lineRule="auto"/>
        <w:ind w:firstLine="482" w:firstLineChars="200"/>
        <w:rPr>
          <w:rFonts w:ascii="宋体" w:hAnsi="宋体" w:cs="宋体"/>
          <w:b/>
          <w:bCs/>
          <w:sz w:val="24"/>
          <w:highlight w:val="none"/>
          <w:u w:val="single"/>
        </w:rPr>
      </w:pPr>
      <w:r>
        <w:rPr>
          <w:rFonts w:hint="eastAsia" w:ascii="宋体" w:hAnsi="宋体" w:cs="宋体"/>
          <w:b/>
          <w:bCs/>
          <w:sz w:val="24"/>
          <w:highlight w:val="none"/>
        </w:rPr>
        <w:t>乙方：</w:t>
      </w:r>
      <w:r>
        <w:rPr>
          <w:rFonts w:hint="eastAsia" w:ascii="宋体" w:hAnsi="宋体" w:cs="宋体"/>
          <w:b/>
          <w:bCs/>
          <w:sz w:val="24"/>
          <w:highlight w:val="none"/>
          <w:u w:val="single"/>
        </w:rPr>
        <w:t xml:space="preserve">                            </w:t>
      </w:r>
    </w:p>
    <w:p>
      <w:pPr>
        <w:snapToGrid w:val="0"/>
        <w:spacing w:line="360" w:lineRule="auto"/>
        <w:ind w:firstLine="480" w:firstLineChars="200"/>
        <w:rPr>
          <w:rFonts w:ascii="宋体" w:hAnsi="宋体" w:cs="宋体"/>
          <w:sz w:val="24"/>
          <w:highlight w:val="none"/>
          <w:shd w:val="clear" w:color="auto" w:fill="D9D9D9"/>
        </w:rPr>
      </w:pPr>
      <w:r>
        <w:rPr>
          <w:rFonts w:hint="eastAsia" w:ascii="宋体" w:hAnsi="宋体" w:cs="宋体"/>
          <w:sz w:val="24"/>
          <w:highlight w:val="none"/>
        </w:rPr>
        <w:t>受沣东新城城中村（棚户区）改造办公室（下称“城改办”）委托，甲方全面负责</w:t>
      </w:r>
      <w:r>
        <w:rPr>
          <w:rFonts w:hint="eastAsia" w:ascii="宋体" w:hAnsi="宋体" w:cs="宋体"/>
          <w:sz w:val="24"/>
          <w:highlight w:val="none"/>
          <w:u w:val="single"/>
        </w:rPr>
        <w:t xml:space="preserve">      </w:t>
      </w:r>
      <w:r>
        <w:rPr>
          <w:rFonts w:hint="eastAsia" w:ascii="宋体" w:hAnsi="宋体" w:cs="宋体"/>
          <w:sz w:val="24"/>
          <w:highlight w:val="none"/>
        </w:rPr>
        <w:t>项目的村庄搬迁宅基地地面附着物拆除及垃圾清运工作。经履行政府采购相关程序，并经城改办认可，甲方将上述工作委托乙方实施。依照《中华人民共和国合同法》等法律规定，遵循平等、自愿、公平和诚实信用的原则，甲乙双方经协商一致签订本合同。</w:t>
      </w:r>
    </w:p>
    <w:p>
      <w:pPr>
        <w:spacing w:line="360" w:lineRule="auto"/>
        <w:ind w:firstLine="480" w:firstLineChars="200"/>
        <w:rPr>
          <w:rFonts w:ascii="宋体" w:hAnsi="宋体" w:cs="宋体"/>
          <w:bCs/>
          <w:sz w:val="24"/>
          <w:highlight w:val="none"/>
        </w:rPr>
      </w:pPr>
      <w:r>
        <w:rPr>
          <w:rFonts w:hint="eastAsia" w:ascii="宋体" w:hAnsi="宋体" w:cs="宋体"/>
          <w:bCs/>
          <w:sz w:val="24"/>
          <w:highlight w:val="none"/>
        </w:rPr>
        <w:t>一、工程概况</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w:t>
      </w:r>
      <w:r>
        <w:rPr>
          <w:rFonts w:hint="eastAsia" w:ascii="宋体" w:hAnsi="宋体" w:cs="宋体"/>
          <w:sz w:val="24"/>
          <w:highlight w:val="none"/>
          <w:u w:val="single"/>
        </w:rPr>
        <w:t xml:space="preserve">    </w:t>
      </w:r>
      <w:r>
        <w:rPr>
          <w:rFonts w:hint="eastAsia" w:ascii="宋体" w:hAnsi="宋体" w:cs="宋体"/>
          <w:sz w:val="24"/>
          <w:highlight w:val="none"/>
        </w:rPr>
        <w:t>街道</w:t>
      </w:r>
      <w:r>
        <w:rPr>
          <w:rFonts w:hint="eastAsia" w:ascii="宋体" w:hAnsi="宋体" w:cs="宋体"/>
          <w:sz w:val="24"/>
          <w:highlight w:val="none"/>
          <w:u w:val="single"/>
        </w:rPr>
        <w:t xml:space="preserve">    </w:t>
      </w:r>
      <w:r>
        <w:rPr>
          <w:rFonts w:hint="eastAsia" w:ascii="宋体" w:hAnsi="宋体" w:cs="宋体"/>
          <w:sz w:val="24"/>
          <w:highlight w:val="none"/>
        </w:rPr>
        <w:t>村宅基地约</w:t>
      </w:r>
      <w:r>
        <w:rPr>
          <w:rFonts w:hint="eastAsia" w:ascii="宋体" w:hAnsi="宋体" w:cs="宋体"/>
          <w:sz w:val="24"/>
          <w:highlight w:val="none"/>
          <w:u w:val="single"/>
        </w:rPr>
        <w:t xml:space="preserve">   </w:t>
      </w:r>
      <w:r>
        <w:rPr>
          <w:rFonts w:hint="eastAsia" w:ascii="宋体" w:hAnsi="宋体" w:cs="宋体"/>
          <w:sz w:val="24"/>
          <w:highlight w:val="none"/>
        </w:rPr>
        <w:t>户，占地面积约</w:t>
      </w:r>
      <w:r>
        <w:rPr>
          <w:rFonts w:hint="eastAsia" w:ascii="宋体" w:hAnsi="宋体" w:cs="宋体"/>
          <w:sz w:val="24"/>
          <w:highlight w:val="none"/>
          <w:u w:val="single"/>
        </w:rPr>
        <w:t xml:space="preserve">    </w:t>
      </w:r>
      <w:r>
        <w:rPr>
          <w:rFonts w:hint="eastAsia" w:ascii="宋体" w:hAnsi="宋体" w:cs="宋体"/>
          <w:sz w:val="24"/>
          <w:highlight w:val="none"/>
        </w:rPr>
        <w:t>平方米，建筑面积约</w:t>
      </w:r>
      <w:r>
        <w:rPr>
          <w:rFonts w:hint="eastAsia" w:ascii="宋体" w:hAnsi="宋体" w:cs="宋体"/>
          <w:sz w:val="24"/>
          <w:highlight w:val="none"/>
          <w:u w:val="single"/>
        </w:rPr>
        <w:t xml:space="preserve">     </w:t>
      </w:r>
      <w:r>
        <w:rPr>
          <w:rFonts w:hint="eastAsia" w:ascii="宋体" w:hAnsi="宋体" w:cs="宋体"/>
          <w:sz w:val="24"/>
          <w:highlight w:val="none"/>
        </w:rPr>
        <w:t>平方米</w:t>
      </w:r>
      <w:r>
        <w:rPr>
          <w:rFonts w:hint="eastAsia" w:ascii="宋体" w:hAnsi="宋体" w:cs="宋体"/>
          <w:sz w:val="24"/>
          <w:highlight w:val="none"/>
          <w:lang w:eastAsia="zh-CN"/>
        </w:rPr>
        <w:t>，</w:t>
      </w:r>
      <w:r>
        <w:rPr>
          <w:rFonts w:hint="eastAsia" w:ascii="宋体" w:hAnsi="宋体" w:eastAsia="宋体" w:cs="宋体"/>
          <w:color w:val="auto"/>
          <w:sz w:val="24"/>
          <w:szCs w:val="24"/>
          <w:highlight w:val="none"/>
        </w:rPr>
        <w:t>企业约</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户，</w:t>
      </w:r>
      <w:r>
        <w:rPr>
          <w:rFonts w:hint="eastAsia" w:ascii="宋体" w:hAnsi="宋体" w:cs="宋体"/>
          <w:sz w:val="24"/>
          <w:highlight w:val="none"/>
        </w:rPr>
        <w:t>占地面积约</w:t>
      </w:r>
      <w:r>
        <w:rPr>
          <w:rFonts w:hint="eastAsia" w:ascii="宋体" w:hAnsi="宋体" w:cs="宋体"/>
          <w:sz w:val="24"/>
          <w:highlight w:val="none"/>
          <w:u w:val="single"/>
        </w:rPr>
        <w:t xml:space="preserve">    </w:t>
      </w:r>
      <w:r>
        <w:rPr>
          <w:rFonts w:hint="eastAsia" w:ascii="宋体" w:hAnsi="宋体" w:cs="宋体"/>
          <w:sz w:val="24"/>
          <w:highlight w:val="none"/>
        </w:rPr>
        <w:t>平方米</w:t>
      </w:r>
      <w:r>
        <w:rPr>
          <w:rFonts w:hint="eastAsia" w:ascii="宋体" w:hAnsi="宋体" w:cs="宋体"/>
          <w:sz w:val="24"/>
          <w:highlight w:val="none"/>
          <w:lang w:eastAsia="zh-CN"/>
        </w:rPr>
        <w:t>，</w:t>
      </w:r>
      <w:r>
        <w:rPr>
          <w:rFonts w:hint="eastAsia" w:ascii="宋体" w:hAnsi="宋体" w:eastAsia="宋体" w:cs="宋体"/>
          <w:color w:val="auto"/>
          <w:sz w:val="24"/>
          <w:szCs w:val="24"/>
          <w:highlight w:val="none"/>
        </w:rPr>
        <w:t>建筑面积约</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平方米，苗木约</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亩</w:t>
      </w:r>
      <w:r>
        <w:rPr>
          <w:rFonts w:hint="eastAsia" w:ascii="宋体" w:hAnsi="宋体" w:cs="宋体"/>
          <w:sz w:val="24"/>
          <w:highlight w:val="none"/>
        </w:rPr>
        <w:t>（以上均为暂定数据，最终以第三方中介单位有效技术报告所载明数据为准）。</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（二）工作内容包括但不限于：</w:t>
      </w:r>
      <w:r>
        <w:rPr>
          <w:rFonts w:hint="eastAsia" w:ascii="宋体" w:hAnsi="宋体" w:eastAsia="宋体" w:cs="宋体"/>
          <w:color w:val="auto"/>
          <w:sz w:val="24"/>
          <w:szCs w:val="24"/>
          <w:highlight w:val="none"/>
        </w:rPr>
        <w:t>建（构）筑物地坪（指室内地坪，下同）以上部分拆除及产生建筑垃圾的清运；建（构）筑物地坪及地坪以下部分、硬化地面、道路路面破碎及产生建筑垃圾的清运（下挖至黄土裸露，场地自然平整，硬化类型含水泥、混凝土、水磨石等，下同）；对搬家、房地产评估（宅基地、企业、苗木）</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苗木清</w:t>
      </w:r>
      <w:r>
        <w:rPr>
          <w:rFonts w:hint="eastAsia" w:ascii="宋体" w:hAnsi="宋体" w:cs="宋体"/>
          <w:color w:val="auto"/>
          <w:sz w:val="24"/>
          <w:szCs w:val="24"/>
          <w:highlight w:val="none"/>
          <w:lang w:eastAsia="zh-CN"/>
        </w:rPr>
        <w:t>表</w:t>
      </w:r>
      <w:r>
        <w:rPr>
          <w:rFonts w:hint="eastAsia" w:ascii="宋体" w:hAnsi="宋体" w:eastAsia="宋体" w:cs="宋体"/>
          <w:color w:val="auto"/>
          <w:sz w:val="24"/>
          <w:szCs w:val="24"/>
          <w:highlight w:val="none"/>
        </w:rPr>
        <w:t>；与上述内容相关的安全生产、治污减霾、场地看护等工作。计划总工期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天（开工日期以甲方通知为准）。</w:t>
      </w:r>
    </w:p>
    <w:p>
      <w:pPr>
        <w:spacing w:line="360" w:lineRule="auto"/>
        <w:ind w:firstLine="480" w:firstLineChars="200"/>
        <w:rPr>
          <w:rFonts w:ascii="宋体" w:hAnsi="宋体" w:cs="宋体"/>
          <w:bCs/>
          <w:sz w:val="24"/>
          <w:highlight w:val="none"/>
        </w:rPr>
      </w:pPr>
      <w:r>
        <w:rPr>
          <w:rFonts w:hint="eastAsia" w:ascii="宋体" w:hAnsi="宋体" w:cs="宋体"/>
          <w:bCs/>
          <w:sz w:val="24"/>
          <w:highlight w:val="none"/>
        </w:rPr>
        <w:t>二、计量结算及合同价款</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（一）工程量计算</w:t>
      </w:r>
    </w:p>
    <w:p>
      <w:pPr>
        <w:spacing w:line="360" w:lineRule="auto"/>
        <w:ind w:firstLine="482" w:firstLineChars="200"/>
        <w:rPr>
          <w:rFonts w:ascii="宋体" w:hAnsi="宋体" w:cs="宋体"/>
          <w:b/>
          <w:sz w:val="24"/>
          <w:highlight w:val="none"/>
        </w:rPr>
      </w:pPr>
      <w:r>
        <w:rPr>
          <w:rFonts w:hint="eastAsia" w:ascii="宋体" w:hAnsi="宋体" w:cs="宋体"/>
          <w:b/>
          <w:sz w:val="24"/>
          <w:highlight w:val="none"/>
        </w:rPr>
        <w:t>1.建（构）筑物地坪以上部分拆除及产生建筑垃圾的清运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拆除工程量：合同暂定量按照前期摸底建（构）筑物总面积计算，最终以第三方中介单位（下同）有效估价报告所载明建筑面积据实结算；</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建筑垃圾清运量：合同暂定量按照前期摸底建（构）筑物总面积乘以垃圾折算系数计算，最终以有效估价报告所载明建筑面积乘以垃圾折算系数据实结算</w:t>
      </w:r>
      <w:r>
        <w:rPr>
          <w:rFonts w:hint="eastAsia" w:ascii="宋体" w:hAnsi="宋体" w:cs="宋体"/>
          <w:sz w:val="24"/>
          <w:highlight w:val="none"/>
          <w:u w:val="none"/>
        </w:rPr>
        <w:t>。</w:t>
      </w:r>
    </w:p>
    <w:p>
      <w:pPr>
        <w:spacing w:line="360" w:lineRule="auto"/>
        <w:ind w:firstLine="482" w:firstLineChars="200"/>
        <w:rPr>
          <w:rFonts w:ascii="宋体" w:hAnsi="宋体" w:cs="宋体"/>
          <w:b/>
          <w:sz w:val="24"/>
          <w:highlight w:val="none"/>
        </w:rPr>
      </w:pPr>
      <w:r>
        <w:rPr>
          <w:rFonts w:hint="eastAsia" w:ascii="宋体" w:hAnsi="宋体" w:cs="宋体"/>
          <w:b/>
          <w:sz w:val="24"/>
          <w:highlight w:val="none"/>
        </w:rPr>
        <w:t>2.建（构）筑物地坪及地坪以下部分、硬化地面、道路路面破碎及产生建筑垃圾的清运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破碎工程量：合同暂定量按照前期摸底占地面积计算，最终以有效估价报告所载明面积据实结算；</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建筑垃圾清运量：合同暂定量按照前期摸底占地面积下挖15厘米计算，最终以清运前后两次测量高程叠加方量据实结算。</w:t>
      </w:r>
    </w:p>
    <w:p>
      <w:pPr>
        <w:spacing w:line="5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3.苗木清理</w:t>
      </w:r>
    </w:p>
    <w:p>
      <w:pPr>
        <w:spacing w:line="560" w:lineRule="exact"/>
        <w:ind w:firstLine="480" w:firstLineChars="200"/>
        <w:rPr>
          <w:highlight w:val="none"/>
        </w:rPr>
      </w:pPr>
      <w:r>
        <w:rPr>
          <w:rFonts w:hint="eastAsia" w:ascii="宋体" w:hAnsi="宋体" w:eastAsia="宋体" w:cs="宋体"/>
          <w:color w:val="auto"/>
          <w:sz w:val="24"/>
          <w:szCs w:val="24"/>
          <w:highlight w:val="none"/>
        </w:rPr>
        <w:t>合同暂定量按照苗木</w:t>
      </w:r>
      <w:r>
        <w:rPr>
          <w:rFonts w:hint="eastAsia" w:ascii="宋体" w:hAnsi="宋体" w:eastAsia="宋体" w:cs="宋体"/>
          <w:color w:val="auto"/>
          <w:sz w:val="24"/>
          <w:szCs w:val="24"/>
          <w:highlight w:val="none"/>
          <w:lang w:eastAsia="zh-CN"/>
        </w:rPr>
        <w:t>前期摸底</w:t>
      </w:r>
      <w:r>
        <w:rPr>
          <w:rFonts w:hint="eastAsia" w:ascii="宋体" w:hAnsi="宋体" w:eastAsia="宋体" w:cs="宋体"/>
          <w:color w:val="auto"/>
          <w:sz w:val="24"/>
          <w:szCs w:val="24"/>
          <w:highlight w:val="none"/>
        </w:rPr>
        <w:t>占地面积计算，最终以有效测量报告所载明项目实际清理面积据实结算。</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 xml:space="preserve">（二）本合同单价为扣除养老统筹后含税全费用单价。其中：垃圾清运单价包含10公里基准运距及有关开挖、装载、垃圾清理、场内及场外运输、倾倒、填埋处置、环境保护、管理费、规费、增值税等费用；超过10公里基准运距后，每增加1公里运费增加1元，最高增加不超过40元/立方米，运距由行业主管部门、城改办和实施单位共同确认。 </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（三）计价标准</w:t>
      </w:r>
    </w:p>
    <w:p>
      <w:pPr>
        <w:spacing w:line="360" w:lineRule="auto"/>
        <w:ind w:firstLine="482" w:firstLineChars="200"/>
        <w:rPr>
          <w:rFonts w:ascii="宋体" w:hAnsi="宋体" w:cs="宋体"/>
          <w:b/>
          <w:sz w:val="24"/>
          <w:highlight w:val="none"/>
        </w:rPr>
      </w:pPr>
      <w:r>
        <w:rPr>
          <w:rFonts w:hint="eastAsia" w:ascii="宋体" w:hAnsi="宋体" w:cs="宋体"/>
          <w:b/>
          <w:sz w:val="24"/>
          <w:highlight w:val="none"/>
        </w:rPr>
        <w:t>1.建（构）筑物地坪以上部分拆除及产生建筑垃圾的清运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拆除工程量：</w:t>
      </w:r>
      <w:r>
        <w:rPr>
          <w:rFonts w:hint="eastAsia" w:ascii="宋体" w:hAnsi="宋体" w:cs="宋体"/>
          <w:sz w:val="24"/>
          <w:highlight w:val="none"/>
          <w:u w:val="single"/>
        </w:rPr>
        <w:t xml:space="preserve">      </w:t>
      </w:r>
      <w:r>
        <w:rPr>
          <w:rFonts w:hint="eastAsia" w:ascii="宋体" w:hAnsi="宋体" w:cs="宋体"/>
          <w:sz w:val="24"/>
          <w:highlight w:val="none"/>
        </w:rPr>
        <w:t>平方米，单价：</w:t>
      </w:r>
      <w:r>
        <w:rPr>
          <w:rFonts w:hint="eastAsia" w:ascii="宋体" w:hAnsi="宋体" w:cs="宋体"/>
          <w:sz w:val="24"/>
          <w:highlight w:val="none"/>
          <w:u w:val="single"/>
        </w:rPr>
        <w:t xml:space="preserve">      </w:t>
      </w:r>
      <w:r>
        <w:rPr>
          <w:rFonts w:hint="eastAsia" w:ascii="宋体" w:hAnsi="宋体" w:cs="宋体"/>
          <w:sz w:val="24"/>
          <w:highlight w:val="none"/>
        </w:rPr>
        <w:t>元/平方米，暂定价</w:t>
      </w:r>
      <w:r>
        <w:rPr>
          <w:rFonts w:hint="eastAsia" w:ascii="宋体" w:hAnsi="宋体" w:cs="宋体"/>
          <w:sz w:val="24"/>
          <w:highlight w:val="none"/>
          <w:u w:val="single"/>
        </w:rPr>
        <w:t xml:space="preserve">      </w:t>
      </w:r>
      <w:r>
        <w:rPr>
          <w:rFonts w:hint="eastAsia" w:ascii="宋体" w:hAnsi="宋体" w:cs="宋体"/>
          <w:sz w:val="24"/>
          <w:highlight w:val="none"/>
        </w:rPr>
        <w:t>元；</w:t>
      </w:r>
    </w:p>
    <w:p>
      <w:pPr>
        <w:spacing w:line="360" w:lineRule="auto"/>
        <w:ind w:firstLine="480" w:firstLineChars="200"/>
        <w:rPr>
          <w:rFonts w:ascii="宋体" w:hAnsi="宋体" w:cs="宋体"/>
          <w:sz w:val="24"/>
          <w:highlight w:val="none"/>
          <w:u w:val="single"/>
        </w:rPr>
      </w:pPr>
      <w:r>
        <w:rPr>
          <w:rFonts w:hint="eastAsia" w:ascii="宋体" w:hAnsi="宋体" w:cs="宋体"/>
          <w:sz w:val="24"/>
          <w:highlight w:val="none"/>
        </w:rPr>
        <w:t>建筑垃圾清运量：</w:t>
      </w:r>
      <w:r>
        <w:rPr>
          <w:rFonts w:hint="eastAsia" w:ascii="宋体" w:hAnsi="宋体" w:cs="宋体"/>
          <w:sz w:val="24"/>
          <w:highlight w:val="none"/>
          <w:u w:val="single"/>
        </w:rPr>
        <w:t xml:space="preserve">      </w:t>
      </w:r>
      <w:r>
        <w:rPr>
          <w:rFonts w:hint="eastAsia" w:ascii="宋体" w:hAnsi="宋体" w:cs="宋体"/>
          <w:sz w:val="24"/>
          <w:highlight w:val="none"/>
        </w:rPr>
        <w:t>立方米，单价：</w:t>
      </w:r>
      <w:r>
        <w:rPr>
          <w:rFonts w:hint="eastAsia" w:ascii="宋体" w:hAnsi="宋体" w:cs="宋体"/>
          <w:sz w:val="24"/>
          <w:highlight w:val="none"/>
          <w:u w:val="single"/>
        </w:rPr>
        <w:t xml:space="preserve">      </w:t>
      </w:r>
      <w:r>
        <w:rPr>
          <w:rFonts w:hint="eastAsia" w:ascii="宋体" w:hAnsi="宋体" w:cs="宋体"/>
          <w:sz w:val="24"/>
          <w:highlight w:val="none"/>
        </w:rPr>
        <w:t>元/立方米，暂定价</w:t>
      </w:r>
      <w:r>
        <w:rPr>
          <w:rFonts w:hint="eastAsia" w:ascii="宋体" w:hAnsi="宋体" w:cs="宋体"/>
          <w:sz w:val="24"/>
          <w:highlight w:val="none"/>
          <w:u w:val="single"/>
        </w:rPr>
        <w:t xml:space="preserve">      </w:t>
      </w:r>
      <w:r>
        <w:rPr>
          <w:rFonts w:hint="eastAsia" w:ascii="宋体" w:hAnsi="宋体" w:cs="宋体"/>
          <w:sz w:val="24"/>
          <w:highlight w:val="none"/>
        </w:rPr>
        <w:t>元。</w:t>
      </w:r>
    </w:p>
    <w:p>
      <w:pPr>
        <w:spacing w:line="360" w:lineRule="auto"/>
        <w:ind w:firstLine="482" w:firstLineChars="200"/>
        <w:rPr>
          <w:rFonts w:ascii="宋体" w:hAnsi="宋体" w:cs="宋体"/>
          <w:b/>
          <w:sz w:val="24"/>
          <w:highlight w:val="none"/>
        </w:rPr>
      </w:pPr>
      <w:r>
        <w:rPr>
          <w:rFonts w:hint="eastAsia" w:ascii="宋体" w:hAnsi="宋体" w:cs="宋体"/>
          <w:b/>
          <w:sz w:val="24"/>
          <w:highlight w:val="none"/>
        </w:rPr>
        <w:t>2.建（构）筑物地坪及地坪以下部分、硬化地面、道路路面破碎及产生建筑垃圾的清运</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破碎工程量：</w:t>
      </w:r>
      <w:r>
        <w:rPr>
          <w:rFonts w:hint="eastAsia" w:ascii="宋体" w:hAnsi="宋体" w:cs="宋体"/>
          <w:sz w:val="24"/>
          <w:highlight w:val="none"/>
          <w:u w:val="single"/>
        </w:rPr>
        <w:t xml:space="preserve">      </w:t>
      </w:r>
      <w:r>
        <w:rPr>
          <w:rFonts w:hint="eastAsia" w:ascii="宋体" w:hAnsi="宋体" w:cs="宋体"/>
          <w:sz w:val="24"/>
          <w:highlight w:val="none"/>
        </w:rPr>
        <w:t>平方米，单价：</w:t>
      </w:r>
      <w:r>
        <w:rPr>
          <w:rFonts w:hint="eastAsia" w:ascii="宋体" w:hAnsi="宋体" w:cs="宋体"/>
          <w:sz w:val="24"/>
          <w:highlight w:val="none"/>
          <w:u w:val="single"/>
        </w:rPr>
        <w:t xml:space="preserve">      </w:t>
      </w:r>
      <w:r>
        <w:rPr>
          <w:rFonts w:hint="eastAsia" w:ascii="宋体" w:hAnsi="宋体" w:cs="宋体"/>
          <w:sz w:val="24"/>
          <w:highlight w:val="none"/>
        </w:rPr>
        <w:t>元/平方米，暂定价</w:t>
      </w:r>
      <w:r>
        <w:rPr>
          <w:rFonts w:hint="eastAsia" w:ascii="宋体" w:hAnsi="宋体" w:cs="宋体"/>
          <w:sz w:val="24"/>
          <w:highlight w:val="none"/>
          <w:u w:val="single"/>
        </w:rPr>
        <w:t xml:space="preserve">      </w:t>
      </w:r>
      <w:r>
        <w:rPr>
          <w:rFonts w:hint="eastAsia" w:ascii="宋体" w:hAnsi="宋体" w:cs="宋体"/>
          <w:sz w:val="24"/>
          <w:highlight w:val="none"/>
        </w:rPr>
        <w:t>元；</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建筑垃圾清运量：</w:t>
      </w:r>
      <w:r>
        <w:rPr>
          <w:rFonts w:hint="eastAsia" w:ascii="宋体" w:hAnsi="宋体" w:cs="宋体"/>
          <w:sz w:val="24"/>
          <w:highlight w:val="none"/>
          <w:u w:val="single"/>
        </w:rPr>
        <w:t xml:space="preserve">      </w:t>
      </w:r>
      <w:r>
        <w:rPr>
          <w:rFonts w:hint="eastAsia" w:ascii="宋体" w:hAnsi="宋体" w:cs="宋体"/>
          <w:sz w:val="24"/>
          <w:highlight w:val="none"/>
        </w:rPr>
        <w:t>立方米，单价：</w:t>
      </w:r>
      <w:r>
        <w:rPr>
          <w:rFonts w:hint="eastAsia" w:ascii="宋体" w:hAnsi="宋体" w:cs="宋体"/>
          <w:sz w:val="24"/>
          <w:highlight w:val="none"/>
          <w:u w:val="single"/>
        </w:rPr>
        <w:t xml:space="preserve">      </w:t>
      </w:r>
      <w:r>
        <w:rPr>
          <w:rFonts w:hint="eastAsia" w:ascii="宋体" w:hAnsi="宋体" w:cs="宋体"/>
          <w:sz w:val="24"/>
          <w:highlight w:val="none"/>
        </w:rPr>
        <w:t>元/立方米，暂定价</w:t>
      </w:r>
      <w:r>
        <w:rPr>
          <w:rFonts w:hint="eastAsia" w:ascii="宋体" w:hAnsi="宋体" w:cs="宋体"/>
          <w:sz w:val="24"/>
          <w:highlight w:val="none"/>
          <w:u w:val="single"/>
        </w:rPr>
        <w:t xml:space="preserve">      </w:t>
      </w:r>
      <w:r>
        <w:rPr>
          <w:rFonts w:hint="eastAsia" w:ascii="宋体" w:hAnsi="宋体" w:cs="宋体"/>
          <w:sz w:val="24"/>
          <w:highlight w:val="none"/>
        </w:rPr>
        <w:t>元。</w:t>
      </w:r>
    </w:p>
    <w:p>
      <w:pPr>
        <w:spacing w:line="56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3.苗木清理</w:t>
      </w:r>
    </w:p>
    <w:p>
      <w:pPr>
        <w:spacing w:line="560" w:lineRule="exact"/>
        <w:ind w:firstLine="480" w:firstLineChars="200"/>
        <w:rPr>
          <w:highlight w:val="none"/>
        </w:rPr>
      </w:pPr>
      <w:r>
        <w:rPr>
          <w:rFonts w:hint="eastAsia" w:ascii="宋体" w:hAnsi="宋体" w:eastAsia="宋体" w:cs="宋体"/>
          <w:color w:val="auto"/>
          <w:sz w:val="24"/>
          <w:szCs w:val="24"/>
          <w:highlight w:val="none"/>
        </w:rPr>
        <w:t>工程量：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亩，单价：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元/亩，暂定价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.如遇拆除现场新增项目或现状遗留问题等超出上述工作内容情形，经城改办同意后，可由甲方、监理单位与乙方办理签证，费用以城改办委托的第三方中介单位审定金额为准。</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（四）合同总价</w:t>
      </w:r>
    </w:p>
    <w:p>
      <w:pPr>
        <w:spacing w:line="360" w:lineRule="auto"/>
        <w:ind w:firstLine="482" w:firstLineChars="200"/>
        <w:rPr>
          <w:rFonts w:ascii="宋体" w:hAnsi="宋体" w:cs="宋体"/>
          <w:b/>
          <w:sz w:val="24"/>
          <w:highlight w:val="none"/>
        </w:rPr>
      </w:pPr>
      <w:r>
        <w:rPr>
          <w:rFonts w:hint="eastAsia" w:ascii="宋体" w:hAnsi="宋体" w:cs="宋体"/>
          <w:b/>
          <w:sz w:val="24"/>
          <w:highlight w:val="none"/>
        </w:rPr>
        <w:t>依据前款计价标准，本合同暂定总价为</w:t>
      </w:r>
      <w:r>
        <w:rPr>
          <w:rFonts w:hint="eastAsia" w:ascii="宋体" w:hAnsi="宋体" w:cs="宋体"/>
          <w:b/>
          <w:sz w:val="24"/>
          <w:highlight w:val="none"/>
          <w:u w:val="single"/>
        </w:rPr>
        <w:t xml:space="preserve">      </w:t>
      </w:r>
      <w:r>
        <w:rPr>
          <w:rFonts w:hint="eastAsia" w:ascii="宋体" w:hAnsi="宋体" w:cs="宋体"/>
          <w:b/>
          <w:sz w:val="24"/>
          <w:highlight w:val="none"/>
        </w:rPr>
        <w:t>元（大写：</w:t>
      </w:r>
      <w:r>
        <w:rPr>
          <w:rFonts w:hint="eastAsia" w:ascii="宋体" w:hAnsi="宋体" w:cs="宋体"/>
          <w:b/>
          <w:sz w:val="24"/>
          <w:highlight w:val="none"/>
          <w:u w:val="single"/>
        </w:rPr>
        <w:t xml:space="preserve">           </w:t>
      </w:r>
      <w:r>
        <w:rPr>
          <w:rFonts w:hint="eastAsia" w:ascii="宋体" w:hAnsi="宋体" w:cs="宋体"/>
          <w:b/>
          <w:sz w:val="24"/>
          <w:highlight w:val="none"/>
        </w:rPr>
        <w:t>）。</w:t>
      </w:r>
    </w:p>
    <w:p>
      <w:pPr>
        <w:spacing w:line="360" w:lineRule="auto"/>
        <w:ind w:firstLine="480" w:firstLineChars="200"/>
        <w:rPr>
          <w:rFonts w:ascii="宋体" w:hAnsi="宋体" w:cs="宋体"/>
          <w:bCs/>
          <w:sz w:val="24"/>
          <w:highlight w:val="none"/>
        </w:rPr>
      </w:pPr>
      <w:r>
        <w:rPr>
          <w:rFonts w:hint="eastAsia" w:ascii="宋体" w:hAnsi="宋体" w:cs="宋体"/>
          <w:bCs/>
          <w:sz w:val="24"/>
          <w:highlight w:val="none"/>
        </w:rPr>
        <w:t>三、竣工验收及付款方式</w:t>
      </w:r>
    </w:p>
    <w:p>
      <w:pPr>
        <w:spacing w:line="360" w:lineRule="auto"/>
        <w:ind w:firstLine="480" w:firstLineChars="200"/>
        <w:rPr>
          <w:rFonts w:ascii="宋体" w:hAnsi="宋体" w:cs="宋体"/>
          <w:bCs/>
          <w:sz w:val="24"/>
          <w:highlight w:val="none"/>
        </w:rPr>
      </w:pPr>
      <w:r>
        <w:rPr>
          <w:rFonts w:hint="eastAsia" w:ascii="宋体" w:hAnsi="宋体" w:cs="宋体"/>
          <w:bCs/>
          <w:sz w:val="24"/>
          <w:highlight w:val="none"/>
        </w:rPr>
        <w:t>（一）本项目竣工验收采取分阶段验收方式</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1.乙方完成建（构）筑物地坪以上拆除工程量的95%以上，甲方可书面向城改办申请组织相关单位进行验收，验收合格后，出具地坪以上拆除部分验收单（附件1），剩余不足5%部分可作为“甩项”处理。</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2.乙方按照合同约定对地坪以上拆除垃圾进行清运完成后，甲方可书面向城改办申请组织相关单位进行验收，验收合格后，出具地坪以上垃圾清运部分验收单（附件1）。</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3.甲方对地坪、硬化地面、道路路面等地面高程进行测量，</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城改办委托进行同步复核，共同确认初始测量成果；初测成果确定后，乙方方可实施破碎、清运工作。</w:t>
      </w:r>
      <w:r>
        <w:rPr>
          <w:rFonts w:hint="eastAsia" w:ascii="宋体" w:hAnsi="宋体" w:eastAsia="宋体" w:cs="宋体"/>
          <w:color w:val="auto"/>
          <w:sz w:val="24"/>
          <w:szCs w:val="24"/>
          <w:highlight w:val="none"/>
        </w:rPr>
        <w:t>破碎、清运、苗木、杂草及其根基和相应腐殖土清理工作完成</w:t>
      </w:r>
      <w:r>
        <w:rPr>
          <w:rFonts w:hint="eastAsia" w:ascii="宋体" w:hAnsi="宋体" w:eastAsia="宋体" w:cs="宋体"/>
          <w:color w:val="auto"/>
          <w:sz w:val="24"/>
          <w:szCs w:val="24"/>
          <w:highlight w:val="none"/>
          <w:lang w:eastAsia="zh-CN"/>
        </w:rPr>
        <w:t>达到黄土裸露、自然平整后</w:t>
      </w:r>
      <w:r>
        <w:rPr>
          <w:rFonts w:hint="eastAsia" w:ascii="宋体" w:hAnsi="宋体" w:eastAsia="宋体" w:cs="宋体"/>
          <w:color w:val="auto"/>
          <w:sz w:val="24"/>
          <w:szCs w:val="24"/>
          <w:highlight w:val="none"/>
        </w:rPr>
        <w:t>，</w:t>
      </w:r>
      <w:r>
        <w:rPr>
          <w:rFonts w:hint="eastAsia" w:ascii="宋体" w:hAnsi="宋体" w:cs="宋体"/>
          <w:sz w:val="24"/>
          <w:highlight w:val="none"/>
        </w:rPr>
        <w:t>甲方对破碎、清运后地面高程进行竣工测量，</w:t>
      </w:r>
      <w:r>
        <w:rPr>
          <w:rFonts w:hint="eastAsia" w:ascii="宋体" w:hAnsi="宋体" w:eastAsia="宋体" w:cs="宋体"/>
          <w:color w:val="auto"/>
          <w:sz w:val="24"/>
          <w:szCs w:val="24"/>
          <w:highlight w:val="none"/>
        </w:rPr>
        <w:t>同时对苗木清理面积进行测量，</w:t>
      </w:r>
      <w:r>
        <w:rPr>
          <w:rFonts w:hint="eastAsia" w:ascii="宋体" w:hAnsi="宋体" w:cs="宋体"/>
          <w:sz w:val="24"/>
          <w:highlight w:val="none"/>
        </w:rPr>
        <w:t>城改办进行同步复核，共同确认竣工测量成果。甲方书面向城改办申请组织相关单位进行验收，验收合格后，出具本项目的竣工验收单（附件1）。上述测量技术工作由甲方、城改办各自委托第三方中介单位实施。</w:t>
      </w:r>
    </w:p>
    <w:p>
      <w:pPr>
        <w:spacing w:line="360" w:lineRule="auto"/>
        <w:ind w:firstLine="480" w:firstLineChars="200"/>
        <w:rPr>
          <w:rFonts w:ascii="宋体" w:hAnsi="宋体" w:cs="宋体"/>
          <w:sz w:val="24"/>
          <w:highlight w:val="none"/>
        </w:rPr>
      </w:pPr>
      <w:r>
        <w:rPr>
          <w:rFonts w:hint="eastAsia" w:ascii="宋体" w:hAnsi="宋体" w:cs="宋体"/>
          <w:bCs/>
          <w:sz w:val="24"/>
          <w:highlight w:val="none"/>
        </w:rPr>
        <w:t>（二）</w:t>
      </w:r>
      <w:r>
        <w:rPr>
          <w:rFonts w:hint="eastAsia" w:ascii="宋体" w:hAnsi="宋体" w:cs="宋体"/>
          <w:b/>
          <w:bCs/>
          <w:color w:val="000000" w:themeColor="text1"/>
          <w:sz w:val="24"/>
          <w:highlight w:val="none"/>
          <w:u w:val="single"/>
          <w14:textFill>
            <w14:solidFill>
              <w14:schemeClr w14:val="tx1"/>
            </w14:solidFill>
          </w14:textFill>
        </w:rPr>
        <w:t>本合同签订后，乙方应于10个工作日内向甲方交纳</w:t>
      </w:r>
      <w:r>
        <w:rPr>
          <w:rFonts w:hint="eastAsia" w:ascii="宋体" w:hAnsi="宋体" w:cs="宋体"/>
          <w:b/>
          <w:bCs/>
          <w:color w:val="000000" w:themeColor="text1"/>
          <w:sz w:val="24"/>
          <w:highlight w:val="none"/>
          <w:u w:val="single"/>
          <w:lang w:eastAsia="zh-CN"/>
          <w14:textFill>
            <w14:solidFill>
              <w14:schemeClr w14:val="tx1"/>
            </w14:solidFill>
          </w14:textFill>
        </w:rPr>
        <w:t>中标价的</w:t>
      </w:r>
      <w:r>
        <w:rPr>
          <w:rFonts w:hint="eastAsia" w:ascii="宋体" w:hAnsi="宋体" w:cs="宋体"/>
          <w:b/>
          <w:bCs/>
          <w:color w:val="000000" w:themeColor="text1"/>
          <w:sz w:val="24"/>
          <w:highlight w:val="none"/>
          <w:u w:val="single"/>
          <w:lang w:val="en-US" w:eastAsia="zh-CN"/>
          <w14:textFill>
            <w14:solidFill>
              <w14:schemeClr w14:val="tx1"/>
            </w14:solidFill>
          </w14:textFill>
        </w:rPr>
        <w:t>10%</w:t>
      </w:r>
      <w:r>
        <w:rPr>
          <w:rFonts w:hint="eastAsia" w:ascii="宋体" w:hAnsi="宋体" w:cs="宋体"/>
          <w:b/>
          <w:bCs/>
          <w:color w:val="000000" w:themeColor="text1"/>
          <w:sz w:val="24"/>
          <w:highlight w:val="none"/>
          <w:u w:val="single"/>
          <w14:textFill>
            <w14:solidFill>
              <w14:schemeClr w14:val="tx1"/>
            </w14:solidFill>
          </w14:textFill>
        </w:rPr>
        <w:t>作为履约保证金。项目竣工验收、结算完成后，履约保证金余额予以退还（不计利息）。</w:t>
      </w:r>
      <w:r>
        <w:rPr>
          <w:rFonts w:hint="eastAsia" w:ascii="宋体" w:hAnsi="宋体" w:cs="宋体"/>
          <w:color w:val="000000" w:themeColor="text1"/>
          <w:sz w:val="24"/>
          <w:highlight w:val="none"/>
          <w14:textFill>
            <w14:solidFill>
              <w14:schemeClr w14:val="tx1"/>
            </w14:solidFill>
          </w14:textFill>
        </w:rPr>
        <w:t>乙</w:t>
      </w:r>
      <w:r>
        <w:rPr>
          <w:rFonts w:hint="eastAsia" w:ascii="宋体" w:hAnsi="宋体" w:cs="宋体"/>
          <w:sz w:val="24"/>
          <w:highlight w:val="none"/>
        </w:rPr>
        <w:t>方未能完全履行合同义务，情形严重的，履约保证金不予退还。</w:t>
      </w:r>
    </w:p>
    <w:p>
      <w:pPr>
        <w:pStyle w:val="20"/>
        <w:spacing w:line="360" w:lineRule="auto"/>
        <w:ind w:firstLine="480" w:firstLineChars="200"/>
        <w:rPr>
          <w:rFonts w:hAnsi="宋体" w:cs="宋体"/>
          <w:bCs/>
          <w:sz w:val="24"/>
          <w:szCs w:val="24"/>
          <w:highlight w:val="none"/>
        </w:rPr>
      </w:pPr>
      <w:r>
        <w:rPr>
          <w:rFonts w:hint="eastAsia" w:hAnsi="宋体" w:cs="宋体"/>
          <w:bCs/>
          <w:sz w:val="24"/>
          <w:szCs w:val="24"/>
          <w:highlight w:val="none"/>
        </w:rPr>
        <w:t>（三）付款方式</w:t>
      </w:r>
    </w:p>
    <w:p>
      <w:pPr>
        <w:pStyle w:val="20"/>
        <w:spacing w:line="360" w:lineRule="auto"/>
        <w:ind w:firstLine="482" w:firstLineChars="200"/>
        <w:rPr>
          <w:rFonts w:hAnsi="宋体" w:cs="宋体"/>
          <w:b/>
          <w:bCs/>
          <w:color w:val="000000" w:themeColor="text1"/>
          <w:sz w:val="24"/>
          <w:szCs w:val="24"/>
          <w:highlight w:val="none"/>
          <w:u w:val="single"/>
          <w14:textFill>
            <w14:solidFill>
              <w14:schemeClr w14:val="tx1"/>
            </w14:solidFill>
          </w14:textFill>
        </w:rPr>
      </w:pPr>
      <w:r>
        <w:rPr>
          <w:rFonts w:hint="eastAsia" w:hAnsi="宋体" w:cs="宋体"/>
          <w:b/>
          <w:bCs/>
          <w:color w:val="000000" w:themeColor="text1"/>
          <w:sz w:val="24"/>
          <w:szCs w:val="24"/>
          <w:highlight w:val="none"/>
          <w:u w:val="single"/>
          <w14:textFill>
            <w14:solidFill>
              <w14:schemeClr w14:val="tx1"/>
            </w14:solidFill>
          </w14:textFill>
        </w:rPr>
        <w:t>1.合同签订后，乙方人员及设备进场后，甲方向乙方支付建（构）筑物地坪以上拆除合同暂定价的10%，乙方完成建（构）筑物地坪以上拆除50%以上，甲方向乙方再支付该项合同暂定价的30%，乙方完成建（构）筑物地坪以上拆除80%以上，甲方向乙方再支付该项合同暂定价的30%。</w:t>
      </w:r>
    </w:p>
    <w:p>
      <w:pPr>
        <w:pStyle w:val="20"/>
        <w:spacing w:line="360" w:lineRule="auto"/>
        <w:ind w:firstLine="482" w:firstLineChars="200"/>
        <w:rPr>
          <w:rFonts w:hAnsi="宋体" w:cs="宋体"/>
          <w:b/>
          <w:bCs/>
          <w:color w:val="000000" w:themeColor="text1"/>
          <w:sz w:val="24"/>
          <w:szCs w:val="24"/>
          <w:highlight w:val="none"/>
          <w:u w:val="single"/>
          <w14:textFill>
            <w14:solidFill>
              <w14:schemeClr w14:val="tx1"/>
            </w14:solidFill>
          </w14:textFill>
        </w:rPr>
      </w:pPr>
      <w:r>
        <w:rPr>
          <w:rFonts w:hint="eastAsia" w:hAnsi="宋体" w:cs="宋体"/>
          <w:b/>
          <w:bCs/>
          <w:color w:val="000000" w:themeColor="text1"/>
          <w:sz w:val="24"/>
          <w:szCs w:val="24"/>
          <w:highlight w:val="none"/>
          <w:u w:val="single"/>
          <w14:textFill>
            <w14:solidFill>
              <w14:schemeClr w14:val="tx1"/>
            </w14:solidFill>
          </w14:textFill>
        </w:rPr>
        <w:t>2.合同签订后，乙方人员及设备进场后，甲方向乙方支付地坪以上拆除部分垃圾清运合同暂定价的10%，乙方完成地坪以上拆除部分垃圾清运50%以上，甲方向乙方再支付该项合同暂定价的30%，乙方完成地坪以上拆除部分垃圾清运除80%以上，甲方向乙方再支付该项合同暂定价的30%。</w:t>
      </w:r>
    </w:p>
    <w:p>
      <w:pPr>
        <w:pStyle w:val="20"/>
        <w:spacing w:line="360" w:lineRule="auto"/>
        <w:ind w:firstLine="482" w:firstLineChars="200"/>
        <w:rPr>
          <w:rFonts w:hAnsi="宋体" w:cs="宋体"/>
          <w:b/>
          <w:bCs/>
          <w:color w:val="000000" w:themeColor="text1"/>
          <w:sz w:val="24"/>
          <w:szCs w:val="24"/>
          <w:highlight w:val="none"/>
          <w:u w:val="single"/>
          <w14:textFill>
            <w14:solidFill>
              <w14:schemeClr w14:val="tx1"/>
            </w14:solidFill>
          </w14:textFill>
        </w:rPr>
      </w:pPr>
      <w:r>
        <w:rPr>
          <w:rFonts w:hint="eastAsia" w:hAnsi="宋体" w:cs="宋体"/>
          <w:b/>
          <w:bCs/>
          <w:color w:val="000000" w:themeColor="text1"/>
          <w:sz w:val="24"/>
          <w:szCs w:val="24"/>
          <w:highlight w:val="none"/>
          <w:u w:val="single"/>
          <w14:textFill>
            <w14:solidFill>
              <w14:schemeClr w14:val="tx1"/>
            </w14:solidFill>
          </w14:textFill>
        </w:rPr>
        <w:t>3.合同签订后，乙方人员及设备进场后，甲方向乙方支付地坪及地坪以下部分、硬化地面、道路路面破碎及破碎垃圾清运合同暂定价的10%，乙方完成地坪及地坪以下部分、硬化地面、道路路面破碎及破碎垃圾清运50%以上，甲方向乙方再支付该项合同暂定价的30%，乙方完成地坪及地坪以下部分、硬化地面、道路路面破碎及破碎垃圾清运80%以上，甲方向乙方再支付该项合同暂定价的30%。</w:t>
      </w:r>
    </w:p>
    <w:p>
      <w:pPr>
        <w:pStyle w:val="20"/>
        <w:spacing w:line="560" w:lineRule="exact"/>
        <w:ind w:firstLine="482" w:firstLineChars="200"/>
        <w:rPr>
          <w:rFonts w:hAnsi="宋体" w:cs="宋体"/>
          <w:b/>
          <w:bCs/>
          <w:sz w:val="24"/>
          <w:szCs w:val="24"/>
          <w:highlight w:val="none"/>
          <w:u w:val="single"/>
        </w:rPr>
      </w:pPr>
      <w:r>
        <w:rPr>
          <w:rFonts w:hint="eastAsia" w:hAnsi="宋体" w:cs="宋体"/>
          <w:b/>
          <w:bCs/>
          <w:sz w:val="24"/>
          <w:szCs w:val="24"/>
          <w:highlight w:val="none"/>
          <w:u w:val="single"/>
        </w:rPr>
        <w:t>4.</w:t>
      </w:r>
      <w:r>
        <w:rPr>
          <w:rFonts w:hint="eastAsia" w:ascii="宋体" w:hAnsi="宋体" w:eastAsia="宋体" w:cs="宋体"/>
          <w:b/>
          <w:bCs/>
          <w:color w:val="auto"/>
          <w:sz w:val="24"/>
          <w:szCs w:val="24"/>
          <w:highlight w:val="none"/>
          <w:u w:val="single"/>
        </w:rPr>
        <w:t>苗木清</w:t>
      </w:r>
      <w:r>
        <w:rPr>
          <w:rFonts w:hint="eastAsia" w:hAnsi="宋体" w:cs="宋体"/>
          <w:b/>
          <w:bCs/>
          <w:color w:val="auto"/>
          <w:sz w:val="24"/>
          <w:szCs w:val="24"/>
          <w:highlight w:val="none"/>
          <w:u w:val="single"/>
          <w:lang w:eastAsia="zh-CN"/>
        </w:rPr>
        <w:t>表</w:t>
      </w:r>
      <w:r>
        <w:rPr>
          <w:rFonts w:hint="eastAsia" w:ascii="宋体" w:hAnsi="宋体" w:eastAsia="宋体" w:cs="宋体"/>
          <w:b/>
          <w:bCs/>
          <w:color w:val="auto"/>
          <w:sz w:val="24"/>
          <w:szCs w:val="24"/>
          <w:highlight w:val="none"/>
          <w:u w:val="single"/>
        </w:rPr>
        <w:t>费</w:t>
      </w:r>
      <w:r>
        <w:rPr>
          <w:rFonts w:hint="eastAsia" w:ascii="宋体" w:hAnsi="宋体" w:eastAsia="宋体" w:cs="宋体"/>
          <w:b/>
          <w:bCs/>
          <w:color w:val="auto"/>
          <w:kern w:val="2"/>
          <w:sz w:val="24"/>
          <w:szCs w:val="24"/>
          <w:highlight w:val="none"/>
          <w:u w:val="single"/>
        </w:rPr>
        <w:t>待项目全部完工，经造价评审后，随剩余工程款一次性支付，过程中不再支付进度款。</w:t>
      </w:r>
    </w:p>
    <w:p>
      <w:pPr>
        <w:pStyle w:val="20"/>
        <w:spacing w:line="360" w:lineRule="auto"/>
        <w:ind w:firstLine="480" w:firstLineChars="200"/>
        <w:rPr>
          <w:rFonts w:hAnsi="宋体" w:cs="宋体"/>
          <w:sz w:val="24"/>
          <w:szCs w:val="24"/>
          <w:highlight w:val="none"/>
        </w:rPr>
      </w:pPr>
      <w:r>
        <w:rPr>
          <w:rFonts w:hint="eastAsia" w:hAnsi="宋体" w:cs="宋体"/>
          <w:sz w:val="24"/>
          <w:szCs w:val="24"/>
          <w:highlight w:val="none"/>
        </w:rPr>
        <w:t>5.项目竣工验收合格后，经甲方书面申请，城改办委托第三方中介单位进行造价评审，审定金额作为最终结算依据。在该项目土地文物勘探工作完成，且未发现垃圾掩埋、破碎及清运不彻底等问题的情况下，甲方方可向乙方一次性支付剩余工程款。</w:t>
      </w:r>
    </w:p>
    <w:p>
      <w:pPr>
        <w:pStyle w:val="20"/>
        <w:spacing w:line="360" w:lineRule="auto"/>
        <w:ind w:firstLine="480" w:firstLineChars="200"/>
        <w:rPr>
          <w:rFonts w:hAnsi="宋体" w:cs="宋体"/>
          <w:sz w:val="24"/>
          <w:szCs w:val="24"/>
          <w:highlight w:val="none"/>
        </w:rPr>
      </w:pPr>
      <w:r>
        <w:rPr>
          <w:rFonts w:hint="eastAsia" w:hAnsi="宋体" w:cs="宋体"/>
          <w:sz w:val="24"/>
          <w:szCs w:val="24"/>
          <w:highlight w:val="none"/>
        </w:rPr>
        <w:t>6.对于现场遗留未拆除及未清运部分（小于工作内容的5%），暂不结算，不支付任何款项；待遗留部分工作完成且验收合格，经第三方中介单位审定后，支付相应款项。</w:t>
      </w:r>
    </w:p>
    <w:p>
      <w:pPr>
        <w:pStyle w:val="20"/>
        <w:spacing w:line="360" w:lineRule="auto"/>
        <w:ind w:firstLine="480" w:firstLineChars="200"/>
        <w:rPr>
          <w:rFonts w:hAnsi="宋体" w:cs="宋体"/>
          <w:sz w:val="24"/>
          <w:szCs w:val="24"/>
          <w:highlight w:val="none"/>
        </w:rPr>
      </w:pPr>
      <w:r>
        <w:rPr>
          <w:rFonts w:hint="eastAsia" w:hAnsi="宋体" w:cs="宋体"/>
          <w:sz w:val="24"/>
          <w:szCs w:val="24"/>
          <w:highlight w:val="none"/>
        </w:rPr>
        <w:t>7.甲方向乙方支付工程款时，乙方需提供合法税务发票，否则甲方有权暂停支付相应款项。</w:t>
      </w:r>
    </w:p>
    <w:p>
      <w:pPr>
        <w:kinsoku w:val="0"/>
        <w:overflowPunct w:val="0"/>
        <w:autoSpaceDE w:val="0"/>
        <w:autoSpaceDN w:val="0"/>
        <w:adjustRightInd w:val="0"/>
        <w:spacing w:line="360" w:lineRule="auto"/>
        <w:ind w:firstLine="470" w:firstLineChars="196"/>
        <w:rPr>
          <w:rFonts w:ascii="宋体" w:hAnsi="宋体" w:cs="宋体"/>
          <w:bCs/>
          <w:sz w:val="24"/>
          <w:highlight w:val="none"/>
        </w:rPr>
      </w:pPr>
      <w:r>
        <w:rPr>
          <w:rFonts w:hint="eastAsia" w:ascii="宋体" w:hAnsi="宋体" w:cs="宋体"/>
          <w:bCs/>
          <w:sz w:val="24"/>
          <w:highlight w:val="none"/>
        </w:rPr>
        <w:t>四、权利义务</w:t>
      </w:r>
    </w:p>
    <w:p>
      <w:pPr>
        <w:pStyle w:val="20"/>
        <w:spacing w:line="360" w:lineRule="auto"/>
        <w:ind w:firstLine="480" w:firstLineChars="200"/>
        <w:rPr>
          <w:rFonts w:hAnsi="宋体" w:cs="宋体"/>
          <w:bCs/>
          <w:sz w:val="24"/>
          <w:szCs w:val="24"/>
          <w:highlight w:val="none"/>
        </w:rPr>
      </w:pPr>
      <w:r>
        <w:rPr>
          <w:rFonts w:hint="eastAsia" w:hAnsi="宋体" w:cs="宋体"/>
          <w:bCs/>
          <w:sz w:val="24"/>
          <w:szCs w:val="24"/>
          <w:highlight w:val="none"/>
        </w:rPr>
        <w:t>（一）甲方权利和义务</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1.有权对拟拆除范围进行明确，随时对合同约定进度、工作要求进行监督、检查。若因乙方原因导致工作进度缓慢、工作要求不达标，有权对乙方提出整改要求。</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2.有权随时对拆除安全生产、治污减霾和防尘降噪措施等进行检查，若现场不符合相关要求，有权对乙方提出整改要求。</w:t>
      </w:r>
    </w:p>
    <w:p>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3.在乙方对存在问题，拒不整改或整改不到位情形下，有权终止合同并将乙方清理出场。</w:t>
      </w:r>
    </w:p>
    <w:p>
      <w:pPr>
        <w:spacing w:line="560" w:lineRule="exact"/>
        <w:ind w:firstLine="480" w:firstLineChars="200"/>
        <w:rPr>
          <w:highlight w:val="none"/>
        </w:rPr>
      </w:pPr>
      <w:r>
        <w:rPr>
          <w:rFonts w:hint="eastAsia" w:ascii="宋体" w:hAnsi="宋体" w:eastAsia="宋体" w:cs="宋体"/>
          <w:color w:val="auto"/>
          <w:sz w:val="24"/>
          <w:szCs w:val="24"/>
          <w:highlight w:val="none"/>
        </w:rPr>
        <w:t>4.有权要求乙方配合相关单位做好花草树木处理、移植工作。</w:t>
      </w:r>
    </w:p>
    <w:p>
      <w:pPr>
        <w:spacing w:line="360" w:lineRule="auto"/>
        <w:ind w:firstLine="480" w:firstLineChars="200"/>
        <w:rPr>
          <w:rFonts w:ascii="宋体" w:hAnsi="宋体" w:cs="宋体"/>
          <w:sz w:val="24"/>
          <w:highlight w:val="none"/>
        </w:rPr>
      </w:pPr>
      <w:r>
        <w:rPr>
          <w:rFonts w:hint="eastAsia" w:ascii="宋体" w:hAnsi="宋体" w:cs="宋体"/>
          <w:sz w:val="24"/>
          <w:highlight w:val="none"/>
          <w:lang w:val="en-US" w:eastAsia="zh-CN"/>
        </w:rPr>
        <w:t>5</w:t>
      </w:r>
      <w:r>
        <w:rPr>
          <w:rFonts w:hint="eastAsia" w:ascii="宋体" w:hAnsi="宋体" w:cs="宋体"/>
          <w:sz w:val="24"/>
          <w:highlight w:val="none"/>
        </w:rPr>
        <w:t>.按合同有关约定，按时向乙方支付工程款。</w:t>
      </w:r>
    </w:p>
    <w:p>
      <w:pPr>
        <w:spacing w:line="360" w:lineRule="auto"/>
        <w:ind w:firstLine="480" w:firstLineChars="200"/>
        <w:rPr>
          <w:rFonts w:ascii="宋体" w:hAnsi="宋体" w:cs="宋体"/>
          <w:bCs/>
          <w:sz w:val="24"/>
          <w:highlight w:val="none"/>
        </w:rPr>
      </w:pPr>
      <w:r>
        <w:rPr>
          <w:rFonts w:hint="eastAsia" w:ascii="宋体" w:hAnsi="宋体" w:cs="宋体"/>
          <w:bCs/>
          <w:sz w:val="24"/>
          <w:highlight w:val="none"/>
        </w:rPr>
        <w:t>（二）乙方权利和义务</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1.有权在履约后获得合同约定的工程费用。</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2.项目经理与现场主要管理人员应在开工前向甲方备案，未经甲方同意，不得擅自更换。本工程项目经理为</w:t>
      </w:r>
      <w:r>
        <w:rPr>
          <w:rFonts w:hint="eastAsia" w:ascii="宋体" w:hAnsi="宋体" w:cs="宋体"/>
          <w:sz w:val="24"/>
          <w:highlight w:val="none"/>
          <w:u w:val="single"/>
        </w:rPr>
        <w:t xml:space="preserve">      </w:t>
      </w:r>
      <w:r>
        <w:rPr>
          <w:rFonts w:hint="eastAsia" w:ascii="宋体" w:hAnsi="宋体" w:cs="宋体"/>
          <w:sz w:val="24"/>
          <w:highlight w:val="none"/>
        </w:rPr>
        <w:t>，注册证号</w:t>
      </w:r>
      <w:r>
        <w:rPr>
          <w:rFonts w:hint="eastAsia" w:ascii="宋体" w:hAnsi="宋体" w:cs="宋体"/>
          <w:sz w:val="24"/>
          <w:highlight w:val="none"/>
          <w:u w:val="single"/>
        </w:rPr>
        <w:t xml:space="preserve">      </w:t>
      </w:r>
      <w:r>
        <w:rPr>
          <w:rFonts w:hint="eastAsia" w:ascii="宋体" w:hAnsi="宋体" w:cs="宋体"/>
          <w:sz w:val="24"/>
          <w:highlight w:val="none"/>
        </w:rPr>
        <w:t>，安全考核合格证号</w:t>
      </w:r>
      <w:r>
        <w:rPr>
          <w:rFonts w:hint="eastAsia" w:ascii="宋体" w:hAnsi="宋体" w:cs="宋体"/>
          <w:sz w:val="24"/>
          <w:highlight w:val="none"/>
          <w:u w:val="single"/>
        </w:rPr>
        <w:t xml:space="preserve">        </w:t>
      </w:r>
      <w:r>
        <w:rPr>
          <w:rFonts w:hint="eastAsia" w:ascii="宋体" w:hAnsi="宋体" w:cs="宋体"/>
          <w:sz w:val="24"/>
          <w:highlight w:val="none"/>
        </w:rPr>
        <w:t>。</w:t>
      </w:r>
    </w:p>
    <w:p>
      <w:pPr>
        <w:kinsoku w:val="0"/>
        <w:overflowPunct w:val="0"/>
        <w:autoSpaceDE w:val="0"/>
        <w:autoSpaceDN w:val="0"/>
        <w:spacing w:line="360" w:lineRule="auto"/>
        <w:ind w:firstLine="480" w:firstLineChars="200"/>
        <w:rPr>
          <w:rFonts w:ascii="宋体" w:hAnsi="宋体" w:cs="宋体"/>
          <w:sz w:val="24"/>
          <w:highlight w:val="none"/>
        </w:rPr>
      </w:pPr>
      <w:r>
        <w:rPr>
          <w:rFonts w:hint="eastAsia" w:ascii="宋体" w:hAnsi="宋体" w:cs="宋体"/>
          <w:sz w:val="24"/>
          <w:highlight w:val="none"/>
        </w:rPr>
        <w:t>3.按照合同约定承担认定范围内的拆除、破碎、垃圾清运、安全生产、治污减霾等工作；按监理单位审查通过的拆除方案实施，对易燃、易爆等危险源的专项拆除方案，需经行业主管单位审批；将建筑垃圾清运合同报行业主管部门备案，并办理相关清运手续；认真落实与甲方签订的《安全生产及治污减霾责任书》（附件2）相关要求。</w:t>
      </w:r>
    </w:p>
    <w:p>
      <w:pPr>
        <w:kinsoku w:val="0"/>
        <w:overflowPunct w:val="0"/>
        <w:autoSpaceDE w:val="0"/>
        <w:autoSpaceDN w:val="0"/>
        <w:spacing w:line="360" w:lineRule="auto"/>
        <w:ind w:firstLine="480" w:firstLineChars="200"/>
        <w:rPr>
          <w:rFonts w:ascii="宋体" w:hAnsi="宋体" w:cs="宋体"/>
          <w:sz w:val="24"/>
          <w:highlight w:val="none"/>
        </w:rPr>
      </w:pPr>
      <w:r>
        <w:rPr>
          <w:rFonts w:hint="eastAsia" w:ascii="宋体" w:hAnsi="宋体" w:cs="宋体"/>
          <w:sz w:val="24"/>
          <w:highlight w:val="none"/>
        </w:rPr>
        <w:t>4.做好竣工验收之前的场地看护管理工作，杜绝出现新增或偷倒垃圾的情形。</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5.接受甲方、监理单位和各级主管部门的监督和管理。</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6.拆除工程完成后，及时向有关部门提出验收申请，如验收不合格，必须在限期内整改。</w:t>
      </w:r>
    </w:p>
    <w:p>
      <w:pPr>
        <w:spacing w:line="360" w:lineRule="auto"/>
        <w:ind w:firstLine="480" w:firstLineChars="200"/>
        <w:rPr>
          <w:rFonts w:ascii="宋体" w:hAnsi="宋体" w:cs="宋体"/>
          <w:sz w:val="24"/>
          <w:highlight w:val="none"/>
        </w:rPr>
      </w:pPr>
      <w:r>
        <w:rPr>
          <w:rFonts w:hint="eastAsia" w:ascii="宋体" w:hAnsi="宋体" w:cs="宋体"/>
          <w:bCs/>
          <w:sz w:val="24"/>
          <w:highlight w:val="none"/>
        </w:rPr>
        <w:t>五、违约责任</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（一）如遇以下情形之一，甲方有权要求乙方支付违约金，并承担由此造成的后果及损失：</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乙方未按甲方要求的时间完成拆除及垃圾清运任务，每延迟一日扣除合同暂定总价万分之一的违约金；因客观因素造成停工，根据停工时间，合同期限自动顺延；因自身原因延期超过90天的，甲方有权解除合同，并扣除合同暂定总价5%的违约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2.乙方未按甲方要求清渣至裸露黄土，或过程中发现破碎不彻底、垃圾就地掩埋等现象，按未破碎、未清运数量据实扣除相关费用；同时，据实扣除因上述原因产生的相关费用，并扣除合同暂定总价5%的违约金。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3.考虑到沣东新城文物遗址分布广泛，为做好文物保护工作，乙方清渣至裸露黄土后，不得再继续下挖；若因继续下挖造成文物遗址损坏以及由此额外增加的工作量，乙方须自行承担相应的经济责任和法律后果。</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4.乙方因场地看护管理不到位，出现新增或偷倒垃圾的情形，乙方自行负责将新增或偷倒垃圾清运完成后，方可申请办理竣工验收。</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5.乙方未将建筑垃圾外运至西咸新区沣东新城行业主管部门指定的建筑垃圾消纳场地，发现一次扣除1000元/次的违约金。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乙方未按治污减霾和防尘降噪的相关规定做好现场管理，机械设备配备不足，治污减霾措施不到位、安全隐患排查处理不到位，发现一例扣除1000元/次的违约金。因治污减霾相关工作被有关部门通报，乙方自行承担由此造成的后果及损失。</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7.乙方未按照甲方要求出现人工拆除、人工剔砖等现象，发现一例扣除1000元/次的违约金。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8.拆除及垃圾清运过程中出现安全事故、环境污染现象，发现一例扣除10000元/次的违约金。</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9.乙方人员在项目实施过程中发现吃、拿、卡、要现象，发现一例扣除10000元/次的违约金。</w:t>
      </w:r>
    </w:p>
    <w:p>
      <w:pPr>
        <w:spacing w:line="360" w:lineRule="auto"/>
        <w:ind w:firstLine="480" w:firstLineChars="200"/>
        <w:rPr>
          <w:rFonts w:ascii="宋体" w:hAnsi="宋体" w:cs="宋体"/>
          <w:sz w:val="24"/>
          <w:highlight w:val="none"/>
        </w:rPr>
      </w:pPr>
      <w:r>
        <w:rPr>
          <w:rFonts w:hint="eastAsia" w:ascii="宋体" w:hAnsi="宋体" w:cs="宋体"/>
          <w:bCs/>
          <w:sz w:val="24"/>
          <w:highlight w:val="none"/>
        </w:rPr>
        <w:t>10.上述条款中，违约金不足以弥补甲方损失的，乙方还应进行赔偿。</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（二）如遇以下情形之一，甲方有权对乙方解除或终止合同：</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1.乙方将项目整体转包给第三方或违法分包给第三方。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2.乙方施工现场不符合治污减霾和防尘降噪相关规定，甲方有权提出整改要求，并扣除相应的违约金；同时，乙方拒不整改或整改不到位。</w:t>
      </w:r>
    </w:p>
    <w:p>
      <w:pPr>
        <w:pStyle w:val="20"/>
        <w:spacing w:line="360" w:lineRule="auto"/>
        <w:ind w:firstLine="470" w:firstLineChars="196"/>
        <w:rPr>
          <w:rFonts w:hAnsi="宋体" w:cs="宋体"/>
          <w:bCs/>
          <w:sz w:val="24"/>
          <w:szCs w:val="24"/>
          <w:highlight w:val="none"/>
        </w:rPr>
      </w:pPr>
      <w:r>
        <w:rPr>
          <w:rFonts w:hint="eastAsia" w:hAnsi="宋体" w:cs="宋体"/>
          <w:bCs/>
          <w:sz w:val="24"/>
          <w:szCs w:val="24"/>
          <w:highlight w:val="none"/>
        </w:rPr>
        <w:t>六、其他</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（一）本合同履行过程中若发生争议，双方应友好协商解决；协商不成的，提交合同履行地法院诉讼解决。</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（二）《安全生产及治污减霾责任书》为本合同的附件，与本合同具有同等法律效力。</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（三）本合同中未尽事宜由双方另行协商解决。</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（四）本合同经双方签字盖章后生效，一式陆份；甲方执肆份，乙方执贰份，具有同等法律效力。</w:t>
      </w:r>
    </w:p>
    <w:p>
      <w:pPr>
        <w:spacing w:line="360" w:lineRule="auto"/>
        <w:ind w:firstLine="464" w:firstLineChars="200"/>
        <w:rPr>
          <w:rFonts w:asciiTheme="minorEastAsia" w:hAnsiTheme="minorEastAsia" w:eastAsiaTheme="minorEastAsia"/>
          <w:spacing w:val="-4"/>
          <w:sz w:val="24"/>
          <w:highlight w:val="none"/>
        </w:rPr>
      </w:pPr>
    </w:p>
    <w:p>
      <w:pPr>
        <w:spacing w:line="360" w:lineRule="auto"/>
        <w:ind w:firstLine="464" w:firstLineChars="200"/>
        <w:rPr>
          <w:rFonts w:asciiTheme="minorEastAsia" w:hAnsiTheme="minorEastAsia" w:eastAsiaTheme="minorEastAsia"/>
          <w:spacing w:val="-4"/>
          <w:sz w:val="24"/>
          <w:highlight w:val="none"/>
        </w:rPr>
      </w:pPr>
      <w:r>
        <w:rPr>
          <w:rFonts w:hint="eastAsia" w:asciiTheme="minorEastAsia" w:hAnsiTheme="minorEastAsia" w:eastAsiaTheme="minorEastAsia"/>
          <w:spacing w:val="-4"/>
          <w:sz w:val="24"/>
          <w:highlight w:val="none"/>
        </w:rPr>
        <w:t xml:space="preserve">甲方（盖章）：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 xml:space="preserve">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 xml:space="preserve"> 乙方（盖章）：</w:t>
      </w:r>
    </w:p>
    <w:p>
      <w:pPr>
        <w:spacing w:line="360" w:lineRule="auto"/>
        <w:ind w:firstLine="464" w:firstLineChars="200"/>
        <w:rPr>
          <w:rFonts w:asciiTheme="minorEastAsia" w:hAnsiTheme="minorEastAsia" w:eastAsiaTheme="minorEastAsia"/>
          <w:spacing w:val="-4"/>
          <w:sz w:val="24"/>
          <w:highlight w:val="none"/>
        </w:rPr>
      </w:pPr>
      <w:r>
        <w:rPr>
          <w:rFonts w:hint="eastAsia" w:asciiTheme="minorEastAsia" w:hAnsiTheme="minorEastAsia" w:eastAsiaTheme="minorEastAsia"/>
          <w:spacing w:val="-4"/>
          <w:sz w:val="24"/>
          <w:highlight w:val="none"/>
        </w:rPr>
        <w:t xml:space="preserve">法定代表人或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法定代表人或</w:t>
      </w:r>
    </w:p>
    <w:p>
      <w:pPr>
        <w:spacing w:line="360" w:lineRule="auto"/>
        <w:ind w:firstLine="464" w:firstLineChars="200"/>
        <w:rPr>
          <w:rFonts w:asciiTheme="minorEastAsia" w:hAnsiTheme="minorEastAsia" w:eastAsiaTheme="minorEastAsia"/>
          <w:spacing w:val="-4"/>
          <w:sz w:val="24"/>
          <w:highlight w:val="none"/>
        </w:rPr>
      </w:pPr>
      <w:r>
        <w:rPr>
          <w:rFonts w:hint="eastAsia" w:asciiTheme="minorEastAsia" w:hAnsiTheme="minorEastAsia" w:eastAsiaTheme="minorEastAsia"/>
          <w:spacing w:val="-4"/>
          <w:sz w:val="24"/>
          <w:highlight w:val="none"/>
        </w:rPr>
        <w:t xml:space="preserve">委托代理人：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 xml:space="preserve">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 xml:space="preserve">委托代理人：  </w:t>
      </w:r>
    </w:p>
    <w:p>
      <w:pPr>
        <w:spacing w:line="360" w:lineRule="auto"/>
        <w:ind w:firstLine="464" w:firstLineChars="200"/>
        <w:rPr>
          <w:rFonts w:cs="方正仿宋简体" w:asciiTheme="minorEastAsia" w:hAnsiTheme="minorEastAsia" w:eastAsiaTheme="minorEastAsia"/>
          <w:spacing w:val="-4"/>
          <w:sz w:val="24"/>
          <w:highlight w:val="none"/>
        </w:rPr>
      </w:pPr>
      <w:r>
        <w:rPr>
          <w:rFonts w:hint="eastAsia" w:asciiTheme="minorEastAsia" w:hAnsiTheme="minorEastAsia" w:eastAsiaTheme="minorEastAsia"/>
          <w:spacing w:val="-4"/>
          <w:sz w:val="24"/>
          <w:highlight w:val="none"/>
        </w:rPr>
        <w:t xml:space="preserve">经办人：                    </w:t>
      </w:r>
      <w:r>
        <w:rPr>
          <w:rFonts w:asciiTheme="minorEastAsia" w:hAnsiTheme="minorEastAsia" w:eastAsiaTheme="minorEastAsia"/>
          <w:spacing w:val="-4"/>
          <w:sz w:val="24"/>
          <w:highlight w:val="none"/>
        </w:rPr>
        <w:t xml:space="preserve">                </w:t>
      </w:r>
      <w:r>
        <w:rPr>
          <w:rFonts w:hint="eastAsia" w:asciiTheme="minorEastAsia" w:hAnsiTheme="minorEastAsia" w:eastAsiaTheme="minorEastAsia"/>
          <w:spacing w:val="-4"/>
          <w:sz w:val="24"/>
          <w:highlight w:val="none"/>
        </w:rPr>
        <w:t>经办人：</w:t>
      </w:r>
    </w:p>
    <w:p>
      <w:pPr>
        <w:spacing w:line="360" w:lineRule="auto"/>
        <w:ind w:firstLine="2552" w:firstLineChars="1100"/>
        <w:rPr>
          <w:rFonts w:asciiTheme="minorEastAsia" w:hAnsiTheme="minorEastAsia" w:eastAsiaTheme="minorEastAsia"/>
          <w:spacing w:val="-4"/>
          <w:sz w:val="24"/>
          <w:highlight w:val="none"/>
        </w:rPr>
      </w:pPr>
      <w:r>
        <w:rPr>
          <w:rFonts w:hint="eastAsia" w:cs="方正仿宋简体" w:asciiTheme="minorEastAsia" w:hAnsiTheme="minorEastAsia" w:eastAsiaTheme="minorEastAsia"/>
          <w:spacing w:val="-4"/>
          <w:sz w:val="24"/>
          <w:highlight w:val="none"/>
        </w:rPr>
        <w:t>签订日期：   年   月   日</w:t>
      </w:r>
    </w:p>
    <w:p>
      <w:pPr>
        <w:rPr>
          <w:rFonts w:asciiTheme="minorEastAsia" w:hAnsiTheme="minorEastAsia" w:eastAsiaTheme="minorEastAsia"/>
          <w:szCs w:val="21"/>
          <w:highlight w:val="none"/>
        </w:rPr>
      </w:pPr>
      <w:r>
        <w:rPr>
          <w:rFonts w:asciiTheme="minorEastAsia" w:hAnsiTheme="minorEastAsia" w:eastAsiaTheme="minorEastAsia"/>
          <w:szCs w:val="21"/>
          <w:highlight w:val="none"/>
        </w:rPr>
        <w:br w:type="page"/>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附件1</w:t>
      </w:r>
    </w:p>
    <w:p>
      <w:pPr>
        <w:spacing w:beforeLines="50" w:afterLines="50" w:line="360" w:lineRule="auto"/>
        <w:jc w:val="center"/>
        <w:rPr>
          <w:rFonts w:asciiTheme="minorEastAsia" w:hAnsiTheme="minorEastAsia" w:eastAsiaTheme="minorEastAsia"/>
          <w:sz w:val="24"/>
          <w:highlight w:val="none"/>
        </w:rPr>
      </w:pPr>
      <w:r>
        <w:rPr>
          <w:rFonts w:hint="eastAsia" w:asciiTheme="minorEastAsia" w:hAnsiTheme="minorEastAsia" w:eastAsiaTheme="minorEastAsia"/>
          <w:color w:val="FFFFFF" w:themeColor="background1"/>
          <w:sz w:val="24"/>
          <w:highlight w:val="none"/>
          <w:u w:val="single"/>
          <w14:textFill>
            <w14:solidFill>
              <w14:schemeClr w14:val="bg1"/>
            </w14:solidFill>
          </w14:textFill>
        </w:rPr>
        <w:t xml:space="preserve">. </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验收单</w:t>
      </w:r>
    </w:p>
    <w:tbl>
      <w:tblPr>
        <w:tblStyle w:val="38"/>
        <w:tblW w:w="919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17"/>
        <w:gridCol w:w="1872"/>
        <w:gridCol w:w="1647"/>
        <w:gridCol w:w="295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71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项目名称</w:t>
            </w:r>
          </w:p>
        </w:tc>
        <w:tc>
          <w:tcPr>
            <w:tcW w:w="6476" w:type="dxa"/>
            <w:gridSpan w:val="3"/>
            <w:vAlign w:val="center"/>
          </w:tcPr>
          <w:p>
            <w:pPr>
              <w:spacing w:line="360" w:lineRule="auto"/>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71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工程内容</w:t>
            </w:r>
          </w:p>
        </w:tc>
        <w:tc>
          <w:tcPr>
            <w:tcW w:w="6476" w:type="dxa"/>
            <w:gridSpan w:val="3"/>
            <w:vAlign w:val="center"/>
          </w:tcPr>
          <w:p>
            <w:pPr>
              <w:spacing w:line="360" w:lineRule="auto"/>
              <w:ind w:firstLine="480" w:firstLineChars="200"/>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71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开工日期</w:t>
            </w:r>
          </w:p>
        </w:tc>
        <w:tc>
          <w:tcPr>
            <w:tcW w:w="1872" w:type="dxa"/>
            <w:vAlign w:val="center"/>
          </w:tcPr>
          <w:p>
            <w:pPr>
              <w:spacing w:line="360" w:lineRule="auto"/>
              <w:rPr>
                <w:rFonts w:asciiTheme="minorEastAsia" w:hAnsiTheme="minorEastAsia" w:eastAsiaTheme="minorEastAsia"/>
                <w:sz w:val="24"/>
                <w:highlight w:val="none"/>
              </w:rPr>
            </w:pPr>
          </w:p>
        </w:tc>
        <w:tc>
          <w:tcPr>
            <w:tcW w:w="164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验收日期</w:t>
            </w:r>
          </w:p>
        </w:tc>
        <w:tc>
          <w:tcPr>
            <w:tcW w:w="2957" w:type="dxa"/>
            <w:vAlign w:val="center"/>
          </w:tcPr>
          <w:p>
            <w:pPr>
              <w:spacing w:line="360" w:lineRule="auto"/>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7" w:hRule="atLeast"/>
          <w:jc w:val="center"/>
        </w:trPr>
        <w:tc>
          <w:tcPr>
            <w:tcW w:w="271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工程量测量/</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丈量结果</w:t>
            </w:r>
          </w:p>
        </w:tc>
        <w:tc>
          <w:tcPr>
            <w:tcW w:w="6476" w:type="dxa"/>
            <w:gridSpan w:val="3"/>
            <w:vAlign w:val="center"/>
          </w:tcPr>
          <w:p>
            <w:pPr>
              <w:spacing w:line="360" w:lineRule="auto"/>
              <w:ind w:firstLine="480" w:firstLineChars="200"/>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2717" w:type="dxa"/>
            <w:vAlign w:val="center"/>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验收意见</w:t>
            </w:r>
          </w:p>
        </w:tc>
        <w:tc>
          <w:tcPr>
            <w:tcW w:w="6476" w:type="dxa"/>
            <w:gridSpan w:val="3"/>
            <w:vAlign w:val="center"/>
          </w:tcPr>
          <w:p>
            <w:pPr>
              <w:spacing w:line="360" w:lineRule="auto"/>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2" w:hRule="atLeast"/>
          <w:jc w:val="center"/>
        </w:trPr>
        <w:tc>
          <w:tcPr>
            <w:tcW w:w="4589" w:type="dxa"/>
            <w:gridSpan w:val="2"/>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街道办事处：</w:t>
            </w:r>
          </w:p>
          <w:p>
            <w:pPr>
              <w:tabs>
                <w:tab w:val="left" w:pos="2205"/>
              </w:tabs>
              <w:spacing w:line="360" w:lineRule="auto"/>
              <w:rPr>
                <w:rFonts w:asciiTheme="minorEastAsia" w:hAnsiTheme="minorEastAsia" w:eastAsiaTheme="minorEastAsia"/>
                <w:sz w:val="24"/>
                <w:highlight w:val="none"/>
              </w:rPr>
            </w:pPr>
          </w:p>
        </w:tc>
        <w:tc>
          <w:tcPr>
            <w:tcW w:w="4604" w:type="dxa"/>
            <w:gridSpan w:val="2"/>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监理单位：</w:t>
            </w:r>
          </w:p>
          <w:p>
            <w:pPr>
              <w:spacing w:line="360" w:lineRule="auto"/>
              <w:rPr>
                <w:rFonts w:asciiTheme="minorEastAsia" w:hAnsiTheme="minorEastAsia" w:eastAsiaTheme="minorEastAsia"/>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3" w:hRule="atLeast"/>
          <w:jc w:val="center"/>
        </w:trPr>
        <w:tc>
          <w:tcPr>
            <w:tcW w:w="4589" w:type="dxa"/>
            <w:gridSpan w:val="2"/>
          </w:tcPr>
          <w:p>
            <w:pPr>
              <w:tabs>
                <w:tab w:val="left" w:pos="2205"/>
              </w:tabs>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城改办：</w:t>
            </w:r>
          </w:p>
        </w:tc>
        <w:tc>
          <w:tcPr>
            <w:tcW w:w="4604" w:type="dxa"/>
            <w:gridSpan w:val="2"/>
          </w:tcPr>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施工单位：</w:t>
            </w:r>
          </w:p>
          <w:p>
            <w:pPr>
              <w:spacing w:line="360" w:lineRule="auto"/>
              <w:rPr>
                <w:rFonts w:asciiTheme="minorEastAsia" w:hAnsiTheme="minorEastAsia" w:eastAsiaTheme="minorEastAsia"/>
                <w:sz w:val="24"/>
                <w:highlight w:val="none"/>
              </w:rPr>
            </w:pPr>
          </w:p>
        </w:tc>
      </w:tr>
    </w:tbl>
    <w:p>
      <w:pPr>
        <w:spacing w:beforeLines="50" w:line="360" w:lineRule="auto"/>
        <w:rPr>
          <w:rFonts w:asciiTheme="minorEastAsia" w:hAnsiTheme="minorEastAsia" w:eastAsiaTheme="minorEastAsia"/>
          <w:highlight w:val="none"/>
        </w:rPr>
      </w:pPr>
      <w:r>
        <w:rPr>
          <w:rStyle w:val="107"/>
          <w:rFonts w:hint="eastAsia" w:asciiTheme="minorEastAsia" w:hAnsiTheme="minorEastAsia" w:eastAsiaTheme="minorEastAsia"/>
          <w:sz w:val="24"/>
          <w:highlight w:val="none"/>
        </w:rPr>
        <w:t xml:space="preserve">  说明：1.根据验收阶段分别填写：地坪以上拆除部分验收单、地坪以上垃圾清运部分验收单和竣工验收单;2.街办对项目的四址、范围进行确认。</w:t>
      </w:r>
    </w:p>
    <w:p>
      <w:pPr>
        <w:spacing w:beforeLines="50" w:afterLines="50" w:line="360" w:lineRule="auto"/>
        <w:rPr>
          <w:rFonts w:ascii="宋体" w:hAnsi="宋体" w:cs="宋体"/>
          <w:sz w:val="24"/>
          <w:highlight w:val="none"/>
        </w:rPr>
      </w:pPr>
      <w:r>
        <w:rPr>
          <w:rFonts w:hint="eastAsia" w:ascii="宋体" w:hAnsi="宋体" w:cs="宋体"/>
          <w:sz w:val="24"/>
          <w:highlight w:val="none"/>
        </w:rPr>
        <w:t>附件2：</w:t>
      </w:r>
    </w:p>
    <w:p>
      <w:pPr>
        <w:spacing w:line="360" w:lineRule="auto"/>
        <w:jc w:val="center"/>
        <w:rPr>
          <w:rFonts w:ascii="宋体" w:hAnsi="宋体" w:cs="宋体"/>
          <w:bCs/>
          <w:sz w:val="24"/>
          <w:highlight w:val="none"/>
        </w:rPr>
      </w:pPr>
      <w:r>
        <w:rPr>
          <w:rFonts w:hint="eastAsia" w:ascii="宋体" w:hAnsi="宋体" w:cs="宋体"/>
          <w:bCs/>
          <w:sz w:val="24"/>
          <w:highlight w:val="none"/>
        </w:rPr>
        <w:t>安全生产及治污减霾责任书</w:t>
      </w:r>
    </w:p>
    <w:p>
      <w:pPr>
        <w:pStyle w:val="99"/>
        <w:spacing w:line="360" w:lineRule="auto"/>
        <w:ind w:firstLine="639"/>
        <w:jc w:val="left"/>
        <w:rPr>
          <w:rFonts w:ascii="宋体" w:hAnsi="宋体" w:cs="宋体"/>
          <w:sz w:val="24"/>
          <w:szCs w:val="24"/>
          <w:highlight w:val="none"/>
        </w:rPr>
      </w:pPr>
    </w:p>
    <w:p>
      <w:pPr>
        <w:pStyle w:val="99"/>
        <w:spacing w:line="360" w:lineRule="auto"/>
        <w:ind w:firstLine="480" w:firstLineChars="200"/>
        <w:jc w:val="left"/>
        <w:rPr>
          <w:rFonts w:ascii="宋体" w:hAnsi="宋体" w:cs="宋体"/>
          <w:color w:val="000000"/>
          <w:spacing w:val="5"/>
          <w:sz w:val="24"/>
          <w:szCs w:val="24"/>
          <w:highlight w:val="none"/>
        </w:rPr>
      </w:pPr>
      <w:r>
        <w:rPr>
          <w:rFonts w:hint="eastAsia" w:ascii="宋体" w:hAnsi="宋体" w:cs="宋体"/>
          <w:sz w:val="24"/>
          <w:szCs w:val="24"/>
          <w:highlight w:val="none"/>
        </w:rPr>
        <w:t>为加强征地拆迁及村庄搬迁工作中拆除及垃圾清运工程的安全生产、治污减霾管理工作，根据《中华人民共和国安全生产法》、《建设工程安全生产管理条例》、《沣东新城2019年“铁腕治霾·保卫蓝天”攻坚行动方案》等相关法律以及省、市、西咸新区及沣东新城关于安全生产、治污减霾工作要求，结合征地拆迁工作实际，特签订本责任书。</w:t>
      </w:r>
    </w:p>
    <w:p>
      <w:pPr>
        <w:pStyle w:val="99"/>
        <w:spacing w:line="360" w:lineRule="auto"/>
        <w:ind w:firstLine="500" w:firstLineChars="200"/>
        <w:jc w:val="left"/>
        <w:rPr>
          <w:rFonts w:ascii="宋体" w:hAnsi="宋体" w:cs="宋体"/>
          <w:bCs/>
          <w:spacing w:val="5"/>
          <w:sz w:val="24"/>
          <w:szCs w:val="24"/>
          <w:highlight w:val="none"/>
        </w:rPr>
      </w:pPr>
      <w:r>
        <w:rPr>
          <w:rFonts w:hint="eastAsia" w:ascii="宋体" w:hAnsi="宋体" w:cs="宋体"/>
          <w:bCs/>
          <w:spacing w:val="5"/>
          <w:sz w:val="24"/>
          <w:szCs w:val="24"/>
          <w:highlight w:val="none"/>
        </w:rPr>
        <w:t>一、责任范围</w:t>
      </w:r>
    </w:p>
    <w:p>
      <w:pPr>
        <w:pStyle w:val="99"/>
        <w:spacing w:line="360" w:lineRule="auto"/>
        <w:ind w:firstLine="500" w:firstLineChars="200"/>
        <w:jc w:val="left"/>
        <w:rPr>
          <w:rFonts w:ascii="宋体" w:hAnsi="宋体" w:cs="宋体"/>
          <w:spacing w:val="5"/>
          <w:sz w:val="24"/>
          <w:szCs w:val="24"/>
          <w:highlight w:val="none"/>
        </w:rPr>
      </w:pPr>
      <w:r>
        <w:rPr>
          <w:rFonts w:hint="eastAsia" w:ascii="宋体" w:hAnsi="宋体" w:cs="宋体"/>
          <w:spacing w:val="5"/>
          <w:sz w:val="24"/>
          <w:szCs w:val="24"/>
          <w:highlight w:val="none"/>
        </w:rPr>
        <w:t>责任范围：拆除及垃圾清运工程实施过程中，对工程项目的安全生产、治污减霾工作全面负责。</w:t>
      </w:r>
    </w:p>
    <w:p>
      <w:pPr>
        <w:pStyle w:val="99"/>
        <w:spacing w:line="360" w:lineRule="auto"/>
        <w:ind w:firstLine="500" w:firstLineChars="200"/>
        <w:jc w:val="left"/>
        <w:rPr>
          <w:rFonts w:ascii="宋体" w:hAnsi="宋体" w:cs="宋体"/>
          <w:bCs/>
          <w:spacing w:val="5"/>
          <w:sz w:val="24"/>
          <w:szCs w:val="24"/>
          <w:highlight w:val="none"/>
        </w:rPr>
      </w:pPr>
      <w:r>
        <w:rPr>
          <w:rFonts w:hint="eastAsia" w:ascii="宋体" w:hAnsi="宋体" w:cs="宋体"/>
          <w:bCs/>
          <w:spacing w:val="5"/>
          <w:sz w:val="24"/>
          <w:szCs w:val="24"/>
          <w:highlight w:val="none"/>
        </w:rPr>
        <w:t>二、考核目标</w:t>
      </w:r>
    </w:p>
    <w:p>
      <w:pPr>
        <w:adjustRightInd w:val="0"/>
        <w:spacing w:line="360" w:lineRule="auto"/>
        <w:ind w:firstLine="482" w:firstLineChars="200"/>
        <w:rPr>
          <w:rFonts w:ascii="宋体" w:hAnsi="宋体" w:cs="宋体"/>
          <w:b/>
          <w:sz w:val="24"/>
          <w:highlight w:val="none"/>
        </w:rPr>
      </w:pPr>
      <w:r>
        <w:rPr>
          <w:rFonts w:hint="eastAsia" w:ascii="宋体" w:hAnsi="宋体" w:cs="宋体"/>
          <w:b/>
          <w:sz w:val="24"/>
          <w:highlight w:val="none"/>
        </w:rPr>
        <w:t>（一）安全生产目标</w:t>
      </w:r>
    </w:p>
    <w:p>
      <w:pPr>
        <w:adjustRightInd w:val="0"/>
        <w:spacing w:line="360" w:lineRule="auto"/>
        <w:ind w:firstLine="480" w:firstLineChars="200"/>
        <w:rPr>
          <w:rFonts w:ascii="宋体" w:hAnsi="宋体" w:cs="宋体"/>
          <w:sz w:val="24"/>
          <w:highlight w:val="none"/>
        </w:rPr>
      </w:pPr>
      <w:r>
        <w:rPr>
          <w:rFonts w:hint="eastAsia" w:ascii="宋体" w:hAnsi="宋体" w:cs="宋体"/>
          <w:sz w:val="24"/>
          <w:highlight w:val="none"/>
        </w:rPr>
        <w:t>遵守《建设工程安全生产管理条例》的规定，实现本项目安全生产管理目标：无死亡、无重伤、无施工坍塌、无高处坠落、无滑坡、无火灾、无用电事故、无重大机械事故等各类安全生产事故。即：</w:t>
      </w:r>
    </w:p>
    <w:p>
      <w:pPr>
        <w:pStyle w:val="99"/>
        <w:widowControl w:val="0"/>
        <w:spacing w:line="360" w:lineRule="auto"/>
        <w:ind w:firstLine="500" w:firstLineChars="200"/>
        <w:jc w:val="left"/>
        <w:rPr>
          <w:rFonts w:ascii="宋体" w:hAnsi="宋体" w:cs="宋体"/>
          <w:spacing w:val="5"/>
          <w:sz w:val="24"/>
          <w:szCs w:val="24"/>
          <w:highlight w:val="none"/>
        </w:rPr>
      </w:pPr>
      <w:r>
        <w:rPr>
          <w:rFonts w:hint="eastAsia" w:ascii="宋体" w:hAnsi="宋体" w:cs="宋体"/>
          <w:spacing w:val="5"/>
          <w:sz w:val="24"/>
          <w:szCs w:val="24"/>
          <w:highlight w:val="none"/>
        </w:rPr>
        <w:t>1.无造成人员死亡的生产安全责任事故。</w:t>
      </w:r>
    </w:p>
    <w:p>
      <w:pPr>
        <w:pStyle w:val="99"/>
        <w:widowControl w:val="0"/>
        <w:spacing w:line="360" w:lineRule="auto"/>
        <w:ind w:firstLine="500" w:firstLineChars="200"/>
        <w:jc w:val="left"/>
        <w:rPr>
          <w:rFonts w:ascii="宋体" w:hAnsi="宋体" w:cs="宋体"/>
          <w:spacing w:val="5"/>
          <w:sz w:val="24"/>
          <w:szCs w:val="24"/>
          <w:highlight w:val="none"/>
        </w:rPr>
      </w:pPr>
      <w:r>
        <w:rPr>
          <w:rFonts w:hint="eastAsia" w:ascii="宋体" w:hAnsi="宋体" w:cs="宋体"/>
          <w:spacing w:val="5"/>
          <w:sz w:val="24"/>
          <w:szCs w:val="24"/>
          <w:highlight w:val="none"/>
        </w:rPr>
        <w:t>2.减少一般生产安全事故，杜绝较大及重特大生产安全事故。</w:t>
      </w:r>
    </w:p>
    <w:p>
      <w:pPr>
        <w:adjustRightInd w:val="0"/>
        <w:spacing w:line="360" w:lineRule="auto"/>
        <w:ind w:firstLine="482" w:firstLineChars="200"/>
        <w:rPr>
          <w:rFonts w:ascii="宋体" w:hAnsi="宋体" w:cs="宋体"/>
          <w:b/>
          <w:sz w:val="24"/>
          <w:highlight w:val="none"/>
        </w:rPr>
      </w:pPr>
      <w:r>
        <w:rPr>
          <w:rFonts w:hint="eastAsia" w:ascii="宋体" w:hAnsi="宋体" w:cs="宋体"/>
          <w:b/>
          <w:sz w:val="24"/>
          <w:highlight w:val="none"/>
        </w:rPr>
        <w:t>（二）治污减霾目标</w:t>
      </w:r>
    </w:p>
    <w:p>
      <w:pPr>
        <w:pStyle w:val="99"/>
        <w:widowControl w:val="0"/>
        <w:spacing w:line="360" w:lineRule="auto"/>
        <w:ind w:firstLine="500" w:firstLineChars="200"/>
        <w:jc w:val="left"/>
        <w:rPr>
          <w:rFonts w:ascii="宋体" w:hAnsi="宋体" w:cs="宋体"/>
          <w:spacing w:val="5"/>
          <w:sz w:val="24"/>
          <w:szCs w:val="24"/>
          <w:highlight w:val="none"/>
        </w:rPr>
      </w:pPr>
      <w:r>
        <w:rPr>
          <w:rFonts w:hint="eastAsia" w:ascii="宋体" w:hAnsi="宋体" w:cs="宋体"/>
          <w:spacing w:val="5"/>
          <w:sz w:val="24"/>
          <w:szCs w:val="24"/>
          <w:highlight w:val="none"/>
        </w:rPr>
        <w:t>1.无重大扬尘污染事件。</w:t>
      </w:r>
    </w:p>
    <w:p>
      <w:pPr>
        <w:pStyle w:val="99"/>
        <w:widowControl w:val="0"/>
        <w:spacing w:line="360" w:lineRule="auto"/>
        <w:ind w:firstLine="500" w:firstLineChars="200"/>
        <w:jc w:val="left"/>
        <w:rPr>
          <w:rFonts w:ascii="宋体" w:hAnsi="宋体" w:cs="宋体"/>
          <w:spacing w:val="5"/>
          <w:sz w:val="24"/>
          <w:szCs w:val="24"/>
          <w:highlight w:val="none"/>
        </w:rPr>
      </w:pPr>
      <w:r>
        <w:rPr>
          <w:rFonts w:hint="eastAsia" w:ascii="宋体" w:hAnsi="宋体" w:cs="宋体"/>
          <w:spacing w:val="5"/>
          <w:sz w:val="24"/>
          <w:szCs w:val="24"/>
          <w:highlight w:val="none"/>
        </w:rPr>
        <w:t>2.坚决杜绝一般扬尘污染事件，较大扬尘污染事件及重特大扬尘污染事件。</w:t>
      </w:r>
    </w:p>
    <w:p>
      <w:pPr>
        <w:pStyle w:val="99"/>
        <w:spacing w:line="360" w:lineRule="auto"/>
        <w:ind w:firstLine="500" w:firstLineChars="200"/>
        <w:jc w:val="left"/>
        <w:rPr>
          <w:rFonts w:ascii="宋体" w:hAnsi="宋体" w:cs="宋体"/>
          <w:bCs/>
          <w:spacing w:val="5"/>
          <w:sz w:val="24"/>
          <w:szCs w:val="24"/>
          <w:highlight w:val="none"/>
        </w:rPr>
      </w:pPr>
      <w:r>
        <w:rPr>
          <w:rFonts w:hint="eastAsia" w:ascii="宋体" w:hAnsi="宋体" w:cs="宋体"/>
          <w:bCs/>
          <w:spacing w:val="5"/>
          <w:sz w:val="24"/>
          <w:szCs w:val="24"/>
          <w:highlight w:val="none"/>
        </w:rPr>
        <w:t>三、任务及要求</w:t>
      </w:r>
    </w:p>
    <w:p>
      <w:pPr>
        <w:adjustRightInd w:val="0"/>
        <w:snapToGrid w:val="0"/>
        <w:spacing w:line="360" w:lineRule="auto"/>
        <w:ind w:firstLine="502" w:firstLineChars="200"/>
        <w:rPr>
          <w:rFonts w:ascii="宋体" w:hAnsi="宋体" w:cs="宋体"/>
          <w:b/>
          <w:bCs/>
          <w:spacing w:val="5"/>
          <w:sz w:val="24"/>
          <w:highlight w:val="none"/>
        </w:rPr>
      </w:pPr>
      <w:r>
        <w:rPr>
          <w:rFonts w:hint="eastAsia" w:ascii="宋体" w:hAnsi="宋体" w:cs="宋体"/>
          <w:b/>
          <w:bCs/>
          <w:spacing w:val="5"/>
          <w:sz w:val="24"/>
          <w:highlight w:val="none"/>
        </w:rPr>
        <w:t>（一）安全生产方面</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1.具有实施房屋拆除及拆迁垃圾清运工程施工合同约定工作的相应资质，工作人员具有相应特种行业上岗证、安全作业证等证件。</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2.房屋拆除施工现场需实行全封闭管理，应当在醒目位置设置安全标志，主要出入口设置统一的施工标志牌和警示标志。</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3.房屋拆除前，</w:t>
      </w:r>
      <w:r>
        <w:rPr>
          <w:rFonts w:hint="eastAsia" w:ascii="宋体" w:hAnsi="宋体" w:cs="宋体"/>
          <w:sz w:val="24"/>
          <w:highlight w:val="none"/>
        </w:rPr>
        <w:t>拆除方案需经监理单位审查通过并报甲方备案，对</w:t>
      </w:r>
      <w:r>
        <w:rPr>
          <w:rFonts w:hint="eastAsia" w:ascii="宋体" w:hAnsi="宋体" w:cs="宋体"/>
          <w:color w:val="000000"/>
          <w:sz w:val="24"/>
          <w:highlight w:val="none"/>
        </w:rPr>
        <w:t>沼气池、电线、电器设备等易燃易爆</w:t>
      </w:r>
      <w:r>
        <w:rPr>
          <w:rFonts w:hint="eastAsia" w:ascii="宋体" w:hAnsi="宋体" w:cs="宋体"/>
          <w:sz w:val="24"/>
          <w:highlight w:val="none"/>
        </w:rPr>
        <w:t>危险源的拆除，必须提前制定专项拆除方案和相关安全预案，经行业主管单位审批通过后，</w:t>
      </w:r>
      <w:r>
        <w:rPr>
          <w:rFonts w:hint="eastAsia" w:ascii="宋体" w:hAnsi="宋体" w:cs="宋体"/>
          <w:color w:val="000000"/>
          <w:sz w:val="24"/>
          <w:highlight w:val="none"/>
        </w:rPr>
        <w:t>按照要求进行规范作业，杜绝产生安全事故。</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4.房屋拆除时，必须由甲方、监理单位、乙方施工单位共同对房屋进行检查，并做好检查记录，在所拆房屋人员全部撤离、财物全部腾空、有安全保证、达到施工标准后，方可实施拆除。实施过程中，如需调整方案，须甲方、监理单位同意。</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拆除过程中，对已交房屋应拆尽拆，不得遗留已交付未拆除房屋；同时，必须随时注意周边房屋的安全情况，接到撤离信息后，施工人员必须无条件撤离到安全区域。所有拆除的门窗，严禁在施工现场内堆放，拆除废料须堆放整齐，严防因堆放和防护不当造成的塌方、滑坡等安全事故。</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6.清运过程中，应做好沿途的安全防护工作，挖装过程中严防因堆放和防护不当造成的塌方、滑坡等安全事故，建筑垃圾按规定清运，不得在施工现场焚烧。</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7</w:t>
      </w:r>
      <w:r>
        <w:rPr>
          <w:rFonts w:hint="eastAsia" w:ascii="宋体" w:hAnsi="宋体" w:cs="宋体"/>
          <w:sz w:val="24"/>
          <w:highlight w:val="none"/>
        </w:rPr>
        <w:t>.</w:t>
      </w:r>
      <w:r>
        <w:rPr>
          <w:rFonts w:hint="eastAsia" w:ascii="宋体" w:hAnsi="宋体" w:cs="宋体"/>
          <w:color w:val="000000"/>
          <w:sz w:val="24"/>
          <w:highlight w:val="none"/>
        </w:rPr>
        <w:t>安排专人昼夜值班，加强对已搬家交房区域的巡查力度，严禁一切社会闲杂及流浪乞讨人员进入现场或进行留宿，避免发生安全隐患。同时，</w:t>
      </w:r>
      <w:r>
        <w:rPr>
          <w:rFonts w:hint="eastAsia" w:ascii="宋体" w:hAnsi="宋体" w:cs="宋体"/>
          <w:sz w:val="24"/>
          <w:highlight w:val="none"/>
        </w:rPr>
        <w:t>负责施工现场的看护管理，保证拆除范围周边其他生产生活设施的安全，因疏于看护导致甲方已赔付房屋设施损毁的，由乙方承担全部责任。切实做到施工现场的水电安全、道路整洁、生活垃圾及时清运；切实加强各类管线的专项防护工作，按甲方和管线单位的要求做好防护措施（各项防护措施费已包括在合同单价内，不再另行计算）。</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8.施工单位严禁挂靠、转包和分包拆除工程；严禁雨天、四级以上（含四级）大风天气施工。</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9.施工单位应为其施工作业的人员办理人身意外伤害保险，并应将投保证明及作业人员花名册报甲方备案。</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10.施工过程中如发生安全生产事故时，施工单位应当立即将伤员送医疗机构进行救治，保护好事故现场，同时立即向甲方报告,对在施工过程中发生的人身伤亡，由乙方承担全部赔偿责任，与甲方无关。</w:t>
      </w:r>
    </w:p>
    <w:p>
      <w:pPr>
        <w:spacing w:line="360" w:lineRule="auto"/>
        <w:ind w:firstLine="480" w:firstLineChars="200"/>
        <w:rPr>
          <w:rFonts w:ascii="宋体" w:hAnsi="宋体" w:cs="宋体"/>
          <w:sz w:val="24"/>
          <w:highlight w:val="none"/>
        </w:rPr>
      </w:pPr>
      <w:r>
        <w:rPr>
          <w:rFonts w:hint="eastAsia" w:ascii="宋体" w:hAnsi="宋体" w:cs="宋体"/>
          <w:color w:val="000000"/>
          <w:sz w:val="24"/>
          <w:highlight w:val="none"/>
        </w:rPr>
        <w:t>11.对拆除工程进行定期和专项安全自检，并做好安全检查记录，及时发现并消除安全生产事故隐患。因乙方原因造成各类安全事故，</w:t>
      </w:r>
      <w:r>
        <w:rPr>
          <w:rFonts w:hint="eastAsia" w:ascii="宋体" w:hAnsi="宋体" w:cs="宋体"/>
          <w:sz w:val="24"/>
          <w:highlight w:val="none"/>
        </w:rPr>
        <w:t>乙方自行承担由此造成的后果及损失。</w:t>
      </w:r>
    </w:p>
    <w:p>
      <w:pPr>
        <w:spacing w:line="360" w:lineRule="auto"/>
        <w:ind w:firstLine="482" w:firstLineChars="200"/>
        <w:rPr>
          <w:rFonts w:ascii="宋体" w:hAnsi="宋体" w:cs="宋体"/>
          <w:b/>
          <w:color w:val="000000"/>
          <w:sz w:val="24"/>
          <w:highlight w:val="none"/>
        </w:rPr>
      </w:pPr>
      <w:r>
        <w:rPr>
          <w:rFonts w:hint="eastAsia" w:ascii="宋体" w:hAnsi="宋体" w:cs="宋体"/>
          <w:b/>
          <w:color w:val="000000"/>
          <w:sz w:val="24"/>
          <w:highlight w:val="none"/>
        </w:rPr>
        <w:t>（二）治污减霾方面</w:t>
      </w:r>
    </w:p>
    <w:p>
      <w:pPr>
        <w:adjustRightInd w:val="0"/>
        <w:spacing w:line="360" w:lineRule="auto"/>
        <w:ind w:firstLine="480" w:firstLineChars="200"/>
        <w:rPr>
          <w:rFonts w:ascii="宋体" w:hAnsi="宋体" w:cs="宋体"/>
          <w:sz w:val="24"/>
          <w:highlight w:val="none"/>
        </w:rPr>
      </w:pPr>
      <w:r>
        <w:rPr>
          <w:rFonts w:hint="eastAsia" w:ascii="宋体" w:hAnsi="宋体" w:cs="宋体"/>
          <w:sz w:val="24"/>
          <w:highlight w:val="none"/>
        </w:rPr>
        <w:t>1.严格按照国家、省、市、西咸新区及沣东新城大气污染防治工作部署，认真落实“六个100%”及“七个到位”扬尘治理标准，</w:t>
      </w:r>
      <w:r>
        <w:rPr>
          <w:rFonts w:hint="eastAsia" w:ascii="宋体" w:hAnsi="宋体" w:cs="宋体"/>
          <w:color w:val="000000"/>
          <w:sz w:val="24"/>
          <w:highlight w:val="none"/>
        </w:rPr>
        <w:t>制定切实可行的扬尘污染治理方案。</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2.拆除现场必须设置项目公示栏及红蓝绿牌、环境保护公示栏，明确相关责任人。</w:t>
      </w:r>
    </w:p>
    <w:p>
      <w:pPr>
        <w:adjustRightInd w:val="0"/>
        <w:spacing w:line="360" w:lineRule="auto"/>
        <w:ind w:firstLine="480" w:firstLineChars="200"/>
        <w:rPr>
          <w:rFonts w:ascii="宋体" w:hAnsi="宋体" w:cs="宋体"/>
          <w:sz w:val="24"/>
          <w:highlight w:val="none"/>
        </w:rPr>
      </w:pPr>
      <w:r>
        <w:rPr>
          <w:rFonts w:hint="eastAsia" w:ascii="宋体" w:hAnsi="宋体" w:cs="宋体"/>
          <w:sz w:val="24"/>
          <w:highlight w:val="none"/>
        </w:rPr>
        <w:t>3.拆除现场出入口建设足够数量的冲洗台，并配备自动喷淋设施和空气检测仪、监控系统等相关设施设备（上述设备项目完工后向甲方移交，归甲方所有），严禁车体和车轮带有泥土的运输车辆驶出工地。</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4.拆除现场配备足够的雾炮车、洒水车辆，满足抑尘需要, 房屋拆除必须坚持边拆除、边洒水、边清运渣土，谁拆除、谁负责, 保证现场不积土、不扬尘。</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5.实施清运前，将建筑垃圾清运合同报行业主管部门备案，办理相关清运手续，并按规定线路行驶，做好所经道路的保洁工作。</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6.清运过程做好蓬盖，保证运输过程不超载、不扬尘、不撒漏、不随意倾倒垃圾。</w:t>
      </w:r>
    </w:p>
    <w:p>
      <w:pPr>
        <w:adjustRightInd w:val="0"/>
        <w:spacing w:line="360" w:lineRule="auto"/>
        <w:ind w:firstLine="480" w:firstLineChars="200"/>
        <w:rPr>
          <w:rFonts w:ascii="宋体" w:hAnsi="宋体" w:cs="宋体"/>
          <w:sz w:val="24"/>
          <w:highlight w:val="none"/>
        </w:rPr>
      </w:pPr>
      <w:r>
        <w:rPr>
          <w:rFonts w:hint="eastAsia" w:ascii="宋体" w:hAnsi="宋体" w:cs="宋体"/>
          <w:sz w:val="24"/>
          <w:highlight w:val="none"/>
        </w:rPr>
        <w:t>7.拆除工地必须及时进行绿网覆盖、围挡安装和设备设施的日常维护等工作。</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8.房屋拆除、建筑垃圾清运应当符合省市、西咸及沣东新城管委会的相关要求，并接受行业主管部门的日常管理及巡检督查。</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9.遇有可造成扬尘污染的4级以上（含4级）风力时，施工单位必须停止拆迁施工和土方施工，并做好覆盖工作。</w:t>
      </w:r>
    </w:p>
    <w:p>
      <w:pPr>
        <w:adjustRightInd w:val="0"/>
        <w:spacing w:line="360" w:lineRule="auto"/>
        <w:ind w:firstLine="480" w:firstLineChars="200"/>
        <w:rPr>
          <w:rFonts w:ascii="宋体" w:hAnsi="宋体" w:cs="宋体"/>
          <w:sz w:val="24"/>
          <w:highlight w:val="none"/>
        </w:rPr>
      </w:pPr>
      <w:r>
        <w:rPr>
          <w:rFonts w:hint="eastAsia" w:ascii="宋体" w:hAnsi="宋体" w:cs="宋体"/>
          <w:sz w:val="24"/>
          <w:highlight w:val="none"/>
        </w:rPr>
        <w:t>10.在施工过程中，因治污减霾相关工作被有关部门通报，由此造成的后果及损失乙方自行承担。</w:t>
      </w:r>
    </w:p>
    <w:p>
      <w:pPr>
        <w:pStyle w:val="99"/>
        <w:spacing w:line="360" w:lineRule="auto"/>
        <w:ind w:firstLine="500" w:firstLineChars="200"/>
        <w:jc w:val="left"/>
        <w:rPr>
          <w:rFonts w:ascii="宋体" w:hAnsi="宋体" w:cs="宋体"/>
          <w:bCs/>
          <w:spacing w:val="5"/>
          <w:sz w:val="24"/>
          <w:szCs w:val="24"/>
          <w:highlight w:val="none"/>
        </w:rPr>
      </w:pPr>
      <w:r>
        <w:rPr>
          <w:rFonts w:hint="eastAsia" w:ascii="宋体" w:hAnsi="宋体" w:cs="宋体"/>
          <w:bCs/>
          <w:spacing w:val="5"/>
          <w:sz w:val="24"/>
          <w:szCs w:val="24"/>
          <w:highlight w:val="none"/>
        </w:rPr>
        <w:t>四、奖励与惩处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（一）对完成安全生产和治污减霾考核目标，获得上级部门通报表扬的情形，酌情给予表彰和奖励。</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（二）对工作不落实、未完成考核目标的情形，进行通报批评。</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（三）因工作不到位，导致发生较大以上安全生产事故或扬尘污染事件，或者连续发生一般安全生产事故或扬尘污染事件，在查明原因、分清责任的基础上，按照有关法律法规规定追究相关责任人的责任。</w:t>
      </w:r>
    </w:p>
    <w:p>
      <w:pPr>
        <w:pStyle w:val="99"/>
        <w:spacing w:line="360" w:lineRule="auto"/>
        <w:ind w:firstLine="500" w:firstLineChars="200"/>
        <w:jc w:val="left"/>
        <w:rPr>
          <w:rFonts w:ascii="宋体" w:hAnsi="宋体" w:cs="宋体"/>
          <w:bCs/>
          <w:spacing w:val="5"/>
          <w:sz w:val="24"/>
          <w:szCs w:val="24"/>
          <w:highlight w:val="none"/>
        </w:rPr>
      </w:pPr>
      <w:r>
        <w:rPr>
          <w:rFonts w:hint="eastAsia" w:ascii="宋体" w:hAnsi="宋体" w:cs="宋体"/>
          <w:bCs/>
          <w:spacing w:val="5"/>
          <w:sz w:val="24"/>
          <w:szCs w:val="24"/>
          <w:highlight w:val="none"/>
        </w:rPr>
        <w:t>五、其他</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甲方在乙方施工现场检查、巡查过程中，发现存在安全事故隐患或违反沣东新城管委会发布的关于控制扬尘污染通告有关规定，认为必须暂停施工的，应以书面形式下达停工整改通知。乙方对甲方的停工整改通知应予以执行，并按照甲方要求停止施工进行整改，妥善保护已完工程。</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(二)乙方进行整改，经甲方检查已消除安全事故隐患，切实履行防治扬尘污染具体措施后，可以进行复工。</w:t>
      </w:r>
    </w:p>
    <w:p>
      <w:pPr>
        <w:spacing w:line="360" w:lineRule="auto"/>
        <w:ind w:firstLine="464" w:firstLineChars="200"/>
        <w:rPr>
          <w:rFonts w:ascii="宋体" w:hAnsi="宋体" w:cs="宋体"/>
          <w:spacing w:val="-4"/>
          <w:sz w:val="24"/>
          <w:highlight w:val="none"/>
        </w:rPr>
      </w:pPr>
      <w:r>
        <w:rPr>
          <w:rFonts w:hint="eastAsia" w:ascii="宋体" w:hAnsi="宋体" w:cs="宋体"/>
          <w:spacing w:val="-4"/>
          <w:sz w:val="24"/>
          <w:highlight w:val="none"/>
        </w:rPr>
        <w:t>（以下无正文）</w:t>
      </w:r>
    </w:p>
    <w:p>
      <w:pPr>
        <w:spacing w:line="360" w:lineRule="auto"/>
        <w:ind w:firstLine="464" w:firstLineChars="200"/>
        <w:rPr>
          <w:rFonts w:ascii="宋体" w:hAnsi="宋体" w:cs="宋体"/>
          <w:spacing w:val="-4"/>
          <w:sz w:val="24"/>
          <w:highlight w:val="none"/>
        </w:rPr>
      </w:pPr>
    </w:p>
    <w:p>
      <w:pPr>
        <w:spacing w:line="360" w:lineRule="auto"/>
        <w:ind w:firstLine="464" w:firstLineChars="200"/>
        <w:rPr>
          <w:rFonts w:ascii="宋体" w:hAnsi="宋体" w:cs="宋体"/>
          <w:spacing w:val="-4"/>
          <w:sz w:val="24"/>
          <w:highlight w:val="none"/>
        </w:rPr>
      </w:pPr>
    </w:p>
    <w:p>
      <w:pPr>
        <w:spacing w:line="360" w:lineRule="auto"/>
        <w:ind w:firstLine="464" w:firstLineChars="200"/>
        <w:rPr>
          <w:rFonts w:ascii="宋体" w:hAnsi="宋体" w:cs="宋体"/>
          <w:spacing w:val="-4"/>
          <w:sz w:val="24"/>
          <w:highlight w:val="none"/>
        </w:rPr>
      </w:pPr>
      <w:r>
        <w:rPr>
          <w:rFonts w:hint="eastAsia" w:ascii="宋体" w:hAnsi="宋体" w:cs="宋体"/>
          <w:spacing w:val="-4"/>
          <w:sz w:val="24"/>
          <w:highlight w:val="none"/>
        </w:rPr>
        <w:t>甲方（盖章）：                     乙方（盖章）：</w:t>
      </w:r>
    </w:p>
    <w:p>
      <w:pPr>
        <w:spacing w:line="360" w:lineRule="auto"/>
        <w:ind w:firstLine="464" w:firstLineChars="200"/>
        <w:rPr>
          <w:rFonts w:ascii="宋体" w:hAnsi="宋体" w:cs="宋体"/>
          <w:spacing w:val="-4"/>
          <w:sz w:val="24"/>
          <w:highlight w:val="none"/>
        </w:rPr>
      </w:pPr>
    </w:p>
    <w:p>
      <w:pPr>
        <w:spacing w:line="360" w:lineRule="auto"/>
        <w:ind w:firstLine="464" w:firstLineChars="200"/>
        <w:rPr>
          <w:rFonts w:ascii="宋体" w:hAnsi="宋体" w:cs="宋体"/>
          <w:spacing w:val="-4"/>
          <w:sz w:val="24"/>
          <w:highlight w:val="none"/>
        </w:rPr>
      </w:pPr>
      <w:r>
        <w:rPr>
          <w:rFonts w:hint="eastAsia" w:ascii="宋体" w:hAnsi="宋体" w:cs="宋体"/>
          <w:spacing w:val="-4"/>
          <w:sz w:val="24"/>
          <w:highlight w:val="none"/>
        </w:rPr>
        <w:t>法定代表人或                     法定代表人或</w:t>
      </w:r>
    </w:p>
    <w:p>
      <w:pPr>
        <w:spacing w:line="360" w:lineRule="auto"/>
        <w:ind w:firstLine="464" w:firstLineChars="200"/>
        <w:rPr>
          <w:rFonts w:ascii="宋体" w:hAnsi="宋体" w:cs="宋体"/>
          <w:spacing w:val="-4"/>
          <w:sz w:val="24"/>
          <w:highlight w:val="none"/>
        </w:rPr>
      </w:pPr>
      <w:r>
        <w:rPr>
          <w:rFonts w:hint="eastAsia" w:ascii="宋体" w:hAnsi="宋体" w:cs="宋体"/>
          <w:spacing w:val="-4"/>
          <w:sz w:val="24"/>
          <w:highlight w:val="none"/>
        </w:rPr>
        <w:t xml:space="preserve">委托代理人：                     委托代理人：  </w:t>
      </w:r>
    </w:p>
    <w:p>
      <w:pPr>
        <w:spacing w:line="360" w:lineRule="auto"/>
        <w:ind w:firstLine="464" w:firstLineChars="200"/>
        <w:rPr>
          <w:rFonts w:ascii="宋体" w:hAnsi="宋体" w:cs="宋体"/>
          <w:spacing w:val="-4"/>
          <w:sz w:val="24"/>
          <w:highlight w:val="none"/>
        </w:rPr>
      </w:pPr>
      <w:r>
        <w:rPr>
          <w:rFonts w:hint="eastAsia" w:ascii="宋体" w:hAnsi="宋体" w:cs="宋体"/>
          <w:spacing w:val="-4"/>
          <w:sz w:val="24"/>
          <w:highlight w:val="none"/>
        </w:rPr>
        <w:t>经办人：                         经办人：</w:t>
      </w:r>
    </w:p>
    <w:p>
      <w:pPr>
        <w:spacing w:line="360" w:lineRule="auto"/>
        <w:ind w:firstLine="3712" w:firstLineChars="1600"/>
        <w:rPr>
          <w:rFonts w:ascii="宋体" w:hAnsi="宋体" w:cs="宋体"/>
          <w:spacing w:val="-4"/>
          <w:sz w:val="24"/>
          <w:highlight w:val="none"/>
        </w:rPr>
      </w:pPr>
    </w:p>
    <w:p>
      <w:pPr>
        <w:spacing w:line="360" w:lineRule="auto"/>
        <w:ind w:firstLine="4408" w:firstLineChars="1900"/>
        <w:rPr>
          <w:rFonts w:ascii="宋体" w:hAnsi="宋体" w:cs="宋体"/>
          <w:spacing w:val="-4"/>
          <w:sz w:val="24"/>
          <w:highlight w:val="none"/>
        </w:rPr>
      </w:pPr>
      <w:r>
        <w:rPr>
          <w:rFonts w:hint="eastAsia" w:ascii="宋体" w:hAnsi="宋体" w:cs="宋体"/>
          <w:spacing w:val="-4"/>
          <w:sz w:val="24"/>
          <w:highlight w:val="none"/>
        </w:rPr>
        <w:t>签订日期：   年   月   日</w:t>
      </w: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rPr>
          <w:rFonts w:ascii="黑体" w:hAnsi="黑体" w:eastAsia="黑体"/>
          <w:b/>
          <w:bCs/>
          <w:sz w:val="32"/>
          <w:highlight w:val="none"/>
        </w:rPr>
      </w:pPr>
    </w:p>
    <w:p>
      <w:pPr>
        <w:spacing w:line="360" w:lineRule="auto"/>
        <w:jc w:val="center"/>
        <w:outlineLvl w:val="0"/>
        <w:rPr>
          <w:rFonts w:ascii="宋体" w:hAnsi="宋体" w:cs="宋体"/>
          <w:b/>
          <w:sz w:val="32"/>
          <w:szCs w:val="32"/>
          <w:highlight w:val="none"/>
        </w:rPr>
      </w:pPr>
      <w:bookmarkStart w:id="282" w:name="_Toc32290"/>
      <w:r>
        <w:rPr>
          <w:rFonts w:hint="eastAsia" w:ascii="宋体" w:hAnsi="宋体" w:cs="宋体"/>
          <w:b/>
          <w:bCs/>
          <w:sz w:val="32"/>
          <w:highlight w:val="none"/>
        </w:rPr>
        <w:t xml:space="preserve">第五部分  </w:t>
      </w:r>
      <w:r>
        <w:rPr>
          <w:rFonts w:hint="eastAsia" w:ascii="宋体" w:hAnsi="宋体" w:cs="宋体"/>
          <w:b/>
          <w:color w:val="000000"/>
          <w:sz w:val="32"/>
          <w:szCs w:val="32"/>
          <w:highlight w:val="none"/>
        </w:rPr>
        <w:t>招标内容及要求</w:t>
      </w:r>
      <w:bookmarkEnd w:id="282"/>
    </w:p>
    <w:p>
      <w:pPr>
        <w:outlineLvl w:val="0"/>
        <w:rPr>
          <w:rFonts w:ascii="宋体" w:hAnsi="宋体" w:cs="宋体"/>
          <w:highlight w:val="none"/>
        </w:rPr>
      </w:pPr>
      <w:bookmarkStart w:id="283" w:name="_Toc339114187"/>
      <w:bookmarkStart w:id="284" w:name="_Toc316486464"/>
      <w:bookmarkStart w:id="285" w:name="_Toc331665135"/>
    </w:p>
    <w:p>
      <w:pPr>
        <w:adjustRightInd w:val="0"/>
        <w:snapToGrid w:val="0"/>
        <w:spacing w:line="360" w:lineRule="auto"/>
        <w:ind w:firstLine="482" w:firstLineChars="200"/>
        <w:rPr>
          <w:rFonts w:ascii="宋体"/>
          <w:b/>
          <w:bCs/>
          <w:color w:val="000000"/>
          <w:sz w:val="24"/>
          <w:highlight w:val="none"/>
        </w:rPr>
      </w:pPr>
      <w:r>
        <w:rPr>
          <w:rFonts w:hint="eastAsia" w:ascii="宋体" w:hAnsi="宋体"/>
          <w:b/>
          <w:bCs/>
          <w:color w:val="000000"/>
          <w:sz w:val="24"/>
          <w:highlight w:val="none"/>
        </w:rPr>
        <w:t>一、招标内容：</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cs="宋体"/>
          <w:kern w:val="0"/>
          <w:sz w:val="24"/>
          <w:highlight w:val="none"/>
          <w:lang w:val="en-US" w:eastAsia="zh-CN"/>
        </w:rPr>
      </w:pPr>
      <w:r>
        <w:rPr>
          <w:rFonts w:hint="eastAsia" w:ascii="宋体" w:hAnsi="宋体" w:cs="宋体"/>
          <w:color w:val="000000" w:themeColor="text1"/>
          <w:kern w:val="0"/>
          <w:sz w:val="24"/>
          <w:highlight w:val="none"/>
          <w14:textFill>
            <w14:solidFill>
              <w14:schemeClr w14:val="tx1"/>
            </w14:solidFill>
          </w14:textFill>
        </w:rPr>
        <w:t>工程概况：</w:t>
      </w:r>
      <w:r>
        <w:rPr>
          <w:rFonts w:hint="eastAsia" w:ascii="宋体" w:hAnsi="宋体" w:cs="宋体"/>
          <w:kern w:val="0"/>
          <w:sz w:val="24"/>
          <w:highlight w:val="none"/>
          <w:lang w:eastAsia="zh-CN"/>
        </w:rPr>
        <w:t>镐京遗址文物勘探和发掘项目（花园村、官庄村），该工程位于花园村，官庄村。东临咸阳路，西临官庄村，南临花园村通村路，北临官庄村四组，集体土地范围内地面苗木约110亩，企业房屋拆除建筑总面积约13000平方米（其中砖混结构拆除建筑面积约3000平方米，钢结构拆除建筑面积约10000平方米），水泥地面、道路路面破碎面积约15000平方米。</w:t>
      </w:r>
      <w:r>
        <w:rPr>
          <w:rFonts w:hint="eastAsia" w:ascii="宋体" w:hAnsi="宋体" w:cs="宋体"/>
          <w:kern w:val="0"/>
          <w:sz w:val="24"/>
          <w:highlight w:val="none"/>
          <w:lang w:val="en-US" w:eastAsia="zh-CN"/>
        </w:rPr>
        <w:t>本项目工作内容包括集体土地建筑物拆除、地面破碎、垃圾清运、苗木清表。</w:t>
      </w:r>
    </w:p>
    <w:p>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二、本次招标范围</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本次招标包含陕西省西咸新区沣东新城斗门街办镐京遗址文物勘探和发掘项目（花园村、官庄村）集体土地建筑物拆除、地面破碎、垃圾清运、苗木清表项目。工作内容包括但不限于：镐京遗址文物勘探和发掘</w:t>
      </w:r>
      <w:r>
        <w:rPr>
          <w:rFonts w:hint="eastAsia" w:ascii="宋体" w:hAnsi="宋体" w:cs="宋体"/>
          <w:kern w:val="0"/>
          <w:sz w:val="24"/>
          <w:highlight w:val="none"/>
          <w:lang w:eastAsia="zh-CN"/>
        </w:rPr>
        <w:t>项目集体土地建筑物拆除</w:t>
      </w:r>
      <w:r>
        <w:rPr>
          <w:rFonts w:hint="eastAsia" w:ascii="宋体" w:hAnsi="宋体" w:cs="宋体"/>
          <w:kern w:val="0"/>
          <w:sz w:val="24"/>
          <w:highlight w:val="none"/>
        </w:rPr>
        <w:t>；</w:t>
      </w:r>
      <w:r>
        <w:rPr>
          <w:rFonts w:hint="eastAsia" w:ascii="宋体" w:hAnsi="宋体" w:cs="宋体"/>
          <w:kern w:val="0"/>
          <w:sz w:val="24"/>
          <w:highlight w:val="none"/>
          <w:lang w:eastAsia="zh-CN"/>
        </w:rPr>
        <w:t>镐京遗址文物勘探和发掘项目集体土地地面破碎</w:t>
      </w:r>
      <w:r>
        <w:rPr>
          <w:rFonts w:hint="eastAsia" w:ascii="宋体" w:hAnsi="宋体" w:cs="宋体"/>
          <w:kern w:val="0"/>
          <w:sz w:val="24"/>
          <w:highlight w:val="none"/>
        </w:rPr>
        <w:t>；镐京遗址文物勘探和发掘项目集体土地</w:t>
      </w:r>
      <w:r>
        <w:rPr>
          <w:rFonts w:hint="eastAsia" w:ascii="宋体" w:hAnsi="宋体" w:cs="宋体"/>
          <w:kern w:val="0"/>
          <w:sz w:val="24"/>
          <w:highlight w:val="none"/>
          <w:lang w:eastAsia="zh-CN"/>
        </w:rPr>
        <w:t>垃圾清运；镐京遗址文物勘探和发掘项目集体土地</w:t>
      </w:r>
      <w:r>
        <w:rPr>
          <w:rFonts w:hint="eastAsia" w:ascii="宋体" w:hAnsi="宋体" w:cs="宋体"/>
          <w:kern w:val="0"/>
          <w:sz w:val="24"/>
          <w:highlight w:val="none"/>
        </w:rPr>
        <w:t>苗木清表</w:t>
      </w:r>
      <w:r>
        <w:rPr>
          <w:rFonts w:hint="eastAsia" w:ascii="宋体" w:hAnsi="宋体" w:cs="宋体"/>
          <w:sz w:val="24"/>
          <w:highlight w:val="none"/>
        </w:rPr>
        <w:t>；与上述内容相关的安全生产、治污减霾、场地看护等工作。</w:t>
      </w:r>
    </w:p>
    <w:p>
      <w:pPr>
        <w:spacing w:line="360" w:lineRule="auto"/>
        <w:ind w:firstLine="426" w:firstLineChars="177"/>
        <w:rPr>
          <w:rFonts w:ascii="宋体" w:hAnsi="宋体" w:cs="宋体"/>
          <w:b/>
          <w:bCs/>
          <w:sz w:val="24"/>
          <w:highlight w:val="none"/>
        </w:rPr>
      </w:pPr>
      <w:r>
        <w:rPr>
          <w:rFonts w:hint="eastAsia" w:ascii="宋体" w:hAnsi="宋体" w:cs="宋体"/>
          <w:b/>
          <w:bCs/>
          <w:sz w:val="24"/>
          <w:highlight w:val="none"/>
        </w:rPr>
        <w:t>三、技术规范及要求：</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执行国家、省、市现行的有关房屋拆除的规定、标准等文件，具体技术要求包括但不限于以下规定、标准、规范：</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①、《安全生产法》；</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②、《建设工程安全生产管理条例》；</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③、《建筑拆除工程安全技术规范》JGJ147-2016；</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④、《危险性较大的分部分项工程安全管理规定》(住建部令﹝2018﹞37号)及 31号文；</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⑤、《施工现场临时用电安全技术规范》JCJl46—2005；</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⑥、《西安市房屋拆迁管理办法》；</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⑦、国家规定的其他相关法律法规。 </w:t>
      </w:r>
    </w:p>
    <w:p>
      <w:pPr>
        <w:spacing w:line="360" w:lineRule="auto"/>
        <w:ind w:firstLine="424" w:firstLineChars="177"/>
        <w:rPr>
          <w:rFonts w:ascii="宋体" w:hAnsi="宋体" w:cs="宋体"/>
          <w:sz w:val="24"/>
          <w:highlight w:val="none"/>
        </w:rPr>
      </w:pPr>
      <w:r>
        <w:rPr>
          <w:rFonts w:hint="eastAsia" w:ascii="宋体" w:hAnsi="宋体" w:cs="宋体"/>
          <w:sz w:val="24"/>
          <w:highlight w:val="none"/>
        </w:rPr>
        <w:t>项目相关拆除及垃圾清运工程必须满足《西安市房屋拆迁管理办法》相关要求，建筑垃圾运输人必须向相关管理部门办理《西安市建筑垃圾处置（运输）证》，运输车辆应随车携带《西安市建筑垃圾处置（运输）证》副本等准运证件，严格按照相关规章制度运输倾倒建筑垃圾，从事建筑垃圾运输车辆的驾驶人需满足《西安市房屋拆迁管理办法》中驾驶人要求，规范使用运输车辆，安全文明驾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t>四、清单：</w:t>
      </w:r>
    </w:p>
    <w:tbl>
      <w:tblPr>
        <w:tblStyle w:val="38"/>
        <w:tblW w:w="10156" w:type="dxa"/>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485"/>
        <w:gridCol w:w="2993"/>
        <w:gridCol w:w="869"/>
        <w:gridCol w:w="1503"/>
        <w:gridCol w:w="1513"/>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19" w:hRule="atLeast"/>
        </w:trPr>
        <w:tc>
          <w:tcPr>
            <w:tcW w:w="48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序号</w:t>
            </w:r>
          </w:p>
        </w:tc>
        <w:tc>
          <w:tcPr>
            <w:tcW w:w="29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项目</w:t>
            </w:r>
          </w:p>
        </w:tc>
        <w:tc>
          <w:tcPr>
            <w:tcW w:w="869"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单位</w:t>
            </w:r>
          </w:p>
        </w:tc>
        <w:tc>
          <w:tcPr>
            <w:tcW w:w="150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单价</w:t>
            </w:r>
            <w:r>
              <w:rPr>
                <w:rFonts w:hint="eastAsia" w:ascii="宋体" w:hAnsi="宋体" w:cs="宋体"/>
                <w:i w:val="0"/>
                <w:color w:val="000000"/>
                <w:kern w:val="0"/>
                <w:sz w:val="24"/>
                <w:szCs w:val="24"/>
                <w:highlight w:val="none"/>
                <w:u w:val="none"/>
                <w:lang w:val="en-US" w:eastAsia="zh-CN" w:bidi="ar"/>
              </w:rPr>
              <w:t>最高限价</w:t>
            </w:r>
            <w:r>
              <w:rPr>
                <w:rFonts w:hint="eastAsia" w:ascii="宋体" w:hAnsi="宋体" w:eastAsia="宋体" w:cs="宋体"/>
                <w:i w:val="0"/>
                <w:color w:val="000000"/>
                <w:kern w:val="0"/>
                <w:sz w:val="24"/>
                <w:szCs w:val="24"/>
                <w:highlight w:val="none"/>
                <w:u w:val="none"/>
                <w:lang w:val="en-US" w:eastAsia="zh-CN" w:bidi="ar"/>
              </w:rPr>
              <w:t>（元）</w:t>
            </w:r>
          </w:p>
        </w:tc>
        <w:tc>
          <w:tcPr>
            <w:tcW w:w="151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数量</w:t>
            </w:r>
          </w:p>
        </w:tc>
        <w:tc>
          <w:tcPr>
            <w:tcW w:w="27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9" w:hRule="atLeast"/>
        </w:trPr>
        <w:tc>
          <w:tcPr>
            <w:tcW w:w="48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29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eastAsia="zh-CN"/>
              </w:rPr>
            </w:pPr>
            <w:r>
              <w:rPr>
                <w:rFonts w:hint="eastAsia" w:ascii="宋体" w:hAnsi="宋体" w:eastAsia="宋体" w:cs="宋体"/>
                <w:i w:val="0"/>
                <w:color w:val="000000"/>
                <w:sz w:val="24"/>
                <w:szCs w:val="24"/>
                <w:highlight w:val="none"/>
                <w:u w:val="none"/>
              </w:rPr>
              <w:t>镐京遗址文物勘探和发掘项目集体土地</w:t>
            </w:r>
            <w:r>
              <w:rPr>
                <w:rFonts w:hint="eastAsia" w:ascii="宋体" w:hAnsi="宋体" w:cs="宋体"/>
                <w:i w:val="0"/>
                <w:color w:val="000000"/>
                <w:sz w:val="24"/>
                <w:szCs w:val="24"/>
                <w:highlight w:val="none"/>
                <w:u w:val="none"/>
                <w:lang w:eastAsia="zh-CN"/>
              </w:rPr>
              <w:t>建筑物拆除</w:t>
            </w:r>
          </w:p>
        </w:tc>
        <w:tc>
          <w:tcPr>
            <w:tcW w:w="869"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平方米</w:t>
            </w:r>
          </w:p>
        </w:tc>
        <w:tc>
          <w:tcPr>
            <w:tcW w:w="150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1.25</w:t>
            </w:r>
          </w:p>
        </w:tc>
        <w:tc>
          <w:tcPr>
            <w:tcW w:w="151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约13000</w:t>
            </w:r>
          </w:p>
        </w:tc>
        <w:tc>
          <w:tcPr>
            <w:tcW w:w="2793" w:type="dxa"/>
            <w:vMerge w:val="restart"/>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color w:val="auto"/>
                <w:sz w:val="24"/>
                <w:szCs w:val="24"/>
                <w:highlight w:val="none"/>
                <w:vertAlign w:val="baseline"/>
                <w:lang w:val="en-US" w:eastAsia="zh-CN"/>
              </w:rPr>
              <w:t>垃圾清运包含10公里基准运距及有关开挖、装载、垃圾清理、场内及场外运输、倾倒、填埋处置、环境保护、管理费、规费、增值税等费用；超过10公里基准运距后，每增加1公里运费增加1元，最高增加不超过40元/立方米，运距由行业主管部门、城改办和实施单位共同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6" w:hRule="atLeast"/>
        </w:trPr>
        <w:tc>
          <w:tcPr>
            <w:tcW w:w="48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w:t>
            </w:r>
          </w:p>
        </w:tc>
        <w:tc>
          <w:tcPr>
            <w:tcW w:w="29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cs="宋体"/>
                <w:kern w:val="0"/>
                <w:sz w:val="24"/>
                <w:highlight w:val="none"/>
                <w:lang w:eastAsia="zh-CN"/>
              </w:rPr>
              <w:t>镐京遗址文物勘探和发掘项目集体土地地面破碎</w:t>
            </w:r>
          </w:p>
        </w:tc>
        <w:tc>
          <w:tcPr>
            <w:tcW w:w="869"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平方米</w:t>
            </w:r>
          </w:p>
        </w:tc>
        <w:tc>
          <w:tcPr>
            <w:tcW w:w="150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17</w:t>
            </w:r>
            <w:r>
              <w:rPr>
                <w:rFonts w:hint="eastAsia" w:ascii="宋体" w:hAnsi="宋体" w:cs="宋体"/>
                <w:i w:val="0"/>
                <w:color w:val="000000"/>
                <w:kern w:val="0"/>
                <w:sz w:val="24"/>
                <w:szCs w:val="24"/>
                <w:highlight w:val="none"/>
                <w:u w:val="none"/>
                <w:lang w:val="en-US" w:eastAsia="zh-CN" w:bidi="ar"/>
              </w:rPr>
              <w:t>.00</w:t>
            </w:r>
          </w:p>
        </w:tc>
        <w:tc>
          <w:tcPr>
            <w:tcW w:w="151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约15000</w:t>
            </w:r>
          </w:p>
        </w:tc>
        <w:tc>
          <w:tcPr>
            <w:tcW w:w="2793" w:type="dxa"/>
            <w:vMerge w:val="continue"/>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1" w:hRule="atLeast"/>
        </w:trPr>
        <w:tc>
          <w:tcPr>
            <w:tcW w:w="48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29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cs="宋体"/>
                <w:kern w:val="0"/>
                <w:sz w:val="24"/>
                <w:highlight w:val="none"/>
                <w:lang w:eastAsia="zh-CN"/>
              </w:rPr>
              <w:t>镐京遗址文物勘探和发掘项目集体土地垃圾清运</w:t>
            </w:r>
          </w:p>
        </w:tc>
        <w:tc>
          <w:tcPr>
            <w:tcW w:w="869"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立方米</w:t>
            </w:r>
          </w:p>
        </w:tc>
        <w:tc>
          <w:tcPr>
            <w:tcW w:w="150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105.00</w:t>
            </w:r>
          </w:p>
        </w:tc>
        <w:tc>
          <w:tcPr>
            <w:tcW w:w="151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约6550</w:t>
            </w:r>
          </w:p>
        </w:tc>
        <w:tc>
          <w:tcPr>
            <w:tcW w:w="2793" w:type="dxa"/>
            <w:vMerge w:val="continue"/>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8" w:hRule="atLeast"/>
        </w:trPr>
        <w:tc>
          <w:tcPr>
            <w:tcW w:w="485" w:type="dxa"/>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299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镐京遗址文物勘探和发掘项目集体土地苗木清</w:t>
            </w:r>
            <w:r>
              <w:rPr>
                <w:rFonts w:hint="eastAsia" w:ascii="宋体" w:hAnsi="宋体" w:cs="宋体"/>
                <w:i w:val="0"/>
                <w:color w:val="000000"/>
                <w:kern w:val="0"/>
                <w:sz w:val="24"/>
                <w:szCs w:val="24"/>
                <w:highlight w:val="none"/>
                <w:u w:val="none"/>
                <w:lang w:val="en-US" w:eastAsia="zh-CN" w:bidi="ar"/>
              </w:rPr>
              <w:t>表</w:t>
            </w:r>
          </w:p>
        </w:tc>
        <w:tc>
          <w:tcPr>
            <w:tcW w:w="869"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亩</w:t>
            </w:r>
          </w:p>
        </w:tc>
        <w:tc>
          <w:tcPr>
            <w:tcW w:w="150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4000</w:t>
            </w:r>
            <w:r>
              <w:rPr>
                <w:rFonts w:hint="eastAsia" w:ascii="宋体" w:hAnsi="宋体" w:cs="宋体"/>
                <w:i w:val="0"/>
                <w:color w:val="000000"/>
                <w:kern w:val="0"/>
                <w:sz w:val="24"/>
                <w:szCs w:val="24"/>
                <w:highlight w:val="none"/>
                <w:u w:val="none"/>
                <w:lang w:val="en-US" w:eastAsia="zh-CN" w:bidi="ar"/>
              </w:rPr>
              <w:t>.00</w:t>
            </w:r>
          </w:p>
        </w:tc>
        <w:tc>
          <w:tcPr>
            <w:tcW w:w="1513"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约110</w:t>
            </w:r>
          </w:p>
        </w:tc>
        <w:tc>
          <w:tcPr>
            <w:tcW w:w="2793" w:type="dxa"/>
            <w:vMerge w:val="continue"/>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p>
        </w:tc>
      </w:tr>
    </w:tbl>
    <w:p>
      <w:pPr>
        <w:spacing w:line="360" w:lineRule="auto"/>
        <w:rPr>
          <w:rFonts w:ascii="宋体" w:hAnsi="宋体" w:cs="宋体"/>
          <w:sz w:val="24"/>
          <w:highlight w:val="none"/>
        </w:rPr>
      </w:pPr>
    </w:p>
    <w:p>
      <w:pPr>
        <w:rPr>
          <w:highlight w:val="none"/>
        </w:rPr>
      </w:pPr>
    </w:p>
    <w:p>
      <w:pPr>
        <w:rPr>
          <w:highlight w:val="none"/>
        </w:rPr>
      </w:pPr>
    </w:p>
    <w:p>
      <w:pPr>
        <w:rPr>
          <w:highlight w:val="none"/>
        </w:rPr>
      </w:pPr>
    </w:p>
    <w:p>
      <w:pPr>
        <w:rPr>
          <w:highlight w:val="none"/>
        </w:rPr>
      </w:pPr>
    </w:p>
    <w:p>
      <w:pPr>
        <w:rPr>
          <w:highlight w:val="none"/>
        </w:rPr>
      </w:pPr>
    </w:p>
    <w:bookmarkEnd w:id="283"/>
    <w:bookmarkEnd w:id="284"/>
    <w:bookmarkEnd w:id="285"/>
    <w:p>
      <w:pPr>
        <w:spacing w:line="348" w:lineRule="auto"/>
        <w:rPr>
          <w:rFonts w:ascii="宋体"/>
          <w:sz w:val="24"/>
          <w:highlight w:val="none"/>
        </w:rPr>
      </w:pPr>
      <w:bookmarkStart w:id="286" w:name="_Toc144974855"/>
      <w:bookmarkStart w:id="287" w:name="_Toc152042575"/>
      <w:bookmarkStart w:id="288" w:name="_Toc152045786"/>
    </w:p>
    <w:p>
      <w:pPr>
        <w:spacing w:line="348" w:lineRule="auto"/>
        <w:rPr>
          <w:rFonts w:ascii="宋体"/>
          <w:sz w:val="24"/>
          <w:highlight w:val="none"/>
        </w:rPr>
      </w:pPr>
    </w:p>
    <w:p>
      <w:pPr>
        <w:spacing w:line="348" w:lineRule="auto"/>
        <w:rPr>
          <w:rFonts w:ascii="宋体"/>
          <w:sz w:val="24"/>
          <w:highlight w:val="none"/>
        </w:rPr>
      </w:pPr>
    </w:p>
    <w:p>
      <w:pPr>
        <w:spacing w:line="348" w:lineRule="auto"/>
        <w:rPr>
          <w:rFonts w:ascii="宋体"/>
          <w:sz w:val="24"/>
          <w:highlight w:val="none"/>
        </w:rPr>
      </w:pPr>
    </w:p>
    <w:p>
      <w:pPr>
        <w:pStyle w:val="6"/>
        <w:rPr>
          <w:rFonts w:ascii="宋体"/>
          <w:sz w:val="24"/>
          <w:highlight w:val="none"/>
        </w:rPr>
      </w:pPr>
    </w:p>
    <w:p>
      <w:pPr>
        <w:rPr>
          <w:rFonts w:ascii="宋体"/>
          <w:sz w:val="24"/>
          <w:highlight w:val="none"/>
        </w:rPr>
      </w:pPr>
    </w:p>
    <w:p>
      <w:pPr>
        <w:pStyle w:val="6"/>
        <w:rPr>
          <w:highlight w:val="none"/>
        </w:rPr>
      </w:pPr>
    </w:p>
    <w:p>
      <w:pPr>
        <w:spacing w:line="348" w:lineRule="auto"/>
        <w:rPr>
          <w:rFonts w:ascii="宋体"/>
          <w:sz w:val="24"/>
          <w:highlight w:val="none"/>
        </w:rPr>
      </w:pPr>
    </w:p>
    <w:p>
      <w:pPr>
        <w:pStyle w:val="2"/>
        <w:rPr>
          <w:rFonts w:ascii="宋体"/>
          <w:sz w:val="24"/>
          <w:highlight w:val="none"/>
        </w:rPr>
      </w:pPr>
    </w:p>
    <w:p>
      <w:pPr>
        <w:pStyle w:val="2"/>
        <w:rPr>
          <w:highlight w:val="none"/>
        </w:rPr>
      </w:pPr>
    </w:p>
    <w:p>
      <w:pPr>
        <w:spacing w:line="360" w:lineRule="auto"/>
        <w:ind w:firstLine="643" w:firstLineChars="200"/>
        <w:jc w:val="center"/>
        <w:outlineLvl w:val="0"/>
        <w:rPr>
          <w:rFonts w:ascii="宋体" w:hAnsi="宋体" w:cs="宋体"/>
          <w:b/>
          <w:bCs/>
          <w:sz w:val="32"/>
          <w:highlight w:val="none"/>
        </w:rPr>
      </w:pPr>
      <w:bookmarkStart w:id="289" w:name="_Toc19161"/>
      <w:bookmarkStart w:id="290" w:name="_Toc339114188"/>
      <w:r>
        <w:rPr>
          <w:rFonts w:hint="eastAsia" w:ascii="宋体" w:hAnsi="宋体" w:cs="宋体"/>
          <w:b/>
          <w:bCs/>
          <w:sz w:val="32"/>
          <w:highlight w:val="none"/>
        </w:rPr>
        <w:t>第六部分  投标文件格式</w:t>
      </w:r>
      <w:bookmarkEnd w:id="289"/>
      <w:bookmarkEnd w:id="290"/>
    </w:p>
    <w:p>
      <w:pPr>
        <w:spacing w:line="400" w:lineRule="exact"/>
        <w:rPr>
          <w:highlight w:val="none"/>
        </w:rPr>
      </w:pPr>
    </w:p>
    <w:bookmarkEnd w:id="286"/>
    <w:bookmarkEnd w:id="287"/>
    <w:bookmarkEnd w:id="288"/>
    <w:p>
      <w:pPr>
        <w:spacing w:line="360" w:lineRule="auto"/>
        <w:jc w:val="center"/>
        <w:rPr>
          <w:rFonts w:ascii="宋体" w:hAnsi="宋体" w:cs="宋体"/>
          <w:sz w:val="24"/>
          <w:highlight w:val="none"/>
        </w:rPr>
      </w:pPr>
      <w:r>
        <w:rPr>
          <w:rFonts w:hint="eastAsia" w:ascii="宋体" w:hAnsi="宋体" w:cs="宋体"/>
          <w:sz w:val="24"/>
          <w:highlight w:val="none"/>
        </w:rPr>
        <w:t>投标文件编制说明</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1、投标文件应当使用招标文件规定的全部格式（表格可以按同样格式扩展）编写，除明确允许投标人可以自行编写的外，投标人不得以“投标文件格式”规定之外的方式填写相关内容。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2、投标文件的编制应按照样本格式提供的内容，做出逐一明确的答复；投标人认为有必要，还可以做其它补充说明。</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3、投标人必须按照招标文件的规定和要求由法定代表人或被授权人签字（或盖章）。纸质投标文件须A4纸单面或双面打印，分别各自装订成册并编制目录和页码。</w:t>
      </w: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spacing w:line="400" w:lineRule="exact"/>
        <w:rPr>
          <w:rFonts w:ascii="宋体"/>
          <w:szCs w:val="21"/>
          <w:highlight w:val="none"/>
        </w:rPr>
      </w:pPr>
    </w:p>
    <w:p>
      <w:pPr>
        <w:pStyle w:val="6"/>
        <w:rPr>
          <w:rFonts w:ascii="宋体"/>
          <w:szCs w:val="21"/>
          <w:highlight w:val="none"/>
        </w:rPr>
      </w:pPr>
    </w:p>
    <w:p>
      <w:pPr>
        <w:rPr>
          <w:highlight w:val="none"/>
        </w:rPr>
      </w:pPr>
    </w:p>
    <w:p>
      <w:pPr>
        <w:spacing w:line="400" w:lineRule="exact"/>
        <w:rPr>
          <w:rFonts w:ascii="宋体"/>
          <w:szCs w:val="21"/>
          <w:highlight w:val="none"/>
        </w:rPr>
      </w:pPr>
    </w:p>
    <w:p>
      <w:pPr>
        <w:rPr>
          <w:rFonts w:ascii="宋体"/>
          <w:szCs w:val="21"/>
          <w:highlight w:val="none"/>
        </w:rPr>
      </w:pPr>
    </w:p>
    <w:p>
      <w:pPr>
        <w:rPr>
          <w:rFonts w:ascii="宋体"/>
          <w:szCs w:val="21"/>
          <w:highlight w:val="none"/>
        </w:rPr>
      </w:pPr>
    </w:p>
    <w:p>
      <w:pPr>
        <w:tabs>
          <w:tab w:val="left" w:pos="4620"/>
          <w:tab w:val="left" w:pos="5145"/>
        </w:tabs>
        <w:spacing w:line="460" w:lineRule="exact"/>
        <w:outlineLvl w:val="0"/>
        <w:rPr>
          <w:rFonts w:hint="eastAsia" w:ascii="宋体" w:hAnsi="宋体" w:eastAsia="宋体"/>
          <w:b/>
          <w:sz w:val="32"/>
          <w:highlight w:val="none"/>
          <w:lang w:eastAsia="zh-CN"/>
        </w:rPr>
      </w:pPr>
      <w:bookmarkStart w:id="291" w:name="_Toc15535"/>
      <w:r>
        <w:rPr>
          <w:rFonts w:hint="eastAsia" w:ascii="宋体" w:hAnsi="宋体"/>
          <w:b/>
          <w:sz w:val="32"/>
          <w:highlight w:val="none"/>
          <w:lang w:eastAsia="zh-CN"/>
        </w:rPr>
        <w:t>代理编</w:t>
      </w:r>
      <w:r>
        <w:rPr>
          <w:rFonts w:hint="eastAsia" w:ascii="宋体" w:hAnsi="宋体"/>
          <w:b/>
          <w:sz w:val="32"/>
          <w:highlight w:val="none"/>
        </w:rPr>
        <w:t>号：</w:t>
      </w:r>
      <w:bookmarkEnd w:id="291"/>
      <w:r>
        <w:rPr>
          <w:rFonts w:hint="eastAsia" w:ascii="宋体" w:hAnsi="宋体"/>
          <w:b/>
          <w:sz w:val="32"/>
          <w:highlight w:val="none"/>
        </w:rPr>
        <w:t>SXJTZB-ZC-GK20201129</w:t>
      </w:r>
    </w:p>
    <w:p>
      <w:pPr>
        <w:tabs>
          <w:tab w:val="left" w:pos="4620"/>
          <w:tab w:val="left" w:pos="5145"/>
        </w:tabs>
        <w:spacing w:line="460" w:lineRule="exact"/>
        <w:outlineLvl w:val="0"/>
        <w:rPr>
          <w:rFonts w:hint="default" w:ascii="宋体" w:hAnsi="宋体"/>
          <w:b/>
          <w:sz w:val="32"/>
          <w:highlight w:val="none"/>
          <w:lang w:val="en-US" w:eastAsia="zh-CN"/>
        </w:rPr>
      </w:pPr>
      <w:bookmarkStart w:id="292" w:name="_Toc20911"/>
      <w:r>
        <w:rPr>
          <w:rFonts w:hint="eastAsia" w:ascii="宋体" w:hAnsi="宋体"/>
          <w:b/>
          <w:sz w:val="32"/>
          <w:highlight w:val="none"/>
          <w:lang w:val="en-US" w:eastAsia="zh-CN"/>
        </w:rPr>
        <w:t>项目编号：</w:t>
      </w:r>
      <w:bookmarkEnd w:id="292"/>
      <w:r>
        <w:rPr>
          <w:rFonts w:hint="eastAsia" w:ascii="宋体" w:hAnsi="宋体"/>
          <w:b/>
          <w:sz w:val="32"/>
          <w:highlight w:val="none"/>
          <w:lang w:val="en-US" w:eastAsia="zh-CN"/>
        </w:rPr>
        <w:t>XXGC-2020-000034-4</w:t>
      </w:r>
    </w:p>
    <w:p>
      <w:pPr>
        <w:tabs>
          <w:tab w:val="left" w:pos="360"/>
        </w:tabs>
        <w:spacing w:line="360" w:lineRule="auto"/>
        <w:jc w:val="right"/>
        <w:rPr>
          <w:rFonts w:ascii="宋体"/>
          <w:b/>
          <w:sz w:val="28"/>
          <w:szCs w:val="28"/>
          <w:highlight w:val="none"/>
        </w:rPr>
      </w:pPr>
      <w:r>
        <w:rPr>
          <w:rFonts w:hint="eastAsia" w:ascii="宋体" w:hAnsi="宋体"/>
          <w:b/>
          <w:sz w:val="28"/>
          <w:szCs w:val="28"/>
          <w:highlight w:val="none"/>
        </w:rPr>
        <w:t>正本</w:t>
      </w:r>
      <w:r>
        <w:rPr>
          <w:rFonts w:ascii="宋体" w:hAnsi="宋体"/>
          <w:b/>
          <w:sz w:val="28"/>
          <w:szCs w:val="28"/>
          <w:highlight w:val="none"/>
        </w:rPr>
        <w:t>/</w:t>
      </w:r>
      <w:r>
        <w:rPr>
          <w:rFonts w:hint="eastAsia" w:ascii="宋体" w:hAnsi="宋体"/>
          <w:b/>
          <w:sz w:val="28"/>
          <w:szCs w:val="28"/>
          <w:highlight w:val="none"/>
        </w:rPr>
        <w:t>副本</w:t>
      </w:r>
    </w:p>
    <w:p>
      <w:pPr>
        <w:tabs>
          <w:tab w:val="left" w:pos="360"/>
        </w:tabs>
        <w:spacing w:line="360" w:lineRule="auto"/>
        <w:jc w:val="center"/>
        <w:rPr>
          <w:rFonts w:ascii="宋体"/>
          <w:b/>
          <w:sz w:val="52"/>
          <w:szCs w:val="52"/>
          <w:highlight w:val="none"/>
        </w:rPr>
      </w:pPr>
    </w:p>
    <w:p>
      <w:pPr>
        <w:tabs>
          <w:tab w:val="left" w:pos="5145"/>
        </w:tabs>
        <w:spacing w:line="360" w:lineRule="auto"/>
        <w:ind w:right="277" w:rightChars="132"/>
        <w:jc w:val="center"/>
        <w:rPr>
          <w:rFonts w:hint="eastAsia" w:ascii="宋体" w:eastAsia="宋体"/>
          <w:sz w:val="32"/>
          <w:szCs w:val="32"/>
          <w:highlight w:val="none"/>
          <w:lang w:eastAsia="zh-CN"/>
        </w:rPr>
      </w:pPr>
      <w:r>
        <w:rPr>
          <w:rFonts w:hint="eastAsia" w:ascii="宋体"/>
          <w:b/>
          <w:bCs/>
          <w:sz w:val="32"/>
          <w:szCs w:val="32"/>
          <w:highlight w:val="none"/>
          <w:lang w:eastAsia="zh-CN"/>
        </w:rPr>
        <w:t>斗门街办镐京遗址文物勘探和发掘项目（花园村、官庄村）集体土地建筑物拆除、地面破碎、垃圾清运、苗木清表</w:t>
      </w:r>
    </w:p>
    <w:p>
      <w:pPr>
        <w:tabs>
          <w:tab w:val="left" w:pos="360"/>
        </w:tabs>
        <w:spacing w:line="360" w:lineRule="auto"/>
        <w:ind w:firstLine="420" w:firstLineChars="200"/>
        <w:rPr>
          <w:rFonts w:ascii="宋体"/>
          <w:szCs w:val="21"/>
          <w:highlight w:val="none"/>
        </w:rPr>
      </w:pPr>
    </w:p>
    <w:p>
      <w:pPr>
        <w:tabs>
          <w:tab w:val="left" w:pos="360"/>
        </w:tabs>
        <w:spacing w:line="360" w:lineRule="auto"/>
        <w:jc w:val="center"/>
        <w:rPr>
          <w:rFonts w:ascii="宋体"/>
          <w:b/>
          <w:sz w:val="100"/>
          <w:szCs w:val="100"/>
          <w:highlight w:val="none"/>
        </w:rPr>
      </w:pPr>
      <w:r>
        <w:rPr>
          <w:rFonts w:hint="eastAsia" w:ascii="宋体" w:hAnsi="宋体"/>
          <w:b/>
          <w:sz w:val="100"/>
          <w:szCs w:val="100"/>
          <w:highlight w:val="none"/>
        </w:rPr>
        <w:t>投</w:t>
      </w:r>
      <w:r>
        <w:rPr>
          <w:rFonts w:ascii="宋体" w:hAnsi="宋体"/>
          <w:b/>
          <w:sz w:val="100"/>
          <w:szCs w:val="100"/>
          <w:highlight w:val="none"/>
        </w:rPr>
        <w:t xml:space="preserve"> </w:t>
      </w:r>
      <w:r>
        <w:rPr>
          <w:rFonts w:hint="eastAsia" w:ascii="宋体" w:hAnsi="宋体"/>
          <w:b/>
          <w:sz w:val="100"/>
          <w:szCs w:val="100"/>
          <w:highlight w:val="none"/>
        </w:rPr>
        <w:t>标</w:t>
      </w:r>
      <w:r>
        <w:rPr>
          <w:rFonts w:ascii="宋体" w:hAnsi="宋体"/>
          <w:b/>
          <w:sz w:val="100"/>
          <w:szCs w:val="100"/>
          <w:highlight w:val="none"/>
        </w:rPr>
        <w:t xml:space="preserve"> </w:t>
      </w:r>
      <w:r>
        <w:rPr>
          <w:rFonts w:hint="eastAsia" w:ascii="宋体" w:hAnsi="宋体"/>
          <w:b/>
          <w:sz w:val="100"/>
          <w:szCs w:val="100"/>
          <w:highlight w:val="none"/>
        </w:rPr>
        <w:t>文</w:t>
      </w:r>
      <w:r>
        <w:rPr>
          <w:rFonts w:ascii="宋体" w:hAnsi="宋体"/>
          <w:b/>
          <w:sz w:val="100"/>
          <w:szCs w:val="100"/>
          <w:highlight w:val="none"/>
        </w:rPr>
        <w:t xml:space="preserve"> </w:t>
      </w:r>
      <w:r>
        <w:rPr>
          <w:rFonts w:hint="eastAsia" w:ascii="宋体" w:hAnsi="宋体"/>
          <w:b/>
          <w:sz w:val="100"/>
          <w:szCs w:val="100"/>
          <w:highlight w:val="none"/>
        </w:rPr>
        <w:t>件</w:t>
      </w:r>
    </w:p>
    <w:p>
      <w:pPr>
        <w:tabs>
          <w:tab w:val="left" w:pos="360"/>
        </w:tabs>
        <w:spacing w:line="360" w:lineRule="auto"/>
        <w:ind w:firstLine="420" w:firstLineChars="200"/>
        <w:rPr>
          <w:rFonts w:ascii="宋体"/>
          <w:szCs w:val="21"/>
          <w:highlight w:val="none"/>
        </w:rPr>
      </w:pPr>
    </w:p>
    <w:p>
      <w:pPr>
        <w:tabs>
          <w:tab w:val="left" w:pos="360"/>
        </w:tabs>
        <w:spacing w:line="360" w:lineRule="auto"/>
        <w:jc w:val="center"/>
        <w:rPr>
          <w:rFonts w:ascii="宋体"/>
          <w:b/>
          <w:sz w:val="68"/>
          <w:szCs w:val="68"/>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ind w:firstLine="420" w:firstLineChars="200"/>
        <w:rPr>
          <w:rFonts w:ascii="宋体"/>
          <w:szCs w:val="21"/>
          <w:highlight w:val="none"/>
        </w:rPr>
      </w:pPr>
    </w:p>
    <w:p>
      <w:pPr>
        <w:tabs>
          <w:tab w:val="left" w:pos="360"/>
        </w:tabs>
        <w:spacing w:line="360" w:lineRule="auto"/>
        <w:rPr>
          <w:rFonts w:ascii="宋体"/>
          <w:szCs w:val="21"/>
          <w:highlight w:val="none"/>
        </w:rPr>
      </w:pPr>
    </w:p>
    <w:p>
      <w:pPr>
        <w:tabs>
          <w:tab w:val="left" w:pos="360"/>
        </w:tabs>
        <w:spacing w:line="360" w:lineRule="auto"/>
        <w:ind w:firstLine="643" w:firstLineChars="200"/>
        <w:rPr>
          <w:rFonts w:ascii="宋体"/>
          <w:b/>
          <w:sz w:val="32"/>
          <w:szCs w:val="32"/>
          <w:highlight w:val="none"/>
        </w:rPr>
      </w:pPr>
    </w:p>
    <w:p>
      <w:pPr>
        <w:tabs>
          <w:tab w:val="left" w:pos="360"/>
        </w:tabs>
        <w:spacing w:line="360" w:lineRule="auto"/>
        <w:jc w:val="center"/>
        <w:rPr>
          <w:rFonts w:ascii="宋体"/>
          <w:b/>
          <w:sz w:val="32"/>
          <w:szCs w:val="32"/>
          <w:highlight w:val="none"/>
        </w:rPr>
      </w:pPr>
      <w:r>
        <w:rPr>
          <w:rFonts w:hint="eastAsia" w:ascii="宋体" w:hAnsi="宋体"/>
          <w:b/>
          <w:sz w:val="32"/>
          <w:szCs w:val="32"/>
          <w:highlight w:val="none"/>
        </w:rPr>
        <w:t>供</w:t>
      </w:r>
      <w:r>
        <w:rPr>
          <w:rFonts w:ascii="宋体" w:hAnsi="宋体"/>
          <w:b/>
          <w:sz w:val="32"/>
          <w:szCs w:val="32"/>
          <w:highlight w:val="none"/>
        </w:rPr>
        <w:t xml:space="preserve">  </w:t>
      </w:r>
      <w:r>
        <w:rPr>
          <w:rFonts w:hint="eastAsia" w:ascii="宋体" w:hAnsi="宋体"/>
          <w:b/>
          <w:sz w:val="32"/>
          <w:szCs w:val="32"/>
          <w:highlight w:val="none"/>
        </w:rPr>
        <w:t>应</w:t>
      </w:r>
      <w:r>
        <w:rPr>
          <w:rFonts w:ascii="宋体" w:hAnsi="宋体"/>
          <w:b/>
          <w:sz w:val="32"/>
          <w:szCs w:val="32"/>
          <w:highlight w:val="none"/>
        </w:rPr>
        <w:t xml:space="preserve">  </w:t>
      </w:r>
      <w:r>
        <w:rPr>
          <w:rFonts w:hint="eastAsia" w:ascii="宋体" w:hAnsi="宋体"/>
          <w:b/>
          <w:sz w:val="32"/>
          <w:szCs w:val="32"/>
          <w:highlight w:val="none"/>
        </w:rPr>
        <w:t>商：</w:t>
      </w:r>
      <w:r>
        <w:rPr>
          <w:rFonts w:ascii="宋体" w:hAnsi="宋体"/>
          <w:b/>
          <w:sz w:val="32"/>
          <w:szCs w:val="32"/>
          <w:highlight w:val="none"/>
          <w:u w:val="single"/>
        </w:rPr>
        <w:t xml:space="preserve">                            </w:t>
      </w:r>
      <w:r>
        <w:rPr>
          <w:rFonts w:hint="eastAsia" w:ascii="宋体" w:hAnsi="宋体"/>
          <w:b/>
          <w:sz w:val="32"/>
          <w:szCs w:val="32"/>
          <w:highlight w:val="none"/>
        </w:rPr>
        <w:t>（公章）</w:t>
      </w:r>
    </w:p>
    <w:p>
      <w:pPr>
        <w:tabs>
          <w:tab w:val="left" w:pos="360"/>
        </w:tabs>
        <w:spacing w:line="360" w:lineRule="auto"/>
        <w:ind w:firstLine="643" w:firstLineChars="200"/>
        <w:rPr>
          <w:rFonts w:ascii="宋体"/>
          <w:b/>
          <w:sz w:val="32"/>
          <w:szCs w:val="32"/>
          <w:highlight w:val="none"/>
        </w:rPr>
      </w:pPr>
    </w:p>
    <w:p>
      <w:pPr>
        <w:tabs>
          <w:tab w:val="left" w:pos="360"/>
        </w:tabs>
        <w:spacing w:line="360" w:lineRule="auto"/>
        <w:ind w:firstLine="790" w:firstLineChars="246"/>
        <w:rPr>
          <w:rFonts w:ascii="宋体"/>
          <w:b/>
          <w:sz w:val="32"/>
          <w:szCs w:val="32"/>
          <w:highlight w:val="none"/>
        </w:rPr>
      </w:pPr>
      <w:r>
        <w:rPr>
          <w:rFonts w:hint="eastAsia" w:ascii="宋体" w:hAnsi="宋体"/>
          <w:b/>
          <w:sz w:val="32"/>
          <w:szCs w:val="32"/>
          <w:highlight w:val="none"/>
        </w:rPr>
        <w:t>法定代表人或被委托人：</w:t>
      </w:r>
      <w:r>
        <w:rPr>
          <w:rFonts w:ascii="宋体" w:hAnsi="宋体"/>
          <w:b/>
          <w:sz w:val="32"/>
          <w:szCs w:val="32"/>
          <w:highlight w:val="none"/>
          <w:u w:val="single"/>
        </w:rPr>
        <w:t xml:space="preserve">             </w:t>
      </w:r>
      <w:r>
        <w:rPr>
          <w:rFonts w:hint="eastAsia" w:ascii="宋体" w:hAnsi="宋体"/>
          <w:b/>
          <w:sz w:val="32"/>
          <w:szCs w:val="32"/>
          <w:highlight w:val="none"/>
        </w:rPr>
        <w:t>（签字或盖章）</w:t>
      </w:r>
    </w:p>
    <w:p>
      <w:pPr>
        <w:tabs>
          <w:tab w:val="left" w:pos="360"/>
        </w:tabs>
        <w:spacing w:line="360" w:lineRule="auto"/>
        <w:jc w:val="center"/>
        <w:rPr>
          <w:rFonts w:ascii="宋体"/>
          <w:b/>
          <w:sz w:val="32"/>
          <w:szCs w:val="32"/>
          <w:highlight w:val="none"/>
          <w:u w:val="single"/>
        </w:rPr>
      </w:pPr>
    </w:p>
    <w:p>
      <w:pPr>
        <w:tabs>
          <w:tab w:val="left" w:pos="360"/>
        </w:tabs>
        <w:spacing w:line="360" w:lineRule="auto"/>
        <w:jc w:val="center"/>
        <w:rPr>
          <w:rFonts w:ascii="宋体"/>
          <w:b/>
          <w:sz w:val="32"/>
          <w:szCs w:val="32"/>
          <w:highlight w:val="none"/>
        </w:rPr>
      </w:pPr>
      <w:r>
        <w:rPr>
          <w:rFonts w:ascii="宋体" w:hAnsi="宋体"/>
          <w:b/>
          <w:sz w:val="32"/>
          <w:szCs w:val="32"/>
          <w:highlight w:val="none"/>
          <w:u w:val="single"/>
        </w:rPr>
        <w:t xml:space="preserve">         </w:t>
      </w:r>
      <w:r>
        <w:rPr>
          <w:rFonts w:hint="eastAsia" w:ascii="宋体" w:hAnsi="宋体"/>
          <w:b/>
          <w:sz w:val="32"/>
          <w:szCs w:val="32"/>
          <w:highlight w:val="none"/>
        </w:rPr>
        <w:t>年</w:t>
      </w:r>
      <w:r>
        <w:rPr>
          <w:rFonts w:ascii="宋体" w:hAnsi="宋体"/>
          <w:b/>
          <w:sz w:val="32"/>
          <w:szCs w:val="32"/>
          <w:highlight w:val="none"/>
          <w:u w:val="single"/>
        </w:rPr>
        <w:t xml:space="preserve">      </w:t>
      </w:r>
      <w:r>
        <w:rPr>
          <w:rFonts w:hint="eastAsia" w:ascii="宋体" w:hAnsi="宋体"/>
          <w:b/>
          <w:sz w:val="32"/>
          <w:szCs w:val="32"/>
          <w:highlight w:val="none"/>
        </w:rPr>
        <w:t>月</w:t>
      </w:r>
      <w:r>
        <w:rPr>
          <w:rFonts w:ascii="宋体" w:hAnsi="宋体"/>
          <w:b/>
          <w:sz w:val="32"/>
          <w:szCs w:val="32"/>
          <w:highlight w:val="none"/>
          <w:u w:val="single"/>
        </w:rPr>
        <w:t xml:space="preserve">      </w:t>
      </w:r>
      <w:r>
        <w:rPr>
          <w:rFonts w:hint="eastAsia" w:ascii="宋体" w:hAnsi="宋体"/>
          <w:b/>
          <w:sz w:val="32"/>
          <w:szCs w:val="32"/>
          <w:highlight w:val="none"/>
        </w:rPr>
        <w:t>日</w:t>
      </w:r>
    </w:p>
    <w:p>
      <w:pPr>
        <w:rPr>
          <w:rFonts w:ascii="宋体"/>
          <w:b/>
          <w:sz w:val="32"/>
          <w:szCs w:val="32"/>
          <w:highlight w:val="none"/>
        </w:rPr>
      </w:pPr>
    </w:p>
    <w:p>
      <w:pPr>
        <w:jc w:val="center"/>
        <w:rPr>
          <w:rFonts w:ascii="宋体"/>
          <w:b/>
          <w:sz w:val="32"/>
          <w:szCs w:val="32"/>
          <w:highlight w:val="none"/>
        </w:rPr>
      </w:pPr>
      <w:r>
        <w:rPr>
          <w:rFonts w:hint="eastAsia" w:ascii="宋体" w:hAnsi="宋体"/>
          <w:b/>
          <w:sz w:val="32"/>
          <w:szCs w:val="32"/>
          <w:highlight w:val="none"/>
        </w:rPr>
        <w:t>投标文件编制说明</w:t>
      </w:r>
    </w:p>
    <w:p>
      <w:pPr>
        <w:rPr>
          <w:rFonts w:ascii="宋体"/>
          <w:sz w:val="24"/>
          <w:highlight w:val="none"/>
        </w:rPr>
      </w:pPr>
    </w:p>
    <w:p>
      <w:pPr>
        <w:spacing w:line="360" w:lineRule="auto"/>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、陕西嘉唐建设项目管理有限公司提供的投标文件格式，起到样式作用，编制投标文件前，请详细阅读招标文件，理解文件中的每一项要求。</w:t>
      </w:r>
    </w:p>
    <w:p>
      <w:pPr>
        <w:spacing w:line="360" w:lineRule="auto"/>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、投标文件的编制应按照样本格式提供的内容，做出逐一明确的答复；供应商认为有必要，还可以做其它补充说明。</w:t>
      </w:r>
    </w:p>
    <w:p>
      <w:pPr>
        <w:spacing w:line="360" w:lineRule="auto"/>
        <w:ind w:firstLine="480" w:firstLineChars="200"/>
        <w:rPr>
          <w:rFonts w:ascii="宋体"/>
          <w:sz w:val="24"/>
          <w:highlight w:val="none"/>
        </w:rPr>
      </w:pPr>
      <w:r>
        <w:rPr>
          <w:rFonts w:ascii="宋体" w:hAnsi="宋体"/>
          <w:sz w:val="24"/>
          <w:highlight w:val="none"/>
        </w:rPr>
        <w:t>3</w:t>
      </w:r>
      <w:r>
        <w:rPr>
          <w:rFonts w:hint="eastAsia" w:ascii="宋体" w:hAnsi="宋体"/>
          <w:sz w:val="24"/>
          <w:highlight w:val="none"/>
        </w:rPr>
        <w:t>、全部编制完成，并加盖印章后，投标文件“正本、副本”应分别装订成册。</w:t>
      </w: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p>
    <w:p>
      <w:pPr>
        <w:spacing w:line="460" w:lineRule="exact"/>
        <w:jc w:val="center"/>
        <w:outlineLvl w:val="0"/>
        <w:rPr>
          <w:rFonts w:ascii="宋体"/>
          <w:b/>
          <w:sz w:val="44"/>
          <w:szCs w:val="44"/>
          <w:highlight w:val="none"/>
        </w:rPr>
      </w:pPr>
      <w:bookmarkStart w:id="293" w:name="_Toc15319"/>
      <w:r>
        <w:rPr>
          <w:rFonts w:hint="eastAsia" w:ascii="宋体" w:hAnsi="宋体"/>
          <w:b/>
          <w:sz w:val="44"/>
          <w:szCs w:val="44"/>
          <w:highlight w:val="none"/>
        </w:rPr>
        <w:t>目</w:t>
      </w:r>
      <w:r>
        <w:rPr>
          <w:rFonts w:ascii="宋体" w:hAnsi="宋体"/>
          <w:b/>
          <w:sz w:val="44"/>
          <w:szCs w:val="44"/>
          <w:highlight w:val="none"/>
        </w:rPr>
        <w:t xml:space="preserve">   </w:t>
      </w:r>
      <w:r>
        <w:rPr>
          <w:rFonts w:hint="eastAsia" w:ascii="宋体" w:hAnsi="宋体"/>
          <w:b/>
          <w:sz w:val="44"/>
          <w:szCs w:val="44"/>
          <w:highlight w:val="none"/>
        </w:rPr>
        <w:t>录</w:t>
      </w:r>
      <w:bookmarkEnd w:id="293"/>
    </w:p>
    <w:p>
      <w:pPr>
        <w:spacing w:line="460" w:lineRule="exact"/>
        <w:outlineLvl w:val="0"/>
        <w:rPr>
          <w:rFonts w:ascii="宋体"/>
          <w:b/>
          <w:sz w:val="32"/>
          <w:highlight w:val="none"/>
        </w:rPr>
      </w:pPr>
    </w:p>
    <w:p>
      <w:pPr>
        <w:snapToGrid w:val="0"/>
        <w:spacing w:line="480" w:lineRule="auto"/>
        <w:ind w:firstLine="1792" w:firstLineChars="640"/>
        <w:rPr>
          <w:rFonts w:ascii="宋体"/>
          <w:sz w:val="28"/>
          <w:szCs w:val="28"/>
          <w:highlight w:val="none"/>
        </w:rPr>
      </w:pPr>
      <w:r>
        <w:rPr>
          <w:rFonts w:hint="eastAsia" w:ascii="宋体" w:hAnsi="宋体"/>
          <w:sz w:val="28"/>
          <w:szCs w:val="28"/>
          <w:highlight w:val="none"/>
        </w:rPr>
        <w:t>一</w:t>
      </w:r>
      <w:r>
        <w:rPr>
          <w:rFonts w:ascii="宋体" w:hAnsi="宋体"/>
          <w:sz w:val="28"/>
          <w:szCs w:val="28"/>
          <w:highlight w:val="none"/>
        </w:rPr>
        <w:t xml:space="preserve">  </w:t>
      </w:r>
      <w:r>
        <w:rPr>
          <w:rFonts w:hint="eastAsia" w:ascii="宋体" w:hAnsi="宋体"/>
          <w:sz w:val="28"/>
          <w:szCs w:val="28"/>
          <w:highlight w:val="none"/>
        </w:rPr>
        <w:t>投标函</w:t>
      </w:r>
    </w:p>
    <w:p>
      <w:pPr>
        <w:snapToGrid w:val="0"/>
        <w:spacing w:line="480" w:lineRule="auto"/>
        <w:ind w:firstLine="1792" w:firstLineChars="640"/>
        <w:rPr>
          <w:rFonts w:ascii="宋体"/>
          <w:sz w:val="28"/>
          <w:szCs w:val="28"/>
          <w:highlight w:val="none"/>
        </w:rPr>
      </w:pPr>
      <w:r>
        <w:rPr>
          <w:rFonts w:hint="eastAsia" w:ascii="宋体" w:hAnsi="宋体"/>
          <w:sz w:val="28"/>
          <w:szCs w:val="28"/>
          <w:highlight w:val="none"/>
        </w:rPr>
        <w:t>二</w:t>
      </w:r>
      <w:r>
        <w:rPr>
          <w:rFonts w:ascii="宋体" w:hAnsi="宋体"/>
          <w:sz w:val="28"/>
          <w:szCs w:val="28"/>
          <w:highlight w:val="none"/>
        </w:rPr>
        <w:t xml:space="preserve">  </w:t>
      </w:r>
      <w:r>
        <w:rPr>
          <w:rFonts w:hint="eastAsia" w:ascii="宋体" w:hAnsi="宋体"/>
          <w:sz w:val="28"/>
          <w:szCs w:val="28"/>
          <w:highlight w:val="none"/>
        </w:rPr>
        <w:t>投标一览表（唱标报告）</w:t>
      </w:r>
    </w:p>
    <w:p>
      <w:pPr>
        <w:snapToGrid w:val="0"/>
        <w:spacing w:line="480" w:lineRule="auto"/>
        <w:ind w:firstLine="1792" w:firstLineChars="640"/>
        <w:rPr>
          <w:rFonts w:ascii="宋体"/>
          <w:sz w:val="28"/>
          <w:szCs w:val="28"/>
          <w:highlight w:val="none"/>
        </w:rPr>
      </w:pPr>
      <w:r>
        <w:rPr>
          <w:rFonts w:hint="eastAsia" w:ascii="宋体" w:hAnsi="宋体"/>
          <w:sz w:val="28"/>
          <w:szCs w:val="28"/>
          <w:highlight w:val="none"/>
        </w:rPr>
        <w:t>三</w:t>
      </w:r>
      <w:r>
        <w:rPr>
          <w:rFonts w:ascii="宋体" w:hAnsi="宋体"/>
          <w:sz w:val="28"/>
          <w:szCs w:val="28"/>
          <w:highlight w:val="none"/>
        </w:rPr>
        <w:t xml:space="preserve">  </w:t>
      </w:r>
      <w:r>
        <w:rPr>
          <w:rFonts w:hint="eastAsia" w:ascii="宋体" w:hAnsi="宋体"/>
          <w:sz w:val="28"/>
          <w:szCs w:val="28"/>
          <w:highlight w:val="none"/>
        </w:rPr>
        <w:t>法定代表人授权书</w:t>
      </w:r>
    </w:p>
    <w:p>
      <w:pPr>
        <w:snapToGrid w:val="0"/>
        <w:spacing w:line="480" w:lineRule="auto"/>
        <w:ind w:firstLine="1792" w:firstLineChars="640"/>
        <w:rPr>
          <w:rFonts w:ascii="宋体"/>
          <w:color w:val="000000"/>
          <w:sz w:val="28"/>
          <w:szCs w:val="28"/>
          <w:highlight w:val="none"/>
        </w:rPr>
      </w:pPr>
      <w:r>
        <w:rPr>
          <w:rFonts w:hint="eastAsia" w:ascii="宋体" w:hAnsi="宋体"/>
          <w:color w:val="000000"/>
          <w:sz w:val="28"/>
          <w:szCs w:val="28"/>
          <w:highlight w:val="none"/>
        </w:rPr>
        <w:t>四</w:t>
      </w:r>
      <w:r>
        <w:rPr>
          <w:rFonts w:ascii="宋体" w:hAnsi="宋体"/>
          <w:color w:val="000000"/>
          <w:sz w:val="28"/>
          <w:szCs w:val="28"/>
          <w:highlight w:val="none"/>
        </w:rPr>
        <w:t xml:space="preserve">  </w:t>
      </w:r>
      <w:r>
        <w:rPr>
          <w:rFonts w:hint="eastAsia" w:ascii="宋体" w:hAnsi="宋体"/>
          <w:color w:val="000000"/>
          <w:sz w:val="28"/>
          <w:szCs w:val="28"/>
          <w:highlight w:val="none"/>
        </w:rPr>
        <w:t>商务响应及相关证明</w:t>
      </w:r>
    </w:p>
    <w:p>
      <w:pPr>
        <w:snapToGrid w:val="0"/>
        <w:spacing w:line="480" w:lineRule="auto"/>
        <w:ind w:firstLine="1792" w:firstLineChars="640"/>
        <w:rPr>
          <w:rFonts w:ascii="宋体"/>
          <w:color w:val="000000"/>
          <w:sz w:val="28"/>
          <w:szCs w:val="28"/>
          <w:highlight w:val="none"/>
        </w:rPr>
      </w:pPr>
      <w:r>
        <w:rPr>
          <w:rFonts w:hint="eastAsia" w:ascii="宋体" w:hAnsi="宋体"/>
          <w:color w:val="000000"/>
          <w:sz w:val="28"/>
          <w:szCs w:val="28"/>
          <w:highlight w:val="none"/>
        </w:rPr>
        <w:t>五</w:t>
      </w:r>
      <w:r>
        <w:rPr>
          <w:rFonts w:ascii="宋体" w:hAnsi="宋体"/>
          <w:color w:val="000000"/>
          <w:sz w:val="28"/>
          <w:szCs w:val="28"/>
          <w:highlight w:val="none"/>
        </w:rPr>
        <w:t xml:space="preserve">  </w:t>
      </w:r>
      <w:r>
        <w:rPr>
          <w:rFonts w:hint="eastAsia" w:ascii="宋体" w:hAnsi="宋体"/>
          <w:color w:val="000000"/>
          <w:sz w:val="28"/>
          <w:szCs w:val="28"/>
          <w:highlight w:val="none"/>
        </w:rPr>
        <w:t>技术响应</w:t>
      </w:r>
    </w:p>
    <w:p>
      <w:pPr>
        <w:snapToGrid w:val="0"/>
        <w:spacing w:line="480" w:lineRule="auto"/>
        <w:ind w:firstLine="1792" w:firstLineChars="640"/>
        <w:rPr>
          <w:rFonts w:ascii="宋体"/>
          <w:color w:val="000000"/>
          <w:sz w:val="28"/>
          <w:szCs w:val="28"/>
          <w:highlight w:val="none"/>
        </w:rPr>
      </w:pPr>
      <w:r>
        <w:rPr>
          <w:rFonts w:hint="eastAsia" w:ascii="宋体" w:hAnsi="宋体"/>
          <w:color w:val="000000"/>
          <w:sz w:val="28"/>
          <w:szCs w:val="28"/>
          <w:highlight w:val="none"/>
        </w:rPr>
        <w:t>六</w:t>
      </w:r>
      <w:r>
        <w:rPr>
          <w:rFonts w:ascii="宋体" w:hAnsi="宋体"/>
          <w:color w:val="000000"/>
          <w:sz w:val="28"/>
          <w:szCs w:val="28"/>
          <w:highlight w:val="none"/>
        </w:rPr>
        <w:t xml:space="preserve">  </w:t>
      </w:r>
      <w:r>
        <w:rPr>
          <w:rFonts w:hint="eastAsia" w:ascii="宋体" w:hAnsi="宋体"/>
          <w:color w:val="000000"/>
          <w:sz w:val="28"/>
          <w:szCs w:val="28"/>
          <w:highlight w:val="none"/>
        </w:rPr>
        <w:t>采购供应商拒绝政府采购领域商业贿赂承诺书</w:t>
      </w:r>
    </w:p>
    <w:p>
      <w:pPr>
        <w:snapToGrid w:val="0"/>
        <w:spacing w:line="360" w:lineRule="auto"/>
        <w:ind w:firstLine="1792" w:firstLineChars="640"/>
        <w:rPr>
          <w:rFonts w:ascii="宋体"/>
          <w:color w:val="000000"/>
          <w:sz w:val="28"/>
          <w:szCs w:val="28"/>
          <w:highlight w:val="none"/>
        </w:rPr>
      </w:pPr>
    </w:p>
    <w:p>
      <w:pPr>
        <w:snapToGrid w:val="0"/>
        <w:spacing w:line="360" w:lineRule="auto"/>
        <w:ind w:firstLine="1792" w:firstLineChars="640"/>
        <w:rPr>
          <w:rFonts w:ascii="宋体"/>
          <w:color w:val="000000"/>
          <w:sz w:val="28"/>
          <w:szCs w:val="28"/>
          <w:highlight w:val="none"/>
        </w:rPr>
      </w:pPr>
    </w:p>
    <w:p>
      <w:pPr>
        <w:snapToGrid w:val="0"/>
        <w:spacing w:line="360" w:lineRule="auto"/>
        <w:ind w:firstLine="1792" w:firstLineChars="640"/>
        <w:rPr>
          <w:rFonts w:ascii="宋体"/>
          <w:color w:val="000000"/>
          <w:sz w:val="28"/>
          <w:szCs w:val="28"/>
          <w:highlight w:val="none"/>
        </w:rPr>
      </w:pPr>
    </w:p>
    <w:p>
      <w:pPr>
        <w:pStyle w:val="89"/>
        <w:ind w:firstLine="2530" w:firstLineChars="840"/>
        <w:rPr>
          <w:sz w:val="18"/>
          <w:szCs w:val="18"/>
          <w:highlight w:val="none"/>
        </w:rPr>
      </w:pPr>
      <w:r>
        <w:rPr>
          <w:sz w:val="30"/>
          <w:highlight w:val="none"/>
        </w:rPr>
        <w:br w:type="page"/>
      </w:r>
    </w:p>
    <w:p>
      <w:pPr>
        <w:jc w:val="center"/>
        <w:rPr>
          <w:rFonts w:ascii="宋体"/>
          <w:b/>
          <w:sz w:val="32"/>
          <w:szCs w:val="32"/>
          <w:highlight w:val="none"/>
        </w:rPr>
      </w:pPr>
      <w:r>
        <w:rPr>
          <w:rFonts w:hint="eastAsia" w:ascii="宋体" w:hAnsi="宋体"/>
          <w:b/>
          <w:sz w:val="32"/>
          <w:szCs w:val="32"/>
          <w:highlight w:val="none"/>
        </w:rPr>
        <w:t>一</w:t>
      </w:r>
      <w:r>
        <w:rPr>
          <w:rFonts w:ascii="宋体" w:hAnsi="宋体"/>
          <w:b/>
          <w:sz w:val="32"/>
          <w:szCs w:val="32"/>
          <w:highlight w:val="none"/>
        </w:rPr>
        <w:t xml:space="preserve">   </w:t>
      </w:r>
      <w:r>
        <w:rPr>
          <w:rFonts w:hint="eastAsia" w:ascii="宋体" w:hAnsi="宋体"/>
          <w:b/>
          <w:sz w:val="32"/>
          <w:szCs w:val="32"/>
          <w:highlight w:val="none"/>
        </w:rPr>
        <w:t>投标函</w:t>
      </w:r>
    </w:p>
    <w:p>
      <w:pPr>
        <w:pStyle w:val="35"/>
        <w:spacing w:before="0" w:beforeAutospacing="0" w:after="0" w:afterAutospacing="0" w:line="360" w:lineRule="auto"/>
        <w:rPr>
          <w:rFonts w:hint="eastAsia" w:ascii="宋体" w:hAnsi="宋体" w:eastAsia="宋体" w:cs="宋体"/>
          <w:highlight w:val="none"/>
        </w:rPr>
      </w:pPr>
      <w:r>
        <w:rPr>
          <w:rFonts w:hint="eastAsia" w:ascii="宋体" w:hAnsi="宋体" w:eastAsia="宋体" w:cs="宋体"/>
          <w:highlight w:val="none"/>
        </w:rPr>
        <w:t>致：</w:t>
      </w:r>
      <w:r>
        <w:rPr>
          <w:rFonts w:hint="eastAsia" w:ascii="宋体" w:hAnsi="宋体" w:eastAsia="宋体" w:cs="宋体"/>
          <w:highlight w:val="none"/>
          <w:u w:val="single"/>
        </w:rPr>
        <w:t>（</w:t>
      </w:r>
      <w:r>
        <w:rPr>
          <w:rFonts w:hint="eastAsia" w:cs="宋体"/>
          <w:highlight w:val="none"/>
          <w:u w:val="single"/>
          <w:lang w:eastAsia="zh-CN"/>
        </w:rPr>
        <w:t>采购</w:t>
      </w:r>
      <w:r>
        <w:rPr>
          <w:rFonts w:hint="eastAsia" w:ascii="宋体" w:hAnsi="宋体" w:eastAsia="宋体" w:cs="宋体"/>
          <w:highlight w:val="none"/>
          <w:u w:val="single"/>
        </w:rPr>
        <w:t>人）</w:t>
      </w:r>
    </w:p>
    <w:p>
      <w:pPr>
        <w:pStyle w:val="35"/>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highlight w:val="none"/>
        </w:rPr>
        <w:t>1、根据已收到</w:t>
      </w:r>
      <w:r>
        <w:rPr>
          <w:rFonts w:hint="eastAsia" w:ascii="宋体" w:hAnsi="宋体" w:eastAsia="宋体" w:cs="宋体"/>
          <w:highlight w:val="none"/>
          <w:u w:val="single"/>
        </w:rPr>
        <w:t>（项目名称）（</w:t>
      </w:r>
      <w:r>
        <w:rPr>
          <w:rFonts w:hint="eastAsia" w:cs="宋体"/>
          <w:highlight w:val="none"/>
          <w:u w:val="single"/>
          <w:lang w:eastAsia="zh-CN"/>
        </w:rPr>
        <w:t>项目编号</w:t>
      </w:r>
      <w:r>
        <w:rPr>
          <w:rFonts w:hint="eastAsia" w:ascii="宋体" w:hAnsi="宋体" w:eastAsia="宋体" w:cs="宋体"/>
          <w:highlight w:val="none"/>
          <w:u w:val="single"/>
        </w:rPr>
        <w:t>）</w:t>
      </w:r>
      <w:r>
        <w:rPr>
          <w:rFonts w:hint="eastAsia" w:ascii="宋体" w:hAnsi="宋体" w:eastAsia="宋体" w:cs="宋体"/>
          <w:highlight w:val="none"/>
        </w:rPr>
        <w:t>的招标文件，遵照《中华人民共和国政府采购法》、《中华人民共和国招标投标法》</w:t>
      </w:r>
      <w:r>
        <w:rPr>
          <w:rFonts w:hint="eastAsia" w:ascii="宋体" w:hAnsi="宋体" w:eastAsia="宋体" w:cs="宋体"/>
          <w:highlight w:val="none"/>
          <w:lang w:eastAsia="zh-CN"/>
        </w:rPr>
        <w:t>、</w:t>
      </w:r>
      <w:r>
        <w:rPr>
          <w:rFonts w:hint="eastAsia" w:ascii="宋体" w:hAnsi="宋体" w:eastAsia="宋体" w:cs="宋体"/>
          <w:highlight w:val="none"/>
        </w:rPr>
        <w:t>《中华人民共和国招标投标法</w:t>
      </w:r>
      <w:r>
        <w:rPr>
          <w:rFonts w:hint="eastAsia" w:ascii="宋体" w:hAnsi="宋体" w:eastAsia="宋体" w:cs="宋体"/>
          <w:highlight w:val="none"/>
          <w:lang w:eastAsia="zh-CN"/>
        </w:rPr>
        <w:t>实施条例</w:t>
      </w:r>
      <w:r>
        <w:rPr>
          <w:rFonts w:hint="eastAsia" w:ascii="宋体" w:hAnsi="宋体" w:eastAsia="宋体" w:cs="宋体"/>
          <w:highlight w:val="none"/>
        </w:rPr>
        <w:t>》等有关规定，</w:t>
      </w:r>
      <w:r>
        <w:rPr>
          <w:rFonts w:hint="eastAsia" w:ascii="宋体" w:hAnsi="宋体"/>
          <w:color w:val="000000"/>
          <w:sz w:val="24"/>
          <w:highlight w:val="none"/>
        </w:rPr>
        <w:t>我方己仔细研究了项目招标文件的全部内容，承诺完全响应招标文件的全部内容，愿意以人民币（大写）</w:t>
      </w:r>
      <w:r>
        <w:rPr>
          <w:rFonts w:ascii="宋体" w:hAnsi="宋体"/>
          <w:color w:val="000000"/>
          <w:sz w:val="24"/>
          <w:highlight w:val="none"/>
          <w:u w:val="single"/>
        </w:rPr>
        <w:t xml:space="preserve">                 </w:t>
      </w:r>
      <w:r>
        <w:rPr>
          <w:rFonts w:hint="eastAsia" w:ascii="宋体" w:hAnsi="宋体"/>
          <w:color w:val="000000"/>
          <w:sz w:val="24"/>
          <w:highlight w:val="none"/>
        </w:rPr>
        <w:t>元（￥</w:t>
      </w:r>
      <w:r>
        <w:rPr>
          <w:rFonts w:ascii="宋体" w:hAnsi="宋体"/>
          <w:color w:val="000000"/>
          <w:sz w:val="24"/>
          <w:highlight w:val="none"/>
          <w:u w:val="single"/>
        </w:rPr>
        <w:t xml:space="preserve">       </w:t>
      </w:r>
      <w:r>
        <w:rPr>
          <w:rFonts w:hint="eastAsia" w:ascii="宋体" w:hAnsi="宋体"/>
          <w:color w:val="000000"/>
          <w:sz w:val="24"/>
          <w:highlight w:val="none"/>
        </w:rPr>
        <w:t>元）的投标总报价</w:t>
      </w:r>
      <w:r>
        <w:rPr>
          <w:rFonts w:hint="eastAsia"/>
          <w:color w:val="000000"/>
          <w:sz w:val="24"/>
          <w:highlight w:val="none"/>
          <w:lang w:eastAsia="zh-CN"/>
        </w:rPr>
        <w:t>，</w:t>
      </w:r>
      <w:r>
        <w:rPr>
          <w:rFonts w:hint="eastAsia" w:ascii="宋体" w:hAnsi="宋体"/>
          <w:color w:val="000000"/>
          <w:sz w:val="24"/>
          <w:highlight w:val="none"/>
        </w:rPr>
        <w:t>愿意</w:t>
      </w:r>
      <w:r>
        <w:rPr>
          <w:rFonts w:hint="eastAsia" w:ascii="宋体" w:hAnsi="宋体" w:eastAsia="宋体" w:cs="宋体"/>
          <w:highlight w:val="none"/>
        </w:rPr>
        <w:t>以（一）镐京遗址文物勘探和发掘项目集体土地建筑物拆除：</w:t>
      </w:r>
      <w:r>
        <w:rPr>
          <w:rFonts w:hint="eastAsia" w:ascii="宋体" w:hAnsi="宋体" w:eastAsia="宋体" w:cs="宋体"/>
          <w:highlight w:val="none"/>
          <w:u w:val="single"/>
        </w:rPr>
        <w:t xml:space="preserve"> </w:t>
      </w:r>
      <w:r>
        <w:rPr>
          <w:rFonts w:hint="eastAsia" w:cs="宋体"/>
          <w:highlight w:val="none"/>
          <w:u w:val="single"/>
          <w:lang w:val="en-US" w:eastAsia="zh-CN"/>
        </w:rPr>
        <w:t xml:space="preserve">    </w:t>
      </w:r>
      <w:r>
        <w:rPr>
          <w:rFonts w:hint="eastAsia" w:ascii="宋体" w:hAnsi="宋体" w:eastAsia="宋体" w:cs="宋体"/>
          <w:highlight w:val="none"/>
        </w:rPr>
        <w:t>元/m</w:t>
      </w:r>
      <w:r>
        <w:rPr>
          <w:rFonts w:hint="eastAsia" w:ascii="宋体" w:hAnsi="宋体" w:eastAsia="宋体" w:cs="宋体"/>
          <w:highlight w:val="none"/>
          <w:vertAlign w:val="superscript"/>
        </w:rPr>
        <w:t>2</w:t>
      </w:r>
      <w:r>
        <w:rPr>
          <w:rFonts w:hint="eastAsia" w:ascii="宋体" w:hAnsi="宋体" w:eastAsia="宋体" w:cs="宋体"/>
          <w:highlight w:val="none"/>
        </w:rPr>
        <w:t>；（二）镐京遗址文物勘探和发掘项目集体土地地面破碎：</w:t>
      </w:r>
      <w:r>
        <w:rPr>
          <w:rFonts w:hint="eastAsia" w:ascii="宋体" w:hAnsi="宋体" w:eastAsia="宋体" w:cs="宋体"/>
          <w:highlight w:val="none"/>
          <w:u w:val="single"/>
        </w:rPr>
        <w:t xml:space="preserve"> </w:t>
      </w:r>
      <w:r>
        <w:rPr>
          <w:rFonts w:hint="eastAsia" w:cs="宋体"/>
          <w:highlight w:val="none"/>
          <w:u w:val="single"/>
          <w:lang w:val="en-US" w:eastAsia="zh-CN"/>
        </w:rPr>
        <w:t xml:space="preserve">     </w:t>
      </w:r>
      <w:r>
        <w:rPr>
          <w:rFonts w:hint="eastAsia" w:ascii="宋体" w:hAnsi="宋体" w:eastAsia="宋体" w:cs="宋体"/>
          <w:highlight w:val="none"/>
        </w:rPr>
        <w:t>元/m</w:t>
      </w:r>
      <w:r>
        <w:rPr>
          <w:rFonts w:hint="eastAsia" w:ascii="宋体" w:hAnsi="宋体" w:eastAsia="宋体" w:cs="宋体"/>
          <w:highlight w:val="none"/>
          <w:vertAlign w:val="superscript"/>
        </w:rPr>
        <w:t>2</w:t>
      </w:r>
      <w:r>
        <w:rPr>
          <w:rFonts w:hint="eastAsia" w:ascii="宋体" w:hAnsi="宋体" w:eastAsia="宋体" w:cs="宋体"/>
          <w:highlight w:val="none"/>
        </w:rPr>
        <w:t>；（三）</w:t>
      </w:r>
      <w:r>
        <w:rPr>
          <w:rFonts w:hint="eastAsia" w:cs="宋体"/>
          <w:kern w:val="0"/>
          <w:sz w:val="24"/>
          <w:highlight w:val="none"/>
          <w:lang w:eastAsia="zh-CN"/>
        </w:rPr>
        <w:t>镐京遗址文物勘探和发掘项目集体土地垃圾清运</w:t>
      </w:r>
      <w:r>
        <w:rPr>
          <w:rFonts w:hint="eastAsia" w:ascii="宋体" w:hAnsi="宋体" w:eastAsia="宋体" w:cs="宋体"/>
          <w:highlight w:val="none"/>
        </w:rPr>
        <w:t>：</w:t>
      </w:r>
      <w:r>
        <w:rPr>
          <w:rFonts w:hint="eastAsia" w:ascii="宋体" w:hAnsi="宋体" w:eastAsia="宋体" w:cs="宋体"/>
          <w:highlight w:val="none"/>
          <w:u w:val="single"/>
        </w:rPr>
        <w:t xml:space="preserve"> </w:t>
      </w:r>
      <w:r>
        <w:rPr>
          <w:rFonts w:hint="eastAsia" w:cs="宋体"/>
          <w:highlight w:val="none"/>
          <w:u w:val="single"/>
          <w:lang w:val="en-US" w:eastAsia="zh-CN"/>
        </w:rPr>
        <w:t xml:space="preserve">    </w:t>
      </w:r>
      <w:r>
        <w:rPr>
          <w:rFonts w:hint="eastAsia" w:ascii="宋体" w:hAnsi="宋体" w:eastAsia="宋体" w:cs="宋体"/>
          <w:highlight w:val="none"/>
        </w:rPr>
        <w:t>元/m</w:t>
      </w:r>
      <w:r>
        <w:rPr>
          <w:rFonts w:hint="eastAsia" w:ascii="宋体" w:hAnsi="宋体" w:eastAsia="宋体" w:cs="宋体"/>
          <w:highlight w:val="none"/>
          <w:vertAlign w:val="superscript"/>
        </w:rPr>
        <w:t>3</w:t>
      </w:r>
      <w:r>
        <w:rPr>
          <w:rFonts w:hint="eastAsia" w:cs="宋体"/>
          <w:highlight w:val="none"/>
          <w:vertAlign w:val="baseline"/>
          <w:lang w:eastAsia="zh-CN"/>
        </w:rPr>
        <w:t>；</w:t>
      </w:r>
      <w:r>
        <w:rPr>
          <w:rFonts w:hint="eastAsia" w:ascii="宋体" w:hAnsi="宋体" w:eastAsia="宋体" w:cs="宋体"/>
          <w:highlight w:val="none"/>
        </w:rPr>
        <w:t>（四）镐京遗址文物勘探和发掘项目集体土地苗木清表</w:t>
      </w:r>
      <w:r>
        <w:rPr>
          <w:rFonts w:hint="eastAsia" w:cs="宋体"/>
          <w:highlight w:val="none"/>
          <w:lang w:eastAsia="zh-CN"/>
        </w:rPr>
        <w:t>：</w:t>
      </w:r>
      <w:r>
        <w:rPr>
          <w:rFonts w:hint="eastAsia" w:cs="宋体"/>
          <w:highlight w:val="none"/>
          <w:lang w:val="en-US" w:eastAsia="zh-CN"/>
        </w:rPr>
        <w:t xml:space="preserve"> </w:t>
      </w:r>
      <w:r>
        <w:rPr>
          <w:rFonts w:hint="eastAsia" w:cs="宋体"/>
          <w:highlight w:val="none"/>
          <w:u w:val="single"/>
          <w:lang w:val="en-US" w:eastAsia="zh-CN"/>
        </w:rPr>
        <w:t xml:space="preserve">   </w:t>
      </w:r>
      <w:r>
        <w:rPr>
          <w:rFonts w:hint="eastAsia" w:ascii="宋体" w:hAnsi="宋体" w:eastAsia="宋体" w:cs="宋体"/>
          <w:highlight w:val="none"/>
          <w:u w:val="single"/>
        </w:rPr>
        <w:t xml:space="preserve"> </w:t>
      </w:r>
      <w:r>
        <w:rPr>
          <w:rFonts w:hint="eastAsia" w:ascii="宋体" w:hAnsi="宋体" w:eastAsia="宋体" w:cs="宋体"/>
          <w:highlight w:val="none"/>
        </w:rPr>
        <w:t>元/亩，按</w:t>
      </w:r>
      <w:r>
        <w:rPr>
          <w:rFonts w:hint="eastAsia" w:ascii="宋体" w:hAnsi="宋体" w:eastAsia="宋体" w:cs="宋体"/>
          <w:color w:val="auto"/>
          <w:highlight w:val="none"/>
          <w:u w:val="single"/>
        </w:rPr>
        <w:t>（项目名称）（</w:t>
      </w:r>
      <w:r>
        <w:rPr>
          <w:rFonts w:hint="eastAsia" w:cs="宋体"/>
          <w:color w:val="auto"/>
          <w:highlight w:val="none"/>
          <w:u w:val="single"/>
          <w:lang w:eastAsia="zh-CN"/>
        </w:rPr>
        <w:t>项目编号</w:t>
      </w:r>
      <w:r>
        <w:rPr>
          <w:rFonts w:hint="eastAsia" w:ascii="宋体" w:hAnsi="宋体" w:eastAsia="宋体" w:cs="宋体"/>
          <w:color w:val="auto"/>
          <w:highlight w:val="none"/>
          <w:u w:val="single"/>
        </w:rPr>
        <w:t>）</w:t>
      </w:r>
      <w:r>
        <w:rPr>
          <w:rFonts w:hint="eastAsia" w:ascii="宋体" w:hAnsi="宋体" w:eastAsia="宋体" w:cs="宋体"/>
          <w:color w:val="auto"/>
          <w:highlight w:val="none"/>
        </w:rPr>
        <w:t>招标文件、答疑纪要、合同条款及其他有关文件等承包本工程的施工、竣工和保修，并承担任何质量缺陷保修责任。</w:t>
      </w:r>
    </w:p>
    <w:p>
      <w:pPr>
        <w:pStyle w:val="35"/>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2、我方已详细审核全部招标文件及有关附件、工程现场条件、招标答疑纪要、补遗书等文件。</w:t>
      </w:r>
    </w:p>
    <w:p>
      <w:pPr>
        <w:pStyle w:val="35"/>
        <w:spacing w:before="0" w:beforeAutospacing="0" w:after="0" w:afterAutospacing="0"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3、该报价是完成本招标文件规定的、所需的一切费用，且不低于我单位工程施工的成本价。</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ascii="宋体" w:hAnsi="宋体" w:eastAsia="宋体" w:cs="宋体"/>
          <w:color w:val="auto"/>
          <w:highlight w:val="none"/>
        </w:rPr>
        <w:t>4、如果我方中标，我方保证在</w:t>
      </w:r>
      <w:r>
        <w:rPr>
          <w:rFonts w:hint="eastAsia" w:cs="宋体"/>
          <w:color w:val="auto"/>
          <w:highlight w:val="none"/>
          <w:u w:val="single"/>
          <w:lang w:val="en-US" w:eastAsia="zh-CN"/>
        </w:rPr>
        <w:t xml:space="preserve">     </w:t>
      </w:r>
      <w:r>
        <w:rPr>
          <w:rFonts w:hint="eastAsia" w:cs="宋体"/>
          <w:color w:val="auto"/>
          <w:highlight w:val="none"/>
          <w:u w:val="none"/>
          <w:lang w:val="en-US" w:eastAsia="zh-CN"/>
        </w:rPr>
        <w:t>日历天内完</w:t>
      </w:r>
      <w:r>
        <w:rPr>
          <w:rFonts w:hint="eastAsia" w:ascii="宋体" w:hAnsi="宋体" w:eastAsia="宋体" w:cs="宋体"/>
          <w:color w:val="auto"/>
          <w:highlight w:val="none"/>
        </w:rPr>
        <w:t>工，并确保</w:t>
      </w:r>
      <w:r>
        <w:rPr>
          <w:rFonts w:hint="eastAsia" w:ascii="宋体" w:hAnsi="宋体" w:eastAsia="宋体" w:cs="宋体"/>
          <w:highlight w:val="none"/>
        </w:rPr>
        <w:t>工程质量达到标准。拟派项目</w:t>
      </w:r>
      <w:r>
        <w:rPr>
          <w:rFonts w:hint="eastAsia" w:ascii="宋体" w:hAnsi="宋体" w:eastAsia="宋体" w:cs="宋体"/>
          <w:highlight w:val="none"/>
          <w:lang w:eastAsia="zh-CN"/>
        </w:rPr>
        <w:t>经理</w:t>
      </w:r>
      <w:r>
        <w:rPr>
          <w:rFonts w:hint="eastAsia" w:ascii="宋体" w:hAnsi="宋体" w:eastAsia="宋体" w:cs="宋体"/>
          <w:highlight w:val="none"/>
          <w:u w:val="single"/>
        </w:rPr>
        <w:t>    </w:t>
      </w:r>
      <w:r>
        <w:rPr>
          <w:rFonts w:hint="eastAsia" w:ascii="宋体" w:hAnsi="宋体" w:eastAsia="宋体" w:cs="宋体"/>
          <w:highlight w:val="none"/>
        </w:rPr>
        <w:t>，证书编号</w:t>
      </w:r>
      <w:r>
        <w:rPr>
          <w:rFonts w:hint="eastAsia" w:ascii="宋体" w:hAnsi="宋体" w:eastAsia="宋体" w:cs="宋体"/>
          <w:highlight w:val="none"/>
          <w:u w:val="single"/>
        </w:rPr>
        <w:t>    </w:t>
      </w:r>
      <w:r>
        <w:rPr>
          <w:rFonts w:hint="eastAsia" w:ascii="宋体" w:hAnsi="宋体" w:eastAsia="宋体" w:cs="宋体"/>
          <w:highlight w:val="none"/>
        </w:rPr>
        <w:t>。我方同意本投标函在招标文件规定的提交投标文件截止时间后，在招标文件规定的投标有效期期满前对我方具有约束力，且随时准备接受你方发出的中标通知书。</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5、如果我方中标，我方将按照招标人规定时间足额提交合同履约保证金。</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6、我方保证以前递交的本工程相关资料和投标函中各种附件是真实可靠的，如有不实，我方将无条件接受招标人的处理决定，甚至自动退出投标，由此产生的一切后果均由我方负责。</w:t>
      </w:r>
    </w:p>
    <w:p>
      <w:pPr>
        <w:pStyle w:val="35"/>
        <w:spacing w:before="0" w:beforeAutospacing="0" w:after="0" w:afterAutospacing="0" w:line="360" w:lineRule="auto"/>
        <w:ind w:firstLine="480" w:firstLineChars="200"/>
        <w:rPr>
          <w:rStyle w:val="40"/>
          <w:rFonts w:hint="eastAsia" w:ascii="宋体" w:hAnsi="宋体" w:eastAsia="宋体" w:cs="宋体"/>
          <w:b w:val="0"/>
          <w:bCs w:val="0"/>
          <w:highlight w:val="none"/>
        </w:rPr>
      </w:pPr>
      <w:r>
        <w:rPr>
          <w:rFonts w:hint="eastAsia" w:cs="宋体"/>
          <w:highlight w:val="none"/>
          <w:lang w:val="en-US" w:eastAsia="zh-CN"/>
        </w:rPr>
        <w:t>7</w:t>
      </w:r>
      <w:r>
        <w:rPr>
          <w:rFonts w:hint="eastAsia" w:ascii="宋体" w:hAnsi="宋体" w:eastAsia="宋体" w:cs="宋体"/>
          <w:highlight w:val="none"/>
        </w:rPr>
        <w:t>、我方的投标文件在开标后</w:t>
      </w:r>
      <w:r>
        <w:rPr>
          <w:rFonts w:hint="eastAsia" w:cs="宋体"/>
          <w:highlight w:val="none"/>
          <w:u w:val="none"/>
          <w:lang w:val="en-US" w:eastAsia="zh-CN"/>
        </w:rPr>
        <w:t>90天</w:t>
      </w:r>
      <w:r>
        <w:rPr>
          <w:rFonts w:hint="eastAsia" w:ascii="宋体" w:hAnsi="宋体" w:eastAsia="宋体" w:cs="宋体"/>
          <w:highlight w:val="none"/>
        </w:rPr>
        <w:t>有效，在投标有效期内不修改或撤回投标文件。</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cs="宋体"/>
          <w:highlight w:val="none"/>
          <w:lang w:val="en-US" w:eastAsia="zh-CN"/>
        </w:rPr>
        <w:t>8</w:t>
      </w:r>
      <w:r>
        <w:rPr>
          <w:rFonts w:hint="eastAsia" w:ascii="宋体" w:hAnsi="宋体" w:eastAsia="宋体" w:cs="宋体"/>
          <w:highlight w:val="none"/>
        </w:rPr>
        <w:t>、我方理解你方及</w:t>
      </w:r>
      <w:r>
        <w:rPr>
          <w:rFonts w:hint="eastAsia" w:ascii="宋体" w:hAnsi="宋体" w:eastAsia="宋体" w:cs="宋体"/>
          <w:highlight w:val="none"/>
          <w:lang w:eastAsia="zh-CN"/>
        </w:rPr>
        <w:t>招标代理机构</w:t>
      </w:r>
      <w:r>
        <w:rPr>
          <w:rFonts w:hint="eastAsia" w:ascii="宋体" w:hAnsi="宋体" w:eastAsia="宋体" w:cs="宋体"/>
          <w:highlight w:val="none"/>
        </w:rPr>
        <w:t>不另负担我们的任何投标费用，无论我方总报价中是否包括投标费用，也无论是否能够中标，均不要求你方及</w:t>
      </w:r>
      <w:r>
        <w:rPr>
          <w:rFonts w:hint="eastAsia" w:ascii="宋体" w:hAnsi="宋体" w:eastAsia="宋体" w:cs="宋体"/>
          <w:highlight w:val="none"/>
          <w:lang w:eastAsia="zh-CN"/>
        </w:rPr>
        <w:t>招标代理机构</w:t>
      </w:r>
      <w:r>
        <w:rPr>
          <w:rFonts w:hint="eastAsia" w:ascii="宋体" w:hAnsi="宋体" w:eastAsia="宋体" w:cs="宋体"/>
          <w:highlight w:val="none"/>
        </w:rPr>
        <w:t>对投标费用做任何补偿。</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cs="宋体"/>
          <w:highlight w:val="none"/>
          <w:lang w:val="en-US" w:eastAsia="zh-CN"/>
        </w:rPr>
        <w:t>9</w:t>
      </w:r>
      <w:r>
        <w:rPr>
          <w:rFonts w:hint="eastAsia" w:ascii="宋体" w:hAnsi="宋体" w:eastAsia="宋体" w:cs="宋体"/>
          <w:highlight w:val="none"/>
        </w:rPr>
        <w:t>、我方理解你方及</w:t>
      </w:r>
      <w:r>
        <w:rPr>
          <w:rFonts w:hint="eastAsia" w:ascii="宋体" w:hAnsi="宋体" w:eastAsia="宋体" w:cs="宋体"/>
          <w:highlight w:val="none"/>
          <w:lang w:eastAsia="zh-CN"/>
        </w:rPr>
        <w:t>招标代理机构</w:t>
      </w:r>
      <w:r>
        <w:rPr>
          <w:rFonts w:hint="eastAsia" w:ascii="宋体" w:hAnsi="宋体" w:eastAsia="宋体" w:cs="宋体"/>
          <w:highlight w:val="none"/>
        </w:rPr>
        <w:t>，我方不要求你方及</w:t>
      </w:r>
      <w:r>
        <w:rPr>
          <w:rFonts w:hint="eastAsia" w:ascii="宋体" w:hAnsi="宋体" w:eastAsia="宋体" w:cs="宋体"/>
          <w:highlight w:val="none"/>
          <w:lang w:eastAsia="zh-CN"/>
        </w:rPr>
        <w:t>招标代理机构</w:t>
      </w:r>
      <w:r>
        <w:rPr>
          <w:rFonts w:hint="eastAsia" w:ascii="宋体" w:hAnsi="宋体" w:eastAsia="宋体" w:cs="宋体"/>
          <w:highlight w:val="none"/>
        </w:rPr>
        <w:t>对未中标原因做任何解释，也不退回投标文件。</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w:t>
      </w:r>
      <w:r>
        <w:rPr>
          <w:rFonts w:hint="eastAsia" w:cs="宋体"/>
          <w:highlight w:val="none"/>
          <w:lang w:val="en-US" w:eastAsia="zh-CN"/>
        </w:rPr>
        <w:t>0</w:t>
      </w:r>
      <w:r>
        <w:rPr>
          <w:rFonts w:hint="eastAsia" w:ascii="宋体" w:hAnsi="宋体" w:eastAsia="宋体" w:cs="宋体"/>
          <w:highlight w:val="none"/>
        </w:rPr>
        <w:t>、如果因我方原因放弃中标，我方承诺，承担因下个中标候选人中标给招标人带来的经济损失。</w:t>
      </w:r>
    </w:p>
    <w:p>
      <w:pPr>
        <w:pStyle w:val="35"/>
        <w:spacing w:before="0" w:beforeAutospacing="0" w:after="0" w:afterAutospacing="0" w:line="360" w:lineRule="auto"/>
        <w:ind w:firstLine="480" w:firstLineChars="200"/>
        <w:rPr>
          <w:rFonts w:hint="eastAsia" w:ascii="宋体" w:hAnsi="宋体" w:eastAsia="宋体" w:cs="宋体"/>
          <w:highlight w:val="none"/>
        </w:rPr>
      </w:pPr>
      <w:r>
        <w:rPr>
          <w:rFonts w:hint="eastAsia" w:cs="宋体"/>
          <w:highlight w:val="none"/>
          <w:lang w:val="en-US" w:eastAsia="zh-CN"/>
        </w:rPr>
        <w:t>11</w:t>
      </w:r>
      <w:r>
        <w:rPr>
          <w:rFonts w:hint="eastAsia" w:ascii="宋体" w:hAnsi="宋体" w:eastAsia="宋体" w:cs="宋体"/>
          <w:highlight w:val="none"/>
        </w:rPr>
        <w:t>、若我方中标，将按时按规定缴纳招标代理服务费。</w:t>
      </w:r>
    </w:p>
    <w:p>
      <w:pPr>
        <w:pStyle w:val="35"/>
        <w:spacing w:before="0" w:beforeAutospacing="0" w:after="0" w:afterAutospacing="0" w:line="360" w:lineRule="auto"/>
        <w:ind w:firstLine="480" w:firstLineChars="200"/>
        <w:rPr>
          <w:rFonts w:hint="eastAsia" w:ascii="宋体" w:hAnsi="宋体" w:eastAsia="宋体" w:cs="宋体"/>
          <w:highlight w:val="none"/>
        </w:rPr>
      </w:pPr>
    </w:p>
    <w:p>
      <w:pPr>
        <w:pStyle w:val="35"/>
        <w:spacing w:before="0" w:beforeAutospacing="0" w:after="0" w:afterAutospacing="0" w:line="360" w:lineRule="auto"/>
        <w:ind w:firstLine="480" w:firstLineChars="200"/>
        <w:rPr>
          <w:rFonts w:hint="eastAsia" w:ascii="宋体" w:hAnsi="宋体" w:eastAsia="宋体" w:cs="宋体"/>
          <w:highlight w:val="none"/>
        </w:rPr>
      </w:pPr>
    </w:p>
    <w:p>
      <w:pPr>
        <w:pStyle w:val="35"/>
        <w:spacing w:before="0" w:beforeAutospacing="0" w:after="0" w:afterAutospacing="0" w:line="480" w:lineRule="auto"/>
        <w:ind w:firstLine="480" w:firstLineChars="200"/>
        <w:rPr>
          <w:rFonts w:hint="eastAsia" w:ascii="宋体" w:hAnsi="宋体" w:eastAsia="宋体" w:cs="宋体"/>
          <w:highlight w:val="none"/>
        </w:rPr>
      </w:pPr>
      <w:r>
        <w:rPr>
          <w:rFonts w:hint="eastAsia" w:ascii="宋体" w:hAnsi="宋体" w:eastAsia="宋体" w:cs="宋体"/>
          <w:highlight w:val="none"/>
        </w:rPr>
        <w:t>投标人：（盖章）</w:t>
      </w:r>
    </w:p>
    <w:p>
      <w:pPr>
        <w:pStyle w:val="35"/>
        <w:spacing w:before="0" w:beforeAutospacing="0" w:after="0" w:afterAutospacing="0" w:line="480" w:lineRule="auto"/>
        <w:ind w:firstLine="480" w:firstLineChars="200"/>
        <w:rPr>
          <w:rFonts w:hint="eastAsia" w:ascii="宋体" w:hAnsi="宋体" w:eastAsia="宋体" w:cs="宋体"/>
          <w:highlight w:val="none"/>
        </w:rPr>
      </w:pPr>
      <w:r>
        <w:rPr>
          <w:rFonts w:hint="eastAsia" w:ascii="宋体" w:hAnsi="宋体" w:eastAsia="宋体" w:cs="宋体"/>
          <w:highlight w:val="none"/>
        </w:rPr>
        <w:t>投标人电话：</w:t>
      </w:r>
    </w:p>
    <w:p>
      <w:pPr>
        <w:pStyle w:val="35"/>
        <w:spacing w:before="0" w:beforeAutospacing="0" w:after="0" w:afterAutospacing="0" w:line="480" w:lineRule="auto"/>
        <w:ind w:firstLine="480" w:firstLineChars="200"/>
        <w:rPr>
          <w:rFonts w:hint="eastAsia" w:ascii="宋体" w:hAnsi="宋体" w:eastAsia="宋体" w:cs="宋体"/>
          <w:highlight w:val="none"/>
        </w:rPr>
      </w:pPr>
      <w:r>
        <w:rPr>
          <w:rFonts w:hint="eastAsia" w:ascii="宋体" w:hAnsi="宋体" w:eastAsia="宋体" w:cs="宋体"/>
          <w:highlight w:val="none"/>
        </w:rPr>
        <w:t>法人代表</w:t>
      </w:r>
      <w:r>
        <w:rPr>
          <w:rFonts w:hint="eastAsia" w:cs="宋体"/>
          <w:highlight w:val="none"/>
          <w:lang w:eastAsia="zh-CN"/>
        </w:rPr>
        <w:t>人</w:t>
      </w:r>
      <w:r>
        <w:rPr>
          <w:rFonts w:hint="eastAsia" w:ascii="宋体" w:hAnsi="宋体" w:eastAsia="宋体" w:cs="宋体"/>
          <w:highlight w:val="none"/>
        </w:rPr>
        <w:t>或委托代理人：</w:t>
      </w:r>
      <w:r>
        <w:rPr>
          <w:rFonts w:hint="eastAsia" w:cs="宋体"/>
          <w:highlight w:val="none"/>
          <w:lang w:val="en-US" w:eastAsia="zh-CN"/>
        </w:rPr>
        <w:t xml:space="preserve">             </w:t>
      </w:r>
      <w:r>
        <w:rPr>
          <w:rFonts w:hint="eastAsia" w:ascii="宋体" w:hAnsi="宋体" w:eastAsia="宋体" w:cs="宋体"/>
          <w:highlight w:val="none"/>
        </w:rPr>
        <w:t>（签</w:t>
      </w:r>
      <w:r>
        <w:rPr>
          <w:rFonts w:hint="eastAsia" w:cs="宋体"/>
          <w:highlight w:val="none"/>
          <w:lang w:eastAsia="zh-CN"/>
        </w:rPr>
        <w:t>字或盖</w:t>
      </w:r>
      <w:r>
        <w:rPr>
          <w:rFonts w:hint="eastAsia" w:ascii="宋体" w:hAnsi="宋体" w:eastAsia="宋体" w:cs="宋体"/>
          <w:highlight w:val="none"/>
        </w:rPr>
        <w:t>章）</w:t>
      </w:r>
    </w:p>
    <w:p>
      <w:pPr>
        <w:pStyle w:val="35"/>
        <w:spacing w:before="0" w:beforeAutospacing="0" w:after="0" w:afterAutospacing="0" w:line="48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投标人地址</w:t>
      </w:r>
      <w:r>
        <w:rPr>
          <w:rFonts w:hint="eastAsia" w:cs="宋体"/>
          <w:highlight w:val="none"/>
          <w:lang w:eastAsia="zh-CN"/>
        </w:rPr>
        <w:t>：</w:t>
      </w:r>
    </w:p>
    <w:p>
      <w:pPr>
        <w:pStyle w:val="35"/>
        <w:spacing w:before="0" w:beforeAutospacing="0" w:after="0" w:afterAutospacing="0" w:line="480" w:lineRule="auto"/>
        <w:ind w:firstLine="480" w:firstLineChars="200"/>
        <w:rPr>
          <w:rFonts w:hint="eastAsia" w:ascii="宋体" w:hAnsi="宋体" w:eastAsia="宋体" w:cs="宋体"/>
          <w:highlight w:val="none"/>
        </w:rPr>
      </w:pPr>
      <w:r>
        <w:rPr>
          <w:rFonts w:hint="eastAsia" w:ascii="宋体" w:hAnsi="宋体" w:eastAsia="宋体" w:cs="宋体"/>
          <w:highlight w:val="none"/>
        </w:rPr>
        <w:t>日期：年　月　日</w:t>
      </w:r>
    </w:p>
    <w:p>
      <w:pPr>
        <w:spacing w:line="360" w:lineRule="auto"/>
        <w:rPr>
          <w:rFonts w:ascii="宋体"/>
          <w:color w:val="000000"/>
          <w:sz w:val="24"/>
          <w:highlight w:val="none"/>
          <w:u w:val="single"/>
        </w:rPr>
      </w:pPr>
    </w:p>
    <w:p>
      <w:pPr>
        <w:rPr>
          <w:rFonts w:ascii="宋体"/>
          <w:sz w:val="24"/>
          <w:highlight w:val="none"/>
        </w:rPr>
      </w:pPr>
      <w:r>
        <w:rPr>
          <w:rFonts w:ascii="宋体"/>
          <w:sz w:val="24"/>
          <w:highlight w:val="none"/>
        </w:rPr>
        <w:br w:type="page"/>
      </w:r>
    </w:p>
    <w:p>
      <w:pPr>
        <w:jc w:val="center"/>
        <w:rPr>
          <w:rFonts w:ascii="宋体"/>
          <w:b/>
          <w:sz w:val="32"/>
          <w:szCs w:val="32"/>
          <w:highlight w:val="none"/>
        </w:rPr>
      </w:pPr>
      <w:r>
        <w:rPr>
          <w:rFonts w:hint="eastAsia" w:ascii="宋体" w:hAnsi="宋体"/>
          <w:b/>
          <w:sz w:val="32"/>
          <w:szCs w:val="32"/>
          <w:highlight w:val="none"/>
        </w:rPr>
        <w:t>二</w:t>
      </w:r>
      <w:r>
        <w:rPr>
          <w:rFonts w:ascii="宋体" w:hAnsi="宋体"/>
          <w:b/>
          <w:sz w:val="32"/>
          <w:szCs w:val="32"/>
          <w:highlight w:val="none"/>
        </w:rPr>
        <w:t xml:space="preserve">   </w:t>
      </w:r>
      <w:r>
        <w:rPr>
          <w:rFonts w:hint="eastAsia" w:ascii="宋体" w:hAnsi="宋体"/>
          <w:b/>
          <w:sz w:val="32"/>
          <w:szCs w:val="32"/>
          <w:highlight w:val="none"/>
        </w:rPr>
        <w:t>开标一览表（唱标报告）</w:t>
      </w:r>
    </w:p>
    <w:p>
      <w:pPr>
        <w:rPr>
          <w:rFonts w:ascii="宋体"/>
          <w:sz w:val="24"/>
          <w:highlight w:val="none"/>
        </w:rPr>
      </w:pP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eastAsia="zh-CN"/>
        </w:rPr>
        <w:t>项目编号</w:t>
      </w:r>
      <w:r>
        <w:rPr>
          <w:rFonts w:hint="eastAsia" w:ascii="宋体" w:hAnsi="宋体" w:eastAsia="宋体" w:cs="宋体"/>
          <w:sz w:val="24"/>
          <w:szCs w:val="24"/>
          <w:highlight w:val="none"/>
        </w:rPr>
        <w:t>：</w:t>
      </w:r>
    </w:p>
    <w:tbl>
      <w:tblPr>
        <w:tblStyle w:val="38"/>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8"/>
        <w:gridCol w:w="6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cs="宋体"/>
                <w:sz w:val="24"/>
                <w:szCs w:val="24"/>
                <w:highlight w:val="none"/>
                <w:lang w:eastAsia="zh-CN"/>
              </w:rPr>
              <w:t>建筑物</w:t>
            </w:r>
            <w:r>
              <w:rPr>
                <w:rFonts w:hint="eastAsia" w:ascii="宋体" w:hAnsi="宋体" w:eastAsia="宋体" w:cs="宋体"/>
                <w:sz w:val="24"/>
                <w:szCs w:val="24"/>
                <w:highlight w:val="none"/>
              </w:rPr>
              <w:t>拆除（元</w:t>
            </w:r>
            <w:r>
              <w:rPr>
                <w:rFonts w:hint="eastAsia" w:ascii="宋体" w:hAnsi="宋体" w:cs="宋体"/>
                <w:sz w:val="24"/>
                <w:szCs w:val="24"/>
                <w:highlight w:val="none"/>
                <w:lang w:val="en-US" w:eastAsia="zh-CN"/>
              </w:rPr>
              <w:t>/m</w:t>
            </w:r>
            <w:r>
              <w:rPr>
                <w:rFonts w:hint="eastAsia" w:ascii="宋体" w:hAnsi="宋体" w:cs="宋体"/>
                <w:sz w:val="24"/>
                <w:szCs w:val="24"/>
                <w:highlight w:val="none"/>
                <w:vertAlign w:val="superscript"/>
                <w:lang w:val="en-US" w:eastAsia="zh-CN"/>
              </w:rPr>
              <w:t>2</w:t>
            </w:r>
            <w:r>
              <w:rPr>
                <w:rFonts w:hint="eastAsia" w:ascii="宋体" w:hAnsi="宋体" w:eastAsia="宋体" w:cs="宋体"/>
                <w:sz w:val="24"/>
                <w:szCs w:val="24"/>
                <w:highlight w:val="none"/>
              </w:rPr>
              <w:t>）</w:t>
            </w:r>
          </w:p>
        </w:tc>
        <w:tc>
          <w:tcPr>
            <w:tcW w:w="6371" w:type="dxa"/>
            <w:vAlign w:val="center"/>
          </w:tcPr>
          <w:p>
            <w:pP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eastAsia="zh-CN"/>
              </w:rPr>
              <w:t>大写</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小</w:t>
            </w:r>
            <w:r>
              <w:rPr>
                <w:rFonts w:hint="eastAsia" w:ascii="宋体" w:hAnsi="宋体" w:eastAsia="宋体" w:cs="宋体"/>
                <w:sz w:val="24"/>
                <w:szCs w:val="24"/>
                <w:highlight w:val="none"/>
              </w:rPr>
              <w:t>写</w:t>
            </w:r>
            <w:r>
              <w:rPr>
                <w:rFonts w:hint="eastAsia" w:ascii="宋体" w:hAnsi="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地面破碎（元</w:t>
            </w:r>
            <w:r>
              <w:rPr>
                <w:rFonts w:hint="eastAsia" w:ascii="宋体" w:hAnsi="宋体" w:cs="宋体"/>
                <w:sz w:val="24"/>
                <w:szCs w:val="24"/>
                <w:highlight w:val="none"/>
                <w:lang w:val="en-US" w:eastAsia="zh-CN"/>
              </w:rPr>
              <w:t>/m</w:t>
            </w:r>
            <w:r>
              <w:rPr>
                <w:rFonts w:hint="eastAsia" w:ascii="宋体" w:hAnsi="宋体" w:cs="宋体"/>
                <w:sz w:val="24"/>
                <w:szCs w:val="24"/>
                <w:highlight w:val="none"/>
                <w:vertAlign w:val="superscript"/>
                <w:lang w:val="en-US" w:eastAsia="zh-CN"/>
              </w:rPr>
              <w:t>2</w:t>
            </w:r>
            <w:r>
              <w:rPr>
                <w:rFonts w:hint="eastAsia" w:ascii="宋体" w:hAnsi="宋体" w:eastAsia="宋体" w:cs="宋体"/>
                <w:sz w:val="24"/>
                <w:szCs w:val="24"/>
                <w:highlight w:val="none"/>
              </w:rPr>
              <w:t>）</w:t>
            </w:r>
          </w:p>
        </w:tc>
        <w:tc>
          <w:tcPr>
            <w:tcW w:w="6371" w:type="dxa"/>
            <w:vAlign w:val="center"/>
          </w:tcPr>
          <w:p>
            <w:pP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eastAsia="zh-CN"/>
              </w:rPr>
              <w:t>大</w:t>
            </w:r>
            <w:r>
              <w:rPr>
                <w:rFonts w:hint="eastAsia" w:ascii="宋体" w:hAnsi="宋体" w:eastAsia="宋体" w:cs="宋体"/>
                <w:sz w:val="24"/>
                <w:szCs w:val="24"/>
                <w:highlight w:val="none"/>
              </w:rPr>
              <w:t>写：</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小</w:t>
            </w:r>
            <w:r>
              <w:rPr>
                <w:rFonts w:hint="eastAsia" w:ascii="宋体" w:hAnsi="宋体" w:eastAsia="宋体" w:cs="宋体"/>
                <w:sz w:val="24"/>
                <w:szCs w:val="24"/>
                <w:highlight w:val="none"/>
              </w:rPr>
              <w:t>写</w:t>
            </w:r>
            <w:r>
              <w:rPr>
                <w:rFonts w:hint="eastAsia" w:ascii="宋体" w:hAnsi="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垃圾清运（元</w:t>
            </w:r>
            <w:r>
              <w:rPr>
                <w:rFonts w:hint="eastAsia" w:ascii="宋体" w:hAnsi="宋体" w:cs="宋体"/>
                <w:sz w:val="24"/>
                <w:szCs w:val="24"/>
                <w:highlight w:val="none"/>
                <w:lang w:val="en-US" w:eastAsia="zh-CN"/>
              </w:rPr>
              <w:t>/m</w:t>
            </w:r>
            <w:r>
              <w:rPr>
                <w:rFonts w:hint="eastAsia" w:ascii="宋体" w:hAnsi="宋体" w:cs="宋体"/>
                <w:sz w:val="24"/>
                <w:szCs w:val="24"/>
                <w:highlight w:val="none"/>
                <w:vertAlign w:val="superscript"/>
                <w:lang w:val="en-US" w:eastAsia="zh-CN"/>
              </w:rPr>
              <w:t>3</w:t>
            </w:r>
            <w:r>
              <w:rPr>
                <w:rFonts w:hint="eastAsia" w:ascii="宋体" w:hAnsi="宋体" w:eastAsia="宋体" w:cs="宋体"/>
                <w:sz w:val="24"/>
                <w:szCs w:val="24"/>
                <w:highlight w:val="none"/>
              </w:rPr>
              <w:t>）</w:t>
            </w:r>
          </w:p>
        </w:tc>
        <w:tc>
          <w:tcPr>
            <w:tcW w:w="6371" w:type="dxa"/>
            <w:vAlign w:val="center"/>
          </w:tcPr>
          <w:p>
            <w:pP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eastAsia="zh-CN"/>
              </w:rPr>
              <w:t>大</w:t>
            </w:r>
            <w:r>
              <w:rPr>
                <w:rFonts w:hint="eastAsia" w:ascii="宋体" w:hAnsi="宋体" w:eastAsia="宋体" w:cs="宋体"/>
                <w:sz w:val="24"/>
                <w:szCs w:val="24"/>
                <w:highlight w:val="none"/>
              </w:rPr>
              <w:t>写：</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小</w:t>
            </w:r>
            <w:r>
              <w:rPr>
                <w:rFonts w:hint="eastAsia" w:ascii="宋体" w:hAnsi="宋体" w:eastAsia="宋体" w:cs="宋体"/>
                <w:sz w:val="24"/>
                <w:szCs w:val="24"/>
                <w:highlight w:val="none"/>
              </w:rPr>
              <w:t>写</w:t>
            </w:r>
            <w:r>
              <w:rPr>
                <w:rFonts w:hint="eastAsia" w:ascii="宋体" w:hAnsi="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苗木清理</w:t>
            </w:r>
            <w:r>
              <w:rPr>
                <w:rFonts w:hint="eastAsia" w:ascii="宋体" w:hAnsi="宋体" w:cs="宋体"/>
                <w:sz w:val="24"/>
                <w:szCs w:val="24"/>
                <w:highlight w:val="none"/>
                <w:lang w:eastAsia="zh-CN"/>
              </w:rPr>
              <w:t>（元</w:t>
            </w:r>
            <w:r>
              <w:rPr>
                <w:rFonts w:hint="eastAsia" w:ascii="宋体" w:hAnsi="宋体" w:cs="宋体"/>
                <w:sz w:val="24"/>
                <w:szCs w:val="24"/>
                <w:highlight w:val="none"/>
                <w:lang w:val="en-US" w:eastAsia="zh-CN"/>
              </w:rPr>
              <w:t>/亩）</w:t>
            </w:r>
          </w:p>
        </w:tc>
        <w:tc>
          <w:tcPr>
            <w:tcW w:w="6371" w:type="dxa"/>
            <w:vAlign w:val="center"/>
          </w:tcPr>
          <w:p>
            <w:pPr>
              <w:rPr>
                <w:rFonts w:hint="eastAsia" w:ascii="宋体" w:hAnsi="宋体" w:eastAsia="宋体" w:cs="宋体"/>
                <w:sz w:val="24"/>
                <w:szCs w:val="24"/>
                <w:highlight w:val="none"/>
              </w:rPr>
            </w:pPr>
            <w:r>
              <w:rPr>
                <w:rFonts w:hint="eastAsia" w:ascii="宋体" w:hAnsi="宋体" w:cs="宋体"/>
                <w:sz w:val="24"/>
                <w:szCs w:val="24"/>
                <w:highlight w:val="none"/>
                <w:lang w:eastAsia="zh-CN"/>
              </w:rPr>
              <w:t>大</w:t>
            </w:r>
            <w:r>
              <w:rPr>
                <w:rFonts w:hint="eastAsia" w:ascii="宋体" w:hAnsi="宋体" w:eastAsia="宋体" w:cs="宋体"/>
                <w:sz w:val="24"/>
                <w:szCs w:val="24"/>
                <w:highlight w:val="none"/>
              </w:rPr>
              <w:t>写：</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小</w:t>
            </w:r>
            <w:r>
              <w:rPr>
                <w:rFonts w:hint="eastAsia" w:ascii="宋体" w:hAnsi="宋体" w:eastAsia="宋体" w:cs="宋体"/>
                <w:sz w:val="24"/>
                <w:szCs w:val="24"/>
                <w:highlight w:val="none"/>
              </w:rPr>
              <w:t>写</w:t>
            </w:r>
            <w:r>
              <w:rPr>
                <w:rFonts w:hint="eastAsia" w:ascii="宋体" w:hAnsi="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投标总报价（元）</w:t>
            </w:r>
          </w:p>
        </w:tc>
        <w:tc>
          <w:tcPr>
            <w:tcW w:w="6371" w:type="dxa"/>
            <w:vAlign w:val="center"/>
          </w:tcPr>
          <w:p>
            <w:pPr>
              <w:rPr>
                <w:rFonts w:hint="eastAsia" w:ascii="宋体" w:hAnsi="宋体" w:eastAsia="宋体" w:cs="宋体"/>
                <w:sz w:val="24"/>
                <w:szCs w:val="24"/>
                <w:highlight w:val="none"/>
              </w:rPr>
            </w:pPr>
            <w:r>
              <w:rPr>
                <w:rFonts w:hint="eastAsia" w:ascii="宋体" w:hAnsi="宋体" w:cs="宋体"/>
                <w:sz w:val="24"/>
                <w:szCs w:val="24"/>
                <w:highlight w:val="none"/>
                <w:lang w:eastAsia="zh-CN"/>
              </w:rPr>
              <w:t>大</w:t>
            </w:r>
            <w:r>
              <w:rPr>
                <w:rFonts w:hint="eastAsia" w:ascii="宋体" w:hAnsi="宋体" w:eastAsia="宋体" w:cs="宋体"/>
                <w:sz w:val="24"/>
                <w:szCs w:val="24"/>
                <w:highlight w:val="none"/>
              </w:rPr>
              <w:t>写：</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lang w:eastAsia="zh-CN"/>
              </w:rPr>
              <w:t>小</w:t>
            </w:r>
            <w:r>
              <w:rPr>
                <w:rFonts w:hint="eastAsia" w:ascii="宋体" w:hAnsi="宋体" w:eastAsia="宋体" w:cs="宋体"/>
                <w:sz w:val="24"/>
                <w:szCs w:val="24"/>
                <w:highlight w:val="none"/>
              </w:rPr>
              <w:t>写</w:t>
            </w:r>
            <w:r>
              <w:rPr>
                <w:rFonts w:hint="eastAsia" w:ascii="宋体" w:hAnsi="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质量标准</w:t>
            </w:r>
          </w:p>
        </w:tc>
        <w:tc>
          <w:tcPr>
            <w:tcW w:w="6371" w:type="dxa"/>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计划总工期</w:t>
            </w:r>
          </w:p>
        </w:tc>
        <w:tc>
          <w:tcPr>
            <w:tcW w:w="6371" w:type="dxa"/>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248" w:type="dxa"/>
            <w:vAlign w:val="center"/>
          </w:tcPr>
          <w:p>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项目经理</w:t>
            </w:r>
          </w:p>
        </w:tc>
        <w:tc>
          <w:tcPr>
            <w:tcW w:w="6371" w:type="dxa"/>
            <w:vAlign w:val="center"/>
          </w:tcPr>
          <w:p>
            <w:pPr>
              <w:rPr>
                <w:rFonts w:hint="eastAsia"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248" w:type="dxa"/>
            <w:vAlign w:val="center"/>
          </w:tcPr>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c>
          <w:tcPr>
            <w:tcW w:w="6371" w:type="dxa"/>
            <w:vAlign w:val="center"/>
          </w:tcPr>
          <w:p>
            <w:pPr>
              <w:rPr>
                <w:rFonts w:hint="eastAsia" w:ascii="宋体" w:hAnsi="宋体" w:eastAsia="宋体" w:cs="宋体"/>
                <w:sz w:val="24"/>
                <w:szCs w:val="24"/>
                <w:highlight w:val="none"/>
              </w:rPr>
            </w:pPr>
          </w:p>
        </w:tc>
      </w:tr>
    </w:tbl>
    <w:p>
      <w:pPr>
        <w:spacing w:line="120" w:lineRule="exact"/>
        <w:rPr>
          <w:rFonts w:hint="eastAsia" w:ascii="宋体" w:hAnsi="宋体" w:eastAsia="宋体" w:cs="宋体"/>
          <w:sz w:val="24"/>
          <w:szCs w:val="24"/>
          <w:highlight w:val="none"/>
        </w:rPr>
      </w:pPr>
    </w:p>
    <w:p>
      <w:pPr>
        <w:ind w:firstLine="360" w:firstLineChars="150"/>
        <w:rPr>
          <w:rFonts w:hint="eastAsia" w:ascii="宋体" w:hAnsi="宋体" w:eastAsia="宋体" w:cs="宋体"/>
          <w:sz w:val="24"/>
          <w:szCs w:val="24"/>
          <w:highlight w:val="none"/>
        </w:rPr>
      </w:pPr>
      <w:r>
        <w:rPr>
          <w:rFonts w:hint="eastAsia" w:ascii="宋体" w:hAnsi="宋体" w:eastAsia="宋体" w:cs="宋体"/>
          <w:sz w:val="24"/>
          <w:szCs w:val="24"/>
          <w:highlight w:val="none"/>
        </w:rPr>
        <w:t>注：1、以上表内报价内容以元为单位，保留小数点后两位。</w:t>
      </w:r>
    </w:p>
    <w:p>
      <w:pPr>
        <w:ind w:left="839" w:leftChars="228" w:hanging="360" w:hangingChars="15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w:t>
      </w:r>
      <w:r>
        <w:rPr>
          <w:rFonts w:hint="eastAsia" w:ascii="宋体" w:hAnsi="宋体" w:cs="宋体"/>
          <w:sz w:val="24"/>
          <w:highlight w:val="none"/>
        </w:rPr>
        <w:t>如果单价与总价不符时，以单价为准，如单价</w:t>
      </w:r>
      <w:r>
        <w:rPr>
          <w:rFonts w:hint="eastAsia" w:ascii="宋体" w:hAnsi="宋体"/>
          <w:sz w:val="24"/>
          <w:highlight w:val="none"/>
        </w:rPr>
        <w:t>有明显的小数点错误，此时应以标出的合价为准，并修改单价</w:t>
      </w:r>
      <w:r>
        <w:rPr>
          <w:rFonts w:hint="eastAsia" w:ascii="宋体" w:hAnsi="宋体" w:cs="宋体"/>
          <w:sz w:val="24"/>
          <w:highlight w:val="none"/>
        </w:rPr>
        <w:t>。</w:t>
      </w:r>
    </w:p>
    <w:p>
      <w:pPr>
        <w:spacing w:line="280" w:lineRule="exact"/>
        <w:ind w:right="540" w:rightChars="257" w:firstLine="4440" w:firstLineChars="1850"/>
        <w:jc w:val="left"/>
        <w:rPr>
          <w:rFonts w:hint="eastAsia" w:ascii="宋体" w:hAnsi="宋体" w:eastAsia="宋体" w:cs="宋体"/>
          <w:sz w:val="24"/>
          <w:szCs w:val="24"/>
          <w:highlight w:val="none"/>
        </w:rPr>
      </w:pPr>
    </w:p>
    <w:p>
      <w:pPr>
        <w:spacing w:line="280" w:lineRule="exact"/>
        <w:ind w:right="540" w:rightChars="257" w:firstLine="4440" w:firstLineChars="1850"/>
        <w:jc w:val="left"/>
        <w:rPr>
          <w:rFonts w:hint="eastAsia" w:ascii="宋体" w:hAnsi="宋体" w:eastAsia="宋体" w:cs="宋体"/>
          <w:sz w:val="24"/>
          <w:szCs w:val="24"/>
          <w:highlight w:val="none"/>
        </w:rPr>
      </w:pPr>
    </w:p>
    <w:p>
      <w:pPr>
        <w:spacing w:line="280" w:lineRule="exact"/>
        <w:ind w:right="540" w:rightChars="257" w:firstLine="4440" w:firstLineChars="185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投标人名称：</w:t>
      </w:r>
      <w:r>
        <w:rPr>
          <w:rFonts w:hint="eastAsia" w:ascii="宋体" w:hAnsi="宋体" w:eastAsia="宋体" w:cs="宋体"/>
          <w:sz w:val="24"/>
          <w:szCs w:val="24"/>
          <w:highlight w:val="none"/>
          <w:u w:val="single"/>
        </w:rPr>
        <w:t>（加盖单位公章）</w:t>
      </w:r>
    </w:p>
    <w:p>
      <w:pPr>
        <w:spacing w:line="280" w:lineRule="exact"/>
        <w:ind w:right="540" w:rightChars="257" w:firstLine="360" w:firstLineChars="150"/>
        <w:jc w:val="left"/>
        <w:rPr>
          <w:rFonts w:hint="eastAsia" w:ascii="宋体" w:hAnsi="宋体" w:eastAsia="宋体" w:cs="宋体"/>
          <w:sz w:val="24"/>
          <w:szCs w:val="24"/>
          <w:highlight w:val="none"/>
        </w:rPr>
      </w:pPr>
    </w:p>
    <w:p>
      <w:pPr>
        <w:spacing w:line="280" w:lineRule="exact"/>
        <w:ind w:right="540" w:rightChars="257" w:firstLine="4440" w:firstLineChars="1850"/>
        <w:jc w:val="left"/>
        <w:rPr>
          <w:rFonts w:hint="eastAsia" w:ascii="宋体" w:hAnsi="宋体" w:eastAsia="宋体" w:cs="宋体"/>
          <w:sz w:val="24"/>
          <w:szCs w:val="24"/>
          <w:highlight w:val="none"/>
        </w:rPr>
      </w:pPr>
    </w:p>
    <w:p>
      <w:pPr>
        <w:spacing w:line="280" w:lineRule="exact"/>
        <w:ind w:right="540" w:rightChars="257" w:firstLine="4440" w:firstLineChars="185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法定代表人/被授权人签</w:t>
      </w:r>
      <w:r>
        <w:rPr>
          <w:rFonts w:hint="eastAsia" w:ascii="宋体" w:hAnsi="宋体" w:cs="宋体"/>
          <w:sz w:val="24"/>
          <w:szCs w:val="24"/>
          <w:highlight w:val="none"/>
          <w:lang w:eastAsia="zh-CN"/>
        </w:rPr>
        <w:t>字或盖</w:t>
      </w:r>
      <w:r>
        <w:rPr>
          <w:rFonts w:hint="eastAsia" w:ascii="宋体" w:hAnsi="宋体" w:eastAsia="宋体" w:cs="宋体"/>
          <w:sz w:val="24"/>
          <w:szCs w:val="24"/>
          <w:highlight w:val="none"/>
        </w:rPr>
        <w:t>章：</w:t>
      </w:r>
    </w:p>
    <w:p>
      <w:pPr>
        <w:spacing w:line="280" w:lineRule="exact"/>
        <w:ind w:right="540" w:rightChars="257" w:firstLine="4440" w:firstLineChars="1850"/>
        <w:jc w:val="left"/>
        <w:rPr>
          <w:rFonts w:hint="eastAsia" w:ascii="宋体" w:hAnsi="宋体" w:eastAsia="宋体" w:cs="宋体"/>
          <w:sz w:val="24"/>
          <w:szCs w:val="24"/>
          <w:highlight w:val="none"/>
        </w:rPr>
      </w:pPr>
    </w:p>
    <w:p>
      <w:pPr>
        <w:spacing w:line="280" w:lineRule="exact"/>
        <w:ind w:right="540" w:rightChars="257"/>
        <w:jc w:val="left"/>
        <w:rPr>
          <w:rFonts w:hint="eastAsia" w:ascii="宋体" w:hAnsi="宋体" w:eastAsia="宋体" w:cs="宋体"/>
          <w:sz w:val="24"/>
          <w:szCs w:val="24"/>
          <w:highlight w:val="none"/>
        </w:rPr>
      </w:pPr>
    </w:p>
    <w:p>
      <w:pPr>
        <w:spacing w:line="280" w:lineRule="exact"/>
        <w:ind w:right="540" w:rightChars="257" w:firstLine="4440" w:firstLineChars="1850"/>
        <w:rPr>
          <w:rFonts w:hint="eastAsia" w:ascii="宋体" w:hAnsi="宋体" w:eastAsia="宋体" w:cs="宋体"/>
          <w:b/>
          <w:bCs/>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日</w:t>
      </w:r>
    </w:p>
    <w:p>
      <w:pPr>
        <w:spacing w:line="360" w:lineRule="auto"/>
        <w:ind w:right="893"/>
        <w:jc w:val="center"/>
        <w:rPr>
          <w:rFonts w:ascii="宋体"/>
          <w:sz w:val="24"/>
          <w:highlight w:val="none"/>
        </w:rPr>
      </w:pPr>
      <w:r>
        <w:rPr>
          <w:rFonts w:ascii="宋体"/>
          <w:sz w:val="24"/>
          <w:highlight w:val="none"/>
        </w:rPr>
        <w:br w:type="page"/>
      </w:r>
    </w:p>
    <w:p>
      <w:pPr>
        <w:spacing w:line="360" w:lineRule="auto"/>
        <w:ind w:right="893"/>
        <w:jc w:val="center"/>
        <w:rPr>
          <w:rFonts w:ascii="宋体"/>
          <w:b/>
          <w:sz w:val="32"/>
          <w:szCs w:val="32"/>
          <w:highlight w:val="none"/>
        </w:rPr>
      </w:pPr>
      <w:r>
        <w:rPr>
          <w:rFonts w:hint="eastAsia" w:ascii="宋体" w:hAnsi="宋体"/>
          <w:b/>
          <w:sz w:val="32"/>
          <w:szCs w:val="32"/>
          <w:highlight w:val="none"/>
        </w:rPr>
        <w:t>三</w:t>
      </w:r>
      <w:r>
        <w:rPr>
          <w:rFonts w:ascii="宋体" w:hAnsi="宋体"/>
          <w:b/>
          <w:sz w:val="32"/>
          <w:szCs w:val="32"/>
          <w:highlight w:val="none"/>
        </w:rPr>
        <w:t xml:space="preserve">  </w:t>
      </w:r>
      <w:r>
        <w:rPr>
          <w:rFonts w:hint="eastAsia" w:ascii="宋体" w:hAnsi="宋体"/>
          <w:b/>
          <w:sz w:val="32"/>
          <w:szCs w:val="32"/>
          <w:highlight w:val="none"/>
        </w:rPr>
        <w:t>法定代表人授权书</w:t>
      </w:r>
    </w:p>
    <w:p>
      <w:pPr>
        <w:spacing w:line="360" w:lineRule="auto"/>
        <w:rPr>
          <w:rFonts w:ascii="宋体"/>
          <w:sz w:val="24"/>
          <w:highlight w:val="none"/>
        </w:rPr>
      </w:pPr>
    </w:p>
    <w:p>
      <w:pPr>
        <w:spacing w:line="360" w:lineRule="auto"/>
        <w:rPr>
          <w:rFonts w:ascii="宋体"/>
          <w:sz w:val="24"/>
          <w:highlight w:val="none"/>
        </w:rPr>
      </w:pPr>
      <w:r>
        <w:rPr>
          <w:rFonts w:hint="eastAsia" w:ascii="宋体" w:hAnsi="宋体"/>
          <w:sz w:val="24"/>
          <w:highlight w:val="none"/>
        </w:rPr>
        <w:t>致：采购人/陕西嘉唐建设项目管理有限公司：</w:t>
      </w:r>
    </w:p>
    <w:p>
      <w:pPr>
        <w:spacing w:line="360" w:lineRule="auto"/>
        <w:ind w:firstLine="120" w:firstLineChars="50"/>
        <w:rPr>
          <w:rFonts w:ascii="宋体"/>
          <w:sz w:val="24"/>
          <w:highlight w:val="none"/>
        </w:rPr>
      </w:pPr>
      <w:r>
        <w:rPr>
          <w:rFonts w:ascii="宋体" w:hAnsi="宋体"/>
          <w:sz w:val="24"/>
          <w:highlight w:val="none"/>
        </w:rPr>
        <w:t xml:space="preserve">     </w:t>
      </w:r>
      <w:r>
        <w:rPr>
          <w:rFonts w:hint="eastAsia" w:ascii="宋体" w:hAnsi="宋体"/>
          <w:sz w:val="24"/>
          <w:highlight w:val="none"/>
          <w:u w:val="single"/>
        </w:rPr>
        <w:t>注册于（工商行政管理局名称）之（供应商全称）（法人代表人名称、职务）</w:t>
      </w:r>
      <w:r>
        <w:rPr>
          <w:rFonts w:hint="eastAsia" w:ascii="宋体" w:hAnsi="宋体"/>
          <w:sz w:val="24"/>
          <w:highlight w:val="none"/>
        </w:rPr>
        <w:t>授权</w:t>
      </w:r>
      <w:r>
        <w:rPr>
          <w:rFonts w:ascii="宋体" w:hAnsi="宋体"/>
          <w:sz w:val="24"/>
          <w:highlight w:val="none"/>
          <w:u w:val="single"/>
        </w:rPr>
        <w:t xml:space="preserve">                    </w:t>
      </w:r>
      <w:r>
        <w:rPr>
          <w:rFonts w:hint="eastAsia" w:ascii="宋体" w:hAnsi="宋体"/>
          <w:sz w:val="24"/>
          <w:highlight w:val="none"/>
        </w:rPr>
        <w:t>（被授权人姓名、职务）为全权代表，参加贵公司组织的</w:t>
      </w:r>
      <w:r>
        <w:rPr>
          <w:rFonts w:ascii="宋体" w:hAnsi="宋体"/>
          <w:sz w:val="24"/>
          <w:highlight w:val="none"/>
          <w:u w:val="single"/>
        </w:rPr>
        <w:t xml:space="preserve">  </w:t>
      </w:r>
      <w:r>
        <w:rPr>
          <w:rFonts w:hint="eastAsia" w:ascii="宋体" w:hAnsi="宋体"/>
          <w:sz w:val="24"/>
          <w:highlight w:val="none"/>
          <w:u w:val="single"/>
        </w:rPr>
        <w:t>项目名称：</w:t>
      </w:r>
      <w:r>
        <w:rPr>
          <w:rFonts w:ascii="宋体" w:hAnsi="宋体"/>
          <w:sz w:val="24"/>
          <w:highlight w:val="none"/>
          <w:u w:val="single"/>
        </w:rPr>
        <w:t xml:space="preserve">   </w:t>
      </w:r>
      <w:r>
        <w:rPr>
          <w:rFonts w:hint="eastAsia" w:ascii="宋体" w:hAnsi="宋体"/>
          <w:sz w:val="24"/>
          <w:highlight w:val="none"/>
          <w:u w:val="single"/>
        </w:rPr>
        <w:t>（</w:t>
      </w:r>
      <w:r>
        <w:rPr>
          <w:rFonts w:hint="eastAsia" w:ascii="宋体" w:hAnsi="宋体"/>
          <w:sz w:val="24"/>
          <w:highlight w:val="none"/>
          <w:u w:val="single"/>
          <w:lang w:eastAsia="zh-CN"/>
        </w:rPr>
        <w:t>项目</w:t>
      </w:r>
      <w:r>
        <w:rPr>
          <w:rFonts w:hint="eastAsia" w:ascii="宋体" w:hAnsi="宋体"/>
          <w:sz w:val="24"/>
          <w:highlight w:val="none"/>
          <w:u w:val="single"/>
        </w:rPr>
        <w:t>编号：）</w:t>
      </w:r>
      <w:r>
        <w:rPr>
          <w:rFonts w:hint="eastAsia" w:ascii="宋体" w:hAnsi="宋体"/>
          <w:sz w:val="24"/>
          <w:highlight w:val="none"/>
        </w:rPr>
        <w:t>招标活动，全权办理该项目的报名、投标等招标活动中的一切事宜。我公司对被授权人的签名负全部责任。</w:t>
      </w:r>
    </w:p>
    <w:p>
      <w:pPr>
        <w:spacing w:line="360" w:lineRule="auto"/>
        <w:rPr>
          <w:rFonts w:ascii="宋体"/>
          <w:sz w:val="24"/>
          <w:highlight w:val="none"/>
        </w:rPr>
      </w:pPr>
    </w:p>
    <w:p>
      <w:pPr>
        <w:spacing w:line="360" w:lineRule="auto"/>
        <w:ind w:firstLine="600" w:firstLineChars="250"/>
        <w:rPr>
          <w:rFonts w:ascii="宋体"/>
          <w:sz w:val="24"/>
          <w:highlight w:val="none"/>
        </w:rPr>
      </w:pPr>
      <w:r>
        <w:rPr>
          <w:rFonts w:hint="eastAsia" w:ascii="宋体" w:hAnsi="宋体"/>
          <w:sz w:val="24"/>
          <w:highlight w:val="none"/>
        </w:rPr>
        <w:t>法定代表人签字或盖章：</w:t>
      </w:r>
      <w:r>
        <w:rPr>
          <w:rFonts w:ascii="宋体" w:hAnsi="宋体"/>
          <w:sz w:val="24"/>
          <w:highlight w:val="none"/>
        </w:rPr>
        <w:t xml:space="preserve">                      </w:t>
      </w:r>
      <w:r>
        <w:rPr>
          <w:rFonts w:hint="eastAsia" w:ascii="宋体" w:hAnsi="宋体"/>
          <w:sz w:val="24"/>
          <w:highlight w:val="none"/>
        </w:rPr>
        <w:t>被授权人签字或盖章：</w:t>
      </w:r>
    </w:p>
    <w:p>
      <w:pPr>
        <w:spacing w:line="360" w:lineRule="auto"/>
        <w:ind w:firstLine="600" w:firstLineChars="250"/>
        <w:rPr>
          <w:rFonts w:ascii="宋体"/>
          <w:sz w:val="24"/>
          <w:highlight w:val="none"/>
        </w:rPr>
      </w:pP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务：</w:t>
      </w:r>
      <w:r>
        <w:rPr>
          <w:rFonts w:ascii="宋体" w:hAnsi="宋体"/>
          <w:sz w:val="24"/>
          <w:highlight w:val="none"/>
        </w:rPr>
        <w:t xml:space="preserve">                              </w:t>
      </w: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务：</w:t>
      </w:r>
    </w:p>
    <w:p>
      <w:pPr>
        <w:spacing w:line="360" w:lineRule="auto"/>
        <w:ind w:firstLine="600" w:firstLineChars="250"/>
        <w:rPr>
          <w:rFonts w:ascii="宋体"/>
          <w:sz w:val="24"/>
          <w:highlight w:val="none"/>
          <w:u w:val="single"/>
        </w:rPr>
      </w:pPr>
      <w:r>
        <w:rPr>
          <w:rFonts w:hint="eastAsia" w:ascii="宋体" w:hAnsi="宋体"/>
          <w:sz w:val="24"/>
          <w:highlight w:val="none"/>
        </w:rPr>
        <w:t>身</w:t>
      </w:r>
      <w:r>
        <w:rPr>
          <w:rFonts w:ascii="宋体" w:hAnsi="宋体"/>
          <w:sz w:val="24"/>
          <w:highlight w:val="none"/>
        </w:rPr>
        <w:t xml:space="preserve"> </w:t>
      </w:r>
      <w:r>
        <w:rPr>
          <w:rFonts w:hint="eastAsia" w:ascii="宋体" w:hAnsi="宋体"/>
          <w:sz w:val="24"/>
          <w:highlight w:val="none"/>
        </w:rPr>
        <w:t>份</w:t>
      </w:r>
      <w:r>
        <w:rPr>
          <w:rFonts w:ascii="宋体" w:hAnsi="宋体"/>
          <w:sz w:val="24"/>
          <w:highlight w:val="none"/>
        </w:rPr>
        <w:t xml:space="preserve"> </w:t>
      </w:r>
      <w:r>
        <w:rPr>
          <w:rFonts w:hint="eastAsia" w:ascii="宋体" w:hAnsi="宋体"/>
          <w:sz w:val="24"/>
          <w:highlight w:val="none"/>
        </w:rPr>
        <w:t>证</w:t>
      </w:r>
      <w:r>
        <w:rPr>
          <w:rFonts w:ascii="宋体" w:hAnsi="宋体"/>
          <w:sz w:val="24"/>
          <w:highlight w:val="none"/>
        </w:rPr>
        <w:t xml:space="preserve"> </w:t>
      </w:r>
      <w:r>
        <w:rPr>
          <w:rFonts w:hint="eastAsia" w:ascii="宋体" w:hAnsi="宋体"/>
          <w:sz w:val="24"/>
          <w:highlight w:val="none"/>
        </w:rPr>
        <w:t>号</w:t>
      </w:r>
      <w:r>
        <w:rPr>
          <w:rFonts w:ascii="宋体" w:hAnsi="宋体"/>
          <w:sz w:val="24"/>
          <w:highlight w:val="none"/>
        </w:rPr>
        <w:t xml:space="preserve"> </w:t>
      </w:r>
      <w:r>
        <w:rPr>
          <w:rFonts w:hint="eastAsia" w:ascii="宋体" w:hAnsi="宋体"/>
          <w:sz w:val="24"/>
          <w:highlight w:val="none"/>
        </w:rPr>
        <w:t>：</w:t>
      </w:r>
      <w:r>
        <w:rPr>
          <w:rFonts w:ascii="宋体" w:hAnsi="宋体"/>
          <w:sz w:val="24"/>
          <w:highlight w:val="none"/>
        </w:rPr>
        <w:t xml:space="preserve">                              </w:t>
      </w:r>
      <w:r>
        <w:rPr>
          <w:rFonts w:hint="eastAsia" w:ascii="宋体" w:hAnsi="宋体"/>
          <w:sz w:val="24"/>
          <w:highlight w:val="none"/>
        </w:rPr>
        <w:t>身</w:t>
      </w:r>
      <w:r>
        <w:rPr>
          <w:rFonts w:ascii="宋体" w:hAnsi="宋体"/>
          <w:sz w:val="24"/>
          <w:highlight w:val="none"/>
        </w:rPr>
        <w:t xml:space="preserve"> </w:t>
      </w:r>
      <w:r>
        <w:rPr>
          <w:rFonts w:hint="eastAsia" w:ascii="宋体" w:hAnsi="宋体"/>
          <w:sz w:val="24"/>
          <w:highlight w:val="none"/>
        </w:rPr>
        <w:t>份</w:t>
      </w:r>
      <w:r>
        <w:rPr>
          <w:rFonts w:ascii="宋体" w:hAnsi="宋体"/>
          <w:sz w:val="24"/>
          <w:highlight w:val="none"/>
        </w:rPr>
        <w:t xml:space="preserve"> </w:t>
      </w:r>
      <w:r>
        <w:rPr>
          <w:rFonts w:hint="eastAsia" w:ascii="宋体" w:hAnsi="宋体"/>
          <w:sz w:val="24"/>
          <w:highlight w:val="none"/>
        </w:rPr>
        <w:t>证</w:t>
      </w:r>
      <w:r>
        <w:rPr>
          <w:rFonts w:ascii="宋体" w:hAnsi="宋体"/>
          <w:sz w:val="24"/>
          <w:highlight w:val="none"/>
        </w:rPr>
        <w:t xml:space="preserve"> </w:t>
      </w:r>
      <w:r>
        <w:rPr>
          <w:rFonts w:hint="eastAsia" w:ascii="宋体" w:hAnsi="宋体"/>
          <w:sz w:val="24"/>
          <w:highlight w:val="none"/>
        </w:rPr>
        <w:t>号</w:t>
      </w:r>
      <w:r>
        <w:rPr>
          <w:rFonts w:ascii="宋体" w:hAnsi="宋体"/>
          <w:sz w:val="24"/>
          <w:highlight w:val="none"/>
        </w:rPr>
        <w:t xml:space="preserve"> </w:t>
      </w:r>
      <w:r>
        <w:rPr>
          <w:rFonts w:hint="eastAsia" w:ascii="宋体" w:hAnsi="宋体"/>
          <w:sz w:val="24"/>
          <w:highlight w:val="none"/>
        </w:rPr>
        <w:t>：</w:t>
      </w:r>
    </w:p>
    <w:p>
      <w:pPr>
        <w:spacing w:line="360" w:lineRule="auto"/>
        <w:rPr>
          <w:rFonts w:ascii="宋体"/>
          <w:sz w:val="24"/>
          <w:highlight w:val="none"/>
          <w:u w:val="single"/>
        </w:rPr>
      </w:pPr>
    </w:p>
    <w:p>
      <w:pPr>
        <w:spacing w:line="360" w:lineRule="auto"/>
        <w:ind w:firstLine="315" w:firstLineChars="150"/>
        <w:rPr>
          <w:rFonts w:ascii="宋体"/>
          <w:szCs w:val="21"/>
          <w:highlight w:val="none"/>
        </w:rPr>
      </w:pPr>
      <w:r>
        <w:rPr>
          <w:rFonts w:hint="eastAsia" w:ascii="宋体" w:hAnsi="宋体"/>
          <w:szCs w:val="21"/>
          <w:highlight w:val="none"/>
        </w:rPr>
        <w:t>附：法定代表人、被授权人身份证复印件。（二代身份证、反正两面都需复印）</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7"/>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szCs w:val="21"/>
                <w:highlight w:val="none"/>
              </w:rPr>
            </w:pPr>
            <w:r>
              <w:rPr>
                <w:rFonts w:hint="eastAsia" w:ascii="宋体" w:hAnsi="宋体"/>
                <w:szCs w:val="21"/>
                <w:highlight w:val="none"/>
              </w:rPr>
              <w:t>法定代表人身份证复印件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c>
          <w:tcPr>
            <w:tcW w:w="4408" w:type="dxa"/>
            <w:vAlign w:val="center"/>
          </w:tcPr>
          <w:p>
            <w:pPr>
              <w:spacing w:line="360" w:lineRule="auto"/>
              <w:jc w:val="center"/>
              <w:rPr>
                <w:rFonts w:ascii="宋体"/>
                <w:szCs w:val="21"/>
                <w:highlight w:val="none"/>
              </w:rPr>
            </w:pPr>
            <w:r>
              <w:rPr>
                <w:rFonts w:hint="eastAsia" w:ascii="宋体" w:hAnsi="宋体"/>
                <w:szCs w:val="21"/>
                <w:highlight w:val="none"/>
              </w:rPr>
              <w:t>被授权人身份证复印件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4407" w:type="dxa"/>
            <w:vAlign w:val="center"/>
          </w:tcPr>
          <w:p>
            <w:pPr>
              <w:spacing w:line="360" w:lineRule="auto"/>
              <w:jc w:val="center"/>
              <w:rPr>
                <w:rFonts w:ascii="宋体"/>
                <w:szCs w:val="21"/>
                <w:highlight w:val="none"/>
              </w:rPr>
            </w:pPr>
            <w:r>
              <w:rPr>
                <w:rFonts w:hint="eastAsia" w:ascii="宋体" w:hAnsi="宋体"/>
                <w:szCs w:val="21"/>
                <w:highlight w:val="none"/>
              </w:rPr>
              <w:t>法定代表人身份证复印件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c>
          <w:tcPr>
            <w:tcW w:w="4408" w:type="dxa"/>
            <w:vAlign w:val="center"/>
          </w:tcPr>
          <w:p>
            <w:pPr>
              <w:spacing w:line="360" w:lineRule="auto"/>
              <w:jc w:val="center"/>
              <w:rPr>
                <w:rFonts w:ascii="宋体"/>
                <w:szCs w:val="21"/>
                <w:highlight w:val="none"/>
              </w:rPr>
            </w:pPr>
            <w:r>
              <w:rPr>
                <w:rFonts w:hint="eastAsia" w:ascii="宋体" w:hAnsi="宋体"/>
                <w:szCs w:val="21"/>
                <w:highlight w:val="none"/>
              </w:rPr>
              <w:t>被授权人身份证复印件</w:t>
            </w:r>
          </w:p>
          <w:p>
            <w:pPr>
              <w:spacing w:line="360" w:lineRule="auto"/>
              <w:jc w:val="center"/>
              <w:rPr>
                <w:rFonts w:ascii="宋体"/>
                <w:szCs w:val="21"/>
                <w:highlight w:val="none"/>
              </w:rPr>
            </w:pPr>
            <w:r>
              <w:rPr>
                <w:rFonts w:hint="eastAsia" w:ascii="宋体" w:hAnsi="宋体"/>
                <w:szCs w:val="21"/>
                <w:highlight w:val="none"/>
              </w:rPr>
              <w:t>（正面或反面）</w:t>
            </w:r>
          </w:p>
        </w:tc>
      </w:tr>
    </w:tbl>
    <w:p>
      <w:pPr>
        <w:spacing w:line="360" w:lineRule="auto"/>
        <w:ind w:firstLine="240" w:firstLineChars="100"/>
        <w:rPr>
          <w:rFonts w:ascii="宋体"/>
          <w:sz w:val="24"/>
          <w:highlight w:val="none"/>
        </w:rPr>
      </w:pPr>
      <w:r>
        <w:rPr>
          <w:rFonts w:hint="eastAsia" w:ascii="宋体" w:hAnsi="宋体"/>
          <w:sz w:val="24"/>
          <w:highlight w:val="none"/>
        </w:rPr>
        <w:t>（本授权的有效期为开标之日起</w:t>
      </w:r>
      <w:r>
        <w:rPr>
          <w:rFonts w:ascii="宋体" w:hAnsi="宋体"/>
          <w:sz w:val="24"/>
          <w:highlight w:val="none"/>
        </w:rPr>
        <w:t>90</w:t>
      </w:r>
      <w:r>
        <w:rPr>
          <w:rFonts w:hint="eastAsia" w:ascii="宋体" w:hAnsi="宋体"/>
          <w:sz w:val="24"/>
          <w:highlight w:val="none"/>
        </w:rPr>
        <w:t>个日历日）</w:t>
      </w:r>
    </w:p>
    <w:p>
      <w:pPr>
        <w:spacing w:line="360" w:lineRule="auto"/>
        <w:rPr>
          <w:rFonts w:ascii="宋体"/>
          <w:sz w:val="24"/>
          <w:highlight w:val="none"/>
        </w:rPr>
      </w:pPr>
    </w:p>
    <w:p>
      <w:pPr>
        <w:spacing w:line="360" w:lineRule="auto"/>
        <w:rPr>
          <w:rFonts w:ascii="宋体"/>
          <w:sz w:val="24"/>
          <w:highlight w:val="none"/>
        </w:rPr>
      </w:pPr>
      <w:r>
        <w:rPr>
          <w:rFonts w:ascii="宋体" w:hAnsi="宋体"/>
          <w:sz w:val="24"/>
          <w:highlight w:val="none"/>
        </w:rPr>
        <w:t xml:space="preserve">                                </w:t>
      </w:r>
      <w:r>
        <w:rPr>
          <w:rFonts w:hint="eastAsia" w:ascii="宋体" w:hAnsi="宋体"/>
          <w:sz w:val="24"/>
          <w:highlight w:val="none"/>
        </w:rPr>
        <w:t>供应商全称：</w:t>
      </w:r>
      <w:r>
        <w:rPr>
          <w:rFonts w:ascii="宋体" w:hAnsi="宋体"/>
          <w:sz w:val="24"/>
          <w:highlight w:val="none"/>
          <w:u w:val="single"/>
        </w:rPr>
        <w:t xml:space="preserve">                   </w:t>
      </w:r>
      <w:r>
        <w:rPr>
          <w:rFonts w:hint="eastAsia" w:ascii="宋体" w:hAnsi="宋体"/>
          <w:sz w:val="24"/>
          <w:highlight w:val="none"/>
        </w:rPr>
        <w:t>（公章）</w:t>
      </w:r>
    </w:p>
    <w:p>
      <w:pPr>
        <w:spacing w:line="360" w:lineRule="auto"/>
        <w:rPr>
          <w:rFonts w:ascii="宋体"/>
          <w:sz w:val="24"/>
          <w:highlight w:val="none"/>
        </w:rPr>
      </w:pPr>
      <w:r>
        <w:rPr>
          <w:rFonts w:ascii="宋体" w:hAnsi="宋体"/>
          <w:sz w:val="24"/>
          <w:highlight w:val="none"/>
        </w:rPr>
        <w:t xml:space="preserve">                                                  </w:t>
      </w: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jc w:val="center"/>
        <w:rPr>
          <w:rFonts w:ascii="宋体"/>
          <w:sz w:val="24"/>
          <w:highlight w:val="none"/>
        </w:rPr>
      </w:pPr>
      <w:r>
        <w:rPr>
          <w:rFonts w:ascii="宋体"/>
          <w:sz w:val="24"/>
          <w:highlight w:val="none"/>
        </w:rPr>
        <w:br w:type="page"/>
      </w:r>
    </w:p>
    <w:p>
      <w:pPr>
        <w:jc w:val="center"/>
        <w:rPr>
          <w:rFonts w:ascii="宋体"/>
          <w:b/>
          <w:sz w:val="32"/>
          <w:szCs w:val="32"/>
          <w:highlight w:val="none"/>
        </w:rPr>
      </w:pPr>
      <w:r>
        <w:rPr>
          <w:rFonts w:hint="eastAsia" w:ascii="宋体" w:hAnsi="宋体"/>
          <w:b/>
          <w:sz w:val="32"/>
          <w:szCs w:val="32"/>
          <w:highlight w:val="none"/>
        </w:rPr>
        <w:t>四</w:t>
      </w:r>
      <w:r>
        <w:rPr>
          <w:rFonts w:ascii="宋体" w:hAnsi="宋体"/>
          <w:b/>
          <w:sz w:val="32"/>
          <w:szCs w:val="32"/>
          <w:highlight w:val="none"/>
        </w:rPr>
        <w:t xml:space="preserve">  </w:t>
      </w:r>
      <w:r>
        <w:rPr>
          <w:rFonts w:hint="eastAsia" w:ascii="宋体" w:hAnsi="宋体"/>
          <w:b/>
          <w:sz w:val="32"/>
          <w:szCs w:val="32"/>
          <w:highlight w:val="none"/>
        </w:rPr>
        <w:t>商务响应及相关证明</w:t>
      </w:r>
    </w:p>
    <w:p>
      <w:pPr>
        <w:jc w:val="center"/>
        <w:rPr>
          <w:rFonts w:ascii="宋体"/>
          <w:b/>
          <w:sz w:val="32"/>
          <w:szCs w:val="32"/>
          <w:highlight w:val="none"/>
        </w:rPr>
      </w:pPr>
    </w:p>
    <w:p>
      <w:pPr>
        <w:spacing w:line="360" w:lineRule="auto"/>
        <w:ind w:firstLine="480" w:firstLineChars="200"/>
        <w:rPr>
          <w:rFonts w:ascii="宋体"/>
          <w:color w:val="000000"/>
          <w:sz w:val="24"/>
          <w:highlight w:val="none"/>
        </w:rPr>
      </w:pPr>
      <w:r>
        <w:rPr>
          <w:rFonts w:ascii="宋体" w:hAnsi="宋体"/>
          <w:color w:val="000000"/>
          <w:sz w:val="24"/>
          <w:highlight w:val="none"/>
        </w:rPr>
        <w:t>1</w:t>
      </w:r>
      <w:r>
        <w:rPr>
          <w:rFonts w:hint="eastAsia" w:ascii="宋体" w:hAnsi="宋体"/>
          <w:color w:val="000000"/>
          <w:sz w:val="24"/>
          <w:highlight w:val="none"/>
        </w:rPr>
        <w:t>、商务响应由供应商根据招标文件的评标办法和合同条款自行编制。</w:t>
      </w:r>
    </w:p>
    <w:p>
      <w:pPr>
        <w:spacing w:line="360" w:lineRule="auto"/>
        <w:ind w:firstLine="480" w:firstLineChars="200"/>
        <w:rPr>
          <w:rFonts w:ascii="宋体"/>
          <w:color w:val="000000"/>
          <w:sz w:val="24"/>
          <w:highlight w:val="none"/>
        </w:rPr>
      </w:pPr>
      <w:r>
        <w:rPr>
          <w:rFonts w:ascii="宋体" w:hAnsi="宋体"/>
          <w:color w:val="000000"/>
          <w:sz w:val="24"/>
          <w:highlight w:val="none"/>
        </w:rPr>
        <w:t>2</w:t>
      </w:r>
      <w:r>
        <w:rPr>
          <w:rFonts w:hint="eastAsia" w:ascii="宋体" w:hAnsi="宋体"/>
          <w:color w:val="000000"/>
          <w:sz w:val="24"/>
          <w:highlight w:val="none"/>
        </w:rPr>
        <w:t>、供应商的相关资质证明文件</w:t>
      </w:r>
      <w:r>
        <w:rPr>
          <w:rFonts w:hint="eastAsia" w:ascii="宋体" w:hAnsi="宋体"/>
          <w:b/>
          <w:color w:val="000000"/>
          <w:sz w:val="24"/>
          <w:highlight w:val="none"/>
        </w:rPr>
        <w:t>（</w:t>
      </w:r>
      <w:r>
        <w:rPr>
          <w:rFonts w:hint="eastAsia" w:ascii="宋体" w:hAnsi="宋体"/>
          <w:b/>
          <w:sz w:val="24"/>
          <w:highlight w:val="none"/>
        </w:rPr>
        <w:t>以下相关资料需提供加盖公章的复印件</w:t>
      </w:r>
      <w:r>
        <w:rPr>
          <w:rFonts w:hint="eastAsia" w:ascii="宋体" w:hAnsi="宋体"/>
          <w:b/>
          <w:color w:val="000000"/>
          <w:sz w:val="24"/>
          <w:highlight w:val="none"/>
        </w:rPr>
        <w:t>）</w:t>
      </w:r>
      <w:r>
        <w:rPr>
          <w:rFonts w:hint="eastAsia" w:ascii="宋体" w:hAnsi="宋体"/>
          <w:b/>
          <w:sz w:val="24"/>
          <w:highlight w:val="none"/>
        </w:rPr>
        <w:t>：</w:t>
      </w:r>
    </w:p>
    <w:p>
      <w:pPr>
        <w:spacing w:line="360" w:lineRule="auto"/>
        <w:ind w:firstLine="480" w:firstLineChars="200"/>
        <w:rPr>
          <w:rFonts w:ascii="宋体" w:hAnsi="宋体"/>
          <w:sz w:val="24"/>
          <w:highlight w:val="none"/>
        </w:rPr>
      </w:pPr>
      <w:r>
        <w:rPr>
          <w:rFonts w:hint="eastAsia" w:ascii="宋体" w:hAnsi="宋体"/>
          <w:sz w:val="24"/>
          <w:highlight w:val="none"/>
        </w:rPr>
        <w:t>（1）法定代表人授权书（附法定代表人身份证复印件）及被授权人身份证（法定代表人直接参加投标只需提供法定代表人身份证）。自然人只需提供身份证；备注：分支机构由分支机构负责人授权即可；</w:t>
      </w:r>
    </w:p>
    <w:p>
      <w:pPr>
        <w:spacing w:line="360" w:lineRule="auto"/>
        <w:ind w:firstLine="480" w:firstLineChars="200"/>
        <w:rPr>
          <w:rFonts w:ascii="宋体" w:hAnsi="宋体"/>
          <w:sz w:val="24"/>
          <w:highlight w:val="none"/>
        </w:rPr>
      </w:pPr>
      <w:r>
        <w:rPr>
          <w:rFonts w:hint="eastAsia" w:ascii="宋体" w:hAnsi="宋体"/>
          <w:sz w:val="24"/>
          <w:highlight w:val="none"/>
        </w:rPr>
        <w:t>（2）具有建设行政主管部门颁发的建筑工程施工总承包三级及以上资质，同时具备有效的安全生产许可证；</w:t>
      </w:r>
    </w:p>
    <w:p>
      <w:pPr>
        <w:spacing w:line="360" w:lineRule="auto"/>
        <w:ind w:firstLine="480" w:firstLineChars="200"/>
        <w:rPr>
          <w:rFonts w:ascii="宋体" w:hAnsi="宋体"/>
          <w:sz w:val="24"/>
          <w:highlight w:val="none"/>
        </w:rPr>
      </w:pPr>
      <w:r>
        <w:rPr>
          <w:rFonts w:hint="eastAsia" w:ascii="宋体" w:hAnsi="宋体"/>
          <w:sz w:val="24"/>
          <w:highlight w:val="none"/>
        </w:rPr>
        <w:t xml:space="preserve">（3）拟派项目经理具有建筑工程专业二级及以上注册建造师执业资格，具有有效的安全生产考核合格证书（建安B证），在本单位注册，且未担任其他在建工程项目的项目经理； </w:t>
      </w:r>
    </w:p>
    <w:p>
      <w:pPr>
        <w:spacing w:line="360" w:lineRule="auto"/>
        <w:ind w:firstLine="480" w:firstLineChars="200"/>
        <w:rPr>
          <w:rFonts w:ascii="宋体" w:hAnsi="宋体"/>
          <w:sz w:val="24"/>
          <w:highlight w:val="none"/>
        </w:rPr>
      </w:pPr>
      <w:r>
        <w:rPr>
          <w:rFonts w:hint="eastAsia" w:ascii="宋体" w:hAnsi="宋体"/>
          <w:sz w:val="24"/>
          <w:highlight w:val="none"/>
        </w:rPr>
        <w:t>（4）企业基本信息及项目经理（注册建造师）执业基本信息应在“陕西建设网（http://js.shaanxi.gov.cn/ ）陕西省建筑市场监管与诚信信息发布平台”可查询；</w:t>
      </w:r>
    </w:p>
    <w:p>
      <w:pPr>
        <w:spacing w:line="360" w:lineRule="auto"/>
        <w:ind w:firstLine="480" w:firstLineChars="200"/>
        <w:rPr>
          <w:rFonts w:hint="eastAsia" w:ascii="宋体" w:hAnsi="宋体"/>
          <w:sz w:val="24"/>
          <w:highlight w:val="none"/>
        </w:rPr>
      </w:pPr>
      <w:r>
        <w:rPr>
          <w:rFonts w:hint="eastAsia" w:ascii="宋体" w:hAnsi="宋体"/>
          <w:color w:val="000000" w:themeColor="text1"/>
          <w:sz w:val="24"/>
          <w:highlight w:val="none"/>
          <w14:textFill>
            <w14:solidFill>
              <w14:schemeClr w14:val="tx1"/>
            </w14:solidFill>
          </w14:textFill>
        </w:rPr>
        <w:t>（</w:t>
      </w:r>
      <w:r>
        <w:rPr>
          <w:rFonts w:hint="eastAsia" w:ascii="宋体" w:hAnsi="宋体"/>
          <w:sz w:val="24"/>
          <w:highlight w:val="none"/>
        </w:rPr>
        <w:t>5）供应商须具备有效的道路运输经营许可证；</w:t>
      </w:r>
    </w:p>
    <w:p>
      <w:pPr>
        <w:spacing w:line="360" w:lineRule="auto"/>
        <w:ind w:firstLine="480" w:firstLineChars="200"/>
        <w:rPr>
          <w:rFonts w:hint="eastAsia" w:ascii="宋体" w:hAnsi="宋体"/>
          <w:sz w:val="24"/>
          <w:highlight w:val="none"/>
        </w:rPr>
      </w:pPr>
      <w:r>
        <w:rPr>
          <w:rFonts w:hint="eastAsia" w:ascii="宋体" w:hAnsi="宋体"/>
          <w:sz w:val="24"/>
          <w:highlight w:val="none"/>
        </w:rPr>
        <w:t>（6）供应商须具备行政主管部门颁发的建筑垃圾处置（运输）证；</w:t>
      </w:r>
    </w:p>
    <w:p>
      <w:pPr>
        <w:spacing w:line="360" w:lineRule="auto"/>
        <w:ind w:firstLine="480" w:firstLineChars="200"/>
        <w:rPr>
          <w:rFonts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7</w:t>
      </w:r>
      <w:r>
        <w:rPr>
          <w:rFonts w:hint="eastAsia" w:ascii="宋体" w:hAnsi="宋体"/>
          <w:sz w:val="24"/>
          <w:highlight w:val="none"/>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spacing w:line="360" w:lineRule="auto"/>
        <w:ind w:firstLine="480" w:firstLineChars="200"/>
        <w:rPr>
          <w:rFonts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8</w:t>
      </w:r>
      <w:r>
        <w:rPr>
          <w:rFonts w:hint="eastAsia" w:ascii="宋体" w:hAnsi="宋体"/>
          <w:sz w:val="24"/>
          <w:highlight w:val="none"/>
        </w:rPr>
        <w:t>）申请人不得在各级建设诚信信息平台被列为投标受限制的行为人；</w:t>
      </w:r>
    </w:p>
    <w:p>
      <w:pPr>
        <w:spacing w:line="360" w:lineRule="auto"/>
        <w:ind w:firstLine="480" w:firstLineChars="200"/>
        <w:rPr>
          <w:rFonts w:ascii="宋体"/>
          <w:color w:val="000000"/>
          <w:sz w:val="24"/>
          <w:highlight w:val="none"/>
        </w:rPr>
      </w:pPr>
      <w:r>
        <w:rPr>
          <w:rFonts w:hint="eastAsia" w:ascii="宋体" w:hAnsi="宋体"/>
          <w:sz w:val="24"/>
          <w:highlight w:val="none"/>
        </w:rPr>
        <w:t>（</w:t>
      </w:r>
      <w:r>
        <w:rPr>
          <w:rFonts w:hint="eastAsia" w:ascii="宋体" w:hAnsi="宋体"/>
          <w:sz w:val="24"/>
          <w:highlight w:val="none"/>
          <w:lang w:val="en-US" w:eastAsia="zh-CN"/>
        </w:rPr>
        <w:t>9</w:t>
      </w:r>
      <w:r>
        <w:rPr>
          <w:rFonts w:hint="eastAsia" w:ascii="宋体" w:hAnsi="宋体"/>
          <w:sz w:val="24"/>
          <w:highlight w:val="none"/>
        </w:rPr>
        <w:t>）近一年内（</w:t>
      </w:r>
      <w:r>
        <w:rPr>
          <w:rFonts w:ascii="宋体" w:hAnsi="宋体"/>
          <w:sz w:val="24"/>
          <w:highlight w:val="none"/>
        </w:rPr>
        <w:t>2019</w:t>
      </w:r>
      <w:r>
        <w:rPr>
          <w:rFonts w:hint="eastAsia" w:ascii="宋体" w:hAnsi="宋体"/>
          <w:sz w:val="24"/>
          <w:highlight w:val="none"/>
        </w:rPr>
        <w:t>年</w:t>
      </w:r>
      <w:r>
        <w:rPr>
          <w:rFonts w:ascii="宋体" w:hAnsi="宋体"/>
          <w:sz w:val="24"/>
          <w:highlight w:val="none"/>
        </w:rPr>
        <w:t>3</w:t>
      </w:r>
      <w:r>
        <w:rPr>
          <w:rFonts w:hint="eastAsia" w:ascii="宋体" w:hAnsi="宋体"/>
          <w:sz w:val="24"/>
          <w:highlight w:val="none"/>
        </w:rPr>
        <w:t>月至今）任意一个月依法缴纳税收和社会保障资金的相关材料（依法免税或不需要缴纳社会保障资金的单位提供证明资料）；</w:t>
      </w:r>
    </w:p>
    <w:p>
      <w:pPr>
        <w:spacing w:line="360" w:lineRule="auto"/>
        <w:ind w:firstLine="480" w:firstLineChars="200"/>
        <w:rPr>
          <w:rFonts w:ascii="宋体"/>
          <w:color w:val="000000"/>
          <w:sz w:val="24"/>
          <w:highlight w:val="none"/>
        </w:rPr>
      </w:pPr>
      <w:r>
        <w:rPr>
          <w:rFonts w:hint="eastAsia" w:ascii="宋体" w:hAnsi="宋体"/>
          <w:sz w:val="24"/>
          <w:highlight w:val="none"/>
        </w:rPr>
        <w:t>（1</w:t>
      </w:r>
      <w:r>
        <w:rPr>
          <w:rFonts w:hint="eastAsia" w:ascii="宋体" w:hAnsi="宋体"/>
          <w:sz w:val="24"/>
          <w:highlight w:val="none"/>
          <w:lang w:val="en-US" w:eastAsia="zh-CN"/>
        </w:rPr>
        <w:t>0</w:t>
      </w:r>
      <w:r>
        <w:rPr>
          <w:rFonts w:hint="eastAsia" w:ascii="宋体" w:hAnsi="宋体"/>
          <w:sz w:val="24"/>
          <w:highlight w:val="none"/>
        </w:rPr>
        <w:t>）参加政府采购活动前</w:t>
      </w:r>
      <w:r>
        <w:rPr>
          <w:rFonts w:ascii="宋体" w:hAnsi="宋体"/>
          <w:sz w:val="24"/>
          <w:highlight w:val="none"/>
        </w:rPr>
        <w:t>3</w:t>
      </w:r>
      <w:r>
        <w:rPr>
          <w:rFonts w:hint="eastAsia" w:ascii="宋体" w:hAnsi="宋体"/>
          <w:sz w:val="24"/>
          <w:highlight w:val="none"/>
        </w:rPr>
        <w:t>年内在经营活动中没有重大违法记录的书面声明；</w:t>
      </w:r>
    </w:p>
    <w:p>
      <w:pPr>
        <w:spacing w:line="360" w:lineRule="auto"/>
        <w:ind w:firstLine="480" w:firstLineChars="200"/>
        <w:rPr>
          <w:rFonts w:ascii="宋体"/>
          <w:color w:val="000000"/>
          <w:sz w:val="24"/>
          <w:highlight w:val="none"/>
        </w:rPr>
      </w:pPr>
      <w:r>
        <w:rPr>
          <w:rFonts w:hint="eastAsia" w:ascii="宋体" w:hAnsi="宋体"/>
          <w:sz w:val="24"/>
          <w:highlight w:val="none"/>
        </w:rPr>
        <w:t>（1</w:t>
      </w:r>
      <w:r>
        <w:rPr>
          <w:rFonts w:hint="eastAsia" w:ascii="宋体" w:hAnsi="宋体"/>
          <w:sz w:val="24"/>
          <w:highlight w:val="none"/>
          <w:lang w:val="en-US" w:eastAsia="zh-CN"/>
        </w:rPr>
        <w:t>1</w:t>
      </w:r>
      <w:r>
        <w:rPr>
          <w:rFonts w:hint="eastAsia" w:ascii="宋体" w:hAnsi="宋体"/>
          <w:sz w:val="24"/>
          <w:highlight w:val="none"/>
        </w:rPr>
        <w:t>）提供</w:t>
      </w:r>
      <w:r>
        <w:rPr>
          <w:rFonts w:ascii="宋体" w:hAnsi="宋体"/>
          <w:sz w:val="24"/>
          <w:highlight w:val="none"/>
        </w:rPr>
        <w:t>201</w:t>
      </w:r>
      <w:r>
        <w:rPr>
          <w:rFonts w:hint="eastAsia" w:ascii="宋体" w:hAnsi="宋体"/>
          <w:sz w:val="24"/>
          <w:highlight w:val="none"/>
        </w:rPr>
        <w:t>9年经审计的财务报告（至少包括审计报告、资产负债表和利润表，成立时间至提交申请文件截止时间不足一年的可提供成立后任意时段的资产负债表），或其开标前三个月内基本存款账户开户银行出具的资信证明及基本存款账户开户许可证，或信用担保机构出具的投标担保函；</w:t>
      </w:r>
    </w:p>
    <w:p>
      <w:pPr>
        <w:spacing w:line="360" w:lineRule="auto"/>
        <w:ind w:firstLine="480" w:firstLineChars="200"/>
        <w:rPr>
          <w:rFonts w:ascii="宋体"/>
          <w:color w:val="000000"/>
          <w:sz w:val="24"/>
          <w:highlight w:val="none"/>
        </w:rPr>
      </w:pPr>
      <w:r>
        <w:rPr>
          <w:rFonts w:hint="eastAsia" w:ascii="宋体" w:hAnsi="宋体"/>
          <w:sz w:val="24"/>
          <w:highlight w:val="none"/>
        </w:rPr>
        <w:t>（1</w:t>
      </w:r>
      <w:r>
        <w:rPr>
          <w:rFonts w:hint="eastAsia" w:ascii="宋体" w:hAnsi="宋体"/>
          <w:sz w:val="24"/>
          <w:highlight w:val="none"/>
          <w:lang w:val="en-US" w:eastAsia="zh-CN"/>
        </w:rPr>
        <w:t>2</w:t>
      </w:r>
      <w:r>
        <w:rPr>
          <w:rFonts w:hint="eastAsia" w:ascii="宋体" w:hAnsi="宋体"/>
          <w:sz w:val="24"/>
          <w:highlight w:val="none"/>
        </w:rPr>
        <w:t>）具有履行合同所必需的设备和专业技术能力的承诺函；</w:t>
      </w:r>
    </w:p>
    <w:p>
      <w:pPr>
        <w:spacing w:line="360" w:lineRule="auto"/>
        <w:ind w:firstLine="480" w:firstLineChars="200"/>
        <w:rPr>
          <w:rFonts w:ascii="宋体"/>
          <w:color w:val="000000"/>
          <w:sz w:val="24"/>
          <w:highlight w:val="none"/>
        </w:rPr>
      </w:pPr>
      <w:r>
        <w:rPr>
          <w:rFonts w:hint="eastAsia" w:ascii="宋体" w:hAnsi="宋体"/>
          <w:sz w:val="24"/>
          <w:highlight w:val="none"/>
        </w:rPr>
        <w:t>（1</w:t>
      </w:r>
      <w:r>
        <w:rPr>
          <w:rFonts w:hint="eastAsia" w:ascii="宋体" w:hAnsi="宋体"/>
          <w:sz w:val="24"/>
          <w:highlight w:val="none"/>
          <w:lang w:val="en-US" w:eastAsia="zh-CN"/>
        </w:rPr>
        <w:t>3</w:t>
      </w:r>
      <w:r>
        <w:rPr>
          <w:rFonts w:hint="eastAsia" w:ascii="宋体" w:hAnsi="宋体"/>
          <w:sz w:val="24"/>
          <w:highlight w:val="none"/>
        </w:rPr>
        <w:t>）供应商不得在各级建设诚信信息平台被列为投标受限制的行为人的承诺函。</w:t>
      </w:r>
    </w:p>
    <w:p>
      <w:pPr>
        <w:spacing w:line="348" w:lineRule="auto"/>
        <w:ind w:left="573" w:leftChars="123" w:hanging="315" w:hangingChars="150"/>
        <w:jc w:val="center"/>
        <w:rPr>
          <w:rFonts w:ascii="宋体"/>
          <w:b/>
          <w:bCs/>
          <w:sz w:val="24"/>
          <w:highlight w:val="none"/>
        </w:rPr>
      </w:pPr>
      <w:r>
        <w:rPr>
          <w:rFonts w:ascii="宋体"/>
          <w:highlight w:val="none"/>
        </w:rPr>
        <w:br w:type="page"/>
      </w:r>
    </w:p>
    <w:p>
      <w:pPr>
        <w:spacing w:line="348" w:lineRule="auto"/>
        <w:ind w:left="740" w:leftChars="123" w:hanging="482" w:hangingChars="150"/>
        <w:jc w:val="center"/>
        <w:rPr>
          <w:rFonts w:ascii="宋体"/>
          <w:b/>
          <w:bCs/>
          <w:sz w:val="32"/>
          <w:szCs w:val="32"/>
          <w:highlight w:val="none"/>
        </w:rPr>
      </w:pPr>
      <w:r>
        <w:rPr>
          <w:rFonts w:hint="eastAsia" w:ascii="宋体" w:hAnsi="宋体"/>
          <w:b/>
          <w:bCs/>
          <w:sz w:val="32"/>
          <w:szCs w:val="32"/>
          <w:highlight w:val="none"/>
        </w:rPr>
        <w:t>五</w:t>
      </w:r>
      <w:r>
        <w:rPr>
          <w:rFonts w:ascii="宋体" w:hAnsi="宋体"/>
          <w:b/>
          <w:bCs/>
          <w:sz w:val="32"/>
          <w:szCs w:val="32"/>
          <w:highlight w:val="none"/>
        </w:rPr>
        <w:t xml:space="preserve">  </w:t>
      </w:r>
      <w:r>
        <w:rPr>
          <w:rFonts w:hint="eastAsia" w:ascii="宋体" w:hAnsi="宋体"/>
          <w:b/>
          <w:bCs/>
          <w:sz w:val="32"/>
          <w:szCs w:val="32"/>
          <w:highlight w:val="none"/>
        </w:rPr>
        <w:t>技术响应</w:t>
      </w:r>
    </w:p>
    <w:p>
      <w:pPr>
        <w:spacing w:line="348" w:lineRule="auto"/>
        <w:ind w:left="740" w:leftChars="123" w:hanging="482" w:hangingChars="150"/>
        <w:jc w:val="center"/>
        <w:rPr>
          <w:rFonts w:ascii="宋体"/>
          <w:b/>
          <w:bCs/>
          <w:sz w:val="32"/>
          <w:szCs w:val="32"/>
          <w:highlight w:val="none"/>
        </w:rPr>
      </w:pPr>
      <w:bookmarkStart w:id="294" w:name="_Toc408785214"/>
      <w:bookmarkStart w:id="295" w:name="_Toc387415867"/>
      <w:r>
        <w:rPr>
          <w:rFonts w:ascii="宋体" w:hAnsi="宋体"/>
          <w:b/>
          <w:bCs/>
          <w:sz w:val="32"/>
          <w:szCs w:val="32"/>
          <w:highlight w:val="none"/>
        </w:rPr>
        <w:t>1</w:t>
      </w:r>
      <w:r>
        <w:rPr>
          <w:rFonts w:hint="eastAsia" w:ascii="宋体" w:hAnsi="宋体"/>
          <w:b/>
          <w:bCs/>
          <w:sz w:val="32"/>
          <w:szCs w:val="32"/>
          <w:highlight w:val="none"/>
        </w:rPr>
        <w:t>、基本情况及组织架构</w:t>
      </w:r>
      <w:bookmarkEnd w:id="294"/>
      <w:bookmarkEnd w:id="295"/>
    </w:p>
    <w:p>
      <w:pPr>
        <w:spacing w:line="348" w:lineRule="auto"/>
        <w:ind w:left="619" w:leftChars="123" w:hanging="361" w:hangingChars="150"/>
        <w:jc w:val="center"/>
        <w:rPr>
          <w:rFonts w:ascii="宋体"/>
          <w:b/>
          <w:bCs/>
          <w:sz w:val="24"/>
          <w:highlight w:val="none"/>
        </w:rPr>
      </w:pPr>
      <w:bookmarkStart w:id="296" w:name="_Toc387415868"/>
      <w:bookmarkStart w:id="297" w:name="_Toc408785215"/>
      <w:r>
        <w:rPr>
          <w:rFonts w:hint="eastAsia" w:ascii="宋体" w:hAnsi="宋体"/>
          <w:b/>
          <w:bCs/>
          <w:sz w:val="24"/>
          <w:highlight w:val="none"/>
        </w:rPr>
        <w:t>（</w:t>
      </w:r>
      <w:r>
        <w:rPr>
          <w:rFonts w:ascii="宋体" w:hAnsi="宋体"/>
          <w:b/>
          <w:bCs/>
          <w:sz w:val="24"/>
          <w:highlight w:val="none"/>
        </w:rPr>
        <w:t>1</w:t>
      </w:r>
      <w:r>
        <w:rPr>
          <w:rFonts w:hint="eastAsia" w:ascii="宋体" w:hAnsi="宋体"/>
          <w:b/>
          <w:bCs/>
          <w:sz w:val="24"/>
          <w:highlight w:val="none"/>
        </w:rPr>
        <w:t>）基本情况表</w:t>
      </w:r>
      <w:bookmarkEnd w:id="296"/>
      <w:bookmarkEnd w:id="297"/>
    </w:p>
    <w:tbl>
      <w:tblPr>
        <w:tblStyle w:val="38"/>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827"/>
        <w:gridCol w:w="253"/>
        <w:gridCol w:w="900"/>
        <w:gridCol w:w="1128"/>
        <w:gridCol w:w="518"/>
        <w:gridCol w:w="1235"/>
        <w:gridCol w:w="20"/>
        <w:gridCol w:w="876"/>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申请人名称</w:t>
            </w:r>
          </w:p>
        </w:tc>
        <w:tc>
          <w:tcPr>
            <w:tcW w:w="6950" w:type="dxa"/>
            <w:gridSpan w:val="9"/>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注册地址</w:t>
            </w:r>
          </w:p>
        </w:tc>
        <w:tc>
          <w:tcPr>
            <w:tcW w:w="3626" w:type="dxa"/>
            <w:gridSpan w:val="5"/>
            <w:vAlign w:val="center"/>
          </w:tcPr>
          <w:p>
            <w:pPr>
              <w:spacing w:line="360" w:lineRule="auto"/>
              <w:jc w:val="center"/>
              <w:rPr>
                <w:rFonts w:ascii="宋体"/>
                <w:sz w:val="24"/>
                <w:highlight w:val="none"/>
              </w:rPr>
            </w:pPr>
          </w:p>
        </w:tc>
        <w:tc>
          <w:tcPr>
            <w:tcW w:w="1235" w:type="dxa"/>
            <w:vAlign w:val="center"/>
          </w:tcPr>
          <w:p>
            <w:pPr>
              <w:spacing w:line="360" w:lineRule="auto"/>
              <w:jc w:val="center"/>
              <w:rPr>
                <w:rFonts w:ascii="宋体"/>
                <w:sz w:val="24"/>
                <w:highlight w:val="none"/>
              </w:rPr>
            </w:pPr>
            <w:r>
              <w:rPr>
                <w:rFonts w:hint="eastAsia" w:ascii="宋体" w:hAnsi="宋体"/>
                <w:sz w:val="24"/>
                <w:highlight w:val="none"/>
              </w:rPr>
              <w:t>邮政编码</w:t>
            </w:r>
          </w:p>
        </w:tc>
        <w:tc>
          <w:tcPr>
            <w:tcW w:w="2089" w:type="dxa"/>
            <w:gridSpan w:val="3"/>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vMerge w:val="restart"/>
            <w:vAlign w:val="center"/>
          </w:tcPr>
          <w:p>
            <w:pPr>
              <w:spacing w:line="360" w:lineRule="auto"/>
              <w:jc w:val="center"/>
              <w:rPr>
                <w:rFonts w:ascii="宋体"/>
                <w:sz w:val="24"/>
                <w:highlight w:val="none"/>
              </w:rPr>
            </w:pPr>
            <w:r>
              <w:rPr>
                <w:rFonts w:hint="eastAsia" w:ascii="宋体" w:hAnsi="宋体"/>
                <w:sz w:val="24"/>
                <w:highlight w:val="none"/>
              </w:rPr>
              <w:t>联系方式</w:t>
            </w:r>
          </w:p>
        </w:tc>
        <w:tc>
          <w:tcPr>
            <w:tcW w:w="1080" w:type="dxa"/>
            <w:gridSpan w:val="2"/>
            <w:vAlign w:val="center"/>
          </w:tcPr>
          <w:p>
            <w:pPr>
              <w:spacing w:line="360" w:lineRule="auto"/>
              <w:jc w:val="center"/>
              <w:rPr>
                <w:rFonts w:ascii="宋体"/>
                <w:sz w:val="24"/>
                <w:highlight w:val="none"/>
              </w:rPr>
            </w:pPr>
            <w:r>
              <w:rPr>
                <w:rFonts w:hint="eastAsia" w:ascii="宋体" w:hAnsi="宋体"/>
                <w:sz w:val="24"/>
                <w:highlight w:val="none"/>
              </w:rPr>
              <w:t>联系人</w:t>
            </w:r>
          </w:p>
        </w:tc>
        <w:tc>
          <w:tcPr>
            <w:tcW w:w="2546" w:type="dxa"/>
            <w:gridSpan w:val="3"/>
            <w:vAlign w:val="center"/>
          </w:tcPr>
          <w:p>
            <w:pPr>
              <w:spacing w:line="360" w:lineRule="auto"/>
              <w:jc w:val="center"/>
              <w:rPr>
                <w:rFonts w:ascii="宋体"/>
                <w:sz w:val="24"/>
                <w:highlight w:val="none"/>
              </w:rPr>
            </w:pPr>
          </w:p>
        </w:tc>
        <w:tc>
          <w:tcPr>
            <w:tcW w:w="1235" w:type="dxa"/>
            <w:vAlign w:val="center"/>
          </w:tcPr>
          <w:p>
            <w:pPr>
              <w:spacing w:line="360" w:lineRule="auto"/>
              <w:jc w:val="center"/>
              <w:rPr>
                <w:rFonts w:ascii="宋体"/>
                <w:sz w:val="24"/>
                <w:highlight w:val="none"/>
              </w:rPr>
            </w:pPr>
            <w:r>
              <w:rPr>
                <w:rFonts w:hint="eastAsia" w:ascii="宋体" w:hAnsi="宋体"/>
                <w:sz w:val="24"/>
                <w:highlight w:val="none"/>
              </w:rPr>
              <w:t>电话</w:t>
            </w:r>
          </w:p>
        </w:tc>
        <w:tc>
          <w:tcPr>
            <w:tcW w:w="2089" w:type="dxa"/>
            <w:gridSpan w:val="3"/>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80" w:type="dxa"/>
            <w:vMerge w:val="continue"/>
            <w:vAlign w:val="center"/>
          </w:tcPr>
          <w:p>
            <w:pPr>
              <w:spacing w:line="360" w:lineRule="auto"/>
              <w:jc w:val="center"/>
              <w:rPr>
                <w:rFonts w:ascii="宋体"/>
                <w:sz w:val="24"/>
                <w:highlight w:val="none"/>
              </w:rPr>
            </w:pPr>
          </w:p>
        </w:tc>
        <w:tc>
          <w:tcPr>
            <w:tcW w:w="1080" w:type="dxa"/>
            <w:gridSpan w:val="2"/>
            <w:vAlign w:val="center"/>
          </w:tcPr>
          <w:p>
            <w:pPr>
              <w:spacing w:line="360" w:lineRule="auto"/>
              <w:jc w:val="center"/>
              <w:rPr>
                <w:rFonts w:ascii="宋体"/>
                <w:sz w:val="24"/>
                <w:highlight w:val="none"/>
              </w:rPr>
            </w:pPr>
            <w:r>
              <w:rPr>
                <w:rFonts w:hint="eastAsia" w:ascii="宋体" w:hAnsi="宋体"/>
                <w:sz w:val="24"/>
                <w:highlight w:val="none"/>
              </w:rPr>
              <w:t>传真</w:t>
            </w:r>
          </w:p>
        </w:tc>
        <w:tc>
          <w:tcPr>
            <w:tcW w:w="2546" w:type="dxa"/>
            <w:gridSpan w:val="3"/>
            <w:vAlign w:val="center"/>
          </w:tcPr>
          <w:p>
            <w:pPr>
              <w:spacing w:line="360" w:lineRule="auto"/>
              <w:jc w:val="center"/>
              <w:rPr>
                <w:rFonts w:ascii="宋体"/>
                <w:sz w:val="24"/>
                <w:highlight w:val="none"/>
              </w:rPr>
            </w:pPr>
          </w:p>
        </w:tc>
        <w:tc>
          <w:tcPr>
            <w:tcW w:w="1235" w:type="dxa"/>
            <w:vAlign w:val="center"/>
          </w:tcPr>
          <w:p>
            <w:pPr>
              <w:spacing w:line="360" w:lineRule="auto"/>
              <w:jc w:val="center"/>
              <w:rPr>
                <w:rFonts w:ascii="宋体"/>
                <w:sz w:val="24"/>
                <w:highlight w:val="none"/>
              </w:rPr>
            </w:pPr>
            <w:r>
              <w:rPr>
                <w:rFonts w:hint="eastAsia" w:ascii="宋体" w:hAnsi="宋体"/>
                <w:sz w:val="24"/>
                <w:highlight w:val="none"/>
              </w:rPr>
              <w:t>网址</w:t>
            </w:r>
          </w:p>
        </w:tc>
        <w:tc>
          <w:tcPr>
            <w:tcW w:w="2089" w:type="dxa"/>
            <w:gridSpan w:val="3"/>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组织结构</w:t>
            </w:r>
          </w:p>
        </w:tc>
        <w:tc>
          <w:tcPr>
            <w:tcW w:w="6950" w:type="dxa"/>
            <w:gridSpan w:val="9"/>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法定代表人</w:t>
            </w:r>
          </w:p>
        </w:tc>
        <w:tc>
          <w:tcPr>
            <w:tcW w:w="827" w:type="dxa"/>
            <w:vAlign w:val="center"/>
          </w:tcPr>
          <w:p>
            <w:pPr>
              <w:spacing w:line="360" w:lineRule="auto"/>
              <w:jc w:val="center"/>
              <w:rPr>
                <w:rFonts w:ascii="宋体"/>
                <w:sz w:val="24"/>
                <w:highlight w:val="none"/>
              </w:rPr>
            </w:pPr>
            <w:r>
              <w:rPr>
                <w:rFonts w:hint="eastAsia" w:ascii="宋体" w:hAnsi="宋体"/>
                <w:sz w:val="24"/>
                <w:highlight w:val="none"/>
              </w:rPr>
              <w:t>姓名</w:t>
            </w:r>
          </w:p>
        </w:tc>
        <w:tc>
          <w:tcPr>
            <w:tcW w:w="1153" w:type="dxa"/>
            <w:gridSpan w:val="2"/>
            <w:vAlign w:val="center"/>
          </w:tcPr>
          <w:p>
            <w:pPr>
              <w:spacing w:line="360" w:lineRule="auto"/>
              <w:jc w:val="center"/>
              <w:rPr>
                <w:rFonts w:ascii="宋体"/>
                <w:sz w:val="24"/>
                <w:highlight w:val="none"/>
              </w:rPr>
            </w:pPr>
          </w:p>
        </w:tc>
        <w:tc>
          <w:tcPr>
            <w:tcW w:w="1646" w:type="dxa"/>
            <w:gridSpan w:val="2"/>
            <w:vAlign w:val="center"/>
          </w:tcPr>
          <w:p>
            <w:pPr>
              <w:spacing w:line="360" w:lineRule="auto"/>
              <w:jc w:val="center"/>
              <w:rPr>
                <w:rFonts w:ascii="宋体"/>
                <w:sz w:val="24"/>
                <w:highlight w:val="none"/>
              </w:rPr>
            </w:pPr>
            <w:r>
              <w:rPr>
                <w:rFonts w:hint="eastAsia" w:ascii="宋体" w:hAnsi="宋体"/>
                <w:sz w:val="24"/>
                <w:highlight w:val="none"/>
              </w:rPr>
              <w:t>技术职称</w:t>
            </w:r>
          </w:p>
        </w:tc>
        <w:tc>
          <w:tcPr>
            <w:tcW w:w="1255" w:type="dxa"/>
            <w:gridSpan w:val="2"/>
            <w:vAlign w:val="center"/>
          </w:tcPr>
          <w:p>
            <w:pPr>
              <w:spacing w:line="360" w:lineRule="auto"/>
              <w:jc w:val="center"/>
              <w:rPr>
                <w:rFonts w:ascii="宋体"/>
                <w:sz w:val="24"/>
                <w:highlight w:val="none"/>
              </w:rPr>
            </w:pPr>
          </w:p>
        </w:tc>
        <w:tc>
          <w:tcPr>
            <w:tcW w:w="876" w:type="dxa"/>
            <w:vAlign w:val="center"/>
          </w:tcPr>
          <w:p>
            <w:pPr>
              <w:spacing w:line="360" w:lineRule="auto"/>
              <w:jc w:val="center"/>
              <w:rPr>
                <w:rFonts w:ascii="宋体"/>
                <w:sz w:val="24"/>
                <w:highlight w:val="none"/>
              </w:rPr>
            </w:pPr>
            <w:r>
              <w:rPr>
                <w:rFonts w:hint="eastAsia" w:ascii="宋体" w:hAnsi="宋体"/>
                <w:sz w:val="24"/>
                <w:highlight w:val="none"/>
              </w:rPr>
              <w:t>电话</w:t>
            </w:r>
          </w:p>
        </w:tc>
        <w:tc>
          <w:tcPr>
            <w:tcW w:w="1193" w:type="dxa"/>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技术负责人</w:t>
            </w:r>
          </w:p>
        </w:tc>
        <w:tc>
          <w:tcPr>
            <w:tcW w:w="827" w:type="dxa"/>
            <w:vAlign w:val="center"/>
          </w:tcPr>
          <w:p>
            <w:pPr>
              <w:spacing w:line="360" w:lineRule="auto"/>
              <w:jc w:val="center"/>
              <w:rPr>
                <w:rFonts w:ascii="宋体"/>
                <w:sz w:val="24"/>
                <w:highlight w:val="none"/>
              </w:rPr>
            </w:pPr>
            <w:r>
              <w:rPr>
                <w:rFonts w:hint="eastAsia" w:ascii="宋体" w:hAnsi="宋体"/>
                <w:sz w:val="24"/>
                <w:highlight w:val="none"/>
              </w:rPr>
              <w:t>姓名</w:t>
            </w:r>
          </w:p>
        </w:tc>
        <w:tc>
          <w:tcPr>
            <w:tcW w:w="1153" w:type="dxa"/>
            <w:gridSpan w:val="2"/>
            <w:vAlign w:val="center"/>
          </w:tcPr>
          <w:p>
            <w:pPr>
              <w:spacing w:line="360" w:lineRule="auto"/>
              <w:jc w:val="center"/>
              <w:rPr>
                <w:rFonts w:ascii="宋体"/>
                <w:sz w:val="24"/>
                <w:highlight w:val="none"/>
              </w:rPr>
            </w:pPr>
          </w:p>
        </w:tc>
        <w:tc>
          <w:tcPr>
            <w:tcW w:w="1646" w:type="dxa"/>
            <w:gridSpan w:val="2"/>
            <w:vAlign w:val="center"/>
          </w:tcPr>
          <w:p>
            <w:pPr>
              <w:spacing w:line="360" w:lineRule="auto"/>
              <w:jc w:val="center"/>
              <w:rPr>
                <w:rFonts w:ascii="宋体"/>
                <w:sz w:val="24"/>
                <w:highlight w:val="none"/>
              </w:rPr>
            </w:pPr>
            <w:r>
              <w:rPr>
                <w:rFonts w:hint="eastAsia" w:ascii="宋体" w:hAnsi="宋体"/>
                <w:sz w:val="24"/>
                <w:highlight w:val="none"/>
              </w:rPr>
              <w:t>技术职称</w:t>
            </w:r>
          </w:p>
        </w:tc>
        <w:tc>
          <w:tcPr>
            <w:tcW w:w="1255" w:type="dxa"/>
            <w:gridSpan w:val="2"/>
            <w:vAlign w:val="center"/>
          </w:tcPr>
          <w:p>
            <w:pPr>
              <w:spacing w:line="360" w:lineRule="auto"/>
              <w:jc w:val="center"/>
              <w:rPr>
                <w:rFonts w:ascii="宋体"/>
                <w:sz w:val="24"/>
                <w:highlight w:val="none"/>
              </w:rPr>
            </w:pPr>
          </w:p>
        </w:tc>
        <w:tc>
          <w:tcPr>
            <w:tcW w:w="876" w:type="dxa"/>
            <w:vAlign w:val="center"/>
          </w:tcPr>
          <w:p>
            <w:pPr>
              <w:spacing w:line="360" w:lineRule="auto"/>
              <w:jc w:val="center"/>
              <w:rPr>
                <w:rFonts w:ascii="宋体"/>
                <w:sz w:val="24"/>
                <w:highlight w:val="none"/>
              </w:rPr>
            </w:pPr>
            <w:r>
              <w:rPr>
                <w:rFonts w:hint="eastAsia" w:ascii="宋体" w:hAnsi="宋体"/>
                <w:sz w:val="24"/>
                <w:highlight w:val="none"/>
              </w:rPr>
              <w:t>电话</w:t>
            </w:r>
          </w:p>
        </w:tc>
        <w:tc>
          <w:tcPr>
            <w:tcW w:w="1193" w:type="dxa"/>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成立时间</w:t>
            </w:r>
          </w:p>
        </w:tc>
        <w:tc>
          <w:tcPr>
            <w:tcW w:w="1980" w:type="dxa"/>
            <w:gridSpan w:val="3"/>
            <w:vAlign w:val="center"/>
          </w:tcPr>
          <w:p>
            <w:pPr>
              <w:spacing w:line="360" w:lineRule="auto"/>
              <w:jc w:val="center"/>
              <w:rPr>
                <w:rFonts w:ascii="宋体"/>
                <w:sz w:val="24"/>
                <w:highlight w:val="none"/>
              </w:rPr>
            </w:pPr>
          </w:p>
        </w:tc>
        <w:tc>
          <w:tcPr>
            <w:tcW w:w="4970" w:type="dxa"/>
            <w:gridSpan w:val="6"/>
            <w:vAlign w:val="center"/>
          </w:tcPr>
          <w:p>
            <w:pPr>
              <w:spacing w:line="360" w:lineRule="auto"/>
              <w:jc w:val="center"/>
              <w:rPr>
                <w:rFonts w:ascii="宋体"/>
                <w:sz w:val="24"/>
                <w:highlight w:val="none"/>
              </w:rPr>
            </w:pPr>
            <w:r>
              <w:rPr>
                <w:rFonts w:hint="eastAsia" w:ascii="宋体" w:hAnsi="宋体"/>
                <w:sz w:val="24"/>
                <w:highlight w:val="none"/>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营业执照号</w:t>
            </w:r>
          </w:p>
        </w:tc>
        <w:tc>
          <w:tcPr>
            <w:tcW w:w="1980" w:type="dxa"/>
            <w:gridSpan w:val="3"/>
            <w:vAlign w:val="center"/>
          </w:tcPr>
          <w:p>
            <w:pPr>
              <w:spacing w:line="360" w:lineRule="auto"/>
              <w:jc w:val="center"/>
              <w:rPr>
                <w:rFonts w:ascii="宋体"/>
                <w:sz w:val="24"/>
                <w:highlight w:val="none"/>
              </w:rPr>
            </w:pPr>
          </w:p>
        </w:tc>
        <w:tc>
          <w:tcPr>
            <w:tcW w:w="1128" w:type="dxa"/>
            <w:vMerge w:val="restart"/>
            <w:vAlign w:val="center"/>
          </w:tcPr>
          <w:p>
            <w:pPr>
              <w:spacing w:line="360" w:lineRule="auto"/>
              <w:jc w:val="center"/>
              <w:rPr>
                <w:rFonts w:ascii="宋体"/>
                <w:sz w:val="24"/>
                <w:highlight w:val="none"/>
              </w:rPr>
            </w:pPr>
            <w:r>
              <w:rPr>
                <w:rFonts w:hint="eastAsia" w:ascii="宋体" w:hAnsi="宋体"/>
                <w:sz w:val="24"/>
                <w:highlight w:val="none"/>
              </w:rPr>
              <w:t>其中</w:t>
            </w:r>
          </w:p>
        </w:tc>
        <w:tc>
          <w:tcPr>
            <w:tcW w:w="1773" w:type="dxa"/>
            <w:gridSpan w:val="3"/>
            <w:vAlign w:val="center"/>
          </w:tcPr>
          <w:p>
            <w:pPr>
              <w:spacing w:line="360" w:lineRule="auto"/>
              <w:rPr>
                <w:rFonts w:ascii="宋体"/>
                <w:sz w:val="24"/>
                <w:highlight w:val="none"/>
              </w:rPr>
            </w:pPr>
            <w:r>
              <w:rPr>
                <w:rFonts w:hint="eastAsia" w:ascii="宋体" w:hAnsi="宋体"/>
                <w:sz w:val="24"/>
                <w:highlight w:val="none"/>
              </w:rPr>
              <w:t>高级职称人员</w:t>
            </w:r>
          </w:p>
        </w:tc>
        <w:tc>
          <w:tcPr>
            <w:tcW w:w="2069" w:type="dxa"/>
            <w:gridSpan w:val="2"/>
            <w:vAlign w:val="center"/>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注册资金</w:t>
            </w:r>
          </w:p>
        </w:tc>
        <w:tc>
          <w:tcPr>
            <w:tcW w:w="1980" w:type="dxa"/>
            <w:gridSpan w:val="3"/>
            <w:vAlign w:val="center"/>
          </w:tcPr>
          <w:p>
            <w:pPr>
              <w:spacing w:line="360" w:lineRule="auto"/>
              <w:jc w:val="center"/>
              <w:rPr>
                <w:rFonts w:ascii="宋体"/>
                <w:sz w:val="24"/>
                <w:highlight w:val="none"/>
              </w:rPr>
            </w:pPr>
          </w:p>
        </w:tc>
        <w:tc>
          <w:tcPr>
            <w:tcW w:w="1128" w:type="dxa"/>
            <w:vMerge w:val="continue"/>
            <w:vAlign w:val="center"/>
          </w:tcPr>
          <w:p>
            <w:pPr>
              <w:spacing w:line="360" w:lineRule="auto"/>
              <w:jc w:val="center"/>
              <w:rPr>
                <w:rFonts w:ascii="宋体"/>
                <w:sz w:val="24"/>
                <w:highlight w:val="none"/>
              </w:rPr>
            </w:pPr>
          </w:p>
        </w:tc>
        <w:tc>
          <w:tcPr>
            <w:tcW w:w="1773" w:type="dxa"/>
            <w:gridSpan w:val="3"/>
            <w:vAlign w:val="center"/>
          </w:tcPr>
          <w:p>
            <w:pPr>
              <w:spacing w:line="360" w:lineRule="auto"/>
              <w:rPr>
                <w:rFonts w:ascii="宋体"/>
                <w:sz w:val="24"/>
                <w:highlight w:val="none"/>
              </w:rPr>
            </w:pPr>
            <w:r>
              <w:rPr>
                <w:rFonts w:hint="eastAsia" w:ascii="宋体" w:hAnsi="宋体"/>
                <w:sz w:val="24"/>
                <w:highlight w:val="none"/>
              </w:rPr>
              <w:t>中级职称人员</w:t>
            </w:r>
          </w:p>
        </w:tc>
        <w:tc>
          <w:tcPr>
            <w:tcW w:w="2069" w:type="dxa"/>
            <w:gridSpan w:val="2"/>
            <w:vAlign w:val="center"/>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开户银行</w:t>
            </w:r>
          </w:p>
        </w:tc>
        <w:tc>
          <w:tcPr>
            <w:tcW w:w="1980" w:type="dxa"/>
            <w:gridSpan w:val="3"/>
            <w:vAlign w:val="center"/>
          </w:tcPr>
          <w:p>
            <w:pPr>
              <w:spacing w:line="360" w:lineRule="auto"/>
              <w:jc w:val="center"/>
              <w:rPr>
                <w:rFonts w:ascii="宋体"/>
                <w:sz w:val="24"/>
                <w:highlight w:val="none"/>
              </w:rPr>
            </w:pPr>
          </w:p>
        </w:tc>
        <w:tc>
          <w:tcPr>
            <w:tcW w:w="1128" w:type="dxa"/>
            <w:vMerge w:val="continue"/>
            <w:vAlign w:val="center"/>
          </w:tcPr>
          <w:p>
            <w:pPr>
              <w:spacing w:line="360" w:lineRule="auto"/>
              <w:jc w:val="center"/>
              <w:rPr>
                <w:rFonts w:ascii="宋体"/>
                <w:sz w:val="24"/>
                <w:highlight w:val="none"/>
              </w:rPr>
            </w:pPr>
          </w:p>
        </w:tc>
        <w:tc>
          <w:tcPr>
            <w:tcW w:w="1773" w:type="dxa"/>
            <w:gridSpan w:val="3"/>
            <w:vAlign w:val="center"/>
          </w:tcPr>
          <w:p>
            <w:pPr>
              <w:spacing w:line="360" w:lineRule="auto"/>
              <w:rPr>
                <w:rFonts w:ascii="宋体"/>
                <w:sz w:val="24"/>
                <w:highlight w:val="none"/>
              </w:rPr>
            </w:pPr>
            <w:r>
              <w:rPr>
                <w:rFonts w:hint="eastAsia" w:ascii="宋体" w:hAnsi="宋体"/>
                <w:sz w:val="24"/>
                <w:highlight w:val="none"/>
              </w:rPr>
              <w:t>初级职称人员</w:t>
            </w:r>
          </w:p>
        </w:tc>
        <w:tc>
          <w:tcPr>
            <w:tcW w:w="2069" w:type="dxa"/>
            <w:gridSpan w:val="2"/>
            <w:vAlign w:val="center"/>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账号</w:t>
            </w:r>
          </w:p>
        </w:tc>
        <w:tc>
          <w:tcPr>
            <w:tcW w:w="1980" w:type="dxa"/>
            <w:gridSpan w:val="3"/>
            <w:vAlign w:val="center"/>
          </w:tcPr>
          <w:p>
            <w:pPr>
              <w:spacing w:line="360" w:lineRule="auto"/>
              <w:jc w:val="center"/>
              <w:rPr>
                <w:rFonts w:ascii="宋体"/>
                <w:sz w:val="24"/>
                <w:highlight w:val="none"/>
              </w:rPr>
            </w:pPr>
          </w:p>
        </w:tc>
        <w:tc>
          <w:tcPr>
            <w:tcW w:w="1128" w:type="dxa"/>
            <w:vMerge w:val="continue"/>
            <w:vAlign w:val="center"/>
          </w:tcPr>
          <w:p>
            <w:pPr>
              <w:spacing w:line="360" w:lineRule="auto"/>
              <w:jc w:val="center"/>
              <w:rPr>
                <w:rFonts w:ascii="宋体"/>
                <w:sz w:val="24"/>
                <w:highlight w:val="none"/>
              </w:rPr>
            </w:pPr>
          </w:p>
        </w:tc>
        <w:tc>
          <w:tcPr>
            <w:tcW w:w="1773" w:type="dxa"/>
            <w:gridSpan w:val="3"/>
            <w:vAlign w:val="center"/>
          </w:tcPr>
          <w:p>
            <w:pPr>
              <w:spacing w:line="360" w:lineRule="auto"/>
              <w:rPr>
                <w:rFonts w:ascii="宋体"/>
                <w:sz w:val="24"/>
                <w:highlight w:val="none"/>
              </w:rPr>
            </w:pPr>
            <w:r>
              <w:rPr>
                <w:rFonts w:hint="eastAsia" w:ascii="宋体" w:hAnsi="宋体"/>
                <w:kern w:val="0"/>
                <w:sz w:val="24"/>
                <w:highlight w:val="none"/>
              </w:rPr>
              <w:t>建筑工程</w:t>
            </w:r>
            <w:r>
              <w:rPr>
                <w:rFonts w:hint="eastAsia" w:ascii="宋体" w:hAnsi="宋体"/>
                <w:color w:val="000000"/>
                <w:sz w:val="24"/>
                <w:highlight w:val="none"/>
              </w:rPr>
              <w:t>贰级（含贰级）以上建造师</w:t>
            </w:r>
          </w:p>
        </w:tc>
        <w:tc>
          <w:tcPr>
            <w:tcW w:w="2069" w:type="dxa"/>
            <w:gridSpan w:val="2"/>
            <w:vAlign w:val="center"/>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7"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经营范围</w:t>
            </w:r>
          </w:p>
        </w:tc>
        <w:tc>
          <w:tcPr>
            <w:tcW w:w="6950" w:type="dxa"/>
            <w:gridSpan w:val="9"/>
            <w:vAlign w:val="center"/>
          </w:tcPr>
          <w:p>
            <w:pPr>
              <w:spacing w:line="360" w:lineRule="auto"/>
              <w:ind w:firstLine="480" w:firstLineChars="200"/>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980" w:type="dxa"/>
            <w:vAlign w:val="center"/>
          </w:tcPr>
          <w:p>
            <w:pPr>
              <w:spacing w:line="360" w:lineRule="auto"/>
              <w:jc w:val="center"/>
              <w:rPr>
                <w:rFonts w:ascii="宋体"/>
                <w:sz w:val="24"/>
                <w:highlight w:val="none"/>
              </w:rPr>
            </w:pPr>
            <w:r>
              <w:rPr>
                <w:rFonts w:hint="eastAsia" w:ascii="宋体" w:hAnsi="宋体"/>
                <w:sz w:val="24"/>
                <w:highlight w:val="none"/>
              </w:rPr>
              <w:t>备注</w:t>
            </w:r>
          </w:p>
        </w:tc>
        <w:tc>
          <w:tcPr>
            <w:tcW w:w="6950" w:type="dxa"/>
            <w:gridSpan w:val="9"/>
            <w:vAlign w:val="center"/>
          </w:tcPr>
          <w:p>
            <w:pPr>
              <w:spacing w:line="360" w:lineRule="auto"/>
              <w:jc w:val="center"/>
              <w:rPr>
                <w:rFonts w:ascii="宋体"/>
                <w:sz w:val="24"/>
                <w:highlight w:val="none"/>
              </w:rPr>
            </w:pPr>
          </w:p>
        </w:tc>
      </w:tr>
    </w:tbl>
    <w:p>
      <w:pPr>
        <w:pStyle w:val="4"/>
        <w:jc w:val="center"/>
        <w:rPr>
          <w:sz w:val="24"/>
          <w:szCs w:val="24"/>
          <w:highlight w:val="none"/>
        </w:rPr>
        <w:sectPr>
          <w:headerReference r:id="rId7" w:type="first"/>
          <w:footerReference r:id="rId8" w:type="first"/>
          <w:pgSz w:w="11906" w:h="16838"/>
          <w:pgMar w:top="1418" w:right="1134" w:bottom="1418" w:left="1418" w:header="851" w:footer="992" w:gutter="0"/>
          <w:cols w:space="720" w:num="1"/>
          <w:titlePg/>
          <w:docGrid w:type="lines" w:linePitch="312" w:charSpace="0"/>
        </w:sectPr>
      </w:pPr>
      <w:bookmarkStart w:id="298" w:name="_Toc387415869"/>
    </w:p>
    <w:p>
      <w:pPr>
        <w:spacing w:line="348" w:lineRule="auto"/>
        <w:ind w:left="619" w:leftChars="123" w:hanging="361" w:hangingChars="150"/>
        <w:jc w:val="center"/>
        <w:rPr>
          <w:rFonts w:ascii="宋体"/>
          <w:b/>
          <w:bCs/>
          <w:sz w:val="24"/>
          <w:highlight w:val="none"/>
        </w:rPr>
      </w:pPr>
      <w:bookmarkStart w:id="299" w:name="_Toc408785216"/>
    </w:p>
    <w:p>
      <w:pPr>
        <w:spacing w:line="348" w:lineRule="auto"/>
        <w:ind w:left="619" w:leftChars="123" w:hanging="361" w:hangingChars="150"/>
        <w:jc w:val="center"/>
        <w:rPr>
          <w:rFonts w:ascii="宋体"/>
          <w:b/>
          <w:bCs/>
          <w:sz w:val="24"/>
          <w:highlight w:val="none"/>
        </w:rPr>
      </w:pPr>
      <w:r>
        <w:rPr>
          <w:rFonts w:hint="eastAsia" w:ascii="宋体" w:hAnsi="宋体"/>
          <w:b/>
          <w:bCs/>
          <w:sz w:val="24"/>
          <w:highlight w:val="none"/>
        </w:rPr>
        <w:t>（</w:t>
      </w:r>
      <w:r>
        <w:rPr>
          <w:rFonts w:ascii="宋体" w:hAnsi="宋体"/>
          <w:b/>
          <w:bCs/>
          <w:sz w:val="24"/>
          <w:highlight w:val="none"/>
        </w:rPr>
        <w:t>2</w:t>
      </w:r>
      <w:r>
        <w:rPr>
          <w:rFonts w:hint="eastAsia" w:ascii="宋体" w:hAnsi="宋体"/>
          <w:b/>
          <w:bCs/>
          <w:sz w:val="24"/>
          <w:highlight w:val="none"/>
        </w:rPr>
        <w:t>）组织架构图</w:t>
      </w:r>
      <w:bookmarkEnd w:id="298"/>
      <w:bookmarkEnd w:id="299"/>
    </w:p>
    <w:p>
      <w:pPr>
        <w:tabs>
          <w:tab w:val="left" w:pos="630"/>
          <w:tab w:val="left" w:pos="1260"/>
        </w:tabs>
        <w:spacing w:line="360" w:lineRule="auto"/>
        <w:jc w:val="center"/>
        <w:rPr>
          <w:rFonts w:ascii="宋体"/>
          <w:sz w:val="24"/>
          <w:highlight w:val="none"/>
        </w:rPr>
      </w:pPr>
      <w:r>
        <w:rPr>
          <w:rFonts w:hint="eastAsia" w:ascii="宋体" w:hAnsi="宋体"/>
          <w:sz w:val="24"/>
          <w:highlight w:val="none"/>
        </w:rPr>
        <w:t>自行编制</w:t>
      </w:r>
    </w:p>
    <w:p>
      <w:pPr>
        <w:spacing w:line="348" w:lineRule="auto"/>
        <w:ind w:left="619" w:leftChars="123" w:hanging="361" w:hangingChars="150"/>
        <w:jc w:val="center"/>
        <w:rPr>
          <w:rFonts w:ascii="宋体"/>
          <w:b/>
          <w:bCs/>
          <w:sz w:val="24"/>
          <w:highlight w:val="none"/>
        </w:rPr>
      </w:pPr>
    </w:p>
    <w:p>
      <w:pPr>
        <w:spacing w:line="348" w:lineRule="auto"/>
        <w:ind w:left="573" w:leftChars="123" w:hanging="315" w:hangingChars="150"/>
        <w:jc w:val="cente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48" w:lineRule="auto"/>
        <w:rPr>
          <w:rFonts w:ascii="宋体"/>
          <w:b/>
          <w:bCs/>
          <w:sz w:val="24"/>
          <w:highlight w:val="none"/>
        </w:rPr>
      </w:pPr>
    </w:p>
    <w:p>
      <w:pPr>
        <w:spacing w:line="348" w:lineRule="auto"/>
        <w:ind w:left="740" w:leftChars="123" w:hanging="482" w:hangingChars="150"/>
        <w:jc w:val="center"/>
        <w:rPr>
          <w:rFonts w:ascii="宋体"/>
          <w:b/>
          <w:bCs/>
          <w:sz w:val="32"/>
          <w:szCs w:val="32"/>
          <w:highlight w:val="none"/>
        </w:rPr>
      </w:pPr>
      <w:bookmarkStart w:id="300" w:name="_Toc408785217"/>
      <w:bookmarkStart w:id="301" w:name="_Toc387415872"/>
      <w:r>
        <w:rPr>
          <w:rFonts w:ascii="宋体" w:hAnsi="宋体"/>
          <w:b/>
          <w:bCs/>
          <w:sz w:val="32"/>
          <w:szCs w:val="32"/>
          <w:highlight w:val="none"/>
        </w:rPr>
        <w:t>2</w:t>
      </w:r>
      <w:r>
        <w:rPr>
          <w:rFonts w:hint="eastAsia" w:ascii="宋体" w:hAnsi="宋体"/>
          <w:b/>
          <w:bCs/>
          <w:sz w:val="32"/>
          <w:szCs w:val="32"/>
          <w:highlight w:val="none"/>
        </w:rPr>
        <w:t>、拟投入本项目的项目负责人基本情况表</w:t>
      </w:r>
      <w:bookmarkEnd w:id="300"/>
    </w:p>
    <w:tbl>
      <w:tblPr>
        <w:tblStyle w:val="38"/>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8"/>
        <w:gridCol w:w="1955"/>
        <w:gridCol w:w="536"/>
        <w:gridCol w:w="369"/>
        <w:gridCol w:w="1608"/>
        <w:gridCol w:w="174"/>
        <w:gridCol w:w="130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53" w:type="dxa"/>
            <w:gridSpan w:val="2"/>
            <w:vAlign w:val="center"/>
          </w:tcPr>
          <w:p>
            <w:pPr>
              <w:spacing w:line="360" w:lineRule="auto"/>
              <w:jc w:val="center"/>
              <w:rPr>
                <w:rFonts w:ascii="宋体"/>
                <w:sz w:val="24"/>
                <w:highlight w:val="none"/>
              </w:rPr>
            </w:pPr>
            <w:r>
              <w:rPr>
                <w:rFonts w:hint="eastAsia" w:ascii="宋体" w:hAnsi="宋体"/>
                <w:sz w:val="24"/>
                <w:highlight w:val="none"/>
              </w:rPr>
              <w:t>姓名</w:t>
            </w:r>
          </w:p>
        </w:tc>
        <w:tc>
          <w:tcPr>
            <w:tcW w:w="1955" w:type="dxa"/>
            <w:vAlign w:val="center"/>
          </w:tcPr>
          <w:p>
            <w:pPr>
              <w:spacing w:line="360" w:lineRule="auto"/>
              <w:jc w:val="center"/>
              <w:rPr>
                <w:rFonts w:ascii="宋体"/>
                <w:sz w:val="24"/>
                <w:highlight w:val="none"/>
              </w:rPr>
            </w:pPr>
          </w:p>
        </w:tc>
        <w:tc>
          <w:tcPr>
            <w:tcW w:w="905" w:type="dxa"/>
            <w:gridSpan w:val="2"/>
            <w:vAlign w:val="center"/>
          </w:tcPr>
          <w:p>
            <w:pPr>
              <w:spacing w:line="360" w:lineRule="auto"/>
              <w:jc w:val="center"/>
              <w:rPr>
                <w:rFonts w:ascii="宋体"/>
                <w:sz w:val="24"/>
                <w:highlight w:val="none"/>
              </w:rPr>
            </w:pPr>
            <w:r>
              <w:rPr>
                <w:rFonts w:hint="eastAsia" w:ascii="宋体" w:hAnsi="宋体"/>
                <w:sz w:val="24"/>
                <w:highlight w:val="none"/>
              </w:rPr>
              <w:t>年龄</w:t>
            </w:r>
          </w:p>
        </w:tc>
        <w:tc>
          <w:tcPr>
            <w:tcW w:w="1608" w:type="dxa"/>
            <w:vAlign w:val="center"/>
          </w:tcPr>
          <w:p>
            <w:pPr>
              <w:spacing w:line="360" w:lineRule="auto"/>
              <w:jc w:val="center"/>
              <w:rPr>
                <w:rFonts w:ascii="宋体"/>
                <w:sz w:val="24"/>
                <w:highlight w:val="none"/>
              </w:rPr>
            </w:pPr>
          </w:p>
        </w:tc>
        <w:tc>
          <w:tcPr>
            <w:tcW w:w="1479" w:type="dxa"/>
            <w:gridSpan w:val="2"/>
            <w:vAlign w:val="center"/>
          </w:tcPr>
          <w:p>
            <w:pPr>
              <w:spacing w:line="360" w:lineRule="auto"/>
              <w:jc w:val="center"/>
              <w:rPr>
                <w:rFonts w:ascii="宋体"/>
                <w:sz w:val="24"/>
                <w:highlight w:val="none"/>
              </w:rPr>
            </w:pPr>
            <w:r>
              <w:rPr>
                <w:rFonts w:hint="eastAsia" w:ascii="宋体" w:hAnsi="宋体"/>
                <w:sz w:val="24"/>
                <w:highlight w:val="none"/>
              </w:rPr>
              <w:t>学历</w:t>
            </w:r>
          </w:p>
        </w:tc>
        <w:tc>
          <w:tcPr>
            <w:tcW w:w="1440" w:type="dxa"/>
            <w:vAlign w:val="center"/>
          </w:tcPr>
          <w:p>
            <w:pPr>
              <w:spacing w:line="360" w:lineRule="auto"/>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53" w:type="dxa"/>
            <w:gridSpan w:val="2"/>
            <w:vAlign w:val="center"/>
          </w:tcPr>
          <w:p>
            <w:pPr>
              <w:spacing w:line="360" w:lineRule="auto"/>
              <w:jc w:val="center"/>
              <w:rPr>
                <w:rFonts w:ascii="宋体"/>
                <w:sz w:val="24"/>
                <w:highlight w:val="none"/>
              </w:rPr>
            </w:pPr>
            <w:r>
              <w:rPr>
                <w:rFonts w:hint="eastAsia" w:ascii="宋体" w:hAnsi="宋体"/>
                <w:sz w:val="24"/>
                <w:highlight w:val="none"/>
              </w:rPr>
              <w:t>职称证号</w:t>
            </w:r>
          </w:p>
        </w:tc>
        <w:tc>
          <w:tcPr>
            <w:tcW w:w="1955" w:type="dxa"/>
            <w:vAlign w:val="center"/>
          </w:tcPr>
          <w:p>
            <w:pPr>
              <w:spacing w:line="360" w:lineRule="auto"/>
              <w:jc w:val="center"/>
              <w:rPr>
                <w:rFonts w:ascii="宋体"/>
                <w:sz w:val="24"/>
                <w:highlight w:val="none"/>
              </w:rPr>
            </w:pPr>
          </w:p>
        </w:tc>
        <w:tc>
          <w:tcPr>
            <w:tcW w:w="905" w:type="dxa"/>
            <w:gridSpan w:val="2"/>
            <w:vAlign w:val="center"/>
          </w:tcPr>
          <w:p>
            <w:pPr>
              <w:spacing w:line="360" w:lineRule="auto"/>
              <w:jc w:val="center"/>
              <w:rPr>
                <w:rFonts w:ascii="宋体"/>
                <w:sz w:val="24"/>
                <w:highlight w:val="none"/>
              </w:rPr>
            </w:pPr>
            <w:r>
              <w:rPr>
                <w:rFonts w:hint="eastAsia" w:ascii="宋体" w:hAnsi="宋体"/>
                <w:sz w:val="24"/>
                <w:highlight w:val="none"/>
              </w:rPr>
              <w:t>职务</w:t>
            </w:r>
          </w:p>
        </w:tc>
        <w:tc>
          <w:tcPr>
            <w:tcW w:w="1608" w:type="dxa"/>
            <w:vAlign w:val="center"/>
          </w:tcPr>
          <w:p>
            <w:pPr>
              <w:spacing w:line="360" w:lineRule="auto"/>
              <w:jc w:val="center"/>
              <w:rPr>
                <w:rFonts w:ascii="宋体"/>
                <w:sz w:val="24"/>
                <w:highlight w:val="none"/>
              </w:rPr>
            </w:pPr>
          </w:p>
        </w:tc>
        <w:tc>
          <w:tcPr>
            <w:tcW w:w="1479" w:type="dxa"/>
            <w:gridSpan w:val="2"/>
            <w:vAlign w:val="center"/>
          </w:tcPr>
          <w:p>
            <w:pPr>
              <w:spacing w:line="360" w:lineRule="auto"/>
              <w:jc w:val="center"/>
              <w:rPr>
                <w:rFonts w:ascii="宋体"/>
                <w:sz w:val="24"/>
                <w:highlight w:val="none"/>
              </w:rPr>
            </w:pPr>
            <w:r>
              <w:rPr>
                <w:rFonts w:hint="eastAsia" w:ascii="宋体" w:hAnsi="宋体"/>
                <w:sz w:val="24"/>
                <w:highlight w:val="none"/>
              </w:rPr>
              <w:t>拟在本合同任职</w:t>
            </w:r>
          </w:p>
        </w:tc>
        <w:tc>
          <w:tcPr>
            <w:tcW w:w="1440" w:type="dxa"/>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53" w:type="dxa"/>
            <w:gridSpan w:val="2"/>
          </w:tcPr>
          <w:p>
            <w:pPr>
              <w:spacing w:line="360" w:lineRule="auto"/>
              <w:rPr>
                <w:rFonts w:ascii="宋体"/>
                <w:sz w:val="24"/>
                <w:highlight w:val="none"/>
              </w:rPr>
            </w:pPr>
            <w:r>
              <w:rPr>
                <w:rFonts w:hint="eastAsia" w:ascii="宋体" w:hAnsi="宋体"/>
                <w:sz w:val="24"/>
                <w:highlight w:val="none"/>
              </w:rPr>
              <w:t>毕业学校</w:t>
            </w:r>
          </w:p>
        </w:tc>
        <w:tc>
          <w:tcPr>
            <w:tcW w:w="7387" w:type="dxa"/>
            <w:gridSpan w:val="7"/>
          </w:tcPr>
          <w:p>
            <w:pPr>
              <w:spacing w:line="360" w:lineRule="auto"/>
              <w:ind w:firstLine="960" w:firstLineChars="400"/>
              <w:rPr>
                <w:rFonts w:ascii="宋体"/>
                <w:sz w:val="24"/>
                <w:highlight w:val="none"/>
              </w:rPr>
            </w:pPr>
            <w:r>
              <w:rPr>
                <w:rFonts w:hint="eastAsia" w:ascii="宋体" w:hAnsi="宋体"/>
                <w:sz w:val="24"/>
                <w:highlight w:val="none"/>
              </w:rPr>
              <w:t>年毕业于</w:t>
            </w:r>
            <w:r>
              <w:rPr>
                <w:rFonts w:ascii="宋体" w:hAnsi="宋体"/>
                <w:sz w:val="24"/>
                <w:highlight w:val="none"/>
              </w:rPr>
              <w:t xml:space="preserve">         </w:t>
            </w:r>
            <w:r>
              <w:rPr>
                <w:rFonts w:hint="eastAsia" w:ascii="宋体" w:hAnsi="宋体"/>
                <w:sz w:val="24"/>
                <w:highlight w:val="none"/>
              </w:rPr>
              <w:t>学校</w:t>
            </w:r>
            <w:r>
              <w:rPr>
                <w:rFonts w:ascii="宋体" w:hAnsi="宋体"/>
                <w:sz w:val="24"/>
                <w:highlight w:val="none"/>
              </w:rPr>
              <w:t xml:space="preserve">           </w:t>
            </w:r>
            <w:r>
              <w:rPr>
                <w:rFonts w:hint="eastAsia" w:ascii="宋体" w:hAnsi="宋体"/>
                <w:sz w:val="24"/>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8640" w:type="dxa"/>
            <w:gridSpan w:val="9"/>
            <w:vAlign w:val="center"/>
          </w:tcPr>
          <w:p>
            <w:pPr>
              <w:spacing w:line="360" w:lineRule="auto"/>
              <w:ind w:firstLine="480" w:firstLineChars="200"/>
              <w:jc w:val="center"/>
              <w:rPr>
                <w:rFonts w:ascii="宋体"/>
                <w:sz w:val="24"/>
                <w:highlight w:val="none"/>
              </w:rPr>
            </w:pPr>
            <w:r>
              <w:rPr>
                <w:rFonts w:hint="eastAsia" w:ascii="宋体" w:hAnsi="宋体"/>
                <w:sz w:val="24"/>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vAlign w:val="center"/>
          </w:tcPr>
          <w:p>
            <w:pPr>
              <w:spacing w:line="360" w:lineRule="auto"/>
              <w:jc w:val="center"/>
              <w:rPr>
                <w:rFonts w:ascii="宋体"/>
                <w:sz w:val="24"/>
                <w:highlight w:val="none"/>
              </w:rPr>
            </w:pPr>
            <w:r>
              <w:rPr>
                <w:rFonts w:hint="eastAsia" w:ascii="宋体" w:hAnsi="宋体"/>
                <w:sz w:val="24"/>
                <w:highlight w:val="none"/>
              </w:rPr>
              <w:t>时间</w:t>
            </w:r>
          </w:p>
        </w:tc>
        <w:tc>
          <w:tcPr>
            <w:tcW w:w="2499" w:type="dxa"/>
            <w:gridSpan w:val="3"/>
            <w:vAlign w:val="center"/>
          </w:tcPr>
          <w:p>
            <w:pPr>
              <w:spacing w:line="360" w:lineRule="auto"/>
              <w:jc w:val="center"/>
              <w:rPr>
                <w:rFonts w:ascii="宋体"/>
                <w:sz w:val="24"/>
                <w:highlight w:val="none"/>
              </w:rPr>
            </w:pPr>
            <w:r>
              <w:rPr>
                <w:rFonts w:hint="eastAsia" w:ascii="宋体" w:hAnsi="宋体"/>
                <w:sz w:val="24"/>
                <w:highlight w:val="none"/>
              </w:rPr>
              <w:t>参加过的类似项目</w:t>
            </w:r>
          </w:p>
        </w:tc>
        <w:tc>
          <w:tcPr>
            <w:tcW w:w="2151" w:type="dxa"/>
            <w:gridSpan w:val="3"/>
            <w:vAlign w:val="center"/>
          </w:tcPr>
          <w:p>
            <w:pPr>
              <w:spacing w:line="360" w:lineRule="auto"/>
              <w:jc w:val="center"/>
              <w:rPr>
                <w:rFonts w:ascii="宋体"/>
                <w:sz w:val="24"/>
                <w:highlight w:val="none"/>
              </w:rPr>
            </w:pPr>
            <w:r>
              <w:rPr>
                <w:rFonts w:hint="eastAsia" w:ascii="宋体" w:hAnsi="宋体"/>
                <w:sz w:val="24"/>
                <w:highlight w:val="none"/>
              </w:rPr>
              <w:t>担任职务</w:t>
            </w:r>
          </w:p>
        </w:tc>
        <w:tc>
          <w:tcPr>
            <w:tcW w:w="2745" w:type="dxa"/>
            <w:gridSpan w:val="2"/>
            <w:vAlign w:val="center"/>
          </w:tcPr>
          <w:p>
            <w:pPr>
              <w:spacing w:line="360" w:lineRule="auto"/>
              <w:jc w:val="center"/>
              <w:rPr>
                <w:rFonts w:ascii="宋体"/>
                <w:sz w:val="24"/>
                <w:highlight w:val="none"/>
              </w:rPr>
            </w:pPr>
            <w:r>
              <w:rPr>
                <w:rFonts w:hint="eastAsia" w:ascii="宋体" w:hAnsi="宋体"/>
                <w:sz w:val="24"/>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45" w:type="dxa"/>
          </w:tcPr>
          <w:p>
            <w:pPr>
              <w:spacing w:line="360" w:lineRule="auto"/>
              <w:rPr>
                <w:rFonts w:ascii="宋体"/>
                <w:sz w:val="24"/>
                <w:highlight w:val="none"/>
              </w:rPr>
            </w:pPr>
          </w:p>
        </w:tc>
        <w:tc>
          <w:tcPr>
            <w:tcW w:w="2499" w:type="dxa"/>
            <w:gridSpan w:val="3"/>
          </w:tcPr>
          <w:p>
            <w:pPr>
              <w:spacing w:line="360" w:lineRule="auto"/>
              <w:rPr>
                <w:rFonts w:ascii="宋体"/>
                <w:sz w:val="24"/>
                <w:highlight w:val="none"/>
              </w:rPr>
            </w:pPr>
          </w:p>
        </w:tc>
        <w:tc>
          <w:tcPr>
            <w:tcW w:w="2151" w:type="dxa"/>
            <w:gridSpan w:val="3"/>
          </w:tcPr>
          <w:p>
            <w:pPr>
              <w:spacing w:line="360" w:lineRule="auto"/>
              <w:rPr>
                <w:rFonts w:ascii="宋体"/>
                <w:sz w:val="24"/>
                <w:highlight w:val="none"/>
              </w:rPr>
            </w:pPr>
          </w:p>
        </w:tc>
        <w:tc>
          <w:tcPr>
            <w:tcW w:w="2745" w:type="dxa"/>
            <w:gridSpan w:val="2"/>
          </w:tcPr>
          <w:p>
            <w:pPr>
              <w:spacing w:line="360" w:lineRule="auto"/>
              <w:rPr>
                <w:rFonts w:ascii="宋体"/>
                <w:sz w:val="24"/>
                <w:highlight w:val="none"/>
              </w:rPr>
            </w:pPr>
          </w:p>
        </w:tc>
      </w:tr>
    </w:tbl>
    <w:p>
      <w:pPr>
        <w:pStyle w:val="4"/>
        <w:rPr>
          <w:rFonts w:ascii="宋体" w:hAnsi="宋体" w:eastAsia="宋体"/>
          <w:b w:val="0"/>
          <w:sz w:val="21"/>
          <w:szCs w:val="21"/>
          <w:highlight w:val="none"/>
        </w:rPr>
      </w:pPr>
      <w:bookmarkStart w:id="302" w:name="_Toc2006"/>
      <w:bookmarkStart w:id="303" w:name="_Toc408785218"/>
      <w:r>
        <w:rPr>
          <w:rFonts w:hint="eastAsia" w:ascii="宋体" w:hAnsi="宋体" w:eastAsia="宋体"/>
          <w:b w:val="0"/>
          <w:sz w:val="21"/>
          <w:szCs w:val="21"/>
          <w:highlight w:val="none"/>
        </w:rPr>
        <w:t>注：项目负责人应附学历证、身份证、建造师证及建造师安全考核证，无在建承诺书等。</w:t>
      </w:r>
      <w:bookmarkEnd w:id="302"/>
      <w:bookmarkEnd w:id="303"/>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spacing w:line="348" w:lineRule="auto"/>
        <w:rPr>
          <w:rFonts w:ascii="宋体"/>
          <w:b/>
          <w:bCs/>
          <w:sz w:val="24"/>
          <w:highlight w:val="none"/>
        </w:rPr>
      </w:pPr>
    </w:p>
    <w:p>
      <w:pPr>
        <w:spacing w:line="348" w:lineRule="auto"/>
        <w:ind w:left="740" w:leftChars="123" w:hanging="482" w:hangingChars="150"/>
        <w:jc w:val="center"/>
        <w:rPr>
          <w:rFonts w:ascii="宋体"/>
          <w:b/>
          <w:bCs/>
          <w:sz w:val="32"/>
          <w:szCs w:val="32"/>
          <w:highlight w:val="none"/>
        </w:rPr>
      </w:pPr>
      <w:bookmarkStart w:id="304" w:name="_Toc408785219"/>
      <w:r>
        <w:rPr>
          <w:rFonts w:ascii="宋体" w:hAnsi="宋体"/>
          <w:b/>
          <w:bCs/>
          <w:sz w:val="32"/>
          <w:szCs w:val="32"/>
          <w:highlight w:val="none"/>
        </w:rPr>
        <w:t>3</w:t>
      </w:r>
      <w:r>
        <w:rPr>
          <w:rFonts w:hint="eastAsia" w:ascii="宋体" w:hAnsi="宋体"/>
          <w:b/>
          <w:bCs/>
          <w:sz w:val="32"/>
          <w:szCs w:val="32"/>
          <w:highlight w:val="none"/>
        </w:rPr>
        <w:t>、拟投入本项目主要人员汇总表</w:t>
      </w:r>
      <w:bookmarkEnd w:id="301"/>
      <w:bookmarkEnd w:id="304"/>
      <w:r>
        <w:rPr>
          <w:rFonts w:hint="eastAsia" w:ascii="宋体" w:hAnsi="宋体"/>
          <w:b/>
          <w:bCs/>
          <w:sz w:val="32"/>
          <w:szCs w:val="32"/>
          <w:highlight w:val="none"/>
        </w:rPr>
        <w:t>（含履历表）</w:t>
      </w:r>
    </w:p>
    <w:p>
      <w:pPr>
        <w:jc w:val="center"/>
        <w:rPr>
          <w:b/>
          <w:bCs/>
          <w:kern w:val="44"/>
          <w:sz w:val="28"/>
          <w:szCs w:val="28"/>
          <w:highlight w:val="none"/>
        </w:rPr>
      </w:pPr>
      <w:r>
        <w:rPr>
          <w:rFonts w:hint="eastAsia"/>
          <w:b/>
          <w:bCs/>
          <w:kern w:val="44"/>
          <w:sz w:val="28"/>
          <w:szCs w:val="28"/>
          <w:highlight w:val="none"/>
        </w:rPr>
        <w:t>（</w:t>
      </w:r>
      <w:r>
        <w:rPr>
          <w:b/>
          <w:bCs/>
          <w:kern w:val="44"/>
          <w:sz w:val="28"/>
          <w:szCs w:val="28"/>
          <w:highlight w:val="none"/>
        </w:rPr>
        <w:t>1</w:t>
      </w:r>
      <w:r>
        <w:rPr>
          <w:rFonts w:hint="eastAsia"/>
          <w:b/>
          <w:bCs/>
          <w:kern w:val="44"/>
          <w:sz w:val="28"/>
          <w:szCs w:val="28"/>
          <w:highlight w:val="none"/>
        </w:rPr>
        <w:t>）拟投入项目人员汇总表</w:t>
      </w:r>
    </w:p>
    <w:p>
      <w:pPr>
        <w:jc w:val="center"/>
        <w:rPr>
          <w:b/>
          <w:bCs/>
          <w:kern w:val="44"/>
          <w:sz w:val="28"/>
          <w:szCs w:val="28"/>
          <w:highlight w:val="none"/>
        </w:rPr>
      </w:pPr>
    </w:p>
    <w:p>
      <w:pPr>
        <w:jc w:val="left"/>
        <w:rPr>
          <w:rFonts w:hint="default" w:eastAsia="宋体"/>
          <w:b/>
          <w:bCs/>
          <w:kern w:val="44"/>
          <w:sz w:val="32"/>
          <w:szCs w:val="44"/>
          <w:highlight w:val="none"/>
          <w:u w:val="single"/>
          <w:lang w:val="en-US" w:eastAsia="zh-CN"/>
        </w:rPr>
      </w:pPr>
      <w:r>
        <w:rPr>
          <w:rFonts w:hint="eastAsia" w:ascii="宋体" w:hAnsi="宋体"/>
          <w:sz w:val="24"/>
          <w:highlight w:val="none"/>
        </w:rPr>
        <w:t>项目名称：</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lang w:eastAsia="zh-CN"/>
        </w:rPr>
        <w:t>项目</w:t>
      </w:r>
      <w:r>
        <w:rPr>
          <w:rFonts w:hint="eastAsia" w:ascii="宋体" w:hAnsi="宋体"/>
          <w:sz w:val="24"/>
          <w:highlight w:val="none"/>
        </w:rPr>
        <w:t>编号：</w:t>
      </w:r>
      <w:r>
        <w:rPr>
          <w:rFonts w:hint="eastAsia" w:ascii="宋体" w:hAnsi="宋体"/>
          <w:sz w:val="24"/>
          <w:highlight w:val="none"/>
          <w:u w:val="single"/>
          <w:lang w:val="en-US" w:eastAsia="zh-CN"/>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0"/>
        <w:gridCol w:w="900"/>
        <w:gridCol w:w="720"/>
        <w:gridCol w:w="1260"/>
        <w:gridCol w:w="720"/>
        <w:gridCol w:w="720"/>
        <w:gridCol w:w="1260"/>
        <w:gridCol w:w="24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序号</w:t>
            </w: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姓名</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性别</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出生日期</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学历</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专业</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技术职称</w:t>
            </w: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r>
              <w:rPr>
                <w:rFonts w:hint="eastAsia" w:ascii="宋体" w:hAnsi="宋体"/>
                <w:sz w:val="24"/>
                <w:highlight w:val="none"/>
              </w:rPr>
              <w:t>在本项目拟任职务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720"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474"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bl>
    <w:p>
      <w:pPr>
        <w:rPr>
          <w:rFonts w:ascii="宋体"/>
          <w:b/>
          <w:highlight w:val="none"/>
        </w:rPr>
      </w:pPr>
    </w:p>
    <w:p>
      <w:pPr>
        <w:spacing w:line="480" w:lineRule="auto"/>
        <w:ind w:firstLine="3600" w:firstLineChars="1500"/>
        <w:rPr>
          <w:rFonts w:ascii="宋体"/>
          <w:sz w:val="24"/>
          <w:highlight w:val="none"/>
        </w:rPr>
      </w:pPr>
      <w:r>
        <w:rPr>
          <w:rFonts w:hint="eastAsia" w:ascii="宋体" w:hAnsi="宋体"/>
          <w:sz w:val="24"/>
          <w:highlight w:val="none"/>
        </w:rPr>
        <w:t>供应商全称：</w:t>
      </w:r>
      <w:r>
        <w:rPr>
          <w:rFonts w:ascii="宋体" w:hAnsi="宋体"/>
          <w:sz w:val="24"/>
          <w:highlight w:val="none"/>
          <w:u w:val="single"/>
        </w:rPr>
        <w:t xml:space="preserve">                   </w:t>
      </w:r>
      <w:r>
        <w:rPr>
          <w:rFonts w:hint="eastAsia" w:ascii="宋体" w:hAnsi="宋体"/>
          <w:sz w:val="24"/>
          <w:highlight w:val="none"/>
        </w:rPr>
        <w:t>（公章）</w:t>
      </w:r>
    </w:p>
    <w:p>
      <w:pPr>
        <w:spacing w:line="480" w:lineRule="auto"/>
        <w:ind w:firstLine="3600" w:firstLineChars="1500"/>
        <w:rPr>
          <w:rFonts w:ascii="宋体"/>
          <w:sz w:val="24"/>
          <w:highlight w:val="none"/>
        </w:rPr>
      </w:pPr>
      <w:r>
        <w:rPr>
          <w:rFonts w:hint="eastAsia" w:ascii="宋体" w:hAnsi="宋体"/>
          <w:sz w:val="24"/>
          <w:highlight w:val="none"/>
        </w:rPr>
        <w:t>法定代表人或被授权人：</w:t>
      </w:r>
      <w:r>
        <w:rPr>
          <w:rFonts w:ascii="宋体" w:hAnsi="宋体"/>
          <w:sz w:val="24"/>
          <w:highlight w:val="none"/>
          <w:u w:val="single"/>
        </w:rPr>
        <w:t xml:space="preserve">           </w:t>
      </w:r>
      <w:r>
        <w:rPr>
          <w:rFonts w:hint="eastAsia" w:ascii="宋体" w:hAnsi="宋体"/>
          <w:sz w:val="24"/>
          <w:highlight w:val="none"/>
        </w:rPr>
        <w:t>（</w:t>
      </w:r>
      <w:r>
        <w:rPr>
          <w:rFonts w:hint="eastAsia" w:ascii="宋体" w:hAnsi="宋体"/>
          <w:color w:val="000000"/>
          <w:sz w:val="24"/>
          <w:highlight w:val="none"/>
        </w:rPr>
        <w:t>签字或盖章</w:t>
      </w:r>
      <w:r>
        <w:rPr>
          <w:rFonts w:hint="eastAsia" w:ascii="宋体" w:hAnsi="宋体"/>
          <w:sz w:val="24"/>
          <w:highlight w:val="none"/>
        </w:rPr>
        <w:t>）</w:t>
      </w:r>
    </w:p>
    <w:p>
      <w:pPr>
        <w:spacing w:line="480" w:lineRule="auto"/>
        <w:ind w:firstLine="6000" w:firstLineChars="2500"/>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spacing w:line="348" w:lineRule="auto"/>
        <w:jc w:val="both"/>
        <w:rPr>
          <w:rFonts w:ascii="宋体"/>
          <w:b/>
          <w:bCs/>
          <w:kern w:val="44"/>
          <w:sz w:val="24"/>
          <w:highlight w:val="none"/>
        </w:rPr>
      </w:pPr>
    </w:p>
    <w:p>
      <w:pPr>
        <w:spacing w:line="348" w:lineRule="auto"/>
        <w:ind w:left="680" w:leftChars="123" w:hanging="422" w:hangingChars="150"/>
        <w:jc w:val="center"/>
        <w:rPr>
          <w:b/>
          <w:bCs/>
          <w:kern w:val="44"/>
          <w:sz w:val="28"/>
          <w:szCs w:val="28"/>
          <w:highlight w:val="none"/>
        </w:rPr>
      </w:pPr>
      <w:r>
        <w:rPr>
          <w:rFonts w:hint="eastAsia"/>
          <w:b/>
          <w:bCs/>
          <w:kern w:val="44"/>
          <w:sz w:val="28"/>
          <w:szCs w:val="28"/>
          <w:highlight w:val="none"/>
        </w:rPr>
        <w:t>（</w:t>
      </w:r>
      <w:r>
        <w:rPr>
          <w:b/>
          <w:bCs/>
          <w:kern w:val="44"/>
          <w:sz w:val="28"/>
          <w:szCs w:val="28"/>
          <w:highlight w:val="none"/>
        </w:rPr>
        <w:t>2</w:t>
      </w:r>
      <w:r>
        <w:rPr>
          <w:rFonts w:hint="eastAsia"/>
          <w:b/>
          <w:bCs/>
          <w:kern w:val="44"/>
          <w:sz w:val="28"/>
          <w:szCs w:val="28"/>
          <w:highlight w:val="none"/>
        </w:rPr>
        <w:t>）拟投入主要人员履历表</w:t>
      </w:r>
    </w:p>
    <w:p>
      <w:pPr>
        <w:jc w:val="center"/>
        <w:rPr>
          <w:b/>
          <w:bCs/>
          <w:kern w:val="44"/>
          <w:sz w:val="28"/>
          <w:szCs w:val="28"/>
          <w:highlight w:val="none"/>
        </w:rPr>
      </w:pPr>
    </w:p>
    <w:p>
      <w:pPr>
        <w:rPr>
          <w:rFonts w:ascii="宋体"/>
          <w:b/>
          <w:sz w:val="32"/>
          <w:szCs w:val="32"/>
          <w:highlight w:val="none"/>
        </w:rPr>
      </w:pPr>
      <w:r>
        <w:rPr>
          <w:rFonts w:hint="eastAsia" w:ascii="宋体" w:hAnsi="宋体"/>
          <w:sz w:val="24"/>
          <w:highlight w:val="none"/>
        </w:rPr>
        <w:t>项目名称：</w:t>
      </w:r>
      <w:r>
        <w:rPr>
          <w:rFonts w:ascii="宋体" w:hAnsi="宋体"/>
          <w:sz w:val="24"/>
          <w:highlight w:val="none"/>
          <w:u w:val="single"/>
        </w:rPr>
        <w:t xml:space="preserve">             </w:t>
      </w:r>
      <w:r>
        <w:rPr>
          <w:rFonts w:ascii="宋体" w:hAnsi="宋体"/>
          <w:sz w:val="24"/>
          <w:highlight w:val="none"/>
        </w:rPr>
        <w:t xml:space="preserve">                            </w:t>
      </w:r>
      <w:r>
        <w:rPr>
          <w:rFonts w:hint="eastAsia" w:ascii="宋体" w:hAnsi="宋体"/>
          <w:sz w:val="24"/>
          <w:highlight w:val="none"/>
          <w:lang w:eastAsia="zh-CN"/>
        </w:rPr>
        <w:t>项目</w:t>
      </w:r>
      <w:r>
        <w:rPr>
          <w:rFonts w:hint="eastAsia" w:ascii="宋体" w:hAnsi="宋体"/>
          <w:sz w:val="24"/>
          <w:highlight w:val="none"/>
        </w:rPr>
        <w:t>编号：</w:t>
      </w:r>
      <w:r>
        <w:rPr>
          <w:rFonts w:ascii="宋体" w:hAnsi="宋体"/>
          <w:sz w:val="24"/>
          <w:highlight w:val="none"/>
          <w:u w:val="single"/>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07"/>
        <w:gridCol w:w="1167"/>
        <w:gridCol w:w="1052"/>
        <w:gridCol w:w="842"/>
        <w:gridCol w:w="360"/>
        <w:gridCol w:w="900"/>
        <w:gridCol w:w="24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姓</w:t>
            </w:r>
            <w:r>
              <w:rPr>
                <w:rFonts w:ascii="宋体" w:hAnsi="宋体"/>
                <w:sz w:val="24"/>
                <w:highlight w:val="none"/>
              </w:rPr>
              <w:t xml:space="preserve">  </w:t>
            </w:r>
            <w:r>
              <w:rPr>
                <w:rFonts w:hint="eastAsia" w:ascii="宋体" w:hAnsi="宋体"/>
                <w:sz w:val="24"/>
                <w:highlight w:val="none"/>
              </w:rPr>
              <w:t>名</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052"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性别</w:t>
            </w:r>
          </w:p>
        </w:tc>
        <w:tc>
          <w:tcPr>
            <w:tcW w:w="842" w:type="dxa"/>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出生日期</w:t>
            </w:r>
          </w:p>
        </w:tc>
        <w:tc>
          <w:tcPr>
            <w:tcW w:w="2412" w:type="dxa"/>
            <w:tcBorders>
              <w:top w:val="single" w:color="auto" w:sz="4" w:space="0"/>
              <w:left w:val="single" w:color="auto" w:sz="4" w:space="0"/>
              <w:bottom w:val="single" w:color="auto" w:sz="4" w:space="0"/>
            </w:tcBorders>
            <w:vAlign w:val="center"/>
          </w:tcPr>
          <w:p>
            <w:pPr>
              <w:jc w:val="center"/>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毕业院校专业</w:t>
            </w:r>
          </w:p>
        </w:tc>
        <w:tc>
          <w:tcPr>
            <w:tcW w:w="306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毕业时间</w:t>
            </w:r>
          </w:p>
        </w:tc>
        <w:tc>
          <w:tcPr>
            <w:tcW w:w="2412" w:type="dxa"/>
            <w:tcBorders>
              <w:top w:val="single" w:color="auto" w:sz="4" w:space="0"/>
              <w:left w:val="single" w:color="auto" w:sz="4" w:space="0"/>
              <w:bottom w:val="single" w:color="auto" w:sz="4" w:space="0"/>
            </w:tcBorders>
            <w:vAlign w:val="center"/>
          </w:tcPr>
          <w:p>
            <w:pPr>
              <w:ind w:firstLine="480" w:firstLineChars="200"/>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从事本专业时间</w:t>
            </w:r>
          </w:p>
        </w:tc>
        <w:tc>
          <w:tcPr>
            <w:tcW w:w="2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1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为申请人服务</w:t>
            </w:r>
            <w:r>
              <w:rPr>
                <w:rFonts w:ascii="宋体" w:hAnsi="宋体"/>
                <w:sz w:val="24"/>
                <w:highlight w:val="none"/>
              </w:rPr>
              <w:t xml:space="preserve">   </w:t>
            </w:r>
            <w:r>
              <w:rPr>
                <w:rFonts w:hint="eastAsia" w:ascii="宋体" w:hAnsi="宋体"/>
                <w:sz w:val="24"/>
                <w:highlight w:val="none"/>
              </w:rPr>
              <w:t>时间</w:t>
            </w:r>
          </w:p>
        </w:tc>
        <w:tc>
          <w:tcPr>
            <w:tcW w:w="2412"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相关资质证书名称及证号</w:t>
            </w:r>
          </w:p>
        </w:tc>
        <w:tc>
          <w:tcPr>
            <w:tcW w:w="22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2102"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称</w:t>
            </w:r>
          </w:p>
        </w:tc>
        <w:tc>
          <w:tcPr>
            <w:tcW w:w="2412" w:type="dxa"/>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4126" w:type="dxa"/>
            <w:gridSpan w:val="3"/>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在</w:t>
            </w:r>
            <w:r>
              <w:rPr>
                <w:rFonts w:ascii="宋体" w:hAnsi="宋体"/>
                <w:sz w:val="24"/>
                <w:highlight w:val="none"/>
              </w:rPr>
              <w:t xml:space="preserve"> </w:t>
            </w:r>
            <w:r>
              <w:rPr>
                <w:rFonts w:hint="eastAsia" w:ascii="宋体" w:hAnsi="宋体"/>
                <w:sz w:val="24"/>
                <w:highlight w:val="none"/>
              </w:rPr>
              <w:t>本</w:t>
            </w:r>
            <w:r>
              <w:rPr>
                <w:rFonts w:ascii="宋体" w:hAnsi="宋体"/>
                <w:sz w:val="24"/>
                <w:highlight w:val="none"/>
              </w:rPr>
              <w:t xml:space="preserve"> </w:t>
            </w:r>
            <w:r>
              <w:rPr>
                <w:rFonts w:hint="eastAsia" w:ascii="宋体" w:hAnsi="宋体"/>
                <w:sz w:val="24"/>
                <w:highlight w:val="none"/>
              </w:rPr>
              <w:t>项</w:t>
            </w:r>
            <w:r>
              <w:rPr>
                <w:rFonts w:ascii="宋体" w:hAnsi="宋体"/>
                <w:sz w:val="24"/>
                <w:highlight w:val="none"/>
              </w:rPr>
              <w:t xml:space="preserve"> </w:t>
            </w:r>
            <w:r>
              <w:rPr>
                <w:rFonts w:hint="eastAsia" w:ascii="宋体" w:hAnsi="宋体"/>
                <w:sz w:val="24"/>
                <w:highlight w:val="none"/>
              </w:rPr>
              <w:t>目</w:t>
            </w:r>
            <w:r>
              <w:rPr>
                <w:rFonts w:ascii="宋体" w:hAnsi="宋体"/>
                <w:sz w:val="24"/>
                <w:highlight w:val="none"/>
              </w:rPr>
              <w:t xml:space="preserve"> </w:t>
            </w:r>
            <w:r>
              <w:rPr>
                <w:rFonts w:hint="eastAsia" w:ascii="宋体" w:hAnsi="宋体"/>
                <w:sz w:val="24"/>
                <w:highlight w:val="none"/>
              </w:rPr>
              <w:t>拟</w:t>
            </w:r>
            <w:r>
              <w:rPr>
                <w:rFonts w:ascii="宋体" w:hAnsi="宋体"/>
                <w:sz w:val="24"/>
                <w:highlight w:val="none"/>
              </w:rPr>
              <w:t xml:space="preserve"> </w:t>
            </w:r>
            <w:r>
              <w:rPr>
                <w:rFonts w:hint="eastAsia" w:ascii="宋体" w:hAnsi="宋体"/>
                <w:sz w:val="24"/>
                <w:highlight w:val="none"/>
              </w:rPr>
              <w:t>任</w:t>
            </w:r>
            <w:r>
              <w:rPr>
                <w:rFonts w:ascii="宋体" w:hAnsi="宋体"/>
                <w:sz w:val="24"/>
                <w:highlight w:val="none"/>
              </w:rPr>
              <w:t xml:space="preserve"> </w:t>
            </w:r>
            <w:r>
              <w:rPr>
                <w:rFonts w:hint="eastAsia" w:ascii="宋体" w:hAnsi="宋体"/>
                <w:sz w:val="24"/>
                <w:highlight w:val="none"/>
              </w:rPr>
              <w:t>职</w:t>
            </w:r>
            <w:r>
              <w:rPr>
                <w:rFonts w:ascii="宋体" w:hAnsi="宋体"/>
                <w:sz w:val="24"/>
                <w:highlight w:val="none"/>
              </w:rPr>
              <w:t xml:space="preserve"> </w:t>
            </w:r>
            <w:r>
              <w:rPr>
                <w:rFonts w:hint="eastAsia" w:ascii="宋体" w:hAnsi="宋体"/>
                <w:sz w:val="24"/>
                <w:highlight w:val="none"/>
              </w:rPr>
              <w:t>务</w:t>
            </w:r>
          </w:p>
        </w:tc>
        <w:tc>
          <w:tcPr>
            <w:tcW w:w="4514" w:type="dxa"/>
            <w:gridSpan w:val="4"/>
            <w:tcBorders>
              <w:top w:val="single" w:color="auto" w:sz="4" w:space="0"/>
              <w:left w:val="single" w:color="auto" w:sz="4" w:space="0"/>
              <w:bottom w:val="single" w:color="auto" w:sz="4" w:space="0"/>
            </w:tcBorders>
            <w:vAlign w:val="center"/>
          </w:tcPr>
          <w:p>
            <w:pPr>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8640" w:type="dxa"/>
            <w:gridSpan w:val="7"/>
            <w:tcBorders>
              <w:top w:val="single" w:color="auto" w:sz="4" w:space="0"/>
              <w:bottom w:val="single" w:color="auto" w:sz="4" w:space="0"/>
            </w:tcBorders>
            <w:vAlign w:val="center"/>
          </w:tcPr>
          <w:p>
            <w:pPr>
              <w:jc w:val="center"/>
              <w:rPr>
                <w:rFonts w:ascii="宋体"/>
                <w:sz w:val="24"/>
                <w:highlight w:val="none"/>
              </w:rPr>
            </w:pPr>
            <w:r>
              <w:rPr>
                <w:rFonts w:hint="eastAsia" w:ascii="宋体" w:hAnsi="宋体"/>
                <w:sz w:val="24"/>
                <w:highlight w:val="none"/>
              </w:rPr>
              <w:t>主</w:t>
            </w:r>
            <w:r>
              <w:rPr>
                <w:rFonts w:ascii="宋体" w:hAnsi="宋体"/>
                <w:sz w:val="24"/>
                <w:highlight w:val="none"/>
              </w:rPr>
              <w:t xml:space="preserve">  </w:t>
            </w:r>
            <w:r>
              <w:rPr>
                <w:rFonts w:hint="eastAsia" w:ascii="宋体" w:hAnsi="宋体"/>
                <w:sz w:val="24"/>
                <w:highlight w:val="none"/>
              </w:rPr>
              <w:t>要</w:t>
            </w:r>
            <w:r>
              <w:rPr>
                <w:rFonts w:ascii="宋体" w:hAnsi="宋体"/>
                <w:sz w:val="24"/>
                <w:highlight w:val="none"/>
              </w:rPr>
              <w:t xml:space="preserve">  </w:t>
            </w:r>
            <w:r>
              <w:rPr>
                <w:rFonts w:hint="eastAsia" w:ascii="宋体" w:hAnsi="宋体"/>
                <w:sz w:val="24"/>
                <w:highlight w:val="none"/>
              </w:rPr>
              <w:t>经</w:t>
            </w:r>
            <w:r>
              <w:rPr>
                <w:rFonts w:ascii="宋体" w:hAnsi="宋体"/>
                <w:sz w:val="24"/>
                <w:highlight w:val="none"/>
              </w:rPr>
              <w:t xml:space="preserve">  </w:t>
            </w:r>
            <w:r>
              <w:rPr>
                <w:rFonts w:hint="eastAsia" w:ascii="宋体" w:hAnsi="宋体"/>
                <w:sz w:val="24"/>
                <w:highlight w:val="none"/>
              </w:rPr>
              <w:t>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时</w:t>
            </w:r>
            <w:r>
              <w:rPr>
                <w:rFonts w:ascii="宋体" w:hAnsi="宋体"/>
                <w:sz w:val="24"/>
                <w:highlight w:val="none"/>
              </w:rPr>
              <w:t xml:space="preserve">  </w:t>
            </w:r>
            <w:r>
              <w:rPr>
                <w:rFonts w:hint="eastAsia" w:ascii="宋体" w:hAnsi="宋体"/>
                <w:sz w:val="24"/>
                <w:highlight w:val="none"/>
              </w:rPr>
              <w:t>间</w:t>
            </w:r>
          </w:p>
        </w:tc>
        <w:tc>
          <w:tcPr>
            <w:tcW w:w="342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r>
              <w:rPr>
                <w:rFonts w:hint="eastAsia" w:ascii="宋体" w:hAnsi="宋体"/>
                <w:sz w:val="24"/>
                <w:highlight w:val="none"/>
              </w:rPr>
              <w:t>参加过的拆迁项目</w:t>
            </w:r>
          </w:p>
          <w:p>
            <w:pPr>
              <w:jc w:val="center"/>
              <w:rPr>
                <w:rFonts w:ascii="宋体"/>
                <w:sz w:val="24"/>
                <w:highlight w:val="none"/>
              </w:rPr>
            </w:pPr>
            <w:r>
              <w:rPr>
                <w:rFonts w:hint="eastAsia" w:ascii="宋体" w:hAnsi="宋体"/>
                <w:sz w:val="24"/>
                <w:highlight w:val="none"/>
              </w:rPr>
              <w:t>名称及规模</w:t>
            </w:r>
          </w:p>
        </w:tc>
        <w:tc>
          <w:tcPr>
            <w:tcW w:w="3312" w:type="dxa"/>
            <w:gridSpan w:val="2"/>
            <w:tcBorders>
              <w:top w:val="single" w:color="auto" w:sz="4" w:space="0"/>
              <w:left w:val="single" w:color="auto" w:sz="4" w:space="0"/>
              <w:bottom w:val="single" w:color="auto" w:sz="4" w:space="0"/>
            </w:tcBorders>
            <w:vAlign w:val="center"/>
          </w:tcPr>
          <w:p>
            <w:pPr>
              <w:jc w:val="center"/>
              <w:rPr>
                <w:rFonts w:ascii="宋体"/>
                <w:sz w:val="24"/>
                <w:highlight w:val="none"/>
              </w:rPr>
            </w:pPr>
            <w:r>
              <w:rPr>
                <w:rFonts w:hint="eastAsia" w:ascii="宋体" w:hAnsi="宋体"/>
                <w:sz w:val="24"/>
                <w:highlight w:val="none"/>
              </w:rPr>
              <w:t>该项目中任职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6" w:hRule="atLeast"/>
          <w:jc w:val="center"/>
        </w:trPr>
        <w:tc>
          <w:tcPr>
            <w:tcW w:w="1907" w:type="dxa"/>
            <w:tcBorders>
              <w:top w:val="single" w:color="auto" w:sz="4" w:space="0"/>
              <w:bottom w:val="single" w:color="auto" w:sz="4" w:space="0"/>
              <w:right w:val="single" w:color="auto" w:sz="4" w:space="0"/>
            </w:tcBorders>
            <w:vAlign w:val="center"/>
          </w:tcPr>
          <w:p>
            <w:pPr>
              <w:jc w:val="center"/>
              <w:rPr>
                <w:rFonts w:ascii="宋体"/>
                <w:sz w:val="24"/>
                <w:highlight w:val="none"/>
              </w:rPr>
            </w:pPr>
          </w:p>
        </w:tc>
        <w:tc>
          <w:tcPr>
            <w:tcW w:w="342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sz w:val="24"/>
                <w:highlight w:val="none"/>
              </w:rPr>
            </w:pPr>
          </w:p>
        </w:tc>
        <w:tc>
          <w:tcPr>
            <w:tcW w:w="3312" w:type="dxa"/>
            <w:gridSpan w:val="2"/>
            <w:tcBorders>
              <w:top w:val="single" w:color="auto" w:sz="4" w:space="0"/>
              <w:left w:val="single" w:color="auto" w:sz="4" w:space="0"/>
              <w:bottom w:val="single" w:color="auto" w:sz="4" w:space="0"/>
            </w:tcBorders>
            <w:vAlign w:val="center"/>
          </w:tcPr>
          <w:p>
            <w:pPr>
              <w:jc w:val="center"/>
              <w:rPr>
                <w:rFonts w:ascii="宋体"/>
                <w:sz w:val="24"/>
                <w:highlight w:val="none"/>
              </w:rPr>
            </w:pPr>
          </w:p>
        </w:tc>
      </w:tr>
    </w:tbl>
    <w:p>
      <w:pPr>
        <w:rPr>
          <w:rFonts w:ascii="宋体"/>
          <w:b/>
          <w:sz w:val="24"/>
          <w:highlight w:val="none"/>
        </w:rPr>
      </w:pPr>
    </w:p>
    <w:p>
      <w:pPr>
        <w:spacing w:line="480" w:lineRule="auto"/>
        <w:ind w:firstLine="3600" w:firstLineChars="1500"/>
        <w:rPr>
          <w:rFonts w:ascii="宋体"/>
          <w:sz w:val="24"/>
          <w:highlight w:val="none"/>
        </w:rPr>
      </w:pPr>
      <w:r>
        <w:rPr>
          <w:rFonts w:hint="eastAsia" w:ascii="宋体" w:hAnsi="宋体"/>
          <w:sz w:val="24"/>
          <w:highlight w:val="none"/>
        </w:rPr>
        <w:t>供应商全称：</w:t>
      </w:r>
      <w:r>
        <w:rPr>
          <w:rFonts w:ascii="宋体" w:hAnsi="宋体"/>
          <w:sz w:val="24"/>
          <w:highlight w:val="none"/>
          <w:u w:val="single"/>
        </w:rPr>
        <w:t xml:space="preserve">                   </w:t>
      </w:r>
      <w:r>
        <w:rPr>
          <w:rFonts w:hint="eastAsia" w:ascii="宋体" w:hAnsi="宋体"/>
          <w:sz w:val="24"/>
          <w:highlight w:val="none"/>
        </w:rPr>
        <w:t>（公章）</w:t>
      </w:r>
    </w:p>
    <w:p>
      <w:pPr>
        <w:spacing w:line="480" w:lineRule="auto"/>
        <w:ind w:firstLine="3600" w:firstLineChars="1500"/>
        <w:rPr>
          <w:rFonts w:ascii="宋体"/>
          <w:sz w:val="24"/>
          <w:highlight w:val="none"/>
        </w:rPr>
      </w:pPr>
      <w:r>
        <w:rPr>
          <w:rFonts w:hint="eastAsia" w:ascii="宋体" w:hAnsi="宋体"/>
          <w:sz w:val="24"/>
          <w:highlight w:val="none"/>
        </w:rPr>
        <w:t>法定代表人或被授权人：</w:t>
      </w:r>
      <w:r>
        <w:rPr>
          <w:rFonts w:ascii="宋体" w:hAnsi="宋体"/>
          <w:sz w:val="24"/>
          <w:highlight w:val="none"/>
          <w:u w:val="single"/>
        </w:rPr>
        <w:t xml:space="preserve">           </w:t>
      </w:r>
      <w:r>
        <w:rPr>
          <w:rFonts w:hint="eastAsia" w:ascii="宋体" w:hAnsi="宋体"/>
          <w:sz w:val="24"/>
          <w:highlight w:val="none"/>
        </w:rPr>
        <w:t>（</w:t>
      </w:r>
      <w:r>
        <w:rPr>
          <w:rFonts w:hint="eastAsia" w:ascii="宋体" w:hAnsi="宋体"/>
          <w:color w:val="000000"/>
          <w:sz w:val="24"/>
          <w:highlight w:val="none"/>
        </w:rPr>
        <w:t>签字或盖章</w:t>
      </w:r>
      <w:r>
        <w:rPr>
          <w:rFonts w:hint="eastAsia" w:ascii="宋体" w:hAnsi="宋体"/>
          <w:sz w:val="24"/>
          <w:highlight w:val="none"/>
        </w:rPr>
        <w:t>）</w:t>
      </w:r>
    </w:p>
    <w:p>
      <w:pPr>
        <w:spacing w:line="480" w:lineRule="auto"/>
        <w:ind w:firstLine="6000" w:firstLineChars="2500"/>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autoSpaceDE w:val="0"/>
        <w:autoSpaceDN w:val="0"/>
        <w:adjustRightInd w:val="0"/>
        <w:snapToGrid w:val="0"/>
        <w:spacing w:after="100" w:afterAutospacing="1"/>
        <w:rPr>
          <w:b/>
          <w:highlight w:val="none"/>
        </w:rPr>
      </w:pPr>
      <w:r>
        <w:rPr>
          <w:rFonts w:hint="eastAsia"/>
          <w:b/>
          <w:highlight w:val="none"/>
        </w:rPr>
        <w:t>注：供应商需随此表附上主要人员的相关资料的复印件（应附相关资质证）。</w:t>
      </w:r>
    </w:p>
    <w:p>
      <w:pPr>
        <w:autoSpaceDE w:val="0"/>
        <w:autoSpaceDN w:val="0"/>
        <w:adjustRightInd w:val="0"/>
        <w:snapToGrid w:val="0"/>
        <w:spacing w:after="100" w:afterAutospacing="1"/>
        <w:rPr>
          <w:b/>
          <w:highlight w:val="none"/>
        </w:rPr>
      </w:pPr>
    </w:p>
    <w:p>
      <w:pPr>
        <w:spacing w:line="348" w:lineRule="auto"/>
        <w:rPr>
          <w:b/>
          <w:bCs/>
          <w:kern w:val="44"/>
          <w:sz w:val="32"/>
          <w:szCs w:val="32"/>
          <w:highlight w:val="none"/>
        </w:rPr>
      </w:pPr>
    </w:p>
    <w:p>
      <w:pPr>
        <w:spacing w:line="348" w:lineRule="auto"/>
        <w:ind w:left="740" w:leftChars="123" w:hanging="482" w:hangingChars="150"/>
        <w:jc w:val="center"/>
        <w:rPr>
          <w:b/>
          <w:bCs/>
          <w:kern w:val="44"/>
          <w:sz w:val="32"/>
          <w:szCs w:val="32"/>
          <w:highlight w:val="none"/>
        </w:rPr>
      </w:pPr>
      <w:r>
        <w:rPr>
          <w:b/>
          <w:bCs/>
          <w:kern w:val="44"/>
          <w:sz w:val="32"/>
          <w:szCs w:val="32"/>
          <w:highlight w:val="none"/>
        </w:rPr>
        <w:t>4</w:t>
      </w:r>
      <w:r>
        <w:rPr>
          <w:rFonts w:hint="eastAsia"/>
          <w:b/>
          <w:bCs/>
          <w:kern w:val="44"/>
          <w:sz w:val="32"/>
          <w:szCs w:val="32"/>
          <w:highlight w:val="none"/>
        </w:rPr>
        <w:t>、拟在本项目使用的主要仪器、设备一览表</w:t>
      </w:r>
    </w:p>
    <w:tbl>
      <w:tblPr>
        <w:tblStyle w:val="38"/>
        <w:tblW w:w="92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356"/>
        <w:gridCol w:w="956"/>
        <w:gridCol w:w="778"/>
        <w:gridCol w:w="842"/>
        <w:gridCol w:w="1260"/>
        <w:gridCol w:w="1260"/>
        <w:gridCol w:w="9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序号</w:t>
            </w: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仪器设备</w:t>
            </w:r>
          </w:p>
          <w:p>
            <w:pPr>
              <w:spacing w:line="360" w:lineRule="auto"/>
              <w:jc w:val="center"/>
              <w:rPr>
                <w:rFonts w:ascii="宋体"/>
                <w:sz w:val="24"/>
                <w:highlight w:val="none"/>
              </w:rPr>
            </w:pPr>
            <w:r>
              <w:rPr>
                <w:rFonts w:hint="eastAsia" w:ascii="宋体" w:hAnsi="宋体"/>
                <w:sz w:val="24"/>
                <w:highlight w:val="none"/>
              </w:rPr>
              <w:t>名称</w:t>
            </w: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型号</w:t>
            </w:r>
          </w:p>
          <w:p>
            <w:pPr>
              <w:spacing w:line="360" w:lineRule="auto"/>
              <w:jc w:val="center"/>
              <w:rPr>
                <w:rFonts w:ascii="宋体"/>
                <w:sz w:val="24"/>
                <w:highlight w:val="none"/>
              </w:rPr>
            </w:pPr>
            <w:r>
              <w:rPr>
                <w:rFonts w:hint="eastAsia" w:ascii="宋体" w:hAnsi="宋体"/>
                <w:sz w:val="24"/>
                <w:highlight w:val="none"/>
              </w:rPr>
              <w:t>规格</w:t>
            </w: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数量</w:t>
            </w: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国别产地</w:t>
            </w: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制造年份</w:t>
            </w: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己使用</w:t>
            </w:r>
          </w:p>
          <w:p>
            <w:pPr>
              <w:spacing w:line="360" w:lineRule="auto"/>
              <w:jc w:val="center"/>
              <w:rPr>
                <w:rFonts w:ascii="宋体"/>
                <w:sz w:val="24"/>
                <w:highlight w:val="none"/>
              </w:rPr>
            </w:pPr>
            <w:r>
              <w:rPr>
                <w:rFonts w:hint="eastAsia" w:ascii="宋体" w:hAnsi="宋体"/>
                <w:sz w:val="24"/>
                <w:highlight w:val="none"/>
              </w:rPr>
              <w:t>台时数</w:t>
            </w: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用途</w:t>
            </w: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jc w:val="center"/>
              <w:rPr>
                <w:rFonts w:ascii="宋体"/>
                <w:sz w:val="24"/>
                <w:highlight w:val="none"/>
              </w:rPr>
            </w:pPr>
            <w:r>
              <w:rPr>
                <w:rFonts w:hint="eastAsia" w:ascii="宋体" w:hAnsi="宋体"/>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3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56"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778"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842"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26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90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c>
          <w:tcPr>
            <w:tcW w:w="1080" w:type="dxa"/>
            <w:tcBorders>
              <w:top w:val="outset" w:color="auto" w:sz="6" w:space="0"/>
              <w:left w:val="outset" w:color="auto" w:sz="6" w:space="0"/>
              <w:bottom w:val="outset" w:color="auto" w:sz="6" w:space="0"/>
              <w:right w:val="outset" w:color="auto" w:sz="6" w:space="0"/>
            </w:tcBorders>
            <w:vAlign w:val="center"/>
          </w:tcPr>
          <w:p>
            <w:pPr>
              <w:spacing w:line="360" w:lineRule="auto"/>
              <w:ind w:firstLine="480" w:firstLineChars="200"/>
              <w:jc w:val="center"/>
              <w:rPr>
                <w:rFonts w:ascii="宋体"/>
                <w:sz w:val="24"/>
                <w:highlight w:val="none"/>
              </w:rPr>
            </w:pPr>
          </w:p>
        </w:tc>
      </w:tr>
    </w:tbl>
    <w:p>
      <w:pPr>
        <w:rPr>
          <w:highlight w:val="none"/>
        </w:rPr>
      </w:pPr>
    </w:p>
    <w:p>
      <w:pPr>
        <w:spacing w:line="480" w:lineRule="auto"/>
        <w:ind w:firstLine="3600" w:firstLineChars="1500"/>
        <w:rPr>
          <w:rFonts w:ascii="宋体"/>
          <w:sz w:val="24"/>
          <w:highlight w:val="none"/>
        </w:rPr>
      </w:pPr>
      <w:r>
        <w:rPr>
          <w:rFonts w:hint="eastAsia" w:ascii="宋体" w:hAnsi="宋体"/>
          <w:sz w:val="24"/>
          <w:highlight w:val="none"/>
        </w:rPr>
        <w:t>供应商全称：</w:t>
      </w:r>
      <w:r>
        <w:rPr>
          <w:rFonts w:ascii="宋体" w:hAnsi="宋体"/>
          <w:sz w:val="24"/>
          <w:highlight w:val="none"/>
          <w:u w:val="single"/>
        </w:rPr>
        <w:t xml:space="preserve">                   </w:t>
      </w:r>
      <w:r>
        <w:rPr>
          <w:rFonts w:hint="eastAsia" w:ascii="宋体" w:hAnsi="宋体"/>
          <w:sz w:val="24"/>
          <w:highlight w:val="none"/>
        </w:rPr>
        <w:t>（公章）</w:t>
      </w:r>
    </w:p>
    <w:p>
      <w:pPr>
        <w:spacing w:line="480" w:lineRule="auto"/>
        <w:ind w:firstLine="3600" w:firstLineChars="1500"/>
        <w:rPr>
          <w:rFonts w:ascii="宋体"/>
          <w:sz w:val="24"/>
          <w:highlight w:val="none"/>
        </w:rPr>
      </w:pPr>
      <w:r>
        <w:rPr>
          <w:rFonts w:hint="eastAsia" w:ascii="宋体" w:hAnsi="宋体"/>
          <w:sz w:val="24"/>
          <w:highlight w:val="none"/>
        </w:rPr>
        <w:t>法定代表人或被授权人：</w:t>
      </w:r>
      <w:r>
        <w:rPr>
          <w:rFonts w:ascii="宋体" w:hAnsi="宋体"/>
          <w:sz w:val="24"/>
          <w:highlight w:val="none"/>
          <w:u w:val="single"/>
        </w:rPr>
        <w:t xml:space="preserve">           </w:t>
      </w:r>
      <w:r>
        <w:rPr>
          <w:rFonts w:hint="eastAsia" w:ascii="宋体" w:hAnsi="宋体"/>
          <w:sz w:val="24"/>
          <w:highlight w:val="none"/>
        </w:rPr>
        <w:t>（</w:t>
      </w:r>
      <w:r>
        <w:rPr>
          <w:rFonts w:hint="eastAsia" w:ascii="宋体" w:hAnsi="宋体"/>
          <w:color w:val="000000"/>
          <w:sz w:val="24"/>
          <w:highlight w:val="none"/>
        </w:rPr>
        <w:t>签字或盖章</w:t>
      </w:r>
      <w:r>
        <w:rPr>
          <w:rFonts w:hint="eastAsia" w:ascii="宋体" w:hAnsi="宋体"/>
          <w:sz w:val="24"/>
          <w:highlight w:val="none"/>
        </w:rPr>
        <w:t>）</w:t>
      </w:r>
    </w:p>
    <w:p>
      <w:pPr>
        <w:spacing w:line="480" w:lineRule="auto"/>
        <w:ind w:firstLine="6000" w:firstLineChars="2500"/>
        <w:rPr>
          <w:rFonts w:ascii="宋体"/>
          <w:sz w:val="24"/>
          <w:highlight w:val="none"/>
        </w:rPr>
      </w:pP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p>
      <w:pPr>
        <w:autoSpaceDE w:val="0"/>
        <w:autoSpaceDN w:val="0"/>
        <w:adjustRightInd w:val="0"/>
        <w:snapToGrid w:val="0"/>
        <w:spacing w:after="100" w:afterAutospacing="1"/>
        <w:rPr>
          <w:rFonts w:ascii="宋体" w:cs="宋体"/>
          <w:color w:val="000000"/>
          <w:sz w:val="24"/>
          <w:highlight w:val="none"/>
        </w:rPr>
      </w:pPr>
    </w:p>
    <w:p>
      <w:pPr>
        <w:tabs>
          <w:tab w:val="left" w:pos="630"/>
          <w:tab w:val="left" w:pos="1260"/>
        </w:tabs>
        <w:spacing w:line="360" w:lineRule="auto"/>
        <w:jc w:val="center"/>
        <w:rPr>
          <w:rFonts w:ascii="宋体" w:hAnsi="宋体" w:cs="宋体"/>
          <w:b/>
          <w:bCs/>
          <w:sz w:val="32"/>
          <w:szCs w:val="32"/>
          <w:highlight w:val="none"/>
        </w:rPr>
      </w:pPr>
      <w:r>
        <w:rPr>
          <w:rFonts w:hint="eastAsia" w:ascii="宋体" w:hAnsi="宋体" w:cs="宋体"/>
          <w:b/>
          <w:bCs/>
          <w:kern w:val="44"/>
          <w:sz w:val="32"/>
          <w:szCs w:val="32"/>
          <w:highlight w:val="none"/>
        </w:rPr>
        <w:t>5、</w:t>
      </w:r>
      <w:r>
        <w:rPr>
          <w:rFonts w:hint="eastAsia" w:ascii="宋体" w:hAnsi="宋体" w:cs="宋体"/>
          <w:b/>
          <w:bCs/>
          <w:sz w:val="32"/>
          <w:szCs w:val="32"/>
          <w:highlight w:val="none"/>
        </w:rPr>
        <w:t>拆迁工作计划、实施方案及服务承诺（含施工组织设计）</w:t>
      </w:r>
    </w:p>
    <w:p>
      <w:pPr>
        <w:tabs>
          <w:tab w:val="left" w:pos="630"/>
          <w:tab w:val="left" w:pos="1260"/>
        </w:tabs>
        <w:spacing w:line="360" w:lineRule="auto"/>
        <w:jc w:val="center"/>
        <w:rPr>
          <w:rFonts w:ascii="Arial" w:hAnsi="Arial" w:eastAsia="黑体"/>
          <w:b/>
          <w:bCs/>
          <w:sz w:val="32"/>
          <w:szCs w:val="32"/>
          <w:highlight w:val="none"/>
        </w:rPr>
      </w:pPr>
    </w:p>
    <w:p>
      <w:pPr>
        <w:pStyle w:val="4"/>
        <w:jc w:val="center"/>
        <w:rPr>
          <w:rFonts w:ascii="宋体" w:hAnsi="宋体" w:eastAsia="宋体"/>
          <w:b w:val="0"/>
          <w:sz w:val="24"/>
          <w:szCs w:val="24"/>
          <w:highlight w:val="none"/>
        </w:rPr>
      </w:pPr>
      <w:bookmarkStart w:id="305" w:name="_Toc12968"/>
      <w:bookmarkStart w:id="306" w:name="_Toc408785221"/>
      <w:r>
        <w:rPr>
          <w:rFonts w:hint="eastAsia" w:ascii="宋体" w:hAnsi="宋体" w:eastAsia="宋体"/>
          <w:b w:val="0"/>
          <w:sz w:val="24"/>
          <w:szCs w:val="24"/>
          <w:highlight w:val="none"/>
        </w:rPr>
        <w:t>自行编制</w:t>
      </w:r>
      <w:bookmarkEnd w:id="305"/>
      <w:bookmarkEnd w:id="306"/>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tabs>
          <w:tab w:val="left" w:pos="630"/>
          <w:tab w:val="left" w:pos="1260"/>
        </w:tabs>
        <w:spacing w:line="360" w:lineRule="auto"/>
        <w:jc w:val="center"/>
        <w:rPr>
          <w:rFonts w:ascii="Arial" w:hAnsi="Arial" w:eastAsia="黑体"/>
          <w:b/>
          <w:bCs/>
          <w:sz w:val="32"/>
          <w:szCs w:val="32"/>
          <w:highlight w:val="none"/>
        </w:rPr>
      </w:pPr>
    </w:p>
    <w:p>
      <w:pPr>
        <w:spacing w:line="588" w:lineRule="exact"/>
        <w:rPr>
          <w:rFonts w:ascii="宋体" w:hAnsi="宋体"/>
          <w:b/>
          <w:kern w:val="0"/>
          <w:sz w:val="24"/>
          <w:highlight w:val="none"/>
        </w:rPr>
      </w:pPr>
    </w:p>
    <w:p>
      <w:pPr>
        <w:spacing w:line="588" w:lineRule="exact"/>
        <w:rPr>
          <w:rFonts w:eastAsia="仿宋_GB2312"/>
          <w:spacing w:val="6"/>
          <w:sz w:val="30"/>
          <w:szCs w:val="30"/>
          <w:highlight w:val="none"/>
        </w:rPr>
      </w:pPr>
      <w:r>
        <w:rPr>
          <w:rFonts w:hint="eastAsia" w:ascii="宋体" w:hAnsi="宋体"/>
          <w:b/>
          <w:kern w:val="0"/>
          <w:sz w:val="24"/>
          <w:highlight w:val="none"/>
        </w:rPr>
        <w:t>附件一：</w:t>
      </w:r>
    </w:p>
    <w:p>
      <w:pPr>
        <w:spacing w:line="360" w:lineRule="auto"/>
        <w:jc w:val="center"/>
        <w:rPr>
          <w:rFonts w:ascii="宋体" w:cs="宋体"/>
          <w:b/>
          <w:spacing w:val="6"/>
          <w:sz w:val="24"/>
          <w:highlight w:val="none"/>
        </w:rPr>
      </w:pPr>
    </w:p>
    <w:p>
      <w:pPr>
        <w:spacing w:line="360" w:lineRule="auto"/>
        <w:jc w:val="center"/>
        <w:rPr>
          <w:rFonts w:ascii="宋体" w:cs="宋体"/>
          <w:b/>
          <w:spacing w:val="6"/>
          <w:sz w:val="24"/>
          <w:highlight w:val="none"/>
        </w:rPr>
      </w:pPr>
      <w:r>
        <w:rPr>
          <w:rFonts w:hint="eastAsia" w:ascii="宋体" w:hAnsi="宋体" w:cs="宋体"/>
          <w:b/>
          <w:spacing w:val="6"/>
          <w:sz w:val="24"/>
          <w:highlight w:val="none"/>
        </w:rPr>
        <w:t>残疾人福利性单位声明函</w:t>
      </w:r>
    </w:p>
    <w:p>
      <w:pPr>
        <w:spacing w:line="360" w:lineRule="auto"/>
        <w:rPr>
          <w:rFonts w:ascii="宋体" w:cs="宋体"/>
          <w:b/>
          <w:spacing w:val="6"/>
          <w:sz w:val="24"/>
          <w:highlight w:val="none"/>
        </w:rPr>
      </w:pPr>
    </w:p>
    <w:p>
      <w:pPr>
        <w:spacing w:line="480" w:lineRule="auto"/>
        <w:ind w:firstLine="504" w:firstLineChars="200"/>
        <w:rPr>
          <w:rFonts w:ascii="宋体" w:cs="宋体"/>
          <w:spacing w:val="6"/>
          <w:sz w:val="24"/>
          <w:highlight w:val="none"/>
        </w:rPr>
      </w:pPr>
      <w:r>
        <w:rPr>
          <w:rFonts w:hint="eastAsia" w:ascii="宋体" w:hAnsi="宋体" w:cs="宋体"/>
          <w:spacing w:val="6"/>
          <w:sz w:val="24"/>
          <w:highlight w:val="none"/>
        </w:rPr>
        <w:t>本单位郑重声明，根据《财政部</w:t>
      </w:r>
      <w:r>
        <w:rPr>
          <w:rFonts w:ascii="宋体" w:hAnsi="宋体" w:cs="宋体"/>
          <w:spacing w:val="6"/>
          <w:sz w:val="24"/>
          <w:highlight w:val="none"/>
        </w:rPr>
        <w:t xml:space="preserve"> </w:t>
      </w:r>
      <w:r>
        <w:rPr>
          <w:rFonts w:hint="eastAsia" w:ascii="宋体" w:hAnsi="宋体" w:cs="宋体"/>
          <w:spacing w:val="6"/>
          <w:sz w:val="24"/>
          <w:highlight w:val="none"/>
        </w:rPr>
        <w:t>民政部</w:t>
      </w:r>
      <w:r>
        <w:rPr>
          <w:rFonts w:ascii="宋体" w:hAnsi="宋体" w:cs="宋体"/>
          <w:spacing w:val="6"/>
          <w:sz w:val="24"/>
          <w:highlight w:val="none"/>
        </w:rPr>
        <w:t xml:space="preserve"> </w:t>
      </w:r>
      <w:r>
        <w:rPr>
          <w:rFonts w:hint="eastAsia" w:ascii="宋体" w:hAnsi="宋体" w:cs="宋体"/>
          <w:spacing w:val="6"/>
          <w:sz w:val="24"/>
          <w:highlight w:val="none"/>
        </w:rPr>
        <w:t>中国残疾人联合会关于促进残疾人就业政府采购政策的通知》（财库</w:t>
      </w:r>
      <w:r>
        <w:rPr>
          <w:rFonts w:hint="eastAsia" w:ascii="宋体" w:hAnsi="宋体" w:cs="宋体"/>
          <w:sz w:val="24"/>
          <w:highlight w:val="none"/>
        </w:rPr>
        <w:t>〔</w:t>
      </w:r>
      <w:r>
        <w:rPr>
          <w:rFonts w:ascii="宋体" w:hAnsi="宋体" w:cs="宋体"/>
          <w:sz w:val="24"/>
          <w:highlight w:val="none"/>
        </w:rPr>
        <w:t>2017</w:t>
      </w:r>
      <w:r>
        <w:rPr>
          <w:rFonts w:hint="eastAsia" w:ascii="宋体" w:hAnsi="宋体" w:cs="宋体"/>
          <w:sz w:val="24"/>
          <w:highlight w:val="none"/>
        </w:rPr>
        <w:t>〕</w:t>
      </w:r>
      <w:r>
        <w:rPr>
          <w:rFonts w:ascii="宋体" w:hAnsi="宋体" w:cs="宋体"/>
          <w:sz w:val="24"/>
          <w:highlight w:val="none"/>
        </w:rPr>
        <w:t xml:space="preserve"> 141</w:t>
      </w:r>
      <w:r>
        <w:rPr>
          <w:rFonts w:hint="eastAsia" w:ascii="宋体" w:hAnsi="宋体" w:cs="宋体"/>
          <w:spacing w:val="6"/>
          <w:sz w:val="24"/>
          <w:highlight w:val="none"/>
        </w:rPr>
        <w:t>号）的规定，本单位为符合条件的残疾人福利性单位，且本单位参加</w:t>
      </w:r>
      <w:r>
        <w:rPr>
          <w:rFonts w:ascii="宋体" w:hAnsi="宋体" w:cs="宋体"/>
          <w:spacing w:val="6"/>
          <w:sz w:val="24"/>
          <w:highlight w:val="none"/>
        </w:rPr>
        <w:t>______</w:t>
      </w:r>
      <w:r>
        <w:rPr>
          <w:rFonts w:hint="eastAsia" w:ascii="宋体" w:hAnsi="宋体" w:cs="宋体"/>
          <w:spacing w:val="6"/>
          <w:sz w:val="24"/>
          <w:highlight w:val="none"/>
        </w:rPr>
        <w:t>单位的</w:t>
      </w:r>
      <w:r>
        <w:rPr>
          <w:rFonts w:ascii="宋体" w:hAnsi="宋体" w:cs="宋体"/>
          <w:spacing w:val="6"/>
          <w:sz w:val="24"/>
          <w:highlight w:val="none"/>
        </w:rPr>
        <w:t>______</w:t>
      </w:r>
      <w:r>
        <w:rPr>
          <w:rFonts w:hint="eastAsia" w:ascii="宋体" w:hAnsi="宋体" w:cs="宋体"/>
          <w:spacing w:val="6"/>
          <w:sz w:val="24"/>
          <w:highlight w:val="none"/>
        </w:rPr>
        <w:t>项目采购活动提供本单位制造的货物（由本单位承担工程</w:t>
      </w:r>
      <w:r>
        <w:rPr>
          <w:rFonts w:ascii="宋体" w:hAnsi="宋体" w:cs="宋体"/>
          <w:spacing w:val="6"/>
          <w:sz w:val="24"/>
          <w:highlight w:val="none"/>
        </w:rPr>
        <w:t>/</w:t>
      </w:r>
      <w:r>
        <w:rPr>
          <w:rFonts w:hint="eastAsia" w:ascii="宋体" w:hAnsi="宋体" w:cs="宋体"/>
          <w:spacing w:val="6"/>
          <w:sz w:val="24"/>
          <w:highlight w:val="none"/>
        </w:rPr>
        <w:t>提供服务），或者提供其他残疾人福利性单位制造的货物（不包括使用非残疾人福利性单位注册商标的货物）。</w:t>
      </w:r>
    </w:p>
    <w:p>
      <w:pPr>
        <w:spacing w:line="480" w:lineRule="auto"/>
        <w:ind w:firstLine="504" w:firstLineChars="200"/>
        <w:rPr>
          <w:rFonts w:ascii="宋体" w:cs="宋体"/>
          <w:spacing w:val="6"/>
          <w:sz w:val="24"/>
          <w:highlight w:val="none"/>
        </w:rPr>
      </w:pPr>
      <w:r>
        <w:rPr>
          <w:rFonts w:hint="eastAsia" w:ascii="宋体" w:hAnsi="宋体" w:cs="宋体"/>
          <w:spacing w:val="6"/>
          <w:sz w:val="24"/>
          <w:highlight w:val="none"/>
        </w:rPr>
        <w:t>本单位对上述声明的真实性负责。如有虚假，将依法承担相应责任。</w:t>
      </w:r>
    </w:p>
    <w:p>
      <w:pPr>
        <w:spacing w:line="480" w:lineRule="auto"/>
        <w:ind w:firstLine="504" w:firstLineChars="200"/>
        <w:rPr>
          <w:rFonts w:ascii="宋体" w:cs="宋体"/>
          <w:spacing w:val="6"/>
          <w:sz w:val="24"/>
          <w:highlight w:val="none"/>
        </w:rPr>
      </w:pPr>
    </w:p>
    <w:p>
      <w:pPr>
        <w:spacing w:line="480" w:lineRule="auto"/>
        <w:ind w:firstLine="504" w:firstLineChars="200"/>
        <w:rPr>
          <w:rFonts w:ascii="宋体" w:cs="宋体"/>
          <w:spacing w:val="6"/>
          <w:sz w:val="24"/>
          <w:highlight w:val="none"/>
        </w:rPr>
      </w:pPr>
    </w:p>
    <w:p>
      <w:pPr>
        <w:tabs>
          <w:tab w:val="left" w:pos="4860"/>
        </w:tabs>
        <w:spacing w:line="480" w:lineRule="auto"/>
        <w:ind w:right="1560" w:firstLine="480" w:firstLineChars="200"/>
        <w:jc w:val="center"/>
        <w:rPr>
          <w:rFonts w:ascii="宋体" w:cs="宋体"/>
          <w:spacing w:val="6"/>
          <w:sz w:val="24"/>
          <w:highlight w:val="none"/>
        </w:rPr>
      </w:pPr>
      <w:r>
        <w:rPr>
          <w:rFonts w:hint="eastAsia" w:ascii="宋体" w:hAnsi="宋体"/>
          <w:sz w:val="24"/>
          <w:highlight w:val="none"/>
        </w:rPr>
        <w:t>供应商全称</w:t>
      </w:r>
      <w:r>
        <w:rPr>
          <w:rFonts w:hint="eastAsia" w:ascii="宋体" w:hAnsi="宋体" w:cs="宋体"/>
          <w:spacing w:val="6"/>
          <w:sz w:val="24"/>
          <w:highlight w:val="none"/>
        </w:rPr>
        <w:t>（盖章）：</w:t>
      </w:r>
    </w:p>
    <w:p>
      <w:pPr>
        <w:spacing w:line="480" w:lineRule="auto"/>
        <w:ind w:firstLine="5292" w:firstLineChars="2100"/>
        <w:rPr>
          <w:rFonts w:ascii="宋体" w:cs="宋体"/>
          <w:spacing w:val="6"/>
          <w:sz w:val="24"/>
          <w:highlight w:val="none"/>
        </w:rPr>
      </w:pPr>
      <w:r>
        <w:rPr>
          <w:rFonts w:hint="eastAsia" w:ascii="宋体" w:hAnsi="宋体" w:cs="宋体"/>
          <w:spacing w:val="6"/>
          <w:sz w:val="24"/>
          <w:highlight w:val="none"/>
        </w:rPr>
        <w:t>日</w:t>
      </w:r>
      <w:r>
        <w:rPr>
          <w:rFonts w:ascii="宋体" w:hAnsi="宋体" w:cs="宋体"/>
          <w:spacing w:val="6"/>
          <w:sz w:val="24"/>
          <w:highlight w:val="none"/>
        </w:rPr>
        <w:t xml:space="preserve">  </w:t>
      </w:r>
      <w:r>
        <w:rPr>
          <w:rFonts w:hint="eastAsia" w:ascii="宋体" w:hAnsi="宋体" w:cs="宋体"/>
          <w:spacing w:val="6"/>
          <w:sz w:val="24"/>
          <w:highlight w:val="none"/>
        </w:rPr>
        <w:t>期：</w:t>
      </w:r>
      <w:r>
        <w:rPr>
          <w:rFonts w:ascii="宋体" w:hAnsi="宋体" w:cs="宋体"/>
          <w:spacing w:val="6"/>
          <w:sz w:val="24"/>
          <w:highlight w:val="none"/>
        </w:rPr>
        <w:t xml:space="preserve"> </w:t>
      </w:r>
      <w:r>
        <w:rPr>
          <w:rFonts w:hint="eastAsia" w:ascii="宋体" w:hAnsi="宋体" w:cs="宋体"/>
          <w:spacing w:val="6"/>
          <w:sz w:val="24"/>
          <w:highlight w:val="none"/>
        </w:rPr>
        <w:t>年</w:t>
      </w:r>
      <w:r>
        <w:rPr>
          <w:rFonts w:ascii="宋体" w:hAnsi="宋体" w:cs="宋体"/>
          <w:spacing w:val="6"/>
          <w:sz w:val="24"/>
          <w:highlight w:val="none"/>
        </w:rPr>
        <w:t xml:space="preserve"> </w:t>
      </w:r>
      <w:r>
        <w:rPr>
          <w:rFonts w:hint="eastAsia" w:ascii="宋体" w:hAnsi="宋体" w:cs="宋体"/>
          <w:spacing w:val="6"/>
          <w:sz w:val="24"/>
          <w:highlight w:val="none"/>
        </w:rPr>
        <w:t>月</w:t>
      </w:r>
      <w:r>
        <w:rPr>
          <w:rFonts w:ascii="宋体" w:hAnsi="宋体" w:cs="宋体"/>
          <w:spacing w:val="6"/>
          <w:sz w:val="24"/>
          <w:highlight w:val="none"/>
        </w:rPr>
        <w:t xml:space="preserve"> </w:t>
      </w:r>
      <w:r>
        <w:rPr>
          <w:rFonts w:hint="eastAsia" w:ascii="宋体" w:hAnsi="宋体" w:cs="宋体"/>
          <w:spacing w:val="6"/>
          <w:sz w:val="24"/>
          <w:highlight w:val="none"/>
        </w:rPr>
        <w:t>日</w:t>
      </w:r>
    </w:p>
    <w:p>
      <w:pPr>
        <w:spacing w:line="480" w:lineRule="auto"/>
        <w:rPr>
          <w:rFonts w:ascii="宋体"/>
          <w:b/>
          <w:kern w:val="0"/>
          <w:sz w:val="24"/>
          <w:highlight w:val="none"/>
        </w:rPr>
      </w:pPr>
      <w:r>
        <w:rPr>
          <w:rFonts w:ascii="宋体" w:cs="宋体"/>
          <w:spacing w:val="6"/>
          <w:sz w:val="24"/>
          <w:highlight w:val="none"/>
        </w:rPr>
        <w:br w:type="page"/>
      </w:r>
      <w:r>
        <w:rPr>
          <w:rFonts w:hint="eastAsia" w:ascii="宋体" w:hAnsi="宋体"/>
          <w:b/>
          <w:kern w:val="0"/>
          <w:sz w:val="24"/>
          <w:highlight w:val="none"/>
        </w:rPr>
        <w:t>附件二：</w:t>
      </w:r>
    </w:p>
    <w:p>
      <w:pPr>
        <w:spacing w:line="480" w:lineRule="auto"/>
        <w:ind w:firstLine="3541" w:firstLineChars="1400"/>
        <w:rPr>
          <w:rFonts w:ascii="宋体"/>
          <w:b/>
          <w:kern w:val="0"/>
          <w:sz w:val="24"/>
          <w:highlight w:val="none"/>
        </w:rPr>
      </w:pPr>
      <w:r>
        <w:rPr>
          <w:rFonts w:hint="eastAsia" w:ascii="宋体" w:hAnsi="宋体" w:cs="宋体"/>
          <w:b/>
          <w:spacing w:val="6"/>
          <w:sz w:val="24"/>
          <w:highlight w:val="none"/>
        </w:rPr>
        <w:t>中小企业声明函</w:t>
      </w:r>
    </w:p>
    <w:p>
      <w:pPr>
        <w:spacing w:line="480" w:lineRule="auto"/>
        <w:ind w:firstLine="504" w:firstLineChars="200"/>
        <w:jc w:val="left"/>
        <w:rPr>
          <w:rFonts w:ascii="宋体" w:cs="宋体"/>
          <w:spacing w:val="6"/>
          <w:sz w:val="24"/>
          <w:highlight w:val="none"/>
        </w:rPr>
      </w:pPr>
      <w:r>
        <w:rPr>
          <w:rFonts w:hint="eastAsia" w:ascii="宋体" w:hAnsi="宋体" w:cs="宋体"/>
          <w:spacing w:val="6"/>
          <w:sz w:val="24"/>
          <w:highlight w:val="none"/>
        </w:rPr>
        <w:t>本公司郑重声明，根据《政府采购促进中小企业发展暂行办法》（财库</w:t>
      </w:r>
      <w:r>
        <w:rPr>
          <w:rFonts w:ascii="宋体" w:hAnsi="宋体" w:cs="宋体"/>
          <w:spacing w:val="6"/>
          <w:sz w:val="24"/>
          <w:highlight w:val="none"/>
        </w:rPr>
        <w:t>[2011]181</w:t>
      </w:r>
      <w:r>
        <w:rPr>
          <w:rFonts w:hint="eastAsia" w:ascii="宋体" w:hAnsi="宋体" w:cs="宋体"/>
          <w:spacing w:val="6"/>
          <w:sz w:val="24"/>
          <w:highlight w:val="none"/>
        </w:rPr>
        <w:t>号）的规定，本公司为</w:t>
      </w:r>
      <w:r>
        <w:rPr>
          <w:rFonts w:ascii="宋体" w:hAnsi="宋体" w:cs="宋体"/>
          <w:spacing w:val="6"/>
          <w:sz w:val="24"/>
          <w:highlight w:val="none"/>
        </w:rPr>
        <w:t>______</w:t>
      </w:r>
      <w:r>
        <w:rPr>
          <w:rFonts w:hint="eastAsia" w:ascii="宋体" w:hAnsi="宋体" w:cs="宋体"/>
          <w:spacing w:val="6"/>
          <w:sz w:val="24"/>
          <w:highlight w:val="none"/>
        </w:rPr>
        <w:t>（请填写：中型、小型、微型）企业。即，本公司同时满足以下条件：</w:t>
      </w:r>
    </w:p>
    <w:p>
      <w:pPr>
        <w:spacing w:line="480" w:lineRule="auto"/>
        <w:ind w:firstLine="504" w:firstLineChars="200"/>
        <w:jc w:val="left"/>
        <w:rPr>
          <w:rFonts w:ascii="宋体" w:cs="宋体"/>
          <w:spacing w:val="6"/>
          <w:sz w:val="24"/>
          <w:highlight w:val="none"/>
        </w:rPr>
      </w:pPr>
      <w:r>
        <w:rPr>
          <w:rFonts w:ascii="宋体" w:hAnsi="宋体" w:cs="宋体"/>
          <w:spacing w:val="6"/>
          <w:sz w:val="24"/>
          <w:highlight w:val="none"/>
        </w:rPr>
        <w:t>1.</w:t>
      </w:r>
      <w:r>
        <w:rPr>
          <w:rFonts w:hint="eastAsia" w:ascii="宋体" w:hAnsi="宋体" w:cs="宋体"/>
          <w:spacing w:val="6"/>
          <w:sz w:val="24"/>
          <w:highlight w:val="none"/>
        </w:rPr>
        <w:t>根据《工业和信息化部、国家统计局、国家发展和改革委员会、财政部关于印发中小企业划型标准规定的通知》（工信部联企业</w:t>
      </w:r>
      <w:r>
        <w:rPr>
          <w:rFonts w:ascii="宋体" w:hAnsi="宋体" w:cs="宋体"/>
          <w:spacing w:val="6"/>
          <w:sz w:val="24"/>
          <w:highlight w:val="none"/>
        </w:rPr>
        <w:t>[2011]300</w:t>
      </w:r>
      <w:r>
        <w:rPr>
          <w:rFonts w:hint="eastAsia" w:ascii="宋体" w:hAnsi="宋体" w:cs="宋体"/>
          <w:spacing w:val="6"/>
          <w:sz w:val="24"/>
          <w:highlight w:val="none"/>
        </w:rPr>
        <w:t>号）规定的划分标准，本公司为</w:t>
      </w:r>
      <w:r>
        <w:rPr>
          <w:rFonts w:ascii="宋体" w:hAnsi="宋体" w:cs="宋体"/>
          <w:spacing w:val="6"/>
          <w:sz w:val="24"/>
          <w:highlight w:val="none"/>
        </w:rPr>
        <w:t>______</w:t>
      </w:r>
      <w:r>
        <w:rPr>
          <w:rFonts w:hint="eastAsia" w:ascii="宋体" w:hAnsi="宋体" w:cs="宋体"/>
          <w:spacing w:val="6"/>
          <w:sz w:val="24"/>
          <w:highlight w:val="none"/>
        </w:rPr>
        <w:t>（请填写：中型、小型、微型）企业。</w:t>
      </w:r>
    </w:p>
    <w:p>
      <w:pPr>
        <w:spacing w:line="480" w:lineRule="auto"/>
        <w:ind w:firstLine="504" w:firstLineChars="200"/>
        <w:jc w:val="left"/>
        <w:rPr>
          <w:rFonts w:ascii="宋体" w:cs="宋体"/>
          <w:spacing w:val="6"/>
          <w:sz w:val="24"/>
          <w:highlight w:val="none"/>
        </w:rPr>
      </w:pPr>
      <w:r>
        <w:rPr>
          <w:rFonts w:ascii="宋体" w:hAnsi="宋体" w:cs="宋体"/>
          <w:spacing w:val="6"/>
          <w:sz w:val="24"/>
          <w:highlight w:val="none"/>
        </w:rPr>
        <w:t>2.</w:t>
      </w:r>
      <w:r>
        <w:rPr>
          <w:rFonts w:hint="eastAsia" w:ascii="宋体" w:hAnsi="宋体" w:cs="宋体"/>
          <w:spacing w:val="6"/>
          <w:sz w:val="24"/>
          <w:highlight w:val="none"/>
        </w:rPr>
        <w:t>本公司参加</w:t>
      </w:r>
      <w:r>
        <w:rPr>
          <w:rFonts w:ascii="宋体" w:hAnsi="宋体" w:cs="宋体"/>
          <w:spacing w:val="6"/>
          <w:sz w:val="24"/>
          <w:highlight w:val="none"/>
        </w:rPr>
        <w:t>______</w:t>
      </w:r>
      <w:r>
        <w:rPr>
          <w:rFonts w:hint="eastAsia" w:ascii="宋体" w:hAnsi="宋体" w:cs="宋体"/>
          <w:spacing w:val="6"/>
          <w:sz w:val="24"/>
          <w:highlight w:val="none"/>
        </w:rPr>
        <w:t>单位的</w:t>
      </w:r>
      <w:r>
        <w:rPr>
          <w:rFonts w:ascii="宋体" w:hAnsi="宋体" w:cs="宋体"/>
          <w:spacing w:val="6"/>
          <w:sz w:val="24"/>
          <w:highlight w:val="none"/>
        </w:rPr>
        <w:t>______</w:t>
      </w:r>
      <w:r>
        <w:rPr>
          <w:rFonts w:hint="eastAsia" w:ascii="宋体" w:hAnsi="宋体" w:cs="宋体"/>
          <w:spacing w:val="6"/>
          <w:sz w:val="24"/>
          <w:highlight w:val="none"/>
        </w:rPr>
        <w:t>项目采购活动提供本企业制造的货物，由本企业承担工程、提供服务，或者提供其他</w:t>
      </w:r>
      <w:r>
        <w:rPr>
          <w:rFonts w:ascii="宋体" w:hAnsi="宋体" w:cs="宋体"/>
          <w:spacing w:val="6"/>
          <w:sz w:val="24"/>
          <w:highlight w:val="none"/>
        </w:rPr>
        <w:t>______</w:t>
      </w:r>
      <w:r>
        <w:rPr>
          <w:rFonts w:hint="eastAsia" w:ascii="宋体" w:hAnsi="宋体" w:cs="宋体"/>
          <w:spacing w:val="6"/>
          <w:sz w:val="24"/>
          <w:highlight w:val="none"/>
        </w:rPr>
        <w:t>（请填写：中型、小型、微型）企业制造的货物。本条所称货物不包括使用大型企业注册商标的货物。</w:t>
      </w:r>
    </w:p>
    <w:p>
      <w:pPr>
        <w:spacing w:line="480" w:lineRule="auto"/>
        <w:ind w:firstLine="504" w:firstLineChars="200"/>
        <w:jc w:val="left"/>
        <w:rPr>
          <w:rFonts w:ascii="宋体" w:cs="宋体"/>
          <w:spacing w:val="6"/>
          <w:sz w:val="24"/>
          <w:highlight w:val="none"/>
        </w:rPr>
      </w:pPr>
      <w:r>
        <w:rPr>
          <w:rFonts w:hint="eastAsia" w:ascii="宋体" w:hAnsi="宋体" w:cs="宋体"/>
          <w:spacing w:val="6"/>
          <w:sz w:val="24"/>
          <w:highlight w:val="none"/>
        </w:rPr>
        <w:t>本公司对上述声明的真实性负责。如有虚假，将依法承担相应责任。</w:t>
      </w:r>
    </w:p>
    <w:p>
      <w:pPr>
        <w:spacing w:line="480" w:lineRule="auto"/>
        <w:ind w:firstLine="5280" w:firstLineChars="2200"/>
        <w:jc w:val="left"/>
        <w:rPr>
          <w:rFonts w:ascii="宋体" w:cs="宋体"/>
          <w:spacing w:val="6"/>
          <w:sz w:val="24"/>
          <w:highlight w:val="none"/>
        </w:rPr>
      </w:pPr>
      <w:r>
        <w:rPr>
          <w:rFonts w:hint="eastAsia" w:ascii="宋体" w:hAnsi="宋体"/>
          <w:sz w:val="24"/>
          <w:highlight w:val="none"/>
        </w:rPr>
        <w:t>供应商全称</w:t>
      </w:r>
      <w:r>
        <w:rPr>
          <w:rFonts w:hint="eastAsia" w:ascii="宋体" w:hAnsi="宋体" w:cs="宋体"/>
          <w:spacing w:val="6"/>
          <w:sz w:val="24"/>
          <w:highlight w:val="none"/>
        </w:rPr>
        <w:t>（盖章）：</w:t>
      </w:r>
    </w:p>
    <w:p>
      <w:pPr>
        <w:spacing w:line="480" w:lineRule="auto"/>
        <w:ind w:firstLine="5292" w:firstLineChars="2100"/>
        <w:jc w:val="left"/>
        <w:rPr>
          <w:rFonts w:ascii="宋体"/>
          <w:b/>
          <w:kern w:val="0"/>
          <w:sz w:val="24"/>
          <w:highlight w:val="none"/>
        </w:rPr>
      </w:pPr>
      <w:r>
        <w:rPr>
          <w:rFonts w:hint="eastAsia" w:ascii="宋体" w:hAnsi="宋体" w:cs="宋体"/>
          <w:spacing w:val="6"/>
          <w:sz w:val="24"/>
          <w:highlight w:val="none"/>
        </w:rPr>
        <w:t>日</w:t>
      </w:r>
      <w:r>
        <w:rPr>
          <w:rFonts w:ascii="宋体" w:hAnsi="宋体" w:cs="宋体"/>
          <w:spacing w:val="6"/>
          <w:sz w:val="24"/>
          <w:highlight w:val="none"/>
        </w:rPr>
        <w:t xml:space="preserve">  </w:t>
      </w:r>
      <w:r>
        <w:rPr>
          <w:rFonts w:hint="eastAsia" w:ascii="宋体" w:hAnsi="宋体" w:cs="宋体"/>
          <w:spacing w:val="6"/>
          <w:sz w:val="24"/>
          <w:highlight w:val="none"/>
        </w:rPr>
        <w:t>期：</w:t>
      </w:r>
      <w:r>
        <w:rPr>
          <w:rFonts w:ascii="宋体" w:hAnsi="宋体" w:cs="宋体"/>
          <w:spacing w:val="6"/>
          <w:sz w:val="24"/>
          <w:highlight w:val="none"/>
        </w:rPr>
        <w:t xml:space="preserve"> </w:t>
      </w:r>
      <w:r>
        <w:rPr>
          <w:rFonts w:hint="eastAsia" w:ascii="宋体" w:hAnsi="宋体" w:cs="宋体"/>
          <w:spacing w:val="6"/>
          <w:sz w:val="24"/>
          <w:highlight w:val="none"/>
        </w:rPr>
        <w:t>年</w:t>
      </w:r>
      <w:r>
        <w:rPr>
          <w:rFonts w:ascii="宋体" w:hAnsi="宋体" w:cs="宋体"/>
          <w:spacing w:val="6"/>
          <w:sz w:val="24"/>
          <w:highlight w:val="none"/>
        </w:rPr>
        <w:t xml:space="preserve"> </w:t>
      </w:r>
      <w:r>
        <w:rPr>
          <w:rFonts w:hint="eastAsia" w:ascii="宋体" w:hAnsi="宋体" w:cs="宋体"/>
          <w:spacing w:val="6"/>
          <w:sz w:val="24"/>
          <w:highlight w:val="none"/>
        </w:rPr>
        <w:t>月</w:t>
      </w:r>
      <w:r>
        <w:rPr>
          <w:rFonts w:ascii="宋体" w:hAnsi="宋体" w:cs="宋体"/>
          <w:spacing w:val="6"/>
          <w:sz w:val="24"/>
          <w:highlight w:val="none"/>
        </w:rPr>
        <w:t xml:space="preserve"> </w:t>
      </w:r>
      <w:r>
        <w:rPr>
          <w:rFonts w:hint="eastAsia" w:ascii="宋体" w:hAnsi="宋体" w:cs="宋体"/>
          <w:spacing w:val="6"/>
          <w:sz w:val="24"/>
          <w:highlight w:val="none"/>
        </w:rPr>
        <w:t>日</w:t>
      </w:r>
    </w:p>
    <w:p>
      <w:pPr>
        <w:spacing w:line="360" w:lineRule="auto"/>
        <w:jc w:val="center"/>
        <w:rPr>
          <w:rFonts w:ascii="宋体" w:cs="宋体"/>
          <w:b/>
          <w:bCs/>
          <w:sz w:val="30"/>
          <w:szCs w:val="30"/>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jc w:val="left"/>
        <w:rPr>
          <w:rFonts w:ascii="宋体" w:hAnsi="宋体"/>
          <w:b/>
          <w:kern w:val="0"/>
          <w:sz w:val="24"/>
          <w:highlight w:val="none"/>
        </w:rPr>
      </w:pPr>
      <w:r>
        <w:rPr>
          <w:rFonts w:hint="eastAsia" w:ascii="宋体" w:hAnsi="宋体"/>
          <w:b/>
          <w:kern w:val="0"/>
          <w:sz w:val="24"/>
          <w:highlight w:val="none"/>
        </w:rPr>
        <w:t>附件三：</w:t>
      </w:r>
    </w:p>
    <w:p>
      <w:pPr>
        <w:spacing w:line="480" w:lineRule="auto"/>
        <w:ind w:firstLine="3541" w:firstLineChars="1400"/>
        <w:rPr>
          <w:rFonts w:ascii="宋体" w:cs="宋体"/>
          <w:b/>
          <w:spacing w:val="6"/>
          <w:sz w:val="24"/>
          <w:highlight w:val="none"/>
        </w:rPr>
      </w:pPr>
      <w:r>
        <w:rPr>
          <w:rFonts w:hint="eastAsia" w:ascii="宋体" w:hAnsi="宋体" w:cs="宋体"/>
          <w:b/>
          <w:spacing w:val="6"/>
          <w:sz w:val="24"/>
          <w:highlight w:val="none"/>
        </w:rPr>
        <w:t>投标人企业关系关联承诺书</w:t>
      </w:r>
    </w:p>
    <w:p>
      <w:pPr>
        <w:autoSpaceDE w:val="0"/>
        <w:autoSpaceDN w:val="0"/>
        <w:adjustRightInd w:val="0"/>
        <w:spacing w:line="360" w:lineRule="auto"/>
        <w:ind w:firstLine="480" w:firstLineChars="200"/>
        <w:rPr>
          <w:rFonts w:ascii="宋体"/>
          <w:sz w:val="24"/>
          <w:highlight w:val="none"/>
        </w:rPr>
      </w:pPr>
    </w:p>
    <w:p>
      <w:pPr>
        <w:autoSpaceDE w:val="0"/>
        <w:autoSpaceDN w:val="0"/>
        <w:adjustRightInd w:val="0"/>
        <w:spacing w:line="360" w:lineRule="auto"/>
        <w:ind w:firstLine="480" w:firstLineChars="200"/>
        <w:rPr>
          <w:rFonts w:ascii="宋体"/>
          <w:sz w:val="24"/>
          <w:highlight w:val="none"/>
        </w:rPr>
      </w:pPr>
      <w:r>
        <w:rPr>
          <w:rFonts w:ascii="宋体" w:hAnsi="宋体"/>
          <w:sz w:val="24"/>
          <w:highlight w:val="none"/>
        </w:rPr>
        <w:t>1</w:t>
      </w:r>
      <w:r>
        <w:rPr>
          <w:rFonts w:hint="eastAsia" w:ascii="宋体" w:hAnsi="宋体"/>
          <w:sz w:val="24"/>
          <w:highlight w:val="none"/>
        </w:rPr>
        <w:t>、投标人在本项目投标中，不存在与其它投标人负责人为同一人，有控股、管理等关联关系承诺。</w:t>
      </w:r>
    </w:p>
    <w:p>
      <w:pPr>
        <w:autoSpaceDE w:val="0"/>
        <w:autoSpaceDN w:val="0"/>
        <w:adjustRightInd w:val="0"/>
        <w:spacing w:line="360" w:lineRule="auto"/>
        <w:ind w:firstLine="480" w:firstLineChars="200"/>
        <w:rPr>
          <w:rFonts w:ascii="宋体"/>
          <w:sz w:val="24"/>
          <w:highlight w:val="none"/>
        </w:rPr>
      </w:pPr>
      <w:r>
        <w:rPr>
          <w:rFonts w:ascii="宋体" w:hAnsi="宋体"/>
          <w:sz w:val="24"/>
          <w:highlight w:val="none"/>
        </w:rPr>
        <w:t>1-1</w:t>
      </w:r>
      <w:r>
        <w:rPr>
          <w:rFonts w:hint="eastAsia" w:ascii="宋体" w:hAnsi="宋体"/>
          <w:sz w:val="24"/>
          <w:highlight w:val="none"/>
        </w:rPr>
        <w:t>、管理关系说明：</w:t>
      </w:r>
    </w:p>
    <w:p>
      <w:pPr>
        <w:autoSpaceDE w:val="0"/>
        <w:autoSpaceDN w:val="0"/>
        <w:adjustRightInd w:val="0"/>
        <w:spacing w:line="360" w:lineRule="auto"/>
        <w:ind w:firstLine="480" w:firstLineChars="200"/>
        <w:rPr>
          <w:rFonts w:ascii="宋体"/>
          <w:sz w:val="24"/>
          <w:highlight w:val="none"/>
        </w:rPr>
      </w:pPr>
      <w:r>
        <w:rPr>
          <w:rFonts w:hint="eastAsia" w:ascii="宋体" w:hAnsi="宋体"/>
          <w:sz w:val="24"/>
          <w:highlight w:val="none"/>
        </w:rPr>
        <w:t>我单位管理的具有独立法人的下属单位有：</w:t>
      </w:r>
      <w:r>
        <w:rPr>
          <w:rFonts w:ascii="宋体" w:hAnsi="宋体"/>
          <w:sz w:val="24"/>
          <w:highlight w:val="none"/>
          <w:u w:val="single"/>
        </w:rPr>
        <w:t xml:space="preserve">              </w:t>
      </w:r>
      <w:r>
        <w:rPr>
          <w:rFonts w:hint="eastAsia" w:ascii="宋体" w:hAnsi="宋体"/>
          <w:sz w:val="24"/>
          <w:highlight w:val="none"/>
        </w:rPr>
        <w:t>。</w:t>
      </w:r>
    </w:p>
    <w:p>
      <w:pPr>
        <w:autoSpaceDE w:val="0"/>
        <w:autoSpaceDN w:val="0"/>
        <w:adjustRightInd w:val="0"/>
        <w:spacing w:line="360" w:lineRule="auto"/>
        <w:ind w:firstLine="480" w:firstLineChars="200"/>
        <w:rPr>
          <w:rFonts w:ascii="宋体"/>
          <w:sz w:val="24"/>
          <w:highlight w:val="none"/>
        </w:rPr>
      </w:pPr>
      <w:r>
        <w:rPr>
          <w:rFonts w:hint="eastAsia" w:ascii="宋体" w:hAnsi="宋体"/>
          <w:sz w:val="24"/>
          <w:highlight w:val="none"/>
        </w:rPr>
        <w:t>我单位的上级管理单位有</w:t>
      </w:r>
      <w:r>
        <w:rPr>
          <w:rFonts w:ascii="宋体" w:hAnsi="宋体"/>
          <w:sz w:val="24"/>
          <w:highlight w:val="none"/>
          <w:u w:val="single"/>
        </w:rPr>
        <w:t xml:space="preserve">              </w:t>
      </w:r>
      <w:r>
        <w:rPr>
          <w:rFonts w:hint="eastAsia" w:ascii="宋体" w:hAnsi="宋体"/>
          <w:sz w:val="24"/>
          <w:highlight w:val="none"/>
        </w:rPr>
        <w:t>。</w:t>
      </w:r>
    </w:p>
    <w:p>
      <w:pPr>
        <w:autoSpaceDE w:val="0"/>
        <w:autoSpaceDN w:val="0"/>
        <w:adjustRightInd w:val="0"/>
        <w:spacing w:line="360" w:lineRule="auto"/>
        <w:ind w:firstLine="480" w:firstLineChars="200"/>
        <w:rPr>
          <w:rFonts w:ascii="宋体"/>
          <w:sz w:val="24"/>
          <w:highlight w:val="none"/>
        </w:rPr>
      </w:pPr>
      <w:r>
        <w:rPr>
          <w:rFonts w:ascii="宋体" w:hAnsi="宋体"/>
          <w:sz w:val="24"/>
          <w:highlight w:val="none"/>
        </w:rPr>
        <w:t>1-2</w:t>
      </w:r>
      <w:r>
        <w:rPr>
          <w:rFonts w:hint="eastAsia" w:ascii="宋体" w:hAnsi="宋体"/>
          <w:sz w:val="24"/>
          <w:highlight w:val="none"/>
        </w:rPr>
        <w:t>、股权关系说明：</w:t>
      </w:r>
    </w:p>
    <w:p>
      <w:pPr>
        <w:autoSpaceDE w:val="0"/>
        <w:autoSpaceDN w:val="0"/>
        <w:adjustRightInd w:val="0"/>
        <w:spacing w:line="360" w:lineRule="auto"/>
        <w:ind w:firstLine="480" w:firstLineChars="200"/>
        <w:rPr>
          <w:rFonts w:ascii="宋体"/>
          <w:sz w:val="24"/>
          <w:highlight w:val="none"/>
        </w:rPr>
      </w:pPr>
      <w:r>
        <w:rPr>
          <w:rFonts w:hint="eastAsia" w:ascii="宋体" w:hAnsi="宋体"/>
          <w:sz w:val="24"/>
          <w:highlight w:val="none"/>
        </w:rPr>
        <w:t>我单位控股的单位有</w:t>
      </w:r>
      <w:r>
        <w:rPr>
          <w:rFonts w:ascii="宋体" w:hAnsi="宋体"/>
          <w:sz w:val="24"/>
          <w:highlight w:val="none"/>
          <w:u w:val="single"/>
        </w:rPr>
        <w:t xml:space="preserve">              </w:t>
      </w:r>
      <w:r>
        <w:rPr>
          <w:rFonts w:hint="eastAsia" w:ascii="宋体" w:hAnsi="宋体"/>
          <w:sz w:val="24"/>
          <w:highlight w:val="none"/>
        </w:rPr>
        <w:t>。</w:t>
      </w:r>
    </w:p>
    <w:p>
      <w:pPr>
        <w:autoSpaceDE w:val="0"/>
        <w:autoSpaceDN w:val="0"/>
        <w:adjustRightInd w:val="0"/>
        <w:spacing w:line="360" w:lineRule="auto"/>
        <w:ind w:firstLine="480" w:firstLineChars="200"/>
        <w:rPr>
          <w:rFonts w:ascii="宋体"/>
          <w:sz w:val="24"/>
          <w:highlight w:val="none"/>
        </w:rPr>
      </w:pPr>
      <w:r>
        <w:rPr>
          <w:rFonts w:hint="eastAsia" w:ascii="宋体" w:hAnsi="宋体"/>
          <w:sz w:val="24"/>
          <w:highlight w:val="none"/>
        </w:rPr>
        <w:t>我单位被</w:t>
      </w:r>
      <w:r>
        <w:rPr>
          <w:rFonts w:ascii="宋体" w:hAnsi="宋体"/>
          <w:sz w:val="24"/>
          <w:highlight w:val="none"/>
          <w:u w:val="single"/>
        </w:rPr>
        <w:t xml:space="preserve">              </w:t>
      </w:r>
      <w:r>
        <w:rPr>
          <w:rFonts w:hint="eastAsia" w:ascii="宋体" w:hAnsi="宋体"/>
          <w:sz w:val="24"/>
          <w:highlight w:val="none"/>
        </w:rPr>
        <w:t>单位控股。</w:t>
      </w:r>
    </w:p>
    <w:p>
      <w:pPr>
        <w:autoSpaceDE w:val="0"/>
        <w:autoSpaceDN w:val="0"/>
        <w:adjustRightInd w:val="0"/>
        <w:spacing w:line="360" w:lineRule="auto"/>
        <w:ind w:firstLine="480" w:firstLineChars="200"/>
        <w:rPr>
          <w:rFonts w:ascii="宋体"/>
          <w:sz w:val="24"/>
          <w:highlight w:val="none"/>
        </w:rPr>
      </w:pPr>
      <w:r>
        <w:rPr>
          <w:rFonts w:ascii="宋体" w:hAnsi="宋体"/>
          <w:sz w:val="24"/>
          <w:highlight w:val="none"/>
        </w:rPr>
        <w:t>1-3</w:t>
      </w:r>
      <w:r>
        <w:rPr>
          <w:rFonts w:hint="eastAsia" w:ascii="宋体" w:hAnsi="宋体"/>
          <w:sz w:val="24"/>
          <w:highlight w:val="none"/>
        </w:rPr>
        <w:t>、单位负责人：</w:t>
      </w:r>
    </w:p>
    <w:p>
      <w:pPr>
        <w:autoSpaceDE w:val="0"/>
        <w:autoSpaceDN w:val="0"/>
        <w:adjustRightInd w:val="0"/>
        <w:spacing w:line="360" w:lineRule="auto"/>
        <w:ind w:firstLine="480" w:firstLineChars="200"/>
        <w:rPr>
          <w:rFonts w:ascii="宋体"/>
          <w:sz w:val="24"/>
          <w:highlight w:val="none"/>
        </w:rPr>
      </w:pPr>
      <w:r>
        <w:rPr>
          <w:rFonts w:ascii="宋体" w:hAnsi="宋体"/>
          <w:sz w:val="24"/>
          <w:highlight w:val="none"/>
        </w:rPr>
        <w:t>2</w:t>
      </w:r>
      <w:r>
        <w:rPr>
          <w:rFonts w:hint="eastAsia" w:ascii="宋体" w:hAnsi="宋体"/>
          <w:sz w:val="24"/>
          <w:highlight w:val="none"/>
        </w:rPr>
        <w:t>、其他与本项目有关的利害关系说明：</w:t>
      </w:r>
    </w:p>
    <w:p>
      <w:pPr>
        <w:autoSpaceDE w:val="0"/>
        <w:autoSpaceDN w:val="0"/>
        <w:adjustRightInd w:val="0"/>
        <w:spacing w:line="360" w:lineRule="auto"/>
        <w:ind w:firstLine="480" w:firstLineChars="200"/>
        <w:rPr>
          <w:rFonts w:ascii="宋体"/>
          <w:sz w:val="24"/>
          <w:highlight w:val="none"/>
        </w:rPr>
      </w:pPr>
    </w:p>
    <w:p>
      <w:pPr>
        <w:autoSpaceDE w:val="0"/>
        <w:autoSpaceDN w:val="0"/>
        <w:adjustRightInd w:val="0"/>
        <w:spacing w:line="360" w:lineRule="auto"/>
        <w:ind w:firstLine="480" w:firstLineChars="200"/>
        <w:rPr>
          <w:rFonts w:ascii="宋体"/>
          <w:sz w:val="24"/>
          <w:highlight w:val="none"/>
        </w:rPr>
      </w:pPr>
      <w:r>
        <w:rPr>
          <w:rFonts w:hint="eastAsia" w:ascii="宋体" w:hAnsi="宋体"/>
          <w:sz w:val="24"/>
          <w:highlight w:val="none"/>
        </w:rPr>
        <w:t>我单位承诺以上说明真实有效，无虚假内容或隐瞒。</w:t>
      </w:r>
    </w:p>
    <w:p>
      <w:pPr>
        <w:spacing w:line="360" w:lineRule="auto"/>
        <w:ind w:firstLine="4320" w:firstLineChars="1800"/>
        <w:rPr>
          <w:rFonts w:ascii="宋体"/>
          <w:sz w:val="24"/>
          <w:highlight w:val="none"/>
        </w:rPr>
      </w:pPr>
    </w:p>
    <w:p>
      <w:pPr>
        <w:spacing w:line="360" w:lineRule="auto"/>
        <w:ind w:firstLine="472" w:firstLineChars="196"/>
        <w:rPr>
          <w:rFonts w:ascii="宋体"/>
          <w:sz w:val="24"/>
          <w:highlight w:val="none"/>
        </w:rPr>
      </w:pPr>
      <w:r>
        <w:rPr>
          <w:rFonts w:hint="eastAsia" w:ascii="宋体" w:hAnsi="宋体" w:cs="宋体"/>
          <w:b/>
          <w:kern w:val="0"/>
          <w:sz w:val="24"/>
          <w:highlight w:val="none"/>
          <w:lang w:val="zh-CN"/>
        </w:rPr>
        <w:t>备注：如果被举报经查实出具虚假承诺函的，将被取消投标资格，并按有关规定予以处理。</w:t>
      </w:r>
    </w:p>
    <w:p>
      <w:pPr>
        <w:spacing w:line="360" w:lineRule="auto"/>
        <w:ind w:firstLine="4320" w:firstLineChars="1800"/>
        <w:rPr>
          <w:rFonts w:ascii="宋体"/>
          <w:sz w:val="24"/>
          <w:highlight w:val="none"/>
        </w:rPr>
      </w:pPr>
    </w:p>
    <w:p>
      <w:pPr>
        <w:spacing w:line="360" w:lineRule="auto"/>
        <w:ind w:firstLine="4320" w:firstLineChars="1800"/>
        <w:rPr>
          <w:rFonts w:ascii="宋体"/>
          <w:sz w:val="24"/>
          <w:highlight w:val="none"/>
        </w:rPr>
      </w:pPr>
    </w:p>
    <w:p>
      <w:pPr>
        <w:spacing w:line="360" w:lineRule="auto"/>
        <w:ind w:firstLine="4759" w:firstLineChars="1983"/>
        <w:rPr>
          <w:rFonts w:ascii="宋体"/>
          <w:sz w:val="24"/>
          <w:szCs w:val="28"/>
          <w:highlight w:val="none"/>
        </w:rPr>
      </w:pPr>
      <w:r>
        <w:rPr>
          <w:rFonts w:hint="eastAsia" w:ascii="宋体" w:hAnsi="宋体"/>
          <w:sz w:val="24"/>
          <w:szCs w:val="28"/>
          <w:highlight w:val="none"/>
        </w:rPr>
        <w:t>供应商全称</w:t>
      </w:r>
      <w:r>
        <w:rPr>
          <w:rFonts w:ascii="宋体" w:hAnsi="宋体"/>
          <w:sz w:val="24"/>
          <w:szCs w:val="28"/>
          <w:highlight w:val="none"/>
        </w:rPr>
        <w:t>(</w:t>
      </w:r>
      <w:r>
        <w:rPr>
          <w:rFonts w:hint="eastAsia" w:ascii="宋体" w:hAnsi="宋体"/>
          <w:sz w:val="24"/>
          <w:szCs w:val="28"/>
          <w:highlight w:val="none"/>
        </w:rPr>
        <w:t>盖章</w:t>
      </w:r>
      <w:r>
        <w:rPr>
          <w:rFonts w:ascii="宋体" w:hAnsi="宋体"/>
          <w:sz w:val="24"/>
          <w:szCs w:val="28"/>
          <w:highlight w:val="none"/>
        </w:rPr>
        <w:t>)</w:t>
      </w:r>
      <w:r>
        <w:rPr>
          <w:rFonts w:hint="eastAsia" w:ascii="宋体" w:hAnsi="宋体"/>
          <w:sz w:val="24"/>
          <w:szCs w:val="28"/>
          <w:highlight w:val="none"/>
        </w:rPr>
        <w:t>：</w:t>
      </w:r>
    </w:p>
    <w:p>
      <w:pPr>
        <w:spacing w:line="360" w:lineRule="auto"/>
        <w:ind w:firstLine="4759" w:firstLineChars="1983"/>
        <w:rPr>
          <w:rFonts w:ascii="宋体"/>
          <w:sz w:val="24"/>
          <w:szCs w:val="28"/>
          <w:highlight w:val="none"/>
        </w:rPr>
      </w:pPr>
      <w:r>
        <w:rPr>
          <w:rFonts w:hint="eastAsia" w:ascii="宋体" w:hAnsi="宋体"/>
          <w:sz w:val="24"/>
          <w:szCs w:val="28"/>
          <w:highlight w:val="none"/>
        </w:rPr>
        <w:t>法人代表或授权代表</w:t>
      </w:r>
      <w:r>
        <w:rPr>
          <w:rFonts w:ascii="宋体" w:hAnsi="宋体"/>
          <w:sz w:val="24"/>
          <w:szCs w:val="28"/>
          <w:highlight w:val="none"/>
        </w:rPr>
        <w:t>(</w:t>
      </w:r>
      <w:r>
        <w:rPr>
          <w:rFonts w:hint="eastAsia" w:ascii="宋体" w:hAnsi="宋体"/>
          <w:sz w:val="24"/>
          <w:highlight w:val="none"/>
        </w:rPr>
        <w:t>签字或盖章</w:t>
      </w:r>
      <w:r>
        <w:rPr>
          <w:rFonts w:ascii="宋体" w:hAnsi="宋体"/>
          <w:sz w:val="24"/>
          <w:szCs w:val="28"/>
          <w:highlight w:val="none"/>
        </w:rPr>
        <w:t>)</w:t>
      </w:r>
      <w:r>
        <w:rPr>
          <w:rFonts w:hint="eastAsia" w:ascii="宋体" w:hAnsi="宋体"/>
          <w:sz w:val="24"/>
          <w:szCs w:val="28"/>
          <w:highlight w:val="none"/>
        </w:rPr>
        <w:t>：</w:t>
      </w:r>
    </w:p>
    <w:p>
      <w:pPr>
        <w:spacing w:line="360" w:lineRule="auto"/>
        <w:ind w:firstLine="4759" w:firstLineChars="1983"/>
        <w:rPr>
          <w:rFonts w:ascii="宋体"/>
          <w:sz w:val="24"/>
          <w:szCs w:val="28"/>
          <w:highlight w:val="none"/>
        </w:rPr>
      </w:pPr>
      <w:r>
        <w:rPr>
          <w:rFonts w:hint="eastAsia" w:ascii="宋体" w:hAnsi="宋体"/>
          <w:sz w:val="24"/>
          <w:szCs w:val="28"/>
          <w:highlight w:val="none"/>
        </w:rPr>
        <w:t>日</w:t>
      </w:r>
      <w:r>
        <w:rPr>
          <w:rFonts w:ascii="宋体" w:hAnsi="宋体"/>
          <w:sz w:val="24"/>
          <w:szCs w:val="28"/>
          <w:highlight w:val="none"/>
        </w:rPr>
        <w:t xml:space="preserve">  </w:t>
      </w:r>
      <w:r>
        <w:rPr>
          <w:rFonts w:hint="eastAsia" w:ascii="宋体" w:hAnsi="宋体"/>
          <w:sz w:val="24"/>
          <w:szCs w:val="28"/>
          <w:highlight w:val="none"/>
        </w:rPr>
        <w:t>期：</w:t>
      </w: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snapToGrid w:val="0"/>
        <w:spacing w:line="440" w:lineRule="exact"/>
        <w:ind w:left="502" w:leftChars="200" w:hanging="82" w:hangingChars="29"/>
        <w:jc w:val="center"/>
        <w:rPr>
          <w:rFonts w:ascii="宋体"/>
          <w:b/>
          <w:sz w:val="28"/>
          <w:szCs w:val="28"/>
          <w:highlight w:val="none"/>
        </w:rPr>
      </w:pPr>
    </w:p>
    <w:p>
      <w:pPr>
        <w:tabs>
          <w:tab w:val="left" w:pos="630"/>
          <w:tab w:val="left" w:pos="1260"/>
        </w:tabs>
        <w:spacing w:line="360" w:lineRule="auto"/>
        <w:rPr>
          <w:rFonts w:ascii="Arial" w:hAnsi="Arial" w:eastAsia="黑体"/>
          <w:b/>
          <w:bCs/>
          <w:sz w:val="32"/>
          <w:szCs w:val="32"/>
          <w:highlight w:val="none"/>
        </w:rPr>
      </w:pPr>
    </w:p>
    <w:p>
      <w:pPr>
        <w:jc w:val="center"/>
        <w:rPr>
          <w:rFonts w:ascii="宋体"/>
          <w:b/>
          <w:sz w:val="32"/>
          <w:szCs w:val="32"/>
          <w:highlight w:val="none"/>
        </w:rPr>
      </w:pPr>
      <w:r>
        <w:rPr>
          <w:rFonts w:hint="eastAsia" w:ascii="宋体" w:hAnsi="宋体"/>
          <w:b/>
          <w:sz w:val="32"/>
          <w:szCs w:val="32"/>
          <w:highlight w:val="none"/>
        </w:rPr>
        <w:t>六、采购供应商拒绝政府采购领域商业贿赂承诺书</w:t>
      </w:r>
    </w:p>
    <w:p>
      <w:pPr>
        <w:ind w:left="420" w:leftChars="200"/>
        <w:rPr>
          <w:rFonts w:ascii="宋体"/>
          <w:b/>
          <w:sz w:val="24"/>
          <w:highlight w:val="none"/>
        </w:rPr>
      </w:pPr>
    </w:p>
    <w:p>
      <w:pPr>
        <w:snapToGrid w:val="0"/>
        <w:spacing w:line="560" w:lineRule="exact"/>
        <w:ind w:firstLine="480" w:firstLineChars="200"/>
        <w:rPr>
          <w:rFonts w:ascii="宋体"/>
          <w:sz w:val="24"/>
          <w:highlight w:val="none"/>
        </w:rPr>
      </w:pPr>
      <w:r>
        <w:rPr>
          <w:rFonts w:hint="eastAsia" w:ascii="宋体" w:hAnsi="宋体"/>
          <w:sz w:val="24"/>
          <w:highlight w:val="none"/>
        </w:rPr>
        <w:t>为响应党中央、国务院关于治理采购领域商业贿赂行为的号召，我公司再次承诺：</w:t>
      </w:r>
    </w:p>
    <w:p>
      <w:pPr>
        <w:numPr>
          <w:ilvl w:val="0"/>
          <w:numId w:val="2"/>
        </w:numPr>
        <w:tabs>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在参与采购活动中遵纪守法、诚信经营、公平竞标。</w:t>
      </w:r>
    </w:p>
    <w:p>
      <w:pPr>
        <w:numPr>
          <w:ilvl w:val="0"/>
          <w:numId w:val="2"/>
        </w:numPr>
        <w:tabs>
          <w:tab w:val="left" w:pos="315"/>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不向采购人、采购代理机构和采购评审专家进行任何形式的商业贿赂以谋取交易机会。</w:t>
      </w:r>
    </w:p>
    <w:p>
      <w:pPr>
        <w:numPr>
          <w:ilvl w:val="0"/>
          <w:numId w:val="2"/>
        </w:numPr>
        <w:tabs>
          <w:tab w:val="left" w:pos="525"/>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不向采购代理机构和采购人提供虚假资质文件或采用虚假应标方式参与采购市场竞争并谋取中标、成交。</w:t>
      </w:r>
    </w:p>
    <w:p>
      <w:pPr>
        <w:numPr>
          <w:ilvl w:val="0"/>
          <w:numId w:val="2"/>
        </w:numPr>
        <w:tabs>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不采取“围标、陪标”等商业欺诈手段获取采购订单。</w:t>
      </w:r>
    </w:p>
    <w:p>
      <w:pPr>
        <w:numPr>
          <w:ilvl w:val="0"/>
          <w:numId w:val="2"/>
        </w:numPr>
        <w:tabs>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不采取不正当手段诋毁、排挤其他供应商。</w:t>
      </w:r>
    </w:p>
    <w:p>
      <w:pPr>
        <w:numPr>
          <w:ilvl w:val="0"/>
          <w:numId w:val="2"/>
        </w:numPr>
        <w:tabs>
          <w:tab w:val="left" w:pos="525"/>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不在提供商品和服务时“偷梁换柱、以次充好”损害采购人的合法权益。</w:t>
      </w:r>
    </w:p>
    <w:p>
      <w:pPr>
        <w:numPr>
          <w:ilvl w:val="0"/>
          <w:numId w:val="2"/>
        </w:numPr>
        <w:tabs>
          <w:tab w:val="left" w:pos="315"/>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不与采购人、采购代理机构、采购评审专家或其他供应商恶意串通，进行质疑和投诉，维护采购市场秩序。</w:t>
      </w:r>
    </w:p>
    <w:p>
      <w:pPr>
        <w:numPr>
          <w:ilvl w:val="0"/>
          <w:numId w:val="2"/>
        </w:numPr>
        <w:tabs>
          <w:tab w:val="left" w:pos="420"/>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尊重和接受采购监督管理部门的监督和采购代理机构招标采购要求，承担因违约行为给采购人造成的损失。</w:t>
      </w:r>
    </w:p>
    <w:p>
      <w:pPr>
        <w:numPr>
          <w:ilvl w:val="0"/>
          <w:numId w:val="2"/>
        </w:numPr>
        <w:tabs>
          <w:tab w:val="left" w:pos="420"/>
          <w:tab w:val="left" w:pos="1202"/>
          <w:tab w:val="clear" w:pos="360"/>
        </w:tabs>
        <w:snapToGrid w:val="0"/>
        <w:spacing w:line="560" w:lineRule="exact"/>
        <w:ind w:left="105" w:firstLine="523" w:firstLineChars="218"/>
        <w:rPr>
          <w:rFonts w:ascii="宋体"/>
          <w:sz w:val="24"/>
          <w:highlight w:val="none"/>
        </w:rPr>
      </w:pPr>
      <w:r>
        <w:rPr>
          <w:rFonts w:hint="eastAsia" w:ascii="宋体" w:hAnsi="宋体"/>
          <w:sz w:val="24"/>
          <w:highlight w:val="none"/>
        </w:rPr>
        <w:t>不发生其他有悖于政府采购公开、公平、公正和诚信原则的行为。</w:t>
      </w:r>
    </w:p>
    <w:p>
      <w:pPr>
        <w:snapToGrid w:val="0"/>
        <w:spacing w:line="480" w:lineRule="auto"/>
        <w:ind w:left="482"/>
        <w:rPr>
          <w:rFonts w:ascii="宋体"/>
          <w:sz w:val="24"/>
          <w:highlight w:val="none"/>
        </w:rPr>
      </w:pPr>
    </w:p>
    <w:p>
      <w:pPr>
        <w:snapToGrid w:val="0"/>
        <w:spacing w:line="480" w:lineRule="auto"/>
        <w:ind w:left="482"/>
        <w:rPr>
          <w:rFonts w:ascii="宋体"/>
          <w:sz w:val="24"/>
          <w:highlight w:val="none"/>
        </w:rPr>
      </w:pPr>
      <w:r>
        <w:rPr>
          <w:rFonts w:hint="eastAsia" w:ascii="宋体" w:hAnsi="宋体"/>
          <w:sz w:val="24"/>
          <w:highlight w:val="none"/>
        </w:rPr>
        <w:t>承诺单位：（盖章）</w:t>
      </w:r>
      <w:r>
        <w:rPr>
          <w:rFonts w:ascii="宋体" w:hAnsi="宋体"/>
          <w:sz w:val="24"/>
          <w:highlight w:val="none"/>
        </w:rPr>
        <w:t xml:space="preserve">                  </w:t>
      </w:r>
      <w:r>
        <w:rPr>
          <w:rFonts w:hint="eastAsia" w:ascii="宋体" w:hAnsi="宋体"/>
          <w:sz w:val="24"/>
          <w:highlight w:val="none"/>
        </w:rPr>
        <w:t>全权代表：（签字）</w:t>
      </w:r>
    </w:p>
    <w:p>
      <w:pPr>
        <w:snapToGrid w:val="0"/>
        <w:spacing w:line="480" w:lineRule="auto"/>
        <w:ind w:left="482"/>
        <w:rPr>
          <w:rFonts w:ascii="宋体"/>
          <w:sz w:val="24"/>
          <w:highlight w:val="none"/>
        </w:rPr>
      </w:pPr>
      <w:r>
        <w:rPr>
          <w:rFonts w:hint="eastAsia" w:ascii="宋体" w:hAnsi="宋体"/>
          <w:sz w:val="24"/>
          <w:highlight w:val="none"/>
        </w:rPr>
        <w:t>地址；</w:t>
      </w:r>
      <w:r>
        <w:rPr>
          <w:rFonts w:ascii="宋体" w:hAnsi="宋体"/>
          <w:sz w:val="24"/>
          <w:highlight w:val="none"/>
        </w:rPr>
        <w:t xml:space="preserve">                             </w:t>
      </w:r>
      <w:r>
        <w:rPr>
          <w:rFonts w:hint="eastAsia" w:ascii="宋体" w:hAnsi="宋体"/>
          <w:sz w:val="24"/>
          <w:highlight w:val="none"/>
        </w:rPr>
        <w:t>邮编：</w:t>
      </w:r>
    </w:p>
    <w:p>
      <w:pPr>
        <w:snapToGrid w:val="0"/>
        <w:spacing w:line="480" w:lineRule="auto"/>
        <w:ind w:left="482"/>
        <w:rPr>
          <w:rFonts w:ascii="宋体"/>
          <w:sz w:val="24"/>
          <w:highlight w:val="none"/>
        </w:rPr>
      </w:pPr>
      <w:r>
        <w:rPr>
          <w:rFonts w:hint="eastAsia" w:ascii="宋体" w:hAnsi="宋体"/>
          <w:sz w:val="24"/>
          <w:highlight w:val="none"/>
        </w:rPr>
        <w:t>电话：</w:t>
      </w:r>
      <w:r>
        <w:rPr>
          <w:rFonts w:ascii="宋体" w:hAnsi="宋体"/>
          <w:sz w:val="24"/>
          <w:highlight w:val="none"/>
        </w:rPr>
        <w:t xml:space="preserve">        </w:t>
      </w:r>
    </w:p>
    <w:p>
      <w:pPr>
        <w:snapToGrid w:val="0"/>
        <w:spacing w:line="480" w:lineRule="auto"/>
        <w:ind w:left="483" w:leftChars="230" w:firstLine="5160" w:firstLineChars="2150"/>
        <w:rPr>
          <w:rFonts w:ascii="宋体"/>
          <w:kern w:val="0"/>
          <w:highlight w:val="none"/>
        </w:rPr>
      </w:pPr>
      <w:r>
        <w:rPr>
          <w:rFonts w:ascii="宋体" w:hAnsi="宋体"/>
          <w:sz w:val="24"/>
          <w:highlight w:val="none"/>
        </w:rPr>
        <w:t xml:space="preserve"> </w:t>
      </w:r>
      <w:r>
        <w:rPr>
          <w:rFonts w:hint="eastAsia" w:ascii="宋体" w:hAnsi="宋体"/>
          <w:sz w:val="24"/>
          <w:highlight w:val="none"/>
        </w:rPr>
        <w:t>年</w:t>
      </w:r>
      <w:r>
        <w:rPr>
          <w:rFonts w:ascii="宋体" w:hAnsi="宋体"/>
          <w:sz w:val="24"/>
          <w:highlight w:val="none"/>
        </w:rPr>
        <w:t xml:space="preserve">    </w:t>
      </w:r>
      <w:r>
        <w:rPr>
          <w:rFonts w:hint="eastAsia" w:ascii="宋体" w:hAnsi="宋体"/>
          <w:sz w:val="24"/>
          <w:highlight w:val="none"/>
        </w:rPr>
        <w:t>月</w:t>
      </w:r>
      <w:r>
        <w:rPr>
          <w:rFonts w:ascii="宋体" w:hAnsi="宋体"/>
          <w:sz w:val="24"/>
          <w:highlight w:val="none"/>
        </w:rPr>
        <w:t xml:space="preserve">   </w:t>
      </w:r>
      <w:r>
        <w:rPr>
          <w:rFonts w:hint="eastAsia" w:ascii="宋体" w:hAnsi="宋体"/>
          <w:sz w:val="24"/>
          <w:highlight w:val="none"/>
        </w:rPr>
        <w:t>日</w:t>
      </w:r>
    </w:p>
    <w:sectPr>
      <w:type w:val="continuous"/>
      <w:pgSz w:w="11906" w:h="16838"/>
      <w:pgMar w:top="1418" w:right="1134"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roman"/>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Futura Bk BT">
    <w:altName w:val="Lucida Sans Unicode"/>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ucida Sans Unicode">
    <w:panose1 w:val="020B0602030504020204"/>
    <w:charset w:val="00"/>
    <w:family w:val="auto"/>
    <w:pitch w:val="default"/>
    <w:sig w:usb0="80001AFF" w:usb1="0000396B" w:usb2="00000000" w:usb3="00000000" w:csb0="200000B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6" w:space="0"/>
      </w:pBdr>
      <w:tabs>
        <w:tab w:val="left" w:pos="8280"/>
        <w:tab w:val="right" w:pos="8460"/>
        <w:tab w:val="clear" w:pos="4153"/>
        <w:tab w:val="clear" w:pos="8306"/>
      </w:tabs>
      <w:ind w:right="-180"/>
    </w:pPr>
  </w:p>
  <w:p>
    <w:pPr>
      <w:pStyle w:val="26"/>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6"/>
      <w:jc w:val="center"/>
    </w:pP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6" w:space="0"/>
      </w:pBdr>
      <w:tabs>
        <w:tab w:val="left" w:pos="8280"/>
        <w:tab w:val="right" w:pos="8460"/>
        <w:tab w:val="clear" w:pos="4153"/>
        <w:tab w:val="clear" w:pos="8306"/>
      </w:tabs>
      <w:ind w:right="-18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r>
                      <w:rPr>
                        <w:rFonts w:hint="eastAsia"/>
                      </w:rPr>
                      <w:t xml:space="preserve"> 页</w:t>
                    </w:r>
                  </w:p>
                </w:txbxContent>
              </v:textbox>
            </v:shape>
          </w:pict>
        </mc:Fallback>
      </mc:AlternateContent>
    </w:r>
  </w:p>
  <w:p>
    <w:pPr>
      <w:pStyle w:val="26"/>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6"/>
      <w:jc w:val="center"/>
    </w:pP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0</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0</w:t>
                    </w:r>
                    <w:r>
                      <w:rPr>
                        <w:rFonts w:hint="eastAsia"/>
                      </w:rPr>
                      <w:fldChar w:fldCharType="end"/>
                    </w:r>
                    <w:r>
                      <w:rPr>
                        <w:rFonts w:hint="eastAsia"/>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6" w:space="0"/>
      </w:pBdr>
      <w:tabs>
        <w:tab w:val="left" w:pos="8280"/>
        <w:tab w:val="right" w:pos="8460"/>
        <w:tab w:val="clear" w:pos="4153"/>
        <w:tab w:val="clear" w:pos="8306"/>
      </w:tabs>
      <w:ind w:right="-18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34</w:t>
                    </w:r>
                    <w:r>
                      <w:rPr>
                        <w:rFonts w:hint="eastAsia"/>
                      </w:rPr>
                      <w:fldChar w:fldCharType="end"/>
                    </w:r>
                    <w:r>
                      <w:rPr>
                        <w:rFonts w:hint="eastAsia"/>
                      </w:rPr>
                      <w:t xml:space="preserve"> 页</w:t>
                    </w:r>
                  </w:p>
                </w:txbxContent>
              </v:textbox>
            </v:shape>
          </w:pict>
        </mc:Fallback>
      </mc:AlternateContent>
    </w:r>
  </w:p>
  <w:p>
    <w:pPr>
      <w:pStyle w:val="26"/>
      <w:tabs>
        <w:tab w:val="left" w:pos="9000"/>
        <w:tab w:val="left" w:pos="9050"/>
        <w:tab w:val="clear" w:pos="8306"/>
      </w:tabs>
      <w:ind w:right="-694"/>
      <w:rPr>
        <w:rFonts w:ascii="宋体" w:hAnsi="宋体" w:cs="宋体"/>
        <w:sz w:val="21"/>
        <w:szCs w:val="21"/>
      </w:rPr>
    </w:pPr>
    <w:r>
      <w:rPr>
        <w:rFonts w:hint="eastAsia" w:ascii="宋体" w:hAnsi="宋体" w:cs="宋体"/>
      </w:rPr>
      <w:t>陕西嘉唐建设项目管理有限公司                                                    联系方式：029-89351397</w:t>
    </w:r>
  </w:p>
  <w:p>
    <w:pPr>
      <w:pStyle w:val="2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single" w:color="auto" w:sz="4" w:space="1"/>
      </w:pBdr>
      <w:jc w:val="left"/>
      <w:rPr>
        <w:rFonts w:hint="default" w:eastAsia="宋体"/>
        <w:sz w:val="11"/>
        <w:szCs w:val="11"/>
        <w:lang w:val="en-US" w:eastAsia="zh-CN"/>
      </w:rPr>
    </w:pPr>
    <w:r>
      <w:rPr>
        <w:rFonts w:hint="eastAsia" w:cs="宋体"/>
        <w:color w:val="000000" w:themeColor="text1"/>
        <w:lang w:eastAsia="zh-CN"/>
        <w14:textFill>
          <w14:solidFill>
            <w14:schemeClr w14:val="tx1"/>
          </w14:solidFill>
        </w14:textFill>
      </w:rPr>
      <w:t>斗门街办镐京遗址文物勘探和发掘项目（花园村、官庄村）集体土地建筑物拆除、地面破碎、垃圾清运、苗木清表</w:t>
    </w:r>
    <w:r>
      <w:rPr>
        <w:rFonts w:hint="eastAsia" w:cs="宋体"/>
        <w:color w:val="000000" w:themeColor="text1"/>
        <w:lang w:val="en-US" w:eastAsia="zh-CN"/>
        <w14:textFill>
          <w14:solidFill>
            <w14:schemeClr w14:val="tx1"/>
          </w14:solidFill>
        </w14:textFill>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single" w:color="auto" w:sz="4" w:space="1"/>
      </w:pBdr>
      <w:jc w:val="left"/>
    </w:pPr>
    <w:r>
      <w:rPr>
        <w:rFonts w:hint="eastAsia" w:cs="宋体"/>
        <w:color w:val="000000" w:themeColor="text1"/>
        <w:lang w:eastAsia="zh-CN"/>
        <w14:textFill>
          <w14:solidFill>
            <w14:schemeClr w14:val="tx1"/>
          </w14:solidFill>
        </w14:textFill>
      </w:rPr>
      <w:t>斗门街办镐京遗址文物勘探和发掘项目（花园村、官庄村）集体土地建筑物拆除、地面破碎、垃圾清运、苗木清表</w:t>
    </w:r>
    <w:r>
      <w:rPr>
        <w:rFonts w:hint="eastAsia" w:cs="宋体"/>
        <w:color w:val="000000" w:themeColor="text1"/>
        <w:lang w:val="en-US" w:eastAsia="zh-CN"/>
        <w14:textFill>
          <w14:solidFill>
            <w14:schemeClr w14:val="tx1"/>
          </w14:solidFill>
        </w14:textFill>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8563C1"/>
    <w:multiLevelType w:val="singleLevel"/>
    <w:tmpl w:val="DA8563C1"/>
    <w:lvl w:ilvl="0" w:tentative="0">
      <w:start w:val="4"/>
      <w:numFmt w:val="decimal"/>
      <w:suff w:val="nothing"/>
      <w:lvlText w:val="%1．"/>
      <w:lvlJc w:val="left"/>
    </w:lvl>
  </w:abstractNum>
  <w:abstractNum w:abstractNumId="1">
    <w:nsid w:val="00000010"/>
    <w:multiLevelType w:val="multilevel"/>
    <w:tmpl w:val="00000010"/>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B9"/>
    <w:rsid w:val="00015F6D"/>
    <w:rsid w:val="00024CFC"/>
    <w:rsid w:val="00052D48"/>
    <w:rsid w:val="0005361D"/>
    <w:rsid w:val="0005494B"/>
    <w:rsid w:val="000643DD"/>
    <w:rsid w:val="00081DE7"/>
    <w:rsid w:val="00083151"/>
    <w:rsid w:val="00096A2E"/>
    <w:rsid w:val="000A21B2"/>
    <w:rsid w:val="000A3B30"/>
    <w:rsid w:val="000A5A77"/>
    <w:rsid w:val="000A7791"/>
    <w:rsid w:val="000B60B0"/>
    <w:rsid w:val="000B6C08"/>
    <w:rsid w:val="000D26EF"/>
    <w:rsid w:val="000E16D0"/>
    <w:rsid w:val="000E41CD"/>
    <w:rsid w:val="000F43B4"/>
    <w:rsid w:val="0010228B"/>
    <w:rsid w:val="00113624"/>
    <w:rsid w:val="00113B31"/>
    <w:rsid w:val="00115047"/>
    <w:rsid w:val="001172AA"/>
    <w:rsid w:val="00117B3E"/>
    <w:rsid w:val="00125614"/>
    <w:rsid w:val="00126697"/>
    <w:rsid w:val="00132499"/>
    <w:rsid w:val="00134B67"/>
    <w:rsid w:val="001459B5"/>
    <w:rsid w:val="001469DB"/>
    <w:rsid w:val="0015026D"/>
    <w:rsid w:val="00172A27"/>
    <w:rsid w:val="001746D0"/>
    <w:rsid w:val="0017540D"/>
    <w:rsid w:val="001810E7"/>
    <w:rsid w:val="001A0474"/>
    <w:rsid w:val="001A1902"/>
    <w:rsid w:val="001B34FC"/>
    <w:rsid w:val="001B60A0"/>
    <w:rsid w:val="001C4558"/>
    <w:rsid w:val="001C4722"/>
    <w:rsid w:val="001E3092"/>
    <w:rsid w:val="001E3D4D"/>
    <w:rsid w:val="001F3600"/>
    <w:rsid w:val="001F4BA7"/>
    <w:rsid w:val="001F57D7"/>
    <w:rsid w:val="002001C5"/>
    <w:rsid w:val="00200B1D"/>
    <w:rsid w:val="002044CF"/>
    <w:rsid w:val="002107FD"/>
    <w:rsid w:val="002113F6"/>
    <w:rsid w:val="00213804"/>
    <w:rsid w:val="00214C9C"/>
    <w:rsid w:val="00223AC9"/>
    <w:rsid w:val="00224111"/>
    <w:rsid w:val="0023068E"/>
    <w:rsid w:val="00236A72"/>
    <w:rsid w:val="00244998"/>
    <w:rsid w:val="002539D8"/>
    <w:rsid w:val="00256F65"/>
    <w:rsid w:val="00274E8E"/>
    <w:rsid w:val="0029406F"/>
    <w:rsid w:val="002A1E7A"/>
    <w:rsid w:val="002B035C"/>
    <w:rsid w:val="002B46BE"/>
    <w:rsid w:val="002C2E53"/>
    <w:rsid w:val="002C37E3"/>
    <w:rsid w:val="002C49B9"/>
    <w:rsid w:val="002C538B"/>
    <w:rsid w:val="002C560F"/>
    <w:rsid w:val="002C6E11"/>
    <w:rsid w:val="002D17F4"/>
    <w:rsid w:val="002D2057"/>
    <w:rsid w:val="002D5094"/>
    <w:rsid w:val="002E080C"/>
    <w:rsid w:val="002E619F"/>
    <w:rsid w:val="002E6E08"/>
    <w:rsid w:val="002F0634"/>
    <w:rsid w:val="002F16D3"/>
    <w:rsid w:val="002F2733"/>
    <w:rsid w:val="003025D1"/>
    <w:rsid w:val="00310DED"/>
    <w:rsid w:val="00316DCB"/>
    <w:rsid w:val="00317C0F"/>
    <w:rsid w:val="003237C4"/>
    <w:rsid w:val="00323909"/>
    <w:rsid w:val="0033062F"/>
    <w:rsid w:val="00340A64"/>
    <w:rsid w:val="003411B9"/>
    <w:rsid w:val="00341545"/>
    <w:rsid w:val="00341C25"/>
    <w:rsid w:val="00342E8C"/>
    <w:rsid w:val="00343FF7"/>
    <w:rsid w:val="00350BA2"/>
    <w:rsid w:val="00371A55"/>
    <w:rsid w:val="003833CA"/>
    <w:rsid w:val="0039061B"/>
    <w:rsid w:val="003A2544"/>
    <w:rsid w:val="003B0CBE"/>
    <w:rsid w:val="003C0F5E"/>
    <w:rsid w:val="003C7BD7"/>
    <w:rsid w:val="003D0C48"/>
    <w:rsid w:val="003D19B3"/>
    <w:rsid w:val="003E044B"/>
    <w:rsid w:val="003E10C4"/>
    <w:rsid w:val="003E3100"/>
    <w:rsid w:val="003F3AC7"/>
    <w:rsid w:val="003F6390"/>
    <w:rsid w:val="00403BB1"/>
    <w:rsid w:val="004056CF"/>
    <w:rsid w:val="00416778"/>
    <w:rsid w:val="00422BAB"/>
    <w:rsid w:val="00424437"/>
    <w:rsid w:val="00424937"/>
    <w:rsid w:val="004250BE"/>
    <w:rsid w:val="00426D81"/>
    <w:rsid w:val="004271B5"/>
    <w:rsid w:val="00454479"/>
    <w:rsid w:val="00461407"/>
    <w:rsid w:val="004725A4"/>
    <w:rsid w:val="00474547"/>
    <w:rsid w:val="00483ACE"/>
    <w:rsid w:val="004A08B5"/>
    <w:rsid w:val="004A2905"/>
    <w:rsid w:val="004B1C11"/>
    <w:rsid w:val="004B5AC5"/>
    <w:rsid w:val="004C4BD6"/>
    <w:rsid w:val="004D0F8B"/>
    <w:rsid w:val="004D3A3E"/>
    <w:rsid w:val="004E17AC"/>
    <w:rsid w:val="004E29A3"/>
    <w:rsid w:val="004F4FE6"/>
    <w:rsid w:val="004F6BF9"/>
    <w:rsid w:val="00500E42"/>
    <w:rsid w:val="005057B0"/>
    <w:rsid w:val="005106D6"/>
    <w:rsid w:val="005130E9"/>
    <w:rsid w:val="00515B38"/>
    <w:rsid w:val="00516927"/>
    <w:rsid w:val="00522F2D"/>
    <w:rsid w:val="0052450C"/>
    <w:rsid w:val="00527CAA"/>
    <w:rsid w:val="00532E85"/>
    <w:rsid w:val="00533233"/>
    <w:rsid w:val="00533EE3"/>
    <w:rsid w:val="00541E33"/>
    <w:rsid w:val="005740AA"/>
    <w:rsid w:val="00577204"/>
    <w:rsid w:val="00581D1A"/>
    <w:rsid w:val="0058559E"/>
    <w:rsid w:val="00586714"/>
    <w:rsid w:val="00587E2D"/>
    <w:rsid w:val="0059619F"/>
    <w:rsid w:val="005B10D3"/>
    <w:rsid w:val="005B26EA"/>
    <w:rsid w:val="005B6B04"/>
    <w:rsid w:val="005C3F14"/>
    <w:rsid w:val="005C49A5"/>
    <w:rsid w:val="005D2CF9"/>
    <w:rsid w:val="005D6DE9"/>
    <w:rsid w:val="005E3FDB"/>
    <w:rsid w:val="005E7889"/>
    <w:rsid w:val="00601451"/>
    <w:rsid w:val="00603B18"/>
    <w:rsid w:val="00603B29"/>
    <w:rsid w:val="00604D9F"/>
    <w:rsid w:val="00605C4C"/>
    <w:rsid w:val="0060730D"/>
    <w:rsid w:val="00613C81"/>
    <w:rsid w:val="006168DC"/>
    <w:rsid w:val="006241A5"/>
    <w:rsid w:val="00626C91"/>
    <w:rsid w:val="00637982"/>
    <w:rsid w:val="00641E40"/>
    <w:rsid w:val="00646D67"/>
    <w:rsid w:val="006611F2"/>
    <w:rsid w:val="0066220A"/>
    <w:rsid w:val="00662257"/>
    <w:rsid w:val="006632E6"/>
    <w:rsid w:val="00681386"/>
    <w:rsid w:val="00683E43"/>
    <w:rsid w:val="00683E49"/>
    <w:rsid w:val="00696CA6"/>
    <w:rsid w:val="006977E1"/>
    <w:rsid w:val="006A6160"/>
    <w:rsid w:val="006B0062"/>
    <w:rsid w:val="006C49FD"/>
    <w:rsid w:val="006D0490"/>
    <w:rsid w:val="006E1A28"/>
    <w:rsid w:val="006E3BB3"/>
    <w:rsid w:val="006E5C74"/>
    <w:rsid w:val="006F4CD6"/>
    <w:rsid w:val="007066BF"/>
    <w:rsid w:val="007068CF"/>
    <w:rsid w:val="00716AC7"/>
    <w:rsid w:val="0072025B"/>
    <w:rsid w:val="007229CE"/>
    <w:rsid w:val="00731B31"/>
    <w:rsid w:val="00746AAD"/>
    <w:rsid w:val="0074753A"/>
    <w:rsid w:val="007549A8"/>
    <w:rsid w:val="007602B7"/>
    <w:rsid w:val="007611CC"/>
    <w:rsid w:val="007758F3"/>
    <w:rsid w:val="0078074D"/>
    <w:rsid w:val="00792B1C"/>
    <w:rsid w:val="00793D22"/>
    <w:rsid w:val="007A3925"/>
    <w:rsid w:val="007B1123"/>
    <w:rsid w:val="007B5DBD"/>
    <w:rsid w:val="007C0AF5"/>
    <w:rsid w:val="007C1CE9"/>
    <w:rsid w:val="007D1911"/>
    <w:rsid w:val="007D35AE"/>
    <w:rsid w:val="007D480A"/>
    <w:rsid w:val="007D5AD9"/>
    <w:rsid w:val="007E486B"/>
    <w:rsid w:val="007F7A8C"/>
    <w:rsid w:val="00801291"/>
    <w:rsid w:val="00811641"/>
    <w:rsid w:val="00824FF6"/>
    <w:rsid w:val="00826FFF"/>
    <w:rsid w:val="00836BC2"/>
    <w:rsid w:val="008471CD"/>
    <w:rsid w:val="008500FD"/>
    <w:rsid w:val="008508E8"/>
    <w:rsid w:val="00857452"/>
    <w:rsid w:val="0086066A"/>
    <w:rsid w:val="0086071E"/>
    <w:rsid w:val="00860CBE"/>
    <w:rsid w:val="0086196E"/>
    <w:rsid w:val="008637A6"/>
    <w:rsid w:val="008641DB"/>
    <w:rsid w:val="0086713E"/>
    <w:rsid w:val="00867984"/>
    <w:rsid w:val="00870C1F"/>
    <w:rsid w:val="00890FD2"/>
    <w:rsid w:val="00894F13"/>
    <w:rsid w:val="008A0B2E"/>
    <w:rsid w:val="008A332D"/>
    <w:rsid w:val="008B1D8B"/>
    <w:rsid w:val="008B465C"/>
    <w:rsid w:val="008B65B5"/>
    <w:rsid w:val="008C2C57"/>
    <w:rsid w:val="008D3254"/>
    <w:rsid w:val="008F3B97"/>
    <w:rsid w:val="0090306A"/>
    <w:rsid w:val="00912851"/>
    <w:rsid w:val="009129E0"/>
    <w:rsid w:val="00916716"/>
    <w:rsid w:val="00920D90"/>
    <w:rsid w:val="009224E5"/>
    <w:rsid w:val="00924301"/>
    <w:rsid w:val="0092561B"/>
    <w:rsid w:val="00926A78"/>
    <w:rsid w:val="00931F76"/>
    <w:rsid w:val="0093316E"/>
    <w:rsid w:val="00942774"/>
    <w:rsid w:val="00946A60"/>
    <w:rsid w:val="00947D24"/>
    <w:rsid w:val="0095434D"/>
    <w:rsid w:val="009658AE"/>
    <w:rsid w:val="00967928"/>
    <w:rsid w:val="00975F25"/>
    <w:rsid w:val="0098290B"/>
    <w:rsid w:val="00983E78"/>
    <w:rsid w:val="00984BAD"/>
    <w:rsid w:val="00984FC5"/>
    <w:rsid w:val="009903F0"/>
    <w:rsid w:val="00991916"/>
    <w:rsid w:val="009A10A9"/>
    <w:rsid w:val="009A412B"/>
    <w:rsid w:val="009A5D90"/>
    <w:rsid w:val="009A6C45"/>
    <w:rsid w:val="009B37CF"/>
    <w:rsid w:val="009B4772"/>
    <w:rsid w:val="009B5605"/>
    <w:rsid w:val="009B7776"/>
    <w:rsid w:val="009B7AF9"/>
    <w:rsid w:val="009C0816"/>
    <w:rsid w:val="009C2FD0"/>
    <w:rsid w:val="009C595A"/>
    <w:rsid w:val="009F58F1"/>
    <w:rsid w:val="00A044D6"/>
    <w:rsid w:val="00A051BB"/>
    <w:rsid w:val="00A16EAA"/>
    <w:rsid w:val="00A17E78"/>
    <w:rsid w:val="00A30264"/>
    <w:rsid w:val="00A33F8C"/>
    <w:rsid w:val="00A3713E"/>
    <w:rsid w:val="00A4544D"/>
    <w:rsid w:val="00A45E37"/>
    <w:rsid w:val="00A466D9"/>
    <w:rsid w:val="00A56484"/>
    <w:rsid w:val="00A60889"/>
    <w:rsid w:val="00A71605"/>
    <w:rsid w:val="00A85F15"/>
    <w:rsid w:val="00A86730"/>
    <w:rsid w:val="00AA37A5"/>
    <w:rsid w:val="00AA6EAC"/>
    <w:rsid w:val="00AB4CBB"/>
    <w:rsid w:val="00AC4AC8"/>
    <w:rsid w:val="00AC4AF0"/>
    <w:rsid w:val="00AD3A7D"/>
    <w:rsid w:val="00AD40CD"/>
    <w:rsid w:val="00AE12A6"/>
    <w:rsid w:val="00AE7FFD"/>
    <w:rsid w:val="00AF10D4"/>
    <w:rsid w:val="00B00335"/>
    <w:rsid w:val="00B17CCA"/>
    <w:rsid w:val="00B20708"/>
    <w:rsid w:val="00B20A3B"/>
    <w:rsid w:val="00B22737"/>
    <w:rsid w:val="00B42397"/>
    <w:rsid w:val="00B45034"/>
    <w:rsid w:val="00B6161B"/>
    <w:rsid w:val="00B6175C"/>
    <w:rsid w:val="00B650D2"/>
    <w:rsid w:val="00B71689"/>
    <w:rsid w:val="00B71823"/>
    <w:rsid w:val="00B76036"/>
    <w:rsid w:val="00B8670D"/>
    <w:rsid w:val="00B86AB3"/>
    <w:rsid w:val="00B9017D"/>
    <w:rsid w:val="00B9279A"/>
    <w:rsid w:val="00B97C1C"/>
    <w:rsid w:val="00BA3C32"/>
    <w:rsid w:val="00BA52D9"/>
    <w:rsid w:val="00BB3114"/>
    <w:rsid w:val="00BB3DC4"/>
    <w:rsid w:val="00BB4B46"/>
    <w:rsid w:val="00BB51F3"/>
    <w:rsid w:val="00BC05FC"/>
    <w:rsid w:val="00BC38DF"/>
    <w:rsid w:val="00BC6222"/>
    <w:rsid w:val="00BE0653"/>
    <w:rsid w:val="00BE5294"/>
    <w:rsid w:val="00BE662D"/>
    <w:rsid w:val="00BE66E6"/>
    <w:rsid w:val="00C006E5"/>
    <w:rsid w:val="00C00EFD"/>
    <w:rsid w:val="00C0260F"/>
    <w:rsid w:val="00C02D12"/>
    <w:rsid w:val="00C04586"/>
    <w:rsid w:val="00C07F13"/>
    <w:rsid w:val="00C269B5"/>
    <w:rsid w:val="00C44502"/>
    <w:rsid w:val="00C45C34"/>
    <w:rsid w:val="00C46789"/>
    <w:rsid w:val="00C473C9"/>
    <w:rsid w:val="00C4773B"/>
    <w:rsid w:val="00C61853"/>
    <w:rsid w:val="00C63EF7"/>
    <w:rsid w:val="00C671B7"/>
    <w:rsid w:val="00C70384"/>
    <w:rsid w:val="00C76F70"/>
    <w:rsid w:val="00C86FF4"/>
    <w:rsid w:val="00C90376"/>
    <w:rsid w:val="00C95F3C"/>
    <w:rsid w:val="00C97CD6"/>
    <w:rsid w:val="00CA5221"/>
    <w:rsid w:val="00CA6016"/>
    <w:rsid w:val="00CA66B1"/>
    <w:rsid w:val="00CB3A34"/>
    <w:rsid w:val="00CB4C4F"/>
    <w:rsid w:val="00CC4A04"/>
    <w:rsid w:val="00CD4B66"/>
    <w:rsid w:val="00CD5F60"/>
    <w:rsid w:val="00CD6FFB"/>
    <w:rsid w:val="00CE1919"/>
    <w:rsid w:val="00CE2073"/>
    <w:rsid w:val="00CE4744"/>
    <w:rsid w:val="00CF6A9C"/>
    <w:rsid w:val="00D12C66"/>
    <w:rsid w:val="00D1325D"/>
    <w:rsid w:val="00D210F6"/>
    <w:rsid w:val="00D22EE7"/>
    <w:rsid w:val="00D2382B"/>
    <w:rsid w:val="00D25636"/>
    <w:rsid w:val="00D25C47"/>
    <w:rsid w:val="00D30512"/>
    <w:rsid w:val="00D32B87"/>
    <w:rsid w:val="00D33470"/>
    <w:rsid w:val="00D34A87"/>
    <w:rsid w:val="00D565D3"/>
    <w:rsid w:val="00D63A72"/>
    <w:rsid w:val="00D660EB"/>
    <w:rsid w:val="00D67DD9"/>
    <w:rsid w:val="00D710F1"/>
    <w:rsid w:val="00D71E0A"/>
    <w:rsid w:val="00D7326E"/>
    <w:rsid w:val="00D74EB0"/>
    <w:rsid w:val="00D8198F"/>
    <w:rsid w:val="00D84002"/>
    <w:rsid w:val="00D86C51"/>
    <w:rsid w:val="00D9764C"/>
    <w:rsid w:val="00DA4A3F"/>
    <w:rsid w:val="00DB0721"/>
    <w:rsid w:val="00DB1938"/>
    <w:rsid w:val="00DB7DF6"/>
    <w:rsid w:val="00DD0994"/>
    <w:rsid w:val="00DD1A8F"/>
    <w:rsid w:val="00DD1B12"/>
    <w:rsid w:val="00DD57FD"/>
    <w:rsid w:val="00DE7A17"/>
    <w:rsid w:val="00DF0855"/>
    <w:rsid w:val="00DF304A"/>
    <w:rsid w:val="00E12E33"/>
    <w:rsid w:val="00E179F0"/>
    <w:rsid w:val="00E20BF0"/>
    <w:rsid w:val="00E41802"/>
    <w:rsid w:val="00E43EB2"/>
    <w:rsid w:val="00E5078A"/>
    <w:rsid w:val="00E50B2C"/>
    <w:rsid w:val="00E54915"/>
    <w:rsid w:val="00E54F6E"/>
    <w:rsid w:val="00E55BB0"/>
    <w:rsid w:val="00E56204"/>
    <w:rsid w:val="00E56BA3"/>
    <w:rsid w:val="00E710AC"/>
    <w:rsid w:val="00E71AB7"/>
    <w:rsid w:val="00E72EAB"/>
    <w:rsid w:val="00E730C5"/>
    <w:rsid w:val="00E75706"/>
    <w:rsid w:val="00E8092E"/>
    <w:rsid w:val="00E81BB8"/>
    <w:rsid w:val="00E95312"/>
    <w:rsid w:val="00E96E59"/>
    <w:rsid w:val="00EA50F9"/>
    <w:rsid w:val="00EA58F8"/>
    <w:rsid w:val="00EB1F68"/>
    <w:rsid w:val="00EB34CB"/>
    <w:rsid w:val="00EB790C"/>
    <w:rsid w:val="00EC0FD6"/>
    <w:rsid w:val="00ED3C52"/>
    <w:rsid w:val="00EE1D41"/>
    <w:rsid w:val="00EE6933"/>
    <w:rsid w:val="00EF0383"/>
    <w:rsid w:val="00EF380D"/>
    <w:rsid w:val="00F12F6A"/>
    <w:rsid w:val="00F27443"/>
    <w:rsid w:val="00F34E4E"/>
    <w:rsid w:val="00F368A7"/>
    <w:rsid w:val="00F6704D"/>
    <w:rsid w:val="00F6757F"/>
    <w:rsid w:val="00F77C45"/>
    <w:rsid w:val="00F80B58"/>
    <w:rsid w:val="00F80BAE"/>
    <w:rsid w:val="00F83F5C"/>
    <w:rsid w:val="00F87ACE"/>
    <w:rsid w:val="00F92437"/>
    <w:rsid w:val="00F937DB"/>
    <w:rsid w:val="00F9401B"/>
    <w:rsid w:val="00F94D69"/>
    <w:rsid w:val="00F979FE"/>
    <w:rsid w:val="00FA1193"/>
    <w:rsid w:val="00FA39E9"/>
    <w:rsid w:val="00FC165B"/>
    <w:rsid w:val="00FD11D9"/>
    <w:rsid w:val="00FE30DA"/>
    <w:rsid w:val="00FF042C"/>
    <w:rsid w:val="00FF3377"/>
    <w:rsid w:val="00FF7022"/>
    <w:rsid w:val="01802721"/>
    <w:rsid w:val="01DB382F"/>
    <w:rsid w:val="01F66DC1"/>
    <w:rsid w:val="0237748B"/>
    <w:rsid w:val="0244573A"/>
    <w:rsid w:val="024B13F4"/>
    <w:rsid w:val="027033DE"/>
    <w:rsid w:val="02867D85"/>
    <w:rsid w:val="02AE06E9"/>
    <w:rsid w:val="02CD5DA5"/>
    <w:rsid w:val="02E234EC"/>
    <w:rsid w:val="02E629D6"/>
    <w:rsid w:val="0324728E"/>
    <w:rsid w:val="034C569F"/>
    <w:rsid w:val="0350216D"/>
    <w:rsid w:val="03610BE3"/>
    <w:rsid w:val="037A46DA"/>
    <w:rsid w:val="03A038D4"/>
    <w:rsid w:val="03A80301"/>
    <w:rsid w:val="03B86C04"/>
    <w:rsid w:val="03DA76BE"/>
    <w:rsid w:val="03E40933"/>
    <w:rsid w:val="03FB6C6E"/>
    <w:rsid w:val="042C196E"/>
    <w:rsid w:val="0443593C"/>
    <w:rsid w:val="047D7DE5"/>
    <w:rsid w:val="047F2884"/>
    <w:rsid w:val="049616E4"/>
    <w:rsid w:val="04DC4486"/>
    <w:rsid w:val="04E24B8D"/>
    <w:rsid w:val="0527437F"/>
    <w:rsid w:val="05441F63"/>
    <w:rsid w:val="05485D9E"/>
    <w:rsid w:val="054C079E"/>
    <w:rsid w:val="05890664"/>
    <w:rsid w:val="05921480"/>
    <w:rsid w:val="0595319D"/>
    <w:rsid w:val="059D645C"/>
    <w:rsid w:val="05CD664C"/>
    <w:rsid w:val="06083726"/>
    <w:rsid w:val="064E02CB"/>
    <w:rsid w:val="06604E5E"/>
    <w:rsid w:val="066A4B2C"/>
    <w:rsid w:val="06BE281B"/>
    <w:rsid w:val="06C3011E"/>
    <w:rsid w:val="06CD071B"/>
    <w:rsid w:val="07532A9A"/>
    <w:rsid w:val="075A27C8"/>
    <w:rsid w:val="075B5D32"/>
    <w:rsid w:val="076A4F67"/>
    <w:rsid w:val="07C3176A"/>
    <w:rsid w:val="07D30BD3"/>
    <w:rsid w:val="07D66E14"/>
    <w:rsid w:val="07ED1158"/>
    <w:rsid w:val="08180673"/>
    <w:rsid w:val="08293760"/>
    <w:rsid w:val="084D0A0E"/>
    <w:rsid w:val="085B28F8"/>
    <w:rsid w:val="087E0859"/>
    <w:rsid w:val="08940544"/>
    <w:rsid w:val="08972F88"/>
    <w:rsid w:val="08FF525F"/>
    <w:rsid w:val="09124871"/>
    <w:rsid w:val="092B5B9C"/>
    <w:rsid w:val="09651284"/>
    <w:rsid w:val="09653C8C"/>
    <w:rsid w:val="096A34D8"/>
    <w:rsid w:val="09787409"/>
    <w:rsid w:val="09882BCB"/>
    <w:rsid w:val="099D32CE"/>
    <w:rsid w:val="099F1331"/>
    <w:rsid w:val="09AF3AED"/>
    <w:rsid w:val="09B06A7F"/>
    <w:rsid w:val="09D1054F"/>
    <w:rsid w:val="09EB624F"/>
    <w:rsid w:val="0A0C0E26"/>
    <w:rsid w:val="0A1F209F"/>
    <w:rsid w:val="0A212A65"/>
    <w:rsid w:val="0A244EBE"/>
    <w:rsid w:val="0A2C67AB"/>
    <w:rsid w:val="0A5C2608"/>
    <w:rsid w:val="0A630411"/>
    <w:rsid w:val="0A7B74E4"/>
    <w:rsid w:val="0A8C2B63"/>
    <w:rsid w:val="0A9E1497"/>
    <w:rsid w:val="0AD52F9B"/>
    <w:rsid w:val="0ADA66F6"/>
    <w:rsid w:val="0AE91064"/>
    <w:rsid w:val="0AF040FB"/>
    <w:rsid w:val="0AFC5B0B"/>
    <w:rsid w:val="0B27299F"/>
    <w:rsid w:val="0B2C1C95"/>
    <w:rsid w:val="0B3E5B1C"/>
    <w:rsid w:val="0B5057A2"/>
    <w:rsid w:val="0B983CEE"/>
    <w:rsid w:val="0BC36E21"/>
    <w:rsid w:val="0BCF1E43"/>
    <w:rsid w:val="0BF66935"/>
    <w:rsid w:val="0BFA5500"/>
    <w:rsid w:val="0C135C08"/>
    <w:rsid w:val="0C1C6E75"/>
    <w:rsid w:val="0C280A6B"/>
    <w:rsid w:val="0C607DB8"/>
    <w:rsid w:val="0C853A82"/>
    <w:rsid w:val="0C9A7964"/>
    <w:rsid w:val="0CAC67BB"/>
    <w:rsid w:val="0CB22339"/>
    <w:rsid w:val="0CB8081F"/>
    <w:rsid w:val="0CD15C1F"/>
    <w:rsid w:val="0CE84FEE"/>
    <w:rsid w:val="0CF003C0"/>
    <w:rsid w:val="0CF533FC"/>
    <w:rsid w:val="0D3C1014"/>
    <w:rsid w:val="0D43007C"/>
    <w:rsid w:val="0D576C88"/>
    <w:rsid w:val="0D676800"/>
    <w:rsid w:val="0D73578B"/>
    <w:rsid w:val="0D820605"/>
    <w:rsid w:val="0D9E2B79"/>
    <w:rsid w:val="0DC93186"/>
    <w:rsid w:val="0DCB478C"/>
    <w:rsid w:val="0DD3395C"/>
    <w:rsid w:val="0DF16EE0"/>
    <w:rsid w:val="0E2732BC"/>
    <w:rsid w:val="0E6333EC"/>
    <w:rsid w:val="0E783DDB"/>
    <w:rsid w:val="0E7D7C0C"/>
    <w:rsid w:val="0EA21896"/>
    <w:rsid w:val="0EC420F4"/>
    <w:rsid w:val="0ED162F6"/>
    <w:rsid w:val="0ED5395F"/>
    <w:rsid w:val="0EE31D5D"/>
    <w:rsid w:val="0EE33124"/>
    <w:rsid w:val="0EE86856"/>
    <w:rsid w:val="0F2565E9"/>
    <w:rsid w:val="0F456534"/>
    <w:rsid w:val="0F5903B9"/>
    <w:rsid w:val="0FA9257E"/>
    <w:rsid w:val="0FEE64AC"/>
    <w:rsid w:val="0FFC2E6F"/>
    <w:rsid w:val="100C63B6"/>
    <w:rsid w:val="100C7305"/>
    <w:rsid w:val="101215D4"/>
    <w:rsid w:val="10203C2F"/>
    <w:rsid w:val="10A1241E"/>
    <w:rsid w:val="10CC6D3A"/>
    <w:rsid w:val="10CD3757"/>
    <w:rsid w:val="10CF54F5"/>
    <w:rsid w:val="10DB0F59"/>
    <w:rsid w:val="10F52296"/>
    <w:rsid w:val="11372C93"/>
    <w:rsid w:val="116A039C"/>
    <w:rsid w:val="117340C5"/>
    <w:rsid w:val="11AF375D"/>
    <w:rsid w:val="11D66D92"/>
    <w:rsid w:val="11ED1D39"/>
    <w:rsid w:val="121474D5"/>
    <w:rsid w:val="122736EB"/>
    <w:rsid w:val="126F39A4"/>
    <w:rsid w:val="1274340B"/>
    <w:rsid w:val="12752DD9"/>
    <w:rsid w:val="12895597"/>
    <w:rsid w:val="128F3A77"/>
    <w:rsid w:val="12901C38"/>
    <w:rsid w:val="12DD2124"/>
    <w:rsid w:val="131F1FCB"/>
    <w:rsid w:val="132F505C"/>
    <w:rsid w:val="13391E64"/>
    <w:rsid w:val="13686EDD"/>
    <w:rsid w:val="13826C3D"/>
    <w:rsid w:val="138514E4"/>
    <w:rsid w:val="13861CE8"/>
    <w:rsid w:val="13944847"/>
    <w:rsid w:val="13B42F49"/>
    <w:rsid w:val="13D94CC3"/>
    <w:rsid w:val="13DC3424"/>
    <w:rsid w:val="140E6906"/>
    <w:rsid w:val="147F4288"/>
    <w:rsid w:val="14B42302"/>
    <w:rsid w:val="14D53DBA"/>
    <w:rsid w:val="152115F9"/>
    <w:rsid w:val="15235385"/>
    <w:rsid w:val="15393964"/>
    <w:rsid w:val="154134FD"/>
    <w:rsid w:val="154D016A"/>
    <w:rsid w:val="156E5273"/>
    <w:rsid w:val="15885288"/>
    <w:rsid w:val="15A52D7F"/>
    <w:rsid w:val="15CE27A9"/>
    <w:rsid w:val="15D3466F"/>
    <w:rsid w:val="160B3667"/>
    <w:rsid w:val="161A6D72"/>
    <w:rsid w:val="1622443E"/>
    <w:rsid w:val="169020BB"/>
    <w:rsid w:val="169E6573"/>
    <w:rsid w:val="16A5236E"/>
    <w:rsid w:val="17065F8B"/>
    <w:rsid w:val="17121E43"/>
    <w:rsid w:val="17606736"/>
    <w:rsid w:val="17661274"/>
    <w:rsid w:val="17802B40"/>
    <w:rsid w:val="17896D84"/>
    <w:rsid w:val="17984307"/>
    <w:rsid w:val="17AA7A21"/>
    <w:rsid w:val="17C0643D"/>
    <w:rsid w:val="17FB24A9"/>
    <w:rsid w:val="17FC671E"/>
    <w:rsid w:val="18186158"/>
    <w:rsid w:val="18293867"/>
    <w:rsid w:val="18504C12"/>
    <w:rsid w:val="1881754E"/>
    <w:rsid w:val="18B625C2"/>
    <w:rsid w:val="18DB2EF0"/>
    <w:rsid w:val="18F71F50"/>
    <w:rsid w:val="18F934E9"/>
    <w:rsid w:val="190D0F60"/>
    <w:rsid w:val="194C5A9B"/>
    <w:rsid w:val="194D655C"/>
    <w:rsid w:val="199912C3"/>
    <w:rsid w:val="19BA4398"/>
    <w:rsid w:val="19BD2B04"/>
    <w:rsid w:val="19F13858"/>
    <w:rsid w:val="19FF3C65"/>
    <w:rsid w:val="1A1B29D6"/>
    <w:rsid w:val="1A2346DB"/>
    <w:rsid w:val="1A325C2A"/>
    <w:rsid w:val="1A40195A"/>
    <w:rsid w:val="1A67537C"/>
    <w:rsid w:val="1A6A2B99"/>
    <w:rsid w:val="1A6F71BB"/>
    <w:rsid w:val="1A730AA2"/>
    <w:rsid w:val="1A893E7C"/>
    <w:rsid w:val="1A9215A3"/>
    <w:rsid w:val="1A9A2BCF"/>
    <w:rsid w:val="1AC10C29"/>
    <w:rsid w:val="1AF62A70"/>
    <w:rsid w:val="1AFA022C"/>
    <w:rsid w:val="1B181FC6"/>
    <w:rsid w:val="1B2F6471"/>
    <w:rsid w:val="1B343B4D"/>
    <w:rsid w:val="1B4B6D73"/>
    <w:rsid w:val="1B686898"/>
    <w:rsid w:val="1B7871A8"/>
    <w:rsid w:val="1B9508B2"/>
    <w:rsid w:val="1B971E47"/>
    <w:rsid w:val="1BC1285F"/>
    <w:rsid w:val="1BC37F1A"/>
    <w:rsid w:val="1BCC0513"/>
    <w:rsid w:val="1BDB6A3F"/>
    <w:rsid w:val="1BEA61FB"/>
    <w:rsid w:val="1BF84EDA"/>
    <w:rsid w:val="1C282AC2"/>
    <w:rsid w:val="1C58410C"/>
    <w:rsid w:val="1C745BD9"/>
    <w:rsid w:val="1C7F6B60"/>
    <w:rsid w:val="1C824298"/>
    <w:rsid w:val="1C8B2046"/>
    <w:rsid w:val="1CC90401"/>
    <w:rsid w:val="1CDB55B7"/>
    <w:rsid w:val="1D1A044B"/>
    <w:rsid w:val="1D21506A"/>
    <w:rsid w:val="1D263386"/>
    <w:rsid w:val="1D5A1BAE"/>
    <w:rsid w:val="1D6114EB"/>
    <w:rsid w:val="1D6656BD"/>
    <w:rsid w:val="1D867C3F"/>
    <w:rsid w:val="1D906BC1"/>
    <w:rsid w:val="1D967539"/>
    <w:rsid w:val="1DB361F9"/>
    <w:rsid w:val="1DCA41A5"/>
    <w:rsid w:val="1DF27068"/>
    <w:rsid w:val="1E033A0C"/>
    <w:rsid w:val="1E484CE2"/>
    <w:rsid w:val="1EAC2068"/>
    <w:rsid w:val="1EB3549C"/>
    <w:rsid w:val="1EB9273A"/>
    <w:rsid w:val="1EC42440"/>
    <w:rsid w:val="1ED06BE3"/>
    <w:rsid w:val="1ED643A5"/>
    <w:rsid w:val="1EE333D5"/>
    <w:rsid w:val="1EE7354C"/>
    <w:rsid w:val="1F0B6071"/>
    <w:rsid w:val="1F1A6D8E"/>
    <w:rsid w:val="1F5376AA"/>
    <w:rsid w:val="1F541D34"/>
    <w:rsid w:val="1F6540E0"/>
    <w:rsid w:val="1FB0393D"/>
    <w:rsid w:val="1FB568A1"/>
    <w:rsid w:val="1FB72439"/>
    <w:rsid w:val="1FBB55E8"/>
    <w:rsid w:val="1FDC1E1F"/>
    <w:rsid w:val="1FE65A49"/>
    <w:rsid w:val="1FF42D2B"/>
    <w:rsid w:val="201C0513"/>
    <w:rsid w:val="2026220F"/>
    <w:rsid w:val="207400B4"/>
    <w:rsid w:val="207C26E6"/>
    <w:rsid w:val="209B0B57"/>
    <w:rsid w:val="20D57F4D"/>
    <w:rsid w:val="20F64644"/>
    <w:rsid w:val="21600BAC"/>
    <w:rsid w:val="21617DEF"/>
    <w:rsid w:val="2174187E"/>
    <w:rsid w:val="21993AE8"/>
    <w:rsid w:val="21C46603"/>
    <w:rsid w:val="21D71059"/>
    <w:rsid w:val="21F229A5"/>
    <w:rsid w:val="223654A2"/>
    <w:rsid w:val="224C7D1A"/>
    <w:rsid w:val="226170ED"/>
    <w:rsid w:val="22864BD7"/>
    <w:rsid w:val="228F04C4"/>
    <w:rsid w:val="229A3327"/>
    <w:rsid w:val="22DC23B8"/>
    <w:rsid w:val="22E43DBE"/>
    <w:rsid w:val="22FC0FAA"/>
    <w:rsid w:val="23041317"/>
    <w:rsid w:val="23262242"/>
    <w:rsid w:val="233412A9"/>
    <w:rsid w:val="234323DA"/>
    <w:rsid w:val="23467079"/>
    <w:rsid w:val="23673221"/>
    <w:rsid w:val="236764F0"/>
    <w:rsid w:val="23B77143"/>
    <w:rsid w:val="23B87AF0"/>
    <w:rsid w:val="23E2126F"/>
    <w:rsid w:val="23F827C0"/>
    <w:rsid w:val="244773B3"/>
    <w:rsid w:val="246C5C3A"/>
    <w:rsid w:val="24B43F57"/>
    <w:rsid w:val="24D55F16"/>
    <w:rsid w:val="25045A85"/>
    <w:rsid w:val="2505508C"/>
    <w:rsid w:val="250766FF"/>
    <w:rsid w:val="251422A0"/>
    <w:rsid w:val="25252977"/>
    <w:rsid w:val="25353F37"/>
    <w:rsid w:val="25411826"/>
    <w:rsid w:val="255B3F21"/>
    <w:rsid w:val="255F441A"/>
    <w:rsid w:val="256930E6"/>
    <w:rsid w:val="257F7CC3"/>
    <w:rsid w:val="25863777"/>
    <w:rsid w:val="25CA3E2B"/>
    <w:rsid w:val="25CF5C6F"/>
    <w:rsid w:val="25D34228"/>
    <w:rsid w:val="25D5044E"/>
    <w:rsid w:val="25DD38EB"/>
    <w:rsid w:val="25F87A9D"/>
    <w:rsid w:val="25FB0143"/>
    <w:rsid w:val="2608770A"/>
    <w:rsid w:val="260B3634"/>
    <w:rsid w:val="263E10C7"/>
    <w:rsid w:val="264070AE"/>
    <w:rsid w:val="26437CE9"/>
    <w:rsid w:val="26775392"/>
    <w:rsid w:val="267A0489"/>
    <w:rsid w:val="26E41CCB"/>
    <w:rsid w:val="27194209"/>
    <w:rsid w:val="27264FEB"/>
    <w:rsid w:val="273044C0"/>
    <w:rsid w:val="27325BB0"/>
    <w:rsid w:val="2770537C"/>
    <w:rsid w:val="278A7E70"/>
    <w:rsid w:val="2793073A"/>
    <w:rsid w:val="27B075D9"/>
    <w:rsid w:val="27B34636"/>
    <w:rsid w:val="27B81AC7"/>
    <w:rsid w:val="27C945B1"/>
    <w:rsid w:val="27EF39A4"/>
    <w:rsid w:val="281B2488"/>
    <w:rsid w:val="281E7087"/>
    <w:rsid w:val="284E1265"/>
    <w:rsid w:val="285675F6"/>
    <w:rsid w:val="285F62D7"/>
    <w:rsid w:val="28814969"/>
    <w:rsid w:val="2895223E"/>
    <w:rsid w:val="289840A4"/>
    <w:rsid w:val="28A012CA"/>
    <w:rsid w:val="28B53DE3"/>
    <w:rsid w:val="28DD4370"/>
    <w:rsid w:val="2916345B"/>
    <w:rsid w:val="296457AA"/>
    <w:rsid w:val="29677922"/>
    <w:rsid w:val="297B3B4D"/>
    <w:rsid w:val="29D90C5E"/>
    <w:rsid w:val="2A4358E0"/>
    <w:rsid w:val="2A6F10B5"/>
    <w:rsid w:val="2A86202A"/>
    <w:rsid w:val="2AA60E99"/>
    <w:rsid w:val="2AB25065"/>
    <w:rsid w:val="2AB871F2"/>
    <w:rsid w:val="2ABA52A2"/>
    <w:rsid w:val="2ADA0196"/>
    <w:rsid w:val="2ADF34A3"/>
    <w:rsid w:val="2AE20A61"/>
    <w:rsid w:val="2B0B4D7C"/>
    <w:rsid w:val="2B121F67"/>
    <w:rsid w:val="2B28668A"/>
    <w:rsid w:val="2B746769"/>
    <w:rsid w:val="2B75453A"/>
    <w:rsid w:val="2B7D3197"/>
    <w:rsid w:val="2BBC2897"/>
    <w:rsid w:val="2BC66736"/>
    <w:rsid w:val="2BC871C4"/>
    <w:rsid w:val="2BCA3D90"/>
    <w:rsid w:val="2C110E13"/>
    <w:rsid w:val="2C2D1570"/>
    <w:rsid w:val="2CA13C1F"/>
    <w:rsid w:val="2CB141B2"/>
    <w:rsid w:val="2CF162F9"/>
    <w:rsid w:val="2CFD2607"/>
    <w:rsid w:val="2D0009A5"/>
    <w:rsid w:val="2D0F1D42"/>
    <w:rsid w:val="2D3B34D9"/>
    <w:rsid w:val="2D482409"/>
    <w:rsid w:val="2D556F23"/>
    <w:rsid w:val="2D7560AC"/>
    <w:rsid w:val="2D9219EE"/>
    <w:rsid w:val="2DD85076"/>
    <w:rsid w:val="2E114DF4"/>
    <w:rsid w:val="2E2454A4"/>
    <w:rsid w:val="2E7F2BD1"/>
    <w:rsid w:val="2E811D8F"/>
    <w:rsid w:val="2ED30FA1"/>
    <w:rsid w:val="2EE95039"/>
    <w:rsid w:val="2EF40850"/>
    <w:rsid w:val="2F1928A2"/>
    <w:rsid w:val="2F192F85"/>
    <w:rsid w:val="2F33743B"/>
    <w:rsid w:val="2F532DD5"/>
    <w:rsid w:val="2F5C0092"/>
    <w:rsid w:val="2F5C3E15"/>
    <w:rsid w:val="2F77148C"/>
    <w:rsid w:val="2FC546AC"/>
    <w:rsid w:val="2FCD7955"/>
    <w:rsid w:val="2FF00638"/>
    <w:rsid w:val="30025FDA"/>
    <w:rsid w:val="3012508E"/>
    <w:rsid w:val="301B2253"/>
    <w:rsid w:val="302946ED"/>
    <w:rsid w:val="302F0BF6"/>
    <w:rsid w:val="304D64A8"/>
    <w:rsid w:val="3072796B"/>
    <w:rsid w:val="30817DB7"/>
    <w:rsid w:val="308930CD"/>
    <w:rsid w:val="30BB04DF"/>
    <w:rsid w:val="30BB5C30"/>
    <w:rsid w:val="30E0700E"/>
    <w:rsid w:val="31247508"/>
    <w:rsid w:val="31256B15"/>
    <w:rsid w:val="316B2AD2"/>
    <w:rsid w:val="316F267E"/>
    <w:rsid w:val="317634CB"/>
    <w:rsid w:val="317829B2"/>
    <w:rsid w:val="319010F5"/>
    <w:rsid w:val="31983D01"/>
    <w:rsid w:val="31A54014"/>
    <w:rsid w:val="31A57332"/>
    <w:rsid w:val="31AD2963"/>
    <w:rsid w:val="31C922C9"/>
    <w:rsid w:val="31D34A61"/>
    <w:rsid w:val="31D823D6"/>
    <w:rsid w:val="320E3221"/>
    <w:rsid w:val="32106839"/>
    <w:rsid w:val="32687E9F"/>
    <w:rsid w:val="329F3622"/>
    <w:rsid w:val="32C7403E"/>
    <w:rsid w:val="330A4F81"/>
    <w:rsid w:val="332570F1"/>
    <w:rsid w:val="333716DB"/>
    <w:rsid w:val="3344370C"/>
    <w:rsid w:val="334B65F5"/>
    <w:rsid w:val="33747A9E"/>
    <w:rsid w:val="33985412"/>
    <w:rsid w:val="33AF719D"/>
    <w:rsid w:val="33C05AE1"/>
    <w:rsid w:val="33C22E94"/>
    <w:rsid w:val="33CD274A"/>
    <w:rsid w:val="33D25B26"/>
    <w:rsid w:val="33D55DD7"/>
    <w:rsid w:val="34072664"/>
    <w:rsid w:val="342827D2"/>
    <w:rsid w:val="343C5719"/>
    <w:rsid w:val="34583ED8"/>
    <w:rsid w:val="345B715A"/>
    <w:rsid w:val="34667694"/>
    <w:rsid w:val="346A3C82"/>
    <w:rsid w:val="346C6158"/>
    <w:rsid w:val="3480389E"/>
    <w:rsid w:val="34966BB9"/>
    <w:rsid w:val="349830A1"/>
    <w:rsid w:val="34BB6558"/>
    <w:rsid w:val="34E75CE6"/>
    <w:rsid w:val="34EF6C93"/>
    <w:rsid w:val="351916B3"/>
    <w:rsid w:val="35267B43"/>
    <w:rsid w:val="352937D0"/>
    <w:rsid w:val="354978C3"/>
    <w:rsid w:val="357423DF"/>
    <w:rsid w:val="3580728E"/>
    <w:rsid w:val="35A63983"/>
    <w:rsid w:val="35AB129B"/>
    <w:rsid w:val="35E93782"/>
    <w:rsid w:val="35F06FFD"/>
    <w:rsid w:val="36133D2E"/>
    <w:rsid w:val="3615205C"/>
    <w:rsid w:val="361F0EDF"/>
    <w:rsid w:val="365E1729"/>
    <w:rsid w:val="367677C3"/>
    <w:rsid w:val="36933E83"/>
    <w:rsid w:val="36B47FF6"/>
    <w:rsid w:val="36CC1C0E"/>
    <w:rsid w:val="36D0262B"/>
    <w:rsid w:val="376A20EF"/>
    <w:rsid w:val="3770116C"/>
    <w:rsid w:val="37CF119C"/>
    <w:rsid w:val="37D31A06"/>
    <w:rsid w:val="38055C25"/>
    <w:rsid w:val="38495051"/>
    <w:rsid w:val="384A65EB"/>
    <w:rsid w:val="386132A7"/>
    <w:rsid w:val="38841385"/>
    <w:rsid w:val="389F41B0"/>
    <w:rsid w:val="38B1556F"/>
    <w:rsid w:val="38B970DA"/>
    <w:rsid w:val="38CC404C"/>
    <w:rsid w:val="38D25814"/>
    <w:rsid w:val="38F2590C"/>
    <w:rsid w:val="38FC7E7D"/>
    <w:rsid w:val="39035358"/>
    <w:rsid w:val="3914313B"/>
    <w:rsid w:val="3927558E"/>
    <w:rsid w:val="39372926"/>
    <w:rsid w:val="395E1609"/>
    <w:rsid w:val="39816195"/>
    <w:rsid w:val="39BB06C2"/>
    <w:rsid w:val="39DA259C"/>
    <w:rsid w:val="39F52605"/>
    <w:rsid w:val="3A030B35"/>
    <w:rsid w:val="3A1C0E86"/>
    <w:rsid w:val="3A401EF8"/>
    <w:rsid w:val="3A51194A"/>
    <w:rsid w:val="3A555803"/>
    <w:rsid w:val="3A913E4A"/>
    <w:rsid w:val="3A9F5C9B"/>
    <w:rsid w:val="3AA933CB"/>
    <w:rsid w:val="3AB6619A"/>
    <w:rsid w:val="3AD24FF9"/>
    <w:rsid w:val="3AD61A51"/>
    <w:rsid w:val="3B022E8E"/>
    <w:rsid w:val="3B1073B5"/>
    <w:rsid w:val="3B181D66"/>
    <w:rsid w:val="3B1853CA"/>
    <w:rsid w:val="3B1C26C1"/>
    <w:rsid w:val="3B406146"/>
    <w:rsid w:val="3B561C77"/>
    <w:rsid w:val="3B5818F8"/>
    <w:rsid w:val="3B7A61C7"/>
    <w:rsid w:val="3B7F3128"/>
    <w:rsid w:val="3B951CA9"/>
    <w:rsid w:val="3BC20AF8"/>
    <w:rsid w:val="3BD13FA1"/>
    <w:rsid w:val="3C235FF3"/>
    <w:rsid w:val="3C740F11"/>
    <w:rsid w:val="3C8F1E14"/>
    <w:rsid w:val="3C950257"/>
    <w:rsid w:val="3C956C9D"/>
    <w:rsid w:val="3CA96B21"/>
    <w:rsid w:val="3CDE3C46"/>
    <w:rsid w:val="3CDF74B9"/>
    <w:rsid w:val="3CE35C57"/>
    <w:rsid w:val="3D803B3A"/>
    <w:rsid w:val="3D9E1510"/>
    <w:rsid w:val="3DDB49F3"/>
    <w:rsid w:val="3DE52A65"/>
    <w:rsid w:val="3DFC061E"/>
    <w:rsid w:val="3E082BF0"/>
    <w:rsid w:val="3E1B54C6"/>
    <w:rsid w:val="3E221229"/>
    <w:rsid w:val="3E436B71"/>
    <w:rsid w:val="3E6E17AB"/>
    <w:rsid w:val="3E6E3114"/>
    <w:rsid w:val="3E873ADF"/>
    <w:rsid w:val="3ED751A2"/>
    <w:rsid w:val="3EF220AA"/>
    <w:rsid w:val="3EFA027A"/>
    <w:rsid w:val="3F3C3F5B"/>
    <w:rsid w:val="3F3F3084"/>
    <w:rsid w:val="3F45544A"/>
    <w:rsid w:val="3F460040"/>
    <w:rsid w:val="3F644114"/>
    <w:rsid w:val="3F7063B4"/>
    <w:rsid w:val="3F71478C"/>
    <w:rsid w:val="3F955346"/>
    <w:rsid w:val="3F9B475A"/>
    <w:rsid w:val="3FBA3527"/>
    <w:rsid w:val="3FC40AFB"/>
    <w:rsid w:val="3FD37866"/>
    <w:rsid w:val="3FEC0B88"/>
    <w:rsid w:val="40206EE3"/>
    <w:rsid w:val="402430C3"/>
    <w:rsid w:val="4025048B"/>
    <w:rsid w:val="40324270"/>
    <w:rsid w:val="404A0E5E"/>
    <w:rsid w:val="407B7773"/>
    <w:rsid w:val="40AA3FC2"/>
    <w:rsid w:val="40DA74CA"/>
    <w:rsid w:val="41393A5C"/>
    <w:rsid w:val="41433654"/>
    <w:rsid w:val="41434C7C"/>
    <w:rsid w:val="414B3DAF"/>
    <w:rsid w:val="415C18B8"/>
    <w:rsid w:val="41683F6E"/>
    <w:rsid w:val="41960C61"/>
    <w:rsid w:val="41BD5438"/>
    <w:rsid w:val="41F1773B"/>
    <w:rsid w:val="42082158"/>
    <w:rsid w:val="420C13F8"/>
    <w:rsid w:val="420D1F4E"/>
    <w:rsid w:val="42110AD3"/>
    <w:rsid w:val="421E1EBF"/>
    <w:rsid w:val="42275013"/>
    <w:rsid w:val="423554F5"/>
    <w:rsid w:val="424D559C"/>
    <w:rsid w:val="42536183"/>
    <w:rsid w:val="428E3741"/>
    <w:rsid w:val="429150EC"/>
    <w:rsid w:val="42994568"/>
    <w:rsid w:val="42A30C85"/>
    <w:rsid w:val="42B66A1C"/>
    <w:rsid w:val="42BE4BBC"/>
    <w:rsid w:val="42CC3F8F"/>
    <w:rsid w:val="42EC0C0E"/>
    <w:rsid w:val="42F360D3"/>
    <w:rsid w:val="43281B1E"/>
    <w:rsid w:val="43297701"/>
    <w:rsid w:val="433E5C04"/>
    <w:rsid w:val="437C4CCF"/>
    <w:rsid w:val="438D6C22"/>
    <w:rsid w:val="43940EF2"/>
    <w:rsid w:val="43A125AF"/>
    <w:rsid w:val="43A2733A"/>
    <w:rsid w:val="43DE2D61"/>
    <w:rsid w:val="44165D93"/>
    <w:rsid w:val="44297B6C"/>
    <w:rsid w:val="442B0472"/>
    <w:rsid w:val="44561095"/>
    <w:rsid w:val="44615944"/>
    <w:rsid w:val="44B85B31"/>
    <w:rsid w:val="44BE3ADF"/>
    <w:rsid w:val="44C17E44"/>
    <w:rsid w:val="44C83998"/>
    <w:rsid w:val="44CC66AB"/>
    <w:rsid w:val="44FF01B1"/>
    <w:rsid w:val="453B0D96"/>
    <w:rsid w:val="454C54B7"/>
    <w:rsid w:val="458330F5"/>
    <w:rsid w:val="45833892"/>
    <w:rsid w:val="459324F0"/>
    <w:rsid w:val="459E2551"/>
    <w:rsid w:val="45CA4A43"/>
    <w:rsid w:val="45DC6E32"/>
    <w:rsid w:val="45DE600E"/>
    <w:rsid w:val="461931A5"/>
    <w:rsid w:val="463A1BBE"/>
    <w:rsid w:val="46534477"/>
    <w:rsid w:val="467E0F84"/>
    <w:rsid w:val="46BA311A"/>
    <w:rsid w:val="46C46E3C"/>
    <w:rsid w:val="46D918CD"/>
    <w:rsid w:val="46EB0DBF"/>
    <w:rsid w:val="46F94DF1"/>
    <w:rsid w:val="46FC3365"/>
    <w:rsid w:val="470134AE"/>
    <w:rsid w:val="4701422C"/>
    <w:rsid w:val="47406C53"/>
    <w:rsid w:val="477E2016"/>
    <w:rsid w:val="47B850D9"/>
    <w:rsid w:val="48494142"/>
    <w:rsid w:val="48952393"/>
    <w:rsid w:val="48E21199"/>
    <w:rsid w:val="48F01B6E"/>
    <w:rsid w:val="48FD1D54"/>
    <w:rsid w:val="49134D06"/>
    <w:rsid w:val="49140FEE"/>
    <w:rsid w:val="49144419"/>
    <w:rsid w:val="491A7376"/>
    <w:rsid w:val="4930137C"/>
    <w:rsid w:val="49676481"/>
    <w:rsid w:val="496D21CD"/>
    <w:rsid w:val="49CB7626"/>
    <w:rsid w:val="49D745DE"/>
    <w:rsid w:val="49D914D5"/>
    <w:rsid w:val="4A4019C8"/>
    <w:rsid w:val="4A4C55D8"/>
    <w:rsid w:val="4A536492"/>
    <w:rsid w:val="4A5852CD"/>
    <w:rsid w:val="4A801225"/>
    <w:rsid w:val="4ACB6330"/>
    <w:rsid w:val="4AD850E6"/>
    <w:rsid w:val="4AE15D3D"/>
    <w:rsid w:val="4AFD1DF4"/>
    <w:rsid w:val="4B1E00AF"/>
    <w:rsid w:val="4B2B68EE"/>
    <w:rsid w:val="4B7221D2"/>
    <w:rsid w:val="4B923D51"/>
    <w:rsid w:val="4B9F401E"/>
    <w:rsid w:val="4BBE6557"/>
    <w:rsid w:val="4BC564B6"/>
    <w:rsid w:val="4BC7573B"/>
    <w:rsid w:val="4BD271CF"/>
    <w:rsid w:val="4BDA58C1"/>
    <w:rsid w:val="4C546B37"/>
    <w:rsid w:val="4CB5739D"/>
    <w:rsid w:val="4CE73C28"/>
    <w:rsid w:val="4CE96150"/>
    <w:rsid w:val="4CF41661"/>
    <w:rsid w:val="4CF42182"/>
    <w:rsid w:val="4CF765F1"/>
    <w:rsid w:val="4D574E57"/>
    <w:rsid w:val="4DBD2C32"/>
    <w:rsid w:val="4DCA57DC"/>
    <w:rsid w:val="4DF57174"/>
    <w:rsid w:val="4E176002"/>
    <w:rsid w:val="4E197C39"/>
    <w:rsid w:val="4E1B046F"/>
    <w:rsid w:val="4E445240"/>
    <w:rsid w:val="4E6E03A8"/>
    <w:rsid w:val="4E7E3801"/>
    <w:rsid w:val="4E836BF0"/>
    <w:rsid w:val="4EA57D2E"/>
    <w:rsid w:val="4ED7163C"/>
    <w:rsid w:val="4EDD3FB7"/>
    <w:rsid w:val="4EEC2492"/>
    <w:rsid w:val="4EF10E6A"/>
    <w:rsid w:val="4F2402D9"/>
    <w:rsid w:val="4F5F50B8"/>
    <w:rsid w:val="4F653268"/>
    <w:rsid w:val="4FBC288C"/>
    <w:rsid w:val="4FCF539E"/>
    <w:rsid w:val="4FE34B29"/>
    <w:rsid w:val="4FED58CB"/>
    <w:rsid w:val="4FFF79B0"/>
    <w:rsid w:val="501C315C"/>
    <w:rsid w:val="504F320F"/>
    <w:rsid w:val="505853FA"/>
    <w:rsid w:val="50621518"/>
    <w:rsid w:val="50C42142"/>
    <w:rsid w:val="50E655F6"/>
    <w:rsid w:val="50EC0497"/>
    <w:rsid w:val="50FD3F70"/>
    <w:rsid w:val="51340CF5"/>
    <w:rsid w:val="518C556D"/>
    <w:rsid w:val="51A55F43"/>
    <w:rsid w:val="51AE4C36"/>
    <w:rsid w:val="51D02407"/>
    <w:rsid w:val="52342489"/>
    <w:rsid w:val="527D57DD"/>
    <w:rsid w:val="52BF1123"/>
    <w:rsid w:val="52C058D7"/>
    <w:rsid w:val="52E50144"/>
    <w:rsid w:val="52E77E44"/>
    <w:rsid w:val="530A44BC"/>
    <w:rsid w:val="53102E1F"/>
    <w:rsid w:val="5310512F"/>
    <w:rsid w:val="531A3DAD"/>
    <w:rsid w:val="531A7879"/>
    <w:rsid w:val="53482C88"/>
    <w:rsid w:val="535C1411"/>
    <w:rsid w:val="536970A8"/>
    <w:rsid w:val="539B0002"/>
    <w:rsid w:val="53BE05DA"/>
    <w:rsid w:val="53BE3661"/>
    <w:rsid w:val="53D10098"/>
    <w:rsid w:val="53ED4C3D"/>
    <w:rsid w:val="5402164D"/>
    <w:rsid w:val="5409708E"/>
    <w:rsid w:val="542C2F4F"/>
    <w:rsid w:val="54465DD8"/>
    <w:rsid w:val="54655471"/>
    <w:rsid w:val="546F3F8B"/>
    <w:rsid w:val="548A22D5"/>
    <w:rsid w:val="549C03E8"/>
    <w:rsid w:val="54E40A76"/>
    <w:rsid w:val="54E8705A"/>
    <w:rsid w:val="54FD1D7F"/>
    <w:rsid w:val="5507177C"/>
    <w:rsid w:val="55202511"/>
    <w:rsid w:val="55393E6B"/>
    <w:rsid w:val="55497CB8"/>
    <w:rsid w:val="557656E7"/>
    <w:rsid w:val="55907D1F"/>
    <w:rsid w:val="55C336DF"/>
    <w:rsid w:val="55CF5CA0"/>
    <w:rsid w:val="56330A33"/>
    <w:rsid w:val="56424465"/>
    <w:rsid w:val="565D4936"/>
    <w:rsid w:val="56614494"/>
    <w:rsid w:val="5668752D"/>
    <w:rsid w:val="56BE28C2"/>
    <w:rsid w:val="56C5192A"/>
    <w:rsid w:val="56C54DE6"/>
    <w:rsid w:val="57106334"/>
    <w:rsid w:val="57320756"/>
    <w:rsid w:val="57373E2A"/>
    <w:rsid w:val="574D0AE1"/>
    <w:rsid w:val="5770290C"/>
    <w:rsid w:val="57BC3DE5"/>
    <w:rsid w:val="57CA298D"/>
    <w:rsid w:val="57E125B4"/>
    <w:rsid w:val="57F91F16"/>
    <w:rsid w:val="581B22FF"/>
    <w:rsid w:val="581C160A"/>
    <w:rsid w:val="583C5F53"/>
    <w:rsid w:val="5863547F"/>
    <w:rsid w:val="58693701"/>
    <w:rsid w:val="58842A2E"/>
    <w:rsid w:val="588E590E"/>
    <w:rsid w:val="58AA762F"/>
    <w:rsid w:val="58F2293E"/>
    <w:rsid w:val="593471DD"/>
    <w:rsid w:val="594C41F3"/>
    <w:rsid w:val="595D69B0"/>
    <w:rsid w:val="596C63ED"/>
    <w:rsid w:val="59712613"/>
    <w:rsid w:val="59C96F47"/>
    <w:rsid w:val="59CB3197"/>
    <w:rsid w:val="59EA3493"/>
    <w:rsid w:val="59EB6576"/>
    <w:rsid w:val="59ED470C"/>
    <w:rsid w:val="59EE7E43"/>
    <w:rsid w:val="59F739C7"/>
    <w:rsid w:val="5A01441A"/>
    <w:rsid w:val="5A0F3218"/>
    <w:rsid w:val="5A143724"/>
    <w:rsid w:val="5A196ABD"/>
    <w:rsid w:val="5A20412D"/>
    <w:rsid w:val="5A444912"/>
    <w:rsid w:val="5A747E83"/>
    <w:rsid w:val="5A783B3F"/>
    <w:rsid w:val="5A8A68ED"/>
    <w:rsid w:val="5A905658"/>
    <w:rsid w:val="5A983794"/>
    <w:rsid w:val="5AD81611"/>
    <w:rsid w:val="5AF8378D"/>
    <w:rsid w:val="5B203F06"/>
    <w:rsid w:val="5B492C08"/>
    <w:rsid w:val="5B4E27E1"/>
    <w:rsid w:val="5B5A7E5D"/>
    <w:rsid w:val="5BC03483"/>
    <w:rsid w:val="5BEB712B"/>
    <w:rsid w:val="5C5C4BDA"/>
    <w:rsid w:val="5CB45795"/>
    <w:rsid w:val="5CCD2623"/>
    <w:rsid w:val="5CED44A9"/>
    <w:rsid w:val="5D0A470B"/>
    <w:rsid w:val="5D4E0821"/>
    <w:rsid w:val="5D500052"/>
    <w:rsid w:val="5D540320"/>
    <w:rsid w:val="5D887C9A"/>
    <w:rsid w:val="5DA618E4"/>
    <w:rsid w:val="5DE4512D"/>
    <w:rsid w:val="5DEC3D14"/>
    <w:rsid w:val="5DEC7947"/>
    <w:rsid w:val="5E051EC9"/>
    <w:rsid w:val="5E196B8D"/>
    <w:rsid w:val="5E350935"/>
    <w:rsid w:val="5E5261DE"/>
    <w:rsid w:val="5E58442A"/>
    <w:rsid w:val="5E6D2DD6"/>
    <w:rsid w:val="5E9A38FF"/>
    <w:rsid w:val="5ECC7183"/>
    <w:rsid w:val="5EE90930"/>
    <w:rsid w:val="5F6C334C"/>
    <w:rsid w:val="5F775241"/>
    <w:rsid w:val="5F8D291C"/>
    <w:rsid w:val="5FAA5FDA"/>
    <w:rsid w:val="5FF12DAB"/>
    <w:rsid w:val="5FF25F03"/>
    <w:rsid w:val="5FF55ED4"/>
    <w:rsid w:val="5FFD4462"/>
    <w:rsid w:val="60166605"/>
    <w:rsid w:val="601A20B9"/>
    <w:rsid w:val="60256A6C"/>
    <w:rsid w:val="60692C40"/>
    <w:rsid w:val="60773CFE"/>
    <w:rsid w:val="60856C36"/>
    <w:rsid w:val="609656C8"/>
    <w:rsid w:val="60BE6205"/>
    <w:rsid w:val="60C576E5"/>
    <w:rsid w:val="60DD071B"/>
    <w:rsid w:val="61170B4E"/>
    <w:rsid w:val="6121106C"/>
    <w:rsid w:val="61350384"/>
    <w:rsid w:val="614D05BD"/>
    <w:rsid w:val="61543240"/>
    <w:rsid w:val="616E6D37"/>
    <w:rsid w:val="61A071B7"/>
    <w:rsid w:val="61A2275B"/>
    <w:rsid w:val="61A87691"/>
    <w:rsid w:val="61CA295C"/>
    <w:rsid w:val="61D31B59"/>
    <w:rsid w:val="62060434"/>
    <w:rsid w:val="62313501"/>
    <w:rsid w:val="623A4BB6"/>
    <w:rsid w:val="623B3B5B"/>
    <w:rsid w:val="62581EDB"/>
    <w:rsid w:val="62802DA6"/>
    <w:rsid w:val="628E4D6F"/>
    <w:rsid w:val="628E7133"/>
    <w:rsid w:val="629702F1"/>
    <w:rsid w:val="629F6409"/>
    <w:rsid w:val="6306172D"/>
    <w:rsid w:val="63261287"/>
    <w:rsid w:val="63352067"/>
    <w:rsid w:val="634126B7"/>
    <w:rsid w:val="63AC6B72"/>
    <w:rsid w:val="63BF4120"/>
    <w:rsid w:val="63ED021A"/>
    <w:rsid w:val="6405605E"/>
    <w:rsid w:val="641B2B64"/>
    <w:rsid w:val="64290219"/>
    <w:rsid w:val="64616C4C"/>
    <w:rsid w:val="6483300C"/>
    <w:rsid w:val="64871A44"/>
    <w:rsid w:val="64991FCB"/>
    <w:rsid w:val="64A06B3C"/>
    <w:rsid w:val="64AD75A6"/>
    <w:rsid w:val="64C23DB9"/>
    <w:rsid w:val="64C54ACB"/>
    <w:rsid w:val="64DA2239"/>
    <w:rsid w:val="65281D22"/>
    <w:rsid w:val="652F6238"/>
    <w:rsid w:val="654F1F0A"/>
    <w:rsid w:val="65CD374D"/>
    <w:rsid w:val="65EC476C"/>
    <w:rsid w:val="661F0F39"/>
    <w:rsid w:val="66232DEA"/>
    <w:rsid w:val="66496618"/>
    <w:rsid w:val="666F3C27"/>
    <w:rsid w:val="6670727F"/>
    <w:rsid w:val="66B124BB"/>
    <w:rsid w:val="66B61C6C"/>
    <w:rsid w:val="66DB23D5"/>
    <w:rsid w:val="66DF38B6"/>
    <w:rsid w:val="670443CB"/>
    <w:rsid w:val="672A1A1E"/>
    <w:rsid w:val="6737667C"/>
    <w:rsid w:val="675367AF"/>
    <w:rsid w:val="675C6D86"/>
    <w:rsid w:val="676A57CF"/>
    <w:rsid w:val="67807988"/>
    <w:rsid w:val="67830845"/>
    <w:rsid w:val="67AF4D2D"/>
    <w:rsid w:val="67D5100D"/>
    <w:rsid w:val="6857277F"/>
    <w:rsid w:val="68776897"/>
    <w:rsid w:val="68786E5D"/>
    <w:rsid w:val="68964320"/>
    <w:rsid w:val="68C40C49"/>
    <w:rsid w:val="692837AB"/>
    <w:rsid w:val="69381C81"/>
    <w:rsid w:val="6939632F"/>
    <w:rsid w:val="69682CE7"/>
    <w:rsid w:val="697919DA"/>
    <w:rsid w:val="697B24E6"/>
    <w:rsid w:val="697C4927"/>
    <w:rsid w:val="699D3FF9"/>
    <w:rsid w:val="69C0490E"/>
    <w:rsid w:val="69FA6AD7"/>
    <w:rsid w:val="69FE4D79"/>
    <w:rsid w:val="6A22190B"/>
    <w:rsid w:val="6A2354F2"/>
    <w:rsid w:val="6A4E00A4"/>
    <w:rsid w:val="6A587758"/>
    <w:rsid w:val="6A6F4FB6"/>
    <w:rsid w:val="6A75015D"/>
    <w:rsid w:val="6A8519DB"/>
    <w:rsid w:val="6AA17760"/>
    <w:rsid w:val="6AA32FAE"/>
    <w:rsid w:val="6ADF5A9D"/>
    <w:rsid w:val="6AFB3CF7"/>
    <w:rsid w:val="6B1D094F"/>
    <w:rsid w:val="6B374265"/>
    <w:rsid w:val="6B651E2C"/>
    <w:rsid w:val="6B8F47A2"/>
    <w:rsid w:val="6BA504CE"/>
    <w:rsid w:val="6BC51F9D"/>
    <w:rsid w:val="6C0531F0"/>
    <w:rsid w:val="6C151441"/>
    <w:rsid w:val="6C1A4B8B"/>
    <w:rsid w:val="6C3902CA"/>
    <w:rsid w:val="6C3E4C4B"/>
    <w:rsid w:val="6C4B74F0"/>
    <w:rsid w:val="6C501A07"/>
    <w:rsid w:val="6C507A5A"/>
    <w:rsid w:val="6C7C7FD0"/>
    <w:rsid w:val="6CAC274D"/>
    <w:rsid w:val="6CAC72B4"/>
    <w:rsid w:val="6CCB6940"/>
    <w:rsid w:val="6CD75CAE"/>
    <w:rsid w:val="6D3D6EF4"/>
    <w:rsid w:val="6D6D48B5"/>
    <w:rsid w:val="6D706560"/>
    <w:rsid w:val="6D872C04"/>
    <w:rsid w:val="6D887B42"/>
    <w:rsid w:val="6D8A2A0A"/>
    <w:rsid w:val="6DA8451B"/>
    <w:rsid w:val="6DD31007"/>
    <w:rsid w:val="6DD67096"/>
    <w:rsid w:val="6DDB79EF"/>
    <w:rsid w:val="6DDF6B4F"/>
    <w:rsid w:val="6DE74048"/>
    <w:rsid w:val="6DEA3A44"/>
    <w:rsid w:val="6DF73F2F"/>
    <w:rsid w:val="6DF9457E"/>
    <w:rsid w:val="6E2B1687"/>
    <w:rsid w:val="6E384BF2"/>
    <w:rsid w:val="6E510439"/>
    <w:rsid w:val="6E515307"/>
    <w:rsid w:val="6E6C0AAB"/>
    <w:rsid w:val="6EA65A84"/>
    <w:rsid w:val="6EA759C1"/>
    <w:rsid w:val="6EBC6C5D"/>
    <w:rsid w:val="6EC97473"/>
    <w:rsid w:val="6EEF50C6"/>
    <w:rsid w:val="6F046305"/>
    <w:rsid w:val="6F0F12B3"/>
    <w:rsid w:val="6F2E3C51"/>
    <w:rsid w:val="6F3900EE"/>
    <w:rsid w:val="6F44715D"/>
    <w:rsid w:val="6F4B7B60"/>
    <w:rsid w:val="6F621263"/>
    <w:rsid w:val="6F6C4E94"/>
    <w:rsid w:val="6F901AFF"/>
    <w:rsid w:val="6F9709EC"/>
    <w:rsid w:val="6FCB4D35"/>
    <w:rsid w:val="6FF565F5"/>
    <w:rsid w:val="70111835"/>
    <w:rsid w:val="70326A0A"/>
    <w:rsid w:val="703A6F45"/>
    <w:rsid w:val="70477263"/>
    <w:rsid w:val="705A084D"/>
    <w:rsid w:val="705A61A8"/>
    <w:rsid w:val="706E45ED"/>
    <w:rsid w:val="708C3206"/>
    <w:rsid w:val="709715DD"/>
    <w:rsid w:val="70AB1274"/>
    <w:rsid w:val="70B2272C"/>
    <w:rsid w:val="70D16698"/>
    <w:rsid w:val="7106682E"/>
    <w:rsid w:val="712547EC"/>
    <w:rsid w:val="715246F6"/>
    <w:rsid w:val="71612055"/>
    <w:rsid w:val="716E14F1"/>
    <w:rsid w:val="71835724"/>
    <w:rsid w:val="71903104"/>
    <w:rsid w:val="71A6318F"/>
    <w:rsid w:val="71C90AFE"/>
    <w:rsid w:val="71D814D6"/>
    <w:rsid w:val="723D4D28"/>
    <w:rsid w:val="726D41B1"/>
    <w:rsid w:val="728824FB"/>
    <w:rsid w:val="72AC73D9"/>
    <w:rsid w:val="72B81104"/>
    <w:rsid w:val="72C8034F"/>
    <w:rsid w:val="72E12199"/>
    <w:rsid w:val="72E83788"/>
    <w:rsid w:val="731D0B6C"/>
    <w:rsid w:val="732855E9"/>
    <w:rsid w:val="7339374E"/>
    <w:rsid w:val="734A09FD"/>
    <w:rsid w:val="73723B45"/>
    <w:rsid w:val="73756A46"/>
    <w:rsid w:val="739A02D0"/>
    <w:rsid w:val="73E7044F"/>
    <w:rsid w:val="73F51FE2"/>
    <w:rsid w:val="74035C13"/>
    <w:rsid w:val="7421644B"/>
    <w:rsid w:val="7426086B"/>
    <w:rsid w:val="742C101E"/>
    <w:rsid w:val="743F507E"/>
    <w:rsid w:val="744D145A"/>
    <w:rsid w:val="74573CA3"/>
    <w:rsid w:val="74754944"/>
    <w:rsid w:val="747E286A"/>
    <w:rsid w:val="749E741F"/>
    <w:rsid w:val="74AB271A"/>
    <w:rsid w:val="74F47440"/>
    <w:rsid w:val="74FC33D3"/>
    <w:rsid w:val="751560D2"/>
    <w:rsid w:val="755063DB"/>
    <w:rsid w:val="755C7AC2"/>
    <w:rsid w:val="756F532D"/>
    <w:rsid w:val="75777ABD"/>
    <w:rsid w:val="75A268A5"/>
    <w:rsid w:val="75A4244D"/>
    <w:rsid w:val="75AB1763"/>
    <w:rsid w:val="75AE3B11"/>
    <w:rsid w:val="75D16810"/>
    <w:rsid w:val="75D16A85"/>
    <w:rsid w:val="75EB6822"/>
    <w:rsid w:val="75F35F79"/>
    <w:rsid w:val="761449A0"/>
    <w:rsid w:val="761D3063"/>
    <w:rsid w:val="7638192D"/>
    <w:rsid w:val="7653528B"/>
    <w:rsid w:val="76695056"/>
    <w:rsid w:val="76946FA7"/>
    <w:rsid w:val="769B05DF"/>
    <w:rsid w:val="76A130D0"/>
    <w:rsid w:val="76B22AAD"/>
    <w:rsid w:val="76B42853"/>
    <w:rsid w:val="76D64D3E"/>
    <w:rsid w:val="770A616F"/>
    <w:rsid w:val="777D03C5"/>
    <w:rsid w:val="777D2DB4"/>
    <w:rsid w:val="77856F7D"/>
    <w:rsid w:val="779953DE"/>
    <w:rsid w:val="77A43CF9"/>
    <w:rsid w:val="77A46304"/>
    <w:rsid w:val="77B94CC5"/>
    <w:rsid w:val="77CD5314"/>
    <w:rsid w:val="77F25E7B"/>
    <w:rsid w:val="78284891"/>
    <w:rsid w:val="784A17FC"/>
    <w:rsid w:val="78653791"/>
    <w:rsid w:val="78901FD6"/>
    <w:rsid w:val="78A248B0"/>
    <w:rsid w:val="78BA1AB2"/>
    <w:rsid w:val="78BA783E"/>
    <w:rsid w:val="78FD7623"/>
    <w:rsid w:val="79451AB2"/>
    <w:rsid w:val="799249B4"/>
    <w:rsid w:val="79AA3C04"/>
    <w:rsid w:val="79AC5602"/>
    <w:rsid w:val="79CB1545"/>
    <w:rsid w:val="79D12C6B"/>
    <w:rsid w:val="79DB54AA"/>
    <w:rsid w:val="7A2A6A6F"/>
    <w:rsid w:val="7A445E22"/>
    <w:rsid w:val="7A4F2779"/>
    <w:rsid w:val="7A560ED1"/>
    <w:rsid w:val="7A5F2B87"/>
    <w:rsid w:val="7AA117CA"/>
    <w:rsid w:val="7ABD2F33"/>
    <w:rsid w:val="7AE37891"/>
    <w:rsid w:val="7AF82258"/>
    <w:rsid w:val="7AFB2811"/>
    <w:rsid w:val="7B04640B"/>
    <w:rsid w:val="7B36260D"/>
    <w:rsid w:val="7B451980"/>
    <w:rsid w:val="7B676378"/>
    <w:rsid w:val="7B6F67D5"/>
    <w:rsid w:val="7B7766A7"/>
    <w:rsid w:val="7B925E0C"/>
    <w:rsid w:val="7B9C0116"/>
    <w:rsid w:val="7BA21C5B"/>
    <w:rsid w:val="7BC959EF"/>
    <w:rsid w:val="7BED43E9"/>
    <w:rsid w:val="7BF5124A"/>
    <w:rsid w:val="7C147D1A"/>
    <w:rsid w:val="7C4C2613"/>
    <w:rsid w:val="7C7029A7"/>
    <w:rsid w:val="7C740856"/>
    <w:rsid w:val="7C8B25DB"/>
    <w:rsid w:val="7CA7116B"/>
    <w:rsid w:val="7CA97F3E"/>
    <w:rsid w:val="7CDC0C7E"/>
    <w:rsid w:val="7CF52205"/>
    <w:rsid w:val="7D0C6672"/>
    <w:rsid w:val="7D6C11CE"/>
    <w:rsid w:val="7DAB6A4C"/>
    <w:rsid w:val="7DB311EC"/>
    <w:rsid w:val="7DB93E6E"/>
    <w:rsid w:val="7E092449"/>
    <w:rsid w:val="7E342BC1"/>
    <w:rsid w:val="7E5104CB"/>
    <w:rsid w:val="7E6035D3"/>
    <w:rsid w:val="7EB91FD4"/>
    <w:rsid w:val="7ECF12C7"/>
    <w:rsid w:val="7EEE7FDF"/>
    <w:rsid w:val="7EF269E0"/>
    <w:rsid w:val="7EFD52C6"/>
    <w:rsid w:val="7F0D31F1"/>
    <w:rsid w:val="7F28391B"/>
    <w:rsid w:val="7F5A04A5"/>
    <w:rsid w:val="7F7903CB"/>
    <w:rsid w:val="7F7C3A0B"/>
    <w:rsid w:val="7FA11F63"/>
    <w:rsid w:val="7FA817A8"/>
    <w:rsid w:val="7FAB1334"/>
    <w:rsid w:val="7FB01A45"/>
    <w:rsid w:val="7FD47FA6"/>
    <w:rsid w:val="7FE90D3E"/>
    <w:rsid w:val="7FF433C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4"/>
    <w:qFormat/>
    <w:uiPriority w:val="99"/>
    <w:pPr>
      <w:keepNext/>
      <w:keepLines/>
      <w:spacing w:before="340" w:after="330" w:line="576" w:lineRule="auto"/>
      <w:outlineLvl w:val="0"/>
    </w:pPr>
    <w:rPr>
      <w:b/>
      <w:bCs/>
      <w:kern w:val="44"/>
      <w:sz w:val="44"/>
      <w:szCs w:val="44"/>
    </w:rPr>
  </w:style>
  <w:style w:type="paragraph" w:styleId="4">
    <w:name w:val="heading 2"/>
    <w:basedOn w:val="1"/>
    <w:next w:val="1"/>
    <w:link w:val="55"/>
    <w:qFormat/>
    <w:uiPriority w:val="99"/>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56"/>
    <w:qFormat/>
    <w:uiPriority w:val="99"/>
    <w:pPr>
      <w:keepNext/>
      <w:keepLines/>
      <w:spacing w:before="260" w:after="260" w:line="415" w:lineRule="auto"/>
      <w:outlineLvl w:val="2"/>
    </w:pPr>
    <w:rPr>
      <w:b/>
      <w:bCs/>
      <w:sz w:val="32"/>
      <w:szCs w:val="32"/>
    </w:rPr>
  </w:style>
  <w:style w:type="paragraph" w:styleId="6">
    <w:name w:val="heading 4"/>
    <w:basedOn w:val="1"/>
    <w:next w:val="1"/>
    <w:link w:val="57"/>
    <w:qFormat/>
    <w:uiPriority w:val="99"/>
    <w:pPr>
      <w:keepNext/>
      <w:keepLines/>
      <w:spacing w:before="280" w:after="290" w:line="374" w:lineRule="auto"/>
      <w:outlineLvl w:val="3"/>
    </w:pPr>
    <w:rPr>
      <w:rFonts w:ascii="Arial" w:hAnsi="Arial" w:eastAsia="黑体"/>
      <w:b/>
      <w:bCs/>
      <w:sz w:val="28"/>
      <w:szCs w:val="28"/>
    </w:rPr>
  </w:style>
  <w:style w:type="paragraph" w:styleId="7">
    <w:name w:val="heading 5"/>
    <w:basedOn w:val="1"/>
    <w:next w:val="1"/>
    <w:link w:val="58"/>
    <w:qFormat/>
    <w:uiPriority w:val="99"/>
    <w:pPr>
      <w:keepNext/>
      <w:keepLines/>
      <w:spacing w:before="280" w:after="290" w:line="374" w:lineRule="auto"/>
      <w:outlineLvl w:val="4"/>
    </w:pPr>
    <w:rPr>
      <w:b/>
      <w:bCs/>
      <w:sz w:val="28"/>
      <w:szCs w:val="28"/>
    </w:rPr>
  </w:style>
  <w:style w:type="paragraph" w:styleId="8">
    <w:name w:val="heading 6"/>
    <w:basedOn w:val="1"/>
    <w:next w:val="1"/>
    <w:link w:val="59"/>
    <w:qFormat/>
    <w:uiPriority w:val="9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9">
    <w:name w:val="heading 7"/>
    <w:basedOn w:val="1"/>
    <w:next w:val="1"/>
    <w:link w:val="60"/>
    <w:qFormat/>
    <w:uiPriority w:val="99"/>
    <w:pPr>
      <w:keepNext/>
      <w:keepLines/>
      <w:widowControl/>
      <w:tabs>
        <w:tab w:val="left" w:pos="2520"/>
      </w:tabs>
      <w:spacing w:before="240" w:after="64" w:line="319" w:lineRule="auto"/>
      <w:ind w:left="1296" w:hanging="1296"/>
      <w:jc w:val="left"/>
      <w:outlineLvl w:val="6"/>
    </w:pPr>
    <w:rPr>
      <w:b/>
      <w:bCs/>
      <w:kern w:val="0"/>
      <w:sz w:val="24"/>
    </w:rPr>
  </w:style>
  <w:style w:type="paragraph" w:styleId="10">
    <w:name w:val="heading 8"/>
    <w:basedOn w:val="1"/>
    <w:next w:val="1"/>
    <w:link w:val="61"/>
    <w:qFormat/>
    <w:uiPriority w:val="9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1">
    <w:name w:val="heading 9"/>
    <w:basedOn w:val="1"/>
    <w:next w:val="1"/>
    <w:link w:val="62"/>
    <w:qFormat/>
    <w:uiPriority w:val="99"/>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6"/>
    <w:qFormat/>
    <w:uiPriority w:val="99"/>
    <w:pPr>
      <w:spacing w:after="120"/>
    </w:pPr>
  </w:style>
  <w:style w:type="paragraph" w:styleId="12">
    <w:name w:val="toc 7"/>
    <w:basedOn w:val="1"/>
    <w:next w:val="1"/>
    <w:qFormat/>
    <w:uiPriority w:val="99"/>
    <w:pPr>
      <w:ind w:left="2520" w:leftChars="1200"/>
    </w:pPr>
  </w:style>
  <w:style w:type="paragraph" w:styleId="13">
    <w:name w:val="Normal Indent"/>
    <w:basedOn w:val="1"/>
    <w:qFormat/>
    <w:uiPriority w:val="99"/>
    <w:pPr>
      <w:ind w:firstLine="420" w:firstLineChars="200"/>
    </w:pPr>
  </w:style>
  <w:style w:type="paragraph" w:styleId="14">
    <w:name w:val="Document Map"/>
    <w:basedOn w:val="1"/>
    <w:link w:val="63"/>
    <w:qFormat/>
    <w:uiPriority w:val="99"/>
    <w:pPr>
      <w:shd w:val="clear" w:color="auto" w:fill="000080"/>
    </w:pPr>
  </w:style>
  <w:style w:type="paragraph" w:styleId="15">
    <w:name w:val="annotation text"/>
    <w:basedOn w:val="1"/>
    <w:link w:val="64"/>
    <w:qFormat/>
    <w:uiPriority w:val="99"/>
    <w:pPr>
      <w:adjustRightInd w:val="0"/>
      <w:spacing w:line="360" w:lineRule="atLeast"/>
      <w:jc w:val="left"/>
    </w:pPr>
    <w:rPr>
      <w:kern w:val="0"/>
      <w:sz w:val="24"/>
      <w:szCs w:val="20"/>
    </w:rPr>
  </w:style>
  <w:style w:type="paragraph" w:styleId="16">
    <w:name w:val="Body Text 3"/>
    <w:basedOn w:val="1"/>
    <w:link w:val="65"/>
    <w:qFormat/>
    <w:uiPriority w:val="99"/>
    <w:rPr>
      <w:rFonts w:ascii="宋体"/>
      <w:sz w:val="24"/>
      <w:szCs w:val="20"/>
    </w:rPr>
  </w:style>
  <w:style w:type="paragraph" w:styleId="17">
    <w:name w:val="Body Text Indent"/>
    <w:basedOn w:val="1"/>
    <w:link w:val="67"/>
    <w:qFormat/>
    <w:uiPriority w:val="99"/>
    <w:pPr>
      <w:spacing w:line="540" w:lineRule="exact"/>
      <w:ind w:right="210" w:rightChars="100" w:firstLine="719" w:firstLineChars="243"/>
      <w:jc w:val="left"/>
    </w:pPr>
    <w:rPr>
      <w:rFonts w:ascii="仿宋_GB2312" w:eastAsia="仿宋_GB2312"/>
      <w:spacing w:val="-12"/>
      <w:sz w:val="32"/>
    </w:rPr>
  </w:style>
  <w:style w:type="paragraph" w:styleId="18">
    <w:name w:val="toc 5"/>
    <w:basedOn w:val="1"/>
    <w:next w:val="1"/>
    <w:qFormat/>
    <w:uiPriority w:val="99"/>
    <w:pPr>
      <w:ind w:left="1680" w:leftChars="800"/>
    </w:pPr>
  </w:style>
  <w:style w:type="paragraph" w:styleId="19">
    <w:name w:val="toc 3"/>
    <w:basedOn w:val="1"/>
    <w:next w:val="1"/>
    <w:qFormat/>
    <w:uiPriority w:val="99"/>
    <w:pPr>
      <w:ind w:left="840" w:leftChars="400"/>
    </w:pPr>
  </w:style>
  <w:style w:type="paragraph" w:styleId="20">
    <w:name w:val="Plain Text"/>
    <w:basedOn w:val="1"/>
    <w:link w:val="68"/>
    <w:qFormat/>
    <w:uiPriority w:val="99"/>
    <w:rPr>
      <w:rFonts w:ascii="宋体" w:hAnsi="Courier New"/>
      <w:szCs w:val="20"/>
    </w:rPr>
  </w:style>
  <w:style w:type="paragraph" w:styleId="21">
    <w:name w:val="toc 8"/>
    <w:basedOn w:val="1"/>
    <w:next w:val="1"/>
    <w:qFormat/>
    <w:uiPriority w:val="99"/>
    <w:pPr>
      <w:ind w:left="2940" w:leftChars="1400"/>
    </w:pPr>
  </w:style>
  <w:style w:type="paragraph" w:styleId="22">
    <w:name w:val="Date"/>
    <w:basedOn w:val="1"/>
    <w:next w:val="1"/>
    <w:link w:val="69"/>
    <w:qFormat/>
    <w:uiPriority w:val="99"/>
    <w:rPr>
      <w:rFonts w:ascii="宋体" w:hAnsi="宋体"/>
      <w:sz w:val="24"/>
      <w:szCs w:val="20"/>
    </w:rPr>
  </w:style>
  <w:style w:type="paragraph" w:styleId="23">
    <w:name w:val="Body Text Indent 2"/>
    <w:basedOn w:val="1"/>
    <w:link w:val="70"/>
    <w:qFormat/>
    <w:uiPriority w:val="99"/>
    <w:pPr>
      <w:spacing w:after="120" w:line="480" w:lineRule="auto"/>
      <w:ind w:left="420" w:leftChars="200"/>
    </w:pPr>
    <w:rPr>
      <w:szCs w:val="20"/>
    </w:rPr>
  </w:style>
  <w:style w:type="paragraph" w:styleId="24">
    <w:name w:val="endnote text"/>
    <w:basedOn w:val="1"/>
    <w:link w:val="71"/>
    <w:qFormat/>
    <w:uiPriority w:val="99"/>
    <w:pPr>
      <w:snapToGrid w:val="0"/>
    </w:pPr>
    <w:rPr>
      <w:szCs w:val="20"/>
    </w:rPr>
  </w:style>
  <w:style w:type="paragraph" w:styleId="25">
    <w:name w:val="Balloon Text"/>
    <w:basedOn w:val="1"/>
    <w:link w:val="72"/>
    <w:qFormat/>
    <w:uiPriority w:val="99"/>
    <w:rPr>
      <w:sz w:val="18"/>
      <w:szCs w:val="18"/>
    </w:rPr>
  </w:style>
  <w:style w:type="paragraph" w:styleId="26">
    <w:name w:val="footer"/>
    <w:basedOn w:val="1"/>
    <w:link w:val="73"/>
    <w:qFormat/>
    <w:uiPriority w:val="99"/>
    <w:pPr>
      <w:tabs>
        <w:tab w:val="center" w:pos="4153"/>
        <w:tab w:val="right" w:pos="8306"/>
      </w:tabs>
      <w:snapToGrid w:val="0"/>
      <w:jc w:val="left"/>
    </w:pPr>
    <w:rPr>
      <w:sz w:val="18"/>
      <w:szCs w:val="18"/>
    </w:rPr>
  </w:style>
  <w:style w:type="paragraph" w:styleId="27">
    <w:name w:val="header"/>
    <w:basedOn w:val="1"/>
    <w:link w:val="74"/>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99"/>
    <w:pPr>
      <w:tabs>
        <w:tab w:val="right" w:leader="dot" w:pos="8820"/>
      </w:tabs>
      <w:spacing w:line="440" w:lineRule="exact"/>
    </w:pPr>
  </w:style>
  <w:style w:type="paragraph" w:styleId="29">
    <w:name w:val="toc 4"/>
    <w:basedOn w:val="1"/>
    <w:next w:val="1"/>
    <w:qFormat/>
    <w:uiPriority w:val="99"/>
    <w:pPr>
      <w:ind w:left="1260" w:leftChars="600"/>
    </w:pPr>
  </w:style>
  <w:style w:type="paragraph" w:styleId="30">
    <w:name w:val="toc 6"/>
    <w:basedOn w:val="1"/>
    <w:next w:val="1"/>
    <w:qFormat/>
    <w:uiPriority w:val="99"/>
    <w:pPr>
      <w:ind w:left="2100" w:leftChars="1000"/>
    </w:pPr>
  </w:style>
  <w:style w:type="paragraph" w:styleId="31">
    <w:name w:val="Body Text Indent 3"/>
    <w:basedOn w:val="1"/>
    <w:link w:val="75"/>
    <w:qFormat/>
    <w:uiPriority w:val="99"/>
    <w:pPr>
      <w:spacing w:after="120"/>
      <w:ind w:left="420" w:leftChars="200"/>
    </w:pPr>
    <w:rPr>
      <w:sz w:val="16"/>
      <w:szCs w:val="16"/>
    </w:rPr>
  </w:style>
  <w:style w:type="paragraph" w:styleId="32">
    <w:name w:val="toc 2"/>
    <w:basedOn w:val="1"/>
    <w:next w:val="1"/>
    <w:qFormat/>
    <w:uiPriority w:val="99"/>
    <w:pPr>
      <w:tabs>
        <w:tab w:val="right" w:leader="dot" w:pos="8834"/>
      </w:tabs>
      <w:spacing w:line="360" w:lineRule="auto"/>
      <w:ind w:left="420" w:leftChars="200"/>
    </w:pPr>
  </w:style>
  <w:style w:type="paragraph" w:styleId="33">
    <w:name w:val="toc 9"/>
    <w:basedOn w:val="1"/>
    <w:next w:val="1"/>
    <w:qFormat/>
    <w:uiPriority w:val="99"/>
    <w:pPr>
      <w:ind w:left="3360" w:leftChars="1600"/>
    </w:pPr>
  </w:style>
  <w:style w:type="paragraph" w:styleId="34">
    <w:name w:val="Body Text 2"/>
    <w:basedOn w:val="1"/>
    <w:link w:val="76"/>
    <w:qFormat/>
    <w:uiPriority w:val="99"/>
    <w:rPr>
      <w:rFonts w:ascii="楷体_GB2312" w:eastAsia="楷体_GB2312"/>
      <w:b/>
      <w:sz w:val="32"/>
      <w:szCs w:val="20"/>
    </w:rPr>
  </w:style>
  <w:style w:type="paragraph" w:styleId="35">
    <w:name w:val="Normal (Web)"/>
    <w:basedOn w:val="1"/>
    <w:qFormat/>
    <w:uiPriority w:val="99"/>
    <w:pPr>
      <w:widowControl/>
      <w:spacing w:before="100" w:beforeAutospacing="1" w:after="100" w:afterAutospacing="1"/>
      <w:jc w:val="left"/>
    </w:pPr>
    <w:rPr>
      <w:rFonts w:ascii="宋体" w:hAnsi="宋体"/>
      <w:kern w:val="0"/>
      <w:sz w:val="24"/>
    </w:rPr>
  </w:style>
  <w:style w:type="paragraph" w:styleId="36">
    <w:name w:val="index 1"/>
    <w:basedOn w:val="1"/>
    <w:next w:val="1"/>
    <w:qFormat/>
    <w:uiPriority w:val="99"/>
    <w:pPr>
      <w:spacing w:line="220" w:lineRule="exact"/>
      <w:jc w:val="center"/>
    </w:pPr>
    <w:rPr>
      <w:rFonts w:ascii="仿宋_GB2312" w:eastAsia="仿宋_GB2312"/>
      <w:szCs w:val="21"/>
    </w:rPr>
  </w:style>
  <w:style w:type="paragraph" w:styleId="37">
    <w:name w:val="Title"/>
    <w:basedOn w:val="1"/>
    <w:link w:val="77"/>
    <w:qFormat/>
    <w:uiPriority w:val="99"/>
    <w:pPr>
      <w:adjustRightInd w:val="0"/>
      <w:spacing w:before="240" w:after="60" w:line="420" w:lineRule="atLeast"/>
      <w:jc w:val="center"/>
      <w:outlineLvl w:val="0"/>
    </w:pPr>
    <w:rPr>
      <w:rFonts w:ascii="Arial" w:hAnsi="Arial" w:cs="Arial"/>
      <w:b/>
      <w:kern w:val="0"/>
      <w:sz w:val="32"/>
      <w:szCs w:val="20"/>
    </w:rPr>
  </w:style>
  <w:style w:type="character" w:styleId="40">
    <w:name w:val="Strong"/>
    <w:basedOn w:val="39"/>
    <w:qFormat/>
    <w:locked/>
    <w:uiPriority w:val="22"/>
    <w:rPr>
      <w:b/>
    </w:rPr>
  </w:style>
  <w:style w:type="character" w:styleId="41">
    <w:name w:val="page number"/>
    <w:basedOn w:val="39"/>
    <w:qFormat/>
    <w:uiPriority w:val="99"/>
    <w:rPr>
      <w:rFonts w:cs="Times New Roman"/>
    </w:rPr>
  </w:style>
  <w:style w:type="character" w:styleId="42">
    <w:name w:val="FollowedHyperlink"/>
    <w:basedOn w:val="39"/>
    <w:qFormat/>
    <w:uiPriority w:val="99"/>
    <w:rPr>
      <w:rFonts w:cs="Times New Roman"/>
      <w:color w:val="800080"/>
      <w:u w:val="single"/>
    </w:rPr>
  </w:style>
  <w:style w:type="character" w:styleId="43">
    <w:name w:val="Emphasis"/>
    <w:basedOn w:val="39"/>
    <w:qFormat/>
    <w:locked/>
    <w:uiPriority w:val="20"/>
    <w:rPr>
      <w:b/>
    </w:rPr>
  </w:style>
  <w:style w:type="character" w:styleId="44">
    <w:name w:val="HTML Definition"/>
    <w:basedOn w:val="39"/>
    <w:qFormat/>
    <w:uiPriority w:val="0"/>
  </w:style>
  <w:style w:type="character" w:styleId="45">
    <w:name w:val="HTML Typewriter"/>
    <w:basedOn w:val="39"/>
    <w:qFormat/>
    <w:uiPriority w:val="0"/>
    <w:rPr>
      <w:rFonts w:ascii="monospace" w:hAnsi="monospace" w:eastAsia="monospace" w:cs="monospace"/>
      <w:sz w:val="20"/>
    </w:rPr>
  </w:style>
  <w:style w:type="character" w:styleId="46">
    <w:name w:val="HTML Acronym"/>
    <w:basedOn w:val="39"/>
    <w:qFormat/>
    <w:uiPriority w:val="0"/>
  </w:style>
  <w:style w:type="character" w:styleId="47">
    <w:name w:val="HTML Variable"/>
    <w:basedOn w:val="39"/>
    <w:qFormat/>
    <w:uiPriority w:val="0"/>
  </w:style>
  <w:style w:type="character" w:styleId="48">
    <w:name w:val="Hyperlink"/>
    <w:basedOn w:val="39"/>
    <w:qFormat/>
    <w:uiPriority w:val="99"/>
    <w:rPr>
      <w:rFonts w:cs="Times New Roman"/>
      <w:color w:val="0000FF"/>
      <w:u w:val="single"/>
    </w:rPr>
  </w:style>
  <w:style w:type="character" w:styleId="49">
    <w:name w:val="HTML Code"/>
    <w:basedOn w:val="39"/>
    <w:qFormat/>
    <w:uiPriority w:val="0"/>
    <w:rPr>
      <w:rFonts w:hint="default" w:ascii="monospace" w:hAnsi="monospace" w:eastAsia="monospace" w:cs="monospace"/>
      <w:sz w:val="20"/>
    </w:rPr>
  </w:style>
  <w:style w:type="character" w:styleId="50">
    <w:name w:val="annotation reference"/>
    <w:basedOn w:val="39"/>
    <w:qFormat/>
    <w:uiPriority w:val="99"/>
    <w:rPr>
      <w:rFonts w:cs="Times New Roman"/>
      <w:sz w:val="21"/>
    </w:rPr>
  </w:style>
  <w:style w:type="character" w:styleId="51">
    <w:name w:val="HTML Cite"/>
    <w:basedOn w:val="39"/>
    <w:qFormat/>
    <w:uiPriority w:val="0"/>
  </w:style>
  <w:style w:type="character" w:styleId="52">
    <w:name w:val="HTML Keyboard"/>
    <w:basedOn w:val="39"/>
    <w:qFormat/>
    <w:uiPriority w:val="0"/>
    <w:rPr>
      <w:rFonts w:hint="default" w:ascii="monospace" w:hAnsi="monospace" w:eastAsia="monospace" w:cs="monospace"/>
      <w:sz w:val="20"/>
    </w:rPr>
  </w:style>
  <w:style w:type="character" w:styleId="53">
    <w:name w:val="HTML Sample"/>
    <w:basedOn w:val="39"/>
    <w:qFormat/>
    <w:uiPriority w:val="0"/>
    <w:rPr>
      <w:rFonts w:hint="default" w:ascii="monospace" w:hAnsi="monospace" w:eastAsia="monospace" w:cs="monospace"/>
    </w:rPr>
  </w:style>
  <w:style w:type="character" w:customStyle="1" w:styleId="54">
    <w:name w:val="标题 1 Char"/>
    <w:basedOn w:val="39"/>
    <w:link w:val="3"/>
    <w:qFormat/>
    <w:uiPriority w:val="9"/>
    <w:rPr>
      <w:b/>
      <w:bCs/>
      <w:kern w:val="44"/>
      <w:sz w:val="44"/>
      <w:szCs w:val="44"/>
    </w:rPr>
  </w:style>
  <w:style w:type="character" w:customStyle="1" w:styleId="55">
    <w:name w:val="标题 2 Char"/>
    <w:basedOn w:val="39"/>
    <w:link w:val="4"/>
    <w:qFormat/>
    <w:locked/>
    <w:uiPriority w:val="99"/>
    <w:rPr>
      <w:rFonts w:ascii="Arial" w:hAnsi="Arial" w:eastAsia="黑体"/>
      <w:b/>
      <w:kern w:val="2"/>
      <w:sz w:val="32"/>
      <w:lang w:val="en-US" w:eastAsia="zh-CN"/>
    </w:rPr>
  </w:style>
  <w:style w:type="character" w:customStyle="1" w:styleId="56">
    <w:name w:val="标题 3 Char"/>
    <w:basedOn w:val="39"/>
    <w:link w:val="5"/>
    <w:semiHidden/>
    <w:qFormat/>
    <w:uiPriority w:val="9"/>
    <w:rPr>
      <w:b/>
      <w:bCs/>
      <w:sz w:val="32"/>
      <w:szCs w:val="32"/>
    </w:rPr>
  </w:style>
  <w:style w:type="character" w:customStyle="1" w:styleId="57">
    <w:name w:val="标题 4 Char"/>
    <w:basedOn w:val="39"/>
    <w:link w:val="6"/>
    <w:semiHidden/>
    <w:qFormat/>
    <w:uiPriority w:val="9"/>
    <w:rPr>
      <w:rFonts w:asciiTheme="majorHAnsi" w:hAnsiTheme="majorHAnsi" w:eastAsiaTheme="majorEastAsia" w:cstheme="majorBidi"/>
      <w:b/>
      <w:bCs/>
      <w:sz w:val="28"/>
      <w:szCs w:val="28"/>
    </w:rPr>
  </w:style>
  <w:style w:type="character" w:customStyle="1" w:styleId="58">
    <w:name w:val="标题 5 Char"/>
    <w:basedOn w:val="39"/>
    <w:link w:val="7"/>
    <w:qFormat/>
    <w:locked/>
    <w:uiPriority w:val="99"/>
    <w:rPr>
      <w:rFonts w:eastAsia="宋体"/>
      <w:b/>
      <w:kern w:val="2"/>
      <w:sz w:val="28"/>
      <w:lang w:val="en-US" w:eastAsia="zh-CN"/>
    </w:rPr>
  </w:style>
  <w:style w:type="character" w:customStyle="1" w:styleId="59">
    <w:name w:val="标题 6 Char"/>
    <w:basedOn w:val="39"/>
    <w:link w:val="8"/>
    <w:semiHidden/>
    <w:qFormat/>
    <w:uiPriority w:val="9"/>
    <w:rPr>
      <w:rFonts w:asciiTheme="majorHAnsi" w:hAnsiTheme="majorHAnsi" w:eastAsiaTheme="majorEastAsia" w:cstheme="majorBidi"/>
      <w:b/>
      <w:bCs/>
      <w:sz w:val="24"/>
      <w:szCs w:val="24"/>
    </w:rPr>
  </w:style>
  <w:style w:type="character" w:customStyle="1" w:styleId="60">
    <w:name w:val="标题 7 Char"/>
    <w:basedOn w:val="39"/>
    <w:link w:val="9"/>
    <w:semiHidden/>
    <w:qFormat/>
    <w:uiPriority w:val="9"/>
    <w:rPr>
      <w:b/>
      <w:bCs/>
      <w:sz w:val="24"/>
      <w:szCs w:val="24"/>
    </w:rPr>
  </w:style>
  <w:style w:type="character" w:customStyle="1" w:styleId="61">
    <w:name w:val="标题 8 Char"/>
    <w:basedOn w:val="39"/>
    <w:link w:val="10"/>
    <w:semiHidden/>
    <w:qFormat/>
    <w:uiPriority w:val="9"/>
    <w:rPr>
      <w:rFonts w:asciiTheme="majorHAnsi" w:hAnsiTheme="majorHAnsi" w:eastAsiaTheme="majorEastAsia" w:cstheme="majorBidi"/>
      <w:sz w:val="24"/>
      <w:szCs w:val="24"/>
    </w:rPr>
  </w:style>
  <w:style w:type="character" w:customStyle="1" w:styleId="62">
    <w:name w:val="标题 9 Char"/>
    <w:basedOn w:val="39"/>
    <w:link w:val="11"/>
    <w:semiHidden/>
    <w:qFormat/>
    <w:uiPriority w:val="9"/>
    <w:rPr>
      <w:rFonts w:asciiTheme="majorHAnsi" w:hAnsiTheme="majorHAnsi" w:eastAsiaTheme="majorEastAsia" w:cstheme="majorBidi"/>
      <w:szCs w:val="21"/>
    </w:rPr>
  </w:style>
  <w:style w:type="character" w:customStyle="1" w:styleId="63">
    <w:name w:val="文档结构图 Char"/>
    <w:basedOn w:val="39"/>
    <w:link w:val="14"/>
    <w:semiHidden/>
    <w:qFormat/>
    <w:uiPriority w:val="99"/>
    <w:rPr>
      <w:sz w:val="0"/>
      <w:szCs w:val="0"/>
    </w:rPr>
  </w:style>
  <w:style w:type="character" w:customStyle="1" w:styleId="64">
    <w:name w:val="批注文字 Char"/>
    <w:basedOn w:val="39"/>
    <w:link w:val="15"/>
    <w:semiHidden/>
    <w:qFormat/>
    <w:uiPriority w:val="99"/>
    <w:rPr>
      <w:szCs w:val="24"/>
    </w:rPr>
  </w:style>
  <w:style w:type="character" w:customStyle="1" w:styleId="65">
    <w:name w:val="正文文本 3 Char"/>
    <w:basedOn w:val="39"/>
    <w:link w:val="16"/>
    <w:semiHidden/>
    <w:qFormat/>
    <w:uiPriority w:val="99"/>
    <w:rPr>
      <w:sz w:val="16"/>
      <w:szCs w:val="16"/>
    </w:rPr>
  </w:style>
  <w:style w:type="character" w:customStyle="1" w:styleId="66">
    <w:name w:val="正文文本 Char"/>
    <w:basedOn w:val="39"/>
    <w:link w:val="2"/>
    <w:semiHidden/>
    <w:qFormat/>
    <w:uiPriority w:val="99"/>
    <w:rPr>
      <w:szCs w:val="24"/>
    </w:rPr>
  </w:style>
  <w:style w:type="character" w:customStyle="1" w:styleId="67">
    <w:name w:val="正文文本缩进 Char"/>
    <w:basedOn w:val="39"/>
    <w:link w:val="17"/>
    <w:qFormat/>
    <w:locked/>
    <w:uiPriority w:val="99"/>
    <w:rPr>
      <w:rFonts w:ascii="仿宋_GB2312" w:eastAsia="仿宋_GB2312" w:cs="Times New Roman"/>
      <w:spacing w:val="-12"/>
      <w:kern w:val="2"/>
      <w:sz w:val="24"/>
      <w:szCs w:val="24"/>
    </w:rPr>
  </w:style>
  <w:style w:type="character" w:customStyle="1" w:styleId="68">
    <w:name w:val="纯文本 Char"/>
    <w:basedOn w:val="39"/>
    <w:link w:val="20"/>
    <w:qFormat/>
    <w:locked/>
    <w:uiPriority w:val="99"/>
    <w:rPr>
      <w:rFonts w:ascii="宋体" w:hAnsi="Courier New" w:eastAsia="宋体"/>
      <w:kern w:val="2"/>
      <w:sz w:val="21"/>
      <w:lang w:val="en-US" w:eastAsia="zh-CN"/>
    </w:rPr>
  </w:style>
  <w:style w:type="character" w:customStyle="1" w:styleId="69">
    <w:name w:val="日期 Char"/>
    <w:basedOn w:val="39"/>
    <w:link w:val="22"/>
    <w:qFormat/>
    <w:locked/>
    <w:uiPriority w:val="99"/>
    <w:rPr>
      <w:rFonts w:ascii="宋体" w:hAnsi="宋体" w:eastAsia="宋体"/>
      <w:kern w:val="2"/>
      <w:sz w:val="24"/>
      <w:lang w:val="en-US" w:eastAsia="zh-CN"/>
    </w:rPr>
  </w:style>
  <w:style w:type="character" w:customStyle="1" w:styleId="70">
    <w:name w:val="正文文本缩进 2 Char"/>
    <w:basedOn w:val="39"/>
    <w:link w:val="23"/>
    <w:semiHidden/>
    <w:qFormat/>
    <w:uiPriority w:val="99"/>
    <w:rPr>
      <w:szCs w:val="24"/>
    </w:rPr>
  </w:style>
  <w:style w:type="character" w:customStyle="1" w:styleId="71">
    <w:name w:val="尾注文本 Char"/>
    <w:basedOn w:val="39"/>
    <w:link w:val="24"/>
    <w:semiHidden/>
    <w:qFormat/>
    <w:uiPriority w:val="99"/>
    <w:rPr>
      <w:szCs w:val="24"/>
    </w:rPr>
  </w:style>
  <w:style w:type="character" w:customStyle="1" w:styleId="72">
    <w:name w:val="批注框文本 Char"/>
    <w:basedOn w:val="39"/>
    <w:link w:val="25"/>
    <w:semiHidden/>
    <w:qFormat/>
    <w:uiPriority w:val="99"/>
    <w:rPr>
      <w:sz w:val="0"/>
      <w:szCs w:val="0"/>
    </w:rPr>
  </w:style>
  <w:style w:type="character" w:customStyle="1" w:styleId="73">
    <w:name w:val="页脚 Char"/>
    <w:basedOn w:val="39"/>
    <w:link w:val="26"/>
    <w:qFormat/>
    <w:locked/>
    <w:uiPriority w:val="99"/>
    <w:rPr>
      <w:rFonts w:eastAsia="宋体"/>
      <w:kern w:val="2"/>
      <w:sz w:val="18"/>
      <w:lang w:val="en-US" w:eastAsia="zh-CN"/>
    </w:rPr>
  </w:style>
  <w:style w:type="character" w:customStyle="1" w:styleId="74">
    <w:name w:val="页眉 Char"/>
    <w:basedOn w:val="39"/>
    <w:link w:val="27"/>
    <w:semiHidden/>
    <w:qFormat/>
    <w:uiPriority w:val="99"/>
    <w:rPr>
      <w:sz w:val="18"/>
      <w:szCs w:val="18"/>
    </w:rPr>
  </w:style>
  <w:style w:type="character" w:customStyle="1" w:styleId="75">
    <w:name w:val="正文文本缩进 3 Char"/>
    <w:basedOn w:val="39"/>
    <w:link w:val="31"/>
    <w:semiHidden/>
    <w:qFormat/>
    <w:uiPriority w:val="99"/>
    <w:rPr>
      <w:sz w:val="16"/>
      <w:szCs w:val="16"/>
    </w:rPr>
  </w:style>
  <w:style w:type="character" w:customStyle="1" w:styleId="76">
    <w:name w:val="正文文本 2 Char"/>
    <w:basedOn w:val="39"/>
    <w:link w:val="34"/>
    <w:semiHidden/>
    <w:qFormat/>
    <w:uiPriority w:val="99"/>
    <w:rPr>
      <w:szCs w:val="24"/>
    </w:rPr>
  </w:style>
  <w:style w:type="character" w:customStyle="1" w:styleId="77">
    <w:name w:val="标题 Char"/>
    <w:basedOn w:val="39"/>
    <w:link w:val="37"/>
    <w:qFormat/>
    <w:locked/>
    <w:uiPriority w:val="99"/>
    <w:rPr>
      <w:rFonts w:ascii="Arial" w:hAnsi="Arial" w:eastAsia="宋体"/>
      <w:b/>
      <w:sz w:val="32"/>
      <w:lang w:val="en-US" w:eastAsia="zh-CN"/>
    </w:rPr>
  </w:style>
  <w:style w:type="character" w:customStyle="1" w:styleId="78">
    <w:name w:val="style11"/>
    <w:basedOn w:val="39"/>
    <w:qFormat/>
    <w:uiPriority w:val="99"/>
    <w:rPr>
      <w:rFonts w:cs="Times New Roman"/>
    </w:rPr>
  </w:style>
  <w:style w:type="character" w:customStyle="1" w:styleId="79">
    <w:name w:val="apple-style-span"/>
    <w:basedOn w:val="39"/>
    <w:qFormat/>
    <w:uiPriority w:val="99"/>
    <w:rPr>
      <w:rFonts w:cs="Times New Roman"/>
    </w:rPr>
  </w:style>
  <w:style w:type="character" w:customStyle="1" w:styleId="80">
    <w:name w:val="font161"/>
    <w:qFormat/>
    <w:uiPriority w:val="99"/>
    <w:rPr>
      <w:b/>
      <w:sz w:val="32"/>
    </w:rPr>
  </w:style>
  <w:style w:type="paragraph" w:customStyle="1" w:styleId="81">
    <w:name w:val="样式 标题 3 + (中文) 黑体 小四 非加粗 段前: 7.8 磅 段后: 0 磅 行距: 固定值 20 磅"/>
    <w:basedOn w:val="5"/>
    <w:qFormat/>
    <w:uiPriority w:val="99"/>
    <w:pPr>
      <w:spacing w:before="0" w:after="0" w:line="400" w:lineRule="exact"/>
    </w:pPr>
    <w:rPr>
      <w:rFonts w:eastAsia="黑体" w:cs="宋体"/>
      <w:b w:val="0"/>
      <w:bCs w:val="0"/>
      <w:sz w:val="24"/>
      <w:szCs w:val="20"/>
    </w:rPr>
  </w:style>
  <w:style w:type="paragraph" w:customStyle="1" w:styleId="82">
    <w:name w:val="正文1"/>
    <w:qFormat/>
    <w:uiPriority w:val="99"/>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83">
    <w:name w:val="样式 标题 2 + Times New Roman 四号 非加粗 段前: 5 磅 段后: 0 磅 行距: 固定值 20..."/>
    <w:basedOn w:val="4"/>
    <w:qFormat/>
    <w:uiPriority w:val="99"/>
    <w:pPr>
      <w:spacing w:before="100" w:after="0" w:line="400" w:lineRule="exact"/>
    </w:pPr>
    <w:rPr>
      <w:rFonts w:ascii="Times New Roman" w:hAnsi="Times New Roman" w:cs="宋体"/>
      <w:b w:val="0"/>
      <w:bCs w:val="0"/>
      <w:sz w:val="28"/>
      <w:szCs w:val="20"/>
    </w:rPr>
  </w:style>
  <w:style w:type="paragraph" w:customStyle="1" w:styleId="84">
    <w:name w:val="表格文字"/>
    <w:basedOn w:val="1"/>
    <w:qFormat/>
    <w:uiPriority w:val="99"/>
    <w:pPr>
      <w:adjustRightInd w:val="0"/>
      <w:spacing w:line="420" w:lineRule="atLeast"/>
      <w:jc w:val="left"/>
    </w:pPr>
    <w:rPr>
      <w:kern w:val="0"/>
      <w:szCs w:val="20"/>
    </w:rPr>
  </w:style>
  <w:style w:type="paragraph" w:customStyle="1" w:styleId="85">
    <w:name w:val="Char2"/>
    <w:basedOn w:val="1"/>
    <w:qFormat/>
    <w:uiPriority w:val="99"/>
  </w:style>
  <w:style w:type="paragraph" w:customStyle="1" w:styleId="86">
    <w:name w:val="Char"/>
    <w:basedOn w:val="1"/>
    <w:qFormat/>
    <w:uiPriority w:val="99"/>
    <w:pPr>
      <w:spacing w:line="360" w:lineRule="auto"/>
    </w:pPr>
    <w:rPr>
      <w:rFonts w:ascii="仿宋_GB2312" w:eastAsia="仿宋_GB2312"/>
      <w:b/>
      <w:sz w:val="32"/>
      <w:szCs w:val="20"/>
    </w:rPr>
  </w:style>
  <w:style w:type="paragraph" w:customStyle="1" w:styleId="87">
    <w:name w:val="样式1"/>
    <w:basedOn w:val="1"/>
    <w:qFormat/>
    <w:uiPriority w:val="99"/>
    <w:pPr>
      <w:spacing w:before="120" w:after="120" w:line="300" w:lineRule="auto"/>
    </w:pPr>
    <w:rPr>
      <w:rFonts w:ascii="宋体" w:hAnsi="宋体"/>
      <w:b/>
      <w:sz w:val="24"/>
      <w:szCs w:val="20"/>
    </w:rPr>
  </w:style>
  <w:style w:type="paragraph" w:customStyle="1" w:styleId="88">
    <w:name w:val="Blockquote"/>
    <w:basedOn w:val="1"/>
    <w:qFormat/>
    <w:uiPriority w:val="99"/>
    <w:pPr>
      <w:autoSpaceDE w:val="0"/>
      <w:autoSpaceDN w:val="0"/>
      <w:adjustRightInd w:val="0"/>
      <w:spacing w:before="100" w:after="100"/>
      <w:ind w:left="360" w:right="360"/>
      <w:jc w:val="left"/>
    </w:pPr>
    <w:rPr>
      <w:kern w:val="0"/>
      <w:sz w:val="24"/>
      <w:szCs w:val="20"/>
    </w:rPr>
  </w:style>
  <w:style w:type="paragraph" w:customStyle="1" w:styleId="89">
    <w:name w:val="目录"/>
    <w:basedOn w:val="1"/>
    <w:qFormat/>
    <w:uiPriority w:val="99"/>
    <w:pPr>
      <w:widowControl/>
      <w:jc w:val="center"/>
    </w:pPr>
    <w:rPr>
      <w:rFonts w:ascii="宋体"/>
      <w:b/>
      <w:kern w:val="0"/>
      <w:sz w:val="36"/>
      <w:szCs w:val="20"/>
    </w:rPr>
  </w:style>
  <w:style w:type="paragraph" w:customStyle="1" w:styleId="90">
    <w:name w:val="目录文字"/>
    <w:basedOn w:val="1"/>
    <w:qFormat/>
    <w:uiPriority w:val="99"/>
    <w:pPr>
      <w:widowControl/>
      <w:spacing w:line="480" w:lineRule="auto"/>
      <w:jc w:val="left"/>
    </w:pPr>
    <w:rPr>
      <w:rFonts w:ascii="宋体" w:hAnsi="宋体"/>
      <w:kern w:val="0"/>
      <w:sz w:val="24"/>
      <w:szCs w:val="20"/>
    </w:rPr>
  </w:style>
  <w:style w:type="paragraph" w:customStyle="1" w:styleId="91">
    <w:name w:val="style1"/>
    <w:basedOn w:val="1"/>
    <w:qFormat/>
    <w:uiPriority w:val="99"/>
    <w:pPr>
      <w:widowControl/>
      <w:spacing w:before="100" w:beforeAutospacing="1" w:after="100" w:afterAutospacing="1"/>
      <w:jc w:val="left"/>
    </w:pPr>
    <w:rPr>
      <w:rFonts w:ascii="Arial Unicode MS" w:hAnsi="Arial Unicode MS" w:cs="Arial Unicode MS"/>
      <w:kern w:val="0"/>
      <w:sz w:val="24"/>
    </w:rPr>
  </w:style>
  <w:style w:type="paragraph" w:customStyle="1" w:styleId="92">
    <w:name w:val="文档正文"/>
    <w:basedOn w:val="1"/>
    <w:qFormat/>
    <w:uiPriority w:val="99"/>
    <w:pPr>
      <w:adjustRightInd w:val="0"/>
      <w:spacing w:line="480" w:lineRule="atLeast"/>
      <w:ind w:firstLine="567"/>
      <w:textAlignment w:val="baseline"/>
    </w:pPr>
    <w:rPr>
      <w:rFonts w:ascii="仿宋_GB2312" w:eastAsia="仿宋_GB2312"/>
      <w:kern w:val="0"/>
      <w:sz w:val="28"/>
      <w:szCs w:val="20"/>
    </w:rPr>
  </w:style>
  <w:style w:type="paragraph" w:customStyle="1" w:styleId="93">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4">
    <w:name w:val="表头"/>
    <w:basedOn w:val="1"/>
    <w:qFormat/>
    <w:uiPriority w:val="99"/>
    <w:pPr>
      <w:spacing w:line="360" w:lineRule="auto"/>
      <w:jc w:val="center"/>
    </w:pPr>
    <w:rPr>
      <w:rFonts w:ascii="黑体" w:eastAsia="黑体"/>
      <w:kern w:val="0"/>
      <w:sz w:val="24"/>
      <w:szCs w:val="20"/>
    </w:rPr>
  </w:style>
  <w:style w:type="paragraph" w:customStyle="1" w:styleId="95">
    <w:name w:val="1"/>
    <w:basedOn w:val="1"/>
    <w:next w:val="1"/>
    <w:qFormat/>
    <w:uiPriority w:val="99"/>
  </w:style>
  <w:style w:type="paragraph" w:customStyle="1" w:styleId="96">
    <w:name w:val="6'"/>
    <w:basedOn w:val="1"/>
    <w:qFormat/>
    <w:uiPriority w:val="99"/>
    <w:pPr>
      <w:autoSpaceDE w:val="0"/>
      <w:autoSpaceDN w:val="0"/>
      <w:adjustRightInd w:val="0"/>
      <w:snapToGrid w:val="0"/>
      <w:spacing w:line="320" w:lineRule="exact"/>
      <w:jc w:val="center"/>
    </w:pPr>
    <w:rPr>
      <w:spacing w:val="20"/>
      <w:kern w:val="28"/>
      <w:szCs w:val="20"/>
    </w:rPr>
  </w:style>
  <w:style w:type="paragraph" w:customStyle="1" w:styleId="97">
    <w:name w:val="_Style 14"/>
    <w:basedOn w:val="1"/>
    <w:qFormat/>
    <w:uiPriority w:val="99"/>
    <w:pPr>
      <w:spacing w:line="360" w:lineRule="auto"/>
    </w:pPr>
    <w:rPr>
      <w:szCs w:val="20"/>
    </w:rPr>
  </w:style>
  <w:style w:type="paragraph" w:customStyle="1" w:styleId="98">
    <w:name w:val="Char1"/>
    <w:basedOn w:val="1"/>
    <w:qFormat/>
    <w:uiPriority w:val="99"/>
    <w:pPr>
      <w:spacing w:line="360" w:lineRule="auto"/>
    </w:pPr>
    <w:rPr>
      <w:rFonts w:ascii="仿宋_GB2312" w:eastAsia="仿宋_GB2312"/>
      <w:b/>
      <w:sz w:val="32"/>
      <w:szCs w:val="20"/>
    </w:rPr>
  </w:style>
  <w:style w:type="paragraph" w:customStyle="1" w:styleId="99">
    <w:name w:val="p0"/>
    <w:basedOn w:val="1"/>
    <w:qFormat/>
    <w:uiPriority w:val="99"/>
    <w:pPr>
      <w:widowControl/>
    </w:pPr>
    <w:rPr>
      <w:kern w:val="0"/>
      <w:szCs w:val="21"/>
    </w:rPr>
  </w:style>
  <w:style w:type="paragraph" w:customStyle="1" w:styleId="100">
    <w:name w:val="样式 标题 1 + 黑体 三号 非加粗 居中 段前: 6 磅 段后: 6 磅 行距: 固定值 20 磅"/>
    <w:basedOn w:val="3"/>
    <w:qFormat/>
    <w:uiPriority w:val="99"/>
    <w:pPr>
      <w:spacing w:before="120" w:after="120" w:line="400" w:lineRule="exact"/>
      <w:jc w:val="center"/>
    </w:pPr>
    <w:rPr>
      <w:rFonts w:ascii="黑体" w:hAnsi="黑体" w:eastAsia="黑体" w:cs="宋体"/>
      <w:b w:val="0"/>
      <w:bCs w:val="0"/>
      <w:sz w:val="32"/>
      <w:szCs w:val="20"/>
    </w:rPr>
  </w:style>
  <w:style w:type="paragraph" w:customStyle="1" w:styleId="101">
    <w:name w:val="表格"/>
    <w:basedOn w:val="1"/>
    <w:qFormat/>
    <w:uiPriority w:val="99"/>
    <w:pPr>
      <w:jc w:val="center"/>
    </w:pPr>
    <w:rPr>
      <w:rFonts w:ascii="华文细黑" w:hAnsi="华文细黑"/>
      <w:kern w:val="0"/>
      <w:szCs w:val="20"/>
    </w:rPr>
  </w:style>
  <w:style w:type="paragraph" w:customStyle="1" w:styleId="102">
    <w:name w:val="xl52"/>
    <w:basedOn w:val="1"/>
    <w:qFormat/>
    <w:uiPriority w:val="99"/>
    <w:pPr>
      <w:widowControl/>
      <w:spacing w:before="100" w:beforeAutospacing="1" w:after="100" w:afterAutospacing="1"/>
      <w:jc w:val="center"/>
    </w:pPr>
    <w:rPr>
      <w:rFonts w:ascii="Arial Unicode MS" w:hAnsi="Arial Unicode MS"/>
      <w:b/>
      <w:kern w:val="0"/>
      <w:sz w:val="32"/>
      <w:szCs w:val="20"/>
    </w:rPr>
  </w:style>
  <w:style w:type="paragraph" w:customStyle="1" w:styleId="103">
    <w:name w:val="Char Char Char Char Char Char Char"/>
    <w:basedOn w:val="1"/>
    <w:qFormat/>
    <w:uiPriority w:val="99"/>
    <w:pPr>
      <w:widowControl/>
      <w:snapToGrid w:val="0"/>
      <w:spacing w:after="160" w:line="360" w:lineRule="auto"/>
      <w:jc w:val="left"/>
    </w:pPr>
    <w:rPr>
      <w:szCs w:val="20"/>
    </w:rPr>
  </w:style>
  <w:style w:type="paragraph" w:customStyle="1" w:styleId="104">
    <w:name w:val="Char Char Char Char Char Char Char1"/>
    <w:basedOn w:val="1"/>
    <w:qFormat/>
    <w:uiPriority w:val="99"/>
    <w:pPr>
      <w:widowControl/>
      <w:snapToGrid w:val="0"/>
      <w:spacing w:after="160" w:line="360" w:lineRule="auto"/>
      <w:jc w:val="left"/>
    </w:pPr>
    <w:rPr>
      <w:szCs w:val="20"/>
    </w:rPr>
  </w:style>
  <w:style w:type="paragraph" w:customStyle="1" w:styleId="105">
    <w:name w:val="Char Char Char"/>
    <w:basedOn w:val="6"/>
    <w:qFormat/>
    <w:uiPriority w:val="99"/>
    <w:pPr>
      <w:widowControl/>
      <w:tabs>
        <w:tab w:val="left" w:pos="495"/>
      </w:tabs>
      <w:spacing w:before="140" w:after="0" w:line="220" w:lineRule="atLeast"/>
      <w:ind w:left="720"/>
      <w:jc w:val="left"/>
    </w:pPr>
    <w:rPr>
      <w:rFonts w:ascii="Futura Bk BT" w:hAnsi="Futura Bk BT" w:eastAsia="宋体"/>
      <w:b w:val="0"/>
      <w:bCs w:val="0"/>
      <w:spacing w:val="-4"/>
      <w:kern w:val="28"/>
      <w:sz w:val="21"/>
      <w:szCs w:val="20"/>
      <w:lang w:val="en-AU" w:eastAsia="en-US"/>
    </w:rPr>
  </w:style>
  <w:style w:type="paragraph" w:customStyle="1" w:styleId="106">
    <w:name w:val="列出段落1"/>
    <w:basedOn w:val="1"/>
    <w:qFormat/>
    <w:uiPriority w:val="99"/>
    <w:pPr>
      <w:ind w:firstLine="420" w:firstLineChars="200"/>
    </w:pPr>
    <w:rPr>
      <w:rFonts w:ascii="Calibri" w:hAnsi="Calibri"/>
      <w:szCs w:val="22"/>
    </w:rPr>
  </w:style>
  <w:style w:type="character" w:customStyle="1" w:styleId="107">
    <w:name w:val="ca-31"/>
    <w:basedOn w:val="39"/>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67</Pages>
  <Words>5677</Words>
  <Characters>32362</Characters>
  <Lines>269</Lines>
  <Paragraphs>75</Paragraphs>
  <TotalTime>1</TotalTime>
  <ScaleCrop>false</ScaleCrop>
  <LinksUpToDate>false</LinksUpToDate>
  <CharactersWithSpaces>37964</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2020-08-03T09:10:00Z</dcterms:created>
  <dc:creator>adminis</dc:creator>
  <cp:lastModifiedBy>余生太长。</cp:lastModifiedBy>
  <cp:lastPrinted>2019-03-19T06:41:00Z</cp:lastPrinted>
  <dcterms:modified xsi:type="dcterms:W3CDTF">2021-01-06T09:33:32Z</dcterms:modified>
  <dc:title>招标编号：SXLHZB2012-831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